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4A738E3" w:rsidR="007F209B" w:rsidRPr="007B44BE" w:rsidRDefault="00FB73F4" w:rsidP="00BA17C2">
                            <w:pPr>
                              <w:pStyle w:val="VAHImainheading"/>
                            </w:pPr>
                            <w:r>
                              <w:rPr>
                                <w:rFonts w:ascii="VIC Medium" w:hAnsi="VIC Medium"/>
                                <w:sz w:val="28"/>
                                <w:szCs w:val="28"/>
                              </w:rPr>
                              <w:t xml:space="preserve">October – December </w:t>
                            </w:r>
                            <w:r w:rsidR="00226730">
                              <w:rPr>
                                <w:rFonts w:ascii="VIC Medium" w:hAnsi="VIC Medium"/>
                                <w:sz w:val="28"/>
                                <w:szCs w:val="28"/>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4A738E3" w:rsidR="007F209B" w:rsidRPr="007B44BE" w:rsidRDefault="00FB73F4" w:rsidP="00BA17C2">
                      <w:pPr>
                        <w:pStyle w:val="VAHImainheading"/>
                      </w:pPr>
                      <w:r>
                        <w:rPr>
                          <w:rFonts w:ascii="VIC Medium" w:hAnsi="VIC Medium"/>
                          <w:sz w:val="28"/>
                          <w:szCs w:val="28"/>
                        </w:rPr>
                        <w:t xml:space="preserve">October – December </w:t>
                      </w:r>
                      <w:r w:rsidR="00226730">
                        <w:rPr>
                          <w:rFonts w:ascii="VIC Medium" w:hAnsi="VIC Medium"/>
                          <w:sz w:val="28"/>
                          <w:szCs w:val="28"/>
                        </w:rPr>
                        <w:t>2023</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226730" w:rsidRPr="00A6366B" w14:paraId="49DEB37F" w14:textId="77777777" w:rsidTr="007D1447">
        <w:trPr>
          <w:tblHeader/>
        </w:trPr>
        <w:tc>
          <w:tcPr>
            <w:tcW w:w="2704" w:type="dxa"/>
            <w:shd w:val="clear" w:color="auto" w:fill="FFFFFF"/>
            <w:tcMar>
              <w:left w:w="57" w:type="dxa"/>
            </w:tcMar>
            <w:vAlign w:val="bottom"/>
          </w:tcPr>
          <w:p w14:paraId="68E5B03D" w14:textId="77777777" w:rsidR="00226730" w:rsidRPr="00592F37" w:rsidRDefault="00226730" w:rsidP="007D1447">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4EA71590" w14:textId="773CEEF8" w:rsidR="00226730" w:rsidRPr="00A76D9F" w:rsidRDefault="00226730" w:rsidP="007D1447">
            <w:pPr>
              <w:pStyle w:val="VAHItablecolhead"/>
              <w:jc w:val="right"/>
              <w:rPr>
                <w:rFonts w:eastAsia="Verdana"/>
                <w:color w:val="244C5A"/>
                <w:sz w:val="16"/>
              </w:rPr>
            </w:pPr>
            <w:r>
              <w:rPr>
                <w:sz w:val="16"/>
              </w:rPr>
              <w:t>202</w:t>
            </w:r>
            <w:r w:rsidR="00FB73F4">
              <w:rPr>
                <w:sz w:val="16"/>
              </w:rPr>
              <w:t>3–24</w:t>
            </w:r>
            <w:r>
              <w:rPr>
                <w:sz w:val="16"/>
              </w:rPr>
              <w:t xml:space="preserve"> Q</w:t>
            </w:r>
            <w:r w:rsidR="00FB73F4">
              <w:rPr>
                <w:sz w:val="16"/>
              </w:rPr>
              <w:t>2</w:t>
            </w:r>
            <w:r>
              <w:rPr>
                <w:sz w:val="16"/>
              </w:rPr>
              <w:t xml:space="preserve"> </w:t>
            </w:r>
            <w:r>
              <w:rPr>
                <w:sz w:val="16"/>
              </w:rPr>
              <w:br w:type="textWrapping" w:clear="all"/>
              <w:t>result</w:t>
            </w:r>
          </w:p>
        </w:tc>
        <w:tc>
          <w:tcPr>
            <w:tcW w:w="1449" w:type="dxa"/>
            <w:shd w:val="clear" w:color="auto" w:fill="FFFFFF"/>
            <w:vAlign w:val="center"/>
          </w:tcPr>
          <w:p w14:paraId="7AF30362" w14:textId="77777777" w:rsidR="00226730" w:rsidRDefault="00226730" w:rsidP="007D1447">
            <w:pPr>
              <w:pStyle w:val="VAHItablecolhead"/>
              <w:jc w:val="right"/>
              <w:rPr>
                <w:sz w:val="16"/>
              </w:rPr>
            </w:pPr>
            <w:r>
              <w:rPr>
                <w:sz w:val="16"/>
              </w:rPr>
              <w:t xml:space="preserve">Financial year </w:t>
            </w:r>
            <w:r>
              <w:rPr>
                <w:sz w:val="16"/>
              </w:rPr>
              <w:br w:type="textWrapping" w:clear="all"/>
              <w:t xml:space="preserve">to date (FYTD) </w:t>
            </w:r>
            <w:r>
              <w:rPr>
                <w:sz w:val="16"/>
              </w:rPr>
              <w:br w:type="textWrapping" w:clear="all"/>
              <w:t>result</w:t>
            </w:r>
          </w:p>
        </w:tc>
        <w:tc>
          <w:tcPr>
            <w:tcW w:w="1449" w:type="dxa"/>
            <w:shd w:val="clear" w:color="auto" w:fill="FFFFFF"/>
            <w:vAlign w:val="center"/>
          </w:tcPr>
          <w:p w14:paraId="57D5D125" w14:textId="44FA3F4C" w:rsidR="00226730" w:rsidRPr="00A76D9F" w:rsidRDefault="00FB73F4" w:rsidP="007D1447">
            <w:pPr>
              <w:pStyle w:val="VAHItablecolhead"/>
              <w:jc w:val="right"/>
              <w:rPr>
                <w:rFonts w:eastAsia="Verdana"/>
                <w:color w:val="244C5A"/>
                <w:sz w:val="16"/>
              </w:rPr>
            </w:pPr>
            <w:r>
              <w:rPr>
                <w:sz w:val="16"/>
              </w:rPr>
              <w:t>2023–24</w:t>
            </w:r>
            <w:r w:rsidR="00226730">
              <w:rPr>
                <w:sz w:val="16"/>
              </w:rPr>
              <w:br w:type="textWrapping" w:clear="all"/>
              <w:t>target</w:t>
            </w:r>
            <w:r w:rsidR="001D3D32">
              <w:rPr>
                <w:sz w:val="16"/>
              </w:rPr>
              <w:t>*</w:t>
            </w:r>
          </w:p>
        </w:tc>
        <w:tc>
          <w:tcPr>
            <w:tcW w:w="1449" w:type="dxa"/>
            <w:shd w:val="clear" w:color="auto" w:fill="FFFFFF"/>
            <w:vAlign w:val="center"/>
          </w:tcPr>
          <w:p w14:paraId="40C54CBC" w14:textId="77777777" w:rsidR="00226730" w:rsidRDefault="00226730" w:rsidP="007D1447">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6C1DAF65" w14:textId="767FC75E" w:rsidR="00226730" w:rsidRPr="00A76D9F" w:rsidRDefault="00226730" w:rsidP="007D1447">
            <w:pPr>
              <w:pStyle w:val="VAHItablecolhead"/>
              <w:jc w:val="right"/>
              <w:rPr>
                <w:rFonts w:eastAsia="Verdana"/>
                <w:color w:val="244C5A"/>
                <w:sz w:val="16"/>
              </w:rPr>
            </w:pPr>
            <w:r>
              <w:rPr>
                <w:sz w:val="16"/>
              </w:rPr>
              <w:t xml:space="preserve">FYTD result as a percentage of </w:t>
            </w:r>
            <w:r>
              <w:rPr>
                <w:sz w:val="16"/>
              </w:rPr>
              <w:br w:type="textWrapping" w:clear="all"/>
            </w:r>
            <w:r w:rsidR="00FB73F4">
              <w:rPr>
                <w:sz w:val="16"/>
              </w:rPr>
              <w:t xml:space="preserve">2023–24 </w:t>
            </w:r>
            <w:r>
              <w:rPr>
                <w:sz w:val="16"/>
              </w:rPr>
              <w:t>target</w:t>
            </w:r>
          </w:p>
        </w:tc>
      </w:tr>
      <w:tr w:rsidR="00FB73F4" w:rsidRPr="00A6366B" w14:paraId="45C4697A" w14:textId="77777777" w:rsidTr="00FB73F4">
        <w:trPr>
          <w:trHeight w:val="340"/>
        </w:trPr>
        <w:tc>
          <w:tcPr>
            <w:tcW w:w="2704" w:type="dxa"/>
            <w:shd w:val="clear" w:color="auto" w:fill="BFCED6"/>
            <w:tcMar>
              <w:left w:w="57" w:type="dxa"/>
            </w:tcMar>
            <w:vAlign w:val="center"/>
          </w:tcPr>
          <w:p w14:paraId="7F98E813" w14:textId="547C4E00" w:rsidR="00FB73F4" w:rsidRPr="00382424" w:rsidRDefault="00FB73F4" w:rsidP="00FB73F4">
            <w:pPr>
              <w:pStyle w:val="DHHStabletext"/>
              <w:spacing w:before="0" w:after="0"/>
              <w:rPr>
                <w:rFonts w:ascii="VIC" w:eastAsia="Verdana" w:hAnsi="VIC" w:cs="Verdana"/>
                <w:sz w:val="18"/>
                <w:szCs w:val="18"/>
              </w:rPr>
            </w:pPr>
            <w:bookmarkStart w:id="2" w:name="_Hlk15473260"/>
            <w:r>
              <w:rPr>
                <w:rFonts w:ascii="VIC" w:eastAsia="VIC" w:hAnsi="VIC"/>
                <w:color w:val="000000"/>
                <w:sz w:val="18"/>
              </w:rPr>
              <w:t>Alfred Health</w:t>
            </w:r>
          </w:p>
        </w:tc>
        <w:tc>
          <w:tcPr>
            <w:tcW w:w="1449" w:type="dxa"/>
            <w:shd w:val="clear" w:color="auto" w:fill="BFCED6"/>
            <w:vAlign w:val="center"/>
          </w:tcPr>
          <w:p w14:paraId="280C120C" w14:textId="0C21B9F6" w:rsidR="00FB73F4" w:rsidRPr="00650FED" w:rsidRDefault="00FB73F4" w:rsidP="00FB73F4">
            <w:pPr>
              <w:jc w:val="right"/>
              <w:rPr>
                <w:rFonts w:ascii="VIC" w:hAnsi="VIC"/>
                <w:sz w:val="18"/>
                <w:szCs w:val="18"/>
              </w:rPr>
            </w:pPr>
            <w:r>
              <w:rPr>
                <w:rFonts w:ascii="VIC" w:eastAsia="VIC" w:hAnsi="VIC"/>
                <w:color w:val="000000"/>
                <w:sz w:val="18"/>
              </w:rPr>
              <w:t>30,180</w:t>
            </w:r>
          </w:p>
        </w:tc>
        <w:tc>
          <w:tcPr>
            <w:tcW w:w="1449" w:type="dxa"/>
            <w:shd w:val="clear" w:color="auto" w:fill="BFCED6"/>
            <w:vAlign w:val="center"/>
          </w:tcPr>
          <w:p w14:paraId="721D149F" w14:textId="7CE76844" w:rsidR="00FB73F4" w:rsidRPr="00650FED" w:rsidRDefault="00FB73F4" w:rsidP="00FB73F4">
            <w:pPr>
              <w:jc w:val="right"/>
              <w:rPr>
                <w:rFonts w:ascii="VIC" w:hAnsi="VIC"/>
                <w:sz w:val="18"/>
                <w:szCs w:val="18"/>
              </w:rPr>
            </w:pPr>
            <w:r>
              <w:rPr>
                <w:rFonts w:ascii="VIC" w:eastAsia="VIC" w:hAnsi="VIC"/>
                <w:color w:val="000000"/>
                <w:sz w:val="18"/>
              </w:rPr>
              <w:t>61,125</w:t>
            </w:r>
          </w:p>
        </w:tc>
        <w:tc>
          <w:tcPr>
            <w:tcW w:w="1449" w:type="dxa"/>
            <w:shd w:val="clear" w:color="auto" w:fill="BFCED6"/>
            <w:vAlign w:val="center"/>
          </w:tcPr>
          <w:p w14:paraId="60AD15CA" w14:textId="6785E70B" w:rsidR="00FB73F4" w:rsidRPr="005F536D" w:rsidRDefault="00FB73F4" w:rsidP="00FB73F4">
            <w:pPr>
              <w:jc w:val="right"/>
              <w:rPr>
                <w:rFonts w:ascii="VIC" w:hAnsi="VIC"/>
                <w:sz w:val="18"/>
                <w:szCs w:val="18"/>
              </w:rPr>
            </w:pPr>
            <w:r>
              <w:rPr>
                <w:rFonts w:ascii="VIC" w:eastAsia="VIC" w:hAnsi="VIC"/>
                <w:color w:val="000000"/>
                <w:sz w:val="18"/>
              </w:rPr>
              <w:t>130,432</w:t>
            </w:r>
          </w:p>
        </w:tc>
        <w:tc>
          <w:tcPr>
            <w:tcW w:w="1449" w:type="dxa"/>
            <w:shd w:val="clear" w:color="auto" w:fill="BFCED6"/>
            <w:vAlign w:val="center"/>
          </w:tcPr>
          <w:p w14:paraId="6B29D44D" w14:textId="6D9AEB76" w:rsidR="00FB73F4" w:rsidRPr="005F536D" w:rsidRDefault="00FB73F4" w:rsidP="00FB73F4">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3EC279B8" w14:textId="3F5A2299" w:rsidR="00FB73F4" w:rsidRPr="00650FED" w:rsidRDefault="00FB73F4" w:rsidP="00FB73F4">
            <w:pPr>
              <w:jc w:val="right"/>
              <w:rPr>
                <w:rFonts w:ascii="VIC" w:hAnsi="VIC"/>
                <w:color w:val="FF0000"/>
                <w:sz w:val="18"/>
                <w:szCs w:val="18"/>
              </w:rPr>
            </w:pPr>
            <w:r>
              <w:rPr>
                <w:rFonts w:ascii="VIC" w:eastAsia="VIC" w:hAnsi="VIC"/>
                <w:color w:val="000000"/>
                <w:sz w:val="18"/>
              </w:rPr>
              <w:t>47%</w:t>
            </w:r>
          </w:p>
        </w:tc>
      </w:tr>
      <w:bookmarkEnd w:id="2"/>
      <w:tr w:rsidR="00FB73F4" w:rsidRPr="00A6366B" w14:paraId="0A0F71C5" w14:textId="77777777" w:rsidTr="00FB73F4">
        <w:trPr>
          <w:trHeight w:val="340"/>
        </w:trPr>
        <w:tc>
          <w:tcPr>
            <w:tcW w:w="2704" w:type="dxa"/>
            <w:tcMar>
              <w:left w:w="57" w:type="dxa"/>
            </w:tcMar>
            <w:vAlign w:val="center"/>
          </w:tcPr>
          <w:p w14:paraId="1B0F3ACC" w14:textId="272B5B06" w:rsidR="00FB73F4" w:rsidRPr="00382424" w:rsidRDefault="00FB73F4" w:rsidP="00FB73F4">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449" w:type="dxa"/>
            <w:vAlign w:val="center"/>
          </w:tcPr>
          <w:p w14:paraId="324F76E8" w14:textId="4C6F6C30" w:rsidR="00FB73F4" w:rsidRPr="00650FED" w:rsidRDefault="00FB73F4" w:rsidP="00FB73F4">
            <w:pPr>
              <w:jc w:val="right"/>
              <w:rPr>
                <w:rFonts w:ascii="VIC" w:hAnsi="VIC"/>
                <w:sz w:val="18"/>
                <w:szCs w:val="18"/>
              </w:rPr>
            </w:pPr>
            <w:r>
              <w:rPr>
                <w:rFonts w:ascii="VIC" w:eastAsia="VIC" w:hAnsi="VIC"/>
                <w:color w:val="000000"/>
                <w:sz w:val="18"/>
              </w:rPr>
              <w:t>18,128</w:t>
            </w:r>
          </w:p>
        </w:tc>
        <w:tc>
          <w:tcPr>
            <w:tcW w:w="1449" w:type="dxa"/>
            <w:vAlign w:val="center"/>
          </w:tcPr>
          <w:p w14:paraId="2D91711B" w14:textId="64125B2A" w:rsidR="00FB73F4" w:rsidRPr="00650FED" w:rsidRDefault="00FB73F4" w:rsidP="00FB73F4">
            <w:pPr>
              <w:jc w:val="right"/>
              <w:rPr>
                <w:rFonts w:ascii="VIC" w:hAnsi="VIC"/>
                <w:sz w:val="18"/>
                <w:szCs w:val="18"/>
              </w:rPr>
            </w:pPr>
            <w:r>
              <w:rPr>
                <w:rFonts w:ascii="VIC" w:eastAsia="VIC" w:hAnsi="VIC"/>
                <w:color w:val="000000"/>
                <w:sz w:val="18"/>
              </w:rPr>
              <w:t>35,908</w:t>
            </w:r>
          </w:p>
        </w:tc>
        <w:tc>
          <w:tcPr>
            <w:tcW w:w="1449" w:type="dxa"/>
            <w:vAlign w:val="center"/>
          </w:tcPr>
          <w:p w14:paraId="3FACF5F2" w14:textId="14AA71E4" w:rsidR="00FB73F4" w:rsidRPr="005F536D" w:rsidRDefault="00FB73F4" w:rsidP="00FB73F4">
            <w:pPr>
              <w:jc w:val="right"/>
              <w:rPr>
                <w:rFonts w:ascii="VIC" w:hAnsi="VIC"/>
                <w:sz w:val="18"/>
                <w:szCs w:val="18"/>
              </w:rPr>
            </w:pPr>
            <w:r>
              <w:rPr>
                <w:rFonts w:ascii="VIC" w:eastAsia="VIC" w:hAnsi="VIC"/>
                <w:color w:val="000000"/>
                <w:sz w:val="18"/>
              </w:rPr>
              <w:t>86,038</w:t>
            </w:r>
          </w:p>
        </w:tc>
        <w:tc>
          <w:tcPr>
            <w:tcW w:w="1449" w:type="dxa"/>
            <w:vAlign w:val="center"/>
          </w:tcPr>
          <w:p w14:paraId="69641649" w14:textId="5FBF25C1"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tcMar>
              <w:bottom w:w="0" w:type="dxa"/>
              <w:right w:w="57" w:type="dxa"/>
            </w:tcMar>
            <w:vAlign w:val="center"/>
          </w:tcPr>
          <w:p w14:paraId="3FB7D266" w14:textId="6DBB9B72" w:rsidR="00FB73F4" w:rsidRPr="00650FED" w:rsidRDefault="00FB73F4" w:rsidP="00FB73F4">
            <w:pPr>
              <w:jc w:val="right"/>
              <w:rPr>
                <w:rFonts w:ascii="VIC" w:hAnsi="VIC"/>
                <w:color w:val="FF0000"/>
                <w:sz w:val="18"/>
                <w:szCs w:val="18"/>
              </w:rPr>
            </w:pPr>
            <w:r>
              <w:rPr>
                <w:rFonts w:ascii="VIC" w:eastAsia="VIC" w:hAnsi="VIC"/>
                <w:color w:val="FF0000"/>
                <w:sz w:val="18"/>
              </w:rPr>
              <w:t>42%</w:t>
            </w:r>
          </w:p>
        </w:tc>
      </w:tr>
      <w:tr w:rsidR="00FB73F4" w:rsidRPr="00A6366B" w14:paraId="1E49AF32" w14:textId="77777777" w:rsidTr="00FB73F4">
        <w:trPr>
          <w:trHeight w:val="340"/>
        </w:trPr>
        <w:tc>
          <w:tcPr>
            <w:tcW w:w="2704" w:type="dxa"/>
            <w:shd w:val="clear" w:color="auto" w:fill="BFCED6"/>
            <w:tcMar>
              <w:left w:w="57" w:type="dxa"/>
            </w:tcMar>
            <w:vAlign w:val="center"/>
          </w:tcPr>
          <w:p w14:paraId="0D8C3676" w14:textId="217DE7B9" w:rsidR="00FB73F4" w:rsidRPr="00382424" w:rsidRDefault="00FB73F4" w:rsidP="00FB73F4">
            <w:pPr>
              <w:pStyle w:val="DHHStabletext"/>
              <w:spacing w:before="0" w:after="0"/>
              <w:rPr>
                <w:rFonts w:ascii="VIC" w:hAnsi="VIC"/>
                <w:sz w:val="18"/>
                <w:szCs w:val="18"/>
              </w:rPr>
            </w:pPr>
            <w:r>
              <w:rPr>
                <w:rFonts w:ascii="VIC" w:eastAsia="VIC" w:hAnsi="VIC"/>
                <w:color w:val="000000"/>
                <w:sz w:val="18"/>
              </w:rPr>
              <w:t>Eastern Health</w:t>
            </w:r>
          </w:p>
        </w:tc>
        <w:tc>
          <w:tcPr>
            <w:tcW w:w="1449" w:type="dxa"/>
            <w:shd w:val="clear" w:color="auto" w:fill="BFCED6"/>
            <w:vAlign w:val="center"/>
          </w:tcPr>
          <w:p w14:paraId="57120091" w14:textId="489799AB" w:rsidR="00FB73F4" w:rsidRPr="00650FED" w:rsidRDefault="00FB73F4" w:rsidP="00FB73F4">
            <w:pPr>
              <w:jc w:val="right"/>
              <w:rPr>
                <w:rFonts w:ascii="VIC" w:hAnsi="VIC"/>
                <w:sz w:val="18"/>
                <w:szCs w:val="18"/>
              </w:rPr>
            </w:pPr>
            <w:r>
              <w:rPr>
                <w:rFonts w:ascii="VIC" w:eastAsia="VIC" w:hAnsi="VIC"/>
                <w:color w:val="000000"/>
                <w:sz w:val="18"/>
              </w:rPr>
              <w:t>47,169</w:t>
            </w:r>
          </w:p>
        </w:tc>
        <w:tc>
          <w:tcPr>
            <w:tcW w:w="1449" w:type="dxa"/>
            <w:shd w:val="clear" w:color="auto" w:fill="BFCED6"/>
            <w:vAlign w:val="center"/>
          </w:tcPr>
          <w:p w14:paraId="68ACA140" w14:textId="4E43876F" w:rsidR="00FB73F4" w:rsidRPr="00650FED" w:rsidRDefault="00FB73F4" w:rsidP="00FB73F4">
            <w:pPr>
              <w:jc w:val="right"/>
              <w:rPr>
                <w:rFonts w:ascii="VIC" w:hAnsi="VIC"/>
                <w:sz w:val="18"/>
                <w:szCs w:val="18"/>
              </w:rPr>
            </w:pPr>
            <w:r>
              <w:rPr>
                <w:rFonts w:ascii="VIC" w:eastAsia="VIC" w:hAnsi="VIC"/>
                <w:color w:val="000000"/>
                <w:sz w:val="18"/>
              </w:rPr>
              <w:t>96,465</w:t>
            </w:r>
          </w:p>
        </w:tc>
        <w:tc>
          <w:tcPr>
            <w:tcW w:w="1449" w:type="dxa"/>
            <w:shd w:val="clear" w:color="auto" w:fill="BFCED6"/>
            <w:vAlign w:val="center"/>
          </w:tcPr>
          <w:p w14:paraId="41B307A4" w14:textId="4CFCD066" w:rsidR="00FB73F4" w:rsidRPr="005F536D" w:rsidRDefault="00FB73F4" w:rsidP="00FB73F4">
            <w:pPr>
              <w:jc w:val="right"/>
              <w:rPr>
                <w:rFonts w:ascii="VIC" w:hAnsi="VIC"/>
                <w:sz w:val="18"/>
                <w:szCs w:val="18"/>
              </w:rPr>
            </w:pPr>
            <w:r>
              <w:rPr>
                <w:rFonts w:ascii="VIC" w:eastAsia="VIC" w:hAnsi="VIC"/>
                <w:color w:val="000000"/>
                <w:sz w:val="18"/>
              </w:rPr>
              <w:t>237,376</w:t>
            </w:r>
          </w:p>
        </w:tc>
        <w:tc>
          <w:tcPr>
            <w:tcW w:w="1449" w:type="dxa"/>
            <w:shd w:val="clear" w:color="auto" w:fill="BFCED6"/>
            <w:vAlign w:val="center"/>
          </w:tcPr>
          <w:p w14:paraId="0C38EDEE" w14:textId="1500A94C"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7F0C84A5" w14:textId="3AA11682" w:rsidR="00FB73F4" w:rsidRPr="00650FED" w:rsidRDefault="00FB73F4" w:rsidP="00FB73F4">
            <w:pPr>
              <w:jc w:val="right"/>
              <w:rPr>
                <w:rFonts w:ascii="VIC" w:hAnsi="VIC"/>
                <w:color w:val="FF0000"/>
                <w:sz w:val="18"/>
                <w:szCs w:val="18"/>
              </w:rPr>
            </w:pPr>
            <w:r>
              <w:rPr>
                <w:rFonts w:ascii="VIC" w:eastAsia="VIC" w:hAnsi="VIC"/>
                <w:color w:val="FF0000"/>
                <w:sz w:val="18"/>
              </w:rPr>
              <w:t>41%</w:t>
            </w:r>
          </w:p>
        </w:tc>
      </w:tr>
      <w:tr w:rsidR="00FB73F4" w:rsidRPr="00A6366B" w14:paraId="28291685" w14:textId="77777777" w:rsidTr="00FB73F4">
        <w:trPr>
          <w:trHeight w:val="340"/>
        </w:trPr>
        <w:tc>
          <w:tcPr>
            <w:tcW w:w="2704" w:type="dxa"/>
            <w:shd w:val="clear" w:color="auto" w:fill="FFFFFF" w:themeFill="background1"/>
            <w:tcMar>
              <w:left w:w="57" w:type="dxa"/>
            </w:tcMar>
            <w:vAlign w:val="center"/>
          </w:tcPr>
          <w:p w14:paraId="0BD2D162" w14:textId="152359A2"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Melbourne Health</w:t>
            </w:r>
          </w:p>
        </w:tc>
        <w:tc>
          <w:tcPr>
            <w:tcW w:w="1449" w:type="dxa"/>
            <w:shd w:val="clear" w:color="auto" w:fill="FFFFFF" w:themeFill="background1"/>
            <w:vAlign w:val="center"/>
          </w:tcPr>
          <w:p w14:paraId="31B74344" w14:textId="3EBF14D1" w:rsidR="00FB73F4" w:rsidRPr="00650FED" w:rsidRDefault="00FB73F4" w:rsidP="00FB73F4">
            <w:pPr>
              <w:jc w:val="right"/>
              <w:rPr>
                <w:rFonts w:ascii="VIC" w:hAnsi="VIC"/>
                <w:sz w:val="18"/>
                <w:szCs w:val="18"/>
              </w:rPr>
            </w:pPr>
            <w:r>
              <w:rPr>
                <w:rFonts w:ascii="VIC" w:eastAsia="VIC" w:hAnsi="VIC"/>
                <w:color w:val="000000"/>
                <w:sz w:val="18"/>
              </w:rPr>
              <w:t>35,460</w:t>
            </w:r>
          </w:p>
        </w:tc>
        <w:tc>
          <w:tcPr>
            <w:tcW w:w="1449" w:type="dxa"/>
            <w:shd w:val="clear" w:color="auto" w:fill="FFFFFF" w:themeFill="background1"/>
            <w:vAlign w:val="center"/>
          </w:tcPr>
          <w:p w14:paraId="5E9C570D" w14:textId="5B710CF9" w:rsidR="00FB73F4" w:rsidRPr="00650FED" w:rsidRDefault="00FB73F4" w:rsidP="00FB73F4">
            <w:pPr>
              <w:jc w:val="right"/>
              <w:rPr>
                <w:rFonts w:ascii="VIC" w:hAnsi="VIC"/>
                <w:sz w:val="18"/>
                <w:szCs w:val="18"/>
              </w:rPr>
            </w:pPr>
            <w:r>
              <w:rPr>
                <w:rFonts w:ascii="VIC" w:eastAsia="VIC" w:hAnsi="VIC"/>
                <w:color w:val="000000"/>
                <w:sz w:val="18"/>
              </w:rPr>
              <w:t>70,040</w:t>
            </w:r>
          </w:p>
        </w:tc>
        <w:tc>
          <w:tcPr>
            <w:tcW w:w="1449" w:type="dxa"/>
            <w:shd w:val="clear" w:color="auto" w:fill="FFFFFF" w:themeFill="background1"/>
            <w:vAlign w:val="center"/>
          </w:tcPr>
          <w:p w14:paraId="2EC47546" w14:textId="68327BFE" w:rsidR="00FB73F4" w:rsidRPr="005F536D" w:rsidRDefault="00FB73F4" w:rsidP="00FB73F4">
            <w:pPr>
              <w:jc w:val="right"/>
              <w:rPr>
                <w:rFonts w:ascii="VIC" w:hAnsi="VIC"/>
                <w:sz w:val="18"/>
                <w:szCs w:val="18"/>
              </w:rPr>
            </w:pPr>
            <w:r>
              <w:rPr>
                <w:rFonts w:ascii="VIC" w:eastAsia="VIC" w:hAnsi="VIC"/>
                <w:color w:val="000000"/>
                <w:sz w:val="18"/>
              </w:rPr>
              <w:t>154,279</w:t>
            </w:r>
          </w:p>
        </w:tc>
        <w:tc>
          <w:tcPr>
            <w:tcW w:w="1449" w:type="dxa"/>
            <w:shd w:val="clear" w:color="auto" w:fill="FFFFFF" w:themeFill="background1"/>
            <w:vAlign w:val="center"/>
          </w:tcPr>
          <w:p w14:paraId="41D3D951" w14:textId="16C0B276"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7744DEED" w14:textId="21EDE74F" w:rsidR="00FB73F4" w:rsidRPr="00F40E33" w:rsidRDefault="00FB73F4" w:rsidP="00FB73F4">
            <w:pPr>
              <w:jc w:val="right"/>
              <w:rPr>
                <w:rFonts w:ascii="VIC" w:hAnsi="VIC"/>
                <w:color w:val="000000" w:themeColor="text1"/>
                <w:sz w:val="18"/>
                <w:szCs w:val="18"/>
              </w:rPr>
            </w:pPr>
            <w:r>
              <w:rPr>
                <w:rFonts w:ascii="VIC" w:eastAsia="VIC" w:hAnsi="VIC"/>
                <w:color w:val="000000"/>
                <w:sz w:val="18"/>
              </w:rPr>
              <w:t>45%</w:t>
            </w:r>
          </w:p>
        </w:tc>
      </w:tr>
      <w:tr w:rsidR="00FB73F4" w:rsidRPr="00A6366B" w14:paraId="67C8D553" w14:textId="77777777" w:rsidTr="00FB73F4">
        <w:trPr>
          <w:trHeight w:val="340"/>
        </w:trPr>
        <w:tc>
          <w:tcPr>
            <w:tcW w:w="2704" w:type="dxa"/>
            <w:shd w:val="clear" w:color="auto" w:fill="BFCED6"/>
            <w:tcMar>
              <w:left w:w="57" w:type="dxa"/>
            </w:tcMar>
            <w:vAlign w:val="center"/>
          </w:tcPr>
          <w:p w14:paraId="4B51BFDC" w14:textId="0CB29FD9"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Monash Health</w:t>
            </w:r>
          </w:p>
        </w:tc>
        <w:tc>
          <w:tcPr>
            <w:tcW w:w="1449" w:type="dxa"/>
            <w:shd w:val="clear" w:color="auto" w:fill="BFCED6"/>
            <w:vAlign w:val="center"/>
          </w:tcPr>
          <w:p w14:paraId="1A3A4912" w14:textId="4AEC7DAB" w:rsidR="00FB73F4" w:rsidRPr="00650FED" w:rsidRDefault="00FB73F4" w:rsidP="00FB73F4">
            <w:pPr>
              <w:jc w:val="right"/>
              <w:rPr>
                <w:rFonts w:ascii="VIC" w:hAnsi="VIC"/>
                <w:sz w:val="18"/>
                <w:szCs w:val="18"/>
              </w:rPr>
            </w:pPr>
            <w:r>
              <w:rPr>
                <w:rFonts w:ascii="VIC" w:eastAsia="VIC" w:hAnsi="VIC"/>
                <w:color w:val="000000"/>
                <w:sz w:val="18"/>
              </w:rPr>
              <w:t>58,049</w:t>
            </w:r>
          </w:p>
        </w:tc>
        <w:tc>
          <w:tcPr>
            <w:tcW w:w="1449" w:type="dxa"/>
            <w:shd w:val="clear" w:color="auto" w:fill="BFCED6"/>
            <w:vAlign w:val="center"/>
          </w:tcPr>
          <w:p w14:paraId="4911EB77" w14:textId="25317784" w:rsidR="00FB73F4" w:rsidRPr="00650FED" w:rsidRDefault="00FB73F4" w:rsidP="00FB73F4">
            <w:pPr>
              <w:jc w:val="right"/>
              <w:rPr>
                <w:rFonts w:ascii="VIC" w:hAnsi="VIC"/>
                <w:sz w:val="18"/>
                <w:szCs w:val="18"/>
              </w:rPr>
            </w:pPr>
            <w:r>
              <w:rPr>
                <w:rFonts w:ascii="VIC" w:eastAsia="VIC" w:hAnsi="VIC"/>
                <w:color w:val="000000"/>
                <w:sz w:val="18"/>
              </w:rPr>
              <w:t>119,227</w:t>
            </w:r>
          </w:p>
        </w:tc>
        <w:tc>
          <w:tcPr>
            <w:tcW w:w="1449" w:type="dxa"/>
            <w:shd w:val="clear" w:color="auto" w:fill="BFCED6"/>
            <w:vAlign w:val="center"/>
          </w:tcPr>
          <w:p w14:paraId="4F830959" w14:textId="67F0FA59" w:rsidR="00FB73F4" w:rsidRPr="005F536D" w:rsidRDefault="00FB73F4" w:rsidP="00FB73F4">
            <w:pPr>
              <w:jc w:val="right"/>
              <w:rPr>
                <w:rFonts w:ascii="VIC" w:hAnsi="VIC"/>
                <w:sz w:val="18"/>
                <w:szCs w:val="18"/>
              </w:rPr>
            </w:pPr>
            <w:r>
              <w:rPr>
                <w:rFonts w:ascii="VIC" w:eastAsia="VIC" w:hAnsi="VIC"/>
                <w:color w:val="000000"/>
                <w:sz w:val="18"/>
              </w:rPr>
              <w:t>282,797</w:t>
            </w:r>
          </w:p>
        </w:tc>
        <w:tc>
          <w:tcPr>
            <w:tcW w:w="1449" w:type="dxa"/>
            <w:shd w:val="clear" w:color="auto" w:fill="BFCED6"/>
            <w:vAlign w:val="center"/>
          </w:tcPr>
          <w:p w14:paraId="710A825B" w14:textId="68148A3D"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3B37D3E5" w14:textId="37FA2F15" w:rsidR="00FB73F4" w:rsidRPr="00650FED" w:rsidRDefault="00FB73F4" w:rsidP="00FB73F4">
            <w:pPr>
              <w:jc w:val="right"/>
              <w:rPr>
                <w:rFonts w:ascii="VIC" w:hAnsi="VIC"/>
                <w:color w:val="FF0000"/>
                <w:sz w:val="18"/>
                <w:szCs w:val="18"/>
              </w:rPr>
            </w:pPr>
            <w:r>
              <w:rPr>
                <w:rFonts w:ascii="VIC" w:eastAsia="VIC" w:hAnsi="VIC"/>
                <w:color w:val="FF0000"/>
                <w:sz w:val="18"/>
              </w:rPr>
              <w:t>42%</w:t>
            </w:r>
          </w:p>
        </w:tc>
      </w:tr>
      <w:tr w:rsidR="00FB73F4" w:rsidRPr="00A6366B" w14:paraId="08EB98AF" w14:textId="77777777" w:rsidTr="00FB73F4">
        <w:trPr>
          <w:trHeight w:val="340"/>
        </w:trPr>
        <w:tc>
          <w:tcPr>
            <w:tcW w:w="2704" w:type="dxa"/>
            <w:shd w:val="clear" w:color="auto" w:fill="FFFFFF" w:themeFill="background1"/>
            <w:tcMar>
              <w:left w:w="57" w:type="dxa"/>
            </w:tcMar>
            <w:vAlign w:val="center"/>
          </w:tcPr>
          <w:p w14:paraId="1EACC8E4" w14:textId="28A320F1"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Northern Health</w:t>
            </w:r>
          </w:p>
        </w:tc>
        <w:tc>
          <w:tcPr>
            <w:tcW w:w="1449" w:type="dxa"/>
            <w:shd w:val="clear" w:color="auto" w:fill="FFFFFF" w:themeFill="background1"/>
            <w:vAlign w:val="center"/>
          </w:tcPr>
          <w:p w14:paraId="65A39058" w14:textId="5C219429" w:rsidR="00FB73F4" w:rsidRPr="00650FED" w:rsidRDefault="00FB73F4" w:rsidP="00FB73F4">
            <w:pPr>
              <w:jc w:val="right"/>
              <w:rPr>
                <w:rFonts w:ascii="VIC" w:hAnsi="VIC"/>
                <w:sz w:val="18"/>
                <w:szCs w:val="18"/>
              </w:rPr>
            </w:pPr>
            <w:r>
              <w:rPr>
                <w:rFonts w:ascii="VIC" w:eastAsia="VIC" w:hAnsi="VIC"/>
                <w:color w:val="000000"/>
                <w:sz w:val="18"/>
              </w:rPr>
              <w:t>43,055</w:t>
            </w:r>
          </w:p>
        </w:tc>
        <w:tc>
          <w:tcPr>
            <w:tcW w:w="1449" w:type="dxa"/>
            <w:shd w:val="clear" w:color="auto" w:fill="FFFFFF" w:themeFill="background1"/>
            <w:vAlign w:val="center"/>
          </w:tcPr>
          <w:p w14:paraId="4EE55EAD" w14:textId="4B16BD89" w:rsidR="00FB73F4" w:rsidRPr="00650FED" w:rsidRDefault="00FB73F4" w:rsidP="00FB73F4">
            <w:pPr>
              <w:jc w:val="right"/>
              <w:rPr>
                <w:rFonts w:ascii="VIC" w:hAnsi="VIC"/>
                <w:sz w:val="18"/>
                <w:szCs w:val="18"/>
              </w:rPr>
            </w:pPr>
            <w:r>
              <w:rPr>
                <w:rFonts w:ascii="VIC" w:eastAsia="VIC" w:hAnsi="VIC"/>
                <w:color w:val="000000"/>
                <w:sz w:val="18"/>
              </w:rPr>
              <w:t>84,395</w:t>
            </w:r>
          </w:p>
        </w:tc>
        <w:tc>
          <w:tcPr>
            <w:tcW w:w="1449" w:type="dxa"/>
            <w:shd w:val="clear" w:color="auto" w:fill="FFFFFF" w:themeFill="background1"/>
            <w:vAlign w:val="center"/>
          </w:tcPr>
          <w:p w14:paraId="506E0377" w14:textId="63A50AD3" w:rsidR="00FB73F4" w:rsidRPr="005F536D" w:rsidRDefault="00FB73F4" w:rsidP="00FB73F4">
            <w:pPr>
              <w:jc w:val="right"/>
              <w:rPr>
                <w:rFonts w:ascii="VIC" w:hAnsi="VIC"/>
                <w:sz w:val="18"/>
                <w:szCs w:val="18"/>
              </w:rPr>
            </w:pPr>
            <w:r>
              <w:rPr>
                <w:rFonts w:ascii="VIC" w:eastAsia="VIC" w:hAnsi="VIC"/>
                <w:color w:val="000000"/>
                <w:sz w:val="18"/>
              </w:rPr>
              <w:t>150,510</w:t>
            </w:r>
          </w:p>
        </w:tc>
        <w:tc>
          <w:tcPr>
            <w:tcW w:w="1449" w:type="dxa"/>
            <w:shd w:val="clear" w:color="auto" w:fill="FFFFFF" w:themeFill="background1"/>
            <w:vAlign w:val="center"/>
          </w:tcPr>
          <w:p w14:paraId="2787C64C" w14:textId="12C837BD"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1ECF11D3" w14:textId="05556086" w:rsidR="00FB73F4" w:rsidRPr="00650FED" w:rsidRDefault="00FB73F4" w:rsidP="00FB73F4">
            <w:pPr>
              <w:jc w:val="right"/>
              <w:rPr>
                <w:rFonts w:ascii="VIC" w:hAnsi="VIC"/>
                <w:color w:val="FF0000"/>
                <w:sz w:val="18"/>
                <w:szCs w:val="18"/>
              </w:rPr>
            </w:pPr>
            <w:r>
              <w:rPr>
                <w:rFonts w:ascii="VIC" w:eastAsia="VIC" w:hAnsi="VIC"/>
                <w:color w:val="008000"/>
                <w:sz w:val="18"/>
              </w:rPr>
              <w:t>56%</w:t>
            </w:r>
          </w:p>
        </w:tc>
      </w:tr>
      <w:tr w:rsidR="00FB73F4" w:rsidRPr="00A6366B" w14:paraId="16DE20E5" w14:textId="77777777" w:rsidTr="00FB73F4">
        <w:trPr>
          <w:trHeight w:val="340"/>
        </w:trPr>
        <w:tc>
          <w:tcPr>
            <w:tcW w:w="2704" w:type="dxa"/>
            <w:shd w:val="clear" w:color="auto" w:fill="BFCED6"/>
            <w:tcMar>
              <w:left w:w="57" w:type="dxa"/>
            </w:tcMar>
            <w:vAlign w:val="center"/>
          </w:tcPr>
          <w:p w14:paraId="514D1A8F" w14:textId="76E7AD23"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Peninsula Health</w:t>
            </w:r>
          </w:p>
        </w:tc>
        <w:tc>
          <w:tcPr>
            <w:tcW w:w="1449" w:type="dxa"/>
            <w:shd w:val="clear" w:color="auto" w:fill="BFCED6"/>
            <w:vAlign w:val="center"/>
          </w:tcPr>
          <w:p w14:paraId="1600C781" w14:textId="50B1E8F7" w:rsidR="00FB73F4" w:rsidRPr="00650FED" w:rsidRDefault="00FB73F4" w:rsidP="00FB73F4">
            <w:pPr>
              <w:jc w:val="right"/>
              <w:rPr>
                <w:rFonts w:ascii="VIC" w:hAnsi="VIC"/>
                <w:sz w:val="18"/>
                <w:szCs w:val="18"/>
              </w:rPr>
            </w:pPr>
            <w:r>
              <w:rPr>
                <w:rFonts w:ascii="VIC" w:eastAsia="VIC" w:hAnsi="VIC"/>
                <w:color w:val="000000"/>
                <w:sz w:val="18"/>
              </w:rPr>
              <w:t>18,559</w:t>
            </w:r>
          </w:p>
        </w:tc>
        <w:tc>
          <w:tcPr>
            <w:tcW w:w="1449" w:type="dxa"/>
            <w:shd w:val="clear" w:color="auto" w:fill="BFCED6"/>
            <w:vAlign w:val="center"/>
          </w:tcPr>
          <w:p w14:paraId="36F25464" w14:textId="2DABC1B9" w:rsidR="00FB73F4" w:rsidRPr="00650FED" w:rsidRDefault="00FB73F4" w:rsidP="00FB73F4">
            <w:pPr>
              <w:jc w:val="right"/>
              <w:rPr>
                <w:rFonts w:ascii="VIC" w:hAnsi="VIC"/>
                <w:sz w:val="18"/>
                <w:szCs w:val="18"/>
              </w:rPr>
            </w:pPr>
            <w:r>
              <w:rPr>
                <w:rFonts w:ascii="VIC" w:eastAsia="VIC" w:hAnsi="VIC"/>
                <w:color w:val="000000"/>
                <w:sz w:val="18"/>
              </w:rPr>
              <w:t>37,773</w:t>
            </w:r>
          </w:p>
        </w:tc>
        <w:tc>
          <w:tcPr>
            <w:tcW w:w="1449" w:type="dxa"/>
            <w:shd w:val="clear" w:color="auto" w:fill="BFCED6"/>
            <w:vAlign w:val="center"/>
          </w:tcPr>
          <w:p w14:paraId="099C4078" w14:textId="2124CD65" w:rsidR="00FB73F4" w:rsidRPr="005F536D" w:rsidRDefault="00FB73F4" w:rsidP="00FB73F4">
            <w:pPr>
              <w:jc w:val="right"/>
              <w:rPr>
                <w:rFonts w:ascii="VIC" w:hAnsi="VIC"/>
                <w:sz w:val="18"/>
                <w:szCs w:val="18"/>
              </w:rPr>
            </w:pPr>
            <w:r>
              <w:rPr>
                <w:rFonts w:ascii="VIC" w:eastAsia="VIC" w:hAnsi="VIC"/>
                <w:color w:val="000000"/>
                <w:sz w:val="18"/>
              </w:rPr>
              <w:t>73,074</w:t>
            </w:r>
          </w:p>
        </w:tc>
        <w:tc>
          <w:tcPr>
            <w:tcW w:w="1449" w:type="dxa"/>
            <w:shd w:val="clear" w:color="auto" w:fill="BFCED6"/>
            <w:vAlign w:val="center"/>
          </w:tcPr>
          <w:p w14:paraId="4A6201A7" w14:textId="27E7F62F"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2CE63724" w14:textId="2D0C6743" w:rsidR="00FB73F4" w:rsidRPr="00650FED" w:rsidRDefault="00FB73F4" w:rsidP="00FB73F4">
            <w:pPr>
              <w:jc w:val="right"/>
              <w:rPr>
                <w:rFonts w:ascii="VIC" w:hAnsi="VIC"/>
                <w:color w:val="FF0000"/>
                <w:sz w:val="18"/>
                <w:szCs w:val="18"/>
              </w:rPr>
            </w:pPr>
            <w:r>
              <w:rPr>
                <w:rFonts w:ascii="VIC" w:eastAsia="VIC" w:hAnsi="VIC"/>
                <w:color w:val="000000"/>
                <w:sz w:val="18"/>
              </w:rPr>
              <w:t>52%</w:t>
            </w:r>
          </w:p>
        </w:tc>
      </w:tr>
      <w:tr w:rsidR="00FB73F4" w:rsidRPr="00A6366B" w14:paraId="7816D65D" w14:textId="77777777" w:rsidTr="00FB73F4">
        <w:trPr>
          <w:trHeight w:val="340"/>
        </w:trPr>
        <w:tc>
          <w:tcPr>
            <w:tcW w:w="2704" w:type="dxa"/>
            <w:shd w:val="clear" w:color="auto" w:fill="FFFFFF" w:themeFill="background1"/>
            <w:tcMar>
              <w:left w:w="57" w:type="dxa"/>
            </w:tcMar>
            <w:vAlign w:val="center"/>
          </w:tcPr>
          <w:p w14:paraId="62A0A93C" w14:textId="1C574A24"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St Vincent's Hospital</w:t>
            </w:r>
          </w:p>
        </w:tc>
        <w:tc>
          <w:tcPr>
            <w:tcW w:w="1449" w:type="dxa"/>
            <w:shd w:val="clear" w:color="auto" w:fill="FFFFFF" w:themeFill="background1"/>
            <w:vAlign w:val="center"/>
          </w:tcPr>
          <w:p w14:paraId="48895DE7" w14:textId="320D40CB" w:rsidR="00FB73F4" w:rsidRPr="00650FED" w:rsidRDefault="00FB73F4" w:rsidP="00FB73F4">
            <w:pPr>
              <w:jc w:val="right"/>
              <w:rPr>
                <w:rFonts w:ascii="VIC" w:hAnsi="VIC"/>
                <w:sz w:val="18"/>
                <w:szCs w:val="18"/>
              </w:rPr>
            </w:pPr>
            <w:r>
              <w:rPr>
                <w:rFonts w:ascii="VIC" w:eastAsia="VIC" w:hAnsi="VIC"/>
                <w:color w:val="000000"/>
                <w:sz w:val="18"/>
              </w:rPr>
              <w:t>19,348</w:t>
            </w:r>
          </w:p>
        </w:tc>
        <w:tc>
          <w:tcPr>
            <w:tcW w:w="1449" w:type="dxa"/>
            <w:shd w:val="clear" w:color="auto" w:fill="FFFFFF" w:themeFill="background1"/>
            <w:vAlign w:val="center"/>
          </w:tcPr>
          <w:p w14:paraId="58E45177" w14:textId="24326DD9" w:rsidR="00FB73F4" w:rsidRPr="00650FED" w:rsidRDefault="00FB73F4" w:rsidP="00FB73F4">
            <w:pPr>
              <w:jc w:val="right"/>
              <w:rPr>
                <w:rFonts w:ascii="VIC" w:hAnsi="VIC"/>
                <w:sz w:val="18"/>
                <w:szCs w:val="18"/>
              </w:rPr>
            </w:pPr>
            <w:r>
              <w:rPr>
                <w:rFonts w:ascii="VIC" w:eastAsia="VIC" w:hAnsi="VIC"/>
                <w:color w:val="000000"/>
                <w:sz w:val="18"/>
              </w:rPr>
              <w:t>39,541</w:t>
            </w:r>
          </w:p>
        </w:tc>
        <w:tc>
          <w:tcPr>
            <w:tcW w:w="1449" w:type="dxa"/>
            <w:shd w:val="clear" w:color="auto" w:fill="FFFFFF" w:themeFill="background1"/>
            <w:vAlign w:val="center"/>
          </w:tcPr>
          <w:p w14:paraId="4A16274F" w14:textId="3A3D75C7" w:rsidR="00FB73F4" w:rsidRPr="005F536D" w:rsidRDefault="00FB73F4" w:rsidP="00FB73F4">
            <w:pPr>
              <w:jc w:val="right"/>
              <w:rPr>
                <w:rFonts w:ascii="VIC" w:hAnsi="VIC"/>
                <w:sz w:val="18"/>
                <w:szCs w:val="18"/>
              </w:rPr>
            </w:pPr>
            <w:r>
              <w:rPr>
                <w:rFonts w:ascii="VIC" w:eastAsia="VIC" w:hAnsi="VIC"/>
                <w:color w:val="000000"/>
                <w:sz w:val="18"/>
              </w:rPr>
              <w:t>86,012</w:t>
            </w:r>
          </w:p>
        </w:tc>
        <w:tc>
          <w:tcPr>
            <w:tcW w:w="1449" w:type="dxa"/>
            <w:shd w:val="clear" w:color="auto" w:fill="FFFFFF" w:themeFill="background1"/>
            <w:vAlign w:val="center"/>
          </w:tcPr>
          <w:p w14:paraId="4EEEDCD0" w14:textId="00EF4B80"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3C99EC9B" w14:textId="3788CEF2" w:rsidR="00FB73F4" w:rsidRPr="00650FED" w:rsidRDefault="00FB73F4" w:rsidP="00FB73F4">
            <w:pPr>
              <w:jc w:val="right"/>
              <w:rPr>
                <w:rFonts w:ascii="VIC" w:hAnsi="VIC"/>
                <w:color w:val="FF0000"/>
                <w:sz w:val="18"/>
                <w:szCs w:val="18"/>
              </w:rPr>
            </w:pPr>
            <w:r>
              <w:rPr>
                <w:rFonts w:ascii="VIC" w:eastAsia="VIC" w:hAnsi="VIC"/>
                <w:color w:val="000000"/>
                <w:sz w:val="18"/>
              </w:rPr>
              <w:t>46%</w:t>
            </w:r>
          </w:p>
        </w:tc>
      </w:tr>
      <w:tr w:rsidR="00FB73F4" w:rsidRPr="00A6366B" w14:paraId="05864E0D" w14:textId="77777777" w:rsidTr="00FB73F4">
        <w:trPr>
          <w:trHeight w:val="340"/>
        </w:trPr>
        <w:tc>
          <w:tcPr>
            <w:tcW w:w="2704" w:type="dxa"/>
            <w:shd w:val="clear" w:color="auto" w:fill="BFCED6"/>
            <w:tcMar>
              <w:left w:w="57" w:type="dxa"/>
            </w:tcMar>
            <w:vAlign w:val="center"/>
          </w:tcPr>
          <w:p w14:paraId="1F2AA8BF" w14:textId="0CC29979"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Mercy Health</w:t>
            </w:r>
          </w:p>
        </w:tc>
        <w:tc>
          <w:tcPr>
            <w:tcW w:w="1449" w:type="dxa"/>
            <w:shd w:val="clear" w:color="auto" w:fill="BFCED6"/>
            <w:vAlign w:val="center"/>
          </w:tcPr>
          <w:p w14:paraId="42985DB6" w14:textId="3AA99E33" w:rsidR="00FB73F4" w:rsidRPr="00650FED" w:rsidRDefault="00FB73F4" w:rsidP="00FB73F4">
            <w:pPr>
              <w:jc w:val="right"/>
              <w:rPr>
                <w:rFonts w:ascii="VIC" w:hAnsi="VIC"/>
                <w:sz w:val="18"/>
                <w:szCs w:val="18"/>
              </w:rPr>
            </w:pPr>
            <w:r>
              <w:rPr>
                <w:rFonts w:ascii="VIC" w:eastAsia="VIC" w:hAnsi="VIC"/>
                <w:color w:val="000000"/>
                <w:sz w:val="18"/>
              </w:rPr>
              <w:t>17,955</w:t>
            </w:r>
          </w:p>
        </w:tc>
        <w:tc>
          <w:tcPr>
            <w:tcW w:w="1449" w:type="dxa"/>
            <w:shd w:val="clear" w:color="auto" w:fill="BFCED6"/>
            <w:vAlign w:val="center"/>
          </w:tcPr>
          <w:p w14:paraId="6A4FDD0A" w14:textId="2C47F9F5" w:rsidR="00FB73F4" w:rsidRPr="00650FED" w:rsidRDefault="00FB73F4" w:rsidP="00FB73F4">
            <w:pPr>
              <w:jc w:val="right"/>
              <w:rPr>
                <w:rFonts w:ascii="VIC" w:hAnsi="VIC"/>
                <w:sz w:val="18"/>
                <w:szCs w:val="18"/>
              </w:rPr>
            </w:pPr>
            <w:r>
              <w:rPr>
                <w:rFonts w:ascii="VIC" w:eastAsia="VIC" w:hAnsi="VIC"/>
                <w:color w:val="000000"/>
                <w:sz w:val="18"/>
              </w:rPr>
              <w:t>36,100</w:t>
            </w:r>
          </w:p>
        </w:tc>
        <w:tc>
          <w:tcPr>
            <w:tcW w:w="1449" w:type="dxa"/>
            <w:shd w:val="clear" w:color="auto" w:fill="BFCED6"/>
            <w:vAlign w:val="center"/>
          </w:tcPr>
          <w:p w14:paraId="14DFC53E" w14:textId="3132A041" w:rsidR="00FB73F4" w:rsidRPr="005F536D" w:rsidRDefault="00FB73F4" w:rsidP="00FB73F4">
            <w:pPr>
              <w:jc w:val="right"/>
              <w:rPr>
                <w:rFonts w:ascii="VIC" w:hAnsi="VIC"/>
                <w:sz w:val="18"/>
                <w:szCs w:val="18"/>
              </w:rPr>
            </w:pPr>
            <w:r>
              <w:rPr>
                <w:rFonts w:ascii="VIC" w:eastAsia="VIC" w:hAnsi="VIC"/>
                <w:color w:val="000000"/>
                <w:sz w:val="18"/>
              </w:rPr>
              <w:t>88,335</w:t>
            </w:r>
          </w:p>
        </w:tc>
        <w:tc>
          <w:tcPr>
            <w:tcW w:w="1449" w:type="dxa"/>
            <w:shd w:val="clear" w:color="auto" w:fill="BFCED6"/>
            <w:vAlign w:val="center"/>
          </w:tcPr>
          <w:p w14:paraId="679E919F" w14:textId="0BB5F0C6"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49456025" w14:textId="108D3EC8" w:rsidR="00FB73F4" w:rsidRPr="00650FED" w:rsidRDefault="00FB73F4" w:rsidP="00FB73F4">
            <w:pPr>
              <w:jc w:val="right"/>
              <w:rPr>
                <w:rFonts w:ascii="VIC" w:hAnsi="VIC"/>
                <w:color w:val="FF0000"/>
                <w:sz w:val="18"/>
                <w:szCs w:val="18"/>
              </w:rPr>
            </w:pPr>
            <w:r>
              <w:rPr>
                <w:rFonts w:ascii="VIC" w:eastAsia="VIC" w:hAnsi="VIC"/>
                <w:color w:val="FF0000"/>
                <w:sz w:val="18"/>
              </w:rPr>
              <w:t>41%</w:t>
            </w:r>
          </w:p>
        </w:tc>
      </w:tr>
      <w:tr w:rsidR="00FB73F4" w:rsidRPr="00A6366B" w14:paraId="377F1C51" w14:textId="77777777" w:rsidTr="00FB73F4">
        <w:trPr>
          <w:trHeight w:val="340"/>
        </w:trPr>
        <w:tc>
          <w:tcPr>
            <w:tcW w:w="2704" w:type="dxa"/>
            <w:shd w:val="clear" w:color="auto" w:fill="FFFFFF" w:themeFill="background1"/>
            <w:tcMar>
              <w:left w:w="57" w:type="dxa"/>
            </w:tcMar>
            <w:vAlign w:val="center"/>
          </w:tcPr>
          <w:p w14:paraId="0C6CFDB3" w14:textId="5D8EAE70"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Royal Children's</w:t>
            </w:r>
          </w:p>
        </w:tc>
        <w:tc>
          <w:tcPr>
            <w:tcW w:w="1449" w:type="dxa"/>
            <w:shd w:val="clear" w:color="auto" w:fill="FFFFFF" w:themeFill="background1"/>
            <w:vAlign w:val="center"/>
          </w:tcPr>
          <w:p w14:paraId="4C4D7F9D" w14:textId="263385E9" w:rsidR="00FB73F4" w:rsidRPr="00650FED" w:rsidRDefault="00FB73F4" w:rsidP="00FB73F4">
            <w:pPr>
              <w:jc w:val="right"/>
              <w:rPr>
                <w:rFonts w:ascii="VIC" w:hAnsi="VIC"/>
                <w:sz w:val="18"/>
                <w:szCs w:val="18"/>
              </w:rPr>
            </w:pPr>
            <w:r>
              <w:rPr>
                <w:rFonts w:ascii="VIC" w:eastAsia="VIC" w:hAnsi="VIC"/>
                <w:color w:val="000000"/>
                <w:sz w:val="18"/>
              </w:rPr>
              <w:t>10,718</w:t>
            </w:r>
          </w:p>
        </w:tc>
        <w:tc>
          <w:tcPr>
            <w:tcW w:w="1449" w:type="dxa"/>
            <w:shd w:val="clear" w:color="auto" w:fill="FFFFFF" w:themeFill="background1"/>
            <w:vAlign w:val="center"/>
          </w:tcPr>
          <w:p w14:paraId="54257DBB" w14:textId="01627522" w:rsidR="00FB73F4" w:rsidRPr="00650FED" w:rsidRDefault="00FB73F4" w:rsidP="00FB73F4">
            <w:pPr>
              <w:jc w:val="right"/>
              <w:rPr>
                <w:rFonts w:ascii="VIC" w:hAnsi="VIC"/>
                <w:sz w:val="18"/>
                <w:szCs w:val="18"/>
              </w:rPr>
            </w:pPr>
            <w:r>
              <w:rPr>
                <w:rFonts w:ascii="VIC" w:eastAsia="VIC" w:hAnsi="VIC"/>
                <w:color w:val="000000"/>
                <w:sz w:val="18"/>
              </w:rPr>
              <w:t>22,266</w:t>
            </w:r>
          </w:p>
        </w:tc>
        <w:tc>
          <w:tcPr>
            <w:tcW w:w="1449" w:type="dxa"/>
            <w:shd w:val="clear" w:color="auto" w:fill="FFFFFF" w:themeFill="background1"/>
            <w:vAlign w:val="center"/>
          </w:tcPr>
          <w:p w14:paraId="3D5544A7" w14:textId="2963DF71" w:rsidR="00FB73F4" w:rsidRPr="005F536D" w:rsidRDefault="00FB73F4" w:rsidP="00FB73F4">
            <w:pPr>
              <w:jc w:val="right"/>
              <w:rPr>
                <w:rFonts w:ascii="VIC" w:hAnsi="VIC"/>
                <w:sz w:val="18"/>
                <w:szCs w:val="18"/>
              </w:rPr>
            </w:pPr>
            <w:r>
              <w:rPr>
                <w:rFonts w:ascii="VIC" w:eastAsia="VIC" w:hAnsi="VIC"/>
                <w:color w:val="000000"/>
                <w:sz w:val="18"/>
              </w:rPr>
              <w:t>52,514</w:t>
            </w:r>
          </w:p>
        </w:tc>
        <w:tc>
          <w:tcPr>
            <w:tcW w:w="1449" w:type="dxa"/>
            <w:shd w:val="clear" w:color="auto" w:fill="FFFFFF" w:themeFill="background1"/>
            <w:vAlign w:val="center"/>
          </w:tcPr>
          <w:p w14:paraId="0B378CB8" w14:textId="5895CF97"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6D1E1E59" w14:textId="5A1BCD9D" w:rsidR="00FB73F4" w:rsidRPr="00650FED" w:rsidRDefault="00FB73F4" w:rsidP="00FB73F4">
            <w:pPr>
              <w:jc w:val="right"/>
              <w:rPr>
                <w:rFonts w:ascii="VIC" w:hAnsi="VIC"/>
                <w:color w:val="FF0000"/>
                <w:sz w:val="18"/>
                <w:szCs w:val="18"/>
              </w:rPr>
            </w:pPr>
            <w:r>
              <w:rPr>
                <w:rFonts w:ascii="VIC" w:eastAsia="VIC" w:hAnsi="VIC"/>
                <w:color w:val="FF0000"/>
                <w:sz w:val="18"/>
              </w:rPr>
              <w:t>42%</w:t>
            </w:r>
          </w:p>
        </w:tc>
      </w:tr>
      <w:tr w:rsidR="00FB73F4" w:rsidRPr="00A6366B" w14:paraId="4A9B0711" w14:textId="77777777" w:rsidTr="00FB73F4">
        <w:trPr>
          <w:trHeight w:val="340"/>
        </w:trPr>
        <w:tc>
          <w:tcPr>
            <w:tcW w:w="2704" w:type="dxa"/>
            <w:shd w:val="clear" w:color="auto" w:fill="BFCED6"/>
            <w:tcMar>
              <w:left w:w="57" w:type="dxa"/>
            </w:tcMar>
            <w:vAlign w:val="center"/>
          </w:tcPr>
          <w:p w14:paraId="226E1D21" w14:textId="7A19D171"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VIFMH (Forensicare)</w:t>
            </w:r>
          </w:p>
        </w:tc>
        <w:tc>
          <w:tcPr>
            <w:tcW w:w="1449" w:type="dxa"/>
            <w:shd w:val="clear" w:color="auto" w:fill="BFCED6"/>
            <w:vAlign w:val="center"/>
          </w:tcPr>
          <w:p w14:paraId="75603C53" w14:textId="5192B19F" w:rsidR="00FB73F4" w:rsidRPr="00650FED" w:rsidRDefault="00FB73F4" w:rsidP="00FB73F4">
            <w:pPr>
              <w:jc w:val="right"/>
              <w:rPr>
                <w:rFonts w:ascii="VIC" w:hAnsi="VIC"/>
                <w:sz w:val="18"/>
                <w:szCs w:val="18"/>
              </w:rPr>
            </w:pPr>
            <w:r>
              <w:rPr>
                <w:rFonts w:ascii="VIC" w:eastAsia="VIC" w:hAnsi="VIC"/>
                <w:color w:val="000000"/>
                <w:sz w:val="18"/>
              </w:rPr>
              <w:t>5,787</w:t>
            </w:r>
          </w:p>
        </w:tc>
        <w:tc>
          <w:tcPr>
            <w:tcW w:w="1449" w:type="dxa"/>
            <w:shd w:val="clear" w:color="auto" w:fill="BFCED6"/>
            <w:vAlign w:val="center"/>
          </w:tcPr>
          <w:p w14:paraId="07F724FB" w14:textId="2771274F" w:rsidR="00FB73F4" w:rsidRPr="00650FED" w:rsidRDefault="00FB73F4" w:rsidP="00FB73F4">
            <w:pPr>
              <w:jc w:val="right"/>
              <w:rPr>
                <w:rFonts w:ascii="VIC" w:hAnsi="VIC"/>
                <w:sz w:val="18"/>
                <w:szCs w:val="18"/>
              </w:rPr>
            </w:pPr>
            <w:r>
              <w:rPr>
                <w:rFonts w:ascii="VIC" w:eastAsia="VIC" w:hAnsi="VIC"/>
                <w:color w:val="000000"/>
                <w:sz w:val="18"/>
              </w:rPr>
              <w:t>11,695</w:t>
            </w:r>
          </w:p>
        </w:tc>
        <w:tc>
          <w:tcPr>
            <w:tcW w:w="1449" w:type="dxa"/>
            <w:shd w:val="clear" w:color="auto" w:fill="BFCED6"/>
            <w:vAlign w:val="center"/>
          </w:tcPr>
          <w:p w14:paraId="2F526928" w14:textId="7931645D" w:rsidR="00FB73F4" w:rsidRPr="005F536D" w:rsidRDefault="00FB73F4" w:rsidP="00FB73F4">
            <w:pPr>
              <w:jc w:val="right"/>
              <w:rPr>
                <w:rFonts w:ascii="VIC" w:hAnsi="VIC"/>
                <w:sz w:val="18"/>
                <w:szCs w:val="18"/>
              </w:rPr>
            </w:pPr>
            <w:r>
              <w:rPr>
                <w:rFonts w:ascii="VIC" w:eastAsia="VIC" w:hAnsi="VIC"/>
                <w:color w:val="000000"/>
                <w:sz w:val="18"/>
              </w:rPr>
              <w:t>20,056</w:t>
            </w:r>
          </w:p>
        </w:tc>
        <w:tc>
          <w:tcPr>
            <w:tcW w:w="1449" w:type="dxa"/>
            <w:shd w:val="clear" w:color="auto" w:fill="BFCED6"/>
            <w:vAlign w:val="center"/>
          </w:tcPr>
          <w:p w14:paraId="0798F150" w14:textId="536599AA"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116E2C02" w14:textId="174DD27D" w:rsidR="00FB73F4" w:rsidRPr="00650FED" w:rsidRDefault="00FB73F4" w:rsidP="00FB73F4">
            <w:pPr>
              <w:jc w:val="right"/>
              <w:rPr>
                <w:rFonts w:ascii="VIC" w:hAnsi="VIC"/>
                <w:color w:val="FF0000"/>
                <w:sz w:val="18"/>
                <w:szCs w:val="18"/>
              </w:rPr>
            </w:pPr>
            <w:r>
              <w:rPr>
                <w:rFonts w:ascii="VIC" w:eastAsia="VIC" w:hAnsi="VIC"/>
                <w:color w:val="008000"/>
                <w:sz w:val="18"/>
              </w:rPr>
              <w:t>58%</w:t>
            </w:r>
          </w:p>
        </w:tc>
      </w:tr>
      <w:tr w:rsidR="00FB73F4" w:rsidRPr="00A6366B" w14:paraId="41A82BB9" w14:textId="77777777" w:rsidTr="00FB73F4">
        <w:trPr>
          <w:trHeight w:val="340"/>
        </w:trPr>
        <w:tc>
          <w:tcPr>
            <w:tcW w:w="2704" w:type="dxa"/>
            <w:shd w:val="clear" w:color="auto" w:fill="FFFFFF" w:themeFill="background1"/>
            <w:tcMar>
              <w:left w:w="57" w:type="dxa"/>
            </w:tcMar>
            <w:vAlign w:val="center"/>
          </w:tcPr>
          <w:p w14:paraId="386AF5D0" w14:textId="3D85E396"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Western Health</w:t>
            </w:r>
            <w:r w:rsidR="00AD7EDF">
              <w:rPr>
                <w:rFonts w:ascii="VIC" w:eastAsia="VIC" w:hAnsi="VIC"/>
                <w:color w:val="000000"/>
                <w:sz w:val="18"/>
              </w:rPr>
              <w:t>†</w:t>
            </w:r>
          </w:p>
        </w:tc>
        <w:tc>
          <w:tcPr>
            <w:tcW w:w="1449" w:type="dxa"/>
            <w:shd w:val="clear" w:color="auto" w:fill="FFFFFF" w:themeFill="background1"/>
            <w:vAlign w:val="center"/>
          </w:tcPr>
          <w:p w14:paraId="7A64EFD8" w14:textId="4FCE0553" w:rsidR="00FB73F4" w:rsidRPr="00650FED" w:rsidRDefault="00FB73F4" w:rsidP="00FB73F4">
            <w:pPr>
              <w:jc w:val="right"/>
              <w:rPr>
                <w:rFonts w:ascii="VIC" w:hAnsi="VIC"/>
                <w:sz w:val="18"/>
                <w:szCs w:val="18"/>
              </w:rPr>
            </w:pPr>
            <w:r>
              <w:rPr>
                <w:rFonts w:ascii="VIC" w:eastAsia="VIC" w:hAnsi="VIC"/>
                <w:color w:val="000000"/>
                <w:sz w:val="18"/>
              </w:rPr>
              <w:t>14,545</w:t>
            </w:r>
          </w:p>
        </w:tc>
        <w:tc>
          <w:tcPr>
            <w:tcW w:w="1449" w:type="dxa"/>
            <w:shd w:val="clear" w:color="auto" w:fill="FFFFFF" w:themeFill="background1"/>
            <w:vAlign w:val="center"/>
          </w:tcPr>
          <w:p w14:paraId="0D523605" w14:textId="36E7B9CC" w:rsidR="00FB73F4" w:rsidRPr="00650FED" w:rsidRDefault="00FB73F4" w:rsidP="00FB73F4">
            <w:pPr>
              <w:jc w:val="right"/>
              <w:rPr>
                <w:rFonts w:ascii="VIC" w:hAnsi="VIC"/>
                <w:sz w:val="18"/>
                <w:szCs w:val="18"/>
              </w:rPr>
            </w:pPr>
            <w:r>
              <w:rPr>
                <w:rFonts w:ascii="VIC" w:eastAsia="VIC" w:hAnsi="VIC"/>
                <w:color w:val="000000"/>
                <w:sz w:val="18"/>
              </w:rPr>
              <w:t>30,134</w:t>
            </w:r>
          </w:p>
        </w:tc>
        <w:tc>
          <w:tcPr>
            <w:tcW w:w="1449" w:type="dxa"/>
            <w:shd w:val="clear" w:color="auto" w:fill="FFFFFF" w:themeFill="background1"/>
            <w:vAlign w:val="center"/>
          </w:tcPr>
          <w:p w14:paraId="25EF1DBB" w14:textId="2DB516CC" w:rsidR="00FB73F4" w:rsidRPr="005F536D" w:rsidRDefault="00FB73F4" w:rsidP="00FB73F4">
            <w:pPr>
              <w:jc w:val="right"/>
              <w:rPr>
                <w:rFonts w:ascii="VIC" w:hAnsi="VIC"/>
                <w:sz w:val="18"/>
                <w:szCs w:val="18"/>
              </w:rPr>
            </w:pPr>
            <w:r>
              <w:rPr>
                <w:rFonts w:ascii="VIC" w:eastAsia="VIC" w:hAnsi="VIC"/>
                <w:color w:val="000000"/>
                <w:sz w:val="18"/>
              </w:rPr>
              <w:t>78,386</w:t>
            </w:r>
          </w:p>
        </w:tc>
        <w:tc>
          <w:tcPr>
            <w:tcW w:w="1449" w:type="dxa"/>
            <w:shd w:val="clear" w:color="auto" w:fill="FFFFFF" w:themeFill="background1"/>
            <w:vAlign w:val="center"/>
          </w:tcPr>
          <w:p w14:paraId="61546673" w14:textId="4BA90C6D"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7DEB299B" w14:textId="1033D591" w:rsidR="00FB73F4" w:rsidRPr="00650FED" w:rsidRDefault="00FB73F4" w:rsidP="00FB73F4">
            <w:pPr>
              <w:jc w:val="right"/>
              <w:rPr>
                <w:rFonts w:ascii="VIC" w:hAnsi="VIC"/>
                <w:color w:val="FF0000"/>
                <w:sz w:val="18"/>
                <w:szCs w:val="18"/>
              </w:rPr>
            </w:pPr>
            <w:r>
              <w:rPr>
                <w:rFonts w:ascii="VIC" w:eastAsia="VIC" w:hAnsi="VIC"/>
                <w:color w:val="FF0000"/>
                <w:sz w:val="18"/>
              </w:rPr>
              <w:t>38%</w:t>
            </w:r>
          </w:p>
        </w:tc>
      </w:tr>
      <w:tr w:rsidR="00FB73F4" w:rsidRPr="00A6366B" w14:paraId="295A79AB" w14:textId="77777777" w:rsidTr="00FB73F4">
        <w:trPr>
          <w:trHeight w:val="340"/>
        </w:trPr>
        <w:tc>
          <w:tcPr>
            <w:tcW w:w="2704" w:type="dxa"/>
            <w:shd w:val="clear" w:color="auto" w:fill="BFCED6"/>
            <w:tcMar>
              <w:left w:w="57" w:type="dxa"/>
            </w:tcMar>
            <w:vAlign w:val="center"/>
          </w:tcPr>
          <w:p w14:paraId="6BA24154" w14:textId="704952D3"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Barwon Health</w:t>
            </w:r>
          </w:p>
        </w:tc>
        <w:tc>
          <w:tcPr>
            <w:tcW w:w="1449" w:type="dxa"/>
            <w:shd w:val="clear" w:color="auto" w:fill="BFCED6"/>
            <w:vAlign w:val="center"/>
          </w:tcPr>
          <w:p w14:paraId="4AB12DA6" w14:textId="33D33B1E" w:rsidR="00FB73F4" w:rsidRPr="00650FED" w:rsidRDefault="00FB73F4" w:rsidP="00FB73F4">
            <w:pPr>
              <w:jc w:val="right"/>
              <w:rPr>
                <w:rFonts w:ascii="VIC" w:hAnsi="VIC"/>
                <w:sz w:val="18"/>
                <w:szCs w:val="18"/>
              </w:rPr>
            </w:pPr>
            <w:r>
              <w:rPr>
                <w:rFonts w:ascii="VIC" w:eastAsia="VIC" w:hAnsi="VIC"/>
                <w:color w:val="000000"/>
                <w:sz w:val="18"/>
              </w:rPr>
              <w:t>24,850</w:t>
            </w:r>
          </w:p>
        </w:tc>
        <w:tc>
          <w:tcPr>
            <w:tcW w:w="1449" w:type="dxa"/>
            <w:shd w:val="clear" w:color="auto" w:fill="BFCED6"/>
            <w:vAlign w:val="center"/>
          </w:tcPr>
          <w:p w14:paraId="0A311625" w14:textId="230DB410" w:rsidR="00FB73F4" w:rsidRPr="00650FED" w:rsidRDefault="00FB73F4" w:rsidP="00FB73F4">
            <w:pPr>
              <w:jc w:val="right"/>
              <w:rPr>
                <w:rFonts w:ascii="VIC" w:hAnsi="VIC"/>
                <w:sz w:val="18"/>
                <w:szCs w:val="18"/>
              </w:rPr>
            </w:pPr>
            <w:r>
              <w:rPr>
                <w:rFonts w:ascii="VIC" w:eastAsia="VIC" w:hAnsi="VIC"/>
                <w:color w:val="000000"/>
                <w:sz w:val="18"/>
              </w:rPr>
              <w:t>50,142</w:t>
            </w:r>
          </w:p>
        </w:tc>
        <w:tc>
          <w:tcPr>
            <w:tcW w:w="1449" w:type="dxa"/>
            <w:shd w:val="clear" w:color="auto" w:fill="BFCED6"/>
            <w:vAlign w:val="center"/>
          </w:tcPr>
          <w:p w14:paraId="182B3EF1" w14:textId="68067AD0" w:rsidR="00FB73F4" w:rsidRPr="005F536D" w:rsidRDefault="00FB73F4" w:rsidP="00FB73F4">
            <w:pPr>
              <w:jc w:val="right"/>
              <w:rPr>
                <w:rFonts w:ascii="VIC" w:hAnsi="VIC"/>
                <w:sz w:val="18"/>
                <w:szCs w:val="18"/>
              </w:rPr>
            </w:pPr>
            <w:r>
              <w:rPr>
                <w:rFonts w:ascii="VIC" w:eastAsia="VIC" w:hAnsi="VIC"/>
                <w:color w:val="000000"/>
                <w:sz w:val="18"/>
              </w:rPr>
              <w:t>100,621</w:t>
            </w:r>
          </w:p>
        </w:tc>
        <w:tc>
          <w:tcPr>
            <w:tcW w:w="1449" w:type="dxa"/>
            <w:shd w:val="clear" w:color="auto" w:fill="BFCED6"/>
            <w:vAlign w:val="center"/>
          </w:tcPr>
          <w:p w14:paraId="4E1A718D" w14:textId="74F18637"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67830B6E" w14:textId="7E2EB68E" w:rsidR="00FB73F4" w:rsidRPr="00650FED" w:rsidRDefault="00FB73F4" w:rsidP="00FB73F4">
            <w:pPr>
              <w:jc w:val="right"/>
              <w:rPr>
                <w:rFonts w:ascii="VIC" w:hAnsi="VIC"/>
                <w:color w:val="FF0000"/>
                <w:sz w:val="18"/>
                <w:szCs w:val="18"/>
              </w:rPr>
            </w:pPr>
            <w:r>
              <w:rPr>
                <w:rFonts w:ascii="VIC" w:eastAsia="VIC" w:hAnsi="VIC"/>
                <w:color w:val="000000"/>
                <w:sz w:val="18"/>
              </w:rPr>
              <w:t>50%</w:t>
            </w:r>
          </w:p>
        </w:tc>
      </w:tr>
      <w:tr w:rsidR="00FB73F4" w:rsidRPr="00A6366B" w14:paraId="1C24BB64" w14:textId="77777777" w:rsidTr="00FB73F4">
        <w:trPr>
          <w:trHeight w:val="340"/>
        </w:trPr>
        <w:tc>
          <w:tcPr>
            <w:tcW w:w="2704" w:type="dxa"/>
            <w:shd w:val="clear" w:color="auto" w:fill="FFFFFF" w:themeFill="background1"/>
            <w:tcMar>
              <w:left w:w="57" w:type="dxa"/>
            </w:tcMar>
            <w:vAlign w:val="center"/>
          </w:tcPr>
          <w:p w14:paraId="0EFA4E85" w14:textId="0FF5CDB6"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Bendigo Health</w:t>
            </w:r>
          </w:p>
        </w:tc>
        <w:tc>
          <w:tcPr>
            <w:tcW w:w="1449" w:type="dxa"/>
            <w:shd w:val="clear" w:color="auto" w:fill="FFFFFF" w:themeFill="background1"/>
            <w:vAlign w:val="center"/>
          </w:tcPr>
          <w:p w14:paraId="33A2FD0A" w14:textId="2845597E" w:rsidR="00FB73F4" w:rsidRPr="00650FED" w:rsidRDefault="00FB73F4" w:rsidP="00FB73F4">
            <w:pPr>
              <w:jc w:val="right"/>
              <w:rPr>
                <w:rFonts w:ascii="VIC" w:hAnsi="VIC"/>
                <w:sz w:val="18"/>
                <w:szCs w:val="18"/>
              </w:rPr>
            </w:pPr>
            <w:r>
              <w:rPr>
                <w:rFonts w:ascii="VIC" w:eastAsia="VIC" w:hAnsi="VIC"/>
                <w:color w:val="000000"/>
                <w:sz w:val="18"/>
              </w:rPr>
              <w:t>23,449</w:t>
            </w:r>
          </w:p>
        </w:tc>
        <w:tc>
          <w:tcPr>
            <w:tcW w:w="1449" w:type="dxa"/>
            <w:shd w:val="clear" w:color="auto" w:fill="FFFFFF" w:themeFill="background1"/>
            <w:vAlign w:val="center"/>
          </w:tcPr>
          <w:p w14:paraId="0ED22F5E" w14:textId="1F743497" w:rsidR="00FB73F4" w:rsidRPr="00650FED" w:rsidRDefault="00FB73F4" w:rsidP="00FB73F4">
            <w:pPr>
              <w:jc w:val="right"/>
              <w:rPr>
                <w:rFonts w:ascii="VIC" w:hAnsi="VIC"/>
                <w:sz w:val="18"/>
                <w:szCs w:val="18"/>
              </w:rPr>
            </w:pPr>
            <w:r>
              <w:rPr>
                <w:rFonts w:ascii="VIC" w:eastAsia="VIC" w:hAnsi="VIC"/>
                <w:color w:val="000000"/>
                <w:sz w:val="18"/>
              </w:rPr>
              <w:t>47,718</w:t>
            </w:r>
          </w:p>
        </w:tc>
        <w:tc>
          <w:tcPr>
            <w:tcW w:w="1449" w:type="dxa"/>
            <w:shd w:val="clear" w:color="auto" w:fill="FFFFFF" w:themeFill="background1"/>
            <w:vAlign w:val="center"/>
          </w:tcPr>
          <w:p w14:paraId="306FEE9C" w14:textId="00B77CCC" w:rsidR="00FB73F4" w:rsidRPr="005F536D" w:rsidRDefault="00FB73F4" w:rsidP="00FB73F4">
            <w:pPr>
              <w:jc w:val="right"/>
              <w:rPr>
                <w:rFonts w:ascii="VIC" w:hAnsi="VIC"/>
                <w:sz w:val="18"/>
                <w:szCs w:val="18"/>
              </w:rPr>
            </w:pPr>
            <w:r>
              <w:rPr>
                <w:rFonts w:ascii="VIC" w:eastAsia="VIC" w:hAnsi="VIC"/>
                <w:color w:val="000000"/>
                <w:sz w:val="18"/>
              </w:rPr>
              <w:t>94,274</w:t>
            </w:r>
          </w:p>
        </w:tc>
        <w:tc>
          <w:tcPr>
            <w:tcW w:w="1449" w:type="dxa"/>
            <w:shd w:val="clear" w:color="auto" w:fill="FFFFFF" w:themeFill="background1"/>
            <w:vAlign w:val="center"/>
          </w:tcPr>
          <w:p w14:paraId="512198C2" w14:textId="3513D2DF"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10EE2C43" w14:textId="674D7B74" w:rsidR="00FB73F4" w:rsidRPr="00650FED" w:rsidRDefault="00FB73F4" w:rsidP="00FB73F4">
            <w:pPr>
              <w:jc w:val="right"/>
              <w:rPr>
                <w:rFonts w:ascii="VIC" w:hAnsi="VIC"/>
                <w:color w:val="FF0000"/>
                <w:sz w:val="18"/>
                <w:szCs w:val="18"/>
              </w:rPr>
            </w:pPr>
            <w:r>
              <w:rPr>
                <w:rFonts w:ascii="VIC" w:eastAsia="VIC" w:hAnsi="VIC"/>
                <w:color w:val="000000"/>
                <w:sz w:val="18"/>
              </w:rPr>
              <w:t>51%</w:t>
            </w:r>
          </w:p>
        </w:tc>
      </w:tr>
      <w:tr w:rsidR="00FB73F4" w:rsidRPr="00A6366B" w14:paraId="081419F0" w14:textId="77777777" w:rsidTr="00FB73F4">
        <w:trPr>
          <w:trHeight w:val="340"/>
        </w:trPr>
        <w:tc>
          <w:tcPr>
            <w:tcW w:w="2704" w:type="dxa"/>
            <w:shd w:val="clear" w:color="auto" w:fill="BFCED6"/>
            <w:tcMar>
              <w:left w:w="57" w:type="dxa"/>
            </w:tcMar>
            <w:vAlign w:val="center"/>
          </w:tcPr>
          <w:p w14:paraId="4835B5E2" w14:textId="597D73D5"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Goulburn Valley Health</w:t>
            </w:r>
          </w:p>
        </w:tc>
        <w:tc>
          <w:tcPr>
            <w:tcW w:w="1449" w:type="dxa"/>
            <w:shd w:val="clear" w:color="auto" w:fill="BFCED6"/>
            <w:vAlign w:val="center"/>
          </w:tcPr>
          <w:p w14:paraId="4F8F6EAD" w14:textId="63A0A830" w:rsidR="00FB73F4" w:rsidRPr="00650FED" w:rsidRDefault="00FB73F4" w:rsidP="00FB73F4">
            <w:pPr>
              <w:jc w:val="right"/>
              <w:rPr>
                <w:rFonts w:ascii="VIC" w:hAnsi="VIC"/>
                <w:sz w:val="18"/>
                <w:szCs w:val="18"/>
              </w:rPr>
            </w:pPr>
            <w:r>
              <w:rPr>
                <w:rFonts w:ascii="VIC" w:eastAsia="VIC" w:hAnsi="VIC"/>
                <w:color w:val="000000"/>
                <w:sz w:val="18"/>
              </w:rPr>
              <w:t>12,055</w:t>
            </w:r>
          </w:p>
        </w:tc>
        <w:tc>
          <w:tcPr>
            <w:tcW w:w="1449" w:type="dxa"/>
            <w:shd w:val="clear" w:color="auto" w:fill="BFCED6"/>
            <w:vAlign w:val="center"/>
          </w:tcPr>
          <w:p w14:paraId="4C95B8F1" w14:textId="7D9AAB76" w:rsidR="00FB73F4" w:rsidRPr="00650FED" w:rsidRDefault="00FB73F4" w:rsidP="00FB73F4">
            <w:pPr>
              <w:jc w:val="right"/>
              <w:rPr>
                <w:rFonts w:ascii="VIC" w:hAnsi="VIC"/>
                <w:sz w:val="18"/>
                <w:szCs w:val="18"/>
              </w:rPr>
            </w:pPr>
            <w:r>
              <w:rPr>
                <w:rFonts w:ascii="VIC" w:eastAsia="VIC" w:hAnsi="VIC"/>
                <w:color w:val="000000"/>
                <w:sz w:val="18"/>
              </w:rPr>
              <w:t>24,715</w:t>
            </w:r>
          </w:p>
        </w:tc>
        <w:tc>
          <w:tcPr>
            <w:tcW w:w="1449" w:type="dxa"/>
            <w:shd w:val="clear" w:color="auto" w:fill="BFCED6"/>
            <w:vAlign w:val="center"/>
          </w:tcPr>
          <w:p w14:paraId="26E4C414" w14:textId="70AA39AE" w:rsidR="00FB73F4" w:rsidRPr="005F536D" w:rsidRDefault="00FB73F4" w:rsidP="00FB73F4">
            <w:pPr>
              <w:jc w:val="right"/>
              <w:rPr>
                <w:rFonts w:ascii="VIC" w:hAnsi="VIC"/>
                <w:sz w:val="18"/>
                <w:szCs w:val="18"/>
              </w:rPr>
            </w:pPr>
            <w:r>
              <w:rPr>
                <w:rFonts w:ascii="VIC" w:eastAsia="VIC" w:hAnsi="VIC"/>
                <w:color w:val="000000"/>
                <w:sz w:val="18"/>
              </w:rPr>
              <w:t>52,981</w:t>
            </w:r>
          </w:p>
        </w:tc>
        <w:tc>
          <w:tcPr>
            <w:tcW w:w="1449" w:type="dxa"/>
            <w:shd w:val="clear" w:color="auto" w:fill="BFCED6"/>
            <w:vAlign w:val="center"/>
          </w:tcPr>
          <w:p w14:paraId="3142F488" w14:textId="5701439B"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70ABC0E6" w14:textId="0A462650" w:rsidR="00FB73F4" w:rsidRPr="00650FED" w:rsidRDefault="00FB73F4" w:rsidP="00FB73F4">
            <w:pPr>
              <w:jc w:val="right"/>
              <w:rPr>
                <w:rFonts w:ascii="VIC" w:hAnsi="VIC"/>
                <w:color w:val="FF0000"/>
                <w:sz w:val="18"/>
                <w:szCs w:val="18"/>
              </w:rPr>
            </w:pPr>
            <w:r>
              <w:rPr>
                <w:rFonts w:ascii="VIC" w:eastAsia="VIC" w:hAnsi="VIC"/>
                <w:color w:val="000000"/>
                <w:sz w:val="18"/>
              </w:rPr>
              <w:t>47%</w:t>
            </w:r>
          </w:p>
        </w:tc>
      </w:tr>
      <w:tr w:rsidR="00FB73F4" w:rsidRPr="00A6366B" w14:paraId="7C838713" w14:textId="77777777" w:rsidTr="00FB73F4">
        <w:trPr>
          <w:trHeight w:val="340"/>
        </w:trPr>
        <w:tc>
          <w:tcPr>
            <w:tcW w:w="2704" w:type="dxa"/>
            <w:shd w:val="clear" w:color="auto" w:fill="FFFFFF" w:themeFill="background1"/>
            <w:tcMar>
              <w:left w:w="57" w:type="dxa"/>
            </w:tcMar>
            <w:vAlign w:val="center"/>
          </w:tcPr>
          <w:p w14:paraId="0633D2B3" w14:textId="4E562E02"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Grampians Health</w:t>
            </w:r>
          </w:p>
        </w:tc>
        <w:tc>
          <w:tcPr>
            <w:tcW w:w="1449" w:type="dxa"/>
            <w:shd w:val="clear" w:color="auto" w:fill="FFFFFF" w:themeFill="background1"/>
            <w:vAlign w:val="center"/>
          </w:tcPr>
          <w:p w14:paraId="0D26CD96" w14:textId="1B63777B" w:rsidR="00FB73F4" w:rsidRPr="00650FED" w:rsidRDefault="00FB73F4" w:rsidP="00FB73F4">
            <w:pPr>
              <w:jc w:val="right"/>
              <w:rPr>
                <w:rFonts w:ascii="VIC" w:hAnsi="VIC"/>
                <w:sz w:val="18"/>
                <w:szCs w:val="18"/>
              </w:rPr>
            </w:pPr>
            <w:r>
              <w:rPr>
                <w:rFonts w:ascii="VIC" w:eastAsia="VIC" w:hAnsi="VIC"/>
                <w:color w:val="000000"/>
                <w:sz w:val="18"/>
              </w:rPr>
              <w:t>15,808</w:t>
            </w:r>
          </w:p>
        </w:tc>
        <w:tc>
          <w:tcPr>
            <w:tcW w:w="1449" w:type="dxa"/>
            <w:shd w:val="clear" w:color="auto" w:fill="FFFFFF" w:themeFill="background1"/>
            <w:vAlign w:val="center"/>
          </w:tcPr>
          <w:p w14:paraId="24A99B95" w14:textId="6745D5A1" w:rsidR="00FB73F4" w:rsidRPr="00650FED" w:rsidRDefault="00FB73F4" w:rsidP="00FB73F4">
            <w:pPr>
              <w:jc w:val="right"/>
              <w:rPr>
                <w:rFonts w:ascii="VIC" w:hAnsi="VIC"/>
                <w:sz w:val="18"/>
                <w:szCs w:val="18"/>
              </w:rPr>
            </w:pPr>
            <w:r>
              <w:rPr>
                <w:rFonts w:ascii="VIC" w:eastAsia="VIC" w:hAnsi="VIC"/>
                <w:color w:val="000000"/>
                <w:sz w:val="18"/>
              </w:rPr>
              <w:t>31,768</w:t>
            </w:r>
          </w:p>
        </w:tc>
        <w:tc>
          <w:tcPr>
            <w:tcW w:w="1449" w:type="dxa"/>
            <w:shd w:val="clear" w:color="auto" w:fill="FFFFFF" w:themeFill="background1"/>
            <w:vAlign w:val="center"/>
          </w:tcPr>
          <w:p w14:paraId="19C25D6D" w14:textId="6C3CFEFA" w:rsidR="00FB73F4" w:rsidRPr="005F536D" w:rsidRDefault="00FB73F4" w:rsidP="00FB73F4">
            <w:pPr>
              <w:jc w:val="right"/>
              <w:rPr>
                <w:rFonts w:ascii="VIC" w:hAnsi="VIC"/>
                <w:sz w:val="18"/>
                <w:szCs w:val="18"/>
              </w:rPr>
            </w:pPr>
            <w:r>
              <w:rPr>
                <w:rFonts w:ascii="VIC" w:eastAsia="VIC" w:hAnsi="VIC"/>
                <w:color w:val="000000"/>
                <w:sz w:val="18"/>
              </w:rPr>
              <w:t>76,320</w:t>
            </w:r>
          </w:p>
        </w:tc>
        <w:tc>
          <w:tcPr>
            <w:tcW w:w="1449" w:type="dxa"/>
            <w:shd w:val="clear" w:color="auto" w:fill="FFFFFF" w:themeFill="background1"/>
            <w:vAlign w:val="center"/>
          </w:tcPr>
          <w:p w14:paraId="5086DE36" w14:textId="0F664DCA"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61079F9F" w14:textId="5052FD36" w:rsidR="00FB73F4" w:rsidRPr="00650FED" w:rsidRDefault="00FB73F4" w:rsidP="00FB73F4">
            <w:pPr>
              <w:jc w:val="right"/>
              <w:rPr>
                <w:rFonts w:ascii="VIC" w:hAnsi="VIC"/>
                <w:color w:val="FF0000"/>
                <w:sz w:val="18"/>
                <w:szCs w:val="18"/>
              </w:rPr>
            </w:pPr>
            <w:r>
              <w:rPr>
                <w:rFonts w:ascii="VIC" w:eastAsia="VIC" w:hAnsi="VIC"/>
                <w:color w:val="FF0000"/>
                <w:sz w:val="18"/>
              </w:rPr>
              <w:t>42%</w:t>
            </w:r>
          </w:p>
        </w:tc>
      </w:tr>
      <w:tr w:rsidR="00FB73F4" w:rsidRPr="00A6366B" w14:paraId="1EA31AC9" w14:textId="77777777" w:rsidTr="00FB73F4">
        <w:trPr>
          <w:trHeight w:val="340"/>
        </w:trPr>
        <w:tc>
          <w:tcPr>
            <w:tcW w:w="2704" w:type="dxa"/>
            <w:shd w:val="clear" w:color="auto" w:fill="BFCED6"/>
            <w:tcMar>
              <w:left w:w="57" w:type="dxa"/>
            </w:tcMar>
            <w:vAlign w:val="center"/>
          </w:tcPr>
          <w:p w14:paraId="5CE1EED1" w14:textId="54366EFB"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Latrobe Regional</w:t>
            </w:r>
          </w:p>
        </w:tc>
        <w:tc>
          <w:tcPr>
            <w:tcW w:w="1449" w:type="dxa"/>
            <w:shd w:val="clear" w:color="auto" w:fill="BFCED6"/>
            <w:vAlign w:val="center"/>
          </w:tcPr>
          <w:p w14:paraId="6293BF23" w14:textId="4EE8ADFA" w:rsidR="00FB73F4" w:rsidRPr="00650FED" w:rsidRDefault="00FB73F4" w:rsidP="00FB73F4">
            <w:pPr>
              <w:jc w:val="right"/>
              <w:rPr>
                <w:rFonts w:ascii="VIC" w:hAnsi="VIC"/>
                <w:sz w:val="18"/>
                <w:szCs w:val="18"/>
              </w:rPr>
            </w:pPr>
            <w:r>
              <w:rPr>
                <w:rFonts w:ascii="VIC" w:eastAsia="VIC" w:hAnsi="VIC"/>
                <w:color w:val="000000"/>
                <w:sz w:val="18"/>
              </w:rPr>
              <w:t>19,691</w:t>
            </w:r>
          </w:p>
        </w:tc>
        <w:tc>
          <w:tcPr>
            <w:tcW w:w="1449" w:type="dxa"/>
            <w:shd w:val="clear" w:color="auto" w:fill="BFCED6"/>
            <w:vAlign w:val="center"/>
          </w:tcPr>
          <w:p w14:paraId="59187B2E" w14:textId="05770325" w:rsidR="00FB73F4" w:rsidRPr="00650FED" w:rsidRDefault="00FB73F4" w:rsidP="00FB73F4">
            <w:pPr>
              <w:jc w:val="right"/>
              <w:rPr>
                <w:rFonts w:ascii="VIC" w:hAnsi="VIC"/>
                <w:sz w:val="18"/>
                <w:szCs w:val="18"/>
              </w:rPr>
            </w:pPr>
            <w:r>
              <w:rPr>
                <w:rFonts w:ascii="VIC" w:eastAsia="VIC" w:hAnsi="VIC"/>
                <w:color w:val="000000"/>
                <w:sz w:val="18"/>
              </w:rPr>
              <w:t>38,400</w:t>
            </w:r>
          </w:p>
        </w:tc>
        <w:tc>
          <w:tcPr>
            <w:tcW w:w="1449" w:type="dxa"/>
            <w:shd w:val="clear" w:color="auto" w:fill="BFCED6"/>
            <w:vAlign w:val="center"/>
          </w:tcPr>
          <w:p w14:paraId="1B3A68E8" w14:textId="7E374F34" w:rsidR="00FB73F4" w:rsidRPr="005F536D" w:rsidRDefault="00FB73F4" w:rsidP="00FB73F4">
            <w:pPr>
              <w:jc w:val="right"/>
              <w:rPr>
                <w:rFonts w:ascii="VIC" w:hAnsi="VIC"/>
                <w:sz w:val="18"/>
                <w:szCs w:val="18"/>
              </w:rPr>
            </w:pPr>
            <w:r>
              <w:rPr>
                <w:rFonts w:ascii="VIC" w:eastAsia="VIC" w:hAnsi="VIC"/>
                <w:color w:val="000000"/>
                <w:sz w:val="18"/>
              </w:rPr>
              <w:t>89,422</w:t>
            </w:r>
          </w:p>
        </w:tc>
        <w:tc>
          <w:tcPr>
            <w:tcW w:w="1449" w:type="dxa"/>
            <w:shd w:val="clear" w:color="auto" w:fill="BFCED6"/>
            <w:vAlign w:val="center"/>
          </w:tcPr>
          <w:p w14:paraId="2AD753EA" w14:textId="6AA023C8"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21BB045D" w14:textId="28ECCF99" w:rsidR="00FB73F4" w:rsidRPr="00650FED" w:rsidRDefault="00FB73F4" w:rsidP="00FB73F4">
            <w:pPr>
              <w:jc w:val="right"/>
              <w:rPr>
                <w:rFonts w:ascii="VIC" w:hAnsi="VIC"/>
                <w:color w:val="FF0000"/>
                <w:sz w:val="18"/>
                <w:szCs w:val="18"/>
              </w:rPr>
            </w:pPr>
            <w:r>
              <w:rPr>
                <w:rFonts w:ascii="VIC" w:eastAsia="VIC" w:hAnsi="VIC"/>
                <w:color w:val="FF0000"/>
                <w:sz w:val="18"/>
              </w:rPr>
              <w:t>43%</w:t>
            </w:r>
          </w:p>
        </w:tc>
      </w:tr>
      <w:tr w:rsidR="00FB73F4" w:rsidRPr="00A6366B" w14:paraId="55DF8249" w14:textId="77777777" w:rsidTr="00FB73F4">
        <w:trPr>
          <w:trHeight w:val="340"/>
        </w:trPr>
        <w:tc>
          <w:tcPr>
            <w:tcW w:w="2704" w:type="dxa"/>
            <w:shd w:val="clear" w:color="auto" w:fill="FFFFFF" w:themeFill="background1"/>
            <w:tcMar>
              <w:left w:w="57" w:type="dxa"/>
            </w:tcMar>
            <w:vAlign w:val="center"/>
          </w:tcPr>
          <w:p w14:paraId="724750EE" w14:textId="58C5FEF2" w:rsidR="00FB73F4" w:rsidRDefault="00FB73F4" w:rsidP="00FB73F4">
            <w:pPr>
              <w:pStyle w:val="DHHStabletext"/>
              <w:spacing w:before="0" w:after="0"/>
              <w:rPr>
                <w:rFonts w:ascii="VIC" w:eastAsia="Verdana" w:hAnsi="VIC"/>
                <w:color w:val="000000"/>
                <w:sz w:val="18"/>
                <w:szCs w:val="18"/>
              </w:rPr>
            </w:pPr>
            <w:r>
              <w:rPr>
                <w:rFonts w:ascii="VIC" w:eastAsia="VIC" w:hAnsi="VIC"/>
                <w:color w:val="000000"/>
                <w:sz w:val="18"/>
              </w:rPr>
              <w:t>Mildura Base Hospital</w:t>
            </w:r>
          </w:p>
        </w:tc>
        <w:tc>
          <w:tcPr>
            <w:tcW w:w="1449" w:type="dxa"/>
            <w:shd w:val="clear" w:color="auto" w:fill="FFFFFF" w:themeFill="background1"/>
            <w:vAlign w:val="center"/>
          </w:tcPr>
          <w:p w14:paraId="34F8B857" w14:textId="45E3B0FA" w:rsidR="00FB73F4" w:rsidRPr="00650FED" w:rsidRDefault="00FB73F4" w:rsidP="00FB73F4">
            <w:pPr>
              <w:tabs>
                <w:tab w:val="left" w:pos="1365"/>
              </w:tabs>
              <w:jc w:val="right"/>
              <w:rPr>
                <w:rFonts w:ascii="VIC" w:hAnsi="VIC"/>
                <w:sz w:val="18"/>
                <w:szCs w:val="18"/>
              </w:rPr>
            </w:pPr>
            <w:r>
              <w:rPr>
                <w:rFonts w:ascii="VIC" w:eastAsia="VIC" w:hAnsi="VIC"/>
                <w:color w:val="000000"/>
                <w:sz w:val="18"/>
              </w:rPr>
              <w:t>7,711</w:t>
            </w:r>
          </w:p>
        </w:tc>
        <w:tc>
          <w:tcPr>
            <w:tcW w:w="1449" w:type="dxa"/>
            <w:shd w:val="clear" w:color="auto" w:fill="FFFFFF" w:themeFill="background1"/>
            <w:vAlign w:val="center"/>
          </w:tcPr>
          <w:p w14:paraId="44C4C170" w14:textId="0CA1138B" w:rsidR="00FB73F4" w:rsidRPr="00650FED" w:rsidRDefault="00FB73F4" w:rsidP="00FB73F4">
            <w:pPr>
              <w:jc w:val="right"/>
              <w:rPr>
                <w:rFonts w:ascii="VIC" w:hAnsi="VIC"/>
                <w:sz w:val="18"/>
                <w:szCs w:val="18"/>
              </w:rPr>
            </w:pPr>
            <w:r>
              <w:rPr>
                <w:rFonts w:ascii="VIC" w:eastAsia="VIC" w:hAnsi="VIC"/>
                <w:color w:val="000000"/>
                <w:sz w:val="18"/>
              </w:rPr>
              <w:t>14,699</w:t>
            </w:r>
          </w:p>
        </w:tc>
        <w:tc>
          <w:tcPr>
            <w:tcW w:w="1449" w:type="dxa"/>
            <w:shd w:val="clear" w:color="auto" w:fill="FFFFFF" w:themeFill="background1"/>
            <w:vAlign w:val="center"/>
          </w:tcPr>
          <w:p w14:paraId="4B3DCBBD" w14:textId="6701B627" w:rsidR="00FB73F4" w:rsidRPr="005F536D" w:rsidRDefault="00FB73F4" w:rsidP="00FB73F4">
            <w:pPr>
              <w:jc w:val="right"/>
              <w:rPr>
                <w:rFonts w:ascii="VIC" w:hAnsi="VIC"/>
                <w:sz w:val="18"/>
                <w:szCs w:val="18"/>
              </w:rPr>
            </w:pPr>
            <w:r>
              <w:rPr>
                <w:rFonts w:ascii="VIC" w:eastAsia="VIC" w:hAnsi="VIC"/>
                <w:color w:val="000000"/>
                <w:sz w:val="18"/>
              </w:rPr>
              <w:t>31,114</w:t>
            </w:r>
          </w:p>
        </w:tc>
        <w:tc>
          <w:tcPr>
            <w:tcW w:w="1449" w:type="dxa"/>
            <w:shd w:val="clear" w:color="auto" w:fill="FFFFFF" w:themeFill="background1"/>
            <w:vAlign w:val="center"/>
          </w:tcPr>
          <w:p w14:paraId="1CBDFAA3" w14:textId="68DBE036"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3F45050C" w14:textId="2A1524B3" w:rsidR="00FB73F4" w:rsidRPr="00650FED" w:rsidRDefault="00FB73F4" w:rsidP="00FB73F4">
            <w:pPr>
              <w:jc w:val="right"/>
              <w:rPr>
                <w:rFonts w:ascii="VIC" w:hAnsi="VIC"/>
                <w:color w:val="FF0000"/>
                <w:sz w:val="18"/>
                <w:szCs w:val="18"/>
              </w:rPr>
            </w:pPr>
            <w:r>
              <w:rPr>
                <w:rFonts w:ascii="VIC" w:eastAsia="VIC" w:hAnsi="VIC"/>
                <w:color w:val="000000"/>
                <w:sz w:val="18"/>
              </w:rPr>
              <w:t>47%</w:t>
            </w:r>
          </w:p>
        </w:tc>
      </w:tr>
      <w:tr w:rsidR="00FB73F4" w:rsidRPr="00A6366B" w14:paraId="0DA71BD1" w14:textId="77777777" w:rsidTr="00FB73F4">
        <w:trPr>
          <w:trHeight w:val="340"/>
        </w:trPr>
        <w:tc>
          <w:tcPr>
            <w:tcW w:w="2704" w:type="dxa"/>
            <w:shd w:val="clear" w:color="auto" w:fill="BFCED6"/>
            <w:tcMar>
              <w:left w:w="57" w:type="dxa"/>
            </w:tcMar>
            <w:vAlign w:val="center"/>
          </w:tcPr>
          <w:p w14:paraId="6E0C20DB" w14:textId="2C4BE69E" w:rsidR="00FB73F4" w:rsidRPr="00382424" w:rsidRDefault="00FB73F4" w:rsidP="00FB73F4">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1449" w:type="dxa"/>
            <w:shd w:val="clear" w:color="auto" w:fill="BFCED6"/>
            <w:vAlign w:val="center"/>
          </w:tcPr>
          <w:p w14:paraId="62556D43" w14:textId="3DDCDB3D" w:rsidR="00FB73F4" w:rsidRPr="00650FED" w:rsidRDefault="00FB73F4" w:rsidP="00FB73F4">
            <w:pPr>
              <w:jc w:val="right"/>
              <w:rPr>
                <w:rFonts w:ascii="VIC" w:hAnsi="VIC"/>
                <w:sz w:val="18"/>
                <w:szCs w:val="18"/>
              </w:rPr>
            </w:pPr>
            <w:r>
              <w:rPr>
                <w:rFonts w:ascii="VIC" w:eastAsia="VIC" w:hAnsi="VIC"/>
                <w:color w:val="000000"/>
                <w:sz w:val="18"/>
              </w:rPr>
              <w:t>10,241</w:t>
            </w:r>
          </w:p>
        </w:tc>
        <w:tc>
          <w:tcPr>
            <w:tcW w:w="1449" w:type="dxa"/>
            <w:shd w:val="clear" w:color="auto" w:fill="BFCED6"/>
            <w:vAlign w:val="center"/>
          </w:tcPr>
          <w:p w14:paraId="024D9F5A" w14:textId="749E0478" w:rsidR="00FB73F4" w:rsidRPr="00650FED" w:rsidRDefault="00FB73F4" w:rsidP="00FB73F4">
            <w:pPr>
              <w:jc w:val="right"/>
              <w:rPr>
                <w:rFonts w:ascii="VIC" w:hAnsi="VIC"/>
                <w:sz w:val="18"/>
                <w:szCs w:val="18"/>
              </w:rPr>
            </w:pPr>
            <w:r>
              <w:rPr>
                <w:rFonts w:ascii="VIC" w:eastAsia="VIC" w:hAnsi="VIC"/>
                <w:color w:val="000000"/>
                <w:sz w:val="18"/>
              </w:rPr>
              <w:t>20,171</w:t>
            </w:r>
          </w:p>
        </w:tc>
        <w:tc>
          <w:tcPr>
            <w:tcW w:w="1449" w:type="dxa"/>
            <w:shd w:val="clear" w:color="auto" w:fill="BFCED6"/>
            <w:vAlign w:val="center"/>
          </w:tcPr>
          <w:p w14:paraId="76E6E468" w14:textId="2A21130A" w:rsidR="00FB73F4" w:rsidRPr="005F536D" w:rsidRDefault="00FB73F4" w:rsidP="00FB73F4">
            <w:pPr>
              <w:jc w:val="right"/>
              <w:rPr>
                <w:rFonts w:ascii="VIC" w:hAnsi="VIC"/>
                <w:sz w:val="18"/>
                <w:szCs w:val="18"/>
              </w:rPr>
            </w:pPr>
            <w:r>
              <w:rPr>
                <w:rFonts w:ascii="VIC" w:eastAsia="VIC" w:hAnsi="VIC"/>
                <w:color w:val="000000"/>
                <w:sz w:val="18"/>
              </w:rPr>
              <w:t>45,593</w:t>
            </w:r>
          </w:p>
        </w:tc>
        <w:tc>
          <w:tcPr>
            <w:tcW w:w="1449" w:type="dxa"/>
            <w:shd w:val="clear" w:color="auto" w:fill="BFCED6"/>
            <w:vAlign w:val="center"/>
          </w:tcPr>
          <w:p w14:paraId="12D56A24" w14:textId="5C3CC538" w:rsidR="00FB73F4" w:rsidRPr="005F536D" w:rsidRDefault="00FB73F4" w:rsidP="00FB73F4">
            <w:pPr>
              <w:jc w:val="right"/>
              <w:rPr>
                <w:rFonts w:ascii="VIC" w:hAnsi="VIC"/>
                <w:sz w:val="18"/>
                <w:szCs w:val="18"/>
              </w:rPr>
            </w:pPr>
            <w:r w:rsidRPr="00D978C3">
              <w:rPr>
                <w:rFonts w:ascii="VIC" w:hAnsi="VIC" w:cs="Calibri"/>
                <w:color w:val="000000"/>
                <w:sz w:val="18"/>
                <w:szCs w:val="18"/>
              </w:rPr>
              <w:t>50%</w:t>
            </w:r>
          </w:p>
        </w:tc>
        <w:tc>
          <w:tcPr>
            <w:tcW w:w="1449" w:type="dxa"/>
            <w:shd w:val="clear" w:color="auto" w:fill="BFCED6"/>
            <w:tcMar>
              <w:bottom w:w="0" w:type="dxa"/>
              <w:right w:w="57" w:type="dxa"/>
            </w:tcMar>
            <w:vAlign w:val="center"/>
          </w:tcPr>
          <w:p w14:paraId="205590F7" w14:textId="5A89E1A5" w:rsidR="00FB73F4" w:rsidRPr="00650FED" w:rsidRDefault="00FB73F4" w:rsidP="00FB73F4">
            <w:pPr>
              <w:jc w:val="right"/>
              <w:rPr>
                <w:rFonts w:ascii="VIC" w:hAnsi="VIC"/>
                <w:color w:val="FF0000"/>
                <w:sz w:val="18"/>
                <w:szCs w:val="18"/>
              </w:rPr>
            </w:pPr>
            <w:r>
              <w:rPr>
                <w:rFonts w:ascii="VIC" w:eastAsia="VIC" w:hAnsi="VIC"/>
                <w:color w:val="FF0000"/>
                <w:sz w:val="18"/>
              </w:rPr>
              <w:t>44%</w:t>
            </w:r>
          </w:p>
        </w:tc>
      </w:tr>
      <w:tr w:rsidR="00FB73F4" w:rsidRPr="00A6366B" w14:paraId="5D0FB7C5" w14:textId="77777777" w:rsidTr="00FB73F4">
        <w:trPr>
          <w:trHeight w:val="340"/>
        </w:trPr>
        <w:tc>
          <w:tcPr>
            <w:tcW w:w="2704" w:type="dxa"/>
            <w:shd w:val="clear" w:color="auto" w:fill="auto"/>
            <w:tcMar>
              <w:left w:w="57" w:type="dxa"/>
            </w:tcMar>
            <w:vAlign w:val="center"/>
          </w:tcPr>
          <w:p w14:paraId="3458EA3C" w14:textId="76DB075F" w:rsidR="00FB73F4" w:rsidRDefault="00FB73F4" w:rsidP="00FB73F4">
            <w:pPr>
              <w:pStyle w:val="DHHStabletext"/>
              <w:spacing w:before="0" w:after="0"/>
              <w:rPr>
                <w:rFonts w:ascii="VIC" w:hAnsi="VIC" w:cs="Calibri"/>
                <w:color w:val="000000"/>
                <w:sz w:val="18"/>
                <w:szCs w:val="18"/>
              </w:rPr>
            </w:pPr>
            <w:r>
              <w:rPr>
                <w:rFonts w:ascii="VIC" w:eastAsia="VIC" w:hAnsi="VIC"/>
                <w:color w:val="000000"/>
                <w:sz w:val="18"/>
              </w:rPr>
              <w:t>South West Health</w:t>
            </w:r>
          </w:p>
        </w:tc>
        <w:tc>
          <w:tcPr>
            <w:tcW w:w="1449" w:type="dxa"/>
            <w:shd w:val="clear" w:color="auto" w:fill="auto"/>
            <w:vAlign w:val="center"/>
          </w:tcPr>
          <w:p w14:paraId="521ECEC5" w14:textId="5CD38641" w:rsidR="00FB73F4" w:rsidRDefault="00FB73F4" w:rsidP="00FB73F4">
            <w:pPr>
              <w:jc w:val="right"/>
              <w:rPr>
                <w:rFonts w:ascii="VIC" w:hAnsi="VIC" w:cs="Calibri"/>
                <w:color w:val="000000"/>
                <w:sz w:val="18"/>
                <w:szCs w:val="18"/>
              </w:rPr>
            </w:pPr>
            <w:r>
              <w:rPr>
                <w:rFonts w:ascii="VIC" w:eastAsia="VIC" w:hAnsi="VIC"/>
                <w:color w:val="000000"/>
                <w:sz w:val="18"/>
              </w:rPr>
              <w:t>9,597</w:t>
            </w:r>
          </w:p>
        </w:tc>
        <w:tc>
          <w:tcPr>
            <w:tcW w:w="1449" w:type="dxa"/>
            <w:shd w:val="clear" w:color="auto" w:fill="auto"/>
            <w:vAlign w:val="center"/>
          </w:tcPr>
          <w:p w14:paraId="02EF46A5" w14:textId="6D1E62C2" w:rsidR="00FB73F4" w:rsidRDefault="00FB73F4" w:rsidP="00FB73F4">
            <w:pPr>
              <w:jc w:val="right"/>
              <w:rPr>
                <w:rFonts w:ascii="VIC" w:hAnsi="VIC" w:cs="Calibri"/>
                <w:color w:val="000000"/>
                <w:sz w:val="18"/>
                <w:szCs w:val="18"/>
              </w:rPr>
            </w:pPr>
            <w:r>
              <w:rPr>
                <w:rFonts w:ascii="VIC" w:eastAsia="VIC" w:hAnsi="VIC"/>
                <w:color w:val="000000"/>
                <w:sz w:val="18"/>
              </w:rPr>
              <w:t>19,902</w:t>
            </w:r>
          </w:p>
        </w:tc>
        <w:tc>
          <w:tcPr>
            <w:tcW w:w="1449" w:type="dxa"/>
            <w:shd w:val="clear" w:color="auto" w:fill="auto"/>
            <w:vAlign w:val="center"/>
          </w:tcPr>
          <w:p w14:paraId="3075CAB6" w14:textId="51E43442" w:rsidR="00FB73F4" w:rsidRDefault="00FB73F4" w:rsidP="00FB73F4">
            <w:pPr>
              <w:jc w:val="right"/>
              <w:rPr>
                <w:rFonts w:ascii="VIC" w:hAnsi="VIC" w:cs="Calibri"/>
                <w:color w:val="000000"/>
                <w:sz w:val="18"/>
                <w:szCs w:val="18"/>
              </w:rPr>
            </w:pPr>
            <w:r>
              <w:rPr>
                <w:rFonts w:ascii="VIC" w:eastAsia="VIC" w:hAnsi="VIC"/>
                <w:color w:val="000000"/>
                <w:sz w:val="18"/>
              </w:rPr>
              <w:t>42,646</w:t>
            </w:r>
          </w:p>
        </w:tc>
        <w:tc>
          <w:tcPr>
            <w:tcW w:w="1449" w:type="dxa"/>
            <w:shd w:val="clear" w:color="auto" w:fill="auto"/>
            <w:vAlign w:val="center"/>
          </w:tcPr>
          <w:p w14:paraId="31EE6663" w14:textId="2266D6FA" w:rsidR="00FB73F4" w:rsidRDefault="00FB73F4" w:rsidP="00FB73F4">
            <w:pPr>
              <w:jc w:val="right"/>
              <w:rPr>
                <w:rFonts w:ascii="VIC" w:hAnsi="VIC" w:cs="Calibri"/>
                <w:color w:val="000000"/>
                <w:sz w:val="18"/>
                <w:szCs w:val="18"/>
              </w:rPr>
            </w:pPr>
            <w:r w:rsidRPr="00D978C3">
              <w:rPr>
                <w:rFonts w:ascii="VIC" w:hAnsi="VIC" w:cs="Calibri"/>
                <w:color w:val="000000"/>
                <w:sz w:val="18"/>
                <w:szCs w:val="18"/>
              </w:rPr>
              <w:t>50%</w:t>
            </w:r>
          </w:p>
        </w:tc>
        <w:tc>
          <w:tcPr>
            <w:tcW w:w="1449" w:type="dxa"/>
            <w:shd w:val="clear" w:color="auto" w:fill="auto"/>
            <w:tcMar>
              <w:bottom w:w="0" w:type="dxa"/>
              <w:right w:w="57" w:type="dxa"/>
            </w:tcMar>
            <w:vAlign w:val="center"/>
          </w:tcPr>
          <w:p w14:paraId="21DAAC46" w14:textId="76A24FCE" w:rsidR="00FB73F4" w:rsidRDefault="00FB73F4" w:rsidP="00FB73F4">
            <w:pPr>
              <w:jc w:val="right"/>
              <w:rPr>
                <w:rFonts w:ascii="VIC" w:hAnsi="VIC" w:cs="Calibri"/>
                <w:color w:val="FF0000"/>
                <w:sz w:val="18"/>
                <w:szCs w:val="18"/>
              </w:rPr>
            </w:pPr>
            <w:r>
              <w:rPr>
                <w:rFonts w:ascii="VIC" w:eastAsia="VIC" w:hAnsi="VIC"/>
                <w:color w:val="000000"/>
                <w:sz w:val="18"/>
              </w:rPr>
              <w:t>47%</w:t>
            </w:r>
          </w:p>
        </w:tc>
      </w:tr>
      <w:tr w:rsidR="00FB73F4" w:rsidRPr="00FB73F4" w14:paraId="0E8AD1C9" w14:textId="77777777" w:rsidTr="00FB73F4">
        <w:trPr>
          <w:trHeight w:val="312"/>
        </w:trPr>
        <w:tc>
          <w:tcPr>
            <w:tcW w:w="2704" w:type="dxa"/>
            <w:shd w:val="clear" w:color="auto" w:fill="244C5A"/>
            <w:tcMar>
              <w:left w:w="57" w:type="dxa"/>
            </w:tcMar>
            <w:vAlign w:val="center"/>
          </w:tcPr>
          <w:p w14:paraId="7A961E0E" w14:textId="3F26BD12" w:rsidR="00FB73F4" w:rsidRPr="00FB73F4" w:rsidRDefault="00FB73F4" w:rsidP="00FB73F4">
            <w:pPr>
              <w:pStyle w:val="DHHStabletext"/>
              <w:spacing w:before="0" w:after="0"/>
              <w:rPr>
                <w:rFonts w:ascii="VIC SemiBold" w:eastAsia="Verdana" w:hAnsi="VIC SemiBold" w:cs="Verdana"/>
                <w:bCs/>
                <w:color w:val="FFFFFF" w:themeColor="background1"/>
                <w:sz w:val="18"/>
                <w:szCs w:val="18"/>
              </w:rPr>
            </w:pPr>
            <w:r w:rsidRPr="00FB73F4">
              <w:rPr>
                <w:rFonts w:ascii="VIC SemiBold" w:eastAsia="VIC SemiBold" w:hAnsi="VIC SemiBold"/>
                <w:bCs/>
                <w:color w:val="FFFFFF"/>
                <w:sz w:val="18"/>
              </w:rPr>
              <w:t>TOTAL STATEWIDE</w:t>
            </w:r>
          </w:p>
        </w:tc>
        <w:tc>
          <w:tcPr>
            <w:tcW w:w="1449" w:type="dxa"/>
            <w:shd w:val="clear" w:color="auto" w:fill="244C5A"/>
            <w:vAlign w:val="center"/>
          </w:tcPr>
          <w:p w14:paraId="6C0C02BC" w14:textId="554607B7" w:rsidR="00FB73F4" w:rsidRPr="00FB73F4" w:rsidRDefault="00FB73F4" w:rsidP="00FB73F4">
            <w:pPr>
              <w:jc w:val="right"/>
              <w:rPr>
                <w:rFonts w:ascii="VIC SemiBold" w:hAnsi="VIC SemiBold"/>
                <w:bCs/>
                <w:color w:val="FFFFFF" w:themeColor="background1"/>
                <w:sz w:val="18"/>
                <w:szCs w:val="18"/>
              </w:rPr>
            </w:pPr>
            <w:r w:rsidRPr="00FB73F4">
              <w:rPr>
                <w:rFonts w:ascii="VIC SemiBold" w:eastAsia="VIC SemiBold" w:hAnsi="VIC SemiBold"/>
                <w:bCs/>
                <w:color w:val="FFFFFF"/>
                <w:sz w:val="18"/>
              </w:rPr>
              <w:t>442,355</w:t>
            </w:r>
          </w:p>
        </w:tc>
        <w:tc>
          <w:tcPr>
            <w:tcW w:w="1449" w:type="dxa"/>
            <w:shd w:val="clear" w:color="auto" w:fill="244C5A"/>
            <w:vAlign w:val="center"/>
          </w:tcPr>
          <w:p w14:paraId="23D1C5AF" w14:textId="6C9ED703" w:rsidR="00FB73F4" w:rsidRPr="00FB73F4" w:rsidRDefault="00FB73F4" w:rsidP="00FB73F4">
            <w:pPr>
              <w:jc w:val="right"/>
              <w:rPr>
                <w:rFonts w:ascii="VIC SemiBold" w:hAnsi="VIC SemiBold"/>
                <w:bCs/>
                <w:color w:val="FFFFFF" w:themeColor="background1"/>
                <w:sz w:val="18"/>
                <w:szCs w:val="18"/>
              </w:rPr>
            </w:pPr>
            <w:r w:rsidRPr="00FB73F4">
              <w:rPr>
                <w:rFonts w:ascii="VIC SemiBold" w:eastAsia="VIC SemiBold" w:hAnsi="VIC SemiBold"/>
                <w:bCs/>
                <w:color w:val="FFFFFF"/>
                <w:sz w:val="18"/>
              </w:rPr>
              <w:t>892,184</w:t>
            </w:r>
          </w:p>
        </w:tc>
        <w:tc>
          <w:tcPr>
            <w:tcW w:w="1449" w:type="dxa"/>
            <w:shd w:val="clear" w:color="auto" w:fill="244C5A"/>
            <w:vAlign w:val="center"/>
          </w:tcPr>
          <w:p w14:paraId="419986E4" w14:textId="661614B3" w:rsidR="00FB73F4" w:rsidRPr="00FB73F4" w:rsidRDefault="00FB73F4" w:rsidP="00FB73F4">
            <w:pPr>
              <w:jc w:val="right"/>
              <w:rPr>
                <w:rFonts w:ascii="VIC SemiBold" w:hAnsi="VIC SemiBold"/>
                <w:bCs/>
                <w:color w:val="FFFFFF" w:themeColor="background1"/>
                <w:sz w:val="18"/>
                <w:szCs w:val="18"/>
              </w:rPr>
            </w:pPr>
            <w:r w:rsidRPr="00FB73F4">
              <w:rPr>
                <w:rFonts w:ascii="VIC SemiBold" w:eastAsia="VIC SemiBold" w:hAnsi="VIC SemiBold"/>
                <w:bCs/>
                <w:color w:val="FFFFFF"/>
                <w:sz w:val="18"/>
              </w:rPr>
              <w:t>1,972,780</w:t>
            </w:r>
          </w:p>
        </w:tc>
        <w:tc>
          <w:tcPr>
            <w:tcW w:w="1449" w:type="dxa"/>
            <w:shd w:val="clear" w:color="auto" w:fill="244C5A"/>
            <w:vAlign w:val="center"/>
          </w:tcPr>
          <w:p w14:paraId="39D8BB22" w14:textId="61BB4924" w:rsidR="00FB73F4" w:rsidRPr="00FB73F4" w:rsidRDefault="00FB73F4" w:rsidP="00FB73F4">
            <w:pPr>
              <w:jc w:val="right"/>
              <w:rPr>
                <w:rFonts w:ascii="VIC SemiBold" w:hAnsi="VIC SemiBold"/>
                <w:bCs/>
                <w:color w:val="FFFFFF" w:themeColor="background1"/>
                <w:sz w:val="18"/>
                <w:szCs w:val="18"/>
              </w:rPr>
            </w:pPr>
            <w:r w:rsidRPr="00FB73F4">
              <w:rPr>
                <w:rFonts w:ascii="VIC SemiBold" w:hAnsi="VIC SemiBold" w:cs="Calibri"/>
                <w:bCs/>
                <w:color w:val="FFFFFF"/>
                <w:sz w:val="18"/>
                <w:szCs w:val="18"/>
              </w:rPr>
              <w:t>50%</w:t>
            </w:r>
          </w:p>
        </w:tc>
        <w:tc>
          <w:tcPr>
            <w:tcW w:w="1449" w:type="dxa"/>
            <w:shd w:val="clear" w:color="auto" w:fill="244C5A"/>
            <w:tcMar>
              <w:bottom w:w="0" w:type="dxa"/>
              <w:right w:w="57" w:type="dxa"/>
            </w:tcMar>
            <w:vAlign w:val="center"/>
          </w:tcPr>
          <w:p w14:paraId="4A8FED2E" w14:textId="648E4166" w:rsidR="00FB73F4" w:rsidRPr="00FB73F4" w:rsidRDefault="00FB73F4" w:rsidP="00FB73F4">
            <w:pPr>
              <w:jc w:val="right"/>
              <w:rPr>
                <w:rFonts w:ascii="VIC SemiBold" w:hAnsi="VIC SemiBold"/>
                <w:bCs/>
                <w:color w:val="FF0000"/>
                <w:sz w:val="18"/>
                <w:szCs w:val="18"/>
              </w:rPr>
            </w:pPr>
            <w:r w:rsidRPr="00FB73F4">
              <w:rPr>
                <w:rFonts w:ascii="VIC SemiBold" w:eastAsia="VIC SemiBold" w:hAnsi="VIC SemiBold"/>
                <w:bCs/>
                <w:color w:val="FFFFFF"/>
                <w:sz w:val="18"/>
              </w:rPr>
              <w:t>45%</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1F2626AA" w:rsidR="005C4552" w:rsidRDefault="001D3D32" w:rsidP="006707D9">
      <w:pPr>
        <w:spacing w:before="120" w:after="120"/>
        <w:rPr>
          <w:rFonts w:ascii="VIC" w:hAnsi="VIC"/>
          <w:color w:val="696969"/>
          <w:sz w:val="18"/>
        </w:rPr>
      </w:pPr>
      <w:r>
        <w:rPr>
          <w:rFonts w:ascii="VIC" w:hAnsi="VIC"/>
          <w:color w:val="696969"/>
          <w:sz w:val="18"/>
        </w:rPr>
        <w:t xml:space="preserve">* </w:t>
      </w:r>
      <w:r w:rsidR="00FB73F4" w:rsidRPr="00F40E33">
        <w:rPr>
          <w:rFonts w:ascii="VIC" w:hAnsi="VIC"/>
          <w:color w:val="696969"/>
          <w:sz w:val="18"/>
        </w:rPr>
        <w:t>202</w:t>
      </w:r>
      <w:r w:rsidR="00FB73F4">
        <w:rPr>
          <w:rFonts w:ascii="VIC" w:hAnsi="VIC"/>
          <w:color w:val="696969"/>
          <w:sz w:val="18"/>
        </w:rPr>
        <w:t>3</w:t>
      </w:r>
      <w:r w:rsidR="00FB73F4" w:rsidRPr="000757F0">
        <w:rPr>
          <w:rFonts w:ascii="VIC" w:hAnsi="VIC"/>
          <w:color w:val="696969"/>
          <w:sz w:val="18"/>
        </w:rPr>
        <w:t>–</w:t>
      </w:r>
      <w:r w:rsidR="00FB73F4" w:rsidRPr="00F40E33">
        <w:rPr>
          <w:rFonts w:ascii="VIC" w:hAnsi="VIC"/>
          <w:color w:val="696969"/>
          <w:sz w:val="18"/>
        </w:rPr>
        <w:t>2</w:t>
      </w:r>
      <w:r w:rsidR="00FB73F4">
        <w:rPr>
          <w:rFonts w:ascii="VIC" w:hAnsi="VIC"/>
          <w:color w:val="696969"/>
          <w:sz w:val="18"/>
        </w:rPr>
        <w:t>4</w:t>
      </w:r>
      <w:r w:rsidR="00FB73F4" w:rsidRPr="00F40E33">
        <w:rPr>
          <w:rFonts w:ascii="VIC" w:hAnsi="VIC"/>
          <w:color w:val="696969"/>
          <w:sz w:val="18"/>
        </w:rPr>
        <w:t xml:space="preserve"> targets are under review on the basis of FYTD performance and the need for adjustment to reflect</w:t>
      </w:r>
      <w:r w:rsidR="00FB73F4">
        <w:rPr>
          <w:rFonts w:ascii="VIC" w:hAnsi="VIC"/>
          <w:color w:val="696969"/>
          <w:sz w:val="18"/>
        </w:rPr>
        <w:t xml:space="preserve"> potential</w:t>
      </w:r>
      <w:r w:rsidR="00FB73F4" w:rsidRPr="00F40E33">
        <w:rPr>
          <w:rFonts w:ascii="VIC" w:hAnsi="VIC"/>
          <w:color w:val="696969"/>
          <w:sz w:val="18"/>
        </w:rPr>
        <w:t xml:space="preserve"> 202</w:t>
      </w:r>
      <w:r w:rsidR="00FB73F4">
        <w:rPr>
          <w:rFonts w:ascii="VIC" w:hAnsi="VIC"/>
          <w:color w:val="696969"/>
          <w:sz w:val="18"/>
        </w:rPr>
        <w:t>3</w:t>
      </w:r>
      <w:r w:rsidR="00FB73F4" w:rsidRPr="000757F0">
        <w:rPr>
          <w:rFonts w:ascii="VIC" w:hAnsi="VIC"/>
          <w:color w:val="696969"/>
          <w:sz w:val="18"/>
        </w:rPr>
        <w:t>–</w:t>
      </w:r>
      <w:r w:rsidR="00FB73F4" w:rsidRPr="00F40E33">
        <w:rPr>
          <w:rFonts w:ascii="VIC" w:hAnsi="VIC"/>
          <w:color w:val="696969"/>
          <w:sz w:val="18"/>
        </w:rPr>
        <w:t>2</w:t>
      </w:r>
      <w:r w:rsidR="00FB73F4">
        <w:rPr>
          <w:rFonts w:ascii="VIC" w:hAnsi="VIC"/>
          <w:color w:val="696969"/>
          <w:sz w:val="18"/>
        </w:rPr>
        <w:t>4</w:t>
      </w:r>
      <w:r w:rsidR="00FB73F4" w:rsidRPr="00F40E33">
        <w:rPr>
          <w:rFonts w:ascii="VIC" w:hAnsi="VIC"/>
          <w:color w:val="696969"/>
          <w:sz w:val="18"/>
        </w:rPr>
        <w:t xml:space="preserve"> growth allocations</w:t>
      </w:r>
      <w:r>
        <w:rPr>
          <w:rFonts w:ascii="VIC" w:hAnsi="VIC"/>
          <w:color w:val="696969"/>
          <w:sz w:val="18"/>
        </w:rPr>
        <w:t xml:space="preserve">. Targets </w:t>
      </w:r>
      <w:r w:rsidR="005C4552" w:rsidRPr="00CB22DE">
        <w:rPr>
          <w:rFonts w:ascii="VIC" w:hAnsi="VIC"/>
          <w:color w:val="696969"/>
          <w:sz w:val="18"/>
        </w:rPr>
        <w:t>exclude New South Wales activity within Albury Wodonga Health.</w:t>
      </w:r>
    </w:p>
    <w:p w14:paraId="05EE3A61" w14:textId="12998E49" w:rsidR="0069621D" w:rsidRDefault="00F40E33" w:rsidP="00F40E33">
      <w:pPr>
        <w:spacing w:before="120" w:after="120"/>
        <w:rPr>
          <w:sz w:val="6"/>
        </w:rPr>
      </w:pPr>
      <w:r>
        <w:rPr>
          <w:rFonts w:ascii="VIC" w:hAnsi="VIC"/>
          <w:color w:val="696969"/>
          <w:sz w:val="18"/>
        </w:rPr>
        <w:t xml:space="preserve">† </w:t>
      </w:r>
      <w:r w:rsidR="00FB73F4">
        <w:rPr>
          <w:rFonts w:ascii="VIC" w:hAnsi="VIC"/>
          <w:color w:val="696969"/>
          <w:sz w:val="18"/>
        </w:rPr>
        <w:t>Western Health</w:t>
      </w:r>
      <w:r w:rsidRPr="00F40E33">
        <w:rPr>
          <w:rFonts w:ascii="VIC" w:hAnsi="VIC"/>
          <w:color w:val="696969"/>
          <w:sz w:val="18"/>
        </w:rPr>
        <w:t xml:space="preserve"> became a designated mental health </w:t>
      </w:r>
      <w:r>
        <w:rPr>
          <w:rFonts w:ascii="VIC" w:hAnsi="VIC"/>
          <w:color w:val="696969"/>
          <w:sz w:val="18"/>
        </w:rPr>
        <w:t>service</w:t>
      </w:r>
      <w:r w:rsidRPr="00F40E33">
        <w:rPr>
          <w:rFonts w:ascii="VIC" w:hAnsi="VIC"/>
          <w:color w:val="696969"/>
          <w:sz w:val="18"/>
        </w:rPr>
        <w:t xml:space="preserve"> from 1 July 202</w:t>
      </w:r>
      <w:r w:rsidR="00FB73F4">
        <w:rPr>
          <w:rFonts w:ascii="VIC" w:hAnsi="VIC"/>
          <w:color w:val="696969"/>
          <w:sz w:val="18"/>
        </w:rPr>
        <w:t>3</w:t>
      </w:r>
      <w:r w:rsidRPr="00F40E33">
        <w:rPr>
          <w:rFonts w:ascii="VIC" w:hAnsi="VIC"/>
          <w:color w:val="696969"/>
          <w:sz w:val="18"/>
        </w:rPr>
        <w:t xml:space="preserve">. </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727A0E8B"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FB73F4">
              <w:rPr>
                <w:rFonts w:ascii="VIC" w:hAnsi="VIC"/>
                <w:sz w:val="16"/>
              </w:rPr>
              <w:t>January 2024</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4BF3" w14:textId="77777777" w:rsidR="00190203" w:rsidRDefault="00190203">
      <w:r>
        <w:separator/>
      </w:r>
    </w:p>
  </w:endnote>
  <w:endnote w:type="continuationSeparator" w:id="0">
    <w:p w14:paraId="74DE4B1E" w14:textId="77777777" w:rsidR="00190203" w:rsidRDefault="0019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2D88FE2C"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FB73F4">
                  <w:rPr>
                    <w:rFonts w:ascii="VIC" w:eastAsia="VIC" w:hAnsi="VIC"/>
                    <w:color w:val="244C5A"/>
                    <w:sz w:val="16"/>
                  </w:rPr>
                  <w:t>January 2024</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2EA63" w14:textId="77777777" w:rsidR="00190203" w:rsidRDefault="00190203" w:rsidP="002862F1">
      <w:pPr>
        <w:spacing w:before="120"/>
      </w:pPr>
      <w:r>
        <w:separator/>
      </w:r>
    </w:p>
  </w:footnote>
  <w:footnote w:type="continuationSeparator" w:id="0">
    <w:p w14:paraId="43C20C2D" w14:textId="77777777" w:rsidR="00190203" w:rsidRDefault="0019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14035290">
    <w:abstractNumId w:val="0"/>
  </w:num>
  <w:num w:numId="2" w16cid:durableId="1067650119">
    <w:abstractNumId w:val="1"/>
  </w:num>
  <w:num w:numId="3" w16cid:durableId="6434617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80937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69989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2655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3225058">
    <w:abstractNumId w:val="5"/>
  </w:num>
  <w:num w:numId="8" w16cid:durableId="1924097327">
    <w:abstractNumId w:val="4"/>
  </w:num>
  <w:num w:numId="9" w16cid:durableId="347680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14200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70150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1795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19009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44014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0203"/>
    <w:rsid w:val="00191266"/>
    <w:rsid w:val="00192F9D"/>
    <w:rsid w:val="00196B90"/>
    <w:rsid w:val="00196EB8"/>
    <w:rsid w:val="001979FF"/>
    <w:rsid w:val="00197B17"/>
    <w:rsid w:val="001A3ACE"/>
    <w:rsid w:val="001B0C25"/>
    <w:rsid w:val="001B50A4"/>
    <w:rsid w:val="001C2A72"/>
    <w:rsid w:val="001D0B75"/>
    <w:rsid w:val="001D3A15"/>
    <w:rsid w:val="001D3C09"/>
    <w:rsid w:val="001D3D32"/>
    <w:rsid w:val="001D44E8"/>
    <w:rsid w:val="001D5E43"/>
    <w:rsid w:val="001D60EC"/>
    <w:rsid w:val="001E0879"/>
    <w:rsid w:val="001E2957"/>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6730"/>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D72CD"/>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D7EDF"/>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2498"/>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B73F4"/>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2023 24 Q2 Mental health community service hours report</vt:lpstr>
    </vt:vector>
  </TitlesOfParts>
  <Company>Department of Health</Company>
  <LinksUpToDate>false</LinksUpToDate>
  <CharactersWithSpaces>2904</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24 Q2 Mental health community service hours report</dc:title>
  <dc:subject/>
  <dc:creator>Victorian Agency for Health Information</dc:creator>
  <cp:keywords/>
  <cp:lastModifiedBy>Daniel Mendoza (Health)</cp:lastModifiedBy>
  <cp:revision>48</cp:revision>
  <cp:lastPrinted>2023-07-21T00:06:00Z</cp:lastPrinted>
  <dcterms:created xsi:type="dcterms:W3CDTF">2019-10-11T06:35:00Z</dcterms:created>
  <dcterms:modified xsi:type="dcterms:W3CDTF">2024-01-15T23:51:00Z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2023-07-21T00:07:07Z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5bc63c54-da56-4a36-b7ad-6d0b74f660f2</vt:lpwstr>
  </property>
  <property fmtid="{D5CDD505-2E9C-101B-9397-08002B2CF9AE}" pid="9" name="MSIP_Label_43e64453-338c-4f93-8a4d-0039a0a41f2a_ContentBits">
    <vt:lpwstr>2</vt:lpwstr>
  </property>
</Properties>
</file>