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BF12E"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5222D83B" wp14:editId="1DCE230E">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CE04329"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A1BA3D3" w14:textId="77777777" w:rsidTr="00B07FF7">
        <w:trPr>
          <w:trHeight w:val="622"/>
        </w:trPr>
        <w:tc>
          <w:tcPr>
            <w:tcW w:w="10348" w:type="dxa"/>
            <w:tcMar>
              <w:top w:w="1531" w:type="dxa"/>
              <w:left w:w="0" w:type="dxa"/>
              <w:right w:w="0" w:type="dxa"/>
            </w:tcMar>
          </w:tcPr>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7D1E5A" w:rsidRPr="001C5CB0" w14:paraId="3E81D28B" w14:textId="77777777" w:rsidTr="00553C36">
              <w:trPr>
                <w:trHeight w:val="622"/>
              </w:trPr>
              <w:tc>
                <w:tcPr>
                  <w:tcW w:w="10348" w:type="dxa"/>
                  <w:tcMar>
                    <w:top w:w="1531" w:type="dxa"/>
                    <w:left w:w="0" w:type="dxa"/>
                    <w:right w:w="0" w:type="dxa"/>
                  </w:tcMar>
                </w:tcPr>
                <w:p w14:paraId="62CF1C69" w14:textId="77777777" w:rsidR="007D1E5A" w:rsidRPr="001C5CB0" w:rsidRDefault="007D1E5A" w:rsidP="007D1E5A">
                  <w:pPr>
                    <w:pStyle w:val="Documenttitle"/>
                    <w:rPr>
                      <w:rFonts w:cs="Arial"/>
                    </w:rPr>
                  </w:pPr>
                  <w:r w:rsidRPr="25A02E62">
                    <w:rPr>
                      <w:rFonts w:cs="Arial"/>
                    </w:rPr>
                    <w:t>Enrolled Nurse Transition to Practice Program 2023-24</w:t>
                  </w:r>
                  <w:r w:rsidRPr="22C9104F">
                    <w:rPr>
                      <w:rFonts w:cs="Arial"/>
                    </w:rPr>
                    <w:t xml:space="preserve"> </w:t>
                  </w:r>
                </w:p>
              </w:tc>
            </w:tr>
            <w:tr w:rsidR="007D1E5A" w:rsidRPr="001C5CB0" w14:paraId="0FBA5193" w14:textId="77777777" w:rsidTr="00553C36">
              <w:tc>
                <w:tcPr>
                  <w:tcW w:w="10348" w:type="dxa"/>
                </w:tcPr>
                <w:p w14:paraId="1576F5A4" w14:textId="77777777" w:rsidR="007D1E5A" w:rsidRPr="001C5CB0" w:rsidRDefault="007D1E5A" w:rsidP="007D1E5A">
                  <w:pPr>
                    <w:pStyle w:val="Documentsubtitle"/>
                    <w:rPr>
                      <w:rFonts w:cs="Arial"/>
                    </w:rPr>
                  </w:pPr>
                  <w:r>
                    <w:rPr>
                      <w:rFonts w:cs="Arial"/>
                    </w:rPr>
                    <w:t>Funding information and application form</w:t>
                  </w:r>
                </w:p>
              </w:tc>
            </w:tr>
            <w:tr w:rsidR="007D1E5A" w:rsidRPr="001C5CB0" w14:paraId="73A9FDFA" w14:textId="77777777" w:rsidTr="00553C36">
              <w:tc>
                <w:tcPr>
                  <w:tcW w:w="10348" w:type="dxa"/>
                </w:tcPr>
                <w:p w14:paraId="79D82255" w14:textId="77777777" w:rsidR="007D1E5A" w:rsidRPr="001C5CB0" w:rsidRDefault="007D1E5A" w:rsidP="007D1E5A">
                  <w:pPr>
                    <w:pStyle w:val="Bannermarking"/>
                    <w:rPr>
                      <w:rFonts w:cs="Arial"/>
                    </w:rPr>
                  </w:pPr>
                  <w:r w:rsidRPr="001C5CB0">
                    <w:rPr>
                      <w:rFonts w:cs="Arial"/>
                    </w:rPr>
                    <w:fldChar w:fldCharType="begin"/>
                  </w:r>
                  <w:r w:rsidRPr="001C5CB0">
                    <w:rPr>
                      <w:rFonts w:cs="Arial"/>
                    </w:rPr>
                    <w:instrText xml:space="preserve"> FILLIN  "Type the protective marking" \d OFFICIAL \o  \* MERGEFORMAT </w:instrText>
                  </w:r>
                  <w:r w:rsidRPr="001C5CB0">
                    <w:rPr>
                      <w:rFonts w:cs="Arial"/>
                    </w:rPr>
                    <w:fldChar w:fldCharType="separate"/>
                  </w:r>
                  <w:r w:rsidRPr="001C5CB0">
                    <w:rPr>
                      <w:rFonts w:cs="Arial"/>
                    </w:rPr>
                    <w:t>OFFICIAL</w:t>
                  </w:r>
                  <w:r w:rsidRPr="001C5CB0">
                    <w:rPr>
                      <w:rFonts w:cs="Arial"/>
                    </w:rPr>
                    <w:fldChar w:fldCharType="end"/>
                  </w:r>
                </w:p>
              </w:tc>
            </w:tr>
            <w:tr w:rsidR="007D1E5A" w:rsidRPr="001C5CB0" w14:paraId="0CF19C11" w14:textId="77777777" w:rsidTr="00553C36">
              <w:tc>
                <w:tcPr>
                  <w:tcW w:w="10348" w:type="dxa"/>
                </w:tcPr>
                <w:p w14:paraId="5B815DA0" w14:textId="77777777" w:rsidR="007D1E5A" w:rsidRPr="001C5CB0" w:rsidRDefault="007D1E5A" w:rsidP="007D1E5A">
                  <w:pPr>
                    <w:pStyle w:val="Bannermarking"/>
                    <w:rPr>
                      <w:rFonts w:cs="Arial"/>
                    </w:rPr>
                  </w:pPr>
                </w:p>
              </w:tc>
            </w:tr>
          </w:tbl>
          <w:p w14:paraId="5100F39D" w14:textId="3F560593" w:rsidR="006A18BC" w:rsidRDefault="007D1E5A">
            <w:pPr>
              <w:pStyle w:val="TOC1"/>
              <w:rPr>
                <w:rFonts w:asciiTheme="minorHAnsi" w:eastAsiaTheme="minorEastAsia" w:hAnsiTheme="minorHAnsi" w:cstheme="minorBidi"/>
                <w:b w:val="0"/>
                <w:sz w:val="22"/>
                <w:szCs w:val="22"/>
                <w:lang w:eastAsia="en-AU"/>
              </w:rPr>
            </w:pPr>
            <w:r w:rsidRPr="001C5CB0">
              <w:rPr>
                <w:rFonts w:cs="Arial"/>
              </w:rPr>
              <w:fldChar w:fldCharType="begin"/>
            </w:r>
            <w:r w:rsidRPr="001C5CB0">
              <w:rPr>
                <w:rFonts w:cs="Arial"/>
              </w:rPr>
              <w:instrText xml:space="preserve"> TOC \h \z \t "Heading 1,1,Heading 2,2" </w:instrText>
            </w:r>
            <w:r w:rsidRPr="001C5CB0">
              <w:rPr>
                <w:rFonts w:cs="Arial"/>
              </w:rPr>
              <w:fldChar w:fldCharType="separate"/>
            </w:r>
            <w:hyperlink w:anchor="_Toc150872337" w:history="1">
              <w:r w:rsidR="006A18BC" w:rsidRPr="00C63350">
                <w:rPr>
                  <w:rStyle w:val="Hyperlink"/>
                </w:rPr>
                <w:t>Introduction</w:t>
              </w:r>
              <w:r w:rsidR="006A18BC">
                <w:rPr>
                  <w:webHidden/>
                </w:rPr>
                <w:tab/>
              </w:r>
              <w:r w:rsidR="006A18BC">
                <w:rPr>
                  <w:webHidden/>
                </w:rPr>
                <w:fldChar w:fldCharType="begin"/>
              </w:r>
              <w:r w:rsidR="006A18BC">
                <w:rPr>
                  <w:webHidden/>
                </w:rPr>
                <w:instrText xml:space="preserve"> PAGEREF _Toc150872337 \h </w:instrText>
              </w:r>
              <w:r w:rsidR="006A18BC">
                <w:rPr>
                  <w:webHidden/>
                </w:rPr>
              </w:r>
              <w:r w:rsidR="006A18BC">
                <w:rPr>
                  <w:webHidden/>
                </w:rPr>
                <w:fldChar w:fldCharType="separate"/>
              </w:r>
              <w:r w:rsidR="006A18BC">
                <w:rPr>
                  <w:webHidden/>
                </w:rPr>
                <w:t>2</w:t>
              </w:r>
              <w:r w:rsidR="006A18BC">
                <w:rPr>
                  <w:webHidden/>
                </w:rPr>
                <w:fldChar w:fldCharType="end"/>
              </w:r>
            </w:hyperlink>
          </w:p>
          <w:p w14:paraId="2C8EBEA7" w14:textId="76097C33" w:rsidR="006A18BC" w:rsidRDefault="00F45D37">
            <w:pPr>
              <w:pStyle w:val="TOC1"/>
              <w:rPr>
                <w:rFonts w:asciiTheme="minorHAnsi" w:eastAsiaTheme="minorEastAsia" w:hAnsiTheme="minorHAnsi" w:cstheme="minorBidi"/>
                <w:b w:val="0"/>
                <w:sz w:val="22"/>
                <w:szCs w:val="22"/>
                <w:lang w:eastAsia="en-AU"/>
              </w:rPr>
            </w:pPr>
            <w:hyperlink w:anchor="_Toc150872338" w:history="1">
              <w:r w:rsidR="006A18BC" w:rsidRPr="00C63350">
                <w:rPr>
                  <w:rStyle w:val="Hyperlink"/>
                </w:rPr>
                <w:t>Purpose</w:t>
              </w:r>
              <w:r w:rsidR="006A18BC">
                <w:rPr>
                  <w:webHidden/>
                </w:rPr>
                <w:tab/>
              </w:r>
              <w:r w:rsidR="006A18BC">
                <w:rPr>
                  <w:webHidden/>
                </w:rPr>
                <w:fldChar w:fldCharType="begin"/>
              </w:r>
              <w:r w:rsidR="006A18BC">
                <w:rPr>
                  <w:webHidden/>
                </w:rPr>
                <w:instrText xml:space="preserve"> PAGEREF _Toc150872338 \h </w:instrText>
              </w:r>
              <w:r w:rsidR="006A18BC">
                <w:rPr>
                  <w:webHidden/>
                </w:rPr>
              </w:r>
              <w:r w:rsidR="006A18BC">
                <w:rPr>
                  <w:webHidden/>
                </w:rPr>
                <w:fldChar w:fldCharType="separate"/>
              </w:r>
              <w:r w:rsidR="006A18BC">
                <w:rPr>
                  <w:webHidden/>
                </w:rPr>
                <w:t>2</w:t>
              </w:r>
              <w:r w:rsidR="006A18BC">
                <w:rPr>
                  <w:webHidden/>
                </w:rPr>
                <w:fldChar w:fldCharType="end"/>
              </w:r>
            </w:hyperlink>
          </w:p>
          <w:p w14:paraId="7B34E6BA" w14:textId="2B61A2B7" w:rsidR="006A18BC" w:rsidRDefault="00F45D37">
            <w:pPr>
              <w:pStyle w:val="TOC1"/>
              <w:rPr>
                <w:rFonts w:asciiTheme="minorHAnsi" w:eastAsiaTheme="minorEastAsia" w:hAnsiTheme="minorHAnsi" w:cstheme="minorBidi"/>
                <w:b w:val="0"/>
                <w:sz w:val="22"/>
                <w:szCs w:val="22"/>
                <w:lang w:eastAsia="en-AU"/>
              </w:rPr>
            </w:pPr>
            <w:hyperlink w:anchor="_Toc150872339" w:history="1">
              <w:r w:rsidR="006A18BC" w:rsidRPr="00C63350">
                <w:rPr>
                  <w:rStyle w:val="Hyperlink"/>
                </w:rPr>
                <w:t>Key Dates</w:t>
              </w:r>
              <w:r w:rsidR="006A18BC">
                <w:rPr>
                  <w:webHidden/>
                </w:rPr>
                <w:tab/>
              </w:r>
              <w:r w:rsidR="006A18BC">
                <w:rPr>
                  <w:webHidden/>
                </w:rPr>
                <w:fldChar w:fldCharType="begin"/>
              </w:r>
              <w:r w:rsidR="006A18BC">
                <w:rPr>
                  <w:webHidden/>
                </w:rPr>
                <w:instrText xml:space="preserve"> PAGEREF _Toc150872339 \h </w:instrText>
              </w:r>
              <w:r w:rsidR="006A18BC">
                <w:rPr>
                  <w:webHidden/>
                </w:rPr>
              </w:r>
              <w:r w:rsidR="006A18BC">
                <w:rPr>
                  <w:webHidden/>
                </w:rPr>
                <w:fldChar w:fldCharType="separate"/>
              </w:r>
              <w:r w:rsidR="006A18BC">
                <w:rPr>
                  <w:webHidden/>
                </w:rPr>
                <w:t>3</w:t>
              </w:r>
              <w:r w:rsidR="006A18BC">
                <w:rPr>
                  <w:webHidden/>
                </w:rPr>
                <w:fldChar w:fldCharType="end"/>
              </w:r>
            </w:hyperlink>
          </w:p>
          <w:p w14:paraId="37847A83" w14:textId="1368E701" w:rsidR="006A18BC" w:rsidRDefault="00F45D37">
            <w:pPr>
              <w:pStyle w:val="TOC1"/>
              <w:rPr>
                <w:rFonts w:asciiTheme="minorHAnsi" w:eastAsiaTheme="minorEastAsia" w:hAnsiTheme="minorHAnsi" w:cstheme="minorBidi"/>
                <w:b w:val="0"/>
                <w:sz w:val="22"/>
                <w:szCs w:val="22"/>
                <w:lang w:eastAsia="en-AU"/>
              </w:rPr>
            </w:pPr>
            <w:hyperlink w:anchor="_Toc150872340" w:history="1">
              <w:r w:rsidR="006A18BC" w:rsidRPr="00C63350">
                <w:rPr>
                  <w:rStyle w:val="Hyperlink"/>
                </w:rPr>
                <w:t>Scope</w:t>
              </w:r>
              <w:r w:rsidR="006A18BC">
                <w:rPr>
                  <w:webHidden/>
                </w:rPr>
                <w:tab/>
              </w:r>
              <w:r w:rsidR="006A18BC">
                <w:rPr>
                  <w:webHidden/>
                </w:rPr>
                <w:fldChar w:fldCharType="begin"/>
              </w:r>
              <w:r w:rsidR="006A18BC">
                <w:rPr>
                  <w:webHidden/>
                </w:rPr>
                <w:instrText xml:space="preserve"> PAGEREF _Toc150872340 \h </w:instrText>
              </w:r>
              <w:r w:rsidR="006A18BC">
                <w:rPr>
                  <w:webHidden/>
                </w:rPr>
              </w:r>
              <w:r w:rsidR="006A18BC">
                <w:rPr>
                  <w:webHidden/>
                </w:rPr>
                <w:fldChar w:fldCharType="separate"/>
              </w:r>
              <w:r w:rsidR="006A18BC">
                <w:rPr>
                  <w:webHidden/>
                </w:rPr>
                <w:t>3</w:t>
              </w:r>
              <w:r w:rsidR="006A18BC">
                <w:rPr>
                  <w:webHidden/>
                </w:rPr>
                <w:fldChar w:fldCharType="end"/>
              </w:r>
            </w:hyperlink>
          </w:p>
          <w:p w14:paraId="705CC0B0" w14:textId="21EEE049" w:rsidR="006A18BC" w:rsidRDefault="00F45D37">
            <w:pPr>
              <w:pStyle w:val="TOC1"/>
              <w:rPr>
                <w:rFonts w:asciiTheme="minorHAnsi" w:eastAsiaTheme="minorEastAsia" w:hAnsiTheme="minorHAnsi" w:cstheme="minorBidi"/>
                <w:b w:val="0"/>
                <w:sz w:val="22"/>
                <w:szCs w:val="22"/>
                <w:lang w:eastAsia="en-AU"/>
              </w:rPr>
            </w:pPr>
            <w:hyperlink w:anchor="_Toc150872341" w:history="1">
              <w:r w:rsidR="006A18BC" w:rsidRPr="00C63350">
                <w:rPr>
                  <w:rStyle w:val="Hyperlink"/>
                </w:rPr>
                <w:t>How to Apply</w:t>
              </w:r>
              <w:r w:rsidR="006A18BC">
                <w:rPr>
                  <w:webHidden/>
                </w:rPr>
                <w:tab/>
              </w:r>
              <w:r w:rsidR="006A18BC">
                <w:rPr>
                  <w:webHidden/>
                </w:rPr>
                <w:fldChar w:fldCharType="begin"/>
              </w:r>
              <w:r w:rsidR="006A18BC">
                <w:rPr>
                  <w:webHidden/>
                </w:rPr>
                <w:instrText xml:space="preserve"> PAGEREF _Toc150872341 \h </w:instrText>
              </w:r>
              <w:r w:rsidR="006A18BC">
                <w:rPr>
                  <w:webHidden/>
                </w:rPr>
              </w:r>
              <w:r w:rsidR="006A18BC">
                <w:rPr>
                  <w:webHidden/>
                </w:rPr>
                <w:fldChar w:fldCharType="separate"/>
              </w:r>
              <w:r w:rsidR="006A18BC">
                <w:rPr>
                  <w:webHidden/>
                </w:rPr>
                <w:t>3</w:t>
              </w:r>
              <w:r w:rsidR="006A18BC">
                <w:rPr>
                  <w:webHidden/>
                </w:rPr>
                <w:fldChar w:fldCharType="end"/>
              </w:r>
            </w:hyperlink>
          </w:p>
          <w:p w14:paraId="31591C9F" w14:textId="0F374804" w:rsidR="006A18BC" w:rsidRDefault="00F45D37">
            <w:pPr>
              <w:pStyle w:val="TOC1"/>
              <w:rPr>
                <w:rFonts w:asciiTheme="minorHAnsi" w:eastAsiaTheme="minorEastAsia" w:hAnsiTheme="minorHAnsi" w:cstheme="minorBidi"/>
                <w:b w:val="0"/>
                <w:sz w:val="22"/>
                <w:szCs w:val="22"/>
                <w:lang w:eastAsia="en-AU"/>
              </w:rPr>
            </w:pPr>
            <w:hyperlink w:anchor="_Toc150872342" w:history="1">
              <w:r w:rsidR="006A18BC" w:rsidRPr="00C63350">
                <w:rPr>
                  <w:rStyle w:val="Hyperlink"/>
                </w:rPr>
                <w:t>Health Service Eligibility Criteria</w:t>
              </w:r>
              <w:r w:rsidR="006A18BC">
                <w:rPr>
                  <w:webHidden/>
                </w:rPr>
                <w:tab/>
              </w:r>
              <w:r w:rsidR="006A18BC">
                <w:rPr>
                  <w:webHidden/>
                </w:rPr>
                <w:fldChar w:fldCharType="begin"/>
              </w:r>
              <w:r w:rsidR="006A18BC">
                <w:rPr>
                  <w:webHidden/>
                </w:rPr>
                <w:instrText xml:space="preserve"> PAGEREF _Toc150872342 \h </w:instrText>
              </w:r>
              <w:r w:rsidR="006A18BC">
                <w:rPr>
                  <w:webHidden/>
                </w:rPr>
              </w:r>
              <w:r w:rsidR="006A18BC">
                <w:rPr>
                  <w:webHidden/>
                </w:rPr>
                <w:fldChar w:fldCharType="separate"/>
              </w:r>
              <w:r w:rsidR="006A18BC">
                <w:rPr>
                  <w:webHidden/>
                </w:rPr>
                <w:t>4</w:t>
              </w:r>
              <w:r w:rsidR="006A18BC">
                <w:rPr>
                  <w:webHidden/>
                </w:rPr>
                <w:fldChar w:fldCharType="end"/>
              </w:r>
            </w:hyperlink>
          </w:p>
          <w:p w14:paraId="42ABBCD4" w14:textId="447B9D50" w:rsidR="006A18BC" w:rsidRDefault="00F45D37">
            <w:pPr>
              <w:pStyle w:val="TOC1"/>
              <w:rPr>
                <w:rFonts w:asciiTheme="minorHAnsi" w:eastAsiaTheme="minorEastAsia" w:hAnsiTheme="minorHAnsi" w:cstheme="minorBidi"/>
                <w:b w:val="0"/>
                <w:sz w:val="22"/>
                <w:szCs w:val="22"/>
                <w:lang w:eastAsia="en-AU"/>
              </w:rPr>
            </w:pPr>
            <w:hyperlink w:anchor="_Toc150872343" w:history="1">
              <w:r w:rsidR="006A18BC" w:rsidRPr="00C63350">
                <w:rPr>
                  <w:rStyle w:val="Hyperlink"/>
                </w:rPr>
                <w:t>Roles and responsibilities</w:t>
              </w:r>
              <w:r w:rsidR="006A18BC">
                <w:rPr>
                  <w:webHidden/>
                </w:rPr>
                <w:tab/>
              </w:r>
              <w:r w:rsidR="006A18BC">
                <w:rPr>
                  <w:webHidden/>
                </w:rPr>
                <w:fldChar w:fldCharType="begin"/>
              </w:r>
              <w:r w:rsidR="006A18BC">
                <w:rPr>
                  <w:webHidden/>
                </w:rPr>
                <w:instrText xml:space="preserve"> PAGEREF _Toc150872343 \h </w:instrText>
              </w:r>
              <w:r w:rsidR="006A18BC">
                <w:rPr>
                  <w:webHidden/>
                </w:rPr>
              </w:r>
              <w:r w:rsidR="006A18BC">
                <w:rPr>
                  <w:webHidden/>
                </w:rPr>
                <w:fldChar w:fldCharType="separate"/>
              </w:r>
              <w:r w:rsidR="006A18BC">
                <w:rPr>
                  <w:webHidden/>
                </w:rPr>
                <w:t>5</w:t>
              </w:r>
              <w:r w:rsidR="006A18BC">
                <w:rPr>
                  <w:webHidden/>
                </w:rPr>
                <w:fldChar w:fldCharType="end"/>
              </w:r>
            </w:hyperlink>
          </w:p>
          <w:p w14:paraId="5177EC47" w14:textId="3BB0F104" w:rsidR="006A18BC" w:rsidRDefault="00F45D37">
            <w:pPr>
              <w:pStyle w:val="TOC1"/>
              <w:rPr>
                <w:rFonts w:asciiTheme="minorHAnsi" w:eastAsiaTheme="minorEastAsia" w:hAnsiTheme="minorHAnsi" w:cstheme="minorBidi"/>
                <w:b w:val="0"/>
                <w:sz w:val="22"/>
                <w:szCs w:val="22"/>
                <w:lang w:eastAsia="en-AU"/>
              </w:rPr>
            </w:pPr>
            <w:hyperlink w:anchor="_Toc150872344" w:history="1">
              <w:r w:rsidR="006A18BC" w:rsidRPr="00C63350">
                <w:rPr>
                  <w:rStyle w:val="Hyperlink"/>
                </w:rPr>
                <w:t>Assessment of Applications</w:t>
              </w:r>
              <w:r w:rsidR="006A18BC">
                <w:rPr>
                  <w:webHidden/>
                </w:rPr>
                <w:tab/>
              </w:r>
              <w:r w:rsidR="006A18BC">
                <w:rPr>
                  <w:webHidden/>
                </w:rPr>
                <w:fldChar w:fldCharType="begin"/>
              </w:r>
              <w:r w:rsidR="006A18BC">
                <w:rPr>
                  <w:webHidden/>
                </w:rPr>
                <w:instrText xml:space="preserve"> PAGEREF _Toc150872344 \h </w:instrText>
              </w:r>
              <w:r w:rsidR="006A18BC">
                <w:rPr>
                  <w:webHidden/>
                </w:rPr>
              </w:r>
              <w:r w:rsidR="006A18BC">
                <w:rPr>
                  <w:webHidden/>
                </w:rPr>
                <w:fldChar w:fldCharType="separate"/>
              </w:r>
              <w:r w:rsidR="006A18BC">
                <w:rPr>
                  <w:webHidden/>
                </w:rPr>
                <w:t>6</w:t>
              </w:r>
              <w:r w:rsidR="006A18BC">
                <w:rPr>
                  <w:webHidden/>
                </w:rPr>
                <w:fldChar w:fldCharType="end"/>
              </w:r>
            </w:hyperlink>
          </w:p>
          <w:p w14:paraId="00B042C7" w14:textId="5226818A" w:rsidR="006A18BC" w:rsidRDefault="00F45D37">
            <w:pPr>
              <w:pStyle w:val="TOC1"/>
              <w:rPr>
                <w:rFonts w:asciiTheme="minorHAnsi" w:eastAsiaTheme="minorEastAsia" w:hAnsiTheme="minorHAnsi" w:cstheme="minorBidi"/>
                <w:b w:val="0"/>
                <w:sz w:val="22"/>
                <w:szCs w:val="22"/>
                <w:lang w:eastAsia="en-AU"/>
              </w:rPr>
            </w:pPr>
            <w:hyperlink w:anchor="_Toc150872345" w:history="1">
              <w:r w:rsidR="006A18BC" w:rsidRPr="00C63350">
                <w:rPr>
                  <w:rStyle w:val="Hyperlink"/>
                </w:rPr>
                <w:t>Funding Conditions</w:t>
              </w:r>
              <w:r w:rsidR="006A18BC">
                <w:rPr>
                  <w:webHidden/>
                </w:rPr>
                <w:tab/>
              </w:r>
              <w:r w:rsidR="006A18BC">
                <w:rPr>
                  <w:webHidden/>
                </w:rPr>
                <w:fldChar w:fldCharType="begin"/>
              </w:r>
              <w:r w:rsidR="006A18BC">
                <w:rPr>
                  <w:webHidden/>
                </w:rPr>
                <w:instrText xml:space="preserve"> PAGEREF _Toc150872345 \h </w:instrText>
              </w:r>
              <w:r w:rsidR="006A18BC">
                <w:rPr>
                  <w:webHidden/>
                </w:rPr>
              </w:r>
              <w:r w:rsidR="006A18BC">
                <w:rPr>
                  <w:webHidden/>
                </w:rPr>
                <w:fldChar w:fldCharType="separate"/>
              </w:r>
              <w:r w:rsidR="006A18BC">
                <w:rPr>
                  <w:webHidden/>
                </w:rPr>
                <w:t>6</w:t>
              </w:r>
              <w:r w:rsidR="006A18BC">
                <w:rPr>
                  <w:webHidden/>
                </w:rPr>
                <w:fldChar w:fldCharType="end"/>
              </w:r>
            </w:hyperlink>
          </w:p>
          <w:p w14:paraId="04FE7DC0" w14:textId="75C81A3C" w:rsidR="006A18BC" w:rsidRDefault="00F45D37">
            <w:pPr>
              <w:pStyle w:val="TOC1"/>
              <w:rPr>
                <w:rFonts w:asciiTheme="minorHAnsi" w:eastAsiaTheme="minorEastAsia" w:hAnsiTheme="minorHAnsi" w:cstheme="minorBidi"/>
                <w:b w:val="0"/>
                <w:sz w:val="22"/>
                <w:szCs w:val="22"/>
                <w:lang w:eastAsia="en-AU"/>
              </w:rPr>
            </w:pPr>
            <w:hyperlink w:anchor="_Toc150872346" w:history="1">
              <w:r w:rsidR="006A18BC" w:rsidRPr="00C63350">
                <w:rPr>
                  <w:rStyle w:val="Hyperlink"/>
                </w:rPr>
                <w:t>Further Information</w:t>
              </w:r>
              <w:r w:rsidR="006A18BC">
                <w:rPr>
                  <w:webHidden/>
                </w:rPr>
                <w:tab/>
              </w:r>
              <w:r w:rsidR="006A18BC">
                <w:rPr>
                  <w:webHidden/>
                </w:rPr>
                <w:fldChar w:fldCharType="begin"/>
              </w:r>
              <w:r w:rsidR="006A18BC">
                <w:rPr>
                  <w:webHidden/>
                </w:rPr>
                <w:instrText xml:space="preserve"> PAGEREF _Toc150872346 \h </w:instrText>
              </w:r>
              <w:r w:rsidR="006A18BC">
                <w:rPr>
                  <w:webHidden/>
                </w:rPr>
              </w:r>
              <w:r w:rsidR="006A18BC">
                <w:rPr>
                  <w:webHidden/>
                </w:rPr>
                <w:fldChar w:fldCharType="separate"/>
              </w:r>
              <w:r w:rsidR="006A18BC">
                <w:rPr>
                  <w:webHidden/>
                </w:rPr>
                <w:t>7</w:t>
              </w:r>
              <w:r w:rsidR="006A18BC">
                <w:rPr>
                  <w:webHidden/>
                </w:rPr>
                <w:fldChar w:fldCharType="end"/>
              </w:r>
            </w:hyperlink>
          </w:p>
          <w:p w14:paraId="322ADDBB" w14:textId="5DDB73FF" w:rsidR="006A18BC" w:rsidRDefault="00F45D37">
            <w:pPr>
              <w:pStyle w:val="TOC1"/>
              <w:rPr>
                <w:rFonts w:asciiTheme="minorHAnsi" w:eastAsiaTheme="minorEastAsia" w:hAnsiTheme="minorHAnsi" w:cstheme="minorBidi"/>
                <w:b w:val="0"/>
                <w:sz w:val="22"/>
                <w:szCs w:val="22"/>
                <w:lang w:eastAsia="en-AU"/>
              </w:rPr>
            </w:pPr>
            <w:hyperlink w:anchor="_Toc150872347" w:history="1">
              <w:r w:rsidR="006A18BC" w:rsidRPr="00C63350">
                <w:rPr>
                  <w:rStyle w:val="Hyperlink"/>
                </w:rPr>
                <w:t>Application Form – 2023-24 Enrolled Nurse Transition to Practice Program</w:t>
              </w:r>
              <w:r w:rsidR="006A18BC">
                <w:rPr>
                  <w:webHidden/>
                </w:rPr>
                <w:tab/>
              </w:r>
              <w:r w:rsidR="006A18BC">
                <w:rPr>
                  <w:webHidden/>
                </w:rPr>
                <w:fldChar w:fldCharType="begin"/>
              </w:r>
              <w:r w:rsidR="006A18BC">
                <w:rPr>
                  <w:webHidden/>
                </w:rPr>
                <w:instrText xml:space="preserve"> PAGEREF _Toc150872347 \h </w:instrText>
              </w:r>
              <w:r w:rsidR="006A18BC">
                <w:rPr>
                  <w:webHidden/>
                </w:rPr>
              </w:r>
              <w:r w:rsidR="006A18BC">
                <w:rPr>
                  <w:webHidden/>
                </w:rPr>
                <w:fldChar w:fldCharType="separate"/>
              </w:r>
              <w:r w:rsidR="006A18BC">
                <w:rPr>
                  <w:webHidden/>
                </w:rPr>
                <w:t>8</w:t>
              </w:r>
              <w:r w:rsidR="006A18BC">
                <w:rPr>
                  <w:webHidden/>
                </w:rPr>
                <w:fldChar w:fldCharType="end"/>
              </w:r>
            </w:hyperlink>
          </w:p>
          <w:p w14:paraId="31893000" w14:textId="798064E3" w:rsidR="006A18BC" w:rsidRDefault="00F45D37">
            <w:pPr>
              <w:pStyle w:val="TOC1"/>
              <w:rPr>
                <w:rFonts w:asciiTheme="minorHAnsi" w:eastAsiaTheme="minorEastAsia" w:hAnsiTheme="minorHAnsi" w:cstheme="minorBidi"/>
                <w:b w:val="0"/>
                <w:sz w:val="22"/>
                <w:szCs w:val="22"/>
                <w:lang w:eastAsia="en-AU"/>
              </w:rPr>
            </w:pPr>
            <w:hyperlink w:anchor="_Toc150872348" w:history="1">
              <w:r w:rsidR="006A18BC" w:rsidRPr="00C63350">
                <w:rPr>
                  <w:rStyle w:val="Hyperlink"/>
                </w:rPr>
                <w:t>Endorsements</w:t>
              </w:r>
              <w:r w:rsidR="006A18BC">
                <w:rPr>
                  <w:webHidden/>
                </w:rPr>
                <w:tab/>
              </w:r>
              <w:r w:rsidR="006A18BC">
                <w:rPr>
                  <w:webHidden/>
                </w:rPr>
                <w:fldChar w:fldCharType="begin"/>
              </w:r>
              <w:r w:rsidR="006A18BC">
                <w:rPr>
                  <w:webHidden/>
                </w:rPr>
                <w:instrText xml:space="preserve"> PAGEREF _Toc150872348 \h </w:instrText>
              </w:r>
              <w:r w:rsidR="006A18BC">
                <w:rPr>
                  <w:webHidden/>
                </w:rPr>
              </w:r>
              <w:r w:rsidR="006A18BC">
                <w:rPr>
                  <w:webHidden/>
                </w:rPr>
                <w:fldChar w:fldCharType="separate"/>
              </w:r>
              <w:r w:rsidR="006A18BC">
                <w:rPr>
                  <w:webHidden/>
                </w:rPr>
                <w:t>11</w:t>
              </w:r>
              <w:r w:rsidR="006A18BC">
                <w:rPr>
                  <w:webHidden/>
                </w:rPr>
                <w:fldChar w:fldCharType="end"/>
              </w:r>
            </w:hyperlink>
          </w:p>
          <w:p w14:paraId="60E0DC6B" w14:textId="77033B1D" w:rsidR="007D1E5A" w:rsidRDefault="007D1E5A" w:rsidP="007D1E5A">
            <w:pPr>
              <w:pStyle w:val="Body"/>
              <w:rPr>
                <w:b/>
                <w:bCs/>
                <w:color w:val="5C7281"/>
              </w:rPr>
            </w:pPr>
            <w:r w:rsidRPr="001C5CB0">
              <w:rPr>
                <w:rFonts w:cs="Arial"/>
              </w:rPr>
              <w:fldChar w:fldCharType="end"/>
            </w:r>
          </w:p>
          <w:p w14:paraId="2D74E0B2" w14:textId="77777777" w:rsidR="007D1E5A" w:rsidRDefault="007D1E5A" w:rsidP="007D1E5A">
            <w:pPr>
              <w:pStyle w:val="VHBAbody"/>
              <w:rPr>
                <w:rFonts w:ascii="Arial" w:eastAsia="Arial" w:hAnsi="Arial" w:cs="Arial"/>
                <w:i/>
                <w:iCs/>
                <w:color w:val="000000" w:themeColor="text1"/>
                <w:highlight w:val="yellow"/>
              </w:rPr>
            </w:pPr>
            <w:r>
              <w:rPr>
                <w:rFonts w:ascii="Arial" w:eastAsia="Arial" w:hAnsi="Arial" w:cs="Arial"/>
                <w:i/>
                <w:iCs/>
                <w:noProof/>
                <w:color w:val="000000" w:themeColor="text1"/>
              </w:rPr>
              <w:lastRenderedPageBreak/>
              <w:drawing>
                <wp:inline distT="0" distB="0" distL="0" distR="0" wp14:anchorId="16B741CC" wp14:editId="0F63EEE0">
                  <wp:extent cx="5816600" cy="3238500"/>
                  <wp:effectExtent l="38100" t="0" r="1270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7DCCEBF" w14:textId="77777777" w:rsidR="007D1E5A" w:rsidRPr="001C5CB0" w:rsidRDefault="007D1E5A" w:rsidP="007D1E5A">
            <w:pPr>
              <w:pStyle w:val="Heading1"/>
              <w:rPr>
                <w:rFonts w:eastAsia="Arial"/>
                <w:b/>
                <w:color w:val="5C7281"/>
                <w:sz w:val="28"/>
                <w:szCs w:val="28"/>
              </w:rPr>
            </w:pPr>
            <w:bookmarkStart w:id="0" w:name="_Toc150872337"/>
            <w:bookmarkStart w:id="1" w:name="_Toc1313534390"/>
            <w:bookmarkStart w:id="2" w:name="_Toc110725322"/>
            <w:bookmarkStart w:id="3" w:name="_Toc1626650828"/>
            <w:r w:rsidRPr="001C5CB0">
              <w:t>Introduction</w:t>
            </w:r>
            <w:bookmarkEnd w:id="0"/>
            <w:r w:rsidRPr="001C5CB0">
              <w:rPr>
                <w:rFonts w:eastAsia="Arial"/>
                <w:b/>
                <w:color w:val="5C7281"/>
                <w:sz w:val="28"/>
                <w:szCs w:val="28"/>
              </w:rPr>
              <w:t xml:space="preserve"> </w:t>
            </w:r>
            <w:bookmarkEnd w:id="1"/>
            <w:bookmarkEnd w:id="2"/>
            <w:bookmarkEnd w:id="3"/>
          </w:p>
          <w:p w14:paraId="6CF47D87" w14:textId="77777777" w:rsidR="007D1E5A" w:rsidRDefault="007D1E5A" w:rsidP="007D1E5A">
            <w:pPr>
              <w:rPr>
                <w:rFonts w:eastAsia="Calibri" w:cs="Arial"/>
                <w:lang w:val="en-US"/>
              </w:rPr>
            </w:pPr>
            <w:r w:rsidRPr="4D8C829A">
              <w:rPr>
                <w:rFonts w:eastAsia="Calibri" w:cs="Arial"/>
              </w:rPr>
              <w:t xml:space="preserve">The 2018-19 </w:t>
            </w:r>
            <w:r w:rsidRPr="4D8C829A">
              <w:rPr>
                <w:rFonts w:eastAsia="Calibri" w:cs="Arial"/>
                <w:i/>
                <w:iCs/>
              </w:rPr>
              <w:t>State Budget</w:t>
            </w:r>
            <w:r w:rsidRPr="4D8C829A">
              <w:rPr>
                <w:rFonts w:eastAsia="Calibri" w:cs="Arial"/>
              </w:rPr>
              <w:t xml:space="preserve"> committed $50 million over four years to establish the Nursing and Midwifery Workforce Development Fund (the fund) to build the capacity and capability of the Victorian nursing and midwifery workforce. This includes </w:t>
            </w:r>
            <w:r w:rsidRPr="4D8C829A">
              <w:rPr>
                <w:rFonts w:eastAsia="Calibri" w:cs="Arial"/>
                <w:lang w:val="en-US"/>
              </w:rPr>
              <w:t xml:space="preserve">the delivery of Enrolled Nursing Transition to Practice Program (ENTPP) by Victorian public health services to support graduates to achieve </w:t>
            </w:r>
            <w:r w:rsidRPr="4D8C829A">
              <w:rPr>
                <w:rFonts w:eastAsia="Calibri" w:cs="Arial"/>
              </w:rPr>
              <w:t xml:space="preserve">consolidation of knowledge, skills, and competence, and transition to practise as safe, </w:t>
            </w:r>
            <w:proofErr w:type="gramStart"/>
            <w:r w:rsidRPr="4D8C829A">
              <w:rPr>
                <w:rFonts w:eastAsia="Calibri" w:cs="Arial"/>
              </w:rPr>
              <w:t>confident</w:t>
            </w:r>
            <w:proofErr w:type="gramEnd"/>
            <w:r w:rsidRPr="4D8C829A">
              <w:rPr>
                <w:rFonts w:eastAsia="Calibri" w:cs="Arial"/>
              </w:rPr>
              <w:t xml:space="preserve"> and accountable professionals.</w:t>
            </w:r>
            <w:r w:rsidRPr="4D8C829A">
              <w:rPr>
                <w:rFonts w:eastAsia="Calibri" w:cs="Arial"/>
                <w:lang w:val="en-US"/>
              </w:rPr>
              <w:t xml:space="preserve"> </w:t>
            </w:r>
            <w:bookmarkStart w:id="4" w:name="_Toc1197606633"/>
            <w:bookmarkStart w:id="5" w:name="_Toc1682656823"/>
            <w:bookmarkStart w:id="6" w:name="_Toc344349097"/>
            <w:r w:rsidRPr="4D8C829A">
              <w:rPr>
                <w:rFonts w:eastAsia="Calibri" w:cs="Arial"/>
                <w:lang w:val="en-US"/>
              </w:rPr>
              <w:t xml:space="preserve">The 2023-24 </w:t>
            </w:r>
            <w:r w:rsidRPr="4D8C829A">
              <w:rPr>
                <w:rFonts w:eastAsia="Calibri" w:cs="Arial"/>
                <w:i/>
                <w:iCs/>
                <w:lang w:val="en-US"/>
              </w:rPr>
              <w:t>State Budget</w:t>
            </w:r>
            <w:r w:rsidRPr="4D8C829A">
              <w:rPr>
                <w:rFonts w:eastAsia="Calibri" w:cs="Arial"/>
                <w:lang w:val="en-US"/>
              </w:rPr>
              <w:t xml:space="preserve"> has committed extra funding towards ENTPP for 2023-24.</w:t>
            </w:r>
          </w:p>
          <w:p w14:paraId="7A80A5E4" w14:textId="77777777" w:rsidR="007D1E5A" w:rsidRDefault="007D1E5A" w:rsidP="007D1E5A">
            <w:pPr>
              <w:pStyle w:val="Heading1"/>
              <w:rPr>
                <w:rFonts w:eastAsia="Arial"/>
                <w:b/>
                <w:color w:val="5C7281"/>
                <w:sz w:val="28"/>
                <w:szCs w:val="28"/>
              </w:rPr>
            </w:pPr>
            <w:bookmarkStart w:id="7" w:name="_Toc150872338"/>
            <w:r>
              <w:t>Purpose</w:t>
            </w:r>
            <w:bookmarkEnd w:id="7"/>
            <w:r w:rsidRPr="1DCF453D">
              <w:rPr>
                <w:rFonts w:eastAsia="Arial"/>
                <w:b/>
                <w:color w:val="5C7281"/>
                <w:sz w:val="28"/>
                <w:szCs w:val="28"/>
              </w:rPr>
              <w:t xml:space="preserve"> </w:t>
            </w:r>
            <w:bookmarkEnd w:id="4"/>
            <w:bookmarkEnd w:id="5"/>
            <w:bookmarkEnd w:id="6"/>
          </w:p>
          <w:p w14:paraId="346913CA" w14:textId="77777777" w:rsidR="007D1E5A" w:rsidRPr="00894CE8" w:rsidRDefault="007D1E5A" w:rsidP="007D1E5A">
            <w:r>
              <w:t>A</w:t>
            </w:r>
            <w:r w:rsidRPr="00894CE8">
              <w:t xml:space="preserve"> transition to practice program is a formalised education program offered by employers for new graduates in their first year of practice. The program is designed to consolidate knowledge, skills, and competence, and transition new graduates to practi</w:t>
            </w:r>
            <w:r>
              <w:t>s</w:t>
            </w:r>
            <w:r w:rsidRPr="00894CE8">
              <w:t xml:space="preserve">e as safe, </w:t>
            </w:r>
            <w:proofErr w:type="gramStart"/>
            <w:r w:rsidRPr="00894CE8">
              <w:t>confident</w:t>
            </w:r>
            <w:proofErr w:type="gramEnd"/>
            <w:r w:rsidRPr="00894CE8">
              <w:t xml:space="preserve"> and accountable professionals. </w:t>
            </w:r>
          </w:p>
          <w:p w14:paraId="3E28FEE1" w14:textId="77777777" w:rsidR="007D1E5A" w:rsidRPr="00894CE8" w:rsidRDefault="007D1E5A" w:rsidP="007D1E5A">
            <w:r w:rsidRPr="00757C61">
              <w:t>ENTPPs offer formal study days, supernumerary opportunities and clinical support through preceptorship and clinical supervision. Health services are encouraged to also view the Nursing and Midwifery Transition to Practice Guidelines at the following website: &lt;</w:t>
            </w:r>
            <w:hyperlink r:id="rId23" w:history="1">
              <w:r w:rsidRPr="00757C61">
                <w:rPr>
                  <w:rStyle w:val="Hyperlink"/>
                </w:rPr>
                <w:t>https://www.health.vic.gov.au/nursing-and-midwifery/nursing-and-midwifery-graduates</w:t>
              </w:r>
            </w:hyperlink>
            <w:r w:rsidRPr="00757C61">
              <w:t>&gt;.</w:t>
            </w:r>
          </w:p>
          <w:p w14:paraId="45C6D70E" w14:textId="77777777" w:rsidR="007D1E5A" w:rsidRPr="009F2A9F" w:rsidRDefault="007D1E5A" w:rsidP="007D1E5A">
            <w:r w:rsidRPr="00894CE8">
              <w:t>Funding is available for Victorian public health services</w:t>
            </w:r>
            <w:r>
              <w:t xml:space="preserve"> </w:t>
            </w:r>
            <w:r w:rsidRPr="00894CE8">
              <w:t xml:space="preserve">to design, implement and evaluate transition to practice </w:t>
            </w:r>
            <w:r>
              <w:t xml:space="preserve">program </w:t>
            </w:r>
            <w:r w:rsidRPr="00894CE8">
              <w:t>for enrolled nurses (ENs) to grow their local workforce.</w:t>
            </w:r>
            <w:r>
              <w:t xml:space="preserve"> In 2023-24, 85 places (</w:t>
            </w:r>
            <w:r w:rsidRPr="00FD5DAE">
              <w:t xml:space="preserve">$21,750 per ENTPP position) </w:t>
            </w:r>
            <w:r>
              <w:t xml:space="preserve">will be targeted to rural and regional areas. </w:t>
            </w:r>
            <w:r w:rsidRPr="009F2A9F">
              <w:t xml:space="preserve">Funding will be provided to the </w:t>
            </w:r>
            <w:r w:rsidRPr="2A835A0C">
              <w:rPr>
                <w:b/>
                <w:bCs/>
              </w:rPr>
              <w:t xml:space="preserve">five rural health </w:t>
            </w:r>
            <w:r w:rsidRPr="2A835A0C">
              <w:rPr>
                <w:b/>
                <w:bCs/>
              </w:rPr>
              <w:lastRenderedPageBreak/>
              <w:t>consortia</w:t>
            </w:r>
            <w:r w:rsidRPr="009F2A9F">
              <w:t xml:space="preserve"> to provide </w:t>
            </w:r>
            <w:r w:rsidRPr="00752D3E">
              <w:rPr>
                <w:b/>
                <w:bCs/>
              </w:rPr>
              <w:t xml:space="preserve">seventeen </w:t>
            </w:r>
            <w:r>
              <w:t xml:space="preserve">places </w:t>
            </w:r>
            <w:r w:rsidRPr="009F2A9F">
              <w:t xml:space="preserve">for each region. The fund holder in each region will be responsible for coordinating the application and selection process of the </w:t>
            </w:r>
            <w:r>
              <w:t>seventeen</w:t>
            </w:r>
            <w:r w:rsidRPr="009F2A9F">
              <w:t xml:space="preserve"> </w:t>
            </w:r>
            <w:r>
              <w:t>places</w:t>
            </w:r>
            <w:r w:rsidRPr="009F2A9F">
              <w:t xml:space="preserve"> for their region. </w:t>
            </w:r>
          </w:p>
          <w:p w14:paraId="7834FB57" w14:textId="77777777" w:rsidR="007D1E5A" w:rsidRDefault="007D1E5A" w:rsidP="007D1E5A">
            <w:pPr>
              <w:rPr>
                <w:rFonts w:eastAsiaTheme="minorEastAsia" w:cs="Arial"/>
                <w:szCs w:val="21"/>
              </w:rPr>
            </w:pPr>
            <w:r w:rsidRPr="009F2A9F">
              <w:t>The regional consortia fund holders be responsible for managing the scholarship allocation process fairly and transparently</w:t>
            </w:r>
            <w:r>
              <w:t xml:space="preserve">, notifying </w:t>
            </w:r>
            <w:r w:rsidRPr="009F2A9F">
              <w:t>the department</w:t>
            </w:r>
            <w:r>
              <w:t xml:space="preserve"> of the outcome</w:t>
            </w:r>
            <w:r w:rsidRPr="009F2A9F">
              <w:t xml:space="preserve">. </w:t>
            </w:r>
          </w:p>
          <w:p w14:paraId="239B2ED8" w14:textId="77777777" w:rsidR="007D1E5A" w:rsidRPr="001C5CB0" w:rsidRDefault="007D1E5A" w:rsidP="007D1E5A">
            <w:pPr>
              <w:pStyle w:val="Heading1"/>
            </w:pPr>
            <w:bookmarkStart w:id="8" w:name="_Toc256187158"/>
            <w:bookmarkStart w:id="9" w:name="_Toc984322558"/>
            <w:bookmarkStart w:id="10" w:name="_Toc150872339"/>
            <w:r w:rsidRPr="001C5CB0">
              <w:t>Key Dates</w:t>
            </w:r>
            <w:bookmarkEnd w:id="8"/>
            <w:bookmarkEnd w:id="9"/>
            <w:bookmarkEnd w:id="10"/>
          </w:p>
          <w:tbl>
            <w:tblPr>
              <w:tblW w:w="0" w:type="auto"/>
              <w:tblLook w:val="04A0" w:firstRow="1" w:lastRow="0" w:firstColumn="1" w:lastColumn="0" w:noHBand="0" w:noVBand="1"/>
            </w:tblPr>
            <w:tblGrid>
              <w:gridCol w:w="6195"/>
              <w:gridCol w:w="2820"/>
            </w:tblGrid>
            <w:tr w:rsidR="007D1E5A" w:rsidRPr="001C5CB0" w14:paraId="791B3874" w14:textId="77777777" w:rsidTr="00553C36">
              <w:tc>
                <w:tcPr>
                  <w:tcW w:w="6195" w:type="dxa"/>
                  <w:tcBorders>
                    <w:top w:val="single" w:sz="8" w:space="0" w:color="auto"/>
                    <w:left w:val="single" w:sz="8" w:space="0" w:color="auto"/>
                    <w:bottom w:val="single" w:sz="8" w:space="0" w:color="auto"/>
                    <w:right w:val="single" w:sz="8" w:space="0" w:color="auto"/>
                  </w:tcBorders>
                  <w:shd w:val="clear" w:color="auto" w:fill="DBE5F1"/>
                </w:tcPr>
                <w:p w14:paraId="1360E039" w14:textId="77777777" w:rsidR="007D1E5A" w:rsidRPr="001C5CB0" w:rsidRDefault="007D1E5A" w:rsidP="007D1E5A">
                  <w:pPr>
                    <w:rPr>
                      <w:rFonts w:cs="Arial"/>
                      <w:szCs w:val="21"/>
                    </w:rPr>
                  </w:pPr>
                  <w:r w:rsidRPr="001C5CB0">
                    <w:rPr>
                      <w:rFonts w:eastAsia="Arial" w:cs="Arial"/>
                      <w:b/>
                      <w:bCs/>
                      <w:szCs w:val="21"/>
                    </w:rPr>
                    <w:t>Action</w:t>
                  </w:r>
                  <w:r w:rsidRPr="001C5CB0">
                    <w:rPr>
                      <w:rFonts w:eastAsia="Arial" w:cs="Arial"/>
                      <w:szCs w:val="21"/>
                    </w:rPr>
                    <w:t xml:space="preserve"> </w:t>
                  </w:r>
                </w:p>
              </w:tc>
              <w:tc>
                <w:tcPr>
                  <w:tcW w:w="2820" w:type="dxa"/>
                  <w:tcBorders>
                    <w:top w:val="single" w:sz="8" w:space="0" w:color="auto"/>
                    <w:left w:val="single" w:sz="8" w:space="0" w:color="auto"/>
                    <w:bottom w:val="single" w:sz="8" w:space="0" w:color="auto"/>
                    <w:right w:val="single" w:sz="8" w:space="0" w:color="auto"/>
                  </w:tcBorders>
                  <w:shd w:val="clear" w:color="auto" w:fill="DBE5F1"/>
                </w:tcPr>
                <w:p w14:paraId="0686B6B0" w14:textId="77777777" w:rsidR="007D1E5A" w:rsidRPr="001C5CB0" w:rsidRDefault="007D1E5A" w:rsidP="007D1E5A">
                  <w:pPr>
                    <w:rPr>
                      <w:rFonts w:cs="Arial"/>
                      <w:szCs w:val="21"/>
                    </w:rPr>
                  </w:pPr>
                  <w:r w:rsidRPr="001C5CB0">
                    <w:rPr>
                      <w:rFonts w:eastAsia="Arial" w:cs="Arial"/>
                      <w:b/>
                      <w:bCs/>
                      <w:szCs w:val="21"/>
                    </w:rPr>
                    <w:t>Indicative Date</w:t>
                  </w:r>
                  <w:r w:rsidRPr="001C5CB0">
                    <w:rPr>
                      <w:rFonts w:eastAsia="Arial" w:cs="Arial"/>
                      <w:szCs w:val="21"/>
                    </w:rPr>
                    <w:t xml:space="preserve"> </w:t>
                  </w:r>
                </w:p>
              </w:tc>
            </w:tr>
            <w:tr w:rsidR="007D1E5A" w:rsidRPr="00311972" w14:paraId="5AB375BB" w14:textId="77777777" w:rsidTr="00553C36">
              <w:tc>
                <w:tcPr>
                  <w:tcW w:w="6195" w:type="dxa"/>
                  <w:tcBorders>
                    <w:top w:val="single" w:sz="8" w:space="0" w:color="auto"/>
                    <w:left w:val="single" w:sz="8" w:space="0" w:color="auto"/>
                    <w:bottom w:val="single" w:sz="8" w:space="0" w:color="auto"/>
                    <w:right w:val="single" w:sz="8" w:space="0" w:color="auto"/>
                  </w:tcBorders>
                </w:tcPr>
                <w:p w14:paraId="2451B506" w14:textId="77777777" w:rsidR="007D1E5A" w:rsidRPr="00311972" w:rsidRDefault="007D1E5A" w:rsidP="007D1E5A">
                  <w:pPr>
                    <w:rPr>
                      <w:rFonts w:cs="Arial"/>
                      <w:szCs w:val="21"/>
                    </w:rPr>
                  </w:pPr>
                  <w:r w:rsidRPr="00311972">
                    <w:rPr>
                      <w:rFonts w:eastAsia="Arial" w:cs="Arial"/>
                      <w:szCs w:val="21"/>
                    </w:rPr>
                    <w:t xml:space="preserve">Funding applications open </w:t>
                  </w:r>
                </w:p>
              </w:tc>
              <w:tc>
                <w:tcPr>
                  <w:tcW w:w="2820" w:type="dxa"/>
                  <w:tcBorders>
                    <w:top w:val="single" w:sz="8" w:space="0" w:color="auto"/>
                    <w:left w:val="single" w:sz="8" w:space="0" w:color="auto"/>
                    <w:bottom w:val="single" w:sz="8" w:space="0" w:color="auto"/>
                    <w:right w:val="single" w:sz="8" w:space="0" w:color="auto"/>
                  </w:tcBorders>
                </w:tcPr>
                <w:p w14:paraId="6D9A7CD2" w14:textId="77777777" w:rsidR="007D1E5A" w:rsidRPr="00311972" w:rsidRDefault="007D1E5A" w:rsidP="007D1E5A">
                  <w:pPr>
                    <w:rPr>
                      <w:rFonts w:cs="Arial"/>
                      <w:szCs w:val="21"/>
                    </w:rPr>
                  </w:pPr>
                  <w:r w:rsidRPr="00311972">
                    <w:rPr>
                      <w:rFonts w:eastAsia="Arial" w:cs="Arial"/>
                      <w:szCs w:val="21"/>
                    </w:rPr>
                    <w:t xml:space="preserve">Monday </w:t>
                  </w:r>
                  <w:r>
                    <w:rPr>
                      <w:rFonts w:eastAsia="Arial" w:cs="Arial"/>
                      <w:szCs w:val="21"/>
                    </w:rPr>
                    <w:t>30 October</w:t>
                  </w:r>
                  <w:r w:rsidRPr="00311972">
                    <w:rPr>
                      <w:rFonts w:eastAsia="Arial" w:cs="Arial"/>
                      <w:szCs w:val="21"/>
                    </w:rPr>
                    <w:t xml:space="preserve"> 2023</w:t>
                  </w:r>
                </w:p>
              </w:tc>
            </w:tr>
            <w:tr w:rsidR="007D1E5A" w:rsidRPr="00311972" w14:paraId="49DE5DE6" w14:textId="77777777" w:rsidTr="00553C36">
              <w:tc>
                <w:tcPr>
                  <w:tcW w:w="6195" w:type="dxa"/>
                  <w:tcBorders>
                    <w:top w:val="single" w:sz="8" w:space="0" w:color="auto"/>
                    <w:left w:val="single" w:sz="8" w:space="0" w:color="auto"/>
                    <w:bottom w:val="single" w:sz="8" w:space="0" w:color="auto"/>
                    <w:right w:val="single" w:sz="8" w:space="0" w:color="auto"/>
                  </w:tcBorders>
                </w:tcPr>
                <w:p w14:paraId="31B86113" w14:textId="77777777" w:rsidR="007D1E5A" w:rsidRPr="00311972" w:rsidRDefault="007D1E5A" w:rsidP="007D1E5A">
                  <w:pPr>
                    <w:rPr>
                      <w:rFonts w:cs="Arial"/>
                      <w:szCs w:val="21"/>
                    </w:rPr>
                  </w:pPr>
                  <w:r w:rsidRPr="00311972">
                    <w:rPr>
                      <w:rFonts w:eastAsia="Arial" w:cs="Arial"/>
                      <w:szCs w:val="21"/>
                    </w:rPr>
                    <w:t xml:space="preserve">Funding applications close </w:t>
                  </w:r>
                </w:p>
              </w:tc>
              <w:tc>
                <w:tcPr>
                  <w:tcW w:w="2820" w:type="dxa"/>
                  <w:tcBorders>
                    <w:top w:val="single" w:sz="8" w:space="0" w:color="auto"/>
                    <w:left w:val="single" w:sz="8" w:space="0" w:color="auto"/>
                    <w:bottom w:val="single" w:sz="8" w:space="0" w:color="auto"/>
                    <w:right w:val="single" w:sz="8" w:space="0" w:color="auto"/>
                  </w:tcBorders>
                </w:tcPr>
                <w:p w14:paraId="0970DD16" w14:textId="77777777" w:rsidR="007D1E5A" w:rsidRPr="00311972" w:rsidRDefault="007D1E5A" w:rsidP="007D1E5A">
                  <w:pPr>
                    <w:rPr>
                      <w:rFonts w:cs="Arial"/>
                      <w:szCs w:val="21"/>
                    </w:rPr>
                  </w:pPr>
                  <w:r>
                    <w:rPr>
                      <w:rFonts w:eastAsia="Arial" w:cs="Arial"/>
                      <w:szCs w:val="21"/>
                    </w:rPr>
                    <w:t>Friday 15</w:t>
                  </w:r>
                  <w:r w:rsidRPr="00311972">
                    <w:rPr>
                      <w:rFonts w:eastAsia="Arial" w:cs="Arial"/>
                      <w:szCs w:val="21"/>
                    </w:rPr>
                    <w:t xml:space="preserve"> </w:t>
                  </w:r>
                  <w:r>
                    <w:rPr>
                      <w:rFonts w:eastAsia="Arial" w:cs="Arial"/>
                      <w:szCs w:val="21"/>
                    </w:rPr>
                    <w:t>December</w:t>
                  </w:r>
                  <w:r w:rsidRPr="00311972">
                    <w:rPr>
                      <w:rFonts w:eastAsia="Arial" w:cs="Arial"/>
                      <w:szCs w:val="21"/>
                    </w:rPr>
                    <w:t xml:space="preserve"> 2023</w:t>
                  </w:r>
                </w:p>
              </w:tc>
            </w:tr>
            <w:tr w:rsidR="007D1E5A" w:rsidRPr="00311972" w14:paraId="7A4C0002" w14:textId="77777777" w:rsidTr="00553C36">
              <w:tc>
                <w:tcPr>
                  <w:tcW w:w="6195" w:type="dxa"/>
                  <w:tcBorders>
                    <w:top w:val="single" w:sz="8" w:space="0" w:color="auto"/>
                    <w:left w:val="single" w:sz="8" w:space="0" w:color="auto"/>
                    <w:bottom w:val="single" w:sz="8" w:space="0" w:color="auto"/>
                    <w:right w:val="single" w:sz="8" w:space="0" w:color="auto"/>
                  </w:tcBorders>
                </w:tcPr>
                <w:p w14:paraId="72C51047" w14:textId="77777777" w:rsidR="007D1E5A" w:rsidRPr="00311972" w:rsidRDefault="007D1E5A" w:rsidP="007D1E5A">
                  <w:pPr>
                    <w:rPr>
                      <w:rFonts w:cs="Arial"/>
                      <w:szCs w:val="21"/>
                    </w:rPr>
                  </w:pPr>
                  <w:r>
                    <w:rPr>
                      <w:rFonts w:eastAsia="Arial" w:cs="Arial"/>
                      <w:szCs w:val="21"/>
                    </w:rPr>
                    <w:t>Consortia notifies the department of the application process outcomes.</w:t>
                  </w:r>
                </w:p>
              </w:tc>
              <w:tc>
                <w:tcPr>
                  <w:tcW w:w="2820" w:type="dxa"/>
                  <w:tcBorders>
                    <w:top w:val="single" w:sz="8" w:space="0" w:color="auto"/>
                    <w:left w:val="single" w:sz="8" w:space="0" w:color="auto"/>
                    <w:bottom w:val="single" w:sz="8" w:space="0" w:color="auto"/>
                    <w:right w:val="single" w:sz="8" w:space="0" w:color="auto"/>
                  </w:tcBorders>
                </w:tcPr>
                <w:p w14:paraId="0D0E57D3" w14:textId="77777777" w:rsidR="007D1E5A" w:rsidRPr="00311972" w:rsidRDefault="007D1E5A" w:rsidP="007D1E5A">
                  <w:pPr>
                    <w:rPr>
                      <w:rFonts w:cs="Arial"/>
                      <w:szCs w:val="21"/>
                    </w:rPr>
                  </w:pPr>
                  <w:r>
                    <w:rPr>
                      <w:rFonts w:eastAsia="Arial" w:cs="Arial"/>
                      <w:szCs w:val="21"/>
                    </w:rPr>
                    <w:t>30 January 2023</w:t>
                  </w:r>
                </w:p>
              </w:tc>
            </w:tr>
            <w:tr w:rsidR="007D1E5A" w:rsidRPr="00311972" w14:paraId="48425815" w14:textId="77777777" w:rsidTr="00553C36">
              <w:tc>
                <w:tcPr>
                  <w:tcW w:w="6195" w:type="dxa"/>
                  <w:tcBorders>
                    <w:top w:val="single" w:sz="8" w:space="0" w:color="auto"/>
                    <w:left w:val="single" w:sz="8" w:space="0" w:color="auto"/>
                    <w:bottom w:val="single" w:sz="8" w:space="0" w:color="auto"/>
                    <w:right w:val="single" w:sz="8" w:space="0" w:color="auto"/>
                  </w:tcBorders>
                </w:tcPr>
                <w:p w14:paraId="50A93C12" w14:textId="77777777" w:rsidR="007D1E5A" w:rsidRPr="00311972" w:rsidRDefault="007D1E5A" w:rsidP="007D1E5A">
                  <w:pPr>
                    <w:rPr>
                      <w:rFonts w:eastAsia="Arial" w:cs="Arial"/>
                      <w:szCs w:val="21"/>
                    </w:rPr>
                  </w:pPr>
                  <w:r w:rsidRPr="00311972">
                    <w:rPr>
                      <w:rFonts w:eastAsia="Arial" w:cs="Arial"/>
                      <w:szCs w:val="21"/>
                    </w:rPr>
                    <w:t xml:space="preserve">Health services </w:t>
                  </w:r>
                  <w:r>
                    <w:rPr>
                      <w:rFonts w:eastAsia="Arial" w:cs="Arial"/>
                      <w:szCs w:val="21"/>
                    </w:rPr>
                    <w:t xml:space="preserve">anticipated to be </w:t>
                  </w:r>
                  <w:r w:rsidRPr="00311972">
                    <w:rPr>
                      <w:rFonts w:eastAsia="Arial" w:cs="Arial"/>
                      <w:szCs w:val="21"/>
                    </w:rPr>
                    <w:t>notified of application outcome</w:t>
                  </w:r>
                  <w:r>
                    <w:rPr>
                      <w:rFonts w:eastAsia="Arial" w:cs="Arial"/>
                      <w:szCs w:val="21"/>
                    </w:rPr>
                    <w:t>s</w:t>
                  </w:r>
                  <w:r w:rsidRPr="00311972">
                    <w:rPr>
                      <w:rFonts w:eastAsia="Arial" w:cs="Arial"/>
                      <w:szCs w:val="21"/>
                    </w:rPr>
                    <w:t xml:space="preserve">  </w:t>
                  </w:r>
                </w:p>
              </w:tc>
              <w:tc>
                <w:tcPr>
                  <w:tcW w:w="2820" w:type="dxa"/>
                  <w:tcBorders>
                    <w:top w:val="single" w:sz="8" w:space="0" w:color="auto"/>
                    <w:left w:val="single" w:sz="8" w:space="0" w:color="auto"/>
                    <w:bottom w:val="single" w:sz="8" w:space="0" w:color="auto"/>
                    <w:right w:val="single" w:sz="8" w:space="0" w:color="auto"/>
                  </w:tcBorders>
                </w:tcPr>
                <w:p w14:paraId="07725562" w14:textId="77777777" w:rsidR="007D1E5A" w:rsidRPr="00311972" w:rsidRDefault="007D1E5A" w:rsidP="007D1E5A">
                  <w:pPr>
                    <w:rPr>
                      <w:rFonts w:eastAsia="Arial" w:cs="Arial"/>
                      <w:szCs w:val="21"/>
                    </w:rPr>
                  </w:pPr>
                  <w:r>
                    <w:rPr>
                      <w:rFonts w:eastAsia="Arial" w:cs="Arial"/>
                      <w:szCs w:val="21"/>
                    </w:rPr>
                    <w:t xml:space="preserve">February </w:t>
                  </w:r>
                  <w:r w:rsidRPr="00311972">
                    <w:rPr>
                      <w:rFonts w:eastAsia="Arial" w:cs="Arial"/>
                      <w:szCs w:val="21"/>
                    </w:rPr>
                    <w:t xml:space="preserve">2024 </w:t>
                  </w:r>
                </w:p>
              </w:tc>
            </w:tr>
            <w:tr w:rsidR="007D1E5A" w:rsidRPr="00311972" w14:paraId="01BBD622" w14:textId="77777777" w:rsidTr="00553C36">
              <w:tc>
                <w:tcPr>
                  <w:tcW w:w="6195" w:type="dxa"/>
                  <w:tcBorders>
                    <w:top w:val="single" w:sz="8" w:space="0" w:color="auto"/>
                    <w:left w:val="single" w:sz="8" w:space="0" w:color="auto"/>
                    <w:bottom w:val="single" w:sz="8" w:space="0" w:color="auto"/>
                    <w:right w:val="single" w:sz="8" w:space="0" w:color="auto"/>
                  </w:tcBorders>
                </w:tcPr>
                <w:p w14:paraId="343A0269" w14:textId="77777777" w:rsidR="007D1E5A" w:rsidRPr="00311972" w:rsidRDefault="007D1E5A" w:rsidP="007D1E5A">
                  <w:pPr>
                    <w:rPr>
                      <w:rFonts w:cs="Arial"/>
                      <w:szCs w:val="21"/>
                    </w:rPr>
                  </w:pPr>
                  <w:r w:rsidRPr="00311972">
                    <w:rPr>
                      <w:rFonts w:eastAsia="Arial" w:cs="Arial"/>
                      <w:szCs w:val="21"/>
                    </w:rPr>
                    <w:t xml:space="preserve">Funding anticipated to be distributed to health services  </w:t>
                  </w:r>
                </w:p>
              </w:tc>
              <w:tc>
                <w:tcPr>
                  <w:tcW w:w="2820" w:type="dxa"/>
                  <w:tcBorders>
                    <w:top w:val="single" w:sz="8" w:space="0" w:color="auto"/>
                    <w:left w:val="single" w:sz="8" w:space="0" w:color="auto"/>
                    <w:bottom w:val="single" w:sz="8" w:space="0" w:color="auto"/>
                    <w:right w:val="single" w:sz="8" w:space="0" w:color="auto"/>
                  </w:tcBorders>
                </w:tcPr>
                <w:p w14:paraId="307B3563" w14:textId="77777777" w:rsidR="007D1E5A" w:rsidRPr="00311972" w:rsidRDefault="007D1E5A" w:rsidP="007D1E5A">
                  <w:pPr>
                    <w:rPr>
                      <w:rFonts w:cs="Arial"/>
                      <w:szCs w:val="21"/>
                    </w:rPr>
                  </w:pPr>
                  <w:r>
                    <w:rPr>
                      <w:rFonts w:eastAsia="Arial" w:cs="Arial"/>
                      <w:szCs w:val="21"/>
                    </w:rPr>
                    <w:t>Mar</w:t>
                  </w:r>
                  <w:r w:rsidRPr="00311972">
                    <w:rPr>
                      <w:rFonts w:eastAsia="Arial" w:cs="Arial"/>
                      <w:szCs w:val="21"/>
                    </w:rPr>
                    <w:t xml:space="preserve"> 2024–</w:t>
                  </w:r>
                  <w:r>
                    <w:rPr>
                      <w:rFonts w:eastAsia="Arial" w:cs="Arial"/>
                      <w:szCs w:val="21"/>
                    </w:rPr>
                    <w:t>Apr</w:t>
                  </w:r>
                  <w:r w:rsidRPr="00311972">
                    <w:rPr>
                      <w:rFonts w:eastAsia="Arial" w:cs="Arial"/>
                      <w:szCs w:val="21"/>
                    </w:rPr>
                    <w:t xml:space="preserve"> 2024</w:t>
                  </w:r>
                </w:p>
              </w:tc>
            </w:tr>
            <w:tr w:rsidR="007D1E5A" w:rsidRPr="001C5CB0" w14:paraId="3EA46E71" w14:textId="77777777" w:rsidTr="00553C36">
              <w:tc>
                <w:tcPr>
                  <w:tcW w:w="6195" w:type="dxa"/>
                  <w:tcBorders>
                    <w:top w:val="single" w:sz="8" w:space="0" w:color="auto"/>
                    <w:left w:val="single" w:sz="8" w:space="0" w:color="auto"/>
                    <w:bottom w:val="single" w:sz="8" w:space="0" w:color="auto"/>
                    <w:right w:val="single" w:sz="8" w:space="0" w:color="auto"/>
                  </w:tcBorders>
                </w:tcPr>
                <w:p w14:paraId="1E128E8D" w14:textId="77777777" w:rsidR="007D1E5A" w:rsidRPr="00311972" w:rsidRDefault="007D1E5A" w:rsidP="007D1E5A">
                  <w:pPr>
                    <w:rPr>
                      <w:rFonts w:cs="Arial"/>
                      <w:szCs w:val="21"/>
                    </w:rPr>
                  </w:pPr>
                  <w:r w:rsidRPr="00311972">
                    <w:rPr>
                      <w:rFonts w:eastAsia="Arial" w:cs="Arial"/>
                      <w:szCs w:val="21"/>
                    </w:rPr>
                    <w:t xml:space="preserve">Health services report to department on funded activity  </w:t>
                  </w:r>
                </w:p>
              </w:tc>
              <w:tc>
                <w:tcPr>
                  <w:tcW w:w="2820" w:type="dxa"/>
                  <w:tcBorders>
                    <w:top w:val="single" w:sz="8" w:space="0" w:color="auto"/>
                    <w:left w:val="single" w:sz="8" w:space="0" w:color="auto"/>
                    <w:bottom w:val="single" w:sz="8" w:space="0" w:color="auto"/>
                    <w:right w:val="single" w:sz="8" w:space="0" w:color="auto"/>
                  </w:tcBorders>
                </w:tcPr>
                <w:p w14:paraId="48F3738B" w14:textId="77777777" w:rsidR="007D1E5A" w:rsidRPr="001C5CB0" w:rsidRDefault="007D1E5A" w:rsidP="007D1E5A">
                  <w:pPr>
                    <w:rPr>
                      <w:rFonts w:cs="Arial"/>
                      <w:szCs w:val="21"/>
                    </w:rPr>
                  </w:pPr>
                  <w:r>
                    <w:rPr>
                      <w:rFonts w:eastAsia="Arial" w:cs="Arial"/>
                      <w:szCs w:val="21"/>
                    </w:rPr>
                    <w:t>December</w:t>
                  </w:r>
                  <w:r w:rsidRPr="00311972">
                    <w:rPr>
                      <w:rFonts w:eastAsia="Arial" w:cs="Arial"/>
                      <w:szCs w:val="21"/>
                    </w:rPr>
                    <w:t xml:space="preserve"> 2024</w:t>
                  </w:r>
                </w:p>
              </w:tc>
            </w:tr>
          </w:tbl>
          <w:p w14:paraId="452DC1D0" w14:textId="77777777" w:rsidR="007D1E5A" w:rsidRDefault="007D1E5A" w:rsidP="007D1E5A">
            <w:pPr>
              <w:pStyle w:val="Heading1"/>
            </w:pPr>
            <w:bookmarkStart w:id="11" w:name="_Toc150872340"/>
            <w:r>
              <w:t>Scope</w:t>
            </w:r>
            <w:bookmarkEnd w:id="11"/>
          </w:p>
          <w:p w14:paraId="07711D76" w14:textId="77777777" w:rsidR="007D1E5A" w:rsidRDefault="007D1E5A" w:rsidP="007D1E5A">
            <w:pPr>
              <w:pStyle w:val="Body"/>
              <w:rPr>
                <w:rFonts w:eastAsia="Arial" w:cs="Arial"/>
                <w:b/>
                <w:bCs/>
                <w:color w:val="000000" w:themeColor="text1"/>
                <w:szCs w:val="21"/>
              </w:rPr>
            </w:pPr>
            <w:r w:rsidRPr="03937D94">
              <w:rPr>
                <w:rFonts w:eastAsia="Arial" w:cs="Arial"/>
                <w:b/>
                <w:bCs/>
                <w:color w:val="000000" w:themeColor="text1"/>
                <w:szCs w:val="21"/>
              </w:rPr>
              <w:t>In Scope</w:t>
            </w:r>
          </w:p>
          <w:p w14:paraId="1983E3A1" w14:textId="77777777" w:rsidR="007D1E5A" w:rsidRDefault="007D1E5A" w:rsidP="00C60614">
            <w:pPr>
              <w:pStyle w:val="Body"/>
              <w:numPr>
                <w:ilvl w:val="0"/>
                <w:numId w:val="10"/>
              </w:numPr>
              <w:rPr>
                <w:rFonts w:eastAsia="Arial" w:cs="Arial"/>
                <w:color w:val="000000" w:themeColor="text1"/>
              </w:rPr>
            </w:pPr>
            <w:r>
              <w:rPr>
                <w:rFonts w:eastAsia="Arial" w:cs="Arial"/>
                <w:color w:val="000000" w:themeColor="text1"/>
              </w:rPr>
              <w:t>D</w:t>
            </w:r>
            <w:r w:rsidRPr="00AB3379">
              <w:rPr>
                <w:rFonts w:eastAsia="Arial" w:cs="Arial"/>
                <w:color w:val="000000" w:themeColor="text1"/>
              </w:rPr>
              <w:t xml:space="preserve">esign, </w:t>
            </w:r>
            <w:proofErr w:type="gramStart"/>
            <w:r w:rsidRPr="00AB3379">
              <w:rPr>
                <w:rFonts w:eastAsia="Arial" w:cs="Arial"/>
                <w:color w:val="000000" w:themeColor="text1"/>
              </w:rPr>
              <w:t>implement</w:t>
            </w:r>
            <w:r>
              <w:rPr>
                <w:rFonts w:eastAsia="Arial" w:cs="Arial"/>
                <w:color w:val="000000" w:themeColor="text1"/>
              </w:rPr>
              <w:t>ation</w:t>
            </w:r>
            <w:proofErr w:type="gramEnd"/>
            <w:r w:rsidRPr="00AB3379">
              <w:rPr>
                <w:rFonts w:eastAsia="Arial" w:cs="Arial"/>
                <w:color w:val="000000" w:themeColor="text1"/>
              </w:rPr>
              <w:t xml:space="preserve"> and evaluat</w:t>
            </w:r>
            <w:r>
              <w:rPr>
                <w:rFonts w:eastAsia="Arial" w:cs="Arial"/>
                <w:color w:val="000000" w:themeColor="text1"/>
              </w:rPr>
              <w:t xml:space="preserve">ion of </w:t>
            </w:r>
            <w:r w:rsidRPr="00AB3379">
              <w:rPr>
                <w:rFonts w:eastAsia="Arial" w:cs="Arial"/>
                <w:color w:val="000000" w:themeColor="text1"/>
              </w:rPr>
              <w:t xml:space="preserve">transition to practice </w:t>
            </w:r>
            <w:r>
              <w:rPr>
                <w:rFonts w:eastAsia="Arial" w:cs="Arial"/>
                <w:color w:val="000000" w:themeColor="text1"/>
              </w:rPr>
              <w:t>program</w:t>
            </w:r>
            <w:r w:rsidRPr="00AB3379">
              <w:rPr>
                <w:rFonts w:eastAsia="Arial" w:cs="Arial"/>
                <w:color w:val="000000" w:themeColor="text1"/>
              </w:rPr>
              <w:t xml:space="preserve"> for ENs to </w:t>
            </w:r>
            <w:r>
              <w:rPr>
                <w:rFonts w:eastAsia="Arial" w:cs="Arial"/>
                <w:color w:val="000000" w:themeColor="text1"/>
              </w:rPr>
              <w:t xml:space="preserve">enable health services to </w:t>
            </w:r>
            <w:r w:rsidRPr="00AB3379">
              <w:rPr>
                <w:rFonts w:eastAsia="Arial" w:cs="Arial"/>
                <w:color w:val="000000" w:themeColor="text1"/>
              </w:rPr>
              <w:t>grow their local workforce.</w:t>
            </w:r>
          </w:p>
          <w:p w14:paraId="73C04DF5" w14:textId="77777777" w:rsidR="007D1E5A" w:rsidRPr="00AB3379" w:rsidRDefault="007D1E5A" w:rsidP="00C60614">
            <w:pPr>
              <w:pStyle w:val="Body"/>
              <w:numPr>
                <w:ilvl w:val="0"/>
                <w:numId w:val="10"/>
              </w:numPr>
              <w:rPr>
                <w:rFonts w:eastAsia="Arial" w:cs="Arial"/>
                <w:color w:val="000000" w:themeColor="text1"/>
              </w:rPr>
            </w:pPr>
            <w:r>
              <w:rPr>
                <w:rFonts w:eastAsia="Arial" w:cs="Arial"/>
                <w:color w:val="000000" w:themeColor="text1"/>
              </w:rPr>
              <w:t>F</w:t>
            </w:r>
            <w:r w:rsidRPr="00AB3379">
              <w:rPr>
                <w:rFonts w:eastAsia="Arial" w:cs="Arial"/>
                <w:color w:val="000000" w:themeColor="text1"/>
              </w:rPr>
              <w:t xml:space="preserve">ormalised education </w:t>
            </w:r>
            <w:r>
              <w:rPr>
                <w:rFonts w:eastAsia="Arial" w:cs="Arial"/>
                <w:color w:val="000000" w:themeColor="text1"/>
              </w:rPr>
              <w:t>program of minimum six months’ duration,</w:t>
            </w:r>
            <w:r w:rsidRPr="00AB3379">
              <w:rPr>
                <w:rFonts w:eastAsia="Arial" w:cs="Arial"/>
                <w:color w:val="000000" w:themeColor="text1"/>
              </w:rPr>
              <w:t xml:space="preserve"> offered by employers for new </w:t>
            </w:r>
            <w:r>
              <w:rPr>
                <w:rFonts w:eastAsia="Arial" w:cs="Arial"/>
                <w:color w:val="000000" w:themeColor="text1"/>
              </w:rPr>
              <w:t xml:space="preserve">EN </w:t>
            </w:r>
            <w:r w:rsidRPr="00AB3379">
              <w:rPr>
                <w:rFonts w:eastAsia="Arial" w:cs="Arial"/>
                <w:color w:val="000000" w:themeColor="text1"/>
              </w:rPr>
              <w:t>graduates in their first year of practice. The program is designed to consolidate knowledge, skills, and competence, and transition new graduates to practi</w:t>
            </w:r>
            <w:r>
              <w:rPr>
                <w:rFonts w:eastAsia="Arial" w:cs="Arial"/>
                <w:color w:val="000000" w:themeColor="text1"/>
              </w:rPr>
              <w:t>s</w:t>
            </w:r>
            <w:r w:rsidRPr="00AB3379">
              <w:rPr>
                <w:rFonts w:eastAsia="Arial" w:cs="Arial"/>
                <w:color w:val="000000" w:themeColor="text1"/>
              </w:rPr>
              <w:t xml:space="preserve">e as safe, </w:t>
            </w:r>
            <w:proofErr w:type="gramStart"/>
            <w:r w:rsidRPr="00AB3379">
              <w:rPr>
                <w:rFonts w:eastAsia="Arial" w:cs="Arial"/>
                <w:color w:val="000000" w:themeColor="text1"/>
              </w:rPr>
              <w:t>confident</w:t>
            </w:r>
            <w:proofErr w:type="gramEnd"/>
            <w:r w:rsidRPr="00AB3379">
              <w:rPr>
                <w:rFonts w:eastAsia="Arial" w:cs="Arial"/>
                <w:color w:val="000000" w:themeColor="text1"/>
              </w:rPr>
              <w:t xml:space="preserve"> and accountable professionals. </w:t>
            </w:r>
          </w:p>
          <w:p w14:paraId="337BB23B" w14:textId="77777777" w:rsidR="007D1E5A" w:rsidRPr="00AB3379" w:rsidRDefault="007D1E5A" w:rsidP="00C60614">
            <w:pPr>
              <w:pStyle w:val="Body"/>
              <w:numPr>
                <w:ilvl w:val="0"/>
                <w:numId w:val="10"/>
              </w:numPr>
              <w:rPr>
                <w:rFonts w:eastAsia="Arial" w:cs="Arial"/>
                <w:color w:val="000000" w:themeColor="text1"/>
              </w:rPr>
            </w:pPr>
            <w:r w:rsidRPr="00AB3379">
              <w:rPr>
                <w:rFonts w:eastAsia="Arial" w:cs="Arial"/>
                <w:color w:val="000000" w:themeColor="text1"/>
              </w:rPr>
              <w:t xml:space="preserve">ENTPPs </w:t>
            </w:r>
            <w:r>
              <w:rPr>
                <w:rFonts w:eastAsia="Arial" w:cs="Arial"/>
                <w:color w:val="000000" w:themeColor="text1"/>
              </w:rPr>
              <w:t xml:space="preserve">should </w:t>
            </w:r>
            <w:r w:rsidRPr="00AB3379">
              <w:rPr>
                <w:rFonts w:eastAsia="Arial" w:cs="Arial"/>
                <w:color w:val="000000" w:themeColor="text1"/>
              </w:rPr>
              <w:t xml:space="preserve">offer formal study days, supernumerary opportunities and clinical support through preceptorship and clinical supervision. </w:t>
            </w:r>
          </w:p>
          <w:p w14:paraId="2B714F96" w14:textId="77777777" w:rsidR="007D1E5A" w:rsidRDefault="007D1E5A" w:rsidP="007D1E5A">
            <w:pPr>
              <w:pStyle w:val="Body"/>
              <w:rPr>
                <w:rFonts w:eastAsia="Arial" w:cs="Arial"/>
                <w:b/>
                <w:bCs/>
                <w:color w:val="000000" w:themeColor="text1"/>
                <w:szCs w:val="21"/>
              </w:rPr>
            </w:pPr>
            <w:r w:rsidRPr="03937D94">
              <w:rPr>
                <w:rFonts w:eastAsia="Arial" w:cs="Arial"/>
                <w:b/>
                <w:bCs/>
                <w:color w:val="000000" w:themeColor="text1"/>
                <w:szCs w:val="21"/>
              </w:rPr>
              <w:t>Out of Scope</w:t>
            </w:r>
          </w:p>
          <w:p w14:paraId="3506F247" w14:textId="77777777" w:rsidR="007D1E5A" w:rsidRPr="00015031" w:rsidRDefault="007D1E5A" w:rsidP="00C60614">
            <w:pPr>
              <w:pStyle w:val="Body"/>
              <w:numPr>
                <w:ilvl w:val="0"/>
                <w:numId w:val="9"/>
              </w:numPr>
              <w:rPr>
                <w:rFonts w:eastAsia="Arial" w:cs="Arial"/>
                <w:b/>
                <w:bCs/>
                <w:color w:val="000000" w:themeColor="text1"/>
                <w:szCs w:val="21"/>
              </w:rPr>
            </w:pPr>
            <w:r>
              <w:t>Program of less than six months’ duration.</w:t>
            </w:r>
          </w:p>
          <w:p w14:paraId="66895DE4" w14:textId="77777777" w:rsidR="007D1E5A" w:rsidRDefault="007D1E5A" w:rsidP="00C60614">
            <w:pPr>
              <w:pStyle w:val="Body"/>
              <w:numPr>
                <w:ilvl w:val="0"/>
                <w:numId w:val="9"/>
              </w:numPr>
              <w:rPr>
                <w:rFonts w:eastAsia="Arial" w:cs="Arial"/>
                <w:b/>
                <w:bCs/>
                <w:color w:val="000000" w:themeColor="text1"/>
              </w:rPr>
            </w:pPr>
            <w:r>
              <w:t>ENs who qualified more than 12 months ago, at the time of their application.</w:t>
            </w:r>
          </w:p>
          <w:p w14:paraId="3EE3D456" w14:textId="77777777" w:rsidR="007D1E5A" w:rsidRPr="001C5CB0" w:rsidRDefault="007D1E5A" w:rsidP="007D1E5A">
            <w:pPr>
              <w:pStyle w:val="Heading1"/>
            </w:pPr>
            <w:bookmarkStart w:id="12" w:name="_Toc150872341"/>
            <w:bookmarkStart w:id="13" w:name="_Toc1153431471"/>
            <w:bookmarkStart w:id="14" w:name="_Toc1862201374"/>
            <w:bookmarkStart w:id="15" w:name="_Toc972310038"/>
            <w:bookmarkStart w:id="16" w:name="_Toc214765351"/>
            <w:r w:rsidRPr="001C5CB0">
              <w:t>How to Apply</w:t>
            </w:r>
            <w:bookmarkEnd w:id="12"/>
            <w:r w:rsidRPr="001C5CB0">
              <w:t xml:space="preserve"> </w:t>
            </w:r>
            <w:bookmarkEnd w:id="13"/>
            <w:bookmarkEnd w:id="14"/>
          </w:p>
          <w:p w14:paraId="4555BF48" w14:textId="77777777" w:rsidR="007D1E5A" w:rsidRPr="001C5CB0" w:rsidRDefault="007D1E5A" w:rsidP="007D1E5A">
            <w:pPr>
              <w:rPr>
                <w:rFonts w:eastAsia="Calibri" w:cs="Arial"/>
                <w:lang w:val="en-US"/>
              </w:rPr>
            </w:pPr>
            <w:r w:rsidRPr="1DCF453D">
              <w:rPr>
                <w:rFonts w:eastAsia="Calibri" w:cs="Arial"/>
              </w:rPr>
              <w:t>Funding in</w:t>
            </w:r>
            <w:r>
              <w:rPr>
                <w:rFonts w:eastAsia="Calibri" w:cs="Arial"/>
              </w:rPr>
              <w:t xml:space="preserve"> 2023-24</w:t>
            </w:r>
            <w:r w:rsidRPr="1DCF453D">
              <w:rPr>
                <w:rFonts w:eastAsia="Calibri" w:cs="Arial"/>
                <w:color w:val="0070C0"/>
              </w:rPr>
              <w:t xml:space="preserve"> </w:t>
            </w:r>
            <w:r w:rsidRPr="1DCF453D">
              <w:rPr>
                <w:rFonts w:eastAsia="Calibri" w:cs="Arial"/>
              </w:rPr>
              <w:t>is available through an application process</w:t>
            </w:r>
            <w:r>
              <w:rPr>
                <w:rFonts w:eastAsia="Calibri" w:cs="Arial"/>
              </w:rPr>
              <w:t xml:space="preserve"> to the </w:t>
            </w:r>
            <w:r w:rsidRPr="009F2A9F">
              <w:t xml:space="preserve">five rural health consortia </w:t>
            </w:r>
            <w:r w:rsidRPr="1DCF453D">
              <w:rPr>
                <w:rFonts w:eastAsia="Calibri" w:cs="Arial"/>
              </w:rPr>
              <w:t xml:space="preserve">and is intended to: </w:t>
            </w:r>
            <w:r w:rsidRPr="1DCF453D">
              <w:rPr>
                <w:rFonts w:eastAsia="Calibri" w:cs="Arial"/>
                <w:lang w:val="en-US"/>
              </w:rPr>
              <w:t xml:space="preserve"> </w:t>
            </w:r>
          </w:p>
          <w:p w14:paraId="05981769" w14:textId="77777777" w:rsidR="007D1E5A" w:rsidRPr="00342DE9" w:rsidRDefault="007D1E5A" w:rsidP="00C60614">
            <w:pPr>
              <w:pStyle w:val="ListParagraph"/>
              <w:numPr>
                <w:ilvl w:val="0"/>
                <w:numId w:val="8"/>
              </w:numPr>
              <w:rPr>
                <w:rFonts w:ascii="Arial" w:eastAsiaTheme="minorEastAsia" w:hAnsi="Arial" w:cs="Arial"/>
                <w:sz w:val="21"/>
                <w:szCs w:val="21"/>
              </w:rPr>
            </w:pPr>
            <w:r w:rsidRPr="00342DE9">
              <w:rPr>
                <w:rFonts w:ascii="Arial" w:eastAsiaTheme="minorEastAsia" w:hAnsi="Arial" w:cs="Arial"/>
                <w:sz w:val="21"/>
                <w:szCs w:val="21"/>
              </w:rPr>
              <w:lastRenderedPageBreak/>
              <w:t>address current and future workforce shortfalls</w:t>
            </w:r>
            <w:r>
              <w:rPr>
                <w:rFonts w:ascii="Arial" w:eastAsiaTheme="minorEastAsia" w:hAnsi="Arial" w:cs="Arial"/>
                <w:sz w:val="21"/>
                <w:szCs w:val="21"/>
              </w:rPr>
              <w:t>.</w:t>
            </w:r>
            <w:r w:rsidRPr="00342DE9">
              <w:rPr>
                <w:rFonts w:ascii="Arial" w:eastAsiaTheme="minorEastAsia" w:hAnsi="Arial" w:cs="Arial"/>
                <w:sz w:val="21"/>
                <w:szCs w:val="21"/>
              </w:rPr>
              <w:t> </w:t>
            </w:r>
          </w:p>
          <w:p w14:paraId="36C6B9FD" w14:textId="77777777" w:rsidR="007D1E5A" w:rsidRPr="00342DE9" w:rsidRDefault="007D1E5A" w:rsidP="00C60614">
            <w:pPr>
              <w:pStyle w:val="ListParagraph"/>
              <w:numPr>
                <w:ilvl w:val="0"/>
                <w:numId w:val="8"/>
              </w:numPr>
              <w:rPr>
                <w:rFonts w:ascii="Arial" w:eastAsiaTheme="minorEastAsia" w:hAnsi="Arial" w:cs="Arial"/>
                <w:sz w:val="21"/>
                <w:szCs w:val="21"/>
              </w:rPr>
            </w:pPr>
            <w:r w:rsidRPr="00342DE9">
              <w:rPr>
                <w:rFonts w:ascii="Arial" w:eastAsiaTheme="minorEastAsia" w:hAnsi="Arial" w:cs="Arial"/>
                <w:sz w:val="21"/>
                <w:szCs w:val="21"/>
              </w:rPr>
              <w:t xml:space="preserve">address future staffing requirements associated with implementation of the </w:t>
            </w:r>
            <w:r w:rsidRPr="005C18B4">
              <w:rPr>
                <w:rFonts w:ascii="Arial" w:eastAsiaTheme="minorEastAsia" w:hAnsi="Arial" w:cs="Arial"/>
                <w:i/>
                <w:iCs/>
                <w:sz w:val="21"/>
                <w:szCs w:val="21"/>
              </w:rPr>
              <w:t>Safe Patient Care (Nurse to Patient and Midwife to Patient Ratios) Act 2015</w:t>
            </w:r>
            <w:r w:rsidRPr="00342DE9">
              <w:rPr>
                <w:rFonts w:ascii="Arial" w:eastAsiaTheme="minorEastAsia" w:hAnsi="Arial" w:cs="Arial"/>
                <w:sz w:val="21"/>
                <w:szCs w:val="21"/>
              </w:rPr>
              <w:t xml:space="preserve"> (the Act) </w:t>
            </w:r>
            <w:r w:rsidRPr="004A2A8B">
              <w:rPr>
                <w:rFonts w:ascii="Arial" w:eastAsiaTheme="minorEastAsia" w:hAnsi="Arial" w:cs="Arial"/>
                <w:sz w:val="21"/>
                <w:szCs w:val="21"/>
              </w:rPr>
              <w:t xml:space="preserve">(Note: </w:t>
            </w:r>
            <w:r w:rsidRPr="00342DE9">
              <w:rPr>
                <w:rFonts w:ascii="Arial" w:eastAsiaTheme="minorEastAsia" w:hAnsi="Arial" w:cs="Arial"/>
                <w:sz w:val="21"/>
                <w:szCs w:val="21"/>
              </w:rPr>
              <w:t xml:space="preserve">A ‘Guide to Implementation of amendments to the Safe Patient Care Act’ which includes a calendar of amendments, can be downloaded at: </w:t>
            </w:r>
            <w:r>
              <w:rPr>
                <w:rFonts w:ascii="Arial" w:eastAsiaTheme="minorEastAsia" w:hAnsi="Arial" w:cs="Arial"/>
                <w:sz w:val="21"/>
                <w:szCs w:val="21"/>
              </w:rPr>
              <w:t>&lt;</w:t>
            </w:r>
            <w:hyperlink r:id="rId24" w:history="1">
              <w:r w:rsidRPr="00F9573D">
                <w:rPr>
                  <w:rStyle w:val="Hyperlink"/>
                  <w:rFonts w:ascii="Arial" w:eastAsiaTheme="minorEastAsia" w:hAnsi="Arial" w:cs="Arial"/>
                  <w:sz w:val="21"/>
                  <w:szCs w:val="21"/>
                </w:rPr>
                <w:t>Safe Patient Care (Nurse to Patient and Midwife to Patient Ratios) Act 2015 (health.vic.gov.au)</w:t>
              </w:r>
            </w:hyperlink>
            <w:r>
              <w:rPr>
                <w:rFonts w:ascii="Arial" w:eastAsiaTheme="minorEastAsia" w:hAnsi="Arial" w:cs="Arial"/>
                <w:sz w:val="21"/>
                <w:szCs w:val="21"/>
              </w:rPr>
              <w:t>&gt;.</w:t>
            </w:r>
          </w:p>
          <w:p w14:paraId="00D9E426" w14:textId="77777777" w:rsidR="007D1E5A" w:rsidRDefault="007D1E5A" w:rsidP="00C60614">
            <w:pPr>
              <w:pStyle w:val="ListParagraph"/>
              <w:numPr>
                <w:ilvl w:val="0"/>
                <w:numId w:val="8"/>
              </w:numPr>
              <w:rPr>
                <w:rFonts w:ascii="Arial" w:eastAsiaTheme="minorEastAsia" w:hAnsi="Arial" w:cs="Arial"/>
                <w:sz w:val="21"/>
                <w:szCs w:val="21"/>
              </w:rPr>
            </w:pPr>
            <w:r w:rsidRPr="00342DE9">
              <w:rPr>
                <w:rFonts w:ascii="Arial" w:eastAsiaTheme="minorEastAsia" w:hAnsi="Arial" w:cs="Arial"/>
                <w:sz w:val="21"/>
                <w:szCs w:val="21"/>
              </w:rPr>
              <w:t>provide employment pathways for ENs, including those</w:t>
            </w:r>
            <w:r>
              <w:rPr>
                <w:rFonts w:ascii="Arial" w:eastAsiaTheme="minorEastAsia" w:hAnsi="Arial" w:cs="Arial"/>
                <w:sz w:val="21"/>
                <w:szCs w:val="21"/>
              </w:rPr>
              <w:t xml:space="preserve"> </w:t>
            </w:r>
            <w:r w:rsidRPr="00E84A86">
              <w:rPr>
                <w:rFonts w:ascii="Arial" w:eastAsiaTheme="minorEastAsia" w:hAnsi="Arial" w:cs="Arial"/>
                <w:sz w:val="21"/>
                <w:szCs w:val="21"/>
              </w:rPr>
              <w:t>completing a Diploma of Nursing as part of the Free TAFE initiative.</w:t>
            </w:r>
            <w:r w:rsidRPr="00342DE9">
              <w:rPr>
                <w:rFonts w:ascii="Arial" w:eastAsiaTheme="minorEastAsia" w:hAnsi="Arial" w:cs="Arial"/>
                <w:sz w:val="21"/>
                <w:szCs w:val="21"/>
              </w:rPr>
              <w:t xml:space="preserve"> </w:t>
            </w:r>
          </w:p>
          <w:p w14:paraId="421232FD" w14:textId="77777777" w:rsidR="007D1E5A" w:rsidRPr="001C5CB0" w:rsidRDefault="007D1E5A" w:rsidP="007D1E5A">
            <w:pPr>
              <w:rPr>
                <w:rFonts w:eastAsia="Arial" w:cs="Arial"/>
                <w:color w:val="000000" w:themeColor="text1"/>
                <w:szCs w:val="21"/>
              </w:rPr>
            </w:pPr>
            <w:r w:rsidRPr="001C5CB0">
              <w:rPr>
                <w:rFonts w:eastAsia="Arial" w:cs="Arial"/>
                <w:szCs w:val="21"/>
              </w:rPr>
              <w:t xml:space="preserve">Victorian public health </w:t>
            </w:r>
            <w:r w:rsidRPr="002237ED">
              <w:rPr>
                <w:rFonts w:eastAsia="Arial" w:cs="Arial"/>
                <w:szCs w:val="21"/>
              </w:rPr>
              <w:t xml:space="preserve">services are invited to submit the attached funding application form outlining their </w:t>
            </w:r>
            <w:r w:rsidRPr="002237ED">
              <w:rPr>
                <w:rFonts w:eastAsia="Arial" w:cs="Arial"/>
                <w:color w:val="000000" w:themeColor="text1"/>
                <w:szCs w:val="21"/>
              </w:rPr>
              <w:t>expected activity commitment for 2023-24 to their relevant Consorti</w:t>
            </w:r>
            <w:r>
              <w:rPr>
                <w:rFonts w:eastAsia="Arial" w:cs="Arial"/>
                <w:color w:val="000000" w:themeColor="text1"/>
                <w:szCs w:val="21"/>
              </w:rPr>
              <w:t>um</w:t>
            </w:r>
            <w:r w:rsidRPr="002237ED">
              <w:rPr>
                <w:rFonts w:eastAsia="Arial" w:cs="Arial"/>
                <w:color w:val="0070C0"/>
                <w:szCs w:val="21"/>
              </w:rPr>
              <w:t>.</w:t>
            </w:r>
          </w:p>
          <w:p w14:paraId="4F3ADBB1" w14:textId="77777777" w:rsidR="007D1E5A" w:rsidRPr="001C5CB0" w:rsidRDefault="007D1E5A" w:rsidP="007D1E5A">
            <w:pPr>
              <w:rPr>
                <w:rFonts w:cs="Arial"/>
                <w:szCs w:val="21"/>
              </w:rPr>
            </w:pPr>
            <w:r w:rsidRPr="004819AB">
              <w:rPr>
                <w:rFonts w:eastAsia="Arial" w:cs="Arial"/>
                <w:b/>
                <w:bCs/>
                <w:szCs w:val="21"/>
              </w:rPr>
              <w:t xml:space="preserve">Completed funding application forms must be </w:t>
            </w:r>
            <w:r w:rsidRPr="002237ED">
              <w:rPr>
                <w:rFonts w:eastAsia="Arial" w:cs="Arial"/>
                <w:b/>
                <w:bCs/>
                <w:szCs w:val="21"/>
              </w:rPr>
              <w:t xml:space="preserve">submitted by </w:t>
            </w:r>
            <w:r>
              <w:rPr>
                <w:rFonts w:eastAsia="Arial" w:cs="Arial"/>
                <w:b/>
                <w:bCs/>
                <w:szCs w:val="21"/>
              </w:rPr>
              <w:t>Friday 15 December</w:t>
            </w:r>
            <w:r w:rsidRPr="002237ED">
              <w:rPr>
                <w:rFonts w:eastAsia="Arial" w:cs="Arial"/>
                <w:b/>
                <w:bCs/>
                <w:szCs w:val="21"/>
              </w:rPr>
              <w:t xml:space="preserve"> 2023.</w:t>
            </w:r>
            <w:r w:rsidRPr="004819AB">
              <w:rPr>
                <w:rFonts w:eastAsia="Arial" w:cs="Arial"/>
                <w:b/>
                <w:bCs/>
                <w:szCs w:val="21"/>
              </w:rPr>
              <w:t xml:space="preserve">   </w:t>
            </w:r>
            <w:r w:rsidRPr="004819AB">
              <w:rPr>
                <w:rFonts w:cs="Arial"/>
                <w:b/>
                <w:bCs/>
                <w:szCs w:val="21"/>
              </w:rPr>
              <w:br/>
            </w:r>
            <w:r w:rsidRPr="004819AB">
              <w:rPr>
                <w:rFonts w:eastAsia="Arial" w:cs="Arial"/>
                <w:b/>
                <w:bCs/>
                <w:szCs w:val="21"/>
              </w:rPr>
              <w:t>Late or unsigned applications may not be accepted.</w:t>
            </w:r>
            <w:r w:rsidRPr="001C5CB0">
              <w:rPr>
                <w:rFonts w:eastAsia="Arial" w:cs="Arial"/>
                <w:szCs w:val="21"/>
              </w:rPr>
              <w:t xml:space="preserve"> </w:t>
            </w:r>
          </w:p>
          <w:p w14:paraId="200AFB0E" w14:textId="77777777" w:rsidR="007D1E5A" w:rsidRPr="009F2A9F" w:rsidRDefault="007D1E5A" w:rsidP="007D1E5A">
            <w:r w:rsidRPr="009F2A9F">
              <w:t>The fundholders for each consorti</w:t>
            </w:r>
            <w:r>
              <w:t>um</w:t>
            </w:r>
            <w:r w:rsidRPr="009F2A9F">
              <w:t xml:space="preserve"> are: </w:t>
            </w:r>
          </w:p>
          <w:p w14:paraId="604E152F" w14:textId="77777777" w:rsidR="007D1E5A" w:rsidRPr="009F2A9F" w:rsidRDefault="007D1E5A" w:rsidP="00C60614">
            <w:pPr>
              <w:numPr>
                <w:ilvl w:val="0"/>
                <w:numId w:val="16"/>
              </w:numPr>
            </w:pPr>
            <w:r w:rsidRPr="009F2A9F">
              <w:rPr>
                <w:b/>
                <w:bCs/>
              </w:rPr>
              <w:t>Barwon region</w:t>
            </w:r>
            <w:r w:rsidRPr="009F2A9F">
              <w:t>: Barwon Health </w:t>
            </w:r>
          </w:p>
          <w:p w14:paraId="2E8FA8C2" w14:textId="77777777" w:rsidR="007D1E5A" w:rsidRPr="009F2A9F" w:rsidRDefault="007D1E5A" w:rsidP="00C60614">
            <w:pPr>
              <w:numPr>
                <w:ilvl w:val="0"/>
                <w:numId w:val="17"/>
              </w:numPr>
            </w:pPr>
            <w:r w:rsidRPr="009F2A9F">
              <w:rPr>
                <w:b/>
                <w:bCs/>
              </w:rPr>
              <w:t>Loddon Mallee Region</w:t>
            </w:r>
            <w:r w:rsidRPr="009F2A9F">
              <w:t>: Bendigo Health  </w:t>
            </w:r>
          </w:p>
          <w:p w14:paraId="5849D78B" w14:textId="77777777" w:rsidR="007D1E5A" w:rsidRPr="009F2A9F" w:rsidRDefault="007D1E5A" w:rsidP="00C60614">
            <w:pPr>
              <w:numPr>
                <w:ilvl w:val="0"/>
                <w:numId w:val="17"/>
              </w:numPr>
            </w:pPr>
            <w:r w:rsidRPr="009F2A9F">
              <w:rPr>
                <w:b/>
                <w:bCs/>
              </w:rPr>
              <w:t>Gippsland Region</w:t>
            </w:r>
            <w:r w:rsidRPr="009F2A9F">
              <w:t>: Latrobe Regional Hospital </w:t>
            </w:r>
          </w:p>
          <w:p w14:paraId="23DECAC3" w14:textId="77777777" w:rsidR="007D1E5A" w:rsidRPr="009F2A9F" w:rsidRDefault="007D1E5A" w:rsidP="00C60614">
            <w:pPr>
              <w:numPr>
                <w:ilvl w:val="0"/>
                <w:numId w:val="17"/>
              </w:numPr>
            </w:pPr>
            <w:r w:rsidRPr="009F2A9F">
              <w:rPr>
                <w:b/>
                <w:bCs/>
              </w:rPr>
              <w:t>Grampians Region</w:t>
            </w:r>
            <w:r w:rsidRPr="009F2A9F">
              <w:t>: East Grampians Health Service </w:t>
            </w:r>
          </w:p>
          <w:p w14:paraId="35155775" w14:textId="77777777" w:rsidR="007D1E5A" w:rsidRPr="009F2A9F" w:rsidRDefault="007D1E5A" w:rsidP="00C60614">
            <w:pPr>
              <w:numPr>
                <w:ilvl w:val="0"/>
                <w:numId w:val="17"/>
              </w:numPr>
            </w:pPr>
            <w:r w:rsidRPr="009F2A9F">
              <w:rPr>
                <w:b/>
                <w:bCs/>
              </w:rPr>
              <w:t>Hume Region</w:t>
            </w:r>
            <w:r w:rsidRPr="009F2A9F">
              <w:t xml:space="preserve">: </w:t>
            </w:r>
            <w:proofErr w:type="gramStart"/>
            <w:r w:rsidRPr="009F2A9F">
              <w:t>North East</w:t>
            </w:r>
            <w:proofErr w:type="gramEnd"/>
            <w:r w:rsidRPr="009F2A9F">
              <w:t xml:space="preserve"> Wangaratta </w:t>
            </w:r>
          </w:p>
          <w:p w14:paraId="0EC8FB53" w14:textId="77777777" w:rsidR="007D1E5A" w:rsidRDefault="007D1E5A" w:rsidP="007D1E5A"/>
          <w:p w14:paraId="4F5E4E22" w14:textId="77777777" w:rsidR="007D1E5A" w:rsidRDefault="007D1E5A" w:rsidP="007D1E5A">
            <w:r>
              <w:t>In 2023-24, the following arrangements apply:</w:t>
            </w:r>
          </w:p>
          <w:p w14:paraId="6FE843EB" w14:textId="77777777" w:rsidR="007D1E5A" w:rsidRPr="00523D04" w:rsidRDefault="007D1E5A" w:rsidP="00C60614">
            <w:pPr>
              <w:numPr>
                <w:ilvl w:val="0"/>
                <w:numId w:val="18"/>
              </w:numPr>
              <w:rPr>
                <w:rFonts w:eastAsiaTheme="minorEastAsia" w:cs="Arial"/>
                <w:szCs w:val="21"/>
              </w:rPr>
            </w:pPr>
            <w:r w:rsidRPr="00E072B3">
              <w:rPr>
                <w:rFonts w:eastAsiaTheme="minorEastAsia" w:cs="Arial"/>
                <w:szCs w:val="21"/>
              </w:rPr>
              <w:t>health</w:t>
            </w:r>
            <w:r w:rsidRPr="00523D04">
              <w:rPr>
                <w:rFonts w:eastAsiaTheme="minorEastAsia" w:cs="Arial"/>
                <w:szCs w:val="21"/>
              </w:rPr>
              <w:t xml:space="preserve"> service will need to send the</w:t>
            </w:r>
            <w:r w:rsidRPr="00E072B3">
              <w:rPr>
                <w:rFonts w:eastAsiaTheme="minorEastAsia" w:cs="Arial"/>
                <w:szCs w:val="21"/>
              </w:rPr>
              <w:t xml:space="preserve"> completed application form</w:t>
            </w:r>
            <w:r w:rsidRPr="00523D04">
              <w:rPr>
                <w:rFonts w:eastAsiaTheme="minorEastAsia" w:cs="Arial"/>
                <w:szCs w:val="21"/>
              </w:rPr>
              <w:t xml:space="preserve"> to their respective fundholder</w:t>
            </w:r>
            <w:r w:rsidRPr="00E072B3">
              <w:rPr>
                <w:rFonts w:eastAsiaTheme="minorEastAsia" w:cs="Arial"/>
                <w:szCs w:val="21"/>
              </w:rPr>
              <w:t>.</w:t>
            </w:r>
          </w:p>
          <w:p w14:paraId="3C8278D8" w14:textId="77777777" w:rsidR="007D1E5A" w:rsidRPr="00523D04" w:rsidRDefault="007D1E5A" w:rsidP="00C60614">
            <w:pPr>
              <w:numPr>
                <w:ilvl w:val="0"/>
                <w:numId w:val="18"/>
              </w:numPr>
              <w:rPr>
                <w:rFonts w:eastAsiaTheme="minorEastAsia" w:cs="Arial"/>
                <w:szCs w:val="21"/>
              </w:rPr>
            </w:pPr>
            <w:r w:rsidRPr="00523D04">
              <w:rPr>
                <w:rFonts w:eastAsiaTheme="minorEastAsia" w:cs="Arial"/>
                <w:szCs w:val="21"/>
              </w:rPr>
              <w:t xml:space="preserve">As per usual process, each of the five fundholders will review and select </w:t>
            </w:r>
            <w:r w:rsidRPr="00E072B3">
              <w:rPr>
                <w:rFonts w:eastAsiaTheme="minorEastAsia" w:cs="Arial"/>
                <w:szCs w:val="21"/>
              </w:rPr>
              <w:t>the health services that will receive the allocated places</w:t>
            </w:r>
            <w:r w:rsidRPr="00523D04">
              <w:rPr>
                <w:rFonts w:eastAsiaTheme="minorEastAsia" w:cs="Arial"/>
                <w:szCs w:val="21"/>
              </w:rPr>
              <w:t xml:space="preserve"> for their region and mark these clearly on their respective spreadsheets. </w:t>
            </w:r>
          </w:p>
          <w:p w14:paraId="7462D4A7" w14:textId="77777777" w:rsidR="007D1E5A" w:rsidRPr="00E072B3" w:rsidRDefault="007D1E5A" w:rsidP="00C60614">
            <w:pPr>
              <w:numPr>
                <w:ilvl w:val="0"/>
                <w:numId w:val="18"/>
              </w:numPr>
              <w:rPr>
                <w:rFonts w:eastAsiaTheme="minorEastAsia" w:cs="Arial"/>
                <w:szCs w:val="21"/>
              </w:rPr>
            </w:pPr>
            <w:r w:rsidRPr="00E072B3">
              <w:rPr>
                <w:rFonts w:eastAsiaTheme="minorEastAsia" w:cs="Arial"/>
                <w:szCs w:val="21"/>
              </w:rPr>
              <w:t>The fundholders will notify the department of the agreed funding allocations and send all applications for record keeping.</w:t>
            </w:r>
          </w:p>
          <w:p w14:paraId="0E84F0E0" w14:textId="77777777" w:rsidR="007D1E5A" w:rsidRDefault="007D1E5A" w:rsidP="00C60614">
            <w:pPr>
              <w:numPr>
                <w:ilvl w:val="0"/>
                <w:numId w:val="18"/>
              </w:numPr>
              <w:rPr>
                <w:rFonts w:eastAsiaTheme="minorEastAsia" w:cs="Arial"/>
                <w:szCs w:val="21"/>
              </w:rPr>
            </w:pPr>
            <w:r w:rsidRPr="00E072B3">
              <w:rPr>
                <w:rFonts w:eastAsiaTheme="minorEastAsia" w:cs="Arial"/>
                <w:szCs w:val="21"/>
              </w:rPr>
              <w:t>The department will notify the individual health services of their allocations as determined by the fundholder.</w:t>
            </w:r>
            <w:r w:rsidRPr="00523D04">
              <w:rPr>
                <w:rFonts w:eastAsiaTheme="minorEastAsia" w:cs="Arial"/>
                <w:szCs w:val="21"/>
              </w:rPr>
              <w:t> </w:t>
            </w:r>
          </w:p>
          <w:p w14:paraId="1D196B90" w14:textId="77777777" w:rsidR="007D1E5A" w:rsidRPr="00E072B3" w:rsidRDefault="007D1E5A" w:rsidP="007D1E5A">
            <w:pPr>
              <w:rPr>
                <w:rFonts w:eastAsiaTheme="minorEastAsia" w:cs="Arial"/>
                <w:szCs w:val="21"/>
              </w:rPr>
            </w:pPr>
          </w:p>
          <w:p w14:paraId="734030E7" w14:textId="77777777" w:rsidR="007D1E5A" w:rsidRPr="001C5CB0" w:rsidRDefault="007D1E5A" w:rsidP="007D1E5A">
            <w:pPr>
              <w:pStyle w:val="Heading1"/>
            </w:pPr>
            <w:bookmarkStart w:id="17" w:name="_Toc150872342"/>
            <w:r>
              <w:t xml:space="preserve">Health Service </w:t>
            </w:r>
            <w:r w:rsidRPr="001C5CB0">
              <w:t>Eligibility Criteria</w:t>
            </w:r>
            <w:bookmarkEnd w:id="17"/>
            <w:r w:rsidRPr="001C5CB0">
              <w:t xml:space="preserve">  </w:t>
            </w:r>
            <w:bookmarkEnd w:id="15"/>
            <w:bookmarkEnd w:id="16"/>
          </w:p>
          <w:p w14:paraId="00A0F39A" w14:textId="77777777" w:rsidR="007D1E5A" w:rsidRPr="001C5CB0" w:rsidRDefault="007D1E5A" w:rsidP="007D1E5A">
            <w:pPr>
              <w:rPr>
                <w:rFonts w:cs="Arial"/>
                <w:szCs w:val="21"/>
              </w:rPr>
            </w:pPr>
            <w:r w:rsidRPr="001C5CB0">
              <w:rPr>
                <w:rFonts w:eastAsia="Arial" w:cs="Arial"/>
                <w:color w:val="000000" w:themeColor="text1"/>
                <w:szCs w:val="21"/>
              </w:rPr>
              <w:t xml:space="preserve">To be eligible for funding provided through this application process, health services must: </w:t>
            </w:r>
          </w:p>
          <w:p w14:paraId="39ADFACA" w14:textId="77777777" w:rsidR="007D1E5A" w:rsidRPr="00D15958" w:rsidRDefault="007D1E5A" w:rsidP="00C60614">
            <w:pPr>
              <w:pStyle w:val="ListParagraph"/>
              <w:numPr>
                <w:ilvl w:val="0"/>
                <w:numId w:val="7"/>
              </w:numPr>
              <w:rPr>
                <w:rFonts w:ascii="Arial" w:eastAsiaTheme="minorEastAsia" w:hAnsi="Arial" w:cs="Arial"/>
                <w:color w:val="000000" w:themeColor="text1"/>
                <w:sz w:val="21"/>
                <w:szCs w:val="21"/>
              </w:rPr>
            </w:pPr>
            <w:r w:rsidRPr="00D15958">
              <w:rPr>
                <w:rFonts w:ascii="Arial" w:eastAsiaTheme="minorEastAsia" w:hAnsi="Arial" w:cs="Arial"/>
                <w:color w:val="000000" w:themeColor="text1"/>
                <w:sz w:val="21"/>
                <w:szCs w:val="21"/>
              </w:rPr>
              <w:t>be a Victorian public health service as defined in the Health Services Act 1988  </w:t>
            </w:r>
          </w:p>
          <w:p w14:paraId="627AF8CA" w14:textId="77777777" w:rsidR="007D1E5A" w:rsidRPr="00D15958" w:rsidRDefault="007D1E5A" w:rsidP="00C60614">
            <w:pPr>
              <w:pStyle w:val="ListParagraph"/>
              <w:numPr>
                <w:ilvl w:val="0"/>
                <w:numId w:val="7"/>
              </w:numPr>
              <w:rPr>
                <w:rFonts w:ascii="Arial" w:eastAsiaTheme="minorEastAsia" w:hAnsi="Arial" w:cs="Arial"/>
                <w:color w:val="000000" w:themeColor="text1"/>
                <w:sz w:val="21"/>
                <w:szCs w:val="21"/>
              </w:rPr>
            </w:pPr>
            <w:r w:rsidRPr="00D15958">
              <w:rPr>
                <w:rFonts w:ascii="Arial" w:eastAsiaTheme="minorEastAsia" w:hAnsi="Arial" w:cs="Arial"/>
                <w:color w:val="000000" w:themeColor="text1"/>
                <w:sz w:val="21"/>
                <w:szCs w:val="21"/>
              </w:rPr>
              <w:t xml:space="preserve">complete </w:t>
            </w:r>
            <w:r>
              <w:rPr>
                <w:rFonts w:ascii="Arial" w:eastAsiaTheme="minorEastAsia" w:hAnsi="Arial" w:cs="Arial"/>
                <w:color w:val="000000" w:themeColor="text1"/>
                <w:sz w:val="21"/>
                <w:szCs w:val="21"/>
              </w:rPr>
              <w:t>the</w:t>
            </w:r>
            <w:r w:rsidRPr="00D15958">
              <w:rPr>
                <w:rFonts w:ascii="Arial" w:eastAsiaTheme="minorEastAsia" w:hAnsi="Arial" w:cs="Arial"/>
                <w:color w:val="000000" w:themeColor="text1"/>
                <w:sz w:val="21"/>
                <w:szCs w:val="21"/>
              </w:rPr>
              <w:t xml:space="preserve"> funding application form for the ENTPP (commencing</w:t>
            </w:r>
            <w:r>
              <w:rPr>
                <w:rFonts w:ascii="Arial" w:eastAsiaTheme="minorEastAsia" w:hAnsi="Arial" w:cs="Arial"/>
                <w:color w:val="000000" w:themeColor="text1"/>
                <w:sz w:val="21"/>
                <w:szCs w:val="21"/>
              </w:rPr>
              <w:t xml:space="preserve"> page 6</w:t>
            </w:r>
            <w:r w:rsidRPr="00D15958">
              <w:rPr>
                <w:rFonts w:ascii="Arial" w:eastAsiaTheme="minorEastAsia" w:hAnsi="Arial" w:cs="Arial"/>
                <w:color w:val="000000" w:themeColor="text1"/>
                <w:sz w:val="21"/>
                <w:szCs w:val="21"/>
              </w:rPr>
              <w:t xml:space="preserve"> of this document) </w:t>
            </w:r>
          </w:p>
          <w:p w14:paraId="22A747C8" w14:textId="77777777" w:rsidR="007D1E5A" w:rsidRDefault="007D1E5A" w:rsidP="00C60614">
            <w:pPr>
              <w:pStyle w:val="ListParagraph"/>
              <w:numPr>
                <w:ilvl w:val="0"/>
                <w:numId w:val="7"/>
              </w:numPr>
              <w:rPr>
                <w:rFonts w:ascii="Arial" w:eastAsiaTheme="minorEastAsia" w:hAnsi="Arial" w:cs="Arial"/>
                <w:color w:val="000000" w:themeColor="text1"/>
                <w:sz w:val="21"/>
                <w:szCs w:val="21"/>
              </w:rPr>
            </w:pPr>
            <w:r w:rsidRPr="005367A0">
              <w:rPr>
                <w:rFonts w:ascii="Arial" w:eastAsiaTheme="minorEastAsia" w:hAnsi="Arial" w:cs="Arial"/>
                <w:color w:val="000000" w:themeColor="text1"/>
                <w:sz w:val="21"/>
                <w:szCs w:val="21"/>
              </w:rPr>
              <w:t>commence</w:t>
            </w:r>
            <w:r w:rsidRPr="00D15958">
              <w:rPr>
                <w:rFonts w:ascii="Arial" w:eastAsiaTheme="minorEastAsia" w:hAnsi="Arial" w:cs="Arial"/>
                <w:color w:val="000000" w:themeColor="text1"/>
                <w:sz w:val="21"/>
                <w:szCs w:val="21"/>
              </w:rPr>
              <w:t xml:space="preserve"> the ENTPP within</w:t>
            </w:r>
            <w:r>
              <w:rPr>
                <w:rFonts w:ascii="Arial" w:eastAsiaTheme="minorEastAsia" w:hAnsi="Arial" w:cs="Arial"/>
                <w:color w:val="000000" w:themeColor="text1"/>
                <w:sz w:val="21"/>
                <w:szCs w:val="21"/>
              </w:rPr>
              <w:t xml:space="preserve"> the</w:t>
            </w:r>
            <w:r w:rsidRPr="00D15958">
              <w:rPr>
                <w:rFonts w:ascii="Arial" w:eastAsiaTheme="minorEastAsia" w:hAnsi="Arial" w:cs="Arial"/>
                <w:color w:val="000000" w:themeColor="text1"/>
                <w:sz w:val="21"/>
                <w:szCs w:val="21"/>
              </w:rPr>
              <w:t xml:space="preserve"> </w:t>
            </w:r>
            <w:r w:rsidRPr="00FF598E">
              <w:rPr>
                <w:rFonts w:ascii="Arial" w:eastAsiaTheme="minorEastAsia" w:hAnsi="Arial" w:cs="Arial"/>
                <w:color w:val="000000" w:themeColor="text1"/>
                <w:sz w:val="21"/>
                <w:szCs w:val="21"/>
              </w:rPr>
              <w:t>2023-24</w:t>
            </w:r>
            <w:r w:rsidRPr="00D15958">
              <w:rPr>
                <w:rFonts w:ascii="Arial" w:eastAsiaTheme="minorEastAsia" w:hAnsi="Arial" w:cs="Arial"/>
                <w:color w:val="000000" w:themeColor="text1"/>
                <w:sz w:val="21"/>
                <w:szCs w:val="21"/>
              </w:rPr>
              <w:t xml:space="preserve"> financial </w:t>
            </w:r>
            <w:proofErr w:type="gramStart"/>
            <w:r w:rsidRPr="00D15958">
              <w:rPr>
                <w:rFonts w:ascii="Arial" w:eastAsiaTheme="minorEastAsia" w:hAnsi="Arial" w:cs="Arial"/>
                <w:color w:val="000000" w:themeColor="text1"/>
                <w:sz w:val="21"/>
                <w:szCs w:val="21"/>
              </w:rPr>
              <w:t>year</w:t>
            </w:r>
            <w:proofErr w:type="gramEnd"/>
          </w:p>
          <w:p w14:paraId="06799ACD" w14:textId="77777777" w:rsidR="007D1E5A" w:rsidRPr="00257B2A" w:rsidRDefault="007D1E5A" w:rsidP="00C60614">
            <w:pPr>
              <w:pStyle w:val="ListParagraph"/>
              <w:numPr>
                <w:ilvl w:val="0"/>
                <w:numId w:val="7"/>
              </w:numPr>
              <w:rPr>
                <w:rFonts w:ascii="Arial" w:eastAsiaTheme="minorEastAsia" w:hAnsi="Arial" w:cs="Arial"/>
                <w:color w:val="000000" w:themeColor="text1"/>
                <w:sz w:val="21"/>
                <w:szCs w:val="21"/>
              </w:rPr>
            </w:pPr>
            <w:r>
              <w:rPr>
                <w:rFonts w:ascii="Arial" w:eastAsia="Arial" w:hAnsi="Arial" w:cs="Arial"/>
                <w:sz w:val="21"/>
                <w:szCs w:val="21"/>
              </w:rPr>
              <w:t>have their a</w:t>
            </w:r>
            <w:r w:rsidRPr="001A08A7">
              <w:rPr>
                <w:rFonts w:ascii="Arial" w:eastAsia="Arial" w:hAnsi="Arial" w:cs="Arial"/>
                <w:sz w:val="21"/>
                <w:szCs w:val="21"/>
              </w:rPr>
              <w:t>pplication form endorsed and signed by both the health service Chief Executive Officer and Director of Nursing and Midwifery (or equivalent)</w:t>
            </w:r>
          </w:p>
          <w:p w14:paraId="02346778" w14:textId="77777777" w:rsidR="007D1E5A" w:rsidRPr="00BC06AA" w:rsidRDefault="007D1E5A" w:rsidP="00C60614">
            <w:pPr>
              <w:pStyle w:val="ListParagraph"/>
              <w:numPr>
                <w:ilvl w:val="0"/>
                <w:numId w:val="7"/>
              </w:numPr>
              <w:rPr>
                <w:rFonts w:ascii="Arial" w:eastAsiaTheme="minorEastAsia" w:hAnsi="Arial" w:cs="Arial"/>
                <w:color w:val="000000" w:themeColor="text1"/>
                <w:sz w:val="21"/>
                <w:szCs w:val="21"/>
              </w:rPr>
            </w:pPr>
            <w:r>
              <w:rPr>
                <w:rFonts w:ascii="Arial" w:eastAsia="Arial" w:hAnsi="Arial" w:cs="Arial"/>
                <w:sz w:val="21"/>
                <w:szCs w:val="21"/>
              </w:rPr>
              <w:lastRenderedPageBreak/>
              <w:t xml:space="preserve">coordinate applications so that just one application is received per health </w:t>
            </w:r>
            <w:proofErr w:type="gramStart"/>
            <w:r>
              <w:rPr>
                <w:rFonts w:ascii="Arial" w:eastAsia="Arial" w:hAnsi="Arial" w:cs="Arial"/>
                <w:sz w:val="21"/>
                <w:szCs w:val="21"/>
              </w:rPr>
              <w:t>service</w:t>
            </w:r>
            <w:proofErr w:type="gramEnd"/>
          </w:p>
          <w:p w14:paraId="2F721487" w14:textId="77777777" w:rsidR="007D1E5A" w:rsidRPr="00384E79" w:rsidRDefault="007D1E5A" w:rsidP="00C60614">
            <w:pPr>
              <w:pStyle w:val="ListParagraph"/>
              <w:numPr>
                <w:ilvl w:val="0"/>
                <w:numId w:val="7"/>
              </w:numPr>
              <w:rPr>
                <w:rFonts w:ascii="Arial" w:eastAsiaTheme="minorEastAsia" w:hAnsi="Arial" w:cs="Arial"/>
                <w:color w:val="000000" w:themeColor="text1"/>
                <w:sz w:val="21"/>
                <w:szCs w:val="21"/>
              </w:rPr>
            </w:pPr>
            <w:r w:rsidRPr="28E65F61">
              <w:rPr>
                <w:rFonts w:ascii="Arial" w:eastAsia="Arial" w:hAnsi="Arial" w:cs="Arial"/>
                <w:sz w:val="21"/>
                <w:szCs w:val="21"/>
              </w:rPr>
              <w:t xml:space="preserve">recruit ‘new’ EN graduates, who have graduated within the prior 12 months at the time of their </w:t>
            </w:r>
            <w:proofErr w:type="gramStart"/>
            <w:r w:rsidRPr="28E65F61">
              <w:rPr>
                <w:rFonts w:ascii="Arial" w:eastAsia="Arial" w:hAnsi="Arial" w:cs="Arial"/>
                <w:sz w:val="21"/>
                <w:szCs w:val="21"/>
              </w:rPr>
              <w:t>application</w:t>
            </w:r>
            <w:proofErr w:type="gramEnd"/>
          </w:p>
          <w:p w14:paraId="468A3FC9" w14:textId="77777777" w:rsidR="007D1E5A" w:rsidRPr="009163B3" w:rsidRDefault="007D1E5A" w:rsidP="00C60614">
            <w:pPr>
              <w:pStyle w:val="ListParagraph"/>
              <w:numPr>
                <w:ilvl w:val="0"/>
                <w:numId w:val="7"/>
              </w:numPr>
              <w:rPr>
                <w:rFonts w:ascii="Arial" w:eastAsiaTheme="minorEastAsia" w:hAnsi="Arial" w:cs="Arial"/>
                <w:color w:val="000000" w:themeColor="text1"/>
                <w:sz w:val="21"/>
                <w:szCs w:val="21"/>
              </w:rPr>
            </w:pPr>
            <w:r>
              <w:rPr>
                <w:rFonts w:ascii="Arial" w:eastAsia="Arial" w:hAnsi="Arial" w:cs="Arial"/>
                <w:sz w:val="21"/>
                <w:szCs w:val="21"/>
              </w:rPr>
              <w:t xml:space="preserve">provide a program of at least six months’ </w:t>
            </w:r>
            <w:proofErr w:type="gramStart"/>
            <w:r>
              <w:rPr>
                <w:rFonts w:ascii="Arial" w:eastAsia="Arial" w:hAnsi="Arial" w:cs="Arial"/>
                <w:sz w:val="21"/>
                <w:szCs w:val="21"/>
              </w:rPr>
              <w:t>duration</w:t>
            </w:r>
            <w:proofErr w:type="gramEnd"/>
          </w:p>
          <w:p w14:paraId="40BDCA1A" w14:textId="77777777" w:rsidR="007D1E5A" w:rsidRPr="002750FC" w:rsidRDefault="007D1E5A" w:rsidP="00C60614">
            <w:pPr>
              <w:pStyle w:val="ListParagraph"/>
              <w:numPr>
                <w:ilvl w:val="0"/>
                <w:numId w:val="7"/>
              </w:numPr>
              <w:rPr>
                <w:rFonts w:ascii="Arial" w:eastAsiaTheme="minorEastAsia" w:hAnsi="Arial" w:cs="Arial"/>
                <w:color w:val="000000" w:themeColor="text1"/>
                <w:sz w:val="21"/>
                <w:szCs w:val="21"/>
              </w:rPr>
            </w:pPr>
            <w:r>
              <w:rPr>
                <w:rFonts w:ascii="Arial" w:eastAsiaTheme="minorEastAsia" w:hAnsi="Arial" w:cs="Arial"/>
                <w:color w:val="000000" w:themeColor="text1"/>
                <w:sz w:val="21"/>
                <w:szCs w:val="21"/>
              </w:rPr>
              <w:t xml:space="preserve">if in partnership to implement ENTPPs, </w:t>
            </w:r>
            <w:r w:rsidRPr="00D15958">
              <w:rPr>
                <w:rFonts w:ascii="Arial" w:eastAsiaTheme="minorEastAsia" w:hAnsi="Arial" w:cs="Arial"/>
                <w:color w:val="000000" w:themeColor="text1"/>
                <w:sz w:val="21"/>
                <w:szCs w:val="21"/>
              </w:rPr>
              <w:t>nominate a lead agency that will receive and manage funding (noting that all parties must be signatories to the application or an appropriate attachment)</w:t>
            </w:r>
          </w:p>
          <w:p w14:paraId="4BFF173E" w14:textId="77777777" w:rsidR="007D1E5A" w:rsidRDefault="007D1E5A" w:rsidP="007D1E5A">
            <w:pPr>
              <w:ind w:left="360"/>
              <w:rPr>
                <w:rFonts w:eastAsiaTheme="minorEastAsia" w:cs="Arial"/>
                <w:color w:val="000000" w:themeColor="text1"/>
                <w:szCs w:val="21"/>
              </w:rPr>
            </w:pPr>
            <w:r w:rsidRPr="004835F1">
              <w:rPr>
                <w:rFonts w:eastAsiaTheme="minorEastAsia" w:cs="Arial"/>
                <w:color w:val="000000" w:themeColor="text1"/>
                <w:szCs w:val="21"/>
              </w:rPr>
              <w:t>Priority will be given to</w:t>
            </w:r>
            <w:r>
              <w:rPr>
                <w:rFonts w:eastAsiaTheme="minorEastAsia" w:cs="Arial"/>
                <w:color w:val="000000" w:themeColor="text1"/>
                <w:szCs w:val="21"/>
              </w:rPr>
              <w:t>:</w:t>
            </w:r>
          </w:p>
          <w:p w14:paraId="142B9086" w14:textId="77777777" w:rsidR="007D1E5A" w:rsidRPr="00621B97" w:rsidRDefault="007D1E5A" w:rsidP="00C60614">
            <w:pPr>
              <w:pStyle w:val="ListParagraph"/>
              <w:numPr>
                <w:ilvl w:val="0"/>
                <w:numId w:val="12"/>
              </w:numPr>
              <w:rPr>
                <w:rFonts w:ascii="Arial" w:eastAsiaTheme="minorEastAsia" w:hAnsi="Arial" w:cs="Arial"/>
                <w:color w:val="000000" w:themeColor="text1"/>
                <w:sz w:val="21"/>
                <w:szCs w:val="21"/>
              </w:rPr>
            </w:pPr>
            <w:r w:rsidRPr="62CE1177">
              <w:rPr>
                <w:rFonts w:ascii="Arial" w:eastAsiaTheme="minorEastAsia" w:hAnsi="Arial" w:cs="Arial"/>
                <w:color w:val="000000" w:themeColor="text1"/>
                <w:sz w:val="21"/>
                <w:szCs w:val="21"/>
              </w:rPr>
              <w:t>Health services that did not receive funding for this initiative in FY 2022-23</w:t>
            </w:r>
          </w:p>
          <w:p w14:paraId="665426D7" w14:textId="77777777" w:rsidR="007D1E5A" w:rsidRDefault="007D1E5A" w:rsidP="00C60614">
            <w:pPr>
              <w:pStyle w:val="ListParagraph"/>
              <w:numPr>
                <w:ilvl w:val="0"/>
                <w:numId w:val="12"/>
              </w:numPr>
              <w:rPr>
                <w:rFonts w:ascii="Arial" w:eastAsiaTheme="minorEastAsia" w:hAnsi="Arial" w:cs="Arial"/>
                <w:color w:val="000000" w:themeColor="text1"/>
                <w:sz w:val="21"/>
                <w:szCs w:val="21"/>
              </w:rPr>
            </w:pPr>
            <w:r w:rsidRPr="62CE1177">
              <w:rPr>
                <w:rFonts w:ascii="Arial" w:eastAsiaTheme="minorEastAsia" w:hAnsi="Arial" w:cs="Arial"/>
                <w:color w:val="000000" w:themeColor="text1"/>
                <w:sz w:val="21"/>
                <w:szCs w:val="21"/>
              </w:rPr>
              <w:t xml:space="preserve">Health services with the greatest area of need, as determined in consultation with the members of the </w:t>
            </w:r>
            <w:proofErr w:type="gramStart"/>
            <w:r w:rsidRPr="62CE1177">
              <w:rPr>
                <w:rFonts w:ascii="Arial" w:eastAsiaTheme="minorEastAsia" w:hAnsi="Arial" w:cs="Arial"/>
                <w:color w:val="000000" w:themeColor="text1"/>
                <w:sz w:val="21"/>
                <w:szCs w:val="21"/>
              </w:rPr>
              <w:t>Consorti</w:t>
            </w:r>
            <w:r>
              <w:rPr>
                <w:rFonts w:ascii="Arial" w:eastAsiaTheme="minorEastAsia" w:hAnsi="Arial" w:cs="Arial"/>
                <w:color w:val="000000" w:themeColor="text1"/>
                <w:sz w:val="21"/>
                <w:szCs w:val="21"/>
              </w:rPr>
              <w:t>um</w:t>
            </w:r>
            <w:proofErr w:type="gramEnd"/>
          </w:p>
          <w:p w14:paraId="4562EEDB" w14:textId="77777777" w:rsidR="007D1E5A" w:rsidRPr="00621B97" w:rsidRDefault="007D1E5A" w:rsidP="00C60614">
            <w:pPr>
              <w:pStyle w:val="ListParagraph"/>
              <w:numPr>
                <w:ilvl w:val="0"/>
                <w:numId w:val="12"/>
              </w:numPr>
              <w:rPr>
                <w:rFonts w:ascii="Arial" w:eastAsiaTheme="minorEastAsia" w:hAnsi="Arial" w:cs="Arial"/>
                <w:color w:val="000000" w:themeColor="text1"/>
                <w:sz w:val="21"/>
                <w:szCs w:val="21"/>
              </w:rPr>
            </w:pPr>
            <w:r w:rsidRPr="62CE1177">
              <w:rPr>
                <w:rFonts w:ascii="Arial" w:eastAsiaTheme="minorEastAsia" w:hAnsi="Arial" w:cs="Arial"/>
                <w:color w:val="000000" w:themeColor="text1"/>
                <w:sz w:val="21"/>
                <w:szCs w:val="21"/>
              </w:rPr>
              <w:t>Applications that demonstrate: </w:t>
            </w:r>
          </w:p>
          <w:p w14:paraId="7F721ED9" w14:textId="77777777" w:rsidR="007D1E5A" w:rsidRPr="00CE025B" w:rsidRDefault="007D1E5A" w:rsidP="00C60614">
            <w:pPr>
              <w:pStyle w:val="ListParagraph"/>
              <w:numPr>
                <w:ilvl w:val="1"/>
                <w:numId w:val="7"/>
              </w:numPr>
              <w:rPr>
                <w:rFonts w:ascii="Arial" w:eastAsiaTheme="minorEastAsia" w:hAnsi="Arial" w:cs="Arial"/>
                <w:color w:val="000000" w:themeColor="text1"/>
                <w:sz w:val="21"/>
                <w:szCs w:val="21"/>
              </w:rPr>
            </w:pPr>
            <w:r w:rsidRPr="00CE025B">
              <w:rPr>
                <w:rFonts w:ascii="Arial" w:eastAsiaTheme="minorEastAsia" w:hAnsi="Arial" w:cs="Arial"/>
                <w:color w:val="000000" w:themeColor="text1"/>
                <w:sz w:val="21"/>
                <w:szCs w:val="21"/>
              </w:rPr>
              <w:t xml:space="preserve">how the program/s will address local workforce shortfalls and/or </w:t>
            </w:r>
            <w:proofErr w:type="gramStart"/>
            <w:r w:rsidRPr="00CE025B">
              <w:rPr>
                <w:rFonts w:ascii="Arial" w:eastAsiaTheme="minorEastAsia" w:hAnsi="Arial" w:cs="Arial"/>
                <w:color w:val="000000" w:themeColor="text1"/>
                <w:sz w:val="21"/>
                <w:szCs w:val="21"/>
              </w:rPr>
              <w:t>other</w:t>
            </w:r>
            <w:proofErr w:type="gramEnd"/>
            <w:r w:rsidRPr="00CE025B">
              <w:rPr>
                <w:rFonts w:ascii="Arial" w:eastAsiaTheme="minorEastAsia" w:hAnsi="Arial" w:cs="Arial"/>
                <w:color w:val="000000" w:themeColor="text1"/>
                <w:sz w:val="21"/>
                <w:szCs w:val="21"/>
              </w:rPr>
              <w:t xml:space="preserve"> workforce needs </w:t>
            </w:r>
          </w:p>
          <w:p w14:paraId="58165C1F" w14:textId="77777777" w:rsidR="007D1E5A" w:rsidRPr="00CE025B" w:rsidRDefault="007D1E5A" w:rsidP="00C60614">
            <w:pPr>
              <w:pStyle w:val="ListParagraph"/>
              <w:numPr>
                <w:ilvl w:val="1"/>
                <w:numId w:val="7"/>
              </w:numPr>
              <w:rPr>
                <w:rFonts w:ascii="Arial" w:eastAsiaTheme="minorEastAsia" w:hAnsi="Arial" w:cs="Arial"/>
                <w:color w:val="000000" w:themeColor="text1"/>
                <w:sz w:val="21"/>
                <w:szCs w:val="21"/>
              </w:rPr>
            </w:pPr>
            <w:r w:rsidRPr="00CE025B">
              <w:rPr>
                <w:rFonts w:ascii="Arial" w:eastAsiaTheme="minorEastAsia" w:hAnsi="Arial" w:cs="Arial"/>
                <w:color w:val="000000" w:themeColor="text1"/>
                <w:sz w:val="21"/>
                <w:szCs w:val="21"/>
              </w:rPr>
              <w:t>provision of career pathways for program participants within the health service or region </w:t>
            </w:r>
          </w:p>
          <w:p w14:paraId="6CD903AD" w14:textId="77777777" w:rsidR="007D1E5A" w:rsidRPr="00CE025B" w:rsidRDefault="007D1E5A" w:rsidP="00C60614">
            <w:pPr>
              <w:pStyle w:val="ListParagraph"/>
              <w:numPr>
                <w:ilvl w:val="1"/>
                <w:numId w:val="7"/>
              </w:numPr>
              <w:rPr>
                <w:rFonts w:ascii="Arial" w:eastAsiaTheme="minorEastAsia" w:hAnsi="Arial" w:cs="Arial"/>
                <w:color w:val="000000" w:themeColor="text1"/>
                <w:sz w:val="21"/>
                <w:szCs w:val="21"/>
              </w:rPr>
            </w:pPr>
            <w:r w:rsidRPr="00CE025B">
              <w:rPr>
                <w:rFonts w:ascii="Arial" w:eastAsiaTheme="minorEastAsia" w:hAnsi="Arial" w:cs="Arial"/>
                <w:color w:val="000000" w:themeColor="text1"/>
                <w:sz w:val="21"/>
                <w:szCs w:val="21"/>
              </w:rPr>
              <w:t>how the program/s will contribute to meeting the requirements of the Act  </w:t>
            </w:r>
          </w:p>
          <w:p w14:paraId="5C6EEBB2" w14:textId="77777777" w:rsidR="007D1E5A" w:rsidRPr="00CE025B" w:rsidRDefault="007D1E5A" w:rsidP="00C60614">
            <w:pPr>
              <w:pStyle w:val="ListParagraph"/>
              <w:numPr>
                <w:ilvl w:val="1"/>
                <w:numId w:val="7"/>
              </w:numPr>
              <w:rPr>
                <w:rFonts w:ascii="Arial" w:eastAsiaTheme="minorEastAsia" w:hAnsi="Arial" w:cs="Arial"/>
                <w:color w:val="000000" w:themeColor="text1"/>
                <w:sz w:val="21"/>
                <w:szCs w:val="21"/>
              </w:rPr>
            </w:pPr>
            <w:r w:rsidRPr="00CE025B">
              <w:rPr>
                <w:rFonts w:ascii="Arial" w:eastAsiaTheme="minorEastAsia" w:hAnsi="Arial" w:cs="Arial"/>
                <w:color w:val="000000" w:themeColor="text1"/>
                <w:sz w:val="21"/>
                <w:szCs w:val="21"/>
              </w:rPr>
              <w:t>how the program/s will support other nursing and midwifery government priorities </w:t>
            </w:r>
          </w:p>
          <w:p w14:paraId="26550294" w14:textId="77777777" w:rsidR="007D1E5A" w:rsidRPr="00CE025B" w:rsidRDefault="007D1E5A" w:rsidP="00C60614">
            <w:pPr>
              <w:pStyle w:val="ListParagraph"/>
              <w:numPr>
                <w:ilvl w:val="1"/>
                <w:numId w:val="7"/>
              </w:numPr>
              <w:rPr>
                <w:rFonts w:ascii="Arial" w:eastAsiaTheme="minorEastAsia" w:hAnsi="Arial" w:cs="Arial"/>
                <w:color w:val="000000" w:themeColor="text1"/>
                <w:sz w:val="21"/>
                <w:szCs w:val="21"/>
              </w:rPr>
            </w:pPr>
            <w:r w:rsidRPr="00CE025B">
              <w:rPr>
                <w:rFonts w:ascii="Arial" w:eastAsiaTheme="minorEastAsia" w:hAnsi="Arial" w:cs="Arial"/>
                <w:color w:val="000000" w:themeColor="text1"/>
                <w:sz w:val="21"/>
                <w:szCs w:val="21"/>
              </w:rPr>
              <w:t>alignment with the health service’s strategic workforce and service plans  </w:t>
            </w:r>
          </w:p>
          <w:p w14:paraId="2650A55C" w14:textId="77777777" w:rsidR="007D1E5A" w:rsidRPr="000C44B5" w:rsidRDefault="007D1E5A" w:rsidP="00C60614">
            <w:pPr>
              <w:pStyle w:val="ListParagraph"/>
              <w:numPr>
                <w:ilvl w:val="1"/>
                <w:numId w:val="7"/>
              </w:numPr>
              <w:rPr>
                <w:rFonts w:ascii="Arial" w:eastAsiaTheme="minorEastAsia" w:hAnsi="Arial" w:cs="Arial"/>
                <w:color w:val="000000" w:themeColor="text1"/>
                <w:sz w:val="21"/>
                <w:szCs w:val="21"/>
              </w:rPr>
            </w:pPr>
            <w:r w:rsidRPr="000C44B5">
              <w:rPr>
                <w:rFonts w:ascii="Arial" w:eastAsiaTheme="minorEastAsia" w:hAnsi="Arial" w:cs="Arial"/>
                <w:color w:val="000000" w:themeColor="text1"/>
                <w:sz w:val="21"/>
                <w:szCs w:val="21"/>
              </w:rPr>
              <w:t xml:space="preserve">responsiveness </w:t>
            </w:r>
            <w:r w:rsidRPr="004414BC">
              <w:rPr>
                <w:rFonts w:ascii="Arial" w:eastAsiaTheme="minorEastAsia" w:hAnsi="Arial" w:cs="Arial"/>
                <w:color w:val="000000" w:themeColor="text1"/>
                <w:sz w:val="21"/>
                <w:szCs w:val="21"/>
              </w:rPr>
              <w:t xml:space="preserve">to clinical workforce priorities and demands, outcomes of recent Royal Commissions, and persisting </w:t>
            </w:r>
            <w:proofErr w:type="gramStart"/>
            <w:r w:rsidRPr="004414BC">
              <w:rPr>
                <w:rFonts w:ascii="Arial" w:eastAsiaTheme="minorEastAsia" w:hAnsi="Arial" w:cs="Arial"/>
                <w:color w:val="000000" w:themeColor="text1"/>
                <w:sz w:val="21"/>
                <w:szCs w:val="21"/>
              </w:rPr>
              <w:t>vacancies</w:t>
            </w:r>
            <w:proofErr w:type="gramEnd"/>
          </w:p>
          <w:p w14:paraId="7EE479BC" w14:textId="77777777" w:rsidR="007D1E5A" w:rsidRPr="00CE025B" w:rsidRDefault="007D1E5A" w:rsidP="00C60614">
            <w:pPr>
              <w:pStyle w:val="ListParagraph"/>
              <w:numPr>
                <w:ilvl w:val="1"/>
                <w:numId w:val="7"/>
              </w:numPr>
              <w:rPr>
                <w:rFonts w:ascii="Arial" w:eastAsiaTheme="minorEastAsia" w:hAnsi="Arial" w:cs="Arial"/>
                <w:color w:val="000000" w:themeColor="text1"/>
                <w:sz w:val="21"/>
                <w:szCs w:val="21"/>
              </w:rPr>
            </w:pPr>
            <w:r w:rsidRPr="00CE025B">
              <w:rPr>
                <w:rFonts w:ascii="Arial" w:eastAsiaTheme="minorEastAsia" w:hAnsi="Arial" w:cs="Arial"/>
                <w:color w:val="000000" w:themeColor="text1"/>
                <w:sz w:val="21"/>
                <w:szCs w:val="21"/>
              </w:rPr>
              <w:t xml:space="preserve">evidence of robust program governance, coordination and supervision structures, including an overview of how the funding will be used to support clinical teaching staff, build high-quality education and training capacity and program evaluation, including tracking retention of participants post-program </w:t>
            </w:r>
            <w:proofErr w:type="gramStart"/>
            <w:r w:rsidRPr="00CE025B">
              <w:rPr>
                <w:rFonts w:ascii="Arial" w:eastAsiaTheme="minorEastAsia" w:hAnsi="Arial" w:cs="Arial"/>
                <w:color w:val="000000" w:themeColor="text1"/>
                <w:sz w:val="21"/>
                <w:szCs w:val="21"/>
              </w:rPr>
              <w:t>completion</w:t>
            </w:r>
            <w:proofErr w:type="gramEnd"/>
          </w:p>
          <w:p w14:paraId="1E1F0DCC" w14:textId="77777777" w:rsidR="007D1E5A" w:rsidRDefault="007D1E5A" w:rsidP="00C60614">
            <w:pPr>
              <w:pStyle w:val="ListParagraph"/>
              <w:numPr>
                <w:ilvl w:val="1"/>
                <w:numId w:val="7"/>
              </w:numPr>
              <w:rPr>
                <w:rFonts w:ascii="Arial" w:eastAsiaTheme="minorEastAsia" w:hAnsi="Arial" w:cs="Arial"/>
                <w:color w:val="000000" w:themeColor="text1"/>
                <w:sz w:val="21"/>
                <w:szCs w:val="21"/>
              </w:rPr>
            </w:pPr>
            <w:r w:rsidRPr="00CE025B">
              <w:rPr>
                <w:rFonts w:ascii="Arial" w:eastAsiaTheme="minorEastAsia" w:hAnsi="Arial" w:cs="Arial"/>
                <w:color w:val="000000" w:themeColor="text1"/>
                <w:sz w:val="21"/>
                <w:szCs w:val="21"/>
              </w:rPr>
              <w:t>mechanisms to measure program effectiveness and outcomes</w:t>
            </w:r>
            <w:r>
              <w:rPr>
                <w:rFonts w:ascii="Arial" w:eastAsiaTheme="minorEastAsia" w:hAnsi="Arial" w:cs="Arial"/>
                <w:color w:val="000000" w:themeColor="text1"/>
                <w:sz w:val="21"/>
                <w:szCs w:val="21"/>
              </w:rPr>
              <w:t>.</w:t>
            </w:r>
          </w:p>
          <w:p w14:paraId="2860FF30" w14:textId="77777777" w:rsidR="007D1E5A" w:rsidRDefault="007D1E5A" w:rsidP="007D1E5A">
            <w:pPr>
              <w:pStyle w:val="Heading1"/>
            </w:pPr>
            <w:bookmarkStart w:id="18" w:name="_Toc150872343"/>
            <w:r>
              <w:t>Roles and responsibilities</w:t>
            </w:r>
            <w:bookmarkEnd w:id="18"/>
          </w:p>
          <w:p w14:paraId="2C2A9122" w14:textId="77777777" w:rsidR="007D1E5A" w:rsidRDefault="007D1E5A" w:rsidP="007D1E5A">
            <w:pPr>
              <w:pStyle w:val="Body"/>
            </w:pPr>
            <w:r>
              <w:t>The Rural health Consortium will be responsible for:</w:t>
            </w:r>
          </w:p>
          <w:p w14:paraId="780E7DC5" w14:textId="77777777" w:rsidR="007D1E5A" w:rsidRPr="00516C50" w:rsidRDefault="007D1E5A" w:rsidP="00C60614">
            <w:pPr>
              <w:pStyle w:val="Body"/>
              <w:numPr>
                <w:ilvl w:val="0"/>
                <w:numId w:val="15"/>
              </w:numPr>
            </w:pPr>
            <w:r w:rsidRPr="00516C50">
              <w:t xml:space="preserve">managing the allocation process within each Consortia </w:t>
            </w:r>
          </w:p>
          <w:p w14:paraId="5EFBE627" w14:textId="77777777" w:rsidR="007D1E5A" w:rsidRPr="00CD6679" w:rsidRDefault="007D1E5A" w:rsidP="00C60614">
            <w:pPr>
              <w:pStyle w:val="Body"/>
              <w:numPr>
                <w:ilvl w:val="0"/>
                <w:numId w:val="14"/>
              </w:numPr>
            </w:pPr>
            <w:r w:rsidRPr="00CD6679">
              <w:t>application processes (</w:t>
            </w:r>
            <w:r>
              <w:t>an application form is attached)</w:t>
            </w:r>
          </w:p>
          <w:p w14:paraId="00B93C1D" w14:textId="77777777" w:rsidR="007D1E5A" w:rsidRPr="00CD6679" w:rsidRDefault="007D1E5A" w:rsidP="00C60614">
            <w:pPr>
              <w:pStyle w:val="Body"/>
              <w:numPr>
                <w:ilvl w:val="0"/>
                <w:numId w:val="14"/>
              </w:numPr>
            </w:pPr>
            <w:r w:rsidRPr="00CD6679">
              <w:t xml:space="preserve">selection of </w:t>
            </w:r>
            <w:r>
              <w:t>health service</w:t>
            </w:r>
            <w:r w:rsidRPr="00CD6679">
              <w:t xml:space="preserve"> recipients</w:t>
            </w:r>
          </w:p>
          <w:p w14:paraId="5D43E51F" w14:textId="77777777" w:rsidR="007D1E5A" w:rsidRPr="00516C50" w:rsidRDefault="007D1E5A" w:rsidP="00C60614">
            <w:pPr>
              <w:pStyle w:val="Body"/>
              <w:numPr>
                <w:ilvl w:val="0"/>
                <w:numId w:val="14"/>
              </w:numPr>
            </w:pPr>
            <w:r w:rsidRPr="00516C50">
              <w:t xml:space="preserve">notifying the department of the final allocations </w:t>
            </w:r>
          </w:p>
          <w:p w14:paraId="10B9C622" w14:textId="77777777" w:rsidR="007D1E5A" w:rsidRDefault="007D1E5A" w:rsidP="00C60614">
            <w:pPr>
              <w:pStyle w:val="Body"/>
              <w:numPr>
                <w:ilvl w:val="0"/>
                <w:numId w:val="14"/>
              </w:numPr>
            </w:pPr>
            <w:r>
              <w:t>demonstrating adherence to the allocation principles</w:t>
            </w:r>
          </w:p>
          <w:p w14:paraId="41F2CC8F" w14:textId="77777777" w:rsidR="007D1E5A" w:rsidRDefault="007D1E5A" w:rsidP="00C60614">
            <w:pPr>
              <w:pStyle w:val="Body"/>
              <w:numPr>
                <w:ilvl w:val="0"/>
                <w:numId w:val="13"/>
              </w:numPr>
            </w:pPr>
            <w:r>
              <w:t xml:space="preserve">equity and fairness – those that did not receive funding last financial </w:t>
            </w:r>
            <w:proofErr w:type="gramStart"/>
            <w:r>
              <w:t>year</w:t>
            </w:r>
            <w:proofErr w:type="gramEnd"/>
          </w:p>
          <w:p w14:paraId="1A9E6B5C" w14:textId="77777777" w:rsidR="007D1E5A" w:rsidRDefault="007D1E5A" w:rsidP="00C60614">
            <w:pPr>
              <w:pStyle w:val="Body"/>
              <w:numPr>
                <w:ilvl w:val="0"/>
                <w:numId w:val="13"/>
              </w:numPr>
            </w:pPr>
            <w:r>
              <w:t>consultative process – allocations must be made in consultation with the health services in the consortium to support areas of greatest need.</w:t>
            </w:r>
          </w:p>
          <w:p w14:paraId="4A8960FE" w14:textId="77777777" w:rsidR="007D1E5A" w:rsidRDefault="007D1E5A" w:rsidP="007D1E5A">
            <w:pPr>
              <w:rPr>
                <w:rFonts w:eastAsia="Arial" w:cs="Arial"/>
                <w:color w:val="000000" w:themeColor="text1"/>
              </w:rPr>
            </w:pPr>
            <w:r>
              <w:rPr>
                <w:rFonts w:eastAsia="Arial" w:cs="Arial"/>
                <w:color w:val="000000" w:themeColor="text1"/>
              </w:rPr>
              <w:t xml:space="preserve">Health services </w:t>
            </w:r>
            <w:r w:rsidRPr="7B17D984">
              <w:rPr>
                <w:rFonts w:eastAsia="Arial" w:cs="Arial"/>
                <w:color w:val="000000" w:themeColor="text1"/>
              </w:rPr>
              <w:t>will be responsible for</w:t>
            </w:r>
            <w:r>
              <w:rPr>
                <w:rFonts w:eastAsia="Arial" w:cs="Arial"/>
                <w:color w:val="000000" w:themeColor="text1"/>
              </w:rPr>
              <w:t>:</w:t>
            </w:r>
          </w:p>
          <w:p w14:paraId="135ACF6F" w14:textId="77777777" w:rsidR="007D1E5A" w:rsidRPr="005B6724" w:rsidRDefault="007D1E5A" w:rsidP="00C60614">
            <w:pPr>
              <w:pStyle w:val="Body"/>
              <w:numPr>
                <w:ilvl w:val="0"/>
                <w:numId w:val="13"/>
              </w:numPr>
            </w:pPr>
            <w:r w:rsidRPr="005B6724">
              <w:t xml:space="preserve">delivering their planned program as per their application form, including the design, implementation, and evaluation of a formalised education program for EN graduates in their first year of practice, which offers formal study days, supernumerary opportunities and clinical support through preceptorship and clinical supervision. This will be achieved by health services being responsible </w:t>
            </w:r>
            <w:r w:rsidRPr="005B6724">
              <w:lastRenderedPageBreak/>
              <w:t xml:space="preserve">for meeting any accreditation, governance, quality and safety standards, management of funding, human resources processes and any other necessary recruitment or education requirements. </w:t>
            </w:r>
          </w:p>
          <w:p w14:paraId="1DD4A307" w14:textId="77777777" w:rsidR="007D1E5A" w:rsidRPr="005B6724" w:rsidRDefault="007D1E5A" w:rsidP="00C60614">
            <w:pPr>
              <w:pStyle w:val="Body"/>
              <w:numPr>
                <w:ilvl w:val="0"/>
                <w:numId w:val="13"/>
              </w:numPr>
            </w:pPr>
            <w:r>
              <w:t>r</w:t>
            </w:r>
            <w:r w:rsidRPr="005B6724">
              <w:t>eporting to the department on the funding activity and program outcomes</w:t>
            </w:r>
          </w:p>
          <w:p w14:paraId="017F04E2" w14:textId="77777777" w:rsidR="007D1E5A" w:rsidRPr="00F975A8" w:rsidRDefault="007D1E5A" w:rsidP="007D1E5A">
            <w:pPr>
              <w:rPr>
                <w:rFonts w:eastAsia="Calibri" w:cs="Arial"/>
              </w:rPr>
            </w:pPr>
            <w:r w:rsidRPr="00F975A8">
              <w:rPr>
                <w:rFonts w:eastAsia="Calibri" w:cs="Arial"/>
              </w:rPr>
              <w:t>The department will be responsible for:</w:t>
            </w:r>
          </w:p>
          <w:p w14:paraId="00EB1491" w14:textId="77777777" w:rsidR="007D1E5A" w:rsidRDefault="007D1E5A" w:rsidP="00C60614">
            <w:pPr>
              <w:pStyle w:val="Body"/>
              <w:numPr>
                <w:ilvl w:val="0"/>
                <w:numId w:val="14"/>
              </w:numPr>
            </w:pPr>
            <w:r>
              <w:t>developing the funding guidelines and the application forms</w:t>
            </w:r>
          </w:p>
          <w:p w14:paraId="5580B693" w14:textId="2B7170EB" w:rsidR="007D1E5A" w:rsidRDefault="007D1E5A" w:rsidP="00C60614">
            <w:pPr>
              <w:pStyle w:val="Body"/>
              <w:numPr>
                <w:ilvl w:val="0"/>
                <w:numId w:val="14"/>
              </w:numPr>
            </w:pPr>
            <w:r>
              <w:t xml:space="preserve">notifying the health services that applications are open and process to be </w:t>
            </w:r>
            <w:r w:rsidR="006A18BC">
              <w:t>followed.</w:t>
            </w:r>
          </w:p>
          <w:p w14:paraId="45E8F7B5" w14:textId="77777777" w:rsidR="007D1E5A" w:rsidRDefault="007D1E5A" w:rsidP="00C60614">
            <w:pPr>
              <w:pStyle w:val="Body"/>
              <w:numPr>
                <w:ilvl w:val="0"/>
                <w:numId w:val="14"/>
              </w:numPr>
            </w:pPr>
            <w:r>
              <w:t>notifying the health services of the application outcome</w:t>
            </w:r>
          </w:p>
          <w:p w14:paraId="1573C53B" w14:textId="77777777" w:rsidR="007D1E5A" w:rsidRPr="003964F3" w:rsidRDefault="007D1E5A" w:rsidP="00C60614">
            <w:pPr>
              <w:pStyle w:val="Body"/>
              <w:numPr>
                <w:ilvl w:val="0"/>
                <w:numId w:val="14"/>
              </w:numPr>
            </w:pPr>
            <w:r>
              <w:t>d</w:t>
            </w:r>
            <w:r w:rsidRPr="003964F3">
              <w:t>istributing the funds to the health services</w:t>
            </w:r>
          </w:p>
          <w:p w14:paraId="1562202F" w14:textId="77777777" w:rsidR="007D1E5A" w:rsidRPr="00CD6679" w:rsidRDefault="007D1E5A" w:rsidP="00C60614">
            <w:pPr>
              <w:pStyle w:val="Body"/>
              <w:numPr>
                <w:ilvl w:val="0"/>
                <w:numId w:val="14"/>
              </w:numPr>
            </w:pPr>
            <w:r w:rsidRPr="00CD6679">
              <w:t xml:space="preserve">monitoring outcomes of the </w:t>
            </w:r>
            <w:r>
              <w:t xml:space="preserve">ENTTP </w:t>
            </w:r>
            <w:r w:rsidRPr="00CD6679">
              <w:t>program</w:t>
            </w:r>
            <w:r>
              <w:t>.</w:t>
            </w:r>
          </w:p>
          <w:p w14:paraId="707963F1" w14:textId="77777777" w:rsidR="007D1E5A" w:rsidRDefault="007D1E5A" w:rsidP="007D1E5A">
            <w:pPr>
              <w:rPr>
                <w:rFonts w:eastAsia="Calibri" w:cs="Arial"/>
                <w:highlight w:val="yellow"/>
              </w:rPr>
            </w:pPr>
          </w:p>
          <w:p w14:paraId="7BFC0F94" w14:textId="77777777" w:rsidR="007D1E5A" w:rsidRPr="001C5CB0" w:rsidRDefault="007D1E5A" w:rsidP="007D1E5A">
            <w:pPr>
              <w:pStyle w:val="Heading1"/>
            </w:pPr>
            <w:bookmarkStart w:id="19" w:name="_Toc150872344"/>
            <w:bookmarkStart w:id="20" w:name="_Toc17649207"/>
            <w:bookmarkStart w:id="21" w:name="_Toc15218575"/>
            <w:bookmarkStart w:id="22" w:name="_Toc937149789"/>
            <w:r w:rsidRPr="001C5CB0">
              <w:t>Assessment of Applications</w:t>
            </w:r>
            <w:bookmarkEnd w:id="19"/>
            <w:r w:rsidRPr="001C5CB0">
              <w:t xml:space="preserve">  </w:t>
            </w:r>
            <w:bookmarkEnd w:id="20"/>
            <w:bookmarkEnd w:id="21"/>
          </w:p>
          <w:p w14:paraId="0FEEAADD" w14:textId="77777777" w:rsidR="007D1E5A" w:rsidRDefault="007D1E5A" w:rsidP="007D1E5A">
            <w:pPr>
              <w:pStyle w:val="Body"/>
            </w:pPr>
            <w:r w:rsidRPr="00604891">
              <w:t xml:space="preserve">Applications will be assessed by a </w:t>
            </w:r>
            <w:r>
              <w:t xml:space="preserve">consortium using an evaluation process agreed by the members </w:t>
            </w:r>
            <w:r w:rsidRPr="00604891">
              <w:t>against the eligibility criteria.</w:t>
            </w:r>
          </w:p>
          <w:p w14:paraId="521D8AC5" w14:textId="77777777" w:rsidR="007D1E5A" w:rsidRDefault="007D1E5A" w:rsidP="007D1E5A">
            <w:pPr>
              <w:pStyle w:val="Body"/>
              <w:rPr>
                <w:rFonts w:eastAsia="Calibri" w:cs="Arial"/>
                <w:b/>
                <w:bCs/>
                <w:szCs w:val="21"/>
              </w:rPr>
            </w:pPr>
            <w:r w:rsidRPr="000C591E">
              <w:rPr>
                <w:rFonts w:eastAsia="Calibri" w:cs="Arial"/>
                <w:b/>
                <w:bCs/>
                <w:szCs w:val="21"/>
              </w:rPr>
              <w:t>Health service funding allocation will be dependent upon assessment of applications, overall</w:t>
            </w:r>
            <w:r>
              <w:rPr>
                <w:rFonts w:eastAsia="Calibri" w:cs="Arial"/>
                <w:b/>
                <w:bCs/>
                <w:szCs w:val="21"/>
              </w:rPr>
              <w:t xml:space="preserve">   </w:t>
            </w:r>
            <w:r w:rsidRPr="000C591E">
              <w:rPr>
                <w:rFonts w:eastAsia="Calibri" w:cs="Arial"/>
                <w:b/>
                <w:bCs/>
                <w:szCs w:val="21"/>
              </w:rPr>
              <w:t xml:space="preserve">demand, </w:t>
            </w:r>
            <w:r>
              <w:rPr>
                <w:rFonts w:eastAsia="Calibri" w:cs="Arial"/>
                <w:b/>
                <w:bCs/>
                <w:szCs w:val="21"/>
              </w:rPr>
              <w:t xml:space="preserve">and </w:t>
            </w:r>
            <w:r w:rsidRPr="000C591E">
              <w:rPr>
                <w:rFonts w:eastAsia="Calibri" w:cs="Arial"/>
                <w:b/>
                <w:bCs/>
                <w:szCs w:val="21"/>
              </w:rPr>
              <w:t>allocation of funding in prior years.</w:t>
            </w:r>
          </w:p>
          <w:p w14:paraId="52618108" w14:textId="77777777" w:rsidR="007D1E5A" w:rsidRPr="002F2DD7" w:rsidRDefault="007D1E5A" w:rsidP="007D1E5A">
            <w:pPr>
              <w:pStyle w:val="Body"/>
              <w:rPr>
                <w:rFonts w:eastAsia="Calibri" w:cs="Arial"/>
                <w:b/>
                <w:bCs/>
                <w:szCs w:val="21"/>
              </w:rPr>
            </w:pPr>
          </w:p>
          <w:p w14:paraId="019FE51B" w14:textId="77777777" w:rsidR="007D1E5A" w:rsidRPr="001C5CB0" w:rsidRDefault="007D1E5A" w:rsidP="007D1E5A">
            <w:pPr>
              <w:pStyle w:val="Heading1"/>
            </w:pPr>
            <w:bookmarkStart w:id="23" w:name="_Toc150872345"/>
            <w:bookmarkStart w:id="24" w:name="_Toc1921110114"/>
            <w:bookmarkStart w:id="25" w:name="_Toc114420979"/>
            <w:r w:rsidRPr="001C5CB0">
              <w:t>Funding Conditions</w:t>
            </w:r>
            <w:bookmarkEnd w:id="22"/>
            <w:bookmarkEnd w:id="23"/>
            <w:r w:rsidRPr="001C5CB0">
              <w:t xml:space="preserve">  </w:t>
            </w:r>
            <w:bookmarkEnd w:id="24"/>
            <w:bookmarkEnd w:id="25"/>
          </w:p>
          <w:p w14:paraId="6E24DE13" w14:textId="77777777" w:rsidR="007D1E5A" w:rsidRPr="002B7A4F" w:rsidRDefault="007D1E5A" w:rsidP="007D1E5A">
            <w:pPr>
              <w:rPr>
                <w:rFonts w:eastAsia="Calibri" w:cs="Arial"/>
                <w:szCs w:val="21"/>
              </w:rPr>
            </w:pPr>
            <w:r>
              <w:rPr>
                <w:rFonts w:eastAsia="Calibri" w:cs="Arial"/>
                <w:szCs w:val="21"/>
              </w:rPr>
              <w:t>To receive funding, h</w:t>
            </w:r>
            <w:r w:rsidRPr="002B7A4F">
              <w:rPr>
                <w:rFonts w:eastAsia="Calibri" w:cs="Arial"/>
                <w:szCs w:val="21"/>
              </w:rPr>
              <w:t>ealth services are expected to</w:t>
            </w:r>
            <w:r w:rsidRPr="00E60133">
              <w:rPr>
                <w:rFonts w:eastAsia="Calibri" w:cs="Arial"/>
                <w:szCs w:val="21"/>
              </w:rPr>
              <w:t xml:space="preserve"> commence</w:t>
            </w:r>
            <w:r w:rsidRPr="002B7A4F">
              <w:rPr>
                <w:rFonts w:eastAsia="Calibri" w:cs="Arial"/>
                <w:szCs w:val="21"/>
                <w:u w:val="single"/>
              </w:rPr>
              <w:t xml:space="preserve"> </w:t>
            </w:r>
            <w:r w:rsidRPr="002B7A4F">
              <w:rPr>
                <w:rFonts w:eastAsia="Calibri" w:cs="Arial"/>
                <w:szCs w:val="21"/>
              </w:rPr>
              <w:t>all funded ENTPPs in 202</w:t>
            </w:r>
            <w:r>
              <w:rPr>
                <w:rFonts w:eastAsia="Calibri" w:cs="Arial"/>
                <w:szCs w:val="21"/>
              </w:rPr>
              <w:t>3-24</w:t>
            </w:r>
            <w:r w:rsidRPr="002B7A4F">
              <w:rPr>
                <w:rFonts w:eastAsia="Calibri" w:cs="Arial"/>
                <w:szCs w:val="21"/>
              </w:rPr>
              <w:t>.</w:t>
            </w:r>
            <w:r>
              <w:rPr>
                <w:rFonts w:eastAsia="Calibri" w:cs="Arial"/>
                <w:szCs w:val="21"/>
              </w:rPr>
              <w:t xml:space="preserve"> Health services who commence activity </w:t>
            </w:r>
            <w:r w:rsidRPr="00C34928">
              <w:rPr>
                <w:rFonts w:eastAsia="Calibri" w:cs="Arial"/>
                <w:i/>
                <w:iCs/>
                <w:szCs w:val="21"/>
              </w:rPr>
              <w:t>before</w:t>
            </w:r>
            <w:r>
              <w:rPr>
                <w:rFonts w:eastAsia="Calibri" w:cs="Arial"/>
                <w:szCs w:val="21"/>
              </w:rPr>
              <w:t xml:space="preserve"> then will not be funded.</w:t>
            </w:r>
            <w:r w:rsidRPr="002B7A4F">
              <w:rPr>
                <w:rFonts w:eastAsia="Calibri" w:cs="Arial"/>
                <w:szCs w:val="21"/>
              </w:rPr>
              <w:t xml:space="preserve"> Funding may be adjusted or recalled if planned activity identified through the application submission process did not occur.  </w:t>
            </w:r>
          </w:p>
          <w:p w14:paraId="1768719F" w14:textId="77777777" w:rsidR="007D1E5A" w:rsidRDefault="007D1E5A" w:rsidP="007D1E5A">
            <w:pPr>
              <w:rPr>
                <w:rFonts w:eastAsia="Calibri" w:cs="Arial"/>
                <w:szCs w:val="21"/>
              </w:rPr>
            </w:pPr>
            <w:r w:rsidRPr="002B7A4F">
              <w:rPr>
                <w:rFonts w:eastAsia="Calibri" w:cs="Arial"/>
                <w:szCs w:val="21"/>
              </w:rPr>
              <w:t>Health services must report expenditure, program completion and workforce retention/intention statistics</w:t>
            </w:r>
            <w:r>
              <w:rPr>
                <w:rFonts w:eastAsia="Calibri" w:cs="Arial"/>
                <w:szCs w:val="21"/>
              </w:rPr>
              <w:t xml:space="preserve"> to the department</w:t>
            </w:r>
            <w:r w:rsidRPr="002B7A4F">
              <w:rPr>
                <w:rFonts w:eastAsia="Calibri" w:cs="Arial"/>
                <w:szCs w:val="21"/>
              </w:rPr>
              <w:t>. A departmental reporting template will be provided</w:t>
            </w:r>
            <w:r>
              <w:rPr>
                <w:rFonts w:eastAsia="Calibri" w:cs="Arial"/>
                <w:szCs w:val="21"/>
              </w:rPr>
              <w:t xml:space="preserve"> at the relevant time</w:t>
            </w:r>
            <w:r w:rsidRPr="002B7A4F">
              <w:rPr>
                <w:rFonts w:eastAsia="Calibri" w:cs="Arial"/>
                <w:szCs w:val="21"/>
              </w:rPr>
              <w:t>.</w:t>
            </w:r>
          </w:p>
          <w:p w14:paraId="1CDBA360" w14:textId="77777777" w:rsidR="007D1E5A" w:rsidRPr="002B7A4F" w:rsidRDefault="007D1E5A" w:rsidP="007D1E5A">
            <w:pPr>
              <w:rPr>
                <w:rFonts w:eastAsia="Calibri" w:cs="Arial"/>
                <w:szCs w:val="21"/>
              </w:rPr>
            </w:pPr>
            <w:r w:rsidRPr="002B7A4F">
              <w:rPr>
                <w:rFonts w:eastAsia="Calibri" w:cs="Arial"/>
                <w:szCs w:val="21"/>
              </w:rPr>
              <w:t>Funds will be disbursed through the department’s budget payment system, in line with current finance arrangements and policy.  </w:t>
            </w:r>
          </w:p>
          <w:p w14:paraId="31175FB6" w14:textId="77777777" w:rsidR="007D1E5A" w:rsidRPr="002B7A4F" w:rsidRDefault="007D1E5A" w:rsidP="007D1E5A">
            <w:pPr>
              <w:rPr>
                <w:rFonts w:eastAsia="Calibri" w:cs="Arial"/>
                <w:szCs w:val="21"/>
              </w:rPr>
            </w:pPr>
            <w:r w:rsidRPr="002B7A4F">
              <w:rPr>
                <w:rFonts w:eastAsia="Calibri" w:cs="Arial"/>
                <w:szCs w:val="21"/>
              </w:rPr>
              <w:t>By accepting this funding, a health service agrees to: </w:t>
            </w:r>
          </w:p>
          <w:p w14:paraId="68BF87AE" w14:textId="77777777" w:rsidR="007D1E5A" w:rsidRDefault="007D1E5A" w:rsidP="00C60614">
            <w:pPr>
              <w:numPr>
                <w:ilvl w:val="0"/>
                <w:numId w:val="11"/>
              </w:numPr>
              <w:rPr>
                <w:rFonts w:eastAsia="Calibri" w:cs="Arial"/>
                <w:szCs w:val="21"/>
              </w:rPr>
            </w:pPr>
            <w:r>
              <w:rPr>
                <w:rFonts w:eastAsia="Calibri" w:cs="Arial"/>
                <w:szCs w:val="21"/>
              </w:rPr>
              <w:t xml:space="preserve">maintain corporate knowledge and record-keeping of program details, including appropriate handover should coordinating staff </w:t>
            </w:r>
            <w:proofErr w:type="gramStart"/>
            <w:r>
              <w:rPr>
                <w:rFonts w:eastAsia="Calibri" w:cs="Arial"/>
                <w:szCs w:val="21"/>
              </w:rPr>
              <w:t>leave</w:t>
            </w:r>
            <w:proofErr w:type="gramEnd"/>
          </w:p>
          <w:p w14:paraId="16C511C1" w14:textId="77777777" w:rsidR="007D1E5A" w:rsidRPr="002B7A4F" w:rsidRDefault="007D1E5A" w:rsidP="00C60614">
            <w:pPr>
              <w:numPr>
                <w:ilvl w:val="0"/>
                <w:numId w:val="11"/>
              </w:numPr>
              <w:rPr>
                <w:rFonts w:eastAsia="Calibri" w:cs="Arial"/>
                <w:szCs w:val="21"/>
              </w:rPr>
            </w:pPr>
            <w:r w:rsidRPr="002B7A4F">
              <w:rPr>
                <w:rFonts w:eastAsia="Calibri" w:cs="Arial"/>
                <w:szCs w:val="21"/>
              </w:rPr>
              <w:t>adhere to reporting timelines and respond to departmental requests for reporting</w:t>
            </w:r>
            <w:r>
              <w:rPr>
                <w:rFonts w:eastAsia="Calibri" w:cs="Arial"/>
                <w:szCs w:val="21"/>
              </w:rPr>
              <w:t xml:space="preserve"> accurately and</w:t>
            </w:r>
            <w:r w:rsidRPr="002B7A4F">
              <w:rPr>
                <w:rFonts w:eastAsia="Calibri" w:cs="Arial"/>
                <w:szCs w:val="21"/>
              </w:rPr>
              <w:t xml:space="preserve"> in a timely </w:t>
            </w:r>
            <w:proofErr w:type="gramStart"/>
            <w:r w:rsidRPr="002B7A4F">
              <w:rPr>
                <w:rFonts w:eastAsia="Calibri" w:cs="Arial"/>
                <w:szCs w:val="21"/>
              </w:rPr>
              <w:t>manner</w:t>
            </w:r>
            <w:proofErr w:type="gramEnd"/>
            <w:r w:rsidRPr="002B7A4F">
              <w:rPr>
                <w:rFonts w:eastAsia="Calibri" w:cs="Arial"/>
                <w:szCs w:val="21"/>
              </w:rPr>
              <w:t> </w:t>
            </w:r>
          </w:p>
          <w:p w14:paraId="2146D00A" w14:textId="77777777" w:rsidR="007D1E5A" w:rsidRPr="002B7A4F" w:rsidRDefault="007D1E5A" w:rsidP="00C60614">
            <w:pPr>
              <w:numPr>
                <w:ilvl w:val="0"/>
                <w:numId w:val="11"/>
              </w:numPr>
              <w:rPr>
                <w:rFonts w:eastAsia="Calibri" w:cs="Arial"/>
                <w:szCs w:val="21"/>
              </w:rPr>
            </w:pPr>
            <w:r w:rsidRPr="002B7A4F">
              <w:rPr>
                <w:rFonts w:eastAsia="Calibri" w:cs="Arial"/>
                <w:szCs w:val="21"/>
              </w:rPr>
              <w:t>adhere to the latest Department of Health Policy and Funding Guidelines </w:t>
            </w:r>
            <w:r>
              <w:rPr>
                <w:rFonts w:eastAsia="Calibri" w:cs="Arial"/>
                <w:szCs w:val="21"/>
              </w:rPr>
              <w:t xml:space="preserve">– see this website for details </w:t>
            </w:r>
            <w:hyperlink r:id="rId25" w:history="1">
              <w:r>
                <w:rPr>
                  <w:rStyle w:val="Hyperlink"/>
                  <w:rFonts w:eastAsia="MS Gothic"/>
                </w:rPr>
                <w:t>Policy and funding guidelines for health services | health.vic.gov.au</w:t>
              </w:r>
            </w:hyperlink>
            <w:r w:rsidRPr="002B7A4F">
              <w:rPr>
                <w:rFonts w:eastAsia="Calibri" w:cs="Arial"/>
                <w:szCs w:val="21"/>
              </w:rPr>
              <w:t> </w:t>
            </w:r>
          </w:p>
          <w:p w14:paraId="34A7C894" w14:textId="77777777" w:rsidR="007D1E5A" w:rsidRPr="002B7A4F" w:rsidRDefault="007D1E5A" w:rsidP="00C60614">
            <w:pPr>
              <w:numPr>
                <w:ilvl w:val="0"/>
                <w:numId w:val="11"/>
              </w:numPr>
              <w:rPr>
                <w:rFonts w:eastAsia="Calibri" w:cs="Arial"/>
                <w:szCs w:val="21"/>
              </w:rPr>
            </w:pPr>
            <w:r w:rsidRPr="002B7A4F">
              <w:rPr>
                <w:rFonts w:eastAsia="Calibri" w:cs="Arial"/>
                <w:szCs w:val="21"/>
              </w:rPr>
              <w:lastRenderedPageBreak/>
              <w:t>immediately notify and discuss with the department any issues that may impact the implementation or achievement of planned ENTPP activity. </w:t>
            </w:r>
          </w:p>
          <w:p w14:paraId="23C6B168" w14:textId="77777777" w:rsidR="007D1E5A" w:rsidRPr="001C5CB0" w:rsidRDefault="007D1E5A" w:rsidP="007D1E5A">
            <w:pPr>
              <w:pStyle w:val="Heading1"/>
            </w:pPr>
            <w:bookmarkStart w:id="26" w:name="_Toc150872346"/>
            <w:bookmarkStart w:id="27" w:name="_Toc957526755"/>
            <w:bookmarkStart w:id="28" w:name="_Toc1041211711"/>
            <w:r w:rsidRPr="001C5CB0">
              <w:t>Further Information</w:t>
            </w:r>
            <w:bookmarkEnd w:id="26"/>
            <w:r w:rsidRPr="001C5CB0">
              <w:t xml:space="preserve"> </w:t>
            </w:r>
            <w:bookmarkEnd w:id="27"/>
            <w:bookmarkEnd w:id="28"/>
          </w:p>
          <w:p w14:paraId="18909BE1" w14:textId="77777777" w:rsidR="007D1E5A" w:rsidRDefault="007D1E5A" w:rsidP="007D1E5A">
            <w:pPr>
              <w:rPr>
                <w:rFonts w:cs="Arial"/>
                <w:color w:val="4F81BD" w:themeColor="accent1"/>
              </w:rPr>
            </w:pPr>
            <w:r w:rsidRPr="62CE1177">
              <w:rPr>
                <w:rFonts w:eastAsia="Arial" w:cs="Arial"/>
              </w:rPr>
              <w:t xml:space="preserve">Please direct any enquiries to: </w:t>
            </w:r>
            <w:hyperlink r:id="rId26">
              <w:r w:rsidRPr="62CE1177">
                <w:rPr>
                  <w:rStyle w:val="Hyperlink"/>
                  <w:rFonts w:eastAsia="Arial" w:cs="Arial"/>
                </w:rPr>
                <w:t>nmw@health.vic.gov.au</w:t>
              </w:r>
            </w:hyperlink>
            <w:r w:rsidRPr="62CE1177">
              <w:rPr>
                <w:rFonts w:eastAsia="Arial" w:cs="Arial"/>
              </w:rPr>
              <w:t>, Tinyiko Seane, Senior Policy Advisor, Health Workforce Policy Team 1, Department of Health.</w:t>
            </w:r>
            <w:r w:rsidRPr="62CE1177">
              <w:rPr>
                <w:rFonts w:cs="Arial"/>
                <w:color w:val="4F81BD" w:themeColor="accent1"/>
              </w:rPr>
              <w:t xml:space="preserve"> </w:t>
            </w:r>
          </w:p>
          <w:p w14:paraId="7EB8C9F2" w14:textId="77777777" w:rsidR="007D1E5A" w:rsidRDefault="007D1E5A" w:rsidP="007D1E5A">
            <w:pPr>
              <w:rPr>
                <w:rFonts w:cs="Arial"/>
                <w:color w:val="4F81BD" w:themeColor="accent1"/>
              </w:rPr>
            </w:pPr>
          </w:p>
          <w:p w14:paraId="1228467F" w14:textId="77777777" w:rsidR="007D1E5A" w:rsidRDefault="007D1E5A" w:rsidP="007D1E5A">
            <w:pPr>
              <w:rPr>
                <w:rFonts w:cs="Arial"/>
                <w:color w:val="4F81BD" w:themeColor="accent1"/>
              </w:rPr>
            </w:pPr>
          </w:p>
          <w:p w14:paraId="2E253A19" w14:textId="77777777" w:rsidR="007D1E5A" w:rsidRDefault="007D1E5A" w:rsidP="007D1E5A">
            <w:pPr>
              <w:rPr>
                <w:rFonts w:cs="Arial"/>
                <w:color w:val="4F81BD" w:themeColor="accent1"/>
              </w:rPr>
            </w:pPr>
          </w:p>
          <w:p w14:paraId="6532A141" w14:textId="77777777" w:rsidR="007D1E5A" w:rsidRDefault="007D1E5A" w:rsidP="007D1E5A">
            <w:pPr>
              <w:rPr>
                <w:rFonts w:cs="Arial"/>
                <w:color w:val="4F81BD" w:themeColor="accent1"/>
              </w:rPr>
            </w:pPr>
          </w:p>
          <w:p w14:paraId="62612216" w14:textId="77777777" w:rsidR="007D1E5A" w:rsidRDefault="007D1E5A" w:rsidP="007D1E5A">
            <w:pPr>
              <w:rPr>
                <w:rFonts w:cs="Arial"/>
                <w:color w:val="4F81BD" w:themeColor="accent1"/>
              </w:rPr>
            </w:pPr>
          </w:p>
          <w:p w14:paraId="4365A046" w14:textId="77777777" w:rsidR="007D1E5A" w:rsidRDefault="007D1E5A" w:rsidP="007D1E5A">
            <w:pPr>
              <w:rPr>
                <w:rFonts w:cs="Arial"/>
                <w:color w:val="4F81BD" w:themeColor="accent1"/>
              </w:rPr>
            </w:pPr>
          </w:p>
          <w:p w14:paraId="2CC2880E" w14:textId="77777777" w:rsidR="007D1E5A" w:rsidRDefault="007D1E5A" w:rsidP="007D1E5A">
            <w:pPr>
              <w:rPr>
                <w:rFonts w:cs="Arial"/>
                <w:color w:val="4F81BD" w:themeColor="accent1"/>
              </w:rPr>
            </w:pPr>
          </w:p>
          <w:p w14:paraId="7D37F8F6" w14:textId="77777777" w:rsidR="007D1E5A" w:rsidRDefault="007D1E5A" w:rsidP="007D1E5A">
            <w:pPr>
              <w:rPr>
                <w:rFonts w:cs="Arial"/>
                <w:color w:val="4F81BD" w:themeColor="accent1"/>
              </w:rPr>
            </w:pPr>
          </w:p>
          <w:p w14:paraId="0E796F64" w14:textId="77777777" w:rsidR="007D1E5A" w:rsidRDefault="007D1E5A" w:rsidP="007D1E5A">
            <w:pPr>
              <w:rPr>
                <w:rFonts w:cs="Arial"/>
                <w:color w:val="4F81BD" w:themeColor="accent1"/>
              </w:rPr>
            </w:pPr>
          </w:p>
          <w:p w14:paraId="6879283C" w14:textId="77777777" w:rsidR="007D1E5A" w:rsidRDefault="007D1E5A" w:rsidP="007D1E5A">
            <w:pPr>
              <w:rPr>
                <w:rFonts w:cs="Arial"/>
                <w:color w:val="4F81BD" w:themeColor="accent1"/>
              </w:rPr>
            </w:pPr>
          </w:p>
          <w:p w14:paraId="04A63F5C" w14:textId="77777777" w:rsidR="007D1E5A" w:rsidRDefault="007D1E5A" w:rsidP="007D1E5A">
            <w:pPr>
              <w:rPr>
                <w:rFonts w:cs="Arial"/>
                <w:color w:val="4F81BD" w:themeColor="accent1"/>
              </w:rPr>
            </w:pPr>
          </w:p>
          <w:p w14:paraId="480417EC" w14:textId="77777777" w:rsidR="007D1E5A" w:rsidRDefault="007D1E5A" w:rsidP="007D1E5A">
            <w:pPr>
              <w:rPr>
                <w:rFonts w:cs="Arial"/>
                <w:color w:val="4F81BD" w:themeColor="accent1"/>
              </w:rPr>
            </w:pPr>
          </w:p>
          <w:p w14:paraId="5DB9DACC" w14:textId="77777777" w:rsidR="007D1E5A" w:rsidRDefault="007D1E5A" w:rsidP="007D1E5A">
            <w:pPr>
              <w:rPr>
                <w:rFonts w:cs="Arial"/>
                <w:color w:val="4F81BD" w:themeColor="accent1"/>
              </w:rPr>
            </w:pPr>
          </w:p>
          <w:p w14:paraId="5F5DFD72" w14:textId="77777777" w:rsidR="007D1E5A" w:rsidRDefault="007D1E5A" w:rsidP="007D1E5A">
            <w:pPr>
              <w:rPr>
                <w:rFonts w:cs="Arial"/>
                <w:color w:val="4F81BD" w:themeColor="accent1"/>
              </w:rPr>
            </w:pPr>
          </w:p>
          <w:p w14:paraId="7260551B" w14:textId="77777777" w:rsidR="007D1E5A" w:rsidRDefault="007D1E5A" w:rsidP="007D1E5A">
            <w:pPr>
              <w:rPr>
                <w:rFonts w:cs="Arial"/>
                <w:color w:val="4F81BD" w:themeColor="accent1"/>
              </w:rPr>
            </w:pPr>
          </w:p>
          <w:p w14:paraId="4B70CB9E" w14:textId="77777777" w:rsidR="007D1E5A" w:rsidRDefault="007D1E5A" w:rsidP="007D1E5A">
            <w:pPr>
              <w:rPr>
                <w:rFonts w:cs="Arial"/>
                <w:color w:val="4F81BD" w:themeColor="accent1"/>
              </w:rPr>
            </w:pPr>
          </w:p>
          <w:p w14:paraId="5AF896A4" w14:textId="77777777" w:rsidR="007D1E5A" w:rsidRDefault="007D1E5A" w:rsidP="007D1E5A">
            <w:pPr>
              <w:rPr>
                <w:rFonts w:cs="Arial"/>
                <w:color w:val="4F81BD" w:themeColor="accent1"/>
              </w:rPr>
            </w:pPr>
          </w:p>
          <w:p w14:paraId="63FD3779" w14:textId="77777777" w:rsidR="007D1E5A" w:rsidRDefault="007D1E5A" w:rsidP="007D1E5A">
            <w:pPr>
              <w:rPr>
                <w:rFonts w:cs="Arial"/>
                <w:color w:val="4F81BD" w:themeColor="accent1"/>
              </w:rPr>
            </w:pPr>
          </w:p>
          <w:p w14:paraId="0CA66FF0" w14:textId="77777777" w:rsidR="007D1E5A" w:rsidRDefault="007D1E5A" w:rsidP="007D1E5A">
            <w:pPr>
              <w:rPr>
                <w:rFonts w:cs="Arial"/>
                <w:color w:val="4F81BD" w:themeColor="accent1"/>
              </w:rPr>
            </w:pPr>
          </w:p>
          <w:p w14:paraId="55A1A991" w14:textId="77777777" w:rsidR="007D1E5A" w:rsidRDefault="007D1E5A" w:rsidP="007D1E5A">
            <w:pPr>
              <w:rPr>
                <w:rFonts w:cs="Arial"/>
                <w:color w:val="4F81BD" w:themeColor="accent1"/>
              </w:rPr>
            </w:pPr>
          </w:p>
          <w:p w14:paraId="452750F4" w14:textId="77777777" w:rsidR="007D1E5A" w:rsidRDefault="007D1E5A" w:rsidP="007D1E5A">
            <w:pPr>
              <w:rPr>
                <w:rFonts w:cs="Arial"/>
                <w:color w:val="4F81BD" w:themeColor="accent1"/>
              </w:rPr>
            </w:pPr>
          </w:p>
          <w:p w14:paraId="3DEA46C5" w14:textId="77777777" w:rsidR="007D1E5A" w:rsidRDefault="007D1E5A" w:rsidP="007D1E5A">
            <w:pPr>
              <w:rPr>
                <w:rFonts w:cs="Arial"/>
                <w:color w:val="4F81BD" w:themeColor="accent1"/>
              </w:rPr>
            </w:pPr>
          </w:p>
          <w:p w14:paraId="5FA9CA8E" w14:textId="77777777" w:rsidR="007D1E5A" w:rsidRDefault="007D1E5A" w:rsidP="007D1E5A">
            <w:pPr>
              <w:rPr>
                <w:rFonts w:cs="Arial"/>
                <w:color w:val="4F81BD" w:themeColor="accent1"/>
              </w:rPr>
            </w:pPr>
          </w:p>
          <w:p w14:paraId="0FCCA55F" w14:textId="77777777" w:rsidR="007D1E5A" w:rsidRPr="001C5CB0" w:rsidRDefault="007D1E5A" w:rsidP="007D1E5A">
            <w:pPr>
              <w:pStyle w:val="Heading1"/>
            </w:pPr>
            <w:bookmarkStart w:id="29" w:name="_Toc241915863"/>
            <w:bookmarkStart w:id="30" w:name="_Toc1738199095"/>
            <w:bookmarkStart w:id="31" w:name="_Toc1769763921"/>
            <w:bookmarkStart w:id="32" w:name="_Toc150872347"/>
            <w:r>
              <w:lastRenderedPageBreak/>
              <w:t>Application Form</w:t>
            </w:r>
            <w:bookmarkEnd w:id="29"/>
            <w:bookmarkEnd w:id="30"/>
            <w:bookmarkEnd w:id="31"/>
            <w:r>
              <w:t xml:space="preserve"> – 2023-24 Enrolled Nurse Transition to Practice Program</w:t>
            </w:r>
            <w:bookmarkEnd w:id="32"/>
          </w:p>
          <w:p w14:paraId="38F0E3B0" w14:textId="77777777" w:rsidR="007D1E5A" w:rsidRPr="001C5CB0" w:rsidRDefault="007D1E5A" w:rsidP="007D1E5A">
            <w:pPr>
              <w:rPr>
                <w:rFonts w:eastAsia="Segoe UI" w:cs="Arial"/>
                <w:b/>
                <w:bCs/>
                <w:i/>
                <w:iCs/>
                <w:color w:val="A00024"/>
                <w:sz w:val="18"/>
                <w:szCs w:val="18"/>
              </w:rPr>
            </w:pPr>
          </w:p>
          <w:tbl>
            <w:tblPr>
              <w:tblStyle w:val="TableGrid"/>
              <w:tblW w:w="0" w:type="auto"/>
              <w:tblLook w:val="04A0" w:firstRow="1" w:lastRow="0" w:firstColumn="1" w:lastColumn="0" w:noHBand="0" w:noVBand="1"/>
            </w:tblPr>
            <w:tblGrid>
              <w:gridCol w:w="2053"/>
              <w:gridCol w:w="6962"/>
            </w:tblGrid>
            <w:tr w:rsidR="007D1E5A" w:rsidRPr="001C5CB0" w14:paraId="65E98FD7" w14:textId="77777777" w:rsidTr="00553C36">
              <w:trPr>
                <w:trHeight w:val="450"/>
              </w:trPr>
              <w:tc>
                <w:tcPr>
                  <w:tcW w:w="2053" w:type="dxa"/>
                  <w:tcBorders>
                    <w:top w:val="nil"/>
                    <w:left w:val="nil"/>
                    <w:bottom w:val="nil"/>
                    <w:right w:val="single" w:sz="8" w:space="0" w:color="auto"/>
                  </w:tcBorders>
                </w:tcPr>
                <w:p w14:paraId="0C5B96EE" w14:textId="77777777" w:rsidR="007D1E5A" w:rsidRPr="001C5CB0" w:rsidRDefault="007D1E5A" w:rsidP="007D1E5A">
                  <w:pPr>
                    <w:pStyle w:val="Heading3"/>
                    <w:rPr>
                      <w:rFonts w:cs="Arial"/>
                    </w:rPr>
                  </w:pPr>
                  <w:bookmarkStart w:id="33" w:name="_Toc313611042"/>
                  <w:r w:rsidRPr="001C5CB0">
                    <w:rPr>
                      <w:rFonts w:eastAsia="Arial" w:cs="Arial"/>
                      <w:b/>
                      <w:sz w:val="22"/>
                      <w:szCs w:val="22"/>
                    </w:rPr>
                    <w:t xml:space="preserve">Health service name </w:t>
                  </w:r>
                  <w:bookmarkEnd w:id="33"/>
                </w:p>
              </w:tc>
              <w:tc>
                <w:tcPr>
                  <w:tcW w:w="6962" w:type="dxa"/>
                  <w:tcBorders>
                    <w:top w:val="single" w:sz="8" w:space="0" w:color="auto"/>
                    <w:left w:val="single" w:sz="8" w:space="0" w:color="auto"/>
                    <w:bottom w:val="single" w:sz="8" w:space="0" w:color="auto"/>
                    <w:right w:val="single" w:sz="8" w:space="0" w:color="auto"/>
                  </w:tcBorders>
                </w:tcPr>
                <w:p w14:paraId="30B9E095" w14:textId="77777777" w:rsidR="007D1E5A" w:rsidRPr="001C5CB0" w:rsidRDefault="007D1E5A" w:rsidP="007D1E5A">
                  <w:pPr>
                    <w:pStyle w:val="Heading3"/>
                    <w:rPr>
                      <w:rFonts w:cs="Arial"/>
                    </w:rPr>
                  </w:pPr>
                  <w:bookmarkStart w:id="34" w:name="_Toc411036266"/>
                  <w:r w:rsidRPr="001C5CB0">
                    <w:rPr>
                      <w:rFonts w:eastAsia="Arial" w:cs="Arial"/>
                      <w:b/>
                      <w:sz w:val="22"/>
                      <w:szCs w:val="22"/>
                    </w:rPr>
                    <w:t xml:space="preserve"> </w:t>
                  </w:r>
                  <w:bookmarkEnd w:id="34"/>
                </w:p>
              </w:tc>
            </w:tr>
            <w:tr w:rsidR="007D1E5A" w:rsidRPr="001C5CB0" w14:paraId="40829683" w14:textId="77777777" w:rsidTr="00553C36">
              <w:trPr>
                <w:trHeight w:val="450"/>
              </w:trPr>
              <w:tc>
                <w:tcPr>
                  <w:tcW w:w="2053" w:type="dxa"/>
                  <w:tcBorders>
                    <w:top w:val="nil"/>
                    <w:left w:val="nil"/>
                    <w:bottom w:val="nil"/>
                    <w:right w:val="single" w:sz="8" w:space="0" w:color="auto"/>
                  </w:tcBorders>
                </w:tcPr>
                <w:p w14:paraId="4C401188" w14:textId="77777777" w:rsidR="007D1E5A" w:rsidRPr="001C5CB0" w:rsidRDefault="007D1E5A" w:rsidP="007D1E5A">
                  <w:pPr>
                    <w:pStyle w:val="Heading3"/>
                    <w:rPr>
                      <w:rFonts w:cs="Arial"/>
                    </w:rPr>
                  </w:pPr>
                  <w:bookmarkStart w:id="35" w:name="_Toc980240093"/>
                  <w:r w:rsidRPr="001C5CB0">
                    <w:rPr>
                      <w:rFonts w:eastAsia="Arial" w:cs="Arial"/>
                      <w:b/>
                      <w:sz w:val="22"/>
                      <w:szCs w:val="22"/>
                    </w:rPr>
                    <w:t>Key contact name</w:t>
                  </w:r>
                  <w:bookmarkEnd w:id="35"/>
                </w:p>
              </w:tc>
              <w:tc>
                <w:tcPr>
                  <w:tcW w:w="6962" w:type="dxa"/>
                  <w:tcBorders>
                    <w:top w:val="single" w:sz="8" w:space="0" w:color="auto"/>
                    <w:left w:val="single" w:sz="8" w:space="0" w:color="auto"/>
                    <w:bottom w:val="single" w:sz="8" w:space="0" w:color="auto"/>
                    <w:right w:val="single" w:sz="8" w:space="0" w:color="auto"/>
                  </w:tcBorders>
                </w:tcPr>
                <w:p w14:paraId="50ED73DC" w14:textId="77777777" w:rsidR="007D1E5A" w:rsidRPr="001C5CB0" w:rsidRDefault="007D1E5A" w:rsidP="007D1E5A">
                  <w:pPr>
                    <w:pStyle w:val="Heading3"/>
                    <w:rPr>
                      <w:rFonts w:cs="Arial"/>
                    </w:rPr>
                  </w:pPr>
                  <w:bookmarkStart w:id="36" w:name="_Toc1658483960"/>
                  <w:r w:rsidRPr="001C5CB0">
                    <w:rPr>
                      <w:rFonts w:eastAsia="Arial" w:cs="Arial"/>
                      <w:b/>
                      <w:sz w:val="22"/>
                      <w:szCs w:val="22"/>
                    </w:rPr>
                    <w:t xml:space="preserve"> </w:t>
                  </w:r>
                  <w:bookmarkEnd w:id="36"/>
                </w:p>
              </w:tc>
            </w:tr>
            <w:tr w:rsidR="007D1E5A" w:rsidRPr="001C5CB0" w14:paraId="49DA2967" w14:textId="77777777" w:rsidTr="00553C36">
              <w:trPr>
                <w:trHeight w:val="450"/>
              </w:trPr>
              <w:tc>
                <w:tcPr>
                  <w:tcW w:w="2053" w:type="dxa"/>
                  <w:tcBorders>
                    <w:top w:val="nil"/>
                    <w:left w:val="nil"/>
                    <w:bottom w:val="nil"/>
                    <w:right w:val="single" w:sz="8" w:space="0" w:color="auto"/>
                  </w:tcBorders>
                </w:tcPr>
                <w:p w14:paraId="6CD50664" w14:textId="77777777" w:rsidR="007D1E5A" w:rsidRPr="001C5CB0" w:rsidRDefault="007D1E5A" w:rsidP="007D1E5A">
                  <w:pPr>
                    <w:pStyle w:val="Heading3"/>
                    <w:rPr>
                      <w:rFonts w:cs="Arial"/>
                    </w:rPr>
                  </w:pPr>
                  <w:bookmarkStart w:id="37" w:name="_Toc16854564"/>
                  <w:r w:rsidRPr="001C5CB0">
                    <w:rPr>
                      <w:rFonts w:eastAsia="Arial" w:cs="Arial"/>
                      <w:b/>
                      <w:sz w:val="22"/>
                      <w:szCs w:val="22"/>
                    </w:rPr>
                    <w:t>Position</w:t>
                  </w:r>
                  <w:r>
                    <w:rPr>
                      <w:rFonts w:eastAsia="Arial" w:cs="Arial"/>
                      <w:b/>
                      <w:sz w:val="22"/>
                      <w:szCs w:val="22"/>
                    </w:rPr>
                    <w:t>/Title</w:t>
                  </w:r>
                  <w:bookmarkEnd w:id="37"/>
                </w:p>
              </w:tc>
              <w:tc>
                <w:tcPr>
                  <w:tcW w:w="6962" w:type="dxa"/>
                  <w:tcBorders>
                    <w:top w:val="single" w:sz="8" w:space="0" w:color="auto"/>
                    <w:left w:val="single" w:sz="8" w:space="0" w:color="auto"/>
                    <w:bottom w:val="single" w:sz="8" w:space="0" w:color="auto"/>
                    <w:right w:val="single" w:sz="8" w:space="0" w:color="auto"/>
                  </w:tcBorders>
                </w:tcPr>
                <w:p w14:paraId="43630C42" w14:textId="77777777" w:rsidR="007D1E5A" w:rsidRPr="001C5CB0" w:rsidRDefault="007D1E5A" w:rsidP="007D1E5A">
                  <w:pPr>
                    <w:pStyle w:val="Heading3"/>
                    <w:rPr>
                      <w:rFonts w:cs="Arial"/>
                    </w:rPr>
                  </w:pPr>
                  <w:bookmarkStart w:id="38" w:name="_Toc8204383"/>
                  <w:r w:rsidRPr="001C5CB0">
                    <w:rPr>
                      <w:rFonts w:eastAsia="Arial" w:cs="Arial"/>
                      <w:b/>
                      <w:sz w:val="22"/>
                      <w:szCs w:val="22"/>
                    </w:rPr>
                    <w:t xml:space="preserve"> </w:t>
                  </w:r>
                  <w:bookmarkEnd w:id="38"/>
                </w:p>
              </w:tc>
            </w:tr>
            <w:tr w:rsidR="007D1E5A" w:rsidRPr="001C5CB0" w14:paraId="6CDF2EDB" w14:textId="77777777" w:rsidTr="00553C36">
              <w:trPr>
                <w:trHeight w:val="450"/>
              </w:trPr>
              <w:tc>
                <w:tcPr>
                  <w:tcW w:w="2053" w:type="dxa"/>
                  <w:tcBorders>
                    <w:top w:val="nil"/>
                    <w:left w:val="nil"/>
                    <w:bottom w:val="nil"/>
                    <w:right w:val="single" w:sz="8" w:space="0" w:color="auto"/>
                  </w:tcBorders>
                </w:tcPr>
                <w:p w14:paraId="51731DB2" w14:textId="77777777" w:rsidR="007D1E5A" w:rsidRPr="001C5CB0" w:rsidRDefault="007D1E5A" w:rsidP="007D1E5A">
                  <w:pPr>
                    <w:pStyle w:val="Heading3"/>
                    <w:rPr>
                      <w:rFonts w:cs="Arial"/>
                    </w:rPr>
                  </w:pPr>
                  <w:bookmarkStart w:id="39" w:name="_Toc1951313764"/>
                  <w:r w:rsidRPr="001C5CB0">
                    <w:rPr>
                      <w:rFonts w:eastAsia="Arial" w:cs="Arial"/>
                      <w:b/>
                      <w:sz w:val="22"/>
                      <w:szCs w:val="22"/>
                    </w:rPr>
                    <w:t xml:space="preserve">Email </w:t>
                  </w:r>
                  <w:bookmarkEnd w:id="39"/>
                </w:p>
              </w:tc>
              <w:tc>
                <w:tcPr>
                  <w:tcW w:w="6962" w:type="dxa"/>
                  <w:tcBorders>
                    <w:top w:val="single" w:sz="8" w:space="0" w:color="auto"/>
                    <w:left w:val="single" w:sz="8" w:space="0" w:color="auto"/>
                    <w:bottom w:val="single" w:sz="8" w:space="0" w:color="auto"/>
                    <w:right w:val="single" w:sz="8" w:space="0" w:color="auto"/>
                  </w:tcBorders>
                </w:tcPr>
                <w:p w14:paraId="4847283B" w14:textId="77777777" w:rsidR="007D1E5A" w:rsidRPr="001C5CB0" w:rsidRDefault="007D1E5A" w:rsidP="007D1E5A">
                  <w:pPr>
                    <w:pStyle w:val="Heading3"/>
                    <w:rPr>
                      <w:rFonts w:cs="Arial"/>
                    </w:rPr>
                  </w:pPr>
                  <w:bookmarkStart w:id="40" w:name="_Toc1313516852"/>
                  <w:r w:rsidRPr="001C5CB0">
                    <w:rPr>
                      <w:rFonts w:eastAsia="Arial" w:cs="Arial"/>
                      <w:b/>
                      <w:sz w:val="22"/>
                      <w:szCs w:val="22"/>
                    </w:rPr>
                    <w:t xml:space="preserve"> </w:t>
                  </w:r>
                  <w:bookmarkEnd w:id="40"/>
                </w:p>
              </w:tc>
            </w:tr>
            <w:tr w:rsidR="007D1E5A" w:rsidRPr="001C5CB0" w14:paraId="0D8D5DA8" w14:textId="77777777" w:rsidTr="00553C36">
              <w:trPr>
                <w:trHeight w:val="450"/>
              </w:trPr>
              <w:tc>
                <w:tcPr>
                  <w:tcW w:w="2053" w:type="dxa"/>
                  <w:tcBorders>
                    <w:top w:val="nil"/>
                    <w:left w:val="nil"/>
                    <w:bottom w:val="nil"/>
                    <w:right w:val="single" w:sz="8" w:space="0" w:color="auto"/>
                  </w:tcBorders>
                </w:tcPr>
                <w:p w14:paraId="49157614" w14:textId="77777777" w:rsidR="007D1E5A" w:rsidRPr="001C5CB0" w:rsidRDefault="007D1E5A" w:rsidP="007D1E5A">
                  <w:pPr>
                    <w:pStyle w:val="Heading3"/>
                    <w:rPr>
                      <w:rFonts w:cs="Arial"/>
                    </w:rPr>
                  </w:pPr>
                  <w:bookmarkStart w:id="41" w:name="_Toc1428806576"/>
                  <w:r>
                    <w:rPr>
                      <w:rFonts w:eastAsia="Arial" w:cs="Arial"/>
                      <w:b/>
                      <w:sz w:val="22"/>
                      <w:szCs w:val="22"/>
                    </w:rPr>
                    <w:t>Telephone</w:t>
                  </w:r>
                  <w:bookmarkEnd w:id="41"/>
                </w:p>
              </w:tc>
              <w:tc>
                <w:tcPr>
                  <w:tcW w:w="6962" w:type="dxa"/>
                  <w:tcBorders>
                    <w:top w:val="single" w:sz="8" w:space="0" w:color="auto"/>
                    <w:left w:val="single" w:sz="8" w:space="0" w:color="auto"/>
                    <w:bottom w:val="single" w:sz="8" w:space="0" w:color="auto"/>
                    <w:right w:val="single" w:sz="8" w:space="0" w:color="auto"/>
                  </w:tcBorders>
                </w:tcPr>
                <w:p w14:paraId="575FB41B" w14:textId="77777777" w:rsidR="007D1E5A" w:rsidRPr="001C5CB0" w:rsidRDefault="007D1E5A" w:rsidP="007D1E5A">
                  <w:pPr>
                    <w:pStyle w:val="Heading3"/>
                    <w:rPr>
                      <w:rFonts w:eastAsia="Arial" w:cs="Arial"/>
                      <w:b/>
                      <w:bCs w:val="0"/>
                      <w:sz w:val="22"/>
                      <w:szCs w:val="22"/>
                    </w:rPr>
                  </w:pPr>
                </w:p>
              </w:tc>
            </w:tr>
          </w:tbl>
          <w:p w14:paraId="034EB473" w14:textId="77777777" w:rsidR="007D1E5A" w:rsidRDefault="007D1E5A" w:rsidP="007D1E5A">
            <w:pPr>
              <w:rPr>
                <w:rFonts w:eastAsia="Calibri" w:cs="Arial"/>
                <w:i/>
                <w:iCs/>
                <w:color w:val="000000" w:themeColor="text1"/>
                <w:szCs w:val="21"/>
                <w:highlight w:val="yellow"/>
              </w:rPr>
            </w:pPr>
          </w:p>
          <w:tbl>
            <w:tblPr>
              <w:tblStyle w:val="TableGrid"/>
              <w:tblW w:w="0" w:type="auto"/>
              <w:tblLook w:val="04A0" w:firstRow="1" w:lastRow="0" w:firstColumn="1" w:lastColumn="0" w:noHBand="0" w:noVBand="1"/>
            </w:tblPr>
            <w:tblGrid>
              <w:gridCol w:w="10086"/>
            </w:tblGrid>
            <w:tr w:rsidR="007D1E5A" w14:paraId="5BAAF9DA" w14:textId="77777777" w:rsidTr="00553C36">
              <w:trPr>
                <w:tblHeader/>
              </w:trPr>
              <w:tc>
                <w:tcPr>
                  <w:tcW w:w="10086" w:type="dxa"/>
                  <w:vAlign w:val="center"/>
                </w:tcPr>
                <w:p w14:paraId="67E301FB" w14:textId="77777777" w:rsidR="007D1E5A" w:rsidRDefault="007D1E5A" w:rsidP="007D1E5A">
                  <w:pPr>
                    <w:pStyle w:val="Heading3"/>
                  </w:pPr>
                  <w:r>
                    <w:lastRenderedPageBreak/>
                    <w:t xml:space="preserve">Provide an overview of the proposed Enrolled Nurse Transition to Practice Program (ENTPP) structure including: </w:t>
                  </w:r>
                </w:p>
                <w:p w14:paraId="0ACFEFC0" w14:textId="77777777" w:rsidR="007D1E5A" w:rsidRPr="00CA368D" w:rsidRDefault="007D1E5A" w:rsidP="00C60614">
                  <w:pPr>
                    <w:pStyle w:val="DHHSbullet1"/>
                    <w:numPr>
                      <w:ilvl w:val="0"/>
                      <w:numId w:val="2"/>
                    </w:numPr>
                    <w:ind w:left="852"/>
                    <w:rPr>
                      <w:b/>
                      <w:bCs/>
                    </w:rPr>
                  </w:pPr>
                  <w:r w:rsidRPr="00CA368D">
                    <w:rPr>
                      <w:b/>
                      <w:bCs/>
                    </w:rPr>
                    <w:t>program design</w:t>
                  </w:r>
                </w:p>
                <w:p w14:paraId="662D4C00" w14:textId="77777777" w:rsidR="007D1E5A" w:rsidRPr="00CA368D" w:rsidRDefault="007D1E5A" w:rsidP="00C60614">
                  <w:pPr>
                    <w:pStyle w:val="DHHSbullet1"/>
                    <w:numPr>
                      <w:ilvl w:val="0"/>
                      <w:numId w:val="2"/>
                    </w:numPr>
                    <w:ind w:left="852"/>
                    <w:rPr>
                      <w:b/>
                      <w:bCs/>
                    </w:rPr>
                  </w:pPr>
                  <w:r w:rsidRPr="00CA368D">
                    <w:rPr>
                      <w:b/>
                      <w:bCs/>
                    </w:rPr>
                    <w:t>implementation</w:t>
                  </w:r>
                </w:p>
                <w:p w14:paraId="72C97F21" w14:textId="77777777" w:rsidR="007D1E5A" w:rsidRPr="00CA368D" w:rsidRDefault="007D1E5A" w:rsidP="00C60614">
                  <w:pPr>
                    <w:pStyle w:val="DHHSbullet1"/>
                    <w:numPr>
                      <w:ilvl w:val="0"/>
                      <w:numId w:val="2"/>
                    </w:numPr>
                    <w:ind w:left="852"/>
                    <w:rPr>
                      <w:b/>
                      <w:bCs/>
                    </w:rPr>
                  </w:pPr>
                  <w:r w:rsidRPr="00CA368D">
                    <w:rPr>
                      <w:b/>
                      <w:bCs/>
                    </w:rPr>
                    <w:t>governance arrangements</w:t>
                  </w:r>
                  <w:r>
                    <w:rPr>
                      <w:b/>
                      <w:bCs/>
                    </w:rPr>
                    <w:t xml:space="preserve"> (i.e., health service oversight of the program)</w:t>
                  </w:r>
                </w:p>
                <w:p w14:paraId="371EFABE" w14:textId="77777777" w:rsidR="007D1E5A" w:rsidRPr="00B67B84" w:rsidRDefault="007D1E5A" w:rsidP="00C60614">
                  <w:pPr>
                    <w:pStyle w:val="DHHSbullet1"/>
                    <w:numPr>
                      <w:ilvl w:val="0"/>
                      <w:numId w:val="2"/>
                    </w:numPr>
                    <w:ind w:left="852"/>
                    <w:rPr>
                      <w:b/>
                      <w:bCs/>
                    </w:rPr>
                  </w:pPr>
                  <w:r w:rsidRPr="00CA368D">
                    <w:rPr>
                      <w:b/>
                      <w:bCs/>
                    </w:rPr>
                    <w:t xml:space="preserve">how the </w:t>
                  </w:r>
                  <w:r w:rsidRPr="00B67B84">
                    <w:rPr>
                      <w:b/>
                      <w:bCs/>
                    </w:rPr>
                    <w:t>program will be promoted, and participants recruited and selected</w:t>
                  </w:r>
                </w:p>
                <w:p w14:paraId="3A861846" w14:textId="77777777" w:rsidR="007D1E5A" w:rsidRPr="00B67B84" w:rsidRDefault="007D1E5A" w:rsidP="00C60614">
                  <w:pPr>
                    <w:pStyle w:val="DHHSbullet1"/>
                    <w:numPr>
                      <w:ilvl w:val="0"/>
                      <w:numId w:val="2"/>
                    </w:numPr>
                    <w:ind w:left="852"/>
                    <w:rPr>
                      <w:b/>
                      <w:bCs/>
                    </w:rPr>
                  </w:pPr>
                  <w:r w:rsidRPr="00B67B84">
                    <w:rPr>
                      <w:b/>
                      <w:bCs/>
                    </w:rPr>
                    <w:t xml:space="preserve">resourcing including budget </w:t>
                  </w:r>
                  <w:proofErr w:type="gramStart"/>
                  <w:r w:rsidRPr="00B67B84">
                    <w:rPr>
                      <w:b/>
                      <w:bCs/>
                    </w:rPr>
                    <w:t>outline</w:t>
                  </w:r>
                  <w:proofErr w:type="gramEnd"/>
                </w:p>
                <w:p w14:paraId="455E19AF" w14:textId="77777777" w:rsidR="007D1E5A" w:rsidRPr="00B67B84" w:rsidRDefault="007D1E5A" w:rsidP="00C60614">
                  <w:pPr>
                    <w:pStyle w:val="DHHSbullet1"/>
                    <w:numPr>
                      <w:ilvl w:val="0"/>
                      <w:numId w:val="2"/>
                    </w:numPr>
                    <w:ind w:left="852"/>
                  </w:pPr>
                  <w:r w:rsidRPr="00B67B84">
                    <w:rPr>
                      <w:b/>
                      <w:bCs/>
                    </w:rPr>
                    <w:t>model of support for the EN (i.e.</w:t>
                  </w:r>
                  <w:r>
                    <w:rPr>
                      <w:b/>
                      <w:bCs/>
                    </w:rPr>
                    <w:t>,</w:t>
                  </w:r>
                  <w:r w:rsidRPr="00B67B84">
                    <w:rPr>
                      <w:b/>
                      <w:bCs/>
                    </w:rPr>
                    <w:t xml:space="preserve"> what supports, and resources will be in place for the EN, e.g.</w:t>
                  </w:r>
                  <w:r>
                    <w:rPr>
                      <w:b/>
                      <w:bCs/>
                    </w:rPr>
                    <w:t>,</w:t>
                  </w:r>
                  <w:r w:rsidRPr="00B67B84">
                    <w:rPr>
                      <w:b/>
                      <w:bCs/>
                    </w:rPr>
                    <w:t xml:space="preserve"> preceptorship, buddy, mentor, </w:t>
                  </w:r>
                  <w:r>
                    <w:rPr>
                      <w:b/>
                      <w:bCs/>
                    </w:rPr>
                    <w:t>g</w:t>
                  </w:r>
                  <w:r w:rsidRPr="00B67B84">
                    <w:rPr>
                      <w:b/>
                      <w:bCs/>
                    </w:rPr>
                    <w:t xml:space="preserve">raduate </w:t>
                  </w:r>
                  <w:r>
                    <w:rPr>
                      <w:b/>
                      <w:bCs/>
                    </w:rPr>
                    <w:t>c</w:t>
                  </w:r>
                  <w:r w:rsidRPr="00B67B84">
                    <w:rPr>
                      <w:b/>
                      <w:bCs/>
                    </w:rPr>
                    <w:t xml:space="preserve">oordinator, </w:t>
                  </w:r>
                  <w:r>
                    <w:rPr>
                      <w:b/>
                      <w:bCs/>
                    </w:rPr>
                    <w:t>e</w:t>
                  </w:r>
                  <w:r w:rsidRPr="00B67B84">
                    <w:rPr>
                      <w:b/>
                      <w:bCs/>
                    </w:rPr>
                    <w:t>ducator, peer support, online learning packages and so on)</w:t>
                  </w:r>
                </w:p>
                <w:p w14:paraId="460C29C3" w14:textId="77777777" w:rsidR="007D1E5A" w:rsidRDefault="007D1E5A" w:rsidP="007D1E5A">
                  <w:pPr>
                    <w:pStyle w:val="DHHSbullet1"/>
                    <w:ind w:firstLine="0"/>
                  </w:pPr>
                </w:p>
              </w:tc>
            </w:tr>
            <w:tr w:rsidR="007D1E5A" w14:paraId="2BFB36B9" w14:textId="77777777" w:rsidTr="00553C36">
              <w:trPr>
                <w:tblHeader/>
              </w:trPr>
              <w:tc>
                <w:tcPr>
                  <w:tcW w:w="10086" w:type="dxa"/>
                  <w:vAlign w:val="center"/>
                </w:tcPr>
                <w:p w14:paraId="493FFC22" w14:textId="77777777" w:rsidR="007D1E5A" w:rsidRDefault="007D1E5A" w:rsidP="007D1E5A">
                  <w:pPr>
                    <w:pStyle w:val="DHHSbody"/>
                    <w:rPr>
                      <w:i/>
                    </w:rPr>
                  </w:pPr>
                  <w:r>
                    <w:rPr>
                      <w:i/>
                    </w:rPr>
                    <w:t>Word limit: 300 words</w:t>
                  </w:r>
                </w:p>
                <w:p w14:paraId="36B87952" w14:textId="77777777" w:rsidR="007D1E5A" w:rsidRDefault="007D1E5A" w:rsidP="007D1E5A">
                  <w:pPr>
                    <w:pStyle w:val="DHHSbullet1"/>
                    <w:ind w:left="0" w:firstLine="0"/>
                    <w:rPr>
                      <w:b/>
                      <w:bCs/>
                    </w:rPr>
                  </w:pPr>
                </w:p>
                <w:p w14:paraId="5E1317E1" w14:textId="77777777" w:rsidR="007D1E5A" w:rsidRDefault="007D1E5A" w:rsidP="007D1E5A">
                  <w:pPr>
                    <w:pStyle w:val="DHHSbody"/>
                  </w:pPr>
                </w:p>
                <w:p w14:paraId="1D87EB75" w14:textId="77777777" w:rsidR="007D1E5A" w:rsidRDefault="007D1E5A" w:rsidP="007D1E5A">
                  <w:pPr>
                    <w:pStyle w:val="DHHSbody"/>
                  </w:pPr>
                </w:p>
                <w:p w14:paraId="02609D62" w14:textId="77777777" w:rsidR="007D1E5A" w:rsidRDefault="007D1E5A" w:rsidP="007D1E5A">
                  <w:pPr>
                    <w:pStyle w:val="DHHSbody"/>
                  </w:pPr>
                </w:p>
                <w:p w14:paraId="4F825CB7" w14:textId="77777777" w:rsidR="007D1E5A" w:rsidRDefault="007D1E5A" w:rsidP="007D1E5A">
                  <w:pPr>
                    <w:pStyle w:val="DHHSbody"/>
                  </w:pPr>
                </w:p>
                <w:p w14:paraId="572BC773" w14:textId="77777777" w:rsidR="007D1E5A" w:rsidRDefault="007D1E5A" w:rsidP="007D1E5A">
                  <w:pPr>
                    <w:pStyle w:val="DHHSbody"/>
                  </w:pPr>
                </w:p>
                <w:p w14:paraId="458F77FE" w14:textId="77777777" w:rsidR="007D1E5A" w:rsidRPr="00C411AA" w:rsidRDefault="007D1E5A" w:rsidP="007D1E5A">
                  <w:pPr>
                    <w:pStyle w:val="DHHSbody"/>
                  </w:pPr>
                </w:p>
              </w:tc>
            </w:tr>
          </w:tbl>
          <w:p w14:paraId="5F6F1CD0" w14:textId="77777777" w:rsidR="007D1E5A" w:rsidRDefault="007D1E5A" w:rsidP="007D1E5A">
            <w:pPr>
              <w:rPr>
                <w:rFonts w:eastAsia="Calibri" w:cs="Arial"/>
                <w:color w:val="000000" w:themeColor="text1"/>
                <w:szCs w:val="21"/>
                <w:highlight w:val="yellow"/>
              </w:rPr>
            </w:pPr>
          </w:p>
          <w:tbl>
            <w:tblPr>
              <w:tblStyle w:val="TableGrid"/>
              <w:tblW w:w="10194" w:type="dxa"/>
              <w:tblLook w:val="04A0" w:firstRow="1" w:lastRow="0" w:firstColumn="1" w:lastColumn="0" w:noHBand="0" w:noVBand="1"/>
            </w:tblPr>
            <w:tblGrid>
              <w:gridCol w:w="10194"/>
            </w:tblGrid>
            <w:tr w:rsidR="007D1E5A" w14:paraId="659E9C5F" w14:textId="77777777" w:rsidTr="00553C36">
              <w:trPr>
                <w:tblHeader/>
              </w:trPr>
              <w:tc>
                <w:tcPr>
                  <w:tcW w:w="10194" w:type="dxa"/>
                  <w:vAlign w:val="center"/>
                </w:tcPr>
                <w:p w14:paraId="44B14DF3" w14:textId="77777777" w:rsidR="007D1E5A" w:rsidRDefault="007D1E5A" w:rsidP="007D1E5A">
                  <w:pPr>
                    <w:pStyle w:val="Heading3"/>
                  </w:pPr>
                  <w:r>
                    <w:t xml:space="preserve">Provide details of the proposed Enrolled Nurse Transition to Practice Program (ENTPP), including: </w:t>
                  </w:r>
                </w:p>
                <w:p w14:paraId="61083CD1" w14:textId="77777777" w:rsidR="007D1E5A" w:rsidRPr="00CA368D" w:rsidRDefault="007D1E5A" w:rsidP="00C60614">
                  <w:pPr>
                    <w:pStyle w:val="DHHSbullet1"/>
                    <w:numPr>
                      <w:ilvl w:val="0"/>
                      <w:numId w:val="2"/>
                    </w:numPr>
                    <w:ind w:left="852"/>
                    <w:rPr>
                      <w:b/>
                      <w:bCs/>
                    </w:rPr>
                  </w:pPr>
                  <w:r w:rsidRPr="00CA368D">
                    <w:rPr>
                      <w:b/>
                      <w:bCs/>
                    </w:rPr>
                    <w:t>number of proposed positions to be offered (be exact)</w:t>
                  </w:r>
                </w:p>
                <w:p w14:paraId="1411FA17" w14:textId="77777777" w:rsidR="007D1E5A" w:rsidRPr="002237ED" w:rsidRDefault="007D1E5A" w:rsidP="00C60614">
                  <w:pPr>
                    <w:pStyle w:val="DHHSbullet1"/>
                    <w:numPr>
                      <w:ilvl w:val="0"/>
                      <w:numId w:val="2"/>
                    </w:numPr>
                    <w:ind w:left="852"/>
                    <w:rPr>
                      <w:b/>
                      <w:bCs/>
                    </w:rPr>
                  </w:pPr>
                  <w:r w:rsidRPr="00CA368D">
                    <w:rPr>
                      <w:b/>
                      <w:bCs/>
                    </w:rPr>
                    <w:t>possible dates (noting must</w:t>
                  </w:r>
                  <w:r w:rsidRPr="00BE1DE2">
                    <w:rPr>
                      <w:b/>
                      <w:bCs/>
                    </w:rPr>
                    <w:t xml:space="preserve"> commence</w:t>
                  </w:r>
                  <w:r w:rsidRPr="00CA368D">
                    <w:rPr>
                      <w:b/>
                      <w:bCs/>
                    </w:rPr>
                    <w:t xml:space="preserve"> </w:t>
                  </w:r>
                  <w:r w:rsidRPr="002237ED">
                    <w:rPr>
                      <w:b/>
                      <w:bCs/>
                    </w:rPr>
                    <w:t>within the 2023-24 financial year)</w:t>
                  </w:r>
                </w:p>
                <w:p w14:paraId="10B407DE" w14:textId="77777777" w:rsidR="007D1E5A" w:rsidRDefault="007D1E5A" w:rsidP="00C60614">
                  <w:pPr>
                    <w:pStyle w:val="DHHSbullet1"/>
                    <w:numPr>
                      <w:ilvl w:val="0"/>
                      <w:numId w:val="2"/>
                    </w:numPr>
                    <w:spacing w:after="120"/>
                    <w:ind w:left="851"/>
                  </w:pPr>
                  <w:r w:rsidRPr="00CA368D">
                    <w:rPr>
                      <w:b/>
                      <w:bCs/>
                    </w:rPr>
                    <w:t>partnerships with other health services/</w:t>
                  </w:r>
                  <w:r>
                    <w:rPr>
                      <w:b/>
                      <w:bCs/>
                    </w:rPr>
                    <w:t>organisations</w:t>
                  </w:r>
                  <w:r w:rsidRPr="00CA368D">
                    <w:rPr>
                      <w:b/>
                      <w:bCs/>
                    </w:rPr>
                    <w:t xml:space="preserve"> including training providers</w:t>
                  </w:r>
                </w:p>
              </w:tc>
            </w:tr>
            <w:tr w:rsidR="007D1E5A" w14:paraId="39178784" w14:textId="77777777" w:rsidTr="00553C36">
              <w:tc>
                <w:tcPr>
                  <w:tcW w:w="10194" w:type="dxa"/>
                  <w:vAlign w:val="center"/>
                </w:tcPr>
                <w:p w14:paraId="10E1E8B8" w14:textId="77777777" w:rsidR="007D1E5A" w:rsidRDefault="007D1E5A" w:rsidP="007D1E5A">
                  <w:pPr>
                    <w:pStyle w:val="DHHSbody"/>
                    <w:rPr>
                      <w:i/>
                    </w:rPr>
                  </w:pPr>
                  <w:r>
                    <w:rPr>
                      <w:i/>
                    </w:rPr>
                    <w:t>Word limit: 300 words</w:t>
                  </w:r>
                </w:p>
                <w:p w14:paraId="45A98627" w14:textId="77777777" w:rsidR="007D1E5A" w:rsidRDefault="007D1E5A" w:rsidP="007D1E5A">
                  <w:pPr>
                    <w:pStyle w:val="DHHSbody"/>
                    <w:rPr>
                      <w:iCs/>
                    </w:rPr>
                  </w:pPr>
                </w:p>
                <w:p w14:paraId="138C5F8F" w14:textId="77777777" w:rsidR="007D1E5A" w:rsidRDefault="007D1E5A" w:rsidP="007D1E5A">
                  <w:pPr>
                    <w:pStyle w:val="DHHSbody"/>
                    <w:spacing w:before="60" w:after="60"/>
                  </w:pPr>
                </w:p>
                <w:p w14:paraId="0B3ABF2E" w14:textId="77777777" w:rsidR="007D1E5A" w:rsidRDefault="007D1E5A" w:rsidP="007D1E5A">
                  <w:pPr>
                    <w:pStyle w:val="DHHSbody"/>
                    <w:spacing w:before="60" w:after="60"/>
                  </w:pPr>
                </w:p>
                <w:p w14:paraId="67C4ED19" w14:textId="77777777" w:rsidR="007D1E5A" w:rsidRDefault="007D1E5A" w:rsidP="007D1E5A">
                  <w:pPr>
                    <w:pStyle w:val="DHHSbody"/>
                    <w:spacing w:before="60" w:after="60"/>
                  </w:pPr>
                </w:p>
                <w:p w14:paraId="08C8CA6D" w14:textId="77777777" w:rsidR="007D1E5A" w:rsidRDefault="007D1E5A" w:rsidP="007D1E5A">
                  <w:pPr>
                    <w:pStyle w:val="DHHSbody"/>
                    <w:spacing w:before="60" w:after="60"/>
                  </w:pPr>
                </w:p>
                <w:p w14:paraId="1A0A721F" w14:textId="77777777" w:rsidR="007D1E5A" w:rsidRDefault="007D1E5A" w:rsidP="007D1E5A">
                  <w:pPr>
                    <w:pStyle w:val="DHHSbody"/>
                    <w:spacing w:before="60" w:after="60"/>
                  </w:pPr>
                </w:p>
                <w:p w14:paraId="1DC8BD6C" w14:textId="77777777" w:rsidR="007D1E5A" w:rsidRDefault="007D1E5A" w:rsidP="007D1E5A">
                  <w:pPr>
                    <w:pStyle w:val="DHHSbody"/>
                    <w:spacing w:before="60" w:after="60"/>
                  </w:pPr>
                </w:p>
              </w:tc>
            </w:tr>
          </w:tbl>
          <w:p w14:paraId="56B69E08" w14:textId="77777777" w:rsidR="007D1E5A" w:rsidRPr="00324B91" w:rsidRDefault="007D1E5A" w:rsidP="007D1E5A">
            <w:pPr>
              <w:rPr>
                <w:rFonts w:eastAsia="Calibri" w:cs="Arial"/>
                <w:color w:val="000000" w:themeColor="text1"/>
                <w:szCs w:val="21"/>
                <w:highlight w:val="yellow"/>
              </w:rPr>
            </w:pPr>
          </w:p>
          <w:p w14:paraId="36D972E5" w14:textId="77777777" w:rsidR="007D1E5A" w:rsidRDefault="007D1E5A" w:rsidP="007D1E5A"/>
          <w:tbl>
            <w:tblPr>
              <w:tblStyle w:val="TableGrid"/>
              <w:tblW w:w="10201" w:type="dxa"/>
              <w:tblLook w:val="04A0" w:firstRow="1" w:lastRow="0" w:firstColumn="1" w:lastColumn="0" w:noHBand="0" w:noVBand="1"/>
            </w:tblPr>
            <w:tblGrid>
              <w:gridCol w:w="10201"/>
            </w:tblGrid>
            <w:tr w:rsidR="007D1E5A" w14:paraId="1BBDE24B" w14:textId="77777777" w:rsidTr="00553C36">
              <w:trPr>
                <w:tblHeader/>
              </w:trPr>
              <w:tc>
                <w:tcPr>
                  <w:tcW w:w="10201" w:type="dxa"/>
                  <w:vAlign w:val="center"/>
                </w:tcPr>
                <w:p w14:paraId="4F199ACD" w14:textId="77777777" w:rsidR="007D1E5A" w:rsidRDefault="007D1E5A" w:rsidP="007D1E5A">
                  <w:pPr>
                    <w:pStyle w:val="Heading3"/>
                  </w:pPr>
                  <w:r>
                    <w:t>Provide details of how your application meets the eligibility and priority criteria including:</w:t>
                  </w:r>
                </w:p>
                <w:p w14:paraId="24547B9F" w14:textId="77777777" w:rsidR="007D1E5A" w:rsidRPr="002237ED" w:rsidRDefault="007D1E5A" w:rsidP="00C60614">
                  <w:pPr>
                    <w:pStyle w:val="DHHSbullet1"/>
                    <w:numPr>
                      <w:ilvl w:val="0"/>
                      <w:numId w:val="2"/>
                    </w:numPr>
                    <w:ind w:left="852"/>
                    <w:rPr>
                      <w:b/>
                      <w:bCs/>
                    </w:rPr>
                  </w:pPr>
                  <w:r w:rsidRPr="002237ED">
                    <w:rPr>
                      <w:b/>
                      <w:bCs/>
                      <w:shd w:val="clear" w:color="auto" w:fill="FFFFFF"/>
                    </w:rPr>
                    <w:t>addressing local workforce shortfalls and or workforce needs</w:t>
                  </w:r>
                </w:p>
                <w:p w14:paraId="581751BC" w14:textId="77777777" w:rsidR="007D1E5A" w:rsidRPr="002237ED" w:rsidRDefault="007D1E5A" w:rsidP="00C60614">
                  <w:pPr>
                    <w:pStyle w:val="DHHSbullet1"/>
                    <w:numPr>
                      <w:ilvl w:val="0"/>
                      <w:numId w:val="2"/>
                    </w:numPr>
                    <w:ind w:left="852"/>
                    <w:rPr>
                      <w:b/>
                      <w:bCs/>
                    </w:rPr>
                  </w:pPr>
                  <w:r w:rsidRPr="002237ED">
                    <w:rPr>
                      <w:b/>
                      <w:bCs/>
                    </w:rPr>
                    <w:t xml:space="preserve">contributing to implementation of the </w:t>
                  </w:r>
                  <w:r w:rsidRPr="002237ED">
                    <w:rPr>
                      <w:b/>
                      <w:bCs/>
                      <w:i/>
                      <w:shd w:val="clear" w:color="auto" w:fill="FFFFFF"/>
                    </w:rPr>
                    <w:t>Safe Patient Care (Nurse to Patient and Midwife to Patient Ratios) Act 2015</w:t>
                  </w:r>
                  <w:r w:rsidRPr="002237ED">
                    <w:rPr>
                      <w:b/>
                      <w:bCs/>
                      <w:shd w:val="clear" w:color="auto" w:fill="FFFFFF"/>
                    </w:rPr>
                    <w:t xml:space="preserve"> and other Government priorities</w:t>
                  </w:r>
                </w:p>
                <w:p w14:paraId="11A7845F" w14:textId="77777777" w:rsidR="007D1E5A" w:rsidRPr="002237ED" w:rsidRDefault="007D1E5A" w:rsidP="00C60614">
                  <w:pPr>
                    <w:pStyle w:val="DHHSbullet1"/>
                    <w:numPr>
                      <w:ilvl w:val="0"/>
                      <w:numId w:val="2"/>
                    </w:numPr>
                    <w:ind w:left="852"/>
                    <w:rPr>
                      <w:b/>
                      <w:bCs/>
                    </w:rPr>
                  </w:pPr>
                  <w:r w:rsidRPr="002237ED">
                    <w:rPr>
                      <w:b/>
                      <w:bCs/>
                    </w:rPr>
                    <w:t>career pathways for program participants</w:t>
                  </w:r>
                </w:p>
                <w:p w14:paraId="628DF9A4" w14:textId="77777777" w:rsidR="007D1E5A" w:rsidRPr="002237ED" w:rsidRDefault="007D1E5A" w:rsidP="00C60614">
                  <w:pPr>
                    <w:pStyle w:val="DHHSbullet1"/>
                    <w:numPr>
                      <w:ilvl w:val="0"/>
                      <w:numId w:val="2"/>
                    </w:numPr>
                    <w:ind w:left="852"/>
                    <w:rPr>
                      <w:b/>
                      <w:bCs/>
                    </w:rPr>
                  </w:pPr>
                  <w:r w:rsidRPr="002237ED">
                    <w:rPr>
                      <w:b/>
                      <w:bCs/>
                    </w:rPr>
                    <w:t xml:space="preserve">alignment with the health service’s strategic workforce and service plans </w:t>
                  </w:r>
                </w:p>
                <w:p w14:paraId="7BAEED34" w14:textId="77777777" w:rsidR="007D1E5A" w:rsidRPr="002237ED" w:rsidRDefault="007D1E5A" w:rsidP="00C60614">
                  <w:pPr>
                    <w:pStyle w:val="DHHSbullet1"/>
                    <w:numPr>
                      <w:ilvl w:val="0"/>
                      <w:numId w:val="2"/>
                    </w:numPr>
                    <w:ind w:left="852"/>
                    <w:rPr>
                      <w:b/>
                      <w:bCs/>
                    </w:rPr>
                  </w:pPr>
                  <w:r w:rsidRPr="002237ED">
                    <w:rPr>
                      <w:b/>
                      <w:bCs/>
                    </w:rPr>
                    <w:t xml:space="preserve">responsiveness to clinical workforce priorities and demands, outcomes of recent Royal Commissions, and persisting </w:t>
                  </w:r>
                  <w:proofErr w:type="gramStart"/>
                  <w:r w:rsidRPr="002237ED">
                    <w:rPr>
                      <w:b/>
                      <w:bCs/>
                    </w:rPr>
                    <w:t>vacancies</w:t>
                  </w:r>
                  <w:proofErr w:type="gramEnd"/>
                </w:p>
                <w:p w14:paraId="00CEE1ED" w14:textId="77777777" w:rsidR="007D1E5A" w:rsidRPr="00391857" w:rsidRDefault="007D1E5A" w:rsidP="00C60614">
                  <w:pPr>
                    <w:pStyle w:val="DHHSbullet1"/>
                    <w:numPr>
                      <w:ilvl w:val="0"/>
                      <w:numId w:val="2"/>
                    </w:numPr>
                    <w:spacing w:after="240"/>
                    <w:ind w:left="851"/>
                  </w:pPr>
                  <w:r w:rsidRPr="002237ED">
                    <w:rPr>
                      <w:b/>
                      <w:bCs/>
                    </w:rPr>
                    <w:t>reporting and monitoring mechanisms</w:t>
                  </w:r>
                </w:p>
              </w:tc>
            </w:tr>
            <w:tr w:rsidR="007D1E5A" w14:paraId="57C68028" w14:textId="77777777" w:rsidTr="00553C36">
              <w:trPr>
                <w:tblHeader/>
              </w:trPr>
              <w:tc>
                <w:tcPr>
                  <w:tcW w:w="10201" w:type="dxa"/>
                  <w:vAlign w:val="center"/>
                </w:tcPr>
                <w:p w14:paraId="5E9F1CA1" w14:textId="77777777" w:rsidR="007D1E5A" w:rsidRDefault="007D1E5A" w:rsidP="007D1E5A">
                  <w:pPr>
                    <w:pStyle w:val="DHHSbody"/>
                    <w:rPr>
                      <w:i/>
                    </w:rPr>
                  </w:pPr>
                  <w:r>
                    <w:rPr>
                      <w:i/>
                    </w:rPr>
                    <w:t>Word limit: 300 words</w:t>
                  </w:r>
                </w:p>
                <w:p w14:paraId="191A3979" w14:textId="77777777" w:rsidR="007D1E5A" w:rsidRDefault="007D1E5A" w:rsidP="007D1E5A">
                  <w:pPr>
                    <w:pStyle w:val="DHHSbullet1"/>
                    <w:ind w:left="0" w:firstLine="0"/>
                    <w:rPr>
                      <w:b/>
                      <w:bCs/>
                    </w:rPr>
                  </w:pPr>
                </w:p>
                <w:p w14:paraId="1E1BA52F" w14:textId="77777777" w:rsidR="007D1E5A" w:rsidRDefault="007D1E5A" w:rsidP="007D1E5A">
                  <w:pPr>
                    <w:pStyle w:val="DHHSbullet1"/>
                    <w:ind w:left="0" w:firstLine="0"/>
                    <w:rPr>
                      <w:b/>
                      <w:bCs/>
                    </w:rPr>
                  </w:pPr>
                </w:p>
                <w:p w14:paraId="259CC7D4" w14:textId="77777777" w:rsidR="007D1E5A" w:rsidRDefault="007D1E5A" w:rsidP="007D1E5A">
                  <w:pPr>
                    <w:pStyle w:val="Body"/>
                  </w:pPr>
                </w:p>
                <w:p w14:paraId="0AAADBFF" w14:textId="77777777" w:rsidR="007D1E5A" w:rsidRPr="006904B1" w:rsidRDefault="007D1E5A" w:rsidP="007D1E5A">
                  <w:pPr>
                    <w:pStyle w:val="Body"/>
                  </w:pPr>
                </w:p>
              </w:tc>
            </w:tr>
          </w:tbl>
          <w:p w14:paraId="752F530C" w14:textId="77777777" w:rsidR="007D1E5A" w:rsidRDefault="007D1E5A" w:rsidP="007D1E5A"/>
          <w:p w14:paraId="3391EF5E" w14:textId="77777777" w:rsidR="007D1E5A" w:rsidRDefault="007D1E5A" w:rsidP="007D1E5A"/>
          <w:p w14:paraId="60C4389E" w14:textId="77777777" w:rsidR="007D1E5A" w:rsidRDefault="007D1E5A" w:rsidP="007D1E5A"/>
          <w:p w14:paraId="04202993" w14:textId="77777777" w:rsidR="007D1E5A" w:rsidRDefault="007D1E5A" w:rsidP="007D1E5A"/>
          <w:p w14:paraId="32B937B8" w14:textId="77777777" w:rsidR="007D1E5A" w:rsidRDefault="007D1E5A" w:rsidP="007D1E5A"/>
          <w:p w14:paraId="11C04371" w14:textId="77777777" w:rsidR="007D1E5A" w:rsidRDefault="007D1E5A" w:rsidP="007D1E5A"/>
          <w:p w14:paraId="390C0556" w14:textId="77777777" w:rsidR="007D1E5A" w:rsidRDefault="007D1E5A" w:rsidP="007D1E5A"/>
          <w:p w14:paraId="2A92CD90" w14:textId="77777777" w:rsidR="007D1E5A" w:rsidRDefault="007D1E5A" w:rsidP="007D1E5A"/>
          <w:p w14:paraId="0098B44E" w14:textId="77777777" w:rsidR="007D1E5A" w:rsidRDefault="007D1E5A" w:rsidP="007D1E5A"/>
          <w:p w14:paraId="7D49CEED" w14:textId="77777777" w:rsidR="007D1E5A" w:rsidRDefault="007D1E5A" w:rsidP="007D1E5A"/>
          <w:p w14:paraId="13945BF4" w14:textId="77777777" w:rsidR="007D1E5A" w:rsidRDefault="007D1E5A" w:rsidP="007D1E5A"/>
          <w:p w14:paraId="5C5A61F0" w14:textId="77777777" w:rsidR="006A18BC" w:rsidRDefault="006A18BC" w:rsidP="007D1E5A"/>
          <w:p w14:paraId="3D98566A" w14:textId="77777777" w:rsidR="007D1E5A" w:rsidRDefault="007D1E5A" w:rsidP="007D1E5A"/>
          <w:p w14:paraId="1837F1E2" w14:textId="77777777" w:rsidR="007D1E5A" w:rsidRDefault="007D1E5A" w:rsidP="007D1E5A"/>
          <w:p w14:paraId="3547289E" w14:textId="77777777" w:rsidR="007D1E5A" w:rsidRDefault="007D1E5A" w:rsidP="007D1E5A">
            <w:pPr>
              <w:pStyle w:val="Heading1"/>
            </w:pPr>
            <w:bookmarkStart w:id="42" w:name="_Toc150872348"/>
            <w:r>
              <w:lastRenderedPageBreak/>
              <w:t>Endorsements</w:t>
            </w:r>
            <w:bookmarkEnd w:id="42"/>
          </w:p>
          <w:p w14:paraId="05EE141D" w14:textId="77777777" w:rsidR="007D1E5A" w:rsidRPr="001C5CB0" w:rsidRDefault="007D1E5A" w:rsidP="007D1E5A"/>
          <w:tbl>
            <w:tblPr>
              <w:tblW w:w="10200" w:type="dxa"/>
              <w:tblLook w:val="01E0" w:firstRow="1" w:lastRow="1" w:firstColumn="1" w:lastColumn="1" w:noHBand="0" w:noVBand="0"/>
            </w:tblPr>
            <w:tblGrid>
              <w:gridCol w:w="2730"/>
              <w:gridCol w:w="7470"/>
            </w:tblGrid>
            <w:tr w:rsidR="007D1E5A" w14:paraId="4E626FA9" w14:textId="77777777" w:rsidTr="00553C36">
              <w:tc>
                <w:tcPr>
                  <w:tcW w:w="10200" w:type="dxa"/>
                  <w:gridSpan w:val="2"/>
                  <w:tcBorders>
                    <w:top w:val="single" w:sz="12" w:space="0" w:color="auto"/>
                    <w:left w:val="single" w:sz="12" w:space="0" w:color="auto"/>
                    <w:bottom w:val="single" w:sz="6" w:space="0" w:color="808080" w:themeColor="background1" w:themeShade="80"/>
                    <w:right w:val="single" w:sz="12" w:space="0" w:color="auto"/>
                  </w:tcBorders>
                  <w:shd w:val="clear" w:color="auto" w:fill="D9D9D9" w:themeFill="background1" w:themeFillShade="D9"/>
                </w:tcPr>
                <w:p w14:paraId="1986406E" w14:textId="77777777" w:rsidR="007D1E5A" w:rsidRDefault="007D1E5A" w:rsidP="007D1E5A">
                  <w:pPr>
                    <w:spacing w:line="270" w:lineRule="atLeast"/>
                    <w:ind w:right="-450"/>
                    <w:rPr>
                      <w:rFonts w:eastAsia="Arial" w:cs="Arial"/>
                      <w:color w:val="000000" w:themeColor="text1"/>
                      <w:szCs w:val="21"/>
                    </w:rPr>
                  </w:pPr>
                  <w:r w:rsidRPr="03937D94">
                    <w:rPr>
                      <w:rFonts w:eastAsia="Arial" w:cs="Arial"/>
                      <w:b/>
                      <w:bCs/>
                      <w:i/>
                      <w:iCs/>
                      <w:color w:val="000000" w:themeColor="text1"/>
                      <w:szCs w:val="21"/>
                    </w:rPr>
                    <w:t>Declaration by Chief Executive Officer</w:t>
                  </w:r>
                  <w:r>
                    <w:rPr>
                      <w:rFonts w:eastAsia="Arial" w:cs="Arial"/>
                      <w:b/>
                      <w:bCs/>
                      <w:i/>
                      <w:iCs/>
                      <w:color w:val="000000" w:themeColor="text1"/>
                      <w:szCs w:val="21"/>
                    </w:rPr>
                    <w:t xml:space="preserve"> (CEO)</w:t>
                  </w:r>
                  <w:r w:rsidRPr="03937D94">
                    <w:rPr>
                      <w:rFonts w:eastAsia="Arial" w:cs="Arial"/>
                      <w:b/>
                      <w:bCs/>
                      <w:i/>
                      <w:iCs/>
                      <w:color w:val="000000" w:themeColor="text1"/>
                      <w:szCs w:val="21"/>
                    </w:rPr>
                    <w:t xml:space="preserve"> </w:t>
                  </w:r>
                  <w:r>
                    <w:rPr>
                      <w:rFonts w:eastAsia="Arial" w:cs="Arial"/>
                      <w:b/>
                      <w:bCs/>
                      <w:i/>
                      <w:iCs/>
                      <w:color w:val="000000" w:themeColor="text1"/>
                      <w:szCs w:val="21"/>
                    </w:rPr>
                    <w:t>or delegate</w:t>
                  </w:r>
                </w:p>
              </w:tc>
            </w:tr>
            <w:tr w:rsidR="007D1E5A" w14:paraId="2CC6F97C" w14:textId="77777777" w:rsidTr="00553C36">
              <w:tc>
                <w:tcPr>
                  <w:tcW w:w="10200" w:type="dxa"/>
                  <w:gridSpan w:val="2"/>
                  <w:tcBorders>
                    <w:top w:val="single" w:sz="6" w:space="0" w:color="808080" w:themeColor="background1" w:themeShade="80"/>
                    <w:left w:val="single" w:sz="12" w:space="0" w:color="auto"/>
                    <w:bottom w:val="single" w:sz="6" w:space="0" w:color="808080" w:themeColor="background1" w:themeShade="80"/>
                    <w:right w:val="single" w:sz="12" w:space="0" w:color="auto"/>
                  </w:tcBorders>
                </w:tcPr>
                <w:p w14:paraId="31628CF9" w14:textId="77777777" w:rsidR="007D1E5A" w:rsidRDefault="007D1E5A" w:rsidP="007D1E5A">
                  <w:pPr>
                    <w:spacing w:line="270" w:lineRule="atLeast"/>
                    <w:ind w:right="34"/>
                    <w:rPr>
                      <w:rFonts w:eastAsia="Arial" w:cs="Arial"/>
                      <w:color w:val="000000" w:themeColor="text1"/>
                      <w:szCs w:val="21"/>
                    </w:rPr>
                  </w:pPr>
                  <w:r w:rsidRPr="03937D94">
                    <w:rPr>
                      <w:rFonts w:eastAsia="Arial" w:cs="Arial"/>
                      <w:i/>
                      <w:iCs/>
                      <w:color w:val="000000" w:themeColor="text1"/>
                      <w:szCs w:val="21"/>
                    </w:rPr>
                    <w:t xml:space="preserve">In submitting this application, the signatory </w:t>
                  </w:r>
                  <w:r w:rsidRPr="002237ED">
                    <w:rPr>
                      <w:rFonts w:eastAsia="Arial" w:cs="Arial"/>
                      <w:i/>
                      <w:iCs/>
                      <w:color w:val="000000" w:themeColor="text1"/>
                      <w:szCs w:val="21"/>
                    </w:rPr>
                    <w:t>confirms they have read the funding information and application form for the Enrolled Nurse Transition to Practice Program 2023-24</w:t>
                  </w:r>
                  <w:r w:rsidRPr="002237ED">
                    <w:rPr>
                      <w:rFonts w:eastAsia="Calibri" w:cs="Arial"/>
                      <w:color w:val="0070C0"/>
                      <w:szCs w:val="21"/>
                    </w:rPr>
                    <w:t xml:space="preserve"> </w:t>
                  </w:r>
                  <w:r w:rsidRPr="002237ED">
                    <w:rPr>
                      <w:rFonts w:eastAsia="Arial" w:cs="Arial"/>
                      <w:i/>
                      <w:iCs/>
                      <w:color w:val="000000" w:themeColor="text1"/>
                      <w:szCs w:val="21"/>
                    </w:rPr>
                    <w:t>and</w:t>
                  </w:r>
                  <w:r w:rsidRPr="03937D94">
                    <w:rPr>
                      <w:rFonts w:eastAsia="Arial" w:cs="Arial"/>
                      <w:i/>
                      <w:iCs/>
                      <w:color w:val="000000" w:themeColor="text1"/>
                      <w:szCs w:val="21"/>
                    </w:rPr>
                    <w:t xml:space="preserve"> declares that the information contained in the application, including all attachments, is to the best of their knowledge, true, accurate and complete in all material particulars.</w:t>
                  </w:r>
                </w:p>
              </w:tc>
            </w:tr>
            <w:tr w:rsidR="007D1E5A" w14:paraId="3FA62869" w14:textId="77777777" w:rsidTr="00553C36">
              <w:trPr>
                <w:trHeight w:val="735"/>
              </w:trPr>
              <w:tc>
                <w:tcPr>
                  <w:tcW w:w="2730" w:type="dxa"/>
                  <w:tcBorders>
                    <w:top w:val="single" w:sz="6" w:space="0" w:color="999999"/>
                    <w:left w:val="single" w:sz="12" w:space="0" w:color="auto"/>
                    <w:bottom w:val="single" w:sz="6" w:space="0" w:color="999999"/>
                    <w:right w:val="single" w:sz="6" w:space="0" w:color="999999"/>
                  </w:tcBorders>
                  <w:shd w:val="clear" w:color="auto" w:fill="D9D9D9" w:themeFill="background1" w:themeFillShade="D9"/>
                  <w:vAlign w:val="center"/>
                </w:tcPr>
                <w:p w14:paraId="685DD965" w14:textId="77777777" w:rsidR="007D1E5A" w:rsidRDefault="007D1E5A" w:rsidP="007D1E5A">
                  <w:pPr>
                    <w:spacing w:line="270" w:lineRule="atLeast"/>
                    <w:ind w:right="-450"/>
                    <w:rPr>
                      <w:rFonts w:eastAsia="Arial" w:cs="Arial"/>
                      <w:color w:val="000000" w:themeColor="text1"/>
                      <w:szCs w:val="21"/>
                    </w:rPr>
                  </w:pPr>
                  <w:r w:rsidRPr="03937D94">
                    <w:rPr>
                      <w:rFonts w:eastAsia="Arial" w:cs="Arial"/>
                      <w:color w:val="000000" w:themeColor="text1"/>
                      <w:szCs w:val="21"/>
                    </w:rPr>
                    <w:t xml:space="preserve">Name &amp; Title </w:t>
                  </w:r>
                </w:p>
              </w:tc>
              <w:tc>
                <w:tcPr>
                  <w:tcW w:w="7470" w:type="dxa"/>
                  <w:tcBorders>
                    <w:top w:val="single" w:sz="6" w:space="0" w:color="999999"/>
                    <w:left w:val="single" w:sz="6" w:space="0" w:color="999999"/>
                    <w:bottom w:val="single" w:sz="6" w:space="0" w:color="999999"/>
                    <w:right w:val="single" w:sz="12" w:space="0" w:color="auto"/>
                  </w:tcBorders>
                </w:tcPr>
                <w:p w14:paraId="7369DF3D" w14:textId="77777777" w:rsidR="007D1E5A" w:rsidRDefault="007D1E5A" w:rsidP="007D1E5A">
                  <w:pPr>
                    <w:spacing w:line="270" w:lineRule="atLeast"/>
                    <w:ind w:right="-450"/>
                    <w:rPr>
                      <w:rFonts w:ascii="MS Mincho" w:eastAsia="MS Mincho" w:hAnsi="MS Mincho" w:cs="MS Mincho"/>
                      <w:color w:val="000000" w:themeColor="text1"/>
                      <w:szCs w:val="21"/>
                    </w:rPr>
                  </w:pPr>
                </w:p>
              </w:tc>
            </w:tr>
            <w:tr w:rsidR="007D1E5A" w14:paraId="2985322A" w14:textId="77777777" w:rsidTr="00553C36">
              <w:trPr>
                <w:trHeight w:val="945"/>
              </w:trPr>
              <w:tc>
                <w:tcPr>
                  <w:tcW w:w="2730" w:type="dxa"/>
                  <w:tcBorders>
                    <w:top w:val="single" w:sz="6" w:space="0" w:color="999999"/>
                    <w:left w:val="single" w:sz="12" w:space="0" w:color="auto"/>
                    <w:bottom w:val="single" w:sz="6" w:space="0" w:color="999999"/>
                    <w:right w:val="single" w:sz="6" w:space="0" w:color="999999"/>
                  </w:tcBorders>
                  <w:shd w:val="clear" w:color="auto" w:fill="D9D9D9" w:themeFill="background1" w:themeFillShade="D9"/>
                  <w:vAlign w:val="center"/>
                </w:tcPr>
                <w:p w14:paraId="64692AB8" w14:textId="77777777" w:rsidR="007D1E5A" w:rsidRDefault="007D1E5A" w:rsidP="007D1E5A">
                  <w:pPr>
                    <w:spacing w:line="270" w:lineRule="atLeast"/>
                    <w:ind w:right="-450"/>
                    <w:rPr>
                      <w:rFonts w:eastAsia="Arial" w:cs="Arial"/>
                      <w:color w:val="000000" w:themeColor="text1"/>
                      <w:szCs w:val="21"/>
                    </w:rPr>
                  </w:pPr>
                  <w:r w:rsidRPr="03937D94">
                    <w:rPr>
                      <w:rFonts w:eastAsia="Arial" w:cs="Arial"/>
                      <w:color w:val="000000" w:themeColor="text1"/>
                      <w:szCs w:val="21"/>
                    </w:rPr>
                    <w:t>Signature</w:t>
                  </w:r>
                </w:p>
                <w:p w14:paraId="3198C83C" w14:textId="77777777" w:rsidR="007D1E5A" w:rsidRDefault="007D1E5A" w:rsidP="007D1E5A">
                  <w:pPr>
                    <w:spacing w:line="270" w:lineRule="atLeast"/>
                    <w:ind w:right="-450"/>
                    <w:rPr>
                      <w:rFonts w:eastAsia="Arial" w:cs="Arial"/>
                      <w:color w:val="000000" w:themeColor="text1"/>
                      <w:szCs w:val="21"/>
                    </w:rPr>
                  </w:pPr>
                  <w:r w:rsidRPr="03937D94">
                    <w:rPr>
                      <w:rFonts w:eastAsia="Arial" w:cs="Arial"/>
                      <w:b/>
                      <w:bCs/>
                      <w:i/>
                      <w:iCs/>
                      <w:color w:val="000000" w:themeColor="text1"/>
                      <w:szCs w:val="21"/>
                    </w:rPr>
                    <w:t>(An authorised electronic signature is acceptable)</w:t>
                  </w:r>
                </w:p>
              </w:tc>
              <w:tc>
                <w:tcPr>
                  <w:tcW w:w="7470" w:type="dxa"/>
                  <w:tcBorders>
                    <w:top w:val="single" w:sz="6" w:space="0" w:color="999999"/>
                    <w:left w:val="single" w:sz="6" w:space="0" w:color="999999"/>
                    <w:bottom w:val="single" w:sz="6" w:space="0" w:color="999999"/>
                    <w:right w:val="single" w:sz="12" w:space="0" w:color="auto"/>
                  </w:tcBorders>
                </w:tcPr>
                <w:p w14:paraId="4D467525" w14:textId="77777777" w:rsidR="007D1E5A" w:rsidRDefault="007D1E5A" w:rsidP="007D1E5A">
                  <w:pPr>
                    <w:spacing w:line="270" w:lineRule="atLeast"/>
                    <w:ind w:right="33"/>
                    <w:rPr>
                      <w:rFonts w:eastAsia="Arial" w:cs="Arial"/>
                      <w:color w:val="000000" w:themeColor="text1"/>
                      <w:szCs w:val="21"/>
                    </w:rPr>
                  </w:pPr>
                  <w:r w:rsidRPr="03937D94">
                    <w:rPr>
                      <w:rFonts w:eastAsia="Arial" w:cs="Arial"/>
                      <w:color w:val="000000" w:themeColor="text1"/>
                      <w:szCs w:val="21"/>
                    </w:rPr>
                    <w:t>If you are unable to insert an authorised electronic CEO signature, emailing a scanned copy is acceptable, providing that it is of reasonable quality.</w:t>
                  </w:r>
                </w:p>
                <w:p w14:paraId="2308F3FF" w14:textId="77777777" w:rsidR="007D1E5A" w:rsidRDefault="007D1E5A" w:rsidP="007D1E5A">
                  <w:pPr>
                    <w:spacing w:line="270" w:lineRule="atLeast"/>
                    <w:ind w:right="-450"/>
                    <w:rPr>
                      <w:rFonts w:ascii="MS Mincho" w:eastAsia="MS Mincho" w:hAnsi="MS Mincho" w:cs="MS Mincho"/>
                      <w:color w:val="000000" w:themeColor="text1"/>
                      <w:szCs w:val="21"/>
                    </w:rPr>
                  </w:pPr>
                </w:p>
              </w:tc>
            </w:tr>
            <w:tr w:rsidR="007D1E5A" w14:paraId="63C2B969" w14:textId="77777777" w:rsidTr="00553C36">
              <w:trPr>
                <w:trHeight w:val="720"/>
              </w:trPr>
              <w:tc>
                <w:tcPr>
                  <w:tcW w:w="2730" w:type="dxa"/>
                  <w:tcBorders>
                    <w:top w:val="single" w:sz="6" w:space="0" w:color="999999"/>
                    <w:left w:val="single" w:sz="12" w:space="0" w:color="auto"/>
                    <w:bottom w:val="single" w:sz="6" w:space="0" w:color="999999"/>
                    <w:right w:val="single" w:sz="6" w:space="0" w:color="999999"/>
                  </w:tcBorders>
                  <w:shd w:val="clear" w:color="auto" w:fill="D9D9D9" w:themeFill="background1" w:themeFillShade="D9"/>
                  <w:vAlign w:val="center"/>
                </w:tcPr>
                <w:p w14:paraId="75E23565" w14:textId="77777777" w:rsidR="007D1E5A" w:rsidRDefault="007D1E5A" w:rsidP="007D1E5A">
                  <w:pPr>
                    <w:spacing w:line="270" w:lineRule="atLeast"/>
                    <w:ind w:right="-450"/>
                    <w:rPr>
                      <w:rFonts w:eastAsia="Arial" w:cs="Arial"/>
                      <w:color w:val="000000" w:themeColor="text1"/>
                      <w:szCs w:val="21"/>
                    </w:rPr>
                  </w:pPr>
                  <w:r w:rsidRPr="03937D94">
                    <w:rPr>
                      <w:rFonts w:eastAsia="Arial" w:cs="Arial"/>
                      <w:color w:val="000000" w:themeColor="text1"/>
                      <w:szCs w:val="21"/>
                    </w:rPr>
                    <w:t>Preferred email</w:t>
                  </w:r>
                </w:p>
                <w:p w14:paraId="0227501E" w14:textId="77777777" w:rsidR="007D1E5A" w:rsidRDefault="007D1E5A" w:rsidP="007D1E5A">
                  <w:pPr>
                    <w:spacing w:line="270" w:lineRule="atLeast"/>
                    <w:ind w:right="-450"/>
                    <w:rPr>
                      <w:rFonts w:eastAsia="Arial" w:cs="Arial"/>
                      <w:color w:val="000000" w:themeColor="text1"/>
                      <w:szCs w:val="21"/>
                    </w:rPr>
                  </w:pPr>
                  <w:r w:rsidRPr="03937D94">
                    <w:rPr>
                      <w:rFonts w:eastAsia="Arial" w:cs="Arial"/>
                      <w:b/>
                      <w:bCs/>
                      <w:i/>
                      <w:iCs/>
                      <w:color w:val="000000" w:themeColor="text1"/>
                      <w:szCs w:val="21"/>
                    </w:rPr>
                    <w:t>(Please print)</w:t>
                  </w:r>
                </w:p>
              </w:tc>
              <w:tc>
                <w:tcPr>
                  <w:tcW w:w="7470" w:type="dxa"/>
                  <w:tcBorders>
                    <w:top w:val="single" w:sz="6" w:space="0" w:color="999999"/>
                    <w:left w:val="single" w:sz="6" w:space="0" w:color="999999"/>
                    <w:bottom w:val="single" w:sz="6" w:space="0" w:color="999999"/>
                    <w:right w:val="single" w:sz="12" w:space="0" w:color="auto"/>
                  </w:tcBorders>
                </w:tcPr>
                <w:p w14:paraId="39393C15" w14:textId="77777777" w:rsidR="007D1E5A" w:rsidRDefault="007D1E5A" w:rsidP="007D1E5A">
                  <w:pPr>
                    <w:spacing w:line="270" w:lineRule="atLeast"/>
                    <w:ind w:right="-450"/>
                    <w:rPr>
                      <w:rFonts w:ascii="MS Mincho" w:eastAsia="MS Mincho" w:hAnsi="MS Mincho" w:cs="MS Mincho"/>
                      <w:color w:val="000000" w:themeColor="text1"/>
                      <w:szCs w:val="21"/>
                    </w:rPr>
                  </w:pPr>
                </w:p>
              </w:tc>
            </w:tr>
            <w:tr w:rsidR="007D1E5A" w14:paraId="145321FE" w14:textId="77777777" w:rsidTr="00553C36">
              <w:trPr>
                <w:trHeight w:val="795"/>
              </w:trPr>
              <w:tc>
                <w:tcPr>
                  <w:tcW w:w="2730" w:type="dxa"/>
                  <w:tcBorders>
                    <w:top w:val="single" w:sz="6" w:space="0" w:color="999999"/>
                    <w:left w:val="single" w:sz="12" w:space="0" w:color="auto"/>
                    <w:bottom w:val="single" w:sz="12" w:space="0" w:color="auto"/>
                    <w:right w:val="single" w:sz="6" w:space="0" w:color="999999"/>
                  </w:tcBorders>
                  <w:shd w:val="clear" w:color="auto" w:fill="D9D9D9" w:themeFill="background1" w:themeFillShade="D9"/>
                  <w:vAlign w:val="center"/>
                </w:tcPr>
                <w:p w14:paraId="404FE270" w14:textId="77777777" w:rsidR="007D1E5A" w:rsidRDefault="007D1E5A" w:rsidP="007D1E5A">
                  <w:pPr>
                    <w:spacing w:line="270" w:lineRule="atLeast"/>
                    <w:ind w:right="-450"/>
                    <w:rPr>
                      <w:rFonts w:eastAsia="Arial" w:cs="Arial"/>
                      <w:color w:val="000000" w:themeColor="text1"/>
                      <w:szCs w:val="21"/>
                    </w:rPr>
                  </w:pPr>
                  <w:r w:rsidRPr="03937D94">
                    <w:rPr>
                      <w:rFonts w:eastAsia="Arial" w:cs="Arial"/>
                      <w:color w:val="000000" w:themeColor="text1"/>
                      <w:szCs w:val="21"/>
                    </w:rPr>
                    <w:t>Date</w:t>
                  </w:r>
                </w:p>
              </w:tc>
              <w:tc>
                <w:tcPr>
                  <w:tcW w:w="7470" w:type="dxa"/>
                  <w:tcBorders>
                    <w:top w:val="single" w:sz="6" w:space="0" w:color="999999"/>
                    <w:left w:val="single" w:sz="6" w:space="0" w:color="999999"/>
                    <w:bottom w:val="single" w:sz="12" w:space="0" w:color="auto"/>
                    <w:right w:val="single" w:sz="12" w:space="0" w:color="auto"/>
                  </w:tcBorders>
                  <w:vAlign w:val="center"/>
                </w:tcPr>
                <w:p w14:paraId="53AEAEBD" w14:textId="77777777" w:rsidR="007D1E5A" w:rsidRDefault="007D1E5A" w:rsidP="007D1E5A">
                  <w:pPr>
                    <w:spacing w:line="270" w:lineRule="atLeast"/>
                    <w:ind w:right="-450"/>
                    <w:rPr>
                      <w:rFonts w:ascii="MS Mincho" w:eastAsia="MS Mincho" w:hAnsi="MS Mincho" w:cs="MS Mincho"/>
                      <w:color w:val="000000" w:themeColor="text1"/>
                      <w:szCs w:val="21"/>
                    </w:rPr>
                  </w:pPr>
                </w:p>
                <w:p w14:paraId="6F727082" w14:textId="77777777" w:rsidR="007D1E5A" w:rsidRDefault="007D1E5A" w:rsidP="007D1E5A">
                  <w:pPr>
                    <w:ind w:right="-450"/>
                    <w:rPr>
                      <w:rFonts w:ascii="MS Mincho" w:eastAsia="MS Mincho" w:hAnsi="MS Mincho" w:cs="MS Mincho"/>
                      <w:color w:val="000000" w:themeColor="text1"/>
                      <w:szCs w:val="21"/>
                    </w:rPr>
                  </w:pPr>
                </w:p>
              </w:tc>
            </w:tr>
          </w:tbl>
          <w:p w14:paraId="544BBD00" w14:textId="77777777" w:rsidR="007D1E5A" w:rsidRDefault="007D1E5A" w:rsidP="007D1E5A">
            <w:pPr>
              <w:rPr>
                <w:szCs w:val="21"/>
              </w:rPr>
            </w:pPr>
          </w:p>
          <w:p w14:paraId="789E9DE3" w14:textId="77777777" w:rsidR="007D1E5A" w:rsidRDefault="007D1E5A" w:rsidP="007D1E5A">
            <w:pPr>
              <w:rPr>
                <w:szCs w:val="21"/>
              </w:rPr>
            </w:pPr>
          </w:p>
          <w:tbl>
            <w:tblPr>
              <w:tblW w:w="0" w:type="auto"/>
              <w:tblLook w:val="01E0" w:firstRow="1" w:lastRow="1" w:firstColumn="1" w:lastColumn="1" w:noHBand="0" w:noVBand="0"/>
            </w:tblPr>
            <w:tblGrid>
              <w:gridCol w:w="2730"/>
              <w:gridCol w:w="7470"/>
            </w:tblGrid>
            <w:tr w:rsidR="007D1E5A" w14:paraId="63965549" w14:textId="77777777" w:rsidTr="00553C36">
              <w:tc>
                <w:tcPr>
                  <w:tcW w:w="10200" w:type="dxa"/>
                  <w:gridSpan w:val="2"/>
                  <w:tcBorders>
                    <w:top w:val="single" w:sz="12" w:space="0" w:color="auto"/>
                    <w:left w:val="single" w:sz="12" w:space="0" w:color="auto"/>
                    <w:bottom w:val="single" w:sz="6" w:space="0" w:color="808080" w:themeColor="background1" w:themeShade="80"/>
                    <w:right w:val="single" w:sz="12" w:space="0" w:color="auto"/>
                  </w:tcBorders>
                  <w:shd w:val="clear" w:color="auto" w:fill="D9D9D9" w:themeFill="background1" w:themeFillShade="D9"/>
                </w:tcPr>
                <w:p w14:paraId="781BF516" w14:textId="77777777" w:rsidR="007D1E5A" w:rsidRDefault="007D1E5A" w:rsidP="007D1E5A">
                  <w:pPr>
                    <w:spacing w:line="270" w:lineRule="atLeast"/>
                    <w:ind w:right="-450"/>
                    <w:rPr>
                      <w:rFonts w:eastAsia="Arial" w:cs="Arial"/>
                      <w:color w:val="000000" w:themeColor="text1"/>
                      <w:szCs w:val="21"/>
                    </w:rPr>
                  </w:pPr>
                  <w:r w:rsidRPr="03937D94">
                    <w:rPr>
                      <w:rFonts w:eastAsia="Arial" w:cs="Arial"/>
                      <w:b/>
                      <w:bCs/>
                      <w:i/>
                      <w:iCs/>
                      <w:color w:val="000000" w:themeColor="text1"/>
                      <w:szCs w:val="21"/>
                    </w:rPr>
                    <w:t>Declaration by Director</w:t>
                  </w:r>
                  <w:r>
                    <w:rPr>
                      <w:rFonts w:eastAsia="Arial" w:cs="Arial"/>
                      <w:b/>
                      <w:bCs/>
                      <w:i/>
                      <w:iCs/>
                      <w:color w:val="000000" w:themeColor="text1"/>
                      <w:szCs w:val="21"/>
                    </w:rPr>
                    <w:t xml:space="preserve"> of Nursing/Midwifery (DONM) or delegate</w:t>
                  </w:r>
                </w:p>
              </w:tc>
            </w:tr>
            <w:tr w:rsidR="007D1E5A" w14:paraId="15DA9F32" w14:textId="77777777" w:rsidTr="00553C36">
              <w:tc>
                <w:tcPr>
                  <w:tcW w:w="10200" w:type="dxa"/>
                  <w:gridSpan w:val="2"/>
                  <w:tcBorders>
                    <w:top w:val="single" w:sz="6" w:space="0" w:color="808080" w:themeColor="background1" w:themeShade="80"/>
                    <w:left w:val="single" w:sz="12" w:space="0" w:color="auto"/>
                    <w:bottom w:val="single" w:sz="6" w:space="0" w:color="808080" w:themeColor="background1" w:themeShade="80"/>
                    <w:right w:val="single" w:sz="12" w:space="0" w:color="auto"/>
                  </w:tcBorders>
                </w:tcPr>
                <w:p w14:paraId="1952BAF2" w14:textId="77777777" w:rsidR="007D1E5A" w:rsidRDefault="007D1E5A" w:rsidP="007D1E5A">
                  <w:pPr>
                    <w:spacing w:line="270" w:lineRule="atLeast"/>
                    <w:ind w:right="34"/>
                    <w:rPr>
                      <w:rFonts w:eastAsia="Arial" w:cs="Arial"/>
                      <w:color w:val="000000" w:themeColor="text1"/>
                      <w:szCs w:val="21"/>
                    </w:rPr>
                  </w:pPr>
                  <w:r w:rsidRPr="03937D94">
                    <w:rPr>
                      <w:rFonts w:eastAsia="Arial" w:cs="Arial"/>
                      <w:i/>
                      <w:iCs/>
                      <w:color w:val="000000" w:themeColor="text1"/>
                      <w:szCs w:val="21"/>
                    </w:rPr>
                    <w:t xml:space="preserve">In submitting this application, the signatory confirms </w:t>
                  </w:r>
                  <w:r w:rsidRPr="002237ED">
                    <w:rPr>
                      <w:rFonts w:eastAsia="Arial" w:cs="Arial"/>
                      <w:i/>
                      <w:iCs/>
                      <w:color w:val="000000" w:themeColor="text1"/>
                      <w:szCs w:val="21"/>
                    </w:rPr>
                    <w:t>they have read the funding information and application form for the Enrolled Nurse Transition to Practice Program 2023-24</w:t>
                  </w:r>
                  <w:r w:rsidRPr="002237ED">
                    <w:rPr>
                      <w:rFonts w:eastAsia="Calibri" w:cs="Arial"/>
                      <w:color w:val="0070C0"/>
                      <w:szCs w:val="21"/>
                    </w:rPr>
                    <w:t xml:space="preserve"> </w:t>
                  </w:r>
                  <w:r w:rsidRPr="002237ED">
                    <w:rPr>
                      <w:rFonts w:eastAsia="Arial" w:cs="Arial"/>
                      <w:i/>
                      <w:iCs/>
                      <w:color w:val="000000" w:themeColor="text1"/>
                      <w:szCs w:val="21"/>
                    </w:rPr>
                    <w:t>and</w:t>
                  </w:r>
                  <w:r w:rsidRPr="03937D94">
                    <w:rPr>
                      <w:rFonts w:eastAsia="Arial" w:cs="Arial"/>
                      <w:i/>
                      <w:iCs/>
                      <w:color w:val="000000" w:themeColor="text1"/>
                      <w:szCs w:val="21"/>
                    </w:rPr>
                    <w:t xml:space="preserve"> declares that the information contained in the application, including all attachments, is to the best of their knowledge, true, accurate and complete in all material particulars.</w:t>
                  </w:r>
                </w:p>
              </w:tc>
            </w:tr>
            <w:tr w:rsidR="007D1E5A" w14:paraId="2BF3358F" w14:textId="77777777" w:rsidTr="00553C36">
              <w:trPr>
                <w:trHeight w:val="735"/>
              </w:trPr>
              <w:tc>
                <w:tcPr>
                  <w:tcW w:w="2730" w:type="dxa"/>
                  <w:tcBorders>
                    <w:top w:val="single" w:sz="6" w:space="0" w:color="999999"/>
                    <w:left w:val="single" w:sz="12" w:space="0" w:color="auto"/>
                    <w:bottom w:val="single" w:sz="6" w:space="0" w:color="999999"/>
                    <w:right w:val="single" w:sz="6" w:space="0" w:color="999999"/>
                  </w:tcBorders>
                  <w:shd w:val="clear" w:color="auto" w:fill="D9D9D9" w:themeFill="background1" w:themeFillShade="D9"/>
                  <w:vAlign w:val="center"/>
                </w:tcPr>
                <w:p w14:paraId="7F1A0D5D" w14:textId="77777777" w:rsidR="007D1E5A" w:rsidRDefault="007D1E5A" w:rsidP="007D1E5A">
                  <w:pPr>
                    <w:spacing w:line="270" w:lineRule="atLeast"/>
                    <w:ind w:right="-450"/>
                    <w:rPr>
                      <w:rFonts w:eastAsia="Arial" w:cs="Arial"/>
                      <w:color w:val="000000" w:themeColor="text1"/>
                      <w:szCs w:val="21"/>
                    </w:rPr>
                  </w:pPr>
                  <w:r w:rsidRPr="03937D94">
                    <w:rPr>
                      <w:rFonts w:eastAsia="Arial" w:cs="Arial"/>
                      <w:color w:val="000000" w:themeColor="text1"/>
                      <w:szCs w:val="21"/>
                    </w:rPr>
                    <w:t xml:space="preserve">Name &amp; Title </w:t>
                  </w:r>
                </w:p>
              </w:tc>
              <w:tc>
                <w:tcPr>
                  <w:tcW w:w="7470" w:type="dxa"/>
                  <w:tcBorders>
                    <w:top w:val="single" w:sz="6" w:space="0" w:color="999999"/>
                    <w:left w:val="single" w:sz="6" w:space="0" w:color="999999"/>
                    <w:bottom w:val="single" w:sz="6" w:space="0" w:color="999999"/>
                    <w:right w:val="single" w:sz="12" w:space="0" w:color="auto"/>
                  </w:tcBorders>
                </w:tcPr>
                <w:p w14:paraId="257F9E93" w14:textId="77777777" w:rsidR="007D1E5A" w:rsidRDefault="007D1E5A" w:rsidP="007D1E5A">
                  <w:pPr>
                    <w:spacing w:line="270" w:lineRule="atLeast"/>
                    <w:ind w:right="-450"/>
                    <w:rPr>
                      <w:rFonts w:ascii="MS Mincho" w:eastAsia="MS Mincho" w:hAnsi="MS Mincho" w:cs="MS Mincho"/>
                      <w:color w:val="000000" w:themeColor="text1"/>
                      <w:szCs w:val="21"/>
                    </w:rPr>
                  </w:pPr>
                </w:p>
              </w:tc>
            </w:tr>
            <w:tr w:rsidR="007D1E5A" w14:paraId="21C4C37C" w14:textId="77777777" w:rsidTr="00553C36">
              <w:trPr>
                <w:trHeight w:val="945"/>
              </w:trPr>
              <w:tc>
                <w:tcPr>
                  <w:tcW w:w="2730" w:type="dxa"/>
                  <w:tcBorders>
                    <w:top w:val="single" w:sz="6" w:space="0" w:color="999999"/>
                    <w:left w:val="single" w:sz="12" w:space="0" w:color="auto"/>
                    <w:bottom w:val="single" w:sz="6" w:space="0" w:color="999999"/>
                    <w:right w:val="single" w:sz="6" w:space="0" w:color="999999"/>
                  </w:tcBorders>
                  <w:shd w:val="clear" w:color="auto" w:fill="D9D9D9" w:themeFill="background1" w:themeFillShade="D9"/>
                  <w:vAlign w:val="center"/>
                </w:tcPr>
                <w:p w14:paraId="2C5A85B8" w14:textId="77777777" w:rsidR="007D1E5A" w:rsidRDefault="007D1E5A" w:rsidP="007D1E5A">
                  <w:pPr>
                    <w:spacing w:line="270" w:lineRule="atLeast"/>
                    <w:ind w:right="-450"/>
                    <w:rPr>
                      <w:rFonts w:eastAsia="Arial" w:cs="Arial"/>
                      <w:color w:val="000000" w:themeColor="text1"/>
                      <w:szCs w:val="21"/>
                    </w:rPr>
                  </w:pPr>
                  <w:r w:rsidRPr="03937D94">
                    <w:rPr>
                      <w:rFonts w:eastAsia="Arial" w:cs="Arial"/>
                      <w:color w:val="000000" w:themeColor="text1"/>
                      <w:szCs w:val="21"/>
                    </w:rPr>
                    <w:t>Signature</w:t>
                  </w:r>
                </w:p>
                <w:p w14:paraId="27C8A45C" w14:textId="77777777" w:rsidR="007D1E5A" w:rsidRDefault="007D1E5A" w:rsidP="007D1E5A">
                  <w:pPr>
                    <w:spacing w:line="270" w:lineRule="atLeast"/>
                    <w:ind w:right="-450"/>
                    <w:rPr>
                      <w:rFonts w:eastAsia="Arial" w:cs="Arial"/>
                      <w:color w:val="000000" w:themeColor="text1"/>
                      <w:szCs w:val="21"/>
                    </w:rPr>
                  </w:pPr>
                  <w:r w:rsidRPr="03937D94">
                    <w:rPr>
                      <w:rFonts w:eastAsia="Arial" w:cs="Arial"/>
                      <w:b/>
                      <w:bCs/>
                      <w:i/>
                      <w:iCs/>
                      <w:color w:val="000000" w:themeColor="text1"/>
                      <w:szCs w:val="21"/>
                    </w:rPr>
                    <w:t>(An authorised electronic signature is acceptable)</w:t>
                  </w:r>
                </w:p>
              </w:tc>
              <w:tc>
                <w:tcPr>
                  <w:tcW w:w="7470" w:type="dxa"/>
                  <w:tcBorders>
                    <w:top w:val="single" w:sz="6" w:space="0" w:color="999999"/>
                    <w:left w:val="single" w:sz="6" w:space="0" w:color="999999"/>
                    <w:bottom w:val="single" w:sz="6" w:space="0" w:color="999999"/>
                    <w:right w:val="single" w:sz="12" w:space="0" w:color="auto"/>
                  </w:tcBorders>
                </w:tcPr>
                <w:p w14:paraId="57561FF5" w14:textId="77777777" w:rsidR="007D1E5A" w:rsidRDefault="007D1E5A" w:rsidP="007D1E5A">
                  <w:pPr>
                    <w:spacing w:line="270" w:lineRule="atLeast"/>
                    <w:ind w:right="33"/>
                    <w:rPr>
                      <w:rFonts w:eastAsia="Arial" w:cs="Arial"/>
                      <w:color w:val="000000" w:themeColor="text1"/>
                      <w:szCs w:val="21"/>
                    </w:rPr>
                  </w:pPr>
                  <w:r w:rsidRPr="03937D94">
                    <w:rPr>
                      <w:rFonts w:eastAsia="Arial" w:cs="Arial"/>
                      <w:color w:val="000000" w:themeColor="text1"/>
                      <w:szCs w:val="21"/>
                    </w:rPr>
                    <w:t>If you are unable to insert an authorised electronic</w:t>
                  </w:r>
                  <w:r>
                    <w:rPr>
                      <w:rFonts w:eastAsia="Arial" w:cs="Arial"/>
                      <w:color w:val="000000" w:themeColor="text1"/>
                      <w:szCs w:val="21"/>
                    </w:rPr>
                    <w:t xml:space="preserve"> DONM</w:t>
                  </w:r>
                  <w:r w:rsidRPr="03937D94">
                    <w:rPr>
                      <w:rFonts w:eastAsia="Arial" w:cs="Arial"/>
                      <w:color w:val="000000" w:themeColor="text1"/>
                      <w:szCs w:val="21"/>
                    </w:rPr>
                    <w:t xml:space="preserve"> signature, emailing a scanned copy is acceptable, providing that it is of reasonable quality.</w:t>
                  </w:r>
                </w:p>
                <w:p w14:paraId="1E14DF3C" w14:textId="77777777" w:rsidR="007D1E5A" w:rsidRDefault="007D1E5A" w:rsidP="007D1E5A">
                  <w:pPr>
                    <w:spacing w:line="270" w:lineRule="atLeast"/>
                    <w:ind w:right="-450"/>
                    <w:rPr>
                      <w:rFonts w:ascii="MS Mincho" w:eastAsia="MS Mincho" w:hAnsi="MS Mincho" w:cs="MS Mincho"/>
                      <w:color w:val="000000" w:themeColor="text1"/>
                      <w:szCs w:val="21"/>
                    </w:rPr>
                  </w:pPr>
                </w:p>
              </w:tc>
            </w:tr>
            <w:tr w:rsidR="007D1E5A" w14:paraId="53BE6DC0" w14:textId="77777777" w:rsidTr="00553C36">
              <w:trPr>
                <w:trHeight w:val="720"/>
              </w:trPr>
              <w:tc>
                <w:tcPr>
                  <w:tcW w:w="2730" w:type="dxa"/>
                  <w:tcBorders>
                    <w:top w:val="single" w:sz="6" w:space="0" w:color="999999"/>
                    <w:left w:val="single" w:sz="12" w:space="0" w:color="auto"/>
                    <w:bottom w:val="single" w:sz="6" w:space="0" w:color="999999"/>
                    <w:right w:val="single" w:sz="6" w:space="0" w:color="999999"/>
                  </w:tcBorders>
                  <w:shd w:val="clear" w:color="auto" w:fill="D9D9D9" w:themeFill="background1" w:themeFillShade="D9"/>
                  <w:vAlign w:val="center"/>
                </w:tcPr>
                <w:p w14:paraId="148C38DA" w14:textId="77777777" w:rsidR="007D1E5A" w:rsidRDefault="007D1E5A" w:rsidP="007D1E5A">
                  <w:pPr>
                    <w:spacing w:line="270" w:lineRule="atLeast"/>
                    <w:ind w:right="-450"/>
                    <w:rPr>
                      <w:rFonts w:eastAsia="Arial" w:cs="Arial"/>
                      <w:color w:val="000000" w:themeColor="text1"/>
                      <w:szCs w:val="21"/>
                    </w:rPr>
                  </w:pPr>
                  <w:r w:rsidRPr="03937D94">
                    <w:rPr>
                      <w:rFonts w:eastAsia="Arial" w:cs="Arial"/>
                      <w:color w:val="000000" w:themeColor="text1"/>
                      <w:szCs w:val="21"/>
                    </w:rPr>
                    <w:t>Preferred email</w:t>
                  </w:r>
                </w:p>
                <w:p w14:paraId="626DBDA3" w14:textId="77777777" w:rsidR="007D1E5A" w:rsidRDefault="007D1E5A" w:rsidP="007D1E5A">
                  <w:pPr>
                    <w:spacing w:line="270" w:lineRule="atLeast"/>
                    <w:ind w:right="-450"/>
                    <w:rPr>
                      <w:rFonts w:eastAsia="Arial" w:cs="Arial"/>
                      <w:color w:val="000000" w:themeColor="text1"/>
                      <w:szCs w:val="21"/>
                    </w:rPr>
                  </w:pPr>
                  <w:r w:rsidRPr="03937D94">
                    <w:rPr>
                      <w:rFonts w:eastAsia="Arial" w:cs="Arial"/>
                      <w:b/>
                      <w:bCs/>
                      <w:i/>
                      <w:iCs/>
                      <w:color w:val="000000" w:themeColor="text1"/>
                      <w:szCs w:val="21"/>
                    </w:rPr>
                    <w:t>(Please print)</w:t>
                  </w:r>
                </w:p>
              </w:tc>
              <w:tc>
                <w:tcPr>
                  <w:tcW w:w="7470" w:type="dxa"/>
                  <w:tcBorders>
                    <w:top w:val="single" w:sz="6" w:space="0" w:color="999999"/>
                    <w:left w:val="single" w:sz="6" w:space="0" w:color="999999"/>
                    <w:bottom w:val="single" w:sz="6" w:space="0" w:color="999999"/>
                    <w:right w:val="single" w:sz="12" w:space="0" w:color="auto"/>
                  </w:tcBorders>
                </w:tcPr>
                <w:p w14:paraId="27110A21" w14:textId="77777777" w:rsidR="007D1E5A" w:rsidRDefault="007D1E5A" w:rsidP="007D1E5A">
                  <w:pPr>
                    <w:spacing w:line="270" w:lineRule="atLeast"/>
                    <w:ind w:right="-450"/>
                    <w:rPr>
                      <w:rFonts w:ascii="MS Mincho" w:eastAsia="MS Mincho" w:hAnsi="MS Mincho" w:cs="MS Mincho"/>
                      <w:color w:val="000000" w:themeColor="text1"/>
                      <w:szCs w:val="21"/>
                    </w:rPr>
                  </w:pPr>
                </w:p>
              </w:tc>
            </w:tr>
            <w:tr w:rsidR="007D1E5A" w14:paraId="1ADB6D69" w14:textId="77777777" w:rsidTr="00553C36">
              <w:trPr>
                <w:trHeight w:val="795"/>
              </w:trPr>
              <w:tc>
                <w:tcPr>
                  <w:tcW w:w="2730" w:type="dxa"/>
                  <w:tcBorders>
                    <w:top w:val="single" w:sz="6" w:space="0" w:color="999999"/>
                    <w:left w:val="single" w:sz="12" w:space="0" w:color="auto"/>
                    <w:bottom w:val="single" w:sz="12" w:space="0" w:color="auto"/>
                    <w:right w:val="single" w:sz="6" w:space="0" w:color="999999"/>
                  </w:tcBorders>
                  <w:shd w:val="clear" w:color="auto" w:fill="D9D9D9" w:themeFill="background1" w:themeFillShade="D9"/>
                  <w:vAlign w:val="center"/>
                </w:tcPr>
                <w:p w14:paraId="4B854FD1" w14:textId="77777777" w:rsidR="007D1E5A" w:rsidRDefault="007D1E5A" w:rsidP="007D1E5A">
                  <w:pPr>
                    <w:spacing w:line="270" w:lineRule="atLeast"/>
                    <w:ind w:right="-450"/>
                    <w:rPr>
                      <w:rFonts w:eastAsia="Arial" w:cs="Arial"/>
                      <w:color w:val="000000" w:themeColor="text1"/>
                      <w:szCs w:val="21"/>
                    </w:rPr>
                  </w:pPr>
                  <w:r w:rsidRPr="03937D94">
                    <w:rPr>
                      <w:rFonts w:eastAsia="Arial" w:cs="Arial"/>
                      <w:color w:val="000000" w:themeColor="text1"/>
                      <w:szCs w:val="21"/>
                    </w:rPr>
                    <w:t>Date</w:t>
                  </w:r>
                </w:p>
              </w:tc>
              <w:tc>
                <w:tcPr>
                  <w:tcW w:w="7470" w:type="dxa"/>
                  <w:tcBorders>
                    <w:top w:val="single" w:sz="6" w:space="0" w:color="999999"/>
                    <w:left w:val="single" w:sz="6" w:space="0" w:color="999999"/>
                    <w:bottom w:val="single" w:sz="12" w:space="0" w:color="auto"/>
                    <w:right w:val="single" w:sz="12" w:space="0" w:color="auto"/>
                  </w:tcBorders>
                  <w:vAlign w:val="center"/>
                </w:tcPr>
                <w:p w14:paraId="5453E26F" w14:textId="77777777" w:rsidR="007D1E5A" w:rsidRDefault="007D1E5A" w:rsidP="007D1E5A">
                  <w:pPr>
                    <w:spacing w:line="270" w:lineRule="atLeast"/>
                    <w:ind w:right="-450"/>
                    <w:rPr>
                      <w:rFonts w:ascii="MS Mincho" w:eastAsia="MS Mincho" w:hAnsi="MS Mincho" w:cs="MS Mincho"/>
                      <w:color w:val="000000" w:themeColor="text1"/>
                      <w:szCs w:val="21"/>
                    </w:rPr>
                  </w:pPr>
                </w:p>
                <w:p w14:paraId="3122B08A" w14:textId="77777777" w:rsidR="007D1E5A" w:rsidRDefault="007D1E5A" w:rsidP="007D1E5A">
                  <w:pPr>
                    <w:ind w:right="-450"/>
                    <w:rPr>
                      <w:rFonts w:ascii="MS Mincho" w:eastAsia="MS Mincho" w:hAnsi="MS Mincho" w:cs="MS Mincho"/>
                      <w:color w:val="000000" w:themeColor="text1"/>
                      <w:szCs w:val="21"/>
                    </w:rPr>
                  </w:pPr>
                </w:p>
              </w:tc>
            </w:tr>
          </w:tbl>
          <w:p w14:paraId="6F010F5C" w14:textId="77777777" w:rsidR="007D1E5A" w:rsidRPr="001C5CB0" w:rsidRDefault="007D1E5A" w:rsidP="007D1E5A">
            <w:pPr>
              <w:rPr>
                <w:szCs w:val="21"/>
              </w:rPr>
            </w:pPr>
          </w:p>
          <w:p w14:paraId="627D4061" w14:textId="03D56481" w:rsidR="003B5733" w:rsidRPr="003B5733" w:rsidRDefault="003B5733" w:rsidP="003B5733">
            <w:pPr>
              <w:pStyle w:val="Documenttitle"/>
            </w:pPr>
          </w:p>
        </w:tc>
      </w:tr>
      <w:tr w:rsidR="003B5733" w14:paraId="7E49E7DD" w14:textId="77777777" w:rsidTr="00B07FF7">
        <w:tc>
          <w:tcPr>
            <w:tcW w:w="10348" w:type="dxa"/>
          </w:tcPr>
          <w:p w14:paraId="4A962D05" w14:textId="2278BB2A" w:rsidR="003B5733" w:rsidRPr="001E5058" w:rsidRDefault="003B5733" w:rsidP="001E5058">
            <w:pPr>
              <w:pStyle w:val="Bannermarking"/>
            </w:pPr>
          </w:p>
        </w:tc>
      </w:tr>
    </w:tbl>
    <w:p w14:paraId="0818703E" w14:textId="77777777" w:rsidR="00855920" w:rsidRPr="00200176" w:rsidRDefault="00855920" w:rsidP="001575CD">
      <w:pPr>
        <w:pStyle w:val="Body"/>
      </w:pPr>
    </w:p>
    <w:sectPr w:rsidR="00855920" w:rsidRPr="00200176" w:rsidSect="00E62622">
      <w:footerReference w:type="default" r:id="rId2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D483B" w14:textId="77777777" w:rsidR="00CC0DA2" w:rsidRDefault="00CC0DA2">
      <w:r>
        <w:separator/>
      </w:r>
    </w:p>
  </w:endnote>
  <w:endnote w:type="continuationSeparator" w:id="0">
    <w:p w14:paraId="1D49CF0A" w14:textId="77777777" w:rsidR="00CC0DA2" w:rsidRDefault="00CC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5AFD" w14:textId="77777777" w:rsidR="00C60614" w:rsidRDefault="00C60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F5AB" w14:textId="77777777" w:rsidR="00E261B3" w:rsidRPr="00F65AA9" w:rsidRDefault="0072251A" w:rsidP="00F84FA0">
    <w:pPr>
      <w:pStyle w:val="Footer"/>
    </w:pPr>
    <w:r>
      <w:rPr>
        <w:noProof/>
        <w:lang w:eastAsia="en-AU"/>
      </w:rPr>
      <w:drawing>
        <wp:anchor distT="0" distB="0" distL="114300" distR="114300" simplePos="0" relativeHeight="251667456" behindDoc="1" locked="1" layoutInCell="1" allowOverlap="1" wp14:anchorId="167F9EFC" wp14:editId="3902F76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3120" behindDoc="0" locked="0" layoutInCell="0" allowOverlap="1" wp14:anchorId="41D9D354" wp14:editId="5C8D1E1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BAF7F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D9D354"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FBAF7F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3BA8"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2CC88418" wp14:editId="23804C7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4FA6E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C8841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84FA6E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363D" w14:textId="5A9252DB" w:rsidR="00373890" w:rsidRPr="00F65AA9" w:rsidRDefault="00C60614" w:rsidP="00F84FA0">
    <w:pPr>
      <w:pStyle w:val="Footer"/>
    </w:pPr>
    <w:r>
      <w:rPr>
        <w:noProof/>
      </w:rPr>
      <mc:AlternateContent>
        <mc:Choice Requires="wps">
          <w:drawing>
            <wp:anchor distT="0" distB="0" distL="114300" distR="114300" simplePos="0" relativeHeight="251676160" behindDoc="0" locked="0" layoutInCell="0" allowOverlap="1" wp14:anchorId="3A818356" wp14:editId="39B73EF7">
              <wp:simplePos x="0" y="0"/>
              <wp:positionH relativeFrom="page">
                <wp:posOffset>0</wp:posOffset>
              </wp:positionH>
              <wp:positionV relativeFrom="page">
                <wp:posOffset>10189210</wp:posOffset>
              </wp:positionV>
              <wp:extent cx="7560310" cy="311785"/>
              <wp:effectExtent l="0" t="0" r="0" b="12065"/>
              <wp:wrapNone/>
              <wp:docPr id="4" name="MSIPCM94d34c06b154ecd96cb27b2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F07C4F" w14:textId="580AEED0" w:rsidR="00C60614" w:rsidRPr="00C60614" w:rsidRDefault="00C60614" w:rsidP="00C60614">
                          <w:pPr>
                            <w:spacing w:after="0"/>
                            <w:jc w:val="center"/>
                            <w:rPr>
                              <w:rFonts w:ascii="Arial Black" w:hAnsi="Arial Black"/>
                              <w:color w:val="000000"/>
                              <w:sz w:val="20"/>
                            </w:rPr>
                          </w:pPr>
                          <w:r w:rsidRPr="00C6061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818356" id="_x0000_t202" coordsize="21600,21600" o:spt="202" path="m,l,21600r21600,l21600,xe">
              <v:stroke joinstyle="miter"/>
              <v:path gradientshapeok="t" o:connecttype="rect"/>
            </v:shapetype>
            <v:shape id="MSIPCM94d34c06b154ecd96cb27b2b"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EF07C4F" w14:textId="580AEED0" w:rsidR="00C60614" w:rsidRPr="00C60614" w:rsidRDefault="00C60614" w:rsidP="00C60614">
                    <w:pPr>
                      <w:spacing w:after="0"/>
                      <w:jc w:val="center"/>
                      <w:rPr>
                        <w:rFonts w:ascii="Arial Black" w:hAnsi="Arial Black"/>
                        <w:color w:val="000000"/>
                        <w:sz w:val="20"/>
                      </w:rPr>
                    </w:pPr>
                    <w:r w:rsidRPr="00C60614">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68480" behindDoc="0" locked="0" layoutInCell="0" allowOverlap="1" wp14:anchorId="0C02FAA1" wp14:editId="6955B43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505B0F"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02FAA1"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C505B0F"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95739" w14:textId="77777777" w:rsidR="00CC0DA2" w:rsidRDefault="00CC0DA2" w:rsidP="002862F1">
      <w:pPr>
        <w:spacing w:before="120"/>
      </w:pPr>
      <w:r>
        <w:separator/>
      </w:r>
    </w:p>
  </w:footnote>
  <w:footnote w:type="continuationSeparator" w:id="0">
    <w:p w14:paraId="6821A342" w14:textId="77777777" w:rsidR="00CC0DA2" w:rsidRDefault="00CC0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3B57" w14:textId="77777777" w:rsidR="00C60614" w:rsidRDefault="00C60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BDF3"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6621" w14:textId="77777777" w:rsidR="00C60614" w:rsidRDefault="00C60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D6B6C0E"/>
    <w:multiLevelType w:val="multilevel"/>
    <w:tmpl w:val="43E8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044E0"/>
    <w:multiLevelType w:val="hybridMultilevel"/>
    <w:tmpl w:val="FFFFFFFF"/>
    <w:lvl w:ilvl="0" w:tplc="EEF2731A">
      <w:start w:val="1"/>
      <w:numFmt w:val="bullet"/>
      <w:lvlText w:val=""/>
      <w:lvlJc w:val="left"/>
      <w:pPr>
        <w:ind w:left="720" w:hanging="360"/>
      </w:pPr>
      <w:rPr>
        <w:rFonts w:ascii="Symbol" w:hAnsi="Symbol" w:hint="default"/>
      </w:rPr>
    </w:lvl>
    <w:lvl w:ilvl="1" w:tplc="3C0AD800">
      <w:start w:val="1"/>
      <w:numFmt w:val="bullet"/>
      <w:lvlText w:val="o"/>
      <w:lvlJc w:val="left"/>
      <w:pPr>
        <w:ind w:left="1440" w:hanging="360"/>
      </w:pPr>
      <w:rPr>
        <w:rFonts w:ascii="Courier New" w:hAnsi="Courier New" w:hint="default"/>
      </w:rPr>
    </w:lvl>
    <w:lvl w:ilvl="2" w:tplc="F2D21EC4">
      <w:start w:val="1"/>
      <w:numFmt w:val="bullet"/>
      <w:lvlText w:val=""/>
      <w:lvlJc w:val="left"/>
      <w:pPr>
        <w:ind w:left="2160" w:hanging="360"/>
      </w:pPr>
      <w:rPr>
        <w:rFonts w:ascii="Wingdings" w:hAnsi="Wingdings" w:hint="default"/>
      </w:rPr>
    </w:lvl>
    <w:lvl w:ilvl="3" w:tplc="C6E6120A">
      <w:start w:val="1"/>
      <w:numFmt w:val="bullet"/>
      <w:lvlText w:val=""/>
      <w:lvlJc w:val="left"/>
      <w:pPr>
        <w:ind w:left="2880" w:hanging="360"/>
      </w:pPr>
      <w:rPr>
        <w:rFonts w:ascii="Symbol" w:hAnsi="Symbol" w:hint="default"/>
      </w:rPr>
    </w:lvl>
    <w:lvl w:ilvl="4" w:tplc="63B8F370">
      <w:start w:val="1"/>
      <w:numFmt w:val="bullet"/>
      <w:lvlText w:val="o"/>
      <w:lvlJc w:val="left"/>
      <w:pPr>
        <w:ind w:left="3600" w:hanging="360"/>
      </w:pPr>
      <w:rPr>
        <w:rFonts w:ascii="Courier New" w:hAnsi="Courier New" w:hint="default"/>
      </w:rPr>
    </w:lvl>
    <w:lvl w:ilvl="5" w:tplc="BA643D9C">
      <w:start w:val="1"/>
      <w:numFmt w:val="bullet"/>
      <w:lvlText w:val=""/>
      <w:lvlJc w:val="left"/>
      <w:pPr>
        <w:ind w:left="4320" w:hanging="360"/>
      </w:pPr>
      <w:rPr>
        <w:rFonts w:ascii="Wingdings" w:hAnsi="Wingdings" w:hint="default"/>
      </w:rPr>
    </w:lvl>
    <w:lvl w:ilvl="6" w:tplc="1888989A">
      <w:start w:val="1"/>
      <w:numFmt w:val="bullet"/>
      <w:lvlText w:val=""/>
      <w:lvlJc w:val="left"/>
      <w:pPr>
        <w:ind w:left="5040" w:hanging="360"/>
      </w:pPr>
      <w:rPr>
        <w:rFonts w:ascii="Symbol" w:hAnsi="Symbol" w:hint="default"/>
      </w:rPr>
    </w:lvl>
    <w:lvl w:ilvl="7" w:tplc="C03E7E1C">
      <w:start w:val="1"/>
      <w:numFmt w:val="bullet"/>
      <w:lvlText w:val="o"/>
      <w:lvlJc w:val="left"/>
      <w:pPr>
        <w:ind w:left="5760" w:hanging="360"/>
      </w:pPr>
      <w:rPr>
        <w:rFonts w:ascii="Courier New" w:hAnsi="Courier New" w:hint="default"/>
      </w:rPr>
    </w:lvl>
    <w:lvl w:ilvl="8" w:tplc="8ACAD310">
      <w:start w:val="1"/>
      <w:numFmt w:val="bullet"/>
      <w:lvlText w:val=""/>
      <w:lvlJc w:val="left"/>
      <w:pPr>
        <w:ind w:left="6480" w:hanging="360"/>
      </w:pPr>
      <w:rPr>
        <w:rFonts w:ascii="Wingdings" w:hAnsi="Wingdings" w:hint="default"/>
      </w:rPr>
    </w:lvl>
  </w:abstractNum>
  <w:abstractNum w:abstractNumId="3" w15:restartNumberingAfterBreak="0">
    <w:nsid w:val="131B385C"/>
    <w:multiLevelType w:val="hybridMultilevel"/>
    <w:tmpl w:val="D93A2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38D2A3B"/>
    <w:multiLevelType w:val="hybridMultilevel"/>
    <w:tmpl w:val="CC5CA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5B566C"/>
    <w:multiLevelType w:val="hybridMultilevel"/>
    <w:tmpl w:val="73A89086"/>
    <w:lvl w:ilvl="0" w:tplc="8EE45D46">
      <w:start w:val="1"/>
      <w:numFmt w:val="bullet"/>
      <w:lvlText w:val=""/>
      <w:lvlJc w:val="left"/>
      <w:pPr>
        <w:ind w:left="720" w:hanging="360"/>
      </w:pPr>
      <w:rPr>
        <w:rFonts w:ascii="Symbol" w:hAnsi="Symbol" w:hint="default"/>
      </w:rPr>
    </w:lvl>
    <w:lvl w:ilvl="1" w:tplc="C4D0FB2A">
      <w:start w:val="1"/>
      <w:numFmt w:val="bullet"/>
      <w:lvlText w:val="o"/>
      <w:lvlJc w:val="left"/>
      <w:pPr>
        <w:ind w:left="1440" w:hanging="360"/>
      </w:pPr>
      <w:rPr>
        <w:rFonts w:ascii="Courier New" w:hAnsi="Courier New" w:hint="default"/>
      </w:rPr>
    </w:lvl>
    <w:lvl w:ilvl="2" w:tplc="1D5CBABE">
      <w:start w:val="1"/>
      <w:numFmt w:val="bullet"/>
      <w:lvlText w:val=""/>
      <w:lvlJc w:val="left"/>
      <w:pPr>
        <w:ind w:left="2160" w:hanging="360"/>
      </w:pPr>
      <w:rPr>
        <w:rFonts w:ascii="Wingdings" w:hAnsi="Wingdings" w:hint="default"/>
      </w:rPr>
    </w:lvl>
    <w:lvl w:ilvl="3" w:tplc="9918BECC">
      <w:start w:val="1"/>
      <w:numFmt w:val="bullet"/>
      <w:lvlText w:val=""/>
      <w:lvlJc w:val="left"/>
      <w:pPr>
        <w:ind w:left="2880" w:hanging="360"/>
      </w:pPr>
      <w:rPr>
        <w:rFonts w:ascii="Symbol" w:hAnsi="Symbol" w:hint="default"/>
      </w:rPr>
    </w:lvl>
    <w:lvl w:ilvl="4" w:tplc="533C79F6">
      <w:start w:val="1"/>
      <w:numFmt w:val="bullet"/>
      <w:lvlText w:val="o"/>
      <w:lvlJc w:val="left"/>
      <w:pPr>
        <w:ind w:left="3600" w:hanging="360"/>
      </w:pPr>
      <w:rPr>
        <w:rFonts w:ascii="Courier New" w:hAnsi="Courier New" w:hint="default"/>
      </w:rPr>
    </w:lvl>
    <w:lvl w:ilvl="5" w:tplc="5678C04E">
      <w:start w:val="1"/>
      <w:numFmt w:val="bullet"/>
      <w:lvlText w:val=""/>
      <w:lvlJc w:val="left"/>
      <w:pPr>
        <w:ind w:left="4320" w:hanging="360"/>
      </w:pPr>
      <w:rPr>
        <w:rFonts w:ascii="Wingdings" w:hAnsi="Wingdings" w:hint="default"/>
      </w:rPr>
    </w:lvl>
    <w:lvl w:ilvl="6" w:tplc="E6A87EF0">
      <w:start w:val="1"/>
      <w:numFmt w:val="bullet"/>
      <w:lvlText w:val=""/>
      <w:lvlJc w:val="left"/>
      <w:pPr>
        <w:ind w:left="5040" w:hanging="360"/>
      </w:pPr>
      <w:rPr>
        <w:rFonts w:ascii="Symbol" w:hAnsi="Symbol" w:hint="default"/>
      </w:rPr>
    </w:lvl>
    <w:lvl w:ilvl="7" w:tplc="35C07C4C">
      <w:start w:val="1"/>
      <w:numFmt w:val="bullet"/>
      <w:lvlText w:val="o"/>
      <w:lvlJc w:val="left"/>
      <w:pPr>
        <w:ind w:left="5760" w:hanging="360"/>
      </w:pPr>
      <w:rPr>
        <w:rFonts w:ascii="Courier New" w:hAnsi="Courier New" w:hint="default"/>
      </w:rPr>
    </w:lvl>
    <w:lvl w:ilvl="8" w:tplc="EA3E004C">
      <w:start w:val="1"/>
      <w:numFmt w:val="bullet"/>
      <w:lvlText w:val=""/>
      <w:lvlJc w:val="left"/>
      <w:pPr>
        <w:ind w:left="6480" w:hanging="360"/>
      </w:pPr>
      <w:rPr>
        <w:rFonts w:ascii="Wingdings" w:hAnsi="Wingdings" w:hint="default"/>
      </w:rPr>
    </w:lvl>
  </w:abstractNum>
  <w:abstractNum w:abstractNumId="6" w15:restartNumberingAfterBreak="0">
    <w:nsid w:val="22147F48"/>
    <w:multiLevelType w:val="multilevel"/>
    <w:tmpl w:val="91A2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082A0B"/>
    <w:multiLevelType w:val="multilevel"/>
    <w:tmpl w:val="4DD8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57F55EC"/>
    <w:multiLevelType w:val="multilevel"/>
    <w:tmpl w:val="27B6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E6039F"/>
    <w:multiLevelType w:val="hybridMultilevel"/>
    <w:tmpl w:val="3B22D22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2430963"/>
    <w:multiLevelType w:val="hybridMultilevel"/>
    <w:tmpl w:val="B4BAB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82D0BE2"/>
    <w:multiLevelType w:val="hybridMultilevel"/>
    <w:tmpl w:val="42E60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085281"/>
    <w:multiLevelType w:val="multilevel"/>
    <w:tmpl w:val="C6C6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56880166">
    <w:abstractNumId w:val="8"/>
  </w:num>
  <w:num w:numId="2" w16cid:durableId="2122534582">
    <w:abstractNumId w:val="14"/>
  </w:num>
  <w:num w:numId="3" w16cid:durableId="1406296071">
    <w:abstractNumId w:val="13"/>
  </w:num>
  <w:num w:numId="4" w16cid:durableId="1724911689">
    <w:abstractNumId w:val="17"/>
  </w:num>
  <w:num w:numId="5" w16cid:durableId="53744974">
    <w:abstractNumId w:val="9"/>
  </w:num>
  <w:num w:numId="6" w16cid:durableId="1600525024">
    <w:abstractNumId w:val="0"/>
  </w:num>
  <w:num w:numId="7" w16cid:durableId="2145004907">
    <w:abstractNumId w:val="5"/>
  </w:num>
  <w:num w:numId="8" w16cid:durableId="382605716">
    <w:abstractNumId w:val="2"/>
  </w:num>
  <w:num w:numId="9" w16cid:durableId="1993559429">
    <w:abstractNumId w:val="15"/>
  </w:num>
  <w:num w:numId="10" w16cid:durableId="760181199">
    <w:abstractNumId w:val="4"/>
  </w:num>
  <w:num w:numId="11" w16cid:durableId="1717386478">
    <w:abstractNumId w:val="6"/>
  </w:num>
  <w:num w:numId="12" w16cid:durableId="1234462336">
    <w:abstractNumId w:val="11"/>
  </w:num>
  <w:num w:numId="13" w16cid:durableId="393818574">
    <w:abstractNumId w:val="3"/>
  </w:num>
  <w:num w:numId="14" w16cid:durableId="1440173992">
    <w:abstractNumId w:val="7"/>
  </w:num>
  <w:num w:numId="15" w16cid:durableId="651445894">
    <w:abstractNumId w:val="12"/>
  </w:num>
  <w:num w:numId="16" w16cid:durableId="959529363">
    <w:abstractNumId w:val="1"/>
  </w:num>
  <w:num w:numId="17" w16cid:durableId="1761757381">
    <w:abstractNumId w:val="10"/>
  </w:num>
  <w:num w:numId="18" w16cid:durableId="1797796115">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A2"/>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575CD"/>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BC"/>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1E5A"/>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0589"/>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0614"/>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0DA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5D37"/>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962FBC"/>
  <w15:docId w15:val="{BA258843-3712-4177-9433-5FF4959E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VHBAbody">
    <w:name w:val="VHBA body"/>
    <w:basedOn w:val="Normal"/>
    <w:link w:val="VHBAbodyChar"/>
    <w:uiPriority w:val="1"/>
    <w:qFormat/>
    <w:rsid w:val="007D1E5A"/>
    <w:pPr>
      <w:spacing w:line="270" w:lineRule="atLeast"/>
    </w:pPr>
    <w:rPr>
      <w:rFonts w:asciiTheme="minorHAnsi" w:eastAsia="Times" w:hAnsiTheme="minorHAnsi"/>
      <w:sz w:val="22"/>
      <w:szCs w:val="22"/>
    </w:rPr>
  </w:style>
  <w:style w:type="character" w:customStyle="1" w:styleId="VHBAbodyChar">
    <w:name w:val="VHBA body Char"/>
    <w:basedOn w:val="DefaultParagraphFont"/>
    <w:link w:val="VHBAbody"/>
    <w:uiPriority w:val="1"/>
    <w:rsid w:val="007D1E5A"/>
    <w:rPr>
      <w:rFonts w:asciiTheme="minorHAnsi" w:eastAsia="Times" w:hAnsiTheme="minorHAnsi"/>
      <w:sz w:val="22"/>
      <w:szCs w:val="22"/>
      <w:lang w:eastAsia="en-US"/>
    </w:rPr>
  </w:style>
  <w:style w:type="paragraph" w:styleId="ListParagraph">
    <w:name w:val="List Paragraph"/>
    <w:basedOn w:val="Normal"/>
    <w:uiPriority w:val="34"/>
    <w:qFormat/>
    <w:rsid w:val="007D1E5A"/>
    <w:pPr>
      <w:spacing w:after="160" w:line="259" w:lineRule="auto"/>
      <w:ind w:left="720"/>
      <w:contextualSpacing/>
    </w:pPr>
    <w:rPr>
      <w:rFonts w:asciiTheme="minorHAnsi" w:eastAsiaTheme="minorHAnsi" w:hAnsiTheme="minorHAnsi" w:cstheme="minorBidi"/>
      <w:sz w:val="22"/>
      <w:szCs w:val="22"/>
    </w:rPr>
  </w:style>
  <w:style w:type="paragraph" w:customStyle="1" w:styleId="DHHSbody">
    <w:name w:val="DHHS body"/>
    <w:qFormat/>
    <w:rsid w:val="007D1E5A"/>
    <w:pPr>
      <w:spacing w:after="120" w:line="270" w:lineRule="atLeast"/>
    </w:pPr>
    <w:rPr>
      <w:rFonts w:ascii="Arial" w:eastAsia="Times" w:hAnsi="Arial"/>
      <w:lang w:eastAsia="en-US"/>
    </w:rPr>
  </w:style>
  <w:style w:type="paragraph" w:customStyle="1" w:styleId="DHHSbullet1">
    <w:name w:val="DHHS bullet 1"/>
    <w:basedOn w:val="DHHSbody"/>
    <w:qFormat/>
    <w:rsid w:val="007D1E5A"/>
    <w:pPr>
      <w:spacing w:after="40"/>
      <w:ind w:left="852"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Data" Target="diagrams/data1.xml"/><Relationship Id="rId26" Type="http://schemas.openxmlformats.org/officeDocument/2006/relationships/hyperlink" Target="mailto:nmw@health.vic.gov.au" TargetMode="Externa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policy-and-funding-guidelines-for-health-servic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nursing-and-midwifery/safe-patient-care-nurse-to-patient-and-midwife-to-patient-ratios-act-2015"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nursing-and-midwifery/nursing-and-midwifery-graduat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diagramDrawing" Target="diagrams/drawing1.xml"/><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D954F9-4A32-43D7-B996-448A2F8D0994}"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AU"/>
        </a:p>
      </dgm:t>
    </dgm:pt>
    <dgm:pt modelId="{3BF1788D-8FB0-4871-8063-3B652972ED33}">
      <dgm:prSet phldrT="[Text]"/>
      <dgm:spPr>
        <a:solidFill>
          <a:srgbClr val="2A0FCB"/>
        </a:solidFill>
      </dgm:spPr>
      <dgm:t>
        <a:bodyPr/>
        <a:lstStyle/>
        <a:p>
          <a:r>
            <a:rPr lang="en-US" b="1"/>
            <a:t>OPPORTUNITY</a:t>
          </a:r>
        </a:p>
        <a:p>
          <a:r>
            <a:rPr lang="en-US"/>
            <a:t>The Victorian Government is funding Enrolled Nurse Transition to Practice Program (ENTPP) in 2023-24 for Victorian public health services in rural and regional areas to help enrolled nurses with their learning and development in their first year of professional practice</a:t>
          </a:r>
          <a:endParaRPr lang="en-AU"/>
        </a:p>
      </dgm:t>
    </dgm:pt>
    <dgm:pt modelId="{74126FE2-ED95-4A47-A294-C4CA1DD056C2}" type="parTrans" cxnId="{E843F647-DB76-4B13-B9D8-A5B171034B4B}">
      <dgm:prSet/>
      <dgm:spPr/>
      <dgm:t>
        <a:bodyPr/>
        <a:lstStyle/>
        <a:p>
          <a:endParaRPr lang="en-AU"/>
        </a:p>
      </dgm:t>
    </dgm:pt>
    <dgm:pt modelId="{91C034CA-3EBB-4C11-A875-08508F0921E2}" type="sibTrans" cxnId="{E843F647-DB76-4B13-B9D8-A5B171034B4B}">
      <dgm:prSet/>
      <dgm:spPr/>
      <dgm:t>
        <a:bodyPr/>
        <a:lstStyle/>
        <a:p>
          <a:endParaRPr lang="en-AU"/>
        </a:p>
      </dgm:t>
    </dgm:pt>
    <dgm:pt modelId="{E201ECF7-2301-4E51-BD18-909CF3AD3DD4}">
      <dgm:prSet phldrT="[Text]"/>
      <dgm:spPr>
        <a:solidFill>
          <a:srgbClr val="2A0FCB"/>
        </a:solidFill>
      </dgm:spPr>
      <dgm:t>
        <a:bodyPr/>
        <a:lstStyle/>
        <a:p>
          <a:r>
            <a:rPr lang="en-AU" b="1"/>
            <a:t>KEY DATES</a:t>
          </a:r>
        </a:p>
        <a:p>
          <a:r>
            <a:rPr lang="en-AU"/>
            <a:t>Monday 30 October 2023 - Applications open</a:t>
          </a:r>
        </a:p>
        <a:p>
          <a:r>
            <a:rPr lang="en-AU"/>
            <a:t>Friday 15 December 2023 - Applications close</a:t>
          </a:r>
        </a:p>
      </dgm:t>
    </dgm:pt>
    <dgm:pt modelId="{683064C2-0DF1-4211-860C-4D4CA751D2ED}" type="parTrans" cxnId="{0A084DD7-BDFD-486B-A21A-B961B5F8BB53}">
      <dgm:prSet/>
      <dgm:spPr/>
      <dgm:t>
        <a:bodyPr/>
        <a:lstStyle/>
        <a:p>
          <a:endParaRPr lang="en-AU"/>
        </a:p>
      </dgm:t>
    </dgm:pt>
    <dgm:pt modelId="{301302FC-7B01-47C0-97B4-5A7EE7766364}" type="sibTrans" cxnId="{0A084DD7-BDFD-486B-A21A-B961B5F8BB53}">
      <dgm:prSet/>
      <dgm:spPr/>
      <dgm:t>
        <a:bodyPr/>
        <a:lstStyle/>
        <a:p>
          <a:endParaRPr lang="en-AU"/>
        </a:p>
      </dgm:t>
    </dgm:pt>
    <dgm:pt modelId="{6890E8CE-5765-40ED-A477-E43EE44EFCD5}">
      <dgm:prSet/>
      <dgm:spPr>
        <a:solidFill>
          <a:srgbClr val="2A0FCB"/>
        </a:solidFill>
      </dgm:spPr>
      <dgm:t>
        <a:bodyPr/>
        <a:lstStyle/>
        <a:p>
          <a:r>
            <a:rPr lang="en-AU" b="1"/>
            <a:t>KEY FACTS</a:t>
          </a:r>
        </a:p>
        <a:p>
          <a:r>
            <a:rPr lang="en-AU"/>
            <a:t>$21,750 per position for health services (not to individuals)</a:t>
          </a:r>
        </a:p>
        <a:p>
          <a:r>
            <a:rPr lang="en-AU"/>
            <a:t>100% of funding will be allocated to rural/regional areas</a:t>
          </a:r>
        </a:p>
        <a:p>
          <a:r>
            <a:rPr lang="en-AU"/>
            <a:t>17 places per rural health consortia</a:t>
          </a:r>
        </a:p>
      </dgm:t>
    </dgm:pt>
    <dgm:pt modelId="{CB56DB39-CDD4-4205-A630-4014862F71E7}" type="parTrans" cxnId="{6504968C-5158-41C9-8FC3-16861D1531B2}">
      <dgm:prSet/>
      <dgm:spPr/>
      <dgm:t>
        <a:bodyPr/>
        <a:lstStyle/>
        <a:p>
          <a:endParaRPr lang="en-AU"/>
        </a:p>
      </dgm:t>
    </dgm:pt>
    <dgm:pt modelId="{4A550190-1F28-4003-BB9B-81901C005CBA}" type="sibTrans" cxnId="{6504968C-5158-41C9-8FC3-16861D1531B2}">
      <dgm:prSet/>
      <dgm:spPr/>
      <dgm:t>
        <a:bodyPr/>
        <a:lstStyle/>
        <a:p>
          <a:endParaRPr lang="en-AU"/>
        </a:p>
      </dgm:t>
    </dgm:pt>
    <dgm:pt modelId="{5775238C-010C-49BC-9C6C-A0069D1A3548}" type="pres">
      <dgm:prSet presAssocID="{AED954F9-4A32-43D7-B996-448A2F8D0994}" presName="outerComposite" presStyleCnt="0">
        <dgm:presLayoutVars>
          <dgm:chMax val="5"/>
          <dgm:dir/>
          <dgm:resizeHandles val="exact"/>
        </dgm:presLayoutVars>
      </dgm:prSet>
      <dgm:spPr/>
    </dgm:pt>
    <dgm:pt modelId="{6FAAFB99-0B06-4719-955A-4CA664655B2D}" type="pres">
      <dgm:prSet presAssocID="{AED954F9-4A32-43D7-B996-448A2F8D0994}" presName="dummyMaxCanvas" presStyleCnt="0">
        <dgm:presLayoutVars/>
      </dgm:prSet>
      <dgm:spPr/>
    </dgm:pt>
    <dgm:pt modelId="{7A6F0A6F-BB77-448C-B14E-17DD5991BA5E}" type="pres">
      <dgm:prSet presAssocID="{AED954F9-4A32-43D7-B996-448A2F8D0994}" presName="ThreeNodes_1" presStyleLbl="node1" presStyleIdx="0" presStyleCnt="3">
        <dgm:presLayoutVars>
          <dgm:bulletEnabled val="1"/>
        </dgm:presLayoutVars>
      </dgm:prSet>
      <dgm:spPr/>
    </dgm:pt>
    <dgm:pt modelId="{FDD76680-9BD5-4B29-88C4-7610D484ED7F}" type="pres">
      <dgm:prSet presAssocID="{AED954F9-4A32-43D7-B996-448A2F8D0994}" presName="ThreeNodes_2" presStyleLbl="node1" presStyleIdx="1" presStyleCnt="3">
        <dgm:presLayoutVars>
          <dgm:bulletEnabled val="1"/>
        </dgm:presLayoutVars>
      </dgm:prSet>
      <dgm:spPr/>
    </dgm:pt>
    <dgm:pt modelId="{F3CD3139-994D-4CF0-BB4F-953FD6C0CE96}" type="pres">
      <dgm:prSet presAssocID="{AED954F9-4A32-43D7-B996-448A2F8D0994}" presName="ThreeNodes_3" presStyleLbl="node1" presStyleIdx="2" presStyleCnt="3">
        <dgm:presLayoutVars>
          <dgm:bulletEnabled val="1"/>
        </dgm:presLayoutVars>
      </dgm:prSet>
      <dgm:spPr/>
    </dgm:pt>
    <dgm:pt modelId="{CA210D15-7CCC-4C82-9408-3D43106FF74D}" type="pres">
      <dgm:prSet presAssocID="{AED954F9-4A32-43D7-B996-448A2F8D0994}" presName="ThreeConn_1-2" presStyleLbl="fgAccFollowNode1" presStyleIdx="0" presStyleCnt="2">
        <dgm:presLayoutVars>
          <dgm:bulletEnabled val="1"/>
        </dgm:presLayoutVars>
      </dgm:prSet>
      <dgm:spPr/>
    </dgm:pt>
    <dgm:pt modelId="{650C2C99-FC3F-4184-B80D-16AB5092954C}" type="pres">
      <dgm:prSet presAssocID="{AED954F9-4A32-43D7-B996-448A2F8D0994}" presName="ThreeConn_2-3" presStyleLbl="fgAccFollowNode1" presStyleIdx="1" presStyleCnt="2">
        <dgm:presLayoutVars>
          <dgm:bulletEnabled val="1"/>
        </dgm:presLayoutVars>
      </dgm:prSet>
      <dgm:spPr/>
    </dgm:pt>
    <dgm:pt modelId="{1F338E24-9EFF-4831-A547-EAA593415957}" type="pres">
      <dgm:prSet presAssocID="{AED954F9-4A32-43D7-B996-448A2F8D0994}" presName="ThreeNodes_1_text" presStyleLbl="node1" presStyleIdx="2" presStyleCnt="3">
        <dgm:presLayoutVars>
          <dgm:bulletEnabled val="1"/>
        </dgm:presLayoutVars>
      </dgm:prSet>
      <dgm:spPr/>
    </dgm:pt>
    <dgm:pt modelId="{D42763B5-0AA9-4B8D-A1CF-AA09B629705B}" type="pres">
      <dgm:prSet presAssocID="{AED954F9-4A32-43D7-B996-448A2F8D0994}" presName="ThreeNodes_2_text" presStyleLbl="node1" presStyleIdx="2" presStyleCnt="3">
        <dgm:presLayoutVars>
          <dgm:bulletEnabled val="1"/>
        </dgm:presLayoutVars>
      </dgm:prSet>
      <dgm:spPr/>
    </dgm:pt>
    <dgm:pt modelId="{5AEEBD17-6314-41AC-9FCC-B5E8A74D2059}" type="pres">
      <dgm:prSet presAssocID="{AED954F9-4A32-43D7-B996-448A2F8D0994}" presName="ThreeNodes_3_text" presStyleLbl="node1" presStyleIdx="2" presStyleCnt="3">
        <dgm:presLayoutVars>
          <dgm:bulletEnabled val="1"/>
        </dgm:presLayoutVars>
      </dgm:prSet>
      <dgm:spPr/>
    </dgm:pt>
  </dgm:ptLst>
  <dgm:cxnLst>
    <dgm:cxn modelId="{0FBED216-6D9D-459F-A7A6-71456D9B9E3E}" type="presOf" srcId="{3BF1788D-8FB0-4871-8063-3B652972ED33}" destId="{1F338E24-9EFF-4831-A547-EAA593415957}" srcOrd="1" destOrd="0" presId="urn:microsoft.com/office/officeart/2005/8/layout/vProcess5"/>
    <dgm:cxn modelId="{863C582D-8A65-41F8-8A95-BF24CD011D83}" type="presOf" srcId="{3BF1788D-8FB0-4871-8063-3B652972ED33}" destId="{7A6F0A6F-BB77-448C-B14E-17DD5991BA5E}" srcOrd="0" destOrd="0" presId="urn:microsoft.com/office/officeart/2005/8/layout/vProcess5"/>
    <dgm:cxn modelId="{E843F647-DB76-4B13-B9D8-A5B171034B4B}" srcId="{AED954F9-4A32-43D7-B996-448A2F8D0994}" destId="{3BF1788D-8FB0-4871-8063-3B652972ED33}" srcOrd="0" destOrd="0" parTransId="{74126FE2-ED95-4A47-A294-C4CA1DD056C2}" sibTransId="{91C034CA-3EBB-4C11-A875-08508F0921E2}"/>
    <dgm:cxn modelId="{9D1B3956-24C8-4517-969B-86B22515B2DB}" type="presOf" srcId="{E201ECF7-2301-4E51-BD18-909CF3AD3DD4}" destId="{F3CD3139-994D-4CF0-BB4F-953FD6C0CE96}" srcOrd="0" destOrd="0" presId="urn:microsoft.com/office/officeart/2005/8/layout/vProcess5"/>
    <dgm:cxn modelId="{27F8EF5A-82CF-473A-BD01-3B932FA811A5}" type="presOf" srcId="{6890E8CE-5765-40ED-A477-E43EE44EFCD5}" destId="{FDD76680-9BD5-4B29-88C4-7610D484ED7F}" srcOrd="0" destOrd="0" presId="urn:microsoft.com/office/officeart/2005/8/layout/vProcess5"/>
    <dgm:cxn modelId="{10890580-D2BB-4934-B84C-66628C8C33C7}" type="presOf" srcId="{91C034CA-3EBB-4C11-A875-08508F0921E2}" destId="{CA210D15-7CCC-4C82-9408-3D43106FF74D}" srcOrd="0" destOrd="0" presId="urn:microsoft.com/office/officeart/2005/8/layout/vProcess5"/>
    <dgm:cxn modelId="{6504968C-5158-41C9-8FC3-16861D1531B2}" srcId="{AED954F9-4A32-43D7-B996-448A2F8D0994}" destId="{6890E8CE-5765-40ED-A477-E43EE44EFCD5}" srcOrd="1" destOrd="0" parTransId="{CB56DB39-CDD4-4205-A630-4014862F71E7}" sibTransId="{4A550190-1F28-4003-BB9B-81901C005CBA}"/>
    <dgm:cxn modelId="{547FA8B5-5497-48EA-9DEA-1DFABBA1B923}" type="presOf" srcId="{AED954F9-4A32-43D7-B996-448A2F8D0994}" destId="{5775238C-010C-49BC-9C6C-A0069D1A3548}" srcOrd="0" destOrd="0" presId="urn:microsoft.com/office/officeart/2005/8/layout/vProcess5"/>
    <dgm:cxn modelId="{4DD76FCA-7FCC-4ACC-B308-8C3EAC3D275A}" type="presOf" srcId="{4A550190-1F28-4003-BB9B-81901C005CBA}" destId="{650C2C99-FC3F-4184-B80D-16AB5092954C}" srcOrd="0" destOrd="0" presId="urn:microsoft.com/office/officeart/2005/8/layout/vProcess5"/>
    <dgm:cxn modelId="{26B4EACB-7A02-4BCD-94F9-58E9D3F21612}" type="presOf" srcId="{E201ECF7-2301-4E51-BD18-909CF3AD3DD4}" destId="{5AEEBD17-6314-41AC-9FCC-B5E8A74D2059}" srcOrd="1" destOrd="0" presId="urn:microsoft.com/office/officeart/2005/8/layout/vProcess5"/>
    <dgm:cxn modelId="{0A084DD7-BDFD-486B-A21A-B961B5F8BB53}" srcId="{AED954F9-4A32-43D7-B996-448A2F8D0994}" destId="{E201ECF7-2301-4E51-BD18-909CF3AD3DD4}" srcOrd="2" destOrd="0" parTransId="{683064C2-0DF1-4211-860C-4D4CA751D2ED}" sibTransId="{301302FC-7B01-47C0-97B4-5A7EE7766364}"/>
    <dgm:cxn modelId="{004789D8-D33E-4520-809F-EE26100E2ACF}" type="presOf" srcId="{6890E8CE-5765-40ED-A477-E43EE44EFCD5}" destId="{D42763B5-0AA9-4B8D-A1CF-AA09B629705B}" srcOrd="1" destOrd="0" presId="urn:microsoft.com/office/officeart/2005/8/layout/vProcess5"/>
    <dgm:cxn modelId="{0AF9CCCF-295F-49CA-9558-4EE0E9696015}" type="presParOf" srcId="{5775238C-010C-49BC-9C6C-A0069D1A3548}" destId="{6FAAFB99-0B06-4719-955A-4CA664655B2D}" srcOrd="0" destOrd="0" presId="urn:microsoft.com/office/officeart/2005/8/layout/vProcess5"/>
    <dgm:cxn modelId="{84EFAB78-2873-4E83-B4CC-85F22276B169}" type="presParOf" srcId="{5775238C-010C-49BC-9C6C-A0069D1A3548}" destId="{7A6F0A6F-BB77-448C-B14E-17DD5991BA5E}" srcOrd="1" destOrd="0" presId="urn:microsoft.com/office/officeart/2005/8/layout/vProcess5"/>
    <dgm:cxn modelId="{B64300E8-C4BA-44E7-A19E-772C1E9FA95C}" type="presParOf" srcId="{5775238C-010C-49BC-9C6C-A0069D1A3548}" destId="{FDD76680-9BD5-4B29-88C4-7610D484ED7F}" srcOrd="2" destOrd="0" presId="urn:microsoft.com/office/officeart/2005/8/layout/vProcess5"/>
    <dgm:cxn modelId="{2B030086-89CF-4C4D-B82B-430D3F840490}" type="presParOf" srcId="{5775238C-010C-49BC-9C6C-A0069D1A3548}" destId="{F3CD3139-994D-4CF0-BB4F-953FD6C0CE96}" srcOrd="3" destOrd="0" presId="urn:microsoft.com/office/officeart/2005/8/layout/vProcess5"/>
    <dgm:cxn modelId="{8E912F0F-1947-4155-B9EB-05D334E10B3E}" type="presParOf" srcId="{5775238C-010C-49BC-9C6C-A0069D1A3548}" destId="{CA210D15-7CCC-4C82-9408-3D43106FF74D}" srcOrd="4" destOrd="0" presId="urn:microsoft.com/office/officeart/2005/8/layout/vProcess5"/>
    <dgm:cxn modelId="{ACD35611-2C52-42D1-90F0-A84879F935DA}" type="presParOf" srcId="{5775238C-010C-49BC-9C6C-A0069D1A3548}" destId="{650C2C99-FC3F-4184-B80D-16AB5092954C}" srcOrd="5" destOrd="0" presId="urn:microsoft.com/office/officeart/2005/8/layout/vProcess5"/>
    <dgm:cxn modelId="{9337C632-9CFD-4327-AB1B-DCAD9C24565D}" type="presParOf" srcId="{5775238C-010C-49BC-9C6C-A0069D1A3548}" destId="{1F338E24-9EFF-4831-A547-EAA593415957}" srcOrd="6" destOrd="0" presId="urn:microsoft.com/office/officeart/2005/8/layout/vProcess5"/>
    <dgm:cxn modelId="{0D404037-BB27-44BB-9B99-6B82AC5C374F}" type="presParOf" srcId="{5775238C-010C-49BC-9C6C-A0069D1A3548}" destId="{D42763B5-0AA9-4B8D-A1CF-AA09B629705B}" srcOrd="7" destOrd="0" presId="urn:microsoft.com/office/officeart/2005/8/layout/vProcess5"/>
    <dgm:cxn modelId="{343FA5AC-1442-49DF-B008-2CD4B91D1DA2}" type="presParOf" srcId="{5775238C-010C-49BC-9C6C-A0069D1A3548}" destId="{5AEEBD17-6314-41AC-9FCC-B5E8A74D2059}" srcOrd="8" destOrd="0" presId="urn:microsoft.com/office/officeart/2005/8/layout/v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6F0A6F-BB77-448C-B14E-17DD5991BA5E}">
      <dsp:nvSpPr>
        <dsp:cNvPr id="0" name=""/>
        <dsp:cNvSpPr/>
      </dsp:nvSpPr>
      <dsp:spPr>
        <a:xfrm>
          <a:off x="0" y="0"/>
          <a:ext cx="4944110" cy="971550"/>
        </a:xfrm>
        <a:prstGeom prst="roundRect">
          <a:avLst>
            <a:gd name="adj" fmla="val 10000"/>
          </a:avLst>
        </a:prstGeom>
        <a:solidFill>
          <a:srgbClr val="2A0FC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kern="1200"/>
            <a:t>OPPORTUNITY</a:t>
          </a:r>
        </a:p>
        <a:p>
          <a:pPr marL="0" lvl="0" indent="0" algn="l" defTabSz="444500">
            <a:lnSpc>
              <a:spcPct val="90000"/>
            </a:lnSpc>
            <a:spcBef>
              <a:spcPct val="0"/>
            </a:spcBef>
            <a:spcAft>
              <a:spcPct val="35000"/>
            </a:spcAft>
            <a:buNone/>
          </a:pPr>
          <a:r>
            <a:rPr lang="en-US" sz="1000" kern="1200"/>
            <a:t>The Victorian Government is funding Enrolled Nurse Transition to Practice Program (ENTPP) in 2023-24 for Victorian public health services in rural and regional areas to help enrolled nurses with their learning and development in their first year of professional practice</a:t>
          </a:r>
          <a:endParaRPr lang="en-AU" sz="1000" kern="1200"/>
        </a:p>
      </dsp:txBody>
      <dsp:txXfrm>
        <a:off x="28456" y="28456"/>
        <a:ext cx="3895731" cy="914638"/>
      </dsp:txXfrm>
    </dsp:sp>
    <dsp:sp modelId="{FDD76680-9BD5-4B29-88C4-7610D484ED7F}">
      <dsp:nvSpPr>
        <dsp:cNvPr id="0" name=""/>
        <dsp:cNvSpPr/>
      </dsp:nvSpPr>
      <dsp:spPr>
        <a:xfrm>
          <a:off x="436244" y="1133474"/>
          <a:ext cx="4944110" cy="971550"/>
        </a:xfrm>
        <a:prstGeom prst="roundRect">
          <a:avLst>
            <a:gd name="adj" fmla="val 10000"/>
          </a:avLst>
        </a:prstGeom>
        <a:solidFill>
          <a:srgbClr val="2A0FC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AU" sz="1000" b="1" kern="1200"/>
            <a:t>KEY FACTS</a:t>
          </a:r>
        </a:p>
        <a:p>
          <a:pPr marL="0" lvl="0" indent="0" algn="l" defTabSz="444500">
            <a:lnSpc>
              <a:spcPct val="90000"/>
            </a:lnSpc>
            <a:spcBef>
              <a:spcPct val="0"/>
            </a:spcBef>
            <a:spcAft>
              <a:spcPct val="35000"/>
            </a:spcAft>
            <a:buNone/>
          </a:pPr>
          <a:r>
            <a:rPr lang="en-AU" sz="1000" kern="1200"/>
            <a:t>$21,750 per position for health services (not to individuals)</a:t>
          </a:r>
        </a:p>
        <a:p>
          <a:pPr marL="0" lvl="0" indent="0" algn="l" defTabSz="444500">
            <a:lnSpc>
              <a:spcPct val="90000"/>
            </a:lnSpc>
            <a:spcBef>
              <a:spcPct val="0"/>
            </a:spcBef>
            <a:spcAft>
              <a:spcPct val="35000"/>
            </a:spcAft>
            <a:buNone/>
          </a:pPr>
          <a:r>
            <a:rPr lang="en-AU" sz="1000" kern="1200"/>
            <a:t>100% of funding will be allocated to rural/regional areas</a:t>
          </a:r>
        </a:p>
        <a:p>
          <a:pPr marL="0" lvl="0" indent="0" algn="l" defTabSz="444500">
            <a:lnSpc>
              <a:spcPct val="90000"/>
            </a:lnSpc>
            <a:spcBef>
              <a:spcPct val="0"/>
            </a:spcBef>
            <a:spcAft>
              <a:spcPct val="35000"/>
            </a:spcAft>
            <a:buNone/>
          </a:pPr>
          <a:r>
            <a:rPr lang="en-AU" sz="1000" kern="1200"/>
            <a:t>17 places per rural health consortia</a:t>
          </a:r>
        </a:p>
      </dsp:txBody>
      <dsp:txXfrm>
        <a:off x="464700" y="1161930"/>
        <a:ext cx="3819445" cy="914638"/>
      </dsp:txXfrm>
    </dsp:sp>
    <dsp:sp modelId="{F3CD3139-994D-4CF0-BB4F-953FD6C0CE96}">
      <dsp:nvSpPr>
        <dsp:cNvPr id="0" name=""/>
        <dsp:cNvSpPr/>
      </dsp:nvSpPr>
      <dsp:spPr>
        <a:xfrm>
          <a:off x="872489" y="2266949"/>
          <a:ext cx="4944110" cy="971550"/>
        </a:xfrm>
        <a:prstGeom prst="roundRect">
          <a:avLst>
            <a:gd name="adj" fmla="val 10000"/>
          </a:avLst>
        </a:prstGeom>
        <a:solidFill>
          <a:srgbClr val="2A0FC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AU" sz="1000" b="1" kern="1200"/>
            <a:t>KEY DATES</a:t>
          </a:r>
        </a:p>
        <a:p>
          <a:pPr marL="0" lvl="0" indent="0" algn="l" defTabSz="444500">
            <a:lnSpc>
              <a:spcPct val="90000"/>
            </a:lnSpc>
            <a:spcBef>
              <a:spcPct val="0"/>
            </a:spcBef>
            <a:spcAft>
              <a:spcPct val="35000"/>
            </a:spcAft>
            <a:buNone/>
          </a:pPr>
          <a:r>
            <a:rPr lang="en-AU" sz="1000" kern="1200"/>
            <a:t>Monday 30 October 2023 - Applications open</a:t>
          </a:r>
        </a:p>
        <a:p>
          <a:pPr marL="0" lvl="0" indent="0" algn="l" defTabSz="444500">
            <a:lnSpc>
              <a:spcPct val="90000"/>
            </a:lnSpc>
            <a:spcBef>
              <a:spcPct val="0"/>
            </a:spcBef>
            <a:spcAft>
              <a:spcPct val="35000"/>
            </a:spcAft>
            <a:buNone/>
          </a:pPr>
          <a:r>
            <a:rPr lang="en-AU" sz="1000" kern="1200"/>
            <a:t>Friday 15 December 2023 - Applications close</a:t>
          </a:r>
        </a:p>
      </dsp:txBody>
      <dsp:txXfrm>
        <a:off x="900945" y="2295405"/>
        <a:ext cx="3819445" cy="914638"/>
      </dsp:txXfrm>
    </dsp:sp>
    <dsp:sp modelId="{CA210D15-7CCC-4C82-9408-3D43106FF74D}">
      <dsp:nvSpPr>
        <dsp:cNvPr id="0" name=""/>
        <dsp:cNvSpPr/>
      </dsp:nvSpPr>
      <dsp:spPr>
        <a:xfrm>
          <a:off x="4312602" y="736758"/>
          <a:ext cx="631507" cy="631507"/>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endParaRPr lang="en-AU" sz="2800" kern="1200"/>
        </a:p>
      </dsp:txBody>
      <dsp:txXfrm>
        <a:off x="4454691" y="736758"/>
        <a:ext cx="347329" cy="475209"/>
      </dsp:txXfrm>
    </dsp:sp>
    <dsp:sp modelId="{650C2C99-FC3F-4184-B80D-16AB5092954C}">
      <dsp:nvSpPr>
        <dsp:cNvPr id="0" name=""/>
        <dsp:cNvSpPr/>
      </dsp:nvSpPr>
      <dsp:spPr>
        <a:xfrm>
          <a:off x="4748847" y="1863756"/>
          <a:ext cx="631507" cy="631507"/>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endParaRPr lang="en-AU" sz="2800" kern="1200"/>
        </a:p>
      </dsp:txBody>
      <dsp:txXfrm>
        <a:off x="4890936" y="1863756"/>
        <a:ext cx="347329" cy="475209"/>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1956</Words>
  <Characters>13219</Characters>
  <Application>Microsoft Office Word</Application>
  <DocSecurity>4</DocSecurity>
  <Lines>528</Lines>
  <Paragraphs>223</Paragraphs>
  <ScaleCrop>false</ScaleCrop>
  <HeadingPairs>
    <vt:vector size="2" baseType="variant">
      <vt:variant>
        <vt:lpstr>Title</vt:lpstr>
      </vt:variant>
      <vt:variant>
        <vt:i4>1</vt:i4>
      </vt:variant>
    </vt:vector>
  </HeadingPairs>
  <TitlesOfParts>
    <vt:vector size="1" baseType="lpstr">
      <vt:lpstr>Funding Guidelines and Information Enrolled Nurse Transition to Practice 2023-24</vt:lpstr>
    </vt:vector>
  </TitlesOfParts>
  <Manager/>
  <Company>Victoria State Government, Department of Health</Company>
  <LinksUpToDate>false</LinksUpToDate>
  <CharactersWithSpaces>14952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Guidelines and Information Enrolled Nurse Transition to Practice 2023-24</dc:title>
  <dc:subject>2023-24 Funding Guidelines and information 2023-24</dc:subject>
  <dc:creator>nmw@dhhs.vic.gov.au</dc:creator>
  <cp:keywords/>
  <dc:description/>
  <cp:lastModifiedBy>Caroline Hardy (Health)</cp:lastModifiedBy>
  <cp:revision>2</cp:revision>
  <cp:lastPrinted>2020-03-30T03:28:00Z</cp:lastPrinted>
  <dcterms:created xsi:type="dcterms:W3CDTF">2023-11-14T05:55:00Z</dcterms:created>
  <dcterms:modified xsi:type="dcterms:W3CDTF">2023-11-14T05:55:00Z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2023-11-14T05:47:46Z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3716ce78-7889-4a8e-8667-164703a99b68</vt:lpwstr>
  </property>
  <property fmtid="{D5CDD505-2E9C-101B-9397-08002B2CF9AE}" pid="11" name="MSIP_Label_43e64453-338c-4f93-8a4d-0039a0a41f2a_ContentBits">
    <vt:lpwstr>2</vt:lpwstr>
  </property>
</Properties>
</file>