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A85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A8E1110" wp14:editId="27316B6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37FB3C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7DAA304" w14:textId="77777777" w:rsidTr="00B07FF7">
        <w:trPr>
          <w:trHeight w:val="622"/>
        </w:trPr>
        <w:tc>
          <w:tcPr>
            <w:tcW w:w="10348" w:type="dxa"/>
            <w:tcMar>
              <w:top w:w="1531" w:type="dxa"/>
              <w:left w:w="0" w:type="dxa"/>
              <w:right w:w="0" w:type="dxa"/>
            </w:tcMar>
          </w:tcPr>
          <w:p w14:paraId="4521AC45" w14:textId="766CAA96" w:rsidR="003B5733" w:rsidRPr="003B5733" w:rsidRDefault="003E3383" w:rsidP="003B5733">
            <w:pPr>
              <w:pStyle w:val="Documenttitle"/>
            </w:pPr>
            <w:r>
              <w:t xml:space="preserve">Secretary Approval: </w:t>
            </w:r>
            <w:r w:rsidR="00D10BFB">
              <w:t xml:space="preserve">Community </w:t>
            </w:r>
            <w:r>
              <w:t xml:space="preserve">Pharmacist </w:t>
            </w:r>
            <w:r w:rsidR="00D10BFB">
              <w:t>Statewide Pilot</w:t>
            </w:r>
          </w:p>
        </w:tc>
      </w:tr>
      <w:tr w:rsidR="003E3383" w14:paraId="4EF6FD76" w14:textId="77777777" w:rsidTr="00B07FF7">
        <w:tc>
          <w:tcPr>
            <w:tcW w:w="10348" w:type="dxa"/>
          </w:tcPr>
          <w:p w14:paraId="235389BD" w14:textId="77777777" w:rsidR="003E3383" w:rsidRDefault="003E3383" w:rsidP="003E3383">
            <w:pPr>
              <w:pStyle w:val="Documentsubtitle"/>
              <w:jc w:val="center"/>
              <w:rPr>
                <w:rFonts w:cs="Arial"/>
                <w:color w:val="auto"/>
              </w:rPr>
            </w:pPr>
          </w:p>
          <w:p w14:paraId="79895EEA" w14:textId="1483E777" w:rsidR="003E3383" w:rsidRPr="003E3383" w:rsidRDefault="003E3383" w:rsidP="003E3383">
            <w:pPr>
              <w:pStyle w:val="Documentsubtitle"/>
              <w:jc w:val="center"/>
              <w:rPr>
                <w:rFonts w:cs="Arial"/>
                <w:color w:val="auto"/>
              </w:rPr>
            </w:pPr>
            <w:r w:rsidRPr="003E3383">
              <w:rPr>
                <w:rFonts w:cs="Arial"/>
                <w:color w:val="auto"/>
              </w:rPr>
              <w:t>DRUGS, POISONS AND CONTROLLED SUBSTANCES REGULATIONS 2017</w:t>
            </w:r>
          </w:p>
          <w:p w14:paraId="2A9F885A" w14:textId="14A4ECBD" w:rsidR="003E3383" w:rsidRPr="00FA2CFB" w:rsidRDefault="003E3383" w:rsidP="003E3383">
            <w:pPr>
              <w:pStyle w:val="Documentsubtitle"/>
              <w:jc w:val="center"/>
              <w:rPr>
                <w:rFonts w:cs="Arial"/>
                <w:color w:val="auto"/>
              </w:rPr>
            </w:pPr>
            <w:r>
              <w:rPr>
                <w:rFonts w:cs="Arial"/>
                <w:color w:val="auto"/>
              </w:rPr>
              <w:t xml:space="preserve">Approval under </w:t>
            </w:r>
            <w:r w:rsidR="004A0179">
              <w:rPr>
                <w:rFonts w:cs="Arial"/>
                <w:color w:val="auto"/>
              </w:rPr>
              <w:t>r</w:t>
            </w:r>
            <w:r>
              <w:rPr>
                <w:rFonts w:cs="Arial"/>
                <w:color w:val="auto"/>
              </w:rPr>
              <w:t>egulation 163</w:t>
            </w:r>
            <w:r w:rsidR="00C30587">
              <w:rPr>
                <w:rFonts w:cs="Arial"/>
                <w:color w:val="auto"/>
              </w:rPr>
              <w:t>A</w:t>
            </w:r>
          </w:p>
          <w:p w14:paraId="59ACA306" w14:textId="360E71B7" w:rsidR="003E3383" w:rsidRPr="00A1389F" w:rsidRDefault="003E3383" w:rsidP="003E3383">
            <w:pPr>
              <w:pStyle w:val="Documentsubtitle"/>
            </w:pPr>
          </w:p>
        </w:tc>
      </w:tr>
    </w:tbl>
    <w:p w14:paraId="28A769F5" w14:textId="2260F0FF" w:rsidR="000021F9" w:rsidRDefault="003E3383" w:rsidP="003E3383">
      <w:pPr>
        <w:autoSpaceDE w:val="0"/>
        <w:autoSpaceDN w:val="0"/>
        <w:adjustRightInd w:val="0"/>
        <w:spacing w:after="120" w:line="240" w:lineRule="auto"/>
        <w:rPr>
          <w:rFonts w:ascii="Arial" w:eastAsia="Times" w:hAnsi="Arial" w:cs="Times New Roman"/>
          <w:sz w:val="21"/>
          <w:szCs w:val="21"/>
        </w:rPr>
      </w:pPr>
      <w:r w:rsidRPr="00385A80">
        <w:rPr>
          <w:rFonts w:ascii="Arial" w:eastAsia="Times" w:hAnsi="Arial" w:cs="Times New Roman"/>
          <w:sz w:val="21"/>
          <w:szCs w:val="21"/>
        </w:rPr>
        <w:t xml:space="preserve">Pursuant to </w:t>
      </w:r>
      <w:r w:rsidR="00BC4FCD">
        <w:rPr>
          <w:rFonts w:ascii="Arial" w:eastAsia="Times" w:hAnsi="Arial" w:cs="Times New Roman"/>
          <w:sz w:val="21"/>
          <w:szCs w:val="21"/>
        </w:rPr>
        <w:t>r</w:t>
      </w:r>
      <w:r w:rsidRPr="00385A80">
        <w:rPr>
          <w:rFonts w:ascii="Arial" w:eastAsia="Times" w:hAnsi="Arial" w:cs="Times New Roman"/>
          <w:sz w:val="21"/>
          <w:szCs w:val="21"/>
        </w:rPr>
        <w:t>egulation 163</w:t>
      </w:r>
      <w:r w:rsidR="003E248F">
        <w:rPr>
          <w:rFonts w:ascii="Arial" w:eastAsia="Times" w:hAnsi="Arial" w:cs="Times New Roman"/>
          <w:sz w:val="21"/>
          <w:szCs w:val="21"/>
        </w:rPr>
        <w:t>A</w:t>
      </w:r>
      <w:r w:rsidRPr="00385A80">
        <w:rPr>
          <w:rFonts w:ascii="Arial" w:eastAsia="Times" w:hAnsi="Arial" w:cs="Times New Roman"/>
          <w:sz w:val="21"/>
          <w:szCs w:val="21"/>
        </w:rPr>
        <w:t xml:space="preserve"> of the Drugs, Poisons and Controlled Substances Regulations 2017</w:t>
      </w:r>
      <w:r w:rsidR="004A0179">
        <w:rPr>
          <w:rFonts w:ascii="Arial" w:eastAsia="Times" w:hAnsi="Arial" w:cs="Times New Roman"/>
          <w:sz w:val="21"/>
          <w:szCs w:val="21"/>
        </w:rPr>
        <w:t xml:space="preserve"> (the Regulations)</w:t>
      </w:r>
      <w:r w:rsidRPr="00385A80">
        <w:rPr>
          <w:rFonts w:ascii="Arial" w:eastAsia="Times" w:hAnsi="Arial" w:cs="Times New Roman"/>
          <w:sz w:val="21"/>
          <w:szCs w:val="21"/>
        </w:rPr>
        <w:t xml:space="preserve">, I, </w:t>
      </w:r>
      <w:r w:rsidR="00E743E2" w:rsidRPr="002F1F75">
        <w:rPr>
          <w:rFonts w:ascii="Arial" w:eastAsia="Times" w:hAnsi="Arial" w:cs="Times New Roman"/>
          <w:b/>
          <w:bCs/>
          <w:sz w:val="21"/>
          <w:szCs w:val="21"/>
        </w:rPr>
        <w:t xml:space="preserve">Professor </w:t>
      </w:r>
      <w:r w:rsidR="00716C8D" w:rsidRPr="002F1F75">
        <w:rPr>
          <w:rFonts w:ascii="Arial" w:eastAsia="Times" w:hAnsi="Arial" w:cs="Times New Roman"/>
          <w:b/>
          <w:bCs/>
          <w:sz w:val="21"/>
          <w:szCs w:val="21"/>
        </w:rPr>
        <w:t xml:space="preserve">Euan </w:t>
      </w:r>
      <w:r w:rsidR="00E743E2" w:rsidRPr="002F1F75">
        <w:rPr>
          <w:rFonts w:ascii="Arial" w:eastAsia="Times" w:hAnsi="Arial" w:cs="Times New Roman"/>
          <w:b/>
          <w:bCs/>
          <w:sz w:val="21"/>
          <w:szCs w:val="21"/>
        </w:rPr>
        <w:t>M Wallace AM</w:t>
      </w:r>
      <w:r w:rsidR="00716C8D">
        <w:rPr>
          <w:rFonts w:ascii="Arial" w:eastAsia="Times" w:hAnsi="Arial" w:cs="Times New Roman"/>
          <w:sz w:val="21"/>
          <w:szCs w:val="21"/>
        </w:rPr>
        <w:t xml:space="preserve">, </w:t>
      </w:r>
      <w:r w:rsidRPr="00385A80">
        <w:rPr>
          <w:rFonts w:ascii="Arial" w:eastAsia="Times" w:hAnsi="Arial" w:cs="Times New Roman"/>
          <w:sz w:val="21"/>
          <w:szCs w:val="21"/>
        </w:rPr>
        <w:t>Secretary</w:t>
      </w:r>
      <w:r w:rsidR="00E743E2">
        <w:rPr>
          <w:rFonts w:ascii="Arial" w:eastAsia="Times" w:hAnsi="Arial" w:cs="Times New Roman"/>
          <w:sz w:val="21"/>
          <w:szCs w:val="21"/>
        </w:rPr>
        <w:t xml:space="preserve"> to the </w:t>
      </w:r>
      <w:r w:rsidRPr="00385A80">
        <w:rPr>
          <w:rFonts w:ascii="Arial" w:eastAsia="Times" w:hAnsi="Arial" w:cs="Times New Roman"/>
          <w:sz w:val="21"/>
          <w:szCs w:val="21"/>
        </w:rPr>
        <w:t>Department of Health, hereby approve</w:t>
      </w:r>
      <w:r w:rsidR="00695CD1">
        <w:rPr>
          <w:rFonts w:ascii="Arial" w:eastAsia="Times" w:hAnsi="Arial" w:cs="Times New Roman"/>
          <w:sz w:val="21"/>
          <w:szCs w:val="21"/>
        </w:rPr>
        <w:t xml:space="preserve"> in respect of pharmacists participating in the Community Pharmacist Statewide Pilot</w:t>
      </w:r>
      <w:r w:rsidR="000021F9">
        <w:rPr>
          <w:rFonts w:ascii="Arial" w:eastAsia="Times" w:hAnsi="Arial" w:cs="Times New Roman"/>
          <w:sz w:val="21"/>
          <w:szCs w:val="21"/>
        </w:rPr>
        <w:t>:</w:t>
      </w:r>
    </w:p>
    <w:p w14:paraId="3F6AF95A" w14:textId="27CAEB95" w:rsidR="003E3383" w:rsidRPr="00470166" w:rsidRDefault="003E3383">
      <w:pPr>
        <w:pStyle w:val="ListParagraph"/>
        <w:numPr>
          <w:ilvl w:val="0"/>
          <w:numId w:val="14"/>
        </w:numPr>
        <w:autoSpaceDE w:val="0"/>
        <w:autoSpaceDN w:val="0"/>
        <w:adjustRightInd w:val="0"/>
        <w:spacing w:after="120" w:line="240" w:lineRule="auto"/>
        <w:rPr>
          <w:rFonts w:ascii="Arial" w:eastAsia="Times" w:hAnsi="Arial" w:cs="Times New Roman"/>
          <w:sz w:val="21"/>
          <w:szCs w:val="21"/>
        </w:rPr>
      </w:pPr>
      <w:r w:rsidRPr="00F1411B">
        <w:rPr>
          <w:rFonts w:ascii="Arial" w:eastAsia="Times" w:hAnsi="Arial" w:cs="Times New Roman"/>
          <w:sz w:val="21"/>
          <w:szCs w:val="21"/>
        </w:rPr>
        <w:t xml:space="preserve">the Schedule 4 poisons listed </w:t>
      </w:r>
      <w:r w:rsidR="000021F9" w:rsidRPr="00F1411B">
        <w:rPr>
          <w:rFonts w:ascii="Arial" w:eastAsia="Times" w:hAnsi="Arial" w:cs="Times New Roman"/>
          <w:sz w:val="21"/>
          <w:szCs w:val="21"/>
        </w:rPr>
        <w:t>in Appendix 1</w:t>
      </w:r>
      <w:r w:rsidR="000021F9">
        <w:rPr>
          <w:rFonts w:ascii="Arial" w:eastAsia="Times" w:hAnsi="Arial" w:cs="Times New Roman"/>
          <w:sz w:val="21"/>
          <w:szCs w:val="21"/>
        </w:rPr>
        <w:t xml:space="preserve"> </w:t>
      </w:r>
      <w:r w:rsidRPr="00F1411B">
        <w:rPr>
          <w:rFonts w:ascii="Arial" w:eastAsia="Times" w:hAnsi="Arial" w:cs="Times New Roman"/>
          <w:sz w:val="21"/>
          <w:szCs w:val="21"/>
        </w:rPr>
        <w:t xml:space="preserve">for </w:t>
      </w:r>
      <w:r w:rsidR="00695CD1">
        <w:rPr>
          <w:rFonts w:ascii="Arial" w:eastAsia="Times" w:hAnsi="Arial" w:cs="Times New Roman"/>
          <w:sz w:val="21"/>
          <w:szCs w:val="21"/>
        </w:rPr>
        <w:t>supply and sale</w:t>
      </w:r>
      <w:r w:rsidR="00DE4E81">
        <w:rPr>
          <w:rFonts w:ascii="Arial" w:eastAsia="Times" w:hAnsi="Arial" w:cs="Times New Roman"/>
          <w:sz w:val="21"/>
          <w:szCs w:val="21"/>
        </w:rPr>
        <w:t xml:space="preserve"> for the treatment of a suspected </w:t>
      </w:r>
      <w:r w:rsidR="00695CD1">
        <w:rPr>
          <w:rFonts w:ascii="Arial" w:eastAsia="Times" w:hAnsi="Arial" w:cs="Times New Roman"/>
          <w:sz w:val="21"/>
          <w:szCs w:val="21"/>
        </w:rPr>
        <w:t>urinary tra</w:t>
      </w:r>
      <w:r w:rsidR="00CE75A6">
        <w:rPr>
          <w:rFonts w:ascii="Arial" w:eastAsia="Times" w:hAnsi="Arial" w:cs="Times New Roman"/>
          <w:sz w:val="21"/>
          <w:szCs w:val="21"/>
        </w:rPr>
        <w:t>c</w:t>
      </w:r>
      <w:r w:rsidR="00695CD1">
        <w:rPr>
          <w:rFonts w:ascii="Arial" w:eastAsia="Times" w:hAnsi="Arial" w:cs="Times New Roman"/>
          <w:sz w:val="21"/>
          <w:szCs w:val="21"/>
        </w:rPr>
        <w:t>t infection</w:t>
      </w:r>
      <w:r w:rsidR="00DE4E81">
        <w:rPr>
          <w:rFonts w:ascii="Arial" w:eastAsia="Times" w:hAnsi="Arial" w:cs="Times New Roman"/>
          <w:sz w:val="21"/>
          <w:szCs w:val="21"/>
        </w:rPr>
        <w:t xml:space="preserve"> </w:t>
      </w:r>
      <w:r w:rsidR="00695CD1">
        <w:rPr>
          <w:rFonts w:ascii="Arial" w:eastAsia="Times" w:hAnsi="Arial" w:cs="Times New Roman"/>
          <w:sz w:val="21"/>
          <w:szCs w:val="21"/>
        </w:rPr>
        <w:t>(UTI)</w:t>
      </w:r>
      <w:r w:rsidR="00DE4E81">
        <w:rPr>
          <w:rFonts w:ascii="Arial" w:eastAsia="Times" w:hAnsi="Arial" w:cs="Times New Roman"/>
          <w:sz w:val="21"/>
          <w:szCs w:val="21"/>
        </w:rPr>
        <w:t xml:space="preserve"> to a person under the pharmacist’s care without a prescription or other instruction or authorisation</w:t>
      </w:r>
      <w:r w:rsidR="008505F7">
        <w:rPr>
          <w:rFonts w:ascii="Arial" w:eastAsia="Times" w:hAnsi="Arial" w:cs="Times New Roman"/>
          <w:sz w:val="21"/>
          <w:szCs w:val="21"/>
        </w:rPr>
        <w:t xml:space="preserve"> from a registered medical practitioner, dentist, nurse practitioner</w:t>
      </w:r>
      <w:r w:rsidR="000763C0">
        <w:rPr>
          <w:rFonts w:ascii="Arial" w:eastAsia="Times" w:hAnsi="Arial" w:cs="Times New Roman"/>
          <w:sz w:val="21"/>
          <w:szCs w:val="21"/>
        </w:rPr>
        <w:t>,</w:t>
      </w:r>
      <w:r w:rsidR="008505F7">
        <w:rPr>
          <w:rFonts w:ascii="Arial" w:eastAsia="Times" w:hAnsi="Arial" w:cs="Times New Roman"/>
          <w:sz w:val="21"/>
          <w:szCs w:val="21"/>
        </w:rPr>
        <w:t xml:space="preserve"> authorised midwife</w:t>
      </w:r>
      <w:r w:rsidR="000D2DB0">
        <w:rPr>
          <w:rFonts w:ascii="Arial" w:eastAsia="Times" w:hAnsi="Arial" w:cs="Times New Roman"/>
          <w:sz w:val="21"/>
          <w:szCs w:val="21"/>
        </w:rPr>
        <w:t>, authorised optometrist or authorised podiatrist</w:t>
      </w:r>
      <w:r w:rsidR="00695CD1">
        <w:rPr>
          <w:rFonts w:ascii="Arial" w:eastAsia="Times" w:hAnsi="Arial" w:cs="Times New Roman"/>
          <w:sz w:val="21"/>
          <w:szCs w:val="21"/>
        </w:rPr>
        <w:t>; and</w:t>
      </w:r>
    </w:p>
    <w:p w14:paraId="30416C9F" w14:textId="77777777" w:rsidR="000021F9" w:rsidRPr="00470166" w:rsidRDefault="000021F9" w:rsidP="00F1411B">
      <w:pPr>
        <w:pStyle w:val="ListParagraph"/>
        <w:autoSpaceDE w:val="0"/>
        <w:autoSpaceDN w:val="0"/>
        <w:adjustRightInd w:val="0"/>
        <w:spacing w:after="120" w:line="240" w:lineRule="auto"/>
        <w:rPr>
          <w:rFonts w:ascii="Arial" w:eastAsia="Times" w:hAnsi="Arial" w:cs="Times New Roman"/>
          <w:sz w:val="21"/>
          <w:szCs w:val="21"/>
        </w:rPr>
      </w:pPr>
    </w:p>
    <w:p w14:paraId="6F722729" w14:textId="2B2DADDA" w:rsidR="007034CC" w:rsidRDefault="000021F9">
      <w:pPr>
        <w:pStyle w:val="ListParagraph"/>
        <w:numPr>
          <w:ilvl w:val="0"/>
          <w:numId w:val="14"/>
        </w:numPr>
        <w:autoSpaceDE w:val="0"/>
        <w:autoSpaceDN w:val="0"/>
        <w:adjustRightInd w:val="0"/>
        <w:spacing w:after="120" w:line="240" w:lineRule="auto"/>
        <w:rPr>
          <w:rFonts w:ascii="Arial" w:eastAsia="Times" w:hAnsi="Arial" w:cs="Times New Roman"/>
          <w:sz w:val="21"/>
          <w:szCs w:val="21"/>
        </w:rPr>
      </w:pPr>
      <w:r w:rsidRPr="00470166">
        <w:rPr>
          <w:rFonts w:ascii="Arial" w:eastAsia="Times" w:hAnsi="Arial" w:cs="Times New Roman"/>
          <w:sz w:val="21"/>
          <w:szCs w:val="21"/>
        </w:rPr>
        <w:t>the Schedule 4 poison</w:t>
      </w:r>
      <w:r w:rsidR="00695CD1">
        <w:rPr>
          <w:rFonts w:ascii="Arial" w:eastAsia="Times" w:hAnsi="Arial" w:cs="Times New Roman"/>
          <w:sz w:val="21"/>
          <w:szCs w:val="21"/>
        </w:rPr>
        <w:t>s</w:t>
      </w:r>
      <w:r w:rsidRPr="00470166">
        <w:rPr>
          <w:rFonts w:ascii="Arial" w:eastAsia="Times" w:hAnsi="Arial" w:cs="Times New Roman"/>
          <w:sz w:val="21"/>
          <w:szCs w:val="21"/>
        </w:rPr>
        <w:t xml:space="preserve"> listed in Appendix 2 for </w:t>
      </w:r>
      <w:r w:rsidR="00695CD1">
        <w:rPr>
          <w:rFonts w:ascii="Arial" w:eastAsia="Times" w:hAnsi="Arial" w:cs="Times New Roman"/>
          <w:sz w:val="21"/>
          <w:szCs w:val="21"/>
        </w:rPr>
        <w:t xml:space="preserve">supply and sale </w:t>
      </w:r>
      <w:r w:rsidR="00CE75A6">
        <w:rPr>
          <w:rFonts w:ascii="Arial" w:eastAsia="Times" w:hAnsi="Arial" w:cs="Times New Roman"/>
          <w:sz w:val="21"/>
          <w:szCs w:val="21"/>
        </w:rPr>
        <w:t xml:space="preserve">of oral contraceptive pills </w:t>
      </w:r>
      <w:r w:rsidR="00DE4E81">
        <w:rPr>
          <w:rFonts w:ascii="Arial" w:eastAsia="Times" w:hAnsi="Arial" w:cs="Times New Roman"/>
          <w:sz w:val="21"/>
          <w:szCs w:val="21"/>
        </w:rPr>
        <w:t>to a person under the pharmacist’s care without a prescription or other instruction or authorisation</w:t>
      </w:r>
      <w:r w:rsidR="008505F7" w:rsidRPr="008505F7">
        <w:rPr>
          <w:rFonts w:ascii="Arial" w:eastAsia="Times" w:hAnsi="Arial" w:cs="Times New Roman"/>
          <w:sz w:val="21"/>
          <w:szCs w:val="21"/>
        </w:rPr>
        <w:t xml:space="preserve"> </w:t>
      </w:r>
      <w:r w:rsidR="008505F7">
        <w:rPr>
          <w:rFonts w:ascii="Arial" w:eastAsia="Times" w:hAnsi="Arial" w:cs="Times New Roman"/>
          <w:sz w:val="21"/>
          <w:szCs w:val="21"/>
        </w:rPr>
        <w:t>from a registered medical practitioner, dentist, nurse practitioner</w:t>
      </w:r>
      <w:r w:rsidR="000D2DB0">
        <w:rPr>
          <w:rFonts w:ascii="Arial" w:eastAsia="Times" w:hAnsi="Arial" w:cs="Times New Roman"/>
          <w:sz w:val="21"/>
          <w:szCs w:val="21"/>
        </w:rPr>
        <w:t>,</w:t>
      </w:r>
      <w:r w:rsidR="008505F7">
        <w:rPr>
          <w:rFonts w:ascii="Arial" w:eastAsia="Times" w:hAnsi="Arial" w:cs="Times New Roman"/>
          <w:sz w:val="21"/>
          <w:szCs w:val="21"/>
        </w:rPr>
        <w:t xml:space="preserve"> authorised midwife</w:t>
      </w:r>
      <w:r w:rsidR="00C40024">
        <w:rPr>
          <w:rFonts w:ascii="Arial" w:eastAsia="Times" w:hAnsi="Arial" w:cs="Times New Roman"/>
          <w:sz w:val="21"/>
          <w:szCs w:val="21"/>
        </w:rPr>
        <w:t>, authorised optometrist or authorised podiatrist</w:t>
      </w:r>
      <w:r w:rsidR="000D56C8">
        <w:rPr>
          <w:rFonts w:ascii="Arial" w:eastAsia="Times" w:hAnsi="Arial" w:cs="Times New Roman"/>
          <w:sz w:val="21"/>
          <w:szCs w:val="21"/>
        </w:rPr>
        <w:t>;</w:t>
      </w:r>
      <w:r w:rsidR="00695CD1">
        <w:rPr>
          <w:rFonts w:ascii="Arial" w:eastAsia="Times" w:hAnsi="Arial" w:cs="Times New Roman"/>
          <w:sz w:val="21"/>
          <w:szCs w:val="21"/>
        </w:rPr>
        <w:t xml:space="preserve"> and </w:t>
      </w:r>
    </w:p>
    <w:p w14:paraId="259640E4" w14:textId="77777777" w:rsidR="004644E2" w:rsidRPr="00D555E1" w:rsidRDefault="004644E2" w:rsidP="00D555E1">
      <w:pPr>
        <w:pStyle w:val="ListParagraph"/>
        <w:rPr>
          <w:rFonts w:ascii="Arial" w:eastAsia="Times" w:hAnsi="Arial" w:cs="Times New Roman"/>
          <w:sz w:val="21"/>
          <w:szCs w:val="21"/>
        </w:rPr>
      </w:pPr>
    </w:p>
    <w:p w14:paraId="5D61FDFF" w14:textId="374C34FD" w:rsidR="00190E83" w:rsidRDefault="004644E2">
      <w:pPr>
        <w:pStyle w:val="ListParagraph"/>
        <w:numPr>
          <w:ilvl w:val="0"/>
          <w:numId w:val="14"/>
        </w:numPr>
        <w:autoSpaceDE w:val="0"/>
        <w:autoSpaceDN w:val="0"/>
        <w:adjustRightInd w:val="0"/>
        <w:spacing w:after="120" w:line="240" w:lineRule="auto"/>
        <w:rPr>
          <w:rFonts w:ascii="Arial" w:eastAsia="Times" w:hAnsi="Arial" w:cs="Times New Roman"/>
          <w:sz w:val="21"/>
          <w:szCs w:val="21"/>
        </w:rPr>
      </w:pPr>
      <w:r w:rsidRPr="1FB433B4">
        <w:rPr>
          <w:rFonts w:ascii="Arial" w:eastAsia="Times" w:hAnsi="Arial" w:cs="Times New Roman"/>
          <w:sz w:val="21"/>
          <w:szCs w:val="21"/>
        </w:rPr>
        <w:t>the Schedule 4 poison</w:t>
      </w:r>
      <w:r w:rsidR="00695CD1">
        <w:rPr>
          <w:rFonts w:ascii="Arial" w:eastAsia="Times" w:hAnsi="Arial" w:cs="Times New Roman"/>
          <w:sz w:val="21"/>
          <w:szCs w:val="21"/>
        </w:rPr>
        <w:t>s</w:t>
      </w:r>
      <w:r w:rsidRPr="1FB433B4">
        <w:rPr>
          <w:rFonts w:ascii="Arial" w:eastAsia="Times" w:hAnsi="Arial" w:cs="Times New Roman"/>
          <w:sz w:val="21"/>
          <w:szCs w:val="21"/>
        </w:rPr>
        <w:t xml:space="preserve"> listed in Appendix 3 for administration </w:t>
      </w:r>
      <w:r w:rsidR="00DE4E81">
        <w:rPr>
          <w:rFonts w:ascii="Arial" w:eastAsia="Times" w:hAnsi="Arial" w:cs="Times New Roman"/>
          <w:sz w:val="21"/>
          <w:szCs w:val="21"/>
        </w:rPr>
        <w:t>to a person under the pharmacist’s care without a prescription or other instruction or authorisation</w:t>
      </w:r>
      <w:r w:rsidR="008505F7" w:rsidRPr="008505F7">
        <w:rPr>
          <w:rFonts w:ascii="Arial" w:eastAsia="Times" w:hAnsi="Arial" w:cs="Times New Roman"/>
          <w:sz w:val="21"/>
          <w:szCs w:val="21"/>
        </w:rPr>
        <w:t xml:space="preserve"> </w:t>
      </w:r>
      <w:r w:rsidR="008505F7">
        <w:rPr>
          <w:rFonts w:ascii="Arial" w:eastAsia="Times" w:hAnsi="Arial" w:cs="Times New Roman"/>
          <w:sz w:val="21"/>
          <w:szCs w:val="21"/>
        </w:rPr>
        <w:t>from a registered medical practitioner, dentist, nurse practitioner</w:t>
      </w:r>
      <w:r w:rsidR="00C40024">
        <w:rPr>
          <w:rFonts w:ascii="Arial" w:eastAsia="Times" w:hAnsi="Arial" w:cs="Times New Roman"/>
          <w:sz w:val="21"/>
          <w:szCs w:val="21"/>
        </w:rPr>
        <w:t>,</w:t>
      </w:r>
      <w:r w:rsidR="008505F7">
        <w:rPr>
          <w:rFonts w:ascii="Arial" w:eastAsia="Times" w:hAnsi="Arial" w:cs="Times New Roman"/>
          <w:sz w:val="21"/>
          <w:szCs w:val="21"/>
        </w:rPr>
        <w:t xml:space="preserve"> authorised midwife</w:t>
      </w:r>
      <w:r w:rsidR="00C40024">
        <w:rPr>
          <w:rFonts w:ascii="Arial" w:eastAsia="Times" w:hAnsi="Arial" w:cs="Times New Roman"/>
          <w:sz w:val="21"/>
          <w:szCs w:val="21"/>
        </w:rPr>
        <w:t>, authorised optometrist or authorised podiatrist</w:t>
      </w:r>
      <w:r w:rsidR="00695CD1">
        <w:rPr>
          <w:rFonts w:ascii="Arial" w:eastAsia="Times" w:hAnsi="Arial" w:cs="Times New Roman"/>
          <w:sz w:val="21"/>
          <w:szCs w:val="21"/>
        </w:rPr>
        <w:t xml:space="preserve">. </w:t>
      </w:r>
    </w:p>
    <w:p w14:paraId="71C9789B" w14:textId="4F7C9D70" w:rsidR="007034CC" w:rsidRPr="00143E13" w:rsidRDefault="003E3383">
      <w:pPr>
        <w:pStyle w:val="DHHSbody"/>
        <w:numPr>
          <w:ilvl w:val="0"/>
          <w:numId w:val="10"/>
        </w:numPr>
        <w:rPr>
          <w:b/>
          <w:sz w:val="21"/>
          <w:szCs w:val="21"/>
        </w:rPr>
      </w:pPr>
      <w:r w:rsidRPr="00470166">
        <w:rPr>
          <w:b/>
          <w:sz w:val="21"/>
          <w:szCs w:val="21"/>
        </w:rPr>
        <w:t>This approval applies</w:t>
      </w:r>
      <w:r w:rsidRPr="00143E13">
        <w:rPr>
          <w:b/>
          <w:sz w:val="21"/>
          <w:szCs w:val="21"/>
        </w:rPr>
        <w:t xml:space="preserve"> to</w:t>
      </w:r>
      <w:r w:rsidR="007034CC" w:rsidRPr="00143E13">
        <w:rPr>
          <w:b/>
          <w:sz w:val="21"/>
          <w:szCs w:val="21"/>
        </w:rPr>
        <w:t>:</w:t>
      </w:r>
    </w:p>
    <w:p w14:paraId="6A658020" w14:textId="1E3ED570" w:rsidR="003E3383" w:rsidRPr="00F1411B" w:rsidRDefault="003E3383" w:rsidP="00F1411B">
      <w:pPr>
        <w:pStyle w:val="DHHSbody"/>
        <w:ind w:left="360"/>
        <w:rPr>
          <w:bCs/>
          <w:sz w:val="21"/>
          <w:szCs w:val="21"/>
        </w:rPr>
      </w:pPr>
      <w:r w:rsidRPr="00F1411B">
        <w:rPr>
          <w:bCs/>
          <w:sz w:val="21"/>
          <w:szCs w:val="21"/>
        </w:rPr>
        <w:t xml:space="preserve">a pharmacist who at the time of the </w:t>
      </w:r>
      <w:r w:rsidR="00695CD1">
        <w:rPr>
          <w:bCs/>
          <w:sz w:val="21"/>
          <w:szCs w:val="21"/>
        </w:rPr>
        <w:t xml:space="preserve">sale, supply or </w:t>
      </w:r>
      <w:r w:rsidRPr="00F1411B">
        <w:rPr>
          <w:bCs/>
          <w:sz w:val="21"/>
          <w:szCs w:val="21"/>
        </w:rPr>
        <w:t>administration of the Schedule 4 poisons</w:t>
      </w:r>
      <w:r w:rsidRPr="007034CC">
        <w:rPr>
          <w:rStyle w:val="FootnoteReference"/>
          <w:bCs/>
          <w:sz w:val="21"/>
          <w:szCs w:val="21"/>
        </w:rPr>
        <w:footnoteReference w:id="2"/>
      </w:r>
      <w:r w:rsidRPr="00F1411B">
        <w:rPr>
          <w:bCs/>
          <w:sz w:val="21"/>
          <w:szCs w:val="21"/>
        </w:rPr>
        <w:t>:</w:t>
      </w:r>
    </w:p>
    <w:p w14:paraId="52F143E2" w14:textId="73B41440" w:rsidR="003E3383" w:rsidRPr="00385A80" w:rsidRDefault="00695CD1">
      <w:pPr>
        <w:pStyle w:val="DHHSbody"/>
        <w:numPr>
          <w:ilvl w:val="0"/>
          <w:numId w:val="12"/>
        </w:numPr>
        <w:rPr>
          <w:sz w:val="21"/>
          <w:szCs w:val="21"/>
        </w:rPr>
      </w:pPr>
      <w:r w:rsidRPr="00F1411B">
        <w:rPr>
          <w:bCs/>
          <w:sz w:val="21"/>
          <w:szCs w:val="21"/>
        </w:rPr>
        <w:t>holds general registration with the Pharmacy Board of Australia</w:t>
      </w:r>
      <w:r w:rsidRPr="007034CC">
        <w:rPr>
          <w:rStyle w:val="FootnoteReference"/>
          <w:bCs/>
          <w:sz w:val="21"/>
          <w:szCs w:val="21"/>
        </w:rPr>
        <w:footnoteReference w:id="3"/>
      </w:r>
      <w:r w:rsidR="003E3383" w:rsidRPr="00385A80">
        <w:rPr>
          <w:sz w:val="21"/>
          <w:szCs w:val="21"/>
        </w:rPr>
        <w:t>;</w:t>
      </w:r>
      <w:r>
        <w:rPr>
          <w:sz w:val="21"/>
          <w:szCs w:val="21"/>
        </w:rPr>
        <w:t xml:space="preserve"> and</w:t>
      </w:r>
    </w:p>
    <w:p w14:paraId="4332C624" w14:textId="73600901" w:rsidR="003E3383" w:rsidRPr="00DE4E81" w:rsidRDefault="00645EC3">
      <w:pPr>
        <w:pStyle w:val="DHHSbody"/>
        <w:numPr>
          <w:ilvl w:val="0"/>
          <w:numId w:val="12"/>
        </w:numPr>
        <w:rPr>
          <w:bCs/>
          <w:sz w:val="21"/>
          <w:szCs w:val="21"/>
        </w:rPr>
      </w:pPr>
      <w:r w:rsidRPr="00645EC3">
        <w:rPr>
          <w:sz w:val="21"/>
          <w:szCs w:val="21"/>
        </w:rPr>
        <w:t>owns</w:t>
      </w:r>
      <w:r w:rsidR="000D56C8">
        <w:rPr>
          <w:sz w:val="21"/>
          <w:szCs w:val="21"/>
        </w:rPr>
        <w:t xml:space="preserve">, </w:t>
      </w:r>
      <w:r w:rsidRPr="00645EC3">
        <w:rPr>
          <w:sz w:val="21"/>
          <w:szCs w:val="21"/>
        </w:rPr>
        <w:t xml:space="preserve">or is employed, contracted or otherwise engaged </w:t>
      </w:r>
      <w:r w:rsidR="008A21A9">
        <w:rPr>
          <w:sz w:val="21"/>
          <w:szCs w:val="21"/>
        </w:rPr>
        <w:t>at</w:t>
      </w:r>
      <w:r w:rsidR="00592F2D">
        <w:rPr>
          <w:sz w:val="21"/>
          <w:szCs w:val="21"/>
        </w:rPr>
        <w:t>,</w:t>
      </w:r>
      <w:r>
        <w:rPr>
          <w:sz w:val="21"/>
          <w:szCs w:val="21"/>
        </w:rPr>
        <w:t xml:space="preserve"> </w:t>
      </w:r>
      <w:r w:rsidRPr="00645EC3">
        <w:rPr>
          <w:sz w:val="21"/>
          <w:szCs w:val="21"/>
        </w:rPr>
        <w:t>a pharmacy</w:t>
      </w:r>
      <w:r w:rsidR="000D56C8">
        <w:rPr>
          <w:sz w:val="21"/>
          <w:szCs w:val="21"/>
        </w:rPr>
        <w:t xml:space="preserve"> </w:t>
      </w:r>
      <w:r w:rsidRPr="00645EC3">
        <w:rPr>
          <w:sz w:val="21"/>
          <w:szCs w:val="21"/>
        </w:rPr>
        <w:t>participating in the Community Pharmacist Statewide Pilot</w:t>
      </w:r>
      <w:r w:rsidR="000D56C8">
        <w:rPr>
          <w:rStyle w:val="FootnoteReference"/>
          <w:sz w:val="21"/>
          <w:szCs w:val="21"/>
        </w:rPr>
        <w:footnoteReference w:id="4"/>
      </w:r>
      <w:r>
        <w:rPr>
          <w:sz w:val="21"/>
          <w:szCs w:val="21"/>
        </w:rPr>
        <w:t xml:space="preserve"> (Pilot); and</w:t>
      </w:r>
    </w:p>
    <w:p w14:paraId="20EDC330" w14:textId="624439B7" w:rsidR="000C4C3B" w:rsidRPr="000C4C3B" w:rsidRDefault="00191C05">
      <w:pPr>
        <w:pStyle w:val="DHHSbody"/>
        <w:numPr>
          <w:ilvl w:val="0"/>
          <w:numId w:val="12"/>
        </w:numPr>
        <w:rPr>
          <w:bCs/>
          <w:sz w:val="21"/>
          <w:szCs w:val="21"/>
        </w:rPr>
      </w:pPr>
      <w:r>
        <w:rPr>
          <w:sz w:val="21"/>
          <w:szCs w:val="21"/>
        </w:rPr>
        <w:t xml:space="preserve">at the time of </w:t>
      </w:r>
      <w:r w:rsidR="00DE4E81">
        <w:rPr>
          <w:sz w:val="21"/>
          <w:szCs w:val="21"/>
        </w:rPr>
        <w:t>administering a vaccine</w:t>
      </w:r>
      <w:r w:rsidR="00A73DC5">
        <w:rPr>
          <w:sz w:val="21"/>
          <w:szCs w:val="21"/>
        </w:rPr>
        <w:t xml:space="preserve"> listed in Appendix 3</w:t>
      </w:r>
      <w:r w:rsidR="00DE4E81">
        <w:rPr>
          <w:sz w:val="21"/>
          <w:szCs w:val="21"/>
        </w:rPr>
        <w:t>, the pharmacist</w:t>
      </w:r>
      <w:r w:rsidR="000C4C3B">
        <w:rPr>
          <w:sz w:val="21"/>
          <w:szCs w:val="21"/>
        </w:rPr>
        <w:t>:</w:t>
      </w:r>
    </w:p>
    <w:p w14:paraId="0A0E0134" w14:textId="3A9A5D38" w:rsidR="008771B4" w:rsidRPr="008771B4" w:rsidRDefault="00DE4E81">
      <w:pPr>
        <w:pStyle w:val="DHHSbody"/>
        <w:numPr>
          <w:ilvl w:val="0"/>
          <w:numId w:val="15"/>
        </w:numPr>
        <w:rPr>
          <w:bCs/>
          <w:sz w:val="21"/>
          <w:szCs w:val="21"/>
        </w:rPr>
      </w:pPr>
      <w:r>
        <w:rPr>
          <w:sz w:val="21"/>
          <w:szCs w:val="21"/>
        </w:rPr>
        <w:t xml:space="preserve">has </w:t>
      </w:r>
      <w:r w:rsidR="008771B4">
        <w:rPr>
          <w:sz w:val="21"/>
          <w:szCs w:val="21"/>
        </w:rPr>
        <w:t xml:space="preserve">successfully </w:t>
      </w:r>
      <w:r>
        <w:rPr>
          <w:sz w:val="21"/>
          <w:szCs w:val="21"/>
        </w:rPr>
        <w:t>completed the</w:t>
      </w:r>
      <w:r w:rsidR="005E3DA5">
        <w:rPr>
          <w:sz w:val="21"/>
          <w:szCs w:val="21"/>
        </w:rPr>
        <w:t xml:space="preserve"> assessment of an</w:t>
      </w:r>
      <w:r>
        <w:rPr>
          <w:sz w:val="21"/>
          <w:szCs w:val="21"/>
        </w:rPr>
        <w:t xml:space="preserve"> ‘Immuniser program of study’ </w:t>
      </w:r>
      <w:r w:rsidR="005E3DA5">
        <w:rPr>
          <w:sz w:val="21"/>
          <w:szCs w:val="21"/>
        </w:rPr>
        <w:t xml:space="preserve">recognised by the </w:t>
      </w:r>
      <w:r w:rsidR="00565CE9">
        <w:rPr>
          <w:sz w:val="21"/>
          <w:szCs w:val="21"/>
        </w:rPr>
        <w:t>Chief Health Officer</w:t>
      </w:r>
      <w:r w:rsidR="008771B4">
        <w:rPr>
          <w:sz w:val="21"/>
          <w:szCs w:val="21"/>
        </w:rPr>
        <w:t xml:space="preserve"> (see Note)</w:t>
      </w:r>
      <w:r w:rsidR="0047279D">
        <w:rPr>
          <w:sz w:val="21"/>
          <w:szCs w:val="21"/>
        </w:rPr>
        <w:t>;</w:t>
      </w:r>
      <w:r w:rsidR="00565CE9">
        <w:rPr>
          <w:sz w:val="21"/>
          <w:szCs w:val="21"/>
        </w:rPr>
        <w:t xml:space="preserve"> </w:t>
      </w:r>
      <w:r>
        <w:rPr>
          <w:sz w:val="21"/>
          <w:szCs w:val="21"/>
        </w:rPr>
        <w:t>and</w:t>
      </w:r>
    </w:p>
    <w:p w14:paraId="1222A3B3" w14:textId="1534FC52" w:rsidR="00DE4E81" w:rsidRPr="0041616B" w:rsidRDefault="008771B4">
      <w:pPr>
        <w:pStyle w:val="DHHSbody"/>
        <w:numPr>
          <w:ilvl w:val="0"/>
          <w:numId w:val="15"/>
        </w:numPr>
        <w:rPr>
          <w:bCs/>
          <w:sz w:val="21"/>
          <w:szCs w:val="21"/>
        </w:rPr>
      </w:pPr>
      <w:r>
        <w:rPr>
          <w:sz w:val="21"/>
          <w:szCs w:val="21"/>
        </w:rPr>
        <w:t>has successfully completed the assessment of an</w:t>
      </w:r>
      <w:r w:rsidR="00DE4E81">
        <w:rPr>
          <w:sz w:val="21"/>
          <w:szCs w:val="21"/>
        </w:rPr>
        <w:t xml:space="preserve"> ‘Travel healthcare training’ recognised by the </w:t>
      </w:r>
      <w:r w:rsidR="00565CE9">
        <w:rPr>
          <w:sz w:val="21"/>
          <w:szCs w:val="21"/>
        </w:rPr>
        <w:t xml:space="preserve">Deputy </w:t>
      </w:r>
      <w:r w:rsidR="00DE4E81">
        <w:rPr>
          <w:sz w:val="21"/>
          <w:szCs w:val="21"/>
        </w:rPr>
        <w:t>Chief Health Officer</w:t>
      </w:r>
      <w:r w:rsidR="00565CE9">
        <w:rPr>
          <w:sz w:val="21"/>
          <w:szCs w:val="21"/>
        </w:rPr>
        <w:t xml:space="preserve"> – Communicable Disease</w:t>
      </w:r>
      <w:r w:rsidR="006A67EA">
        <w:rPr>
          <w:sz w:val="21"/>
          <w:szCs w:val="21"/>
        </w:rPr>
        <w:t xml:space="preserve"> (see </w:t>
      </w:r>
      <w:r w:rsidR="00D72BF9">
        <w:rPr>
          <w:sz w:val="21"/>
          <w:szCs w:val="21"/>
        </w:rPr>
        <w:t>Note)</w:t>
      </w:r>
      <w:r w:rsidR="00DE4E81">
        <w:rPr>
          <w:sz w:val="21"/>
          <w:szCs w:val="21"/>
        </w:rPr>
        <w:t>; and</w:t>
      </w:r>
    </w:p>
    <w:p w14:paraId="4B560863" w14:textId="0D5ECCD6" w:rsidR="0041616B" w:rsidRPr="00645EC3" w:rsidRDefault="0041616B">
      <w:pPr>
        <w:pStyle w:val="DHHSbody"/>
        <w:numPr>
          <w:ilvl w:val="0"/>
          <w:numId w:val="15"/>
        </w:numPr>
        <w:rPr>
          <w:bCs/>
          <w:sz w:val="21"/>
          <w:szCs w:val="21"/>
        </w:rPr>
      </w:pPr>
      <w:r>
        <w:rPr>
          <w:sz w:val="21"/>
          <w:szCs w:val="21"/>
        </w:rPr>
        <w:lastRenderedPageBreak/>
        <w:t xml:space="preserve">has recency of practice and continuing professional development in immunisation (as defined from time to time by the Pharmacy Board of Australia); </w:t>
      </w:r>
      <w:r w:rsidR="006A67EA">
        <w:rPr>
          <w:sz w:val="21"/>
          <w:szCs w:val="21"/>
        </w:rPr>
        <w:t>and</w:t>
      </w:r>
    </w:p>
    <w:p w14:paraId="0DE81970" w14:textId="366AAF60" w:rsidR="003E3383" w:rsidRPr="000C4C3B" w:rsidRDefault="000C4C3B">
      <w:pPr>
        <w:pStyle w:val="DHHSbody"/>
        <w:numPr>
          <w:ilvl w:val="0"/>
          <w:numId w:val="15"/>
        </w:numPr>
        <w:rPr>
          <w:sz w:val="21"/>
          <w:szCs w:val="21"/>
        </w:rPr>
      </w:pPr>
      <w:r>
        <w:rPr>
          <w:sz w:val="21"/>
          <w:szCs w:val="21"/>
        </w:rPr>
        <w:t>h</w:t>
      </w:r>
      <w:r w:rsidR="003E3383" w:rsidRPr="000C4C3B">
        <w:rPr>
          <w:sz w:val="21"/>
          <w:szCs w:val="21"/>
        </w:rPr>
        <w:t>olds a current first aid certificate (to be updated every three years); and</w:t>
      </w:r>
    </w:p>
    <w:p w14:paraId="1C24A6AC" w14:textId="0A19F19E" w:rsidR="003E3383" w:rsidRPr="000C4C3B" w:rsidRDefault="000C4C3B">
      <w:pPr>
        <w:pStyle w:val="DHHSbody"/>
        <w:numPr>
          <w:ilvl w:val="0"/>
          <w:numId w:val="15"/>
        </w:numPr>
        <w:rPr>
          <w:sz w:val="21"/>
          <w:szCs w:val="21"/>
        </w:rPr>
      </w:pPr>
      <w:r>
        <w:rPr>
          <w:sz w:val="21"/>
          <w:szCs w:val="21"/>
        </w:rPr>
        <w:t>h</w:t>
      </w:r>
      <w:r w:rsidR="003E3383" w:rsidRPr="000C4C3B">
        <w:rPr>
          <w:sz w:val="21"/>
          <w:szCs w:val="21"/>
        </w:rPr>
        <w:t>olds a current cardiopulmonary resuscitation certificate (to be updated annually).</w:t>
      </w:r>
    </w:p>
    <w:p w14:paraId="2A98FE36" w14:textId="295C8081" w:rsidR="000D1DE0" w:rsidRDefault="005E459E" w:rsidP="00F1411B">
      <w:pPr>
        <w:pStyle w:val="Body"/>
        <w:spacing w:before="120"/>
        <w:rPr>
          <w:rFonts w:eastAsia="Times New Roman"/>
        </w:rPr>
      </w:pPr>
      <w:bookmarkStart w:id="0" w:name="_Hlk103351463"/>
      <w:r w:rsidRPr="00AE3297">
        <w:rPr>
          <w:rFonts w:eastAsia="Times New Roman"/>
          <w:bCs/>
        </w:rPr>
        <w:t>NOTE:</w:t>
      </w:r>
      <w:r w:rsidRPr="6BAE5CE7">
        <w:rPr>
          <w:rFonts w:eastAsia="Times New Roman"/>
        </w:rPr>
        <w:t xml:space="preserve"> </w:t>
      </w:r>
      <w:r w:rsidR="00D655ED" w:rsidRPr="6BAE5CE7">
        <w:rPr>
          <w:rFonts w:eastAsia="Times New Roman"/>
        </w:rPr>
        <w:t xml:space="preserve">For a list of the </w:t>
      </w:r>
      <w:r w:rsidR="007708D4" w:rsidRPr="6BAE5CE7">
        <w:rPr>
          <w:rFonts w:eastAsia="Times New Roman"/>
        </w:rPr>
        <w:t>i</w:t>
      </w:r>
      <w:r w:rsidR="00D655ED" w:rsidRPr="6BAE5CE7">
        <w:rPr>
          <w:rFonts w:eastAsia="Times New Roman"/>
        </w:rPr>
        <w:t xml:space="preserve">mmuniser programs </w:t>
      </w:r>
      <w:r w:rsidR="007708D4" w:rsidRPr="6BAE5CE7">
        <w:rPr>
          <w:rFonts w:eastAsia="Times New Roman"/>
        </w:rPr>
        <w:t xml:space="preserve">of study that have been </w:t>
      </w:r>
      <w:r w:rsidR="00D655ED" w:rsidRPr="6BAE5CE7">
        <w:rPr>
          <w:rFonts w:eastAsia="Times New Roman"/>
        </w:rPr>
        <w:t xml:space="preserve">recognised by the Chief Health </w:t>
      </w:r>
      <w:r w:rsidR="007708D4" w:rsidRPr="6BAE5CE7">
        <w:rPr>
          <w:rFonts w:eastAsia="Times New Roman"/>
        </w:rPr>
        <w:t xml:space="preserve">Officer </w:t>
      </w:r>
      <w:r w:rsidR="002A36B8" w:rsidRPr="6BAE5CE7">
        <w:rPr>
          <w:rFonts w:eastAsia="Times New Roman"/>
        </w:rPr>
        <w:t>and link</w:t>
      </w:r>
      <w:r w:rsidR="000E17D6" w:rsidRPr="6BAE5CE7">
        <w:rPr>
          <w:rFonts w:eastAsia="Times New Roman"/>
        </w:rPr>
        <w:t>s</w:t>
      </w:r>
      <w:r w:rsidR="002A36B8" w:rsidRPr="6BAE5CE7">
        <w:rPr>
          <w:rFonts w:eastAsia="Times New Roman"/>
        </w:rPr>
        <w:t xml:space="preserve"> to the </w:t>
      </w:r>
      <w:bookmarkStart w:id="1" w:name="_Hlk103352543"/>
      <w:r w:rsidR="00645EC3" w:rsidRPr="6BAE5CE7">
        <w:rPr>
          <w:rFonts w:eastAsia="Times New Roman"/>
        </w:rPr>
        <w:t xml:space="preserve">Travel healthcare training </w:t>
      </w:r>
      <w:bookmarkEnd w:id="1"/>
      <w:r w:rsidR="002A36B8" w:rsidRPr="6BAE5CE7">
        <w:rPr>
          <w:rFonts w:eastAsia="Times New Roman"/>
        </w:rPr>
        <w:t>that ha</w:t>
      </w:r>
      <w:r w:rsidR="007068F1" w:rsidRPr="6BAE5CE7">
        <w:rPr>
          <w:rFonts w:eastAsia="Times New Roman"/>
        </w:rPr>
        <w:t>ve</w:t>
      </w:r>
      <w:r w:rsidR="002A36B8" w:rsidRPr="6BAE5CE7">
        <w:rPr>
          <w:rFonts w:eastAsia="Times New Roman"/>
        </w:rPr>
        <w:t xml:space="preserve"> been </w:t>
      </w:r>
      <w:r w:rsidR="00403E30">
        <w:rPr>
          <w:rFonts w:eastAsia="Times New Roman"/>
        </w:rPr>
        <w:t>recognised</w:t>
      </w:r>
      <w:r w:rsidR="00403E30" w:rsidRPr="6BAE5CE7">
        <w:rPr>
          <w:rFonts w:eastAsia="Times New Roman"/>
        </w:rPr>
        <w:t xml:space="preserve"> </w:t>
      </w:r>
      <w:r w:rsidR="002A36B8" w:rsidRPr="6BAE5CE7">
        <w:rPr>
          <w:rFonts w:eastAsia="Times New Roman"/>
        </w:rPr>
        <w:t xml:space="preserve">by </w:t>
      </w:r>
      <w:r w:rsidR="002A36B8">
        <w:t>Deputy Chief Health Officer – Communicable Disease</w:t>
      </w:r>
      <w:r w:rsidR="007708D4">
        <w:t xml:space="preserve"> see</w:t>
      </w:r>
      <w:r w:rsidR="006914BB">
        <w:t xml:space="preserve"> the Department of Health’s Community Pharmacist Statewide Pilot webpage</w:t>
      </w:r>
      <w:r w:rsidR="00D655ED" w:rsidRPr="0050D493">
        <w:rPr>
          <w:rFonts w:eastAsia="Times New Roman"/>
        </w:rPr>
        <w:t>:</w:t>
      </w:r>
      <w:r w:rsidR="00913691" w:rsidRPr="0050D493">
        <w:rPr>
          <w:rFonts w:eastAsia="Times New Roman"/>
        </w:rPr>
        <w:t xml:space="preserve"> </w:t>
      </w:r>
      <w:hyperlink r:id="rId15">
        <w:r w:rsidR="00913691" w:rsidRPr="0050D493">
          <w:rPr>
            <w:rStyle w:val="Hyperlink"/>
          </w:rPr>
          <w:t>https://www.health.vic.gov.au/primary-care/victorian-community-pharmacist-statewide-pilot</w:t>
        </w:r>
      </w:hyperlink>
      <w:r w:rsidR="00E11443" w:rsidRPr="0050D493">
        <w:rPr>
          <w:rStyle w:val="Hyperlink"/>
        </w:rPr>
        <w:t>.</w:t>
      </w:r>
    </w:p>
    <w:bookmarkEnd w:id="0"/>
    <w:p w14:paraId="451AC4D0" w14:textId="7BFC6279" w:rsidR="003E3383" w:rsidRPr="00385A80" w:rsidRDefault="003E3383" w:rsidP="003E3383">
      <w:pPr>
        <w:pStyle w:val="DHHSbody"/>
        <w:rPr>
          <w:b/>
          <w:sz w:val="21"/>
          <w:szCs w:val="21"/>
        </w:rPr>
      </w:pPr>
      <w:r w:rsidRPr="00385A80">
        <w:rPr>
          <w:b/>
          <w:sz w:val="21"/>
          <w:szCs w:val="21"/>
        </w:rPr>
        <w:t xml:space="preserve">2. The pharmacist may </w:t>
      </w:r>
      <w:r w:rsidR="005B08BE">
        <w:rPr>
          <w:b/>
          <w:sz w:val="21"/>
          <w:szCs w:val="21"/>
        </w:rPr>
        <w:t xml:space="preserve">sell, supply or </w:t>
      </w:r>
      <w:r w:rsidRPr="00385A80">
        <w:rPr>
          <w:b/>
          <w:sz w:val="21"/>
          <w:szCs w:val="21"/>
        </w:rPr>
        <w:t>administer the following Schedule 4 poisons:</w:t>
      </w:r>
    </w:p>
    <w:p w14:paraId="2EFD3F79" w14:textId="72C1C4BD" w:rsidR="003E3383" w:rsidRPr="00470166" w:rsidRDefault="005B08BE">
      <w:pPr>
        <w:pStyle w:val="DHHSbody"/>
        <w:numPr>
          <w:ilvl w:val="0"/>
          <w:numId w:val="11"/>
        </w:numPr>
        <w:rPr>
          <w:sz w:val="21"/>
          <w:szCs w:val="21"/>
        </w:rPr>
      </w:pPr>
      <w:r>
        <w:rPr>
          <w:sz w:val="21"/>
          <w:szCs w:val="21"/>
        </w:rPr>
        <w:t>medicines</w:t>
      </w:r>
      <w:r w:rsidR="003E3383" w:rsidRPr="00470166">
        <w:rPr>
          <w:sz w:val="21"/>
          <w:szCs w:val="21"/>
        </w:rPr>
        <w:t xml:space="preserve"> listed in Appendix 1</w:t>
      </w:r>
      <w:r w:rsidR="000F6AC4" w:rsidRPr="00470166">
        <w:rPr>
          <w:sz w:val="21"/>
          <w:szCs w:val="21"/>
        </w:rPr>
        <w:t xml:space="preserve"> </w:t>
      </w:r>
      <w:r>
        <w:rPr>
          <w:sz w:val="21"/>
          <w:szCs w:val="21"/>
        </w:rPr>
        <w:t>on the conditions set out in</w:t>
      </w:r>
      <w:r w:rsidR="000F6AC4" w:rsidRPr="00470166">
        <w:rPr>
          <w:sz w:val="21"/>
          <w:szCs w:val="21"/>
        </w:rPr>
        <w:t xml:space="preserve"> </w:t>
      </w:r>
      <w:r w:rsidR="002A01FF">
        <w:rPr>
          <w:sz w:val="21"/>
          <w:szCs w:val="21"/>
        </w:rPr>
        <w:t xml:space="preserve">the corresponding entry in </w:t>
      </w:r>
      <w:r w:rsidR="000F6AC4" w:rsidRPr="00470166">
        <w:rPr>
          <w:sz w:val="21"/>
          <w:szCs w:val="21"/>
        </w:rPr>
        <w:t>column 2</w:t>
      </w:r>
      <w:r>
        <w:rPr>
          <w:sz w:val="21"/>
          <w:szCs w:val="21"/>
        </w:rPr>
        <w:t>;</w:t>
      </w:r>
    </w:p>
    <w:p w14:paraId="2F323C8C" w14:textId="646C6032" w:rsidR="00D655ED" w:rsidRDefault="005B08BE">
      <w:pPr>
        <w:pStyle w:val="DHHSbody"/>
        <w:numPr>
          <w:ilvl w:val="0"/>
          <w:numId w:val="11"/>
        </w:numPr>
        <w:rPr>
          <w:sz w:val="21"/>
          <w:szCs w:val="21"/>
        </w:rPr>
      </w:pPr>
      <w:r>
        <w:rPr>
          <w:sz w:val="21"/>
          <w:szCs w:val="21"/>
        </w:rPr>
        <w:t xml:space="preserve">oral contraceptive pills </w:t>
      </w:r>
      <w:r w:rsidR="00D655ED" w:rsidRPr="00470166">
        <w:rPr>
          <w:sz w:val="21"/>
          <w:szCs w:val="21"/>
        </w:rPr>
        <w:t xml:space="preserve">listed in Appendix 2 </w:t>
      </w:r>
      <w:r>
        <w:rPr>
          <w:sz w:val="21"/>
          <w:szCs w:val="21"/>
        </w:rPr>
        <w:t>on the conditions set out in</w:t>
      </w:r>
      <w:r w:rsidR="000F6AC4" w:rsidRPr="00470166">
        <w:rPr>
          <w:sz w:val="21"/>
          <w:szCs w:val="21"/>
        </w:rPr>
        <w:t xml:space="preserve"> </w:t>
      </w:r>
      <w:r w:rsidR="002A01FF">
        <w:rPr>
          <w:sz w:val="21"/>
          <w:szCs w:val="21"/>
        </w:rPr>
        <w:t xml:space="preserve">the corresponding entry in </w:t>
      </w:r>
      <w:r w:rsidR="000F6AC4" w:rsidRPr="00470166">
        <w:rPr>
          <w:sz w:val="21"/>
          <w:szCs w:val="21"/>
        </w:rPr>
        <w:t>column 2</w:t>
      </w:r>
      <w:r>
        <w:rPr>
          <w:sz w:val="21"/>
          <w:szCs w:val="21"/>
        </w:rPr>
        <w:t>; and</w:t>
      </w:r>
    </w:p>
    <w:p w14:paraId="59690173" w14:textId="060355A2" w:rsidR="00577638" w:rsidRDefault="00577638">
      <w:pPr>
        <w:pStyle w:val="DHHSbody"/>
        <w:numPr>
          <w:ilvl w:val="0"/>
          <w:numId w:val="11"/>
        </w:numPr>
        <w:rPr>
          <w:sz w:val="21"/>
          <w:szCs w:val="21"/>
        </w:rPr>
      </w:pPr>
      <w:r w:rsidRPr="1FB433B4">
        <w:rPr>
          <w:sz w:val="21"/>
          <w:szCs w:val="21"/>
        </w:rPr>
        <w:t>vaccine</w:t>
      </w:r>
      <w:r w:rsidR="005B08BE">
        <w:rPr>
          <w:sz w:val="21"/>
          <w:szCs w:val="21"/>
        </w:rPr>
        <w:t>s</w:t>
      </w:r>
      <w:r w:rsidRPr="1FB433B4">
        <w:rPr>
          <w:sz w:val="21"/>
          <w:szCs w:val="21"/>
        </w:rPr>
        <w:t xml:space="preserve"> listed in Appendix 3, to persons listed i</w:t>
      </w:r>
      <w:r w:rsidR="005B08BE">
        <w:rPr>
          <w:sz w:val="21"/>
          <w:szCs w:val="21"/>
        </w:rPr>
        <w:t xml:space="preserve">n </w:t>
      </w:r>
      <w:r w:rsidR="007638CF">
        <w:rPr>
          <w:sz w:val="21"/>
          <w:szCs w:val="21"/>
        </w:rPr>
        <w:t xml:space="preserve">the corresponding entry in </w:t>
      </w:r>
      <w:r w:rsidRPr="1FB433B4">
        <w:rPr>
          <w:sz w:val="21"/>
          <w:szCs w:val="21"/>
        </w:rPr>
        <w:t xml:space="preserve">column 2, subject to the </w:t>
      </w:r>
      <w:r w:rsidR="00857B76">
        <w:rPr>
          <w:sz w:val="21"/>
          <w:szCs w:val="21"/>
        </w:rPr>
        <w:t xml:space="preserve">corresponding </w:t>
      </w:r>
      <w:r w:rsidRPr="1FB433B4">
        <w:rPr>
          <w:sz w:val="21"/>
          <w:szCs w:val="21"/>
        </w:rPr>
        <w:t>exclusions in column 3</w:t>
      </w:r>
      <w:r w:rsidR="00A50B9F">
        <w:rPr>
          <w:sz w:val="21"/>
          <w:szCs w:val="21"/>
        </w:rPr>
        <w:t>;</w:t>
      </w:r>
    </w:p>
    <w:p w14:paraId="674EE8C8" w14:textId="6F4D8630" w:rsidR="003E3383" w:rsidRDefault="004F704A" w:rsidP="004F704A">
      <w:pPr>
        <w:pStyle w:val="DHHSbody"/>
        <w:ind w:left="360"/>
        <w:rPr>
          <w:sz w:val="21"/>
          <w:szCs w:val="21"/>
        </w:rPr>
      </w:pPr>
      <w:r w:rsidRPr="002B6EB9">
        <w:rPr>
          <w:sz w:val="21"/>
          <w:szCs w:val="21"/>
        </w:rPr>
        <w:t xml:space="preserve">from </w:t>
      </w:r>
      <w:r w:rsidR="002C615E" w:rsidRPr="002B6EB9">
        <w:rPr>
          <w:sz w:val="21"/>
          <w:szCs w:val="21"/>
        </w:rPr>
        <w:t xml:space="preserve">a </w:t>
      </w:r>
      <w:r w:rsidR="003E3383" w:rsidRPr="002B6EB9">
        <w:rPr>
          <w:sz w:val="21"/>
          <w:szCs w:val="21"/>
        </w:rPr>
        <w:t xml:space="preserve">pharmacy as defined in the </w:t>
      </w:r>
      <w:r w:rsidR="003E3383" w:rsidRPr="002B6EB9">
        <w:rPr>
          <w:b/>
          <w:bCs/>
          <w:sz w:val="21"/>
          <w:szCs w:val="21"/>
        </w:rPr>
        <w:t>Pharmacy Regulation Act 2010</w:t>
      </w:r>
      <w:r w:rsidR="00CF2DFD" w:rsidRPr="002B6EB9">
        <w:rPr>
          <w:sz w:val="21"/>
          <w:szCs w:val="21"/>
        </w:rPr>
        <w:t>, which meets the requirements of the</w:t>
      </w:r>
      <w:r w:rsidR="00CF2DFD" w:rsidRPr="004F704A">
        <w:rPr>
          <w:sz w:val="21"/>
          <w:szCs w:val="21"/>
        </w:rPr>
        <w:t xml:space="preserve"> Victorian Pharmacy Authority Guidelines</w:t>
      </w:r>
      <w:r w:rsidR="00AD515D">
        <w:rPr>
          <w:sz w:val="21"/>
          <w:szCs w:val="21"/>
        </w:rPr>
        <w:t xml:space="preserve"> current at the time of sale, supply or administration</w:t>
      </w:r>
      <w:r w:rsidR="009A3798">
        <w:rPr>
          <w:sz w:val="21"/>
          <w:szCs w:val="21"/>
        </w:rPr>
        <w:t xml:space="preserve"> of the Schedule 4 poisons</w:t>
      </w:r>
      <w:r w:rsidR="00110FD3">
        <w:rPr>
          <w:sz w:val="21"/>
          <w:szCs w:val="21"/>
        </w:rPr>
        <w:t>, and which is participating in the Pilot.</w:t>
      </w:r>
    </w:p>
    <w:p w14:paraId="3F637B45" w14:textId="0C82B448" w:rsidR="00D0741C" w:rsidRDefault="00D0741C" w:rsidP="00D0741C">
      <w:pPr>
        <w:pStyle w:val="DHHSbody"/>
        <w:rPr>
          <w:sz w:val="21"/>
          <w:szCs w:val="21"/>
        </w:rPr>
      </w:pPr>
      <w:r w:rsidRPr="00385A80">
        <w:rPr>
          <w:sz w:val="21"/>
          <w:szCs w:val="21"/>
        </w:rPr>
        <w:t xml:space="preserve">NOTE: Pharmacists who </w:t>
      </w:r>
      <w:r w:rsidR="004F6871">
        <w:rPr>
          <w:sz w:val="21"/>
          <w:szCs w:val="21"/>
        </w:rPr>
        <w:t xml:space="preserve">sell, supply or administer </w:t>
      </w:r>
      <w:r w:rsidR="00F819AB">
        <w:rPr>
          <w:sz w:val="21"/>
          <w:szCs w:val="21"/>
        </w:rPr>
        <w:t xml:space="preserve">the </w:t>
      </w:r>
      <w:r w:rsidR="004F6871">
        <w:rPr>
          <w:sz w:val="21"/>
          <w:szCs w:val="21"/>
        </w:rPr>
        <w:t>Schedu</w:t>
      </w:r>
      <w:r w:rsidR="00EC377E">
        <w:rPr>
          <w:sz w:val="21"/>
          <w:szCs w:val="21"/>
        </w:rPr>
        <w:t xml:space="preserve">le 4 poisons </w:t>
      </w:r>
      <w:r>
        <w:rPr>
          <w:sz w:val="21"/>
          <w:szCs w:val="21"/>
        </w:rPr>
        <w:t xml:space="preserve">listed in </w:t>
      </w:r>
      <w:r w:rsidRPr="00385A80">
        <w:rPr>
          <w:sz w:val="21"/>
          <w:szCs w:val="21"/>
        </w:rPr>
        <w:t>Appendi</w:t>
      </w:r>
      <w:r w:rsidR="00EC377E">
        <w:rPr>
          <w:sz w:val="21"/>
          <w:szCs w:val="21"/>
        </w:rPr>
        <w:t>ces</w:t>
      </w:r>
      <w:r w:rsidR="00F819AB">
        <w:rPr>
          <w:sz w:val="21"/>
          <w:szCs w:val="21"/>
        </w:rPr>
        <w:t xml:space="preserve"> </w:t>
      </w:r>
      <w:r w:rsidR="00EC377E">
        <w:rPr>
          <w:sz w:val="21"/>
          <w:szCs w:val="21"/>
        </w:rPr>
        <w:t>1, 2 and</w:t>
      </w:r>
      <w:r>
        <w:rPr>
          <w:sz w:val="21"/>
          <w:szCs w:val="21"/>
        </w:rPr>
        <w:t xml:space="preserve"> 3</w:t>
      </w:r>
      <w:r w:rsidRPr="00385A80">
        <w:rPr>
          <w:sz w:val="21"/>
          <w:szCs w:val="21"/>
        </w:rPr>
        <w:t xml:space="preserve"> </w:t>
      </w:r>
      <w:r w:rsidR="00141D35">
        <w:rPr>
          <w:sz w:val="21"/>
          <w:szCs w:val="21"/>
        </w:rPr>
        <w:t xml:space="preserve">should </w:t>
      </w:r>
      <w:r w:rsidR="00DE7962">
        <w:rPr>
          <w:sz w:val="21"/>
          <w:szCs w:val="21"/>
        </w:rPr>
        <w:t xml:space="preserve">regularly refer to </w:t>
      </w:r>
      <w:r w:rsidR="00E53033" w:rsidRPr="00DE7962">
        <w:rPr>
          <w:sz w:val="21"/>
          <w:szCs w:val="21"/>
        </w:rPr>
        <w:t xml:space="preserve">the </w:t>
      </w:r>
      <w:r w:rsidR="002904F8">
        <w:rPr>
          <w:sz w:val="21"/>
          <w:szCs w:val="21"/>
        </w:rPr>
        <w:t xml:space="preserve">Community Pharmacist Statewide Pilot </w:t>
      </w:r>
      <w:r w:rsidR="00480891" w:rsidRPr="00DE7962">
        <w:rPr>
          <w:sz w:val="21"/>
          <w:szCs w:val="21"/>
        </w:rPr>
        <w:t>web</w:t>
      </w:r>
      <w:r w:rsidR="00480891">
        <w:rPr>
          <w:sz w:val="21"/>
          <w:szCs w:val="21"/>
        </w:rPr>
        <w:t>page</w:t>
      </w:r>
      <w:r w:rsidR="00502ACF">
        <w:rPr>
          <w:sz w:val="21"/>
          <w:szCs w:val="21"/>
        </w:rPr>
        <w:t xml:space="preserve"> </w:t>
      </w:r>
      <w:r w:rsidR="002904F8">
        <w:rPr>
          <w:sz w:val="21"/>
          <w:szCs w:val="21"/>
        </w:rPr>
        <w:t xml:space="preserve">to ensure they </w:t>
      </w:r>
      <w:r w:rsidR="00DC24A9">
        <w:rPr>
          <w:sz w:val="21"/>
          <w:szCs w:val="21"/>
        </w:rPr>
        <w:t xml:space="preserve">act in accordance with </w:t>
      </w:r>
      <w:r w:rsidR="00DE7962">
        <w:rPr>
          <w:sz w:val="21"/>
          <w:szCs w:val="21"/>
        </w:rPr>
        <w:t>guid</w:t>
      </w:r>
      <w:r w:rsidR="003A23EF">
        <w:rPr>
          <w:sz w:val="21"/>
          <w:szCs w:val="21"/>
        </w:rPr>
        <w:t xml:space="preserve">ance </w:t>
      </w:r>
      <w:r w:rsidR="00C132B1">
        <w:rPr>
          <w:sz w:val="21"/>
          <w:szCs w:val="21"/>
        </w:rPr>
        <w:t xml:space="preserve">issued by the Department of Health and Safer Care Victoria </w:t>
      </w:r>
      <w:r w:rsidR="003A23EF">
        <w:rPr>
          <w:sz w:val="21"/>
          <w:szCs w:val="21"/>
        </w:rPr>
        <w:t>from time to time.</w:t>
      </w:r>
    </w:p>
    <w:p w14:paraId="21C3C511" w14:textId="0C21D8C0" w:rsidR="00A058A5" w:rsidRDefault="00A058A5" w:rsidP="00D0741C">
      <w:pPr>
        <w:pStyle w:val="DHHSbody"/>
        <w:rPr>
          <w:sz w:val="21"/>
          <w:szCs w:val="21"/>
        </w:rPr>
      </w:pPr>
      <w:r>
        <w:rPr>
          <w:sz w:val="21"/>
          <w:szCs w:val="21"/>
        </w:rPr>
        <w:t xml:space="preserve">NOTE: Clause 2 does not prevent pharmacists from administering </w:t>
      </w:r>
      <w:r w:rsidR="00BD314A">
        <w:rPr>
          <w:sz w:val="21"/>
          <w:szCs w:val="21"/>
        </w:rPr>
        <w:t xml:space="preserve">a </w:t>
      </w:r>
      <w:r w:rsidR="003B6D0A">
        <w:rPr>
          <w:sz w:val="21"/>
          <w:szCs w:val="21"/>
        </w:rPr>
        <w:t>vaccine</w:t>
      </w:r>
      <w:r>
        <w:rPr>
          <w:sz w:val="21"/>
          <w:szCs w:val="21"/>
        </w:rPr>
        <w:t xml:space="preserve"> listed in Appendix 3 as part of a mobile or outreach service offered by a pharmacy participating in the Pilot.</w:t>
      </w:r>
    </w:p>
    <w:p w14:paraId="15FFB39B" w14:textId="45EBC31B" w:rsidR="003E3383" w:rsidRPr="004F704A" w:rsidRDefault="004F704A" w:rsidP="00627E90">
      <w:pPr>
        <w:pStyle w:val="DHHSbody"/>
        <w:numPr>
          <w:ilvl w:val="0"/>
          <w:numId w:val="19"/>
        </w:numPr>
        <w:rPr>
          <w:b/>
          <w:sz w:val="21"/>
          <w:szCs w:val="21"/>
        </w:rPr>
      </w:pPr>
      <w:r>
        <w:rPr>
          <w:b/>
          <w:sz w:val="21"/>
          <w:szCs w:val="21"/>
        </w:rPr>
        <w:t>A pharmacist administering a vaccine listed in Appendix 3</w:t>
      </w:r>
      <w:r w:rsidR="003E3383" w:rsidRPr="004F704A">
        <w:rPr>
          <w:b/>
          <w:sz w:val="21"/>
          <w:szCs w:val="21"/>
        </w:rPr>
        <w:t>:</w:t>
      </w:r>
    </w:p>
    <w:p w14:paraId="0D9A0665" w14:textId="77777777" w:rsidR="003E3383" w:rsidRPr="00385A80" w:rsidRDefault="003E3383" w:rsidP="00627E90">
      <w:pPr>
        <w:pStyle w:val="DHHSbody"/>
        <w:numPr>
          <w:ilvl w:val="0"/>
          <w:numId w:val="17"/>
        </w:numPr>
        <w:rPr>
          <w:sz w:val="21"/>
          <w:szCs w:val="21"/>
        </w:rPr>
      </w:pPr>
      <w:r w:rsidRPr="00385A80">
        <w:rPr>
          <w:sz w:val="21"/>
          <w:szCs w:val="21"/>
        </w:rPr>
        <w:t>must do so in accordance with:</w:t>
      </w:r>
    </w:p>
    <w:p w14:paraId="68F4164C" w14:textId="668261DC" w:rsidR="003E3383" w:rsidRPr="00385A80" w:rsidRDefault="003E3383" w:rsidP="00B97864">
      <w:pPr>
        <w:pStyle w:val="DHHSbody"/>
        <w:numPr>
          <w:ilvl w:val="0"/>
          <w:numId w:val="20"/>
        </w:numPr>
        <w:rPr>
          <w:sz w:val="21"/>
          <w:szCs w:val="21"/>
        </w:rPr>
      </w:pPr>
      <w:r w:rsidRPr="00385A80">
        <w:rPr>
          <w:sz w:val="21"/>
          <w:szCs w:val="21"/>
        </w:rPr>
        <w:t xml:space="preserve">The edition of the </w:t>
      </w:r>
      <w:r w:rsidRPr="00B97864">
        <w:rPr>
          <w:i/>
          <w:iCs/>
          <w:sz w:val="21"/>
          <w:szCs w:val="21"/>
        </w:rPr>
        <w:t>Australian Immunisation Handbook</w:t>
      </w:r>
      <w:r w:rsidR="00707A51" w:rsidRPr="00B97864">
        <w:rPr>
          <w:sz w:val="21"/>
          <w:szCs w:val="21"/>
        </w:rPr>
        <w:t xml:space="preserve"> </w:t>
      </w:r>
      <w:r w:rsidRPr="00385A80">
        <w:rPr>
          <w:sz w:val="21"/>
          <w:szCs w:val="21"/>
        </w:rPr>
        <w:t>that is current at the time of the administration; and</w:t>
      </w:r>
    </w:p>
    <w:p w14:paraId="770857FE" w14:textId="44D09B32" w:rsidR="003E3383" w:rsidRDefault="003E3383" w:rsidP="00B97864">
      <w:pPr>
        <w:pStyle w:val="DHHSbody"/>
        <w:numPr>
          <w:ilvl w:val="0"/>
          <w:numId w:val="20"/>
        </w:numPr>
        <w:rPr>
          <w:sz w:val="21"/>
          <w:szCs w:val="21"/>
        </w:rPr>
      </w:pPr>
      <w:r w:rsidRPr="00385A80">
        <w:rPr>
          <w:sz w:val="21"/>
          <w:szCs w:val="21"/>
        </w:rPr>
        <w:t xml:space="preserve">The edition of the </w:t>
      </w:r>
      <w:r w:rsidRPr="00B97864">
        <w:rPr>
          <w:i/>
          <w:iCs/>
          <w:sz w:val="21"/>
          <w:szCs w:val="21"/>
        </w:rPr>
        <w:t>National Vaccine Storage Guidelines: Strive for 5</w:t>
      </w:r>
      <w:r w:rsidRPr="00385A80">
        <w:rPr>
          <w:sz w:val="21"/>
          <w:szCs w:val="21"/>
        </w:rPr>
        <w:t xml:space="preserve"> that is current at the time of the administration; and</w:t>
      </w:r>
    </w:p>
    <w:p w14:paraId="6DCD67CE" w14:textId="748BDEF1" w:rsidR="005863AA" w:rsidRPr="00385A80" w:rsidRDefault="005863AA" w:rsidP="00B97864">
      <w:pPr>
        <w:pStyle w:val="DHHSbody"/>
        <w:numPr>
          <w:ilvl w:val="0"/>
          <w:numId w:val="20"/>
        </w:numPr>
        <w:rPr>
          <w:sz w:val="21"/>
          <w:szCs w:val="21"/>
        </w:rPr>
      </w:pPr>
      <w:r>
        <w:rPr>
          <w:sz w:val="21"/>
          <w:szCs w:val="21"/>
        </w:rPr>
        <w:t xml:space="preserve">The </w:t>
      </w:r>
      <w:r w:rsidR="00426027">
        <w:rPr>
          <w:sz w:val="21"/>
          <w:szCs w:val="21"/>
        </w:rPr>
        <w:t xml:space="preserve">Protocol for </w:t>
      </w:r>
      <w:r w:rsidR="0097101A">
        <w:rPr>
          <w:sz w:val="21"/>
          <w:szCs w:val="21"/>
        </w:rPr>
        <w:t xml:space="preserve">Vaccine </w:t>
      </w:r>
      <w:r w:rsidR="00426027">
        <w:rPr>
          <w:sz w:val="21"/>
          <w:szCs w:val="21"/>
        </w:rPr>
        <w:t xml:space="preserve">Administration </w:t>
      </w:r>
      <w:r w:rsidR="000F1F0B">
        <w:rPr>
          <w:sz w:val="21"/>
          <w:szCs w:val="21"/>
        </w:rPr>
        <w:t xml:space="preserve">current at the time of the administration, and </w:t>
      </w:r>
      <w:r>
        <w:rPr>
          <w:sz w:val="21"/>
          <w:szCs w:val="21"/>
        </w:rPr>
        <w:t>as updated from time to time by the Department of Health</w:t>
      </w:r>
      <w:r w:rsidR="008E4320" w:rsidRPr="00B97864">
        <w:rPr>
          <w:vertAlign w:val="superscript"/>
        </w:rPr>
        <w:footnoteReference w:id="5"/>
      </w:r>
      <w:r w:rsidRPr="00B97864">
        <w:rPr>
          <w:sz w:val="21"/>
          <w:szCs w:val="21"/>
          <w:vertAlign w:val="superscript"/>
        </w:rPr>
        <w:t>;</w:t>
      </w:r>
      <w:r w:rsidR="00630C32">
        <w:rPr>
          <w:sz w:val="21"/>
          <w:szCs w:val="21"/>
        </w:rPr>
        <w:t xml:space="preserve"> and</w:t>
      </w:r>
    </w:p>
    <w:p w14:paraId="6D66FDC4" w14:textId="43876256" w:rsidR="00630C32" w:rsidRDefault="00901450" w:rsidP="00627E90">
      <w:pPr>
        <w:pStyle w:val="DHHSbody"/>
        <w:numPr>
          <w:ilvl w:val="0"/>
          <w:numId w:val="17"/>
        </w:numPr>
        <w:rPr>
          <w:sz w:val="21"/>
          <w:szCs w:val="21"/>
        </w:rPr>
      </w:pPr>
      <w:r w:rsidRPr="00F35DFF">
        <w:rPr>
          <w:sz w:val="21"/>
          <w:szCs w:val="21"/>
        </w:rPr>
        <w:t xml:space="preserve">must </w:t>
      </w:r>
      <w:r w:rsidR="003E3383" w:rsidRPr="00F35DFF">
        <w:rPr>
          <w:sz w:val="21"/>
          <w:szCs w:val="21"/>
        </w:rPr>
        <w:t>ensure that</w:t>
      </w:r>
      <w:r w:rsidR="00810742" w:rsidRPr="00F35DFF">
        <w:rPr>
          <w:sz w:val="21"/>
          <w:szCs w:val="21"/>
        </w:rPr>
        <w:t xml:space="preserve">, when administering on a pharmacy premises, </w:t>
      </w:r>
      <w:r w:rsidR="003E3383" w:rsidRPr="00F35DFF">
        <w:rPr>
          <w:sz w:val="21"/>
          <w:szCs w:val="21"/>
        </w:rPr>
        <w:t>at least one other staff member that</w:t>
      </w:r>
      <w:r w:rsidR="003E3383" w:rsidRPr="00385A80">
        <w:rPr>
          <w:sz w:val="21"/>
          <w:szCs w:val="21"/>
        </w:rPr>
        <w:t xml:space="preserve"> holds a current first aid and cardiopulmonary resuscitation certificate is on duty in the pharmacy when the </w:t>
      </w:r>
      <w:r w:rsidR="004F704A">
        <w:rPr>
          <w:sz w:val="21"/>
          <w:szCs w:val="21"/>
        </w:rPr>
        <w:t xml:space="preserve">vaccine is </w:t>
      </w:r>
      <w:r w:rsidR="003E3383" w:rsidRPr="00385A80">
        <w:rPr>
          <w:sz w:val="21"/>
          <w:szCs w:val="21"/>
        </w:rPr>
        <w:t>administered and for a minimum period of 15 minutes afterwards</w:t>
      </w:r>
      <w:r w:rsidR="00630C32">
        <w:rPr>
          <w:sz w:val="21"/>
          <w:szCs w:val="21"/>
        </w:rPr>
        <w:t>; and</w:t>
      </w:r>
    </w:p>
    <w:p w14:paraId="4679B7CA" w14:textId="77777777" w:rsidR="00E11A26" w:rsidRDefault="00630C32" w:rsidP="006A4019">
      <w:pPr>
        <w:pStyle w:val="DHHSbody"/>
        <w:numPr>
          <w:ilvl w:val="0"/>
          <w:numId w:val="17"/>
        </w:numPr>
        <w:rPr>
          <w:sz w:val="21"/>
          <w:szCs w:val="21"/>
        </w:rPr>
      </w:pPr>
      <w:r>
        <w:rPr>
          <w:sz w:val="21"/>
          <w:szCs w:val="21"/>
        </w:rPr>
        <w:t>must report the administration of the vaccine to the Australian Immunisation Register in a timely manner</w:t>
      </w:r>
      <w:r w:rsidR="00E11A26">
        <w:rPr>
          <w:sz w:val="21"/>
          <w:szCs w:val="21"/>
        </w:rPr>
        <w:t>; and</w:t>
      </w:r>
    </w:p>
    <w:p w14:paraId="21E82B74" w14:textId="414AB01B" w:rsidR="00074F19" w:rsidRDefault="00A058A5" w:rsidP="006A4019">
      <w:pPr>
        <w:pStyle w:val="DHHSbody"/>
        <w:numPr>
          <w:ilvl w:val="0"/>
          <w:numId w:val="17"/>
        </w:numPr>
        <w:rPr>
          <w:sz w:val="21"/>
          <w:szCs w:val="21"/>
        </w:rPr>
      </w:pPr>
      <w:r>
        <w:rPr>
          <w:sz w:val="21"/>
          <w:szCs w:val="21"/>
        </w:rPr>
        <w:t xml:space="preserve">must only provide mobile or outreach services connected to </w:t>
      </w:r>
      <w:r w:rsidR="00727586">
        <w:rPr>
          <w:sz w:val="21"/>
          <w:szCs w:val="21"/>
        </w:rPr>
        <w:t>a</w:t>
      </w:r>
      <w:r>
        <w:rPr>
          <w:sz w:val="21"/>
          <w:szCs w:val="21"/>
        </w:rPr>
        <w:t xml:space="preserve"> pharmacy referred to in paragraph </w:t>
      </w:r>
      <w:r w:rsidR="005E1336">
        <w:rPr>
          <w:sz w:val="21"/>
          <w:szCs w:val="21"/>
        </w:rPr>
        <w:t>2</w:t>
      </w:r>
      <w:r>
        <w:rPr>
          <w:sz w:val="21"/>
          <w:szCs w:val="21"/>
        </w:rPr>
        <w:t>, which they own, are employed</w:t>
      </w:r>
      <w:r w:rsidR="00B57124">
        <w:rPr>
          <w:sz w:val="21"/>
          <w:szCs w:val="21"/>
        </w:rPr>
        <w:t>, contracted</w:t>
      </w:r>
      <w:r>
        <w:rPr>
          <w:sz w:val="21"/>
          <w:szCs w:val="21"/>
        </w:rPr>
        <w:t xml:space="preserve"> or otherwise engaged at, and </w:t>
      </w:r>
      <w:r w:rsidR="009F2980">
        <w:rPr>
          <w:sz w:val="21"/>
          <w:szCs w:val="21"/>
        </w:rPr>
        <w:t xml:space="preserve">from which </w:t>
      </w:r>
      <w:r>
        <w:rPr>
          <w:sz w:val="21"/>
          <w:szCs w:val="21"/>
        </w:rPr>
        <w:t>they source the vaccine</w:t>
      </w:r>
      <w:r w:rsidR="006A4019">
        <w:rPr>
          <w:sz w:val="21"/>
          <w:szCs w:val="21"/>
        </w:rPr>
        <w:t>.</w:t>
      </w:r>
    </w:p>
    <w:p w14:paraId="17C7B996" w14:textId="29259595" w:rsidR="003E3383" w:rsidRDefault="003E3383" w:rsidP="003E3383">
      <w:pPr>
        <w:pStyle w:val="DHHSbody"/>
        <w:tabs>
          <w:tab w:val="left" w:pos="1418"/>
        </w:tabs>
        <w:rPr>
          <w:sz w:val="21"/>
          <w:szCs w:val="21"/>
        </w:rPr>
      </w:pPr>
      <w:r w:rsidRPr="00385A80">
        <w:rPr>
          <w:sz w:val="21"/>
          <w:szCs w:val="21"/>
        </w:rPr>
        <w:lastRenderedPageBreak/>
        <w:t>NOTE: Pharmacists who administer Schedule 4 poisons</w:t>
      </w:r>
      <w:r w:rsidR="004F704A">
        <w:rPr>
          <w:sz w:val="21"/>
          <w:szCs w:val="21"/>
        </w:rPr>
        <w:t xml:space="preserve"> listed in </w:t>
      </w:r>
      <w:r w:rsidRPr="00385A80">
        <w:rPr>
          <w:sz w:val="21"/>
          <w:szCs w:val="21"/>
        </w:rPr>
        <w:t>Appendi</w:t>
      </w:r>
      <w:r w:rsidR="004F704A">
        <w:rPr>
          <w:sz w:val="21"/>
          <w:szCs w:val="21"/>
        </w:rPr>
        <w:t>x</w:t>
      </w:r>
      <w:r w:rsidR="00B627C1">
        <w:rPr>
          <w:sz w:val="21"/>
          <w:szCs w:val="21"/>
        </w:rPr>
        <w:t xml:space="preserve"> 3</w:t>
      </w:r>
      <w:r w:rsidRPr="00385A80">
        <w:rPr>
          <w:sz w:val="21"/>
          <w:szCs w:val="21"/>
        </w:rPr>
        <w:t xml:space="preserve"> are referred to the edition of the </w:t>
      </w:r>
      <w:r w:rsidRPr="00385A80">
        <w:rPr>
          <w:i/>
          <w:iCs/>
          <w:sz w:val="21"/>
          <w:szCs w:val="21"/>
        </w:rPr>
        <w:t>Victorian Pharmacist-Administered Vaccination Program Guidelines</w:t>
      </w:r>
      <w:r w:rsidRPr="00385A80">
        <w:rPr>
          <w:sz w:val="21"/>
          <w:szCs w:val="21"/>
        </w:rPr>
        <w:t xml:space="preserve"> current at the time of administration and issued by the Department of Health, which apply to the administration of all government-funded vaccines by </w:t>
      </w:r>
      <w:r w:rsidRPr="00122497">
        <w:rPr>
          <w:sz w:val="21"/>
          <w:szCs w:val="21"/>
        </w:rPr>
        <w:t xml:space="preserve">pharmacists. These guidelines contain best practice guidance for the administration of all vaccines listed in </w:t>
      </w:r>
      <w:r w:rsidR="004F704A">
        <w:rPr>
          <w:sz w:val="21"/>
          <w:szCs w:val="21"/>
        </w:rPr>
        <w:t xml:space="preserve">Appendix </w:t>
      </w:r>
      <w:r w:rsidR="0062492E">
        <w:rPr>
          <w:sz w:val="21"/>
          <w:szCs w:val="21"/>
        </w:rPr>
        <w:t>3</w:t>
      </w:r>
      <w:r w:rsidRPr="00122497">
        <w:rPr>
          <w:sz w:val="21"/>
          <w:szCs w:val="21"/>
        </w:rPr>
        <w:t xml:space="preserve"> (whether government funded or not) by pharmacists.</w:t>
      </w:r>
    </w:p>
    <w:p w14:paraId="6F4ADF67" w14:textId="692ED400" w:rsidR="003541A0" w:rsidRDefault="003541A0" w:rsidP="003541A0">
      <w:pPr>
        <w:pStyle w:val="DHHSbody"/>
        <w:tabs>
          <w:tab w:val="left" w:pos="1418"/>
        </w:tabs>
        <w:rPr>
          <w:sz w:val="21"/>
          <w:szCs w:val="21"/>
        </w:rPr>
      </w:pPr>
      <w:r w:rsidRPr="00122497">
        <w:rPr>
          <w:sz w:val="21"/>
          <w:szCs w:val="21"/>
        </w:rPr>
        <w:t xml:space="preserve">NOTE: Pharmacists are permitted to possess and administer Schedule 3 poisons pursuant to Regulation 141 of the Regulations. Accordingly, pharmacists are permitted to possess and administer Schedule 3 Poisons that are necessary for the treatment of anaphylactic reactions to the </w:t>
      </w:r>
      <w:r w:rsidR="00890974">
        <w:rPr>
          <w:sz w:val="21"/>
          <w:szCs w:val="21"/>
        </w:rPr>
        <w:t>vaccine</w:t>
      </w:r>
      <w:r w:rsidRPr="00122497">
        <w:rPr>
          <w:sz w:val="21"/>
          <w:szCs w:val="21"/>
        </w:rPr>
        <w:t>. Those Schedule 3 Poisons should be kept on hand and utilised should they be required at the time the vaccine is administered.</w:t>
      </w:r>
    </w:p>
    <w:p w14:paraId="4487FE0F" w14:textId="7EB771BC" w:rsidR="00E95903" w:rsidRDefault="00E95903" w:rsidP="003541A0">
      <w:pPr>
        <w:pStyle w:val="DHHSbody"/>
        <w:tabs>
          <w:tab w:val="left" w:pos="1418"/>
        </w:tabs>
        <w:rPr>
          <w:sz w:val="21"/>
          <w:szCs w:val="21"/>
        </w:rPr>
      </w:pPr>
      <w:r w:rsidRPr="00E95903">
        <w:rPr>
          <w:sz w:val="21"/>
          <w:szCs w:val="21"/>
        </w:rPr>
        <w:t>NOTE: Pharmacists who administer, sell or supply Schedule 4 poisons under this approval must comply with general labelling and record keeping requirements in Parts 7 and 13 of the Regulations.</w:t>
      </w:r>
    </w:p>
    <w:p w14:paraId="740AE4F1" w14:textId="3F005B26" w:rsidR="15E0C89F" w:rsidRDefault="15E0C89F" w:rsidP="15E0C89F">
      <w:pPr>
        <w:spacing w:after="0" w:line="240" w:lineRule="auto"/>
        <w:rPr>
          <w:rFonts w:ascii="Arial" w:eastAsia="Times" w:hAnsi="Arial" w:cs="Times New Roman"/>
          <w:sz w:val="21"/>
          <w:szCs w:val="21"/>
        </w:rPr>
      </w:pPr>
    </w:p>
    <w:p w14:paraId="244ECEB3" w14:textId="3001508F" w:rsidR="15E0C89F" w:rsidRDefault="15E0C89F" w:rsidP="15E0C89F">
      <w:pPr>
        <w:spacing w:after="0" w:line="240" w:lineRule="auto"/>
        <w:rPr>
          <w:rFonts w:ascii="Arial" w:eastAsia="Times" w:hAnsi="Arial" w:cs="Times New Roman"/>
          <w:sz w:val="21"/>
          <w:szCs w:val="21"/>
        </w:rPr>
      </w:pPr>
    </w:p>
    <w:p w14:paraId="597F0E10" w14:textId="3C776F9F" w:rsidR="003E3383" w:rsidRDefault="003E3383" w:rsidP="003E3383">
      <w:pPr>
        <w:pStyle w:val="DHHSbody"/>
        <w:tabs>
          <w:tab w:val="left" w:pos="1134"/>
        </w:tabs>
        <w:rPr>
          <w:b/>
          <w:sz w:val="21"/>
          <w:szCs w:val="21"/>
        </w:rPr>
      </w:pPr>
      <w:r w:rsidRPr="00385A80">
        <w:rPr>
          <w:b/>
          <w:sz w:val="21"/>
          <w:szCs w:val="21"/>
        </w:rPr>
        <w:t>Appendix 1</w:t>
      </w:r>
    </w:p>
    <w:tbl>
      <w:tblPr>
        <w:tblStyle w:val="TableGrid"/>
        <w:tblW w:w="4995" w:type="pct"/>
        <w:tblLook w:val="04A0" w:firstRow="1" w:lastRow="0" w:firstColumn="1" w:lastColumn="0" w:noHBand="0" w:noVBand="1"/>
      </w:tblPr>
      <w:tblGrid>
        <w:gridCol w:w="2829"/>
        <w:gridCol w:w="7355"/>
      </w:tblGrid>
      <w:tr w:rsidR="00A40796" w14:paraId="479D3676" w14:textId="77777777" w:rsidTr="00A40796">
        <w:tc>
          <w:tcPr>
            <w:tcW w:w="1389" w:type="pct"/>
          </w:tcPr>
          <w:p w14:paraId="3E47232D" w14:textId="77777777" w:rsidR="00A40796" w:rsidRDefault="00A40796" w:rsidP="003E3383">
            <w:pPr>
              <w:pStyle w:val="DHHSbody"/>
              <w:rPr>
                <w:b/>
                <w:sz w:val="21"/>
                <w:szCs w:val="21"/>
              </w:rPr>
            </w:pPr>
            <w:r>
              <w:rPr>
                <w:b/>
                <w:sz w:val="21"/>
                <w:szCs w:val="21"/>
              </w:rPr>
              <w:t>Column 1</w:t>
            </w:r>
          </w:p>
          <w:p w14:paraId="265B2F2A" w14:textId="757F8AEB" w:rsidR="00A40796" w:rsidRDefault="00A40796" w:rsidP="003E3383">
            <w:pPr>
              <w:pStyle w:val="DHHSbody"/>
              <w:rPr>
                <w:b/>
                <w:sz w:val="21"/>
                <w:szCs w:val="21"/>
              </w:rPr>
            </w:pPr>
            <w:r>
              <w:rPr>
                <w:b/>
                <w:sz w:val="21"/>
                <w:szCs w:val="21"/>
              </w:rPr>
              <w:t>Medicines for the treatment of suspected UTIs</w:t>
            </w:r>
          </w:p>
        </w:tc>
        <w:tc>
          <w:tcPr>
            <w:tcW w:w="3611" w:type="pct"/>
          </w:tcPr>
          <w:p w14:paraId="1BE44A53" w14:textId="77777777" w:rsidR="00A40796" w:rsidRDefault="00A40796" w:rsidP="003E3383">
            <w:pPr>
              <w:pStyle w:val="DHHSbody"/>
              <w:rPr>
                <w:b/>
                <w:sz w:val="21"/>
                <w:szCs w:val="21"/>
              </w:rPr>
            </w:pPr>
            <w:r>
              <w:rPr>
                <w:b/>
                <w:sz w:val="21"/>
                <w:szCs w:val="21"/>
              </w:rPr>
              <w:t xml:space="preserve">Column 2 </w:t>
            </w:r>
          </w:p>
          <w:p w14:paraId="132D3028" w14:textId="1EF29393" w:rsidR="00A40796" w:rsidRDefault="00A40796" w:rsidP="003E3383">
            <w:pPr>
              <w:pStyle w:val="DHHSbody"/>
              <w:rPr>
                <w:b/>
                <w:sz w:val="21"/>
                <w:szCs w:val="21"/>
              </w:rPr>
            </w:pPr>
            <w:r>
              <w:rPr>
                <w:b/>
                <w:sz w:val="21"/>
                <w:szCs w:val="21"/>
              </w:rPr>
              <w:t xml:space="preserve">Conditions of sale or supply without a </w:t>
            </w:r>
            <w:r w:rsidRPr="00A40796">
              <w:rPr>
                <w:b/>
                <w:sz w:val="21"/>
                <w:szCs w:val="21"/>
              </w:rPr>
              <w:t>prescription or other instruction or authorisation</w:t>
            </w:r>
          </w:p>
        </w:tc>
      </w:tr>
      <w:tr w:rsidR="00A40796" w14:paraId="22D7FD25" w14:textId="77777777" w:rsidTr="00A40796">
        <w:tc>
          <w:tcPr>
            <w:tcW w:w="1389" w:type="pct"/>
          </w:tcPr>
          <w:p w14:paraId="5284E9F7" w14:textId="77777777" w:rsidR="00A40796" w:rsidRPr="00511F1A" w:rsidRDefault="00A40796" w:rsidP="00511F1A">
            <w:pPr>
              <w:pStyle w:val="DHHSbody"/>
              <w:tabs>
                <w:tab w:val="left" w:pos="1134"/>
              </w:tabs>
              <w:spacing w:after="0"/>
              <w:rPr>
                <w:rFonts w:asciiTheme="minorHAnsi" w:hAnsiTheme="minorHAnsi" w:cstheme="minorHAnsi"/>
              </w:rPr>
            </w:pPr>
            <w:r w:rsidRPr="00511F1A">
              <w:rPr>
                <w:rFonts w:asciiTheme="minorHAnsi" w:hAnsiTheme="minorHAnsi" w:cstheme="minorHAnsi"/>
              </w:rPr>
              <w:t>Trimethoprim</w:t>
            </w:r>
          </w:p>
          <w:p w14:paraId="5010978C" w14:textId="77777777" w:rsidR="00A40796" w:rsidRPr="00511F1A" w:rsidRDefault="00A40796" w:rsidP="00511F1A">
            <w:pPr>
              <w:pStyle w:val="DHHSbody"/>
              <w:tabs>
                <w:tab w:val="left" w:pos="1134"/>
              </w:tabs>
              <w:spacing w:after="0"/>
              <w:rPr>
                <w:rFonts w:asciiTheme="minorHAnsi" w:hAnsiTheme="minorHAnsi" w:cstheme="minorHAnsi"/>
              </w:rPr>
            </w:pPr>
            <w:r w:rsidRPr="00511F1A">
              <w:rPr>
                <w:rFonts w:asciiTheme="minorHAnsi" w:hAnsiTheme="minorHAnsi" w:cstheme="minorHAnsi"/>
              </w:rPr>
              <w:t>Nitrofurantoin</w:t>
            </w:r>
          </w:p>
          <w:p w14:paraId="753F3517" w14:textId="2792C880" w:rsidR="00A40796" w:rsidRDefault="00A40796" w:rsidP="00511F1A">
            <w:pPr>
              <w:pStyle w:val="DHHSbody"/>
              <w:tabs>
                <w:tab w:val="left" w:pos="1134"/>
              </w:tabs>
              <w:spacing w:after="0"/>
              <w:rPr>
                <w:b/>
                <w:sz w:val="21"/>
                <w:szCs w:val="21"/>
              </w:rPr>
            </w:pPr>
            <w:r w:rsidRPr="00511F1A">
              <w:rPr>
                <w:rFonts w:asciiTheme="minorHAnsi" w:hAnsiTheme="minorHAnsi" w:cstheme="minorHAnsi"/>
              </w:rPr>
              <w:t>Cefalexin</w:t>
            </w:r>
          </w:p>
        </w:tc>
        <w:tc>
          <w:tcPr>
            <w:tcW w:w="3611" w:type="pct"/>
          </w:tcPr>
          <w:p w14:paraId="1AA0417E" w14:textId="5DB09F60" w:rsidR="00511F1A" w:rsidRDefault="00511F1A">
            <w:pPr>
              <w:pStyle w:val="DHHSbody"/>
              <w:numPr>
                <w:ilvl w:val="0"/>
                <w:numId w:val="16"/>
              </w:numPr>
              <w:tabs>
                <w:tab w:val="left" w:pos="1134"/>
              </w:tabs>
              <w:spacing w:after="0"/>
              <w:rPr>
                <w:rFonts w:asciiTheme="minorHAnsi" w:hAnsiTheme="minorHAnsi" w:cstheme="minorHAnsi"/>
              </w:rPr>
            </w:pPr>
            <w:r>
              <w:rPr>
                <w:rFonts w:asciiTheme="minorHAnsi" w:hAnsiTheme="minorHAnsi" w:cstheme="minorHAnsi"/>
              </w:rPr>
              <w:t xml:space="preserve">sale or supply must be in compliance </w:t>
            </w:r>
            <w:r w:rsidRPr="00511F1A">
              <w:rPr>
                <w:rFonts w:asciiTheme="minorHAnsi" w:hAnsiTheme="minorHAnsi" w:cstheme="minorHAnsi"/>
              </w:rPr>
              <w:t>with the Protocol for Management of Urinary Tract Infections</w:t>
            </w:r>
            <w:r w:rsidR="002F0EED">
              <w:rPr>
                <w:rStyle w:val="FootnoteReference"/>
                <w:rFonts w:asciiTheme="minorHAnsi" w:hAnsiTheme="minorHAnsi" w:cstheme="minorHAnsi"/>
              </w:rPr>
              <w:footnoteReference w:id="6"/>
            </w:r>
            <w:r>
              <w:rPr>
                <w:rFonts w:asciiTheme="minorHAnsi" w:hAnsiTheme="minorHAnsi" w:cstheme="minorHAnsi"/>
              </w:rPr>
              <w:t xml:space="preserve"> </w:t>
            </w:r>
            <w:r w:rsidRPr="00511F1A">
              <w:rPr>
                <w:rFonts w:asciiTheme="minorHAnsi" w:hAnsiTheme="minorHAnsi" w:cstheme="minorHAnsi"/>
              </w:rPr>
              <w:t>as updated from time to time by Safer Care Victoria</w:t>
            </w:r>
            <w:r>
              <w:rPr>
                <w:rFonts w:asciiTheme="minorHAnsi" w:hAnsiTheme="minorHAnsi" w:cstheme="minorHAnsi"/>
              </w:rPr>
              <w:t>;</w:t>
            </w:r>
          </w:p>
          <w:p w14:paraId="1826B3BF" w14:textId="62976842" w:rsidR="00511F1A" w:rsidRDefault="00511F1A">
            <w:pPr>
              <w:pStyle w:val="DHHSbody"/>
              <w:numPr>
                <w:ilvl w:val="0"/>
                <w:numId w:val="16"/>
              </w:numPr>
              <w:tabs>
                <w:tab w:val="left" w:pos="1134"/>
              </w:tabs>
              <w:spacing w:after="0"/>
              <w:rPr>
                <w:rFonts w:asciiTheme="minorHAnsi" w:hAnsiTheme="minorHAnsi" w:cstheme="minorHAnsi"/>
              </w:rPr>
            </w:pPr>
            <w:r>
              <w:rPr>
                <w:rFonts w:asciiTheme="minorHAnsi" w:hAnsiTheme="minorHAnsi" w:cstheme="minorHAnsi"/>
              </w:rPr>
              <w:t xml:space="preserve">the pharmacist has successfully completed the current training requirements specified </w:t>
            </w:r>
            <w:r w:rsidR="00E77B32">
              <w:rPr>
                <w:rFonts w:asciiTheme="minorHAnsi" w:hAnsiTheme="minorHAnsi" w:cstheme="minorHAnsi"/>
              </w:rPr>
              <w:t xml:space="preserve">on the </w:t>
            </w:r>
            <w:r w:rsidR="009A5D53">
              <w:rPr>
                <w:rFonts w:asciiTheme="minorHAnsi" w:hAnsiTheme="minorHAnsi" w:cstheme="minorHAnsi"/>
              </w:rPr>
              <w:t xml:space="preserve">Community Pharmacist Statewide Pilot </w:t>
            </w:r>
            <w:r w:rsidR="004172E1">
              <w:rPr>
                <w:rFonts w:asciiTheme="minorHAnsi" w:hAnsiTheme="minorHAnsi" w:cstheme="minorHAnsi"/>
              </w:rPr>
              <w:t>website</w:t>
            </w:r>
            <w:r w:rsidR="00C8633F">
              <w:rPr>
                <w:rFonts w:asciiTheme="minorHAnsi" w:hAnsiTheme="minorHAnsi" w:cstheme="minorHAnsi"/>
              </w:rPr>
              <w:t>;</w:t>
            </w:r>
          </w:p>
          <w:p w14:paraId="14E4A699" w14:textId="4F10C981" w:rsidR="00C8633F" w:rsidRPr="005132CB" w:rsidRDefault="00511F1A" w:rsidP="005132CB">
            <w:pPr>
              <w:pStyle w:val="DHHSbody"/>
              <w:numPr>
                <w:ilvl w:val="0"/>
                <w:numId w:val="16"/>
              </w:numPr>
              <w:tabs>
                <w:tab w:val="left" w:pos="1134"/>
              </w:tabs>
              <w:spacing w:after="0"/>
              <w:rPr>
                <w:rFonts w:asciiTheme="minorHAnsi" w:hAnsiTheme="minorHAnsi" w:cstheme="minorHAnsi"/>
              </w:rPr>
            </w:pPr>
            <w:r>
              <w:rPr>
                <w:rFonts w:asciiTheme="minorHAnsi" w:hAnsiTheme="minorHAnsi" w:cstheme="minorHAnsi"/>
              </w:rPr>
              <w:t xml:space="preserve">a medicine listed in column 1 is only supplied or sold for the purpose of treatment of a suspected UTI in a </w:t>
            </w:r>
            <w:r w:rsidR="008B6131">
              <w:rPr>
                <w:rFonts w:asciiTheme="minorHAnsi" w:hAnsiTheme="minorHAnsi" w:cstheme="minorHAnsi"/>
              </w:rPr>
              <w:t>female</w:t>
            </w:r>
            <w:r>
              <w:rPr>
                <w:rFonts w:asciiTheme="minorHAnsi" w:hAnsiTheme="minorHAnsi" w:cstheme="minorHAnsi"/>
              </w:rPr>
              <w:t xml:space="preserve">, aged between 18 and 65 years who is not </w:t>
            </w:r>
            <w:r w:rsidR="00F40A4D">
              <w:rPr>
                <w:rFonts w:asciiTheme="minorHAnsi" w:hAnsiTheme="minorHAnsi" w:cstheme="minorHAnsi"/>
              </w:rPr>
              <w:t xml:space="preserve">known to be </w:t>
            </w:r>
            <w:r>
              <w:rPr>
                <w:rFonts w:asciiTheme="minorHAnsi" w:hAnsiTheme="minorHAnsi" w:cstheme="minorHAnsi"/>
              </w:rPr>
              <w:t>pregnant</w:t>
            </w:r>
            <w:r w:rsidR="008C2982">
              <w:rPr>
                <w:rFonts w:asciiTheme="minorHAnsi" w:hAnsiTheme="minorHAnsi" w:cstheme="minorHAnsi"/>
              </w:rPr>
              <w:t>.</w:t>
            </w:r>
          </w:p>
        </w:tc>
      </w:tr>
    </w:tbl>
    <w:p w14:paraId="34160A87" w14:textId="7CB70774" w:rsidR="003E3383" w:rsidRDefault="003E3383" w:rsidP="003E3383">
      <w:pPr>
        <w:pStyle w:val="DHHSbody"/>
        <w:rPr>
          <w:b/>
          <w:sz w:val="21"/>
          <w:szCs w:val="21"/>
        </w:rPr>
      </w:pPr>
    </w:p>
    <w:p w14:paraId="01E2380C" w14:textId="5F3A2A0A" w:rsidR="00511F1A" w:rsidRDefault="00511F1A" w:rsidP="00511F1A">
      <w:pPr>
        <w:pStyle w:val="DHHSbody"/>
        <w:tabs>
          <w:tab w:val="left" w:pos="1134"/>
        </w:tabs>
        <w:rPr>
          <w:b/>
          <w:sz w:val="21"/>
          <w:szCs w:val="21"/>
        </w:rPr>
      </w:pPr>
      <w:r w:rsidRPr="00385A80">
        <w:rPr>
          <w:b/>
          <w:sz w:val="21"/>
          <w:szCs w:val="21"/>
        </w:rPr>
        <w:t xml:space="preserve">Appendix </w:t>
      </w:r>
      <w:r>
        <w:rPr>
          <w:b/>
          <w:sz w:val="21"/>
          <w:szCs w:val="21"/>
        </w:rPr>
        <w:t>2</w:t>
      </w:r>
    </w:p>
    <w:tbl>
      <w:tblPr>
        <w:tblStyle w:val="TableGrid"/>
        <w:tblW w:w="4995" w:type="pct"/>
        <w:tblLook w:val="04A0" w:firstRow="1" w:lastRow="0" w:firstColumn="1" w:lastColumn="0" w:noHBand="0" w:noVBand="1"/>
      </w:tblPr>
      <w:tblGrid>
        <w:gridCol w:w="2829"/>
        <w:gridCol w:w="7355"/>
      </w:tblGrid>
      <w:tr w:rsidR="00511F1A" w14:paraId="09C1FBD1" w14:textId="77777777">
        <w:tc>
          <w:tcPr>
            <w:tcW w:w="1389" w:type="pct"/>
          </w:tcPr>
          <w:p w14:paraId="5E8CCD45" w14:textId="77777777" w:rsidR="00511F1A" w:rsidRDefault="00511F1A">
            <w:pPr>
              <w:pStyle w:val="DHHSbody"/>
              <w:rPr>
                <w:b/>
                <w:sz w:val="21"/>
                <w:szCs w:val="21"/>
              </w:rPr>
            </w:pPr>
            <w:r>
              <w:rPr>
                <w:b/>
                <w:sz w:val="21"/>
                <w:szCs w:val="21"/>
              </w:rPr>
              <w:t>Column 1</w:t>
            </w:r>
          </w:p>
          <w:p w14:paraId="5AABB0A6" w14:textId="0CA9B662" w:rsidR="00511F1A" w:rsidRDefault="00AE3297">
            <w:pPr>
              <w:pStyle w:val="DHHSbody"/>
              <w:rPr>
                <w:b/>
                <w:sz w:val="21"/>
                <w:szCs w:val="21"/>
              </w:rPr>
            </w:pPr>
            <w:r>
              <w:rPr>
                <w:b/>
                <w:sz w:val="21"/>
                <w:szCs w:val="21"/>
              </w:rPr>
              <w:t xml:space="preserve">Classes </w:t>
            </w:r>
            <w:r w:rsidR="00511F1A">
              <w:rPr>
                <w:b/>
                <w:sz w:val="21"/>
                <w:szCs w:val="21"/>
              </w:rPr>
              <w:t>of oral contraceptive pills</w:t>
            </w:r>
          </w:p>
        </w:tc>
        <w:tc>
          <w:tcPr>
            <w:tcW w:w="3611" w:type="pct"/>
          </w:tcPr>
          <w:p w14:paraId="07A4C652" w14:textId="77777777" w:rsidR="00511F1A" w:rsidRDefault="00511F1A">
            <w:pPr>
              <w:pStyle w:val="DHHSbody"/>
              <w:rPr>
                <w:b/>
                <w:sz w:val="21"/>
                <w:szCs w:val="21"/>
              </w:rPr>
            </w:pPr>
            <w:r>
              <w:rPr>
                <w:b/>
                <w:sz w:val="21"/>
                <w:szCs w:val="21"/>
              </w:rPr>
              <w:t xml:space="preserve">Column 2 </w:t>
            </w:r>
          </w:p>
          <w:p w14:paraId="5758EE7C" w14:textId="5B143E6D" w:rsidR="00511F1A" w:rsidRDefault="00511F1A">
            <w:pPr>
              <w:pStyle w:val="DHHSbody"/>
              <w:rPr>
                <w:b/>
                <w:sz w:val="21"/>
                <w:szCs w:val="21"/>
              </w:rPr>
            </w:pPr>
            <w:r>
              <w:rPr>
                <w:b/>
                <w:sz w:val="21"/>
                <w:szCs w:val="21"/>
              </w:rPr>
              <w:t xml:space="preserve">Conditions of sale or supply without a </w:t>
            </w:r>
            <w:r w:rsidRPr="00A40796">
              <w:rPr>
                <w:b/>
                <w:sz w:val="21"/>
                <w:szCs w:val="21"/>
              </w:rPr>
              <w:t>prescription or other instruction or authorisation</w:t>
            </w:r>
          </w:p>
        </w:tc>
      </w:tr>
      <w:tr w:rsidR="00511F1A" w14:paraId="2177303B" w14:textId="77777777">
        <w:tc>
          <w:tcPr>
            <w:tcW w:w="1389" w:type="pct"/>
          </w:tcPr>
          <w:p w14:paraId="1B76CDCC" w14:textId="77777777" w:rsidR="00511F1A" w:rsidRPr="00511F1A" w:rsidRDefault="00511F1A" w:rsidP="00511F1A">
            <w:pPr>
              <w:spacing w:after="0" w:line="240" w:lineRule="auto"/>
              <w:rPr>
                <w:sz w:val="20"/>
                <w:szCs w:val="20"/>
              </w:rPr>
            </w:pPr>
            <w:r w:rsidRPr="00511F1A">
              <w:rPr>
                <w:sz w:val="20"/>
                <w:szCs w:val="20"/>
              </w:rPr>
              <w:t>Combined oral contraceptives</w:t>
            </w:r>
          </w:p>
          <w:p w14:paraId="37C1DB82" w14:textId="75FCD27C" w:rsidR="00511F1A" w:rsidRPr="00511F1A" w:rsidRDefault="00511F1A" w:rsidP="00511F1A">
            <w:pPr>
              <w:spacing w:after="0" w:line="240" w:lineRule="auto"/>
              <w:rPr>
                <w:sz w:val="20"/>
                <w:szCs w:val="20"/>
              </w:rPr>
            </w:pPr>
            <w:r w:rsidRPr="00511F1A">
              <w:rPr>
                <w:sz w:val="20"/>
                <w:szCs w:val="20"/>
              </w:rPr>
              <w:t>Progestogens</w:t>
            </w:r>
          </w:p>
          <w:p w14:paraId="3E18EA28" w14:textId="3401F2BF" w:rsidR="00511F1A" w:rsidRDefault="00511F1A" w:rsidP="00511F1A">
            <w:pPr>
              <w:spacing w:after="0" w:line="240" w:lineRule="auto"/>
              <w:rPr>
                <w:b/>
                <w:sz w:val="21"/>
                <w:szCs w:val="21"/>
              </w:rPr>
            </w:pPr>
          </w:p>
        </w:tc>
        <w:tc>
          <w:tcPr>
            <w:tcW w:w="3611" w:type="pct"/>
          </w:tcPr>
          <w:p w14:paraId="5CDBCFCE" w14:textId="03017856" w:rsidR="00511F1A" w:rsidRDefault="00511F1A">
            <w:pPr>
              <w:pStyle w:val="DHHSbody"/>
              <w:numPr>
                <w:ilvl w:val="0"/>
                <w:numId w:val="16"/>
              </w:numPr>
              <w:tabs>
                <w:tab w:val="left" w:pos="1134"/>
              </w:tabs>
              <w:spacing w:after="0"/>
              <w:rPr>
                <w:rFonts w:asciiTheme="minorHAnsi" w:hAnsiTheme="minorHAnsi" w:cstheme="minorHAnsi"/>
              </w:rPr>
            </w:pPr>
            <w:r>
              <w:rPr>
                <w:rFonts w:asciiTheme="minorHAnsi" w:hAnsiTheme="minorHAnsi" w:cstheme="minorHAnsi"/>
              </w:rPr>
              <w:t xml:space="preserve">sale or supply must be in compliance </w:t>
            </w:r>
            <w:r w:rsidRPr="00511F1A">
              <w:rPr>
                <w:rFonts w:asciiTheme="minorHAnsi" w:hAnsiTheme="minorHAnsi" w:cstheme="minorHAnsi"/>
              </w:rPr>
              <w:t>with the Protocol for</w:t>
            </w:r>
            <w:r>
              <w:rPr>
                <w:rFonts w:asciiTheme="minorHAnsi" w:hAnsiTheme="minorHAnsi" w:cstheme="minorHAnsi"/>
              </w:rPr>
              <w:t xml:space="preserve"> Resupply of the Oral Contraceptive Pill</w:t>
            </w:r>
            <w:r w:rsidR="00AD0C8B">
              <w:rPr>
                <w:rStyle w:val="FootnoteReference"/>
                <w:rFonts w:asciiTheme="minorHAnsi" w:hAnsiTheme="minorHAnsi" w:cstheme="minorHAnsi"/>
              </w:rPr>
              <w:footnoteReference w:id="7"/>
            </w:r>
            <w:r>
              <w:rPr>
                <w:rFonts w:asciiTheme="minorHAnsi" w:hAnsiTheme="minorHAnsi" w:cstheme="minorHAnsi"/>
              </w:rPr>
              <w:t xml:space="preserve"> </w:t>
            </w:r>
            <w:r w:rsidRPr="00511F1A">
              <w:rPr>
                <w:rFonts w:asciiTheme="minorHAnsi" w:hAnsiTheme="minorHAnsi" w:cstheme="minorHAnsi"/>
              </w:rPr>
              <w:t>as updated from time to time by Safer Care Victoria</w:t>
            </w:r>
            <w:r>
              <w:rPr>
                <w:rFonts w:asciiTheme="minorHAnsi" w:hAnsiTheme="minorHAnsi" w:cstheme="minorHAnsi"/>
              </w:rPr>
              <w:t>;</w:t>
            </w:r>
          </w:p>
          <w:p w14:paraId="77BFF26A" w14:textId="0131D112" w:rsidR="00511F1A" w:rsidRDefault="00511F1A">
            <w:pPr>
              <w:pStyle w:val="DHHSbody"/>
              <w:numPr>
                <w:ilvl w:val="0"/>
                <w:numId w:val="16"/>
              </w:numPr>
              <w:tabs>
                <w:tab w:val="left" w:pos="1134"/>
              </w:tabs>
              <w:spacing w:after="0"/>
              <w:rPr>
                <w:rFonts w:asciiTheme="minorHAnsi" w:hAnsiTheme="minorHAnsi" w:cstheme="minorHAnsi"/>
              </w:rPr>
            </w:pPr>
            <w:r>
              <w:rPr>
                <w:rFonts w:asciiTheme="minorHAnsi" w:hAnsiTheme="minorHAnsi" w:cstheme="minorHAnsi"/>
              </w:rPr>
              <w:t xml:space="preserve">the pharmacist has successfully completed the current training requirements specified </w:t>
            </w:r>
            <w:r w:rsidR="004172E1">
              <w:rPr>
                <w:rFonts w:asciiTheme="minorHAnsi" w:hAnsiTheme="minorHAnsi" w:cstheme="minorHAnsi"/>
              </w:rPr>
              <w:t>on the Community Pharmacist Statewide Pilot website</w:t>
            </w:r>
            <w:r w:rsidR="006B2393">
              <w:rPr>
                <w:rFonts w:asciiTheme="minorHAnsi" w:hAnsiTheme="minorHAnsi" w:cstheme="minorHAnsi"/>
              </w:rPr>
              <w:t>;</w:t>
            </w:r>
          </w:p>
          <w:p w14:paraId="0C37BE66" w14:textId="276B8D7B" w:rsidR="006B2393" w:rsidRDefault="00511F1A">
            <w:pPr>
              <w:pStyle w:val="DHHSbody"/>
              <w:numPr>
                <w:ilvl w:val="0"/>
                <w:numId w:val="16"/>
              </w:numPr>
              <w:tabs>
                <w:tab w:val="left" w:pos="1134"/>
              </w:tabs>
              <w:spacing w:after="0"/>
              <w:rPr>
                <w:rFonts w:asciiTheme="minorHAnsi" w:hAnsiTheme="minorHAnsi" w:cstheme="minorBidi"/>
              </w:rPr>
            </w:pPr>
            <w:r w:rsidRPr="6980B5DE">
              <w:rPr>
                <w:rFonts w:asciiTheme="minorHAnsi" w:hAnsiTheme="minorHAnsi" w:cstheme="minorBidi"/>
              </w:rPr>
              <w:t>a</w:t>
            </w:r>
            <w:r w:rsidR="2929AE86" w:rsidRPr="6980B5DE">
              <w:rPr>
                <w:rFonts w:asciiTheme="minorHAnsi" w:hAnsiTheme="minorHAnsi" w:cstheme="minorBidi"/>
              </w:rPr>
              <w:t>n</w:t>
            </w:r>
            <w:r w:rsidRPr="6980B5DE">
              <w:rPr>
                <w:rFonts w:asciiTheme="minorHAnsi" w:hAnsiTheme="minorHAnsi" w:cstheme="minorBidi"/>
              </w:rPr>
              <w:t xml:space="preserve"> </w:t>
            </w:r>
            <w:r w:rsidR="2095A872" w:rsidRPr="6980B5DE">
              <w:rPr>
                <w:rFonts w:asciiTheme="minorHAnsi" w:hAnsiTheme="minorHAnsi" w:cstheme="minorBidi"/>
              </w:rPr>
              <w:t>oral contraceptive pill</w:t>
            </w:r>
            <w:r w:rsidRPr="6980B5DE">
              <w:rPr>
                <w:rFonts w:asciiTheme="minorHAnsi" w:hAnsiTheme="minorHAnsi" w:cstheme="minorBidi"/>
              </w:rPr>
              <w:t xml:space="preserve"> listed in column 1 is only </w:t>
            </w:r>
            <w:r w:rsidR="006B2393" w:rsidRPr="6980B5DE">
              <w:rPr>
                <w:rFonts w:asciiTheme="minorHAnsi" w:hAnsiTheme="minorHAnsi" w:cstheme="minorBidi"/>
              </w:rPr>
              <w:t xml:space="preserve">to be sold or </w:t>
            </w:r>
            <w:r w:rsidRPr="6980B5DE">
              <w:rPr>
                <w:rFonts w:asciiTheme="minorHAnsi" w:hAnsiTheme="minorHAnsi" w:cstheme="minorBidi"/>
              </w:rPr>
              <w:t xml:space="preserve">supplied to a </w:t>
            </w:r>
            <w:r w:rsidR="008B6131">
              <w:rPr>
                <w:rFonts w:asciiTheme="minorHAnsi" w:hAnsiTheme="minorHAnsi" w:cstheme="minorBidi"/>
              </w:rPr>
              <w:t>female</w:t>
            </w:r>
            <w:r w:rsidRPr="6980B5DE">
              <w:rPr>
                <w:rFonts w:asciiTheme="minorHAnsi" w:hAnsiTheme="minorHAnsi" w:cstheme="minorBidi"/>
              </w:rPr>
              <w:t xml:space="preserve">, aged between </w:t>
            </w:r>
            <w:r w:rsidR="00E40A40" w:rsidRPr="6980B5DE">
              <w:rPr>
                <w:rFonts w:asciiTheme="minorHAnsi" w:hAnsiTheme="minorHAnsi" w:cstheme="minorBidi"/>
              </w:rPr>
              <w:t>1</w:t>
            </w:r>
            <w:r w:rsidR="00E40A40">
              <w:rPr>
                <w:rFonts w:asciiTheme="minorHAnsi" w:hAnsiTheme="minorHAnsi" w:cstheme="minorBidi"/>
              </w:rPr>
              <w:t>6</w:t>
            </w:r>
            <w:r w:rsidR="00E40A40" w:rsidRPr="6980B5DE">
              <w:rPr>
                <w:rFonts w:asciiTheme="minorHAnsi" w:hAnsiTheme="minorHAnsi" w:cstheme="minorBidi"/>
              </w:rPr>
              <w:t xml:space="preserve"> </w:t>
            </w:r>
            <w:r w:rsidRPr="6980B5DE">
              <w:rPr>
                <w:rFonts w:asciiTheme="minorHAnsi" w:hAnsiTheme="minorHAnsi" w:cstheme="minorBidi"/>
              </w:rPr>
              <w:t xml:space="preserve">and 50 years who is not </w:t>
            </w:r>
            <w:r w:rsidR="00F40A4D">
              <w:rPr>
                <w:rFonts w:asciiTheme="minorHAnsi" w:hAnsiTheme="minorHAnsi" w:cstheme="minorBidi"/>
              </w:rPr>
              <w:t xml:space="preserve">known to be </w:t>
            </w:r>
            <w:r w:rsidRPr="6980B5DE">
              <w:rPr>
                <w:rFonts w:asciiTheme="minorHAnsi" w:hAnsiTheme="minorHAnsi" w:cstheme="minorBidi"/>
              </w:rPr>
              <w:t>pregnant</w:t>
            </w:r>
            <w:r w:rsidR="006B2393" w:rsidRPr="6980B5DE">
              <w:rPr>
                <w:rFonts w:asciiTheme="minorHAnsi" w:hAnsiTheme="minorHAnsi" w:cstheme="minorBidi"/>
              </w:rPr>
              <w:t>;</w:t>
            </w:r>
          </w:p>
          <w:p w14:paraId="58880B25" w14:textId="38D87084" w:rsidR="009E1286" w:rsidRDefault="00736C90">
            <w:pPr>
              <w:pStyle w:val="DHHSbody"/>
              <w:numPr>
                <w:ilvl w:val="0"/>
                <w:numId w:val="16"/>
              </w:numPr>
              <w:tabs>
                <w:tab w:val="left" w:pos="1134"/>
              </w:tabs>
              <w:spacing w:after="0"/>
              <w:rPr>
                <w:rFonts w:asciiTheme="minorHAnsi" w:hAnsiTheme="minorHAnsi" w:cstheme="minorBidi"/>
              </w:rPr>
            </w:pPr>
            <w:r>
              <w:rPr>
                <w:rFonts w:asciiTheme="minorHAnsi" w:hAnsiTheme="minorHAnsi" w:cstheme="minorBidi"/>
              </w:rPr>
              <w:t>an</w:t>
            </w:r>
            <w:r w:rsidR="00E03060">
              <w:rPr>
                <w:rFonts w:asciiTheme="minorHAnsi" w:hAnsiTheme="minorHAnsi" w:cstheme="minorBidi"/>
              </w:rPr>
              <w:t xml:space="preserve"> </w:t>
            </w:r>
            <w:r w:rsidR="092DB59C" w:rsidRPr="6980B5DE">
              <w:rPr>
                <w:rFonts w:asciiTheme="minorHAnsi" w:hAnsiTheme="minorHAnsi" w:cstheme="minorBidi"/>
              </w:rPr>
              <w:t xml:space="preserve">oral contraceptive pill </w:t>
            </w:r>
            <w:r w:rsidR="009E1286" w:rsidRPr="6980B5DE">
              <w:rPr>
                <w:rFonts w:asciiTheme="minorHAnsi" w:hAnsiTheme="minorHAnsi" w:cstheme="minorBidi"/>
              </w:rPr>
              <w:t xml:space="preserve">listed in column 1 </w:t>
            </w:r>
            <w:r w:rsidR="001B7DF7">
              <w:rPr>
                <w:rFonts w:asciiTheme="minorHAnsi" w:hAnsiTheme="minorHAnsi" w:cstheme="minorBidi"/>
              </w:rPr>
              <w:t xml:space="preserve">must not </w:t>
            </w:r>
            <w:r w:rsidR="00D10956" w:rsidRPr="6980B5DE">
              <w:rPr>
                <w:rFonts w:asciiTheme="minorHAnsi" w:hAnsiTheme="minorHAnsi" w:cstheme="minorBidi"/>
              </w:rPr>
              <w:t>contain 50 microgram ethinylestradiol equivalent or above;</w:t>
            </w:r>
          </w:p>
          <w:p w14:paraId="08578ADF" w14:textId="3FDBAF41" w:rsidR="00511F1A" w:rsidRPr="005132CB" w:rsidRDefault="39348BCE" w:rsidP="005132CB">
            <w:pPr>
              <w:pStyle w:val="DHHSbody"/>
              <w:numPr>
                <w:ilvl w:val="0"/>
                <w:numId w:val="16"/>
              </w:numPr>
              <w:tabs>
                <w:tab w:val="left" w:pos="1134"/>
              </w:tabs>
              <w:spacing w:after="0"/>
              <w:rPr>
                <w:rFonts w:asciiTheme="minorHAnsi" w:hAnsiTheme="minorHAnsi" w:cstheme="minorBidi"/>
              </w:rPr>
            </w:pPr>
            <w:r w:rsidRPr="13DAA669">
              <w:rPr>
                <w:rFonts w:asciiTheme="minorHAnsi" w:hAnsiTheme="minorHAnsi" w:cstheme="minorBidi"/>
              </w:rPr>
              <w:t>an oral contraceptive pill</w:t>
            </w:r>
            <w:r w:rsidR="006B2393" w:rsidRPr="13DAA669">
              <w:rPr>
                <w:rFonts w:asciiTheme="minorHAnsi" w:hAnsiTheme="minorHAnsi" w:cstheme="minorBidi"/>
              </w:rPr>
              <w:t xml:space="preserve"> listed in column 1 is only to be sold or supplied</w:t>
            </w:r>
            <w:r w:rsidR="00511F1A" w:rsidRPr="13DAA669">
              <w:rPr>
                <w:rFonts w:asciiTheme="minorHAnsi" w:hAnsiTheme="minorHAnsi" w:cstheme="minorBidi"/>
              </w:rPr>
              <w:t xml:space="preserve"> </w:t>
            </w:r>
            <w:r w:rsidR="006B2393" w:rsidRPr="13DAA669">
              <w:rPr>
                <w:rFonts w:asciiTheme="minorHAnsi" w:hAnsiTheme="minorHAnsi" w:cstheme="minorBidi"/>
              </w:rPr>
              <w:t>to a person who has been prescribed the oral contraceptive pill by a general practitioner or nurse practitioner in the last two years</w:t>
            </w:r>
            <w:r w:rsidR="00E40A40">
              <w:rPr>
                <w:rFonts w:asciiTheme="minorHAnsi" w:hAnsiTheme="minorHAnsi" w:cstheme="minorBidi"/>
              </w:rPr>
              <w:t xml:space="preserve">, has been stabilised on that pill for two years </w:t>
            </w:r>
            <w:r w:rsidR="006B2393" w:rsidRPr="13DAA669">
              <w:rPr>
                <w:rFonts w:asciiTheme="minorHAnsi" w:hAnsiTheme="minorHAnsi" w:cstheme="minorBidi"/>
              </w:rPr>
              <w:t>and who has been taking the oral contraceptive pill continuously since that prescription.</w:t>
            </w:r>
          </w:p>
        </w:tc>
      </w:tr>
    </w:tbl>
    <w:p w14:paraId="72A5D39D" w14:textId="486C9CC9" w:rsidR="00370D34" w:rsidRDefault="00370D34" w:rsidP="00EA0F39">
      <w:pPr>
        <w:pStyle w:val="DHHSbody"/>
        <w:keepNext/>
        <w:rPr>
          <w:b/>
          <w:color w:val="000000" w:themeColor="text1"/>
          <w:sz w:val="21"/>
          <w:szCs w:val="21"/>
        </w:rPr>
      </w:pPr>
      <w:r w:rsidRPr="00122497">
        <w:rPr>
          <w:b/>
          <w:color w:val="000000" w:themeColor="text1"/>
          <w:sz w:val="21"/>
          <w:szCs w:val="21"/>
        </w:rPr>
        <w:lastRenderedPageBreak/>
        <w:t xml:space="preserve">Appendix </w:t>
      </w:r>
      <w:r>
        <w:rPr>
          <w:b/>
          <w:color w:val="000000" w:themeColor="text1"/>
          <w:sz w:val="21"/>
          <w:szCs w:val="21"/>
        </w:rPr>
        <w:t>3</w:t>
      </w:r>
    </w:p>
    <w:tbl>
      <w:tblPr>
        <w:tblStyle w:val="TableGrid"/>
        <w:tblW w:w="10206" w:type="dxa"/>
        <w:tblInd w:w="-5" w:type="dxa"/>
        <w:tblLook w:val="04A0" w:firstRow="1" w:lastRow="0" w:firstColumn="1" w:lastColumn="0" w:noHBand="0" w:noVBand="1"/>
      </w:tblPr>
      <w:tblGrid>
        <w:gridCol w:w="1843"/>
        <w:gridCol w:w="3686"/>
        <w:gridCol w:w="4677"/>
      </w:tblGrid>
      <w:tr w:rsidR="00A40796" w:rsidRPr="00122497" w14:paraId="56DA67C6" w14:textId="77777777" w:rsidTr="15E0C89F">
        <w:tc>
          <w:tcPr>
            <w:tcW w:w="1843" w:type="dxa"/>
          </w:tcPr>
          <w:p w14:paraId="32ED65FB" w14:textId="77777777" w:rsidR="00A40796" w:rsidRPr="00A40796" w:rsidRDefault="00A40796" w:rsidP="00EA0F39">
            <w:pPr>
              <w:pStyle w:val="DHHSbody"/>
              <w:keepNext/>
              <w:tabs>
                <w:tab w:val="left" w:pos="1134"/>
              </w:tabs>
              <w:spacing w:after="0"/>
              <w:rPr>
                <w:rFonts w:cs="Arial"/>
                <w:b/>
                <w:bCs/>
                <w:color w:val="000000" w:themeColor="text1"/>
                <w:sz w:val="21"/>
                <w:szCs w:val="21"/>
              </w:rPr>
            </w:pPr>
            <w:r w:rsidRPr="00A40796">
              <w:rPr>
                <w:rFonts w:cs="Arial"/>
                <w:b/>
                <w:bCs/>
                <w:color w:val="000000" w:themeColor="text1"/>
                <w:sz w:val="21"/>
                <w:szCs w:val="21"/>
              </w:rPr>
              <w:t>Column 1</w:t>
            </w:r>
          </w:p>
          <w:p w14:paraId="0493E660" w14:textId="5032180D" w:rsidR="00A40796" w:rsidRPr="00F67868" w:rsidRDefault="00A40796" w:rsidP="00EA0F39">
            <w:pPr>
              <w:pStyle w:val="DHHSbody"/>
              <w:keepNext/>
              <w:tabs>
                <w:tab w:val="left" w:pos="1134"/>
              </w:tabs>
              <w:spacing w:after="0"/>
              <w:rPr>
                <w:rFonts w:asciiTheme="minorHAnsi" w:hAnsiTheme="minorHAnsi" w:cstheme="minorHAnsi"/>
              </w:rPr>
            </w:pPr>
            <w:r w:rsidRPr="00A40796">
              <w:rPr>
                <w:rFonts w:cs="Arial"/>
                <w:b/>
                <w:bCs/>
                <w:color w:val="000000" w:themeColor="text1"/>
                <w:sz w:val="21"/>
                <w:szCs w:val="21"/>
              </w:rPr>
              <w:t>Generic name of vaccine</w:t>
            </w:r>
          </w:p>
        </w:tc>
        <w:tc>
          <w:tcPr>
            <w:tcW w:w="3686" w:type="dxa"/>
          </w:tcPr>
          <w:p w14:paraId="3A483B10" w14:textId="77777777" w:rsidR="003F780B" w:rsidRDefault="00885A25" w:rsidP="00EA0F39">
            <w:pPr>
              <w:pStyle w:val="DHHStablebullet"/>
              <w:keepNext/>
              <w:spacing w:before="0" w:after="0" w:line="270" w:lineRule="atLeast"/>
              <w:rPr>
                <w:rFonts w:cs="Arial"/>
                <w:b/>
                <w:bCs/>
                <w:color w:val="000000" w:themeColor="text1"/>
                <w:sz w:val="21"/>
                <w:szCs w:val="21"/>
              </w:rPr>
            </w:pPr>
            <w:r>
              <w:rPr>
                <w:rFonts w:cs="Arial"/>
                <w:b/>
                <w:bCs/>
                <w:color w:val="000000" w:themeColor="text1"/>
                <w:sz w:val="21"/>
                <w:szCs w:val="21"/>
              </w:rPr>
              <w:t>Column 2</w:t>
            </w:r>
          </w:p>
          <w:p w14:paraId="38F9A9AC" w14:textId="14952F67" w:rsidR="00A40796" w:rsidRPr="00A40796" w:rsidRDefault="00A40796" w:rsidP="00EA0F39">
            <w:pPr>
              <w:pStyle w:val="DHHStablebullet"/>
              <w:keepNext/>
              <w:spacing w:before="0" w:after="0" w:line="270" w:lineRule="atLeast"/>
              <w:ind w:left="0" w:firstLine="0"/>
              <w:rPr>
                <w:rFonts w:cs="Arial"/>
                <w:b/>
                <w:bCs/>
                <w:color w:val="000000" w:themeColor="text1"/>
                <w:sz w:val="21"/>
                <w:szCs w:val="21"/>
              </w:rPr>
            </w:pPr>
            <w:r w:rsidRPr="00A40796">
              <w:rPr>
                <w:rFonts w:cs="Arial"/>
                <w:b/>
                <w:bCs/>
                <w:color w:val="000000" w:themeColor="text1"/>
                <w:sz w:val="21"/>
                <w:szCs w:val="21"/>
              </w:rPr>
              <w:t xml:space="preserve">Approval for pharmacists to </w:t>
            </w:r>
            <w:r w:rsidR="008E5402">
              <w:rPr>
                <w:rFonts w:cs="Arial"/>
                <w:b/>
                <w:bCs/>
                <w:color w:val="000000" w:themeColor="text1"/>
                <w:sz w:val="21"/>
                <w:szCs w:val="21"/>
              </w:rPr>
              <w:t xml:space="preserve">administer </w:t>
            </w:r>
            <w:r w:rsidR="00020360">
              <w:rPr>
                <w:rFonts w:cs="Arial"/>
                <w:b/>
                <w:bCs/>
                <w:color w:val="000000" w:themeColor="text1"/>
                <w:sz w:val="21"/>
                <w:szCs w:val="21"/>
              </w:rPr>
              <w:t>this vaccine</w:t>
            </w:r>
            <w:r w:rsidRPr="00A40796">
              <w:rPr>
                <w:rFonts w:cs="Arial"/>
                <w:b/>
                <w:bCs/>
                <w:color w:val="000000" w:themeColor="text1"/>
                <w:sz w:val="21"/>
                <w:szCs w:val="21"/>
              </w:rPr>
              <w:t xml:space="preserve"> </w:t>
            </w:r>
            <w:r w:rsidRPr="00EA0F39">
              <w:rPr>
                <w:rFonts w:cs="Arial"/>
                <w:b/>
                <w:bCs/>
                <w:i/>
                <w:iCs/>
                <w:color w:val="000000" w:themeColor="text1"/>
                <w:sz w:val="21"/>
                <w:szCs w:val="21"/>
              </w:rPr>
              <w:t>applies to</w:t>
            </w:r>
          </w:p>
        </w:tc>
        <w:tc>
          <w:tcPr>
            <w:tcW w:w="4677" w:type="dxa"/>
          </w:tcPr>
          <w:p w14:paraId="0597F5F6" w14:textId="77777777" w:rsidR="00BF48C5" w:rsidRDefault="00BF48C5" w:rsidP="00EA0F39">
            <w:pPr>
              <w:pStyle w:val="DHHStablebullet"/>
              <w:keepNext/>
              <w:spacing w:before="0" w:after="0" w:line="270" w:lineRule="atLeast"/>
              <w:rPr>
                <w:rFonts w:cs="Arial"/>
                <w:b/>
                <w:bCs/>
                <w:color w:val="000000" w:themeColor="text1"/>
                <w:sz w:val="21"/>
                <w:szCs w:val="21"/>
              </w:rPr>
            </w:pPr>
            <w:r>
              <w:rPr>
                <w:rFonts w:cs="Arial"/>
                <w:b/>
                <w:bCs/>
                <w:color w:val="000000" w:themeColor="text1"/>
                <w:sz w:val="21"/>
                <w:szCs w:val="21"/>
              </w:rPr>
              <w:t>Column 3</w:t>
            </w:r>
          </w:p>
          <w:p w14:paraId="5CEEF92F" w14:textId="71D99422" w:rsidR="00A40796" w:rsidRPr="00A40796" w:rsidRDefault="00A40796" w:rsidP="00EA0F39">
            <w:pPr>
              <w:pStyle w:val="DHHStablebullet"/>
              <w:keepNext/>
              <w:spacing w:before="0" w:after="0" w:line="270" w:lineRule="atLeast"/>
              <w:ind w:left="0" w:firstLine="0"/>
              <w:rPr>
                <w:rFonts w:asciiTheme="minorHAnsi" w:hAnsiTheme="minorHAnsi" w:cstheme="minorHAnsi"/>
                <w:b/>
                <w:bCs/>
              </w:rPr>
            </w:pPr>
            <w:r w:rsidRPr="00A40796">
              <w:rPr>
                <w:rFonts w:cs="Arial"/>
                <w:b/>
                <w:bCs/>
                <w:color w:val="000000" w:themeColor="text1"/>
                <w:sz w:val="21"/>
                <w:szCs w:val="21"/>
              </w:rPr>
              <w:t xml:space="preserve">Approval for pharmacists to </w:t>
            </w:r>
            <w:r w:rsidR="00020360">
              <w:rPr>
                <w:rFonts w:cs="Arial"/>
                <w:b/>
                <w:bCs/>
                <w:color w:val="000000" w:themeColor="text1"/>
                <w:sz w:val="21"/>
                <w:szCs w:val="21"/>
              </w:rPr>
              <w:t>administer</w:t>
            </w:r>
            <w:r w:rsidRPr="00A40796">
              <w:rPr>
                <w:rFonts w:cs="Arial"/>
                <w:b/>
                <w:bCs/>
                <w:color w:val="000000" w:themeColor="text1"/>
                <w:sz w:val="21"/>
                <w:szCs w:val="21"/>
              </w:rPr>
              <w:t xml:space="preserve"> th</w:t>
            </w:r>
            <w:r w:rsidR="00020360">
              <w:rPr>
                <w:rFonts w:cs="Arial"/>
                <w:b/>
                <w:bCs/>
                <w:color w:val="000000" w:themeColor="text1"/>
                <w:sz w:val="21"/>
                <w:szCs w:val="21"/>
              </w:rPr>
              <w:t>is</w:t>
            </w:r>
            <w:r w:rsidR="00A26747">
              <w:rPr>
                <w:rFonts w:cs="Arial"/>
                <w:b/>
                <w:bCs/>
                <w:color w:val="000000" w:themeColor="text1"/>
                <w:sz w:val="21"/>
                <w:szCs w:val="21"/>
              </w:rPr>
              <w:t xml:space="preserve"> </w:t>
            </w:r>
            <w:r w:rsidRPr="00A40796">
              <w:rPr>
                <w:rFonts w:cs="Arial"/>
                <w:b/>
                <w:bCs/>
                <w:color w:val="000000" w:themeColor="text1"/>
                <w:sz w:val="21"/>
                <w:szCs w:val="21"/>
              </w:rPr>
              <w:t xml:space="preserve">vaccine </w:t>
            </w:r>
            <w:r w:rsidRPr="00A40796">
              <w:rPr>
                <w:rFonts w:cs="Arial"/>
                <w:b/>
                <w:bCs/>
                <w:i/>
                <w:iCs/>
                <w:color w:val="000000" w:themeColor="text1"/>
                <w:sz w:val="21"/>
                <w:szCs w:val="21"/>
              </w:rPr>
              <w:t>excludes</w:t>
            </w:r>
          </w:p>
        </w:tc>
      </w:tr>
      <w:tr w:rsidR="00370D34" w:rsidRPr="00122497" w14:paraId="4D338253" w14:textId="77777777" w:rsidTr="15E0C89F">
        <w:tc>
          <w:tcPr>
            <w:tcW w:w="1843" w:type="dxa"/>
          </w:tcPr>
          <w:p w14:paraId="29593B65" w14:textId="77777777" w:rsidR="00A40796" w:rsidRPr="00F67868" w:rsidRDefault="00A40796"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Influenza vaccine</w:t>
            </w:r>
          </w:p>
          <w:p w14:paraId="5F48555A" w14:textId="77777777" w:rsidR="00A40796" w:rsidRPr="00F67868" w:rsidRDefault="00A40796"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Hepatitis A vaccine</w:t>
            </w:r>
          </w:p>
          <w:p w14:paraId="74FF385B" w14:textId="77777777" w:rsidR="00A40796" w:rsidRPr="00F67868" w:rsidRDefault="00A40796"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Hepatitis B vaccine</w:t>
            </w:r>
          </w:p>
          <w:p w14:paraId="7682AE7D" w14:textId="0E6CDE49" w:rsidR="002D78FF" w:rsidRPr="00F67868" w:rsidRDefault="00A40796"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Poliomyelitis vaccine</w:t>
            </w:r>
          </w:p>
          <w:p w14:paraId="7774D94F" w14:textId="77777777" w:rsidR="00A40796" w:rsidRPr="00F67868" w:rsidRDefault="00A40796"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Typhoid vaccine</w:t>
            </w:r>
          </w:p>
          <w:p w14:paraId="1D9D96E2" w14:textId="77777777" w:rsidR="00566195" w:rsidRPr="004D4F33" w:rsidRDefault="00566195" w:rsidP="004D4F33"/>
          <w:p w14:paraId="68C9FE64" w14:textId="77777777" w:rsidR="00566195" w:rsidRPr="004D4F33" w:rsidRDefault="00566195" w:rsidP="004D4F33"/>
          <w:p w14:paraId="0103B8EC" w14:textId="77777777" w:rsidR="00566195" w:rsidRPr="004D4F33" w:rsidRDefault="00566195" w:rsidP="004D4F33"/>
          <w:p w14:paraId="73279384" w14:textId="77777777" w:rsidR="00566195" w:rsidRPr="004D4F33" w:rsidRDefault="00566195" w:rsidP="004D4F33"/>
          <w:p w14:paraId="39BF5AAD" w14:textId="06D9F8B9" w:rsidR="00566195" w:rsidRPr="004D4F33" w:rsidRDefault="00566195" w:rsidP="004D4F33">
            <w:pPr>
              <w:jc w:val="center"/>
            </w:pPr>
          </w:p>
        </w:tc>
        <w:tc>
          <w:tcPr>
            <w:tcW w:w="3686" w:type="dxa"/>
          </w:tcPr>
          <w:p w14:paraId="7D06839F" w14:textId="2FB70244" w:rsidR="00370D34" w:rsidRPr="00122497" w:rsidRDefault="00370D34" w:rsidP="00695CB9">
            <w:pPr>
              <w:pStyle w:val="DHHSbullet1"/>
              <w:numPr>
                <w:ilvl w:val="0"/>
                <w:numId w:val="1"/>
              </w:numPr>
              <w:rPr>
                <w:color w:val="000000" w:themeColor="text1"/>
                <w:sz w:val="21"/>
                <w:szCs w:val="21"/>
              </w:rPr>
            </w:pPr>
            <w:r w:rsidRPr="00707A51">
              <w:rPr>
                <w:rStyle w:val="normaltextrun"/>
                <w:rFonts w:asciiTheme="minorHAnsi" w:eastAsia="Times New Roman" w:hAnsiTheme="minorHAnsi" w:cstheme="minorHAnsi"/>
                <w:lang w:eastAsia="en-AU"/>
              </w:rPr>
              <w:t xml:space="preserve">Vaccination of people </w:t>
            </w:r>
            <w:r w:rsidR="2962A17C" w:rsidRPr="00707A51">
              <w:rPr>
                <w:rStyle w:val="normaltextrun"/>
                <w:rFonts w:asciiTheme="minorHAnsi" w:eastAsia="Times New Roman" w:hAnsiTheme="minorHAnsi" w:cstheme="minorHAnsi"/>
                <w:lang w:eastAsia="en-AU"/>
              </w:rPr>
              <w:t>aged 5 years and older</w:t>
            </w:r>
            <w:r w:rsidR="00A40796" w:rsidRPr="00707A51">
              <w:rPr>
                <w:rStyle w:val="normaltextrun"/>
                <w:rFonts w:asciiTheme="minorHAnsi" w:eastAsia="Times New Roman" w:hAnsiTheme="minorHAnsi" w:cstheme="minorHAnsi"/>
                <w:lang w:eastAsia="en-AU"/>
              </w:rPr>
              <w:t>, excluding those circumstances listed in Column 3</w:t>
            </w:r>
            <w:r w:rsidRPr="00707A51">
              <w:rPr>
                <w:rStyle w:val="normaltextrun"/>
                <w:rFonts w:asciiTheme="minorHAnsi" w:eastAsia="Times New Roman" w:hAnsiTheme="minorHAnsi" w:cstheme="minorHAnsi"/>
                <w:lang w:eastAsia="en-AU"/>
              </w:rPr>
              <w:t>.</w:t>
            </w:r>
          </w:p>
        </w:tc>
        <w:tc>
          <w:tcPr>
            <w:tcW w:w="4677" w:type="dxa"/>
          </w:tcPr>
          <w:p w14:paraId="5C3B813E" w14:textId="3BD7D381" w:rsidR="00A40796" w:rsidRPr="00F67868" w:rsidRDefault="0580AC81" w:rsidP="15E0C89F">
            <w:pPr>
              <w:pStyle w:val="DHHStablebullet"/>
              <w:numPr>
                <w:ilvl w:val="6"/>
                <w:numId w:val="1"/>
              </w:numPr>
              <w:spacing w:before="0" w:after="0" w:line="270" w:lineRule="atLeast"/>
              <w:rPr>
                <w:rFonts w:asciiTheme="minorHAnsi" w:hAnsiTheme="minorHAnsi" w:cstheme="minorBidi"/>
              </w:rPr>
            </w:pPr>
            <w:r w:rsidRPr="15E0C89F">
              <w:rPr>
                <w:rFonts w:asciiTheme="minorHAnsi" w:hAnsiTheme="minorHAnsi" w:cstheme="minorBidi"/>
              </w:rPr>
              <w:t xml:space="preserve"> </w:t>
            </w:r>
            <w:r w:rsidR="2ED7C1FF" w:rsidRPr="15E0C89F">
              <w:rPr>
                <w:rFonts w:asciiTheme="minorHAnsi" w:hAnsiTheme="minorHAnsi" w:cstheme="minorBidi"/>
              </w:rPr>
              <w:t xml:space="preserve">Vaccination of people aged 4 years and younger; </w:t>
            </w:r>
          </w:p>
          <w:p w14:paraId="71D9FEBD" w14:textId="77777777" w:rsidR="00A40796" w:rsidRPr="00F67868" w:rsidRDefault="00A40796" w:rsidP="00A40796">
            <w:pPr>
              <w:pStyle w:val="paragraph"/>
              <w:numPr>
                <w:ilvl w:val="0"/>
                <w:numId w:val="1"/>
              </w:numPr>
              <w:spacing w:before="0" w:beforeAutospacing="0" w:after="0" w:afterAutospacing="0" w:line="270" w:lineRule="atLeast"/>
              <w:textAlignment w:val="baseline"/>
              <w:rPr>
                <w:rFonts w:asciiTheme="minorHAnsi" w:hAnsiTheme="minorHAnsi" w:cstheme="minorHAnsi"/>
                <w:sz w:val="20"/>
                <w:szCs w:val="20"/>
              </w:rPr>
            </w:pPr>
            <w:r w:rsidRPr="00F67868">
              <w:rPr>
                <w:rStyle w:val="normaltextrun"/>
                <w:rFonts w:asciiTheme="minorHAnsi" w:hAnsiTheme="minorHAnsi" w:cstheme="minorHAnsi"/>
                <w:sz w:val="20"/>
                <w:szCs w:val="20"/>
                <w:shd w:val="clear" w:color="auto" w:fill="FFFFFF"/>
              </w:rPr>
              <w:t>Vaccination of contacts in the case of hepatitis A, unless directed by the Department of Health</w:t>
            </w:r>
            <w:r w:rsidRPr="00F67868">
              <w:rPr>
                <w:rStyle w:val="FootnoteReference"/>
                <w:rFonts w:asciiTheme="minorHAnsi" w:hAnsiTheme="minorHAnsi" w:cstheme="minorHAnsi"/>
                <w:sz w:val="20"/>
                <w:szCs w:val="20"/>
              </w:rPr>
              <w:footnoteReference w:id="8"/>
            </w:r>
            <w:r w:rsidRPr="00F67868">
              <w:rPr>
                <w:rStyle w:val="eop"/>
                <w:rFonts w:asciiTheme="minorHAnsi" w:eastAsia="MS Gothic" w:hAnsiTheme="minorHAnsi" w:cstheme="minorHAnsi"/>
                <w:sz w:val="20"/>
                <w:szCs w:val="20"/>
              </w:rPr>
              <w:t>;</w:t>
            </w:r>
          </w:p>
          <w:p w14:paraId="530E82FC" w14:textId="77777777" w:rsidR="00A40796" w:rsidRPr="00F67868" w:rsidRDefault="00A40796" w:rsidP="00A40796">
            <w:pPr>
              <w:pStyle w:val="paragraph"/>
              <w:numPr>
                <w:ilvl w:val="0"/>
                <w:numId w:val="1"/>
              </w:numPr>
              <w:spacing w:before="0" w:beforeAutospacing="0" w:after="0" w:afterAutospacing="0" w:line="270" w:lineRule="atLeast"/>
              <w:textAlignment w:val="baseline"/>
              <w:rPr>
                <w:rStyle w:val="eop"/>
                <w:rFonts w:asciiTheme="minorHAnsi" w:eastAsia="MS Gothic" w:hAnsiTheme="minorHAnsi" w:cstheme="minorHAnsi"/>
                <w:sz w:val="20"/>
                <w:szCs w:val="20"/>
              </w:rPr>
            </w:pPr>
            <w:r w:rsidRPr="00F67868">
              <w:rPr>
                <w:rStyle w:val="normaltextrun"/>
                <w:rFonts w:asciiTheme="minorHAnsi" w:hAnsiTheme="minorHAnsi" w:cstheme="minorHAnsi"/>
                <w:sz w:val="20"/>
                <w:szCs w:val="20"/>
              </w:rPr>
              <w:t>Immunisation with normal human immunoglobulin for the prophylaxis of hepatitis A when in contact with a case</w:t>
            </w:r>
            <w:r w:rsidRPr="00F67868">
              <w:rPr>
                <w:rStyle w:val="FootnoteReference"/>
                <w:rFonts w:asciiTheme="minorHAnsi" w:hAnsiTheme="minorHAnsi" w:cstheme="minorHAnsi"/>
                <w:sz w:val="20"/>
                <w:szCs w:val="20"/>
              </w:rPr>
              <w:footnoteReference w:id="9"/>
            </w:r>
            <w:r w:rsidRPr="00F67868">
              <w:rPr>
                <w:rStyle w:val="eop"/>
                <w:rFonts w:asciiTheme="minorHAnsi" w:eastAsia="MS Gothic" w:hAnsiTheme="minorHAnsi" w:cstheme="minorHAnsi"/>
                <w:sz w:val="20"/>
                <w:szCs w:val="20"/>
              </w:rPr>
              <w:t>; </w:t>
            </w:r>
          </w:p>
          <w:p w14:paraId="6EC3CDCB" w14:textId="77777777" w:rsidR="00A40796" w:rsidRPr="00F67868" w:rsidRDefault="00A40796" w:rsidP="00A40796">
            <w:pPr>
              <w:pStyle w:val="paragraph"/>
              <w:numPr>
                <w:ilvl w:val="0"/>
                <w:numId w:val="1"/>
              </w:numPr>
              <w:spacing w:before="0" w:beforeAutospacing="0" w:after="0" w:afterAutospacing="0" w:line="270" w:lineRule="atLeast"/>
              <w:textAlignment w:val="baseline"/>
              <w:rPr>
                <w:rFonts w:asciiTheme="minorHAnsi" w:hAnsiTheme="minorHAnsi" w:cstheme="minorHAnsi"/>
                <w:sz w:val="20"/>
                <w:szCs w:val="20"/>
              </w:rPr>
            </w:pPr>
            <w:r w:rsidRPr="00F67868">
              <w:rPr>
                <w:rFonts w:asciiTheme="minorHAnsi" w:hAnsiTheme="minorHAnsi" w:cstheme="minorHAnsi"/>
                <w:sz w:val="20"/>
                <w:szCs w:val="20"/>
              </w:rPr>
              <w:t>Vaccination of people following acute exposure to potentially infected blood or body fluids</w:t>
            </w:r>
            <w:r w:rsidRPr="00F67868">
              <w:rPr>
                <w:rStyle w:val="FootnoteReference"/>
                <w:rFonts w:asciiTheme="minorHAnsi" w:hAnsiTheme="minorHAnsi" w:cstheme="minorHAnsi"/>
                <w:sz w:val="20"/>
                <w:szCs w:val="20"/>
              </w:rPr>
              <w:footnoteReference w:id="10"/>
            </w:r>
            <w:r w:rsidRPr="00F67868">
              <w:rPr>
                <w:rFonts w:asciiTheme="minorHAnsi" w:hAnsiTheme="minorHAnsi" w:cstheme="minorHAnsi"/>
                <w:sz w:val="20"/>
                <w:szCs w:val="20"/>
              </w:rPr>
              <w:t>;</w:t>
            </w:r>
          </w:p>
          <w:p w14:paraId="68BAD330" w14:textId="5F76A3F0" w:rsidR="00A40796" w:rsidRPr="00F67868" w:rsidRDefault="00A40796" w:rsidP="00A40796">
            <w:pPr>
              <w:pStyle w:val="paragraph"/>
              <w:numPr>
                <w:ilvl w:val="0"/>
                <w:numId w:val="1"/>
              </w:numPr>
              <w:spacing w:before="0" w:beforeAutospacing="0" w:after="0" w:afterAutospacing="0" w:line="270" w:lineRule="atLeast"/>
              <w:textAlignment w:val="baseline"/>
              <w:rPr>
                <w:rFonts w:asciiTheme="minorHAnsi" w:hAnsiTheme="minorHAnsi" w:cstheme="minorHAnsi"/>
                <w:sz w:val="20"/>
                <w:szCs w:val="20"/>
              </w:rPr>
            </w:pPr>
            <w:r w:rsidRPr="00F67868">
              <w:rPr>
                <w:rFonts w:asciiTheme="minorHAnsi" w:hAnsiTheme="minorHAnsi" w:cstheme="minorHAnsi"/>
                <w:sz w:val="20"/>
                <w:szCs w:val="20"/>
              </w:rPr>
              <w:t>Immunisation with hepatitis B immunoglobulin following acute exposure to potentially infected blood or body fluids</w:t>
            </w:r>
            <w:r w:rsidR="00093121">
              <w:rPr>
                <w:rFonts w:asciiTheme="minorHAnsi" w:hAnsiTheme="minorHAnsi" w:cstheme="minorHAnsi"/>
                <w:sz w:val="20"/>
                <w:szCs w:val="20"/>
                <w:vertAlign w:val="superscript"/>
              </w:rPr>
              <w:t>8</w:t>
            </w:r>
            <w:r w:rsidRPr="00F67868">
              <w:rPr>
                <w:rFonts w:asciiTheme="minorHAnsi" w:hAnsiTheme="minorHAnsi" w:cstheme="minorHAnsi"/>
                <w:sz w:val="20"/>
                <w:szCs w:val="20"/>
              </w:rPr>
              <w:t>; or</w:t>
            </w:r>
          </w:p>
          <w:p w14:paraId="02E95A22" w14:textId="034C77BB" w:rsidR="00370D34" w:rsidRPr="00122497" w:rsidRDefault="00A40796" w:rsidP="00A40796">
            <w:pPr>
              <w:pStyle w:val="DHHSbullet1lastline"/>
              <w:numPr>
                <w:ilvl w:val="1"/>
                <w:numId w:val="1"/>
              </w:numPr>
              <w:rPr>
                <w:color w:val="000000" w:themeColor="text1"/>
                <w:sz w:val="21"/>
                <w:szCs w:val="21"/>
              </w:rPr>
            </w:pPr>
            <w:r w:rsidRPr="00F67868">
              <w:rPr>
                <w:rFonts w:asciiTheme="minorHAnsi" w:hAnsiTheme="minorHAnsi" w:cstheme="minorHAnsi"/>
              </w:rPr>
              <w:t xml:space="preserve">Vaccination of people with contraindications defined in the current edition of the </w:t>
            </w:r>
            <w:r w:rsidRPr="00DD7785">
              <w:rPr>
                <w:rFonts w:asciiTheme="minorHAnsi" w:hAnsiTheme="minorHAnsi" w:cstheme="minorHAnsi"/>
                <w:i/>
              </w:rPr>
              <w:t>Australian Immunisation Handbook</w:t>
            </w:r>
            <w:r w:rsidRPr="00F67868">
              <w:rPr>
                <w:rStyle w:val="FootnoteReference"/>
                <w:rFonts w:asciiTheme="minorHAnsi" w:hAnsiTheme="minorHAnsi" w:cstheme="minorHAnsi"/>
              </w:rPr>
              <w:footnoteReference w:id="11"/>
            </w:r>
            <w:r w:rsidRPr="00F67868">
              <w:rPr>
                <w:rFonts w:asciiTheme="minorHAnsi" w:hAnsiTheme="minorHAnsi" w:cstheme="minorHAnsi"/>
              </w:rPr>
              <w:t>.</w:t>
            </w:r>
          </w:p>
        </w:tc>
      </w:tr>
      <w:tr w:rsidR="007026FB" w:rsidRPr="00122497" w14:paraId="0FC5EDC2" w14:textId="77777777" w:rsidTr="15E0C89F">
        <w:tc>
          <w:tcPr>
            <w:tcW w:w="1843" w:type="dxa"/>
          </w:tcPr>
          <w:p w14:paraId="39841CB1" w14:textId="00F6C225" w:rsidR="007026FB" w:rsidRPr="00F67868" w:rsidRDefault="007026FB"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Diphtheria-tetanus-pertussis vaccines</w:t>
            </w:r>
            <w:r w:rsidRPr="00F67868">
              <w:rPr>
                <w:rStyle w:val="FootnoteReference"/>
                <w:rFonts w:asciiTheme="minorHAnsi" w:hAnsiTheme="minorHAnsi" w:cstheme="minorHAnsi"/>
              </w:rPr>
              <w:footnoteReference w:id="12"/>
            </w:r>
          </w:p>
        </w:tc>
        <w:tc>
          <w:tcPr>
            <w:tcW w:w="3686" w:type="dxa"/>
          </w:tcPr>
          <w:p w14:paraId="1C4D980E" w14:textId="13F7AE22" w:rsidR="007026FB" w:rsidRPr="00707A51" w:rsidRDefault="007026FB" w:rsidP="00695CB9">
            <w:pPr>
              <w:pStyle w:val="DHHSbullet1"/>
              <w:numPr>
                <w:ilvl w:val="0"/>
                <w:numId w:val="1"/>
              </w:numPr>
              <w:rPr>
                <w:rStyle w:val="normaltextrun"/>
                <w:rFonts w:asciiTheme="minorHAnsi" w:eastAsia="Times New Roman" w:hAnsiTheme="minorHAnsi" w:cstheme="minorHAnsi"/>
                <w:lang w:eastAsia="en-AU"/>
              </w:rPr>
            </w:pPr>
            <w:r w:rsidRPr="00F67868">
              <w:rPr>
                <w:rFonts w:asciiTheme="minorHAnsi" w:hAnsiTheme="minorHAnsi" w:cstheme="minorHAnsi"/>
              </w:rPr>
              <w:t>Vaccination of people aged 12 years and older, excluding those circumstances listed in Column 3.</w:t>
            </w:r>
          </w:p>
        </w:tc>
        <w:tc>
          <w:tcPr>
            <w:tcW w:w="4677" w:type="dxa"/>
          </w:tcPr>
          <w:p w14:paraId="6DEF55CE" w14:textId="77777777" w:rsidR="007026FB" w:rsidRPr="00F67868" w:rsidRDefault="007026FB" w:rsidP="007026F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 xml:space="preserve">Vaccination of people aged 11 years and younger; </w:t>
            </w:r>
          </w:p>
          <w:p w14:paraId="11BBB327" w14:textId="71B7E034" w:rsidR="007026FB" w:rsidRPr="00F67868" w:rsidRDefault="007026FB" w:rsidP="007026F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Vaccination with diphtheria antitoxin</w:t>
            </w:r>
            <w:r w:rsidR="005C2506">
              <w:rPr>
                <w:rFonts w:asciiTheme="minorHAnsi" w:hAnsiTheme="minorHAnsi" w:cstheme="minorHAnsi"/>
                <w:vertAlign w:val="superscript"/>
              </w:rPr>
              <w:t>8</w:t>
            </w:r>
            <w:r w:rsidRPr="00F67868">
              <w:rPr>
                <w:rFonts w:asciiTheme="minorHAnsi" w:hAnsiTheme="minorHAnsi" w:cstheme="minorHAnsi"/>
              </w:rPr>
              <w:t>;</w:t>
            </w:r>
          </w:p>
          <w:p w14:paraId="68D4A79F" w14:textId="36212A1F" w:rsidR="007026FB" w:rsidRPr="00F67868" w:rsidRDefault="007026FB" w:rsidP="007026F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Vaccination of people that are contacts in the event of a case of diphtheria or pertussis, unless directed by the Department of Health</w:t>
            </w:r>
            <w:r w:rsidR="005C4D71">
              <w:rPr>
                <w:rFonts w:asciiTheme="minorHAnsi" w:hAnsiTheme="minorHAnsi" w:cstheme="minorHAnsi"/>
                <w:vertAlign w:val="superscript"/>
              </w:rPr>
              <w:t>7</w:t>
            </w:r>
            <w:r w:rsidRPr="00F67868">
              <w:rPr>
                <w:rFonts w:asciiTheme="minorHAnsi" w:hAnsiTheme="minorHAnsi" w:cstheme="minorHAnsi"/>
              </w:rPr>
              <w:t>;</w:t>
            </w:r>
          </w:p>
          <w:p w14:paraId="412F7167" w14:textId="77777777" w:rsidR="007026FB" w:rsidRPr="00F67868" w:rsidRDefault="007026FB" w:rsidP="007026F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Vaccination for the tetanus prophylaxis related to wound management</w:t>
            </w:r>
            <w:r w:rsidRPr="00F67868">
              <w:rPr>
                <w:rStyle w:val="FootnoteReference"/>
                <w:rFonts w:asciiTheme="minorHAnsi" w:hAnsiTheme="minorHAnsi" w:cstheme="minorHAnsi"/>
              </w:rPr>
              <w:footnoteReference w:id="13"/>
            </w:r>
            <w:r w:rsidRPr="00F67868">
              <w:rPr>
                <w:rFonts w:asciiTheme="minorHAnsi" w:hAnsiTheme="minorHAnsi" w:cstheme="minorHAnsi"/>
              </w:rPr>
              <w:t>;</w:t>
            </w:r>
          </w:p>
          <w:p w14:paraId="541E52CF" w14:textId="3159AB39" w:rsidR="007026FB" w:rsidRPr="00F67868" w:rsidRDefault="007026FB" w:rsidP="007026F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Immunisation with tetanus immunoglobulin</w:t>
            </w:r>
            <w:r w:rsidR="00C43AEB">
              <w:rPr>
                <w:rFonts w:asciiTheme="minorHAnsi" w:hAnsiTheme="minorHAnsi" w:cstheme="minorHAnsi"/>
                <w:vertAlign w:val="superscript"/>
              </w:rPr>
              <w:t>8</w:t>
            </w:r>
            <w:r w:rsidRPr="00F67868">
              <w:rPr>
                <w:rFonts w:asciiTheme="minorHAnsi" w:hAnsiTheme="minorHAnsi" w:cstheme="minorHAnsi"/>
              </w:rPr>
              <w:t>; or</w:t>
            </w:r>
          </w:p>
          <w:p w14:paraId="67CF1E2F" w14:textId="580A79E1" w:rsidR="007026FB" w:rsidRPr="00F67868" w:rsidRDefault="007026FB" w:rsidP="007026FB">
            <w:pPr>
              <w:pStyle w:val="DHHStablebullet"/>
              <w:numPr>
                <w:ilvl w:val="6"/>
                <w:numId w:val="1"/>
              </w:numPr>
              <w:spacing w:before="0" w:after="0" w:line="270" w:lineRule="atLeast"/>
              <w:rPr>
                <w:rFonts w:asciiTheme="minorHAnsi" w:hAnsiTheme="minorHAnsi" w:cstheme="minorHAnsi"/>
              </w:rPr>
            </w:pPr>
            <w:r w:rsidRPr="00F67868">
              <w:rPr>
                <w:rFonts w:asciiTheme="minorHAnsi" w:hAnsiTheme="minorHAnsi" w:cstheme="minorHAnsi"/>
              </w:rPr>
              <w:t xml:space="preserve">Vaccination of people with contraindications defined in the current edition of the </w:t>
            </w:r>
            <w:r w:rsidRPr="00DD7785">
              <w:rPr>
                <w:rFonts w:asciiTheme="minorHAnsi" w:hAnsiTheme="minorHAnsi" w:cstheme="minorHAnsi"/>
                <w:i/>
              </w:rPr>
              <w:t>Australian Immunisation Handbook</w:t>
            </w:r>
            <w:r w:rsidR="001F7631">
              <w:rPr>
                <w:rFonts w:asciiTheme="minorHAnsi" w:hAnsiTheme="minorHAnsi" w:cstheme="minorHAnsi"/>
                <w:iCs/>
                <w:vertAlign w:val="superscript"/>
              </w:rPr>
              <w:t>10</w:t>
            </w:r>
            <w:r w:rsidR="00683FED">
              <w:rPr>
                <w:rFonts w:asciiTheme="minorHAnsi" w:hAnsiTheme="minorHAnsi" w:cstheme="minorHAnsi"/>
                <w:iCs/>
              </w:rPr>
              <w:t>.</w:t>
            </w:r>
            <w:r w:rsidRPr="00F67868">
              <w:rPr>
                <w:rFonts w:asciiTheme="minorHAnsi" w:hAnsiTheme="minorHAnsi" w:cstheme="minorHAnsi"/>
                <w:vertAlign w:val="superscript"/>
              </w:rPr>
              <w:fldChar w:fldCharType="begin"/>
            </w:r>
            <w:r w:rsidRPr="00F67868">
              <w:rPr>
                <w:rFonts w:asciiTheme="minorHAnsi" w:hAnsiTheme="minorHAnsi" w:cstheme="minorHAnsi"/>
                <w:vertAlign w:val="superscript"/>
              </w:rPr>
              <w:instrText xml:space="preserve"> NOTEREF _Ref449959766 \h  \* MERGEFORMAT </w:instrText>
            </w:r>
            <w:r w:rsidRPr="00F67868">
              <w:rPr>
                <w:rFonts w:asciiTheme="minorHAnsi" w:hAnsiTheme="minorHAnsi" w:cstheme="minorHAnsi"/>
                <w:vertAlign w:val="superscript"/>
              </w:rPr>
            </w:r>
            <w:r w:rsidR="00000000">
              <w:rPr>
                <w:rFonts w:asciiTheme="minorHAnsi" w:hAnsiTheme="minorHAnsi" w:cstheme="minorHAnsi"/>
                <w:vertAlign w:val="superscript"/>
              </w:rPr>
              <w:fldChar w:fldCharType="separate"/>
            </w:r>
            <w:r w:rsidRPr="00F67868">
              <w:rPr>
                <w:rFonts w:asciiTheme="minorHAnsi" w:hAnsiTheme="minorHAnsi" w:cstheme="minorHAnsi"/>
                <w:vertAlign w:val="superscript"/>
              </w:rPr>
              <w:fldChar w:fldCharType="end"/>
            </w:r>
          </w:p>
        </w:tc>
      </w:tr>
      <w:tr w:rsidR="007026FB" w:rsidRPr="00122497" w14:paraId="6117C170" w14:textId="77777777" w:rsidTr="15E0C89F">
        <w:tc>
          <w:tcPr>
            <w:tcW w:w="1843" w:type="dxa"/>
          </w:tcPr>
          <w:p w14:paraId="7EB5B410" w14:textId="67EFB65B" w:rsidR="007026FB" w:rsidRPr="00F67868" w:rsidRDefault="001210CB"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Human papillomavirus (HPV) vaccine</w:t>
            </w:r>
          </w:p>
        </w:tc>
        <w:tc>
          <w:tcPr>
            <w:tcW w:w="3686" w:type="dxa"/>
          </w:tcPr>
          <w:p w14:paraId="1BC9B723" w14:textId="4B97EFF3" w:rsidR="007026FB" w:rsidRPr="00F67868" w:rsidRDefault="001210CB" w:rsidP="00695CB9">
            <w:pPr>
              <w:pStyle w:val="DHHSbullet1"/>
              <w:numPr>
                <w:ilvl w:val="0"/>
                <w:numId w:val="1"/>
              </w:numPr>
              <w:rPr>
                <w:rFonts w:asciiTheme="minorHAnsi" w:hAnsiTheme="minorHAnsi" w:cstheme="minorHAnsi"/>
              </w:rPr>
            </w:pPr>
            <w:r w:rsidRPr="00F67868">
              <w:rPr>
                <w:rFonts w:asciiTheme="minorHAnsi" w:hAnsiTheme="minorHAnsi" w:cstheme="minorHAnsi"/>
              </w:rPr>
              <w:t>Vaccination of people aged 12 years and older, excluding those circumstances listed in Column 3.</w:t>
            </w:r>
          </w:p>
        </w:tc>
        <w:tc>
          <w:tcPr>
            <w:tcW w:w="4677" w:type="dxa"/>
          </w:tcPr>
          <w:p w14:paraId="1E77D158" w14:textId="77777777" w:rsidR="001210CB" w:rsidRPr="00F67868" w:rsidRDefault="001210CB" w:rsidP="001210C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Vaccination of people aged 11 years and younger; or</w:t>
            </w:r>
          </w:p>
          <w:p w14:paraId="24836DCB" w14:textId="24F29437" w:rsidR="007026FB" w:rsidRPr="00F67868" w:rsidRDefault="001210CB" w:rsidP="001210C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 xml:space="preserve">Vaccination of people with contraindications defined in the current edition of the </w:t>
            </w:r>
            <w:r w:rsidRPr="00DD7785">
              <w:rPr>
                <w:rFonts w:asciiTheme="minorHAnsi" w:hAnsiTheme="minorHAnsi" w:cstheme="minorHAnsi"/>
                <w:i/>
              </w:rPr>
              <w:t>Australian Immunisation Handbook</w:t>
            </w:r>
            <w:r w:rsidR="001F7631">
              <w:rPr>
                <w:rFonts w:asciiTheme="minorHAnsi" w:hAnsiTheme="minorHAnsi" w:cstheme="minorHAnsi"/>
                <w:iCs/>
                <w:vertAlign w:val="superscript"/>
              </w:rPr>
              <w:t>10</w:t>
            </w:r>
            <w:r w:rsidR="00E32065">
              <w:rPr>
                <w:rFonts w:asciiTheme="minorHAnsi" w:hAnsiTheme="minorHAnsi" w:cstheme="minorHAnsi"/>
                <w:iCs/>
              </w:rPr>
              <w:t>.</w:t>
            </w:r>
          </w:p>
        </w:tc>
      </w:tr>
      <w:tr w:rsidR="007026FB" w:rsidRPr="00122497" w14:paraId="70C3F69F" w14:textId="77777777" w:rsidTr="00B269FD">
        <w:trPr>
          <w:cantSplit/>
        </w:trPr>
        <w:tc>
          <w:tcPr>
            <w:tcW w:w="1843" w:type="dxa"/>
          </w:tcPr>
          <w:p w14:paraId="0A70773E" w14:textId="30E302CD" w:rsidR="00DF3338" w:rsidRDefault="001210CB" w:rsidP="00B269FD">
            <w:pPr>
              <w:pStyle w:val="DHHSbody"/>
              <w:keepLines/>
              <w:tabs>
                <w:tab w:val="left" w:pos="1134"/>
              </w:tabs>
              <w:spacing w:after="0"/>
              <w:rPr>
                <w:rFonts w:asciiTheme="minorHAnsi" w:hAnsiTheme="minorHAnsi" w:cstheme="minorHAnsi"/>
              </w:rPr>
            </w:pPr>
            <w:r w:rsidRPr="00F67868">
              <w:rPr>
                <w:rFonts w:asciiTheme="minorHAnsi" w:hAnsiTheme="minorHAnsi" w:cstheme="minorHAnsi"/>
              </w:rPr>
              <w:lastRenderedPageBreak/>
              <w:t>Measles</w:t>
            </w:r>
            <w:r w:rsidR="00DF3338">
              <w:rPr>
                <w:rFonts w:asciiTheme="minorHAnsi" w:hAnsiTheme="minorHAnsi" w:cstheme="minorHAnsi"/>
              </w:rPr>
              <w:t xml:space="preserve"> vaccine</w:t>
            </w:r>
          </w:p>
          <w:p w14:paraId="4C7196C7" w14:textId="0FEF41AD" w:rsidR="002A2139" w:rsidRDefault="00DF3338" w:rsidP="00B269FD">
            <w:pPr>
              <w:pStyle w:val="DHHSbody"/>
              <w:keepLines/>
              <w:tabs>
                <w:tab w:val="left" w:pos="1134"/>
              </w:tabs>
              <w:spacing w:after="0"/>
              <w:rPr>
                <w:rFonts w:asciiTheme="minorHAnsi" w:hAnsiTheme="minorHAnsi" w:cstheme="minorHAnsi"/>
              </w:rPr>
            </w:pPr>
            <w:r>
              <w:rPr>
                <w:rFonts w:asciiTheme="minorHAnsi" w:hAnsiTheme="minorHAnsi" w:cstheme="minorHAnsi"/>
              </w:rPr>
              <w:t>M</w:t>
            </w:r>
            <w:r w:rsidR="001210CB" w:rsidRPr="00F67868">
              <w:rPr>
                <w:rFonts w:asciiTheme="minorHAnsi" w:hAnsiTheme="minorHAnsi" w:cstheme="minorHAnsi"/>
              </w:rPr>
              <w:t>umps</w:t>
            </w:r>
            <w:r w:rsidR="002A2139">
              <w:rPr>
                <w:rFonts w:asciiTheme="minorHAnsi" w:hAnsiTheme="minorHAnsi" w:cstheme="minorHAnsi"/>
              </w:rPr>
              <w:t xml:space="preserve"> vaccine</w:t>
            </w:r>
          </w:p>
          <w:p w14:paraId="724289BA" w14:textId="68B74899" w:rsidR="001210CB" w:rsidRPr="008104E2" w:rsidRDefault="002A2139" w:rsidP="00B269FD">
            <w:pPr>
              <w:pStyle w:val="DHHSbody"/>
              <w:keepLines/>
              <w:tabs>
                <w:tab w:val="left" w:pos="1134"/>
              </w:tabs>
              <w:spacing w:after="0"/>
              <w:rPr>
                <w:rFonts w:asciiTheme="minorHAnsi" w:hAnsiTheme="minorHAnsi" w:cstheme="minorHAnsi"/>
              </w:rPr>
            </w:pPr>
            <w:r>
              <w:rPr>
                <w:rFonts w:asciiTheme="minorHAnsi" w:hAnsiTheme="minorHAnsi" w:cstheme="minorHAnsi"/>
              </w:rPr>
              <w:t>R</w:t>
            </w:r>
            <w:r w:rsidR="001210CB" w:rsidRPr="00F67868">
              <w:rPr>
                <w:rFonts w:asciiTheme="minorHAnsi" w:hAnsiTheme="minorHAnsi" w:cstheme="minorHAnsi"/>
              </w:rPr>
              <w:t>ubella vaccine (MMR)</w:t>
            </w:r>
            <w:r w:rsidR="001210CB" w:rsidRPr="00F67868">
              <w:rPr>
                <w:rStyle w:val="FootnoteReference"/>
                <w:rFonts w:asciiTheme="minorHAnsi" w:hAnsiTheme="minorHAnsi" w:cstheme="minorHAnsi"/>
              </w:rPr>
              <w:footnoteReference w:id="14"/>
            </w:r>
          </w:p>
          <w:p w14:paraId="1AB81E9F" w14:textId="7DAAA1EC" w:rsidR="007026FB" w:rsidRPr="00F67868" w:rsidRDefault="001210CB" w:rsidP="00B269FD">
            <w:pPr>
              <w:pStyle w:val="DHHSbody"/>
              <w:keepLines/>
              <w:tabs>
                <w:tab w:val="left" w:pos="1134"/>
              </w:tabs>
              <w:spacing w:after="0"/>
              <w:rPr>
                <w:rFonts w:asciiTheme="minorHAnsi" w:hAnsiTheme="minorHAnsi" w:cstheme="minorHAnsi"/>
              </w:rPr>
            </w:pPr>
            <w:r w:rsidRPr="00F67868">
              <w:rPr>
                <w:rFonts w:asciiTheme="minorHAnsi" w:hAnsiTheme="minorHAnsi" w:cstheme="minorHAnsi"/>
              </w:rPr>
              <w:t>Meningococcal ACWY vaccine</w:t>
            </w:r>
          </w:p>
        </w:tc>
        <w:tc>
          <w:tcPr>
            <w:tcW w:w="3686" w:type="dxa"/>
          </w:tcPr>
          <w:p w14:paraId="247B8345" w14:textId="6E9D665B" w:rsidR="007026FB" w:rsidRPr="00F67868" w:rsidRDefault="001210CB" w:rsidP="00B269FD">
            <w:pPr>
              <w:pStyle w:val="DHHSbullet1"/>
              <w:keepLines/>
              <w:numPr>
                <w:ilvl w:val="0"/>
                <w:numId w:val="1"/>
              </w:numPr>
              <w:rPr>
                <w:rFonts w:asciiTheme="minorHAnsi" w:hAnsiTheme="minorHAnsi" w:cstheme="minorHAnsi"/>
              </w:rPr>
            </w:pPr>
            <w:r w:rsidRPr="00F67868">
              <w:rPr>
                <w:rFonts w:asciiTheme="minorHAnsi" w:hAnsiTheme="minorHAnsi" w:cstheme="minorHAnsi"/>
              </w:rPr>
              <w:t>Vaccination of people aged 15 years and older, excluding those circumstances listed in Column 3.</w:t>
            </w:r>
          </w:p>
        </w:tc>
        <w:tc>
          <w:tcPr>
            <w:tcW w:w="4677" w:type="dxa"/>
          </w:tcPr>
          <w:p w14:paraId="534EB4B9" w14:textId="77777777" w:rsidR="001210CB" w:rsidRPr="00F67868" w:rsidRDefault="001210CB" w:rsidP="00B269FD">
            <w:pPr>
              <w:pStyle w:val="DHHSbullet1lastline"/>
              <w:keepLines/>
              <w:numPr>
                <w:ilvl w:val="1"/>
                <w:numId w:val="1"/>
              </w:numPr>
              <w:spacing w:after="0"/>
              <w:rPr>
                <w:rFonts w:asciiTheme="minorHAnsi" w:hAnsiTheme="minorHAnsi" w:cstheme="minorHAnsi"/>
              </w:rPr>
            </w:pPr>
            <w:r w:rsidRPr="00F67868">
              <w:rPr>
                <w:rFonts w:asciiTheme="minorHAnsi" w:hAnsiTheme="minorHAnsi" w:cstheme="minorHAnsi"/>
              </w:rPr>
              <w:t xml:space="preserve">Vaccination of people aged 14 years and younger; </w:t>
            </w:r>
          </w:p>
          <w:p w14:paraId="0D77FB18" w14:textId="092CD5E7" w:rsidR="001210CB" w:rsidRPr="00F67868" w:rsidRDefault="001210CB" w:rsidP="00B269FD">
            <w:pPr>
              <w:pStyle w:val="DHHSbullet1lastline"/>
              <w:keepLines/>
              <w:numPr>
                <w:ilvl w:val="1"/>
                <w:numId w:val="1"/>
              </w:numPr>
              <w:spacing w:after="0"/>
              <w:rPr>
                <w:rFonts w:asciiTheme="minorHAnsi" w:hAnsiTheme="minorHAnsi" w:cstheme="minorHAnsi"/>
              </w:rPr>
            </w:pPr>
            <w:r w:rsidRPr="00F67868">
              <w:rPr>
                <w:rFonts w:asciiTheme="minorHAnsi" w:hAnsiTheme="minorHAnsi" w:cstheme="minorHAnsi"/>
              </w:rPr>
              <w:t>Vaccination of contacts in the event of a case of measles, mumps, rubella or meningococcal disease unless directed by the Department of Health</w:t>
            </w:r>
            <w:r w:rsidR="0030401E">
              <w:rPr>
                <w:rFonts w:asciiTheme="minorHAnsi" w:hAnsiTheme="minorHAnsi" w:cstheme="minorHAnsi"/>
                <w:vertAlign w:val="superscript"/>
              </w:rPr>
              <w:t>7</w:t>
            </w:r>
            <w:r w:rsidRPr="00F67868">
              <w:rPr>
                <w:rFonts w:asciiTheme="minorHAnsi" w:hAnsiTheme="minorHAnsi" w:cstheme="minorHAnsi"/>
              </w:rPr>
              <w:t>;</w:t>
            </w:r>
          </w:p>
          <w:p w14:paraId="4EE8920C" w14:textId="1816C32E" w:rsidR="001210CB" w:rsidRPr="00F67868" w:rsidRDefault="001210CB" w:rsidP="00B269FD">
            <w:pPr>
              <w:pStyle w:val="DHHSbullet1lastline"/>
              <w:keepLines/>
              <w:numPr>
                <w:ilvl w:val="1"/>
                <w:numId w:val="1"/>
              </w:numPr>
              <w:spacing w:after="0"/>
              <w:rPr>
                <w:rFonts w:asciiTheme="minorHAnsi" w:hAnsiTheme="minorHAnsi" w:cstheme="minorHAnsi"/>
              </w:rPr>
            </w:pPr>
            <w:r w:rsidRPr="00F67868">
              <w:rPr>
                <w:rFonts w:asciiTheme="minorHAnsi" w:hAnsiTheme="minorHAnsi" w:cstheme="minorHAnsi"/>
              </w:rPr>
              <w:t>Immunisation with normal human immunoglobulin for the prophylaxis of measles, mumps or rubella when in contact with a case</w:t>
            </w:r>
            <w:r w:rsidR="0030401E">
              <w:rPr>
                <w:rFonts w:asciiTheme="minorHAnsi" w:hAnsiTheme="minorHAnsi" w:cstheme="minorHAnsi"/>
                <w:vertAlign w:val="superscript"/>
              </w:rPr>
              <w:t>8</w:t>
            </w:r>
            <w:r w:rsidRPr="00F67868">
              <w:rPr>
                <w:rFonts w:asciiTheme="minorHAnsi" w:hAnsiTheme="minorHAnsi" w:cstheme="minorHAnsi"/>
              </w:rPr>
              <w:t>; or</w:t>
            </w:r>
          </w:p>
          <w:p w14:paraId="3167A8D0" w14:textId="3C4A8165" w:rsidR="007026FB" w:rsidRPr="00F67868" w:rsidRDefault="001210CB" w:rsidP="00B269FD">
            <w:pPr>
              <w:pStyle w:val="DHHSbullet1lastline"/>
              <w:keepLines/>
              <w:numPr>
                <w:ilvl w:val="1"/>
                <w:numId w:val="1"/>
              </w:numPr>
              <w:spacing w:after="0"/>
              <w:rPr>
                <w:rFonts w:asciiTheme="minorHAnsi" w:hAnsiTheme="minorHAnsi" w:cstheme="minorHAnsi"/>
              </w:rPr>
            </w:pPr>
            <w:r w:rsidRPr="00F67868">
              <w:rPr>
                <w:rFonts w:asciiTheme="minorHAnsi" w:hAnsiTheme="minorHAnsi" w:cstheme="minorHAnsi"/>
              </w:rPr>
              <w:t xml:space="preserve">Vaccination of people with contraindications defined in the current edition of the </w:t>
            </w:r>
            <w:r w:rsidRPr="00F67868">
              <w:rPr>
                <w:rFonts w:asciiTheme="minorHAnsi" w:hAnsiTheme="minorHAnsi" w:cstheme="minorHAnsi"/>
                <w:i/>
              </w:rPr>
              <w:t>Australian Immunisation</w:t>
            </w:r>
            <w:r>
              <w:rPr>
                <w:rFonts w:asciiTheme="minorHAnsi" w:hAnsiTheme="minorHAnsi" w:cstheme="minorHAnsi"/>
                <w:i/>
              </w:rPr>
              <w:t xml:space="preserve"> Handbook</w:t>
            </w:r>
            <w:r w:rsidR="0030401E">
              <w:rPr>
                <w:rFonts w:asciiTheme="minorHAnsi" w:hAnsiTheme="minorHAnsi" w:cstheme="minorHAnsi"/>
                <w:iCs/>
                <w:vertAlign w:val="superscript"/>
              </w:rPr>
              <w:t>10</w:t>
            </w:r>
            <w:r w:rsidR="00FC681F">
              <w:rPr>
                <w:rFonts w:asciiTheme="minorHAnsi" w:hAnsiTheme="minorHAnsi" w:cstheme="minorHAnsi"/>
                <w:iCs/>
              </w:rPr>
              <w:t>.</w:t>
            </w:r>
          </w:p>
        </w:tc>
      </w:tr>
      <w:tr w:rsidR="007026FB" w:rsidRPr="00122497" w14:paraId="3AD73D0C" w14:textId="77777777" w:rsidTr="15E0C89F">
        <w:tc>
          <w:tcPr>
            <w:tcW w:w="1843" w:type="dxa"/>
          </w:tcPr>
          <w:p w14:paraId="117D5367" w14:textId="77777777" w:rsidR="001210CB" w:rsidRPr="00F67868" w:rsidRDefault="001210CB" w:rsidP="001210CB">
            <w:pPr>
              <w:pStyle w:val="DHHSbody"/>
              <w:tabs>
                <w:tab w:val="left" w:pos="1134"/>
              </w:tabs>
              <w:spacing w:after="0"/>
              <w:rPr>
                <w:rFonts w:asciiTheme="minorHAnsi" w:hAnsiTheme="minorHAnsi" w:cstheme="minorHAnsi"/>
              </w:rPr>
            </w:pPr>
            <w:r w:rsidRPr="00F67868">
              <w:rPr>
                <w:rFonts w:asciiTheme="minorHAnsi" w:hAnsiTheme="minorHAnsi" w:cstheme="minorHAnsi"/>
              </w:rPr>
              <w:t>Pneumococcal vaccine</w:t>
            </w:r>
          </w:p>
          <w:p w14:paraId="17B4C466" w14:textId="0FF55D01" w:rsidR="007026FB" w:rsidRPr="00F67868" w:rsidRDefault="001210CB" w:rsidP="001210CB">
            <w:pPr>
              <w:pStyle w:val="DHHSbody"/>
              <w:tabs>
                <w:tab w:val="left" w:pos="1134"/>
              </w:tabs>
              <w:spacing w:after="0"/>
              <w:rPr>
                <w:rFonts w:asciiTheme="minorHAnsi" w:hAnsiTheme="minorHAnsi" w:cstheme="minorHAnsi"/>
              </w:rPr>
            </w:pPr>
            <w:r w:rsidRPr="00F67868">
              <w:rPr>
                <w:rFonts w:asciiTheme="minorHAnsi" w:hAnsiTheme="minorHAnsi" w:cstheme="minorHAnsi"/>
              </w:rPr>
              <w:t>Herpes zoster/zoster/ varicella zoster/shingles</w:t>
            </w:r>
          </w:p>
        </w:tc>
        <w:tc>
          <w:tcPr>
            <w:tcW w:w="3686" w:type="dxa"/>
          </w:tcPr>
          <w:p w14:paraId="0CDF2E36" w14:textId="6C3AC548" w:rsidR="007026FB" w:rsidRPr="00F67868" w:rsidRDefault="001210CB" w:rsidP="00695CB9">
            <w:pPr>
              <w:pStyle w:val="DHHSbullet1"/>
              <w:numPr>
                <w:ilvl w:val="0"/>
                <w:numId w:val="1"/>
              </w:numPr>
              <w:rPr>
                <w:rFonts w:asciiTheme="minorHAnsi" w:hAnsiTheme="minorHAnsi" w:cstheme="minorHAnsi"/>
              </w:rPr>
            </w:pPr>
            <w:r w:rsidRPr="00F67868">
              <w:rPr>
                <w:rFonts w:asciiTheme="minorHAnsi" w:hAnsiTheme="minorHAnsi" w:cstheme="minorHAnsi"/>
              </w:rPr>
              <w:t>Vaccination of people aged 50 years and older, excluding those circumstances listed in Column 3.</w:t>
            </w:r>
          </w:p>
        </w:tc>
        <w:tc>
          <w:tcPr>
            <w:tcW w:w="4677" w:type="dxa"/>
          </w:tcPr>
          <w:p w14:paraId="02399B0C" w14:textId="77777777" w:rsidR="001210CB" w:rsidRPr="00F67868" w:rsidRDefault="001210CB" w:rsidP="001210C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Vaccination of people aged 49 years and younger;</w:t>
            </w:r>
          </w:p>
          <w:p w14:paraId="76FDC8C3" w14:textId="1152D6B0" w:rsidR="001210CB" w:rsidRPr="00F67868" w:rsidRDefault="001210CB" w:rsidP="001210C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Immunisation with normal human immunoglobulin for the prophylaxis of herpes zoster when in contact with a case</w:t>
            </w:r>
            <w:r w:rsidR="00560E5E">
              <w:rPr>
                <w:rFonts w:asciiTheme="minorHAnsi" w:hAnsiTheme="minorHAnsi" w:cstheme="minorHAnsi"/>
                <w:vertAlign w:val="superscript"/>
              </w:rPr>
              <w:t>8</w:t>
            </w:r>
            <w:r w:rsidRPr="00F67868">
              <w:rPr>
                <w:rFonts w:asciiTheme="minorHAnsi" w:hAnsiTheme="minorHAnsi" w:cstheme="minorHAnsi"/>
              </w:rPr>
              <w:t>; or</w:t>
            </w:r>
          </w:p>
          <w:p w14:paraId="68FC8716" w14:textId="3202CCFE" w:rsidR="007026FB" w:rsidRPr="00F67868" w:rsidRDefault="001210CB" w:rsidP="001210C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 xml:space="preserve">Vaccination of people with contraindications defined in the current edition of the </w:t>
            </w:r>
            <w:r w:rsidRPr="00F67868">
              <w:rPr>
                <w:rFonts w:asciiTheme="minorHAnsi" w:hAnsiTheme="minorHAnsi" w:cstheme="minorHAnsi"/>
                <w:i/>
              </w:rPr>
              <w:t>Australian Immunisation</w:t>
            </w:r>
            <w:r>
              <w:rPr>
                <w:rFonts w:asciiTheme="minorHAnsi" w:hAnsiTheme="minorHAnsi" w:cstheme="minorHAnsi"/>
                <w:i/>
              </w:rPr>
              <w:t xml:space="preserve"> Handbook</w:t>
            </w:r>
            <w:r w:rsidR="000F1A7D">
              <w:rPr>
                <w:rFonts w:asciiTheme="minorHAnsi" w:hAnsiTheme="minorHAnsi" w:cstheme="minorHAnsi"/>
                <w:iCs/>
                <w:vertAlign w:val="superscript"/>
              </w:rPr>
              <w:t>10</w:t>
            </w:r>
            <w:r w:rsidR="00F66179">
              <w:rPr>
                <w:rFonts w:asciiTheme="minorHAnsi" w:hAnsiTheme="minorHAnsi" w:cstheme="minorHAnsi"/>
                <w:iCs/>
              </w:rPr>
              <w:t>.</w:t>
            </w:r>
          </w:p>
        </w:tc>
      </w:tr>
    </w:tbl>
    <w:p w14:paraId="49D02BD2" w14:textId="77777777" w:rsidR="00370D34" w:rsidRPr="00122497" w:rsidRDefault="00370D34" w:rsidP="00370D34">
      <w:pPr>
        <w:pStyle w:val="DHHSbody"/>
        <w:rPr>
          <w:b/>
          <w:color w:val="000000" w:themeColor="text1"/>
          <w:sz w:val="21"/>
          <w:szCs w:val="21"/>
        </w:rPr>
      </w:pPr>
    </w:p>
    <w:p w14:paraId="3C8DB0A2" w14:textId="0E6DCF0C" w:rsidR="003E3383" w:rsidRPr="00385A80" w:rsidRDefault="003E3383" w:rsidP="003E3383">
      <w:pPr>
        <w:pStyle w:val="DHHSbody"/>
        <w:rPr>
          <w:sz w:val="21"/>
          <w:szCs w:val="21"/>
        </w:rPr>
      </w:pPr>
      <w:r w:rsidRPr="00385A80">
        <w:rPr>
          <w:sz w:val="21"/>
          <w:szCs w:val="21"/>
        </w:rPr>
        <w:t>This approval takes effect on</w:t>
      </w:r>
      <w:r w:rsidR="006C6FA0">
        <w:rPr>
          <w:sz w:val="21"/>
          <w:szCs w:val="21"/>
        </w:rPr>
        <w:t xml:space="preserve"> </w:t>
      </w:r>
      <w:r w:rsidR="006C6FA0" w:rsidRPr="00AB011F">
        <w:rPr>
          <w:sz w:val="21"/>
          <w:szCs w:val="21"/>
        </w:rPr>
        <w:t>27 October 2023</w:t>
      </w:r>
      <w:r w:rsidR="00101964" w:rsidRPr="00AB011F">
        <w:rPr>
          <w:sz w:val="21"/>
          <w:szCs w:val="21"/>
        </w:rPr>
        <w:t xml:space="preserve"> and expires on 26 October 2024</w:t>
      </w:r>
      <w:r w:rsidR="00101964">
        <w:rPr>
          <w:sz w:val="21"/>
          <w:szCs w:val="21"/>
        </w:rPr>
        <w:t>, unless revoked</w:t>
      </w:r>
      <w:r w:rsidR="00185737">
        <w:rPr>
          <w:sz w:val="21"/>
          <w:szCs w:val="21"/>
        </w:rPr>
        <w:t xml:space="preserve"> earlier</w:t>
      </w:r>
      <w:r w:rsidRPr="00385A80">
        <w:rPr>
          <w:sz w:val="21"/>
          <w:szCs w:val="21"/>
        </w:rPr>
        <w:t>.</w:t>
      </w:r>
    </w:p>
    <w:p w14:paraId="2AB45588" w14:textId="77777777" w:rsidR="00E743E2" w:rsidRPr="00385A80" w:rsidRDefault="00E743E2" w:rsidP="003E3383">
      <w:pPr>
        <w:pStyle w:val="DHHSbody"/>
        <w:rPr>
          <w:b/>
          <w:sz w:val="21"/>
          <w:szCs w:val="21"/>
        </w:rPr>
      </w:pPr>
    </w:p>
    <w:p w14:paraId="6FE6AFBB" w14:textId="7B87B239" w:rsidR="003E3383" w:rsidRDefault="00A2533C" w:rsidP="003E3383">
      <w:pPr>
        <w:pStyle w:val="DHHSbody"/>
        <w:rPr>
          <w:sz w:val="21"/>
          <w:szCs w:val="21"/>
        </w:rPr>
      </w:pPr>
      <w:r>
        <w:rPr>
          <w:sz w:val="21"/>
          <w:szCs w:val="21"/>
        </w:rPr>
        <w:t xml:space="preserve">Approved by </w:t>
      </w:r>
      <w:r w:rsidR="00E743E2">
        <w:rPr>
          <w:sz w:val="21"/>
          <w:szCs w:val="21"/>
        </w:rPr>
        <w:t>Professor Euan M Wallace AM</w:t>
      </w:r>
    </w:p>
    <w:p w14:paraId="7A001DE4" w14:textId="146ADF64" w:rsidR="00A2533C" w:rsidRPr="00A2533C" w:rsidRDefault="00A2533C" w:rsidP="00A2533C">
      <w:pPr>
        <w:pStyle w:val="Body"/>
      </w:pPr>
      <w:r w:rsidRPr="00122497">
        <w:t>Date:</w:t>
      </w:r>
      <w:r w:rsidR="00D96562">
        <w:t xml:space="preserve"> </w:t>
      </w:r>
      <w:r w:rsidR="00B269FD">
        <w:rPr>
          <w:rFonts w:eastAsia="Times New Roman"/>
          <w:szCs w:val="21"/>
        </w:rPr>
        <w:t>5</w:t>
      </w:r>
      <w:r w:rsidR="009A3923">
        <w:rPr>
          <w:rFonts w:eastAsia="Times New Roman"/>
          <w:szCs w:val="21"/>
        </w:rPr>
        <w:t xml:space="preserve"> </w:t>
      </w:r>
      <w:r w:rsidR="009D3B27">
        <w:rPr>
          <w:rFonts w:eastAsia="Times New Roman"/>
          <w:szCs w:val="21"/>
        </w:rPr>
        <w:t>October</w:t>
      </w:r>
      <w:r w:rsidR="00D96562">
        <w:rPr>
          <w:rFonts w:eastAsia="Times New Roman"/>
          <w:szCs w:val="21"/>
        </w:rPr>
        <w:t xml:space="preserve"> 202</w:t>
      </w:r>
      <w:r w:rsidR="009D3B27">
        <w:rPr>
          <w:rFonts w:eastAsia="Times New Roman"/>
          <w:szCs w:val="21"/>
        </w:rPr>
        <w:t>3</w:t>
      </w:r>
    </w:p>
    <w:p w14:paraId="31A5DFC3" w14:textId="77777777" w:rsidR="002F1F75" w:rsidRDefault="003E3383" w:rsidP="003E3383">
      <w:pPr>
        <w:pStyle w:val="DHHSbody"/>
        <w:rPr>
          <w:sz w:val="21"/>
          <w:szCs w:val="21"/>
        </w:rPr>
      </w:pPr>
      <w:r w:rsidRPr="00122497">
        <w:rPr>
          <w:sz w:val="21"/>
          <w:szCs w:val="21"/>
        </w:rPr>
        <w:t>Secretary</w:t>
      </w:r>
    </w:p>
    <w:p w14:paraId="48EE0AF7" w14:textId="3A861923" w:rsidR="003E3383" w:rsidRPr="00122497" w:rsidRDefault="003E3383" w:rsidP="003E3383">
      <w:pPr>
        <w:pStyle w:val="DHHSbody"/>
        <w:rPr>
          <w:sz w:val="21"/>
          <w:szCs w:val="21"/>
        </w:rPr>
      </w:pPr>
      <w:r w:rsidRPr="00122497">
        <w:rPr>
          <w:sz w:val="21"/>
          <w:szCs w:val="21"/>
        </w:rPr>
        <w:t xml:space="preserve">Department of Health </w:t>
      </w:r>
    </w:p>
    <w:sectPr w:rsidR="003E3383" w:rsidRPr="00122497" w:rsidSect="00E62622">
      <w:footerReference w:type="default" r:id="rId1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F3C4" w14:textId="77777777" w:rsidR="00AE7972" w:rsidRDefault="00AE7972">
      <w:r>
        <w:separator/>
      </w:r>
    </w:p>
  </w:endnote>
  <w:endnote w:type="continuationSeparator" w:id="0">
    <w:p w14:paraId="420954F4" w14:textId="77777777" w:rsidR="00AE7972" w:rsidRDefault="00AE7972">
      <w:r>
        <w:continuationSeparator/>
      </w:r>
    </w:p>
  </w:endnote>
  <w:endnote w:type="continuationNotice" w:id="1">
    <w:p w14:paraId="389BE813" w14:textId="77777777" w:rsidR="00AE7972" w:rsidRDefault="00AE79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4DBC" w14:textId="5D2FE510" w:rsidR="00E261B3" w:rsidRPr="00F65AA9" w:rsidRDefault="00C56AE1" w:rsidP="00F84FA0">
    <w:pPr>
      <w:pStyle w:val="Footer"/>
    </w:pPr>
    <w:r>
      <w:rPr>
        <w:noProof/>
        <w:lang w:eastAsia="en-AU"/>
      </w:rPr>
      <mc:AlternateContent>
        <mc:Choice Requires="wps">
          <w:drawing>
            <wp:anchor distT="0" distB="0" distL="114300" distR="114300" simplePos="0" relativeHeight="251667456" behindDoc="0" locked="0" layoutInCell="0" allowOverlap="1" wp14:anchorId="11737826" wp14:editId="2522D91E">
              <wp:simplePos x="0" y="0"/>
              <wp:positionH relativeFrom="page">
                <wp:posOffset>0</wp:posOffset>
              </wp:positionH>
              <wp:positionV relativeFrom="page">
                <wp:posOffset>10189210</wp:posOffset>
              </wp:positionV>
              <wp:extent cx="7560310" cy="311785"/>
              <wp:effectExtent l="0" t="0" r="0" b="12065"/>
              <wp:wrapNone/>
              <wp:docPr id="9" name="MSIPCMdcd9478883f0206b632e299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E53B23" w14:textId="3A6377AF" w:rsidR="00C56AE1" w:rsidRPr="00C56AE1" w:rsidRDefault="00C56AE1" w:rsidP="00C56AE1">
                          <w:pPr>
                            <w:spacing w:after="0"/>
                            <w:jc w:val="center"/>
                            <w:rPr>
                              <w:rFonts w:ascii="Arial Black" w:hAnsi="Arial Black"/>
                              <w:color w:val="000000"/>
                              <w:sz w:val="20"/>
                            </w:rPr>
                          </w:pPr>
                          <w:r w:rsidRPr="00C56AE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737826" id="_x0000_t202" coordsize="21600,21600" o:spt="202" path="m,l,21600r21600,l21600,xe">
              <v:stroke joinstyle="miter"/>
              <v:path gradientshapeok="t" o:connecttype="rect"/>
            </v:shapetype>
            <v:shape id="MSIPCMdcd9478883f0206b632e2992"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4E53B23" w14:textId="3A6377AF" w:rsidR="00C56AE1" w:rsidRPr="00C56AE1" w:rsidRDefault="00C56AE1" w:rsidP="00C56AE1">
                    <w:pPr>
                      <w:spacing w:after="0"/>
                      <w:jc w:val="center"/>
                      <w:rPr>
                        <w:rFonts w:ascii="Arial Black" w:hAnsi="Arial Black"/>
                        <w:color w:val="000000"/>
                        <w:sz w:val="20"/>
                      </w:rPr>
                    </w:pPr>
                    <w:r w:rsidRPr="00C56AE1">
                      <w:rPr>
                        <w:rFonts w:ascii="Arial Black" w:hAnsi="Arial Black"/>
                        <w:color w:val="000000"/>
                        <w:sz w:val="20"/>
                      </w:rPr>
                      <w:t>OFFICIAL</w:t>
                    </w:r>
                  </w:p>
                </w:txbxContent>
              </v:textbox>
              <w10:wrap anchorx="page" anchory="page"/>
            </v:shape>
          </w:pict>
        </mc:Fallback>
      </mc:AlternateContent>
    </w:r>
    <w:r w:rsidR="00115740">
      <w:rPr>
        <w:noProof/>
        <w:lang w:eastAsia="en-AU"/>
      </w:rPr>
      <mc:AlternateContent>
        <mc:Choice Requires="wps">
          <w:drawing>
            <wp:anchor distT="0" distB="0" distL="114300" distR="114300" simplePos="0" relativeHeight="251663360" behindDoc="0" locked="0" layoutInCell="0" allowOverlap="1" wp14:anchorId="0B10D9C3" wp14:editId="392DCBE3">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292972" w14:textId="163F3B2F" w:rsidR="00115740" w:rsidRPr="00115740" w:rsidRDefault="00115740" w:rsidP="00115740">
                          <w:pPr>
                            <w:spacing w:after="0"/>
                            <w:jc w:val="center"/>
                            <w:rPr>
                              <w:rFonts w:ascii="Arial Black" w:hAnsi="Arial Black"/>
                              <w:color w:val="000000"/>
                              <w:sz w:val="20"/>
                            </w:rPr>
                          </w:pPr>
                          <w:r w:rsidRPr="0011574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10D9C3" id="Text Box 4"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F292972" w14:textId="163F3B2F" w:rsidR="00115740" w:rsidRPr="00115740" w:rsidRDefault="00115740" w:rsidP="00115740">
                    <w:pPr>
                      <w:spacing w:after="0"/>
                      <w:jc w:val="center"/>
                      <w:rPr>
                        <w:rFonts w:ascii="Arial Black" w:hAnsi="Arial Black"/>
                        <w:color w:val="000000"/>
                        <w:sz w:val="20"/>
                      </w:rPr>
                    </w:pPr>
                    <w:r w:rsidRPr="00115740">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9264" behindDoc="1" locked="1" layoutInCell="1" allowOverlap="1" wp14:anchorId="69E1AAC4" wp14:editId="1160FFFE">
          <wp:simplePos x="542260" y="9324753"/>
          <wp:positionH relativeFrom="page">
            <wp:align>left</wp:align>
          </wp:positionH>
          <wp:positionV relativeFrom="page">
            <wp:align>bottom</wp:align>
          </wp:positionV>
          <wp:extent cx="7560000" cy="964800"/>
          <wp:effectExtent l="0" t="0" r="3175" b="698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1072" behindDoc="0" locked="0" layoutInCell="0" allowOverlap="1" wp14:anchorId="51495E22" wp14:editId="06AD144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B28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1495E22"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EB28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787F" w14:textId="432AD72B" w:rsidR="00E261B3" w:rsidRDefault="00E261B3">
    <w:pPr>
      <w:pStyle w:val="Footer"/>
    </w:pPr>
    <w:r>
      <w:rPr>
        <w:noProof/>
      </w:rPr>
      <mc:AlternateContent>
        <mc:Choice Requires="wps">
          <w:drawing>
            <wp:anchor distT="0" distB="0" distL="114300" distR="114300" simplePos="1" relativeHeight="251655168" behindDoc="0" locked="0" layoutInCell="0" allowOverlap="1" wp14:anchorId="38F06833" wp14:editId="79DA3607">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5B3E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F06833"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635B3E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CD44" w14:textId="476BDEA4" w:rsidR="00373890" w:rsidRPr="00F65AA9" w:rsidRDefault="00C56AE1" w:rsidP="00F84FA0">
    <w:pPr>
      <w:pStyle w:val="Footer"/>
    </w:pPr>
    <w:r>
      <w:rPr>
        <w:noProof/>
      </w:rPr>
      <mc:AlternateContent>
        <mc:Choice Requires="wps">
          <w:drawing>
            <wp:anchor distT="0" distB="0" distL="114300" distR="114300" simplePos="0" relativeHeight="251658248" behindDoc="0" locked="0" layoutInCell="0" allowOverlap="1" wp14:anchorId="10491C7D" wp14:editId="3895CF22">
              <wp:simplePos x="0" y="0"/>
              <wp:positionH relativeFrom="page">
                <wp:posOffset>0</wp:posOffset>
              </wp:positionH>
              <wp:positionV relativeFrom="page">
                <wp:posOffset>10189210</wp:posOffset>
              </wp:positionV>
              <wp:extent cx="7560310" cy="311785"/>
              <wp:effectExtent l="0" t="0" r="0" b="12065"/>
              <wp:wrapNone/>
              <wp:docPr id="10" name="MSIPCMd2df49719bd7c8e3ba970ef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091D39" w14:textId="73D7E477" w:rsidR="00C56AE1" w:rsidRPr="00C56AE1" w:rsidRDefault="00C56AE1" w:rsidP="00C56AE1">
                          <w:pPr>
                            <w:spacing w:after="0"/>
                            <w:jc w:val="center"/>
                            <w:rPr>
                              <w:rFonts w:ascii="Arial Black" w:hAnsi="Arial Black"/>
                              <w:color w:val="000000"/>
                              <w:sz w:val="20"/>
                            </w:rPr>
                          </w:pPr>
                          <w:r w:rsidRPr="00C56AE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491C7D" id="_x0000_t202" coordsize="21600,21600" o:spt="202" path="m,l,21600r21600,l21600,xe">
              <v:stroke joinstyle="miter"/>
              <v:path gradientshapeok="t" o:connecttype="rect"/>
            </v:shapetype>
            <v:shape id="MSIPCMd2df49719bd7c8e3ba970ef4"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3091D39" w14:textId="73D7E477" w:rsidR="00C56AE1" w:rsidRPr="00C56AE1" w:rsidRDefault="00C56AE1" w:rsidP="00C56AE1">
                    <w:pPr>
                      <w:spacing w:after="0"/>
                      <w:jc w:val="center"/>
                      <w:rPr>
                        <w:rFonts w:ascii="Arial Black" w:hAnsi="Arial Black"/>
                        <w:color w:val="000000"/>
                        <w:sz w:val="20"/>
                      </w:rPr>
                    </w:pPr>
                    <w:r w:rsidRPr="00C56AE1">
                      <w:rPr>
                        <w:rFonts w:ascii="Arial Black" w:hAnsi="Arial Black"/>
                        <w:color w:val="000000"/>
                        <w:sz w:val="20"/>
                      </w:rPr>
                      <w:t>OFFICIAL</w:t>
                    </w:r>
                  </w:p>
                </w:txbxContent>
              </v:textbox>
              <w10:wrap anchorx="page" anchory="page"/>
            </v:shape>
          </w:pict>
        </mc:Fallback>
      </mc:AlternateContent>
    </w:r>
    <w:r w:rsidR="00115740">
      <w:rPr>
        <w:noProof/>
      </w:rPr>
      <mc:AlternateContent>
        <mc:Choice Requires="wps">
          <w:drawing>
            <wp:anchor distT="0" distB="0" distL="114300" distR="114300" simplePos="0" relativeHeight="251658244" behindDoc="0" locked="0" layoutInCell="0" allowOverlap="1" wp14:anchorId="0B19F321" wp14:editId="530C6BF8">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540A56" w14:textId="086D1ECF" w:rsidR="00115740" w:rsidRPr="00115740" w:rsidRDefault="00115740" w:rsidP="00115740">
                          <w:pPr>
                            <w:spacing w:after="0"/>
                            <w:jc w:val="center"/>
                            <w:rPr>
                              <w:rFonts w:ascii="Arial Black" w:hAnsi="Arial Black"/>
                              <w:color w:val="000000"/>
                              <w:sz w:val="20"/>
                            </w:rPr>
                          </w:pPr>
                          <w:r w:rsidRPr="0011574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19F321" id="Text Box 8"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5A540A56" w14:textId="086D1ECF" w:rsidR="00115740" w:rsidRPr="00115740" w:rsidRDefault="00115740" w:rsidP="00115740">
                    <w:pPr>
                      <w:spacing w:after="0"/>
                      <w:jc w:val="center"/>
                      <w:rPr>
                        <w:rFonts w:ascii="Arial Black" w:hAnsi="Arial Black"/>
                        <w:color w:val="000000"/>
                        <w:sz w:val="20"/>
                      </w:rPr>
                    </w:pPr>
                    <w:r w:rsidRPr="00115740">
                      <w:rPr>
                        <w:rFonts w:ascii="Arial Black" w:hAnsi="Arial Black"/>
                        <w:color w:val="000000"/>
                        <w:sz w:val="20"/>
                      </w:rPr>
                      <w:t>OFFICIAL</w:t>
                    </w:r>
                  </w:p>
                </w:txbxContent>
              </v:textbox>
              <w10:wrap anchorx="page" anchory="page"/>
            </v:shape>
          </w:pict>
        </mc:Fallback>
      </mc:AlternateContent>
    </w:r>
    <w:r w:rsidR="005D516E">
      <w:rPr>
        <w:noProof/>
      </w:rPr>
      <mc:AlternateContent>
        <mc:Choice Requires="wps">
          <w:drawing>
            <wp:anchor distT="0" distB="0" distL="114300" distR="114300" simplePos="0" relativeHeight="251658243" behindDoc="0" locked="0" layoutInCell="0" allowOverlap="1" wp14:anchorId="7E69BD4A" wp14:editId="30A322F8">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AADAC0" w14:textId="4845C80D" w:rsidR="005D516E" w:rsidRPr="005D516E" w:rsidRDefault="005D516E" w:rsidP="005D516E">
                          <w:pPr>
                            <w:spacing w:after="0"/>
                            <w:jc w:val="center"/>
                            <w:rPr>
                              <w:rFonts w:ascii="Arial Black" w:hAnsi="Arial Black"/>
                              <w:color w:val="000000"/>
                              <w:sz w:val="20"/>
                            </w:rPr>
                          </w:pPr>
                          <w:r w:rsidRPr="005D516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69BD4A" id="Text Box 3"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02AADAC0" w14:textId="4845C80D" w:rsidR="005D516E" w:rsidRPr="005D516E" w:rsidRDefault="005D516E" w:rsidP="005D516E">
                    <w:pPr>
                      <w:spacing w:after="0"/>
                      <w:jc w:val="center"/>
                      <w:rPr>
                        <w:rFonts w:ascii="Arial Black" w:hAnsi="Arial Black"/>
                        <w:color w:val="000000"/>
                        <w:sz w:val="20"/>
                      </w:rPr>
                    </w:pPr>
                    <w:r w:rsidRPr="005D516E">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4357B203" wp14:editId="1655068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4AD93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57B203" id="Text Box 7" o:spid="_x0000_s103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7C4AD93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8D73" w14:textId="77777777" w:rsidR="00AE7972" w:rsidRDefault="00AE7972" w:rsidP="002862F1">
      <w:pPr>
        <w:spacing w:before="120"/>
      </w:pPr>
      <w:r>
        <w:separator/>
      </w:r>
    </w:p>
  </w:footnote>
  <w:footnote w:type="continuationSeparator" w:id="0">
    <w:p w14:paraId="3DFBDF6B" w14:textId="77777777" w:rsidR="00AE7972" w:rsidRDefault="00AE7972">
      <w:r>
        <w:continuationSeparator/>
      </w:r>
    </w:p>
  </w:footnote>
  <w:footnote w:type="continuationNotice" w:id="1">
    <w:p w14:paraId="3B302477" w14:textId="77777777" w:rsidR="00AE7972" w:rsidRDefault="00AE7972">
      <w:pPr>
        <w:spacing w:after="0" w:line="240" w:lineRule="auto"/>
      </w:pPr>
    </w:p>
  </w:footnote>
  <w:footnote w:id="2">
    <w:p w14:paraId="5B33003E" w14:textId="77777777" w:rsidR="003E3383" w:rsidRDefault="003E3383" w:rsidP="003E3383">
      <w:pPr>
        <w:pStyle w:val="FootnoteText"/>
      </w:pPr>
      <w:r>
        <w:rPr>
          <w:rStyle w:val="FootnoteReference"/>
        </w:rPr>
        <w:footnoteRef/>
      </w:r>
      <w:r>
        <w:t xml:space="preserve"> Included in Schedule 4 of the Poisons Standard.</w:t>
      </w:r>
    </w:p>
  </w:footnote>
  <w:footnote w:id="3">
    <w:p w14:paraId="34E812F9" w14:textId="77777777" w:rsidR="00695CD1" w:rsidRDefault="00695CD1" w:rsidP="00695CD1">
      <w:pPr>
        <w:pStyle w:val="FootnoteText"/>
      </w:pPr>
      <w:r>
        <w:rPr>
          <w:rStyle w:val="FootnoteReference"/>
        </w:rPr>
        <w:footnoteRef/>
      </w:r>
      <w:r>
        <w:t xml:space="preserve"> This does not include limited registration, provisional registration, non-practising registration, or student registration.</w:t>
      </w:r>
    </w:p>
  </w:footnote>
  <w:footnote w:id="4">
    <w:p w14:paraId="5DCBBBF9" w14:textId="66CD929F" w:rsidR="000D56C8" w:rsidRDefault="000D56C8">
      <w:pPr>
        <w:pStyle w:val="FootnoteText"/>
      </w:pPr>
      <w:r w:rsidRPr="0023460E">
        <w:rPr>
          <w:rStyle w:val="FootnoteReference"/>
        </w:rPr>
        <w:footnoteRef/>
      </w:r>
      <w:r w:rsidRPr="0023460E">
        <w:t xml:space="preserve"> A pharmacy is participating in the </w:t>
      </w:r>
      <w:r w:rsidR="001151B4" w:rsidRPr="0023460E">
        <w:t>P</w:t>
      </w:r>
      <w:r w:rsidR="007F1B4A" w:rsidRPr="0023460E">
        <w:t xml:space="preserve">ilot </w:t>
      </w:r>
      <w:r w:rsidRPr="0023460E">
        <w:t>when the owner</w:t>
      </w:r>
      <w:r w:rsidR="00740301" w:rsidRPr="0023460E">
        <w:t>, or other authorised representative</w:t>
      </w:r>
      <w:r w:rsidRPr="0023460E">
        <w:t xml:space="preserve"> </w:t>
      </w:r>
      <w:r w:rsidR="00A33926" w:rsidRPr="0023460E">
        <w:t>of the pharmacy</w:t>
      </w:r>
      <w:r w:rsidR="004D4021" w:rsidRPr="0023460E">
        <w:t>,</w:t>
      </w:r>
      <w:r w:rsidR="00A33926" w:rsidRPr="0023460E">
        <w:t xml:space="preserve"> </w:t>
      </w:r>
      <w:r w:rsidRPr="0023460E">
        <w:t xml:space="preserve">is a party to </w:t>
      </w:r>
      <w:r w:rsidR="00B4241F" w:rsidRPr="0023460E">
        <w:t xml:space="preserve">a </w:t>
      </w:r>
      <w:r w:rsidRPr="0023460E">
        <w:t xml:space="preserve">Funding Agreement </w:t>
      </w:r>
      <w:r w:rsidR="007F1B4A" w:rsidRPr="0023460E">
        <w:t xml:space="preserve">for the purposes of the </w:t>
      </w:r>
      <w:r w:rsidR="001151B4" w:rsidRPr="0023460E">
        <w:t>P</w:t>
      </w:r>
      <w:r w:rsidR="007F1B4A" w:rsidRPr="0023460E">
        <w:t xml:space="preserve">ilot </w:t>
      </w:r>
      <w:r w:rsidRPr="0023460E">
        <w:t>with the Department of Health.</w:t>
      </w:r>
    </w:p>
  </w:footnote>
  <w:footnote w:id="5">
    <w:p w14:paraId="6C1B9D73" w14:textId="16A7FD15" w:rsidR="008E4320" w:rsidRDefault="008E4320">
      <w:pPr>
        <w:pStyle w:val="FootnoteText"/>
      </w:pPr>
      <w:r>
        <w:rPr>
          <w:rStyle w:val="FootnoteReference"/>
        </w:rPr>
        <w:footnoteRef/>
      </w:r>
      <w:r>
        <w:t xml:space="preserve"> </w:t>
      </w:r>
      <w:r w:rsidR="00866B38">
        <w:t xml:space="preserve">Available from </w:t>
      </w:r>
      <w:hyperlink r:id="rId1" w:history="1">
        <w:r w:rsidR="00F31044" w:rsidRPr="00122447">
          <w:rPr>
            <w:rStyle w:val="Hyperlink"/>
          </w:rPr>
          <w:t>https://www.health.vic.gov.au/primary-care/victorian-community-pharmacist-statewide-pilot</w:t>
        </w:r>
      </w:hyperlink>
      <w:r w:rsidR="00485476">
        <w:t>.</w:t>
      </w:r>
    </w:p>
  </w:footnote>
  <w:footnote w:id="6">
    <w:p w14:paraId="056D7E93" w14:textId="1F0970F3" w:rsidR="002F0EED" w:rsidRDefault="002F0EED">
      <w:pPr>
        <w:pStyle w:val="FootnoteText"/>
      </w:pPr>
      <w:r>
        <w:rPr>
          <w:rStyle w:val="FootnoteReference"/>
        </w:rPr>
        <w:footnoteRef/>
      </w:r>
      <w:r>
        <w:t xml:space="preserve"> Available from </w:t>
      </w:r>
      <w:hyperlink r:id="rId2" w:history="1">
        <w:r w:rsidRPr="00122447">
          <w:rPr>
            <w:rStyle w:val="Hyperlink"/>
          </w:rPr>
          <w:t>https://www.health.vic.gov.au/primary-care/victorian-community-pharmacist-statewide-pilot</w:t>
        </w:r>
      </w:hyperlink>
      <w:r>
        <w:t>.</w:t>
      </w:r>
    </w:p>
  </w:footnote>
  <w:footnote w:id="7">
    <w:p w14:paraId="0BD485AD" w14:textId="6E529442" w:rsidR="00AD0C8B" w:rsidRDefault="00AD0C8B">
      <w:pPr>
        <w:pStyle w:val="FootnoteText"/>
      </w:pPr>
      <w:r>
        <w:rPr>
          <w:rStyle w:val="FootnoteReference"/>
        </w:rPr>
        <w:footnoteRef/>
      </w:r>
      <w:r>
        <w:t xml:space="preserve"> Available from </w:t>
      </w:r>
      <w:hyperlink r:id="rId3" w:history="1">
        <w:r w:rsidRPr="00122447">
          <w:rPr>
            <w:rStyle w:val="Hyperlink"/>
          </w:rPr>
          <w:t>https://www.health.vic.gov.au/primary-care/victorian-community-pharmacist-statewide-pilot</w:t>
        </w:r>
      </w:hyperlink>
      <w:r>
        <w:t>.</w:t>
      </w:r>
    </w:p>
  </w:footnote>
  <w:footnote w:id="8">
    <w:p w14:paraId="04BC6E53" w14:textId="77777777" w:rsidR="00A40796" w:rsidRPr="007026FB" w:rsidRDefault="00A40796" w:rsidP="00A40796">
      <w:pPr>
        <w:pStyle w:val="FootnoteText"/>
      </w:pPr>
      <w:r>
        <w:rPr>
          <w:rStyle w:val="FootnoteReference"/>
        </w:rPr>
        <w:footnoteRef/>
      </w:r>
      <w:r>
        <w:t xml:space="preserve"> </w:t>
      </w:r>
      <w:r w:rsidRPr="007026FB">
        <w:rPr>
          <w:rStyle w:val="normaltextrun"/>
          <w:color w:val="000000"/>
          <w:szCs w:val="18"/>
          <w:shd w:val="clear" w:color="auto" w:fill="FFFFFF"/>
        </w:rPr>
        <w:t>A case of this vaccine preventable disease is notifiable to the Department of Health under the Health (Infectious Diseases) Regulation 1990. The department will provide advice on the further management of the case and contacts.</w:t>
      </w:r>
    </w:p>
  </w:footnote>
  <w:footnote w:id="9">
    <w:p w14:paraId="4BE12012" w14:textId="77777777" w:rsidR="00A40796" w:rsidRPr="007026FB" w:rsidRDefault="00A40796" w:rsidP="00A40796">
      <w:pPr>
        <w:pStyle w:val="FootnoteText"/>
      </w:pPr>
      <w:r w:rsidRPr="007026FB">
        <w:rPr>
          <w:rStyle w:val="FootnoteReference"/>
        </w:rPr>
        <w:footnoteRef/>
      </w:r>
      <w:r w:rsidRPr="007026FB">
        <w:t xml:space="preserve"> </w:t>
      </w:r>
      <w:r w:rsidRPr="007026FB">
        <w:rPr>
          <w:rStyle w:val="normaltextrun"/>
          <w:color w:val="000000"/>
          <w:szCs w:val="18"/>
          <w:bdr w:val="none" w:sz="0" w:space="0" w:color="auto" w:frame="1"/>
        </w:rPr>
        <w:t>Approval to administer vaccines does not include the administration of immunoglobulin preparations.</w:t>
      </w:r>
    </w:p>
  </w:footnote>
  <w:footnote w:id="10">
    <w:p w14:paraId="16983C0A" w14:textId="77777777" w:rsidR="00A40796" w:rsidRDefault="00A40796" w:rsidP="00A40796">
      <w:pPr>
        <w:pStyle w:val="FootnoteText"/>
      </w:pPr>
      <w:r w:rsidRPr="007026FB">
        <w:rPr>
          <w:rStyle w:val="FootnoteReference"/>
        </w:rPr>
        <w:footnoteRef/>
      </w:r>
      <w:r w:rsidRPr="007026FB">
        <w:t xml:space="preserve"> </w:t>
      </w:r>
      <w:r w:rsidRPr="007026FB">
        <w:rPr>
          <w:rStyle w:val="normaltextrun"/>
          <w:color w:val="000000"/>
          <w:szCs w:val="18"/>
          <w:shd w:val="clear" w:color="auto" w:fill="FFFFFF"/>
        </w:rPr>
        <w:t>Although immunisation is indicated, the final decision that immunisation is indicated should be made by the individual’s treating doctor due to the specialist nature of the condition.</w:t>
      </w:r>
    </w:p>
  </w:footnote>
  <w:footnote w:id="11">
    <w:p w14:paraId="69441BE1" w14:textId="77777777" w:rsidR="00A40796" w:rsidRDefault="00A40796" w:rsidP="00A40796">
      <w:pPr>
        <w:pStyle w:val="FootnoteText"/>
      </w:pPr>
      <w:r>
        <w:rPr>
          <w:rStyle w:val="FootnoteReference"/>
        </w:rPr>
        <w:footnoteRef/>
      </w:r>
      <w:r>
        <w:t xml:space="preserve"> </w:t>
      </w:r>
      <w:r w:rsidRPr="00A37282">
        <w:t>Current version available online</w:t>
      </w:r>
      <w:r>
        <w:t xml:space="preserve"> at: </w:t>
      </w:r>
      <w:hyperlink r:id="rId4" w:history="1">
        <w:r w:rsidRPr="00B12C58">
          <w:rPr>
            <w:rStyle w:val="Hyperlink"/>
          </w:rPr>
          <w:t>https://immunisationhandbook.health.gov.au/</w:t>
        </w:r>
      </w:hyperlink>
      <w:r>
        <w:t xml:space="preserve"> </w:t>
      </w:r>
    </w:p>
  </w:footnote>
  <w:footnote w:id="12">
    <w:p w14:paraId="1582C68F" w14:textId="77777777" w:rsidR="007026FB" w:rsidRDefault="007026FB" w:rsidP="007026FB">
      <w:pPr>
        <w:pStyle w:val="FootnoteText"/>
      </w:pPr>
      <w:r>
        <w:rPr>
          <w:rStyle w:val="FootnoteReference"/>
        </w:rPr>
        <w:footnoteRef/>
      </w:r>
      <w:r>
        <w:t xml:space="preserve"> O</w:t>
      </w:r>
      <w:r w:rsidRPr="00E352CF">
        <w:t xml:space="preserve">nly available in Australia in combination </w:t>
      </w:r>
      <w:r>
        <w:t xml:space="preserve">vaccine </w:t>
      </w:r>
      <w:r w:rsidRPr="00E352CF">
        <w:t>with diphtheria</w:t>
      </w:r>
      <w:r>
        <w:t>,</w:t>
      </w:r>
      <w:r w:rsidRPr="00E352CF">
        <w:t xml:space="preserve"> tetanus</w:t>
      </w:r>
      <w:r>
        <w:t xml:space="preserve"> and pertussis</w:t>
      </w:r>
      <w:r w:rsidRPr="00E352CF">
        <w:t xml:space="preserve"> or diphtheria, tetanus</w:t>
      </w:r>
      <w:r>
        <w:t>, pertussis</w:t>
      </w:r>
      <w:r w:rsidRPr="00E352CF">
        <w:t xml:space="preserve"> and poliomyelitis.</w:t>
      </w:r>
    </w:p>
  </w:footnote>
  <w:footnote w:id="13">
    <w:p w14:paraId="1BEBF9BA" w14:textId="77777777" w:rsidR="007026FB" w:rsidRDefault="007026FB" w:rsidP="007026FB">
      <w:pPr>
        <w:pStyle w:val="FootnoteText"/>
      </w:pPr>
      <w:r>
        <w:rPr>
          <w:rStyle w:val="FootnoteReference"/>
        </w:rPr>
        <w:footnoteRef/>
      </w:r>
      <w:r>
        <w:t xml:space="preserve"> </w:t>
      </w:r>
      <w:r w:rsidRPr="00AE011E">
        <w:t>Tetanus prone wounds should be reviewed in a medical consultation</w:t>
      </w:r>
      <w:r>
        <w:t>.</w:t>
      </w:r>
    </w:p>
  </w:footnote>
  <w:footnote w:id="14">
    <w:p w14:paraId="1612D698" w14:textId="77777777" w:rsidR="001210CB" w:rsidRDefault="001210CB" w:rsidP="001210CB">
      <w:pPr>
        <w:pStyle w:val="FootnoteText"/>
      </w:pPr>
      <w:r>
        <w:rPr>
          <w:rStyle w:val="FootnoteReference"/>
        </w:rPr>
        <w:footnoteRef/>
      </w:r>
      <w:r>
        <w:t xml:space="preserve"> O</w:t>
      </w:r>
      <w:r w:rsidRPr="00E352CF">
        <w:t xml:space="preserve">nly available in Australia in combination </w:t>
      </w:r>
      <w:r>
        <w:t xml:space="preserve">vaccine </w:t>
      </w:r>
      <w:r w:rsidRPr="00E352CF">
        <w:t xml:space="preserve">with </w:t>
      </w:r>
      <w:r>
        <w:t>measles, mumps and rubella</w:t>
      </w:r>
      <w:r w:rsidRPr="00E352CF">
        <w:t xml:space="preserve"> or </w:t>
      </w:r>
      <w:r>
        <w:t>measles, mumps, rubella and varicella</w:t>
      </w:r>
      <w:r w:rsidRPr="00E352C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093A" w14:textId="6AA18F30"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2157D98"/>
    <w:multiLevelType w:val="hybridMultilevel"/>
    <w:tmpl w:val="0A9C6444"/>
    <w:lvl w:ilvl="0" w:tplc="0C09000F">
      <w:start w:val="1"/>
      <w:numFmt w:val="decimal"/>
      <w:lvlText w:val="%1."/>
      <w:lvlJc w:val="left"/>
      <w:pPr>
        <w:ind w:left="360" w:hanging="360"/>
      </w:pPr>
    </w:lvl>
    <w:lvl w:ilvl="1" w:tplc="1DB063E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871793"/>
    <w:multiLevelType w:val="hybridMultilevel"/>
    <w:tmpl w:val="16E841BE"/>
    <w:lvl w:ilvl="0" w:tplc="E8BE82B8">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A63829"/>
    <w:multiLevelType w:val="hybridMultilevel"/>
    <w:tmpl w:val="7E3C2516"/>
    <w:lvl w:ilvl="0" w:tplc="1DB063E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607DBD"/>
    <w:multiLevelType w:val="hybridMultilevel"/>
    <w:tmpl w:val="72AE0DE2"/>
    <w:lvl w:ilvl="0" w:tplc="593E0830">
      <w:start w:val="1"/>
      <w:numFmt w:val="upp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6FB614D"/>
    <w:multiLevelType w:val="hybridMultilevel"/>
    <w:tmpl w:val="F1004F82"/>
    <w:lvl w:ilvl="0" w:tplc="8F809DD4">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EBC2982"/>
    <w:multiLevelType w:val="hybridMultilevel"/>
    <w:tmpl w:val="9BB01B7A"/>
    <w:lvl w:ilvl="0" w:tplc="1DB063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D600F13"/>
    <w:multiLevelType w:val="hybridMultilevel"/>
    <w:tmpl w:val="9BB01B7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E4A0A1E"/>
    <w:multiLevelType w:val="hybridMultilevel"/>
    <w:tmpl w:val="F1004F82"/>
    <w:lvl w:ilvl="0" w:tplc="FFFFFFFF">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B3C1EFE"/>
    <w:multiLevelType w:val="hybridMultilevel"/>
    <w:tmpl w:val="647A1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1936D9"/>
    <w:multiLevelType w:val="hybridMultilevel"/>
    <w:tmpl w:val="E8C21148"/>
    <w:lvl w:ilvl="0" w:tplc="B97AEE76">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6C08C6"/>
    <w:multiLevelType w:val="hybridMultilevel"/>
    <w:tmpl w:val="22F80C5E"/>
    <w:lvl w:ilvl="0" w:tplc="180618E4">
      <w:start w:val="1"/>
      <w:numFmt w:val="upperRoman"/>
      <w:lvlText w:val="(%1)"/>
      <w:lvlJc w:val="left"/>
      <w:pPr>
        <w:ind w:left="1134" w:hanging="720"/>
      </w:pPr>
      <w:rPr>
        <w:rFonts w:hint="default"/>
      </w:rPr>
    </w:lvl>
    <w:lvl w:ilvl="1" w:tplc="0C090019">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num w:numId="1" w16cid:durableId="337123105">
    <w:abstractNumId w:val="0"/>
  </w:num>
  <w:num w:numId="2" w16cid:durableId="736321464">
    <w:abstractNumId w:val="10"/>
  </w:num>
  <w:num w:numId="3" w16cid:durableId="730277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1398677">
    <w:abstractNumId w:val="14"/>
  </w:num>
  <w:num w:numId="5" w16cid:durableId="392852961">
    <w:abstractNumId w:val="13"/>
  </w:num>
  <w:num w:numId="6" w16cid:durableId="2070957619">
    <w:abstractNumId w:val="16"/>
  </w:num>
  <w:num w:numId="7" w16cid:durableId="644744981">
    <w:abstractNumId w:val="11"/>
  </w:num>
  <w:num w:numId="8" w16cid:durableId="1497649516">
    <w:abstractNumId w:val="4"/>
  </w:num>
  <w:num w:numId="9" w16cid:durableId="517356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4789025">
    <w:abstractNumId w:val="1"/>
  </w:num>
  <w:num w:numId="11" w16cid:durableId="1916354974">
    <w:abstractNumId w:val="9"/>
  </w:num>
  <w:num w:numId="12" w16cid:durableId="1336303529">
    <w:abstractNumId w:val="6"/>
  </w:num>
  <w:num w:numId="13" w16cid:durableId="2077625372">
    <w:abstractNumId w:val="19"/>
  </w:num>
  <w:num w:numId="14" w16cid:durableId="1600485614">
    <w:abstractNumId w:val="5"/>
  </w:num>
  <w:num w:numId="15" w16cid:durableId="53702499">
    <w:abstractNumId w:val="8"/>
  </w:num>
  <w:num w:numId="16" w16cid:durableId="1338456513">
    <w:abstractNumId w:val="17"/>
  </w:num>
  <w:num w:numId="17" w16cid:durableId="1952935062">
    <w:abstractNumId w:val="12"/>
  </w:num>
  <w:num w:numId="18" w16cid:durableId="117335811">
    <w:abstractNumId w:val="7"/>
  </w:num>
  <w:num w:numId="19" w16cid:durableId="1656717156">
    <w:abstractNumId w:val="18"/>
  </w:num>
  <w:num w:numId="20" w16cid:durableId="131013449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DA"/>
    <w:rsid w:val="00000206"/>
    <w:rsid w:val="000005FC"/>
    <w:rsid w:val="00000719"/>
    <w:rsid w:val="000021F9"/>
    <w:rsid w:val="00003403"/>
    <w:rsid w:val="0000530D"/>
    <w:rsid w:val="00005347"/>
    <w:rsid w:val="000072B6"/>
    <w:rsid w:val="0001021B"/>
    <w:rsid w:val="00011C8B"/>
    <w:rsid w:val="00011D89"/>
    <w:rsid w:val="000141DD"/>
    <w:rsid w:val="00015453"/>
    <w:rsid w:val="000154FD"/>
    <w:rsid w:val="00016FBF"/>
    <w:rsid w:val="00020360"/>
    <w:rsid w:val="00022271"/>
    <w:rsid w:val="000235E8"/>
    <w:rsid w:val="00024D89"/>
    <w:rsid w:val="000250B6"/>
    <w:rsid w:val="00025598"/>
    <w:rsid w:val="000277BC"/>
    <w:rsid w:val="00031DE9"/>
    <w:rsid w:val="00032AF3"/>
    <w:rsid w:val="00033D81"/>
    <w:rsid w:val="000353DE"/>
    <w:rsid w:val="00037366"/>
    <w:rsid w:val="00037B72"/>
    <w:rsid w:val="000413BD"/>
    <w:rsid w:val="00041BF0"/>
    <w:rsid w:val="000428F5"/>
    <w:rsid w:val="00042C8A"/>
    <w:rsid w:val="00043A4F"/>
    <w:rsid w:val="00044627"/>
    <w:rsid w:val="0004536B"/>
    <w:rsid w:val="00046B68"/>
    <w:rsid w:val="00046FA1"/>
    <w:rsid w:val="000479BE"/>
    <w:rsid w:val="000527DD"/>
    <w:rsid w:val="000546CA"/>
    <w:rsid w:val="00054734"/>
    <w:rsid w:val="000578B2"/>
    <w:rsid w:val="0006036B"/>
    <w:rsid w:val="00060959"/>
    <w:rsid w:val="00060C8F"/>
    <w:rsid w:val="00061F53"/>
    <w:rsid w:val="0006298A"/>
    <w:rsid w:val="0006479C"/>
    <w:rsid w:val="000662B7"/>
    <w:rsid w:val="000663CD"/>
    <w:rsid w:val="0006755F"/>
    <w:rsid w:val="000703FC"/>
    <w:rsid w:val="000720B2"/>
    <w:rsid w:val="00072573"/>
    <w:rsid w:val="000733FE"/>
    <w:rsid w:val="00074219"/>
    <w:rsid w:val="00074ED5"/>
    <w:rsid w:val="00074F19"/>
    <w:rsid w:val="000763C0"/>
    <w:rsid w:val="000805CF"/>
    <w:rsid w:val="00080F85"/>
    <w:rsid w:val="000835C6"/>
    <w:rsid w:val="00083BC6"/>
    <w:rsid w:val="000840B5"/>
    <w:rsid w:val="00084D20"/>
    <w:rsid w:val="0008508E"/>
    <w:rsid w:val="000851BD"/>
    <w:rsid w:val="00087951"/>
    <w:rsid w:val="0009113B"/>
    <w:rsid w:val="00093121"/>
    <w:rsid w:val="00093402"/>
    <w:rsid w:val="000938F0"/>
    <w:rsid w:val="00093F43"/>
    <w:rsid w:val="0009459A"/>
    <w:rsid w:val="00094DA3"/>
    <w:rsid w:val="00096CD1"/>
    <w:rsid w:val="00096F8B"/>
    <w:rsid w:val="000A012C"/>
    <w:rsid w:val="000A0AAE"/>
    <w:rsid w:val="000A0EB9"/>
    <w:rsid w:val="000A13B2"/>
    <w:rsid w:val="000A186C"/>
    <w:rsid w:val="000A1EA4"/>
    <w:rsid w:val="000A2476"/>
    <w:rsid w:val="000A4FA8"/>
    <w:rsid w:val="000A596C"/>
    <w:rsid w:val="000A5B82"/>
    <w:rsid w:val="000A641A"/>
    <w:rsid w:val="000A73A7"/>
    <w:rsid w:val="000A7980"/>
    <w:rsid w:val="000B19C0"/>
    <w:rsid w:val="000B211A"/>
    <w:rsid w:val="000B327E"/>
    <w:rsid w:val="000B3EDB"/>
    <w:rsid w:val="000B46E2"/>
    <w:rsid w:val="000B543D"/>
    <w:rsid w:val="000B55F9"/>
    <w:rsid w:val="000B5BF7"/>
    <w:rsid w:val="000B6BC8"/>
    <w:rsid w:val="000B760C"/>
    <w:rsid w:val="000C0303"/>
    <w:rsid w:val="000C0477"/>
    <w:rsid w:val="000C42EA"/>
    <w:rsid w:val="000C4546"/>
    <w:rsid w:val="000C4C3B"/>
    <w:rsid w:val="000D1242"/>
    <w:rsid w:val="000D14AA"/>
    <w:rsid w:val="000D1DE0"/>
    <w:rsid w:val="000D1E06"/>
    <w:rsid w:val="000D2DB0"/>
    <w:rsid w:val="000D304B"/>
    <w:rsid w:val="000D5138"/>
    <w:rsid w:val="000D56C8"/>
    <w:rsid w:val="000D7525"/>
    <w:rsid w:val="000D7B64"/>
    <w:rsid w:val="000E0970"/>
    <w:rsid w:val="000E14B0"/>
    <w:rsid w:val="000E17D6"/>
    <w:rsid w:val="000E1910"/>
    <w:rsid w:val="000E3CC7"/>
    <w:rsid w:val="000E4416"/>
    <w:rsid w:val="000E560B"/>
    <w:rsid w:val="000E6BD4"/>
    <w:rsid w:val="000E6D6D"/>
    <w:rsid w:val="000F0643"/>
    <w:rsid w:val="000F1992"/>
    <w:rsid w:val="000F1A7D"/>
    <w:rsid w:val="000F1F0B"/>
    <w:rsid w:val="000F1F1E"/>
    <w:rsid w:val="000F2259"/>
    <w:rsid w:val="000F2DDA"/>
    <w:rsid w:val="000F395B"/>
    <w:rsid w:val="000F46F2"/>
    <w:rsid w:val="000F5213"/>
    <w:rsid w:val="000F53AB"/>
    <w:rsid w:val="000F607D"/>
    <w:rsid w:val="000F6650"/>
    <w:rsid w:val="000F6AC4"/>
    <w:rsid w:val="000F70B6"/>
    <w:rsid w:val="000F79FE"/>
    <w:rsid w:val="00101001"/>
    <w:rsid w:val="00101441"/>
    <w:rsid w:val="00101964"/>
    <w:rsid w:val="001028C4"/>
    <w:rsid w:val="00103276"/>
    <w:rsid w:val="001035B1"/>
    <w:rsid w:val="0010392D"/>
    <w:rsid w:val="0010447F"/>
    <w:rsid w:val="00104FE3"/>
    <w:rsid w:val="001056E9"/>
    <w:rsid w:val="00106567"/>
    <w:rsid w:val="00106A18"/>
    <w:rsid w:val="0010714F"/>
    <w:rsid w:val="00110519"/>
    <w:rsid w:val="00110D72"/>
    <w:rsid w:val="00110FD3"/>
    <w:rsid w:val="001120C5"/>
    <w:rsid w:val="00112C13"/>
    <w:rsid w:val="0011371C"/>
    <w:rsid w:val="00113931"/>
    <w:rsid w:val="001151B4"/>
    <w:rsid w:val="00115740"/>
    <w:rsid w:val="0011617E"/>
    <w:rsid w:val="0011701A"/>
    <w:rsid w:val="0011734B"/>
    <w:rsid w:val="00120BD3"/>
    <w:rsid w:val="001210CB"/>
    <w:rsid w:val="00122497"/>
    <w:rsid w:val="00122FEA"/>
    <w:rsid w:val="001232BD"/>
    <w:rsid w:val="001244A6"/>
    <w:rsid w:val="001247DE"/>
    <w:rsid w:val="00124ED5"/>
    <w:rsid w:val="0012612F"/>
    <w:rsid w:val="00126F77"/>
    <w:rsid w:val="001276FA"/>
    <w:rsid w:val="00127EFB"/>
    <w:rsid w:val="00132BD6"/>
    <w:rsid w:val="001354C6"/>
    <w:rsid w:val="00141D35"/>
    <w:rsid w:val="0014255B"/>
    <w:rsid w:val="00143698"/>
    <w:rsid w:val="00143E13"/>
    <w:rsid w:val="001447B3"/>
    <w:rsid w:val="00145CAC"/>
    <w:rsid w:val="00146331"/>
    <w:rsid w:val="00146CDC"/>
    <w:rsid w:val="001510E8"/>
    <w:rsid w:val="00152073"/>
    <w:rsid w:val="00154E2D"/>
    <w:rsid w:val="00156598"/>
    <w:rsid w:val="0016145D"/>
    <w:rsid w:val="001616AE"/>
    <w:rsid w:val="00161939"/>
    <w:rsid w:val="00161AA0"/>
    <w:rsid w:val="00161D2E"/>
    <w:rsid w:val="00161F3E"/>
    <w:rsid w:val="00162093"/>
    <w:rsid w:val="0016259E"/>
    <w:rsid w:val="00162B04"/>
    <w:rsid w:val="00162CA9"/>
    <w:rsid w:val="0016434E"/>
    <w:rsid w:val="001644AD"/>
    <w:rsid w:val="001646C3"/>
    <w:rsid w:val="00165023"/>
    <w:rsid w:val="00165459"/>
    <w:rsid w:val="00165A57"/>
    <w:rsid w:val="00166281"/>
    <w:rsid w:val="00171190"/>
    <w:rsid w:val="001712C2"/>
    <w:rsid w:val="001712C9"/>
    <w:rsid w:val="001716FB"/>
    <w:rsid w:val="0017183A"/>
    <w:rsid w:val="00172BAF"/>
    <w:rsid w:val="00175575"/>
    <w:rsid w:val="001771DD"/>
    <w:rsid w:val="00177995"/>
    <w:rsid w:val="00177A8C"/>
    <w:rsid w:val="00180B64"/>
    <w:rsid w:val="001813C7"/>
    <w:rsid w:val="001831C3"/>
    <w:rsid w:val="00184BB6"/>
    <w:rsid w:val="00185737"/>
    <w:rsid w:val="00186B33"/>
    <w:rsid w:val="0018715B"/>
    <w:rsid w:val="00190E83"/>
    <w:rsid w:val="00191C05"/>
    <w:rsid w:val="00192F9D"/>
    <w:rsid w:val="00193D72"/>
    <w:rsid w:val="00196651"/>
    <w:rsid w:val="00196EB8"/>
    <w:rsid w:val="00196EFB"/>
    <w:rsid w:val="001979FF"/>
    <w:rsid w:val="00197B17"/>
    <w:rsid w:val="001A1950"/>
    <w:rsid w:val="001A19E0"/>
    <w:rsid w:val="001A1C54"/>
    <w:rsid w:val="001A3ACE"/>
    <w:rsid w:val="001A592F"/>
    <w:rsid w:val="001A6912"/>
    <w:rsid w:val="001A79DF"/>
    <w:rsid w:val="001B058F"/>
    <w:rsid w:val="001B16B8"/>
    <w:rsid w:val="001B591A"/>
    <w:rsid w:val="001B65AE"/>
    <w:rsid w:val="001B738B"/>
    <w:rsid w:val="001B7DF7"/>
    <w:rsid w:val="001C09DB"/>
    <w:rsid w:val="001C193D"/>
    <w:rsid w:val="001C1D68"/>
    <w:rsid w:val="001C277E"/>
    <w:rsid w:val="001C288A"/>
    <w:rsid w:val="001C2A72"/>
    <w:rsid w:val="001C2FD7"/>
    <w:rsid w:val="001C31B7"/>
    <w:rsid w:val="001C54DD"/>
    <w:rsid w:val="001C6CEB"/>
    <w:rsid w:val="001D028D"/>
    <w:rsid w:val="001D0B75"/>
    <w:rsid w:val="001D39A5"/>
    <w:rsid w:val="001D3C09"/>
    <w:rsid w:val="001D44E8"/>
    <w:rsid w:val="001D5A44"/>
    <w:rsid w:val="001D5D56"/>
    <w:rsid w:val="001D60EC"/>
    <w:rsid w:val="001D64F5"/>
    <w:rsid w:val="001D6F59"/>
    <w:rsid w:val="001E0845"/>
    <w:rsid w:val="001E0C5D"/>
    <w:rsid w:val="001E2A36"/>
    <w:rsid w:val="001E44DF"/>
    <w:rsid w:val="001E5058"/>
    <w:rsid w:val="001E5935"/>
    <w:rsid w:val="001E68A5"/>
    <w:rsid w:val="001E6BB0"/>
    <w:rsid w:val="001E7282"/>
    <w:rsid w:val="001F2710"/>
    <w:rsid w:val="001F3805"/>
    <w:rsid w:val="001F3826"/>
    <w:rsid w:val="001F4074"/>
    <w:rsid w:val="001F6E46"/>
    <w:rsid w:val="001F7186"/>
    <w:rsid w:val="001F7631"/>
    <w:rsid w:val="001F7C91"/>
    <w:rsid w:val="00200176"/>
    <w:rsid w:val="002033B7"/>
    <w:rsid w:val="00205789"/>
    <w:rsid w:val="00206463"/>
    <w:rsid w:val="00206976"/>
    <w:rsid w:val="00206A0A"/>
    <w:rsid w:val="00206F2F"/>
    <w:rsid w:val="0021053D"/>
    <w:rsid w:val="00210A92"/>
    <w:rsid w:val="002125AC"/>
    <w:rsid w:val="00214379"/>
    <w:rsid w:val="00216C03"/>
    <w:rsid w:val="00220C04"/>
    <w:rsid w:val="0022278D"/>
    <w:rsid w:val="002262E5"/>
    <w:rsid w:val="00226ADD"/>
    <w:rsid w:val="0022701F"/>
    <w:rsid w:val="00227C68"/>
    <w:rsid w:val="00230EC9"/>
    <w:rsid w:val="00232AB4"/>
    <w:rsid w:val="002333F5"/>
    <w:rsid w:val="00233724"/>
    <w:rsid w:val="00233E38"/>
    <w:rsid w:val="0023460E"/>
    <w:rsid w:val="0023487D"/>
    <w:rsid w:val="002365B4"/>
    <w:rsid w:val="002432E1"/>
    <w:rsid w:val="00244838"/>
    <w:rsid w:val="002454C8"/>
    <w:rsid w:val="00246207"/>
    <w:rsid w:val="00246C5E"/>
    <w:rsid w:val="00247A6B"/>
    <w:rsid w:val="00250960"/>
    <w:rsid w:val="00251343"/>
    <w:rsid w:val="00252680"/>
    <w:rsid w:val="002536A4"/>
    <w:rsid w:val="00254380"/>
    <w:rsid w:val="00254708"/>
    <w:rsid w:val="00254F58"/>
    <w:rsid w:val="00257A88"/>
    <w:rsid w:val="00257D84"/>
    <w:rsid w:val="002620BC"/>
    <w:rsid w:val="00262802"/>
    <w:rsid w:val="00263973"/>
    <w:rsid w:val="00263A90"/>
    <w:rsid w:val="00263C1F"/>
    <w:rsid w:val="0026408B"/>
    <w:rsid w:val="00264995"/>
    <w:rsid w:val="00267C3E"/>
    <w:rsid w:val="002709BB"/>
    <w:rsid w:val="0027113F"/>
    <w:rsid w:val="00273BAC"/>
    <w:rsid w:val="00273D54"/>
    <w:rsid w:val="00275063"/>
    <w:rsid w:val="002763B3"/>
    <w:rsid w:val="002802E3"/>
    <w:rsid w:val="002816C8"/>
    <w:rsid w:val="0028213D"/>
    <w:rsid w:val="00284249"/>
    <w:rsid w:val="00285CBF"/>
    <w:rsid w:val="002862F1"/>
    <w:rsid w:val="00286A1A"/>
    <w:rsid w:val="0028784B"/>
    <w:rsid w:val="00287925"/>
    <w:rsid w:val="002904F8"/>
    <w:rsid w:val="002907E5"/>
    <w:rsid w:val="00291278"/>
    <w:rsid w:val="00291373"/>
    <w:rsid w:val="0029597D"/>
    <w:rsid w:val="002962C3"/>
    <w:rsid w:val="002966D9"/>
    <w:rsid w:val="0029752B"/>
    <w:rsid w:val="002A01FF"/>
    <w:rsid w:val="002A0A9C"/>
    <w:rsid w:val="002A2139"/>
    <w:rsid w:val="002A36B8"/>
    <w:rsid w:val="002A3DAA"/>
    <w:rsid w:val="002A483C"/>
    <w:rsid w:val="002A6CD0"/>
    <w:rsid w:val="002A742A"/>
    <w:rsid w:val="002B0C7C"/>
    <w:rsid w:val="002B1729"/>
    <w:rsid w:val="002B36C7"/>
    <w:rsid w:val="002B4DD4"/>
    <w:rsid w:val="002B5277"/>
    <w:rsid w:val="002B5375"/>
    <w:rsid w:val="002B6EB9"/>
    <w:rsid w:val="002B77C1"/>
    <w:rsid w:val="002C0ED7"/>
    <w:rsid w:val="002C2728"/>
    <w:rsid w:val="002C31F9"/>
    <w:rsid w:val="002C5C6B"/>
    <w:rsid w:val="002C615E"/>
    <w:rsid w:val="002C69BC"/>
    <w:rsid w:val="002C7641"/>
    <w:rsid w:val="002D05D9"/>
    <w:rsid w:val="002D1E0D"/>
    <w:rsid w:val="002D5006"/>
    <w:rsid w:val="002D7518"/>
    <w:rsid w:val="002D78FF"/>
    <w:rsid w:val="002D7FDA"/>
    <w:rsid w:val="002E01D0"/>
    <w:rsid w:val="002E02B8"/>
    <w:rsid w:val="002E06F8"/>
    <w:rsid w:val="002E161D"/>
    <w:rsid w:val="002E3100"/>
    <w:rsid w:val="002E4D05"/>
    <w:rsid w:val="002E5435"/>
    <w:rsid w:val="002E6C95"/>
    <w:rsid w:val="002E7C36"/>
    <w:rsid w:val="002F0107"/>
    <w:rsid w:val="002F0EED"/>
    <w:rsid w:val="002F1500"/>
    <w:rsid w:val="002F1F75"/>
    <w:rsid w:val="002F2F6F"/>
    <w:rsid w:val="002F343A"/>
    <w:rsid w:val="002F3D32"/>
    <w:rsid w:val="002F424E"/>
    <w:rsid w:val="002F43A2"/>
    <w:rsid w:val="002F5F31"/>
    <w:rsid w:val="002F5F46"/>
    <w:rsid w:val="002F614C"/>
    <w:rsid w:val="002F75BE"/>
    <w:rsid w:val="00302216"/>
    <w:rsid w:val="00302231"/>
    <w:rsid w:val="0030291E"/>
    <w:rsid w:val="00303E53"/>
    <w:rsid w:val="0030401E"/>
    <w:rsid w:val="003052B8"/>
    <w:rsid w:val="00305CC1"/>
    <w:rsid w:val="00306E5F"/>
    <w:rsid w:val="00307E14"/>
    <w:rsid w:val="00312BF8"/>
    <w:rsid w:val="00314054"/>
    <w:rsid w:val="00315BD8"/>
    <w:rsid w:val="00315EED"/>
    <w:rsid w:val="003166A9"/>
    <w:rsid w:val="00316F27"/>
    <w:rsid w:val="003214F1"/>
    <w:rsid w:val="00321E53"/>
    <w:rsid w:val="00322E4B"/>
    <w:rsid w:val="0032376F"/>
    <w:rsid w:val="00323AC3"/>
    <w:rsid w:val="00327870"/>
    <w:rsid w:val="00327AA4"/>
    <w:rsid w:val="003313F7"/>
    <w:rsid w:val="00331FD9"/>
    <w:rsid w:val="0033259D"/>
    <w:rsid w:val="003333D2"/>
    <w:rsid w:val="0033599E"/>
    <w:rsid w:val="003367C4"/>
    <w:rsid w:val="00337003"/>
    <w:rsid w:val="0033713A"/>
    <w:rsid w:val="003406C6"/>
    <w:rsid w:val="00341103"/>
    <w:rsid w:val="003418CC"/>
    <w:rsid w:val="003459BD"/>
    <w:rsid w:val="00350D38"/>
    <w:rsid w:val="00351B36"/>
    <w:rsid w:val="003541A0"/>
    <w:rsid w:val="00357B4E"/>
    <w:rsid w:val="00360C41"/>
    <w:rsid w:val="003611F4"/>
    <w:rsid w:val="00367C15"/>
    <w:rsid w:val="00370D34"/>
    <w:rsid w:val="003716FD"/>
    <w:rsid w:val="003718AF"/>
    <w:rsid w:val="0037204B"/>
    <w:rsid w:val="00372A3F"/>
    <w:rsid w:val="00373047"/>
    <w:rsid w:val="00373890"/>
    <w:rsid w:val="00373D3C"/>
    <w:rsid w:val="003744CF"/>
    <w:rsid w:val="00374717"/>
    <w:rsid w:val="0037676C"/>
    <w:rsid w:val="003802C7"/>
    <w:rsid w:val="00381043"/>
    <w:rsid w:val="00381E08"/>
    <w:rsid w:val="003829E5"/>
    <w:rsid w:val="003833EC"/>
    <w:rsid w:val="00383A05"/>
    <w:rsid w:val="00384AF3"/>
    <w:rsid w:val="00385A80"/>
    <w:rsid w:val="00386109"/>
    <w:rsid w:val="00386944"/>
    <w:rsid w:val="00387225"/>
    <w:rsid w:val="00390D9B"/>
    <w:rsid w:val="00391494"/>
    <w:rsid w:val="00392839"/>
    <w:rsid w:val="00392E93"/>
    <w:rsid w:val="003937DB"/>
    <w:rsid w:val="003956CC"/>
    <w:rsid w:val="00395C9A"/>
    <w:rsid w:val="0039602A"/>
    <w:rsid w:val="00397F2E"/>
    <w:rsid w:val="003A0853"/>
    <w:rsid w:val="003A23EF"/>
    <w:rsid w:val="003A2C5F"/>
    <w:rsid w:val="003A3423"/>
    <w:rsid w:val="003A3AA9"/>
    <w:rsid w:val="003A6B67"/>
    <w:rsid w:val="003B11DE"/>
    <w:rsid w:val="003B13B6"/>
    <w:rsid w:val="003B13BA"/>
    <w:rsid w:val="003B15E6"/>
    <w:rsid w:val="003B3FC1"/>
    <w:rsid w:val="003B408A"/>
    <w:rsid w:val="003B4157"/>
    <w:rsid w:val="003B52FD"/>
    <w:rsid w:val="003B53D6"/>
    <w:rsid w:val="003B5733"/>
    <w:rsid w:val="003B6D0A"/>
    <w:rsid w:val="003C047F"/>
    <w:rsid w:val="003C0566"/>
    <w:rsid w:val="003C08A2"/>
    <w:rsid w:val="003C2045"/>
    <w:rsid w:val="003C228E"/>
    <w:rsid w:val="003C2838"/>
    <w:rsid w:val="003C4000"/>
    <w:rsid w:val="003C43A1"/>
    <w:rsid w:val="003C4FC0"/>
    <w:rsid w:val="003C55F4"/>
    <w:rsid w:val="003C647C"/>
    <w:rsid w:val="003C7897"/>
    <w:rsid w:val="003C7A3F"/>
    <w:rsid w:val="003D2766"/>
    <w:rsid w:val="003D2A74"/>
    <w:rsid w:val="003D3E8F"/>
    <w:rsid w:val="003D4675"/>
    <w:rsid w:val="003D6475"/>
    <w:rsid w:val="003D6A8E"/>
    <w:rsid w:val="003E05D0"/>
    <w:rsid w:val="003E248F"/>
    <w:rsid w:val="003E2F1A"/>
    <w:rsid w:val="003E3383"/>
    <w:rsid w:val="003E375C"/>
    <w:rsid w:val="003E3841"/>
    <w:rsid w:val="003E4086"/>
    <w:rsid w:val="003E4966"/>
    <w:rsid w:val="003E4AEE"/>
    <w:rsid w:val="003E639E"/>
    <w:rsid w:val="003E71E5"/>
    <w:rsid w:val="003E7756"/>
    <w:rsid w:val="003F0445"/>
    <w:rsid w:val="003F0CF0"/>
    <w:rsid w:val="003F12BA"/>
    <w:rsid w:val="003F14B1"/>
    <w:rsid w:val="003F2B20"/>
    <w:rsid w:val="003F3289"/>
    <w:rsid w:val="003F428E"/>
    <w:rsid w:val="003F5CB9"/>
    <w:rsid w:val="003F6C03"/>
    <w:rsid w:val="003F780B"/>
    <w:rsid w:val="004007F9"/>
    <w:rsid w:val="00400C4B"/>
    <w:rsid w:val="004013C7"/>
    <w:rsid w:val="00401FCF"/>
    <w:rsid w:val="0040248F"/>
    <w:rsid w:val="0040253B"/>
    <w:rsid w:val="00403450"/>
    <w:rsid w:val="00403E30"/>
    <w:rsid w:val="004050E2"/>
    <w:rsid w:val="00406285"/>
    <w:rsid w:val="00407753"/>
    <w:rsid w:val="004112C6"/>
    <w:rsid w:val="00411E42"/>
    <w:rsid w:val="004122FE"/>
    <w:rsid w:val="00412C9A"/>
    <w:rsid w:val="004148F9"/>
    <w:rsid w:val="00414D4A"/>
    <w:rsid w:val="004153F9"/>
    <w:rsid w:val="0041616B"/>
    <w:rsid w:val="004164E4"/>
    <w:rsid w:val="004172E1"/>
    <w:rsid w:val="0042084E"/>
    <w:rsid w:val="00421EEF"/>
    <w:rsid w:val="00422561"/>
    <w:rsid w:val="004227AC"/>
    <w:rsid w:val="00424D65"/>
    <w:rsid w:val="00426027"/>
    <w:rsid w:val="004277BE"/>
    <w:rsid w:val="004277FD"/>
    <w:rsid w:val="00433876"/>
    <w:rsid w:val="00441A6C"/>
    <w:rsid w:val="00442634"/>
    <w:rsid w:val="00442913"/>
    <w:rsid w:val="00442C6C"/>
    <w:rsid w:val="00442D1B"/>
    <w:rsid w:val="00443CBE"/>
    <w:rsid w:val="00443E8A"/>
    <w:rsid w:val="004441BC"/>
    <w:rsid w:val="00445A7E"/>
    <w:rsid w:val="004468B4"/>
    <w:rsid w:val="004509B7"/>
    <w:rsid w:val="00452054"/>
    <w:rsid w:val="0045230A"/>
    <w:rsid w:val="00454AD0"/>
    <w:rsid w:val="00457337"/>
    <w:rsid w:val="0045773A"/>
    <w:rsid w:val="00460AA7"/>
    <w:rsid w:val="004613C1"/>
    <w:rsid w:val="004622A6"/>
    <w:rsid w:val="00462344"/>
    <w:rsid w:val="00462E3D"/>
    <w:rsid w:val="00463A06"/>
    <w:rsid w:val="004644E2"/>
    <w:rsid w:val="00465E29"/>
    <w:rsid w:val="00466E79"/>
    <w:rsid w:val="00467591"/>
    <w:rsid w:val="00467BC6"/>
    <w:rsid w:val="00470166"/>
    <w:rsid w:val="00470D7D"/>
    <w:rsid w:val="0047278E"/>
    <w:rsid w:val="0047279D"/>
    <w:rsid w:val="00472DEF"/>
    <w:rsid w:val="0047372D"/>
    <w:rsid w:val="00473BA3"/>
    <w:rsid w:val="00474155"/>
    <w:rsid w:val="004743DD"/>
    <w:rsid w:val="00474CEA"/>
    <w:rsid w:val="004750CA"/>
    <w:rsid w:val="00475B4A"/>
    <w:rsid w:val="00475EF7"/>
    <w:rsid w:val="00480891"/>
    <w:rsid w:val="00480C07"/>
    <w:rsid w:val="00480F68"/>
    <w:rsid w:val="00483968"/>
    <w:rsid w:val="004839E4"/>
    <w:rsid w:val="00484716"/>
    <w:rsid w:val="00484F86"/>
    <w:rsid w:val="00485476"/>
    <w:rsid w:val="00485FF0"/>
    <w:rsid w:val="00486D7D"/>
    <w:rsid w:val="00490746"/>
    <w:rsid w:val="00490852"/>
    <w:rsid w:val="00490EDC"/>
    <w:rsid w:val="00491C9C"/>
    <w:rsid w:val="00492A1A"/>
    <w:rsid w:val="00492F30"/>
    <w:rsid w:val="004941D4"/>
    <w:rsid w:val="004946F4"/>
    <w:rsid w:val="0049487E"/>
    <w:rsid w:val="004A0179"/>
    <w:rsid w:val="004A160D"/>
    <w:rsid w:val="004A18E4"/>
    <w:rsid w:val="004A3E81"/>
    <w:rsid w:val="004A4195"/>
    <w:rsid w:val="004A5C62"/>
    <w:rsid w:val="004A5CE5"/>
    <w:rsid w:val="004A707D"/>
    <w:rsid w:val="004A77B9"/>
    <w:rsid w:val="004B089B"/>
    <w:rsid w:val="004B2261"/>
    <w:rsid w:val="004B65E7"/>
    <w:rsid w:val="004C3934"/>
    <w:rsid w:val="004C3F67"/>
    <w:rsid w:val="004C49BC"/>
    <w:rsid w:val="004C5541"/>
    <w:rsid w:val="004C6EEE"/>
    <w:rsid w:val="004C702B"/>
    <w:rsid w:val="004D0033"/>
    <w:rsid w:val="004D016B"/>
    <w:rsid w:val="004D141F"/>
    <w:rsid w:val="004D1B22"/>
    <w:rsid w:val="004D23CC"/>
    <w:rsid w:val="004D36F2"/>
    <w:rsid w:val="004D4021"/>
    <w:rsid w:val="004D4F23"/>
    <w:rsid w:val="004D4F33"/>
    <w:rsid w:val="004E1106"/>
    <w:rsid w:val="004E138F"/>
    <w:rsid w:val="004E25A2"/>
    <w:rsid w:val="004E3519"/>
    <w:rsid w:val="004E4649"/>
    <w:rsid w:val="004E5C2B"/>
    <w:rsid w:val="004F00DD"/>
    <w:rsid w:val="004F2133"/>
    <w:rsid w:val="004F4897"/>
    <w:rsid w:val="004F4D39"/>
    <w:rsid w:val="004F5183"/>
    <w:rsid w:val="004F5398"/>
    <w:rsid w:val="004F55F1"/>
    <w:rsid w:val="004F649E"/>
    <w:rsid w:val="004F6871"/>
    <w:rsid w:val="004F6936"/>
    <w:rsid w:val="004F6D97"/>
    <w:rsid w:val="004F704A"/>
    <w:rsid w:val="005001CD"/>
    <w:rsid w:val="0050187E"/>
    <w:rsid w:val="00502ACF"/>
    <w:rsid w:val="005034CF"/>
    <w:rsid w:val="00503DC6"/>
    <w:rsid w:val="00506F5D"/>
    <w:rsid w:val="0050770B"/>
    <w:rsid w:val="0050D493"/>
    <w:rsid w:val="0051040C"/>
    <w:rsid w:val="005107BF"/>
    <w:rsid w:val="00510C37"/>
    <w:rsid w:val="00511F1A"/>
    <w:rsid w:val="005126D0"/>
    <w:rsid w:val="00512A13"/>
    <w:rsid w:val="005132CB"/>
    <w:rsid w:val="0051568D"/>
    <w:rsid w:val="00517A22"/>
    <w:rsid w:val="00517C65"/>
    <w:rsid w:val="00526AC7"/>
    <w:rsid w:val="00526C15"/>
    <w:rsid w:val="00526C55"/>
    <w:rsid w:val="00533C87"/>
    <w:rsid w:val="0053598A"/>
    <w:rsid w:val="00536395"/>
    <w:rsid w:val="00536499"/>
    <w:rsid w:val="00541CCF"/>
    <w:rsid w:val="00543903"/>
    <w:rsid w:val="00543F11"/>
    <w:rsid w:val="00546305"/>
    <w:rsid w:val="005475FC"/>
    <w:rsid w:val="00547A95"/>
    <w:rsid w:val="00547DA6"/>
    <w:rsid w:val="0055119B"/>
    <w:rsid w:val="005545B1"/>
    <w:rsid w:val="005548B5"/>
    <w:rsid w:val="00554C28"/>
    <w:rsid w:val="00555665"/>
    <w:rsid w:val="00555BAE"/>
    <w:rsid w:val="00555C65"/>
    <w:rsid w:val="00556390"/>
    <w:rsid w:val="00556E28"/>
    <w:rsid w:val="00560E5E"/>
    <w:rsid w:val="005643F0"/>
    <w:rsid w:val="00565CE9"/>
    <w:rsid w:val="00566195"/>
    <w:rsid w:val="00566568"/>
    <w:rsid w:val="00571A98"/>
    <w:rsid w:val="00572031"/>
    <w:rsid w:val="00572282"/>
    <w:rsid w:val="00573CE3"/>
    <w:rsid w:val="00574A62"/>
    <w:rsid w:val="00574E40"/>
    <w:rsid w:val="00575197"/>
    <w:rsid w:val="005756F0"/>
    <w:rsid w:val="00576E84"/>
    <w:rsid w:val="00577638"/>
    <w:rsid w:val="00580394"/>
    <w:rsid w:val="005809CD"/>
    <w:rsid w:val="00582B8C"/>
    <w:rsid w:val="0058317E"/>
    <w:rsid w:val="005855EA"/>
    <w:rsid w:val="005863AA"/>
    <w:rsid w:val="0058757E"/>
    <w:rsid w:val="005901C1"/>
    <w:rsid w:val="0059134A"/>
    <w:rsid w:val="00592F2D"/>
    <w:rsid w:val="00596A4B"/>
    <w:rsid w:val="00597507"/>
    <w:rsid w:val="005A07BD"/>
    <w:rsid w:val="005A1E06"/>
    <w:rsid w:val="005A2C3C"/>
    <w:rsid w:val="005A2CF1"/>
    <w:rsid w:val="005A479D"/>
    <w:rsid w:val="005A52A9"/>
    <w:rsid w:val="005A5DA0"/>
    <w:rsid w:val="005B08BE"/>
    <w:rsid w:val="005B146A"/>
    <w:rsid w:val="005B1A12"/>
    <w:rsid w:val="005B1C6D"/>
    <w:rsid w:val="005B1DA3"/>
    <w:rsid w:val="005B21B6"/>
    <w:rsid w:val="005B3A08"/>
    <w:rsid w:val="005B620E"/>
    <w:rsid w:val="005B65D8"/>
    <w:rsid w:val="005B79EE"/>
    <w:rsid w:val="005B7A63"/>
    <w:rsid w:val="005B7B90"/>
    <w:rsid w:val="005C0955"/>
    <w:rsid w:val="005C1E91"/>
    <w:rsid w:val="005C2506"/>
    <w:rsid w:val="005C4661"/>
    <w:rsid w:val="005C49DA"/>
    <w:rsid w:val="005C4D71"/>
    <w:rsid w:val="005C4DD0"/>
    <w:rsid w:val="005C50F3"/>
    <w:rsid w:val="005C54B5"/>
    <w:rsid w:val="005C5D80"/>
    <w:rsid w:val="005C5D91"/>
    <w:rsid w:val="005D07B8"/>
    <w:rsid w:val="005D2878"/>
    <w:rsid w:val="005D29FA"/>
    <w:rsid w:val="005D516E"/>
    <w:rsid w:val="005D6597"/>
    <w:rsid w:val="005E1336"/>
    <w:rsid w:val="005E14E7"/>
    <w:rsid w:val="005E19CA"/>
    <w:rsid w:val="005E26A3"/>
    <w:rsid w:val="005E2B34"/>
    <w:rsid w:val="005E2ECB"/>
    <w:rsid w:val="005E30DF"/>
    <w:rsid w:val="005E3DA5"/>
    <w:rsid w:val="005E4201"/>
    <w:rsid w:val="005E447E"/>
    <w:rsid w:val="005E459E"/>
    <w:rsid w:val="005E4FD1"/>
    <w:rsid w:val="005F0314"/>
    <w:rsid w:val="005F0775"/>
    <w:rsid w:val="005F0CF5"/>
    <w:rsid w:val="005F0E82"/>
    <w:rsid w:val="005F1966"/>
    <w:rsid w:val="005F21EB"/>
    <w:rsid w:val="005F2E04"/>
    <w:rsid w:val="005F6767"/>
    <w:rsid w:val="005F79CB"/>
    <w:rsid w:val="00602131"/>
    <w:rsid w:val="006053D0"/>
    <w:rsid w:val="00605908"/>
    <w:rsid w:val="00606884"/>
    <w:rsid w:val="006070FD"/>
    <w:rsid w:val="00610B02"/>
    <w:rsid w:val="00610D7C"/>
    <w:rsid w:val="006114AD"/>
    <w:rsid w:val="00613414"/>
    <w:rsid w:val="006149EC"/>
    <w:rsid w:val="00615044"/>
    <w:rsid w:val="0061598B"/>
    <w:rsid w:val="00620154"/>
    <w:rsid w:val="00622064"/>
    <w:rsid w:val="006233A6"/>
    <w:rsid w:val="0062408D"/>
    <w:rsid w:val="006240CC"/>
    <w:rsid w:val="0062492E"/>
    <w:rsid w:val="00624940"/>
    <w:rsid w:val="006254F8"/>
    <w:rsid w:val="00627DA7"/>
    <w:rsid w:val="00627E90"/>
    <w:rsid w:val="00630C32"/>
    <w:rsid w:val="00630DA4"/>
    <w:rsid w:val="006317AF"/>
    <w:rsid w:val="00632597"/>
    <w:rsid w:val="006334FA"/>
    <w:rsid w:val="006358B4"/>
    <w:rsid w:val="006359C4"/>
    <w:rsid w:val="0063687C"/>
    <w:rsid w:val="00636A2C"/>
    <w:rsid w:val="00637330"/>
    <w:rsid w:val="006373A6"/>
    <w:rsid w:val="00637593"/>
    <w:rsid w:val="006415AC"/>
    <w:rsid w:val="006419AA"/>
    <w:rsid w:val="00642475"/>
    <w:rsid w:val="00644B1F"/>
    <w:rsid w:val="00644B7E"/>
    <w:rsid w:val="00644C15"/>
    <w:rsid w:val="00645286"/>
    <w:rsid w:val="006454E6"/>
    <w:rsid w:val="00645EC3"/>
    <w:rsid w:val="00646235"/>
    <w:rsid w:val="00646395"/>
    <w:rsid w:val="006467A4"/>
    <w:rsid w:val="00646A68"/>
    <w:rsid w:val="0065027F"/>
    <w:rsid w:val="006505BD"/>
    <w:rsid w:val="006508E6"/>
    <w:rsid w:val="006508EA"/>
    <w:rsid w:val="0065092E"/>
    <w:rsid w:val="00652D06"/>
    <w:rsid w:val="006557A7"/>
    <w:rsid w:val="00656290"/>
    <w:rsid w:val="006562E9"/>
    <w:rsid w:val="00656D11"/>
    <w:rsid w:val="0066084C"/>
    <w:rsid w:val="006608D8"/>
    <w:rsid w:val="006611BE"/>
    <w:rsid w:val="0066189A"/>
    <w:rsid w:val="006621D7"/>
    <w:rsid w:val="0066302A"/>
    <w:rsid w:val="00664928"/>
    <w:rsid w:val="00666DFA"/>
    <w:rsid w:val="00667750"/>
    <w:rsid w:val="00667770"/>
    <w:rsid w:val="00670597"/>
    <w:rsid w:val="006706D0"/>
    <w:rsid w:val="00670FDD"/>
    <w:rsid w:val="006728D2"/>
    <w:rsid w:val="0067555C"/>
    <w:rsid w:val="00677574"/>
    <w:rsid w:val="00680B42"/>
    <w:rsid w:val="006812F1"/>
    <w:rsid w:val="00682156"/>
    <w:rsid w:val="00682655"/>
    <w:rsid w:val="00682968"/>
    <w:rsid w:val="00683FED"/>
    <w:rsid w:val="0068454C"/>
    <w:rsid w:val="00684C17"/>
    <w:rsid w:val="00684EB2"/>
    <w:rsid w:val="006914BB"/>
    <w:rsid w:val="00691B62"/>
    <w:rsid w:val="006933B5"/>
    <w:rsid w:val="00693D14"/>
    <w:rsid w:val="00695CB9"/>
    <w:rsid w:val="00695CD1"/>
    <w:rsid w:val="00696F27"/>
    <w:rsid w:val="006A18C2"/>
    <w:rsid w:val="006A3383"/>
    <w:rsid w:val="006A3CFD"/>
    <w:rsid w:val="006A4019"/>
    <w:rsid w:val="006A5ECF"/>
    <w:rsid w:val="006A67EA"/>
    <w:rsid w:val="006A78CD"/>
    <w:rsid w:val="006B008F"/>
    <w:rsid w:val="006B077C"/>
    <w:rsid w:val="006B0A6C"/>
    <w:rsid w:val="006B2393"/>
    <w:rsid w:val="006B531A"/>
    <w:rsid w:val="006B6803"/>
    <w:rsid w:val="006C20B9"/>
    <w:rsid w:val="006C6FA0"/>
    <w:rsid w:val="006D0F16"/>
    <w:rsid w:val="006D2A3F"/>
    <w:rsid w:val="006D2FBC"/>
    <w:rsid w:val="006D3247"/>
    <w:rsid w:val="006D7CDD"/>
    <w:rsid w:val="006E04BF"/>
    <w:rsid w:val="006E0541"/>
    <w:rsid w:val="006E08D4"/>
    <w:rsid w:val="006E138B"/>
    <w:rsid w:val="006E19F1"/>
    <w:rsid w:val="006E1CD4"/>
    <w:rsid w:val="006E2FB1"/>
    <w:rsid w:val="006E544B"/>
    <w:rsid w:val="006E77FE"/>
    <w:rsid w:val="006E7BC2"/>
    <w:rsid w:val="006F02A9"/>
    <w:rsid w:val="006F0330"/>
    <w:rsid w:val="006F1FDC"/>
    <w:rsid w:val="006F238D"/>
    <w:rsid w:val="006F6B8C"/>
    <w:rsid w:val="007001A5"/>
    <w:rsid w:val="007013EF"/>
    <w:rsid w:val="00702296"/>
    <w:rsid w:val="007026FB"/>
    <w:rsid w:val="00702C84"/>
    <w:rsid w:val="007034CC"/>
    <w:rsid w:val="007055BD"/>
    <w:rsid w:val="007068F1"/>
    <w:rsid w:val="00707A51"/>
    <w:rsid w:val="0071119F"/>
    <w:rsid w:val="00711D5D"/>
    <w:rsid w:val="00715B73"/>
    <w:rsid w:val="00716A28"/>
    <w:rsid w:val="00716C8D"/>
    <w:rsid w:val="007173CA"/>
    <w:rsid w:val="007177CB"/>
    <w:rsid w:val="0072156D"/>
    <w:rsid w:val="007216AA"/>
    <w:rsid w:val="00721AB5"/>
    <w:rsid w:val="00721CFB"/>
    <w:rsid w:val="00721DEF"/>
    <w:rsid w:val="0072251A"/>
    <w:rsid w:val="00724A43"/>
    <w:rsid w:val="00726471"/>
    <w:rsid w:val="00726816"/>
    <w:rsid w:val="007273AC"/>
    <w:rsid w:val="00727586"/>
    <w:rsid w:val="00730020"/>
    <w:rsid w:val="0073005B"/>
    <w:rsid w:val="00731AD4"/>
    <w:rsid w:val="00732A79"/>
    <w:rsid w:val="00732C29"/>
    <w:rsid w:val="0073443F"/>
    <w:rsid w:val="007346E4"/>
    <w:rsid w:val="00734FCA"/>
    <w:rsid w:val="0073582E"/>
    <w:rsid w:val="00736C90"/>
    <w:rsid w:val="00740301"/>
    <w:rsid w:val="00740F22"/>
    <w:rsid w:val="00741CF0"/>
    <w:rsid w:val="00741D80"/>
    <w:rsid w:val="00741F1A"/>
    <w:rsid w:val="007434BA"/>
    <w:rsid w:val="0074356B"/>
    <w:rsid w:val="00743EBC"/>
    <w:rsid w:val="007447DA"/>
    <w:rsid w:val="007450F8"/>
    <w:rsid w:val="0074696E"/>
    <w:rsid w:val="00750135"/>
    <w:rsid w:val="00750EC2"/>
    <w:rsid w:val="00751645"/>
    <w:rsid w:val="007520A3"/>
    <w:rsid w:val="00752B28"/>
    <w:rsid w:val="007541A9"/>
    <w:rsid w:val="00754E36"/>
    <w:rsid w:val="007557F3"/>
    <w:rsid w:val="00756571"/>
    <w:rsid w:val="0075725C"/>
    <w:rsid w:val="00761916"/>
    <w:rsid w:val="00763139"/>
    <w:rsid w:val="007638CF"/>
    <w:rsid w:val="00763996"/>
    <w:rsid w:val="0076468A"/>
    <w:rsid w:val="007708D4"/>
    <w:rsid w:val="00770F37"/>
    <w:rsid w:val="007711A0"/>
    <w:rsid w:val="00772CFF"/>
    <w:rsid w:val="00772D5E"/>
    <w:rsid w:val="00773428"/>
    <w:rsid w:val="00774219"/>
    <w:rsid w:val="0077463E"/>
    <w:rsid w:val="00774C23"/>
    <w:rsid w:val="00776928"/>
    <w:rsid w:val="00776E0F"/>
    <w:rsid w:val="007774B1"/>
    <w:rsid w:val="00777BE1"/>
    <w:rsid w:val="007801B7"/>
    <w:rsid w:val="007823D0"/>
    <w:rsid w:val="007833D8"/>
    <w:rsid w:val="00783A01"/>
    <w:rsid w:val="00784B84"/>
    <w:rsid w:val="00785677"/>
    <w:rsid w:val="00786F16"/>
    <w:rsid w:val="00791BD7"/>
    <w:rsid w:val="00792BD4"/>
    <w:rsid w:val="007933F7"/>
    <w:rsid w:val="00796E20"/>
    <w:rsid w:val="00797C32"/>
    <w:rsid w:val="007A11E8"/>
    <w:rsid w:val="007A6002"/>
    <w:rsid w:val="007B0914"/>
    <w:rsid w:val="007B12B0"/>
    <w:rsid w:val="007B1374"/>
    <w:rsid w:val="007B1D6D"/>
    <w:rsid w:val="007B2E1C"/>
    <w:rsid w:val="007B32E5"/>
    <w:rsid w:val="007B3DB9"/>
    <w:rsid w:val="007B589F"/>
    <w:rsid w:val="007B6186"/>
    <w:rsid w:val="007B73BC"/>
    <w:rsid w:val="007C00DB"/>
    <w:rsid w:val="007C1838"/>
    <w:rsid w:val="007C20B9"/>
    <w:rsid w:val="007C7301"/>
    <w:rsid w:val="007C7859"/>
    <w:rsid w:val="007C7F28"/>
    <w:rsid w:val="007D0ACF"/>
    <w:rsid w:val="007D1466"/>
    <w:rsid w:val="007D2BDE"/>
    <w:rsid w:val="007D2FB6"/>
    <w:rsid w:val="007D49EB"/>
    <w:rsid w:val="007D57DE"/>
    <w:rsid w:val="007D5E1C"/>
    <w:rsid w:val="007D6F26"/>
    <w:rsid w:val="007E0B27"/>
    <w:rsid w:val="007E0DE2"/>
    <w:rsid w:val="007E10C5"/>
    <w:rsid w:val="007E1227"/>
    <w:rsid w:val="007E135F"/>
    <w:rsid w:val="007E33D7"/>
    <w:rsid w:val="007E3B98"/>
    <w:rsid w:val="007E3BB0"/>
    <w:rsid w:val="007E417A"/>
    <w:rsid w:val="007E4C8C"/>
    <w:rsid w:val="007E4EF1"/>
    <w:rsid w:val="007E719A"/>
    <w:rsid w:val="007F140D"/>
    <w:rsid w:val="007F1B4A"/>
    <w:rsid w:val="007F31B6"/>
    <w:rsid w:val="007F3F6C"/>
    <w:rsid w:val="007F546C"/>
    <w:rsid w:val="007F625F"/>
    <w:rsid w:val="007F665E"/>
    <w:rsid w:val="00800412"/>
    <w:rsid w:val="008014F4"/>
    <w:rsid w:val="0080587B"/>
    <w:rsid w:val="00806468"/>
    <w:rsid w:val="008104E2"/>
    <w:rsid w:val="00810652"/>
    <w:rsid w:val="00810742"/>
    <w:rsid w:val="00810C9B"/>
    <w:rsid w:val="008119CA"/>
    <w:rsid w:val="008130C4"/>
    <w:rsid w:val="008136D9"/>
    <w:rsid w:val="0081400B"/>
    <w:rsid w:val="00814270"/>
    <w:rsid w:val="0081440B"/>
    <w:rsid w:val="008155F0"/>
    <w:rsid w:val="00816735"/>
    <w:rsid w:val="00820141"/>
    <w:rsid w:val="00820E0C"/>
    <w:rsid w:val="00821038"/>
    <w:rsid w:val="008213F0"/>
    <w:rsid w:val="00823275"/>
    <w:rsid w:val="0082366F"/>
    <w:rsid w:val="0082782E"/>
    <w:rsid w:val="00830571"/>
    <w:rsid w:val="00830981"/>
    <w:rsid w:val="0083202A"/>
    <w:rsid w:val="00832FC4"/>
    <w:rsid w:val="008338A2"/>
    <w:rsid w:val="00835FAF"/>
    <w:rsid w:val="00840C48"/>
    <w:rsid w:val="00841AA9"/>
    <w:rsid w:val="008440FD"/>
    <w:rsid w:val="008474FE"/>
    <w:rsid w:val="00850256"/>
    <w:rsid w:val="008505F7"/>
    <w:rsid w:val="00851B4C"/>
    <w:rsid w:val="00853EE4"/>
    <w:rsid w:val="00854CBC"/>
    <w:rsid w:val="00855535"/>
    <w:rsid w:val="00855920"/>
    <w:rsid w:val="00857B76"/>
    <w:rsid w:val="00857C5A"/>
    <w:rsid w:val="00861FF0"/>
    <w:rsid w:val="0086255E"/>
    <w:rsid w:val="008633F0"/>
    <w:rsid w:val="00866B38"/>
    <w:rsid w:val="00867D9D"/>
    <w:rsid w:val="0087239C"/>
    <w:rsid w:val="00872E0A"/>
    <w:rsid w:val="00873594"/>
    <w:rsid w:val="008744B3"/>
    <w:rsid w:val="00874626"/>
    <w:rsid w:val="00874B0C"/>
    <w:rsid w:val="00875285"/>
    <w:rsid w:val="00875450"/>
    <w:rsid w:val="008755AA"/>
    <w:rsid w:val="00875DEE"/>
    <w:rsid w:val="008771B4"/>
    <w:rsid w:val="00884B62"/>
    <w:rsid w:val="0088529C"/>
    <w:rsid w:val="00885A25"/>
    <w:rsid w:val="00887903"/>
    <w:rsid w:val="00890974"/>
    <w:rsid w:val="0089270A"/>
    <w:rsid w:val="00893AF6"/>
    <w:rsid w:val="00894BC4"/>
    <w:rsid w:val="00895CA1"/>
    <w:rsid w:val="0089674B"/>
    <w:rsid w:val="00897557"/>
    <w:rsid w:val="008A1533"/>
    <w:rsid w:val="008A21A9"/>
    <w:rsid w:val="008A266B"/>
    <w:rsid w:val="008A28A8"/>
    <w:rsid w:val="008A5B32"/>
    <w:rsid w:val="008B09B8"/>
    <w:rsid w:val="008B1E7E"/>
    <w:rsid w:val="008B2EE4"/>
    <w:rsid w:val="008B4D3D"/>
    <w:rsid w:val="008B57C7"/>
    <w:rsid w:val="008B6131"/>
    <w:rsid w:val="008B7052"/>
    <w:rsid w:val="008B7ED6"/>
    <w:rsid w:val="008C02D5"/>
    <w:rsid w:val="008C117F"/>
    <w:rsid w:val="008C2982"/>
    <w:rsid w:val="008C2C7E"/>
    <w:rsid w:val="008C2F72"/>
    <w:rsid w:val="008C2F92"/>
    <w:rsid w:val="008C3697"/>
    <w:rsid w:val="008C5557"/>
    <w:rsid w:val="008C589D"/>
    <w:rsid w:val="008C6537"/>
    <w:rsid w:val="008C6731"/>
    <w:rsid w:val="008C6D51"/>
    <w:rsid w:val="008D0CF5"/>
    <w:rsid w:val="008D2846"/>
    <w:rsid w:val="008D4236"/>
    <w:rsid w:val="008D462F"/>
    <w:rsid w:val="008D4F9E"/>
    <w:rsid w:val="008D6DCF"/>
    <w:rsid w:val="008E3DE9"/>
    <w:rsid w:val="008E4320"/>
    <w:rsid w:val="008E4376"/>
    <w:rsid w:val="008E5402"/>
    <w:rsid w:val="008E7A0A"/>
    <w:rsid w:val="008E7B49"/>
    <w:rsid w:val="008F1070"/>
    <w:rsid w:val="008F24E1"/>
    <w:rsid w:val="008F59F6"/>
    <w:rsid w:val="008F6381"/>
    <w:rsid w:val="008F7262"/>
    <w:rsid w:val="008F73CC"/>
    <w:rsid w:val="00900643"/>
    <w:rsid w:val="00900719"/>
    <w:rsid w:val="00901450"/>
    <w:rsid w:val="009017AC"/>
    <w:rsid w:val="00902A9A"/>
    <w:rsid w:val="00903917"/>
    <w:rsid w:val="00903D76"/>
    <w:rsid w:val="00904A1C"/>
    <w:rsid w:val="00904AB4"/>
    <w:rsid w:val="00904B99"/>
    <w:rsid w:val="00905030"/>
    <w:rsid w:val="00905740"/>
    <w:rsid w:val="00906490"/>
    <w:rsid w:val="009073FC"/>
    <w:rsid w:val="009111B2"/>
    <w:rsid w:val="009112E0"/>
    <w:rsid w:val="00911343"/>
    <w:rsid w:val="00911B0E"/>
    <w:rsid w:val="00913691"/>
    <w:rsid w:val="009151F5"/>
    <w:rsid w:val="00916353"/>
    <w:rsid w:val="00916922"/>
    <w:rsid w:val="009174B9"/>
    <w:rsid w:val="009207FA"/>
    <w:rsid w:val="009220CA"/>
    <w:rsid w:val="009235B8"/>
    <w:rsid w:val="009237A4"/>
    <w:rsid w:val="00924336"/>
    <w:rsid w:val="009246A7"/>
    <w:rsid w:val="00924AE1"/>
    <w:rsid w:val="0092652B"/>
    <w:rsid w:val="009269B1"/>
    <w:rsid w:val="00927238"/>
    <w:rsid w:val="0092724D"/>
    <w:rsid w:val="009272B3"/>
    <w:rsid w:val="00927ED5"/>
    <w:rsid w:val="0093017A"/>
    <w:rsid w:val="00930E76"/>
    <w:rsid w:val="009315BE"/>
    <w:rsid w:val="0093338F"/>
    <w:rsid w:val="00937BD9"/>
    <w:rsid w:val="009424D1"/>
    <w:rsid w:val="00942F36"/>
    <w:rsid w:val="0094339B"/>
    <w:rsid w:val="00945372"/>
    <w:rsid w:val="00945609"/>
    <w:rsid w:val="0094725D"/>
    <w:rsid w:val="00947593"/>
    <w:rsid w:val="00950C20"/>
    <w:rsid w:val="00950E2C"/>
    <w:rsid w:val="009518CE"/>
    <w:rsid w:val="00951D50"/>
    <w:rsid w:val="009525EB"/>
    <w:rsid w:val="00952D19"/>
    <w:rsid w:val="00953C59"/>
    <w:rsid w:val="0095470B"/>
    <w:rsid w:val="00954874"/>
    <w:rsid w:val="00954D5A"/>
    <w:rsid w:val="0095615A"/>
    <w:rsid w:val="0095775A"/>
    <w:rsid w:val="009605DE"/>
    <w:rsid w:val="00961170"/>
    <w:rsid w:val="00961400"/>
    <w:rsid w:val="00963646"/>
    <w:rsid w:val="00963CAB"/>
    <w:rsid w:val="0096632D"/>
    <w:rsid w:val="0097101A"/>
    <w:rsid w:val="009718C7"/>
    <w:rsid w:val="0097559F"/>
    <w:rsid w:val="0097761E"/>
    <w:rsid w:val="009801E8"/>
    <w:rsid w:val="009812FF"/>
    <w:rsid w:val="00981C04"/>
    <w:rsid w:val="00982454"/>
    <w:rsid w:val="00982CF0"/>
    <w:rsid w:val="00982F67"/>
    <w:rsid w:val="00983679"/>
    <w:rsid w:val="009853E1"/>
    <w:rsid w:val="00986B0E"/>
    <w:rsid w:val="00986BCD"/>
    <w:rsid w:val="00986E6B"/>
    <w:rsid w:val="00990032"/>
    <w:rsid w:val="00990B19"/>
    <w:rsid w:val="0099153B"/>
    <w:rsid w:val="00991769"/>
    <w:rsid w:val="0099232C"/>
    <w:rsid w:val="00994386"/>
    <w:rsid w:val="009A13D8"/>
    <w:rsid w:val="009A279E"/>
    <w:rsid w:val="009A3015"/>
    <w:rsid w:val="009A3490"/>
    <w:rsid w:val="009A3798"/>
    <w:rsid w:val="009A3923"/>
    <w:rsid w:val="009A435B"/>
    <w:rsid w:val="009A4F5E"/>
    <w:rsid w:val="009A5452"/>
    <w:rsid w:val="009A5782"/>
    <w:rsid w:val="009A5D53"/>
    <w:rsid w:val="009A679B"/>
    <w:rsid w:val="009A7646"/>
    <w:rsid w:val="009B0A6F"/>
    <w:rsid w:val="009B0A94"/>
    <w:rsid w:val="009B2AE8"/>
    <w:rsid w:val="009B356C"/>
    <w:rsid w:val="009B59E9"/>
    <w:rsid w:val="009B70AA"/>
    <w:rsid w:val="009C0190"/>
    <w:rsid w:val="009C31D3"/>
    <w:rsid w:val="009C5E77"/>
    <w:rsid w:val="009C6C6A"/>
    <w:rsid w:val="009C7A7E"/>
    <w:rsid w:val="009D02E8"/>
    <w:rsid w:val="009D3B27"/>
    <w:rsid w:val="009D4A75"/>
    <w:rsid w:val="009D51D0"/>
    <w:rsid w:val="009D70A4"/>
    <w:rsid w:val="009D7B14"/>
    <w:rsid w:val="009E08D1"/>
    <w:rsid w:val="009E1286"/>
    <w:rsid w:val="009E1691"/>
    <w:rsid w:val="009E1B95"/>
    <w:rsid w:val="009E496F"/>
    <w:rsid w:val="009E4ACD"/>
    <w:rsid w:val="009E4B0D"/>
    <w:rsid w:val="009E5250"/>
    <w:rsid w:val="009E5EB6"/>
    <w:rsid w:val="009E7F92"/>
    <w:rsid w:val="009F02A3"/>
    <w:rsid w:val="009F160A"/>
    <w:rsid w:val="009F2980"/>
    <w:rsid w:val="009F2F27"/>
    <w:rsid w:val="009F34AA"/>
    <w:rsid w:val="009F3C08"/>
    <w:rsid w:val="009F62EA"/>
    <w:rsid w:val="009F6BCB"/>
    <w:rsid w:val="009F7B78"/>
    <w:rsid w:val="009F7C7C"/>
    <w:rsid w:val="00A00138"/>
    <w:rsid w:val="00A0057A"/>
    <w:rsid w:val="00A01D88"/>
    <w:rsid w:val="00A02FA1"/>
    <w:rsid w:val="00A04CCE"/>
    <w:rsid w:val="00A058A5"/>
    <w:rsid w:val="00A07421"/>
    <w:rsid w:val="00A0776B"/>
    <w:rsid w:val="00A108D8"/>
    <w:rsid w:val="00A10FB9"/>
    <w:rsid w:val="00A11364"/>
    <w:rsid w:val="00A11421"/>
    <w:rsid w:val="00A1389F"/>
    <w:rsid w:val="00A157B1"/>
    <w:rsid w:val="00A17472"/>
    <w:rsid w:val="00A22229"/>
    <w:rsid w:val="00A24442"/>
    <w:rsid w:val="00A24929"/>
    <w:rsid w:val="00A2533C"/>
    <w:rsid w:val="00A26747"/>
    <w:rsid w:val="00A27CF8"/>
    <w:rsid w:val="00A30936"/>
    <w:rsid w:val="00A32143"/>
    <w:rsid w:val="00A330BB"/>
    <w:rsid w:val="00A33926"/>
    <w:rsid w:val="00A342EC"/>
    <w:rsid w:val="00A34CCF"/>
    <w:rsid w:val="00A35612"/>
    <w:rsid w:val="00A40796"/>
    <w:rsid w:val="00A417C9"/>
    <w:rsid w:val="00A44882"/>
    <w:rsid w:val="00A45125"/>
    <w:rsid w:val="00A4641C"/>
    <w:rsid w:val="00A466D9"/>
    <w:rsid w:val="00A4767F"/>
    <w:rsid w:val="00A50B9F"/>
    <w:rsid w:val="00A51D7C"/>
    <w:rsid w:val="00A54641"/>
    <w:rsid w:val="00A54715"/>
    <w:rsid w:val="00A54E7A"/>
    <w:rsid w:val="00A56490"/>
    <w:rsid w:val="00A571B4"/>
    <w:rsid w:val="00A60345"/>
    <w:rsid w:val="00A6061C"/>
    <w:rsid w:val="00A611C3"/>
    <w:rsid w:val="00A617FF"/>
    <w:rsid w:val="00A62164"/>
    <w:rsid w:val="00A62A93"/>
    <w:rsid w:val="00A62D44"/>
    <w:rsid w:val="00A66DB6"/>
    <w:rsid w:val="00A66EF1"/>
    <w:rsid w:val="00A67263"/>
    <w:rsid w:val="00A70DC7"/>
    <w:rsid w:val="00A7161C"/>
    <w:rsid w:val="00A73DC5"/>
    <w:rsid w:val="00A758F4"/>
    <w:rsid w:val="00A76BBF"/>
    <w:rsid w:val="00A77AA3"/>
    <w:rsid w:val="00A77F0F"/>
    <w:rsid w:val="00A8236D"/>
    <w:rsid w:val="00A82F4F"/>
    <w:rsid w:val="00A84151"/>
    <w:rsid w:val="00A854EB"/>
    <w:rsid w:val="00A85CFC"/>
    <w:rsid w:val="00A86743"/>
    <w:rsid w:val="00A8699D"/>
    <w:rsid w:val="00A872E5"/>
    <w:rsid w:val="00A87FF5"/>
    <w:rsid w:val="00A90C15"/>
    <w:rsid w:val="00A91406"/>
    <w:rsid w:val="00A940B5"/>
    <w:rsid w:val="00A946AA"/>
    <w:rsid w:val="00A95FF7"/>
    <w:rsid w:val="00A964B7"/>
    <w:rsid w:val="00A96BC7"/>
    <w:rsid w:val="00A96E65"/>
    <w:rsid w:val="00A9797C"/>
    <w:rsid w:val="00A97C72"/>
    <w:rsid w:val="00AA268E"/>
    <w:rsid w:val="00AA310B"/>
    <w:rsid w:val="00AA63D4"/>
    <w:rsid w:val="00AB011F"/>
    <w:rsid w:val="00AB06E8"/>
    <w:rsid w:val="00AB0D36"/>
    <w:rsid w:val="00AB1CD3"/>
    <w:rsid w:val="00AB2A5D"/>
    <w:rsid w:val="00AB321D"/>
    <w:rsid w:val="00AB352F"/>
    <w:rsid w:val="00AB4E6F"/>
    <w:rsid w:val="00AB567B"/>
    <w:rsid w:val="00AB735D"/>
    <w:rsid w:val="00AB7BC3"/>
    <w:rsid w:val="00AC1C84"/>
    <w:rsid w:val="00AC1EB7"/>
    <w:rsid w:val="00AC2464"/>
    <w:rsid w:val="00AC274B"/>
    <w:rsid w:val="00AC2B9C"/>
    <w:rsid w:val="00AC4764"/>
    <w:rsid w:val="00AC5AB6"/>
    <w:rsid w:val="00AC6D36"/>
    <w:rsid w:val="00AD0C8B"/>
    <w:rsid w:val="00AD0CBA"/>
    <w:rsid w:val="00AD12F3"/>
    <w:rsid w:val="00AD177A"/>
    <w:rsid w:val="00AD2087"/>
    <w:rsid w:val="00AD26E2"/>
    <w:rsid w:val="00AD2F4A"/>
    <w:rsid w:val="00AD314A"/>
    <w:rsid w:val="00AD44DB"/>
    <w:rsid w:val="00AD515D"/>
    <w:rsid w:val="00AD784C"/>
    <w:rsid w:val="00AE126A"/>
    <w:rsid w:val="00AE174F"/>
    <w:rsid w:val="00AE1BAE"/>
    <w:rsid w:val="00AE3005"/>
    <w:rsid w:val="00AE3297"/>
    <w:rsid w:val="00AE37B9"/>
    <w:rsid w:val="00AE3BA2"/>
    <w:rsid w:val="00AE3BD5"/>
    <w:rsid w:val="00AE58AC"/>
    <w:rsid w:val="00AE59A0"/>
    <w:rsid w:val="00AE6968"/>
    <w:rsid w:val="00AE7972"/>
    <w:rsid w:val="00AF0C57"/>
    <w:rsid w:val="00AF26F3"/>
    <w:rsid w:val="00AF270F"/>
    <w:rsid w:val="00AF3625"/>
    <w:rsid w:val="00AF4D23"/>
    <w:rsid w:val="00AF5F04"/>
    <w:rsid w:val="00AF603C"/>
    <w:rsid w:val="00AF6DF3"/>
    <w:rsid w:val="00AF7889"/>
    <w:rsid w:val="00B0001D"/>
    <w:rsid w:val="00B00672"/>
    <w:rsid w:val="00B01B4D"/>
    <w:rsid w:val="00B02925"/>
    <w:rsid w:val="00B05E53"/>
    <w:rsid w:val="00B06571"/>
    <w:rsid w:val="00B068BA"/>
    <w:rsid w:val="00B07FF7"/>
    <w:rsid w:val="00B12A39"/>
    <w:rsid w:val="00B13851"/>
    <w:rsid w:val="00B13B1C"/>
    <w:rsid w:val="00B13BD1"/>
    <w:rsid w:val="00B14780"/>
    <w:rsid w:val="00B14C12"/>
    <w:rsid w:val="00B179C3"/>
    <w:rsid w:val="00B20EEA"/>
    <w:rsid w:val="00B21F90"/>
    <w:rsid w:val="00B22291"/>
    <w:rsid w:val="00B23550"/>
    <w:rsid w:val="00B23F9A"/>
    <w:rsid w:val="00B2417B"/>
    <w:rsid w:val="00B24E6F"/>
    <w:rsid w:val="00B25A4B"/>
    <w:rsid w:val="00B269FD"/>
    <w:rsid w:val="00B26CB5"/>
    <w:rsid w:val="00B2752E"/>
    <w:rsid w:val="00B27B06"/>
    <w:rsid w:val="00B307CC"/>
    <w:rsid w:val="00B322D2"/>
    <w:rsid w:val="00B326B7"/>
    <w:rsid w:val="00B331F7"/>
    <w:rsid w:val="00B3588E"/>
    <w:rsid w:val="00B35B54"/>
    <w:rsid w:val="00B3739A"/>
    <w:rsid w:val="00B41F3D"/>
    <w:rsid w:val="00B4241F"/>
    <w:rsid w:val="00B42C93"/>
    <w:rsid w:val="00B431E8"/>
    <w:rsid w:val="00B45141"/>
    <w:rsid w:val="00B45A1F"/>
    <w:rsid w:val="00B46DE7"/>
    <w:rsid w:val="00B502E4"/>
    <w:rsid w:val="00B50453"/>
    <w:rsid w:val="00B5163D"/>
    <w:rsid w:val="00B519CD"/>
    <w:rsid w:val="00B5273A"/>
    <w:rsid w:val="00B528FA"/>
    <w:rsid w:val="00B52C42"/>
    <w:rsid w:val="00B53C62"/>
    <w:rsid w:val="00B55187"/>
    <w:rsid w:val="00B57124"/>
    <w:rsid w:val="00B57329"/>
    <w:rsid w:val="00B60E61"/>
    <w:rsid w:val="00B627C1"/>
    <w:rsid w:val="00B62B50"/>
    <w:rsid w:val="00B635B7"/>
    <w:rsid w:val="00B63AE8"/>
    <w:rsid w:val="00B63FCD"/>
    <w:rsid w:val="00B65950"/>
    <w:rsid w:val="00B66D83"/>
    <w:rsid w:val="00B672C0"/>
    <w:rsid w:val="00B676FD"/>
    <w:rsid w:val="00B709C2"/>
    <w:rsid w:val="00B743B4"/>
    <w:rsid w:val="00B75646"/>
    <w:rsid w:val="00B769CF"/>
    <w:rsid w:val="00B770CD"/>
    <w:rsid w:val="00B774A2"/>
    <w:rsid w:val="00B843A0"/>
    <w:rsid w:val="00B8526C"/>
    <w:rsid w:val="00B85647"/>
    <w:rsid w:val="00B90616"/>
    <w:rsid w:val="00B90729"/>
    <w:rsid w:val="00B907DA"/>
    <w:rsid w:val="00B90885"/>
    <w:rsid w:val="00B91D08"/>
    <w:rsid w:val="00B94CD5"/>
    <w:rsid w:val="00B94E38"/>
    <w:rsid w:val="00B950BC"/>
    <w:rsid w:val="00B9714C"/>
    <w:rsid w:val="00B9754E"/>
    <w:rsid w:val="00B97864"/>
    <w:rsid w:val="00BA1D73"/>
    <w:rsid w:val="00BA29AD"/>
    <w:rsid w:val="00BA2ED4"/>
    <w:rsid w:val="00BA33CF"/>
    <w:rsid w:val="00BA35F3"/>
    <w:rsid w:val="00BA396A"/>
    <w:rsid w:val="00BA3F8D"/>
    <w:rsid w:val="00BA5FED"/>
    <w:rsid w:val="00BB49F4"/>
    <w:rsid w:val="00BB4E57"/>
    <w:rsid w:val="00BB5DBA"/>
    <w:rsid w:val="00BB7A10"/>
    <w:rsid w:val="00BC0A06"/>
    <w:rsid w:val="00BC1F10"/>
    <w:rsid w:val="00BC302F"/>
    <w:rsid w:val="00BC3E8F"/>
    <w:rsid w:val="00BC4D45"/>
    <w:rsid w:val="00BC4FCD"/>
    <w:rsid w:val="00BC55EC"/>
    <w:rsid w:val="00BC60BE"/>
    <w:rsid w:val="00BC6A3B"/>
    <w:rsid w:val="00BC7468"/>
    <w:rsid w:val="00BC7D4F"/>
    <w:rsid w:val="00BC7ED7"/>
    <w:rsid w:val="00BD2850"/>
    <w:rsid w:val="00BD314A"/>
    <w:rsid w:val="00BD4195"/>
    <w:rsid w:val="00BD6C3F"/>
    <w:rsid w:val="00BD6DCE"/>
    <w:rsid w:val="00BD7590"/>
    <w:rsid w:val="00BE0E46"/>
    <w:rsid w:val="00BE170E"/>
    <w:rsid w:val="00BE28D2"/>
    <w:rsid w:val="00BE2BBE"/>
    <w:rsid w:val="00BE459D"/>
    <w:rsid w:val="00BE4A64"/>
    <w:rsid w:val="00BE5E43"/>
    <w:rsid w:val="00BE7962"/>
    <w:rsid w:val="00BF0FF4"/>
    <w:rsid w:val="00BF20B3"/>
    <w:rsid w:val="00BF30B2"/>
    <w:rsid w:val="00BF48C5"/>
    <w:rsid w:val="00BF4AAB"/>
    <w:rsid w:val="00BF52CC"/>
    <w:rsid w:val="00BF557D"/>
    <w:rsid w:val="00BF5CAE"/>
    <w:rsid w:val="00BF638F"/>
    <w:rsid w:val="00BF66E6"/>
    <w:rsid w:val="00BF7404"/>
    <w:rsid w:val="00BF7F58"/>
    <w:rsid w:val="00C00EC0"/>
    <w:rsid w:val="00C01381"/>
    <w:rsid w:val="00C01AB1"/>
    <w:rsid w:val="00C01E6C"/>
    <w:rsid w:val="00C021FD"/>
    <w:rsid w:val="00C026A0"/>
    <w:rsid w:val="00C06137"/>
    <w:rsid w:val="00C079B8"/>
    <w:rsid w:val="00C10037"/>
    <w:rsid w:val="00C1033D"/>
    <w:rsid w:val="00C123EA"/>
    <w:rsid w:val="00C12A49"/>
    <w:rsid w:val="00C132B1"/>
    <w:rsid w:val="00C133EE"/>
    <w:rsid w:val="00C13535"/>
    <w:rsid w:val="00C149D0"/>
    <w:rsid w:val="00C14C37"/>
    <w:rsid w:val="00C14C49"/>
    <w:rsid w:val="00C15CDD"/>
    <w:rsid w:val="00C175DC"/>
    <w:rsid w:val="00C2037A"/>
    <w:rsid w:val="00C21DD6"/>
    <w:rsid w:val="00C221BE"/>
    <w:rsid w:val="00C23E19"/>
    <w:rsid w:val="00C24E5C"/>
    <w:rsid w:val="00C26588"/>
    <w:rsid w:val="00C26CB6"/>
    <w:rsid w:val="00C27DE9"/>
    <w:rsid w:val="00C30587"/>
    <w:rsid w:val="00C31BBC"/>
    <w:rsid w:val="00C31FAB"/>
    <w:rsid w:val="00C3268A"/>
    <w:rsid w:val="00C32989"/>
    <w:rsid w:val="00C33388"/>
    <w:rsid w:val="00C344D3"/>
    <w:rsid w:val="00C3482E"/>
    <w:rsid w:val="00C35484"/>
    <w:rsid w:val="00C356FB"/>
    <w:rsid w:val="00C40024"/>
    <w:rsid w:val="00C4173A"/>
    <w:rsid w:val="00C41EAE"/>
    <w:rsid w:val="00C42001"/>
    <w:rsid w:val="00C43AEB"/>
    <w:rsid w:val="00C43FAF"/>
    <w:rsid w:val="00C46490"/>
    <w:rsid w:val="00C5078B"/>
    <w:rsid w:val="00C50DED"/>
    <w:rsid w:val="00C5424E"/>
    <w:rsid w:val="00C555FC"/>
    <w:rsid w:val="00C56AE1"/>
    <w:rsid w:val="00C578A9"/>
    <w:rsid w:val="00C602FF"/>
    <w:rsid w:val="00C61174"/>
    <w:rsid w:val="00C6148F"/>
    <w:rsid w:val="00C62071"/>
    <w:rsid w:val="00C621B1"/>
    <w:rsid w:val="00C62F7A"/>
    <w:rsid w:val="00C6327B"/>
    <w:rsid w:val="00C63B9C"/>
    <w:rsid w:val="00C64819"/>
    <w:rsid w:val="00C64A2B"/>
    <w:rsid w:val="00C65895"/>
    <w:rsid w:val="00C6682F"/>
    <w:rsid w:val="00C66AF1"/>
    <w:rsid w:val="00C66D63"/>
    <w:rsid w:val="00C67934"/>
    <w:rsid w:val="00C67BF4"/>
    <w:rsid w:val="00C7275E"/>
    <w:rsid w:val="00C74C5D"/>
    <w:rsid w:val="00C74D26"/>
    <w:rsid w:val="00C75763"/>
    <w:rsid w:val="00C8166B"/>
    <w:rsid w:val="00C81AFF"/>
    <w:rsid w:val="00C81BD6"/>
    <w:rsid w:val="00C828AB"/>
    <w:rsid w:val="00C82C54"/>
    <w:rsid w:val="00C847CF"/>
    <w:rsid w:val="00C85714"/>
    <w:rsid w:val="00C8610A"/>
    <w:rsid w:val="00C8633F"/>
    <w:rsid w:val="00C863C4"/>
    <w:rsid w:val="00C86452"/>
    <w:rsid w:val="00C868B7"/>
    <w:rsid w:val="00C8746D"/>
    <w:rsid w:val="00C907A4"/>
    <w:rsid w:val="00C920EA"/>
    <w:rsid w:val="00C93C3E"/>
    <w:rsid w:val="00C944C3"/>
    <w:rsid w:val="00C951B6"/>
    <w:rsid w:val="00C956B0"/>
    <w:rsid w:val="00C96F6C"/>
    <w:rsid w:val="00CA12E3"/>
    <w:rsid w:val="00CA1476"/>
    <w:rsid w:val="00CA6611"/>
    <w:rsid w:val="00CA6AE6"/>
    <w:rsid w:val="00CA782F"/>
    <w:rsid w:val="00CB0828"/>
    <w:rsid w:val="00CB187B"/>
    <w:rsid w:val="00CB20A4"/>
    <w:rsid w:val="00CB2835"/>
    <w:rsid w:val="00CB3285"/>
    <w:rsid w:val="00CB38BD"/>
    <w:rsid w:val="00CB4500"/>
    <w:rsid w:val="00CB7800"/>
    <w:rsid w:val="00CC0C72"/>
    <w:rsid w:val="00CC15E7"/>
    <w:rsid w:val="00CC2BFD"/>
    <w:rsid w:val="00CC33A6"/>
    <w:rsid w:val="00CC6C96"/>
    <w:rsid w:val="00CC70E0"/>
    <w:rsid w:val="00CD07EB"/>
    <w:rsid w:val="00CD3476"/>
    <w:rsid w:val="00CD64DF"/>
    <w:rsid w:val="00CE0E5D"/>
    <w:rsid w:val="00CE225F"/>
    <w:rsid w:val="00CE2C56"/>
    <w:rsid w:val="00CE33C7"/>
    <w:rsid w:val="00CE4826"/>
    <w:rsid w:val="00CE4875"/>
    <w:rsid w:val="00CE4B3D"/>
    <w:rsid w:val="00CE4E4A"/>
    <w:rsid w:val="00CE75A6"/>
    <w:rsid w:val="00CF2DFD"/>
    <w:rsid w:val="00CF2F50"/>
    <w:rsid w:val="00CF5570"/>
    <w:rsid w:val="00CF6198"/>
    <w:rsid w:val="00D02919"/>
    <w:rsid w:val="00D04C61"/>
    <w:rsid w:val="00D0516E"/>
    <w:rsid w:val="00D05431"/>
    <w:rsid w:val="00D05947"/>
    <w:rsid w:val="00D05B8D"/>
    <w:rsid w:val="00D065A2"/>
    <w:rsid w:val="00D0741C"/>
    <w:rsid w:val="00D079AA"/>
    <w:rsid w:val="00D07C0B"/>
    <w:rsid w:val="00D07F00"/>
    <w:rsid w:val="00D1074C"/>
    <w:rsid w:val="00D10956"/>
    <w:rsid w:val="00D10BFB"/>
    <w:rsid w:val="00D1130F"/>
    <w:rsid w:val="00D11A29"/>
    <w:rsid w:val="00D12A21"/>
    <w:rsid w:val="00D13D14"/>
    <w:rsid w:val="00D150F3"/>
    <w:rsid w:val="00D1566F"/>
    <w:rsid w:val="00D174BE"/>
    <w:rsid w:val="00D17B72"/>
    <w:rsid w:val="00D22575"/>
    <w:rsid w:val="00D2343E"/>
    <w:rsid w:val="00D3185C"/>
    <w:rsid w:val="00D3205F"/>
    <w:rsid w:val="00D320D5"/>
    <w:rsid w:val="00D3251B"/>
    <w:rsid w:val="00D3318E"/>
    <w:rsid w:val="00D33E72"/>
    <w:rsid w:val="00D35BD6"/>
    <w:rsid w:val="00D35EAF"/>
    <w:rsid w:val="00D360A1"/>
    <w:rsid w:val="00D361B5"/>
    <w:rsid w:val="00D36D29"/>
    <w:rsid w:val="00D4043D"/>
    <w:rsid w:val="00D405AC"/>
    <w:rsid w:val="00D411A2"/>
    <w:rsid w:val="00D41520"/>
    <w:rsid w:val="00D43A74"/>
    <w:rsid w:val="00D4452C"/>
    <w:rsid w:val="00D44B3B"/>
    <w:rsid w:val="00D4504C"/>
    <w:rsid w:val="00D4606D"/>
    <w:rsid w:val="00D46C92"/>
    <w:rsid w:val="00D47C77"/>
    <w:rsid w:val="00D50B9C"/>
    <w:rsid w:val="00D5178D"/>
    <w:rsid w:val="00D52CAF"/>
    <w:rsid w:val="00D52D73"/>
    <w:rsid w:val="00D52E58"/>
    <w:rsid w:val="00D555E1"/>
    <w:rsid w:val="00D56B20"/>
    <w:rsid w:val="00D578B3"/>
    <w:rsid w:val="00D618F4"/>
    <w:rsid w:val="00D6238A"/>
    <w:rsid w:val="00D655ED"/>
    <w:rsid w:val="00D673B7"/>
    <w:rsid w:val="00D714CC"/>
    <w:rsid w:val="00D715A9"/>
    <w:rsid w:val="00D72BF9"/>
    <w:rsid w:val="00D72F81"/>
    <w:rsid w:val="00D7341A"/>
    <w:rsid w:val="00D75EA7"/>
    <w:rsid w:val="00D76E8E"/>
    <w:rsid w:val="00D777F1"/>
    <w:rsid w:val="00D80537"/>
    <w:rsid w:val="00D81ADF"/>
    <w:rsid w:val="00D81F21"/>
    <w:rsid w:val="00D828B3"/>
    <w:rsid w:val="00D82CCD"/>
    <w:rsid w:val="00D84D2B"/>
    <w:rsid w:val="00D864F2"/>
    <w:rsid w:val="00D86821"/>
    <w:rsid w:val="00D92B40"/>
    <w:rsid w:val="00D92F95"/>
    <w:rsid w:val="00D93EC2"/>
    <w:rsid w:val="00D943F8"/>
    <w:rsid w:val="00D95470"/>
    <w:rsid w:val="00D96562"/>
    <w:rsid w:val="00D96B55"/>
    <w:rsid w:val="00DA0126"/>
    <w:rsid w:val="00DA0315"/>
    <w:rsid w:val="00DA05FB"/>
    <w:rsid w:val="00DA11FA"/>
    <w:rsid w:val="00DA2619"/>
    <w:rsid w:val="00DA2EEC"/>
    <w:rsid w:val="00DA4239"/>
    <w:rsid w:val="00DA4E73"/>
    <w:rsid w:val="00DA5975"/>
    <w:rsid w:val="00DA62E7"/>
    <w:rsid w:val="00DA65DE"/>
    <w:rsid w:val="00DB0B61"/>
    <w:rsid w:val="00DB0D69"/>
    <w:rsid w:val="00DB1474"/>
    <w:rsid w:val="00DB15BA"/>
    <w:rsid w:val="00DB1A55"/>
    <w:rsid w:val="00DB2962"/>
    <w:rsid w:val="00DB36D0"/>
    <w:rsid w:val="00DB3728"/>
    <w:rsid w:val="00DB52FB"/>
    <w:rsid w:val="00DC013B"/>
    <w:rsid w:val="00DC090B"/>
    <w:rsid w:val="00DC1679"/>
    <w:rsid w:val="00DC19FF"/>
    <w:rsid w:val="00DC219B"/>
    <w:rsid w:val="00DC24A9"/>
    <w:rsid w:val="00DC264C"/>
    <w:rsid w:val="00DC2CF1"/>
    <w:rsid w:val="00DC30D4"/>
    <w:rsid w:val="00DC4FCF"/>
    <w:rsid w:val="00DC50E0"/>
    <w:rsid w:val="00DC52B9"/>
    <w:rsid w:val="00DC6386"/>
    <w:rsid w:val="00DD0FF5"/>
    <w:rsid w:val="00DD1130"/>
    <w:rsid w:val="00DD1951"/>
    <w:rsid w:val="00DD290B"/>
    <w:rsid w:val="00DD3267"/>
    <w:rsid w:val="00DD487D"/>
    <w:rsid w:val="00DD4E83"/>
    <w:rsid w:val="00DD51B6"/>
    <w:rsid w:val="00DD6628"/>
    <w:rsid w:val="00DD6945"/>
    <w:rsid w:val="00DD7389"/>
    <w:rsid w:val="00DD7785"/>
    <w:rsid w:val="00DD79AF"/>
    <w:rsid w:val="00DE1405"/>
    <w:rsid w:val="00DE2D04"/>
    <w:rsid w:val="00DE3250"/>
    <w:rsid w:val="00DE451A"/>
    <w:rsid w:val="00DE4E81"/>
    <w:rsid w:val="00DE6028"/>
    <w:rsid w:val="00DE6D59"/>
    <w:rsid w:val="00DE78A3"/>
    <w:rsid w:val="00DE7962"/>
    <w:rsid w:val="00DE7D12"/>
    <w:rsid w:val="00DE7E17"/>
    <w:rsid w:val="00DF1A71"/>
    <w:rsid w:val="00DF2B5F"/>
    <w:rsid w:val="00DF2F19"/>
    <w:rsid w:val="00DF3338"/>
    <w:rsid w:val="00DF4508"/>
    <w:rsid w:val="00DF50FC"/>
    <w:rsid w:val="00DF5C42"/>
    <w:rsid w:val="00DF67A2"/>
    <w:rsid w:val="00DF68C7"/>
    <w:rsid w:val="00DF731A"/>
    <w:rsid w:val="00DF791B"/>
    <w:rsid w:val="00DF7BA1"/>
    <w:rsid w:val="00E0046D"/>
    <w:rsid w:val="00E0140A"/>
    <w:rsid w:val="00E0145D"/>
    <w:rsid w:val="00E01FF0"/>
    <w:rsid w:val="00E02957"/>
    <w:rsid w:val="00E03060"/>
    <w:rsid w:val="00E049F5"/>
    <w:rsid w:val="00E06B75"/>
    <w:rsid w:val="00E11332"/>
    <w:rsid w:val="00E11352"/>
    <w:rsid w:val="00E11443"/>
    <w:rsid w:val="00E11A26"/>
    <w:rsid w:val="00E122FE"/>
    <w:rsid w:val="00E13E49"/>
    <w:rsid w:val="00E16B06"/>
    <w:rsid w:val="00E170DC"/>
    <w:rsid w:val="00E1739B"/>
    <w:rsid w:val="00E173B5"/>
    <w:rsid w:val="00E17546"/>
    <w:rsid w:val="00E17697"/>
    <w:rsid w:val="00E177A8"/>
    <w:rsid w:val="00E20E90"/>
    <w:rsid w:val="00E210B5"/>
    <w:rsid w:val="00E21464"/>
    <w:rsid w:val="00E25581"/>
    <w:rsid w:val="00E261B3"/>
    <w:rsid w:val="00E262ED"/>
    <w:rsid w:val="00E26818"/>
    <w:rsid w:val="00E27FFC"/>
    <w:rsid w:val="00E30B15"/>
    <w:rsid w:val="00E30D91"/>
    <w:rsid w:val="00E32065"/>
    <w:rsid w:val="00E3294F"/>
    <w:rsid w:val="00E33237"/>
    <w:rsid w:val="00E35ABE"/>
    <w:rsid w:val="00E36408"/>
    <w:rsid w:val="00E379E9"/>
    <w:rsid w:val="00E40181"/>
    <w:rsid w:val="00E40A40"/>
    <w:rsid w:val="00E420B9"/>
    <w:rsid w:val="00E42734"/>
    <w:rsid w:val="00E42EC6"/>
    <w:rsid w:val="00E44B10"/>
    <w:rsid w:val="00E44BD5"/>
    <w:rsid w:val="00E44E75"/>
    <w:rsid w:val="00E51EBA"/>
    <w:rsid w:val="00E53033"/>
    <w:rsid w:val="00E548B4"/>
    <w:rsid w:val="00E54950"/>
    <w:rsid w:val="00E5592B"/>
    <w:rsid w:val="00E56A01"/>
    <w:rsid w:val="00E60145"/>
    <w:rsid w:val="00E61092"/>
    <w:rsid w:val="00E62622"/>
    <w:rsid w:val="00E629A1"/>
    <w:rsid w:val="00E64DB6"/>
    <w:rsid w:val="00E65026"/>
    <w:rsid w:val="00E66C34"/>
    <w:rsid w:val="00E6794C"/>
    <w:rsid w:val="00E70982"/>
    <w:rsid w:val="00E71591"/>
    <w:rsid w:val="00E71CEB"/>
    <w:rsid w:val="00E73F25"/>
    <w:rsid w:val="00E743E2"/>
    <w:rsid w:val="00E7474F"/>
    <w:rsid w:val="00E74BA7"/>
    <w:rsid w:val="00E77B32"/>
    <w:rsid w:val="00E77FD0"/>
    <w:rsid w:val="00E80DE3"/>
    <w:rsid w:val="00E81D31"/>
    <w:rsid w:val="00E82C55"/>
    <w:rsid w:val="00E837AD"/>
    <w:rsid w:val="00E8787E"/>
    <w:rsid w:val="00E9001B"/>
    <w:rsid w:val="00E92AC3"/>
    <w:rsid w:val="00E9323B"/>
    <w:rsid w:val="00E95903"/>
    <w:rsid w:val="00E973AA"/>
    <w:rsid w:val="00EA0F39"/>
    <w:rsid w:val="00EA1360"/>
    <w:rsid w:val="00EA2D8B"/>
    <w:rsid w:val="00EA2F6A"/>
    <w:rsid w:val="00EA3CF3"/>
    <w:rsid w:val="00EA3EA3"/>
    <w:rsid w:val="00EA4A96"/>
    <w:rsid w:val="00EB00E0"/>
    <w:rsid w:val="00EB4AEA"/>
    <w:rsid w:val="00EC0172"/>
    <w:rsid w:val="00EC059F"/>
    <w:rsid w:val="00EC11C7"/>
    <w:rsid w:val="00EC1F24"/>
    <w:rsid w:val="00EC22F6"/>
    <w:rsid w:val="00EC2FDA"/>
    <w:rsid w:val="00EC3014"/>
    <w:rsid w:val="00EC30F8"/>
    <w:rsid w:val="00EC377E"/>
    <w:rsid w:val="00EC40D5"/>
    <w:rsid w:val="00EC6D23"/>
    <w:rsid w:val="00EC6F89"/>
    <w:rsid w:val="00ED0117"/>
    <w:rsid w:val="00ED0EB6"/>
    <w:rsid w:val="00ED1C58"/>
    <w:rsid w:val="00ED3868"/>
    <w:rsid w:val="00ED43F8"/>
    <w:rsid w:val="00ED5B9B"/>
    <w:rsid w:val="00ED6688"/>
    <w:rsid w:val="00ED6B9D"/>
    <w:rsid w:val="00ED6BAD"/>
    <w:rsid w:val="00ED7447"/>
    <w:rsid w:val="00ED7CA1"/>
    <w:rsid w:val="00EE00D6"/>
    <w:rsid w:val="00EE03C5"/>
    <w:rsid w:val="00EE11E7"/>
    <w:rsid w:val="00EE1415"/>
    <w:rsid w:val="00EE1488"/>
    <w:rsid w:val="00EE1A09"/>
    <w:rsid w:val="00EE1BC6"/>
    <w:rsid w:val="00EE29AD"/>
    <w:rsid w:val="00EE2C64"/>
    <w:rsid w:val="00EE3E24"/>
    <w:rsid w:val="00EE4063"/>
    <w:rsid w:val="00EE4D5D"/>
    <w:rsid w:val="00EE5131"/>
    <w:rsid w:val="00EE53B8"/>
    <w:rsid w:val="00EE7954"/>
    <w:rsid w:val="00EE7F06"/>
    <w:rsid w:val="00EF0DCC"/>
    <w:rsid w:val="00EF109B"/>
    <w:rsid w:val="00EF201C"/>
    <w:rsid w:val="00EF2C0B"/>
    <w:rsid w:val="00EF36AF"/>
    <w:rsid w:val="00EF385F"/>
    <w:rsid w:val="00EF3E0F"/>
    <w:rsid w:val="00EF59A3"/>
    <w:rsid w:val="00EF6405"/>
    <w:rsid w:val="00EF6675"/>
    <w:rsid w:val="00EF6D79"/>
    <w:rsid w:val="00F00C28"/>
    <w:rsid w:val="00F00F9C"/>
    <w:rsid w:val="00F01E5F"/>
    <w:rsid w:val="00F024F3"/>
    <w:rsid w:val="00F029C6"/>
    <w:rsid w:val="00F02ABA"/>
    <w:rsid w:val="00F03418"/>
    <w:rsid w:val="00F0437A"/>
    <w:rsid w:val="00F101B8"/>
    <w:rsid w:val="00F11037"/>
    <w:rsid w:val="00F11EDB"/>
    <w:rsid w:val="00F13D4C"/>
    <w:rsid w:val="00F1411B"/>
    <w:rsid w:val="00F15D1A"/>
    <w:rsid w:val="00F16F1B"/>
    <w:rsid w:val="00F175C6"/>
    <w:rsid w:val="00F2095F"/>
    <w:rsid w:val="00F211E5"/>
    <w:rsid w:val="00F250A9"/>
    <w:rsid w:val="00F2585D"/>
    <w:rsid w:val="00F267AF"/>
    <w:rsid w:val="00F275E9"/>
    <w:rsid w:val="00F27FE6"/>
    <w:rsid w:val="00F3034D"/>
    <w:rsid w:val="00F30FF4"/>
    <w:rsid w:val="00F31044"/>
    <w:rsid w:val="00F3122E"/>
    <w:rsid w:val="00F319AA"/>
    <w:rsid w:val="00F32368"/>
    <w:rsid w:val="00F331AD"/>
    <w:rsid w:val="00F34BFF"/>
    <w:rsid w:val="00F3527D"/>
    <w:rsid w:val="00F35287"/>
    <w:rsid w:val="00F35DFF"/>
    <w:rsid w:val="00F3660A"/>
    <w:rsid w:val="00F40A30"/>
    <w:rsid w:val="00F40A4D"/>
    <w:rsid w:val="00F40A70"/>
    <w:rsid w:val="00F41235"/>
    <w:rsid w:val="00F425B4"/>
    <w:rsid w:val="00F42836"/>
    <w:rsid w:val="00F435E3"/>
    <w:rsid w:val="00F438F7"/>
    <w:rsid w:val="00F43A37"/>
    <w:rsid w:val="00F43CB3"/>
    <w:rsid w:val="00F451AB"/>
    <w:rsid w:val="00F4641B"/>
    <w:rsid w:val="00F467AA"/>
    <w:rsid w:val="00F46A8D"/>
    <w:rsid w:val="00F46EB8"/>
    <w:rsid w:val="00F50CD1"/>
    <w:rsid w:val="00F511E4"/>
    <w:rsid w:val="00F519ED"/>
    <w:rsid w:val="00F51A51"/>
    <w:rsid w:val="00F52BCA"/>
    <w:rsid w:val="00F52D09"/>
    <w:rsid w:val="00F52E08"/>
    <w:rsid w:val="00F53A66"/>
    <w:rsid w:val="00F53DDD"/>
    <w:rsid w:val="00F5462D"/>
    <w:rsid w:val="00F55416"/>
    <w:rsid w:val="00F55B21"/>
    <w:rsid w:val="00F55EA5"/>
    <w:rsid w:val="00F56EF6"/>
    <w:rsid w:val="00F57602"/>
    <w:rsid w:val="00F57C75"/>
    <w:rsid w:val="00F57E1B"/>
    <w:rsid w:val="00F60082"/>
    <w:rsid w:val="00F61A9F"/>
    <w:rsid w:val="00F61B5F"/>
    <w:rsid w:val="00F64696"/>
    <w:rsid w:val="00F65AA9"/>
    <w:rsid w:val="00F6607F"/>
    <w:rsid w:val="00F66179"/>
    <w:rsid w:val="00F66770"/>
    <w:rsid w:val="00F6768F"/>
    <w:rsid w:val="00F703F1"/>
    <w:rsid w:val="00F70F93"/>
    <w:rsid w:val="00F712D8"/>
    <w:rsid w:val="00F72C2C"/>
    <w:rsid w:val="00F73724"/>
    <w:rsid w:val="00F746F6"/>
    <w:rsid w:val="00F76CAB"/>
    <w:rsid w:val="00F772C6"/>
    <w:rsid w:val="00F77728"/>
    <w:rsid w:val="00F815B5"/>
    <w:rsid w:val="00F819AB"/>
    <w:rsid w:val="00F81D85"/>
    <w:rsid w:val="00F83C73"/>
    <w:rsid w:val="00F840B4"/>
    <w:rsid w:val="00F84FA0"/>
    <w:rsid w:val="00F85195"/>
    <w:rsid w:val="00F868E3"/>
    <w:rsid w:val="00F90380"/>
    <w:rsid w:val="00F918A1"/>
    <w:rsid w:val="00F922C1"/>
    <w:rsid w:val="00F938BA"/>
    <w:rsid w:val="00F95DAF"/>
    <w:rsid w:val="00F974D0"/>
    <w:rsid w:val="00F97919"/>
    <w:rsid w:val="00FA2C46"/>
    <w:rsid w:val="00FA3525"/>
    <w:rsid w:val="00FA38CA"/>
    <w:rsid w:val="00FA5A53"/>
    <w:rsid w:val="00FA6129"/>
    <w:rsid w:val="00FB2551"/>
    <w:rsid w:val="00FB4769"/>
    <w:rsid w:val="00FB4997"/>
    <w:rsid w:val="00FB4CDA"/>
    <w:rsid w:val="00FB5F8E"/>
    <w:rsid w:val="00FB6481"/>
    <w:rsid w:val="00FB6D36"/>
    <w:rsid w:val="00FC0965"/>
    <w:rsid w:val="00FC0F81"/>
    <w:rsid w:val="00FC252F"/>
    <w:rsid w:val="00FC36E1"/>
    <w:rsid w:val="00FC395C"/>
    <w:rsid w:val="00FC4E90"/>
    <w:rsid w:val="00FC5E8E"/>
    <w:rsid w:val="00FC681F"/>
    <w:rsid w:val="00FC6A8A"/>
    <w:rsid w:val="00FC70D4"/>
    <w:rsid w:val="00FD32F4"/>
    <w:rsid w:val="00FD3766"/>
    <w:rsid w:val="00FD381E"/>
    <w:rsid w:val="00FD3B2F"/>
    <w:rsid w:val="00FD3FB8"/>
    <w:rsid w:val="00FD44FB"/>
    <w:rsid w:val="00FD47C4"/>
    <w:rsid w:val="00FD4933"/>
    <w:rsid w:val="00FD6D91"/>
    <w:rsid w:val="00FD722A"/>
    <w:rsid w:val="00FD7766"/>
    <w:rsid w:val="00FD7D48"/>
    <w:rsid w:val="00FE201A"/>
    <w:rsid w:val="00FE2DCF"/>
    <w:rsid w:val="00FE3FA7"/>
    <w:rsid w:val="00FE40B8"/>
    <w:rsid w:val="00FE4F25"/>
    <w:rsid w:val="00FE5C40"/>
    <w:rsid w:val="00FF2A4E"/>
    <w:rsid w:val="00FF2FCE"/>
    <w:rsid w:val="00FF4DE4"/>
    <w:rsid w:val="00FF4F7D"/>
    <w:rsid w:val="00FF54DF"/>
    <w:rsid w:val="00FF6D9D"/>
    <w:rsid w:val="00FF7DD5"/>
    <w:rsid w:val="016C36DB"/>
    <w:rsid w:val="020A2BEC"/>
    <w:rsid w:val="020D17BC"/>
    <w:rsid w:val="02AAED74"/>
    <w:rsid w:val="03AE8A78"/>
    <w:rsid w:val="043D0AE2"/>
    <w:rsid w:val="04DEBF5C"/>
    <w:rsid w:val="0580AC81"/>
    <w:rsid w:val="08A2753A"/>
    <w:rsid w:val="092DB59C"/>
    <w:rsid w:val="095CA8BD"/>
    <w:rsid w:val="0AC97D6C"/>
    <w:rsid w:val="0BAED0B0"/>
    <w:rsid w:val="0D26DA99"/>
    <w:rsid w:val="0F1D0BB1"/>
    <w:rsid w:val="0F470EFF"/>
    <w:rsid w:val="1011E984"/>
    <w:rsid w:val="1207E94F"/>
    <w:rsid w:val="13DAA669"/>
    <w:rsid w:val="151A215D"/>
    <w:rsid w:val="15AAD267"/>
    <w:rsid w:val="15D417BE"/>
    <w:rsid w:val="15E0C89F"/>
    <w:rsid w:val="1628E11E"/>
    <w:rsid w:val="176F336B"/>
    <w:rsid w:val="17EE3DD0"/>
    <w:rsid w:val="1AF18F8F"/>
    <w:rsid w:val="1B21DBA1"/>
    <w:rsid w:val="1C11E07F"/>
    <w:rsid w:val="1C47867C"/>
    <w:rsid w:val="1C5A0076"/>
    <w:rsid w:val="1CC8CBDF"/>
    <w:rsid w:val="1D98C0DB"/>
    <w:rsid w:val="1DCA50E9"/>
    <w:rsid w:val="1E2D4070"/>
    <w:rsid w:val="1E8AFB15"/>
    <w:rsid w:val="1FB433B4"/>
    <w:rsid w:val="2095A872"/>
    <w:rsid w:val="216308A8"/>
    <w:rsid w:val="21C29BD7"/>
    <w:rsid w:val="23427464"/>
    <w:rsid w:val="23B43F8C"/>
    <w:rsid w:val="25068577"/>
    <w:rsid w:val="25737B3F"/>
    <w:rsid w:val="27F4FDB8"/>
    <w:rsid w:val="2830D563"/>
    <w:rsid w:val="28C8C2DA"/>
    <w:rsid w:val="28D9DEDF"/>
    <w:rsid w:val="2929AE86"/>
    <w:rsid w:val="2962A17C"/>
    <w:rsid w:val="2B37871B"/>
    <w:rsid w:val="2B5055C0"/>
    <w:rsid w:val="2C743B02"/>
    <w:rsid w:val="2E61ABBD"/>
    <w:rsid w:val="2ED7C1FF"/>
    <w:rsid w:val="2F099180"/>
    <w:rsid w:val="2F587730"/>
    <w:rsid w:val="2FFFF8BF"/>
    <w:rsid w:val="3071ED30"/>
    <w:rsid w:val="30E1FC78"/>
    <w:rsid w:val="3250C198"/>
    <w:rsid w:val="3333640D"/>
    <w:rsid w:val="34154BF6"/>
    <w:rsid w:val="34B8BABA"/>
    <w:rsid w:val="3771B35F"/>
    <w:rsid w:val="392F22C7"/>
    <w:rsid w:val="39348BCE"/>
    <w:rsid w:val="39F88FDF"/>
    <w:rsid w:val="3B7D3929"/>
    <w:rsid w:val="3C04E4E4"/>
    <w:rsid w:val="3C0F21B8"/>
    <w:rsid w:val="3C23B0A5"/>
    <w:rsid w:val="3E608C53"/>
    <w:rsid w:val="3F898F45"/>
    <w:rsid w:val="3FFC70C4"/>
    <w:rsid w:val="436979EB"/>
    <w:rsid w:val="452C8D67"/>
    <w:rsid w:val="4637B0D3"/>
    <w:rsid w:val="47C3E551"/>
    <w:rsid w:val="47E06564"/>
    <w:rsid w:val="49719142"/>
    <w:rsid w:val="4A0FC554"/>
    <w:rsid w:val="4A52B686"/>
    <w:rsid w:val="4B6AF1FD"/>
    <w:rsid w:val="4B76622F"/>
    <w:rsid w:val="4DC8CBFE"/>
    <w:rsid w:val="4FE873CA"/>
    <w:rsid w:val="5218E1F4"/>
    <w:rsid w:val="5240CF0D"/>
    <w:rsid w:val="52B84D28"/>
    <w:rsid w:val="53C40337"/>
    <w:rsid w:val="5542364B"/>
    <w:rsid w:val="5546B8C1"/>
    <w:rsid w:val="585647E1"/>
    <w:rsid w:val="5AA62016"/>
    <w:rsid w:val="5B9740BF"/>
    <w:rsid w:val="5C1CCE83"/>
    <w:rsid w:val="5CF961B6"/>
    <w:rsid w:val="5D9DB77F"/>
    <w:rsid w:val="5DAF2633"/>
    <w:rsid w:val="5F5E7CB5"/>
    <w:rsid w:val="5F67BC70"/>
    <w:rsid w:val="5FE26920"/>
    <w:rsid w:val="60A5FDEB"/>
    <w:rsid w:val="610C5B54"/>
    <w:rsid w:val="61C1618B"/>
    <w:rsid w:val="63761F6B"/>
    <w:rsid w:val="641BB1A8"/>
    <w:rsid w:val="65BE689F"/>
    <w:rsid w:val="66827062"/>
    <w:rsid w:val="6980B5DE"/>
    <w:rsid w:val="6A3DD069"/>
    <w:rsid w:val="6B327B6B"/>
    <w:rsid w:val="6BAE5CE7"/>
    <w:rsid w:val="6C17A74D"/>
    <w:rsid w:val="6F6CEEE8"/>
    <w:rsid w:val="70B391FE"/>
    <w:rsid w:val="7130C3EA"/>
    <w:rsid w:val="71D296B3"/>
    <w:rsid w:val="71FC289D"/>
    <w:rsid w:val="74F71FE1"/>
    <w:rsid w:val="75C1CDF0"/>
    <w:rsid w:val="76B10613"/>
    <w:rsid w:val="77EADD0A"/>
    <w:rsid w:val="79D12886"/>
    <w:rsid w:val="7AAEB3F7"/>
    <w:rsid w:val="7B340BE8"/>
    <w:rsid w:val="7CFEF9AC"/>
    <w:rsid w:val="7F27B6E8"/>
    <w:rsid w:val="7FA114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586FF3"/>
  <w15:docId w15:val="{C6AF38E9-049F-4292-B108-721A2038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383"/>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5"/>
      </w:numPr>
    </w:pPr>
  </w:style>
  <w:style w:type="numbering" w:customStyle="1" w:styleId="ZZTablebullets">
    <w:name w:val="ZZ Table bullets"/>
    <w:basedOn w:val="NoList"/>
    <w:rsid w:val="008E7B49"/>
    <w:pPr>
      <w:numPr>
        <w:numId w:val="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6"/>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Quotebullet1">
    <w:name w:val="Quote bullet 1"/>
    <w:basedOn w:val="Quotetext"/>
    <w:rsid w:val="008E7B49"/>
    <w:pPr>
      <w:numPr>
        <w:numId w:val="6"/>
      </w:numPr>
    </w:pPr>
  </w:style>
  <w:style w:type="paragraph" w:customStyle="1" w:styleId="Quotebullet2">
    <w:name w:val="Quote bullet 2"/>
    <w:basedOn w:val="Quotetext"/>
    <w:rsid w:val="008E7B49"/>
    <w:pPr>
      <w:numPr>
        <w:ilvl w:val="1"/>
        <w:numId w:val="6"/>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3E3383"/>
    <w:pPr>
      <w:spacing w:after="120" w:line="270" w:lineRule="atLeast"/>
    </w:pPr>
    <w:rPr>
      <w:rFonts w:ascii="Arial" w:eastAsia="Times" w:hAnsi="Arial"/>
      <w:lang w:eastAsia="en-US"/>
    </w:rPr>
  </w:style>
  <w:style w:type="paragraph" w:customStyle="1" w:styleId="DHHSbullet1">
    <w:name w:val="DHHS bullet 1"/>
    <w:basedOn w:val="DHHSbody"/>
    <w:qFormat/>
    <w:rsid w:val="003E3383"/>
    <w:pPr>
      <w:spacing w:after="40"/>
      <w:ind w:left="284" w:hanging="284"/>
    </w:pPr>
  </w:style>
  <w:style w:type="paragraph" w:customStyle="1" w:styleId="DHHSbullet2">
    <w:name w:val="DHHS bullet 2"/>
    <w:basedOn w:val="DHHSbody"/>
    <w:uiPriority w:val="2"/>
    <w:qFormat/>
    <w:rsid w:val="003E3383"/>
    <w:pPr>
      <w:spacing w:after="40"/>
      <w:ind w:left="567" w:hanging="283"/>
    </w:pPr>
  </w:style>
  <w:style w:type="paragraph" w:customStyle="1" w:styleId="DHHStablebullet">
    <w:name w:val="DHHS table bullet"/>
    <w:basedOn w:val="Normal"/>
    <w:uiPriority w:val="3"/>
    <w:qFormat/>
    <w:rsid w:val="003E3383"/>
    <w:pPr>
      <w:spacing w:before="80" w:after="60" w:line="240" w:lineRule="auto"/>
      <w:ind w:left="227" w:hanging="227"/>
    </w:pPr>
    <w:rPr>
      <w:rFonts w:ascii="Arial" w:eastAsia="Times New Roman" w:hAnsi="Arial" w:cs="Times New Roman"/>
      <w:sz w:val="20"/>
      <w:szCs w:val="20"/>
    </w:rPr>
  </w:style>
  <w:style w:type="paragraph" w:customStyle="1" w:styleId="DHHSbulletindent">
    <w:name w:val="DHHS bullet indent"/>
    <w:basedOn w:val="DHHSbody"/>
    <w:uiPriority w:val="4"/>
    <w:rsid w:val="003E3383"/>
    <w:pPr>
      <w:spacing w:after="40"/>
      <w:ind w:left="680" w:hanging="283"/>
    </w:pPr>
  </w:style>
  <w:style w:type="paragraph" w:customStyle="1" w:styleId="DHHSbullet1lastline">
    <w:name w:val="DHHS bullet 1 last line"/>
    <w:basedOn w:val="DHHSbullet1"/>
    <w:qFormat/>
    <w:rsid w:val="003E3383"/>
    <w:pPr>
      <w:spacing w:after="120"/>
    </w:pPr>
  </w:style>
  <w:style w:type="paragraph" w:customStyle="1" w:styleId="DHHSbullet2lastline">
    <w:name w:val="DHHS bullet 2 last line"/>
    <w:basedOn w:val="DHHSbullet2"/>
    <w:uiPriority w:val="2"/>
    <w:qFormat/>
    <w:rsid w:val="003E3383"/>
    <w:pPr>
      <w:spacing w:after="120"/>
    </w:pPr>
  </w:style>
  <w:style w:type="paragraph" w:customStyle="1" w:styleId="DHHSbulletindentlastline">
    <w:name w:val="DHHS bullet indent last line"/>
    <w:basedOn w:val="DHHSbody"/>
    <w:uiPriority w:val="4"/>
    <w:rsid w:val="003E3383"/>
    <w:pPr>
      <w:ind w:left="680" w:hanging="283"/>
    </w:pPr>
  </w:style>
  <w:style w:type="paragraph" w:styleId="ListParagraph">
    <w:name w:val="List Paragraph"/>
    <w:basedOn w:val="Normal"/>
    <w:uiPriority w:val="34"/>
    <w:qFormat/>
    <w:rsid w:val="000021F9"/>
    <w:pPr>
      <w:ind w:left="720"/>
      <w:contextualSpacing/>
    </w:pPr>
  </w:style>
  <w:style w:type="character" w:styleId="Emphasis">
    <w:name w:val="Emphasis"/>
    <w:basedOn w:val="DefaultParagraphFont"/>
    <w:uiPriority w:val="20"/>
    <w:qFormat/>
    <w:rsid w:val="00D655ED"/>
    <w:rPr>
      <w:i/>
      <w:iCs/>
    </w:rPr>
  </w:style>
  <w:style w:type="character" w:styleId="Mention">
    <w:name w:val="Mention"/>
    <w:basedOn w:val="DefaultParagraphFont"/>
    <w:uiPriority w:val="99"/>
    <w:unhideWhenUsed/>
    <w:rsid w:val="009A679B"/>
    <w:rPr>
      <w:color w:val="2B579A"/>
      <w:shd w:val="clear" w:color="auto" w:fill="E1DFDD"/>
    </w:rPr>
  </w:style>
  <w:style w:type="paragraph" w:customStyle="1" w:styleId="paragraph">
    <w:name w:val="paragraph"/>
    <w:basedOn w:val="Normal"/>
    <w:rsid w:val="00A407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40796"/>
  </w:style>
  <w:style w:type="character" w:customStyle="1" w:styleId="eop">
    <w:name w:val="eop"/>
    <w:basedOn w:val="DefaultParagraphFont"/>
    <w:rsid w:val="00A4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primary-care/victorian-community-pharmacist-statewide-pilo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health.vic.gov.au/primary-care/victorian-community-pharmacist-statewide-pilot" TargetMode="External"/><Relationship Id="rId2" Type="http://schemas.openxmlformats.org/officeDocument/2006/relationships/hyperlink" Target="https://www.health.vic.gov.au/primary-care/victorian-community-pharmacist-statewide-pilot" TargetMode="External"/><Relationship Id="rId1" Type="http://schemas.openxmlformats.org/officeDocument/2006/relationships/hyperlink" Target="https://www.health.vic.gov.au/primary-care/victorian-community-pharmacist-statewide-pilot" TargetMode="External"/><Relationship Id="rId4" Type="http://schemas.openxmlformats.org/officeDocument/2006/relationships/hyperlink" Target="https://immunisationhandbook.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1D80F382B83A49BA2054F60A134852" ma:contentTypeVersion="16" ma:contentTypeDescription="Create a new document." ma:contentTypeScope="" ma:versionID="c83bbf7ff7535d4238ec22719b58e4eb">
  <xsd:schema xmlns:xsd="http://www.w3.org/2001/XMLSchema" xmlns:xs="http://www.w3.org/2001/XMLSchema" xmlns:p="http://schemas.microsoft.com/office/2006/metadata/properties" xmlns:ns2="47f98658-1cbe-4b10-a767-4f9447a207a3" xmlns:ns3="52aff747-003e-4611-b895-d7c5be62f82a" xmlns:ns4="5ce0f2b5-5be5-4508-bce9-d7011ece0659" targetNamespace="http://schemas.microsoft.com/office/2006/metadata/properties" ma:root="true" ma:fieldsID="bcc3f73414c082acec29b2e760a05977" ns2:_="" ns3:_="" ns4:_="">
    <xsd:import namespace="47f98658-1cbe-4b10-a767-4f9447a207a3"/>
    <xsd:import namespace="52aff747-003e-4611-b895-d7c5be62f82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ce509ad5fbeb4bc7bdde1ba401049b88" minOccurs="0"/>
                <xsd:element ref="ns4:TaxCatchAll" minOccurs="0"/>
                <xsd:element ref="ns2:AddedtoMaster"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98658-1cbe-4b10-a767-4f9447a20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ddedtoMaster" ma:index="17" nillable="true" ma:displayName="Added to Master" ma:default="0" ma:description="This section has been added to the Master Discussion paper and is no longer in use" ma:format="Dropdown" ma:internalName="AddedtoMaster">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ff747-003e-4611-b895-d7c5be62f8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ce509ad5fbeb4bc7bdde1ba401049b88" ma:index="15" nillable="true" ma:taxonomy="true" ma:internalName="ce509ad5fbeb4bc7bdde1ba401049b88" ma:taxonomyFieldName="Sensitivity" ma:displayName="Sensitivity" ma:default="1;#OFFICIAL|df0ee81d-089c-4707-9ef8-ac9a7d96e4bd" ma:fieldId="{ce509ad5-fbeb-4bc7-bdde-1ba401049b88}" ma:sspId="6e24e156-28e6-48ad-9c0f-4171595c9d94" ma:termSetId="7e5c6045-41cb-46b6-8d08-702c034f002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9a04787b-b796-45e3-b54e-368ff14c50a0}" ma:internalName="TaxCatchAll" ma:showField="CatchAllData" ma:web="52aff747-003e-4611-b895-d7c5be62f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Value>1</Value>
    </TaxCatchAll>
    <SharedWithUsers xmlns="52aff747-003e-4611-b895-d7c5be62f82a">
      <UserInfo>
        <DisplayName>Judy Bromham (Health)</DisplayName>
        <AccountId>188</AccountId>
        <AccountType/>
      </UserInfo>
      <UserInfo>
        <DisplayName>Emma Scott (Health)</DisplayName>
        <AccountId>240</AccountId>
        <AccountType/>
      </UserInfo>
      <UserInfo>
        <DisplayName>Lucia Clarke (Health)</DisplayName>
        <AccountId>12</AccountId>
        <AccountType/>
      </UserInfo>
      <UserInfo>
        <DisplayName>Katy Cornish (Health)</DisplayName>
        <AccountId>291</AccountId>
        <AccountType/>
      </UserInfo>
      <UserInfo>
        <DisplayName>Nick Wilson (Health)</DisplayName>
        <AccountId>272</AccountId>
        <AccountType/>
      </UserInfo>
      <UserInfo>
        <DisplayName>Stefan Tulloch (Health)</DisplayName>
        <AccountId>96</AccountId>
        <AccountType/>
      </UserInfo>
      <UserInfo>
        <DisplayName>Briana Baass (DHHS)</DisplayName>
        <AccountId>279</AccountId>
        <AccountType/>
      </UserInfo>
      <UserInfo>
        <DisplayName>Michelle Delaire (Health)</DisplayName>
        <AccountId>436</AccountId>
        <AccountType/>
      </UserInfo>
      <UserInfo>
        <DisplayName>Kylie McIntosh (DHHS)</DisplayName>
        <AccountId>274</AccountId>
        <AccountType/>
      </UserInfo>
    </SharedWithUsers>
    <ce509ad5fbeb4bc7bdde1ba401049b88 xmlns="5ce0f2b5-5be5-4508-bce9-d7011ece06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df0ee81d-089c-4707-9ef8-ac9a7d96e4bd</TermId>
        </TermInfo>
      </Terms>
    </ce509ad5fbeb4bc7bdde1ba401049b88>
    <AddedtoMaster xmlns="47f98658-1cbe-4b10-a767-4f9447a207a3">false</AddedtoMaster>
    <lcf76f155ced4ddcb4097134ff3c332f xmlns="47f98658-1cbe-4b10-a767-4f9447a207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A535ABE2-E7D0-4779-988F-055AF7FE1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98658-1cbe-4b10-a767-4f9447a207a3"/>
    <ds:schemaRef ds:uri="52aff747-003e-4611-b895-d7c5be62f82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2aff747-003e-4611-b895-d7c5be62f82a"/>
    <ds:schemaRef ds:uri="47f98658-1cbe-4b10-a767-4f9447a207a3"/>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Secretary Approval: Community Pharmacist Statewide Pilot</vt:lpstr>
    </vt:vector>
  </TitlesOfParts>
  <Manager/>
  <Company>Victoria State Government, Department of Health</Company>
  <LinksUpToDate>false</LinksUpToDate>
  <CharactersWithSpaces>11285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Approval: Community Pharmacist Statewide Pilot</dc:title>
  <dc:subject>Secretary Approval: Pharmacist Immuniser</dc:subject>
  <dc:creator>Emma Scott (Health)</dc:creator>
  <cp:keywords>Pharmacist Immuniser</cp:keywords>
  <dc:description/>
  <cp:lastModifiedBy>Claire East (Health)</cp:lastModifiedBy>
  <cp:revision>4</cp:revision>
  <cp:lastPrinted>2020-03-30T21:28:00Z</cp:lastPrinted>
  <dcterms:created xsi:type="dcterms:W3CDTF">2023-10-06T00:00:00Z</dcterms:created>
  <dcterms:modified xsi:type="dcterms:W3CDTF">2023-10-06T00:00:00Z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0x010100B71D80F382B83A49BA2054F60A134852</vt:lpwstr>
  </property>
  <property fmtid="{D5CDD505-2E9C-101B-9397-08002B2CF9AE}" pid="4" name="version">
    <vt:lpwstr>v5 12032021</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43e64453-338c-4f93-8a4d-0039a0a41f2a_Enabled">
    <vt:lpwstr>true</vt:lpwstr>
  </property>
  <property fmtid="{D5CDD505-2E9C-101B-9397-08002B2CF9AE}" pid="8" name="MSIP_Label_43e64453-338c-4f93-8a4d-0039a0a41f2a_SetDate">
    <vt:lpwstr>2023-10-06T00:00:44Z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df1450eb-bee6-458e-bc47-0567cfa7f15e</vt:lpwstr>
  </property>
  <property fmtid="{D5CDD505-2E9C-101B-9397-08002B2CF9AE}" pid="13" name="MSIP_Label_43e64453-338c-4f93-8a4d-0039a0a41f2a_ContentBits">
    <vt:lpwstr>2</vt:lpwstr>
  </property>
</Properties>
</file>