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063C" w14:textId="77777777" w:rsidR="00056EC4" w:rsidRDefault="00E9042A" w:rsidP="00056EC4">
      <w:pPr>
        <w:pStyle w:val="Body"/>
      </w:pPr>
      <w:bookmarkStart w:id="0" w:name="_Hlk98856989"/>
      <w:bookmarkEnd w:id="0"/>
      <w:r>
        <w:rPr>
          <w:noProof/>
        </w:rPr>
        <w:drawing>
          <wp:anchor distT="0" distB="0" distL="114300" distR="114300" simplePos="0" relativeHeight="251658240" behindDoc="1" locked="1" layoutInCell="1" allowOverlap="0" wp14:anchorId="242FE88E" wp14:editId="5CF94F93">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2C2C652" w14:textId="77777777" w:rsidTr="00431F42">
        <w:trPr>
          <w:cantSplit/>
        </w:trPr>
        <w:tc>
          <w:tcPr>
            <w:tcW w:w="0" w:type="auto"/>
            <w:tcMar>
              <w:top w:w="0" w:type="dxa"/>
              <w:left w:w="0" w:type="dxa"/>
              <w:right w:w="0" w:type="dxa"/>
            </w:tcMar>
          </w:tcPr>
          <w:p w14:paraId="0B9D0B2F" w14:textId="438DEDDE" w:rsidR="00AD784C" w:rsidRPr="00431F42" w:rsidRDefault="00855E46" w:rsidP="00431F42">
            <w:pPr>
              <w:pStyle w:val="Documenttitle"/>
            </w:pPr>
            <w:r>
              <w:t>Resource Categories Derivation</w:t>
            </w:r>
          </w:p>
        </w:tc>
      </w:tr>
      <w:tr w:rsidR="00AD784C" w14:paraId="7A0DDEC9" w14:textId="77777777" w:rsidTr="00431F42">
        <w:trPr>
          <w:cantSplit/>
        </w:trPr>
        <w:tc>
          <w:tcPr>
            <w:tcW w:w="0" w:type="auto"/>
          </w:tcPr>
          <w:p w14:paraId="337FA493" w14:textId="798D46BB" w:rsidR="007A1ABA" w:rsidRDefault="007A1ABA" w:rsidP="009315BE">
            <w:pPr>
              <w:pStyle w:val="Documentsubtitle"/>
            </w:pPr>
            <w:r>
              <w:t>Version 5</w:t>
            </w:r>
          </w:p>
          <w:p w14:paraId="5E4F7CC7" w14:textId="46CFF891" w:rsidR="00386109" w:rsidRDefault="00855E46" w:rsidP="009315BE">
            <w:pPr>
              <w:pStyle w:val="Documentsubtitle"/>
            </w:pPr>
            <w:r>
              <w:t>Victorian Cost Data Collection</w:t>
            </w:r>
          </w:p>
          <w:p w14:paraId="232398D7" w14:textId="3442900E" w:rsidR="00855E46" w:rsidRDefault="00855E46" w:rsidP="009315BE">
            <w:pPr>
              <w:pStyle w:val="Documentsubtitle"/>
            </w:pPr>
            <w:r w:rsidRPr="00855E46">
              <w:t xml:space="preserve">Local and </w:t>
            </w:r>
            <w:r w:rsidR="007A1ABA">
              <w:t>na</w:t>
            </w:r>
            <w:r w:rsidRPr="00855E46">
              <w:t>tional purpose, descriptions</w:t>
            </w:r>
            <w:r>
              <w:t>,</w:t>
            </w:r>
            <w:r w:rsidRPr="00855E46">
              <w:t xml:space="preserve"> and application</w:t>
            </w:r>
          </w:p>
          <w:p w14:paraId="253EECC4" w14:textId="77ADE1C3" w:rsidR="00855E46" w:rsidRPr="00A1389F" w:rsidRDefault="00855E46" w:rsidP="009315BE">
            <w:pPr>
              <w:pStyle w:val="Documentsubtitle"/>
            </w:pPr>
            <w:r>
              <w:t>(</w:t>
            </w:r>
            <w:r w:rsidR="007A1ABA">
              <w:t>p</w:t>
            </w:r>
            <w:r>
              <w:t xml:space="preserve">reviously </w:t>
            </w:r>
            <w:r w:rsidR="007A1ABA">
              <w:t>c</w:t>
            </w:r>
            <w:r>
              <w:t xml:space="preserve">ost </w:t>
            </w:r>
            <w:r w:rsidR="007A1ABA">
              <w:t>b</w:t>
            </w:r>
            <w:r>
              <w:t>uckets)</w:t>
            </w:r>
          </w:p>
        </w:tc>
      </w:tr>
      <w:tr w:rsidR="00430393" w14:paraId="13373810" w14:textId="77777777" w:rsidTr="00431F42">
        <w:trPr>
          <w:cantSplit/>
        </w:trPr>
        <w:tc>
          <w:tcPr>
            <w:tcW w:w="0" w:type="auto"/>
          </w:tcPr>
          <w:p w14:paraId="0128BF15" w14:textId="77777777" w:rsidR="00430393" w:rsidRDefault="00FE532A" w:rsidP="00430393">
            <w:pPr>
              <w:pStyle w:val="Bannermarking"/>
            </w:pPr>
            <w:fldSimple w:instr=" FILLIN  &quot;Type the protective marking&quot; \d OFFICIAL \o  \* MERGEFORMAT ">
              <w:r w:rsidR="00855E46">
                <w:t>OFFICIAL</w:t>
              </w:r>
            </w:fldSimple>
          </w:p>
        </w:tc>
      </w:tr>
    </w:tbl>
    <w:p w14:paraId="486E7077" w14:textId="77777777" w:rsidR="00FE4081" w:rsidRDefault="00FE4081" w:rsidP="00FE4081">
      <w:pPr>
        <w:pStyle w:val="Body"/>
      </w:pPr>
    </w:p>
    <w:p w14:paraId="4FDD627A"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pPr w:leftFromText="180" w:rightFromText="180" w:vertAnchor="page" w:horzAnchor="margin" w:tblpY="10006"/>
        <w:tblW w:w="0" w:type="auto"/>
        <w:tblLook w:val="04A0" w:firstRow="1" w:lastRow="0" w:firstColumn="1" w:lastColumn="0" w:noHBand="0" w:noVBand="1"/>
      </w:tblPr>
      <w:tblGrid>
        <w:gridCol w:w="9288"/>
      </w:tblGrid>
      <w:tr w:rsidR="00127DFA" w14:paraId="65A22D22" w14:textId="77777777" w:rsidTr="00127DFA">
        <w:trPr>
          <w:trHeight w:val="5103"/>
        </w:trPr>
        <w:tc>
          <w:tcPr>
            <w:tcW w:w="9288" w:type="dxa"/>
          </w:tcPr>
          <w:p w14:paraId="36B02C1D" w14:textId="77777777" w:rsidR="00127DFA" w:rsidRPr="0055119B" w:rsidRDefault="00127DFA" w:rsidP="00127DFA">
            <w:pPr>
              <w:pStyle w:val="Accessibilitypara"/>
            </w:pPr>
            <w:r w:rsidRPr="0055119B">
              <w:lastRenderedPageBreak/>
              <w:t>To receive this document in another format</w:t>
            </w:r>
            <w:r>
              <w:t>,</w:t>
            </w:r>
            <w:r w:rsidRPr="0055119B">
              <w:t xml:space="preserve"> phone</w:t>
            </w:r>
            <w:r>
              <w:t xml:space="preserve"> </w:t>
            </w:r>
            <w:r w:rsidRPr="0055119B">
              <w:t xml:space="preserve"> </w:t>
            </w:r>
            <w:r w:rsidRPr="002615A3">
              <w:t xml:space="preserve">9096 2404 or </w:t>
            </w:r>
            <w:hyperlink r:id="rId18" w:history="1">
              <w:r w:rsidRPr="002615A3">
                <w:rPr>
                  <w:rStyle w:val="Hyperlink"/>
                </w:rPr>
                <w:t>email VCDC Team</w:t>
              </w:r>
            </w:hyperlink>
            <w:r>
              <w:t xml:space="preserve"> &lt;</w:t>
            </w:r>
            <w:r w:rsidRPr="002615A3">
              <w:t>VCDCassist@health.vic.gov.au</w:t>
            </w:r>
            <w:r>
              <w:t>&gt;</w:t>
            </w:r>
            <w:r w:rsidRPr="0055119B">
              <w:t>.</w:t>
            </w:r>
          </w:p>
          <w:p w14:paraId="1F991A4C" w14:textId="77777777" w:rsidR="00127DFA" w:rsidRPr="0055119B" w:rsidRDefault="00127DFA" w:rsidP="00127DFA">
            <w:pPr>
              <w:pStyle w:val="Imprint"/>
            </w:pPr>
            <w:r w:rsidRPr="0055119B">
              <w:t>Authorised and published by the Victorian Government, 1 Treasury Place, Melbourne.</w:t>
            </w:r>
          </w:p>
          <w:p w14:paraId="4F928D35" w14:textId="77777777" w:rsidR="00127DFA" w:rsidRPr="0055119B" w:rsidRDefault="00127DFA" w:rsidP="00127DFA">
            <w:pPr>
              <w:pStyle w:val="Imprint"/>
            </w:pPr>
            <w:r w:rsidRPr="0055119B">
              <w:t xml:space="preserve">© State of Victoria, Australia, Department </w:t>
            </w:r>
            <w:r w:rsidRPr="001B058F">
              <w:t xml:space="preserve">of </w:t>
            </w:r>
            <w:r>
              <w:t>Health</w:t>
            </w:r>
            <w:r w:rsidRPr="0055119B">
              <w:t xml:space="preserve">, </w:t>
            </w:r>
            <w:r w:rsidRPr="002615A3">
              <w:rPr>
                <w:color w:val="auto"/>
              </w:rPr>
              <w:t>August 2023</w:t>
            </w:r>
            <w:r w:rsidRPr="0055119B">
              <w:t>.</w:t>
            </w:r>
          </w:p>
          <w:p w14:paraId="443FFB8D" w14:textId="77777777" w:rsidR="00127DFA" w:rsidRDefault="00127DFA" w:rsidP="00127DFA">
            <w:pPr>
              <w:pStyle w:val="Body"/>
            </w:pPr>
          </w:p>
        </w:tc>
      </w:tr>
      <w:tr w:rsidR="00127DFA" w14:paraId="366C58F4" w14:textId="77777777" w:rsidTr="00127DFA">
        <w:tc>
          <w:tcPr>
            <w:tcW w:w="9288" w:type="dxa"/>
          </w:tcPr>
          <w:p w14:paraId="19AA542F" w14:textId="77777777" w:rsidR="00127DFA" w:rsidRPr="0055119B" w:rsidRDefault="00127DFA" w:rsidP="00127DFA">
            <w:pPr>
              <w:pStyle w:val="Body"/>
            </w:pPr>
          </w:p>
        </w:tc>
      </w:tr>
    </w:tbl>
    <w:p w14:paraId="7B17D15C" w14:textId="77777777" w:rsidR="00431F42" w:rsidRDefault="00431F42" w:rsidP="00431F42">
      <w:pPr>
        <w:pStyle w:val="Body"/>
      </w:pPr>
      <w:r>
        <w:br w:type="page"/>
      </w:r>
    </w:p>
    <w:tbl>
      <w:tblPr>
        <w:tblStyle w:val="TableGrid"/>
        <w:tblW w:w="844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448"/>
      </w:tblGrid>
      <w:tr w:rsidR="00431F42" w14:paraId="6FCE79A7" w14:textId="77777777" w:rsidTr="003B6BBF">
        <w:trPr>
          <w:trHeight w:val="7371"/>
        </w:trPr>
        <w:tc>
          <w:tcPr>
            <w:tcW w:w="8448" w:type="dxa"/>
            <w:vAlign w:val="center"/>
          </w:tcPr>
          <w:p w14:paraId="7AD603CD" w14:textId="3BBABB42" w:rsidR="007A1ABA" w:rsidRDefault="00855E46" w:rsidP="00431F42">
            <w:pPr>
              <w:pStyle w:val="Documentsubtitle"/>
              <w:rPr>
                <w:b/>
                <w:color w:val="C5511A"/>
                <w:sz w:val="48"/>
                <w:szCs w:val="50"/>
              </w:rPr>
            </w:pPr>
            <w:r w:rsidRPr="00855E46">
              <w:rPr>
                <w:b/>
                <w:color w:val="C5511A"/>
                <w:sz w:val="48"/>
                <w:szCs w:val="50"/>
              </w:rPr>
              <w:lastRenderedPageBreak/>
              <w:t xml:space="preserve">Resource Categories Derivation </w:t>
            </w:r>
          </w:p>
          <w:p w14:paraId="1A259438" w14:textId="4F520642" w:rsidR="007A1ABA" w:rsidRDefault="007A1ABA" w:rsidP="00431F42">
            <w:pPr>
              <w:pStyle w:val="Documentsubtitle"/>
            </w:pPr>
            <w:r>
              <w:t>Version 5</w:t>
            </w:r>
          </w:p>
          <w:p w14:paraId="18CF9D33" w14:textId="05AEB36A" w:rsidR="00431F42" w:rsidRDefault="003B6BBF" w:rsidP="00431F42">
            <w:pPr>
              <w:pStyle w:val="Documentsubtitle"/>
            </w:pPr>
            <w:r w:rsidRPr="003B6BBF">
              <w:t>Victorian Cost Data Collection</w:t>
            </w:r>
          </w:p>
        </w:tc>
      </w:tr>
      <w:tr w:rsidR="00431F42" w14:paraId="19B989C4" w14:textId="77777777" w:rsidTr="003B6BBF">
        <w:tc>
          <w:tcPr>
            <w:tcW w:w="8448" w:type="dxa"/>
          </w:tcPr>
          <w:p w14:paraId="5F1DEA7C" w14:textId="77777777" w:rsidR="00431F42" w:rsidRDefault="00431F42" w:rsidP="00431F42">
            <w:pPr>
              <w:pStyle w:val="Body"/>
            </w:pPr>
          </w:p>
        </w:tc>
      </w:tr>
    </w:tbl>
    <w:p w14:paraId="7DE6DB32" w14:textId="77777777" w:rsidR="000D2ABA" w:rsidRDefault="000D2ABA" w:rsidP="00431F42">
      <w:pPr>
        <w:pStyle w:val="Body"/>
      </w:pPr>
      <w:r>
        <w:br w:type="page"/>
      </w:r>
    </w:p>
    <w:p w14:paraId="55E11353" w14:textId="4A88AF41" w:rsidR="00AD784C" w:rsidRPr="00B57329" w:rsidRDefault="00CA3B76" w:rsidP="002365B4">
      <w:pPr>
        <w:pStyle w:val="TOCheadingreport"/>
      </w:pPr>
      <w:r>
        <w:lastRenderedPageBreak/>
        <w:t>C</w:t>
      </w:r>
      <w:r w:rsidR="00AD784C" w:rsidRPr="00B57329">
        <w:t>ontents</w:t>
      </w:r>
    </w:p>
    <w:p w14:paraId="427F7027" w14:textId="65F35C03" w:rsidR="007A1AB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4897045" w:history="1">
        <w:r w:rsidR="007A1ABA" w:rsidRPr="009D31A2">
          <w:rPr>
            <w:rStyle w:val="Hyperlink"/>
          </w:rPr>
          <w:t>Introduction</w:t>
        </w:r>
        <w:r w:rsidR="007A1ABA">
          <w:rPr>
            <w:webHidden/>
          </w:rPr>
          <w:tab/>
        </w:r>
        <w:r w:rsidR="007A1ABA">
          <w:rPr>
            <w:webHidden/>
          </w:rPr>
          <w:fldChar w:fldCharType="begin"/>
        </w:r>
        <w:r w:rsidR="007A1ABA">
          <w:rPr>
            <w:webHidden/>
          </w:rPr>
          <w:instrText xml:space="preserve"> PAGEREF _Toc144897045 \h </w:instrText>
        </w:r>
        <w:r w:rsidR="007A1ABA">
          <w:rPr>
            <w:webHidden/>
          </w:rPr>
        </w:r>
        <w:r w:rsidR="007A1ABA">
          <w:rPr>
            <w:webHidden/>
          </w:rPr>
          <w:fldChar w:fldCharType="separate"/>
        </w:r>
        <w:r w:rsidR="00B42560">
          <w:rPr>
            <w:webHidden/>
          </w:rPr>
          <w:t>5</w:t>
        </w:r>
        <w:r w:rsidR="007A1ABA">
          <w:rPr>
            <w:webHidden/>
          </w:rPr>
          <w:fldChar w:fldCharType="end"/>
        </w:r>
      </w:hyperlink>
    </w:p>
    <w:p w14:paraId="2DFE6AC6" w14:textId="58FA2473" w:rsidR="007A1ABA" w:rsidRDefault="00127DFA">
      <w:pPr>
        <w:pStyle w:val="TOC1"/>
        <w:rPr>
          <w:rFonts w:asciiTheme="minorHAnsi" w:eastAsiaTheme="minorEastAsia" w:hAnsiTheme="minorHAnsi" w:cstheme="minorBidi"/>
          <w:b w:val="0"/>
          <w:sz w:val="22"/>
          <w:szCs w:val="22"/>
          <w:lang w:eastAsia="en-AU"/>
        </w:rPr>
      </w:pPr>
      <w:hyperlink w:anchor="_Toc144897046" w:history="1">
        <w:r w:rsidR="007A1ABA" w:rsidRPr="009D31A2">
          <w:rPr>
            <w:rStyle w:val="Hyperlink"/>
          </w:rPr>
          <w:t>Purpose</w:t>
        </w:r>
        <w:r w:rsidR="007A1ABA">
          <w:rPr>
            <w:webHidden/>
          </w:rPr>
          <w:tab/>
        </w:r>
        <w:r w:rsidR="007A1ABA">
          <w:rPr>
            <w:webHidden/>
          </w:rPr>
          <w:fldChar w:fldCharType="begin"/>
        </w:r>
        <w:r w:rsidR="007A1ABA">
          <w:rPr>
            <w:webHidden/>
          </w:rPr>
          <w:instrText xml:space="preserve"> PAGEREF _Toc144897046 \h </w:instrText>
        </w:r>
        <w:r w:rsidR="007A1ABA">
          <w:rPr>
            <w:webHidden/>
          </w:rPr>
        </w:r>
        <w:r w:rsidR="007A1ABA">
          <w:rPr>
            <w:webHidden/>
          </w:rPr>
          <w:fldChar w:fldCharType="separate"/>
        </w:r>
        <w:r w:rsidR="00B42560">
          <w:rPr>
            <w:webHidden/>
          </w:rPr>
          <w:t>5</w:t>
        </w:r>
        <w:r w:rsidR="007A1ABA">
          <w:rPr>
            <w:webHidden/>
          </w:rPr>
          <w:fldChar w:fldCharType="end"/>
        </w:r>
      </w:hyperlink>
    </w:p>
    <w:p w14:paraId="14530945" w14:textId="50754C38" w:rsidR="007A1ABA" w:rsidRDefault="00127DFA">
      <w:pPr>
        <w:pStyle w:val="TOC1"/>
        <w:rPr>
          <w:rFonts w:asciiTheme="minorHAnsi" w:eastAsiaTheme="minorEastAsia" w:hAnsiTheme="minorHAnsi" w:cstheme="minorBidi"/>
          <w:b w:val="0"/>
          <w:sz w:val="22"/>
          <w:szCs w:val="22"/>
          <w:lang w:eastAsia="en-AU"/>
        </w:rPr>
      </w:pPr>
      <w:hyperlink w:anchor="_Toc144897047" w:history="1">
        <w:r w:rsidR="007A1ABA" w:rsidRPr="009D31A2">
          <w:rPr>
            <w:rStyle w:val="Hyperlink"/>
          </w:rPr>
          <w:t>About the VCDC</w:t>
        </w:r>
        <w:r w:rsidR="007A1ABA">
          <w:rPr>
            <w:webHidden/>
          </w:rPr>
          <w:tab/>
        </w:r>
        <w:r w:rsidR="007A1ABA">
          <w:rPr>
            <w:webHidden/>
          </w:rPr>
          <w:fldChar w:fldCharType="begin"/>
        </w:r>
        <w:r w:rsidR="007A1ABA">
          <w:rPr>
            <w:webHidden/>
          </w:rPr>
          <w:instrText xml:space="preserve"> PAGEREF _Toc144897047 \h </w:instrText>
        </w:r>
        <w:r w:rsidR="007A1ABA">
          <w:rPr>
            <w:webHidden/>
          </w:rPr>
        </w:r>
        <w:r w:rsidR="007A1ABA">
          <w:rPr>
            <w:webHidden/>
          </w:rPr>
          <w:fldChar w:fldCharType="separate"/>
        </w:r>
        <w:r w:rsidR="00B42560">
          <w:rPr>
            <w:webHidden/>
          </w:rPr>
          <w:t>5</w:t>
        </w:r>
        <w:r w:rsidR="007A1ABA">
          <w:rPr>
            <w:webHidden/>
          </w:rPr>
          <w:fldChar w:fldCharType="end"/>
        </w:r>
      </w:hyperlink>
    </w:p>
    <w:p w14:paraId="50975FA7" w14:textId="10CCBEEA" w:rsidR="007A1ABA" w:rsidRDefault="00127DFA">
      <w:pPr>
        <w:pStyle w:val="TOC2"/>
        <w:rPr>
          <w:rFonts w:asciiTheme="minorHAnsi" w:eastAsiaTheme="minorEastAsia" w:hAnsiTheme="minorHAnsi" w:cstheme="minorBidi"/>
          <w:sz w:val="22"/>
          <w:szCs w:val="22"/>
          <w:lang w:eastAsia="en-AU"/>
        </w:rPr>
      </w:pPr>
      <w:hyperlink w:anchor="_Toc144897048" w:history="1">
        <w:r w:rsidR="007A1ABA" w:rsidRPr="009D31A2">
          <w:rPr>
            <w:rStyle w:val="Hyperlink"/>
          </w:rPr>
          <w:t>National requirement</w:t>
        </w:r>
        <w:r w:rsidR="007A1ABA">
          <w:rPr>
            <w:webHidden/>
          </w:rPr>
          <w:tab/>
        </w:r>
        <w:r w:rsidR="007A1ABA">
          <w:rPr>
            <w:webHidden/>
          </w:rPr>
          <w:fldChar w:fldCharType="begin"/>
        </w:r>
        <w:r w:rsidR="007A1ABA">
          <w:rPr>
            <w:webHidden/>
          </w:rPr>
          <w:instrText xml:space="preserve"> PAGEREF _Toc144897048 \h </w:instrText>
        </w:r>
        <w:r w:rsidR="007A1ABA">
          <w:rPr>
            <w:webHidden/>
          </w:rPr>
        </w:r>
        <w:r w:rsidR="007A1ABA">
          <w:rPr>
            <w:webHidden/>
          </w:rPr>
          <w:fldChar w:fldCharType="separate"/>
        </w:r>
        <w:r w:rsidR="00B42560">
          <w:rPr>
            <w:webHidden/>
          </w:rPr>
          <w:t>6</w:t>
        </w:r>
        <w:r w:rsidR="007A1ABA">
          <w:rPr>
            <w:webHidden/>
          </w:rPr>
          <w:fldChar w:fldCharType="end"/>
        </w:r>
      </w:hyperlink>
    </w:p>
    <w:p w14:paraId="5A3D5D5D" w14:textId="2FFD0D2C" w:rsidR="007A1ABA" w:rsidRDefault="00127DFA">
      <w:pPr>
        <w:pStyle w:val="TOC1"/>
        <w:rPr>
          <w:rFonts w:asciiTheme="minorHAnsi" w:eastAsiaTheme="minorEastAsia" w:hAnsiTheme="minorHAnsi" w:cstheme="minorBidi"/>
          <w:b w:val="0"/>
          <w:sz w:val="22"/>
          <w:szCs w:val="22"/>
          <w:lang w:eastAsia="en-AU"/>
        </w:rPr>
      </w:pPr>
      <w:hyperlink w:anchor="_Toc144897049" w:history="1">
        <w:r w:rsidR="007A1ABA" w:rsidRPr="009D31A2">
          <w:rPr>
            <w:rStyle w:val="Hyperlink"/>
          </w:rPr>
          <w:t>Objective of costing</w:t>
        </w:r>
        <w:r w:rsidR="007A1ABA">
          <w:rPr>
            <w:webHidden/>
          </w:rPr>
          <w:tab/>
        </w:r>
        <w:r w:rsidR="007A1ABA">
          <w:rPr>
            <w:webHidden/>
          </w:rPr>
          <w:fldChar w:fldCharType="begin"/>
        </w:r>
        <w:r w:rsidR="007A1ABA">
          <w:rPr>
            <w:webHidden/>
          </w:rPr>
          <w:instrText xml:space="preserve"> PAGEREF _Toc144897049 \h </w:instrText>
        </w:r>
        <w:r w:rsidR="007A1ABA">
          <w:rPr>
            <w:webHidden/>
          </w:rPr>
        </w:r>
        <w:r w:rsidR="007A1ABA">
          <w:rPr>
            <w:webHidden/>
          </w:rPr>
          <w:fldChar w:fldCharType="separate"/>
        </w:r>
        <w:r w:rsidR="00B42560">
          <w:rPr>
            <w:webHidden/>
          </w:rPr>
          <w:t>6</w:t>
        </w:r>
        <w:r w:rsidR="007A1ABA">
          <w:rPr>
            <w:webHidden/>
          </w:rPr>
          <w:fldChar w:fldCharType="end"/>
        </w:r>
      </w:hyperlink>
    </w:p>
    <w:p w14:paraId="7F338E80" w14:textId="07E8CB37" w:rsidR="007A1ABA" w:rsidRDefault="00127DFA">
      <w:pPr>
        <w:pStyle w:val="TOC1"/>
        <w:rPr>
          <w:rFonts w:asciiTheme="minorHAnsi" w:eastAsiaTheme="minorEastAsia" w:hAnsiTheme="minorHAnsi" w:cstheme="minorBidi"/>
          <w:b w:val="0"/>
          <w:sz w:val="22"/>
          <w:szCs w:val="22"/>
          <w:lang w:eastAsia="en-AU"/>
        </w:rPr>
      </w:pPr>
      <w:hyperlink w:anchor="_Toc144897050" w:history="1">
        <w:r w:rsidR="007A1ABA" w:rsidRPr="009D31A2">
          <w:rPr>
            <w:rStyle w:val="Hyperlink"/>
          </w:rPr>
          <w:t>What is used to derive the categories?</w:t>
        </w:r>
        <w:r w:rsidR="007A1ABA">
          <w:rPr>
            <w:webHidden/>
          </w:rPr>
          <w:tab/>
        </w:r>
        <w:r w:rsidR="007A1ABA">
          <w:rPr>
            <w:webHidden/>
          </w:rPr>
          <w:fldChar w:fldCharType="begin"/>
        </w:r>
        <w:r w:rsidR="007A1ABA">
          <w:rPr>
            <w:webHidden/>
          </w:rPr>
          <w:instrText xml:space="preserve"> PAGEREF _Toc144897050 \h </w:instrText>
        </w:r>
        <w:r w:rsidR="007A1ABA">
          <w:rPr>
            <w:webHidden/>
          </w:rPr>
        </w:r>
        <w:r w:rsidR="007A1ABA">
          <w:rPr>
            <w:webHidden/>
          </w:rPr>
          <w:fldChar w:fldCharType="separate"/>
        </w:r>
        <w:r w:rsidR="00B42560">
          <w:rPr>
            <w:webHidden/>
          </w:rPr>
          <w:t>7</w:t>
        </w:r>
        <w:r w:rsidR="007A1ABA">
          <w:rPr>
            <w:webHidden/>
          </w:rPr>
          <w:fldChar w:fldCharType="end"/>
        </w:r>
      </w:hyperlink>
    </w:p>
    <w:p w14:paraId="77EEBCE8" w14:textId="169C24E0" w:rsidR="007A1ABA" w:rsidRDefault="00127DFA">
      <w:pPr>
        <w:pStyle w:val="TOC2"/>
        <w:rPr>
          <w:rFonts w:asciiTheme="minorHAnsi" w:eastAsiaTheme="minorEastAsia" w:hAnsiTheme="minorHAnsi" w:cstheme="minorBidi"/>
          <w:sz w:val="22"/>
          <w:szCs w:val="22"/>
          <w:lang w:eastAsia="en-AU"/>
        </w:rPr>
      </w:pPr>
      <w:hyperlink w:anchor="_Toc144897051" w:history="1">
        <w:r w:rsidR="007A1ABA" w:rsidRPr="009D31A2">
          <w:rPr>
            <w:rStyle w:val="Hyperlink"/>
          </w:rPr>
          <w:t>Using the cost general ledger</w:t>
        </w:r>
        <w:r w:rsidR="007A1ABA">
          <w:rPr>
            <w:webHidden/>
          </w:rPr>
          <w:tab/>
        </w:r>
        <w:r w:rsidR="007A1ABA">
          <w:rPr>
            <w:webHidden/>
          </w:rPr>
          <w:fldChar w:fldCharType="begin"/>
        </w:r>
        <w:r w:rsidR="007A1ABA">
          <w:rPr>
            <w:webHidden/>
          </w:rPr>
          <w:instrText xml:space="preserve"> PAGEREF _Toc144897051 \h </w:instrText>
        </w:r>
        <w:r w:rsidR="007A1ABA">
          <w:rPr>
            <w:webHidden/>
          </w:rPr>
        </w:r>
        <w:r w:rsidR="007A1ABA">
          <w:rPr>
            <w:webHidden/>
          </w:rPr>
          <w:fldChar w:fldCharType="separate"/>
        </w:r>
        <w:r w:rsidR="00B42560">
          <w:rPr>
            <w:webHidden/>
          </w:rPr>
          <w:t>7</w:t>
        </w:r>
        <w:r w:rsidR="007A1ABA">
          <w:rPr>
            <w:webHidden/>
          </w:rPr>
          <w:fldChar w:fldCharType="end"/>
        </w:r>
      </w:hyperlink>
    </w:p>
    <w:p w14:paraId="1CD20C97" w14:textId="3F9BEE33" w:rsidR="007A1ABA" w:rsidRDefault="00127DFA">
      <w:pPr>
        <w:pStyle w:val="TOC1"/>
        <w:rPr>
          <w:rFonts w:asciiTheme="minorHAnsi" w:eastAsiaTheme="minorEastAsia" w:hAnsiTheme="minorHAnsi" w:cstheme="minorBidi"/>
          <w:b w:val="0"/>
          <w:sz w:val="22"/>
          <w:szCs w:val="22"/>
          <w:lang w:eastAsia="en-AU"/>
        </w:rPr>
      </w:pPr>
      <w:hyperlink w:anchor="_Toc144897052" w:history="1">
        <w:r w:rsidR="007A1ABA" w:rsidRPr="009D31A2">
          <w:rPr>
            <w:rStyle w:val="Hyperlink"/>
          </w:rPr>
          <w:t>Resource categories</w:t>
        </w:r>
        <w:r w:rsidR="007A1ABA">
          <w:rPr>
            <w:webHidden/>
          </w:rPr>
          <w:tab/>
        </w:r>
        <w:r w:rsidR="007A1ABA">
          <w:rPr>
            <w:webHidden/>
          </w:rPr>
          <w:fldChar w:fldCharType="begin"/>
        </w:r>
        <w:r w:rsidR="007A1ABA">
          <w:rPr>
            <w:webHidden/>
          </w:rPr>
          <w:instrText xml:space="preserve"> PAGEREF _Toc144897052 \h </w:instrText>
        </w:r>
        <w:r w:rsidR="007A1ABA">
          <w:rPr>
            <w:webHidden/>
          </w:rPr>
        </w:r>
        <w:r w:rsidR="007A1ABA">
          <w:rPr>
            <w:webHidden/>
          </w:rPr>
          <w:fldChar w:fldCharType="separate"/>
        </w:r>
        <w:r w:rsidR="00B42560">
          <w:rPr>
            <w:webHidden/>
          </w:rPr>
          <w:t>9</w:t>
        </w:r>
        <w:r w:rsidR="007A1ABA">
          <w:rPr>
            <w:webHidden/>
          </w:rPr>
          <w:fldChar w:fldCharType="end"/>
        </w:r>
      </w:hyperlink>
    </w:p>
    <w:p w14:paraId="4139BD85" w14:textId="1DA6D45C" w:rsidR="007A1ABA" w:rsidRDefault="00127DFA">
      <w:pPr>
        <w:pStyle w:val="TOC2"/>
        <w:rPr>
          <w:rFonts w:asciiTheme="minorHAnsi" w:eastAsiaTheme="minorEastAsia" w:hAnsiTheme="minorHAnsi" w:cstheme="minorBidi"/>
          <w:sz w:val="22"/>
          <w:szCs w:val="22"/>
          <w:lang w:eastAsia="en-AU"/>
        </w:rPr>
      </w:pPr>
      <w:hyperlink w:anchor="_Toc144897053" w:history="1">
        <w:r w:rsidR="007A1ABA" w:rsidRPr="009D31A2">
          <w:rPr>
            <w:rStyle w:val="Hyperlink"/>
          </w:rPr>
          <w:t>Formation</w:t>
        </w:r>
        <w:r w:rsidR="007A1ABA">
          <w:rPr>
            <w:webHidden/>
          </w:rPr>
          <w:tab/>
        </w:r>
        <w:r w:rsidR="007A1ABA">
          <w:rPr>
            <w:webHidden/>
          </w:rPr>
          <w:fldChar w:fldCharType="begin"/>
        </w:r>
        <w:r w:rsidR="007A1ABA">
          <w:rPr>
            <w:webHidden/>
          </w:rPr>
          <w:instrText xml:space="preserve"> PAGEREF _Toc144897053 \h </w:instrText>
        </w:r>
        <w:r w:rsidR="007A1ABA">
          <w:rPr>
            <w:webHidden/>
          </w:rPr>
        </w:r>
        <w:r w:rsidR="007A1ABA">
          <w:rPr>
            <w:webHidden/>
          </w:rPr>
          <w:fldChar w:fldCharType="separate"/>
        </w:r>
        <w:r w:rsidR="00B42560">
          <w:rPr>
            <w:webHidden/>
          </w:rPr>
          <w:t>9</w:t>
        </w:r>
        <w:r w:rsidR="007A1ABA">
          <w:rPr>
            <w:webHidden/>
          </w:rPr>
          <w:fldChar w:fldCharType="end"/>
        </w:r>
      </w:hyperlink>
    </w:p>
    <w:p w14:paraId="5F2867CA" w14:textId="0129C40F" w:rsidR="007A1ABA" w:rsidRDefault="00127DFA">
      <w:pPr>
        <w:pStyle w:val="TOC2"/>
        <w:rPr>
          <w:rFonts w:asciiTheme="minorHAnsi" w:eastAsiaTheme="minorEastAsia" w:hAnsiTheme="minorHAnsi" w:cstheme="minorBidi"/>
          <w:sz w:val="22"/>
          <w:szCs w:val="22"/>
          <w:lang w:eastAsia="en-AU"/>
        </w:rPr>
      </w:pPr>
      <w:hyperlink w:anchor="_Toc144897054" w:history="1">
        <w:r w:rsidR="007A1ABA" w:rsidRPr="009D31A2">
          <w:rPr>
            <w:rStyle w:val="Hyperlink"/>
          </w:rPr>
          <w:t>Main resource categories</w:t>
        </w:r>
        <w:r w:rsidR="007A1ABA">
          <w:rPr>
            <w:webHidden/>
          </w:rPr>
          <w:tab/>
        </w:r>
        <w:r w:rsidR="007A1ABA">
          <w:rPr>
            <w:webHidden/>
          </w:rPr>
          <w:fldChar w:fldCharType="begin"/>
        </w:r>
        <w:r w:rsidR="007A1ABA">
          <w:rPr>
            <w:webHidden/>
          </w:rPr>
          <w:instrText xml:space="preserve"> PAGEREF _Toc144897054 \h </w:instrText>
        </w:r>
        <w:r w:rsidR="007A1ABA">
          <w:rPr>
            <w:webHidden/>
          </w:rPr>
        </w:r>
        <w:r w:rsidR="007A1ABA">
          <w:rPr>
            <w:webHidden/>
          </w:rPr>
          <w:fldChar w:fldCharType="separate"/>
        </w:r>
        <w:r w:rsidR="00B42560">
          <w:rPr>
            <w:webHidden/>
          </w:rPr>
          <w:t>10</w:t>
        </w:r>
        <w:r w:rsidR="007A1ABA">
          <w:rPr>
            <w:webHidden/>
          </w:rPr>
          <w:fldChar w:fldCharType="end"/>
        </w:r>
      </w:hyperlink>
    </w:p>
    <w:p w14:paraId="2C228D5F" w14:textId="2142F835" w:rsidR="007A1ABA" w:rsidRDefault="00127DFA">
      <w:pPr>
        <w:pStyle w:val="TOC2"/>
        <w:rPr>
          <w:rFonts w:asciiTheme="minorHAnsi" w:eastAsiaTheme="minorEastAsia" w:hAnsiTheme="minorHAnsi" w:cstheme="minorBidi"/>
          <w:sz w:val="22"/>
          <w:szCs w:val="22"/>
          <w:lang w:eastAsia="en-AU"/>
        </w:rPr>
      </w:pPr>
      <w:hyperlink w:anchor="_Toc144897055" w:history="1">
        <w:r w:rsidR="007A1ABA" w:rsidRPr="009D31A2">
          <w:rPr>
            <w:rStyle w:val="Hyperlink"/>
          </w:rPr>
          <w:t>Information resource categories</w:t>
        </w:r>
        <w:r w:rsidR="007A1ABA">
          <w:rPr>
            <w:webHidden/>
          </w:rPr>
          <w:tab/>
        </w:r>
        <w:r w:rsidR="007A1ABA">
          <w:rPr>
            <w:webHidden/>
          </w:rPr>
          <w:fldChar w:fldCharType="begin"/>
        </w:r>
        <w:r w:rsidR="007A1ABA">
          <w:rPr>
            <w:webHidden/>
          </w:rPr>
          <w:instrText xml:space="preserve"> PAGEREF _Toc144897055 \h </w:instrText>
        </w:r>
        <w:r w:rsidR="007A1ABA">
          <w:rPr>
            <w:webHidden/>
          </w:rPr>
        </w:r>
        <w:r w:rsidR="007A1ABA">
          <w:rPr>
            <w:webHidden/>
          </w:rPr>
          <w:fldChar w:fldCharType="separate"/>
        </w:r>
        <w:r w:rsidR="00B42560">
          <w:rPr>
            <w:webHidden/>
          </w:rPr>
          <w:t>11</w:t>
        </w:r>
        <w:r w:rsidR="007A1ABA">
          <w:rPr>
            <w:webHidden/>
          </w:rPr>
          <w:fldChar w:fldCharType="end"/>
        </w:r>
      </w:hyperlink>
    </w:p>
    <w:p w14:paraId="449638F2" w14:textId="1A2B7268" w:rsidR="007A1ABA" w:rsidRDefault="00127DFA">
      <w:pPr>
        <w:pStyle w:val="TOC2"/>
        <w:rPr>
          <w:rFonts w:asciiTheme="minorHAnsi" w:eastAsiaTheme="minorEastAsia" w:hAnsiTheme="minorHAnsi" w:cstheme="minorBidi"/>
          <w:sz w:val="22"/>
          <w:szCs w:val="22"/>
          <w:lang w:eastAsia="en-AU"/>
        </w:rPr>
      </w:pPr>
      <w:hyperlink w:anchor="_Toc144897056" w:history="1">
        <w:r w:rsidR="007A1ABA" w:rsidRPr="009D31A2">
          <w:rPr>
            <w:rStyle w:val="Hyperlink"/>
          </w:rPr>
          <w:t>Excluded resource categories</w:t>
        </w:r>
        <w:r w:rsidR="007A1ABA">
          <w:rPr>
            <w:webHidden/>
          </w:rPr>
          <w:tab/>
        </w:r>
        <w:r w:rsidR="007A1ABA">
          <w:rPr>
            <w:webHidden/>
          </w:rPr>
          <w:fldChar w:fldCharType="begin"/>
        </w:r>
        <w:r w:rsidR="007A1ABA">
          <w:rPr>
            <w:webHidden/>
          </w:rPr>
          <w:instrText xml:space="preserve"> PAGEREF _Toc144897056 \h </w:instrText>
        </w:r>
        <w:r w:rsidR="007A1ABA">
          <w:rPr>
            <w:webHidden/>
          </w:rPr>
        </w:r>
        <w:r w:rsidR="007A1ABA">
          <w:rPr>
            <w:webHidden/>
          </w:rPr>
          <w:fldChar w:fldCharType="separate"/>
        </w:r>
        <w:r w:rsidR="00B42560">
          <w:rPr>
            <w:webHidden/>
          </w:rPr>
          <w:t>11</w:t>
        </w:r>
        <w:r w:rsidR="007A1ABA">
          <w:rPr>
            <w:webHidden/>
          </w:rPr>
          <w:fldChar w:fldCharType="end"/>
        </w:r>
      </w:hyperlink>
    </w:p>
    <w:p w14:paraId="52138809" w14:textId="5881AE38" w:rsidR="007A1ABA" w:rsidRDefault="00127DFA">
      <w:pPr>
        <w:pStyle w:val="TOC2"/>
        <w:rPr>
          <w:rFonts w:asciiTheme="minorHAnsi" w:eastAsiaTheme="minorEastAsia" w:hAnsiTheme="minorHAnsi" w:cstheme="minorBidi"/>
          <w:sz w:val="22"/>
          <w:szCs w:val="22"/>
          <w:lang w:eastAsia="en-AU"/>
        </w:rPr>
      </w:pPr>
      <w:hyperlink w:anchor="_Toc144897057" w:history="1">
        <w:r w:rsidR="007A1ABA" w:rsidRPr="009D31A2">
          <w:rPr>
            <w:rStyle w:val="Hyperlink"/>
          </w:rPr>
          <w:t>Resource categories</w:t>
        </w:r>
        <w:r w:rsidR="007A1ABA">
          <w:rPr>
            <w:webHidden/>
          </w:rPr>
          <w:tab/>
        </w:r>
        <w:r w:rsidR="007A1ABA">
          <w:rPr>
            <w:webHidden/>
          </w:rPr>
          <w:fldChar w:fldCharType="begin"/>
        </w:r>
        <w:r w:rsidR="007A1ABA">
          <w:rPr>
            <w:webHidden/>
          </w:rPr>
          <w:instrText xml:space="preserve"> PAGEREF _Toc144897057 \h </w:instrText>
        </w:r>
        <w:r w:rsidR="007A1ABA">
          <w:rPr>
            <w:webHidden/>
          </w:rPr>
        </w:r>
        <w:r w:rsidR="007A1ABA">
          <w:rPr>
            <w:webHidden/>
          </w:rPr>
          <w:fldChar w:fldCharType="separate"/>
        </w:r>
        <w:r w:rsidR="00B42560">
          <w:rPr>
            <w:webHidden/>
          </w:rPr>
          <w:t>12</w:t>
        </w:r>
        <w:r w:rsidR="007A1ABA">
          <w:rPr>
            <w:webHidden/>
          </w:rPr>
          <w:fldChar w:fldCharType="end"/>
        </w:r>
      </w:hyperlink>
    </w:p>
    <w:p w14:paraId="52569F3B" w14:textId="28B6C4AF" w:rsidR="007A1ABA" w:rsidRDefault="00127DFA">
      <w:pPr>
        <w:pStyle w:val="TOC1"/>
        <w:rPr>
          <w:rFonts w:asciiTheme="minorHAnsi" w:eastAsiaTheme="minorEastAsia" w:hAnsiTheme="minorHAnsi" w:cstheme="minorBidi"/>
          <w:b w:val="0"/>
          <w:sz w:val="22"/>
          <w:szCs w:val="22"/>
          <w:lang w:eastAsia="en-AU"/>
        </w:rPr>
      </w:pPr>
      <w:hyperlink w:anchor="_Toc144897058" w:history="1">
        <w:r w:rsidR="007A1ABA" w:rsidRPr="009D31A2">
          <w:rPr>
            <w:rStyle w:val="Hyperlink"/>
          </w:rPr>
          <w:t>National cost buckets</w:t>
        </w:r>
        <w:r w:rsidR="007A1ABA">
          <w:rPr>
            <w:webHidden/>
          </w:rPr>
          <w:tab/>
        </w:r>
        <w:r w:rsidR="007A1ABA">
          <w:rPr>
            <w:webHidden/>
          </w:rPr>
          <w:fldChar w:fldCharType="begin"/>
        </w:r>
        <w:r w:rsidR="007A1ABA">
          <w:rPr>
            <w:webHidden/>
          </w:rPr>
          <w:instrText xml:space="preserve"> PAGEREF _Toc144897058 \h </w:instrText>
        </w:r>
        <w:r w:rsidR="007A1ABA">
          <w:rPr>
            <w:webHidden/>
          </w:rPr>
        </w:r>
        <w:r w:rsidR="007A1ABA">
          <w:rPr>
            <w:webHidden/>
          </w:rPr>
          <w:fldChar w:fldCharType="separate"/>
        </w:r>
        <w:r w:rsidR="00B42560">
          <w:rPr>
            <w:webHidden/>
          </w:rPr>
          <w:t>14</w:t>
        </w:r>
        <w:r w:rsidR="007A1ABA">
          <w:rPr>
            <w:webHidden/>
          </w:rPr>
          <w:fldChar w:fldCharType="end"/>
        </w:r>
      </w:hyperlink>
    </w:p>
    <w:p w14:paraId="60276BBB" w14:textId="657A4B85" w:rsidR="007A1ABA" w:rsidRDefault="00127DFA">
      <w:pPr>
        <w:pStyle w:val="TOC2"/>
        <w:rPr>
          <w:rFonts w:asciiTheme="minorHAnsi" w:eastAsiaTheme="minorEastAsia" w:hAnsiTheme="minorHAnsi" w:cstheme="minorBidi"/>
          <w:sz w:val="22"/>
          <w:szCs w:val="22"/>
          <w:lang w:eastAsia="en-AU"/>
        </w:rPr>
      </w:pPr>
      <w:hyperlink w:anchor="_Toc144897059" w:history="1">
        <w:r w:rsidR="007A1ABA" w:rsidRPr="009D31A2">
          <w:rPr>
            <w:rStyle w:val="Hyperlink"/>
          </w:rPr>
          <w:t>Overview</w:t>
        </w:r>
        <w:r w:rsidR="007A1ABA">
          <w:rPr>
            <w:webHidden/>
          </w:rPr>
          <w:tab/>
        </w:r>
        <w:r w:rsidR="007A1ABA">
          <w:rPr>
            <w:webHidden/>
          </w:rPr>
          <w:fldChar w:fldCharType="begin"/>
        </w:r>
        <w:r w:rsidR="007A1ABA">
          <w:rPr>
            <w:webHidden/>
          </w:rPr>
          <w:instrText xml:space="preserve"> PAGEREF _Toc144897059 \h </w:instrText>
        </w:r>
        <w:r w:rsidR="007A1ABA">
          <w:rPr>
            <w:webHidden/>
          </w:rPr>
        </w:r>
        <w:r w:rsidR="007A1ABA">
          <w:rPr>
            <w:webHidden/>
          </w:rPr>
          <w:fldChar w:fldCharType="separate"/>
        </w:r>
        <w:r w:rsidR="00B42560">
          <w:rPr>
            <w:webHidden/>
          </w:rPr>
          <w:t>14</w:t>
        </w:r>
        <w:r w:rsidR="007A1ABA">
          <w:rPr>
            <w:webHidden/>
          </w:rPr>
          <w:fldChar w:fldCharType="end"/>
        </w:r>
      </w:hyperlink>
    </w:p>
    <w:p w14:paraId="026A535F" w14:textId="635CC1D8" w:rsidR="00FB1F6E" w:rsidRDefault="00AD784C" w:rsidP="00D079AA">
      <w:pPr>
        <w:pStyle w:val="Body"/>
      </w:pPr>
      <w:r>
        <w:fldChar w:fldCharType="end"/>
      </w:r>
    </w:p>
    <w:p w14:paraId="440D090D" w14:textId="77777777" w:rsidR="00FB1F6E" w:rsidRDefault="00FB1F6E">
      <w:pPr>
        <w:spacing w:after="0" w:line="240" w:lineRule="auto"/>
        <w:rPr>
          <w:rFonts w:eastAsia="Times"/>
        </w:rPr>
      </w:pPr>
      <w:r>
        <w:br w:type="page"/>
      </w:r>
    </w:p>
    <w:p w14:paraId="219C6824" w14:textId="77777777" w:rsidR="003B6BBF" w:rsidRDefault="003B6BBF" w:rsidP="003651F5">
      <w:pPr>
        <w:pStyle w:val="Heading1"/>
      </w:pPr>
      <w:bookmarkStart w:id="1" w:name="_Toc144897045"/>
      <w:bookmarkStart w:id="2" w:name="_Hlk66712316"/>
      <w:r w:rsidRPr="003B6BBF">
        <w:t>Introduction</w:t>
      </w:r>
      <w:bookmarkEnd w:id="1"/>
    </w:p>
    <w:p w14:paraId="0A0315F7" w14:textId="77777777" w:rsidR="00370DB4" w:rsidRDefault="00370DB4" w:rsidP="00454A7D">
      <w:pPr>
        <w:pStyle w:val="Body"/>
      </w:pPr>
      <w:r w:rsidRPr="00370DB4">
        <w:t>The resource categories are designed to provide a summarised level of the types of expenses used in the treatment of patients, into a range of generic groups.</w:t>
      </w:r>
    </w:p>
    <w:p w14:paraId="31899AE1" w14:textId="02EAEFED" w:rsidR="00454A7D" w:rsidRDefault="00B65A5C" w:rsidP="00454A7D">
      <w:pPr>
        <w:pStyle w:val="Body"/>
      </w:pPr>
      <w:r>
        <w:t>Resource categories (previously c</w:t>
      </w:r>
      <w:r w:rsidR="003B6BBF" w:rsidRPr="003B6BBF">
        <w:t>ost buckets</w:t>
      </w:r>
      <w:r>
        <w:t>)</w:t>
      </w:r>
      <w:r w:rsidR="003B6BBF" w:rsidRPr="003B6BBF">
        <w:t xml:space="preserve"> are </w:t>
      </w:r>
      <w:r w:rsidR="00DD3DBE" w:rsidRPr="00DD3DBE">
        <w:t xml:space="preserve">associated major groups enabling the ease of comparison for analysis, reporting and benchmarking objectives. </w:t>
      </w:r>
      <w:r w:rsidR="00DD3DBE">
        <w:t xml:space="preserve">The categories are aggregated from </w:t>
      </w:r>
      <w:r w:rsidR="003B6BBF" w:rsidRPr="003B6BBF">
        <w:t xml:space="preserve">the </w:t>
      </w:r>
      <w:r>
        <w:t xml:space="preserve">Victorian standard </w:t>
      </w:r>
      <w:r w:rsidR="001E27A2">
        <w:t>C</w:t>
      </w:r>
      <w:r>
        <w:t xml:space="preserve">hart </w:t>
      </w:r>
      <w:r w:rsidR="001E27A2">
        <w:t>O</w:t>
      </w:r>
      <w:r>
        <w:t>f</w:t>
      </w:r>
      <w:r w:rsidR="001E27A2">
        <w:t xml:space="preserve"> A</w:t>
      </w:r>
      <w:r>
        <w:t xml:space="preserve">ccounts cost centres and account code lists. </w:t>
      </w:r>
    </w:p>
    <w:p w14:paraId="1ADFBDBD" w14:textId="4A26FCFC" w:rsidR="00C11D70" w:rsidRDefault="006A1179" w:rsidP="006A1179">
      <w:pPr>
        <w:pStyle w:val="Body"/>
      </w:pPr>
      <w:r>
        <w:t>Any lower-level analysis can be derived from details through the individual cost centre and account codes.</w:t>
      </w:r>
    </w:p>
    <w:p w14:paraId="54C427A9" w14:textId="4DF5E829" w:rsidR="009D3F5E" w:rsidRPr="002365B4" w:rsidRDefault="009D3F5E" w:rsidP="006A1179">
      <w:pPr>
        <w:pStyle w:val="Body"/>
      </w:pPr>
      <w:r>
        <w:t>Resource categories (or cost buckets) are used as the main level for interpreting allocated costs to activities. The types of categories may be derived differently</w:t>
      </w:r>
      <w:r w:rsidR="00FA26FB">
        <w:t xml:space="preserve"> from health service</w:t>
      </w:r>
      <w:r w:rsidR="00F07EB3">
        <w:t>,</w:t>
      </w:r>
      <w:r w:rsidR="00FA26FB">
        <w:t xml:space="preserve"> the department</w:t>
      </w:r>
      <w:r w:rsidR="00F07EB3">
        <w:t xml:space="preserve">, nationally and internationally </w:t>
      </w:r>
      <w:r w:rsidR="00FA26FB">
        <w:t xml:space="preserve">depending on its intended use and groups required. </w:t>
      </w:r>
    </w:p>
    <w:p w14:paraId="07078095" w14:textId="69846D11" w:rsidR="00ED7762" w:rsidRPr="00B57329" w:rsidRDefault="003B6BBF" w:rsidP="00B94C5E">
      <w:pPr>
        <w:pStyle w:val="Heading1"/>
      </w:pPr>
      <w:bookmarkStart w:id="3" w:name="_Toc144897046"/>
      <w:r w:rsidRPr="003B6BBF">
        <w:t>Purpose</w:t>
      </w:r>
      <w:bookmarkEnd w:id="3"/>
      <w:r w:rsidR="00ED7762">
        <w:t xml:space="preserve"> </w:t>
      </w:r>
      <w:bookmarkStart w:id="4" w:name="_Hlk63948051"/>
    </w:p>
    <w:bookmarkEnd w:id="4"/>
    <w:p w14:paraId="73CADF99" w14:textId="77777777" w:rsidR="004F0A05" w:rsidRDefault="004F0A05" w:rsidP="004F0A05">
      <w:pPr>
        <w:pStyle w:val="Body"/>
      </w:pPr>
      <w:r>
        <w:t>The purpose of the cost groups provides:</w:t>
      </w:r>
    </w:p>
    <w:p w14:paraId="5A030659" w14:textId="41177314" w:rsidR="004F0A05" w:rsidRDefault="004F0A05" w:rsidP="004F0A05">
      <w:pPr>
        <w:pStyle w:val="Body"/>
        <w:numPr>
          <w:ilvl w:val="0"/>
          <w:numId w:val="40"/>
        </w:numPr>
      </w:pPr>
      <w:r>
        <w:t xml:space="preserve">consistent interpretation of cost data for reporting, analysis, and benchmarking, </w:t>
      </w:r>
    </w:p>
    <w:p w14:paraId="48F0E9E4" w14:textId="42FC6C0A" w:rsidR="004F0A05" w:rsidRDefault="00073E3A" w:rsidP="004F0A05">
      <w:pPr>
        <w:pStyle w:val="Body"/>
        <w:numPr>
          <w:ilvl w:val="0"/>
          <w:numId w:val="40"/>
        </w:numPr>
      </w:pPr>
      <w:r>
        <w:t xml:space="preserve">improvement to the accuracy of allocated costs and ease of </w:t>
      </w:r>
      <w:r w:rsidR="004F0A05">
        <w:t>auditing,</w:t>
      </w:r>
      <w:r w:rsidR="004F0A05" w:rsidRPr="004F0A05">
        <w:t xml:space="preserve"> and</w:t>
      </w:r>
    </w:p>
    <w:p w14:paraId="45DC9B9C" w14:textId="650383E3" w:rsidR="009C245E" w:rsidRDefault="00B00F99" w:rsidP="004F0A05">
      <w:pPr>
        <w:pStyle w:val="Body"/>
        <w:numPr>
          <w:ilvl w:val="0"/>
          <w:numId w:val="40"/>
        </w:numPr>
      </w:pPr>
      <w:r>
        <w:t xml:space="preserve">provide </w:t>
      </w:r>
      <w:r w:rsidR="004F0A05">
        <w:t xml:space="preserve">hospitals a standard set of cost centres </w:t>
      </w:r>
      <w:r w:rsidR="00C11D70">
        <w:t xml:space="preserve">and account codes </w:t>
      </w:r>
      <w:r>
        <w:t>for</w:t>
      </w:r>
      <w:r w:rsidR="004F0A05">
        <w:t xml:space="preserve"> the product costing process thereby improving the consistency and comparability of the resultant cost data.</w:t>
      </w:r>
    </w:p>
    <w:p w14:paraId="0B2AD85F" w14:textId="026CE36D" w:rsidR="00B00F99" w:rsidRDefault="00B00F99" w:rsidP="00A71CE4">
      <w:pPr>
        <w:pStyle w:val="Heading1"/>
      </w:pPr>
      <w:bookmarkStart w:id="5" w:name="_Toc144897047"/>
      <w:r>
        <w:t>About the VCDC</w:t>
      </w:r>
      <w:bookmarkEnd w:id="5"/>
    </w:p>
    <w:p w14:paraId="1473FD16" w14:textId="77777777" w:rsidR="00B00F99" w:rsidRDefault="00B00F99" w:rsidP="00B00F99">
      <w:pPr>
        <w:pStyle w:val="Body"/>
      </w:pPr>
      <w:r>
        <w:t xml:space="preserve">The Victorian Cost Data Collection (VCDC) for the public sector, collected through the health services, is the primary data collection used in the development of funding models.  </w:t>
      </w:r>
    </w:p>
    <w:p w14:paraId="265D7FED" w14:textId="44B708DA" w:rsidR="00B00F99" w:rsidRDefault="00B00F99" w:rsidP="00B00F99">
      <w:pPr>
        <w:pStyle w:val="Body"/>
      </w:pPr>
      <w:r>
        <w:t>It is an annual and voluntary collection of public hospital data. To ensure it is robust, once submitted to the department, the VCDC undergoes extensive validation, quality assurance checks and reporting to allow benchmarking. Each yearly collection includes a reconciliation from the annual report to submission to the department and a data quality statement (DQS). The DQS is a signed declaration confirming adherence to the national and local requirements including the standards and acknowledging the validity and completeness of the data submitted.</w:t>
      </w:r>
    </w:p>
    <w:p w14:paraId="6B31595E" w14:textId="6D30CACC" w:rsidR="00B00F99" w:rsidRDefault="00B00F99" w:rsidP="00B00F99">
      <w:pPr>
        <w:pStyle w:val="Body"/>
      </w:pPr>
      <w:r>
        <w:t>The cost data is also used to:</w:t>
      </w:r>
    </w:p>
    <w:p w14:paraId="5F3E61AF" w14:textId="77777777" w:rsidR="00B00F99" w:rsidRDefault="00B00F99" w:rsidP="00B00F99">
      <w:pPr>
        <w:pStyle w:val="Body"/>
        <w:contextualSpacing/>
      </w:pPr>
      <w:r>
        <w:t>•</w:t>
      </w:r>
      <w:r>
        <w:tab/>
        <w:t>Refine the existing Victorian funding models</w:t>
      </w:r>
    </w:p>
    <w:p w14:paraId="77365E32" w14:textId="77777777" w:rsidR="00B00F99" w:rsidRDefault="00B00F99" w:rsidP="00B00F99">
      <w:pPr>
        <w:pStyle w:val="Body"/>
        <w:contextualSpacing/>
      </w:pPr>
      <w:r>
        <w:t>•</w:t>
      </w:r>
      <w:r>
        <w:tab/>
        <w:t>Assist in the development of future funding models</w:t>
      </w:r>
    </w:p>
    <w:p w14:paraId="7BC8AC61" w14:textId="77777777" w:rsidR="00B00F99" w:rsidRDefault="00B00F99" w:rsidP="00B00F99">
      <w:pPr>
        <w:pStyle w:val="Body"/>
        <w:contextualSpacing/>
      </w:pPr>
      <w:r>
        <w:t>•</w:t>
      </w:r>
      <w:r>
        <w:tab/>
        <w:t>Enable analysis of cost data across health services</w:t>
      </w:r>
    </w:p>
    <w:p w14:paraId="5C8A0E21" w14:textId="77777777" w:rsidR="00B00F99" w:rsidRDefault="00B00F99" w:rsidP="00B00F99">
      <w:pPr>
        <w:pStyle w:val="Body"/>
        <w:contextualSpacing/>
      </w:pPr>
      <w:r>
        <w:t>•</w:t>
      </w:r>
      <w:r>
        <w:tab/>
        <w:t>Inform development of budget proposals</w:t>
      </w:r>
    </w:p>
    <w:p w14:paraId="374D02CC" w14:textId="77777777" w:rsidR="00B00F99" w:rsidRDefault="00B00F99" w:rsidP="00B00F99">
      <w:pPr>
        <w:pStyle w:val="Body"/>
        <w:contextualSpacing/>
      </w:pPr>
      <w:r>
        <w:t>•</w:t>
      </w:r>
      <w:r>
        <w:tab/>
        <w:t>Analyse the cost of health care</w:t>
      </w:r>
    </w:p>
    <w:p w14:paraId="20711AC9" w14:textId="77777777" w:rsidR="00B00F99" w:rsidRDefault="00B00F99" w:rsidP="00B00F99">
      <w:pPr>
        <w:pStyle w:val="Body"/>
        <w:contextualSpacing/>
      </w:pPr>
      <w:r>
        <w:t>•</w:t>
      </w:r>
      <w:r>
        <w:tab/>
        <w:t>Perform comparative benchmarking</w:t>
      </w:r>
    </w:p>
    <w:p w14:paraId="2E1D6038" w14:textId="77777777" w:rsidR="00B00F99" w:rsidRDefault="00B00F99" w:rsidP="00B00F99">
      <w:pPr>
        <w:pStyle w:val="Body"/>
        <w:contextualSpacing/>
      </w:pPr>
      <w:r>
        <w:t>•</w:t>
      </w:r>
      <w:r>
        <w:tab/>
        <w:t>Inform best practice quality improvement initiatives and</w:t>
      </w:r>
    </w:p>
    <w:p w14:paraId="25B70075" w14:textId="224EA1CD" w:rsidR="00B00F99" w:rsidRDefault="00B00F99" w:rsidP="00B00F99">
      <w:pPr>
        <w:pStyle w:val="Body"/>
      </w:pPr>
      <w:r>
        <w:t>•</w:t>
      </w:r>
      <w:r>
        <w:tab/>
        <w:t>Meet the cost data requirements of the National Health Reform Agreement (NHRA), via the National Hospital Cost Data Collection (NHCDC).</w:t>
      </w:r>
    </w:p>
    <w:p w14:paraId="3DA1EA73" w14:textId="21C70C6C" w:rsidR="00B00F99" w:rsidRDefault="00B00F99" w:rsidP="00B00F99">
      <w:pPr>
        <w:pStyle w:val="Heading2"/>
      </w:pPr>
      <w:bookmarkStart w:id="6" w:name="_Toc144897048"/>
      <w:r>
        <w:t>National requirement</w:t>
      </w:r>
      <w:bookmarkEnd w:id="6"/>
    </w:p>
    <w:p w14:paraId="6365767E" w14:textId="77777777" w:rsidR="00B00F99" w:rsidRDefault="00B00F99" w:rsidP="00B00F99">
      <w:pPr>
        <w:pStyle w:val="Body"/>
      </w:pPr>
      <w:r>
        <w:t xml:space="preserve">As part of the NHRA, Victoria uses the VCDC as the base data for submission to the Independent Hospital Pricing Authority’s (IHPA) NHCDC. </w:t>
      </w:r>
    </w:p>
    <w:p w14:paraId="6C345E1A" w14:textId="467FAD8B" w:rsidR="00B00F99" w:rsidRPr="00B00F99" w:rsidRDefault="00B00F99" w:rsidP="00B00F99">
      <w:pPr>
        <w:pStyle w:val="Body"/>
      </w:pPr>
      <w:r>
        <w:t>The NHCDC collects patient level cost data across the Commonwealth for the purposes of calculating national cost weights and determining the National Efficient Price (NEP) and National Efficient Cost (NEC).</w:t>
      </w:r>
    </w:p>
    <w:p w14:paraId="08E3119E" w14:textId="2C2B10A8" w:rsidR="00C133EE" w:rsidRDefault="00F07EB3" w:rsidP="00A71CE4">
      <w:pPr>
        <w:pStyle w:val="Heading1"/>
      </w:pPr>
      <w:bookmarkStart w:id="7" w:name="_Toc144897049"/>
      <w:r>
        <w:t>Objective</w:t>
      </w:r>
      <w:r w:rsidR="00B00F99">
        <w:t xml:space="preserve"> of costing</w:t>
      </w:r>
      <w:bookmarkEnd w:id="7"/>
    </w:p>
    <w:p w14:paraId="5643FC77" w14:textId="77777777" w:rsidR="00B00F99" w:rsidRDefault="00B00F99" w:rsidP="00B00F99">
      <w:pPr>
        <w:pStyle w:val="Body"/>
      </w:pPr>
      <w:r>
        <w:t>Victorian public hospitals are required to report costs for all hospital activity, regardless of funding source, and are expected to maintain patient level costing systems that monitor service provision to patients and determine accurate patient-level costs. Health services report costed data annually to the Victorian Cost Data Collection (VCDC).</w:t>
      </w:r>
    </w:p>
    <w:p w14:paraId="093941AB" w14:textId="7498E7D4" w:rsidR="00B00F99" w:rsidRDefault="00B00F99" w:rsidP="00B00F99">
      <w:pPr>
        <w:pStyle w:val="Body"/>
      </w:pPr>
      <w:r>
        <w:t xml:space="preserve">The collection acquires cost data from metropolitan, regional, and sub-regional health services as per the Victorian health policy and funding guidelines. </w:t>
      </w:r>
    </w:p>
    <w:p w14:paraId="113225C2" w14:textId="4C60399A" w:rsidR="009D3F5E" w:rsidRDefault="009D3F5E" w:rsidP="00AF7397">
      <w:pPr>
        <w:pStyle w:val="Body"/>
      </w:pPr>
      <w:r w:rsidRPr="009D3F5E">
        <w:t xml:space="preserve">To understand the resource usage of a health services’ activities and assist in measuring their attributes, all expenditure is to be allocated to the appropriate patients. That is, all expenses in the finance general ledger system that has been used in delivering the care to patients, regardless of any funding source, </w:t>
      </w:r>
      <w:r>
        <w:t>is to</w:t>
      </w:r>
      <w:r w:rsidRPr="009D3F5E">
        <w:t xml:space="preserve"> be </w:t>
      </w:r>
      <w:r w:rsidR="008713EB">
        <w:t>included in the cost general ledger and allocated</w:t>
      </w:r>
      <w:r w:rsidRPr="009D3F5E">
        <w:t>. However, to ensure that the patients resource usage reflect full cost recovery, the inclusion of expenses which are incurred on behalf of an organisation by a third party</w:t>
      </w:r>
      <w:r>
        <w:rPr>
          <w:rStyle w:val="FootnoteReference"/>
        </w:rPr>
        <w:footnoteReference w:id="1"/>
      </w:r>
      <w:r w:rsidRPr="009D3F5E">
        <w:t>, that directly contribute to delivery of that organisation’s services, are also included in the cost ledger.</w:t>
      </w:r>
    </w:p>
    <w:p w14:paraId="6809379E" w14:textId="7B30A284" w:rsidR="00FE2E56" w:rsidRPr="00FE2E56" w:rsidRDefault="00FE2E56" w:rsidP="00FE2E56">
      <w:pPr>
        <w:pStyle w:val="Body"/>
        <w:sectPr w:rsidR="00FE2E56" w:rsidRPr="00FE2E56" w:rsidSect="00454A7D">
          <w:headerReference w:type="even" r:id="rId19"/>
          <w:headerReference w:type="default" r:id="rId20"/>
          <w:footerReference w:type="even" r:id="rId21"/>
          <w:footerReference w:type="default" r:id="rId22"/>
          <w:pgSz w:w="11906" w:h="16838" w:code="9"/>
          <w:pgMar w:top="1418" w:right="1304" w:bottom="1134" w:left="1304" w:header="680" w:footer="851" w:gutter="0"/>
          <w:cols w:space="340"/>
          <w:titlePg/>
          <w:docGrid w:linePitch="360"/>
        </w:sectPr>
      </w:pPr>
      <w:r>
        <w:t>The resource  categories have evolved  since their inception</w:t>
      </w:r>
      <w:r w:rsidR="003170FE">
        <w:t xml:space="preserve"> to take into consideration changes in reporting requirements, a need to expand groups of costs or identify certain types of costs. When using comparative data spanning several years, all prior year resource categories have been remapped to the most recent groupings. This ensures comparisons can be consistently applied.</w:t>
      </w:r>
    </w:p>
    <w:p w14:paraId="3A73F289" w14:textId="129677A8" w:rsidR="00887246" w:rsidRDefault="00C14B32" w:rsidP="008713EB">
      <w:pPr>
        <w:pStyle w:val="Heading1"/>
      </w:pPr>
      <w:bookmarkStart w:id="8" w:name="_Toc144897050"/>
      <w:r>
        <w:t>What is used to derive the categories</w:t>
      </w:r>
      <w:r w:rsidR="00660E73">
        <w:t>?</w:t>
      </w:r>
      <w:bookmarkEnd w:id="8"/>
    </w:p>
    <w:p w14:paraId="46BEA420" w14:textId="102D3683" w:rsidR="003651F5" w:rsidRDefault="00A35EF9" w:rsidP="00887246">
      <w:pPr>
        <w:pStyle w:val="Heading2"/>
      </w:pPr>
      <w:bookmarkStart w:id="9" w:name="_Toc144897051"/>
      <w:r>
        <w:t>Using the c</w:t>
      </w:r>
      <w:r w:rsidR="008713EB">
        <w:t>ost general ledger</w:t>
      </w:r>
      <w:bookmarkEnd w:id="9"/>
    </w:p>
    <w:p w14:paraId="6C610B9E" w14:textId="284299F0" w:rsidR="007322C0" w:rsidRDefault="007322C0" w:rsidP="00AF7397">
      <w:pPr>
        <w:pStyle w:val="Body"/>
      </w:pPr>
      <w:r w:rsidRPr="007322C0">
        <w:t xml:space="preserve">The cost ledger transforms the organisation’s </w:t>
      </w:r>
      <w:r w:rsidR="00660E73">
        <w:t xml:space="preserve">financial </w:t>
      </w:r>
      <w:r w:rsidRPr="007322C0">
        <w:t xml:space="preserve">general ledger to structure financial information in a way that enables </w:t>
      </w:r>
      <w:r w:rsidR="006D5633">
        <w:t xml:space="preserve">patient level </w:t>
      </w:r>
      <w:r w:rsidRPr="007322C0">
        <w:t xml:space="preserve">costing. The cost ledger thus provides the framework for relating the organisations expenses to </w:t>
      </w:r>
      <w:r w:rsidR="006D5633">
        <w:t>utilisation</w:t>
      </w:r>
      <w:r w:rsidRPr="007322C0">
        <w:t xml:space="preserve"> for the purpose of </w:t>
      </w:r>
      <w:r w:rsidR="006D5633">
        <w:t>patient level</w:t>
      </w:r>
      <w:r w:rsidRPr="007322C0">
        <w:t xml:space="preserve"> costing. The key principle supporting this framework is the concept of matching expenses to </w:t>
      </w:r>
      <w:r w:rsidR="00887246">
        <w:t xml:space="preserve">the services consumed by patients </w:t>
      </w:r>
      <w:r w:rsidRPr="007322C0">
        <w:t xml:space="preserve">in a way that emphasises the </w:t>
      </w:r>
      <w:r w:rsidR="00660E73">
        <w:t>interr</w:t>
      </w:r>
      <w:r w:rsidRPr="007322C0">
        <w:t xml:space="preserve">elationship between the expense and the </w:t>
      </w:r>
      <w:r w:rsidR="00660E73">
        <w:t>services consumed</w:t>
      </w:r>
      <w:r w:rsidRPr="007322C0">
        <w:t>.</w:t>
      </w:r>
    </w:p>
    <w:p w14:paraId="41F72EEE" w14:textId="574CA8BC" w:rsidR="00AA5B13" w:rsidRDefault="00AA5B13" w:rsidP="00AF7397">
      <w:pPr>
        <w:pStyle w:val="Body"/>
      </w:pPr>
      <w:r>
        <w:t xml:space="preserve">The costing general ledger uses the cost centre and account codes to define the structure that is used in the derivation of the resource categories. </w:t>
      </w:r>
      <w:r w:rsidRPr="00AA5B13">
        <w:t>The types of services/departments and their expenses are obtained from the general ledger where the Chart of Account structure is maintained.</w:t>
      </w:r>
    </w:p>
    <w:p w14:paraId="6403C680" w14:textId="0F147695" w:rsidR="00AA5B13" w:rsidRDefault="00AA5B13" w:rsidP="00AA5B13">
      <w:pPr>
        <w:pStyle w:val="Heading3"/>
      </w:pPr>
      <w:r>
        <w:t>Cost centres</w:t>
      </w:r>
    </w:p>
    <w:p w14:paraId="23CDA8BE" w14:textId="66D94FE8" w:rsidR="006D5633" w:rsidRDefault="000A49A0" w:rsidP="00AF7397">
      <w:pPr>
        <w:pStyle w:val="Body"/>
      </w:pPr>
      <w:r>
        <w:t xml:space="preserve">A cost centre </w:t>
      </w:r>
      <w:r w:rsidRPr="000A49A0">
        <w:t>is a business unit that is only responsible for the costs that it incurs.</w:t>
      </w:r>
      <w:r>
        <w:t xml:space="preserve"> </w:t>
      </w:r>
      <w:r w:rsidR="00AF7397">
        <w:t>The</w:t>
      </w:r>
      <w:r>
        <w:t>se</w:t>
      </w:r>
      <w:r w:rsidR="00AF7397">
        <w:t xml:space="preserve"> are generally grouped into cost areas (or departments) to reflect the appropriate role of the service. </w:t>
      </w:r>
      <w:r w:rsidR="00AA5B13">
        <w:t xml:space="preserve">For example, cost centres within the ranges </w:t>
      </w:r>
      <w:r w:rsidR="00AA5B13" w:rsidRPr="00AA5B13">
        <w:t>Y0002 - Y0030</w:t>
      </w:r>
      <w:r w:rsidR="00AA5B13">
        <w:t xml:space="preserve"> would be grouped as area Anatomical Pathology. </w:t>
      </w:r>
      <w:r w:rsidR="00AF7397">
        <w:t xml:space="preserve">These are further categorised as either direct (patient care) area or overhead (indirect) area. </w:t>
      </w:r>
    </w:p>
    <w:p w14:paraId="02CE66A6" w14:textId="0D4FDE0D" w:rsidR="006D5633" w:rsidRDefault="006D5633" w:rsidP="00AF7397">
      <w:pPr>
        <w:pStyle w:val="Body"/>
      </w:pPr>
      <w:r>
        <w:t>Reporting these areas to the VCDC is by the grouped cost centre code, that is</w:t>
      </w:r>
      <w:r w:rsidR="009C5EBB">
        <w:t>,</w:t>
      </w:r>
      <w:r>
        <w:t xml:space="preserve"> in the example above the grouped code may be Y0002 which will include all the cost centres with the range of Y0002 – Y0030.</w:t>
      </w:r>
    </w:p>
    <w:p w14:paraId="5C5229C4" w14:textId="77777777" w:rsidR="00541C4C" w:rsidRDefault="006D5633" w:rsidP="00AF7397">
      <w:pPr>
        <w:pStyle w:val="Body"/>
      </w:pPr>
      <w:r>
        <w:t xml:space="preserve">Each area is then assigned </w:t>
      </w:r>
      <w:r w:rsidR="00541C4C">
        <w:t xml:space="preserve">to a generic group identifying the type of service known </w:t>
      </w:r>
      <w:r>
        <w:t>a</w:t>
      </w:r>
      <w:r w:rsidR="00541C4C">
        <w:t>s a</w:t>
      </w:r>
      <w:r>
        <w:t xml:space="preserve"> service cost group</w:t>
      </w:r>
      <w:r w:rsidR="00541C4C">
        <w:t>. These could be either:</w:t>
      </w:r>
      <w:r w:rsidR="00541C4C" w:rsidRPr="00541C4C">
        <w:t xml:space="preserve">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967"/>
      </w:tblGrid>
      <w:tr w:rsidR="001C3AE6" w:rsidRPr="001C3AE6" w14:paraId="0EBE0997" w14:textId="77777777" w:rsidTr="001C3AE6">
        <w:trPr>
          <w:trHeight w:val="300"/>
        </w:trPr>
        <w:tc>
          <w:tcPr>
            <w:tcW w:w="1500" w:type="dxa"/>
            <w:shd w:val="clear" w:color="auto" w:fill="auto"/>
            <w:noWrap/>
            <w:hideMark/>
          </w:tcPr>
          <w:p w14:paraId="7F97768D"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AlliedHealth</w:t>
            </w:r>
          </w:p>
        </w:tc>
        <w:tc>
          <w:tcPr>
            <w:tcW w:w="8020" w:type="dxa"/>
            <w:shd w:val="clear" w:color="auto" w:fill="auto"/>
            <w:hideMark/>
          </w:tcPr>
          <w:p w14:paraId="70ABED5D"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 allied health services</w:t>
            </w:r>
          </w:p>
        </w:tc>
      </w:tr>
      <w:tr w:rsidR="001C3AE6" w:rsidRPr="001C3AE6" w14:paraId="6418FC0D" w14:textId="77777777" w:rsidTr="001C3AE6">
        <w:trPr>
          <w:trHeight w:val="300"/>
        </w:trPr>
        <w:tc>
          <w:tcPr>
            <w:tcW w:w="1500" w:type="dxa"/>
            <w:shd w:val="clear" w:color="auto" w:fill="auto"/>
            <w:noWrap/>
            <w:hideMark/>
          </w:tcPr>
          <w:p w14:paraId="2B82A2A0"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CCU</w:t>
            </w:r>
          </w:p>
        </w:tc>
        <w:tc>
          <w:tcPr>
            <w:tcW w:w="8020" w:type="dxa"/>
            <w:shd w:val="clear" w:color="auto" w:fill="auto"/>
            <w:hideMark/>
          </w:tcPr>
          <w:p w14:paraId="4DA59384"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Coronary Care Unit</w:t>
            </w:r>
          </w:p>
        </w:tc>
      </w:tr>
      <w:tr w:rsidR="001C3AE6" w:rsidRPr="001C3AE6" w14:paraId="6C2CBD18" w14:textId="77777777" w:rsidTr="001C3AE6">
        <w:trPr>
          <w:trHeight w:val="300"/>
        </w:trPr>
        <w:tc>
          <w:tcPr>
            <w:tcW w:w="1500" w:type="dxa"/>
            <w:shd w:val="clear" w:color="auto" w:fill="auto"/>
            <w:noWrap/>
            <w:hideMark/>
          </w:tcPr>
          <w:p w14:paraId="2D8A7B6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ED</w:t>
            </w:r>
          </w:p>
        </w:tc>
        <w:tc>
          <w:tcPr>
            <w:tcW w:w="8020" w:type="dxa"/>
            <w:shd w:val="clear" w:color="auto" w:fill="auto"/>
            <w:hideMark/>
          </w:tcPr>
          <w:p w14:paraId="34AD01D9"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Emergency department including Urgent Care Centres, Short Stay Units</w:t>
            </w:r>
          </w:p>
        </w:tc>
      </w:tr>
      <w:tr w:rsidR="001C3AE6" w:rsidRPr="001C3AE6" w14:paraId="631C19AE" w14:textId="77777777" w:rsidTr="001C3AE6">
        <w:trPr>
          <w:trHeight w:val="300"/>
        </w:trPr>
        <w:tc>
          <w:tcPr>
            <w:tcW w:w="1500" w:type="dxa"/>
            <w:shd w:val="clear" w:color="auto" w:fill="auto"/>
            <w:noWrap/>
            <w:hideMark/>
          </w:tcPr>
          <w:p w14:paraId="0B5F24B4"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ICU</w:t>
            </w:r>
          </w:p>
        </w:tc>
        <w:tc>
          <w:tcPr>
            <w:tcW w:w="8020" w:type="dxa"/>
            <w:shd w:val="clear" w:color="auto" w:fill="auto"/>
            <w:hideMark/>
          </w:tcPr>
          <w:p w14:paraId="5C0FBEEB"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Intensive Care Unit including High dependency Units</w:t>
            </w:r>
          </w:p>
        </w:tc>
      </w:tr>
      <w:tr w:rsidR="001C3AE6" w:rsidRPr="001C3AE6" w14:paraId="4E343658" w14:textId="77777777" w:rsidTr="001C3AE6">
        <w:trPr>
          <w:trHeight w:val="300"/>
        </w:trPr>
        <w:tc>
          <w:tcPr>
            <w:tcW w:w="1500" w:type="dxa"/>
            <w:shd w:val="clear" w:color="auto" w:fill="auto"/>
            <w:noWrap/>
            <w:hideMark/>
          </w:tcPr>
          <w:p w14:paraId="48122005"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Imaging</w:t>
            </w:r>
          </w:p>
        </w:tc>
        <w:tc>
          <w:tcPr>
            <w:tcW w:w="8020" w:type="dxa"/>
            <w:shd w:val="clear" w:color="auto" w:fill="auto"/>
            <w:hideMark/>
          </w:tcPr>
          <w:p w14:paraId="7A634AA9"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 imaging services</w:t>
            </w:r>
          </w:p>
        </w:tc>
      </w:tr>
      <w:tr w:rsidR="001C3AE6" w:rsidRPr="001C3AE6" w14:paraId="0F6E5B83" w14:textId="77777777" w:rsidTr="001C3AE6">
        <w:trPr>
          <w:trHeight w:val="300"/>
        </w:trPr>
        <w:tc>
          <w:tcPr>
            <w:tcW w:w="1500" w:type="dxa"/>
            <w:shd w:val="clear" w:color="auto" w:fill="auto"/>
            <w:noWrap/>
            <w:hideMark/>
          </w:tcPr>
          <w:p w14:paraId="4415BF09"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Medical</w:t>
            </w:r>
          </w:p>
        </w:tc>
        <w:tc>
          <w:tcPr>
            <w:tcW w:w="8020" w:type="dxa"/>
            <w:shd w:val="clear" w:color="auto" w:fill="auto"/>
            <w:hideMark/>
          </w:tcPr>
          <w:p w14:paraId="114E99C9"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 medical and surgical specialties</w:t>
            </w:r>
          </w:p>
        </w:tc>
      </w:tr>
      <w:tr w:rsidR="001C3AE6" w:rsidRPr="001C3AE6" w14:paraId="162B58A4" w14:textId="77777777" w:rsidTr="001C3AE6">
        <w:trPr>
          <w:trHeight w:val="300"/>
        </w:trPr>
        <w:tc>
          <w:tcPr>
            <w:tcW w:w="1500" w:type="dxa"/>
            <w:shd w:val="clear" w:color="auto" w:fill="auto"/>
            <w:noWrap/>
            <w:hideMark/>
          </w:tcPr>
          <w:p w14:paraId="17B95981"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Nursing</w:t>
            </w:r>
          </w:p>
        </w:tc>
        <w:tc>
          <w:tcPr>
            <w:tcW w:w="8020" w:type="dxa"/>
            <w:shd w:val="clear" w:color="auto" w:fill="auto"/>
            <w:hideMark/>
          </w:tcPr>
          <w:p w14:paraId="3CAB6415"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 wards and nurse related areas including patient catering</w:t>
            </w:r>
          </w:p>
        </w:tc>
      </w:tr>
      <w:tr w:rsidR="001C3AE6" w:rsidRPr="001C3AE6" w14:paraId="6DB53AEF" w14:textId="77777777" w:rsidTr="001C3AE6">
        <w:trPr>
          <w:trHeight w:val="600"/>
        </w:trPr>
        <w:tc>
          <w:tcPr>
            <w:tcW w:w="1500" w:type="dxa"/>
            <w:shd w:val="clear" w:color="auto" w:fill="auto"/>
            <w:noWrap/>
            <w:hideMark/>
          </w:tcPr>
          <w:p w14:paraId="17F44B5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Other</w:t>
            </w:r>
          </w:p>
        </w:tc>
        <w:tc>
          <w:tcPr>
            <w:tcW w:w="8020" w:type="dxa"/>
            <w:shd w:val="clear" w:color="auto" w:fill="auto"/>
            <w:hideMark/>
          </w:tcPr>
          <w:p w14:paraId="11FB388D"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 other programs such as Mental Health Services incl RACS, Aged Care Services, Primary Health, Other Programs, Research</w:t>
            </w:r>
          </w:p>
        </w:tc>
      </w:tr>
      <w:tr w:rsidR="001C3AE6" w:rsidRPr="001C3AE6" w14:paraId="33CF799F" w14:textId="77777777" w:rsidTr="001C3AE6">
        <w:trPr>
          <w:trHeight w:val="300"/>
        </w:trPr>
        <w:tc>
          <w:tcPr>
            <w:tcW w:w="1500" w:type="dxa"/>
            <w:shd w:val="clear" w:color="auto" w:fill="auto"/>
            <w:noWrap/>
            <w:hideMark/>
          </w:tcPr>
          <w:p w14:paraId="5CA2C820"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Pathology</w:t>
            </w:r>
          </w:p>
        </w:tc>
        <w:tc>
          <w:tcPr>
            <w:tcW w:w="8020" w:type="dxa"/>
            <w:shd w:val="clear" w:color="auto" w:fill="auto"/>
            <w:hideMark/>
          </w:tcPr>
          <w:p w14:paraId="6BE463A4"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 pathology services</w:t>
            </w:r>
          </w:p>
        </w:tc>
      </w:tr>
      <w:tr w:rsidR="001C3AE6" w:rsidRPr="001C3AE6" w14:paraId="29C846DB" w14:textId="77777777" w:rsidTr="001C3AE6">
        <w:trPr>
          <w:trHeight w:val="300"/>
        </w:trPr>
        <w:tc>
          <w:tcPr>
            <w:tcW w:w="1500" w:type="dxa"/>
            <w:shd w:val="clear" w:color="auto" w:fill="auto"/>
            <w:noWrap/>
            <w:hideMark/>
          </w:tcPr>
          <w:p w14:paraId="3979AA1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Pharmacy</w:t>
            </w:r>
          </w:p>
        </w:tc>
        <w:tc>
          <w:tcPr>
            <w:tcW w:w="8020" w:type="dxa"/>
            <w:shd w:val="clear" w:color="auto" w:fill="auto"/>
            <w:hideMark/>
          </w:tcPr>
          <w:p w14:paraId="0B7F32B0"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 pharmacy services</w:t>
            </w:r>
          </w:p>
        </w:tc>
      </w:tr>
      <w:tr w:rsidR="001C3AE6" w:rsidRPr="001C3AE6" w14:paraId="4CFEB839" w14:textId="77777777" w:rsidTr="001C3AE6">
        <w:trPr>
          <w:trHeight w:val="300"/>
        </w:trPr>
        <w:tc>
          <w:tcPr>
            <w:tcW w:w="1500" w:type="dxa"/>
            <w:shd w:val="clear" w:color="auto" w:fill="auto"/>
            <w:noWrap/>
            <w:hideMark/>
          </w:tcPr>
          <w:p w14:paraId="03530CE3"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TheatreNonOR</w:t>
            </w:r>
          </w:p>
        </w:tc>
        <w:tc>
          <w:tcPr>
            <w:tcW w:w="8020" w:type="dxa"/>
            <w:shd w:val="clear" w:color="auto" w:fill="auto"/>
            <w:hideMark/>
          </w:tcPr>
          <w:p w14:paraId="24222553" w14:textId="77777777" w:rsidR="001C3AE6" w:rsidRPr="001C3AE6" w:rsidRDefault="001C3AE6" w:rsidP="001C3AE6">
            <w:pPr>
              <w:spacing w:after="0" w:line="240" w:lineRule="auto"/>
              <w:rPr>
                <w:rFonts w:cs="Arial"/>
                <w:color w:val="000000"/>
                <w:szCs w:val="21"/>
                <w:lang w:eastAsia="en-AU"/>
              </w:rPr>
            </w:pPr>
            <w:r w:rsidRPr="001C3AE6">
              <w:rPr>
                <w:rFonts w:cs="Arial"/>
                <w:color w:val="000000"/>
                <w:szCs w:val="21"/>
                <w:lang w:eastAsia="en-AU"/>
              </w:rPr>
              <w:t>all Theatre non-operating room services</w:t>
            </w:r>
          </w:p>
        </w:tc>
      </w:tr>
      <w:tr w:rsidR="001C3AE6" w:rsidRPr="001C3AE6" w14:paraId="2500B77F" w14:textId="77777777" w:rsidTr="001C3AE6">
        <w:trPr>
          <w:trHeight w:val="300"/>
        </w:trPr>
        <w:tc>
          <w:tcPr>
            <w:tcW w:w="1500" w:type="dxa"/>
            <w:shd w:val="clear" w:color="auto" w:fill="auto"/>
            <w:noWrap/>
            <w:hideMark/>
          </w:tcPr>
          <w:p w14:paraId="62EE2FBB"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TheatreOR</w:t>
            </w:r>
          </w:p>
        </w:tc>
        <w:tc>
          <w:tcPr>
            <w:tcW w:w="8020" w:type="dxa"/>
            <w:shd w:val="clear" w:color="auto" w:fill="auto"/>
            <w:hideMark/>
          </w:tcPr>
          <w:p w14:paraId="66AA0EA5"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 operating room</w:t>
            </w:r>
          </w:p>
        </w:tc>
      </w:tr>
      <w:tr w:rsidR="001C3AE6" w:rsidRPr="001C3AE6" w14:paraId="3F3A219D" w14:textId="77777777" w:rsidTr="001C3AE6">
        <w:trPr>
          <w:trHeight w:val="300"/>
        </w:trPr>
        <w:tc>
          <w:tcPr>
            <w:tcW w:w="1500" w:type="dxa"/>
            <w:shd w:val="clear" w:color="auto" w:fill="auto"/>
            <w:noWrap/>
            <w:hideMark/>
          </w:tcPr>
          <w:p w14:paraId="278C37AA"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HITH</w:t>
            </w:r>
          </w:p>
        </w:tc>
        <w:tc>
          <w:tcPr>
            <w:tcW w:w="8020" w:type="dxa"/>
            <w:shd w:val="clear" w:color="auto" w:fill="auto"/>
            <w:hideMark/>
          </w:tcPr>
          <w:p w14:paraId="494034E5"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Hospital in the Home</w:t>
            </w:r>
          </w:p>
        </w:tc>
      </w:tr>
      <w:tr w:rsidR="001C3AE6" w:rsidRPr="001C3AE6" w14:paraId="6393790A" w14:textId="77777777" w:rsidTr="001C3AE6">
        <w:trPr>
          <w:trHeight w:val="300"/>
        </w:trPr>
        <w:tc>
          <w:tcPr>
            <w:tcW w:w="1500" w:type="dxa"/>
            <w:shd w:val="clear" w:color="auto" w:fill="auto"/>
            <w:noWrap/>
            <w:hideMark/>
          </w:tcPr>
          <w:p w14:paraId="34285782"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PNDC</w:t>
            </w:r>
          </w:p>
        </w:tc>
        <w:tc>
          <w:tcPr>
            <w:tcW w:w="8020" w:type="dxa"/>
            <w:shd w:val="clear" w:color="auto" w:fill="auto"/>
            <w:hideMark/>
          </w:tcPr>
          <w:p w14:paraId="0AB1D70B" w14:textId="59D6A222"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Post-natal domiciliary care</w:t>
            </w:r>
          </w:p>
        </w:tc>
      </w:tr>
      <w:tr w:rsidR="001C3AE6" w:rsidRPr="001C3AE6" w14:paraId="6FF72654" w14:textId="77777777" w:rsidTr="001C3AE6">
        <w:trPr>
          <w:trHeight w:val="300"/>
        </w:trPr>
        <w:tc>
          <w:tcPr>
            <w:tcW w:w="1500" w:type="dxa"/>
            <w:shd w:val="clear" w:color="auto" w:fill="auto"/>
            <w:noWrap/>
            <w:hideMark/>
          </w:tcPr>
          <w:p w14:paraId="2B976FBE"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PROS</w:t>
            </w:r>
          </w:p>
        </w:tc>
        <w:tc>
          <w:tcPr>
            <w:tcW w:w="8020" w:type="dxa"/>
            <w:shd w:val="clear" w:color="auto" w:fill="auto"/>
            <w:hideMark/>
          </w:tcPr>
          <w:p w14:paraId="6BA69035"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prostheses</w:t>
            </w:r>
          </w:p>
        </w:tc>
      </w:tr>
      <w:tr w:rsidR="001C3AE6" w:rsidRPr="001C3AE6" w14:paraId="64F3CB51" w14:textId="77777777" w:rsidTr="001C3AE6">
        <w:trPr>
          <w:trHeight w:val="300"/>
        </w:trPr>
        <w:tc>
          <w:tcPr>
            <w:tcW w:w="1500" w:type="dxa"/>
            <w:shd w:val="clear" w:color="auto" w:fill="auto"/>
            <w:noWrap/>
            <w:hideMark/>
          </w:tcPr>
          <w:p w14:paraId="77866610"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NBA</w:t>
            </w:r>
          </w:p>
        </w:tc>
        <w:tc>
          <w:tcPr>
            <w:tcW w:w="8020" w:type="dxa"/>
            <w:shd w:val="clear" w:color="auto" w:fill="auto"/>
            <w:hideMark/>
          </w:tcPr>
          <w:p w14:paraId="7A067642"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National Blood Authority blood products</w:t>
            </w:r>
          </w:p>
        </w:tc>
      </w:tr>
      <w:tr w:rsidR="001C3AE6" w:rsidRPr="001C3AE6" w14:paraId="73329920" w14:textId="77777777" w:rsidTr="001C3AE6">
        <w:trPr>
          <w:trHeight w:val="300"/>
        </w:trPr>
        <w:tc>
          <w:tcPr>
            <w:tcW w:w="1500" w:type="dxa"/>
            <w:shd w:val="clear" w:color="auto" w:fill="auto"/>
            <w:noWrap/>
            <w:hideMark/>
          </w:tcPr>
          <w:p w14:paraId="77CBE0AD"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ExclCap</w:t>
            </w:r>
          </w:p>
        </w:tc>
        <w:tc>
          <w:tcPr>
            <w:tcW w:w="8020" w:type="dxa"/>
            <w:shd w:val="clear" w:color="auto" w:fill="auto"/>
            <w:hideMark/>
          </w:tcPr>
          <w:p w14:paraId="63774F85"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 capital expenses excluded</w:t>
            </w:r>
          </w:p>
        </w:tc>
      </w:tr>
      <w:tr w:rsidR="001C3AE6" w:rsidRPr="001C3AE6" w14:paraId="0F9BF44F" w14:textId="77777777" w:rsidTr="001C3AE6">
        <w:trPr>
          <w:trHeight w:val="300"/>
        </w:trPr>
        <w:tc>
          <w:tcPr>
            <w:tcW w:w="1500" w:type="dxa"/>
            <w:shd w:val="clear" w:color="auto" w:fill="auto"/>
            <w:noWrap/>
            <w:hideMark/>
          </w:tcPr>
          <w:p w14:paraId="77294B7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ExclOth</w:t>
            </w:r>
          </w:p>
        </w:tc>
        <w:tc>
          <w:tcPr>
            <w:tcW w:w="8020" w:type="dxa"/>
            <w:shd w:val="clear" w:color="auto" w:fill="auto"/>
            <w:hideMark/>
          </w:tcPr>
          <w:p w14:paraId="06413BB3"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specific items and special purpose funds</w:t>
            </w:r>
          </w:p>
        </w:tc>
      </w:tr>
      <w:tr w:rsidR="001C3AE6" w:rsidRPr="001C3AE6" w14:paraId="2C93CBF4" w14:textId="77777777" w:rsidTr="001C3AE6">
        <w:trPr>
          <w:trHeight w:val="300"/>
        </w:trPr>
        <w:tc>
          <w:tcPr>
            <w:tcW w:w="1500" w:type="dxa"/>
            <w:shd w:val="clear" w:color="auto" w:fill="auto"/>
            <w:noWrap/>
            <w:hideMark/>
          </w:tcPr>
          <w:p w14:paraId="6CF8299A"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COVID</w:t>
            </w:r>
          </w:p>
        </w:tc>
        <w:tc>
          <w:tcPr>
            <w:tcW w:w="8020" w:type="dxa"/>
            <w:shd w:val="clear" w:color="auto" w:fill="auto"/>
            <w:hideMark/>
          </w:tcPr>
          <w:p w14:paraId="0760EDEA"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 patient care areas related to treating COVID</w:t>
            </w:r>
          </w:p>
        </w:tc>
      </w:tr>
      <w:tr w:rsidR="001C3AE6" w:rsidRPr="001C3AE6" w14:paraId="138C1F94" w14:textId="77777777" w:rsidTr="001C3AE6">
        <w:trPr>
          <w:trHeight w:val="300"/>
        </w:trPr>
        <w:tc>
          <w:tcPr>
            <w:tcW w:w="1500" w:type="dxa"/>
            <w:shd w:val="clear" w:color="auto" w:fill="auto"/>
            <w:noWrap/>
            <w:hideMark/>
          </w:tcPr>
          <w:p w14:paraId="3D040DFB"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COVIDex</w:t>
            </w:r>
          </w:p>
        </w:tc>
        <w:tc>
          <w:tcPr>
            <w:tcW w:w="8020" w:type="dxa"/>
            <w:shd w:val="clear" w:color="auto" w:fill="auto"/>
            <w:hideMark/>
          </w:tcPr>
          <w:p w14:paraId="5F9934D1"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all COVID expenses not to be allocated to patients</w:t>
            </w:r>
          </w:p>
        </w:tc>
      </w:tr>
    </w:tbl>
    <w:p w14:paraId="4791A541" w14:textId="77777777" w:rsidR="00A35EF9" w:rsidRDefault="00A35EF9" w:rsidP="000A49A0">
      <w:pPr>
        <w:pStyle w:val="Body"/>
      </w:pPr>
    </w:p>
    <w:p w14:paraId="562F817A" w14:textId="488F969B" w:rsidR="000A49A0" w:rsidRDefault="000A49A0" w:rsidP="000A49A0">
      <w:pPr>
        <w:pStyle w:val="Body"/>
      </w:pPr>
      <w:r>
        <w:t xml:space="preserve">For a list of service groups mapped to cost areas refer to </w:t>
      </w:r>
      <w:r w:rsidRPr="00370DB4">
        <w:rPr>
          <w:b/>
          <w:bCs/>
        </w:rPr>
        <w:t>Attachment 1</w:t>
      </w:r>
      <w:r>
        <w:t>.</w:t>
      </w:r>
    </w:p>
    <w:p w14:paraId="57BF04FF" w14:textId="0D8A28F0" w:rsidR="000A49A0" w:rsidRDefault="000A49A0" w:rsidP="000A49A0">
      <w:pPr>
        <w:pStyle w:val="Heading3"/>
      </w:pPr>
      <w:r>
        <w:t>Account codes</w:t>
      </w:r>
    </w:p>
    <w:p w14:paraId="3FDA2BC2" w14:textId="3FE91F7A" w:rsidR="00C30E32" w:rsidRDefault="00C30E32" w:rsidP="00C30E32">
      <w:pPr>
        <w:pStyle w:val="Body"/>
      </w:pPr>
      <w:r w:rsidRPr="00C30E32">
        <w:t xml:space="preserve">The Account Code is a six-digit field used to classify financial activities and balances within the General Ledger . </w:t>
      </w:r>
      <w:r w:rsidR="009C5EBB">
        <w:t>These</w:t>
      </w:r>
      <w:r w:rsidR="00660E73" w:rsidRPr="00660E73">
        <w:t xml:space="preserve"> are aggregated into like expenses </w:t>
      </w:r>
      <w:r>
        <w:t xml:space="preserve">such as </w:t>
      </w:r>
      <w:r w:rsidR="009C5EBB">
        <w:t xml:space="preserve">SWNurs (salary and wages Nursing) including such expenses like </w:t>
      </w:r>
      <w:r>
        <w:t>Basic Pay, Sick Pay, Overtime/Recall, Penalties, Public Holiday Penalties, Allowances.</w:t>
      </w:r>
    </w:p>
    <w:p w14:paraId="4A0714E2" w14:textId="77777777" w:rsidR="0069055A" w:rsidRDefault="00A35EF9" w:rsidP="00A35EF9">
      <w:pPr>
        <w:pStyle w:val="Body"/>
      </w:pPr>
      <w:r w:rsidRPr="00A35EF9">
        <w:t>For costing purposes, all in-scope expenditure incurred by or on behalf of the health service related to day-to-day delivery of services is to be recognised.</w:t>
      </w:r>
      <w:r w:rsidR="0069055A">
        <w:t xml:space="preserve"> That is </w:t>
      </w:r>
      <w:r w:rsidR="0069055A" w:rsidRPr="0069055A">
        <w:t xml:space="preserve">all corporate and shared services which contribute to an organisation’s day to day production of final </w:t>
      </w:r>
      <w:r w:rsidR="0069055A">
        <w:t>utilisations</w:t>
      </w:r>
      <w:r w:rsidR="0069055A" w:rsidRPr="0069055A">
        <w:t xml:space="preserve"> are included in patient costing and in determining the full cost </w:t>
      </w:r>
      <w:r w:rsidR="0069055A">
        <w:t>of those resources</w:t>
      </w:r>
      <w:r w:rsidR="0069055A" w:rsidRPr="0069055A">
        <w:t>.</w:t>
      </w:r>
      <w:r w:rsidRPr="00A35EF9">
        <w:t xml:space="preserve"> </w:t>
      </w:r>
    </w:p>
    <w:p w14:paraId="57A71CE8" w14:textId="3105E3F6" w:rsidR="0069055A" w:rsidRDefault="00A35EF9" w:rsidP="00A35EF9">
      <w:pPr>
        <w:pStyle w:val="Body"/>
      </w:pPr>
      <w:r>
        <w:t xml:space="preserve">The expenses allocated are also not to be offset by any revenue or funding source unless </w:t>
      </w:r>
      <w:r w:rsidR="0069055A" w:rsidRPr="0069055A">
        <w:t>there is evidence to support that the compensation effectively reflects the substance of the transaction</w:t>
      </w:r>
      <w:r w:rsidR="0069055A">
        <w:t xml:space="preserve">, such as </w:t>
      </w:r>
      <w:r w:rsidR="0069055A" w:rsidRPr="0069055A">
        <w:t>where goods and services provided by the hospital are reimbursed by another organisation.</w:t>
      </w:r>
    </w:p>
    <w:p w14:paraId="1CA87BB8" w14:textId="4F2D4695" w:rsidR="00A35EF9" w:rsidRDefault="0069055A" w:rsidP="00A35EF9">
      <w:pPr>
        <w:pStyle w:val="Body"/>
      </w:pPr>
      <w:r>
        <w:t>Further details regarding the standards and guidelines for patient level costing, r</w:t>
      </w:r>
      <w:r w:rsidR="00A35EF9" w:rsidRPr="00A35EF9">
        <w:t>efer to the Victorian Activity Based Costing (VicABC) documentation and the relevant version of the Australian Hospital Patient Costing Standards (AHPCS) developed by the Independent Hospital Pricing Authority (IHPA).</w:t>
      </w:r>
    </w:p>
    <w:p w14:paraId="7C8BA6E7" w14:textId="634A2048" w:rsidR="00C30E32" w:rsidRDefault="009C5EBB" w:rsidP="00AF7397">
      <w:pPr>
        <w:pStyle w:val="Body"/>
      </w:pPr>
      <w:r w:rsidRPr="009C5EBB">
        <w:t xml:space="preserve">Reporting these </w:t>
      </w:r>
      <w:r>
        <w:t>account codes</w:t>
      </w:r>
      <w:r w:rsidRPr="009C5EBB">
        <w:t xml:space="preserve"> is grouped </w:t>
      </w:r>
      <w:r w:rsidR="0069055A">
        <w:t xml:space="preserve">to an </w:t>
      </w:r>
      <w:r>
        <w:t>account type. These could either be:</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917"/>
      </w:tblGrid>
      <w:tr w:rsidR="001C3AE6" w:rsidRPr="001C3AE6" w14:paraId="69D696C6" w14:textId="77777777" w:rsidTr="001C3AE6">
        <w:trPr>
          <w:trHeight w:val="256"/>
        </w:trPr>
        <w:tc>
          <w:tcPr>
            <w:tcW w:w="2175" w:type="dxa"/>
            <w:shd w:val="clear" w:color="auto" w:fill="auto"/>
            <w:noWrap/>
            <w:vAlign w:val="bottom"/>
            <w:hideMark/>
          </w:tcPr>
          <w:p w14:paraId="0B0E68A4"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SWAdmin</w:t>
            </w:r>
          </w:p>
        </w:tc>
        <w:tc>
          <w:tcPr>
            <w:tcW w:w="6917" w:type="dxa"/>
            <w:shd w:val="clear" w:color="auto" w:fill="auto"/>
            <w:noWrap/>
            <w:vAlign w:val="bottom"/>
            <w:hideMark/>
          </w:tcPr>
          <w:p w14:paraId="42D1131A" w14:textId="3A797DA1"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  Administration</w:t>
            </w:r>
          </w:p>
        </w:tc>
      </w:tr>
      <w:tr w:rsidR="001C3AE6" w:rsidRPr="001C3AE6" w14:paraId="68BDA90D" w14:textId="77777777" w:rsidTr="001C3AE6">
        <w:trPr>
          <w:trHeight w:val="256"/>
        </w:trPr>
        <w:tc>
          <w:tcPr>
            <w:tcW w:w="2175" w:type="dxa"/>
            <w:shd w:val="clear" w:color="auto" w:fill="auto"/>
            <w:noWrap/>
            <w:vAlign w:val="bottom"/>
            <w:hideMark/>
          </w:tcPr>
          <w:p w14:paraId="68630AF6"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SWAdminOc</w:t>
            </w:r>
          </w:p>
        </w:tc>
        <w:tc>
          <w:tcPr>
            <w:tcW w:w="6917" w:type="dxa"/>
            <w:shd w:val="clear" w:color="auto" w:fill="auto"/>
            <w:noWrap/>
            <w:vAlign w:val="bottom"/>
            <w:hideMark/>
          </w:tcPr>
          <w:p w14:paraId="3AA861D3"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oncosts -  Administration</w:t>
            </w:r>
          </w:p>
        </w:tc>
      </w:tr>
      <w:tr w:rsidR="001C3AE6" w:rsidRPr="001C3AE6" w14:paraId="730A3566" w14:textId="77777777" w:rsidTr="001C3AE6">
        <w:trPr>
          <w:trHeight w:val="256"/>
        </w:trPr>
        <w:tc>
          <w:tcPr>
            <w:tcW w:w="2175" w:type="dxa"/>
            <w:shd w:val="clear" w:color="auto" w:fill="auto"/>
            <w:noWrap/>
            <w:vAlign w:val="bottom"/>
            <w:hideMark/>
          </w:tcPr>
          <w:p w14:paraId="4F0B49EA"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SWAH</w:t>
            </w:r>
          </w:p>
        </w:tc>
        <w:tc>
          <w:tcPr>
            <w:tcW w:w="6917" w:type="dxa"/>
            <w:shd w:val="clear" w:color="auto" w:fill="auto"/>
            <w:noWrap/>
            <w:vAlign w:val="bottom"/>
            <w:hideMark/>
          </w:tcPr>
          <w:p w14:paraId="7F1F68F3"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  Allied Health</w:t>
            </w:r>
          </w:p>
        </w:tc>
      </w:tr>
      <w:tr w:rsidR="001C3AE6" w:rsidRPr="001C3AE6" w14:paraId="49613B90" w14:textId="77777777" w:rsidTr="001C3AE6">
        <w:trPr>
          <w:trHeight w:val="256"/>
        </w:trPr>
        <w:tc>
          <w:tcPr>
            <w:tcW w:w="2175" w:type="dxa"/>
            <w:shd w:val="clear" w:color="auto" w:fill="auto"/>
            <w:noWrap/>
            <w:vAlign w:val="bottom"/>
            <w:hideMark/>
          </w:tcPr>
          <w:p w14:paraId="69AF8576"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SWAHOc</w:t>
            </w:r>
          </w:p>
        </w:tc>
        <w:tc>
          <w:tcPr>
            <w:tcW w:w="6917" w:type="dxa"/>
            <w:shd w:val="clear" w:color="auto" w:fill="auto"/>
            <w:noWrap/>
            <w:vAlign w:val="bottom"/>
            <w:hideMark/>
          </w:tcPr>
          <w:p w14:paraId="0D9FE001"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oncosts -  Allied Health</w:t>
            </w:r>
          </w:p>
        </w:tc>
      </w:tr>
      <w:tr w:rsidR="00C25F98" w:rsidRPr="001C3AE6" w14:paraId="510A7E4A" w14:textId="77777777" w:rsidTr="001C3AE6">
        <w:trPr>
          <w:trHeight w:val="256"/>
        </w:trPr>
        <w:tc>
          <w:tcPr>
            <w:tcW w:w="2175" w:type="dxa"/>
            <w:shd w:val="clear" w:color="auto" w:fill="auto"/>
            <w:noWrap/>
            <w:vAlign w:val="bottom"/>
          </w:tcPr>
          <w:p w14:paraId="00ED080E" w14:textId="1A5D67F8" w:rsidR="00C25F98" w:rsidRPr="001C3AE6" w:rsidRDefault="00C25F98" w:rsidP="001C3AE6">
            <w:pPr>
              <w:spacing w:after="0" w:line="240" w:lineRule="auto"/>
              <w:rPr>
                <w:rFonts w:ascii="Calibri" w:hAnsi="Calibri" w:cs="Calibri"/>
                <w:color w:val="000000"/>
                <w:sz w:val="22"/>
                <w:szCs w:val="22"/>
                <w:lang w:eastAsia="en-AU"/>
              </w:rPr>
            </w:pPr>
            <w:r w:rsidRPr="00C25F98">
              <w:rPr>
                <w:rFonts w:ascii="Calibri" w:hAnsi="Calibri" w:cs="Calibri"/>
                <w:color w:val="000000"/>
                <w:sz w:val="22"/>
                <w:szCs w:val="22"/>
                <w:lang w:eastAsia="en-AU"/>
              </w:rPr>
              <w:t>SWAHFFS</w:t>
            </w:r>
          </w:p>
        </w:tc>
        <w:tc>
          <w:tcPr>
            <w:tcW w:w="6917" w:type="dxa"/>
            <w:shd w:val="clear" w:color="auto" w:fill="auto"/>
            <w:noWrap/>
            <w:vAlign w:val="bottom"/>
          </w:tcPr>
          <w:p w14:paraId="205AA8CD" w14:textId="1679EA1D" w:rsidR="00C25F98" w:rsidRPr="001C3AE6" w:rsidRDefault="00C25F98" w:rsidP="001C3AE6">
            <w:pPr>
              <w:spacing w:after="0" w:line="240" w:lineRule="auto"/>
              <w:rPr>
                <w:rFonts w:ascii="Calibri" w:hAnsi="Calibri" w:cs="Calibri"/>
                <w:color w:val="000000"/>
                <w:sz w:val="22"/>
                <w:szCs w:val="22"/>
                <w:lang w:eastAsia="en-AU"/>
              </w:rPr>
            </w:pPr>
            <w:r w:rsidRPr="00C25F98">
              <w:rPr>
                <w:rFonts w:ascii="Calibri" w:hAnsi="Calibri" w:cs="Calibri"/>
                <w:color w:val="000000"/>
                <w:sz w:val="22"/>
                <w:szCs w:val="22"/>
                <w:lang w:eastAsia="en-AU"/>
              </w:rPr>
              <w:t>Salary and Wages fee for service -</w:t>
            </w:r>
            <w:r>
              <w:rPr>
                <w:rFonts w:ascii="Calibri" w:hAnsi="Calibri" w:cs="Calibri"/>
                <w:color w:val="000000"/>
                <w:sz w:val="22"/>
                <w:szCs w:val="22"/>
                <w:lang w:eastAsia="en-AU"/>
              </w:rPr>
              <w:t xml:space="preserve"> Allied Health</w:t>
            </w:r>
          </w:p>
        </w:tc>
      </w:tr>
      <w:tr w:rsidR="001C3AE6" w:rsidRPr="001C3AE6" w14:paraId="46538977" w14:textId="77777777" w:rsidTr="001C3AE6">
        <w:trPr>
          <w:trHeight w:val="256"/>
        </w:trPr>
        <w:tc>
          <w:tcPr>
            <w:tcW w:w="2175" w:type="dxa"/>
            <w:shd w:val="clear" w:color="auto" w:fill="auto"/>
            <w:noWrap/>
            <w:vAlign w:val="bottom"/>
            <w:hideMark/>
          </w:tcPr>
          <w:p w14:paraId="3236DBCE"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SWHMO</w:t>
            </w:r>
          </w:p>
        </w:tc>
        <w:tc>
          <w:tcPr>
            <w:tcW w:w="6917" w:type="dxa"/>
            <w:shd w:val="clear" w:color="auto" w:fill="auto"/>
            <w:noWrap/>
            <w:vAlign w:val="bottom"/>
            <w:hideMark/>
          </w:tcPr>
          <w:p w14:paraId="7D9B352A"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HMO</w:t>
            </w:r>
          </w:p>
        </w:tc>
      </w:tr>
      <w:tr w:rsidR="001C3AE6" w:rsidRPr="001C3AE6" w14:paraId="33270BB0" w14:textId="77777777" w:rsidTr="001C3AE6">
        <w:trPr>
          <w:trHeight w:val="256"/>
        </w:trPr>
        <w:tc>
          <w:tcPr>
            <w:tcW w:w="2175" w:type="dxa"/>
            <w:shd w:val="clear" w:color="auto" w:fill="auto"/>
            <w:noWrap/>
            <w:vAlign w:val="bottom"/>
            <w:hideMark/>
          </w:tcPr>
          <w:p w14:paraId="0DCD61CA"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SWHMOFFS</w:t>
            </w:r>
          </w:p>
        </w:tc>
        <w:tc>
          <w:tcPr>
            <w:tcW w:w="6917" w:type="dxa"/>
            <w:shd w:val="clear" w:color="auto" w:fill="auto"/>
            <w:noWrap/>
            <w:vAlign w:val="bottom"/>
            <w:hideMark/>
          </w:tcPr>
          <w:p w14:paraId="1B2D47C5"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fee for service - HMO</w:t>
            </w:r>
          </w:p>
        </w:tc>
      </w:tr>
      <w:tr w:rsidR="001C3AE6" w:rsidRPr="001C3AE6" w14:paraId="7A91DC92" w14:textId="77777777" w:rsidTr="001C3AE6">
        <w:trPr>
          <w:trHeight w:val="256"/>
        </w:trPr>
        <w:tc>
          <w:tcPr>
            <w:tcW w:w="2175" w:type="dxa"/>
            <w:shd w:val="clear" w:color="auto" w:fill="auto"/>
            <w:noWrap/>
            <w:vAlign w:val="bottom"/>
            <w:hideMark/>
          </w:tcPr>
          <w:p w14:paraId="7BF81E79"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SWHMOOc</w:t>
            </w:r>
          </w:p>
        </w:tc>
        <w:tc>
          <w:tcPr>
            <w:tcW w:w="6917" w:type="dxa"/>
            <w:shd w:val="clear" w:color="auto" w:fill="auto"/>
            <w:noWrap/>
            <w:vAlign w:val="bottom"/>
            <w:hideMark/>
          </w:tcPr>
          <w:p w14:paraId="78B6095B"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oncosts - HMO</w:t>
            </w:r>
          </w:p>
        </w:tc>
      </w:tr>
      <w:tr w:rsidR="001C3AE6" w:rsidRPr="001C3AE6" w14:paraId="377C870A" w14:textId="77777777" w:rsidTr="001C3AE6">
        <w:trPr>
          <w:trHeight w:val="256"/>
        </w:trPr>
        <w:tc>
          <w:tcPr>
            <w:tcW w:w="2175" w:type="dxa"/>
            <w:shd w:val="clear" w:color="auto" w:fill="auto"/>
            <w:noWrap/>
            <w:vAlign w:val="bottom"/>
            <w:hideMark/>
          </w:tcPr>
          <w:p w14:paraId="48C7B843"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SWHotel</w:t>
            </w:r>
          </w:p>
        </w:tc>
        <w:tc>
          <w:tcPr>
            <w:tcW w:w="6917" w:type="dxa"/>
            <w:shd w:val="clear" w:color="auto" w:fill="auto"/>
            <w:noWrap/>
            <w:vAlign w:val="bottom"/>
            <w:hideMark/>
          </w:tcPr>
          <w:p w14:paraId="30F4B97C"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  Hotel service</w:t>
            </w:r>
          </w:p>
        </w:tc>
      </w:tr>
      <w:tr w:rsidR="001C3AE6" w:rsidRPr="001C3AE6" w14:paraId="0DFA28F9" w14:textId="77777777" w:rsidTr="001C3AE6">
        <w:trPr>
          <w:trHeight w:val="256"/>
        </w:trPr>
        <w:tc>
          <w:tcPr>
            <w:tcW w:w="2175" w:type="dxa"/>
            <w:shd w:val="clear" w:color="auto" w:fill="auto"/>
            <w:noWrap/>
            <w:vAlign w:val="bottom"/>
            <w:hideMark/>
          </w:tcPr>
          <w:p w14:paraId="3F555EED"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SWHotelOc</w:t>
            </w:r>
          </w:p>
        </w:tc>
        <w:tc>
          <w:tcPr>
            <w:tcW w:w="6917" w:type="dxa"/>
            <w:shd w:val="clear" w:color="auto" w:fill="auto"/>
            <w:noWrap/>
            <w:vAlign w:val="bottom"/>
            <w:hideMark/>
          </w:tcPr>
          <w:p w14:paraId="49279133"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oncosts -  Hotel service</w:t>
            </w:r>
          </w:p>
        </w:tc>
      </w:tr>
      <w:tr w:rsidR="001C3AE6" w:rsidRPr="001C3AE6" w14:paraId="4AE17DF2" w14:textId="77777777" w:rsidTr="001C3AE6">
        <w:trPr>
          <w:trHeight w:val="256"/>
        </w:trPr>
        <w:tc>
          <w:tcPr>
            <w:tcW w:w="2175" w:type="dxa"/>
            <w:shd w:val="clear" w:color="auto" w:fill="auto"/>
            <w:noWrap/>
            <w:vAlign w:val="bottom"/>
            <w:hideMark/>
          </w:tcPr>
          <w:p w14:paraId="51028AF5"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SWMed</w:t>
            </w:r>
          </w:p>
        </w:tc>
        <w:tc>
          <w:tcPr>
            <w:tcW w:w="6917" w:type="dxa"/>
            <w:shd w:val="clear" w:color="auto" w:fill="auto"/>
            <w:noWrap/>
            <w:vAlign w:val="bottom"/>
            <w:hideMark/>
          </w:tcPr>
          <w:p w14:paraId="6999C32D"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  Medical</w:t>
            </w:r>
          </w:p>
        </w:tc>
      </w:tr>
      <w:tr w:rsidR="001C3AE6" w:rsidRPr="001C3AE6" w14:paraId="59BB9F7B" w14:textId="77777777" w:rsidTr="001C3AE6">
        <w:trPr>
          <w:trHeight w:val="256"/>
        </w:trPr>
        <w:tc>
          <w:tcPr>
            <w:tcW w:w="2175" w:type="dxa"/>
            <w:shd w:val="clear" w:color="auto" w:fill="auto"/>
            <w:noWrap/>
            <w:vAlign w:val="bottom"/>
            <w:hideMark/>
          </w:tcPr>
          <w:p w14:paraId="47A99CA2"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SWMedFFS</w:t>
            </w:r>
          </w:p>
        </w:tc>
        <w:tc>
          <w:tcPr>
            <w:tcW w:w="6917" w:type="dxa"/>
            <w:shd w:val="clear" w:color="auto" w:fill="auto"/>
            <w:noWrap/>
            <w:vAlign w:val="bottom"/>
            <w:hideMark/>
          </w:tcPr>
          <w:p w14:paraId="50EAC605"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fee for service -  Medical</w:t>
            </w:r>
          </w:p>
        </w:tc>
      </w:tr>
      <w:tr w:rsidR="001C3AE6" w:rsidRPr="001C3AE6" w14:paraId="6115C25C" w14:textId="77777777" w:rsidTr="001C3AE6">
        <w:trPr>
          <w:trHeight w:val="256"/>
        </w:trPr>
        <w:tc>
          <w:tcPr>
            <w:tcW w:w="2175" w:type="dxa"/>
            <w:shd w:val="clear" w:color="auto" w:fill="auto"/>
            <w:noWrap/>
            <w:vAlign w:val="bottom"/>
            <w:hideMark/>
          </w:tcPr>
          <w:p w14:paraId="0DE22095"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SWMedOc</w:t>
            </w:r>
          </w:p>
        </w:tc>
        <w:tc>
          <w:tcPr>
            <w:tcW w:w="6917" w:type="dxa"/>
            <w:shd w:val="clear" w:color="auto" w:fill="auto"/>
            <w:noWrap/>
            <w:vAlign w:val="bottom"/>
            <w:hideMark/>
          </w:tcPr>
          <w:p w14:paraId="3708A103"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oncosts -  Medical</w:t>
            </w:r>
          </w:p>
        </w:tc>
      </w:tr>
      <w:tr w:rsidR="001C3AE6" w:rsidRPr="001C3AE6" w14:paraId="0B6A78C6" w14:textId="77777777" w:rsidTr="001C3AE6">
        <w:trPr>
          <w:trHeight w:val="256"/>
        </w:trPr>
        <w:tc>
          <w:tcPr>
            <w:tcW w:w="2175" w:type="dxa"/>
            <w:shd w:val="clear" w:color="auto" w:fill="auto"/>
            <w:noWrap/>
            <w:vAlign w:val="bottom"/>
            <w:hideMark/>
          </w:tcPr>
          <w:p w14:paraId="1ACE2E33"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SWMedSup</w:t>
            </w:r>
          </w:p>
        </w:tc>
        <w:tc>
          <w:tcPr>
            <w:tcW w:w="6917" w:type="dxa"/>
            <w:shd w:val="clear" w:color="auto" w:fill="auto"/>
            <w:noWrap/>
            <w:vAlign w:val="bottom"/>
            <w:hideMark/>
          </w:tcPr>
          <w:p w14:paraId="72CF07C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  Medical Support</w:t>
            </w:r>
          </w:p>
        </w:tc>
      </w:tr>
      <w:tr w:rsidR="001C3AE6" w:rsidRPr="001C3AE6" w14:paraId="4AC1BAC7" w14:textId="77777777" w:rsidTr="001C3AE6">
        <w:trPr>
          <w:trHeight w:val="256"/>
        </w:trPr>
        <w:tc>
          <w:tcPr>
            <w:tcW w:w="2175" w:type="dxa"/>
            <w:shd w:val="clear" w:color="auto" w:fill="auto"/>
            <w:noWrap/>
            <w:vAlign w:val="bottom"/>
            <w:hideMark/>
          </w:tcPr>
          <w:p w14:paraId="0EA7F3D0"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SWMedSupOc</w:t>
            </w:r>
          </w:p>
        </w:tc>
        <w:tc>
          <w:tcPr>
            <w:tcW w:w="6917" w:type="dxa"/>
            <w:shd w:val="clear" w:color="auto" w:fill="auto"/>
            <w:noWrap/>
            <w:vAlign w:val="bottom"/>
            <w:hideMark/>
          </w:tcPr>
          <w:p w14:paraId="5C4128A9"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oncosts -  Medical Support</w:t>
            </w:r>
          </w:p>
        </w:tc>
      </w:tr>
      <w:tr w:rsidR="001C3AE6" w:rsidRPr="001C3AE6" w14:paraId="460FD4C7" w14:textId="77777777" w:rsidTr="001C3AE6">
        <w:trPr>
          <w:trHeight w:val="256"/>
        </w:trPr>
        <w:tc>
          <w:tcPr>
            <w:tcW w:w="2175" w:type="dxa"/>
            <w:shd w:val="clear" w:color="auto" w:fill="auto"/>
            <w:noWrap/>
            <w:vAlign w:val="bottom"/>
            <w:hideMark/>
          </w:tcPr>
          <w:p w14:paraId="052746E7"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SWNurs</w:t>
            </w:r>
          </w:p>
        </w:tc>
        <w:tc>
          <w:tcPr>
            <w:tcW w:w="6917" w:type="dxa"/>
            <w:shd w:val="clear" w:color="auto" w:fill="auto"/>
            <w:noWrap/>
            <w:vAlign w:val="bottom"/>
            <w:hideMark/>
          </w:tcPr>
          <w:p w14:paraId="4ED7C0E4"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  Nursing</w:t>
            </w:r>
          </w:p>
        </w:tc>
      </w:tr>
      <w:tr w:rsidR="001C3AE6" w:rsidRPr="001C3AE6" w14:paraId="682A0688" w14:textId="77777777" w:rsidTr="001C3AE6">
        <w:trPr>
          <w:trHeight w:val="256"/>
        </w:trPr>
        <w:tc>
          <w:tcPr>
            <w:tcW w:w="2175" w:type="dxa"/>
            <w:shd w:val="clear" w:color="auto" w:fill="auto"/>
            <w:noWrap/>
            <w:vAlign w:val="bottom"/>
            <w:hideMark/>
          </w:tcPr>
          <w:p w14:paraId="6862A9FC"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SWNursOc</w:t>
            </w:r>
          </w:p>
        </w:tc>
        <w:tc>
          <w:tcPr>
            <w:tcW w:w="6917" w:type="dxa"/>
            <w:shd w:val="clear" w:color="auto" w:fill="auto"/>
            <w:noWrap/>
            <w:vAlign w:val="bottom"/>
            <w:hideMark/>
          </w:tcPr>
          <w:p w14:paraId="2C2024A1"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oncosts -  Nursing</w:t>
            </w:r>
          </w:p>
        </w:tc>
      </w:tr>
      <w:tr w:rsidR="001C3AE6" w:rsidRPr="001C3AE6" w14:paraId="226C8E28" w14:textId="77777777" w:rsidTr="001C3AE6">
        <w:trPr>
          <w:trHeight w:val="256"/>
        </w:trPr>
        <w:tc>
          <w:tcPr>
            <w:tcW w:w="2175" w:type="dxa"/>
            <w:shd w:val="clear" w:color="auto" w:fill="auto"/>
            <w:noWrap/>
            <w:vAlign w:val="bottom"/>
            <w:hideMark/>
          </w:tcPr>
          <w:p w14:paraId="2F498BA4"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SWOther</w:t>
            </w:r>
          </w:p>
        </w:tc>
        <w:tc>
          <w:tcPr>
            <w:tcW w:w="6917" w:type="dxa"/>
            <w:shd w:val="clear" w:color="auto" w:fill="auto"/>
            <w:noWrap/>
            <w:vAlign w:val="bottom"/>
            <w:hideMark/>
          </w:tcPr>
          <w:p w14:paraId="337ECC33"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  Other salary</w:t>
            </w:r>
          </w:p>
        </w:tc>
      </w:tr>
      <w:tr w:rsidR="001C3AE6" w:rsidRPr="001C3AE6" w14:paraId="64C89E62" w14:textId="77777777" w:rsidTr="001C3AE6">
        <w:trPr>
          <w:trHeight w:val="256"/>
        </w:trPr>
        <w:tc>
          <w:tcPr>
            <w:tcW w:w="2175" w:type="dxa"/>
            <w:shd w:val="clear" w:color="auto" w:fill="auto"/>
            <w:noWrap/>
            <w:vAlign w:val="bottom"/>
            <w:hideMark/>
          </w:tcPr>
          <w:p w14:paraId="39964EE7"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SWOtherOc</w:t>
            </w:r>
          </w:p>
        </w:tc>
        <w:tc>
          <w:tcPr>
            <w:tcW w:w="6917" w:type="dxa"/>
            <w:shd w:val="clear" w:color="auto" w:fill="auto"/>
            <w:noWrap/>
            <w:vAlign w:val="bottom"/>
            <w:hideMark/>
          </w:tcPr>
          <w:p w14:paraId="565DBA80"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oncosts -  Other salary</w:t>
            </w:r>
          </w:p>
        </w:tc>
      </w:tr>
      <w:tr w:rsidR="001C3AE6" w:rsidRPr="001C3AE6" w14:paraId="027A2254" w14:textId="77777777" w:rsidTr="001C3AE6">
        <w:trPr>
          <w:trHeight w:val="256"/>
        </w:trPr>
        <w:tc>
          <w:tcPr>
            <w:tcW w:w="2175" w:type="dxa"/>
            <w:shd w:val="clear" w:color="auto" w:fill="auto"/>
            <w:noWrap/>
            <w:vAlign w:val="bottom"/>
            <w:hideMark/>
          </w:tcPr>
          <w:p w14:paraId="7F71064A"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SWSess</w:t>
            </w:r>
          </w:p>
        </w:tc>
        <w:tc>
          <w:tcPr>
            <w:tcW w:w="6917" w:type="dxa"/>
            <w:shd w:val="clear" w:color="auto" w:fill="auto"/>
            <w:noWrap/>
            <w:vAlign w:val="bottom"/>
            <w:hideMark/>
          </w:tcPr>
          <w:p w14:paraId="2E0B4C4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  Sessional staff</w:t>
            </w:r>
          </w:p>
        </w:tc>
      </w:tr>
      <w:tr w:rsidR="001C3AE6" w:rsidRPr="001C3AE6" w14:paraId="7DB0BA49" w14:textId="77777777" w:rsidTr="001C3AE6">
        <w:trPr>
          <w:trHeight w:val="256"/>
        </w:trPr>
        <w:tc>
          <w:tcPr>
            <w:tcW w:w="2175" w:type="dxa"/>
            <w:shd w:val="clear" w:color="auto" w:fill="auto"/>
            <w:noWrap/>
            <w:vAlign w:val="bottom"/>
            <w:hideMark/>
          </w:tcPr>
          <w:p w14:paraId="22839E86"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SWSessFFS</w:t>
            </w:r>
          </w:p>
        </w:tc>
        <w:tc>
          <w:tcPr>
            <w:tcW w:w="6917" w:type="dxa"/>
            <w:shd w:val="clear" w:color="auto" w:fill="auto"/>
            <w:noWrap/>
            <w:vAlign w:val="bottom"/>
            <w:hideMark/>
          </w:tcPr>
          <w:p w14:paraId="2E654264"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fee for service -  Sessional staff</w:t>
            </w:r>
          </w:p>
        </w:tc>
      </w:tr>
      <w:tr w:rsidR="001C3AE6" w:rsidRPr="001C3AE6" w14:paraId="41AE290C" w14:textId="77777777" w:rsidTr="001C3AE6">
        <w:trPr>
          <w:trHeight w:val="256"/>
        </w:trPr>
        <w:tc>
          <w:tcPr>
            <w:tcW w:w="2175" w:type="dxa"/>
            <w:shd w:val="clear" w:color="auto" w:fill="auto"/>
            <w:noWrap/>
            <w:vAlign w:val="bottom"/>
            <w:hideMark/>
          </w:tcPr>
          <w:p w14:paraId="7FE7790D"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SWSessOc</w:t>
            </w:r>
          </w:p>
        </w:tc>
        <w:tc>
          <w:tcPr>
            <w:tcW w:w="6917" w:type="dxa"/>
            <w:shd w:val="clear" w:color="auto" w:fill="auto"/>
            <w:noWrap/>
            <w:vAlign w:val="bottom"/>
            <w:hideMark/>
          </w:tcPr>
          <w:p w14:paraId="6E1BF5B6"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Salary and Wages oncosts -  Sessional staff</w:t>
            </w:r>
          </w:p>
        </w:tc>
      </w:tr>
      <w:tr w:rsidR="001C3AE6" w:rsidRPr="001C3AE6" w14:paraId="20BA882D" w14:textId="77777777" w:rsidTr="001C3AE6">
        <w:trPr>
          <w:trHeight w:val="256"/>
        </w:trPr>
        <w:tc>
          <w:tcPr>
            <w:tcW w:w="2175" w:type="dxa"/>
            <w:shd w:val="clear" w:color="auto" w:fill="auto"/>
            <w:noWrap/>
            <w:vAlign w:val="bottom"/>
            <w:hideMark/>
          </w:tcPr>
          <w:p w14:paraId="51699AC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Appl</w:t>
            </w:r>
          </w:p>
        </w:tc>
        <w:tc>
          <w:tcPr>
            <w:tcW w:w="6917" w:type="dxa"/>
            <w:shd w:val="clear" w:color="auto" w:fill="auto"/>
            <w:noWrap/>
            <w:vAlign w:val="bottom"/>
            <w:hideMark/>
          </w:tcPr>
          <w:p w14:paraId="5B63DA4C"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Appliances</w:t>
            </w:r>
          </w:p>
        </w:tc>
      </w:tr>
      <w:tr w:rsidR="001C3AE6" w:rsidRPr="001C3AE6" w14:paraId="210BA3C3" w14:textId="77777777" w:rsidTr="001C3AE6">
        <w:trPr>
          <w:trHeight w:val="256"/>
        </w:trPr>
        <w:tc>
          <w:tcPr>
            <w:tcW w:w="2175" w:type="dxa"/>
            <w:shd w:val="clear" w:color="auto" w:fill="auto"/>
            <w:noWrap/>
            <w:vAlign w:val="bottom"/>
            <w:hideMark/>
          </w:tcPr>
          <w:p w14:paraId="2F06F5C6"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Blood</w:t>
            </w:r>
          </w:p>
        </w:tc>
        <w:tc>
          <w:tcPr>
            <w:tcW w:w="6917" w:type="dxa"/>
            <w:shd w:val="clear" w:color="auto" w:fill="auto"/>
            <w:noWrap/>
            <w:vAlign w:val="bottom"/>
            <w:hideMark/>
          </w:tcPr>
          <w:p w14:paraId="390F7516"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Blood products</w:t>
            </w:r>
          </w:p>
        </w:tc>
      </w:tr>
      <w:tr w:rsidR="001C3AE6" w:rsidRPr="001C3AE6" w14:paraId="0C140D73" w14:textId="77777777" w:rsidTr="001C3AE6">
        <w:trPr>
          <w:trHeight w:val="256"/>
        </w:trPr>
        <w:tc>
          <w:tcPr>
            <w:tcW w:w="2175" w:type="dxa"/>
            <w:shd w:val="clear" w:color="auto" w:fill="auto"/>
            <w:noWrap/>
            <w:vAlign w:val="bottom"/>
            <w:hideMark/>
          </w:tcPr>
          <w:p w14:paraId="5696305A"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DeprecB</w:t>
            </w:r>
          </w:p>
        </w:tc>
        <w:tc>
          <w:tcPr>
            <w:tcW w:w="6917" w:type="dxa"/>
            <w:shd w:val="clear" w:color="auto" w:fill="auto"/>
            <w:noWrap/>
            <w:vAlign w:val="bottom"/>
            <w:hideMark/>
          </w:tcPr>
          <w:p w14:paraId="5AC9D59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Depreciation - Building</w:t>
            </w:r>
          </w:p>
        </w:tc>
      </w:tr>
      <w:tr w:rsidR="001C3AE6" w:rsidRPr="001C3AE6" w14:paraId="0FD99CCB" w14:textId="77777777" w:rsidTr="001C3AE6">
        <w:trPr>
          <w:trHeight w:val="256"/>
        </w:trPr>
        <w:tc>
          <w:tcPr>
            <w:tcW w:w="2175" w:type="dxa"/>
            <w:shd w:val="clear" w:color="auto" w:fill="auto"/>
            <w:noWrap/>
            <w:vAlign w:val="bottom"/>
            <w:hideMark/>
          </w:tcPr>
          <w:p w14:paraId="7854B776"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DeprecE</w:t>
            </w:r>
          </w:p>
        </w:tc>
        <w:tc>
          <w:tcPr>
            <w:tcW w:w="6917" w:type="dxa"/>
            <w:shd w:val="clear" w:color="auto" w:fill="auto"/>
            <w:noWrap/>
            <w:vAlign w:val="bottom"/>
            <w:hideMark/>
          </w:tcPr>
          <w:p w14:paraId="650F1D0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Depreciation - Equipment</w:t>
            </w:r>
          </w:p>
        </w:tc>
      </w:tr>
      <w:tr w:rsidR="001C3AE6" w:rsidRPr="001C3AE6" w14:paraId="38DCD364" w14:textId="77777777" w:rsidTr="001C3AE6">
        <w:trPr>
          <w:trHeight w:val="256"/>
        </w:trPr>
        <w:tc>
          <w:tcPr>
            <w:tcW w:w="2175" w:type="dxa"/>
            <w:shd w:val="clear" w:color="auto" w:fill="auto"/>
            <w:noWrap/>
            <w:vAlign w:val="bottom"/>
            <w:hideMark/>
          </w:tcPr>
          <w:p w14:paraId="2A60C5E7"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DeprecR</w:t>
            </w:r>
          </w:p>
        </w:tc>
        <w:tc>
          <w:tcPr>
            <w:tcW w:w="6917" w:type="dxa"/>
            <w:shd w:val="clear" w:color="auto" w:fill="auto"/>
            <w:noWrap/>
            <w:vAlign w:val="bottom"/>
            <w:hideMark/>
          </w:tcPr>
          <w:p w14:paraId="5D95048F"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Depreciation - Right of Use</w:t>
            </w:r>
          </w:p>
        </w:tc>
      </w:tr>
      <w:tr w:rsidR="001C3AE6" w:rsidRPr="001C3AE6" w14:paraId="3397666B" w14:textId="77777777" w:rsidTr="001C3AE6">
        <w:trPr>
          <w:trHeight w:val="256"/>
        </w:trPr>
        <w:tc>
          <w:tcPr>
            <w:tcW w:w="2175" w:type="dxa"/>
            <w:shd w:val="clear" w:color="auto" w:fill="auto"/>
            <w:noWrap/>
            <w:vAlign w:val="bottom"/>
            <w:hideMark/>
          </w:tcPr>
          <w:p w14:paraId="0AA67D52"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Equip</w:t>
            </w:r>
          </w:p>
        </w:tc>
        <w:tc>
          <w:tcPr>
            <w:tcW w:w="6917" w:type="dxa"/>
            <w:shd w:val="clear" w:color="auto" w:fill="auto"/>
            <w:noWrap/>
            <w:vAlign w:val="bottom"/>
            <w:hideMark/>
          </w:tcPr>
          <w:p w14:paraId="30226C09"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Equipment</w:t>
            </w:r>
          </w:p>
        </w:tc>
      </w:tr>
      <w:tr w:rsidR="001C3AE6" w:rsidRPr="001C3AE6" w14:paraId="0C6FEFA1" w14:textId="77777777" w:rsidTr="001C3AE6">
        <w:trPr>
          <w:trHeight w:val="256"/>
        </w:trPr>
        <w:tc>
          <w:tcPr>
            <w:tcW w:w="2175" w:type="dxa"/>
            <w:shd w:val="clear" w:color="auto" w:fill="auto"/>
            <w:noWrap/>
            <w:vAlign w:val="bottom"/>
            <w:hideMark/>
          </w:tcPr>
          <w:p w14:paraId="5240E5D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ExclCap</w:t>
            </w:r>
          </w:p>
        </w:tc>
        <w:tc>
          <w:tcPr>
            <w:tcW w:w="6917" w:type="dxa"/>
            <w:shd w:val="clear" w:color="auto" w:fill="auto"/>
            <w:noWrap/>
            <w:vAlign w:val="bottom"/>
            <w:hideMark/>
          </w:tcPr>
          <w:p w14:paraId="1EBE7A8B"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Capital - excluded</w:t>
            </w:r>
          </w:p>
        </w:tc>
      </w:tr>
      <w:tr w:rsidR="001C3AE6" w:rsidRPr="001C3AE6" w14:paraId="04089011" w14:textId="77777777" w:rsidTr="001C3AE6">
        <w:trPr>
          <w:trHeight w:val="256"/>
        </w:trPr>
        <w:tc>
          <w:tcPr>
            <w:tcW w:w="2175" w:type="dxa"/>
            <w:shd w:val="clear" w:color="auto" w:fill="auto"/>
            <w:noWrap/>
            <w:vAlign w:val="bottom"/>
            <w:hideMark/>
          </w:tcPr>
          <w:p w14:paraId="3D48B1C1"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Exclude</w:t>
            </w:r>
          </w:p>
        </w:tc>
        <w:tc>
          <w:tcPr>
            <w:tcW w:w="6917" w:type="dxa"/>
            <w:shd w:val="clear" w:color="auto" w:fill="auto"/>
            <w:noWrap/>
            <w:vAlign w:val="bottom"/>
            <w:hideMark/>
          </w:tcPr>
          <w:p w14:paraId="28D810C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Other excluded expenses</w:t>
            </w:r>
          </w:p>
        </w:tc>
      </w:tr>
      <w:tr w:rsidR="001C3AE6" w:rsidRPr="001C3AE6" w14:paraId="60A38E33" w14:textId="77777777" w:rsidTr="001C3AE6">
        <w:trPr>
          <w:trHeight w:val="256"/>
        </w:trPr>
        <w:tc>
          <w:tcPr>
            <w:tcW w:w="2175" w:type="dxa"/>
            <w:shd w:val="clear" w:color="auto" w:fill="auto"/>
            <w:noWrap/>
            <w:vAlign w:val="bottom"/>
            <w:hideMark/>
          </w:tcPr>
          <w:p w14:paraId="578B939F"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GS</w:t>
            </w:r>
          </w:p>
        </w:tc>
        <w:tc>
          <w:tcPr>
            <w:tcW w:w="6917" w:type="dxa"/>
            <w:shd w:val="clear" w:color="auto" w:fill="auto"/>
            <w:noWrap/>
            <w:vAlign w:val="bottom"/>
            <w:hideMark/>
          </w:tcPr>
          <w:p w14:paraId="20AB247D"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General goods and services</w:t>
            </w:r>
          </w:p>
        </w:tc>
      </w:tr>
      <w:tr w:rsidR="001C3AE6" w:rsidRPr="001C3AE6" w14:paraId="6EBC70A6" w14:textId="77777777" w:rsidTr="001C3AE6">
        <w:trPr>
          <w:trHeight w:val="256"/>
        </w:trPr>
        <w:tc>
          <w:tcPr>
            <w:tcW w:w="2175" w:type="dxa"/>
            <w:shd w:val="clear" w:color="auto" w:fill="auto"/>
            <w:noWrap/>
            <w:vAlign w:val="bottom"/>
            <w:hideMark/>
          </w:tcPr>
          <w:p w14:paraId="7D931C9B"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Hotel</w:t>
            </w:r>
          </w:p>
        </w:tc>
        <w:tc>
          <w:tcPr>
            <w:tcW w:w="6917" w:type="dxa"/>
            <w:shd w:val="clear" w:color="auto" w:fill="auto"/>
            <w:noWrap/>
            <w:vAlign w:val="bottom"/>
            <w:hideMark/>
          </w:tcPr>
          <w:p w14:paraId="0FBD5D99"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Hotel Services</w:t>
            </w:r>
          </w:p>
        </w:tc>
      </w:tr>
      <w:tr w:rsidR="001C3AE6" w:rsidRPr="001C3AE6" w14:paraId="7355577A" w14:textId="77777777" w:rsidTr="001C3AE6">
        <w:trPr>
          <w:trHeight w:val="256"/>
        </w:trPr>
        <w:tc>
          <w:tcPr>
            <w:tcW w:w="2175" w:type="dxa"/>
            <w:shd w:val="clear" w:color="auto" w:fill="auto"/>
            <w:noWrap/>
            <w:vAlign w:val="bottom"/>
            <w:hideMark/>
          </w:tcPr>
          <w:p w14:paraId="4E3A87BD"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Imag</w:t>
            </w:r>
          </w:p>
        </w:tc>
        <w:tc>
          <w:tcPr>
            <w:tcW w:w="6917" w:type="dxa"/>
            <w:shd w:val="clear" w:color="auto" w:fill="auto"/>
            <w:noWrap/>
            <w:vAlign w:val="bottom"/>
            <w:hideMark/>
          </w:tcPr>
          <w:p w14:paraId="36764C2E"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Imaging services</w:t>
            </w:r>
          </w:p>
        </w:tc>
      </w:tr>
      <w:tr w:rsidR="001C3AE6" w:rsidRPr="001C3AE6" w14:paraId="7C972FE8" w14:textId="77777777" w:rsidTr="001C3AE6">
        <w:trPr>
          <w:trHeight w:val="256"/>
        </w:trPr>
        <w:tc>
          <w:tcPr>
            <w:tcW w:w="2175" w:type="dxa"/>
            <w:shd w:val="clear" w:color="auto" w:fill="auto"/>
            <w:noWrap/>
            <w:vAlign w:val="bottom"/>
            <w:hideMark/>
          </w:tcPr>
          <w:p w14:paraId="2C09CA33"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Lease</w:t>
            </w:r>
          </w:p>
        </w:tc>
        <w:tc>
          <w:tcPr>
            <w:tcW w:w="6917" w:type="dxa"/>
            <w:shd w:val="clear" w:color="auto" w:fill="auto"/>
            <w:noWrap/>
            <w:vAlign w:val="bottom"/>
            <w:hideMark/>
          </w:tcPr>
          <w:p w14:paraId="0E9EC924"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Leases</w:t>
            </w:r>
          </w:p>
        </w:tc>
      </w:tr>
      <w:tr w:rsidR="001C3AE6" w:rsidRPr="001C3AE6" w14:paraId="004D60ED" w14:textId="77777777" w:rsidTr="001C3AE6">
        <w:trPr>
          <w:trHeight w:val="256"/>
        </w:trPr>
        <w:tc>
          <w:tcPr>
            <w:tcW w:w="2175" w:type="dxa"/>
            <w:shd w:val="clear" w:color="auto" w:fill="auto"/>
            <w:noWrap/>
            <w:vAlign w:val="bottom"/>
            <w:hideMark/>
          </w:tcPr>
          <w:p w14:paraId="4F15E293"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MS</w:t>
            </w:r>
          </w:p>
        </w:tc>
        <w:tc>
          <w:tcPr>
            <w:tcW w:w="6917" w:type="dxa"/>
            <w:shd w:val="clear" w:color="auto" w:fill="auto"/>
            <w:noWrap/>
            <w:vAlign w:val="bottom"/>
            <w:hideMark/>
          </w:tcPr>
          <w:p w14:paraId="15A1EEA8"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Medical supplies</w:t>
            </w:r>
          </w:p>
        </w:tc>
      </w:tr>
      <w:tr w:rsidR="001C3AE6" w:rsidRPr="001C3AE6" w14:paraId="72DB16B5" w14:textId="77777777" w:rsidTr="001C3AE6">
        <w:trPr>
          <w:trHeight w:val="256"/>
        </w:trPr>
        <w:tc>
          <w:tcPr>
            <w:tcW w:w="2175" w:type="dxa"/>
            <w:shd w:val="clear" w:color="auto" w:fill="auto"/>
            <w:noWrap/>
            <w:vAlign w:val="bottom"/>
            <w:hideMark/>
          </w:tcPr>
          <w:p w14:paraId="338C18EC"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OnCosts</w:t>
            </w:r>
          </w:p>
        </w:tc>
        <w:tc>
          <w:tcPr>
            <w:tcW w:w="6917" w:type="dxa"/>
            <w:shd w:val="clear" w:color="auto" w:fill="auto"/>
            <w:noWrap/>
            <w:vAlign w:val="bottom"/>
            <w:hideMark/>
          </w:tcPr>
          <w:p w14:paraId="20A4F1C0"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General salary and wages on costs</w:t>
            </w:r>
          </w:p>
        </w:tc>
      </w:tr>
      <w:tr w:rsidR="001C3AE6" w:rsidRPr="001C3AE6" w14:paraId="60BA5715" w14:textId="77777777" w:rsidTr="001C3AE6">
        <w:trPr>
          <w:trHeight w:val="256"/>
        </w:trPr>
        <w:tc>
          <w:tcPr>
            <w:tcW w:w="2175" w:type="dxa"/>
            <w:shd w:val="clear" w:color="auto" w:fill="auto"/>
            <w:noWrap/>
            <w:vAlign w:val="bottom"/>
            <w:hideMark/>
          </w:tcPr>
          <w:p w14:paraId="5A03144A"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Path</w:t>
            </w:r>
          </w:p>
        </w:tc>
        <w:tc>
          <w:tcPr>
            <w:tcW w:w="6917" w:type="dxa"/>
            <w:shd w:val="clear" w:color="auto" w:fill="auto"/>
            <w:noWrap/>
            <w:vAlign w:val="bottom"/>
            <w:hideMark/>
          </w:tcPr>
          <w:p w14:paraId="432E4282"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Pathology services</w:t>
            </w:r>
          </w:p>
        </w:tc>
      </w:tr>
      <w:tr w:rsidR="001C3AE6" w:rsidRPr="001C3AE6" w14:paraId="1F7E94A1" w14:textId="77777777" w:rsidTr="001C3AE6">
        <w:trPr>
          <w:trHeight w:val="256"/>
        </w:trPr>
        <w:tc>
          <w:tcPr>
            <w:tcW w:w="2175" w:type="dxa"/>
            <w:shd w:val="clear" w:color="auto" w:fill="auto"/>
            <w:noWrap/>
            <w:vAlign w:val="bottom"/>
            <w:hideMark/>
          </w:tcPr>
          <w:p w14:paraId="67ABA302"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PharmNPBS</w:t>
            </w:r>
          </w:p>
        </w:tc>
        <w:tc>
          <w:tcPr>
            <w:tcW w:w="6917" w:type="dxa"/>
            <w:shd w:val="clear" w:color="auto" w:fill="auto"/>
            <w:noWrap/>
            <w:vAlign w:val="bottom"/>
            <w:hideMark/>
          </w:tcPr>
          <w:p w14:paraId="3E997086"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Pharmacy Non-PBS</w:t>
            </w:r>
          </w:p>
        </w:tc>
      </w:tr>
      <w:tr w:rsidR="001C3AE6" w:rsidRPr="001C3AE6" w14:paraId="0FC3E170" w14:textId="77777777" w:rsidTr="001C3AE6">
        <w:trPr>
          <w:trHeight w:val="256"/>
        </w:trPr>
        <w:tc>
          <w:tcPr>
            <w:tcW w:w="2175" w:type="dxa"/>
            <w:shd w:val="clear" w:color="auto" w:fill="auto"/>
            <w:noWrap/>
            <w:vAlign w:val="bottom"/>
            <w:hideMark/>
          </w:tcPr>
          <w:p w14:paraId="5618B70F"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PharmPBS</w:t>
            </w:r>
          </w:p>
        </w:tc>
        <w:tc>
          <w:tcPr>
            <w:tcW w:w="6917" w:type="dxa"/>
            <w:shd w:val="clear" w:color="auto" w:fill="auto"/>
            <w:noWrap/>
            <w:vAlign w:val="bottom"/>
            <w:hideMark/>
          </w:tcPr>
          <w:p w14:paraId="0D339ABC"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Pharmacy PBS</w:t>
            </w:r>
          </w:p>
        </w:tc>
      </w:tr>
      <w:tr w:rsidR="001C3AE6" w:rsidRPr="001C3AE6" w14:paraId="00627EDA" w14:textId="77777777" w:rsidTr="001C3AE6">
        <w:trPr>
          <w:trHeight w:val="256"/>
        </w:trPr>
        <w:tc>
          <w:tcPr>
            <w:tcW w:w="2175" w:type="dxa"/>
            <w:shd w:val="clear" w:color="auto" w:fill="auto"/>
            <w:noWrap/>
            <w:vAlign w:val="bottom"/>
            <w:hideMark/>
          </w:tcPr>
          <w:p w14:paraId="68AC2F92"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PharmS100</w:t>
            </w:r>
          </w:p>
        </w:tc>
        <w:tc>
          <w:tcPr>
            <w:tcW w:w="6917" w:type="dxa"/>
            <w:shd w:val="clear" w:color="auto" w:fill="auto"/>
            <w:noWrap/>
            <w:vAlign w:val="bottom"/>
            <w:hideMark/>
          </w:tcPr>
          <w:p w14:paraId="30A9E27C"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Pharmacy S100</w:t>
            </w:r>
          </w:p>
        </w:tc>
      </w:tr>
      <w:tr w:rsidR="001C3AE6" w:rsidRPr="001C3AE6" w14:paraId="10325341" w14:textId="77777777" w:rsidTr="001C3AE6">
        <w:trPr>
          <w:trHeight w:val="256"/>
        </w:trPr>
        <w:tc>
          <w:tcPr>
            <w:tcW w:w="2175" w:type="dxa"/>
            <w:shd w:val="clear" w:color="auto" w:fill="auto"/>
            <w:noWrap/>
            <w:vAlign w:val="bottom"/>
            <w:hideMark/>
          </w:tcPr>
          <w:p w14:paraId="5DA90F77"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Pros</w:t>
            </w:r>
          </w:p>
        </w:tc>
        <w:tc>
          <w:tcPr>
            <w:tcW w:w="6917" w:type="dxa"/>
            <w:shd w:val="clear" w:color="auto" w:fill="auto"/>
            <w:noWrap/>
            <w:vAlign w:val="bottom"/>
            <w:hideMark/>
          </w:tcPr>
          <w:p w14:paraId="39C330C2"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Prostheses expenses</w:t>
            </w:r>
          </w:p>
        </w:tc>
      </w:tr>
      <w:tr w:rsidR="001C3AE6" w:rsidRPr="001C3AE6" w14:paraId="52F968A6" w14:textId="77777777" w:rsidTr="001C3AE6">
        <w:trPr>
          <w:trHeight w:val="256"/>
        </w:trPr>
        <w:tc>
          <w:tcPr>
            <w:tcW w:w="2175" w:type="dxa"/>
            <w:shd w:val="clear" w:color="auto" w:fill="auto"/>
            <w:noWrap/>
            <w:vAlign w:val="bottom"/>
            <w:hideMark/>
          </w:tcPr>
          <w:p w14:paraId="75B090BE"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PtTransport</w:t>
            </w:r>
          </w:p>
        </w:tc>
        <w:tc>
          <w:tcPr>
            <w:tcW w:w="6917" w:type="dxa"/>
            <w:shd w:val="clear" w:color="auto" w:fill="auto"/>
            <w:noWrap/>
            <w:vAlign w:val="bottom"/>
            <w:hideMark/>
          </w:tcPr>
          <w:p w14:paraId="11ADC8B4" w14:textId="77777777" w:rsidR="001C3AE6" w:rsidRPr="001C3AE6" w:rsidRDefault="001C3AE6" w:rsidP="001C3AE6">
            <w:pPr>
              <w:spacing w:after="0" w:line="240" w:lineRule="auto"/>
              <w:rPr>
                <w:rFonts w:ascii="Calibri" w:hAnsi="Calibri" w:cs="Calibri"/>
                <w:color w:val="000000"/>
                <w:sz w:val="22"/>
                <w:szCs w:val="22"/>
                <w:lang w:eastAsia="en-AU"/>
              </w:rPr>
            </w:pPr>
            <w:r w:rsidRPr="001C3AE6">
              <w:rPr>
                <w:rFonts w:ascii="Calibri" w:hAnsi="Calibri" w:cs="Calibri"/>
                <w:color w:val="000000"/>
                <w:sz w:val="22"/>
                <w:szCs w:val="22"/>
                <w:lang w:eastAsia="en-AU"/>
              </w:rPr>
              <w:t>Patient Transport expenses</w:t>
            </w:r>
          </w:p>
        </w:tc>
      </w:tr>
    </w:tbl>
    <w:p w14:paraId="7677C0BC" w14:textId="77777777" w:rsidR="009C5EBB" w:rsidRDefault="009C5EBB" w:rsidP="00AF7397">
      <w:pPr>
        <w:pStyle w:val="Body"/>
      </w:pPr>
    </w:p>
    <w:p w14:paraId="2083D4D5" w14:textId="1FC9D05C" w:rsidR="00A35EF9" w:rsidRDefault="00A35EF9" w:rsidP="00A35EF9">
      <w:pPr>
        <w:pStyle w:val="Body"/>
      </w:pPr>
      <w:r>
        <w:t xml:space="preserve">For a list of account codes mapped to account types refer to </w:t>
      </w:r>
      <w:r w:rsidRPr="00370DB4">
        <w:rPr>
          <w:b/>
          <w:bCs/>
        </w:rPr>
        <w:t>Attachment 2</w:t>
      </w:r>
      <w:r>
        <w:t>.</w:t>
      </w:r>
    </w:p>
    <w:p w14:paraId="21F070D1" w14:textId="12A72347" w:rsidR="00A35EF9" w:rsidRDefault="00A35EF9" w:rsidP="00C14B32">
      <w:pPr>
        <w:pStyle w:val="Heading1"/>
      </w:pPr>
      <w:bookmarkStart w:id="10" w:name="_Toc144897052"/>
      <w:r>
        <w:t>Resource categories</w:t>
      </w:r>
      <w:bookmarkEnd w:id="10"/>
    </w:p>
    <w:p w14:paraId="5226B154" w14:textId="08699AE0" w:rsidR="00AF7397" w:rsidRDefault="00AF7397" w:rsidP="00AF7397">
      <w:pPr>
        <w:pStyle w:val="Body"/>
      </w:pPr>
      <w:r>
        <w:t xml:space="preserve">For reporting purposes, the cost areas </w:t>
      </w:r>
      <w:r w:rsidR="00A35EF9">
        <w:t>submitted by health services to the VCDC are mapped to a service cost group. This combin</w:t>
      </w:r>
      <w:r w:rsidR="0069055A">
        <w:t>ed</w:t>
      </w:r>
      <w:r w:rsidR="00A35EF9">
        <w:t xml:space="preserve"> with the</w:t>
      </w:r>
      <w:r>
        <w:t xml:space="preserve"> account </w:t>
      </w:r>
      <w:r w:rsidR="00A35EF9">
        <w:t>types</w:t>
      </w:r>
      <w:r>
        <w:t xml:space="preserve"> </w:t>
      </w:r>
      <w:r w:rsidR="00A35EF9">
        <w:t>determines the final allocation to a resource category</w:t>
      </w:r>
      <w:r w:rsidR="0069055A">
        <w:t>.</w:t>
      </w:r>
    </w:p>
    <w:p w14:paraId="3552513C" w14:textId="77777777" w:rsidR="00AF7397" w:rsidRPr="00AF7397" w:rsidRDefault="00AF7397" w:rsidP="00C14B32">
      <w:pPr>
        <w:pStyle w:val="Heading2"/>
      </w:pPr>
      <w:bookmarkStart w:id="11" w:name="_Toc509318730"/>
      <w:bookmarkStart w:id="12" w:name="_Toc20233008"/>
      <w:bookmarkStart w:id="13" w:name="_Toc144897053"/>
      <w:r w:rsidRPr="00AF7397">
        <w:t>Formation</w:t>
      </w:r>
      <w:bookmarkEnd w:id="11"/>
      <w:bookmarkEnd w:id="12"/>
      <w:bookmarkEnd w:id="13"/>
    </w:p>
    <w:p w14:paraId="26528815" w14:textId="4C572DF5" w:rsidR="008D3103" w:rsidRPr="00104DC0" w:rsidRDefault="008D3103" w:rsidP="008D3103">
      <w:pPr>
        <w:pStyle w:val="DHHSbody"/>
        <w:numPr>
          <w:ilvl w:val="0"/>
          <w:numId w:val="41"/>
        </w:numPr>
        <w:rPr>
          <w:sz w:val="21"/>
          <w:szCs w:val="21"/>
        </w:rPr>
      </w:pPr>
      <w:r w:rsidRPr="00104DC0">
        <w:rPr>
          <w:sz w:val="21"/>
          <w:szCs w:val="21"/>
        </w:rPr>
        <w:t xml:space="preserve">Resource categories must be viewed in conjunction with the VCDC COA cost centre and account code map for </w:t>
      </w:r>
      <w:r w:rsidR="00660E73">
        <w:rPr>
          <w:sz w:val="21"/>
          <w:szCs w:val="21"/>
        </w:rPr>
        <w:t xml:space="preserve">the </w:t>
      </w:r>
      <w:r w:rsidRPr="00104DC0">
        <w:rPr>
          <w:sz w:val="21"/>
          <w:szCs w:val="21"/>
        </w:rPr>
        <w:t>financial year the cost data represent</w:t>
      </w:r>
      <w:r w:rsidR="00370DB4">
        <w:rPr>
          <w:sz w:val="21"/>
          <w:szCs w:val="21"/>
        </w:rPr>
        <w:t>s</w:t>
      </w:r>
      <w:r w:rsidRPr="00104DC0">
        <w:rPr>
          <w:sz w:val="21"/>
          <w:szCs w:val="21"/>
        </w:rPr>
        <w:t>.</w:t>
      </w:r>
    </w:p>
    <w:p w14:paraId="473B6020" w14:textId="3063C08B" w:rsidR="008D3103" w:rsidRPr="00104DC0" w:rsidRDefault="008D3103" w:rsidP="008D3103">
      <w:pPr>
        <w:pStyle w:val="DHHSbody"/>
        <w:numPr>
          <w:ilvl w:val="0"/>
          <w:numId w:val="41"/>
        </w:numPr>
        <w:rPr>
          <w:sz w:val="21"/>
          <w:szCs w:val="21"/>
        </w:rPr>
      </w:pPr>
      <w:r w:rsidRPr="00104DC0">
        <w:rPr>
          <w:sz w:val="21"/>
          <w:szCs w:val="21"/>
        </w:rPr>
        <w:t>Resource categories consider a</w:t>
      </w:r>
      <w:r w:rsidR="003412A6">
        <w:rPr>
          <w:sz w:val="21"/>
          <w:szCs w:val="21"/>
        </w:rPr>
        <w:t xml:space="preserve">n </w:t>
      </w:r>
      <w:r w:rsidRPr="00104DC0">
        <w:rPr>
          <w:sz w:val="21"/>
          <w:szCs w:val="21"/>
        </w:rPr>
        <w:t>area</w:t>
      </w:r>
      <w:r w:rsidR="003412A6">
        <w:rPr>
          <w:sz w:val="21"/>
          <w:szCs w:val="21"/>
        </w:rPr>
        <w:t xml:space="preserve"> (cost centre</w:t>
      </w:r>
      <w:r w:rsidRPr="00104DC0">
        <w:rPr>
          <w:sz w:val="21"/>
          <w:szCs w:val="21"/>
        </w:rPr>
        <w:t xml:space="preserve">)/ account </w:t>
      </w:r>
      <w:r w:rsidR="003412A6">
        <w:rPr>
          <w:sz w:val="21"/>
          <w:szCs w:val="21"/>
        </w:rPr>
        <w:t>type</w:t>
      </w:r>
      <w:r w:rsidRPr="00104DC0">
        <w:rPr>
          <w:sz w:val="21"/>
          <w:szCs w:val="21"/>
        </w:rPr>
        <w:t xml:space="preserve"> combination to ensure comparisons and analysis are more relevant.</w:t>
      </w:r>
      <w:r w:rsidR="007110FE" w:rsidRPr="00104DC0">
        <w:rPr>
          <w:sz w:val="21"/>
          <w:szCs w:val="21"/>
        </w:rPr>
        <w:t xml:space="preserve"> Any </w:t>
      </w:r>
      <w:r w:rsidR="00104DC0" w:rsidRPr="00104DC0">
        <w:rPr>
          <w:sz w:val="21"/>
          <w:szCs w:val="21"/>
        </w:rPr>
        <w:t>lower-level</w:t>
      </w:r>
      <w:r w:rsidR="007110FE" w:rsidRPr="00104DC0">
        <w:rPr>
          <w:sz w:val="21"/>
          <w:szCs w:val="21"/>
        </w:rPr>
        <w:t xml:space="preserve"> analysis can be derived from details through the individual </w:t>
      </w:r>
      <w:r w:rsidR="003412A6">
        <w:rPr>
          <w:sz w:val="21"/>
          <w:szCs w:val="21"/>
        </w:rPr>
        <w:t>area (</w:t>
      </w:r>
      <w:r w:rsidR="007110FE" w:rsidRPr="00104DC0">
        <w:rPr>
          <w:sz w:val="21"/>
          <w:szCs w:val="21"/>
        </w:rPr>
        <w:t>cost centre</w:t>
      </w:r>
      <w:r w:rsidR="003412A6">
        <w:rPr>
          <w:sz w:val="21"/>
          <w:szCs w:val="21"/>
        </w:rPr>
        <w:t xml:space="preserve">) </w:t>
      </w:r>
      <w:r w:rsidR="007110FE" w:rsidRPr="00104DC0">
        <w:rPr>
          <w:sz w:val="21"/>
          <w:szCs w:val="21"/>
        </w:rPr>
        <w:t xml:space="preserve">and account </w:t>
      </w:r>
      <w:r w:rsidR="003412A6">
        <w:rPr>
          <w:sz w:val="21"/>
          <w:szCs w:val="21"/>
        </w:rPr>
        <w:t>type (expense code)</w:t>
      </w:r>
      <w:r w:rsidR="007110FE" w:rsidRPr="00104DC0">
        <w:rPr>
          <w:sz w:val="21"/>
          <w:szCs w:val="21"/>
        </w:rPr>
        <w:t xml:space="preserve"> maps.</w:t>
      </w:r>
    </w:p>
    <w:p w14:paraId="0FBAE26F" w14:textId="79178C1D" w:rsidR="007110FE" w:rsidRPr="00104DC0" w:rsidRDefault="007110FE" w:rsidP="008D3103">
      <w:pPr>
        <w:pStyle w:val="DHHSbody"/>
        <w:numPr>
          <w:ilvl w:val="0"/>
          <w:numId w:val="41"/>
        </w:numPr>
        <w:rPr>
          <w:sz w:val="21"/>
          <w:szCs w:val="21"/>
        </w:rPr>
      </w:pPr>
      <w:r w:rsidRPr="00104DC0">
        <w:rPr>
          <w:sz w:val="21"/>
          <w:szCs w:val="21"/>
        </w:rPr>
        <w:t>There are 3</w:t>
      </w:r>
      <w:r w:rsidR="006B3D5F">
        <w:rPr>
          <w:sz w:val="21"/>
          <w:szCs w:val="21"/>
        </w:rPr>
        <w:t>4</w:t>
      </w:r>
      <w:r w:rsidRPr="00104DC0">
        <w:rPr>
          <w:sz w:val="21"/>
          <w:szCs w:val="21"/>
        </w:rPr>
        <w:t xml:space="preserve"> main resource categories</w:t>
      </w:r>
      <w:r w:rsidR="00104DC0" w:rsidRPr="00104DC0">
        <w:rPr>
          <w:sz w:val="21"/>
          <w:szCs w:val="21"/>
        </w:rPr>
        <w:t xml:space="preserve"> and 9 information resource categories.</w:t>
      </w:r>
      <w:r w:rsidR="006A3F03">
        <w:rPr>
          <w:sz w:val="21"/>
          <w:szCs w:val="21"/>
        </w:rPr>
        <w:t xml:space="preserve"> Refer to </w:t>
      </w:r>
      <w:r w:rsidR="006A3F03" w:rsidRPr="006A3F03">
        <w:rPr>
          <w:b/>
          <w:bCs/>
          <w:sz w:val="21"/>
          <w:szCs w:val="21"/>
        </w:rPr>
        <w:t>table 1 and 2 below</w:t>
      </w:r>
      <w:r w:rsidR="006A3F03">
        <w:rPr>
          <w:sz w:val="21"/>
          <w:szCs w:val="21"/>
        </w:rPr>
        <w:t>.</w:t>
      </w:r>
    </w:p>
    <w:p w14:paraId="114A34A5" w14:textId="6144FE09" w:rsidR="007110FE" w:rsidRPr="00104DC0" w:rsidRDefault="007110FE" w:rsidP="007110FE">
      <w:pPr>
        <w:pStyle w:val="DHHSbody"/>
        <w:numPr>
          <w:ilvl w:val="0"/>
          <w:numId w:val="41"/>
        </w:numPr>
        <w:rPr>
          <w:sz w:val="21"/>
          <w:szCs w:val="21"/>
        </w:rPr>
      </w:pPr>
      <w:r w:rsidRPr="00104DC0">
        <w:rPr>
          <w:sz w:val="21"/>
          <w:szCs w:val="21"/>
        </w:rPr>
        <w:t>Expenses related to salary and wages administration, nursing, allied health, medical</w:t>
      </w:r>
      <w:r w:rsidR="009D2651">
        <w:rPr>
          <w:sz w:val="21"/>
          <w:szCs w:val="21"/>
        </w:rPr>
        <w:t xml:space="preserve"> including </w:t>
      </w:r>
      <w:r w:rsidRPr="00104DC0">
        <w:rPr>
          <w:sz w:val="21"/>
          <w:szCs w:val="21"/>
        </w:rPr>
        <w:t xml:space="preserve">HMO or sessional staff and other staff are now mapped to single </w:t>
      </w:r>
      <w:r w:rsidR="00436555">
        <w:rPr>
          <w:sz w:val="21"/>
          <w:szCs w:val="21"/>
        </w:rPr>
        <w:t>salary resource categories</w:t>
      </w:r>
      <w:r w:rsidRPr="00104DC0">
        <w:rPr>
          <w:sz w:val="21"/>
          <w:szCs w:val="21"/>
        </w:rPr>
        <w:t xml:space="preserve"> of Admin, Nursing, AlliedHealth, Medical or Other respectively.</w:t>
      </w:r>
    </w:p>
    <w:p w14:paraId="07CFEF00" w14:textId="0195FD35" w:rsidR="007110FE" w:rsidRPr="00104DC0" w:rsidRDefault="007110FE" w:rsidP="007110FE">
      <w:pPr>
        <w:pStyle w:val="DHHSbody"/>
        <w:numPr>
          <w:ilvl w:val="1"/>
          <w:numId w:val="41"/>
        </w:numPr>
        <w:rPr>
          <w:sz w:val="21"/>
          <w:szCs w:val="21"/>
        </w:rPr>
      </w:pPr>
      <w:r w:rsidRPr="00104DC0">
        <w:rPr>
          <w:sz w:val="21"/>
          <w:szCs w:val="21"/>
        </w:rPr>
        <w:t xml:space="preserve">This eliminates the assumption where for example, only sessional staff in a surgical defined cost centre provide surgical services.  Any </w:t>
      </w:r>
      <w:r w:rsidR="00104DC0" w:rsidRPr="00104DC0">
        <w:rPr>
          <w:sz w:val="21"/>
          <w:szCs w:val="21"/>
        </w:rPr>
        <w:t>lower-level</w:t>
      </w:r>
      <w:r w:rsidRPr="00104DC0">
        <w:rPr>
          <w:sz w:val="21"/>
          <w:szCs w:val="21"/>
        </w:rPr>
        <w:t xml:space="preserve"> analysis can be derived from details through the individual cost centre and account code maps.</w:t>
      </w:r>
    </w:p>
    <w:p w14:paraId="0336C6AD" w14:textId="4C32C8A3" w:rsidR="009D2651" w:rsidRPr="009D2651" w:rsidRDefault="009D2651" w:rsidP="009D2651">
      <w:pPr>
        <w:pStyle w:val="ListParagraph"/>
        <w:numPr>
          <w:ilvl w:val="0"/>
          <w:numId w:val="41"/>
        </w:numPr>
        <w:rPr>
          <w:rFonts w:eastAsia="Times"/>
          <w:szCs w:val="21"/>
        </w:rPr>
      </w:pPr>
      <w:r w:rsidRPr="009D2651">
        <w:rPr>
          <w:rFonts w:eastAsia="Times"/>
          <w:szCs w:val="21"/>
        </w:rPr>
        <w:t>There are a few areas where the expenses are fully contained within a specific service structure such as ED, ICU, CCU, Imaging, Pathology, Pharmacy, Theatre OR, Theatre Non OR, HITH and PNDC.  Those specific areas have been split between their salary and wages and supplies except for</w:t>
      </w:r>
      <w:r w:rsidR="00C14B32">
        <w:rPr>
          <w:rFonts w:eastAsia="Times"/>
          <w:szCs w:val="21"/>
        </w:rPr>
        <w:t xml:space="preserve"> </w:t>
      </w:r>
      <w:r w:rsidRPr="009D2651">
        <w:rPr>
          <w:rFonts w:eastAsia="Times"/>
          <w:szCs w:val="21"/>
        </w:rPr>
        <w:t xml:space="preserve">prostheses, </w:t>
      </w:r>
      <w:r w:rsidR="00C14B32">
        <w:rPr>
          <w:rFonts w:eastAsia="Times"/>
          <w:szCs w:val="21"/>
        </w:rPr>
        <w:t xml:space="preserve">national blood authority, </w:t>
      </w:r>
      <w:r w:rsidRPr="009D2651">
        <w:rPr>
          <w:rFonts w:eastAsia="Times"/>
          <w:szCs w:val="21"/>
        </w:rPr>
        <w:t xml:space="preserve">depreciation, </w:t>
      </w:r>
      <w:r w:rsidR="00C14B32">
        <w:rPr>
          <w:rFonts w:eastAsia="Times"/>
          <w:szCs w:val="21"/>
        </w:rPr>
        <w:t xml:space="preserve">COVID, </w:t>
      </w:r>
      <w:r w:rsidRPr="009D2651">
        <w:rPr>
          <w:rFonts w:eastAsia="Times"/>
          <w:szCs w:val="21"/>
        </w:rPr>
        <w:t>and expenses relating to transfer pricing and assets.</w:t>
      </w:r>
    </w:p>
    <w:p w14:paraId="5C60F420" w14:textId="77777777" w:rsidR="001F0AC8" w:rsidRDefault="007110FE" w:rsidP="00D93685">
      <w:pPr>
        <w:pStyle w:val="DHHSbody"/>
        <w:numPr>
          <w:ilvl w:val="0"/>
          <w:numId w:val="41"/>
        </w:numPr>
        <w:rPr>
          <w:sz w:val="21"/>
          <w:szCs w:val="21"/>
        </w:rPr>
      </w:pPr>
      <w:r w:rsidRPr="00104DC0">
        <w:rPr>
          <w:sz w:val="21"/>
          <w:szCs w:val="21"/>
        </w:rPr>
        <w:t xml:space="preserve">Information buckets are purely derived to </w:t>
      </w:r>
      <w:r w:rsidR="00C14B32">
        <w:rPr>
          <w:sz w:val="21"/>
          <w:szCs w:val="21"/>
        </w:rPr>
        <w:t>provide a further breakdown</w:t>
      </w:r>
      <w:r w:rsidRPr="00104DC0">
        <w:rPr>
          <w:sz w:val="21"/>
          <w:szCs w:val="21"/>
        </w:rPr>
        <w:t xml:space="preserve"> of expenses related to specific resources.  These costs </w:t>
      </w:r>
      <w:r w:rsidR="006A3F03">
        <w:rPr>
          <w:sz w:val="21"/>
          <w:szCs w:val="21"/>
        </w:rPr>
        <w:t>are</w:t>
      </w:r>
      <w:r w:rsidRPr="00104DC0">
        <w:rPr>
          <w:sz w:val="21"/>
          <w:szCs w:val="21"/>
        </w:rPr>
        <w:t xml:space="preserve"> also found in the mainstream cost buckets as specifie</w:t>
      </w:r>
      <w:r w:rsidR="006A3F03">
        <w:rPr>
          <w:sz w:val="21"/>
          <w:szCs w:val="21"/>
        </w:rPr>
        <w:t>d in table 2 below.</w:t>
      </w:r>
    </w:p>
    <w:p w14:paraId="3BE3B6E1" w14:textId="77777777" w:rsidR="00A317C2" w:rsidRDefault="00A317C2" w:rsidP="00A317C2">
      <w:pPr>
        <w:pStyle w:val="DHHSbody"/>
        <w:rPr>
          <w:sz w:val="21"/>
          <w:szCs w:val="21"/>
        </w:rPr>
      </w:pPr>
    </w:p>
    <w:p w14:paraId="6C645CBC" w14:textId="73E7A553" w:rsidR="00465EDC" w:rsidRPr="00465EDC" w:rsidRDefault="00465EDC" w:rsidP="00465EDC">
      <w:pPr>
        <w:pStyle w:val="Heading2"/>
      </w:pPr>
      <w:bookmarkStart w:id="14" w:name="_Toc144897054"/>
      <w:r>
        <w:t>Main resource categories</w:t>
      </w:r>
      <w:bookmarkEnd w:id="14"/>
    </w:p>
    <w:p w14:paraId="6F9C3262" w14:textId="364BCA9A" w:rsidR="00D93685" w:rsidRDefault="00D93685" w:rsidP="00D93685">
      <w:pPr>
        <w:pStyle w:val="DHHSbody"/>
      </w:pPr>
      <w:r w:rsidRPr="00460FF3">
        <w:rPr>
          <w:b/>
          <w:bCs/>
        </w:rPr>
        <w:t>Table 1</w:t>
      </w:r>
      <w:r>
        <w:t xml:space="preserve"> </w:t>
      </w:r>
      <w:r w:rsidRPr="006E0F80">
        <w:t>list</w:t>
      </w:r>
      <w:r>
        <w:t>s</w:t>
      </w:r>
      <w:r w:rsidRPr="006E0F80">
        <w:t xml:space="preserve"> </w:t>
      </w:r>
      <w:r>
        <w:t>the</w:t>
      </w:r>
      <w:r w:rsidRPr="006E0F80">
        <w:t xml:space="preserve"> </w:t>
      </w:r>
      <w:r>
        <w:t xml:space="preserve">current resource categories. Further details on what cost centre and account code combinations are used to derive these resource categories are at </w:t>
      </w:r>
      <w:r w:rsidRPr="00A317C2">
        <w:rPr>
          <w:b/>
          <w:bCs/>
        </w:rPr>
        <w:t xml:space="preserve">Attachment </w:t>
      </w:r>
      <w:r w:rsidR="00A317C2">
        <w:rPr>
          <w:b/>
          <w:bCs/>
        </w:rPr>
        <w:t>3</w:t>
      </w:r>
      <w:r>
        <w:t>.</w:t>
      </w:r>
    </w:p>
    <w:p w14:paraId="5645DE4C" w14:textId="4E9704F2" w:rsidR="00D93685" w:rsidRDefault="00D93685" w:rsidP="00553F6B">
      <w:pPr>
        <w:pStyle w:val="Tablecaption"/>
      </w:pPr>
      <w:bookmarkStart w:id="15" w:name="_Toc509318750"/>
      <w:r>
        <w:t xml:space="preserve">Table 1: VCDC </w:t>
      </w:r>
      <w:r w:rsidR="006A3F03">
        <w:t>resource categories</w:t>
      </w:r>
      <w:r>
        <w:t xml:space="preserve"> </w:t>
      </w:r>
      <w:bookmarkEnd w:id="15"/>
    </w:p>
    <w:tbl>
      <w:tblPr>
        <w:tblW w:w="9211" w:type="dxa"/>
        <w:tblLook w:val="04A0" w:firstRow="1" w:lastRow="0" w:firstColumn="1" w:lastColumn="0" w:noHBand="0" w:noVBand="1"/>
      </w:tblPr>
      <w:tblGrid>
        <w:gridCol w:w="677"/>
        <w:gridCol w:w="3075"/>
        <w:gridCol w:w="5459"/>
      </w:tblGrid>
      <w:tr w:rsidR="00933512" w:rsidRPr="00933512" w14:paraId="4B1A9340" w14:textId="77777777" w:rsidTr="00A317C2">
        <w:trPr>
          <w:cantSplit/>
          <w:trHeight w:val="283"/>
        </w:trPr>
        <w:tc>
          <w:tcPr>
            <w:tcW w:w="677" w:type="dxa"/>
            <w:tcBorders>
              <w:top w:val="nil"/>
              <w:left w:val="nil"/>
              <w:bottom w:val="nil"/>
              <w:right w:val="nil"/>
            </w:tcBorders>
            <w:shd w:val="clear" w:color="000000" w:fill="FFFFFF"/>
            <w:vAlign w:val="center"/>
            <w:hideMark/>
          </w:tcPr>
          <w:p w14:paraId="4A97C464" w14:textId="77777777" w:rsidR="00933512" w:rsidRPr="00933512" w:rsidRDefault="00933512" w:rsidP="00A317C2">
            <w:pPr>
              <w:spacing w:after="0" w:line="240" w:lineRule="auto"/>
              <w:rPr>
                <w:rFonts w:cs="Arial"/>
                <w:b/>
                <w:bCs/>
                <w:color w:val="FFFFFF"/>
                <w:sz w:val="20"/>
                <w:lang w:eastAsia="en-AU"/>
              </w:rPr>
            </w:pPr>
            <w:r w:rsidRPr="00933512">
              <w:rPr>
                <w:rFonts w:cs="Arial"/>
                <w:b/>
                <w:bCs/>
                <w:color w:val="FFFFFF"/>
                <w:sz w:val="20"/>
                <w:lang w:eastAsia="en-AU"/>
              </w:rPr>
              <w:t> </w:t>
            </w:r>
          </w:p>
        </w:tc>
        <w:tc>
          <w:tcPr>
            <w:tcW w:w="3075" w:type="dxa"/>
            <w:tcBorders>
              <w:top w:val="single" w:sz="8" w:space="0" w:color="auto"/>
              <w:left w:val="single" w:sz="8" w:space="0" w:color="auto"/>
              <w:bottom w:val="single" w:sz="8" w:space="0" w:color="auto"/>
              <w:right w:val="single" w:sz="8" w:space="0" w:color="auto"/>
            </w:tcBorders>
            <w:shd w:val="clear" w:color="auto" w:fill="E36C0A"/>
            <w:noWrap/>
            <w:vAlign w:val="center"/>
          </w:tcPr>
          <w:p w14:paraId="3B561149" w14:textId="5EA7CFA5" w:rsidR="00933512" w:rsidRPr="006A3F03" w:rsidRDefault="006A3F03" w:rsidP="00A317C2">
            <w:pPr>
              <w:spacing w:after="0" w:line="240" w:lineRule="auto"/>
              <w:rPr>
                <w:rFonts w:cs="Arial"/>
                <w:b/>
                <w:bCs/>
                <w:sz w:val="20"/>
                <w:lang w:eastAsia="en-AU"/>
              </w:rPr>
            </w:pPr>
            <w:r>
              <w:rPr>
                <w:rFonts w:cs="Arial"/>
                <w:b/>
                <w:bCs/>
                <w:sz w:val="20"/>
                <w:lang w:eastAsia="en-AU"/>
              </w:rPr>
              <w:t>Resource category</w:t>
            </w:r>
          </w:p>
        </w:tc>
        <w:tc>
          <w:tcPr>
            <w:tcW w:w="5459" w:type="dxa"/>
            <w:tcBorders>
              <w:top w:val="single" w:sz="8" w:space="0" w:color="auto"/>
              <w:left w:val="nil"/>
              <w:bottom w:val="single" w:sz="8" w:space="0" w:color="auto"/>
              <w:right w:val="single" w:sz="8" w:space="0" w:color="auto"/>
            </w:tcBorders>
            <w:shd w:val="clear" w:color="auto" w:fill="E36C0A"/>
            <w:noWrap/>
            <w:vAlign w:val="center"/>
          </w:tcPr>
          <w:p w14:paraId="6FE1F901" w14:textId="6419EF68" w:rsidR="00933512" w:rsidRPr="00933512" w:rsidRDefault="006A3F03" w:rsidP="00A317C2">
            <w:pPr>
              <w:spacing w:after="0" w:line="240" w:lineRule="auto"/>
              <w:rPr>
                <w:rFonts w:cs="Arial"/>
                <w:b/>
                <w:bCs/>
                <w:color w:val="FFFFFF"/>
                <w:sz w:val="20"/>
                <w:lang w:eastAsia="en-AU"/>
              </w:rPr>
            </w:pPr>
            <w:r w:rsidRPr="006A3F03">
              <w:rPr>
                <w:rFonts w:cs="Arial"/>
                <w:b/>
                <w:bCs/>
                <w:sz w:val="20"/>
                <w:lang w:eastAsia="en-AU"/>
              </w:rPr>
              <w:t>Description</w:t>
            </w:r>
          </w:p>
        </w:tc>
      </w:tr>
      <w:tr w:rsidR="00933512" w:rsidRPr="00933512" w14:paraId="1887451F" w14:textId="77777777" w:rsidTr="00A317C2">
        <w:trPr>
          <w:cantSplit/>
          <w:trHeight w:val="283"/>
        </w:trPr>
        <w:tc>
          <w:tcPr>
            <w:tcW w:w="677" w:type="dxa"/>
            <w:vMerge w:val="restart"/>
            <w:tcBorders>
              <w:top w:val="single" w:sz="8" w:space="0" w:color="auto"/>
              <w:left w:val="single" w:sz="8" w:space="0" w:color="auto"/>
              <w:bottom w:val="single" w:sz="8" w:space="0" w:color="000000"/>
              <w:right w:val="single" w:sz="8" w:space="0" w:color="auto"/>
            </w:tcBorders>
            <w:shd w:val="clear" w:color="auto" w:fill="E36C0A"/>
            <w:noWrap/>
            <w:textDirection w:val="btLr"/>
            <w:vAlign w:val="center"/>
            <w:hideMark/>
          </w:tcPr>
          <w:p w14:paraId="558FC9B4" w14:textId="77777777" w:rsidR="00933512" w:rsidRPr="00933512" w:rsidRDefault="00933512" w:rsidP="00A317C2">
            <w:pPr>
              <w:spacing w:after="0" w:line="240" w:lineRule="auto"/>
              <w:jc w:val="center"/>
              <w:rPr>
                <w:rFonts w:cs="Arial"/>
                <w:b/>
                <w:bCs/>
                <w:color w:val="000000"/>
                <w:sz w:val="20"/>
                <w:lang w:eastAsia="en-AU"/>
              </w:rPr>
            </w:pPr>
            <w:r w:rsidRPr="00933512">
              <w:rPr>
                <w:rFonts w:cs="Arial"/>
                <w:b/>
                <w:bCs/>
                <w:color w:val="000000"/>
                <w:sz w:val="20"/>
                <w:lang w:eastAsia="en-AU"/>
              </w:rPr>
              <w:t>Main Resource categories</w:t>
            </w:r>
          </w:p>
        </w:tc>
        <w:tc>
          <w:tcPr>
            <w:tcW w:w="3075" w:type="dxa"/>
            <w:tcBorders>
              <w:top w:val="nil"/>
              <w:left w:val="nil"/>
              <w:bottom w:val="single" w:sz="4" w:space="0" w:color="auto"/>
              <w:right w:val="single" w:sz="4" w:space="0" w:color="auto"/>
            </w:tcBorders>
            <w:shd w:val="clear" w:color="000000" w:fill="FFFFFF"/>
            <w:noWrap/>
            <w:vAlign w:val="center"/>
            <w:hideMark/>
          </w:tcPr>
          <w:p w14:paraId="0839D4DD"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Admin</w:t>
            </w:r>
          </w:p>
        </w:tc>
        <w:tc>
          <w:tcPr>
            <w:tcW w:w="5459" w:type="dxa"/>
            <w:tcBorders>
              <w:top w:val="nil"/>
              <w:left w:val="nil"/>
              <w:bottom w:val="single" w:sz="4" w:space="0" w:color="auto"/>
              <w:right w:val="single" w:sz="4" w:space="0" w:color="auto"/>
            </w:tcBorders>
            <w:shd w:val="clear" w:color="000000" w:fill="FFFFFF"/>
            <w:noWrap/>
            <w:vAlign w:val="center"/>
            <w:hideMark/>
          </w:tcPr>
          <w:p w14:paraId="2DA7C6ED"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Administration Salaries &amp; Wages</w:t>
            </w:r>
          </w:p>
        </w:tc>
      </w:tr>
      <w:tr w:rsidR="00933512" w:rsidRPr="00933512" w14:paraId="312A4F0F"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187373A1"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2027B843"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AlliedHealth</w:t>
            </w:r>
          </w:p>
        </w:tc>
        <w:tc>
          <w:tcPr>
            <w:tcW w:w="5459" w:type="dxa"/>
            <w:tcBorders>
              <w:top w:val="nil"/>
              <w:left w:val="nil"/>
              <w:bottom w:val="single" w:sz="4" w:space="0" w:color="auto"/>
              <w:right w:val="single" w:sz="4" w:space="0" w:color="auto"/>
            </w:tcBorders>
            <w:shd w:val="clear" w:color="000000" w:fill="FFFFFF"/>
            <w:noWrap/>
            <w:vAlign w:val="center"/>
            <w:hideMark/>
          </w:tcPr>
          <w:p w14:paraId="2ED4B4D6"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Allied Health Salaries</w:t>
            </w:r>
          </w:p>
        </w:tc>
      </w:tr>
      <w:tr w:rsidR="00933512" w:rsidRPr="00933512" w14:paraId="509E56D5"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3F27B9B5"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720C24A0"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AlliedHealthSuppl</w:t>
            </w:r>
          </w:p>
        </w:tc>
        <w:tc>
          <w:tcPr>
            <w:tcW w:w="5459" w:type="dxa"/>
            <w:tcBorders>
              <w:top w:val="nil"/>
              <w:left w:val="nil"/>
              <w:bottom w:val="single" w:sz="4" w:space="0" w:color="auto"/>
              <w:right w:val="single" w:sz="4" w:space="0" w:color="auto"/>
            </w:tcBorders>
            <w:shd w:val="clear" w:color="000000" w:fill="FFFFFF"/>
            <w:noWrap/>
            <w:vAlign w:val="center"/>
            <w:hideMark/>
          </w:tcPr>
          <w:p w14:paraId="56E60017"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Allied Health Supplies</w:t>
            </w:r>
          </w:p>
        </w:tc>
      </w:tr>
      <w:tr w:rsidR="00933512" w:rsidRPr="00933512" w14:paraId="1EB01811"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65761978"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7EBC069A"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CCU</w:t>
            </w:r>
          </w:p>
        </w:tc>
        <w:tc>
          <w:tcPr>
            <w:tcW w:w="5459" w:type="dxa"/>
            <w:tcBorders>
              <w:top w:val="nil"/>
              <w:left w:val="nil"/>
              <w:bottom w:val="single" w:sz="4" w:space="0" w:color="auto"/>
              <w:right w:val="single" w:sz="4" w:space="0" w:color="auto"/>
            </w:tcBorders>
            <w:shd w:val="clear" w:color="000000" w:fill="FFFFFF"/>
            <w:noWrap/>
            <w:vAlign w:val="center"/>
            <w:hideMark/>
          </w:tcPr>
          <w:p w14:paraId="0E56455F"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Coronary Care Unit Salaries</w:t>
            </w:r>
          </w:p>
        </w:tc>
      </w:tr>
      <w:tr w:rsidR="00933512" w:rsidRPr="00933512" w14:paraId="4E0E05E6"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649813BF"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393A82D8"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CCUSuppl</w:t>
            </w:r>
          </w:p>
        </w:tc>
        <w:tc>
          <w:tcPr>
            <w:tcW w:w="5459" w:type="dxa"/>
            <w:tcBorders>
              <w:top w:val="nil"/>
              <w:left w:val="nil"/>
              <w:bottom w:val="single" w:sz="4" w:space="0" w:color="auto"/>
              <w:right w:val="single" w:sz="4" w:space="0" w:color="auto"/>
            </w:tcBorders>
            <w:shd w:val="clear" w:color="000000" w:fill="FFFFFF"/>
            <w:noWrap/>
            <w:vAlign w:val="center"/>
            <w:hideMark/>
          </w:tcPr>
          <w:p w14:paraId="14BA66FF"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Coronary Care Unit Supplies</w:t>
            </w:r>
          </w:p>
        </w:tc>
      </w:tr>
      <w:tr w:rsidR="00933512" w:rsidRPr="00933512" w14:paraId="064A5546"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0B052A6A"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6038E086"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ED</w:t>
            </w:r>
          </w:p>
        </w:tc>
        <w:tc>
          <w:tcPr>
            <w:tcW w:w="5459" w:type="dxa"/>
            <w:tcBorders>
              <w:top w:val="nil"/>
              <w:left w:val="nil"/>
              <w:bottom w:val="single" w:sz="4" w:space="0" w:color="auto"/>
              <w:right w:val="single" w:sz="4" w:space="0" w:color="auto"/>
            </w:tcBorders>
            <w:shd w:val="clear" w:color="000000" w:fill="FFFFFF"/>
            <w:noWrap/>
            <w:vAlign w:val="center"/>
            <w:hideMark/>
          </w:tcPr>
          <w:p w14:paraId="010A617B"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Emergency Department Salaries</w:t>
            </w:r>
          </w:p>
        </w:tc>
      </w:tr>
      <w:tr w:rsidR="00933512" w:rsidRPr="00933512" w14:paraId="2E5E4EE5"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6CB60AA3"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1EC2FAFF"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EDSuppl</w:t>
            </w:r>
          </w:p>
        </w:tc>
        <w:tc>
          <w:tcPr>
            <w:tcW w:w="5459" w:type="dxa"/>
            <w:tcBorders>
              <w:top w:val="nil"/>
              <w:left w:val="nil"/>
              <w:bottom w:val="single" w:sz="4" w:space="0" w:color="auto"/>
              <w:right w:val="single" w:sz="4" w:space="0" w:color="auto"/>
            </w:tcBorders>
            <w:shd w:val="clear" w:color="000000" w:fill="FFFFFF"/>
            <w:noWrap/>
            <w:vAlign w:val="center"/>
            <w:hideMark/>
          </w:tcPr>
          <w:p w14:paraId="3923D2E4"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Emergency Department Supplies</w:t>
            </w:r>
          </w:p>
        </w:tc>
      </w:tr>
      <w:tr w:rsidR="00933512" w:rsidRPr="00933512" w14:paraId="33BBDB69"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73056767"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315CCDCF" w14:textId="204E6525"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Excl</w:t>
            </w:r>
            <w:r w:rsidR="006B3D5F">
              <w:rPr>
                <w:rFonts w:cs="Arial"/>
                <w:color w:val="000000"/>
                <w:sz w:val="20"/>
                <w:lang w:eastAsia="en-AU"/>
              </w:rPr>
              <w:t>ude</w:t>
            </w:r>
          </w:p>
        </w:tc>
        <w:tc>
          <w:tcPr>
            <w:tcW w:w="54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04D8C" w14:textId="006782FF"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 xml:space="preserve">Exclude </w:t>
            </w:r>
            <w:r w:rsidR="006B3D5F">
              <w:rPr>
                <w:rFonts w:cs="Arial"/>
                <w:color w:val="000000"/>
                <w:sz w:val="20"/>
                <w:lang w:eastAsia="en-AU"/>
              </w:rPr>
              <w:t>costs</w:t>
            </w:r>
          </w:p>
        </w:tc>
      </w:tr>
      <w:tr w:rsidR="00933512" w:rsidRPr="00933512" w14:paraId="0912AB31"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310CAB99"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4E1FEAFE"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ICU</w:t>
            </w:r>
          </w:p>
        </w:tc>
        <w:tc>
          <w:tcPr>
            <w:tcW w:w="5459" w:type="dxa"/>
            <w:tcBorders>
              <w:top w:val="single" w:sz="4" w:space="0" w:color="auto"/>
              <w:left w:val="nil"/>
              <w:bottom w:val="single" w:sz="4" w:space="0" w:color="auto"/>
              <w:right w:val="single" w:sz="4" w:space="0" w:color="auto"/>
            </w:tcBorders>
            <w:shd w:val="clear" w:color="000000" w:fill="FFFFFF"/>
            <w:noWrap/>
            <w:vAlign w:val="center"/>
            <w:hideMark/>
          </w:tcPr>
          <w:p w14:paraId="3986F285"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Intensive Care Unit Salaries</w:t>
            </w:r>
          </w:p>
        </w:tc>
      </w:tr>
      <w:tr w:rsidR="00933512" w:rsidRPr="00933512" w14:paraId="3ED79C0A"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2C3E263B"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674D7E72"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ICUSuppl</w:t>
            </w:r>
          </w:p>
        </w:tc>
        <w:tc>
          <w:tcPr>
            <w:tcW w:w="5459" w:type="dxa"/>
            <w:tcBorders>
              <w:top w:val="nil"/>
              <w:left w:val="nil"/>
              <w:bottom w:val="single" w:sz="4" w:space="0" w:color="auto"/>
              <w:right w:val="single" w:sz="4" w:space="0" w:color="auto"/>
            </w:tcBorders>
            <w:shd w:val="clear" w:color="000000" w:fill="FFFFFF"/>
            <w:noWrap/>
            <w:vAlign w:val="center"/>
            <w:hideMark/>
          </w:tcPr>
          <w:p w14:paraId="22F8D387"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Intensive Care Unit Supplies</w:t>
            </w:r>
          </w:p>
        </w:tc>
      </w:tr>
      <w:tr w:rsidR="00933512" w:rsidRPr="00933512" w14:paraId="57471475"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7089F5BC"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77A51FC9"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Imaging</w:t>
            </w:r>
          </w:p>
        </w:tc>
        <w:tc>
          <w:tcPr>
            <w:tcW w:w="5459" w:type="dxa"/>
            <w:tcBorders>
              <w:top w:val="nil"/>
              <w:left w:val="nil"/>
              <w:bottom w:val="single" w:sz="4" w:space="0" w:color="auto"/>
              <w:right w:val="single" w:sz="4" w:space="0" w:color="auto"/>
            </w:tcBorders>
            <w:shd w:val="clear" w:color="000000" w:fill="FFFFFF"/>
            <w:noWrap/>
            <w:vAlign w:val="center"/>
            <w:hideMark/>
          </w:tcPr>
          <w:p w14:paraId="14C150D7"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Imaging Services Salaries</w:t>
            </w:r>
          </w:p>
        </w:tc>
      </w:tr>
      <w:tr w:rsidR="00933512" w:rsidRPr="00933512" w14:paraId="3E37F4D9"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5CE8A9DD"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64C9698F"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ImagingSuppl</w:t>
            </w:r>
          </w:p>
        </w:tc>
        <w:tc>
          <w:tcPr>
            <w:tcW w:w="5459" w:type="dxa"/>
            <w:tcBorders>
              <w:top w:val="nil"/>
              <w:left w:val="nil"/>
              <w:bottom w:val="single" w:sz="4" w:space="0" w:color="auto"/>
              <w:right w:val="single" w:sz="4" w:space="0" w:color="auto"/>
            </w:tcBorders>
            <w:shd w:val="clear" w:color="000000" w:fill="FFFFFF"/>
            <w:noWrap/>
            <w:vAlign w:val="center"/>
            <w:hideMark/>
          </w:tcPr>
          <w:p w14:paraId="1DE390D5"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Imaging Services Supplies</w:t>
            </w:r>
          </w:p>
        </w:tc>
      </w:tr>
      <w:tr w:rsidR="00933512" w:rsidRPr="00933512" w14:paraId="503BBA03"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03B90EE3"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6D7CDD13"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Medical</w:t>
            </w:r>
          </w:p>
        </w:tc>
        <w:tc>
          <w:tcPr>
            <w:tcW w:w="5459" w:type="dxa"/>
            <w:tcBorders>
              <w:top w:val="nil"/>
              <w:left w:val="nil"/>
              <w:bottom w:val="single" w:sz="4" w:space="0" w:color="auto"/>
              <w:right w:val="single" w:sz="4" w:space="0" w:color="auto"/>
            </w:tcBorders>
            <w:shd w:val="clear" w:color="000000" w:fill="FFFFFF"/>
            <w:noWrap/>
            <w:vAlign w:val="center"/>
            <w:hideMark/>
          </w:tcPr>
          <w:p w14:paraId="6A3A0E19"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Medical Salaries &amp; Wages</w:t>
            </w:r>
          </w:p>
        </w:tc>
      </w:tr>
      <w:tr w:rsidR="00933512" w:rsidRPr="00933512" w14:paraId="6CEB93FB"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1E5BD245"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439E57FD"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MedicalSuppl</w:t>
            </w:r>
          </w:p>
        </w:tc>
        <w:tc>
          <w:tcPr>
            <w:tcW w:w="5459" w:type="dxa"/>
            <w:tcBorders>
              <w:top w:val="nil"/>
              <w:left w:val="nil"/>
              <w:bottom w:val="single" w:sz="4" w:space="0" w:color="auto"/>
              <w:right w:val="single" w:sz="4" w:space="0" w:color="auto"/>
            </w:tcBorders>
            <w:shd w:val="clear" w:color="000000" w:fill="FFFFFF"/>
            <w:noWrap/>
            <w:vAlign w:val="center"/>
            <w:hideMark/>
          </w:tcPr>
          <w:p w14:paraId="2CA26438"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Medical Supplies</w:t>
            </w:r>
          </w:p>
        </w:tc>
      </w:tr>
      <w:tr w:rsidR="00933512" w:rsidRPr="00933512" w14:paraId="157894B6"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2498E3A5"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1861F44E"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Nursing</w:t>
            </w:r>
          </w:p>
        </w:tc>
        <w:tc>
          <w:tcPr>
            <w:tcW w:w="5459" w:type="dxa"/>
            <w:tcBorders>
              <w:top w:val="nil"/>
              <w:left w:val="nil"/>
              <w:bottom w:val="single" w:sz="4" w:space="0" w:color="auto"/>
              <w:right w:val="single" w:sz="4" w:space="0" w:color="auto"/>
            </w:tcBorders>
            <w:shd w:val="clear" w:color="000000" w:fill="FFFFFF"/>
            <w:noWrap/>
            <w:vAlign w:val="center"/>
            <w:hideMark/>
          </w:tcPr>
          <w:p w14:paraId="00E61321"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Nursing</w:t>
            </w:r>
          </w:p>
        </w:tc>
      </w:tr>
      <w:tr w:rsidR="00933512" w:rsidRPr="00933512" w14:paraId="12F95598"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4DEDB4AD"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33393CC8"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NursingSuppl</w:t>
            </w:r>
          </w:p>
        </w:tc>
        <w:tc>
          <w:tcPr>
            <w:tcW w:w="5459" w:type="dxa"/>
            <w:tcBorders>
              <w:top w:val="nil"/>
              <w:left w:val="nil"/>
              <w:bottom w:val="single" w:sz="4" w:space="0" w:color="auto"/>
              <w:right w:val="single" w:sz="4" w:space="0" w:color="auto"/>
            </w:tcBorders>
            <w:shd w:val="clear" w:color="000000" w:fill="FFFFFF"/>
            <w:noWrap/>
            <w:vAlign w:val="center"/>
            <w:hideMark/>
          </w:tcPr>
          <w:p w14:paraId="35DDA46A"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Nursing Supplies</w:t>
            </w:r>
          </w:p>
        </w:tc>
      </w:tr>
      <w:tr w:rsidR="00933512" w:rsidRPr="00933512" w14:paraId="4CCDB131"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02556EF5"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228E4C1A"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Other</w:t>
            </w:r>
          </w:p>
        </w:tc>
        <w:tc>
          <w:tcPr>
            <w:tcW w:w="5459" w:type="dxa"/>
            <w:tcBorders>
              <w:top w:val="nil"/>
              <w:left w:val="nil"/>
              <w:bottom w:val="single" w:sz="4" w:space="0" w:color="auto"/>
              <w:right w:val="single" w:sz="4" w:space="0" w:color="auto"/>
            </w:tcBorders>
            <w:shd w:val="clear" w:color="000000" w:fill="FFFFFF"/>
            <w:noWrap/>
            <w:vAlign w:val="center"/>
            <w:hideMark/>
          </w:tcPr>
          <w:p w14:paraId="480A4389"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Other</w:t>
            </w:r>
          </w:p>
        </w:tc>
      </w:tr>
      <w:tr w:rsidR="00933512" w:rsidRPr="00933512" w14:paraId="0ADB8088"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0A137727"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27CEB82F"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OtherSuppl</w:t>
            </w:r>
          </w:p>
        </w:tc>
        <w:tc>
          <w:tcPr>
            <w:tcW w:w="5459" w:type="dxa"/>
            <w:tcBorders>
              <w:top w:val="nil"/>
              <w:left w:val="nil"/>
              <w:bottom w:val="single" w:sz="4" w:space="0" w:color="auto"/>
              <w:right w:val="single" w:sz="4" w:space="0" w:color="auto"/>
            </w:tcBorders>
            <w:shd w:val="clear" w:color="000000" w:fill="FFFFFF"/>
            <w:noWrap/>
            <w:vAlign w:val="center"/>
            <w:hideMark/>
          </w:tcPr>
          <w:p w14:paraId="407CB293"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Other Supplies</w:t>
            </w:r>
          </w:p>
        </w:tc>
      </w:tr>
      <w:tr w:rsidR="00933512" w:rsidRPr="00933512" w14:paraId="757EA09F"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21DE8DB1"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71EE8030"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Pathology</w:t>
            </w:r>
          </w:p>
        </w:tc>
        <w:tc>
          <w:tcPr>
            <w:tcW w:w="5459" w:type="dxa"/>
            <w:tcBorders>
              <w:top w:val="nil"/>
              <w:left w:val="nil"/>
              <w:bottom w:val="single" w:sz="4" w:space="0" w:color="auto"/>
              <w:right w:val="single" w:sz="4" w:space="0" w:color="auto"/>
            </w:tcBorders>
            <w:shd w:val="clear" w:color="000000" w:fill="FFFFFF"/>
            <w:noWrap/>
            <w:vAlign w:val="center"/>
            <w:hideMark/>
          </w:tcPr>
          <w:p w14:paraId="65B896D0"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Pathology Salaries</w:t>
            </w:r>
          </w:p>
        </w:tc>
      </w:tr>
      <w:tr w:rsidR="00933512" w:rsidRPr="00933512" w14:paraId="54E420B2"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15E4E5A8"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094B151B"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PathologySuppl</w:t>
            </w:r>
          </w:p>
        </w:tc>
        <w:tc>
          <w:tcPr>
            <w:tcW w:w="5459" w:type="dxa"/>
            <w:tcBorders>
              <w:top w:val="nil"/>
              <w:left w:val="single" w:sz="4" w:space="0" w:color="auto"/>
              <w:bottom w:val="single" w:sz="4" w:space="0" w:color="auto"/>
              <w:right w:val="single" w:sz="4" w:space="0" w:color="auto"/>
            </w:tcBorders>
            <w:shd w:val="clear" w:color="000000" w:fill="FFFFFF"/>
            <w:noWrap/>
            <w:vAlign w:val="center"/>
            <w:hideMark/>
          </w:tcPr>
          <w:p w14:paraId="207573B1"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Pathology Supplies</w:t>
            </w:r>
          </w:p>
        </w:tc>
      </w:tr>
      <w:tr w:rsidR="00933512" w:rsidRPr="00933512" w14:paraId="56CF655B"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4EC72CDF"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4A11498B"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Pharmacy</w:t>
            </w:r>
          </w:p>
        </w:tc>
        <w:tc>
          <w:tcPr>
            <w:tcW w:w="5459" w:type="dxa"/>
            <w:tcBorders>
              <w:top w:val="nil"/>
              <w:left w:val="nil"/>
              <w:bottom w:val="single" w:sz="4" w:space="0" w:color="auto"/>
              <w:right w:val="single" w:sz="4" w:space="0" w:color="auto"/>
            </w:tcBorders>
            <w:shd w:val="clear" w:color="000000" w:fill="FFFFFF"/>
            <w:noWrap/>
            <w:vAlign w:val="center"/>
            <w:hideMark/>
          </w:tcPr>
          <w:p w14:paraId="143F2DDE"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Pharmacy Salaries</w:t>
            </w:r>
          </w:p>
        </w:tc>
      </w:tr>
      <w:tr w:rsidR="00933512" w:rsidRPr="00933512" w14:paraId="1ADF6F54"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6D702760"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02A38D7B"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PharmacySuppl</w:t>
            </w:r>
          </w:p>
        </w:tc>
        <w:tc>
          <w:tcPr>
            <w:tcW w:w="5459" w:type="dxa"/>
            <w:tcBorders>
              <w:top w:val="nil"/>
              <w:left w:val="single" w:sz="4" w:space="0" w:color="auto"/>
              <w:bottom w:val="single" w:sz="4" w:space="0" w:color="auto"/>
              <w:right w:val="single" w:sz="4" w:space="0" w:color="auto"/>
            </w:tcBorders>
            <w:shd w:val="clear" w:color="000000" w:fill="FFFFFF"/>
            <w:noWrap/>
            <w:vAlign w:val="center"/>
            <w:hideMark/>
          </w:tcPr>
          <w:p w14:paraId="5777680C"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Pharmacy Supplies</w:t>
            </w:r>
          </w:p>
        </w:tc>
      </w:tr>
      <w:tr w:rsidR="00933512" w:rsidRPr="00933512" w14:paraId="75E4981E"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08BEA144"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143D6694"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TheatreNonOR</w:t>
            </w:r>
          </w:p>
        </w:tc>
        <w:tc>
          <w:tcPr>
            <w:tcW w:w="5459" w:type="dxa"/>
            <w:tcBorders>
              <w:top w:val="nil"/>
              <w:left w:val="nil"/>
              <w:bottom w:val="single" w:sz="4" w:space="0" w:color="auto"/>
              <w:right w:val="single" w:sz="4" w:space="0" w:color="auto"/>
            </w:tcBorders>
            <w:shd w:val="clear" w:color="000000" w:fill="FFFFFF"/>
            <w:noWrap/>
            <w:vAlign w:val="center"/>
            <w:hideMark/>
          </w:tcPr>
          <w:p w14:paraId="1294EA13"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Theatre Non-Operating Room Salaries</w:t>
            </w:r>
          </w:p>
        </w:tc>
      </w:tr>
      <w:tr w:rsidR="00933512" w:rsidRPr="00933512" w14:paraId="4782F0DC"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5DACA019"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4286B9D2"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TheatreNonORSuppl</w:t>
            </w:r>
          </w:p>
        </w:tc>
        <w:tc>
          <w:tcPr>
            <w:tcW w:w="5459" w:type="dxa"/>
            <w:tcBorders>
              <w:top w:val="nil"/>
              <w:left w:val="nil"/>
              <w:bottom w:val="single" w:sz="4" w:space="0" w:color="auto"/>
              <w:right w:val="single" w:sz="4" w:space="0" w:color="auto"/>
            </w:tcBorders>
            <w:shd w:val="clear" w:color="000000" w:fill="FFFFFF"/>
            <w:noWrap/>
            <w:vAlign w:val="center"/>
            <w:hideMark/>
          </w:tcPr>
          <w:p w14:paraId="459385DB"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Theatre Non-Operating Room Supplies</w:t>
            </w:r>
          </w:p>
        </w:tc>
      </w:tr>
      <w:tr w:rsidR="00933512" w:rsidRPr="00933512" w14:paraId="08CFD926"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055EFAA6"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27C253CD"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TheatreOR</w:t>
            </w:r>
          </w:p>
        </w:tc>
        <w:tc>
          <w:tcPr>
            <w:tcW w:w="5459" w:type="dxa"/>
            <w:tcBorders>
              <w:top w:val="nil"/>
              <w:left w:val="nil"/>
              <w:bottom w:val="single" w:sz="4" w:space="0" w:color="auto"/>
              <w:right w:val="single" w:sz="4" w:space="0" w:color="auto"/>
            </w:tcBorders>
            <w:shd w:val="clear" w:color="000000" w:fill="FFFFFF"/>
            <w:noWrap/>
            <w:vAlign w:val="center"/>
            <w:hideMark/>
          </w:tcPr>
          <w:p w14:paraId="65159A5D"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Theatre Operating Room Salaries</w:t>
            </w:r>
          </w:p>
        </w:tc>
      </w:tr>
      <w:tr w:rsidR="00933512" w:rsidRPr="00933512" w14:paraId="5DF553DB"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28CA47D8"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7332F66B"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TheatreORSuppl</w:t>
            </w:r>
          </w:p>
        </w:tc>
        <w:tc>
          <w:tcPr>
            <w:tcW w:w="5459" w:type="dxa"/>
            <w:tcBorders>
              <w:top w:val="nil"/>
              <w:left w:val="single" w:sz="4" w:space="0" w:color="auto"/>
              <w:bottom w:val="single" w:sz="4" w:space="0" w:color="auto"/>
              <w:right w:val="single" w:sz="4" w:space="0" w:color="auto"/>
            </w:tcBorders>
            <w:shd w:val="clear" w:color="000000" w:fill="FFFFFF"/>
            <w:noWrap/>
            <w:vAlign w:val="center"/>
            <w:hideMark/>
          </w:tcPr>
          <w:p w14:paraId="0524559E"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Theatre Operating Room Supplies</w:t>
            </w:r>
          </w:p>
        </w:tc>
      </w:tr>
      <w:tr w:rsidR="00933512" w:rsidRPr="00933512" w14:paraId="65DA1F21"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279EE103"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152AEB83"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HITH</w:t>
            </w:r>
          </w:p>
        </w:tc>
        <w:tc>
          <w:tcPr>
            <w:tcW w:w="5459" w:type="dxa"/>
            <w:tcBorders>
              <w:top w:val="nil"/>
              <w:left w:val="nil"/>
              <w:bottom w:val="single" w:sz="4" w:space="0" w:color="auto"/>
              <w:right w:val="single" w:sz="4" w:space="0" w:color="auto"/>
            </w:tcBorders>
            <w:shd w:val="clear" w:color="000000" w:fill="FFFFFF"/>
            <w:noWrap/>
            <w:vAlign w:val="center"/>
            <w:hideMark/>
          </w:tcPr>
          <w:p w14:paraId="2A99B5A4"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Hospital In The Home Salaries</w:t>
            </w:r>
          </w:p>
        </w:tc>
      </w:tr>
      <w:tr w:rsidR="00933512" w:rsidRPr="00933512" w14:paraId="52D881A6"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7BE92AEC"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3B209C31"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HITHSuppl</w:t>
            </w:r>
          </w:p>
        </w:tc>
        <w:tc>
          <w:tcPr>
            <w:tcW w:w="5459" w:type="dxa"/>
            <w:tcBorders>
              <w:top w:val="nil"/>
              <w:left w:val="single" w:sz="4" w:space="0" w:color="auto"/>
              <w:bottom w:val="single" w:sz="4" w:space="0" w:color="auto"/>
              <w:right w:val="single" w:sz="4" w:space="0" w:color="auto"/>
            </w:tcBorders>
            <w:shd w:val="clear" w:color="000000" w:fill="FFFFFF"/>
            <w:noWrap/>
            <w:vAlign w:val="center"/>
            <w:hideMark/>
          </w:tcPr>
          <w:p w14:paraId="6D14D266"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Hospital In The Home Supplies</w:t>
            </w:r>
          </w:p>
        </w:tc>
      </w:tr>
      <w:tr w:rsidR="00933512" w:rsidRPr="00933512" w14:paraId="09FE61DF"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56F29B0A"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3432B164"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PNDC</w:t>
            </w:r>
          </w:p>
        </w:tc>
        <w:tc>
          <w:tcPr>
            <w:tcW w:w="5459" w:type="dxa"/>
            <w:tcBorders>
              <w:top w:val="nil"/>
              <w:left w:val="nil"/>
              <w:bottom w:val="single" w:sz="4" w:space="0" w:color="auto"/>
              <w:right w:val="single" w:sz="4" w:space="0" w:color="auto"/>
            </w:tcBorders>
            <w:shd w:val="clear" w:color="000000" w:fill="FFFFFF"/>
            <w:noWrap/>
            <w:vAlign w:val="center"/>
            <w:hideMark/>
          </w:tcPr>
          <w:p w14:paraId="17CC0C3E"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Post Natal Domiciliary Care Salaries</w:t>
            </w:r>
          </w:p>
        </w:tc>
      </w:tr>
      <w:tr w:rsidR="00933512" w:rsidRPr="00933512" w14:paraId="172FDE30"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7EFD5617"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57DCA564"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PNDCSuppl</w:t>
            </w:r>
          </w:p>
        </w:tc>
        <w:tc>
          <w:tcPr>
            <w:tcW w:w="5459" w:type="dxa"/>
            <w:tcBorders>
              <w:top w:val="nil"/>
              <w:left w:val="single" w:sz="4" w:space="0" w:color="auto"/>
              <w:bottom w:val="single" w:sz="4" w:space="0" w:color="auto"/>
              <w:right w:val="single" w:sz="4" w:space="0" w:color="auto"/>
            </w:tcBorders>
            <w:shd w:val="clear" w:color="000000" w:fill="FFFFFF"/>
            <w:noWrap/>
            <w:vAlign w:val="center"/>
            <w:hideMark/>
          </w:tcPr>
          <w:p w14:paraId="46C1E30A"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Post Natal Domiciliary Care Supplies</w:t>
            </w:r>
          </w:p>
        </w:tc>
      </w:tr>
      <w:tr w:rsidR="00933512" w:rsidRPr="00933512" w14:paraId="2BD82503"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226B8BF7"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4" w:space="0" w:color="auto"/>
              <w:right w:val="single" w:sz="4" w:space="0" w:color="auto"/>
            </w:tcBorders>
            <w:shd w:val="clear" w:color="000000" w:fill="FFFFFF"/>
            <w:noWrap/>
            <w:vAlign w:val="center"/>
            <w:hideMark/>
          </w:tcPr>
          <w:p w14:paraId="12E542DF"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PROS</w:t>
            </w:r>
          </w:p>
        </w:tc>
        <w:tc>
          <w:tcPr>
            <w:tcW w:w="5459" w:type="dxa"/>
            <w:tcBorders>
              <w:top w:val="nil"/>
              <w:left w:val="nil"/>
              <w:bottom w:val="single" w:sz="4" w:space="0" w:color="auto"/>
              <w:right w:val="single" w:sz="4" w:space="0" w:color="auto"/>
            </w:tcBorders>
            <w:shd w:val="clear" w:color="000000" w:fill="FFFFFF"/>
            <w:noWrap/>
            <w:vAlign w:val="center"/>
            <w:hideMark/>
          </w:tcPr>
          <w:p w14:paraId="00432B13"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Prostheses</w:t>
            </w:r>
          </w:p>
        </w:tc>
      </w:tr>
      <w:tr w:rsidR="00933512" w:rsidRPr="00933512" w14:paraId="1B4BA89C"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1E10A4E8"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nil"/>
              <w:right w:val="single" w:sz="4" w:space="0" w:color="auto"/>
            </w:tcBorders>
            <w:shd w:val="clear" w:color="000000" w:fill="FFFFFF"/>
            <w:noWrap/>
            <w:vAlign w:val="center"/>
            <w:hideMark/>
          </w:tcPr>
          <w:p w14:paraId="7F931EB6"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NBA</w:t>
            </w:r>
          </w:p>
        </w:tc>
        <w:tc>
          <w:tcPr>
            <w:tcW w:w="5459" w:type="dxa"/>
            <w:tcBorders>
              <w:top w:val="single" w:sz="4" w:space="0" w:color="auto"/>
              <w:left w:val="single" w:sz="4" w:space="0" w:color="auto"/>
              <w:bottom w:val="nil"/>
              <w:right w:val="single" w:sz="4" w:space="0" w:color="auto"/>
            </w:tcBorders>
            <w:shd w:val="clear" w:color="000000" w:fill="FFFFFF"/>
            <w:noWrap/>
            <w:vAlign w:val="center"/>
            <w:hideMark/>
          </w:tcPr>
          <w:p w14:paraId="4A0E226E"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National Blood Authority</w:t>
            </w:r>
          </w:p>
        </w:tc>
      </w:tr>
      <w:tr w:rsidR="00933512" w:rsidRPr="00933512" w14:paraId="78A98CA2"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4090298F"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single" w:sz="8" w:space="0" w:color="auto"/>
              <w:left w:val="nil"/>
              <w:bottom w:val="single" w:sz="4" w:space="0" w:color="auto"/>
              <w:right w:val="single" w:sz="4" w:space="0" w:color="auto"/>
            </w:tcBorders>
            <w:shd w:val="clear" w:color="000000" w:fill="FFFFFF"/>
            <w:noWrap/>
            <w:vAlign w:val="center"/>
            <w:hideMark/>
          </w:tcPr>
          <w:p w14:paraId="75973853"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COVID</w:t>
            </w:r>
          </w:p>
        </w:tc>
        <w:tc>
          <w:tcPr>
            <w:tcW w:w="5459" w:type="dxa"/>
            <w:tcBorders>
              <w:top w:val="single" w:sz="8" w:space="0" w:color="auto"/>
              <w:left w:val="nil"/>
              <w:bottom w:val="single" w:sz="4" w:space="0" w:color="auto"/>
              <w:right w:val="single" w:sz="4" w:space="0" w:color="auto"/>
            </w:tcBorders>
            <w:shd w:val="clear" w:color="000000" w:fill="FFFFFF"/>
            <w:noWrap/>
            <w:vAlign w:val="center"/>
            <w:hideMark/>
          </w:tcPr>
          <w:p w14:paraId="4558BF23"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Established COVID cost centres</w:t>
            </w:r>
          </w:p>
        </w:tc>
      </w:tr>
      <w:tr w:rsidR="00933512" w:rsidRPr="00933512" w14:paraId="1FF4F38B" w14:textId="77777777" w:rsidTr="00A317C2">
        <w:trPr>
          <w:cantSplit/>
          <w:trHeight w:val="283"/>
        </w:trPr>
        <w:tc>
          <w:tcPr>
            <w:tcW w:w="677" w:type="dxa"/>
            <w:vMerge/>
            <w:tcBorders>
              <w:top w:val="single" w:sz="8" w:space="0" w:color="auto"/>
              <w:left w:val="single" w:sz="8" w:space="0" w:color="auto"/>
              <w:bottom w:val="single" w:sz="8" w:space="0" w:color="000000"/>
              <w:right w:val="single" w:sz="8" w:space="0" w:color="auto"/>
            </w:tcBorders>
            <w:shd w:val="clear" w:color="auto" w:fill="E36C0A"/>
            <w:vAlign w:val="center"/>
            <w:hideMark/>
          </w:tcPr>
          <w:p w14:paraId="1B852AC6" w14:textId="77777777" w:rsidR="00933512" w:rsidRPr="00933512" w:rsidRDefault="00933512" w:rsidP="00A317C2">
            <w:pPr>
              <w:spacing w:after="0" w:line="240" w:lineRule="auto"/>
              <w:rPr>
                <w:rFonts w:cs="Arial"/>
                <w:b/>
                <w:bCs/>
                <w:color w:val="000000"/>
                <w:sz w:val="20"/>
                <w:lang w:eastAsia="en-AU"/>
              </w:rPr>
            </w:pPr>
          </w:p>
        </w:tc>
        <w:tc>
          <w:tcPr>
            <w:tcW w:w="3075" w:type="dxa"/>
            <w:tcBorders>
              <w:top w:val="nil"/>
              <w:left w:val="nil"/>
              <w:bottom w:val="single" w:sz="8" w:space="0" w:color="auto"/>
              <w:right w:val="single" w:sz="4" w:space="0" w:color="auto"/>
            </w:tcBorders>
            <w:shd w:val="clear" w:color="000000" w:fill="FFFFFF"/>
            <w:noWrap/>
            <w:vAlign w:val="center"/>
            <w:hideMark/>
          </w:tcPr>
          <w:p w14:paraId="5EC6B496"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COVIDEx</w:t>
            </w:r>
          </w:p>
        </w:tc>
        <w:tc>
          <w:tcPr>
            <w:tcW w:w="5459" w:type="dxa"/>
            <w:tcBorders>
              <w:top w:val="nil"/>
              <w:left w:val="nil"/>
              <w:bottom w:val="single" w:sz="8" w:space="0" w:color="auto"/>
              <w:right w:val="single" w:sz="4" w:space="0" w:color="auto"/>
            </w:tcBorders>
            <w:shd w:val="clear" w:color="000000" w:fill="FFFFFF"/>
            <w:noWrap/>
            <w:vAlign w:val="center"/>
            <w:hideMark/>
          </w:tcPr>
          <w:p w14:paraId="080AC359" w14:textId="77777777" w:rsidR="00933512" w:rsidRPr="00933512" w:rsidRDefault="00933512" w:rsidP="00A317C2">
            <w:pPr>
              <w:spacing w:after="0" w:line="240" w:lineRule="auto"/>
              <w:rPr>
                <w:rFonts w:cs="Arial"/>
                <w:color w:val="000000"/>
                <w:sz w:val="20"/>
                <w:lang w:eastAsia="en-AU"/>
              </w:rPr>
            </w:pPr>
            <w:r w:rsidRPr="00933512">
              <w:rPr>
                <w:rFonts w:cs="Arial"/>
                <w:color w:val="000000"/>
                <w:sz w:val="20"/>
                <w:lang w:eastAsia="en-AU"/>
              </w:rPr>
              <w:t>Established COVID cost centres</w:t>
            </w:r>
          </w:p>
        </w:tc>
      </w:tr>
    </w:tbl>
    <w:p w14:paraId="0C1E7D74" w14:textId="77777777" w:rsidR="00933512" w:rsidRPr="00933512" w:rsidRDefault="00933512" w:rsidP="00933512">
      <w:pPr>
        <w:pStyle w:val="Body"/>
      </w:pPr>
    </w:p>
    <w:p w14:paraId="5CB7B1DC" w14:textId="000421F1" w:rsidR="001F0AC8" w:rsidRDefault="00D93685" w:rsidP="00D93685">
      <w:pPr>
        <w:pStyle w:val="Heading2"/>
      </w:pPr>
      <w:bookmarkStart w:id="16" w:name="_Toc144897055"/>
      <w:r>
        <w:t>Information resource categories</w:t>
      </w:r>
      <w:bookmarkEnd w:id="16"/>
    </w:p>
    <w:p w14:paraId="159E0D14" w14:textId="5071D550" w:rsidR="00D93685" w:rsidRDefault="00D93685" w:rsidP="00D93685">
      <w:pPr>
        <w:pStyle w:val="Body"/>
      </w:pPr>
      <w:r>
        <w:t xml:space="preserve">The information </w:t>
      </w:r>
      <w:r w:rsidR="00B92B2A">
        <w:t xml:space="preserve">resource </w:t>
      </w:r>
      <w:r>
        <w:t xml:space="preserve">categories (or previously known as the </w:t>
      </w:r>
      <w:r w:rsidR="00B92B2A">
        <w:t>information/</w:t>
      </w:r>
      <w:r>
        <w:t xml:space="preserve">supplementary buckets) are defined to provide further dissection of the main </w:t>
      </w:r>
      <w:r w:rsidR="00460FF3">
        <w:t>resource categories</w:t>
      </w:r>
      <w:r>
        <w:t xml:space="preserve"> to assist in more granular analysis and understanding of the data.</w:t>
      </w:r>
    </w:p>
    <w:p w14:paraId="6B68885D" w14:textId="77777777" w:rsidR="00D93685" w:rsidRDefault="00D93685" w:rsidP="00D93685">
      <w:pPr>
        <w:pStyle w:val="Body"/>
      </w:pPr>
      <w:r>
        <w:t xml:space="preserve">Predominately these have been derived based on the account type groups (as defined above) regardless of the cost area or service cost group it has been reported under. </w:t>
      </w:r>
    </w:p>
    <w:p w14:paraId="3996C9FB" w14:textId="0D9B514C" w:rsidR="00D93685" w:rsidRPr="00D93685" w:rsidRDefault="00D93685" w:rsidP="00D93685">
      <w:pPr>
        <w:pStyle w:val="Body"/>
      </w:pPr>
      <w:r w:rsidRPr="00460FF3">
        <w:rPr>
          <w:b/>
          <w:bCs/>
        </w:rPr>
        <w:t>Table 2</w:t>
      </w:r>
      <w:r>
        <w:t xml:space="preserve"> below lists the various information </w:t>
      </w:r>
      <w:r w:rsidR="00B92B2A">
        <w:t>resource categories</w:t>
      </w:r>
      <w:r>
        <w:t xml:space="preserve"> that have been derived. For a </w:t>
      </w:r>
      <w:r w:rsidR="0055315A">
        <w:t>more detailed list of inputs,</w:t>
      </w:r>
      <w:r>
        <w:t xml:space="preserve"> refer to the tables at </w:t>
      </w:r>
      <w:r w:rsidRPr="00460FF3">
        <w:rPr>
          <w:b/>
          <w:bCs/>
        </w:rPr>
        <w:t>Attachment 3</w:t>
      </w:r>
      <w:r>
        <w:t>.</w:t>
      </w:r>
    </w:p>
    <w:p w14:paraId="170948EE" w14:textId="77777777" w:rsidR="00F10002" w:rsidRDefault="00F10002" w:rsidP="00553F6B">
      <w:pPr>
        <w:pStyle w:val="Tablecaption"/>
      </w:pPr>
      <w:bookmarkStart w:id="17" w:name="_Toc509318751"/>
      <w:r>
        <w:t xml:space="preserve">Table 2: Information buckets </w:t>
      </w:r>
      <w:bookmarkEnd w:id="17"/>
    </w:p>
    <w:tbl>
      <w:tblPr>
        <w:tblW w:w="5008" w:type="pct"/>
        <w:tblLook w:val="04A0" w:firstRow="1" w:lastRow="0" w:firstColumn="1" w:lastColumn="0" w:noHBand="0" w:noVBand="1"/>
      </w:tblPr>
      <w:tblGrid>
        <w:gridCol w:w="3426"/>
        <w:gridCol w:w="2137"/>
        <w:gridCol w:w="3730"/>
      </w:tblGrid>
      <w:tr w:rsidR="006E7FD0" w:rsidRPr="006E7FD0" w14:paraId="194AA769" w14:textId="77777777" w:rsidTr="00933512">
        <w:trPr>
          <w:trHeight w:val="255"/>
        </w:trPr>
        <w:tc>
          <w:tcPr>
            <w:tcW w:w="1699" w:type="pct"/>
            <w:tcBorders>
              <w:top w:val="single" w:sz="8" w:space="0" w:color="auto"/>
              <w:left w:val="single" w:sz="8" w:space="0" w:color="auto"/>
              <w:bottom w:val="single" w:sz="8" w:space="0" w:color="auto"/>
              <w:right w:val="single" w:sz="8" w:space="0" w:color="auto"/>
            </w:tcBorders>
            <w:shd w:val="clear" w:color="auto" w:fill="E36C0A"/>
            <w:noWrap/>
            <w:vAlign w:val="center"/>
            <w:hideMark/>
          </w:tcPr>
          <w:p w14:paraId="0B62C238" w14:textId="2639075B" w:rsidR="006E7FD0" w:rsidRPr="006E7FD0" w:rsidRDefault="006E7FD0" w:rsidP="006E7FD0">
            <w:pPr>
              <w:spacing w:after="0" w:line="240" w:lineRule="auto"/>
              <w:jc w:val="center"/>
              <w:rPr>
                <w:rFonts w:cs="Arial"/>
                <w:b/>
                <w:bCs/>
                <w:color w:val="000000"/>
                <w:szCs w:val="21"/>
                <w:lang w:eastAsia="en-AU"/>
              </w:rPr>
            </w:pPr>
            <w:r w:rsidRPr="006E7FD0">
              <w:rPr>
                <w:rFonts w:cs="Arial"/>
                <w:b/>
                <w:bCs/>
                <w:color w:val="000000"/>
                <w:szCs w:val="21"/>
                <w:lang w:eastAsia="en-AU"/>
              </w:rPr>
              <w:t xml:space="preserve">Information </w:t>
            </w:r>
            <w:r w:rsidR="00460FF3">
              <w:rPr>
                <w:rFonts w:cs="Arial"/>
                <w:b/>
                <w:bCs/>
                <w:color w:val="000000"/>
                <w:szCs w:val="21"/>
                <w:lang w:eastAsia="en-AU"/>
              </w:rPr>
              <w:t>resource categories</w:t>
            </w:r>
          </w:p>
        </w:tc>
        <w:tc>
          <w:tcPr>
            <w:tcW w:w="1222" w:type="pct"/>
            <w:tcBorders>
              <w:top w:val="single" w:sz="8" w:space="0" w:color="auto"/>
              <w:left w:val="nil"/>
              <w:bottom w:val="single" w:sz="8" w:space="0" w:color="auto"/>
              <w:right w:val="single" w:sz="8" w:space="0" w:color="auto"/>
            </w:tcBorders>
            <w:shd w:val="clear" w:color="000000" w:fill="E36C0A"/>
            <w:noWrap/>
            <w:vAlign w:val="center"/>
            <w:hideMark/>
          </w:tcPr>
          <w:p w14:paraId="66C187C7" w14:textId="77777777" w:rsidR="006E7FD0" w:rsidRPr="006E7FD0" w:rsidRDefault="006E7FD0" w:rsidP="006E7FD0">
            <w:pPr>
              <w:spacing w:after="0" w:line="240" w:lineRule="auto"/>
              <w:jc w:val="center"/>
              <w:rPr>
                <w:rFonts w:cs="Arial"/>
                <w:b/>
                <w:bCs/>
                <w:color w:val="000000"/>
                <w:szCs w:val="21"/>
                <w:lang w:eastAsia="en-AU"/>
              </w:rPr>
            </w:pPr>
            <w:r w:rsidRPr="006E7FD0">
              <w:rPr>
                <w:rFonts w:cs="Arial"/>
                <w:b/>
                <w:bCs/>
                <w:szCs w:val="21"/>
                <w:lang w:eastAsia="en-AU"/>
              </w:rPr>
              <w:t>Account Type</w:t>
            </w:r>
          </w:p>
        </w:tc>
        <w:tc>
          <w:tcPr>
            <w:tcW w:w="2079" w:type="pct"/>
            <w:tcBorders>
              <w:top w:val="single" w:sz="8" w:space="0" w:color="auto"/>
              <w:left w:val="nil"/>
              <w:bottom w:val="single" w:sz="8" w:space="0" w:color="auto"/>
              <w:right w:val="single" w:sz="8" w:space="0" w:color="auto"/>
            </w:tcBorders>
            <w:shd w:val="clear" w:color="000000" w:fill="E36C0A"/>
            <w:noWrap/>
            <w:vAlign w:val="center"/>
            <w:hideMark/>
          </w:tcPr>
          <w:p w14:paraId="2982C84B" w14:textId="28F32C82" w:rsidR="006E7FD0" w:rsidRPr="006E7FD0" w:rsidRDefault="006E7FD0" w:rsidP="006E7FD0">
            <w:pPr>
              <w:spacing w:after="0" w:line="240" w:lineRule="auto"/>
              <w:jc w:val="center"/>
              <w:rPr>
                <w:rFonts w:cs="Arial"/>
                <w:b/>
                <w:bCs/>
                <w:color w:val="000000"/>
                <w:szCs w:val="21"/>
                <w:lang w:eastAsia="en-AU"/>
              </w:rPr>
            </w:pPr>
            <w:r w:rsidRPr="006E7FD0">
              <w:rPr>
                <w:rFonts w:cs="Arial"/>
                <w:b/>
                <w:bCs/>
                <w:szCs w:val="21"/>
                <w:lang w:eastAsia="en-AU"/>
              </w:rPr>
              <w:t xml:space="preserve">Main </w:t>
            </w:r>
            <w:r w:rsidR="00460FF3">
              <w:rPr>
                <w:rFonts w:cs="Arial"/>
                <w:b/>
                <w:bCs/>
                <w:szCs w:val="21"/>
                <w:lang w:eastAsia="en-AU"/>
              </w:rPr>
              <w:t>resource category</w:t>
            </w:r>
          </w:p>
        </w:tc>
      </w:tr>
      <w:tr w:rsidR="006E7FD0" w:rsidRPr="006E7FD0" w14:paraId="2872510F" w14:textId="77777777" w:rsidTr="00465EDC">
        <w:trPr>
          <w:trHeight w:val="242"/>
        </w:trPr>
        <w:tc>
          <w:tcPr>
            <w:tcW w:w="1699" w:type="pct"/>
            <w:tcBorders>
              <w:top w:val="nil"/>
              <w:left w:val="single" w:sz="8" w:space="0" w:color="auto"/>
              <w:bottom w:val="single" w:sz="8" w:space="0" w:color="auto"/>
              <w:right w:val="single" w:sz="8" w:space="0" w:color="auto"/>
            </w:tcBorders>
            <w:shd w:val="clear" w:color="auto" w:fill="auto"/>
            <w:noWrap/>
            <w:vAlign w:val="center"/>
            <w:hideMark/>
          </w:tcPr>
          <w:p w14:paraId="60052988"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Pharmacy PBS</w:t>
            </w:r>
          </w:p>
        </w:tc>
        <w:tc>
          <w:tcPr>
            <w:tcW w:w="1222" w:type="pct"/>
            <w:tcBorders>
              <w:top w:val="nil"/>
              <w:left w:val="nil"/>
              <w:bottom w:val="single" w:sz="8" w:space="0" w:color="auto"/>
              <w:right w:val="single" w:sz="8" w:space="0" w:color="auto"/>
            </w:tcBorders>
            <w:shd w:val="clear" w:color="auto" w:fill="auto"/>
            <w:noWrap/>
            <w:vAlign w:val="center"/>
            <w:hideMark/>
          </w:tcPr>
          <w:p w14:paraId="41171DB3" w14:textId="483FAB33"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Pharm</w:t>
            </w:r>
            <w:r w:rsidR="004809E1">
              <w:rPr>
                <w:rFonts w:cs="Arial"/>
                <w:color w:val="000000"/>
                <w:szCs w:val="21"/>
                <w:lang w:eastAsia="en-AU"/>
              </w:rPr>
              <w:t>acy</w:t>
            </w:r>
            <w:r w:rsidRPr="006E7FD0">
              <w:rPr>
                <w:rFonts w:cs="Arial"/>
                <w:color w:val="000000"/>
                <w:szCs w:val="21"/>
                <w:lang w:eastAsia="en-AU"/>
              </w:rPr>
              <w:t>PBS</w:t>
            </w:r>
          </w:p>
        </w:tc>
        <w:tc>
          <w:tcPr>
            <w:tcW w:w="2079" w:type="pct"/>
            <w:tcBorders>
              <w:top w:val="nil"/>
              <w:left w:val="nil"/>
              <w:bottom w:val="single" w:sz="8" w:space="0" w:color="auto"/>
              <w:right w:val="single" w:sz="8" w:space="0" w:color="auto"/>
            </w:tcBorders>
            <w:shd w:val="clear" w:color="auto" w:fill="auto"/>
            <w:noWrap/>
            <w:vAlign w:val="center"/>
            <w:hideMark/>
          </w:tcPr>
          <w:p w14:paraId="2EDB26F5"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Pharmacy</w:t>
            </w:r>
          </w:p>
        </w:tc>
      </w:tr>
      <w:tr w:rsidR="006E7FD0" w:rsidRPr="006E7FD0" w14:paraId="6D41D925" w14:textId="77777777" w:rsidTr="00465EDC">
        <w:trPr>
          <w:trHeight w:val="255"/>
        </w:trPr>
        <w:tc>
          <w:tcPr>
            <w:tcW w:w="1699" w:type="pct"/>
            <w:tcBorders>
              <w:top w:val="nil"/>
              <w:left w:val="single" w:sz="8" w:space="0" w:color="auto"/>
              <w:bottom w:val="single" w:sz="8" w:space="0" w:color="auto"/>
              <w:right w:val="single" w:sz="8" w:space="0" w:color="auto"/>
            </w:tcBorders>
            <w:shd w:val="clear" w:color="auto" w:fill="auto"/>
            <w:noWrap/>
            <w:vAlign w:val="center"/>
            <w:hideMark/>
          </w:tcPr>
          <w:p w14:paraId="449C6DF0"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Pharmacy S100</w:t>
            </w:r>
          </w:p>
        </w:tc>
        <w:tc>
          <w:tcPr>
            <w:tcW w:w="1222" w:type="pct"/>
            <w:tcBorders>
              <w:top w:val="nil"/>
              <w:left w:val="nil"/>
              <w:bottom w:val="single" w:sz="8" w:space="0" w:color="auto"/>
              <w:right w:val="single" w:sz="8" w:space="0" w:color="auto"/>
            </w:tcBorders>
            <w:shd w:val="clear" w:color="auto" w:fill="auto"/>
            <w:noWrap/>
            <w:vAlign w:val="center"/>
            <w:hideMark/>
          </w:tcPr>
          <w:p w14:paraId="40326096" w14:textId="6E489D9D"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Pharm</w:t>
            </w:r>
            <w:r w:rsidR="004809E1">
              <w:rPr>
                <w:rFonts w:cs="Arial"/>
                <w:color w:val="000000"/>
                <w:szCs w:val="21"/>
                <w:lang w:eastAsia="en-AU"/>
              </w:rPr>
              <w:t>acy</w:t>
            </w:r>
            <w:r w:rsidRPr="006E7FD0">
              <w:rPr>
                <w:rFonts w:cs="Arial"/>
                <w:color w:val="000000"/>
                <w:szCs w:val="21"/>
                <w:lang w:eastAsia="en-AU"/>
              </w:rPr>
              <w:t>S100</w:t>
            </w:r>
          </w:p>
        </w:tc>
        <w:tc>
          <w:tcPr>
            <w:tcW w:w="2079" w:type="pct"/>
            <w:tcBorders>
              <w:top w:val="nil"/>
              <w:left w:val="nil"/>
              <w:bottom w:val="single" w:sz="8" w:space="0" w:color="auto"/>
              <w:right w:val="single" w:sz="8" w:space="0" w:color="auto"/>
            </w:tcBorders>
            <w:shd w:val="clear" w:color="auto" w:fill="auto"/>
            <w:noWrap/>
            <w:vAlign w:val="center"/>
            <w:hideMark/>
          </w:tcPr>
          <w:p w14:paraId="67B03082"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Pharmacy</w:t>
            </w:r>
          </w:p>
        </w:tc>
      </w:tr>
      <w:tr w:rsidR="006E7FD0" w:rsidRPr="006E7FD0" w14:paraId="58DE5366" w14:textId="77777777" w:rsidTr="00465EDC">
        <w:trPr>
          <w:trHeight w:val="255"/>
        </w:trPr>
        <w:tc>
          <w:tcPr>
            <w:tcW w:w="1699" w:type="pct"/>
            <w:tcBorders>
              <w:top w:val="nil"/>
              <w:left w:val="single" w:sz="8" w:space="0" w:color="auto"/>
              <w:bottom w:val="single" w:sz="8" w:space="0" w:color="auto"/>
              <w:right w:val="single" w:sz="8" w:space="0" w:color="auto"/>
            </w:tcBorders>
            <w:shd w:val="clear" w:color="auto" w:fill="auto"/>
            <w:noWrap/>
            <w:vAlign w:val="center"/>
            <w:hideMark/>
          </w:tcPr>
          <w:p w14:paraId="12344C31"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Pharmacy Non PBS</w:t>
            </w:r>
          </w:p>
        </w:tc>
        <w:tc>
          <w:tcPr>
            <w:tcW w:w="1222" w:type="pct"/>
            <w:tcBorders>
              <w:top w:val="nil"/>
              <w:left w:val="nil"/>
              <w:bottom w:val="single" w:sz="8" w:space="0" w:color="auto"/>
              <w:right w:val="single" w:sz="8" w:space="0" w:color="auto"/>
            </w:tcBorders>
            <w:shd w:val="clear" w:color="auto" w:fill="auto"/>
            <w:noWrap/>
            <w:vAlign w:val="center"/>
            <w:hideMark/>
          </w:tcPr>
          <w:p w14:paraId="7B5BAF11" w14:textId="2FCC4479"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Pharm</w:t>
            </w:r>
            <w:r w:rsidR="004809E1">
              <w:rPr>
                <w:rFonts w:cs="Arial"/>
                <w:color w:val="000000"/>
                <w:szCs w:val="21"/>
                <w:lang w:eastAsia="en-AU"/>
              </w:rPr>
              <w:t>acy</w:t>
            </w:r>
            <w:r w:rsidRPr="006E7FD0">
              <w:rPr>
                <w:rFonts w:cs="Arial"/>
                <w:color w:val="000000"/>
                <w:szCs w:val="21"/>
                <w:lang w:eastAsia="en-AU"/>
              </w:rPr>
              <w:t>NPBS</w:t>
            </w:r>
          </w:p>
        </w:tc>
        <w:tc>
          <w:tcPr>
            <w:tcW w:w="2079" w:type="pct"/>
            <w:tcBorders>
              <w:top w:val="nil"/>
              <w:left w:val="nil"/>
              <w:bottom w:val="single" w:sz="8" w:space="0" w:color="auto"/>
              <w:right w:val="single" w:sz="8" w:space="0" w:color="auto"/>
            </w:tcBorders>
            <w:shd w:val="clear" w:color="auto" w:fill="auto"/>
            <w:noWrap/>
            <w:vAlign w:val="center"/>
            <w:hideMark/>
          </w:tcPr>
          <w:p w14:paraId="07581305"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Pharmacy</w:t>
            </w:r>
          </w:p>
        </w:tc>
      </w:tr>
      <w:tr w:rsidR="006E7FD0" w:rsidRPr="006E7FD0" w14:paraId="3942CCFB" w14:textId="77777777" w:rsidTr="00465EDC">
        <w:trPr>
          <w:trHeight w:val="255"/>
        </w:trPr>
        <w:tc>
          <w:tcPr>
            <w:tcW w:w="1699" w:type="pct"/>
            <w:tcBorders>
              <w:top w:val="nil"/>
              <w:left w:val="single" w:sz="8" w:space="0" w:color="auto"/>
              <w:bottom w:val="single" w:sz="8" w:space="0" w:color="auto"/>
              <w:right w:val="single" w:sz="8" w:space="0" w:color="auto"/>
            </w:tcBorders>
            <w:shd w:val="clear" w:color="auto" w:fill="auto"/>
            <w:noWrap/>
            <w:vAlign w:val="center"/>
            <w:hideMark/>
          </w:tcPr>
          <w:p w14:paraId="64324CD0"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Appliances</w:t>
            </w:r>
          </w:p>
        </w:tc>
        <w:tc>
          <w:tcPr>
            <w:tcW w:w="1222" w:type="pct"/>
            <w:tcBorders>
              <w:top w:val="nil"/>
              <w:left w:val="nil"/>
              <w:bottom w:val="single" w:sz="8" w:space="0" w:color="auto"/>
              <w:right w:val="single" w:sz="8" w:space="0" w:color="auto"/>
            </w:tcBorders>
            <w:shd w:val="clear" w:color="auto" w:fill="auto"/>
            <w:noWrap/>
            <w:vAlign w:val="center"/>
            <w:hideMark/>
          </w:tcPr>
          <w:p w14:paraId="78B9C2D1"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Appl</w:t>
            </w:r>
          </w:p>
        </w:tc>
        <w:tc>
          <w:tcPr>
            <w:tcW w:w="2079" w:type="pct"/>
            <w:tcBorders>
              <w:top w:val="nil"/>
              <w:left w:val="nil"/>
              <w:bottom w:val="single" w:sz="8" w:space="0" w:color="auto"/>
              <w:right w:val="single" w:sz="8" w:space="0" w:color="auto"/>
            </w:tcBorders>
            <w:shd w:val="clear" w:color="auto" w:fill="auto"/>
            <w:noWrap/>
            <w:vAlign w:val="center"/>
            <w:hideMark/>
          </w:tcPr>
          <w:p w14:paraId="0973C46A"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Various non S&amp;W buckets</w:t>
            </w:r>
          </w:p>
        </w:tc>
      </w:tr>
      <w:tr w:rsidR="006E7FD0" w:rsidRPr="006E7FD0" w14:paraId="25C14032" w14:textId="77777777" w:rsidTr="00465EDC">
        <w:trPr>
          <w:trHeight w:val="255"/>
        </w:trPr>
        <w:tc>
          <w:tcPr>
            <w:tcW w:w="1699" w:type="pct"/>
            <w:tcBorders>
              <w:top w:val="nil"/>
              <w:left w:val="single" w:sz="8" w:space="0" w:color="auto"/>
              <w:bottom w:val="single" w:sz="8" w:space="0" w:color="auto"/>
              <w:right w:val="single" w:sz="8" w:space="0" w:color="auto"/>
            </w:tcBorders>
            <w:shd w:val="clear" w:color="auto" w:fill="auto"/>
            <w:noWrap/>
            <w:vAlign w:val="center"/>
            <w:hideMark/>
          </w:tcPr>
          <w:p w14:paraId="52BE950B"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Patient Equipment</w:t>
            </w:r>
          </w:p>
        </w:tc>
        <w:tc>
          <w:tcPr>
            <w:tcW w:w="1222" w:type="pct"/>
            <w:tcBorders>
              <w:top w:val="nil"/>
              <w:left w:val="nil"/>
              <w:bottom w:val="single" w:sz="8" w:space="0" w:color="auto"/>
              <w:right w:val="single" w:sz="8" w:space="0" w:color="auto"/>
            </w:tcBorders>
            <w:shd w:val="clear" w:color="auto" w:fill="auto"/>
            <w:noWrap/>
            <w:vAlign w:val="center"/>
            <w:hideMark/>
          </w:tcPr>
          <w:p w14:paraId="7468BB5B"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Equip</w:t>
            </w:r>
          </w:p>
        </w:tc>
        <w:tc>
          <w:tcPr>
            <w:tcW w:w="2079" w:type="pct"/>
            <w:tcBorders>
              <w:top w:val="nil"/>
              <w:left w:val="nil"/>
              <w:bottom w:val="single" w:sz="8" w:space="0" w:color="auto"/>
              <w:right w:val="single" w:sz="8" w:space="0" w:color="auto"/>
            </w:tcBorders>
            <w:shd w:val="clear" w:color="auto" w:fill="auto"/>
            <w:noWrap/>
            <w:vAlign w:val="center"/>
            <w:hideMark/>
          </w:tcPr>
          <w:p w14:paraId="70E895A1"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Various non S&amp;W buckets</w:t>
            </w:r>
          </w:p>
        </w:tc>
      </w:tr>
      <w:tr w:rsidR="006E7FD0" w:rsidRPr="006E7FD0" w14:paraId="59E4BB06" w14:textId="77777777" w:rsidTr="00465EDC">
        <w:trPr>
          <w:trHeight w:val="255"/>
        </w:trPr>
        <w:tc>
          <w:tcPr>
            <w:tcW w:w="1699" w:type="pct"/>
            <w:tcBorders>
              <w:top w:val="nil"/>
              <w:left w:val="single" w:sz="8" w:space="0" w:color="auto"/>
              <w:bottom w:val="single" w:sz="8" w:space="0" w:color="auto"/>
              <w:right w:val="single" w:sz="8" w:space="0" w:color="auto"/>
            </w:tcBorders>
            <w:shd w:val="clear" w:color="auto" w:fill="auto"/>
            <w:noWrap/>
            <w:vAlign w:val="center"/>
            <w:hideMark/>
          </w:tcPr>
          <w:p w14:paraId="01C877A3"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S&amp;W On-costs</w:t>
            </w:r>
          </w:p>
        </w:tc>
        <w:tc>
          <w:tcPr>
            <w:tcW w:w="1222" w:type="pct"/>
            <w:tcBorders>
              <w:top w:val="nil"/>
              <w:left w:val="nil"/>
              <w:bottom w:val="single" w:sz="8" w:space="0" w:color="auto"/>
              <w:right w:val="single" w:sz="8" w:space="0" w:color="auto"/>
            </w:tcBorders>
            <w:shd w:val="clear" w:color="auto" w:fill="auto"/>
            <w:noWrap/>
            <w:vAlign w:val="center"/>
            <w:hideMark/>
          </w:tcPr>
          <w:p w14:paraId="02A267E8"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OnCosts</w:t>
            </w:r>
          </w:p>
        </w:tc>
        <w:tc>
          <w:tcPr>
            <w:tcW w:w="2079" w:type="pct"/>
            <w:tcBorders>
              <w:top w:val="nil"/>
              <w:left w:val="nil"/>
              <w:bottom w:val="single" w:sz="8" w:space="0" w:color="auto"/>
              <w:right w:val="single" w:sz="8" w:space="0" w:color="auto"/>
            </w:tcBorders>
            <w:shd w:val="clear" w:color="auto" w:fill="auto"/>
            <w:noWrap/>
            <w:vAlign w:val="center"/>
            <w:hideMark/>
          </w:tcPr>
          <w:p w14:paraId="2B78F1E5"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Various S&amp;W buckets</w:t>
            </w:r>
          </w:p>
        </w:tc>
      </w:tr>
      <w:tr w:rsidR="006E7FD0" w:rsidRPr="006E7FD0" w14:paraId="6F330FA3" w14:textId="77777777" w:rsidTr="00933512">
        <w:trPr>
          <w:trHeight w:val="255"/>
        </w:trPr>
        <w:tc>
          <w:tcPr>
            <w:tcW w:w="1699" w:type="pct"/>
            <w:tcBorders>
              <w:top w:val="nil"/>
              <w:left w:val="single" w:sz="8" w:space="0" w:color="auto"/>
              <w:bottom w:val="single" w:sz="8" w:space="0" w:color="auto"/>
              <w:right w:val="single" w:sz="8" w:space="0" w:color="auto"/>
            </w:tcBorders>
            <w:shd w:val="clear" w:color="auto" w:fill="auto"/>
            <w:noWrap/>
            <w:vAlign w:val="center"/>
            <w:hideMark/>
          </w:tcPr>
          <w:p w14:paraId="36E7A966"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Patient Transport</w:t>
            </w:r>
          </w:p>
        </w:tc>
        <w:tc>
          <w:tcPr>
            <w:tcW w:w="1222" w:type="pct"/>
            <w:tcBorders>
              <w:top w:val="nil"/>
              <w:left w:val="nil"/>
              <w:bottom w:val="single" w:sz="8" w:space="0" w:color="auto"/>
              <w:right w:val="single" w:sz="8" w:space="0" w:color="auto"/>
            </w:tcBorders>
            <w:shd w:val="clear" w:color="auto" w:fill="auto"/>
            <w:noWrap/>
            <w:vAlign w:val="center"/>
            <w:hideMark/>
          </w:tcPr>
          <w:p w14:paraId="705A8E2F"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PtTransport</w:t>
            </w:r>
          </w:p>
        </w:tc>
        <w:tc>
          <w:tcPr>
            <w:tcW w:w="2079" w:type="pct"/>
            <w:tcBorders>
              <w:top w:val="nil"/>
              <w:left w:val="nil"/>
              <w:bottom w:val="single" w:sz="8" w:space="0" w:color="auto"/>
              <w:right w:val="single" w:sz="8" w:space="0" w:color="auto"/>
            </w:tcBorders>
            <w:shd w:val="clear" w:color="auto" w:fill="auto"/>
            <w:noWrap/>
            <w:vAlign w:val="center"/>
            <w:hideMark/>
          </w:tcPr>
          <w:p w14:paraId="5D0DA300"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Various non S&amp;W buckets</w:t>
            </w:r>
          </w:p>
        </w:tc>
      </w:tr>
      <w:tr w:rsidR="006E7FD0" w:rsidRPr="006E7FD0" w14:paraId="15AAED1B" w14:textId="77777777" w:rsidTr="00933512">
        <w:trPr>
          <w:trHeight w:val="255"/>
        </w:trPr>
        <w:tc>
          <w:tcPr>
            <w:tcW w:w="169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4EBDBD9"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S&amp;W Fee for Service</w:t>
            </w:r>
          </w:p>
        </w:tc>
        <w:tc>
          <w:tcPr>
            <w:tcW w:w="1222" w:type="pct"/>
            <w:tcBorders>
              <w:top w:val="single" w:sz="8" w:space="0" w:color="auto"/>
              <w:left w:val="nil"/>
              <w:bottom w:val="single" w:sz="4" w:space="0" w:color="auto"/>
              <w:right w:val="single" w:sz="8" w:space="0" w:color="auto"/>
            </w:tcBorders>
            <w:shd w:val="clear" w:color="auto" w:fill="auto"/>
            <w:noWrap/>
            <w:vAlign w:val="center"/>
            <w:hideMark/>
          </w:tcPr>
          <w:p w14:paraId="375DE295"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FFS</w:t>
            </w:r>
          </w:p>
        </w:tc>
        <w:tc>
          <w:tcPr>
            <w:tcW w:w="2079" w:type="pct"/>
            <w:tcBorders>
              <w:top w:val="single" w:sz="8" w:space="0" w:color="auto"/>
              <w:left w:val="nil"/>
              <w:bottom w:val="single" w:sz="4" w:space="0" w:color="auto"/>
              <w:right w:val="single" w:sz="8" w:space="0" w:color="auto"/>
            </w:tcBorders>
            <w:shd w:val="clear" w:color="auto" w:fill="auto"/>
            <w:noWrap/>
            <w:vAlign w:val="center"/>
            <w:hideMark/>
          </w:tcPr>
          <w:p w14:paraId="27CA444C" w14:textId="77777777" w:rsidR="006E7FD0" w:rsidRPr="006E7FD0" w:rsidRDefault="006E7FD0" w:rsidP="006E7FD0">
            <w:pPr>
              <w:spacing w:after="0" w:line="240" w:lineRule="auto"/>
              <w:rPr>
                <w:rFonts w:cs="Arial"/>
                <w:color w:val="000000"/>
                <w:szCs w:val="21"/>
                <w:lang w:eastAsia="en-AU"/>
              </w:rPr>
            </w:pPr>
            <w:r w:rsidRPr="006E7FD0">
              <w:rPr>
                <w:rFonts w:cs="Arial"/>
                <w:color w:val="000000"/>
                <w:szCs w:val="21"/>
                <w:lang w:eastAsia="en-AU"/>
              </w:rPr>
              <w:t>Various S&amp;W buckets</w:t>
            </w:r>
          </w:p>
        </w:tc>
      </w:tr>
      <w:tr w:rsidR="00933512" w:rsidRPr="006E7FD0" w14:paraId="58BA6ACB" w14:textId="77777777" w:rsidTr="00933512">
        <w:trPr>
          <w:trHeight w:val="255"/>
        </w:trPr>
        <w:tc>
          <w:tcPr>
            <w:tcW w:w="1699" w:type="pct"/>
            <w:tcBorders>
              <w:top w:val="single" w:sz="4" w:space="0" w:color="auto"/>
              <w:left w:val="single" w:sz="8" w:space="0" w:color="auto"/>
              <w:bottom w:val="single" w:sz="8" w:space="0" w:color="auto"/>
              <w:right w:val="single" w:sz="8" w:space="0" w:color="auto"/>
            </w:tcBorders>
            <w:shd w:val="clear" w:color="auto" w:fill="auto"/>
            <w:noWrap/>
            <w:vAlign w:val="center"/>
          </w:tcPr>
          <w:p w14:paraId="300D9198" w14:textId="1F4D3AC3" w:rsidR="00933512" w:rsidRPr="006E7FD0" w:rsidRDefault="00933512" w:rsidP="006E7FD0">
            <w:pPr>
              <w:spacing w:after="0" w:line="240" w:lineRule="auto"/>
              <w:rPr>
                <w:rFonts w:cs="Arial"/>
                <w:color w:val="000000"/>
                <w:szCs w:val="21"/>
                <w:lang w:eastAsia="en-AU"/>
              </w:rPr>
            </w:pPr>
            <w:r>
              <w:rPr>
                <w:rFonts w:cs="Arial"/>
                <w:color w:val="000000"/>
                <w:szCs w:val="21"/>
                <w:lang w:eastAsia="en-AU"/>
              </w:rPr>
              <w:t>Exclude</w:t>
            </w:r>
          </w:p>
        </w:tc>
        <w:tc>
          <w:tcPr>
            <w:tcW w:w="1222" w:type="pct"/>
            <w:tcBorders>
              <w:top w:val="single" w:sz="4" w:space="0" w:color="auto"/>
              <w:left w:val="nil"/>
              <w:bottom w:val="single" w:sz="8" w:space="0" w:color="auto"/>
              <w:right w:val="single" w:sz="8" w:space="0" w:color="auto"/>
            </w:tcBorders>
            <w:shd w:val="clear" w:color="auto" w:fill="auto"/>
            <w:noWrap/>
            <w:vAlign w:val="center"/>
          </w:tcPr>
          <w:p w14:paraId="13975421" w14:textId="427C28E8" w:rsidR="00933512" w:rsidRPr="006E7FD0" w:rsidRDefault="00933512" w:rsidP="006E7FD0">
            <w:pPr>
              <w:spacing w:after="0" w:line="240" w:lineRule="auto"/>
              <w:rPr>
                <w:rFonts w:cs="Arial"/>
                <w:color w:val="000000"/>
                <w:szCs w:val="21"/>
                <w:lang w:eastAsia="en-AU"/>
              </w:rPr>
            </w:pPr>
            <w:r>
              <w:rPr>
                <w:rFonts w:cs="Arial"/>
                <w:color w:val="000000"/>
                <w:szCs w:val="21"/>
                <w:lang w:eastAsia="en-AU"/>
              </w:rPr>
              <w:t>Exclude</w:t>
            </w:r>
          </w:p>
        </w:tc>
        <w:tc>
          <w:tcPr>
            <w:tcW w:w="2079" w:type="pct"/>
            <w:tcBorders>
              <w:top w:val="single" w:sz="4" w:space="0" w:color="auto"/>
              <w:left w:val="nil"/>
              <w:bottom w:val="single" w:sz="8" w:space="0" w:color="auto"/>
              <w:right w:val="single" w:sz="8" w:space="0" w:color="auto"/>
            </w:tcBorders>
            <w:shd w:val="clear" w:color="auto" w:fill="auto"/>
            <w:noWrap/>
            <w:vAlign w:val="center"/>
          </w:tcPr>
          <w:p w14:paraId="2F833CA6" w14:textId="6174071B" w:rsidR="00933512" w:rsidRPr="006E7FD0" w:rsidRDefault="00933512" w:rsidP="006E7FD0">
            <w:pPr>
              <w:spacing w:after="0" w:line="240" w:lineRule="auto"/>
              <w:rPr>
                <w:rFonts w:cs="Arial"/>
                <w:color w:val="000000"/>
                <w:szCs w:val="21"/>
                <w:lang w:eastAsia="en-AU"/>
              </w:rPr>
            </w:pPr>
            <w:r>
              <w:rPr>
                <w:rFonts w:cs="Arial"/>
                <w:color w:val="000000"/>
                <w:szCs w:val="21"/>
                <w:lang w:eastAsia="en-AU"/>
              </w:rPr>
              <w:t>Various</w:t>
            </w:r>
          </w:p>
        </w:tc>
      </w:tr>
    </w:tbl>
    <w:p w14:paraId="4DB33090" w14:textId="6AB9A58C" w:rsidR="00AF7397" w:rsidRDefault="00AF7397" w:rsidP="00AF7397">
      <w:pPr>
        <w:pStyle w:val="Body"/>
      </w:pPr>
    </w:p>
    <w:p w14:paraId="47F602A1" w14:textId="560F3DD2" w:rsidR="00F10002" w:rsidRDefault="00F10002" w:rsidP="00F10002">
      <w:pPr>
        <w:pStyle w:val="Body"/>
      </w:pPr>
      <w:r>
        <w:t xml:space="preserve">For further details please refer to the Victorian </w:t>
      </w:r>
      <w:r w:rsidR="00B92B2A">
        <w:t>activity-based</w:t>
      </w:r>
      <w:r>
        <w:t xml:space="preserve"> costing documentation and</w:t>
      </w:r>
      <w:r w:rsidR="00B92B2A">
        <w:t xml:space="preserve"> Data Definition Specification</w:t>
      </w:r>
      <w:r>
        <w:t xml:space="preserve"> reference file.</w:t>
      </w:r>
    </w:p>
    <w:p w14:paraId="6F10D37C" w14:textId="7F07A420" w:rsidR="00F10002" w:rsidRDefault="00F10002" w:rsidP="00F10002">
      <w:pPr>
        <w:pStyle w:val="Body"/>
      </w:pPr>
      <w:r>
        <w:t xml:space="preserve">For ease of analysis and reporting the </w:t>
      </w:r>
      <w:r w:rsidR="00460FF3">
        <w:t>resource categories</w:t>
      </w:r>
      <w:r>
        <w:t xml:space="preserve"> could be aggregated to higher groups. The aggregated levels can be found at </w:t>
      </w:r>
      <w:r w:rsidRPr="00460FF3">
        <w:rPr>
          <w:b/>
          <w:bCs/>
        </w:rPr>
        <w:t>Attachment 4</w:t>
      </w:r>
      <w:r>
        <w:t>.</w:t>
      </w:r>
    </w:p>
    <w:p w14:paraId="27AF7921" w14:textId="194F3756" w:rsidR="00F10002" w:rsidRDefault="00F10002" w:rsidP="00F10002">
      <w:pPr>
        <w:pStyle w:val="Heading2"/>
      </w:pPr>
      <w:bookmarkStart w:id="18" w:name="_Toc509318733"/>
      <w:bookmarkStart w:id="19" w:name="_Toc20233011"/>
      <w:bookmarkStart w:id="20" w:name="_Toc144897056"/>
      <w:r>
        <w:t>Exclude</w:t>
      </w:r>
      <w:r w:rsidR="00B92B2A">
        <w:t>d resource categories</w:t>
      </w:r>
      <w:bookmarkEnd w:id="18"/>
      <w:bookmarkEnd w:id="19"/>
      <w:bookmarkEnd w:id="20"/>
    </w:p>
    <w:p w14:paraId="11C6BA63" w14:textId="2A380F52" w:rsidR="00F10002" w:rsidRDefault="00F10002" w:rsidP="00F10002">
      <w:pPr>
        <w:pStyle w:val="DHHSbody"/>
      </w:pPr>
      <w:r>
        <w:t>The</w:t>
      </w:r>
      <w:r w:rsidR="00B92B2A">
        <w:t>re are several are</w:t>
      </w:r>
      <w:r w:rsidR="003423E5">
        <w:t>a</w:t>
      </w:r>
      <w:r w:rsidR="00B92B2A">
        <w:t xml:space="preserve">s (cost centres) </w:t>
      </w:r>
      <w:r>
        <w:t xml:space="preserve">account codes that are mapped to this </w:t>
      </w:r>
      <w:r w:rsidR="00460FF3">
        <w:t>resource category</w:t>
      </w:r>
      <w:r>
        <w:t xml:space="preserve"> </w:t>
      </w:r>
      <w:r w:rsidR="00460FF3">
        <w:t xml:space="preserve">which can </w:t>
      </w:r>
      <w:r>
        <w:t>be found in any cost centre and are excluded from any total costs and use in any analysis, reporting and funding developments. These have been specifically identified for possible inclusion in future years based on local and/or national policy and reporting requirements.</w:t>
      </w:r>
    </w:p>
    <w:p w14:paraId="0FE921D0" w14:textId="77777777" w:rsidR="00F10002" w:rsidRDefault="00F10002" w:rsidP="00F10002">
      <w:pPr>
        <w:pStyle w:val="DHHSbody"/>
      </w:pPr>
      <w:r w:rsidRPr="00460FF3">
        <w:rPr>
          <w:b/>
          <w:bCs/>
        </w:rPr>
        <w:t>Table 3</w:t>
      </w:r>
      <w:r>
        <w:t xml:space="preserve"> lists the of account codes that map to an exclude VCDC account type.</w:t>
      </w:r>
    </w:p>
    <w:p w14:paraId="7DC2E4BA" w14:textId="77777777" w:rsidR="00F10002" w:rsidRDefault="00F10002" w:rsidP="00553F6B">
      <w:pPr>
        <w:pStyle w:val="Tablecaption"/>
      </w:pPr>
      <w:bookmarkStart w:id="21" w:name="_Toc509318752"/>
      <w:r>
        <w:t xml:space="preserve">Table 3: Exclude cost bucket account codes </w:t>
      </w:r>
      <w:bookmarkEnd w:id="21"/>
    </w:p>
    <w:tbl>
      <w:tblPr>
        <w:tblW w:w="5040" w:type="pct"/>
        <w:tblLook w:val="04A0" w:firstRow="1" w:lastRow="0" w:firstColumn="1" w:lastColumn="0" w:noHBand="0" w:noVBand="1"/>
      </w:tblPr>
      <w:tblGrid>
        <w:gridCol w:w="1572"/>
        <w:gridCol w:w="6009"/>
        <w:gridCol w:w="683"/>
        <w:gridCol w:w="1194"/>
      </w:tblGrid>
      <w:tr w:rsidR="006E7FD0" w:rsidRPr="006E7FD0" w14:paraId="00D436FD" w14:textId="77777777" w:rsidTr="00465EDC">
        <w:trPr>
          <w:trHeight w:val="218"/>
        </w:trPr>
        <w:tc>
          <w:tcPr>
            <w:tcW w:w="4368" w:type="pct"/>
            <w:gridSpan w:val="3"/>
            <w:tcBorders>
              <w:top w:val="single" w:sz="8" w:space="0" w:color="auto"/>
              <w:left w:val="single" w:sz="8" w:space="0" w:color="auto"/>
              <w:bottom w:val="single" w:sz="8" w:space="0" w:color="auto"/>
              <w:right w:val="single" w:sz="8" w:space="0" w:color="000000"/>
            </w:tcBorders>
            <w:shd w:val="clear" w:color="000000" w:fill="E36C0A"/>
            <w:noWrap/>
            <w:vAlign w:val="center"/>
            <w:hideMark/>
          </w:tcPr>
          <w:p w14:paraId="71B97812" w14:textId="77777777" w:rsidR="006E7FD0" w:rsidRPr="006E7FD0" w:rsidRDefault="006E7FD0" w:rsidP="006E7FD0">
            <w:pPr>
              <w:spacing w:after="0" w:line="240" w:lineRule="auto"/>
              <w:jc w:val="center"/>
              <w:rPr>
                <w:rFonts w:cs="Arial"/>
                <w:b/>
                <w:bCs/>
                <w:color w:val="000000"/>
                <w:sz w:val="20"/>
                <w:lang w:eastAsia="en-AU"/>
              </w:rPr>
            </w:pPr>
            <w:r w:rsidRPr="006E7FD0">
              <w:rPr>
                <w:rFonts w:cs="Arial"/>
                <w:b/>
                <w:bCs/>
                <w:color w:val="000000"/>
                <w:sz w:val="20"/>
                <w:lang w:eastAsia="en-AU"/>
              </w:rPr>
              <w:t>DHHS Finance COA</w:t>
            </w:r>
          </w:p>
        </w:tc>
        <w:tc>
          <w:tcPr>
            <w:tcW w:w="632" w:type="pct"/>
            <w:vMerge w:val="restart"/>
            <w:tcBorders>
              <w:top w:val="nil"/>
              <w:left w:val="nil"/>
              <w:bottom w:val="single" w:sz="8" w:space="0" w:color="000000"/>
              <w:right w:val="nil"/>
            </w:tcBorders>
            <w:shd w:val="clear" w:color="000000" w:fill="E36C0A"/>
            <w:vAlign w:val="center"/>
            <w:hideMark/>
          </w:tcPr>
          <w:p w14:paraId="7340323D" w14:textId="77777777" w:rsidR="006E7FD0" w:rsidRPr="006E7FD0" w:rsidRDefault="006E7FD0" w:rsidP="006E7FD0">
            <w:pPr>
              <w:spacing w:after="0" w:line="240" w:lineRule="auto"/>
              <w:jc w:val="center"/>
              <w:rPr>
                <w:rFonts w:cs="Arial"/>
                <w:b/>
                <w:bCs/>
                <w:color w:val="000000"/>
                <w:sz w:val="20"/>
                <w:lang w:eastAsia="en-AU"/>
              </w:rPr>
            </w:pPr>
            <w:r w:rsidRPr="006E7FD0">
              <w:rPr>
                <w:rFonts w:cs="Arial"/>
                <w:b/>
                <w:bCs/>
                <w:color w:val="000000"/>
                <w:sz w:val="20"/>
                <w:lang w:eastAsia="en-AU"/>
              </w:rPr>
              <w:t>VCDC Account Type - Submitted</w:t>
            </w:r>
          </w:p>
        </w:tc>
      </w:tr>
      <w:tr w:rsidR="00465EDC" w:rsidRPr="006E7FD0" w14:paraId="1DBF62F0" w14:textId="77777777" w:rsidTr="00465EDC">
        <w:trPr>
          <w:trHeight w:val="208"/>
        </w:trPr>
        <w:tc>
          <w:tcPr>
            <w:tcW w:w="832" w:type="pct"/>
            <w:tcBorders>
              <w:top w:val="nil"/>
              <w:left w:val="single" w:sz="8" w:space="0" w:color="auto"/>
              <w:bottom w:val="nil"/>
              <w:right w:val="single" w:sz="8" w:space="0" w:color="auto"/>
            </w:tcBorders>
            <w:shd w:val="clear" w:color="000000" w:fill="E36C0A"/>
            <w:noWrap/>
            <w:vAlign w:val="center"/>
            <w:hideMark/>
          </w:tcPr>
          <w:p w14:paraId="684E3FE1" w14:textId="77777777" w:rsidR="006E7FD0" w:rsidRPr="006E7FD0" w:rsidRDefault="006E7FD0" w:rsidP="006E7FD0">
            <w:pPr>
              <w:spacing w:after="0" w:line="240" w:lineRule="auto"/>
              <w:jc w:val="center"/>
              <w:rPr>
                <w:rFonts w:cs="Arial"/>
                <w:b/>
                <w:bCs/>
                <w:color w:val="000000"/>
                <w:sz w:val="20"/>
                <w:lang w:eastAsia="en-AU"/>
              </w:rPr>
            </w:pPr>
            <w:r w:rsidRPr="006E7FD0">
              <w:rPr>
                <w:rFonts w:cs="Arial"/>
                <w:b/>
                <w:bCs/>
                <w:color w:val="000000"/>
                <w:sz w:val="20"/>
                <w:lang w:eastAsia="en-AU"/>
              </w:rPr>
              <w:t>Account Code</w:t>
            </w:r>
          </w:p>
        </w:tc>
        <w:tc>
          <w:tcPr>
            <w:tcW w:w="3173" w:type="pct"/>
            <w:tcBorders>
              <w:top w:val="nil"/>
              <w:left w:val="nil"/>
              <w:bottom w:val="nil"/>
              <w:right w:val="single" w:sz="8" w:space="0" w:color="auto"/>
            </w:tcBorders>
            <w:shd w:val="clear" w:color="000000" w:fill="E36C0A"/>
            <w:noWrap/>
            <w:vAlign w:val="center"/>
            <w:hideMark/>
          </w:tcPr>
          <w:p w14:paraId="1CF58EE1" w14:textId="77777777" w:rsidR="006E7FD0" w:rsidRPr="006E7FD0" w:rsidRDefault="006E7FD0" w:rsidP="006E7FD0">
            <w:pPr>
              <w:spacing w:after="0" w:line="240" w:lineRule="auto"/>
              <w:jc w:val="center"/>
              <w:rPr>
                <w:rFonts w:cs="Arial"/>
                <w:b/>
                <w:bCs/>
                <w:color w:val="000000"/>
                <w:sz w:val="20"/>
                <w:lang w:eastAsia="en-AU"/>
              </w:rPr>
            </w:pPr>
            <w:r w:rsidRPr="006E7FD0">
              <w:rPr>
                <w:rFonts w:cs="Arial"/>
                <w:b/>
                <w:bCs/>
                <w:color w:val="000000"/>
                <w:sz w:val="20"/>
                <w:lang w:eastAsia="en-AU"/>
              </w:rPr>
              <w:t>Account Description</w:t>
            </w:r>
          </w:p>
        </w:tc>
        <w:tc>
          <w:tcPr>
            <w:tcW w:w="363" w:type="pct"/>
            <w:tcBorders>
              <w:top w:val="nil"/>
              <w:left w:val="nil"/>
              <w:bottom w:val="nil"/>
              <w:right w:val="single" w:sz="8" w:space="0" w:color="auto"/>
            </w:tcBorders>
            <w:shd w:val="clear" w:color="000000" w:fill="E36C0A"/>
            <w:noWrap/>
            <w:vAlign w:val="center"/>
            <w:hideMark/>
          </w:tcPr>
          <w:p w14:paraId="13772183" w14:textId="77777777" w:rsidR="006E7FD0" w:rsidRPr="006E7FD0" w:rsidRDefault="006E7FD0" w:rsidP="006E7FD0">
            <w:pPr>
              <w:spacing w:after="0" w:line="240" w:lineRule="auto"/>
              <w:jc w:val="center"/>
              <w:rPr>
                <w:rFonts w:cs="Arial"/>
                <w:b/>
                <w:bCs/>
                <w:color w:val="000000"/>
                <w:sz w:val="20"/>
                <w:lang w:eastAsia="en-AU"/>
              </w:rPr>
            </w:pPr>
            <w:r w:rsidRPr="006E7FD0">
              <w:rPr>
                <w:rFonts w:cs="Arial"/>
                <w:b/>
                <w:bCs/>
                <w:color w:val="000000"/>
                <w:sz w:val="20"/>
                <w:lang w:eastAsia="en-AU"/>
              </w:rPr>
              <w:t>Type</w:t>
            </w:r>
          </w:p>
        </w:tc>
        <w:tc>
          <w:tcPr>
            <w:tcW w:w="632" w:type="pct"/>
            <w:vMerge/>
            <w:tcBorders>
              <w:top w:val="nil"/>
              <w:left w:val="nil"/>
              <w:bottom w:val="single" w:sz="8" w:space="0" w:color="000000"/>
              <w:right w:val="nil"/>
            </w:tcBorders>
            <w:vAlign w:val="center"/>
            <w:hideMark/>
          </w:tcPr>
          <w:p w14:paraId="5C4D54E9" w14:textId="77777777" w:rsidR="006E7FD0" w:rsidRPr="006E7FD0" w:rsidRDefault="006E7FD0" w:rsidP="006E7FD0">
            <w:pPr>
              <w:spacing w:after="0" w:line="240" w:lineRule="auto"/>
              <w:rPr>
                <w:rFonts w:cs="Arial"/>
                <w:b/>
                <w:bCs/>
                <w:color w:val="000000"/>
                <w:sz w:val="20"/>
                <w:lang w:eastAsia="en-AU"/>
              </w:rPr>
            </w:pPr>
          </w:p>
        </w:tc>
      </w:tr>
      <w:tr w:rsidR="006E7FD0" w:rsidRPr="006E7FD0" w14:paraId="75FA41B8" w14:textId="77777777" w:rsidTr="00465EDC">
        <w:trPr>
          <w:trHeight w:val="218"/>
        </w:trPr>
        <w:tc>
          <w:tcPr>
            <w:tcW w:w="8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434111"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22091 - 22100</w:t>
            </w:r>
          </w:p>
        </w:tc>
        <w:tc>
          <w:tcPr>
            <w:tcW w:w="3173" w:type="pct"/>
            <w:tcBorders>
              <w:top w:val="single" w:sz="8" w:space="0" w:color="auto"/>
              <w:left w:val="nil"/>
              <w:bottom w:val="single" w:sz="8" w:space="0" w:color="auto"/>
              <w:right w:val="single" w:sz="8" w:space="0" w:color="auto"/>
            </w:tcBorders>
            <w:shd w:val="clear" w:color="auto" w:fill="auto"/>
            <w:noWrap/>
            <w:vAlign w:val="center"/>
            <w:hideMark/>
          </w:tcPr>
          <w:p w14:paraId="792405A2"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Grants Received on Behalf of and Paid to Other Agencies</w:t>
            </w:r>
          </w:p>
        </w:tc>
        <w:tc>
          <w:tcPr>
            <w:tcW w:w="363" w:type="pct"/>
            <w:tcBorders>
              <w:top w:val="single" w:sz="8" w:space="0" w:color="auto"/>
              <w:left w:val="nil"/>
              <w:bottom w:val="single" w:sz="8" w:space="0" w:color="auto"/>
              <w:right w:val="single" w:sz="8" w:space="0" w:color="auto"/>
            </w:tcBorders>
            <w:shd w:val="clear" w:color="auto" w:fill="auto"/>
            <w:noWrap/>
            <w:vAlign w:val="center"/>
            <w:hideMark/>
          </w:tcPr>
          <w:p w14:paraId="75F91D98" w14:textId="77777777" w:rsidR="006E7FD0" w:rsidRPr="006E7FD0" w:rsidRDefault="006E7FD0" w:rsidP="006E7FD0">
            <w:pPr>
              <w:spacing w:after="0" w:line="240" w:lineRule="auto"/>
              <w:jc w:val="center"/>
              <w:rPr>
                <w:rFonts w:cs="Arial"/>
                <w:color w:val="000000"/>
                <w:sz w:val="20"/>
                <w:lang w:eastAsia="en-AU"/>
              </w:rPr>
            </w:pPr>
            <w:r w:rsidRPr="006E7FD0">
              <w:rPr>
                <w:rFonts w:cs="Arial"/>
                <w:color w:val="000000"/>
                <w:sz w:val="20"/>
                <w:lang w:eastAsia="en-AU"/>
              </w:rPr>
              <w:t>E</w:t>
            </w:r>
          </w:p>
        </w:tc>
        <w:tc>
          <w:tcPr>
            <w:tcW w:w="632" w:type="pct"/>
            <w:tcBorders>
              <w:top w:val="nil"/>
              <w:left w:val="nil"/>
              <w:bottom w:val="single" w:sz="8" w:space="0" w:color="auto"/>
              <w:right w:val="single" w:sz="8" w:space="0" w:color="auto"/>
            </w:tcBorders>
            <w:shd w:val="clear" w:color="auto" w:fill="auto"/>
            <w:noWrap/>
            <w:vAlign w:val="center"/>
            <w:hideMark/>
          </w:tcPr>
          <w:p w14:paraId="70F15943"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Exclude</w:t>
            </w:r>
          </w:p>
        </w:tc>
      </w:tr>
      <w:tr w:rsidR="006E7FD0" w:rsidRPr="006E7FD0" w14:paraId="2ABB9F80" w14:textId="77777777" w:rsidTr="00465EDC">
        <w:trPr>
          <w:trHeight w:val="218"/>
        </w:trPr>
        <w:tc>
          <w:tcPr>
            <w:tcW w:w="832" w:type="pct"/>
            <w:tcBorders>
              <w:top w:val="nil"/>
              <w:left w:val="single" w:sz="8" w:space="0" w:color="auto"/>
              <w:bottom w:val="single" w:sz="8" w:space="0" w:color="auto"/>
              <w:right w:val="single" w:sz="8" w:space="0" w:color="auto"/>
            </w:tcBorders>
            <w:shd w:val="clear" w:color="auto" w:fill="auto"/>
            <w:noWrap/>
            <w:vAlign w:val="center"/>
            <w:hideMark/>
          </w:tcPr>
          <w:p w14:paraId="1CB81CB8" w14:textId="77777777" w:rsidR="006E7FD0" w:rsidRPr="006E7FD0" w:rsidRDefault="006E7FD0" w:rsidP="006E7FD0">
            <w:pPr>
              <w:spacing w:after="0" w:line="240" w:lineRule="auto"/>
              <w:rPr>
                <w:rFonts w:cs="Arial"/>
                <w:sz w:val="20"/>
                <w:lang w:eastAsia="en-AU"/>
              </w:rPr>
            </w:pPr>
            <w:r w:rsidRPr="006E7FD0">
              <w:rPr>
                <w:rFonts w:cs="Arial"/>
                <w:sz w:val="20"/>
                <w:lang w:eastAsia="en-AU"/>
              </w:rPr>
              <w:t>22101 - 22105</w:t>
            </w:r>
          </w:p>
        </w:tc>
        <w:tc>
          <w:tcPr>
            <w:tcW w:w="3173" w:type="pct"/>
            <w:tcBorders>
              <w:top w:val="nil"/>
              <w:left w:val="nil"/>
              <w:bottom w:val="single" w:sz="8" w:space="0" w:color="auto"/>
              <w:right w:val="single" w:sz="8" w:space="0" w:color="auto"/>
            </w:tcBorders>
            <w:shd w:val="clear" w:color="auto" w:fill="auto"/>
            <w:noWrap/>
            <w:vAlign w:val="center"/>
            <w:hideMark/>
          </w:tcPr>
          <w:p w14:paraId="5E326F78"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Capital Grants Received on Behalf of and Paid to Other Agencies</w:t>
            </w:r>
          </w:p>
        </w:tc>
        <w:tc>
          <w:tcPr>
            <w:tcW w:w="363" w:type="pct"/>
            <w:tcBorders>
              <w:top w:val="nil"/>
              <w:left w:val="nil"/>
              <w:bottom w:val="single" w:sz="8" w:space="0" w:color="auto"/>
              <w:right w:val="single" w:sz="8" w:space="0" w:color="auto"/>
            </w:tcBorders>
            <w:shd w:val="clear" w:color="auto" w:fill="auto"/>
            <w:noWrap/>
            <w:vAlign w:val="center"/>
            <w:hideMark/>
          </w:tcPr>
          <w:p w14:paraId="4FEB4A60" w14:textId="77777777" w:rsidR="006E7FD0" w:rsidRPr="006E7FD0" w:rsidRDefault="006E7FD0" w:rsidP="006E7FD0">
            <w:pPr>
              <w:spacing w:after="0" w:line="240" w:lineRule="auto"/>
              <w:jc w:val="center"/>
              <w:rPr>
                <w:rFonts w:cs="Arial"/>
                <w:color w:val="000000"/>
                <w:sz w:val="20"/>
                <w:lang w:eastAsia="en-AU"/>
              </w:rPr>
            </w:pPr>
            <w:r w:rsidRPr="006E7FD0">
              <w:rPr>
                <w:rFonts w:cs="Arial"/>
                <w:color w:val="000000"/>
                <w:sz w:val="20"/>
                <w:lang w:eastAsia="en-AU"/>
              </w:rPr>
              <w:t>E</w:t>
            </w:r>
          </w:p>
        </w:tc>
        <w:tc>
          <w:tcPr>
            <w:tcW w:w="632" w:type="pct"/>
            <w:tcBorders>
              <w:top w:val="nil"/>
              <w:left w:val="nil"/>
              <w:bottom w:val="single" w:sz="8" w:space="0" w:color="auto"/>
              <w:right w:val="single" w:sz="8" w:space="0" w:color="auto"/>
            </w:tcBorders>
            <w:shd w:val="clear" w:color="auto" w:fill="auto"/>
            <w:noWrap/>
            <w:vAlign w:val="center"/>
            <w:hideMark/>
          </w:tcPr>
          <w:p w14:paraId="1091216A"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Exclude</w:t>
            </w:r>
          </w:p>
        </w:tc>
      </w:tr>
      <w:tr w:rsidR="006E7FD0" w:rsidRPr="006E7FD0" w14:paraId="4AF1BDAD" w14:textId="77777777" w:rsidTr="00465EDC">
        <w:trPr>
          <w:trHeight w:val="218"/>
        </w:trPr>
        <w:tc>
          <w:tcPr>
            <w:tcW w:w="832" w:type="pct"/>
            <w:tcBorders>
              <w:top w:val="nil"/>
              <w:left w:val="single" w:sz="8" w:space="0" w:color="auto"/>
              <w:bottom w:val="single" w:sz="8" w:space="0" w:color="auto"/>
              <w:right w:val="single" w:sz="8" w:space="0" w:color="auto"/>
            </w:tcBorders>
            <w:shd w:val="clear" w:color="auto" w:fill="auto"/>
            <w:noWrap/>
            <w:vAlign w:val="center"/>
            <w:hideMark/>
          </w:tcPr>
          <w:p w14:paraId="7AE2A99E"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38900 Series</w:t>
            </w:r>
          </w:p>
        </w:tc>
        <w:tc>
          <w:tcPr>
            <w:tcW w:w="3173" w:type="pct"/>
            <w:tcBorders>
              <w:top w:val="nil"/>
              <w:left w:val="nil"/>
              <w:bottom w:val="single" w:sz="8" w:space="0" w:color="auto"/>
              <w:right w:val="single" w:sz="8" w:space="0" w:color="auto"/>
            </w:tcBorders>
            <w:shd w:val="clear" w:color="auto" w:fill="auto"/>
            <w:noWrap/>
            <w:vAlign w:val="center"/>
            <w:hideMark/>
          </w:tcPr>
          <w:p w14:paraId="64921479"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Assets Given Free of Charge (including Assets Donated)</w:t>
            </w:r>
          </w:p>
        </w:tc>
        <w:tc>
          <w:tcPr>
            <w:tcW w:w="363" w:type="pct"/>
            <w:tcBorders>
              <w:top w:val="nil"/>
              <w:left w:val="nil"/>
              <w:bottom w:val="single" w:sz="8" w:space="0" w:color="auto"/>
              <w:right w:val="single" w:sz="8" w:space="0" w:color="auto"/>
            </w:tcBorders>
            <w:shd w:val="clear" w:color="auto" w:fill="auto"/>
            <w:noWrap/>
            <w:vAlign w:val="center"/>
            <w:hideMark/>
          </w:tcPr>
          <w:p w14:paraId="53284C62" w14:textId="77777777" w:rsidR="006E7FD0" w:rsidRPr="006E7FD0" w:rsidRDefault="006E7FD0" w:rsidP="006E7FD0">
            <w:pPr>
              <w:spacing w:after="0" w:line="240" w:lineRule="auto"/>
              <w:jc w:val="center"/>
              <w:rPr>
                <w:rFonts w:cs="Arial"/>
                <w:color w:val="000000"/>
                <w:sz w:val="20"/>
                <w:lang w:eastAsia="en-AU"/>
              </w:rPr>
            </w:pPr>
            <w:r w:rsidRPr="006E7FD0">
              <w:rPr>
                <w:rFonts w:cs="Arial"/>
                <w:color w:val="000000"/>
                <w:sz w:val="20"/>
                <w:lang w:eastAsia="en-AU"/>
              </w:rPr>
              <w:t>E</w:t>
            </w:r>
          </w:p>
        </w:tc>
        <w:tc>
          <w:tcPr>
            <w:tcW w:w="632" w:type="pct"/>
            <w:tcBorders>
              <w:top w:val="nil"/>
              <w:left w:val="nil"/>
              <w:bottom w:val="single" w:sz="8" w:space="0" w:color="auto"/>
              <w:right w:val="single" w:sz="8" w:space="0" w:color="auto"/>
            </w:tcBorders>
            <w:shd w:val="clear" w:color="auto" w:fill="auto"/>
            <w:noWrap/>
            <w:vAlign w:val="center"/>
            <w:hideMark/>
          </w:tcPr>
          <w:p w14:paraId="4C07310E"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Exclude</w:t>
            </w:r>
          </w:p>
        </w:tc>
      </w:tr>
      <w:tr w:rsidR="006E7FD0" w:rsidRPr="006E7FD0" w14:paraId="6C36D838" w14:textId="77777777" w:rsidTr="00465EDC">
        <w:trPr>
          <w:trHeight w:val="218"/>
        </w:trPr>
        <w:tc>
          <w:tcPr>
            <w:tcW w:w="832" w:type="pct"/>
            <w:tcBorders>
              <w:top w:val="nil"/>
              <w:left w:val="single" w:sz="8" w:space="0" w:color="auto"/>
              <w:bottom w:val="single" w:sz="8" w:space="0" w:color="auto"/>
              <w:right w:val="single" w:sz="8" w:space="0" w:color="auto"/>
            </w:tcBorders>
            <w:shd w:val="clear" w:color="auto" w:fill="auto"/>
            <w:noWrap/>
            <w:vAlign w:val="center"/>
            <w:hideMark/>
          </w:tcPr>
          <w:p w14:paraId="37067CA6"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40000 Series</w:t>
            </w:r>
          </w:p>
        </w:tc>
        <w:tc>
          <w:tcPr>
            <w:tcW w:w="3173" w:type="pct"/>
            <w:tcBorders>
              <w:top w:val="nil"/>
              <w:left w:val="nil"/>
              <w:bottom w:val="single" w:sz="8" w:space="0" w:color="auto"/>
              <w:right w:val="single" w:sz="8" w:space="0" w:color="auto"/>
            </w:tcBorders>
            <w:shd w:val="clear" w:color="auto" w:fill="auto"/>
            <w:noWrap/>
            <w:vAlign w:val="center"/>
            <w:hideMark/>
          </w:tcPr>
          <w:p w14:paraId="0EE8CE3D"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Depreciation &amp; Amortisation</w:t>
            </w:r>
          </w:p>
        </w:tc>
        <w:tc>
          <w:tcPr>
            <w:tcW w:w="363" w:type="pct"/>
            <w:tcBorders>
              <w:top w:val="nil"/>
              <w:left w:val="nil"/>
              <w:bottom w:val="single" w:sz="8" w:space="0" w:color="auto"/>
              <w:right w:val="single" w:sz="8" w:space="0" w:color="auto"/>
            </w:tcBorders>
            <w:shd w:val="clear" w:color="auto" w:fill="auto"/>
            <w:noWrap/>
            <w:vAlign w:val="center"/>
            <w:hideMark/>
          </w:tcPr>
          <w:p w14:paraId="143CBD26" w14:textId="77777777" w:rsidR="006E7FD0" w:rsidRPr="006E7FD0" w:rsidRDefault="006E7FD0" w:rsidP="006E7FD0">
            <w:pPr>
              <w:spacing w:after="0" w:line="240" w:lineRule="auto"/>
              <w:jc w:val="center"/>
              <w:rPr>
                <w:rFonts w:cs="Arial"/>
                <w:color w:val="000000"/>
                <w:sz w:val="20"/>
                <w:lang w:eastAsia="en-AU"/>
              </w:rPr>
            </w:pPr>
            <w:r w:rsidRPr="006E7FD0">
              <w:rPr>
                <w:rFonts w:cs="Arial"/>
                <w:color w:val="000000"/>
                <w:sz w:val="20"/>
                <w:lang w:eastAsia="en-AU"/>
              </w:rPr>
              <w:t>E</w:t>
            </w:r>
          </w:p>
        </w:tc>
        <w:tc>
          <w:tcPr>
            <w:tcW w:w="632" w:type="pct"/>
            <w:tcBorders>
              <w:top w:val="nil"/>
              <w:left w:val="nil"/>
              <w:bottom w:val="single" w:sz="8" w:space="0" w:color="auto"/>
              <w:right w:val="single" w:sz="8" w:space="0" w:color="auto"/>
            </w:tcBorders>
            <w:shd w:val="clear" w:color="auto" w:fill="auto"/>
            <w:noWrap/>
            <w:vAlign w:val="center"/>
            <w:hideMark/>
          </w:tcPr>
          <w:p w14:paraId="79311D1D"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Deprec</w:t>
            </w:r>
          </w:p>
        </w:tc>
      </w:tr>
      <w:tr w:rsidR="006E7FD0" w:rsidRPr="006E7FD0" w14:paraId="5DF8DC10" w14:textId="77777777" w:rsidTr="00465EDC">
        <w:trPr>
          <w:trHeight w:val="218"/>
        </w:trPr>
        <w:tc>
          <w:tcPr>
            <w:tcW w:w="832" w:type="pct"/>
            <w:tcBorders>
              <w:top w:val="nil"/>
              <w:left w:val="single" w:sz="8" w:space="0" w:color="auto"/>
              <w:bottom w:val="single" w:sz="8" w:space="0" w:color="auto"/>
              <w:right w:val="single" w:sz="8" w:space="0" w:color="auto"/>
            </w:tcBorders>
            <w:shd w:val="clear" w:color="auto" w:fill="auto"/>
            <w:noWrap/>
            <w:vAlign w:val="center"/>
            <w:hideMark/>
          </w:tcPr>
          <w:p w14:paraId="0F11D1C2"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41000 Series</w:t>
            </w:r>
          </w:p>
        </w:tc>
        <w:tc>
          <w:tcPr>
            <w:tcW w:w="3173" w:type="pct"/>
            <w:tcBorders>
              <w:top w:val="nil"/>
              <w:left w:val="nil"/>
              <w:bottom w:val="single" w:sz="8" w:space="0" w:color="auto"/>
              <w:right w:val="single" w:sz="8" w:space="0" w:color="auto"/>
            </w:tcBorders>
            <w:shd w:val="clear" w:color="auto" w:fill="auto"/>
            <w:noWrap/>
            <w:vAlign w:val="center"/>
            <w:hideMark/>
          </w:tcPr>
          <w:p w14:paraId="39A8CB3B"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Asset Additions</w:t>
            </w:r>
          </w:p>
        </w:tc>
        <w:tc>
          <w:tcPr>
            <w:tcW w:w="363" w:type="pct"/>
            <w:tcBorders>
              <w:top w:val="nil"/>
              <w:left w:val="nil"/>
              <w:bottom w:val="single" w:sz="8" w:space="0" w:color="auto"/>
              <w:right w:val="single" w:sz="8" w:space="0" w:color="auto"/>
            </w:tcBorders>
            <w:shd w:val="clear" w:color="auto" w:fill="auto"/>
            <w:noWrap/>
            <w:vAlign w:val="center"/>
            <w:hideMark/>
          </w:tcPr>
          <w:p w14:paraId="1B89626A" w14:textId="77777777" w:rsidR="006E7FD0" w:rsidRPr="006E7FD0" w:rsidRDefault="006E7FD0" w:rsidP="006E7FD0">
            <w:pPr>
              <w:spacing w:after="0" w:line="240" w:lineRule="auto"/>
              <w:jc w:val="center"/>
              <w:rPr>
                <w:rFonts w:cs="Arial"/>
                <w:color w:val="000000"/>
                <w:sz w:val="20"/>
                <w:lang w:eastAsia="en-AU"/>
              </w:rPr>
            </w:pPr>
            <w:r w:rsidRPr="006E7FD0">
              <w:rPr>
                <w:rFonts w:cs="Arial"/>
                <w:color w:val="000000"/>
                <w:sz w:val="20"/>
                <w:lang w:eastAsia="en-AU"/>
              </w:rPr>
              <w:t>E</w:t>
            </w:r>
          </w:p>
        </w:tc>
        <w:tc>
          <w:tcPr>
            <w:tcW w:w="632" w:type="pct"/>
            <w:tcBorders>
              <w:top w:val="nil"/>
              <w:left w:val="nil"/>
              <w:bottom w:val="single" w:sz="8" w:space="0" w:color="auto"/>
              <w:right w:val="single" w:sz="8" w:space="0" w:color="auto"/>
            </w:tcBorders>
            <w:shd w:val="clear" w:color="auto" w:fill="auto"/>
            <w:noWrap/>
            <w:vAlign w:val="center"/>
            <w:hideMark/>
          </w:tcPr>
          <w:p w14:paraId="00913708"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Exclude</w:t>
            </w:r>
          </w:p>
        </w:tc>
      </w:tr>
      <w:tr w:rsidR="006E7FD0" w:rsidRPr="006E7FD0" w14:paraId="1923F566" w14:textId="77777777" w:rsidTr="00465EDC">
        <w:trPr>
          <w:trHeight w:val="218"/>
        </w:trPr>
        <w:tc>
          <w:tcPr>
            <w:tcW w:w="832" w:type="pct"/>
            <w:tcBorders>
              <w:top w:val="nil"/>
              <w:left w:val="single" w:sz="8" w:space="0" w:color="auto"/>
              <w:bottom w:val="single" w:sz="8" w:space="0" w:color="auto"/>
              <w:right w:val="single" w:sz="8" w:space="0" w:color="auto"/>
            </w:tcBorders>
            <w:shd w:val="clear" w:color="auto" w:fill="auto"/>
            <w:noWrap/>
            <w:vAlign w:val="center"/>
            <w:hideMark/>
          </w:tcPr>
          <w:p w14:paraId="2F1F2775"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 xml:space="preserve">43000 Series </w:t>
            </w:r>
          </w:p>
        </w:tc>
        <w:tc>
          <w:tcPr>
            <w:tcW w:w="3173" w:type="pct"/>
            <w:tcBorders>
              <w:top w:val="nil"/>
              <w:left w:val="nil"/>
              <w:bottom w:val="single" w:sz="8" w:space="0" w:color="auto"/>
              <w:right w:val="single" w:sz="8" w:space="0" w:color="auto"/>
            </w:tcBorders>
            <w:shd w:val="clear" w:color="auto" w:fill="auto"/>
            <w:noWrap/>
            <w:vAlign w:val="center"/>
            <w:hideMark/>
          </w:tcPr>
          <w:p w14:paraId="59398A0B"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Written down value of assets disposed</w:t>
            </w:r>
          </w:p>
        </w:tc>
        <w:tc>
          <w:tcPr>
            <w:tcW w:w="363" w:type="pct"/>
            <w:tcBorders>
              <w:top w:val="nil"/>
              <w:left w:val="nil"/>
              <w:bottom w:val="single" w:sz="8" w:space="0" w:color="auto"/>
              <w:right w:val="single" w:sz="8" w:space="0" w:color="auto"/>
            </w:tcBorders>
            <w:shd w:val="clear" w:color="auto" w:fill="auto"/>
            <w:noWrap/>
            <w:vAlign w:val="center"/>
            <w:hideMark/>
          </w:tcPr>
          <w:p w14:paraId="0F71C056" w14:textId="77777777" w:rsidR="006E7FD0" w:rsidRPr="006E7FD0" w:rsidRDefault="006E7FD0" w:rsidP="006E7FD0">
            <w:pPr>
              <w:spacing w:after="0" w:line="240" w:lineRule="auto"/>
              <w:jc w:val="center"/>
              <w:rPr>
                <w:rFonts w:cs="Arial"/>
                <w:color w:val="000000"/>
                <w:sz w:val="20"/>
                <w:lang w:eastAsia="en-AU"/>
              </w:rPr>
            </w:pPr>
            <w:r w:rsidRPr="006E7FD0">
              <w:rPr>
                <w:rFonts w:cs="Arial"/>
                <w:color w:val="000000"/>
                <w:sz w:val="20"/>
                <w:lang w:eastAsia="en-AU"/>
              </w:rPr>
              <w:t>E</w:t>
            </w:r>
          </w:p>
        </w:tc>
        <w:tc>
          <w:tcPr>
            <w:tcW w:w="632" w:type="pct"/>
            <w:tcBorders>
              <w:top w:val="nil"/>
              <w:left w:val="nil"/>
              <w:bottom w:val="single" w:sz="8" w:space="0" w:color="auto"/>
              <w:right w:val="single" w:sz="8" w:space="0" w:color="auto"/>
            </w:tcBorders>
            <w:shd w:val="clear" w:color="auto" w:fill="auto"/>
            <w:noWrap/>
            <w:vAlign w:val="center"/>
            <w:hideMark/>
          </w:tcPr>
          <w:p w14:paraId="19EC4BC8"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Deprec</w:t>
            </w:r>
          </w:p>
        </w:tc>
      </w:tr>
      <w:tr w:rsidR="006E7FD0" w:rsidRPr="006E7FD0" w14:paraId="361F69AA" w14:textId="77777777" w:rsidTr="00465EDC">
        <w:trPr>
          <w:trHeight w:val="218"/>
        </w:trPr>
        <w:tc>
          <w:tcPr>
            <w:tcW w:w="832" w:type="pct"/>
            <w:tcBorders>
              <w:top w:val="nil"/>
              <w:left w:val="single" w:sz="8" w:space="0" w:color="auto"/>
              <w:bottom w:val="single" w:sz="8" w:space="0" w:color="auto"/>
              <w:right w:val="single" w:sz="8" w:space="0" w:color="auto"/>
            </w:tcBorders>
            <w:shd w:val="clear" w:color="auto" w:fill="auto"/>
            <w:noWrap/>
            <w:vAlign w:val="center"/>
            <w:hideMark/>
          </w:tcPr>
          <w:p w14:paraId="138A174F"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43100 Series</w:t>
            </w:r>
          </w:p>
        </w:tc>
        <w:tc>
          <w:tcPr>
            <w:tcW w:w="3173" w:type="pct"/>
            <w:tcBorders>
              <w:top w:val="nil"/>
              <w:left w:val="nil"/>
              <w:bottom w:val="single" w:sz="8" w:space="0" w:color="auto"/>
              <w:right w:val="single" w:sz="8" w:space="0" w:color="auto"/>
            </w:tcBorders>
            <w:shd w:val="clear" w:color="auto" w:fill="auto"/>
            <w:noWrap/>
            <w:vAlign w:val="center"/>
            <w:hideMark/>
          </w:tcPr>
          <w:p w14:paraId="33ACEF97"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Written down value of investment assets disposed</w:t>
            </w:r>
          </w:p>
        </w:tc>
        <w:tc>
          <w:tcPr>
            <w:tcW w:w="363" w:type="pct"/>
            <w:tcBorders>
              <w:top w:val="nil"/>
              <w:left w:val="nil"/>
              <w:bottom w:val="single" w:sz="8" w:space="0" w:color="auto"/>
              <w:right w:val="single" w:sz="8" w:space="0" w:color="auto"/>
            </w:tcBorders>
            <w:shd w:val="clear" w:color="auto" w:fill="auto"/>
            <w:noWrap/>
            <w:vAlign w:val="center"/>
            <w:hideMark/>
          </w:tcPr>
          <w:p w14:paraId="0C704F0C" w14:textId="77777777" w:rsidR="006E7FD0" w:rsidRPr="006E7FD0" w:rsidRDefault="006E7FD0" w:rsidP="006E7FD0">
            <w:pPr>
              <w:spacing w:after="0" w:line="240" w:lineRule="auto"/>
              <w:jc w:val="center"/>
              <w:rPr>
                <w:rFonts w:cs="Arial"/>
                <w:color w:val="000000"/>
                <w:sz w:val="20"/>
                <w:lang w:eastAsia="en-AU"/>
              </w:rPr>
            </w:pPr>
            <w:r w:rsidRPr="006E7FD0">
              <w:rPr>
                <w:rFonts w:cs="Arial"/>
                <w:color w:val="000000"/>
                <w:sz w:val="20"/>
                <w:lang w:eastAsia="en-AU"/>
              </w:rPr>
              <w:t>E</w:t>
            </w:r>
          </w:p>
        </w:tc>
        <w:tc>
          <w:tcPr>
            <w:tcW w:w="632" w:type="pct"/>
            <w:tcBorders>
              <w:top w:val="nil"/>
              <w:left w:val="nil"/>
              <w:bottom w:val="single" w:sz="8" w:space="0" w:color="auto"/>
              <w:right w:val="single" w:sz="8" w:space="0" w:color="auto"/>
            </w:tcBorders>
            <w:shd w:val="clear" w:color="auto" w:fill="auto"/>
            <w:noWrap/>
            <w:vAlign w:val="center"/>
            <w:hideMark/>
          </w:tcPr>
          <w:p w14:paraId="4B953502"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Deprec</w:t>
            </w:r>
          </w:p>
        </w:tc>
      </w:tr>
      <w:tr w:rsidR="006E7FD0" w:rsidRPr="006E7FD0" w14:paraId="17810D84" w14:textId="77777777" w:rsidTr="00465EDC">
        <w:trPr>
          <w:trHeight w:val="218"/>
        </w:trPr>
        <w:tc>
          <w:tcPr>
            <w:tcW w:w="832" w:type="pct"/>
            <w:tcBorders>
              <w:top w:val="nil"/>
              <w:left w:val="single" w:sz="8" w:space="0" w:color="auto"/>
              <w:bottom w:val="single" w:sz="8" w:space="0" w:color="auto"/>
              <w:right w:val="single" w:sz="8" w:space="0" w:color="auto"/>
            </w:tcBorders>
            <w:shd w:val="clear" w:color="auto" w:fill="auto"/>
            <w:noWrap/>
            <w:vAlign w:val="center"/>
            <w:hideMark/>
          </w:tcPr>
          <w:p w14:paraId="6E2573B9"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44000 Series</w:t>
            </w:r>
          </w:p>
        </w:tc>
        <w:tc>
          <w:tcPr>
            <w:tcW w:w="3173" w:type="pct"/>
            <w:tcBorders>
              <w:top w:val="nil"/>
              <w:left w:val="nil"/>
              <w:bottom w:val="single" w:sz="8" w:space="0" w:color="auto"/>
              <w:right w:val="single" w:sz="8" w:space="0" w:color="auto"/>
            </w:tcBorders>
            <w:shd w:val="clear" w:color="auto" w:fill="auto"/>
            <w:noWrap/>
            <w:vAlign w:val="center"/>
            <w:hideMark/>
          </w:tcPr>
          <w:p w14:paraId="2DD57FA9"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Devaluation of Assets</w:t>
            </w:r>
          </w:p>
        </w:tc>
        <w:tc>
          <w:tcPr>
            <w:tcW w:w="363" w:type="pct"/>
            <w:tcBorders>
              <w:top w:val="nil"/>
              <w:left w:val="nil"/>
              <w:bottom w:val="single" w:sz="8" w:space="0" w:color="auto"/>
              <w:right w:val="single" w:sz="8" w:space="0" w:color="auto"/>
            </w:tcBorders>
            <w:shd w:val="clear" w:color="auto" w:fill="auto"/>
            <w:noWrap/>
            <w:vAlign w:val="center"/>
            <w:hideMark/>
          </w:tcPr>
          <w:p w14:paraId="728F4F2F" w14:textId="77777777" w:rsidR="006E7FD0" w:rsidRPr="006E7FD0" w:rsidRDefault="006E7FD0" w:rsidP="006E7FD0">
            <w:pPr>
              <w:spacing w:after="0" w:line="240" w:lineRule="auto"/>
              <w:jc w:val="center"/>
              <w:rPr>
                <w:rFonts w:cs="Arial"/>
                <w:color w:val="000000"/>
                <w:sz w:val="20"/>
                <w:lang w:eastAsia="en-AU"/>
              </w:rPr>
            </w:pPr>
            <w:r w:rsidRPr="006E7FD0">
              <w:rPr>
                <w:rFonts w:cs="Arial"/>
                <w:color w:val="000000"/>
                <w:sz w:val="20"/>
                <w:lang w:eastAsia="en-AU"/>
              </w:rPr>
              <w:t>E</w:t>
            </w:r>
          </w:p>
        </w:tc>
        <w:tc>
          <w:tcPr>
            <w:tcW w:w="632" w:type="pct"/>
            <w:tcBorders>
              <w:top w:val="nil"/>
              <w:left w:val="nil"/>
              <w:bottom w:val="single" w:sz="8" w:space="0" w:color="auto"/>
              <w:right w:val="single" w:sz="8" w:space="0" w:color="auto"/>
            </w:tcBorders>
            <w:shd w:val="clear" w:color="auto" w:fill="auto"/>
            <w:noWrap/>
            <w:vAlign w:val="center"/>
            <w:hideMark/>
          </w:tcPr>
          <w:p w14:paraId="7EDDA147"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Exclude</w:t>
            </w:r>
          </w:p>
        </w:tc>
      </w:tr>
      <w:tr w:rsidR="006E7FD0" w:rsidRPr="006E7FD0" w14:paraId="1F39A8C7" w14:textId="77777777" w:rsidTr="00465EDC">
        <w:trPr>
          <w:trHeight w:val="218"/>
        </w:trPr>
        <w:tc>
          <w:tcPr>
            <w:tcW w:w="832" w:type="pct"/>
            <w:tcBorders>
              <w:top w:val="nil"/>
              <w:left w:val="single" w:sz="8" w:space="0" w:color="auto"/>
              <w:bottom w:val="single" w:sz="8" w:space="0" w:color="auto"/>
              <w:right w:val="single" w:sz="8" w:space="0" w:color="auto"/>
            </w:tcBorders>
            <w:shd w:val="clear" w:color="auto" w:fill="auto"/>
            <w:noWrap/>
            <w:vAlign w:val="center"/>
            <w:hideMark/>
          </w:tcPr>
          <w:p w14:paraId="4CF04A02"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60000 Series</w:t>
            </w:r>
          </w:p>
        </w:tc>
        <w:tc>
          <w:tcPr>
            <w:tcW w:w="3173" w:type="pct"/>
            <w:tcBorders>
              <w:top w:val="nil"/>
              <w:left w:val="nil"/>
              <w:bottom w:val="single" w:sz="8" w:space="0" w:color="auto"/>
              <w:right w:val="single" w:sz="8" w:space="0" w:color="auto"/>
            </w:tcBorders>
            <w:shd w:val="clear" w:color="auto" w:fill="auto"/>
            <w:noWrap/>
            <w:vAlign w:val="center"/>
            <w:hideMark/>
          </w:tcPr>
          <w:p w14:paraId="39540C63"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Transfer Pricing Accounts - Patient Expenses</w:t>
            </w:r>
          </w:p>
        </w:tc>
        <w:tc>
          <w:tcPr>
            <w:tcW w:w="363" w:type="pct"/>
            <w:tcBorders>
              <w:top w:val="nil"/>
              <w:left w:val="nil"/>
              <w:bottom w:val="single" w:sz="8" w:space="0" w:color="auto"/>
              <w:right w:val="single" w:sz="8" w:space="0" w:color="auto"/>
            </w:tcBorders>
            <w:shd w:val="clear" w:color="auto" w:fill="auto"/>
            <w:noWrap/>
            <w:vAlign w:val="center"/>
            <w:hideMark/>
          </w:tcPr>
          <w:p w14:paraId="686C0DC0" w14:textId="77777777" w:rsidR="006E7FD0" w:rsidRPr="006E7FD0" w:rsidRDefault="006E7FD0" w:rsidP="006E7FD0">
            <w:pPr>
              <w:spacing w:after="0" w:line="240" w:lineRule="auto"/>
              <w:jc w:val="center"/>
              <w:rPr>
                <w:rFonts w:cs="Arial"/>
                <w:color w:val="000000"/>
                <w:sz w:val="20"/>
                <w:lang w:eastAsia="en-AU"/>
              </w:rPr>
            </w:pPr>
            <w:r w:rsidRPr="006E7FD0">
              <w:rPr>
                <w:rFonts w:cs="Arial"/>
                <w:color w:val="000000"/>
                <w:sz w:val="20"/>
                <w:lang w:eastAsia="en-AU"/>
              </w:rPr>
              <w:t>E</w:t>
            </w:r>
          </w:p>
        </w:tc>
        <w:tc>
          <w:tcPr>
            <w:tcW w:w="632" w:type="pct"/>
            <w:tcBorders>
              <w:top w:val="nil"/>
              <w:left w:val="nil"/>
              <w:bottom w:val="single" w:sz="8" w:space="0" w:color="auto"/>
              <w:right w:val="single" w:sz="8" w:space="0" w:color="auto"/>
            </w:tcBorders>
            <w:shd w:val="clear" w:color="auto" w:fill="auto"/>
            <w:noWrap/>
            <w:vAlign w:val="center"/>
            <w:hideMark/>
          </w:tcPr>
          <w:p w14:paraId="14586C26"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N/A</w:t>
            </w:r>
          </w:p>
        </w:tc>
      </w:tr>
      <w:tr w:rsidR="006E7FD0" w:rsidRPr="006E7FD0" w14:paraId="4A7BBF9A" w14:textId="77777777" w:rsidTr="00465EDC">
        <w:trPr>
          <w:trHeight w:val="218"/>
        </w:trPr>
        <w:tc>
          <w:tcPr>
            <w:tcW w:w="832" w:type="pct"/>
            <w:tcBorders>
              <w:top w:val="nil"/>
              <w:left w:val="single" w:sz="8" w:space="0" w:color="auto"/>
              <w:bottom w:val="single" w:sz="8" w:space="0" w:color="auto"/>
              <w:right w:val="single" w:sz="8" w:space="0" w:color="auto"/>
            </w:tcBorders>
            <w:shd w:val="clear" w:color="auto" w:fill="auto"/>
            <w:noWrap/>
            <w:vAlign w:val="center"/>
            <w:hideMark/>
          </w:tcPr>
          <w:p w14:paraId="020C8BE6"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61000 Series</w:t>
            </w:r>
          </w:p>
        </w:tc>
        <w:tc>
          <w:tcPr>
            <w:tcW w:w="3173" w:type="pct"/>
            <w:tcBorders>
              <w:top w:val="nil"/>
              <w:left w:val="nil"/>
              <w:bottom w:val="single" w:sz="8" w:space="0" w:color="auto"/>
              <w:right w:val="single" w:sz="8" w:space="0" w:color="auto"/>
            </w:tcBorders>
            <w:shd w:val="clear" w:color="auto" w:fill="auto"/>
            <w:noWrap/>
            <w:vAlign w:val="center"/>
            <w:hideMark/>
          </w:tcPr>
          <w:p w14:paraId="365FB379"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Transfer Pricing Accounts - Other Expenses</w:t>
            </w:r>
          </w:p>
        </w:tc>
        <w:tc>
          <w:tcPr>
            <w:tcW w:w="363" w:type="pct"/>
            <w:tcBorders>
              <w:top w:val="nil"/>
              <w:left w:val="nil"/>
              <w:bottom w:val="single" w:sz="8" w:space="0" w:color="auto"/>
              <w:right w:val="single" w:sz="8" w:space="0" w:color="auto"/>
            </w:tcBorders>
            <w:shd w:val="clear" w:color="auto" w:fill="auto"/>
            <w:noWrap/>
            <w:vAlign w:val="center"/>
            <w:hideMark/>
          </w:tcPr>
          <w:p w14:paraId="1074F64A" w14:textId="77777777" w:rsidR="006E7FD0" w:rsidRPr="006E7FD0" w:rsidRDefault="006E7FD0" w:rsidP="006E7FD0">
            <w:pPr>
              <w:spacing w:after="0" w:line="240" w:lineRule="auto"/>
              <w:jc w:val="center"/>
              <w:rPr>
                <w:rFonts w:cs="Arial"/>
                <w:color w:val="000000"/>
                <w:sz w:val="20"/>
                <w:lang w:eastAsia="en-AU"/>
              </w:rPr>
            </w:pPr>
            <w:r w:rsidRPr="006E7FD0">
              <w:rPr>
                <w:rFonts w:cs="Arial"/>
                <w:color w:val="000000"/>
                <w:sz w:val="20"/>
                <w:lang w:eastAsia="en-AU"/>
              </w:rPr>
              <w:t>E</w:t>
            </w:r>
          </w:p>
        </w:tc>
        <w:tc>
          <w:tcPr>
            <w:tcW w:w="632" w:type="pct"/>
            <w:tcBorders>
              <w:top w:val="nil"/>
              <w:left w:val="nil"/>
              <w:bottom w:val="single" w:sz="8" w:space="0" w:color="auto"/>
              <w:right w:val="single" w:sz="8" w:space="0" w:color="auto"/>
            </w:tcBorders>
            <w:shd w:val="clear" w:color="auto" w:fill="auto"/>
            <w:noWrap/>
            <w:vAlign w:val="center"/>
            <w:hideMark/>
          </w:tcPr>
          <w:p w14:paraId="72192A61" w14:textId="77777777" w:rsidR="006E7FD0" w:rsidRPr="006E7FD0" w:rsidRDefault="006E7FD0" w:rsidP="006E7FD0">
            <w:pPr>
              <w:spacing w:after="0" w:line="240" w:lineRule="auto"/>
              <w:rPr>
                <w:rFonts w:cs="Arial"/>
                <w:color w:val="000000"/>
                <w:sz w:val="20"/>
                <w:lang w:eastAsia="en-AU"/>
              </w:rPr>
            </w:pPr>
            <w:r w:rsidRPr="006E7FD0">
              <w:rPr>
                <w:rFonts w:cs="Arial"/>
                <w:color w:val="000000"/>
                <w:sz w:val="20"/>
                <w:lang w:eastAsia="en-AU"/>
              </w:rPr>
              <w:t>N/A</w:t>
            </w:r>
          </w:p>
        </w:tc>
      </w:tr>
    </w:tbl>
    <w:p w14:paraId="0CE66C2D" w14:textId="77777777" w:rsidR="00465EDC" w:rsidRDefault="00465EDC" w:rsidP="00F10002">
      <w:pPr>
        <w:pStyle w:val="Body"/>
        <w:sectPr w:rsidR="00465EDC" w:rsidSect="00D93685">
          <w:pgSz w:w="11906" w:h="16838" w:code="9"/>
          <w:pgMar w:top="851" w:right="1304" w:bottom="993" w:left="1304" w:header="680" w:footer="851" w:gutter="0"/>
          <w:cols w:space="340"/>
          <w:titlePg/>
          <w:docGrid w:linePitch="360"/>
        </w:sectPr>
      </w:pPr>
    </w:p>
    <w:p w14:paraId="4D463A16" w14:textId="2EC4D8E9" w:rsidR="00F10002" w:rsidRDefault="0055315A" w:rsidP="0078417A">
      <w:pPr>
        <w:pStyle w:val="Heading2"/>
      </w:pPr>
      <w:bookmarkStart w:id="22" w:name="_Toc144897057"/>
      <w:r>
        <w:t>R</w:t>
      </w:r>
      <w:r w:rsidR="00465EDC">
        <w:t>esource categories</w:t>
      </w:r>
      <w:bookmarkEnd w:id="22"/>
    </w:p>
    <w:p w14:paraId="6D46CF74" w14:textId="597CD71D" w:rsidR="00465EDC" w:rsidRDefault="00553F6B" w:rsidP="00553F6B">
      <w:pPr>
        <w:pStyle w:val="Tablecaption"/>
        <w:rPr>
          <w:noProof/>
        </w:rPr>
      </w:pPr>
      <w:r>
        <w:t>Table 4: Main resource categories</w:t>
      </w:r>
      <w:bookmarkEnd w:id="2"/>
    </w:p>
    <w:p w14:paraId="25554C07" w14:textId="759B1C1F" w:rsidR="00933512" w:rsidRPr="00933512" w:rsidRDefault="006B3D5F" w:rsidP="00933512">
      <w:pPr>
        <w:pStyle w:val="Body"/>
      </w:pPr>
      <w:r w:rsidRPr="006B3D5F">
        <w:rPr>
          <w:noProof/>
        </w:rPr>
        <w:drawing>
          <wp:inline distT="0" distB="0" distL="0" distR="0" wp14:anchorId="5A92D01D" wp14:editId="05BBE221">
            <wp:extent cx="9521190" cy="446722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521190" cy="4467225"/>
                    </a:xfrm>
                    <a:prstGeom prst="rect">
                      <a:avLst/>
                    </a:prstGeom>
                  </pic:spPr>
                </pic:pic>
              </a:graphicData>
            </a:graphic>
          </wp:inline>
        </w:drawing>
      </w:r>
    </w:p>
    <w:p w14:paraId="0DBF9E59" w14:textId="4278B440" w:rsidR="00553F6B" w:rsidRDefault="00553F6B" w:rsidP="00553F6B">
      <w:pPr>
        <w:pStyle w:val="Tablecaption"/>
      </w:pPr>
      <w:r>
        <w:t>Table 5: Information resource categories</w:t>
      </w:r>
    </w:p>
    <w:p w14:paraId="2BA7D1CB" w14:textId="0AA094D9" w:rsidR="00553F6B" w:rsidRDefault="00553F6B" w:rsidP="00553F6B">
      <w:pPr>
        <w:pStyle w:val="Body"/>
      </w:pPr>
      <w:r w:rsidRPr="00553F6B">
        <w:rPr>
          <w:noProof/>
        </w:rPr>
        <w:drawing>
          <wp:inline distT="0" distB="0" distL="0" distR="0" wp14:anchorId="1E2893B3" wp14:editId="1EF40262">
            <wp:extent cx="9172575" cy="325573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216383" cy="3271281"/>
                    </a:xfrm>
                    <a:prstGeom prst="rect">
                      <a:avLst/>
                    </a:prstGeom>
                  </pic:spPr>
                </pic:pic>
              </a:graphicData>
            </a:graphic>
          </wp:inline>
        </w:drawing>
      </w:r>
    </w:p>
    <w:p w14:paraId="4B74CD61" w14:textId="77777777" w:rsidR="0078417A" w:rsidRDefault="0078417A" w:rsidP="00553F6B">
      <w:pPr>
        <w:pStyle w:val="Body"/>
        <w:sectPr w:rsidR="0078417A" w:rsidSect="00E57CA5">
          <w:pgSz w:w="16838" w:h="11906" w:orient="landscape" w:code="9"/>
          <w:pgMar w:top="1304" w:right="993" w:bottom="1304" w:left="851" w:header="680" w:footer="851" w:gutter="0"/>
          <w:cols w:space="340"/>
          <w:titlePg/>
          <w:docGrid w:linePitch="360"/>
        </w:sectPr>
      </w:pPr>
    </w:p>
    <w:p w14:paraId="4D7AFD5B" w14:textId="17BA8D25" w:rsidR="00E959CB" w:rsidRDefault="003D4E21" w:rsidP="003D4E21">
      <w:pPr>
        <w:pStyle w:val="Heading1"/>
      </w:pPr>
      <w:bookmarkStart w:id="23" w:name="_Toc144897058"/>
      <w:r>
        <w:t>National cost buckets</w:t>
      </w:r>
      <w:bookmarkEnd w:id="23"/>
    </w:p>
    <w:p w14:paraId="3CD3F3F1" w14:textId="77777777" w:rsidR="003D4E21" w:rsidRPr="004B4CE5" w:rsidRDefault="003D4E21" w:rsidP="003D4E21">
      <w:pPr>
        <w:pStyle w:val="Heading2"/>
      </w:pPr>
      <w:bookmarkStart w:id="24" w:name="_Toc509318741"/>
      <w:bookmarkStart w:id="25" w:name="_Toc20233017"/>
      <w:bookmarkStart w:id="26" w:name="_Toc144897059"/>
      <w:r>
        <w:t>Overview</w:t>
      </w:r>
      <w:bookmarkEnd w:id="24"/>
      <w:bookmarkEnd w:id="25"/>
      <w:bookmarkEnd w:id="26"/>
    </w:p>
    <w:p w14:paraId="2A4229B6" w14:textId="7C73B8CD" w:rsidR="003D4E21" w:rsidRPr="00435C45" w:rsidRDefault="003D4E21" w:rsidP="003D4E21">
      <w:pPr>
        <w:spacing w:after="240"/>
        <w:rPr>
          <w:rFonts w:cs="Arial"/>
        </w:rPr>
      </w:pPr>
      <w:r w:rsidRPr="00435C45">
        <w:rPr>
          <w:rFonts w:cs="Arial"/>
        </w:rPr>
        <w:t xml:space="preserve">As part of the NHRA, Victoria uses the VCDC as the base data for submission to the </w:t>
      </w:r>
      <w:r w:rsidR="006B3D5F" w:rsidRPr="006B3D5F">
        <w:rPr>
          <w:rFonts w:cs="Arial"/>
        </w:rPr>
        <w:t>Independent Health and Aged Care Pricing Authority</w:t>
      </w:r>
      <w:r w:rsidRPr="00435C45">
        <w:rPr>
          <w:rFonts w:cs="Arial"/>
        </w:rPr>
        <w:t>’s (IH</w:t>
      </w:r>
      <w:r w:rsidR="006B3D5F">
        <w:rPr>
          <w:rFonts w:cs="Arial"/>
        </w:rPr>
        <w:t>AC</w:t>
      </w:r>
      <w:r w:rsidRPr="00435C45">
        <w:rPr>
          <w:rFonts w:cs="Arial"/>
        </w:rPr>
        <w:t>PA) N</w:t>
      </w:r>
      <w:r>
        <w:rPr>
          <w:rFonts w:cs="Arial"/>
        </w:rPr>
        <w:t xml:space="preserve">ational </w:t>
      </w:r>
      <w:r w:rsidRPr="00435C45">
        <w:rPr>
          <w:rFonts w:cs="Arial"/>
        </w:rPr>
        <w:t>H</w:t>
      </w:r>
      <w:r>
        <w:rPr>
          <w:rFonts w:cs="Arial"/>
        </w:rPr>
        <w:t xml:space="preserve">ospital </w:t>
      </w:r>
      <w:r w:rsidRPr="00435C45">
        <w:rPr>
          <w:rFonts w:cs="Arial"/>
        </w:rPr>
        <w:t>C</w:t>
      </w:r>
      <w:r>
        <w:rPr>
          <w:rFonts w:cs="Arial"/>
        </w:rPr>
        <w:t xml:space="preserve">ost </w:t>
      </w:r>
      <w:r w:rsidRPr="00435C45">
        <w:rPr>
          <w:rFonts w:cs="Arial"/>
        </w:rPr>
        <w:t>D</w:t>
      </w:r>
      <w:r>
        <w:rPr>
          <w:rFonts w:cs="Arial"/>
        </w:rPr>
        <w:t xml:space="preserve">ata </w:t>
      </w:r>
      <w:r w:rsidRPr="00435C45">
        <w:rPr>
          <w:rFonts w:cs="Arial"/>
        </w:rPr>
        <w:t>C</w:t>
      </w:r>
      <w:r>
        <w:rPr>
          <w:rFonts w:cs="Arial"/>
        </w:rPr>
        <w:t>ollection (NHCDC)</w:t>
      </w:r>
      <w:r w:rsidRPr="00435C45">
        <w:rPr>
          <w:rFonts w:cs="Arial"/>
        </w:rPr>
        <w:t xml:space="preserve">. </w:t>
      </w:r>
    </w:p>
    <w:p w14:paraId="4746F7B2" w14:textId="77777777" w:rsidR="003D4E21" w:rsidRPr="00435C45" w:rsidRDefault="003D4E21" w:rsidP="003D4E21">
      <w:pPr>
        <w:spacing w:after="240"/>
        <w:rPr>
          <w:rFonts w:cs="Arial"/>
        </w:rPr>
      </w:pPr>
      <w:r w:rsidRPr="00435C45">
        <w:rPr>
          <w:rFonts w:cs="Arial"/>
        </w:rPr>
        <w:t>The NHCDC is the annual collection of public hospital cost data from a range of public hospital facilities nationally. The objective of the NHCDC is to provide all governments with a robust dataset developed using nationally consistent methods of costing hospital activity.</w:t>
      </w:r>
    </w:p>
    <w:p w14:paraId="08993392" w14:textId="623D6EED" w:rsidR="003D4E21" w:rsidRPr="00435C45" w:rsidRDefault="003D4E21" w:rsidP="003D4E21">
      <w:pPr>
        <w:spacing w:after="240"/>
        <w:rPr>
          <w:rFonts w:cs="Arial"/>
        </w:rPr>
      </w:pPr>
      <w:r w:rsidRPr="00435C45">
        <w:rPr>
          <w:rFonts w:cs="Arial"/>
        </w:rPr>
        <w:t xml:space="preserve">The dataset is used for benchmarking, funding and planning hospital services and is the primary dataset used to develop the National Efficient Price (NEP) and produce weights for the funding of public hospital services on an activity basis, as well as to develop the National Efficient Cost (NEC) for block funded hospitals. More information about the NEP, NEC and activity-based funding is available on </w:t>
      </w:r>
      <w:hyperlink r:id="rId25" w:history="1">
        <w:r w:rsidRPr="004B4CE5">
          <w:rPr>
            <w:rStyle w:val="Hyperlink"/>
            <w:rFonts w:cs="Arial"/>
          </w:rPr>
          <w:t>IH</w:t>
        </w:r>
        <w:r w:rsidR="006B3D5F">
          <w:rPr>
            <w:rStyle w:val="Hyperlink"/>
            <w:rFonts w:cs="Arial"/>
          </w:rPr>
          <w:t>AC</w:t>
        </w:r>
        <w:r w:rsidRPr="004B4CE5">
          <w:rPr>
            <w:rStyle w:val="Hyperlink"/>
            <w:rFonts w:cs="Arial"/>
          </w:rPr>
          <w:t>PA’s website</w:t>
        </w:r>
      </w:hyperlink>
      <w:r w:rsidRPr="00435C45">
        <w:rPr>
          <w:rFonts w:cs="Arial"/>
        </w:rPr>
        <w:t>.</w:t>
      </w:r>
    </w:p>
    <w:p w14:paraId="009B4880" w14:textId="77777777" w:rsidR="003D4E21" w:rsidRDefault="003D4E21" w:rsidP="003D4E21">
      <w:pPr>
        <w:spacing w:after="240"/>
        <w:rPr>
          <w:rFonts w:cs="Arial"/>
        </w:rPr>
      </w:pPr>
      <w:r w:rsidRPr="00435C45">
        <w:rPr>
          <w:rFonts w:cs="Arial"/>
        </w:rPr>
        <w:t xml:space="preserve">To ensure consistency in the approach to costing nationally, NHCDC data is subject to the Australian Hospital Patient Costing Standards (the Standards), available on IHPA’s website. The Standards prescribe the set of line items and </w:t>
      </w:r>
      <w:r>
        <w:rPr>
          <w:rFonts w:cs="Arial"/>
        </w:rPr>
        <w:t xml:space="preserve">final </w:t>
      </w:r>
      <w:r w:rsidRPr="00435C45">
        <w:rPr>
          <w:rFonts w:cs="Arial"/>
        </w:rPr>
        <w:t>cost centres that hospital costs are mapped to for the costing process, to ensure that there is a consistent treatment of costs between hospitals. These costs are al</w:t>
      </w:r>
      <w:r>
        <w:rPr>
          <w:rFonts w:cs="Arial"/>
        </w:rPr>
        <w:t xml:space="preserve">located to and reported under </w:t>
      </w:r>
      <w:r w:rsidRPr="00435C45">
        <w:rPr>
          <w:rFonts w:cs="Arial"/>
        </w:rPr>
        <w:t>the NHCDC defined</w:t>
      </w:r>
      <w:r>
        <w:rPr>
          <w:rFonts w:cs="Arial"/>
        </w:rPr>
        <w:t xml:space="preserve"> </w:t>
      </w:r>
      <w:r w:rsidRPr="00435C45">
        <w:rPr>
          <w:rFonts w:cs="Arial"/>
        </w:rPr>
        <w:t>cost buckets</w:t>
      </w:r>
      <w:r>
        <w:rPr>
          <w:rFonts w:cs="Arial"/>
        </w:rPr>
        <w:t>.</w:t>
      </w:r>
    </w:p>
    <w:p w14:paraId="414DAB3A" w14:textId="659177DD" w:rsidR="002E25EF" w:rsidRPr="002E25EF" w:rsidRDefault="007A1ABA" w:rsidP="002E25EF">
      <w:pPr>
        <w:pStyle w:val="Body"/>
      </w:pPr>
      <w:r>
        <w:t xml:space="preserve">For details relating IHACPA’s specific elements of the costing process and reporting requirements please visit the </w:t>
      </w:r>
      <w:hyperlink r:id="rId26" w:history="1">
        <w:r w:rsidRPr="007A1ABA">
          <w:rPr>
            <w:rStyle w:val="Hyperlink"/>
          </w:rPr>
          <w:t>IHACPA website for costing</w:t>
        </w:r>
      </w:hyperlink>
      <w:r>
        <w:t xml:space="preserve">. </w:t>
      </w:r>
      <w:r w:rsidRPr="007A1ABA">
        <w:rPr>
          <w:i/>
          <w:iCs/>
        </w:rPr>
        <w:t>&lt;https://www.ihacpa.gov.au/health-care/costing&gt;</w:t>
      </w:r>
    </w:p>
    <w:sectPr w:rsidR="002E25EF" w:rsidRPr="002E25EF" w:rsidSect="0078417A">
      <w:pgSz w:w="11906" w:h="16838" w:code="9"/>
      <w:pgMar w:top="851" w:right="1304" w:bottom="993"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F708" w14:textId="77777777" w:rsidR="00933512" w:rsidRDefault="00933512">
      <w:r>
        <w:separator/>
      </w:r>
    </w:p>
    <w:p w14:paraId="6D8CCC2A" w14:textId="77777777" w:rsidR="00933512" w:rsidRDefault="00933512"/>
  </w:endnote>
  <w:endnote w:type="continuationSeparator" w:id="0">
    <w:p w14:paraId="7590CC76" w14:textId="77777777" w:rsidR="00933512" w:rsidRDefault="00933512">
      <w:r>
        <w:continuationSeparator/>
      </w:r>
    </w:p>
    <w:p w14:paraId="4F00B62A" w14:textId="77777777" w:rsidR="00933512" w:rsidRDefault="00933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11E9" w14:textId="77777777" w:rsidR="00933512" w:rsidRDefault="00933512">
    <w:pPr>
      <w:pStyle w:val="Footer"/>
    </w:pPr>
    <w:r>
      <w:rPr>
        <w:noProof/>
      </w:rPr>
      <mc:AlternateContent>
        <mc:Choice Requires="wps">
          <w:drawing>
            <wp:anchor distT="0" distB="0" distL="114300" distR="114300" simplePos="0" relativeHeight="251687935" behindDoc="0" locked="0" layoutInCell="0" allowOverlap="1" wp14:anchorId="55F80894" wp14:editId="276DEDA9">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75243" w14:textId="77777777" w:rsidR="00933512" w:rsidRPr="00EB4BC7" w:rsidRDefault="0093351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F80894"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E075243" w14:textId="77777777" w:rsidR="00933512" w:rsidRPr="00EB4BC7" w:rsidRDefault="0093351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928" w14:textId="743226DB" w:rsidR="00933512" w:rsidRDefault="00933512">
    <w:pPr>
      <w:pStyle w:val="Footer"/>
    </w:pPr>
    <w:r>
      <w:rPr>
        <w:noProof/>
      </w:rPr>
      <mc:AlternateContent>
        <mc:Choice Requires="wps">
          <w:drawing>
            <wp:anchor distT="0" distB="0" distL="114300" distR="114300" simplePos="0" relativeHeight="251705341" behindDoc="0" locked="0" layoutInCell="0" allowOverlap="1" wp14:anchorId="43099A71" wp14:editId="47C6F9D3">
              <wp:simplePos x="0" y="0"/>
              <wp:positionH relativeFrom="page">
                <wp:align>center</wp:align>
              </wp:positionH>
              <wp:positionV relativeFrom="page">
                <wp:align>bottom</wp:align>
              </wp:positionV>
              <wp:extent cx="7772400" cy="502285"/>
              <wp:effectExtent l="0" t="0" r="0" b="12065"/>
              <wp:wrapNone/>
              <wp:docPr id="9" name="MSIPCMd75c49b1b9a67b8477d5db4b"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B95BD" w14:textId="4332C77D" w:rsidR="00933512" w:rsidRPr="00127DFA" w:rsidRDefault="00127DFA" w:rsidP="00127DFA">
                          <w:pPr>
                            <w:spacing w:after="0"/>
                            <w:jc w:val="center"/>
                            <w:rPr>
                              <w:rFonts w:ascii="Arial Black" w:hAnsi="Arial Black"/>
                              <w:color w:val="000000"/>
                              <w:sz w:val="20"/>
                            </w:rPr>
                          </w:pPr>
                          <w:r w:rsidRPr="00127DF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3099A71" id="_x0000_t202" coordsize="21600,21600" o:spt="202" path="m,l,21600r21600,l21600,xe">
              <v:stroke joinstyle="miter"/>
              <v:path gradientshapeok="t" o:connecttype="rect"/>
            </v:shapetype>
            <v:shape id="MSIPCMd75c49b1b9a67b8477d5db4b"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7053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7F4B95BD" w14:textId="4332C77D" w:rsidR="00933512" w:rsidRPr="00127DFA" w:rsidRDefault="00127DFA" w:rsidP="00127DFA">
                    <w:pPr>
                      <w:spacing w:after="0"/>
                      <w:jc w:val="center"/>
                      <w:rPr>
                        <w:rFonts w:ascii="Arial Black" w:hAnsi="Arial Black"/>
                        <w:color w:val="000000"/>
                        <w:sz w:val="20"/>
                      </w:rPr>
                    </w:pPr>
                    <w:r w:rsidRPr="00127DFA">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1307" w14:textId="1D7035C1" w:rsidR="00933512" w:rsidRDefault="00933512">
    <w:pPr>
      <w:pStyle w:val="Footer"/>
    </w:pPr>
    <w:r>
      <w:rPr>
        <w:noProof/>
      </w:rPr>
      <mc:AlternateContent>
        <mc:Choice Requires="wps">
          <w:drawing>
            <wp:anchor distT="0" distB="0" distL="114300" distR="114300" simplePos="0" relativeHeight="251705597" behindDoc="0" locked="0" layoutInCell="0" allowOverlap="1" wp14:anchorId="74CAFA83" wp14:editId="65048982">
              <wp:simplePos x="0" y="0"/>
              <wp:positionH relativeFrom="page">
                <wp:align>center</wp:align>
              </wp:positionH>
              <wp:positionV relativeFrom="page">
                <wp:align>bottom</wp:align>
              </wp:positionV>
              <wp:extent cx="7772400" cy="502285"/>
              <wp:effectExtent l="0" t="0" r="0" b="12065"/>
              <wp:wrapNone/>
              <wp:docPr id="10" name="MSIPCM49a4403597c7ac92f6ad5bc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C27C9A" w14:textId="55C5E344" w:rsidR="00933512" w:rsidRPr="00127DFA" w:rsidRDefault="00127DFA" w:rsidP="00127DFA">
                          <w:pPr>
                            <w:spacing w:after="0"/>
                            <w:jc w:val="center"/>
                            <w:rPr>
                              <w:rFonts w:ascii="Arial Black" w:hAnsi="Arial Black"/>
                              <w:color w:val="000000"/>
                              <w:sz w:val="20"/>
                            </w:rPr>
                          </w:pPr>
                          <w:r w:rsidRPr="00127DF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CAFA83" id="_x0000_t202" coordsize="21600,21600" o:spt="202" path="m,l,21600r21600,l21600,xe">
              <v:stroke joinstyle="miter"/>
              <v:path gradientshapeok="t" o:connecttype="rect"/>
            </v:shapetype>
            <v:shape id="MSIPCM49a4403597c7ac92f6ad5bcd"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70559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FC27C9A" w14:textId="55C5E344" w:rsidR="00933512" w:rsidRPr="00127DFA" w:rsidRDefault="00127DFA" w:rsidP="00127DFA">
                    <w:pPr>
                      <w:spacing w:after="0"/>
                      <w:jc w:val="center"/>
                      <w:rPr>
                        <w:rFonts w:ascii="Arial Black" w:hAnsi="Arial Black"/>
                        <w:color w:val="000000"/>
                        <w:sz w:val="20"/>
                      </w:rPr>
                    </w:pPr>
                    <w:r w:rsidRPr="00127DFA">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9649" w14:textId="77777777" w:rsidR="00933512" w:rsidRDefault="00933512">
    <w:pPr>
      <w:pStyle w:val="Footer"/>
    </w:pPr>
    <w:r>
      <w:rPr>
        <w:noProof/>
        <w:lang w:eastAsia="en-AU"/>
      </w:rPr>
      <mc:AlternateContent>
        <mc:Choice Requires="wps">
          <w:drawing>
            <wp:anchor distT="0" distB="0" distL="114300" distR="114300" simplePos="0" relativeHeight="251693568" behindDoc="0" locked="0" layoutInCell="0" allowOverlap="1" wp14:anchorId="760FCFEE" wp14:editId="57A8DA5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5123B" w14:textId="77777777" w:rsidR="00933512" w:rsidRPr="002C5B7C" w:rsidRDefault="0093351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FCFEE"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095123B" w14:textId="77777777" w:rsidR="00933512" w:rsidRPr="002C5B7C" w:rsidRDefault="0093351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5B77" w14:textId="57093B67" w:rsidR="00933512" w:rsidRDefault="00127DFA">
    <w:pPr>
      <w:pStyle w:val="Footer"/>
    </w:pPr>
    <w:r>
      <w:rPr>
        <w:noProof/>
        <w:lang w:eastAsia="en-AU"/>
      </w:rPr>
      <mc:AlternateContent>
        <mc:Choice Requires="wps">
          <w:drawing>
            <wp:anchor distT="0" distB="0" distL="114300" distR="114300" simplePos="0" relativeHeight="251705854" behindDoc="0" locked="0" layoutInCell="0" allowOverlap="1" wp14:anchorId="1838B291" wp14:editId="654178E7">
              <wp:simplePos x="0" y="0"/>
              <wp:positionH relativeFrom="page">
                <wp:align>center</wp:align>
              </wp:positionH>
              <wp:positionV relativeFrom="page">
                <wp:align>bottom</wp:align>
              </wp:positionV>
              <wp:extent cx="7772400" cy="502285"/>
              <wp:effectExtent l="0" t="0" r="0" b="12065"/>
              <wp:wrapNone/>
              <wp:docPr id="2" name="MSIPCM7810405ea9060ae9b6164b0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BC8301" w14:textId="136C7EC0" w:rsidR="00127DFA" w:rsidRPr="00127DFA" w:rsidRDefault="00127DFA" w:rsidP="00127DFA">
                          <w:pPr>
                            <w:spacing w:after="0"/>
                            <w:jc w:val="center"/>
                            <w:rPr>
                              <w:rFonts w:ascii="Arial Black" w:hAnsi="Arial Black"/>
                              <w:color w:val="000000"/>
                              <w:sz w:val="20"/>
                            </w:rPr>
                          </w:pPr>
                          <w:r w:rsidRPr="00127DF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38B291" id="_x0000_t202" coordsize="21600,21600" o:spt="202" path="m,l,21600r21600,l21600,xe">
              <v:stroke joinstyle="miter"/>
              <v:path gradientshapeok="t" o:connecttype="rect"/>
            </v:shapetype>
            <v:shape id="MSIPCM7810405ea9060ae9b6164b01" o:spid="_x0000_s1030"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7058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40BC8301" w14:textId="136C7EC0" w:rsidR="00127DFA" w:rsidRPr="00127DFA" w:rsidRDefault="00127DFA" w:rsidP="00127DFA">
                    <w:pPr>
                      <w:spacing w:after="0"/>
                      <w:jc w:val="center"/>
                      <w:rPr>
                        <w:rFonts w:ascii="Arial Black" w:hAnsi="Arial Black"/>
                        <w:color w:val="000000"/>
                        <w:sz w:val="20"/>
                      </w:rPr>
                    </w:pPr>
                    <w:r w:rsidRPr="00127DFA">
                      <w:rPr>
                        <w:rFonts w:ascii="Arial Black" w:hAnsi="Arial Black"/>
                        <w:color w:val="000000"/>
                        <w:sz w:val="20"/>
                      </w:rPr>
                      <w:t>OFFICIAL</w:t>
                    </w:r>
                  </w:p>
                </w:txbxContent>
              </v:textbox>
              <w10:wrap anchorx="page" anchory="page"/>
            </v:shape>
          </w:pict>
        </mc:Fallback>
      </mc:AlternateContent>
    </w:r>
    <w:r w:rsidR="00933512">
      <w:rPr>
        <w:noProof/>
        <w:lang w:eastAsia="en-AU"/>
      </w:rPr>
      <mc:AlternateContent>
        <mc:Choice Requires="wps">
          <w:drawing>
            <wp:anchor distT="0" distB="0" distL="114300" distR="114300" simplePos="0" relativeHeight="251688448" behindDoc="0" locked="0" layoutInCell="0" allowOverlap="1" wp14:anchorId="01ED00E5" wp14:editId="0B640D9C">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86C2B" w14:textId="77777777" w:rsidR="00933512" w:rsidRPr="00EB4BC7" w:rsidRDefault="0093351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ED00E5"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4A86C2B" w14:textId="77777777" w:rsidR="00933512" w:rsidRPr="00EB4BC7" w:rsidRDefault="0093351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FD63" w14:textId="77777777" w:rsidR="00933512" w:rsidRDefault="00933512" w:rsidP="00207717">
      <w:pPr>
        <w:spacing w:before="120"/>
      </w:pPr>
      <w:r>
        <w:separator/>
      </w:r>
    </w:p>
  </w:footnote>
  <w:footnote w:type="continuationSeparator" w:id="0">
    <w:p w14:paraId="2880EE9B" w14:textId="77777777" w:rsidR="00933512" w:rsidRDefault="00933512">
      <w:r>
        <w:continuationSeparator/>
      </w:r>
    </w:p>
    <w:p w14:paraId="754E6BE0" w14:textId="77777777" w:rsidR="00933512" w:rsidRDefault="00933512"/>
  </w:footnote>
  <w:footnote w:id="1">
    <w:p w14:paraId="67C1A047" w14:textId="5F0EFB68" w:rsidR="009D3F5E" w:rsidRDefault="009D3F5E">
      <w:pPr>
        <w:pStyle w:val="FootnoteText"/>
      </w:pPr>
      <w:r>
        <w:rPr>
          <w:rStyle w:val="FootnoteReference"/>
        </w:rPr>
        <w:footnoteRef/>
      </w:r>
      <w:r>
        <w:t xml:space="preserve"> </w:t>
      </w:r>
      <w:r w:rsidRPr="009D3F5E">
        <w:rPr>
          <w:sz w:val="12"/>
          <w:szCs w:val="12"/>
        </w:rPr>
        <w:t>AHPCS Part 1 Standards defines Third party as expenses are those expenses incurred by a third party on behalf of an organisation for the production of the organisation’s outputs. Third party expenses are not recorded in an organisation’s general ledger as they are not incurred by that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960A" w14:textId="77777777" w:rsidR="00127DFA" w:rsidRDefault="00127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773C" w14:textId="77777777" w:rsidR="00127DFA" w:rsidRDefault="00127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994B" w14:textId="77777777" w:rsidR="00127DFA" w:rsidRDefault="00127D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100E" w14:textId="77777777" w:rsidR="00933512" w:rsidRPr="00454A7D" w:rsidRDefault="00933512"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8E88" w14:textId="2F72CF4B" w:rsidR="00933512" w:rsidRPr="0051568D" w:rsidRDefault="00933512" w:rsidP="0017674D">
    <w:pPr>
      <w:pStyle w:val="Header"/>
    </w:pPr>
    <w:r>
      <w:t>Resource Categories Derivation</w:t>
    </w:r>
    <w:r w:rsidR="007A1ABA">
      <w:t xml:space="preserve"> V5</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F2232"/>
    <w:multiLevelType w:val="hybridMultilevel"/>
    <w:tmpl w:val="6C2A1A1A"/>
    <w:lvl w:ilvl="0" w:tplc="0C090001">
      <w:start w:val="1"/>
      <w:numFmt w:val="bullet"/>
      <w:lvlText w:val=""/>
      <w:lvlJc w:val="left"/>
      <w:pPr>
        <w:ind w:left="360" w:hanging="360"/>
      </w:pPr>
      <w:rPr>
        <w:rFonts w:ascii="Symbol" w:hAnsi="Symbol" w:hint="default"/>
      </w:rPr>
    </w:lvl>
    <w:lvl w:ilvl="1" w:tplc="A58C5466">
      <w:numFmt w:val="bullet"/>
      <w:lvlText w:val="•"/>
      <w:lvlJc w:val="left"/>
      <w:pPr>
        <w:ind w:left="1080" w:hanging="360"/>
      </w:pPr>
      <w:rPr>
        <w:rFonts w:ascii="Arial" w:eastAsia="Times"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852181"/>
    <w:multiLevelType w:val="hybridMultilevel"/>
    <w:tmpl w:val="C58AC7C8"/>
    <w:lvl w:ilvl="0" w:tplc="E4565E66">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8D51B47"/>
    <w:multiLevelType w:val="multilevel"/>
    <w:tmpl w:val="4B4E7622"/>
    <w:numStyleLink w:val="ZZNumbers"/>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73E5059"/>
    <w:multiLevelType w:val="hybridMultilevel"/>
    <w:tmpl w:val="7FB855D2"/>
    <w:lvl w:ilvl="0" w:tplc="CFE03B96">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4035EA"/>
    <w:multiLevelType w:val="hybridMultilevel"/>
    <w:tmpl w:val="11C65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FD3E5A"/>
    <w:multiLevelType w:val="hybridMultilevel"/>
    <w:tmpl w:val="93B2B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195B1A"/>
    <w:multiLevelType w:val="hybridMultilevel"/>
    <w:tmpl w:val="562062C6"/>
    <w:lvl w:ilvl="0" w:tplc="E4565E66">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12741AE"/>
    <w:multiLevelType w:val="hybridMultilevel"/>
    <w:tmpl w:val="C46AC7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14938028">
    <w:abstractNumId w:val="11"/>
  </w:num>
  <w:num w:numId="2" w16cid:durableId="749500968">
    <w:abstractNumId w:val="21"/>
  </w:num>
  <w:num w:numId="3" w16cid:durableId="11669449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39100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50399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1723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992673">
    <w:abstractNumId w:val="27"/>
  </w:num>
  <w:num w:numId="8" w16cid:durableId="313948806">
    <w:abstractNumId w:val="19"/>
  </w:num>
  <w:num w:numId="9" w16cid:durableId="912162737">
    <w:abstractNumId w:val="26"/>
  </w:num>
  <w:num w:numId="10" w16cid:durableId="5399764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3352146">
    <w:abstractNumId w:val="28"/>
  </w:num>
  <w:num w:numId="12" w16cid:durableId="1761911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7770180">
    <w:abstractNumId w:val="22"/>
  </w:num>
  <w:num w:numId="14" w16cid:durableId="11983506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98022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7649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1656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6356867">
    <w:abstractNumId w:val="32"/>
  </w:num>
  <w:num w:numId="19" w16cid:durableId="18217752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5815018">
    <w:abstractNumId w:val="15"/>
  </w:num>
  <w:num w:numId="21" w16cid:durableId="1422870544">
    <w:abstractNumId w:val="13"/>
  </w:num>
  <w:num w:numId="22" w16cid:durableId="11590323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673213">
    <w:abstractNumId w:val="16"/>
  </w:num>
  <w:num w:numId="24" w16cid:durableId="807939100">
    <w:abstractNumId w:val="34"/>
  </w:num>
  <w:num w:numId="25" w16cid:durableId="1472674296">
    <w:abstractNumId w:val="30"/>
  </w:num>
  <w:num w:numId="26" w16cid:durableId="189999793">
    <w:abstractNumId w:val="24"/>
  </w:num>
  <w:num w:numId="27" w16cid:durableId="1457868837">
    <w:abstractNumId w:val="12"/>
  </w:num>
  <w:num w:numId="28" w16cid:durableId="1768379006">
    <w:abstractNumId w:val="35"/>
  </w:num>
  <w:num w:numId="29" w16cid:durableId="1907110012">
    <w:abstractNumId w:val="9"/>
  </w:num>
  <w:num w:numId="30" w16cid:durableId="985432013">
    <w:abstractNumId w:val="7"/>
  </w:num>
  <w:num w:numId="31" w16cid:durableId="1080636989">
    <w:abstractNumId w:val="6"/>
  </w:num>
  <w:num w:numId="32" w16cid:durableId="1260679442">
    <w:abstractNumId w:val="5"/>
  </w:num>
  <w:num w:numId="33" w16cid:durableId="1802847694">
    <w:abstractNumId w:val="4"/>
  </w:num>
  <w:num w:numId="34" w16cid:durableId="2143183863">
    <w:abstractNumId w:val="8"/>
  </w:num>
  <w:num w:numId="35" w16cid:durableId="1045371048">
    <w:abstractNumId w:val="3"/>
  </w:num>
  <w:num w:numId="36" w16cid:durableId="1706785762">
    <w:abstractNumId w:val="2"/>
  </w:num>
  <w:num w:numId="37" w16cid:durableId="1355770794">
    <w:abstractNumId w:val="1"/>
  </w:num>
  <w:num w:numId="38" w16cid:durableId="610476935">
    <w:abstractNumId w:val="0"/>
  </w:num>
  <w:num w:numId="39" w16cid:durableId="300842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0576867">
    <w:abstractNumId w:val="25"/>
  </w:num>
  <w:num w:numId="41" w16cid:durableId="240338857">
    <w:abstractNumId w:val="31"/>
  </w:num>
  <w:num w:numId="42" w16cid:durableId="939802336">
    <w:abstractNumId w:val="20"/>
  </w:num>
  <w:num w:numId="43" w16cid:durableId="683938849">
    <w:abstractNumId w:val="18"/>
  </w:num>
  <w:num w:numId="44" w16cid:durableId="1605652475">
    <w:abstractNumId w:val="10"/>
  </w:num>
  <w:num w:numId="45" w16cid:durableId="1607275015">
    <w:abstractNumId w:val="29"/>
  </w:num>
  <w:num w:numId="46" w16cid:durableId="5604045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42554441">
    <w:abstractNumId w:val="33"/>
  </w:num>
  <w:num w:numId="48" w16cid:durableId="374501057">
    <w:abstractNumId w:val="17"/>
  </w:num>
  <w:num w:numId="49" w16cid:durableId="197074018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46"/>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09AC"/>
    <w:rsid w:val="000527DD"/>
    <w:rsid w:val="00056EC4"/>
    <w:rsid w:val="000578B2"/>
    <w:rsid w:val="00060959"/>
    <w:rsid w:val="00060C8F"/>
    <w:rsid w:val="0006298A"/>
    <w:rsid w:val="000663CD"/>
    <w:rsid w:val="000733FE"/>
    <w:rsid w:val="00073E3A"/>
    <w:rsid w:val="00074219"/>
    <w:rsid w:val="00074ED5"/>
    <w:rsid w:val="0008204A"/>
    <w:rsid w:val="0008508E"/>
    <w:rsid w:val="00087951"/>
    <w:rsid w:val="0009113B"/>
    <w:rsid w:val="00093402"/>
    <w:rsid w:val="00094095"/>
    <w:rsid w:val="00094DA3"/>
    <w:rsid w:val="00096CD1"/>
    <w:rsid w:val="000A012C"/>
    <w:rsid w:val="000A0EB9"/>
    <w:rsid w:val="000A186C"/>
    <w:rsid w:val="000A1EA4"/>
    <w:rsid w:val="000A2476"/>
    <w:rsid w:val="000A49A0"/>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DC0"/>
    <w:rsid w:val="00104FE3"/>
    <w:rsid w:val="0010714F"/>
    <w:rsid w:val="001120C5"/>
    <w:rsid w:val="00120BD3"/>
    <w:rsid w:val="00122FEA"/>
    <w:rsid w:val="001232BD"/>
    <w:rsid w:val="001236DC"/>
    <w:rsid w:val="00124ED5"/>
    <w:rsid w:val="001266D5"/>
    <w:rsid w:val="001276FA"/>
    <w:rsid w:val="00127D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36AB"/>
    <w:rsid w:val="00175F9C"/>
    <w:rsid w:val="0017674D"/>
    <w:rsid w:val="001771DD"/>
    <w:rsid w:val="00177995"/>
    <w:rsid w:val="00177A8C"/>
    <w:rsid w:val="0018244E"/>
    <w:rsid w:val="00186B33"/>
    <w:rsid w:val="00192F9D"/>
    <w:rsid w:val="00196EB8"/>
    <w:rsid w:val="00196EFB"/>
    <w:rsid w:val="001979FF"/>
    <w:rsid w:val="00197B17"/>
    <w:rsid w:val="001A1648"/>
    <w:rsid w:val="001A1950"/>
    <w:rsid w:val="001A1C54"/>
    <w:rsid w:val="001A3ACE"/>
    <w:rsid w:val="001A6272"/>
    <w:rsid w:val="001B02B8"/>
    <w:rsid w:val="001B058F"/>
    <w:rsid w:val="001B6B96"/>
    <w:rsid w:val="001B738B"/>
    <w:rsid w:val="001C09DB"/>
    <w:rsid w:val="001C277E"/>
    <w:rsid w:val="001C2A72"/>
    <w:rsid w:val="001C31B7"/>
    <w:rsid w:val="001C3896"/>
    <w:rsid w:val="001C3AE6"/>
    <w:rsid w:val="001D0B75"/>
    <w:rsid w:val="001D39A5"/>
    <w:rsid w:val="001D3C09"/>
    <w:rsid w:val="001D44E8"/>
    <w:rsid w:val="001D60EC"/>
    <w:rsid w:val="001D6F59"/>
    <w:rsid w:val="001E27A2"/>
    <w:rsid w:val="001E44DF"/>
    <w:rsid w:val="001E68A5"/>
    <w:rsid w:val="001E6BB0"/>
    <w:rsid w:val="001E7282"/>
    <w:rsid w:val="001F0AC8"/>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3F35"/>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59EB"/>
    <w:rsid w:val="002763B3"/>
    <w:rsid w:val="002802E3"/>
    <w:rsid w:val="0028213D"/>
    <w:rsid w:val="002862F1"/>
    <w:rsid w:val="00291373"/>
    <w:rsid w:val="0029597D"/>
    <w:rsid w:val="002962C3"/>
    <w:rsid w:val="0029752B"/>
    <w:rsid w:val="002A0A9C"/>
    <w:rsid w:val="002A483C"/>
    <w:rsid w:val="002B0C7C"/>
    <w:rsid w:val="002B170B"/>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5EF"/>
    <w:rsid w:val="002E28A2"/>
    <w:rsid w:val="002E3100"/>
    <w:rsid w:val="002E6C95"/>
    <w:rsid w:val="002E7C36"/>
    <w:rsid w:val="002F3D32"/>
    <w:rsid w:val="002F5F31"/>
    <w:rsid w:val="002F5F46"/>
    <w:rsid w:val="00302216"/>
    <w:rsid w:val="00303E53"/>
    <w:rsid w:val="00305BDE"/>
    <w:rsid w:val="00305CC1"/>
    <w:rsid w:val="00306E5F"/>
    <w:rsid w:val="00307E14"/>
    <w:rsid w:val="003123D6"/>
    <w:rsid w:val="00314054"/>
    <w:rsid w:val="00316F27"/>
    <w:rsid w:val="003170FE"/>
    <w:rsid w:val="003214F1"/>
    <w:rsid w:val="00322E4B"/>
    <w:rsid w:val="00327870"/>
    <w:rsid w:val="0033259D"/>
    <w:rsid w:val="003333D2"/>
    <w:rsid w:val="00334686"/>
    <w:rsid w:val="00337339"/>
    <w:rsid w:val="00340345"/>
    <w:rsid w:val="003406C6"/>
    <w:rsid w:val="003412A6"/>
    <w:rsid w:val="003418CC"/>
    <w:rsid w:val="003423E5"/>
    <w:rsid w:val="003434EE"/>
    <w:rsid w:val="003459BD"/>
    <w:rsid w:val="00350D38"/>
    <w:rsid w:val="00351B36"/>
    <w:rsid w:val="00357B4E"/>
    <w:rsid w:val="003651F5"/>
    <w:rsid w:val="00370DB4"/>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B6BBF"/>
    <w:rsid w:val="003C08A2"/>
    <w:rsid w:val="003C2045"/>
    <w:rsid w:val="003C43A1"/>
    <w:rsid w:val="003C4FC0"/>
    <w:rsid w:val="003C55F4"/>
    <w:rsid w:val="003C7897"/>
    <w:rsid w:val="003C7A3F"/>
    <w:rsid w:val="003D1DB1"/>
    <w:rsid w:val="003D2766"/>
    <w:rsid w:val="003D2A74"/>
    <w:rsid w:val="003D3D88"/>
    <w:rsid w:val="003D3E8F"/>
    <w:rsid w:val="003D4E21"/>
    <w:rsid w:val="003D6475"/>
    <w:rsid w:val="003D6EE6"/>
    <w:rsid w:val="003E2233"/>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36555"/>
    <w:rsid w:val="00442C6C"/>
    <w:rsid w:val="00443CBE"/>
    <w:rsid w:val="00443E8A"/>
    <w:rsid w:val="004441BC"/>
    <w:rsid w:val="004468B4"/>
    <w:rsid w:val="00446D86"/>
    <w:rsid w:val="0045230A"/>
    <w:rsid w:val="00454A7D"/>
    <w:rsid w:val="00454AD0"/>
    <w:rsid w:val="00457337"/>
    <w:rsid w:val="00460FF3"/>
    <w:rsid w:val="00462E3D"/>
    <w:rsid w:val="00464F29"/>
    <w:rsid w:val="00465EDC"/>
    <w:rsid w:val="00466E79"/>
    <w:rsid w:val="00470D7D"/>
    <w:rsid w:val="0047372D"/>
    <w:rsid w:val="00473BA3"/>
    <w:rsid w:val="004743DD"/>
    <w:rsid w:val="00474CEA"/>
    <w:rsid w:val="004809E1"/>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0A05"/>
    <w:rsid w:val="004F2133"/>
    <w:rsid w:val="004F5398"/>
    <w:rsid w:val="004F55F1"/>
    <w:rsid w:val="004F6936"/>
    <w:rsid w:val="00503DC6"/>
    <w:rsid w:val="00506F5D"/>
    <w:rsid w:val="00510C37"/>
    <w:rsid w:val="005126D0"/>
    <w:rsid w:val="00514667"/>
    <w:rsid w:val="0051568D"/>
    <w:rsid w:val="00526AC7"/>
    <w:rsid w:val="00526C15"/>
    <w:rsid w:val="00536499"/>
    <w:rsid w:val="00541C4C"/>
    <w:rsid w:val="00542A03"/>
    <w:rsid w:val="00543903"/>
    <w:rsid w:val="00543BCC"/>
    <w:rsid w:val="00543F11"/>
    <w:rsid w:val="00544135"/>
    <w:rsid w:val="00546305"/>
    <w:rsid w:val="00547A95"/>
    <w:rsid w:val="0055119B"/>
    <w:rsid w:val="0055315A"/>
    <w:rsid w:val="00553F6B"/>
    <w:rsid w:val="00561202"/>
    <w:rsid w:val="00562507"/>
    <w:rsid w:val="00562811"/>
    <w:rsid w:val="00567320"/>
    <w:rsid w:val="00572031"/>
    <w:rsid w:val="00572282"/>
    <w:rsid w:val="00573CE3"/>
    <w:rsid w:val="00574B45"/>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599"/>
    <w:rsid w:val="005D6597"/>
    <w:rsid w:val="005E14E7"/>
    <w:rsid w:val="005E26A3"/>
    <w:rsid w:val="005E2ECB"/>
    <w:rsid w:val="005E447E"/>
    <w:rsid w:val="005E4FD1"/>
    <w:rsid w:val="005F0775"/>
    <w:rsid w:val="005F0CF5"/>
    <w:rsid w:val="005F21EB"/>
    <w:rsid w:val="005F424B"/>
    <w:rsid w:val="005F64CF"/>
    <w:rsid w:val="005F6708"/>
    <w:rsid w:val="006041AD"/>
    <w:rsid w:val="00605908"/>
    <w:rsid w:val="00607850"/>
    <w:rsid w:val="00607EF7"/>
    <w:rsid w:val="00610D7C"/>
    <w:rsid w:val="00613414"/>
    <w:rsid w:val="00614F1B"/>
    <w:rsid w:val="00620154"/>
    <w:rsid w:val="00621C53"/>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253"/>
    <w:rsid w:val="00646A68"/>
    <w:rsid w:val="006505BD"/>
    <w:rsid w:val="006508EA"/>
    <w:rsid w:val="0065092E"/>
    <w:rsid w:val="006557A7"/>
    <w:rsid w:val="00656290"/>
    <w:rsid w:val="006601C9"/>
    <w:rsid w:val="006608D8"/>
    <w:rsid w:val="00660E73"/>
    <w:rsid w:val="006621D7"/>
    <w:rsid w:val="0066302A"/>
    <w:rsid w:val="00667770"/>
    <w:rsid w:val="00670597"/>
    <w:rsid w:val="006706D0"/>
    <w:rsid w:val="00677574"/>
    <w:rsid w:val="006812ED"/>
    <w:rsid w:val="00683878"/>
    <w:rsid w:val="00684380"/>
    <w:rsid w:val="0068454C"/>
    <w:rsid w:val="0069055A"/>
    <w:rsid w:val="00691B62"/>
    <w:rsid w:val="006933B5"/>
    <w:rsid w:val="00693D14"/>
    <w:rsid w:val="00696F27"/>
    <w:rsid w:val="006A1179"/>
    <w:rsid w:val="006A18C2"/>
    <w:rsid w:val="006A3383"/>
    <w:rsid w:val="006A3F03"/>
    <w:rsid w:val="006B077C"/>
    <w:rsid w:val="006B3D5F"/>
    <w:rsid w:val="006B6803"/>
    <w:rsid w:val="006D0F16"/>
    <w:rsid w:val="006D2A3F"/>
    <w:rsid w:val="006D2FBC"/>
    <w:rsid w:val="006D5633"/>
    <w:rsid w:val="006D6E34"/>
    <w:rsid w:val="006E138B"/>
    <w:rsid w:val="006E1867"/>
    <w:rsid w:val="006E7FD0"/>
    <w:rsid w:val="006F0330"/>
    <w:rsid w:val="006F1FDC"/>
    <w:rsid w:val="006F6B8C"/>
    <w:rsid w:val="007013EF"/>
    <w:rsid w:val="007055BD"/>
    <w:rsid w:val="007110FE"/>
    <w:rsid w:val="007173CA"/>
    <w:rsid w:val="007216AA"/>
    <w:rsid w:val="00721AB5"/>
    <w:rsid w:val="00721CFB"/>
    <w:rsid w:val="00721DEF"/>
    <w:rsid w:val="00724A43"/>
    <w:rsid w:val="007273AC"/>
    <w:rsid w:val="00731AD4"/>
    <w:rsid w:val="007322C0"/>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417A"/>
    <w:rsid w:val="00785677"/>
    <w:rsid w:val="00786F16"/>
    <w:rsid w:val="00791BD7"/>
    <w:rsid w:val="007933F7"/>
    <w:rsid w:val="00796E20"/>
    <w:rsid w:val="00797C32"/>
    <w:rsid w:val="007A11E8"/>
    <w:rsid w:val="007A1ABA"/>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E54F4"/>
    <w:rsid w:val="007F31B6"/>
    <w:rsid w:val="007F546C"/>
    <w:rsid w:val="007F625F"/>
    <w:rsid w:val="007F665E"/>
    <w:rsid w:val="00800412"/>
    <w:rsid w:val="0080587B"/>
    <w:rsid w:val="00806468"/>
    <w:rsid w:val="008119CA"/>
    <w:rsid w:val="008130C4"/>
    <w:rsid w:val="008155F0"/>
    <w:rsid w:val="00816735"/>
    <w:rsid w:val="00820141"/>
    <w:rsid w:val="00820E0C"/>
    <w:rsid w:val="008221E0"/>
    <w:rsid w:val="00823275"/>
    <w:rsid w:val="0082366F"/>
    <w:rsid w:val="00824C13"/>
    <w:rsid w:val="008338A2"/>
    <w:rsid w:val="00841AA9"/>
    <w:rsid w:val="008474FE"/>
    <w:rsid w:val="00853EE4"/>
    <w:rsid w:val="00855535"/>
    <w:rsid w:val="00855E46"/>
    <w:rsid w:val="00857C5A"/>
    <w:rsid w:val="0086255E"/>
    <w:rsid w:val="008633F0"/>
    <w:rsid w:val="00867D9D"/>
    <w:rsid w:val="008713EB"/>
    <w:rsid w:val="00872E0A"/>
    <w:rsid w:val="00873594"/>
    <w:rsid w:val="00875285"/>
    <w:rsid w:val="00884B62"/>
    <w:rsid w:val="0088529C"/>
    <w:rsid w:val="00887246"/>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10D1"/>
    <w:rsid w:val="008D2846"/>
    <w:rsid w:val="008D3103"/>
    <w:rsid w:val="008D4236"/>
    <w:rsid w:val="008D462F"/>
    <w:rsid w:val="008D6DCF"/>
    <w:rsid w:val="008E4376"/>
    <w:rsid w:val="008E5286"/>
    <w:rsid w:val="008E7A0A"/>
    <w:rsid w:val="008E7B49"/>
    <w:rsid w:val="008F59F6"/>
    <w:rsid w:val="00900719"/>
    <w:rsid w:val="009017AC"/>
    <w:rsid w:val="00902A9A"/>
    <w:rsid w:val="00904A1C"/>
    <w:rsid w:val="00905030"/>
    <w:rsid w:val="00906490"/>
    <w:rsid w:val="009111B2"/>
    <w:rsid w:val="009141F9"/>
    <w:rsid w:val="009151F5"/>
    <w:rsid w:val="00924AE1"/>
    <w:rsid w:val="009269B1"/>
    <w:rsid w:val="0092724D"/>
    <w:rsid w:val="009272B3"/>
    <w:rsid w:val="00927FB8"/>
    <w:rsid w:val="009315BE"/>
    <w:rsid w:val="009326DD"/>
    <w:rsid w:val="0093338F"/>
    <w:rsid w:val="00933512"/>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5EBB"/>
    <w:rsid w:val="009C7A7E"/>
    <w:rsid w:val="009D02E8"/>
    <w:rsid w:val="009D2651"/>
    <w:rsid w:val="009D3F5E"/>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17C2"/>
    <w:rsid w:val="00A32577"/>
    <w:rsid w:val="00A330BB"/>
    <w:rsid w:val="00A35EF9"/>
    <w:rsid w:val="00A446F5"/>
    <w:rsid w:val="00A44882"/>
    <w:rsid w:val="00A45125"/>
    <w:rsid w:val="00A54715"/>
    <w:rsid w:val="00A6061C"/>
    <w:rsid w:val="00A62D44"/>
    <w:rsid w:val="00A67263"/>
    <w:rsid w:val="00A7161C"/>
    <w:rsid w:val="00A71CE4"/>
    <w:rsid w:val="00A75DD1"/>
    <w:rsid w:val="00A77AA3"/>
    <w:rsid w:val="00A821E1"/>
    <w:rsid w:val="00A8236D"/>
    <w:rsid w:val="00A854EB"/>
    <w:rsid w:val="00A872E5"/>
    <w:rsid w:val="00A91406"/>
    <w:rsid w:val="00A96E65"/>
    <w:rsid w:val="00A96ECE"/>
    <w:rsid w:val="00A97C72"/>
    <w:rsid w:val="00AA310B"/>
    <w:rsid w:val="00AA5B13"/>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AF7397"/>
    <w:rsid w:val="00B00672"/>
    <w:rsid w:val="00B00F99"/>
    <w:rsid w:val="00B01B4D"/>
    <w:rsid w:val="00B04489"/>
    <w:rsid w:val="00B063BA"/>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560"/>
    <w:rsid w:val="00B431E8"/>
    <w:rsid w:val="00B45141"/>
    <w:rsid w:val="00B519CD"/>
    <w:rsid w:val="00B5273A"/>
    <w:rsid w:val="00B57329"/>
    <w:rsid w:val="00B60E61"/>
    <w:rsid w:val="00B62B50"/>
    <w:rsid w:val="00B635B7"/>
    <w:rsid w:val="00B63AE8"/>
    <w:rsid w:val="00B65950"/>
    <w:rsid w:val="00B65A5C"/>
    <w:rsid w:val="00B66D83"/>
    <w:rsid w:val="00B672C0"/>
    <w:rsid w:val="00B676FD"/>
    <w:rsid w:val="00B678B6"/>
    <w:rsid w:val="00B75646"/>
    <w:rsid w:val="00B7629E"/>
    <w:rsid w:val="00B90729"/>
    <w:rsid w:val="00B907DA"/>
    <w:rsid w:val="00B90B09"/>
    <w:rsid w:val="00B92B2A"/>
    <w:rsid w:val="00B94C5E"/>
    <w:rsid w:val="00B950BC"/>
    <w:rsid w:val="00B9714C"/>
    <w:rsid w:val="00BA26F6"/>
    <w:rsid w:val="00BA29AD"/>
    <w:rsid w:val="00BA33CF"/>
    <w:rsid w:val="00BA35C1"/>
    <w:rsid w:val="00BA37DF"/>
    <w:rsid w:val="00BA3F8D"/>
    <w:rsid w:val="00BB57F3"/>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1D70"/>
    <w:rsid w:val="00C123EA"/>
    <w:rsid w:val="00C12A49"/>
    <w:rsid w:val="00C133EE"/>
    <w:rsid w:val="00C149D0"/>
    <w:rsid w:val="00C14B32"/>
    <w:rsid w:val="00C25F98"/>
    <w:rsid w:val="00C26588"/>
    <w:rsid w:val="00C27DE9"/>
    <w:rsid w:val="00C30E32"/>
    <w:rsid w:val="00C32989"/>
    <w:rsid w:val="00C33388"/>
    <w:rsid w:val="00C35484"/>
    <w:rsid w:val="00C4173A"/>
    <w:rsid w:val="00C50DED"/>
    <w:rsid w:val="00C52217"/>
    <w:rsid w:val="00C53F18"/>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3B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023E"/>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4753F"/>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3685"/>
    <w:rsid w:val="00D943F8"/>
    <w:rsid w:val="00D95470"/>
    <w:rsid w:val="00D96B55"/>
    <w:rsid w:val="00DA2619"/>
    <w:rsid w:val="00DA4239"/>
    <w:rsid w:val="00DA588C"/>
    <w:rsid w:val="00DA65DE"/>
    <w:rsid w:val="00DB0B61"/>
    <w:rsid w:val="00DB1474"/>
    <w:rsid w:val="00DB2962"/>
    <w:rsid w:val="00DB52FB"/>
    <w:rsid w:val="00DB6FD0"/>
    <w:rsid w:val="00DC013B"/>
    <w:rsid w:val="00DC090B"/>
    <w:rsid w:val="00DC1679"/>
    <w:rsid w:val="00DC219B"/>
    <w:rsid w:val="00DC2CF1"/>
    <w:rsid w:val="00DC2DC7"/>
    <w:rsid w:val="00DC2EA0"/>
    <w:rsid w:val="00DC3A7C"/>
    <w:rsid w:val="00DC4FCF"/>
    <w:rsid w:val="00DC50E0"/>
    <w:rsid w:val="00DC6386"/>
    <w:rsid w:val="00DD1130"/>
    <w:rsid w:val="00DD1951"/>
    <w:rsid w:val="00DD3DBE"/>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04D2"/>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57CA5"/>
    <w:rsid w:val="00E629A1"/>
    <w:rsid w:val="00E6794C"/>
    <w:rsid w:val="00E71591"/>
    <w:rsid w:val="00E71CEB"/>
    <w:rsid w:val="00E7474F"/>
    <w:rsid w:val="00E80DE3"/>
    <w:rsid w:val="00E82C55"/>
    <w:rsid w:val="00E8787E"/>
    <w:rsid w:val="00E9042A"/>
    <w:rsid w:val="00E92AC3"/>
    <w:rsid w:val="00E959CB"/>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EB3"/>
    <w:rsid w:val="00F10002"/>
    <w:rsid w:val="00F101B8"/>
    <w:rsid w:val="00F11037"/>
    <w:rsid w:val="00F16F1B"/>
    <w:rsid w:val="00F250A9"/>
    <w:rsid w:val="00F267AF"/>
    <w:rsid w:val="00F30FF4"/>
    <w:rsid w:val="00F3122E"/>
    <w:rsid w:val="00F32368"/>
    <w:rsid w:val="00F32AAA"/>
    <w:rsid w:val="00F331AD"/>
    <w:rsid w:val="00F33C0B"/>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6F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89E"/>
    <w:rsid w:val="00FE2DCF"/>
    <w:rsid w:val="00FE2E56"/>
    <w:rsid w:val="00FE3FA7"/>
    <w:rsid w:val="00FE4081"/>
    <w:rsid w:val="00FE532A"/>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ED92872"/>
  <w15:docId w15:val="{F268FF03-E69E-4E87-AEEC-FECF70B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F10002"/>
    <w:pPr>
      <w:keepNext/>
      <w:keepLines/>
      <w:spacing w:before="520" w:after="240" w:line="480" w:lineRule="atLeast"/>
      <w:outlineLvl w:val="0"/>
    </w:pPr>
    <w:rPr>
      <w:rFonts w:ascii="Arial" w:eastAsia="MS Gothic" w:hAnsi="Arial" w:cs="Arial"/>
      <w:b/>
      <w:bCs/>
      <w:color w:val="C5511A"/>
      <w:kern w:val="32"/>
      <w:sz w:val="44"/>
      <w:szCs w:val="44"/>
      <w:lang w:eastAsia="en-US"/>
    </w:rPr>
  </w:style>
  <w:style w:type="paragraph" w:styleId="Heading2">
    <w:name w:val="heading 2"/>
    <w:next w:val="Body"/>
    <w:link w:val="Heading2Char"/>
    <w:uiPriority w:val="1"/>
    <w:qFormat/>
    <w:rsid w:val="001F0AC8"/>
    <w:pPr>
      <w:keepNext/>
      <w:keepLines/>
      <w:spacing w:before="360" w:after="120" w:line="340" w:lineRule="atLeast"/>
      <w:outlineLvl w:val="1"/>
    </w:pPr>
    <w:rPr>
      <w:rFonts w:ascii="Arial" w:hAnsi="Arial"/>
      <w:b/>
      <w:color w:val="F79646" w:themeColor="accent6"/>
      <w:sz w:val="32"/>
      <w:szCs w:val="28"/>
      <w:lang w:eastAsia="en-US"/>
    </w:rPr>
  </w:style>
  <w:style w:type="paragraph" w:styleId="Heading3">
    <w:name w:val="heading 3"/>
    <w:next w:val="Body"/>
    <w:link w:val="Heading3Char"/>
    <w:uiPriority w:val="1"/>
    <w:qFormat/>
    <w:rsid w:val="00AA5B13"/>
    <w:pPr>
      <w:keepNext/>
      <w:keepLines/>
      <w:spacing w:before="360" w:after="120" w:line="320" w:lineRule="atLeast"/>
      <w:outlineLvl w:val="2"/>
    </w:pPr>
    <w:rPr>
      <w:rFonts w:ascii="Arial" w:eastAsia="MS Gothic" w:hAnsi="Arial"/>
      <w:bCs/>
      <w:color w:val="FABF8F" w:themeColor="accent6" w:themeTint="99"/>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10002"/>
    <w:rPr>
      <w:rFonts w:ascii="Arial" w:eastAsia="MS Gothic" w:hAnsi="Arial" w:cs="Arial"/>
      <w:b/>
      <w:bCs/>
      <w:color w:val="C5511A"/>
      <w:kern w:val="32"/>
      <w:sz w:val="44"/>
      <w:szCs w:val="44"/>
      <w:lang w:eastAsia="en-US"/>
    </w:rPr>
  </w:style>
  <w:style w:type="character" w:customStyle="1" w:styleId="Heading2Char">
    <w:name w:val="Heading 2 Char"/>
    <w:link w:val="Heading2"/>
    <w:uiPriority w:val="1"/>
    <w:rsid w:val="001F0AC8"/>
    <w:rPr>
      <w:rFonts w:ascii="Arial" w:hAnsi="Arial"/>
      <w:b/>
      <w:color w:val="F79646" w:themeColor="accent6"/>
      <w:sz w:val="32"/>
      <w:szCs w:val="28"/>
      <w:lang w:eastAsia="en-US"/>
    </w:rPr>
  </w:style>
  <w:style w:type="character" w:customStyle="1" w:styleId="Heading3Char">
    <w:name w:val="Heading 3 Char"/>
    <w:link w:val="Heading3"/>
    <w:uiPriority w:val="1"/>
    <w:rsid w:val="00AA5B13"/>
    <w:rPr>
      <w:rFonts w:ascii="Arial" w:eastAsia="MS Gothic" w:hAnsi="Arial"/>
      <w:bCs/>
      <w:color w:val="FABF8F" w:themeColor="accent6" w:themeTint="99"/>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DHHSbody">
    <w:name w:val="DHHS body"/>
    <w:qFormat/>
    <w:rsid w:val="008D3103"/>
    <w:pPr>
      <w:spacing w:after="120" w:line="270" w:lineRule="atLeast"/>
    </w:pPr>
    <w:rPr>
      <w:rFonts w:ascii="Arial" w:eastAsia="Times" w:hAnsi="Arial"/>
      <w:lang w:eastAsia="en-US"/>
    </w:rPr>
  </w:style>
  <w:style w:type="paragraph" w:customStyle="1" w:styleId="DHHSnumberloweralpha">
    <w:name w:val="DHHS number lower alpha"/>
    <w:basedOn w:val="DHHSbody"/>
    <w:uiPriority w:val="3"/>
    <w:rsid w:val="00D93685"/>
    <w:pPr>
      <w:numPr>
        <w:ilvl w:val="2"/>
        <w:numId w:val="42"/>
      </w:numPr>
    </w:pPr>
  </w:style>
  <w:style w:type="paragraph" w:customStyle="1" w:styleId="DHHSnumberloweralphaindent">
    <w:name w:val="DHHS number lower alpha indent"/>
    <w:basedOn w:val="DHHSbody"/>
    <w:uiPriority w:val="3"/>
    <w:rsid w:val="00D93685"/>
    <w:pPr>
      <w:numPr>
        <w:ilvl w:val="3"/>
        <w:numId w:val="42"/>
      </w:numPr>
    </w:pPr>
  </w:style>
  <w:style w:type="paragraph" w:customStyle="1" w:styleId="DHHStablecaption">
    <w:name w:val="DHHS table caption"/>
    <w:next w:val="DHHSbody"/>
    <w:uiPriority w:val="3"/>
    <w:qFormat/>
    <w:rsid w:val="00D93685"/>
    <w:pPr>
      <w:keepNext/>
      <w:keepLines/>
      <w:spacing w:before="240" w:after="120" w:line="240" w:lineRule="atLeast"/>
    </w:pPr>
    <w:rPr>
      <w:rFonts w:ascii="Arial" w:hAnsi="Arial"/>
      <w:b/>
      <w:lang w:eastAsia="en-US"/>
    </w:rPr>
  </w:style>
  <w:style w:type="paragraph" w:customStyle="1" w:styleId="DHHSnumberdigit">
    <w:name w:val="DHHS number digit"/>
    <w:basedOn w:val="DHHSbody"/>
    <w:uiPriority w:val="2"/>
    <w:rsid w:val="00D93685"/>
    <w:pPr>
      <w:numPr>
        <w:numId w:val="42"/>
      </w:numPr>
    </w:pPr>
  </w:style>
  <w:style w:type="numbering" w:customStyle="1" w:styleId="ZZNumbers">
    <w:name w:val="ZZ Numbers"/>
    <w:rsid w:val="00D93685"/>
    <w:pPr>
      <w:numPr>
        <w:numId w:val="42"/>
      </w:numPr>
    </w:pPr>
  </w:style>
  <w:style w:type="paragraph" w:customStyle="1" w:styleId="DHHSnumberlowerroman">
    <w:name w:val="DHHS number lower roman"/>
    <w:basedOn w:val="DHHSbody"/>
    <w:uiPriority w:val="3"/>
    <w:rsid w:val="00D93685"/>
    <w:pPr>
      <w:numPr>
        <w:ilvl w:val="4"/>
        <w:numId w:val="42"/>
      </w:numPr>
    </w:pPr>
  </w:style>
  <w:style w:type="paragraph" w:customStyle="1" w:styleId="DHHSnumberlowerromanindent">
    <w:name w:val="DHHS number lower roman indent"/>
    <w:basedOn w:val="DHHSbody"/>
    <w:uiPriority w:val="3"/>
    <w:rsid w:val="00D93685"/>
    <w:pPr>
      <w:numPr>
        <w:ilvl w:val="5"/>
        <w:numId w:val="42"/>
      </w:numPr>
    </w:pPr>
  </w:style>
  <w:style w:type="paragraph" w:customStyle="1" w:styleId="DHHSnumberdigitindent">
    <w:name w:val="DHHS number digit indent"/>
    <w:basedOn w:val="DHHSnumberloweralphaindent"/>
    <w:uiPriority w:val="3"/>
    <w:rsid w:val="00D93685"/>
    <w:pPr>
      <w:numPr>
        <w:ilvl w:val="1"/>
      </w:numPr>
    </w:pPr>
  </w:style>
  <w:style w:type="paragraph" w:customStyle="1" w:styleId="msonormal0">
    <w:name w:val="msonormal"/>
    <w:basedOn w:val="Normal"/>
    <w:rsid w:val="00465EDC"/>
    <w:pPr>
      <w:spacing w:before="100" w:beforeAutospacing="1" w:after="100" w:afterAutospacing="1" w:line="240" w:lineRule="auto"/>
    </w:pPr>
    <w:rPr>
      <w:rFonts w:ascii="Times New Roman" w:hAnsi="Times New Roman"/>
      <w:sz w:val="24"/>
      <w:szCs w:val="24"/>
      <w:lang w:eastAsia="en-AU"/>
    </w:rPr>
  </w:style>
  <w:style w:type="paragraph" w:customStyle="1" w:styleId="xl65">
    <w:name w:val="xl65"/>
    <w:basedOn w:val="Normal"/>
    <w:rsid w:val="00465EDC"/>
    <w:pPr>
      <w:pBdr>
        <w:top w:val="single" w:sz="8" w:space="0" w:color="auto"/>
        <w:left w:val="single" w:sz="8" w:space="0" w:color="auto"/>
      </w:pBdr>
      <w:shd w:val="clear" w:color="000000" w:fill="ACB9CA"/>
      <w:spacing w:before="100" w:beforeAutospacing="1" w:after="100" w:afterAutospacing="1" w:line="240" w:lineRule="auto"/>
    </w:pPr>
    <w:rPr>
      <w:rFonts w:cs="Arial"/>
      <w:b/>
      <w:bCs/>
      <w:color w:val="FFFF00"/>
      <w:sz w:val="18"/>
      <w:szCs w:val="18"/>
      <w:lang w:eastAsia="en-AU"/>
    </w:rPr>
  </w:style>
  <w:style w:type="paragraph" w:customStyle="1" w:styleId="xl66">
    <w:name w:val="xl66"/>
    <w:basedOn w:val="Normal"/>
    <w:rsid w:val="00465EDC"/>
    <w:pPr>
      <w:pBdr>
        <w:top w:val="single" w:sz="8" w:space="0" w:color="auto"/>
      </w:pBdr>
      <w:shd w:val="clear" w:color="000000" w:fill="ACB9CA"/>
      <w:spacing w:before="100" w:beforeAutospacing="1" w:after="100" w:afterAutospacing="1" w:line="240" w:lineRule="auto"/>
      <w:jc w:val="center"/>
    </w:pPr>
    <w:rPr>
      <w:rFonts w:cs="Arial"/>
      <w:sz w:val="18"/>
      <w:szCs w:val="18"/>
      <w:lang w:eastAsia="en-AU"/>
    </w:rPr>
  </w:style>
  <w:style w:type="paragraph" w:customStyle="1" w:styleId="xl67">
    <w:name w:val="xl67"/>
    <w:basedOn w:val="Normal"/>
    <w:rsid w:val="00465EDC"/>
    <w:pPr>
      <w:pBdr>
        <w:top w:val="single" w:sz="8" w:space="0" w:color="auto"/>
        <w:left w:val="single" w:sz="8" w:space="0" w:color="auto"/>
        <w:bottom w:val="single" w:sz="8" w:space="0" w:color="auto"/>
      </w:pBdr>
      <w:shd w:val="clear" w:color="000000" w:fill="4472C4"/>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68">
    <w:name w:val="xl68"/>
    <w:basedOn w:val="Normal"/>
    <w:rsid w:val="00465EDC"/>
    <w:pPr>
      <w:pBdr>
        <w:top w:val="single" w:sz="8" w:space="0" w:color="auto"/>
        <w:bottom w:val="single" w:sz="8" w:space="0" w:color="auto"/>
      </w:pBdr>
      <w:shd w:val="clear" w:color="000000" w:fill="4472C4"/>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69">
    <w:name w:val="xl69"/>
    <w:basedOn w:val="Normal"/>
    <w:rsid w:val="00465EDC"/>
    <w:pPr>
      <w:pBdr>
        <w:left w:val="single" w:sz="8" w:space="0" w:color="auto"/>
        <w:bottom w:val="single" w:sz="4" w:space="0" w:color="auto"/>
      </w:pBdr>
      <w:shd w:val="clear" w:color="000000" w:fill="ACB9CA"/>
      <w:spacing w:before="100" w:beforeAutospacing="1" w:after="100" w:afterAutospacing="1" w:line="240" w:lineRule="auto"/>
      <w:textAlignment w:val="top"/>
    </w:pPr>
    <w:rPr>
      <w:rFonts w:cs="Arial"/>
      <w:b/>
      <w:bCs/>
      <w:color w:val="FFFF00"/>
      <w:sz w:val="18"/>
      <w:szCs w:val="18"/>
      <w:lang w:eastAsia="en-AU"/>
    </w:rPr>
  </w:style>
  <w:style w:type="paragraph" w:customStyle="1" w:styleId="xl70">
    <w:name w:val="xl70"/>
    <w:basedOn w:val="Normal"/>
    <w:rsid w:val="00465EDC"/>
    <w:pPr>
      <w:shd w:val="clear" w:color="000000" w:fill="ACB9CA"/>
      <w:spacing w:before="100" w:beforeAutospacing="1" w:after="100" w:afterAutospacing="1" w:line="240" w:lineRule="auto"/>
      <w:jc w:val="center"/>
      <w:textAlignment w:val="top"/>
    </w:pPr>
    <w:rPr>
      <w:rFonts w:cs="Arial"/>
      <w:sz w:val="18"/>
      <w:szCs w:val="18"/>
      <w:lang w:eastAsia="en-AU"/>
    </w:rPr>
  </w:style>
  <w:style w:type="paragraph" w:customStyle="1" w:styleId="xl71">
    <w:name w:val="xl71"/>
    <w:basedOn w:val="Normal"/>
    <w:rsid w:val="00465EDC"/>
    <w:pPr>
      <w:pBdr>
        <w:top w:val="single" w:sz="8" w:space="0" w:color="auto"/>
        <w:left w:val="single" w:sz="8" w:space="0" w:color="auto"/>
        <w:bottom w:val="single" w:sz="8" w:space="0" w:color="auto"/>
        <w:right w:val="single" w:sz="8" w:space="0" w:color="auto"/>
      </w:pBdr>
      <w:shd w:val="clear" w:color="000000" w:fill="ACB9CA"/>
      <w:spacing w:before="100" w:beforeAutospacing="1" w:after="100" w:afterAutospacing="1" w:line="240" w:lineRule="auto"/>
      <w:jc w:val="center"/>
      <w:textAlignment w:val="top"/>
    </w:pPr>
    <w:rPr>
      <w:rFonts w:cs="Arial"/>
      <w:b/>
      <w:bCs/>
      <w:sz w:val="18"/>
      <w:szCs w:val="18"/>
      <w:lang w:eastAsia="en-AU"/>
    </w:rPr>
  </w:style>
  <w:style w:type="paragraph" w:customStyle="1" w:styleId="xl72">
    <w:name w:val="xl72"/>
    <w:basedOn w:val="Normal"/>
    <w:rsid w:val="00465EDC"/>
    <w:pPr>
      <w:pBdr>
        <w:top w:val="single" w:sz="8" w:space="0" w:color="auto"/>
        <w:bottom w:val="single" w:sz="8" w:space="0" w:color="auto"/>
        <w:right w:val="single" w:sz="8" w:space="0" w:color="auto"/>
      </w:pBdr>
      <w:shd w:val="clear" w:color="000000" w:fill="ACB9CA"/>
      <w:spacing w:before="100" w:beforeAutospacing="1" w:after="100" w:afterAutospacing="1" w:line="240" w:lineRule="auto"/>
      <w:jc w:val="center"/>
      <w:textAlignment w:val="top"/>
    </w:pPr>
    <w:rPr>
      <w:rFonts w:cs="Arial"/>
      <w:b/>
      <w:bCs/>
      <w:sz w:val="18"/>
      <w:szCs w:val="18"/>
      <w:lang w:eastAsia="en-AU"/>
    </w:rPr>
  </w:style>
  <w:style w:type="paragraph" w:customStyle="1" w:styleId="xl73">
    <w:name w:val="xl73"/>
    <w:basedOn w:val="Normal"/>
    <w:rsid w:val="00465EDC"/>
    <w:pPr>
      <w:pBdr>
        <w:left w:val="single" w:sz="8" w:space="0" w:color="auto"/>
        <w:bottom w:val="single" w:sz="8" w:space="0" w:color="auto"/>
        <w:right w:val="single" w:sz="4" w:space="0" w:color="auto"/>
      </w:pBdr>
      <w:shd w:val="clear" w:color="000000" w:fill="4472C4"/>
      <w:spacing w:before="100" w:beforeAutospacing="1" w:after="100" w:afterAutospacing="1" w:line="240" w:lineRule="auto"/>
      <w:jc w:val="center"/>
      <w:textAlignment w:val="top"/>
    </w:pPr>
    <w:rPr>
      <w:rFonts w:cs="Arial"/>
      <w:b/>
      <w:bCs/>
      <w:color w:val="FFFFFF"/>
      <w:sz w:val="18"/>
      <w:szCs w:val="18"/>
      <w:lang w:eastAsia="en-AU"/>
    </w:rPr>
  </w:style>
  <w:style w:type="paragraph" w:customStyle="1" w:styleId="xl74">
    <w:name w:val="xl74"/>
    <w:basedOn w:val="Normal"/>
    <w:rsid w:val="00465EDC"/>
    <w:pPr>
      <w:pBdr>
        <w:left w:val="single" w:sz="4" w:space="0" w:color="auto"/>
        <w:bottom w:val="single" w:sz="8" w:space="0" w:color="auto"/>
        <w:right w:val="single" w:sz="4" w:space="0" w:color="auto"/>
      </w:pBdr>
      <w:shd w:val="clear" w:color="000000" w:fill="4472C4"/>
      <w:spacing w:before="100" w:beforeAutospacing="1" w:after="100" w:afterAutospacing="1" w:line="240" w:lineRule="auto"/>
      <w:jc w:val="center"/>
      <w:textAlignment w:val="top"/>
    </w:pPr>
    <w:rPr>
      <w:rFonts w:cs="Arial"/>
      <w:b/>
      <w:bCs/>
      <w:color w:val="FFFFFF"/>
      <w:sz w:val="18"/>
      <w:szCs w:val="18"/>
      <w:lang w:eastAsia="en-AU"/>
    </w:rPr>
  </w:style>
  <w:style w:type="paragraph" w:customStyle="1" w:styleId="xl75">
    <w:name w:val="xl75"/>
    <w:basedOn w:val="Normal"/>
    <w:rsid w:val="00465EDC"/>
    <w:pPr>
      <w:pBdr>
        <w:left w:val="single" w:sz="4" w:space="0" w:color="auto"/>
        <w:bottom w:val="single" w:sz="8" w:space="0" w:color="auto"/>
        <w:right w:val="single" w:sz="8" w:space="0" w:color="auto"/>
      </w:pBdr>
      <w:shd w:val="clear" w:color="000000" w:fill="4472C4"/>
      <w:spacing w:before="100" w:beforeAutospacing="1" w:after="100" w:afterAutospacing="1" w:line="240" w:lineRule="auto"/>
      <w:jc w:val="center"/>
      <w:textAlignment w:val="top"/>
    </w:pPr>
    <w:rPr>
      <w:rFonts w:cs="Arial"/>
      <w:b/>
      <w:bCs/>
      <w:color w:val="FFFFFF"/>
      <w:sz w:val="18"/>
      <w:szCs w:val="18"/>
      <w:lang w:eastAsia="en-AU"/>
    </w:rPr>
  </w:style>
  <w:style w:type="paragraph" w:customStyle="1" w:styleId="xl76">
    <w:name w:val="xl76"/>
    <w:basedOn w:val="Normal"/>
    <w:rsid w:val="00465EDC"/>
    <w:pPr>
      <w:pBdr>
        <w:top w:val="single" w:sz="8" w:space="0" w:color="auto"/>
        <w:left w:val="single" w:sz="8" w:space="0" w:color="auto"/>
        <w:bottom w:val="single" w:sz="8" w:space="0" w:color="auto"/>
        <w:right w:val="single" w:sz="8" w:space="0" w:color="auto"/>
      </w:pBdr>
      <w:shd w:val="clear" w:color="000000" w:fill="9966FF"/>
      <w:spacing w:before="100" w:beforeAutospacing="1" w:after="100" w:afterAutospacing="1" w:line="240" w:lineRule="auto"/>
      <w:jc w:val="center"/>
      <w:textAlignment w:val="top"/>
    </w:pPr>
    <w:rPr>
      <w:rFonts w:cs="Arial"/>
      <w:b/>
      <w:bCs/>
      <w:color w:val="FFFFFF"/>
      <w:sz w:val="18"/>
      <w:szCs w:val="18"/>
      <w:lang w:eastAsia="en-AU"/>
    </w:rPr>
  </w:style>
  <w:style w:type="paragraph" w:customStyle="1" w:styleId="xl77">
    <w:name w:val="xl77"/>
    <w:basedOn w:val="Normal"/>
    <w:rsid w:val="00465EDC"/>
    <w:pPr>
      <w:pBdr>
        <w:top w:val="single" w:sz="8" w:space="0" w:color="auto"/>
        <w:left w:val="single" w:sz="8" w:space="0" w:color="auto"/>
      </w:pBdr>
      <w:shd w:val="clear" w:color="000000" w:fill="4472C4"/>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78">
    <w:name w:val="xl78"/>
    <w:basedOn w:val="Normal"/>
    <w:rsid w:val="00465EDC"/>
    <w:pPr>
      <w:pBdr>
        <w:top w:val="single" w:sz="8" w:space="0" w:color="auto"/>
        <w:left w:val="single" w:sz="8" w:space="0" w:color="auto"/>
      </w:pBdr>
      <w:shd w:val="clear" w:color="000000" w:fill="ACB9CA"/>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79">
    <w:name w:val="xl79"/>
    <w:basedOn w:val="Normal"/>
    <w:rsid w:val="00465EDC"/>
    <w:pPr>
      <w:pBdr>
        <w:top w:val="single" w:sz="8" w:space="0" w:color="auto"/>
        <w:left w:val="single" w:sz="8" w:space="0" w:color="auto"/>
        <w:bottom w:val="single" w:sz="4" w:space="0" w:color="auto"/>
        <w:right w:val="single" w:sz="4" w:space="0" w:color="auto"/>
      </w:pBdr>
      <w:shd w:val="clear" w:color="000000" w:fill="ACB9CA"/>
      <w:spacing w:before="100" w:beforeAutospacing="1" w:after="100" w:afterAutospacing="1" w:line="240" w:lineRule="auto"/>
    </w:pPr>
    <w:rPr>
      <w:rFonts w:cs="Arial"/>
      <w:b/>
      <w:bCs/>
      <w:sz w:val="18"/>
      <w:szCs w:val="18"/>
      <w:lang w:eastAsia="en-AU"/>
    </w:rPr>
  </w:style>
  <w:style w:type="paragraph" w:customStyle="1" w:styleId="xl80">
    <w:name w:val="xl80"/>
    <w:basedOn w:val="Normal"/>
    <w:rsid w:val="00465EDC"/>
    <w:pPr>
      <w:pBdr>
        <w:top w:val="single" w:sz="8" w:space="0" w:color="auto"/>
        <w:left w:val="single" w:sz="4" w:space="0" w:color="auto"/>
        <w:bottom w:val="single" w:sz="4" w:space="0" w:color="auto"/>
        <w:right w:val="single" w:sz="8" w:space="0" w:color="auto"/>
      </w:pBdr>
      <w:shd w:val="clear" w:color="000000" w:fill="ACB9CA"/>
      <w:spacing w:before="100" w:beforeAutospacing="1" w:after="100" w:afterAutospacing="1" w:line="240" w:lineRule="auto"/>
    </w:pPr>
    <w:rPr>
      <w:rFonts w:cs="Arial"/>
      <w:b/>
      <w:bCs/>
      <w:sz w:val="18"/>
      <w:szCs w:val="18"/>
      <w:lang w:eastAsia="en-AU"/>
    </w:rPr>
  </w:style>
  <w:style w:type="paragraph" w:customStyle="1" w:styleId="xl81">
    <w:name w:val="xl81"/>
    <w:basedOn w:val="Normal"/>
    <w:rsid w:val="00465EDC"/>
    <w:pPr>
      <w:pBdr>
        <w:left w:val="single" w:sz="8" w:space="0" w:color="auto"/>
      </w:pBdr>
      <w:shd w:val="clear" w:color="000000" w:fill="4472C4"/>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82">
    <w:name w:val="xl82"/>
    <w:basedOn w:val="Normal"/>
    <w:rsid w:val="00465EDC"/>
    <w:pPr>
      <w:pBdr>
        <w:left w:val="single" w:sz="8" w:space="0" w:color="auto"/>
      </w:pBdr>
      <w:shd w:val="clear" w:color="000000" w:fill="ACB9CA"/>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83">
    <w:name w:val="xl83"/>
    <w:basedOn w:val="Normal"/>
    <w:rsid w:val="00465EDC"/>
    <w:pPr>
      <w:pBdr>
        <w:top w:val="single" w:sz="4" w:space="0" w:color="auto"/>
        <w:left w:val="single" w:sz="8" w:space="0" w:color="auto"/>
        <w:bottom w:val="single" w:sz="4" w:space="0" w:color="auto"/>
        <w:right w:val="single" w:sz="4" w:space="0" w:color="auto"/>
      </w:pBdr>
      <w:shd w:val="clear" w:color="000000" w:fill="ACB9CA"/>
      <w:spacing w:before="100" w:beforeAutospacing="1" w:after="100" w:afterAutospacing="1" w:line="240" w:lineRule="auto"/>
    </w:pPr>
    <w:rPr>
      <w:rFonts w:cs="Arial"/>
      <w:b/>
      <w:bCs/>
      <w:sz w:val="18"/>
      <w:szCs w:val="18"/>
      <w:lang w:eastAsia="en-AU"/>
    </w:rPr>
  </w:style>
  <w:style w:type="paragraph" w:customStyle="1" w:styleId="xl84">
    <w:name w:val="xl84"/>
    <w:basedOn w:val="Normal"/>
    <w:rsid w:val="00465EDC"/>
    <w:pPr>
      <w:pBdr>
        <w:top w:val="single" w:sz="4" w:space="0" w:color="auto"/>
        <w:left w:val="single" w:sz="4" w:space="0" w:color="auto"/>
        <w:bottom w:val="single" w:sz="4" w:space="0" w:color="auto"/>
        <w:right w:val="single" w:sz="8" w:space="0" w:color="auto"/>
      </w:pBdr>
      <w:shd w:val="clear" w:color="000000" w:fill="ACB9CA"/>
      <w:spacing w:before="100" w:beforeAutospacing="1" w:after="100" w:afterAutospacing="1" w:line="240" w:lineRule="auto"/>
    </w:pPr>
    <w:rPr>
      <w:rFonts w:cs="Arial"/>
      <w:b/>
      <w:bCs/>
      <w:sz w:val="18"/>
      <w:szCs w:val="18"/>
      <w:lang w:eastAsia="en-AU"/>
    </w:rPr>
  </w:style>
  <w:style w:type="paragraph" w:customStyle="1" w:styleId="xl85">
    <w:name w:val="xl85"/>
    <w:basedOn w:val="Normal"/>
    <w:rsid w:val="00465EDC"/>
    <w:pPr>
      <w:pBdr>
        <w:left w:val="single" w:sz="8" w:space="0" w:color="auto"/>
        <w:bottom w:val="single" w:sz="8" w:space="0" w:color="auto"/>
      </w:pBdr>
      <w:shd w:val="clear" w:color="000000" w:fill="4472C4"/>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86">
    <w:name w:val="xl86"/>
    <w:basedOn w:val="Normal"/>
    <w:rsid w:val="00465EDC"/>
    <w:pPr>
      <w:pBdr>
        <w:left w:val="single" w:sz="8" w:space="0" w:color="auto"/>
        <w:bottom w:val="single" w:sz="8" w:space="0" w:color="auto"/>
      </w:pBdr>
      <w:shd w:val="clear" w:color="000000" w:fill="ACB9CA"/>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87">
    <w:name w:val="xl87"/>
    <w:basedOn w:val="Normal"/>
    <w:rsid w:val="00465EDC"/>
    <w:pPr>
      <w:pBdr>
        <w:top w:val="single" w:sz="4" w:space="0" w:color="auto"/>
        <w:left w:val="single" w:sz="8" w:space="0" w:color="auto"/>
        <w:bottom w:val="single" w:sz="8" w:space="0" w:color="auto"/>
        <w:right w:val="single" w:sz="4" w:space="0" w:color="auto"/>
      </w:pBdr>
      <w:shd w:val="clear" w:color="000000" w:fill="ACB9CA"/>
      <w:spacing w:before="100" w:beforeAutospacing="1" w:after="100" w:afterAutospacing="1" w:line="240" w:lineRule="auto"/>
    </w:pPr>
    <w:rPr>
      <w:rFonts w:cs="Arial"/>
      <w:b/>
      <w:bCs/>
      <w:sz w:val="18"/>
      <w:szCs w:val="18"/>
      <w:lang w:eastAsia="en-AU"/>
    </w:rPr>
  </w:style>
  <w:style w:type="paragraph" w:customStyle="1" w:styleId="xl88">
    <w:name w:val="xl88"/>
    <w:basedOn w:val="Normal"/>
    <w:rsid w:val="00465EDC"/>
    <w:pPr>
      <w:pBdr>
        <w:top w:val="single" w:sz="4" w:space="0" w:color="auto"/>
        <w:left w:val="single" w:sz="4" w:space="0" w:color="auto"/>
        <w:bottom w:val="single" w:sz="8" w:space="0" w:color="auto"/>
        <w:right w:val="single" w:sz="8" w:space="0" w:color="auto"/>
      </w:pBdr>
      <w:shd w:val="clear" w:color="000000" w:fill="ACB9CA"/>
      <w:spacing w:before="100" w:beforeAutospacing="1" w:after="100" w:afterAutospacing="1" w:line="240" w:lineRule="auto"/>
    </w:pPr>
    <w:rPr>
      <w:rFonts w:cs="Arial"/>
      <w:b/>
      <w:bCs/>
      <w:sz w:val="18"/>
      <w:szCs w:val="18"/>
      <w:lang w:eastAsia="en-AU"/>
    </w:rPr>
  </w:style>
  <w:style w:type="paragraph" w:customStyle="1" w:styleId="xl89">
    <w:name w:val="xl89"/>
    <w:basedOn w:val="Normal"/>
    <w:rsid w:val="00465EDC"/>
    <w:pPr>
      <w:pBdr>
        <w:bottom w:val="single" w:sz="4"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90">
    <w:name w:val="xl90"/>
    <w:basedOn w:val="Normal"/>
    <w:rsid w:val="00465EDC"/>
    <w:pPr>
      <w:pBdr>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91">
    <w:name w:val="xl91"/>
    <w:basedOn w:val="Normal"/>
    <w:rsid w:val="00465E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92">
    <w:name w:val="xl92"/>
    <w:basedOn w:val="Normal"/>
    <w:rsid w:val="00465E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93">
    <w:name w:val="xl93"/>
    <w:basedOn w:val="Normal"/>
    <w:rsid w:val="00465EDC"/>
    <w:pPr>
      <w:pBdr>
        <w:top w:val="single" w:sz="4" w:space="0" w:color="auto"/>
        <w:bottom w:val="single" w:sz="4"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94">
    <w:name w:val="xl94"/>
    <w:basedOn w:val="Normal"/>
    <w:rsid w:val="00465EDC"/>
    <w:pPr>
      <w:pBdr>
        <w:top w:val="single" w:sz="4" w:space="0" w:color="auto"/>
        <w:left w:val="single" w:sz="4"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95">
    <w:name w:val="xl95"/>
    <w:basedOn w:val="Normal"/>
    <w:rsid w:val="00465EDC"/>
    <w:pPr>
      <w:pBdr>
        <w:left w:val="single" w:sz="4"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96">
    <w:name w:val="xl96"/>
    <w:basedOn w:val="Normal"/>
    <w:rsid w:val="00465EDC"/>
    <w:pPr>
      <w:pBdr>
        <w:top w:val="single" w:sz="4" w:space="0" w:color="auto"/>
        <w:bottom w:val="single" w:sz="8"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97">
    <w:name w:val="xl97"/>
    <w:basedOn w:val="Normal"/>
    <w:rsid w:val="00465E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98">
    <w:name w:val="xl98"/>
    <w:basedOn w:val="Normal"/>
    <w:rsid w:val="00465EDC"/>
    <w:pPr>
      <w:pBdr>
        <w:left w:val="single" w:sz="4" w:space="0" w:color="auto"/>
        <w:bottom w:val="single" w:sz="8"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99">
    <w:name w:val="xl99"/>
    <w:basedOn w:val="Normal"/>
    <w:rsid w:val="00465EDC"/>
    <w:pPr>
      <w:pBdr>
        <w:top w:val="single" w:sz="8" w:space="0" w:color="auto"/>
        <w:left w:val="single" w:sz="4" w:space="0" w:color="auto"/>
        <w:right w:val="single" w:sz="4" w:space="0" w:color="auto"/>
      </w:pBdr>
      <w:spacing w:before="100" w:beforeAutospacing="1" w:after="100" w:afterAutospacing="1" w:line="240" w:lineRule="auto"/>
    </w:pPr>
    <w:rPr>
      <w:rFonts w:cs="Arial"/>
      <w:sz w:val="18"/>
      <w:szCs w:val="18"/>
      <w:lang w:eastAsia="en-AU"/>
    </w:rPr>
  </w:style>
  <w:style w:type="paragraph" w:customStyle="1" w:styleId="xl100">
    <w:name w:val="xl100"/>
    <w:basedOn w:val="Normal"/>
    <w:rsid w:val="009335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1F497D"/>
      <w:sz w:val="18"/>
      <w:szCs w:val="18"/>
      <w:lang w:eastAsia="en-AU"/>
    </w:rPr>
  </w:style>
  <w:style w:type="paragraph" w:customStyle="1" w:styleId="xl101">
    <w:name w:val="xl101"/>
    <w:basedOn w:val="Normal"/>
    <w:rsid w:val="00933512"/>
    <w:pPr>
      <w:pBdr>
        <w:left w:val="single" w:sz="8" w:space="0" w:color="auto"/>
        <w:bottom w:val="single" w:sz="4" w:space="0" w:color="auto"/>
      </w:pBdr>
      <w:shd w:val="clear" w:color="000000" w:fill="8DB4E2"/>
      <w:spacing w:before="100" w:beforeAutospacing="1" w:after="100" w:afterAutospacing="1" w:line="240" w:lineRule="auto"/>
      <w:textAlignment w:val="top"/>
    </w:pPr>
    <w:rPr>
      <w:rFonts w:cs="Arial"/>
      <w:b/>
      <w:bCs/>
      <w:color w:val="FFFF00"/>
      <w:sz w:val="18"/>
      <w:szCs w:val="18"/>
      <w:lang w:eastAsia="en-AU"/>
    </w:rPr>
  </w:style>
  <w:style w:type="paragraph" w:customStyle="1" w:styleId="xl102">
    <w:name w:val="xl102"/>
    <w:basedOn w:val="Normal"/>
    <w:rsid w:val="00933512"/>
    <w:pPr>
      <w:pBdr>
        <w:top w:val="single" w:sz="8" w:space="0" w:color="auto"/>
        <w:left w:val="single" w:sz="8" w:space="0" w:color="auto"/>
      </w:pBdr>
      <w:shd w:val="clear" w:color="000000" w:fill="8DB4E2"/>
      <w:spacing w:before="100" w:beforeAutospacing="1" w:after="100" w:afterAutospacing="1" w:line="240" w:lineRule="auto"/>
    </w:pPr>
    <w:rPr>
      <w:rFonts w:cs="Arial"/>
      <w:b/>
      <w:bCs/>
      <w:color w:val="FFFF00"/>
      <w:sz w:val="18"/>
      <w:szCs w:val="18"/>
      <w:lang w:eastAsia="en-AU"/>
    </w:rPr>
  </w:style>
  <w:style w:type="paragraph" w:customStyle="1" w:styleId="xl103">
    <w:name w:val="xl103"/>
    <w:basedOn w:val="Normal"/>
    <w:rsid w:val="00933512"/>
    <w:pPr>
      <w:pBdr>
        <w:top w:val="single" w:sz="8" w:space="0" w:color="auto"/>
      </w:pBdr>
      <w:shd w:val="clear" w:color="000000" w:fill="8DB4E2"/>
      <w:spacing w:before="100" w:beforeAutospacing="1" w:after="100" w:afterAutospacing="1" w:line="240" w:lineRule="auto"/>
      <w:jc w:val="center"/>
    </w:pPr>
    <w:rPr>
      <w:rFonts w:cs="Arial"/>
      <w:sz w:val="18"/>
      <w:szCs w:val="18"/>
      <w:lang w:eastAsia="en-AU"/>
    </w:rPr>
  </w:style>
  <w:style w:type="paragraph" w:customStyle="1" w:styleId="xl104">
    <w:name w:val="xl104"/>
    <w:basedOn w:val="Normal"/>
    <w:rsid w:val="00933512"/>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105">
    <w:name w:val="xl105"/>
    <w:basedOn w:val="Normal"/>
    <w:rsid w:val="00933512"/>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106">
    <w:name w:val="xl106"/>
    <w:basedOn w:val="Normal"/>
    <w:rsid w:val="00933512"/>
    <w:pPr>
      <w:spacing w:before="100" w:beforeAutospacing="1" w:after="100" w:afterAutospacing="1" w:line="240" w:lineRule="auto"/>
      <w:jc w:val="center"/>
    </w:pPr>
    <w:rPr>
      <w:rFonts w:ascii="Times New Roman" w:hAnsi="Times New Roman"/>
      <w:sz w:val="18"/>
      <w:szCs w:val="18"/>
      <w:lang w:eastAsia="en-AU"/>
    </w:rPr>
  </w:style>
  <w:style w:type="paragraph" w:customStyle="1" w:styleId="xl107">
    <w:name w:val="xl107"/>
    <w:basedOn w:val="Normal"/>
    <w:rsid w:val="00933512"/>
    <w:pPr>
      <w:pBdr>
        <w:top w:val="single" w:sz="8" w:space="0" w:color="auto"/>
        <w:left w:val="single" w:sz="8" w:space="0" w:color="auto"/>
      </w:pBdr>
      <w:shd w:val="clear" w:color="000000" w:fill="4F81BD"/>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108">
    <w:name w:val="xl108"/>
    <w:basedOn w:val="Normal"/>
    <w:rsid w:val="00933512"/>
    <w:pPr>
      <w:pBdr>
        <w:left w:val="single" w:sz="8" w:space="0" w:color="auto"/>
      </w:pBdr>
      <w:shd w:val="clear" w:color="000000" w:fill="4F81BD"/>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109">
    <w:name w:val="xl109"/>
    <w:basedOn w:val="Normal"/>
    <w:rsid w:val="00933512"/>
    <w:pPr>
      <w:pBdr>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110">
    <w:name w:val="xl110"/>
    <w:basedOn w:val="Normal"/>
    <w:rsid w:val="00933512"/>
    <w:pPr>
      <w:pBdr>
        <w:top w:val="single" w:sz="8" w:space="0" w:color="auto"/>
        <w:left w:val="single" w:sz="8" w:space="0" w:color="auto"/>
      </w:pBdr>
      <w:shd w:val="clear" w:color="000000" w:fill="8DB4E2"/>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111">
    <w:name w:val="xl111"/>
    <w:basedOn w:val="Normal"/>
    <w:rsid w:val="00933512"/>
    <w:pPr>
      <w:pBdr>
        <w:left w:val="single" w:sz="8" w:space="0" w:color="auto"/>
      </w:pBdr>
      <w:shd w:val="clear" w:color="000000" w:fill="8DB4E2"/>
      <w:spacing w:before="100" w:beforeAutospacing="1" w:after="100" w:afterAutospacing="1" w:line="240" w:lineRule="auto"/>
      <w:jc w:val="center"/>
      <w:textAlignment w:val="center"/>
    </w:pPr>
    <w:rPr>
      <w:rFonts w:cs="Arial"/>
      <w:b/>
      <w:bCs/>
      <w:color w:val="FFFFFF"/>
      <w:sz w:val="18"/>
      <w:szCs w:val="18"/>
      <w:lang w:eastAsia="en-AU"/>
    </w:rPr>
  </w:style>
  <w:style w:type="paragraph" w:customStyle="1" w:styleId="xl112">
    <w:name w:val="xl112"/>
    <w:basedOn w:val="Normal"/>
    <w:rsid w:val="00933512"/>
    <w:pPr>
      <w:pBdr>
        <w:left w:val="single" w:sz="8" w:space="0" w:color="auto"/>
        <w:bottom w:val="single" w:sz="8" w:space="0" w:color="auto"/>
      </w:pBdr>
      <w:shd w:val="clear" w:color="000000" w:fill="8DB4E2"/>
      <w:spacing w:before="100" w:beforeAutospacing="1" w:after="100" w:afterAutospacing="1" w:line="240" w:lineRule="auto"/>
      <w:jc w:val="center"/>
      <w:textAlignment w:val="center"/>
    </w:pPr>
    <w:rPr>
      <w:rFonts w:cs="Arial"/>
      <w:b/>
      <w:bCs/>
      <w:color w:val="FFFFFF"/>
      <w:sz w:val="18"/>
      <w:szCs w:val="18"/>
      <w:lang w:eastAsia="en-AU"/>
    </w:rPr>
  </w:style>
  <w:style w:type="paragraph" w:styleId="ListParagraph">
    <w:name w:val="List Paragraph"/>
    <w:basedOn w:val="Normal"/>
    <w:uiPriority w:val="34"/>
    <w:qFormat/>
    <w:rsid w:val="009D2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619018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7392737">
      <w:bodyDiv w:val="1"/>
      <w:marLeft w:val="0"/>
      <w:marRight w:val="0"/>
      <w:marTop w:val="0"/>
      <w:marBottom w:val="0"/>
      <w:divBdr>
        <w:top w:val="none" w:sz="0" w:space="0" w:color="auto"/>
        <w:left w:val="none" w:sz="0" w:space="0" w:color="auto"/>
        <w:bottom w:val="none" w:sz="0" w:space="0" w:color="auto"/>
        <w:right w:val="none" w:sz="0" w:space="0" w:color="auto"/>
      </w:divBdr>
    </w:div>
    <w:div w:id="71823802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4216555">
      <w:bodyDiv w:val="1"/>
      <w:marLeft w:val="0"/>
      <w:marRight w:val="0"/>
      <w:marTop w:val="0"/>
      <w:marBottom w:val="0"/>
      <w:divBdr>
        <w:top w:val="none" w:sz="0" w:space="0" w:color="auto"/>
        <w:left w:val="none" w:sz="0" w:space="0" w:color="auto"/>
        <w:bottom w:val="none" w:sz="0" w:space="0" w:color="auto"/>
        <w:right w:val="none" w:sz="0" w:space="0" w:color="auto"/>
      </w:divBdr>
    </w:div>
    <w:div w:id="1097287275">
      <w:bodyDiv w:val="1"/>
      <w:marLeft w:val="0"/>
      <w:marRight w:val="0"/>
      <w:marTop w:val="0"/>
      <w:marBottom w:val="0"/>
      <w:divBdr>
        <w:top w:val="none" w:sz="0" w:space="0" w:color="auto"/>
        <w:left w:val="none" w:sz="0" w:space="0" w:color="auto"/>
        <w:bottom w:val="none" w:sz="0" w:space="0" w:color="auto"/>
        <w:right w:val="none" w:sz="0" w:space="0" w:color="auto"/>
      </w:divBdr>
    </w:div>
    <w:div w:id="1113089190">
      <w:bodyDiv w:val="1"/>
      <w:marLeft w:val="0"/>
      <w:marRight w:val="0"/>
      <w:marTop w:val="0"/>
      <w:marBottom w:val="0"/>
      <w:divBdr>
        <w:top w:val="none" w:sz="0" w:space="0" w:color="auto"/>
        <w:left w:val="none" w:sz="0" w:space="0" w:color="auto"/>
        <w:bottom w:val="none" w:sz="0" w:space="0" w:color="auto"/>
        <w:right w:val="none" w:sz="0" w:space="0" w:color="auto"/>
      </w:divBdr>
    </w:div>
    <w:div w:id="1131827028">
      <w:bodyDiv w:val="1"/>
      <w:marLeft w:val="0"/>
      <w:marRight w:val="0"/>
      <w:marTop w:val="0"/>
      <w:marBottom w:val="0"/>
      <w:divBdr>
        <w:top w:val="none" w:sz="0" w:space="0" w:color="auto"/>
        <w:left w:val="none" w:sz="0" w:space="0" w:color="auto"/>
        <w:bottom w:val="none" w:sz="0" w:space="0" w:color="auto"/>
        <w:right w:val="none" w:sz="0" w:space="0" w:color="auto"/>
      </w:divBdr>
    </w:div>
    <w:div w:id="11775754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335937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497586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3414173">
      <w:bodyDiv w:val="1"/>
      <w:marLeft w:val="0"/>
      <w:marRight w:val="0"/>
      <w:marTop w:val="0"/>
      <w:marBottom w:val="0"/>
      <w:divBdr>
        <w:top w:val="none" w:sz="0" w:space="0" w:color="auto"/>
        <w:left w:val="none" w:sz="0" w:space="0" w:color="auto"/>
        <w:bottom w:val="none" w:sz="0" w:space="0" w:color="auto"/>
        <w:right w:val="none" w:sz="0" w:space="0" w:color="auto"/>
      </w:divBdr>
    </w:div>
    <w:div w:id="1981105960">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CDCassist@health.vic.gov.au" TargetMode="External"/><Relationship Id="rId26" Type="http://schemas.openxmlformats.org/officeDocument/2006/relationships/hyperlink" Target="https://www.ihacpa.gov.au/health-care/costin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hpa.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DH orange report</vt:lpstr>
    </vt:vector>
  </TitlesOfParts>
  <Manager/>
  <Company>Victoria State Government, Department of Health</Company>
  <LinksUpToDate>false</LinksUpToDate>
  <CharactersWithSpaces>19799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orange report</dc:title>
  <dc:subject/>
  <dc:creator>Joanne Siviloglou (DHHS)</dc:creator>
  <cp:keywords/>
  <dc:description/>
  <cp:lastModifiedBy>Joanne Siviloglou (Health)</cp:lastModifiedBy>
  <cp:revision>8</cp:revision>
  <cp:lastPrinted>2023-09-06T02:52:00Z</cp:lastPrinted>
  <dcterms:created xsi:type="dcterms:W3CDTF">2023-08-14T02:32:00Z</dcterms:created>
  <dcterms:modified xsi:type="dcterms:W3CDTF">2023-09-06T04:37:00Z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2023-09-06T04:37:06Z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d561029f-00ae-4a34-b407-3944e962133a</vt:lpwstr>
  </property>
  <property fmtid="{D5CDD505-2E9C-101B-9397-08002B2CF9AE}" pid="11" name="MSIP_Label_43e64453-338c-4f93-8a4d-0039a0a41f2a_ContentBits">
    <vt:lpwstr>2</vt:lpwstr>
  </property>
</Properties>
</file>