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F652" w14:textId="77777777" w:rsidR="0074696E" w:rsidRPr="004C6EEE" w:rsidRDefault="00B5606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47A76AE2" wp14:editId="16E2F12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7685" cy="141351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88400" cy="141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7ADEA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907"/>
      </w:tblGrid>
      <w:tr w:rsidR="00AD784C" w14:paraId="28E06669" w14:textId="77777777" w:rsidTr="00495B4F">
        <w:tc>
          <w:tcPr>
            <w:tcW w:w="11907" w:type="dxa"/>
          </w:tcPr>
          <w:p w14:paraId="3E67A2E1" w14:textId="409E0CFA" w:rsidR="00AD784C" w:rsidRPr="00161AA0" w:rsidRDefault="00EF4DE6" w:rsidP="00CE12AF">
            <w:pPr>
              <w:pStyle w:val="Documenttitle"/>
            </w:pPr>
            <w:r>
              <w:t xml:space="preserve">Blood Matters strategic plan </w:t>
            </w:r>
          </w:p>
        </w:tc>
      </w:tr>
      <w:tr w:rsidR="00CE12AF" w14:paraId="0BE6BDA0" w14:textId="77777777" w:rsidTr="00495B4F">
        <w:tc>
          <w:tcPr>
            <w:tcW w:w="11907" w:type="dxa"/>
          </w:tcPr>
          <w:p w14:paraId="43C5875C" w14:textId="028FBFEE" w:rsidR="00CE12AF" w:rsidRPr="00A1389F" w:rsidRDefault="00EF4DE6" w:rsidP="00CE12AF">
            <w:pPr>
              <w:pStyle w:val="Documentsubtitle"/>
            </w:pPr>
            <w:r>
              <w:t>2023-2024</w:t>
            </w:r>
          </w:p>
        </w:tc>
      </w:tr>
      <w:tr w:rsidR="00CE12AF" w14:paraId="1DFAA211" w14:textId="77777777" w:rsidTr="00495B4F">
        <w:tc>
          <w:tcPr>
            <w:tcW w:w="11907" w:type="dxa"/>
          </w:tcPr>
          <w:p w14:paraId="2E055780" w14:textId="77777777" w:rsidR="00CE12AF" w:rsidRPr="00250DC4" w:rsidRDefault="00CA77E4" w:rsidP="00CE12AF">
            <w:pPr>
              <w:pStyle w:val="Bannermarking"/>
            </w:pPr>
            <w:fldSimple w:instr=" FILLIN  &quot;Type the protective marking&quot; \d OFFICIAL \o  \* MERGEFORMAT ">
              <w:r w:rsidR="00AE0753">
                <w:t>OFFICIAL</w:t>
              </w:r>
            </w:fldSimple>
          </w:p>
        </w:tc>
      </w:tr>
    </w:tbl>
    <w:p w14:paraId="25E02A14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B6AE052" w14:textId="77777777" w:rsidR="00EF4DE6" w:rsidRPr="0014704C" w:rsidRDefault="00EF4DE6" w:rsidP="00EF4DE6">
      <w:pPr>
        <w:pStyle w:val="Heading2"/>
        <w:rPr>
          <w:sz w:val="36"/>
        </w:rPr>
      </w:pPr>
      <w:bookmarkStart w:id="0" w:name="_Hlk66712316"/>
      <w:bookmarkStart w:id="1" w:name="_Hlk37240926"/>
      <w:r w:rsidRPr="0014704C">
        <w:t>Goal</w:t>
      </w:r>
    </w:p>
    <w:p w14:paraId="3E2C62E3" w14:textId="6276E0C8" w:rsidR="00EF4DE6" w:rsidRPr="0014704C" w:rsidRDefault="004877A2" w:rsidP="00EF4DE6">
      <w:pPr>
        <w:pStyle w:val="Body"/>
      </w:pPr>
      <w:r>
        <w:t>Blood Matters through a collaborative approach</w:t>
      </w:r>
      <w:r w:rsidR="002A1517">
        <w:t xml:space="preserve">, underpinned by </w:t>
      </w:r>
      <w:r>
        <w:t xml:space="preserve">the Victorian Department of Health’s values, vision and priorities </w:t>
      </w:r>
      <w:hyperlink r:id="rId19" w:history="1">
        <w:r w:rsidRPr="004877A2">
          <w:rPr>
            <w:rFonts w:eastAsia="Times New Roman"/>
            <w:color w:val="0000FF"/>
            <w:u w:val="single"/>
          </w:rPr>
          <w:t>Our priorities | health.vic.gov.au</w:t>
        </w:r>
      </w:hyperlink>
      <w:r>
        <w:rPr>
          <w:rFonts w:eastAsia="Times New Roman"/>
        </w:rPr>
        <w:t xml:space="preserve"> </w:t>
      </w:r>
      <w:r w:rsidR="002A1517">
        <w:rPr>
          <w:rFonts w:eastAsia="Times New Roman"/>
        </w:rPr>
        <w:t xml:space="preserve">will  </w:t>
      </w:r>
      <w:r w:rsidR="00EF4DE6" w:rsidRPr="0014704C">
        <w:t xml:space="preserve">support and </w:t>
      </w:r>
      <w:r>
        <w:t>promot</w:t>
      </w:r>
      <w:r w:rsidR="002A1517">
        <w:t>e</w:t>
      </w:r>
      <w:r w:rsidR="00EF4DE6" w:rsidRPr="0014704C">
        <w:t xml:space="preserve"> best practices in quality care, clinical safety, and blood management (sustainable, responsible, safe and appropriate use), for improved patient outcomes in </w:t>
      </w:r>
      <w:r w:rsidR="00EF4DE6">
        <w:t>Victori</w:t>
      </w:r>
      <w:r>
        <w:t>a</w:t>
      </w:r>
      <w:r w:rsidR="00EF4DE6">
        <w:t>.</w:t>
      </w:r>
    </w:p>
    <w:p w14:paraId="47DA61AD" w14:textId="77777777" w:rsidR="00EF4DE6" w:rsidRPr="0014704C" w:rsidRDefault="00EF4DE6" w:rsidP="00EF4DE6">
      <w:pPr>
        <w:pStyle w:val="Heading2"/>
      </w:pPr>
      <w:r w:rsidRPr="0014704C">
        <w:t>Strategic direction</w:t>
      </w:r>
    </w:p>
    <w:p w14:paraId="1FE20111" w14:textId="77777777" w:rsidR="00EF4DE6" w:rsidRPr="0014704C" w:rsidRDefault="00EF4DE6" w:rsidP="00EF4DE6">
      <w:pPr>
        <w:pStyle w:val="Body"/>
      </w:pPr>
      <w:r w:rsidRPr="0014704C">
        <w:t>Use innovative and diverse approaches to:</w:t>
      </w:r>
    </w:p>
    <w:p w14:paraId="3C4FAD23" w14:textId="7C95B15B" w:rsidR="00EF4DE6" w:rsidRPr="0014704C" w:rsidRDefault="00EF4DE6" w:rsidP="00EF4DE6">
      <w:pPr>
        <w:pStyle w:val="Bullet1"/>
      </w:pPr>
      <w:r w:rsidRPr="0014704C">
        <w:t>promote and support the development of strategies that optimise appropriate use of blood</w:t>
      </w:r>
      <w:r w:rsidR="000356B7">
        <w:t>, blood</w:t>
      </w:r>
      <w:r w:rsidRPr="0014704C">
        <w:t xml:space="preserve"> </w:t>
      </w:r>
      <w:r w:rsidR="000356B7" w:rsidRPr="0014704C">
        <w:t>products</w:t>
      </w:r>
      <w:r w:rsidR="000356B7">
        <w:t xml:space="preserve">, or </w:t>
      </w:r>
      <w:r w:rsidRPr="0014704C">
        <w:t>alternatives, and person-centred care through national and local governance frameworks and standards</w:t>
      </w:r>
    </w:p>
    <w:p w14:paraId="57B1E7E3" w14:textId="77777777" w:rsidR="00EF4DE6" w:rsidRPr="0014704C" w:rsidRDefault="00EF4DE6" w:rsidP="00EF4DE6">
      <w:pPr>
        <w:pStyle w:val="Bullet1"/>
      </w:pPr>
      <w:r w:rsidRPr="0014704C">
        <w:t xml:space="preserve">foster and strengthen partnerships and stakeholder relationships </w:t>
      </w:r>
    </w:p>
    <w:p w14:paraId="5F19D6F0" w14:textId="0A394529" w:rsidR="00EF4DE6" w:rsidRPr="0014704C" w:rsidRDefault="00EF4DE6" w:rsidP="00EF4DE6">
      <w:pPr>
        <w:pStyle w:val="Bullet1"/>
      </w:pPr>
      <w:r w:rsidRPr="0014704C">
        <w:t>analyse data and disseminate findings across the sector to raise awareness, influence practice, promote efficiencies</w:t>
      </w:r>
      <w:r w:rsidR="004877A2">
        <w:t xml:space="preserve"> and equity </w:t>
      </w:r>
      <w:r w:rsidR="002A1517">
        <w:t xml:space="preserve">of </w:t>
      </w:r>
      <w:r w:rsidR="004877A2">
        <w:t>care</w:t>
      </w:r>
      <w:r w:rsidRPr="0014704C">
        <w:t xml:space="preserve">, and provide value </w:t>
      </w:r>
    </w:p>
    <w:p w14:paraId="7D57AF78" w14:textId="4F8EE4A9" w:rsidR="00EF4DE6" w:rsidRPr="0014704C" w:rsidRDefault="00EF4DE6" w:rsidP="00EF4DE6">
      <w:pPr>
        <w:pStyle w:val="Bullet1"/>
      </w:pPr>
      <w:r w:rsidRPr="0014704C">
        <w:t xml:space="preserve">provide and promote expert knowledge sharing and collaboration across the sector, including specific initiatives, </w:t>
      </w:r>
      <w:proofErr w:type="gramStart"/>
      <w:r w:rsidRPr="0014704C">
        <w:t>tools</w:t>
      </w:r>
      <w:proofErr w:type="gramEnd"/>
      <w:r w:rsidRPr="0014704C">
        <w:t xml:space="preserve"> and specialised </w:t>
      </w:r>
      <w:r w:rsidR="007572FB" w:rsidRPr="0014704C">
        <w:t>advice.</w:t>
      </w:r>
      <w:r w:rsidRPr="0014704C">
        <w:t xml:space="preserve"> </w:t>
      </w:r>
    </w:p>
    <w:p w14:paraId="7D6FBCB7" w14:textId="77777777" w:rsidR="00EF4DE6" w:rsidRDefault="00EF4DE6" w:rsidP="00CA3353">
      <w:pPr>
        <w:pStyle w:val="Body"/>
      </w:pPr>
    </w:p>
    <w:p w14:paraId="24A19CE0" w14:textId="77777777" w:rsidR="00B54B69" w:rsidRDefault="00B54B69">
      <w:pPr>
        <w:spacing w:after="0" w:line="240" w:lineRule="auto"/>
        <w:rPr>
          <w:rFonts w:eastAsia="Times"/>
        </w:rPr>
      </w:pPr>
      <w:r>
        <w:br w:type="page"/>
      </w:r>
    </w:p>
    <w:p w14:paraId="670BF0A0" w14:textId="0C9B2C5E" w:rsidR="00CA3353" w:rsidRDefault="00EF4DE6" w:rsidP="00CA3353">
      <w:pPr>
        <w:pStyle w:val="Tablecaption"/>
      </w:pPr>
      <w:r>
        <w:lastRenderedPageBreak/>
        <w:t>Strategic framework (2023-2024)</w:t>
      </w:r>
    </w:p>
    <w:tbl>
      <w:tblPr>
        <w:tblStyle w:val="TableGrid"/>
        <w:tblW w:w="15021" w:type="dxa"/>
        <w:tblLook w:val="06A0" w:firstRow="1" w:lastRow="0" w:firstColumn="1" w:lastColumn="0" w:noHBand="1" w:noVBand="1"/>
      </w:tblPr>
      <w:tblGrid>
        <w:gridCol w:w="3755"/>
        <w:gridCol w:w="3755"/>
        <w:gridCol w:w="3755"/>
        <w:gridCol w:w="3756"/>
      </w:tblGrid>
      <w:tr w:rsidR="00CA3353" w14:paraId="3D433E1B" w14:textId="77777777" w:rsidTr="00CA3353">
        <w:trPr>
          <w:tblHeader/>
        </w:trPr>
        <w:tc>
          <w:tcPr>
            <w:tcW w:w="3755" w:type="dxa"/>
          </w:tcPr>
          <w:p w14:paraId="501B0D41" w14:textId="00C52133" w:rsidR="00CA3353" w:rsidRPr="00CB3285" w:rsidRDefault="00EF4DE6" w:rsidP="00207189">
            <w:pPr>
              <w:pStyle w:val="Tablecolhead"/>
            </w:pPr>
            <w:r>
              <w:t>Strategic direction</w:t>
            </w:r>
          </w:p>
        </w:tc>
        <w:tc>
          <w:tcPr>
            <w:tcW w:w="3755" w:type="dxa"/>
          </w:tcPr>
          <w:p w14:paraId="38D85C5E" w14:textId="1F8B8302" w:rsidR="00CA3353" w:rsidRDefault="00EF4DE6" w:rsidP="00207189">
            <w:pPr>
              <w:pStyle w:val="Tablecolhead"/>
            </w:pPr>
            <w:r>
              <w:t>Core process for delivery</w:t>
            </w:r>
          </w:p>
        </w:tc>
        <w:tc>
          <w:tcPr>
            <w:tcW w:w="3755" w:type="dxa"/>
          </w:tcPr>
          <w:p w14:paraId="5F5C4F40" w14:textId="26313026" w:rsidR="00CA3353" w:rsidRDefault="00EF4DE6" w:rsidP="00207189">
            <w:pPr>
              <w:pStyle w:val="Tablecolhead"/>
            </w:pPr>
            <w:r>
              <w:t>Outcome framework</w:t>
            </w:r>
          </w:p>
        </w:tc>
        <w:tc>
          <w:tcPr>
            <w:tcW w:w="3756" w:type="dxa"/>
          </w:tcPr>
          <w:p w14:paraId="73592091" w14:textId="04BDA769" w:rsidR="00CA3353" w:rsidRDefault="00EF4DE6" w:rsidP="00207189">
            <w:pPr>
              <w:pStyle w:val="Tablecolhead"/>
            </w:pPr>
            <w:r>
              <w:t>Key result</w:t>
            </w:r>
            <w:r w:rsidR="00BF2019">
              <w:t>s</w:t>
            </w:r>
          </w:p>
        </w:tc>
      </w:tr>
      <w:tr w:rsidR="00BF2019" w14:paraId="56787E6D" w14:textId="77777777" w:rsidTr="00CA3353">
        <w:tc>
          <w:tcPr>
            <w:tcW w:w="3755" w:type="dxa"/>
          </w:tcPr>
          <w:p w14:paraId="73120E63" w14:textId="521EFDAD" w:rsidR="00BF2019" w:rsidRDefault="00BF2019" w:rsidP="00BF2019">
            <w:pPr>
              <w:pStyle w:val="Tabletext"/>
            </w:pPr>
            <w:r w:rsidRPr="0014704C">
              <w:rPr>
                <w:rFonts w:cs="Arial"/>
              </w:rPr>
              <w:t>Promote and assist with the development of strategies that optimise appropriate use of blood</w:t>
            </w:r>
            <w:r w:rsidR="000356B7">
              <w:rPr>
                <w:rFonts w:cs="Arial"/>
              </w:rPr>
              <w:t>, blood</w:t>
            </w:r>
            <w:r w:rsidRPr="0014704C">
              <w:rPr>
                <w:rFonts w:cs="Arial"/>
              </w:rPr>
              <w:t xml:space="preserve"> </w:t>
            </w:r>
            <w:proofErr w:type="gramStart"/>
            <w:r w:rsidRPr="0014704C">
              <w:rPr>
                <w:rFonts w:cs="Arial"/>
              </w:rPr>
              <w:t>products</w:t>
            </w:r>
            <w:r w:rsidR="000356B7">
              <w:rPr>
                <w:rFonts w:cs="Arial"/>
              </w:rPr>
              <w:t>,  or</w:t>
            </w:r>
            <w:proofErr w:type="gramEnd"/>
            <w:r w:rsidR="000356B7">
              <w:rPr>
                <w:rFonts w:cs="Arial"/>
              </w:rPr>
              <w:t xml:space="preserve"> </w:t>
            </w:r>
            <w:r w:rsidRPr="0014704C">
              <w:rPr>
                <w:rFonts w:cs="Arial"/>
              </w:rPr>
              <w:t>alternatives, and person-centred care through national and local</w:t>
            </w:r>
            <w:r w:rsidR="001D2B0D">
              <w:rPr>
                <w:rFonts w:cs="Arial"/>
              </w:rPr>
              <w:t xml:space="preserve"> </w:t>
            </w:r>
            <w:r w:rsidR="001D2B0D" w:rsidRPr="001D2B0D">
              <w:rPr>
                <w:rFonts w:cs="Arial"/>
              </w:rPr>
              <w:t>governance frameworks and standards</w:t>
            </w:r>
          </w:p>
        </w:tc>
        <w:tc>
          <w:tcPr>
            <w:tcW w:w="3755" w:type="dxa"/>
          </w:tcPr>
          <w:p w14:paraId="15DCE63A" w14:textId="77777777" w:rsidR="00BF2019" w:rsidRPr="0014704C" w:rsidRDefault="00BF2019" w:rsidP="00BF2019">
            <w:pPr>
              <w:rPr>
                <w:rFonts w:cs="Arial"/>
              </w:rPr>
            </w:pPr>
            <w:r w:rsidRPr="0014704C">
              <w:rPr>
                <w:rFonts w:cs="Arial"/>
              </w:rPr>
              <w:t>Education</w:t>
            </w:r>
          </w:p>
          <w:p w14:paraId="5678FFA8" w14:textId="77777777" w:rsidR="00BF2019" w:rsidRPr="0014704C" w:rsidRDefault="00BF2019" w:rsidP="00BF2019">
            <w:pPr>
              <w:rPr>
                <w:rFonts w:cs="Arial"/>
              </w:rPr>
            </w:pPr>
          </w:p>
          <w:p w14:paraId="7AF4BFE5" w14:textId="77777777" w:rsidR="00BF2019" w:rsidRPr="0014704C" w:rsidRDefault="00BF2019" w:rsidP="00BF2019">
            <w:pPr>
              <w:rPr>
                <w:rFonts w:cs="Arial"/>
              </w:rPr>
            </w:pPr>
            <w:r w:rsidRPr="0014704C">
              <w:rPr>
                <w:rFonts w:cs="Arial"/>
              </w:rPr>
              <w:t>Promotion</w:t>
            </w:r>
          </w:p>
          <w:p w14:paraId="1A72BBAA" w14:textId="77777777" w:rsidR="00BF2019" w:rsidRPr="0014704C" w:rsidRDefault="00BF2019" w:rsidP="00BF2019">
            <w:pPr>
              <w:rPr>
                <w:rFonts w:cs="Arial"/>
              </w:rPr>
            </w:pPr>
          </w:p>
          <w:p w14:paraId="3E962BD2" w14:textId="77777777" w:rsidR="00BF2019" w:rsidRPr="0014704C" w:rsidRDefault="00BF2019" w:rsidP="00BF2019">
            <w:pPr>
              <w:rPr>
                <w:rFonts w:cs="Arial"/>
              </w:rPr>
            </w:pPr>
            <w:r w:rsidRPr="0014704C">
              <w:rPr>
                <w:rFonts w:cs="Arial"/>
              </w:rPr>
              <w:t>Data collection/analysis</w:t>
            </w:r>
          </w:p>
          <w:p w14:paraId="221BE092" w14:textId="77777777" w:rsidR="00BF2019" w:rsidRPr="0014704C" w:rsidRDefault="00BF2019" w:rsidP="00BF2019">
            <w:pPr>
              <w:rPr>
                <w:rFonts w:cs="Arial"/>
              </w:rPr>
            </w:pPr>
          </w:p>
          <w:p w14:paraId="348B49F9" w14:textId="22830D3E" w:rsidR="00BF2019" w:rsidRDefault="00BF2019" w:rsidP="00BF2019">
            <w:pPr>
              <w:pStyle w:val="Tabletext"/>
            </w:pPr>
            <w:r w:rsidRPr="0014704C">
              <w:rPr>
                <w:rFonts w:cs="Arial"/>
              </w:rPr>
              <w:t>Advice/support/influence</w:t>
            </w:r>
          </w:p>
        </w:tc>
        <w:tc>
          <w:tcPr>
            <w:tcW w:w="3755" w:type="dxa"/>
          </w:tcPr>
          <w:p w14:paraId="5506C1EB" w14:textId="4462BA57" w:rsidR="00BF2019" w:rsidRDefault="00BF2019" w:rsidP="00F810D6">
            <w:pPr>
              <w:pStyle w:val="Tabletext"/>
            </w:pPr>
            <w:r>
              <w:t>Assist with the implementation of the clinical practice guidelines and standards in health services through education, workshops, audit review and recommendations (clinical and scientific community)</w:t>
            </w:r>
          </w:p>
          <w:p w14:paraId="7F4A40CA" w14:textId="77777777" w:rsidR="00BF2019" w:rsidRDefault="00BF2019" w:rsidP="00F810D6">
            <w:pPr>
              <w:pStyle w:val="Tabletext"/>
            </w:pPr>
            <w:r>
              <w:t xml:space="preserve">Keep up to date with advances in the field and the potential impacts to practice (conferences, journal reading/club, workshops/webinar, meetings etc) </w:t>
            </w:r>
          </w:p>
          <w:p w14:paraId="5EA47F37" w14:textId="09F6B024" w:rsidR="00BF2019" w:rsidRDefault="00BF2019" w:rsidP="00F810D6">
            <w:pPr>
              <w:pStyle w:val="Tabletext"/>
            </w:pPr>
            <w:r>
              <w:t xml:space="preserve">Monitor blood </w:t>
            </w:r>
            <w:r w:rsidR="000356B7">
              <w:t>component management and waste</w:t>
            </w:r>
          </w:p>
          <w:p w14:paraId="7755D632" w14:textId="39AEA1E7" w:rsidR="00BF2019" w:rsidRDefault="00BF2019" w:rsidP="00F810D6">
            <w:pPr>
              <w:pStyle w:val="Tabletext"/>
            </w:pPr>
            <w:r>
              <w:t xml:space="preserve">Assist with, and continue to promote the implementation of subcutaneous immunoglobulin (SCIg) access </w:t>
            </w:r>
          </w:p>
          <w:p w14:paraId="2F6F816E" w14:textId="77777777" w:rsidR="00BF2019" w:rsidRDefault="00BF2019" w:rsidP="00F810D6">
            <w:pPr>
              <w:pStyle w:val="Tabletext"/>
            </w:pPr>
            <w:r>
              <w:t>Promote optimal blood management in line with relevant standards and guidelines</w:t>
            </w:r>
          </w:p>
          <w:p w14:paraId="7BAF29B3" w14:textId="63C53712" w:rsidR="00BF2019" w:rsidRDefault="00BF2019" w:rsidP="00F810D6">
            <w:pPr>
              <w:pStyle w:val="Tabletext"/>
            </w:pPr>
          </w:p>
        </w:tc>
        <w:tc>
          <w:tcPr>
            <w:tcW w:w="3756" w:type="dxa"/>
          </w:tcPr>
          <w:p w14:paraId="67A59600" w14:textId="7B85FC3F" w:rsidR="00BF2019" w:rsidRDefault="00BF2019" w:rsidP="00BF2019">
            <w:pPr>
              <w:pStyle w:val="Tablebullet2"/>
              <w:numPr>
                <w:ilvl w:val="0"/>
                <w:numId w:val="0"/>
              </w:numPr>
              <w:ind w:left="454"/>
            </w:pPr>
          </w:p>
        </w:tc>
      </w:tr>
      <w:tr w:rsidR="00BF2019" w14:paraId="278BF4A9" w14:textId="77777777" w:rsidTr="00CA3353">
        <w:trPr>
          <w:trHeight w:val="756"/>
        </w:trPr>
        <w:tc>
          <w:tcPr>
            <w:tcW w:w="3755" w:type="dxa"/>
          </w:tcPr>
          <w:p w14:paraId="3524AD12" w14:textId="77777777" w:rsidR="00BF2019" w:rsidRPr="0014704C" w:rsidRDefault="00BF2019" w:rsidP="00BF2019">
            <w:pPr>
              <w:rPr>
                <w:rFonts w:cs="Arial"/>
              </w:rPr>
            </w:pPr>
            <w:r w:rsidRPr="0014704C">
              <w:rPr>
                <w:rFonts w:cs="Arial"/>
              </w:rPr>
              <w:t xml:space="preserve">Foster and strengthen partnerships and stakeholder relationships </w:t>
            </w:r>
          </w:p>
          <w:p w14:paraId="589D7AA5" w14:textId="77777777" w:rsidR="00BF2019" w:rsidRPr="002365B4" w:rsidRDefault="00BF2019" w:rsidP="00BF2019">
            <w:pPr>
              <w:pStyle w:val="Tabletext6pt"/>
            </w:pPr>
          </w:p>
        </w:tc>
        <w:tc>
          <w:tcPr>
            <w:tcW w:w="3755" w:type="dxa"/>
          </w:tcPr>
          <w:p w14:paraId="3E7D7070" w14:textId="77777777" w:rsidR="00BF2019" w:rsidRPr="0014704C" w:rsidRDefault="00BF2019" w:rsidP="00BF2019">
            <w:pPr>
              <w:rPr>
                <w:rFonts w:cs="Arial"/>
              </w:rPr>
            </w:pPr>
            <w:r w:rsidRPr="0014704C">
              <w:rPr>
                <w:rFonts w:cs="Arial"/>
              </w:rPr>
              <w:t>Collaboration</w:t>
            </w:r>
          </w:p>
          <w:p w14:paraId="6D4F52F9" w14:textId="77777777" w:rsidR="00BF2019" w:rsidRPr="0014704C" w:rsidRDefault="00BF2019" w:rsidP="00BF2019">
            <w:pPr>
              <w:rPr>
                <w:rFonts w:cs="Arial"/>
              </w:rPr>
            </w:pPr>
          </w:p>
          <w:p w14:paraId="172F15F1" w14:textId="77777777" w:rsidR="00BF2019" w:rsidRDefault="00BF2019" w:rsidP="00BF2019">
            <w:pPr>
              <w:rPr>
                <w:rFonts w:cs="Arial"/>
              </w:rPr>
            </w:pPr>
          </w:p>
          <w:p w14:paraId="66B58D47" w14:textId="77777777" w:rsidR="00BF2019" w:rsidRDefault="00BF2019" w:rsidP="00BF2019">
            <w:pPr>
              <w:rPr>
                <w:rFonts w:cs="Arial"/>
              </w:rPr>
            </w:pPr>
          </w:p>
          <w:p w14:paraId="04697F38" w14:textId="11B1A28C" w:rsidR="00BF2019" w:rsidRPr="0014704C" w:rsidRDefault="00BF2019" w:rsidP="00BF2019">
            <w:pPr>
              <w:rPr>
                <w:rFonts w:cs="Arial"/>
              </w:rPr>
            </w:pPr>
            <w:r w:rsidRPr="0014704C">
              <w:rPr>
                <w:rFonts w:cs="Arial"/>
              </w:rPr>
              <w:t>Education</w:t>
            </w:r>
          </w:p>
          <w:p w14:paraId="618E116C" w14:textId="77777777" w:rsidR="00BF2019" w:rsidRPr="0014704C" w:rsidRDefault="00BF2019" w:rsidP="00BF2019">
            <w:pPr>
              <w:rPr>
                <w:rFonts w:cs="Arial"/>
              </w:rPr>
            </w:pPr>
            <w:r w:rsidRPr="0014704C">
              <w:rPr>
                <w:rFonts w:cs="Arial"/>
              </w:rPr>
              <w:t>Communication</w:t>
            </w:r>
            <w:r>
              <w:rPr>
                <w:rFonts w:cs="Arial"/>
              </w:rPr>
              <w:t xml:space="preserve"> &amp; p</w:t>
            </w:r>
            <w:r w:rsidRPr="0014704C">
              <w:rPr>
                <w:rFonts w:cs="Arial"/>
              </w:rPr>
              <w:t>romotion</w:t>
            </w:r>
          </w:p>
          <w:p w14:paraId="223F485C" w14:textId="77777777" w:rsidR="00BF2019" w:rsidRPr="0014704C" w:rsidRDefault="00BF2019" w:rsidP="00BF2019">
            <w:pPr>
              <w:rPr>
                <w:rFonts w:cs="Arial"/>
              </w:rPr>
            </w:pPr>
          </w:p>
          <w:p w14:paraId="70C7A904" w14:textId="77777777" w:rsidR="00BF2019" w:rsidRDefault="00BF2019" w:rsidP="00BF2019">
            <w:pPr>
              <w:rPr>
                <w:rFonts w:cs="Arial"/>
              </w:rPr>
            </w:pPr>
          </w:p>
          <w:p w14:paraId="36ABF61D" w14:textId="77777777" w:rsidR="00BF2019" w:rsidRDefault="00BF2019" w:rsidP="00BF2019">
            <w:pPr>
              <w:rPr>
                <w:rFonts w:cs="Arial"/>
              </w:rPr>
            </w:pPr>
          </w:p>
          <w:p w14:paraId="7E0D9385" w14:textId="77777777" w:rsidR="00BF2019" w:rsidRDefault="00BF2019" w:rsidP="00BF2019">
            <w:pPr>
              <w:rPr>
                <w:rFonts w:cs="Arial"/>
              </w:rPr>
            </w:pPr>
          </w:p>
          <w:p w14:paraId="69E13F1D" w14:textId="77777777" w:rsidR="00BF2019" w:rsidRDefault="00BF2019" w:rsidP="00BF2019">
            <w:pPr>
              <w:rPr>
                <w:rFonts w:cs="Arial"/>
              </w:rPr>
            </w:pPr>
          </w:p>
          <w:p w14:paraId="013F27A9" w14:textId="77777777" w:rsidR="00BF2019" w:rsidRDefault="00BF2019" w:rsidP="00BF2019">
            <w:pPr>
              <w:rPr>
                <w:rFonts w:cs="Arial"/>
              </w:rPr>
            </w:pPr>
          </w:p>
          <w:p w14:paraId="6EE135FD" w14:textId="77777777" w:rsidR="00BF2019" w:rsidRDefault="00BF2019" w:rsidP="00BF2019">
            <w:pPr>
              <w:rPr>
                <w:rFonts w:cs="Arial"/>
              </w:rPr>
            </w:pPr>
          </w:p>
          <w:p w14:paraId="50E12292" w14:textId="77777777" w:rsidR="00BF2019" w:rsidRDefault="00BF2019" w:rsidP="00BF2019">
            <w:pPr>
              <w:rPr>
                <w:rFonts w:cs="Arial"/>
              </w:rPr>
            </w:pPr>
          </w:p>
          <w:p w14:paraId="67F82390" w14:textId="77777777" w:rsidR="00BF2019" w:rsidRDefault="00BF2019" w:rsidP="00BF2019">
            <w:pPr>
              <w:rPr>
                <w:rFonts w:cs="Arial"/>
              </w:rPr>
            </w:pPr>
          </w:p>
          <w:p w14:paraId="35793410" w14:textId="77777777" w:rsidR="00BF2019" w:rsidRDefault="00BF2019" w:rsidP="00BF2019">
            <w:pPr>
              <w:rPr>
                <w:rFonts w:cs="Arial"/>
              </w:rPr>
            </w:pPr>
          </w:p>
          <w:p w14:paraId="624D0DEA" w14:textId="77777777" w:rsidR="00B46DBE" w:rsidRDefault="00B46DBE" w:rsidP="00BF2019">
            <w:pPr>
              <w:pStyle w:val="Tabletext6pt"/>
              <w:rPr>
                <w:rFonts w:cs="Arial"/>
              </w:rPr>
            </w:pPr>
          </w:p>
          <w:p w14:paraId="5D9D1FAA" w14:textId="77777777" w:rsidR="00B46DBE" w:rsidRDefault="00B46DBE" w:rsidP="00BF2019">
            <w:pPr>
              <w:pStyle w:val="Tabletext6pt"/>
              <w:rPr>
                <w:rFonts w:cs="Arial"/>
              </w:rPr>
            </w:pPr>
          </w:p>
          <w:p w14:paraId="4C797C89" w14:textId="77777777" w:rsidR="00B46DBE" w:rsidRDefault="00B46DBE" w:rsidP="00BF2019">
            <w:pPr>
              <w:pStyle w:val="Tabletext6pt"/>
              <w:rPr>
                <w:rFonts w:cs="Arial"/>
              </w:rPr>
            </w:pPr>
          </w:p>
          <w:p w14:paraId="2984D7C3" w14:textId="77777777" w:rsidR="00B46DBE" w:rsidRDefault="00B46DBE" w:rsidP="00BF2019">
            <w:pPr>
              <w:pStyle w:val="Tabletext6pt"/>
              <w:rPr>
                <w:rFonts w:cs="Arial"/>
              </w:rPr>
            </w:pPr>
          </w:p>
          <w:p w14:paraId="2C76F60B" w14:textId="6BAB666A" w:rsidR="00BF2019" w:rsidRPr="002365B4" w:rsidRDefault="00BF2019" w:rsidP="00BF2019">
            <w:pPr>
              <w:pStyle w:val="Tabletext6pt"/>
            </w:pPr>
            <w:r w:rsidRPr="0014704C">
              <w:rPr>
                <w:rFonts w:cs="Arial"/>
              </w:rPr>
              <w:t>Participation</w:t>
            </w:r>
          </w:p>
        </w:tc>
        <w:tc>
          <w:tcPr>
            <w:tcW w:w="3755" w:type="dxa"/>
          </w:tcPr>
          <w:p w14:paraId="4C4F9FDF" w14:textId="77777777" w:rsidR="00BF2019" w:rsidRDefault="00BF2019" w:rsidP="00F810D6">
            <w:pPr>
              <w:pStyle w:val="Tabletext"/>
            </w:pPr>
            <w:r>
              <w:lastRenderedPageBreak/>
              <w:t>Blood Matters Advisory Committee (BMAC) – Conduct annual reviews of membership with Chair and Blood Pharmaceuticals Organ and Tissue Donation Program (BPOTDP)</w:t>
            </w:r>
          </w:p>
          <w:p w14:paraId="2EB5B3F4" w14:textId="42A66814" w:rsidR="00BF2019" w:rsidRDefault="00BF2019" w:rsidP="00F810D6">
            <w:pPr>
              <w:pStyle w:val="Tabletext"/>
            </w:pPr>
            <w:r>
              <w:t xml:space="preserve">Promote and facilitate education sessions/workshops  </w:t>
            </w:r>
          </w:p>
          <w:p w14:paraId="0BC55C34" w14:textId="77777777" w:rsidR="00BF2019" w:rsidRDefault="00BF2019" w:rsidP="00F810D6">
            <w:pPr>
              <w:pStyle w:val="Tabletext"/>
            </w:pPr>
            <w:r>
              <w:t>Conduct audits and publish results</w:t>
            </w:r>
          </w:p>
          <w:p w14:paraId="2D6EF216" w14:textId="7732F093" w:rsidR="00BF2019" w:rsidRDefault="00BF2019" w:rsidP="00F810D6">
            <w:pPr>
              <w:pStyle w:val="Tabletext"/>
            </w:pPr>
            <w:r>
              <w:t>Compile, review and promote audit tools on web</w:t>
            </w:r>
            <w:r w:rsidR="00F810D6">
              <w:t>pages</w:t>
            </w:r>
          </w:p>
          <w:p w14:paraId="1449FC81" w14:textId="77777777" w:rsidR="00BF2019" w:rsidRDefault="00BF2019" w:rsidP="00F810D6">
            <w:pPr>
              <w:pStyle w:val="Tabletext"/>
            </w:pPr>
            <w:r>
              <w:lastRenderedPageBreak/>
              <w:t>Collate and publish STIR annual reports and quarterly Bulletins</w:t>
            </w:r>
          </w:p>
          <w:p w14:paraId="7568916A" w14:textId="58078BAC" w:rsidR="00BF2019" w:rsidRDefault="00BF2019" w:rsidP="00F810D6">
            <w:pPr>
              <w:pStyle w:val="Tabletext"/>
            </w:pPr>
            <w:r>
              <w:t>Collate and communicate individualised health service</w:t>
            </w:r>
            <w:r w:rsidR="007572FB">
              <w:t xml:space="preserve"> STIR and audit</w:t>
            </w:r>
            <w:r>
              <w:t xml:space="preserve"> reports</w:t>
            </w:r>
          </w:p>
          <w:p w14:paraId="479F8452" w14:textId="77777777" w:rsidR="00BF2019" w:rsidRDefault="00BF2019" w:rsidP="00F810D6">
            <w:pPr>
              <w:pStyle w:val="Tabletext"/>
            </w:pPr>
            <w:r>
              <w:t xml:space="preserve">Facilitate </w:t>
            </w:r>
          </w:p>
          <w:p w14:paraId="4DA41E85" w14:textId="36719216" w:rsidR="00BF2019" w:rsidRDefault="00B46DBE" w:rsidP="00F810D6">
            <w:pPr>
              <w:pStyle w:val="Tablebullet1"/>
            </w:pPr>
            <w:r>
              <w:t>Blood Management/</w:t>
            </w:r>
            <w:r w:rsidR="00BF2019">
              <w:t>Transfusion</w:t>
            </w:r>
            <w:r>
              <w:t xml:space="preserve"> </w:t>
            </w:r>
            <w:r w:rsidR="00BF2019">
              <w:t>Nurse</w:t>
            </w:r>
            <w:r w:rsidR="007572FB">
              <w:t xml:space="preserve"> </w:t>
            </w:r>
            <w:r w:rsidR="00BF2019">
              <w:t>(</w:t>
            </w:r>
            <w:r>
              <w:t>BM</w:t>
            </w:r>
            <w:r w:rsidR="007572FB">
              <w:t>N</w:t>
            </w:r>
            <w:r>
              <w:t>/</w:t>
            </w:r>
            <w:r w:rsidR="00BF2019">
              <w:t>TN)/Transfusion Trainer (TT)/Transfusion Safety Officer (TSO) Forums</w:t>
            </w:r>
          </w:p>
          <w:p w14:paraId="2C33C144" w14:textId="77777777" w:rsidR="00BF2019" w:rsidRDefault="00BF2019" w:rsidP="00F810D6">
            <w:pPr>
              <w:pStyle w:val="Tablebullet1"/>
            </w:pPr>
            <w:r>
              <w:t>Blood management forums for scientists</w:t>
            </w:r>
          </w:p>
          <w:p w14:paraId="588A0539" w14:textId="77777777" w:rsidR="00BF2019" w:rsidRDefault="00BF2019" w:rsidP="00F810D6">
            <w:pPr>
              <w:pStyle w:val="Tablebullet1"/>
            </w:pPr>
            <w:r>
              <w:t xml:space="preserve">Forums for SCIg community of practice </w:t>
            </w:r>
          </w:p>
          <w:p w14:paraId="34CE1C73" w14:textId="77777777" w:rsidR="00BF2019" w:rsidRDefault="00BF2019" w:rsidP="00F810D6">
            <w:pPr>
              <w:pStyle w:val="Tabletext"/>
            </w:pPr>
            <w:r>
              <w:t>Attend and participate in meetings/conferences</w:t>
            </w:r>
          </w:p>
          <w:p w14:paraId="7DEDF219" w14:textId="4ABF1366" w:rsidR="00BF2019" w:rsidRDefault="00BF2019" w:rsidP="00F810D6">
            <w:pPr>
              <w:pStyle w:val="Tabletext"/>
            </w:pPr>
            <w:r>
              <w:t>Continue collaboration with internal and external partners</w:t>
            </w:r>
          </w:p>
          <w:p w14:paraId="2C6DAB4F" w14:textId="58E47327" w:rsidR="00BF2019" w:rsidRDefault="00BF2019" w:rsidP="00F810D6">
            <w:pPr>
              <w:pStyle w:val="Tabletext"/>
            </w:pPr>
            <w:r>
              <w:t xml:space="preserve">Continue to promote the program and role of </w:t>
            </w:r>
            <w:r w:rsidR="00F810D6">
              <w:t>BMN/</w:t>
            </w:r>
            <w:r>
              <w:t xml:space="preserve">TN/TT/TSO through </w:t>
            </w:r>
          </w:p>
          <w:p w14:paraId="0651C3DA" w14:textId="77777777" w:rsidR="00BF2019" w:rsidRDefault="00BF2019" w:rsidP="00F810D6">
            <w:pPr>
              <w:pStyle w:val="Tablebullet1"/>
            </w:pPr>
            <w:r>
              <w:t xml:space="preserve">Mentoring </w:t>
            </w:r>
          </w:p>
          <w:p w14:paraId="09D346FC" w14:textId="77777777" w:rsidR="00BF2019" w:rsidRDefault="00BF2019" w:rsidP="00F810D6">
            <w:pPr>
              <w:pStyle w:val="Tablebullet1"/>
            </w:pPr>
            <w:r>
              <w:t>Consultation</w:t>
            </w:r>
          </w:p>
          <w:p w14:paraId="0956DB49" w14:textId="77777777" w:rsidR="00BF2019" w:rsidRDefault="00BF2019" w:rsidP="00F810D6">
            <w:pPr>
              <w:pStyle w:val="Tablebullet1"/>
            </w:pPr>
            <w:r>
              <w:t>Communication with stakeholders</w:t>
            </w:r>
          </w:p>
          <w:p w14:paraId="642739A9" w14:textId="0A5035C5" w:rsidR="00BF2019" w:rsidRDefault="00BF2019" w:rsidP="00F810D6">
            <w:pPr>
              <w:pStyle w:val="Tablebullet1"/>
            </w:pPr>
            <w:r>
              <w:t xml:space="preserve">Ongoing interaction with and support of </w:t>
            </w:r>
            <w:r w:rsidR="00F810D6">
              <w:t>BMN/</w:t>
            </w:r>
            <w:r>
              <w:t xml:space="preserve">TN/TT/TSO network </w:t>
            </w:r>
          </w:p>
          <w:p w14:paraId="6AC9BF43" w14:textId="61FF4DB0" w:rsidR="00BF2019" w:rsidRDefault="007572FB" w:rsidP="00F810D6">
            <w:pPr>
              <w:pStyle w:val="Tabletext"/>
            </w:pPr>
            <w:r>
              <w:t>Participate in relevant s</w:t>
            </w:r>
            <w:r w:rsidR="00BF2019">
              <w:t xml:space="preserve">ocieties/colleges such as Australian and New Zealand Society of Blood Transfusion, International Society of </w:t>
            </w:r>
            <w:r w:rsidR="00BF2019">
              <w:lastRenderedPageBreak/>
              <w:t>Blood Transfusion (ISBT) and others as appropriate</w:t>
            </w:r>
          </w:p>
        </w:tc>
        <w:tc>
          <w:tcPr>
            <w:tcW w:w="3756" w:type="dxa"/>
          </w:tcPr>
          <w:p w14:paraId="58BB612E" w14:textId="77777777" w:rsidR="00BF2019" w:rsidRDefault="00BF2019" w:rsidP="007572FB">
            <w:pPr>
              <w:pStyle w:val="Tablebullet1"/>
              <w:numPr>
                <w:ilvl w:val="0"/>
                <w:numId w:val="0"/>
              </w:numPr>
              <w:ind w:left="227"/>
            </w:pPr>
          </w:p>
        </w:tc>
      </w:tr>
      <w:tr w:rsidR="00BF2019" w14:paraId="0AABDC7F" w14:textId="77777777" w:rsidTr="00CA3353">
        <w:trPr>
          <w:trHeight w:val="756"/>
        </w:trPr>
        <w:tc>
          <w:tcPr>
            <w:tcW w:w="3755" w:type="dxa"/>
          </w:tcPr>
          <w:p w14:paraId="08F70F76" w14:textId="622FE967" w:rsidR="00B46DBE" w:rsidRPr="0014704C" w:rsidRDefault="003C387C" w:rsidP="00B46DB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</w:t>
            </w:r>
            <w:r w:rsidR="00B46DBE" w:rsidRPr="0014704C">
              <w:rPr>
                <w:rFonts w:cs="Arial"/>
              </w:rPr>
              <w:t xml:space="preserve">nalyse data and disseminate findings across the sector to raise awareness, influence practice, </w:t>
            </w:r>
            <w:r w:rsidR="007572FB" w:rsidRPr="0014704C">
              <w:rPr>
                <w:rFonts w:cs="Arial"/>
              </w:rPr>
              <w:t>promote efficiencies</w:t>
            </w:r>
            <w:r w:rsidR="00C65758">
              <w:rPr>
                <w:rFonts w:cs="Arial"/>
              </w:rPr>
              <w:t xml:space="preserve"> and equity </w:t>
            </w:r>
            <w:r w:rsidR="005144E7">
              <w:rPr>
                <w:rFonts w:cs="Arial"/>
              </w:rPr>
              <w:t xml:space="preserve">of </w:t>
            </w:r>
            <w:r w:rsidR="00C65758">
              <w:rPr>
                <w:rFonts w:cs="Arial"/>
              </w:rPr>
              <w:t>care</w:t>
            </w:r>
            <w:r w:rsidR="00B46DBE" w:rsidRPr="0014704C">
              <w:rPr>
                <w:rFonts w:cs="Arial"/>
              </w:rPr>
              <w:t xml:space="preserve">, and provide value </w:t>
            </w:r>
          </w:p>
          <w:p w14:paraId="33B2A6AD" w14:textId="77777777" w:rsidR="00BF2019" w:rsidRPr="002365B4" w:rsidRDefault="00BF2019" w:rsidP="00BF2019">
            <w:pPr>
              <w:pStyle w:val="Tabletext6pt"/>
            </w:pPr>
          </w:p>
        </w:tc>
        <w:tc>
          <w:tcPr>
            <w:tcW w:w="3755" w:type="dxa"/>
          </w:tcPr>
          <w:p w14:paraId="5564936D" w14:textId="1A5451F3" w:rsidR="00B46DBE" w:rsidRPr="0014704C" w:rsidRDefault="00B46DBE" w:rsidP="00B46DBE">
            <w:pPr>
              <w:rPr>
                <w:rFonts w:cs="Arial"/>
              </w:rPr>
            </w:pPr>
            <w:r w:rsidRPr="0014704C">
              <w:rPr>
                <w:rFonts w:cs="Arial"/>
              </w:rPr>
              <w:t>Data collection/analysis</w:t>
            </w:r>
          </w:p>
          <w:p w14:paraId="0E788D73" w14:textId="77777777" w:rsidR="00B46DBE" w:rsidRPr="0014704C" w:rsidRDefault="00B46DBE" w:rsidP="00B46DBE">
            <w:pPr>
              <w:rPr>
                <w:rFonts w:cs="Arial"/>
              </w:rPr>
            </w:pPr>
          </w:p>
          <w:p w14:paraId="41D727E1" w14:textId="77777777" w:rsidR="00B46DBE" w:rsidRPr="0014704C" w:rsidRDefault="00B46DBE" w:rsidP="00B46DBE">
            <w:pPr>
              <w:rPr>
                <w:rFonts w:cs="Arial"/>
              </w:rPr>
            </w:pPr>
            <w:r w:rsidRPr="0014704C">
              <w:rPr>
                <w:rFonts w:cs="Arial"/>
              </w:rPr>
              <w:t>Communication</w:t>
            </w:r>
          </w:p>
          <w:p w14:paraId="7621B7EE" w14:textId="77777777" w:rsidR="00B46DBE" w:rsidRPr="0014704C" w:rsidRDefault="00B46DBE" w:rsidP="00B46DBE">
            <w:pPr>
              <w:rPr>
                <w:rFonts w:cs="Arial"/>
              </w:rPr>
            </w:pPr>
          </w:p>
          <w:p w14:paraId="67B10087" w14:textId="069A1376" w:rsidR="00BF2019" w:rsidRPr="002365B4" w:rsidRDefault="00B46DBE" w:rsidP="00B46DBE">
            <w:pPr>
              <w:pStyle w:val="Tabletext6pt"/>
            </w:pPr>
            <w:r w:rsidRPr="0014704C">
              <w:rPr>
                <w:rFonts w:cs="Arial"/>
              </w:rPr>
              <w:t>Advice/support/influence</w:t>
            </w:r>
          </w:p>
        </w:tc>
        <w:tc>
          <w:tcPr>
            <w:tcW w:w="3755" w:type="dxa"/>
          </w:tcPr>
          <w:p w14:paraId="7ABB3BA9" w14:textId="77777777" w:rsidR="00B46DBE" w:rsidRDefault="00B46DBE" w:rsidP="00F810D6">
            <w:pPr>
              <w:pStyle w:val="Tabletext"/>
            </w:pPr>
            <w:r>
              <w:t>Develop/promote data collection/audit that responds to sector requirements</w:t>
            </w:r>
          </w:p>
          <w:p w14:paraId="7BECC7D7" w14:textId="77777777" w:rsidR="00B46DBE" w:rsidRDefault="00B46DBE" w:rsidP="00F810D6">
            <w:pPr>
              <w:pStyle w:val="Tabletext"/>
            </w:pPr>
            <w:r>
              <w:t>Use data to inform strategies and activities for safety, quality, blood management and innovation</w:t>
            </w:r>
          </w:p>
          <w:p w14:paraId="42CF204B" w14:textId="35BB3C6B" w:rsidR="00B46DBE" w:rsidRDefault="005144E7" w:rsidP="00F810D6">
            <w:pPr>
              <w:pStyle w:val="Tabletext"/>
            </w:pPr>
            <w:r>
              <w:t xml:space="preserve">Collect and analyse </w:t>
            </w:r>
            <w:r w:rsidR="00B46DBE">
              <w:t xml:space="preserve">STIR data and </w:t>
            </w:r>
            <w:r>
              <w:t xml:space="preserve">publish </w:t>
            </w:r>
            <w:r w:rsidR="00B46DBE">
              <w:t>reports (annual and six monthly)</w:t>
            </w:r>
          </w:p>
          <w:p w14:paraId="52F9AF53" w14:textId="77777777" w:rsidR="00BF2019" w:rsidRDefault="00B46DBE" w:rsidP="00F810D6">
            <w:pPr>
              <w:pStyle w:val="Tabletext"/>
            </w:pPr>
            <w:r>
              <w:t>Conduct clinical audits</w:t>
            </w:r>
            <w:r w:rsidR="007572FB">
              <w:t xml:space="preserve"> as decided with BMAC</w:t>
            </w:r>
          </w:p>
          <w:p w14:paraId="0C6E3867" w14:textId="1886CFC6" w:rsidR="00C65758" w:rsidRDefault="00C65758" w:rsidP="00F810D6">
            <w:pPr>
              <w:pStyle w:val="Tabletext"/>
            </w:pPr>
            <w:r>
              <w:t xml:space="preserve">Support and promote the implementation of subcutaneous immunoglobulin (SCIg) </w:t>
            </w:r>
            <w:r w:rsidR="00D24872">
              <w:t>access programs</w:t>
            </w:r>
          </w:p>
        </w:tc>
        <w:tc>
          <w:tcPr>
            <w:tcW w:w="3756" w:type="dxa"/>
          </w:tcPr>
          <w:p w14:paraId="7B767678" w14:textId="77777777" w:rsidR="00BF2019" w:rsidRDefault="00BF2019" w:rsidP="007572FB">
            <w:pPr>
              <w:pStyle w:val="Tablebullet1"/>
              <w:numPr>
                <w:ilvl w:val="0"/>
                <w:numId w:val="0"/>
              </w:numPr>
              <w:ind w:left="227" w:hanging="227"/>
            </w:pPr>
          </w:p>
        </w:tc>
      </w:tr>
      <w:tr w:rsidR="00B46DBE" w14:paraId="6F78B498" w14:textId="77777777" w:rsidTr="00CA3353">
        <w:trPr>
          <w:trHeight w:val="756"/>
        </w:trPr>
        <w:tc>
          <w:tcPr>
            <w:tcW w:w="3755" w:type="dxa"/>
          </w:tcPr>
          <w:p w14:paraId="6797022C" w14:textId="3D19F1F6" w:rsidR="00B46DBE" w:rsidRPr="002365B4" w:rsidRDefault="00B46DBE" w:rsidP="00B46DBE">
            <w:pPr>
              <w:pStyle w:val="Tabletext6pt"/>
            </w:pPr>
            <w:r w:rsidRPr="00B46DBE">
              <w:t xml:space="preserve">Provide and promote expert knowledge sharing and collaboration across the sector, including specific initiatives, </w:t>
            </w:r>
            <w:proofErr w:type="gramStart"/>
            <w:r w:rsidRPr="00B46DBE">
              <w:t>tools</w:t>
            </w:r>
            <w:proofErr w:type="gramEnd"/>
            <w:r w:rsidRPr="00B46DBE">
              <w:t xml:space="preserve"> and specialised advice</w:t>
            </w:r>
          </w:p>
        </w:tc>
        <w:tc>
          <w:tcPr>
            <w:tcW w:w="3755" w:type="dxa"/>
          </w:tcPr>
          <w:p w14:paraId="360AC3FB" w14:textId="77777777" w:rsidR="00B46DBE" w:rsidRPr="0014704C" w:rsidRDefault="00B46DBE" w:rsidP="00B46DBE">
            <w:pPr>
              <w:rPr>
                <w:rFonts w:cs="Arial"/>
              </w:rPr>
            </w:pPr>
            <w:r w:rsidRPr="0014704C">
              <w:rPr>
                <w:rFonts w:cs="Arial"/>
              </w:rPr>
              <w:t>Collaboration</w:t>
            </w:r>
          </w:p>
          <w:p w14:paraId="560D3452" w14:textId="77777777" w:rsidR="00B46DBE" w:rsidRPr="0014704C" w:rsidRDefault="00B46DBE" w:rsidP="00B46DBE">
            <w:pPr>
              <w:rPr>
                <w:rFonts w:cs="Arial"/>
              </w:rPr>
            </w:pPr>
          </w:p>
          <w:p w14:paraId="539D1A36" w14:textId="77777777" w:rsidR="00B46DBE" w:rsidRPr="0014704C" w:rsidRDefault="00B46DBE" w:rsidP="00B46DBE">
            <w:pPr>
              <w:rPr>
                <w:rFonts w:cs="Arial"/>
              </w:rPr>
            </w:pPr>
            <w:r w:rsidRPr="0014704C">
              <w:rPr>
                <w:rFonts w:cs="Arial"/>
              </w:rPr>
              <w:t>Communication</w:t>
            </w:r>
          </w:p>
          <w:p w14:paraId="4D035D16" w14:textId="77777777" w:rsidR="00B46DBE" w:rsidRPr="0014704C" w:rsidRDefault="00B46DBE" w:rsidP="00B46DBE">
            <w:pPr>
              <w:rPr>
                <w:rFonts w:cs="Arial"/>
              </w:rPr>
            </w:pPr>
          </w:p>
          <w:p w14:paraId="1516FC2C" w14:textId="77777777" w:rsidR="00B46DBE" w:rsidRDefault="00B46DBE" w:rsidP="00B46DBE">
            <w:pPr>
              <w:rPr>
                <w:rFonts w:cs="Arial"/>
              </w:rPr>
            </w:pPr>
          </w:p>
          <w:p w14:paraId="35CBBE84" w14:textId="77777777" w:rsidR="005144E7" w:rsidRDefault="005144E7" w:rsidP="00B46DBE">
            <w:pPr>
              <w:pStyle w:val="Tabletext6pt"/>
              <w:rPr>
                <w:rFonts w:cs="Arial"/>
              </w:rPr>
            </w:pPr>
          </w:p>
          <w:p w14:paraId="27E1433A" w14:textId="5F78BBDC" w:rsidR="00B46DBE" w:rsidRPr="002365B4" w:rsidRDefault="00B46DBE" w:rsidP="00B46DBE">
            <w:pPr>
              <w:pStyle w:val="Tabletext6pt"/>
            </w:pPr>
            <w:r w:rsidRPr="0014704C">
              <w:rPr>
                <w:rFonts w:cs="Arial"/>
              </w:rPr>
              <w:t>Feedback/advice/support/influence</w:t>
            </w:r>
          </w:p>
        </w:tc>
        <w:tc>
          <w:tcPr>
            <w:tcW w:w="3755" w:type="dxa"/>
          </w:tcPr>
          <w:p w14:paraId="08C59050" w14:textId="06DD9B8D" w:rsidR="00B46DBE" w:rsidRDefault="00B46DBE" w:rsidP="00F810D6">
            <w:pPr>
              <w:pStyle w:val="Tabletext"/>
            </w:pPr>
            <w:r>
              <w:t>Maintain and update Blood Matters webpages</w:t>
            </w:r>
            <w:r w:rsidR="00D24872">
              <w:t>:</w:t>
            </w:r>
          </w:p>
          <w:p w14:paraId="1E3E0EB4" w14:textId="77777777" w:rsidR="00B46DBE" w:rsidRDefault="00B46DBE" w:rsidP="00F810D6">
            <w:pPr>
              <w:pStyle w:val="Tablebullet1"/>
            </w:pPr>
            <w:r>
              <w:t>tools and resources available to assist health services comply with standards/guidelines</w:t>
            </w:r>
          </w:p>
          <w:p w14:paraId="71008AEB" w14:textId="77777777" w:rsidR="005144E7" w:rsidRDefault="00B46DBE" w:rsidP="00F810D6">
            <w:pPr>
              <w:pStyle w:val="Tablebullet1"/>
            </w:pPr>
            <w:r>
              <w:t>repository for reports and information to assist practice</w:t>
            </w:r>
          </w:p>
          <w:p w14:paraId="5DDB088F" w14:textId="76923925" w:rsidR="00B46DBE" w:rsidRDefault="005144E7" w:rsidP="00F810D6">
            <w:pPr>
              <w:pStyle w:val="Tablebullet1"/>
            </w:pPr>
            <w:r>
              <w:t>up to date network contact list</w:t>
            </w:r>
            <w:r w:rsidR="00D24872">
              <w:t>.</w:t>
            </w:r>
            <w:r w:rsidR="00B46DBE">
              <w:t xml:space="preserve"> </w:t>
            </w:r>
          </w:p>
          <w:p w14:paraId="36E4449F" w14:textId="77777777" w:rsidR="00B46DBE" w:rsidRDefault="00B46DBE" w:rsidP="00B46DBE">
            <w:pPr>
              <w:pStyle w:val="Tabletext"/>
            </w:pPr>
            <w:r>
              <w:t>Provide feedback to government through:</w:t>
            </w:r>
          </w:p>
          <w:p w14:paraId="6E294619" w14:textId="0C812BBF" w:rsidR="00B46DBE" w:rsidRPr="00B46DBE" w:rsidRDefault="00B46DBE" w:rsidP="00B46DBE">
            <w:pPr>
              <w:pStyle w:val="Tablebullet1"/>
            </w:pPr>
            <w:r w:rsidRPr="00B46DBE">
              <w:t>Jurisdictional Blood Committee (JBC) – document review and feedback, membership on working part</w:t>
            </w:r>
            <w:r>
              <w:t>ies as required</w:t>
            </w:r>
            <w:r w:rsidR="007572FB">
              <w:t>/requested</w:t>
            </w:r>
          </w:p>
          <w:p w14:paraId="40733214" w14:textId="481643AB" w:rsidR="00B46DBE" w:rsidRPr="00B46DBE" w:rsidRDefault="00B46DBE" w:rsidP="00F810D6">
            <w:pPr>
              <w:pStyle w:val="Tabletext"/>
            </w:pPr>
            <w:r w:rsidRPr="00B46DBE">
              <w:lastRenderedPageBreak/>
              <w:t>National Blood Authority (NBA)</w:t>
            </w:r>
            <w:r>
              <w:t xml:space="preserve"> </w:t>
            </w:r>
            <w:r w:rsidRPr="00B46DBE">
              <w:t>committee</w:t>
            </w:r>
            <w:r>
              <w:t xml:space="preserve"> </w:t>
            </w:r>
            <w:r w:rsidRPr="00B46DBE">
              <w:t>membership/consultation and feedback</w:t>
            </w:r>
          </w:p>
          <w:p w14:paraId="1E5512FE" w14:textId="77777777" w:rsidR="00B46DBE" w:rsidRPr="00B46DBE" w:rsidRDefault="00B46DBE" w:rsidP="00F810D6">
            <w:pPr>
              <w:pStyle w:val="Tablebullet1"/>
            </w:pPr>
            <w:r w:rsidRPr="00B46DBE">
              <w:t xml:space="preserve">National </w:t>
            </w:r>
            <w:proofErr w:type="spellStart"/>
            <w:r w:rsidRPr="00B46DBE">
              <w:t>Haemovigilance</w:t>
            </w:r>
            <w:proofErr w:type="spellEnd"/>
            <w:r w:rsidRPr="00B46DBE">
              <w:t xml:space="preserve"> Committee </w:t>
            </w:r>
          </w:p>
          <w:p w14:paraId="40C65910" w14:textId="77777777" w:rsidR="00B46DBE" w:rsidRPr="00B46DBE" w:rsidRDefault="00B46DBE" w:rsidP="00F810D6">
            <w:pPr>
              <w:pStyle w:val="Tablebullet1"/>
            </w:pPr>
            <w:r w:rsidRPr="00B46DBE">
              <w:t xml:space="preserve">National Patient Blood Management Advisory Committee  </w:t>
            </w:r>
          </w:p>
          <w:p w14:paraId="14539CE6" w14:textId="77777777" w:rsidR="00B46DBE" w:rsidRPr="00B46DBE" w:rsidRDefault="00B46DBE" w:rsidP="00F810D6">
            <w:pPr>
              <w:pStyle w:val="Tablebullet1"/>
            </w:pPr>
            <w:proofErr w:type="spellStart"/>
            <w:r w:rsidRPr="00B46DBE">
              <w:t>BloodSafe</w:t>
            </w:r>
            <w:proofErr w:type="spellEnd"/>
            <w:r w:rsidRPr="00B46DBE">
              <w:t xml:space="preserve"> eLearning Australia Reference group  </w:t>
            </w:r>
          </w:p>
          <w:p w14:paraId="66B6CE1D" w14:textId="2009BF31" w:rsidR="00B46DBE" w:rsidRPr="00B46DBE" w:rsidRDefault="00B46DBE" w:rsidP="00F810D6">
            <w:pPr>
              <w:pStyle w:val="Tablebullet1"/>
            </w:pPr>
            <w:r w:rsidRPr="00B46DBE">
              <w:t>Department of Health (BPOTDP</w:t>
            </w:r>
            <w:r>
              <w:t>)</w:t>
            </w:r>
            <w:r w:rsidRPr="00B46DBE">
              <w:t>, Victorian Health Incident Monitoring system (VHIMS), Safer Care Victoria (SCV) and other government departments as required</w:t>
            </w:r>
            <w:r w:rsidR="00D24872">
              <w:t>.</w:t>
            </w:r>
          </w:p>
          <w:p w14:paraId="42DC66A1" w14:textId="236C7EB5" w:rsidR="00B46DBE" w:rsidRDefault="00B46DBE" w:rsidP="00F810D6">
            <w:pPr>
              <w:pStyle w:val="Tabletext"/>
            </w:pPr>
            <w:r>
              <w:t>Promote and expand Lifeblood</w:t>
            </w:r>
            <w:r w:rsidR="00F810D6">
              <w:t xml:space="preserve"> </w:t>
            </w:r>
            <w:r>
              <w:t xml:space="preserve">relationships:  </w:t>
            </w:r>
          </w:p>
          <w:p w14:paraId="1C59F752" w14:textId="77777777" w:rsidR="00B46DBE" w:rsidRDefault="00B46DBE" w:rsidP="00B46DBE">
            <w:pPr>
              <w:pStyle w:val="Tablebullet1"/>
            </w:pPr>
            <w:r>
              <w:t>Transfusion Medicine Services (including registrars)</w:t>
            </w:r>
          </w:p>
          <w:p w14:paraId="4271CD8B" w14:textId="0EC0E18C" w:rsidR="00B46DBE" w:rsidRDefault="00F810D6" w:rsidP="00B46DBE">
            <w:pPr>
              <w:pStyle w:val="Tablebullet1"/>
            </w:pPr>
            <w:r>
              <w:t>Pathology and Clinical Governance</w:t>
            </w:r>
          </w:p>
          <w:p w14:paraId="22E735A6" w14:textId="77777777" w:rsidR="00B46DBE" w:rsidRDefault="00B46DBE" w:rsidP="00B46DBE">
            <w:pPr>
              <w:pStyle w:val="Tablebullet1"/>
            </w:pPr>
            <w:r>
              <w:t>Marketing</w:t>
            </w:r>
          </w:p>
          <w:p w14:paraId="1B01E737" w14:textId="30F89072" w:rsidR="00B46DBE" w:rsidRDefault="00B46DBE" w:rsidP="00B46DBE">
            <w:pPr>
              <w:pStyle w:val="Tablebullet1"/>
            </w:pPr>
            <w:r>
              <w:t xml:space="preserve">Other Lifeblood </w:t>
            </w:r>
            <w:r w:rsidR="00F810D6">
              <w:t>business units</w:t>
            </w:r>
            <w:r w:rsidR="00D24872">
              <w:t>.</w:t>
            </w:r>
          </w:p>
          <w:p w14:paraId="053E0703" w14:textId="77777777" w:rsidR="00B46DBE" w:rsidRDefault="00B46DBE" w:rsidP="00F810D6">
            <w:pPr>
              <w:pStyle w:val="Tabletext"/>
            </w:pPr>
            <w:r>
              <w:t xml:space="preserve">Continue collaboration with the private sector </w:t>
            </w:r>
          </w:p>
          <w:p w14:paraId="379FB563" w14:textId="2CF2230C" w:rsidR="00B46DBE" w:rsidRDefault="00B46DBE" w:rsidP="00F810D6">
            <w:pPr>
              <w:pStyle w:val="Tabletext"/>
            </w:pPr>
            <w:r>
              <w:t xml:space="preserve">Continue interactions with Victorian Blood User Group – report </w:t>
            </w:r>
            <w:r w:rsidR="007572FB">
              <w:t xml:space="preserve">and provide </w:t>
            </w:r>
            <w:r>
              <w:t>feedback</w:t>
            </w:r>
            <w:r w:rsidR="007572FB">
              <w:t xml:space="preserve"> on:</w:t>
            </w:r>
          </w:p>
          <w:p w14:paraId="2ED084E6" w14:textId="4ACA307E" w:rsidR="00B46DBE" w:rsidRDefault="007572FB" w:rsidP="007572FB">
            <w:pPr>
              <w:pStyle w:val="Tablebullet1"/>
            </w:pPr>
            <w:r>
              <w:t>Program activities such as education, a</w:t>
            </w:r>
            <w:r w:rsidR="00B46DBE">
              <w:t>udit report</w:t>
            </w:r>
            <w:r w:rsidR="00F810D6">
              <w:t>s</w:t>
            </w:r>
            <w:r w:rsidR="00B46DBE">
              <w:t xml:space="preserve"> and recommendation</w:t>
            </w:r>
            <w:r w:rsidR="00F810D6">
              <w:t>s</w:t>
            </w:r>
            <w:r>
              <w:t>, STIR</w:t>
            </w:r>
            <w:r w:rsidR="00B46DBE">
              <w:t xml:space="preserve"> reporting</w:t>
            </w:r>
            <w:r>
              <w:t xml:space="preserve">, </w:t>
            </w:r>
            <w:r>
              <w:lastRenderedPageBreak/>
              <w:t>sector/product/practice changes and w</w:t>
            </w:r>
            <w:r w:rsidR="00B46DBE">
              <w:t>eb</w:t>
            </w:r>
            <w:r w:rsidR="00F810D6">
              <w:t>page updates</w:t>
            </w:r>
            <w:r w:rsidR="00D24872">
              <w:t>.</w:t>
            </w:r>
          </w:p>
          <w:p w14:paraId="3C21C3DD" w14:textId="60374213" w:rsidR="00B46DBE" w:rsidRPr="00924D74" w:rsidRDefault="00B46DBE" w:rsidP="00F810D6">
            <w:pPr>
              <w:pStyle w:val="Tabletext"/>
            </w:pPr>
            <w:r>
              <w:t xml:space="preserve">Consultation as requested by and to JBC, NBA, </w:t>
            </w:r>
            <w:proofErr w:type="gramStart"/>
            <w:r>
              <w:t>colleges</w:t>
            </w:r>
            <w:proofErr w:type="gramEnd"/>
            <w:r>
              <w:t xml:space="preserve"> and societies</w:t>
            </w:r>
            <w:r w:rsidR="007572FB">
              <w:t>.</w:t>
            </w:r>
            <w:r>
              <w:t xml:space="preserve"> </w:t>
            </w:r>
          </w:p>
        </w:tc>
        <w:tc>
          <w:tcPr>
            <w:tcW w:w="3756" w:type="dxa"/>
          </w:tcPr>
          <w:p w14:paraId="6FF39A70" w14:textId="67356509" w:rsidR="00B46DBE" w:rsidRPr="00924D74" w:rsidRDefault="00B46DBE" w:rsidP="007572FB">
            <w:pPr>
              <w:pStyle w:val="Tablebullet2"/>
              <w:numPr>
                <w:ilvl w:val="0"/>
                <w:numId w:val="0"/>
              </w:numPr>
            </w:pPr>
          </w:p>
        </w:tc>
      </w:tr>
      <w:bookmarkEnd w:id="0"/>
    </w:tbl>
    <w:p w14:paraId="3D25F6FE" w14:textId="77777777" w:rsidR="00F32368" w:rsidRPr="00F32368" w:rsidRDefault="00F32368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5163"/>
      </w:tblGrid>
      <w:tr w:rsidR="0055119B" w14:paraId="3B32B690" w14:textId="77777777" w:rsidTr="00495B4F">
        <w:tc>
          <w:tcPr>
            <w:tcW w:w="15163" w:type="dxa"/>
          </w:tcPr>
          <w:p w14:paraId="74813DC5" w14:textId="12DBC92E" w:rsidR="0055119B" w:rsidRPr="0055119B" w:rsidRDefault="0055119B" w:rsidP="0055119B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EF4DE6">
              <w:rPr>
                <w:color w:val="004C97"/>
              </w:rPr>
              <w:t>03 9694 0102</w:t>
            </w:r>
            <w:r w:rsidRPr="0055119B">
              <w:t xml:space="preserve">, using the National Relay Service 13 36 77 if required, or email </w:t>
            </w:r>
            <w:hyperlink r:id="rId20" w:history="1">
              <w:r w:rsidR="00EF4DE6" w:rsidRPr="00FD25A7">
                <w:rPr>
                  <w:rStyle w:val="Hyperlink"/>
                </w:rPr>
                <w:t>bloodmatters@redcrossblood.org.au</w:t>
              </w:r>
            </w:hyperlink>
            <w:r w:rsidR="00EF4DE6">
              <w:t xml:space="preserve">  </w:t>
            </w:r>
            <w:r w:rsidRPr="0055119B">
              <w:t>&lt;</w:t>
            </w:r>
            <w:hyperlink r:id="rId21" w:history="1">
              <w:r w:rsidR="00EF4DE6" w:rsidRPr="00FD25A7">
                <w:rPr>
                  <w:rStyle w:val="Hyperlink"/>
                </w:rPr>
                <w:t>bloodmatters@redcrossblood.org.au</w:t>
              </w:r>
            </w:hyperlink>
            <w:r w:rsidRPr="0055119B">
              <w:t>&gt;</w:t>
            </w:r>
          </w:p>
          <w:p w14:paraId="1D2BA40E" w14:textId="77777777" w:rsidR="00FD2A22" w:rsidRDefault="0055119B" w:rsidP="00C975C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E417FBC" w14:textId="3E7DFA59" w:rsidR="00FD2A22" w:rsidRDefault="0055119B" w:rsidP="00C975C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37447A">
              <w:t>Health</w:t>
            </w:r>
            <w:r w:rsidRPr="0055119B">
              <w:t xml:space="preserve">, </w:t>
            </w:r>
            <w:r w:rsidR="00EF4DE6">
              <w:rPr>
                <w:color w:val="004C97"/>
              </w:rPr>
              <w:t>May 2023</w:t>
            </w:r>
            <w:r w:rsidRPr="0055119B">
              <w:t>.</w:t>
            </w:r>
            <w:bookmarkStart w:id="2" w:name="_Hlk62746129"/>
          </w:p>
          <w:p w14:paraId="65217F05" w14:textId="77777777" w:rsidR="00CA77E4" w:rsidRDefault="00CA77E4" w:rsidP="00C975CA">
            <w:pPr>
              <w:pStyle w:val="Imprint"/>
            </w:pPr>
            <w:r w:rsidRPr="00CA77E4">
              <w:rPr>
                <w:b/>
                <w:bCs/>
              </w:rPr>
              <w:t xml:space="preserve">ISBN </w:t>
            </w:r>
            <w:r w:rsidRPr="00CA77E4">
              <w:t xml:space="preserve">978-1-76131-147-5 </w:t>
            </w:r>
            <w:r w:rsidRPr="00CA77E4">
              <w:rPr>
                <w:b/>
                <w:bCs/>
              </w:rPr>
              <w:t>(pdf/online/MS word)</w:t>
            </w:r>
            <w:r w:rsidRPr="00CA77E4">
              <w:t xml:space="preserve"> </w:t>
            </w:r>
          </w:p>
          <w:p w14:paraId="0AD8D366" w14:textId="21235FDE" w:rsidR="0055119B" w:rsidRDefault="0055119B" w:rsidP="00C975CA">
            <w:pPr>
              <w:pStyle w:val="Imprint"/>
            </w:pPr>
            <w:r w:rsidRPr="0055119B">
              <w:t xml:space="preserve">Available at </w:t>
            </w:r>
            <w:hyperlink r:id="rId22" w:history="1">
              <w:r w:rsidR="00EF4DE6" w:rsidRPr="00EF4DE6">
                <w:rPr>
                  <w:rFonts w:eastAsia="Times New Roman"/>
                  <w:color w:val="0000FF"/>
                  <w:sz w:val="21"/>
                  <w:u w:val="single"/>
                </w:rPr>
                <w:t>Blood Matters Program (health.vic.gov.au)</w:t>
              </w:r>
            </w:hyperlink>
            <w:r w:rsidRPr="0055119B">
              <w:t>&lt;</w:t>
            </w:r>
            <w:r w:rsidR="00EF4DE6">
              <w:t xml:space="preserve"> </w:t>
            </w:r>
            <w:r w:rsidR="00EF4DE6" w:rsidRPr="00EF4DE6">
              <w:rPr>
                <w:color w:val="004C97"/>
              </w:rPr>
              <w:t>https://www.health.vic.gov.au/patient-care/blood-matters-program</w:t>
            </w:r>
            <w:r w:rsidRPr="0055119B">
              <w:t>&gt;</w:t>
            </w:r>
            <w:bookmarkEnd w:id="2"/>
          </w:p>
        </w:tc>
      </w:tr>
      <w:bookmarkEnd w:id="1"/>
    </w:tbl>
    <w:p w14:paraId="2392893B" w14:textId="77777777" w:rsidR="00162CA9" w:rsidRDefault="00162CA9" w:rsidP="00162CA9">
      <w:pPr>
        <w:pStyle w:val="Body"/>
      </w:pPr>
    </w:p>
    <w:sectPr w:rsidR="00162CA9" w:rsidSect="004A69A5">
      <w:footerReference w:type="default" r:id="rId23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1389" w14:textId="77777777" w:rsidR="00AE0753" w:rsidRDefault="00AE0753">
      <w:r>
        <w:separator/>
      </w:r>
    </w:p>
    <w:p w14:paraId="668C5B0A" w14:textId="77777777" w:rsidR="00AE0753" w:rsidRDefault="00AE0753"/>
  </w:endnote>
  <w:endnote w:type="continuationSeparator" w:id="0">
    <w:p w14:paraId="1BA55C56" w14:textId="77777777" w:rsidR="00AE0753" w:rsidRDefault="00AE0753">
      <w:r>
        <w:continuationSeparator/>
      </w:r>
    </w:p>
    <w:p w14:paraId="31D4026B" w14:textId="77777777" w:rsidR="00AE0753" w:rsidRDefault="00AE0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9635" w14:textId="77777777" w:rsidR="00CA77E4" w:rsidRDefault="00CA7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3170" w14:textId="77777777" w:rsidR="00E261B3" w:rsidRPr="00F65AA9" w:rsidRDefault="00B5606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0256" behindDoc="1" locked="1" layoutInCell="1" allowOverlap="1" wp14:anchorId="39155497" wp14:editId="1B49F594">
          <wp:simplePos x="0" y="0"/>
          <wp:positionH relativeFrom="page">
            <wp:posOffset>0</wp:posOffset>
          </wp:positionH>
          <wp:positionV relativeFrom="page">
            <wp:posOffset>6372225</wp:posOffset>
          </wp:positionV>
          <wp:extent cx="10687685" cy="118681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87685" cy="118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794F81C" wp14:editId="7F5F002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CC4E16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4F81C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&quot;&quot;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20CC4E16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CBBF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6536E927" wp14:editId="7A952297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MSIPCM5a7b446289f68fdfbcc5827c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A761A7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6E927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&quot;&quot;" style="position:absolute;left:0;text-align:left;margin-left:0;margin-top:555.75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R5u6TeAAAACwEAAA8AAABkcnMvZG93bnJldi54bWxMj81OwzAQhO9IvIO1SNyo&#10;QylRG+JUFYgLEkIU1LMTb36aeB3Fbpu8fTcn2NvOrGa/Sbej7cQZB984UvC4iEAgFc40VCn4/Xl/&#10;WIPwQZPRnSNUMKGHbXZ7k+rEuAt943kfKsEh5BOtoA6hT6T0RY1W+4Xrkdgr3WB14HWopBn0hcNt&#10;J5dRFEurG+IPte7xtcai3Z+sgtXXJi/lsbXHz+ljmpq2PLzlpVL3d+PuBUTAMfwdw4zP6JAxU+5O&#10;ZLzoFHCRwCrPM4jZj9dP3CWftTiKQWap/N8huwI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ebuk3gAAAAsBAAAPAAAAAAAAAAAAAAAAAHAEAABkcnMvZG93bnJldi54bWxQSwUGAAAA&#10;AAQABADzAAAAewUAAAAA&#10;" o:allowincell="f" filled="f" stroked="f" strokeweight=".5pt">
              <v:textbox inset=",0,,0">
                <w:txbxContent>
                  <w:p w14:paraId="1BA761A7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5B05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0F852CE" wp14:editId="465D000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00BCE6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852CE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&quot;&quot;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3900BCE6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8BEC" w14:textId="77777777" w:rsidR="00AE0753" w:rsidRDefault="00AE0753" w:rsidP="00207717">
      <w:pPr>
        <w:spacing w:before="120"/>
      </w:pPr>
      <w:r>
        <w:separator/>
      </w:r>
    </w:p>
  </w:footnote>
  <w:footnote w:type="continuationSeparator" w:id="0">
    <w:p w14:paraId="367EA635" w14:textId="77777777" w:rsidR="00AE0753" w:rsidRDefault="00AE0753">
      <w:r>
        <w:continuationSeparator/>
      </w:r>
    </w:p>
    <w:p w14:paraId="33BB0816" w14:textId="77777777" w:rsidR="00AE0753" w:rsidRDefault="00AE0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85B0" w14:textId="77777777" w:rsidR="00CA77E4" w:rsidRDefault="00CA7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DFC7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8DDB" w14:textId="77777777" w:rsidR="00CA77E4" w:rsidRDefault="00CA77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F6BB" w14:textId="31A46F21" w:rsidR="00E261B3" w:rsidRPr="0051568D" w:rsidRDefault="00CA77E4" w:rsidP="0017674D">
    <w:pPr>
      <w:pStyle w:val="Header"/>
    </w:pPr>
    <w:r>
      <w:t>Strategic plan 2023-24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67E21BF"/>
    <w:multiLevelType w:val="hybridMultilevel"/>
    <w:tmpl w:val="8632A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8234811">
    <w:abstractNumId w:val="10"/>
  </w:num>
  <w:num w:numId="2" w16cid:durableId="2145925940">
    <w:abstractNumId w:val="17"/>
  </w:num>
  <w:num w:numId="3" w16cid:durableId="17458313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9798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1701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9764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90419">
    <w:abstractNumId w:val="21"/>
  </w:num>
  <w:num w:numId="8" w16cid:durableId="396561730">
    <w:abstractNumId w:val="16"/>
  </w:num>
  <w:num w:numId="9" w16cid:durableId="887716863">
    <w:abstractNumId w:val="20"/>
  </w:num>
  <w:num w:numId="10" w16cid:durableId="1893497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657442">
    <w:abstractNumId w:val="22"/>
  </w:num>
  <w:num w:numId="12" w16cid:durableId="10455937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5847848">
    <w:abstractNumId w:val="18"/>
  </w:num>
  <w:num w:numId="14" w16cid:durableId="248736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34385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7797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212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246223">
    <w:abstractNumId w:val="24"/>
  </w:num>
  <w:num w:numId="19" w16cid:durableId="507382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180937">
    <w:abstractNumId w:val="14"/>
  </w:num>
  <w:num w:numId="21" w16cid:durableId="1093211732">
    <w:abstractNumId w:val="12"/>
  </w:num>
  <w:num w:numId="22" w16cid:durableId="591285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7066785">
    <w:abstractNumId w:val="15"/>
  </w:num>
  <w:num w:numId="24" w16cid:durableId="1971354786">
    <w:abstractNumId w:val="26"/>
  </w:num>
  <w:num w:numId="25" w16cid:durableId="216671160">
    <w:abstractNumId w:val="23"/>
  </w:num>
  <w:num w:numId="26" w16cid:durableId="1991593220">
    <w:abstractNumId w:val="19"/>
  </w:num>
  <w:num w:numId="27" w16cid:durableId="43332881">
    <w:abstractNumId w:val="11"/>
  </w:num>
  <w:num w:numId="28" w16cid:durableId="497505945">
    <w:abstractNumId w:val="27"/>
  </w:num>
  <w:num w:numId="29" w16cid:durableId="1269120937">
    <w:abstractNumId w:val="9"/>
  </w:num>
  <w:num w:numId="30" w16cid:durableId="2053571659">
    <w:abstractNumId w:val="7"/>
  </w:num>
  <w:num w:numId="31" w16cid:durableId="2002346735">
    <w:abstractNumId w:val="6"/>
  </w:num>
  <w:num w:numId="32" w16cid:durableId="2027366686">
    <w:abstractNumId w:val="5"/>
  </w:num>
  <w:num w:numId="33" w16cid:durableId="1092161724">
    <w:abstractNumId w:val="4"/>
  </w:num>
  <w:num w:numId="34" w16cid:durableId="1716274652">
    <w:abstractNumId w:val="8"/>
  </w:num>
  <w:num w:numId="35" w16cid:durableId="1066106581">
    <w:abstractNumId w:val="3"/>
  </w:num>
  <w:num w:numId="36" w16cid:durableId="1256667643">
    <w:abstractNumId w:val="2"/>
  </w:num>
  <w:num w:numId="37" w16cid:durableId="1953899087">
    <w:abstractNumId w:val="1"/>
  </w:num>
  <w:num w:numId="38" w16cid:durableId="41908121">
    <w:abstractNumId w:val="0"/>
  </w:num>
  <w:num w:numId="39" w16cid:durableId="2987291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265877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909154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53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56B7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2B0D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1517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387C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877A2"/>
    <w:rsid w:val="00490746"/>
    <w:rsid w:val="00490852"/>
    <w:rsid w:val="00491C9C"/>
    <w:rsid w:val="00492F30"/>
    <w:rsid w:val="004946F4"/>
    <w:rsid w:val="0049487E"/>
    <w:rsid w:val="00495B4F"/>
    <w:rsid w:val="004A160D"/>
    <w:rsid w:val="004A3E81"/>
    <w:rsid w:val="004A4195"/>
    <w:rsid w:val="004A5C62"/>
    <w:rsid w:val="004A5CE5"/>
    <w:rsid w:val="004A69A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4E7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87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72FB"/>
    <w:rsid w:val="0076152B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9EA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131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0753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46DBE"/>
    <w:rsid w:val="00B519CD"/>
    <w:rsid w:val="00B5273A"/>
    <w:rsid w:val="00B54B69"/>
    <w:rsid w:val="00B5606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813F8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2019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5758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7E4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D6E39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48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B5F0D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087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4DE6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0D6"/>
    <w:rsid w:val="00F815B5"/>
    <w:rsid w:val="00F85195"/>
    <w:rsid w:val="00F868E3"/>
    <w:rsid w:val="00F938BA"/>
    <w:rsid w:val="00F96360"/>
    <w:rsid w:val="00F97919"/>
    <w:rsid w:val="00FA2C46"/>
    <w:rsid w:val="00FA3525"/>
    <w:rsid w:val="00FA5A53"/>
    <w:rsid w:val="00FA7658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CF92EC"/>
  <w15:docId w15:val="{55E0CBD2-85EB-41DB-958F-A6DEA12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D6E39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D6E39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D6E39"/>
    <w:pPr>
      <w:spacing w:after="80" w:line="460" w:lineRule="atLeast"/>
    </w:pPr>
    <w:rPr>
      <w:rFonts w:ascii="Arial" w:hAnsi="Arial"/>
      <w:b/>
      <w:color w:val="AF272F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CD6E39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EF4D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bloodmatters@redcrossblood.org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bloodmatters@redcrossblood.org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department-of-health-operational-plan-2022-23/our-prior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patient-care/blood-matters-progra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3\Branding_templates\New%20templates%20July%202021\Blood%20Matters%20DH%20red%20factsheet%20landscape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e161729-0ef4-4b53-b9e8-ddb61266bb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 landscape_front page logos only.dotx</Template>
  <TotalTime>4</TotalTime>
  <Pages>6</Pages>
  <Words>724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 landscape_front page logos only</vt:lpstr>
    </vt:vector>
  </TitlesOfParts>
  <Manager/>
  <Company>Victoria State Government, Department of Health, Blood Matters</Company>
  <LinksUpToDate>false</LinksUpToDate>
  <CharactersWithSpaces>6287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strategic plan 2023-24</dc:title>
  <dc:subject>Blood Matters strategic plan 2023-24</dc:subject>
  <dc:creator>bloodmatters@dhhs.vic.gov.au</dc:creator>
  <cp:keywords/>
  <dc:description/>
  <cp:lastModifiedBy>Miriam Hagan (Health)</cp:lastModifiedBy>
  <cp:revision>5</cp:revision>
  <cp:lastPrinted>2021-01-29T05:27:00Z</cp:lastPrinted>
  <dcterms:created xsi:type="dcterms:W3CDTF">2023-04-26T07:33:00Z</dcterms:created>
  <dcterms:modified xsi:type="dcterms:W3CDTF">2023-09-15T01:41:00Z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2021-03-17T05:29:19Z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</Properties>
</file>