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B7B" w14:textId="77777777" w:rsidR="0074696E" w:rsidRPr="004C6EEE" w:rsidRDefault="00356314" w:rsidP="00EC40D5">
      <w:pPr>
        <w:pStyle w:val="Sectionbreakfirstpage"/>
      </w:pPr>
      <w:r>
        <w:drawing>
          <wp:anchor distT="0" distB="0" distL="114300" distR="114300" simplePos="0" relativeHeight="251659264" behindDoc="1" locked="1" layoutInCell="1" allowOverlap="1" wp14:anchorId="3A616D73" wp14:editId="46B0B79C">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71BADE0A" w14:textId="77777777" w:rsidTr="00B07FF7">
        <w:trPr>
          <w:trHeight w:val="622"/>
        </w:trPr>
        <w:tc>
          <w:tcPr>
            <w:tcW w:w="10348" w:type="dxa"/>
            <w:tcMar>
              <w:top w:w="1531" w:type="dxa"/>
              <w:left w:w="0" w:type="dxa"/>
              <w:right w:w="0" w:type="dxa"/>
            </w:tcMar>
          </w:tcPr>
          <w:p w14:paraId="29CB2799" w14:textId="6B8DD438" w:rsidR="003B5733" w:rsidRPr="003B5733" w:rsidRDefault="009E5315" w:rsidP="003B5733">
            <w:pPr>
              <w:pStyle w:val="Documenttitle"/>
            </w:pPr>
            <w:r>
              <w:t>Standard radiation risk statements</w:t>
            </w:r>
          </w:p>
        </w:tc>
      </w:tr>
      <w:tr w:rsidR="003B5733" w14:paraId="765A1D8F" w14:textId="77777777" w:rsidTr="00B07FF7">
        <w:tc>
          <w:tcPr>
            <w:tcW w:w="10348" w:type="dxa"/>
          </w:tcPr>
          <w:p w14:paraId="098461A4" w14:textId="77777777" w:rsidR="009E5315" w:rsidRDefault="009E5315" w:rsidP="005F44C0">
            <w:pPr>
              <w:pStyle w:val="Documentsubtitle"/>
            </w:pPr>
            <w:r>
              <w:t xml:space="preserve">Department of Health </w:t>
            </w:r>
          </w:p>
          <w:p w14:paraId="28E50E16" w14:textId="235DC626" w:rsidR="003B5733" w:rsidRPr="00A1389F" w:rsidRDefault="00C07CAE" w:rsidP="005F44C0">
            <w:pPr>
              <w:pStyle w:val="Documentsubtitle"/>
            </w:pPr>
            <w:r>
              <w:t>June</w:t>
            </w:r>
            <w:r w:rsidR="009E5315">
              <w:t xml:space="preserve"> 2023 </w:t>
            </w:r>
          </w:p>
        </w:tc>
      </w:tr>
      <w:tr w:rsidR="003B5733" w14:paraId="26A5AC70" w14:textId="77777777" w:rsidTr="00B07FF7">
        <w:tc>
          <w:tcPr>
            <w:tcW w:w="10348" w:type="dxa"/>
          </w:tcPr>
          <w:p w14:paraId="7A2CE04C" w14:textId="77777777" w:rsidR="003B5733" w:rsidRPr="001E5058" w:rsidRDefault="000F08A8" w:rsidP="001E5058">
            <w:pPr>
              <w:pStyle w:val="Bannermarking"/>
            </w:pPr>
            <w:fldSimple w:instr=" FILLIN  &quot;Type the protective marking&quot; \d OFFICIAL \o  \* MERGEFORMAT ">
              <w:r w:rsidR="003F30C3">
                <w:t>OFFICIAL</w:t>
              </w:r>
            </w:fldSimple>
          </w:p>
        </w:tc>
      </w:tr>
    </w:tbl>
    <w:p w14:paraId="050F5886" w14:textId="77777777" w:rsidR="00855920" w:rsidRPr="00200176" w:rsidRDefault="00855920" w:rsidP="00855920">
      <w:pPr>
        <w:pStyle w:val="Body"/>
      </w:pPr>
    </w:p>
    <w:p w14:paraId="4A813B41" w14:textId="770E73F7" w:rsidR="00C51F0A" w:rsidRDefault="00D20C01" w:rsidP="00C51F0A">
      <w:pPr>
        <w:pStyle w:val="Introtext"/>
      </w:pPr>
      <w:bookmarkStart w:id="0" w:name="_Toc66711981"/>
      <w:r>
        <w:t xml:space="preserve">To be provided to persons considering participating in research that involves exposure to ionising radiation. </w:t>
      </w:r>
    </w:p>
    <w:p w14:paraId="5C717488" w14:textId="0BA71B5F" w:rsidR="00D20C01" w:rsidRDefault="00D20C01" w:rsidP="00D20C01">
      <w:pPr>
        <w:pStyle w:val="Body"/>
      </w:pPr>
      <w:r>
        <w:t xml:space="preserve">Medical physicists conducting radiation dose assessments for research proposals must comply with section 2.2 of the </w:t>
      </w:r>
      <w:hyperlink r:id="rId18" w:history="1">
        <w:r w:rsidRPr="00D20C01">
          <w:rPr>
            <w:rStyle w:val="Hyperlink"/>
          </w:rPr>
          <w:t>Code of Practice for the Exposure of Humans to Ionizing Radiation for Research Purposes</w:t>
        </w:r>
      </w:hyperlink>
      <w:r>
        <w:t xml:space="preserve"> (the Code), published by the Australian Radiation Protection and Nuclear Safety Agency. This document sets out a standard set of arrangements to be used by physicists conducting dose assessments that will ensure consistent application of the Code. The Code is available at: </w:t>
      </w:r>
      <w:hyperlink r:id="rId19" w:history="1">
        <w:r w:rsidR="00E24C73" w:rsidRPr="0066733A">
          <w:rPr>
            <w:rStyle w:val="Hyperlink"/>
          </w:rPr>
          <w:t>http://www.arpansa.gov.au/pubs/rps/rps8.pd</w:t>
        </w:r>
      </w:hyperlink>
    </w:p>
    <w:p w14:paraId="7291663C" w14:textId="0E519946" w:rsidR="00C51F0A" w:rsidRDefault="00E24C73" w:rsidP="00B13701">
      <w:pPr>
        <w:pStyle w:val="Heading2"/>
      </w:pPr>
      <w:bookmarkStart w:id="1" w:name="_Hlk134177663"/>
      <w:bookmarkEnd w:id="0"/>
      <w:r>
        <w:t xml:space="preserve">Which dose constraint applies? </w:t>
      </w:r>
      <w:r w:rsidR="00C51F0A">
        <w:t xml:space="preserve"> </w:t>
      </w:r>
    </w:p>
    <w:bookmarkEnd w:id="1"/>
    <w:p w14:paraId="571B016A" w14:textId="4B2FA79B" w:rsidR="00F83103" w:rsidRPr="00F83103" w:rsidRDefault="00E24C73" w:rsidP="00E24C73">
      <w:pPr>
        <w:pStyle w:val="Body"/>
      </w:pPr>
      <w:r>
        <w:t>In judging which dose constraint is applicable, the medical physicist must consult Table 1 of the Code (“Dose Constraints for Participants in Research”). To determine which dose constraint is applicable, the medical physicist will have regard to the median life expectancy of the participant group under consideration.</w:t>
      </w:r>
    </w:p>
    <w:p w14:paraId="46FF4CBC" w14:textId="229A0413" w:rsidR="00F83103" w:rsidRDefault="00F83103" w:rsidP="00B13701">
      <w:pPr>
        <w:pStyle w:val="Heading2"/>
      </w:pPr>
      <w:bookmarkStart w:id="2" w:name="_Hlk134179598"/>
      <w:r>
        <w:t xml:space="preserve">Advice on risks of </w:t>
      </w:r>
      <w:r w:rsidR="00B13701">
        <w:t>r</w:t>
      </w:r>
      <w:r>
        <w:t xml:space="preserve">adiation exposure  </w:t>
      </w:r>
    </w:p>
    <w:bookmarkEnd w:id="2"/>
    <w:p w14:paraId="264E310D" w14:textId="7B79831A" w:rsidR="00F83103" w:rsidRDefault="00E24C73" w:rsidP="00E24C73">
      <w:pPr>
        <w:pStyle w:val="Body"/>
      </w:pPr>
      <w:r>
        <w:t>Under clause 2.2.3 (d) of the Code, the medical physicist must include in their report advice on the proposed radiation dose and radiation exposure risks for inclusion in the information for participants. The advice on the risks of radiation exposure provided to participants will depend on the level of the proposed doses. The medical physicist shall provide advice consistent with the information below. The following statements should be used to indicate the stochastic risks associated with radiation exposures. If equivalent doses to individual tissues may exceed the thresholds for tissue reactions (deterministic effects), then an additional statement on these specific risks is required.</w:t>
      </w:r>
    </w:p>
    <w:p w14:paraId="4D7ACF8F" w14:textId="4F09D5A0" w:rsidR="00F83103" w:rsidRDefault="00F83103" w:rsidP="00F83103">
      <w:pPr>
        <w:pStyle w:val="Heading4"/>
      </w:pPr>
      <w:r>
        <w:t xml:space="preserve">Effective dose less than 2 mSv </w:t>
      </w:r>
    </w:p>
    <w:p w14:paraId="7945D591" w14:textId="580116FC" w:rsidR="00F83103" w:rsidRDefault="00F83103" w:rsidP="00F83103">
      <w:pPr>
        <w:pStyle w:val="Body"/>
      </w:pPr>
      <w:r>
        <w:t>This research study involves exposure to a very small amount of radiation. As part of everyday living, everyone is exposed to naturally occurring background radiation and receives a dose of about 2 millisievert (mSv) each year. The effective dose from this study is about x mSv. At this dose level, no harmful effects of radiation have been demonstrated as any effect is too small to measure. The risk is believed to be minimal (if dose &lt; 0.2 mSv) or very low (if 0.2 mSv ≤ dose &lt; 2 mSv).</w:t>
      </w:r>
    </w:p>
    <w:p w14:paraId="33D93B8F" w14:textId="01100D90" w:rsidR="00F83103" w:rsidRDefault="00F83103" w:rsidP="00F83103">
      <w:pPr>
        <w:pStyle w:val="Heading4"/>
      </w:pPr>
      <w:r>
        <w:t>Effective dose in range 2 to 20 mSv</w:t>
      </w:r>
    </w:p>
    <w:p w14:paraId="4E7AF02A" w14:textId="2ED43C1E" w:rsidR="00F83103" w:rsidRDefault="00F83103" w:rsidP="00F83103">
      <w:pPr>
        <w:pStyle w:val="Body"/>
      </w:pPr>
      <w:r>
        <w:t>This research study involves exposure to a small amount of radiation. As part of everyday living, everyone is exposed to naturally occurring background radiation and receives a dose of about 2 millisievert (mSv) each year. The effective dose from this study is about x mSv. At this dose level, no harmful effects of radiation have been demonstrated as any effect is too small to measure.</w:t>
      </w:r>
    </w:p>
    <w:p w14:paraId="388CE557" w14:textId="2BC2DAAB" w:rsidR="00F83103" w:rsidRDefault="00F83103" w:rsidP="00F83103">
      <w:pPr>
        <w:pStyle w:val="Heading4"/>
      </w:pPr>
      <w:bookmarkStart w:id="3" w:name="_Hlk134178230"/>
      <w:r>
        <w:lastRenderedPageBreak/>
        <w:t>Effective dose greater than 20 and up to 50 mSv</w:t>
      </w:r>
    </w:p>
    <w:bookmarkEnd w:id="3"/>
    <w:p w14:paraId="1C7D1592" w14:textId="7ED45573" w:rsidR="00F83103" w:rsidRDefault="00F83103" w:rsidP="00F83103">
      <w:pPr>
        <w:pStyle w:val="Body"/>
      </w:pPr>
      <w:r>
        <w:t xml:space="preserve">This research study involves exposure to an amount of radiation. As part of everyday living, everyone is exposed to naturally occurring background radiation and receives a dose of about 2 millisievert (mSv) each year. The effective dose from this study is about x mSv. The benefits from the study should be weighed against the possible detrimental effects of the additional radiation exposures, including an increased risk of cancer induction. In this particular study, the risk is moderate and the estimated risk of such harm is about 1 in </w:t>
      </w:r>
      <w:r w:rsidRPr="006E468A">
        <w:rPr>
          <w:b/>
          <w:bCs/>
          <w:i/>
          <w:iCs/>
        </w:rPr>
        <w:t>y</w:t>
      </w:r>
      <w:r>
        <w:t xml:space="preserve">. (Calculate </w:t>
      </w:r>
      <w:r w:rsidRPr="006E468A">
        <w:rPr>
          <w:b/>
          <w:bCs/>
          <w:i/>
          <w:iCs/>
        </w:rPr>
        <w:t>y</w:t>
      </w:r>
      <w:r>
        <w:t xml:space="preserve"> using the BEIR VII risk coefficient for cancer induction given in the table below. When assessing the risk from an exposure to radiation the assessment should </w:t>
      </w:r>
      <w:r w:rsidR="00B13701">
        <w:t>consider</w:t>
      </w:r>
      <w:r>
        <w:t xml:space="preserve"> the age of the volunteers involved.)</w:t>
      </w:r>
    </w:p>
    <w:p w14:paraId="329FBD5E" w14:textId="353082CF" w:rsidR="00B13701" w:rsidRDefault="00B13701" w:rsidP="00B13701">
      <w:pPr>
        <w:pStyle w:val="Heading4"/>
      </w:pPr>
      <w:r>
        <w:t>Effective dose greater than 50 mSv</w:t>
      </w:r>
    </w:p>
    <w:p w14:paraId="63AF0FC3" w14:textId="449FBF50" w:rsidR="006E468A" w:rsidRDefault="00B13701" w:rsidP="00B13701">
      <w:pPr>
        <w:pStyle w:val="Body"/>
      </w:pPr>
      <w:r>
        <w:t>This research study involves exposure to a significant amount of radiation. As part of everyday living,</w:t>
      </w:r>
      <w:r w:rsidR="006E468A">
        <w:t xml:space="preserve"> </w:t>
      </w:r>
      <w:r>
        <w:t xml:space="preserve">everyone is exposed to naturally occurring background radiation and receives a dose of about 2 millisievert (mSv) each year. The effective dose from this study is about x mSv. The benefits from the study should be weighed against the possible detrimental effects of the additional radiation exposures, including an increased risk of cancer induction. In this particular study, the risk is moderate and the estimated risk of such harm is about 1 in </w:t>
      </w:r>
      <w:r w:rsidRPr="006E468A">
        <w:rPr>
          <w:b/>
          <w:bCs/>
          <w:i/>
          <w:iCs/>
        </w:rPr>
        <w:t>y</w:t>
      </w:r>
      <w:r>
        <w:t xml:space="preserve">. (Calculate </w:t>
      </w:r>
      <w:r w:rsidRPr="006E468A">
        <w:rPr>
          <w:b/>
          <w:bCs/>
          <w:i/>
          <w:iCs/>
        </w:rPr>
        <w:t>y</w:t>
      </w:r>
      <w:r>
        <w:t xml:space="preserve"> using the BEIR VII risk coefficient for cancer induction given in the table below. When assessing the risk from an exposure to radiation the assessment should </w:t>
      </w:r>
      <w:r w:rsidR="006E468A">
        <w:t>consider</w:t>
      </w:r>
      <w:r>
        <w:t xml:space="preserve"> the age of</w:t>
      </w:r>
      <w:r w:rsidR="006E468A">
        <w:t xml:space="preserve"> </w:t>
      </w:r>
      <w:r>
        <w:t>the volunteers involved.</w:t>
      </w:r>
    </w:p>
    <w:p w14:paraId="70A05C55" w14:textId="69691C32" w:rsidR="006E468A" w:rsidRDefault="006E468A" w:rsidP="00B13701">
      <w:pPr>
        <w:pStyle w:val="Body"/>
      </w:pPr>
      <w:r>
        <w:t xml:space="preserve">Note: </w:t>
      </w:r>
    </w:p>
    <w:p w14:paraId="79CF2358" w14:textId="1D8D2C04" w:rsidR="006E468A" w:rsidRDefault="006E468A" w:rsidP="006E468A">
      <w:pPr>
        <w:pStyle w:val="Body"/>
      </w:pPr>
      <w:r>
        <w:t>The information provided to participants is not exhaustive and is intended to prompt a dialogue between participants and researchers regarding the risks of radiation exposure. Researchers should be in a position to have some knowledge of the risks of ionising radiation, or be able to refer participants to someone who can provide advice. It should also be noted that risk statistics are applicable to population groups rather than individuals. To aid understanding, the risk may be explained to participants in such terms as: "If 1000 people were to be exposed to this level of radiation, 1 person would statistically be expected to develop cancer in the future".</w:t>
      </w:r>
    </w:p>
    <w:p w14:paraId="009FAA4C" w14:textId="5DBFAE43" w:rsidR="006E468A" w:rsidRDefault="006E468A" w:rsidP="006E468A">
      <w:pPr>
        <w:pStyle w:val="Heading2"/>
      </w:pPr>
      <w:r>
        <w:t xml:space="preserve">What if the participants have a low life expectancy?  </w:t>
      </w:r>
    </w:p>
    <w:p w14:paraId="01CC105B" w14:textId="61B424AC" w:rsidR="006E468A" w:rsidRDefault="006E468A" w:rsidP="006E468A">
      <w:pPr>
        <w:pStyle w:val="Body"/>
      </w:pPr>
      <w:r>
        <w:t>In cases where median life expectancy is less than five years, the risk statement selected from above should be amended to remove any reference to the stochastic risk or harm. In other words, the statement should include the magnitude of the dose and the usual sentence about background radiation.</w:t>
      </w:r>
    </w:p>
    <w:p w14:paraId="5ED5380D" w14:textId="4C66E184" w:rsidR="006E468A" w:rsidRDefault="006E468A" w:rsidP="002D5FAB">
      <w:pPr>
        <w:pStyle w:val="Body"/>
      </w:pPr>
      <w:r>
        <w:t>This research study involves exposure to a (very small, small, significant as appropriate) amount of radiation. As part of everyday living, everyone is exposed to naturally occurring background radiation and receives a dose of about 2 millisievert (mSv) each year. The effective dose from this study is about x mSv.</w:t>
      </w:r>
    </w:p>
    <w:p w14:paraId="570CC78C" w14:textId="77777777" w:rsidR="00E03C59" w:rsidRDefault="00E03C59" w:rsidP="00C51F0A">
      <w:pPr>
        <w:pStyle w:val="Tablecaption"/>
        <w:sectPr w:rsidR="00E03C59" w:rsidSect="00E62622">
          <w:footerReference w:type="default" r:id="rId20"/>
          <w:type w:val="continuous"/>
          <w:pgSz w:w="11906" w:h="16838" w:code="9"/>
          <w:pgMar w:top="1418" w:right="851" w:bottom="1418" w:left="851" w:header="680" w:footer="851" w:gutter="0"/>
          <w:cols w:space="340"/>
          <w:docGrid w:linePitch="360"/>
        </w:sectPr>
      </w:pPr>
    </w:p>
    <w:p w14:paraId="7487D842" w14:textId="66047BC0" w:rsidR="00C51F0A" w:rsidRDefault="00DD7730" w:rsidP="00E80D48">
      <w:pPr>
        <w:pStyle w:val="Tablecaption"/>
        <w:jc w:val="center"/>
      </w:pPr>
      <w:r>
        <w:lastRenderedPageBreak/>
        <w:t>Lifetime risk coefficient for cancer incidence from a single whole body exposure to 100 mGy</w:t>
      </w:r>
    </w:p>
    <w:tbl>
      <w:tblPr>
        <w:tblStyle w:val="TableGrid"/>
        <w:tblW w:w="13467" w:type="dxa"/>
        <w:tblLayout w:type="fixed"/>
        <w:tblLook w:val="06A0" w:firstRow="1" w:lastRow="0" w:firstColumn="1" w:lastColumn="0" w:noHBand="1" w:noVBand="1"/>
      </w:tblPr>
      <w:tblGrid>
        <w:gridCol w:w="1121"/>
        <w:gridCol w:w="1122"/>
        <w:gridCol w:w="1122"/>
        <w:gridCol w:w="1122"/>
        <w:gridCol w:w="1122"/>
        <w:gridCol w:w="1122"/>
        <w:gridCol w:w="1121"/>
        <w:gridCol w:w="1122"/>
        <w:gridCol w:w="1122"/>
        <w:gridCol w:w="1122"/>
        <w:gridCol w:w="1115"/>
        <w:gridCol w:w="1134"/>
      </w:tblGrid>
      <w:tr w:rsidR="00E80D48" w14:paraId="78065624" w14:textId="77777777" w:rsidTr="003E22DA">
        <w:trPr>
          <w:tblHeader/>
        </w:trPr>
        <w:tc>
          <w:tcPr>
            <w:tcW w:w="1121" w:type="dxa"/>
            <w:vMerge w:val="restart"/>
            <w:tcBorders>
              <w:top w:val="nil"/>
              <w:left w:val="nil"/>
            </w:tcBorders>
          </w:tcPr>
          <w:p w14:paraId="1A8043FB" w14:textId="1A6F534A" w:rsidR="00E80D48" w:rsidRPr="00CB3285" w:rsidRDefault="00E80D48" w:rsidP="00207189">
            <w:pPr>
              <w:pStyle w:val="Tablecolhead"/>
            </w:pPr>
            <w:r>
              <w:t xml:space="preserve"> </w:t>
            </w:r>
          </w:p>
        </w:tc>
        <w:tc>
          <w:tcPr>
            <w:tcW w:w="12346" w:type="dxa"/>
            <w:gridSpan w:val="11"/>
            <w:shd w:val="clear" w:color="auto" w:fill="D9D9D9" w:themeFill="background1" w:themeFillShade="D9"/>
          </w:tcPr>
          <w:p w14:paraId="036F2740" w14:textId="77777777" w:rsidR="00E80D48" w:rsidRPr="00825FFA" w:rsidRDefault="00E80D48" w:rsidP="00E80D48">
            <w:pPr>
              <w:pStyle w:val="Tablecolhead"/>
              <w:jc w:val="center"/>
            </w:pPr>
            <w:r w:rsidRPr="00825FFA">
              <w:t>Age (years)</w:t>
            </w:r>
          </w:p>
          <w:p w14:paraId="1B53C702" w14:textId="4C416291" w:rsidR="00E80D48" w:rsidRDefault="00E80D48" w:rsidP="00E80D48">
            <w:pPr>
              <w:pStyle w:val="Tablecolhead"/>
              <w:jc w:val="center"/>
            </w:pPr>
          </w:p>
        </w:tc>
      </w:tr>
      <w:tr w:rsidR="00E80D48" w14:paraId="2F6E8A7A" w14:textId="77777777" w:rsidTr="003E22DA">
        <w:tc>
          <w:tcPr>
            <w:tcW w:w="1121" w:type="dxa"/>
            <w:vMerge/>
            <w:tcBorders>
              <w:left w:val="nil"/>
            </w:tcBorders>
          </w:tcPr>
          <w:p w14:paraId="3C3F60BD" w14:textId="79BD619F" w:rsidR="00E80D48" w:rsidRPr="00E80D48" w:rsidRDefault="00E80D48" w:rsidP="00207189">
            <w:pPr>
              <w:pStyle w:val="Tabletext"/>
              <w:rPr>
                <w:b/>
                <w:bCs/>
              </w:rPr>
            </w:pPr>
          </w:p>
        </w:tc>
        <w:tc>
          <w:tcPr>
            <w:tcW w:w="1122" w:type="dxa"/>
            <w:shd w:val="clear" w:color="auto" w:fill="D9D9D9" w:themeFill="background1" w:themeFillShade="D9"/>
          </w:tcPr>
          <w:p w14:paraId="29528640" w14:textId="6DAC2282" w:rsidR="00E80D48" w:rsidRPr="00825FFA" w:rsidRDefault="00E80D48" w:rsidP="00E80D48">
            <w:pPr>
              <w:jc w:val="center"/>
              <w:rPr>
                <w:b/>
                <w:bCs/>
              </w:rPr>
            </w:pPr>
            <w:r w:rsidRPr="00825FFA">
              <w:rPr>
                <w:b/>
                <w:bCs/>
              </w:rPr>
              <w:t>0</w:t>
            </w:r>
          </w:p>
        </w:tc>
        <w:tc>
          <w:tcPr>
            <w:tcW w:w="1122" w:type="dxa"/>
            <w:shd w:val="clear" w:color="auto" w:fill="D9D9D9" w:themeFill="background1" w:themeFillShade="D9"/>
          </w:tcPr>
          <w:p w14:paraId="7B49F43C" w14:textId="7FB4C53E" w:rsidR="00E80D48" w:rsidRPr="00825FFA" w:rsidRDefault="00E80D48" w:rsidP="00E80D48">
            <w:pPr>
              <w:jc w:val="center"/>
              <w:rPr>
                <w:b/>
                <w:bCs/>
              </w:rPr>
            </w:pPr>
            <w:r w:rsidRPr="00825FFA">
              <w:rPr>
                <w:b/>
                <w:bCs/>
              </w:rPr>
              <w:t>5</w:t>
            </w:r>
          </w:p>
        </w:tc>
        <w:tc>
          <w:tcPr>
            <w:tcW w:w="1122" w:type="dxa"/>
            <w:shd w:val="clear" w:color="auto" w:fill="D9D9D9" w:themeFill="background1" w:themeFillShade="D9"/>
          </w:tcPr>
          <w:p w14:paraId="2706E997" w14:textId="740DDDCD" w:rsidR="00E80D48" w:rsidRPr="00825FFA" w:rsidRDefault="00E80D48" w:rsidP="00E80D48">
            <w:pPr>
              <w:jc w:val="center"/>
              <w:rPr>
                <w:b/>
                <w:bCs/>
              </w:rPr>
            </w:pPr>
            <w:r w:rsidRPr="00825FFA">
              <w:rPr>
                <w:b/>
                <w:bCs/>
              </w:rPr>
              <w:t>10</w:t>
            </w:r>
          </w:p>
        </w:tc>
        <w:tc>
          <w:tcPr>
            <w:tcW w:w="1122" w:type="dxa"/>
            <w:shd w:val="clear" w:color="auto" w:fill="D9D9D9" w:themeFill="background1" w:themeFillShade="D9"/>
          </w:tcPr>
          <w:p w14:paraId="0885EAD6" w14:textId="3372D20B" w:rsidR="00E80D48" w:rsidRPr="00825FFA" w:rsidRDefault="00E80D48" w:rsidP="00E80D48">
            <w:pPr>
              <w:jc w:val="center"/>
              <w:rPr>
                <w:b/>
                <w:bCs/>
              </w:rPr>
            </w:pPr>
            <w:r w:rsidRPr="00825FFA">
              <w:rPr>
                <w:b/>
                <w:bCs/>
              </w:rPr>
              <w:t>15</w:t>
            </w:r>
          </w:p>
        </w:tc>
        <w:tc>
          <w:tcPr>
            <w:tcW w:w="1122" w:type="dxa"/>
            <w:shd w:val="clear" w:color="auto" w:fill="D9D9D9" w:themeFill="background1" w:themeFillShade="D9"/>
          </w:tcPr>
          <w:p w14:paraId="7C9FFEBB" w14:textId="6E1D0CAE" w:rsidR="00E80D48" w:rsidRPr="00825FFA" w:rsidRDefault="00E80D48" w:rsidP="00E80D48">
            <w:pPr>
              <w:jc w:val="center"/>
              <w:rPr>
                <w:b/>
                <w:bCs/>
              </w:rPr>
            </w:pPr>
            <w:r w:rsidRPr="00825FFA">
              <w:rPr>
                <w:b/>
                <w:bCs/>
              </w:rPr>
              <w:t>20</w:t>
            </w:r>
          </w:p>
        </w:tc>
        <w:tc>
          <w:tcPr>
            <w:tcW w:w="1121" w:type="dxa"/>
            <w:shd w:val="clear" w:color="auto" w:fill="D9D9D9" w:themeFill="background1" w:themeFillShade="D9"/>
          </w:tcPr>
          <w:p w14:paraId="5D34F264" w14:textId="1D1C0617" w:rsidR="00E80D48" w:rsidRPr="00825FFA" w:rsidRDefault="00E80D48" w:rsidP="00E80D48">
            <w:pPr>
              <w:jc w:val="center"/>
              <w:rPr>
                <w:b/>
                <w:bCs/>
              </w:rPr>
            </w:pPr>
            <w:r w:rsidRPr="00825FFA">
              <w:rPr>
                <w:b/>
                <w:bCs/>
              </w:rPr>
              <w:t>30</w:t>
            </w:r>
          </w:p>
        </w:tc>
        <w:tc>
          <w:tcPr>
            <w:tcW w:w="1122" w:type="dxa"/>
            <w:shd w:val="clear" w:color="auto" w:fill="D9D9D9" w:themeFill="background1" w:themeFillShade="D9"/>
          </w:tcPr>
          <w:p w14:paraId="3BAEABBD" w14:textId="5EC83814" w:rsidR="00E80D48" w:rsidRPr="00825FFA" w:rsidRDefault="00E80D48" w:rsidP="00E80D48">
            <w:pPr>
              <w:jc w:val="center"/>
              <w:rPr>
                <w:b/>
                <w:bCs/>
              </w:rPr>
            </w:pPr>
            <w:r w:rsidRPr="00825FFA">
              <w:rPr>
                <w:b/>
                <w:bCs/>
              </w:rPr>
              <w:t>40</w:t>
            </w:r>
          </w:p>
        </w:tc>
        <w:tc>
          <w:tcPr>
            <w:tcW w:w="1122" w:type="dxa"/>
            <w:shd w:val="clear" w:color="auto" w:fill="D9D9D9" w:themeFill="background1" w:themeFillShade="D9"/>
          </w:tcPr>
          <w:p w14:paraId="2E625762" w14:textId="5140CBB3" w:rsidR="00E80D48" w:rsidRPr="00825FFA" w:rsidRDefault="00E80D48" w:rsidP="00E80D48">
            <w:pPr>
              <w:jc w:val="center"/>
              <w:rPr>
                <w:b/>
                <w:bCs/>
              </w:rPr>
            </w:pPr>
            <w:r w:rsidRPr="00825FFA">
              <w:rPr>
                <w:b/>
                <w:bCs/>
              </w:rPr>
              <w:t>50</w:t>
            </w:r>
          </w:p>
        </w:tc>
        <w:tc>
          <w:tcPr>
            <w:tcW w:w="1122" w:type="dxa"/>
            <w:shd w:val="clear" w:color="auto" w:fill="D9D9D9" w:themeFill="background1" w:themeFillShade="D9"/>
          </w:tcPr>
          <w:p w14:paraId="4DF47406" w14:textId="754AD962" w:rsidR="00E80D48" w:rsidRPr="00825FFA" w:rsidRDefault="00E80D48" w:rsidP="00E80D48">
            <w:pPr>
              <w:pStyle w:val="Tabletext"/>
              <w:jc w:val="center"/>
              <w:rPr>
                <w:b/>
                <w:bCs/>
              </w:rPr>
            </w:pPr>
            <w:r w:rsidRPr="00825FFA">
              <w:rPr>
                <w:b/>
                <w:bCs/>
              </w:rPr>
              <w:t>60</w:t>
            </w:r>
          </w:p>
        </w:tc>
        <w:tc>
          <w:tcPr>
            <w:tcW w:w="1115" w:type="dxa"/>
            <w:shd w:val="clear" w:color="auto" w:fill="D9D9D9" w:themeFill="background1" w:themeFillShade="D9"/>
          </w:tcPr>
          <w:p w14:paraId="356436E0" w14:textId="4FF172CF" w:rsidR="00E80D48" w:rsidRPr="00825FFA" w:rsidRDefault="00E80D48" w:rsidP="003E22DA">
            <w:pPr>
              <w:pStyle w:val="Tablebullet2"/>
              <w:numPr>
                <w:ilvl w:val="0"/>
                <w:numId w:val="0"/>
              </w:numPr>
              <w:ind w:left="454" w:hanging="227"/>
              <w:jc w:val="center"/>
              <w:rPr>
                <w:b/>
                <w:bCs/>
              </w:rPr>
            </w:pPr>
            <w:r w:rsidRPr="00825FFA">
              <w:rPr>
                <w:b/>
                <w:bCs/>
              </w:rPr>
              <w:t>70</w:t>
            </w:r>
          </w:p>
        </w:tc>
        <w:tc>
          <w:tcPr>
            <w:tcW w:w="1134" w:type="dxa"/>
            <w:shd w:val="clear" w:color="auto" w:fill="D9D9D9" w:themeFill="background1" w:themeFillShade="D9"/>
          </w:tcPr>
          <w:p w14:paraId="0F82FE9D" w14:textId="10C0B737" w:rsidR="00E80D48" w:rsidRPr="00825FFA" w:rsidRDefault="00E80D48" w:rsidP="00E54E3C">
            <w:pPr>
              <w:pStyle w:val="Tablebullet2"/>
              <w:numPr>
                <w:ilvl w:val="0"/>
                <w:numId w:val="0"/>
              </w:numPr>
              <w:ind w:left="454"/>
              <w:rPr>
                <w:b/>
                <w:bCs/>
              </w:rPr>
            </w:pPr>
            <w:r w:rsidRPr="00825FFA">
              <w:rPr>
                <w:b/>
                <w:bCs/>
              </w:rPr>
              <w:t>80</w:t>
            </w:r>
          </w:p>
        </w:tc>
      </w:tr>
      <w:tr w:rsidR="00DD7730" w14:paraId="31C681EC" w14:textId="77777777" w:rsidTr="003E22DA">
        <w:trPr>
          <w:trHeight w:val="756"/>
        </w:trPr>
        <w:tc>
          <w:tcPr>
            <w:tcW w:w="1121" w:type="dxa"/>
            <w:shd w:val="clear" w:color="auto" w:fill="D9D9D9" w:themeFill="background1" w:themeFillShade="D9"/>
          </w:tcPr>
          <w:p w14:paraId="3EC34210" w14:textId="7156FE01" w:rsidR="00DD7730" w:rsidRPr="00E80D48" w:rsidRDefault="00E80D48" w:rsidP="00207189">
            <w:pPr>
              <w:pStyle w:val="Tabletext6pt"/>
              <w:rPr>
                <w:b/>
                <w:bCs/>
              </w:rPr>
            </w:pPr>
            <w:r w:rsidRPr="00E80D48">
              <w:rPr>
                <w:b/>
                <w:bCs/>
              </w:rPr>
              <w:t>Male</w:t>
            </w:r>
          </w:p>
        </w:tc>
        <w:tc>
          <w:tcPr>
            <w:tcW w:w="1122" w:type="dxa"/>
          </w:tcPr>
          <w:p w14:paraId="1FE484F6" w14:textId="3122CFDA" w:rsidR="00DD7730" w:rsidRPr="002365B4" w:rsidRDefault="00E54E3C" w:rsidP="00E54E3C">
            <w:pPr>
              <w:pStyle w:val="Tabletext6pt"/>
            </w:pPr>
            <w:r w:rsidRPr="00E54E3C">
              <w:t>0.02563</w:t>
            </w:r>
          </w:p>
        </w:tc>
        <w:tc>
          <w:tcPr>
            <w:tcW w:w="1122" w:type="dxa"/>
          </w:tcPr>
          <w:p w14:paraId="273AB407" w14:textId="7A8BA233" w:rsidR="00DD7730" w:rsidRPr="002365B4" w:rsidRDefault="00E54E3C" w:rsidP="00E54E3C">
            <w:pPr>
              <w:pStyle w:val="Tabletext6pt"/>
            </w:pPr>
            <w:r w:rsidRPr="00E54E3C">
              <w:t>0.01816</w:t>
            </w:r>
          </w:p>
        </w:tc>
        <w:tc>
          <w:tcPr>
            <w:tcW w:w="1122" w:type="dxa"/>
          </w:tcPr>
          <w:p w14:paraId="4BEFD701" w14:textId="11BC09E8" w:rsidR="00DD7730" w:rsidRPr="002365B4" w:rsidRDefault="00E54E3C" w:rsidP="00E54E3C">
            <w:pPr>
              <w:pStyle w:val="Tabletext6pt"/>
            </w:pPr>
            <w:r w:rsidRPr="00E54E3C">
              <w:t>0.01445</w:t>
            </w:r>
          </w:p>
        </w:tc>
        <w:tc>
          <w:tcPr>
            <w:tcW w:w="1122" w:type="dxa"/>
          </w:tcPr>
          <w:p w14:paraId="43442F1D" w14:textId="7FEEAC53" w:rsidR="00DD7730" w:rsidRPr="002365B4" w:rsidRDefault="00E54E3C" w:rsidP="00E54E3C">
            <w:pPr>
              <w:pStyle w:val="Tabletext6pt"/>
            </w:pPr>
            <w:r w:rsidRPr="00E54E3C">
              <w:t>0.01182</w:t>
            </w:r>
          </w:p>
        </w:tc>
        <w:tc>
          <w:tcPr>
            <w:tcW w:w="1122" w:type="dxa"/>
          </w:tcPr>
          <w:p w14:paraId="09BF8F5D" w14:textId="39DE676E" w:rsidR="00DD7730" w:rsidRPr="002365B4" w:rsidRDefault="00E54E3C" w:rsidP="00E54E3C">
            <w:pPr>
              <w:pStyle w:val="Tabletext6pt"/>
            </w:pPr>
            <w:r w:rsidRPr="00E54E3C">
              <w:t>0.00977</w:t>
            </w:r>
          </w:p>
        </w:tc>
        <w:tc>
          <w:tcPr>
            <w:tcW w:w="1121" w:type="dxa"/>
          </w:tcPr>
          <w:p w14:paraId="6A359786" w14:textId="11FEFF61" w:rsidR="00DD7730" w:rsidRPr="002365B4" w:rsidRDefault="00E54E3C" w:rsidP="00E54E3C">
            <w:pPr>
              <w:pStyle w:val="Tabletext6pt"/>
            </w:pPr>
            <w:r w:rsidRPr="00E54E3C">
              <w:t>0.00686</w:t>
            </w:r>
          </w:p>
        </w:tc>
        <w:tc>
          <w:tcPr>
            <w:tcW w:w="1122" w:type="dxa"/>
          </w:tcPr>
          <w:p w14:paraId="78655D2C" w14:textId="5EC2CB52" w:rsidR="00DD7730" w:rsidRPr="002365B4" w:rsidRDefault="00E54E3C" w:rsidP="00E54E3C">
            <w:pPr>
              <w:pStyle w:val="Tabletext6pt"/>
            </w:pPr>
            <w:r w:rsidRPr="00E54E3C">
              <w:t>0.00648</w:t>
            </w:r>
          </w:p>
        </w:tc>
        <w:tc>
          <w:tcPr>
            <w:tcW w:w="1122" w:type="dxa"/>
          </w:tcPr>
          <w:p w14:paraId="778FC41C" w14:textId="25C5EA7A" w:rsidR="00DD7730" w:rsidRPr="002365B4" w:rsidRDefault="00E54E3C" w:rsidP="00E54E3C">
            <w:pPr>
              <w:pStyle w:val="Tabletext6pt"/>
            </w:pPr>
            <w:r w:rsidRPr="00E54E3C">
              <w:t>0.00591</w:t>
            </w:r>
          </w:p>
        </w:tc>
        <w:tc>
          <w:tcPr>
            <w:tcW w:w="1122" w:type="dxa"/>
          </w:tcPr>
          <w:p w14:paraId="5E5AC120" w14:textId="68493408" w:rsidR="00DD7730" w:rsidRPr="002365B4" w:rsidRDefault="00E54E3C" w:rsidP="00E54E3C">
            <w:pPr>
              <w:pStyle w:val="Tabletext6pt"/>
              <w:jc w:val="both"/>
            </w:pPr>
            <w:r w:rsidRPr="00E54E3C">
              <w:t>0.00489</w:t>
            </w:r>
          </w:p>
        </w:tc>
        <w:tc>
          <w:tcPr>
            <w:tcW w:w="1115" w:type="dxa"/>
          </w:tcPr>
          <w:p w14:paraId="2633E4D7" w14:textId="7595CFDA" w:rsidR="00DD7730" w:rsidRPr="00924D74" w:rsidRDefault="00E54E3C" w:rsidP="003E22DA">
            <w:pPr>
              <w:pStyle w:val="Tablebullet2"/>
              <w:numPr>
                <w:ilvl w:val="0"/>
                <w:numId w:val="0"/>
              </w:numPr>
            </w:pPr>
            <w:r w:rsidRPr="00E54E3C">
              <w:t>0.00343</w:t>
            </w:r>
          </w:p>
        </w:tc>
        <w:tc>
          <w:tcPr>
            <w:tcW w:w="1134" w:type="dxa"/>
          </w:tcPr>
          <w:p w14:paraId="134DFBED" w14:textId="0E00242A" w:rsidR="00DD7730" w:rsidRPr="00924D74" w:rsidRDefault="003E22DA" w:rsidP="003E22DA">
            <w:pPr>
              <w:pStyle w:val="Tablebullet2"/>
              <w:numPr>
                <w:ilvl w:val="0"/>
                <w:numId w:val="0"/>
              </w:numPr>
              <w:ind w:left="227" w:hanging="227"/>
            </w:pPr>
            <w:r w:rsidRPr="00E54E3C">
              <w:t>0.00174</w:t>
            </w:r>
          </w:p>
        </w:tc>
      </w:tr>
      <w:tr w:rsidR="00DD7730" w14:paraId="2ED8588B" w14:textId="77777777" w:rsidTr="00BB5E76">
        <w:trPr>
          <w:trHeight w:val="756"/>
        </w:trPr>
        <w:tc>
          <w:tcPr>
            <w:tcW w:w="1121" w:type="dxa"/>
            <w:shd w:val="clear" w:color="auto" w:fill="D9D9D9" w:themeFill="background1" w:themeFillShade="D9"/>
          </w:tcPr>
          <w:p w14:paraId="05842303" w14:textId="49C14309" w:rsidR="00DD7730" w:rsidRPr="002365B4" w:rsidRDefault="00E80D48" w:rsidP="00207189">
            <w:pPr>
              <w:pStyle w:val="Tabletext6pt"/>
            </w:pPr>
            <w:r w:rsidRPr="00E80D48">
              <w:rPr>
                <w:b/>
                <w:bCs/>
              </w:rPr>
              <w:t>Female</w:t>
            </w:r>
          </w:p>
        </w:tc>
        <w:tc>
          <w:tcPr>
            <w:tcW w:w="1122" w:type="dxa"/>
          </w:tcPr>
          <w:p w14:paraId="393FD2ED" w14:textId="03F5C456" w:rsidR="00DD7730" w:rsidRPr="002365B4" w:rsidRDefault="00230AF2" w:rsidP="00207189">
            <w:pPr>
              <w:pStyle w:val="Tabletext6pt"/>
            </w:pPr>
            <w:r w:rsidRPr="00230AF2">
              <w:t>0.04777</w:t>
            </w:r>
          </w:p>
        </w:tc>
        <w:tc>
          <w:tcPr>
            <w:tcW w:w="1122" w:type="dxa"/>
          </w:tcPr>
          <w:p w14:paraId="608BA7B6" w14:textId="4A104D7F" w:rsidR="00DD7730" w:rsidRPr="002365B4" w:rsidRDefault="00230AF2" w:rsidP="00207189">
            <w:pPr>
              <w:pStyle w:val="Tabletext6pt"/>
            </w:pPr>
            <w:r w:rsidRPr="00230AF2">
              <w:t>0.03377</w:t>
            </w:r>
          </w:p>
        </w:tc>
        <w:tc>
          <w:tcPr>
            <w:tcW w:w="1122" w:type="dxa"/>
          </w:tcPr>
          <w:p w14:paraId="7A1CE5ED" w14:textId="637D8ACC" w:rsidR="00DD7730" w:rsidRPr="002365B4" w:rsidRDefault="00230AF2" w:rsidP="00207189">
            <w:pPr>
              <w:pStyle w:val="Tabletext6pt"/>
            </w:pPr>
            <w:r w:rsidRPr="00230AF2">
              <w:t>0.02611</w:t>
            </w:r>
          </w:p>
        </w:tc>
        <w:tc>
          <w:tcPr>
            <w:tcW w:w="1122" w:type="dxa"/>
            <w:shd w:val="clear" w:color="auto" w:fill="auto"/>
          </w:tcPr>
          <w:p w14:paraId="68ADD43F" w14:textId="583A6675" w:rsidR="00DD7730" w:rsidRPr="00BB5E76" w:rsidRDefault="00230AF2" w:rsidP="00207189">
            <w:pPr>
              <w:pStyle w:val="Tabletext6pt"/>
            </w:pPr>
            <w:r w:rsidRPr="00BB5E76">
              <w:t>0.02064</w:t>
            </w:r>
          </w:p>
        </w:tc>
        <w:tc>
          <w:tcPr>
            <w:tcW w:w="1122" w:type="dxa"/>
          </w:tcPr>
          <w:p w14:paraId="6FB45AA3" w14:textId="71168DAD" w:rsidR="00DD7730" w:rsidRPr="002365B4" w:rsidRDefault="00230AF2" w:rsidP="00207189">
            <w:pPr>
              <w:pStyle w:val="Tabletext6pt"/>
            </w:pPr>
            <w:r>
              <w:t>0</w:t>
            </w:r>
            <w:r w:rsidRPr="00230AF2">
              <w:t>.01646</w:t>
            </w:r>
          </w:p>
        </w:tc>
        <w:tc>
          <w:tcPr>
            <w:tcW w:w="1121" w:type="dxa"/>
          </w:tcPr>
          <w:p w14:paraId="783316E3" w14:textId="391F3920" w:rsidR="00DD7730" w:rsidRPr="002365B4" w:rsidRDefault="00230AF2" w:rsidP="00207189">
            <w:pPr>
              <w:pStyle w:val="Tabletext6pt"/>
            </w:pPr>
            <w:r w:rsidRPr="00BB5E76">
              <w:t>0.01065</w:t>
            </w:r>
          </w:p>
        </w:tc>
        <w:tc>
          <w:tcPr>
            <w:tcW w:w="1122" w:type="dxa"/>
          </w:tcPr>
          <w:p w14:paraId="750612AD" w14:textId="2C0A7714" w:rsidR="00DD7730" w:rsidRPr="002365B4" w:rsidRDefault="00230AF2" w:rsidP="00207189">
            <w:pPr>
              <w:pStyle w:val="Tabletext6pt"/>
            </w:pPr>
            <w:r w:rsidRPr="00230AF2">
              <w:t>0.00886</w:t>
            </w:r>
          </w:p>
        </w:tc>
        <w:tc>
          <w:tcPr>
            <w:tcW w:w="1122" w:type="dxa"/>
          </w:tcPr>
          <w:p w14:paraId="0507739B" w14:textId="28A7E243" w:rsidR="00DD7730" w:rsidRPr="002365B4" w:rsidRDefault="00230AF2" w:rsidP="00207189">
            <w:pPr>
              <w:pStyle w:val="Tabletext6pt"/>
            </w:pPr>
            <w:r w:rsidRPr="00230AF2">
              <w:t>0.00740</w:t>
            </w:r>
          </w:p>
        </w:tc>
        <w:tc>
          <w:tcPr>
            <w:tcW w:w="1122" w:type="dxa"/>
          </w:tcPr>
          <w:p w14:paraId="09EAC56C" w14:textId="5C36F090" w:rsidR="00DD7730" w:rsidRPr="002365B4" w:rsidRDefault="00230AF2" w:rsidP="00207189">
            <w:pPr>
              <w:pStyle w:val="Tabletext6pt"/>
            </w:pPr>
            <w:r w:rsidRPr="00230AF2">
              <w:t>0.00586</w:t>
            </w:r>
          </w:p>
        </w:tc>
        <w:tc>
          <w:tcPr>
            <w:tcW w:w="1115" w:type="dxa"/>
          </w:tcPr>
          <w:p w14:paraId="0EA477FC" w14:textId="767C561A" w:rsidR="00DD7730" w:rsidRDefault="00230AF2" w:rsidP="00230AF2">
            <w:pPr>
              <w:pStyle w:val="Tablebullet1"/>
              <w:numPr>
                <w:ilvl w:val="0"/>
                <w:numId w:val="0"/>
              </w:numPr>
            </w:pPr>
            <w:r w:rsidRPr="00230AF2">
              <w:t>0.00409</w:t>
            </w:r>
          </w:p>
        </w:tc>
        <w:tc>
          <w:tcPr>
            <w:tcW w:w="1134" w:type="dxa"/>
          </w:tcPr>
          <w:p w14:paraId="569BB76B" w14:textId="6AAC6A4A" w:rsidR="00DD7730" w:rsidRDefault="00230AF2" w:rsidP="00230AF2">
            <w:pPr>
              <w:pStyle w:val="Tablebullet1"/>
              <w:numPr>
                <w:ilvl w:val="0"/>
                <w:numId w:val="0"/>
              </w:numPr>
            </w:pPr>
            <w:r w:rsidRPr="00230AF2">
              <w:t>0.00214</w:t>
            </w:r>
          </w:p>
        </w:tc>
      </w:tr>
    </w:tbl>
    <w:p w14:paraId="6F76CB79" w14:textId="77777777" w:rsidR="00E80D48" w:rsidRDefault="00E80D48" w:rsidP="00C51F0A">
      <w:pPr>
        <w:pStyle w:val="Tablefigurenote"/>
      </w:pPr>
    </w:p>
    <w:tbl>
      <w:tblPr>
        <w:tblStyle w:val="TableGrid"/>
        <w:tblpPr w:leftFromText="180" w:rightFromText="180" w:vertAnchor="text" w:horzAnchor="margin" w:tblpY="1510"/>
        <w:tblW w:w="13603" w:type="dxa"/>
        <w:tblCellMar>
          <w:bottom w:w="108" w:type="dxa"/>
        </w:tblCellMar>
        <w:tblLook w:val="0600" w:firstRow="0" w:lastRow="0" w:firstColumn="0" w:lastColumn="0" w:noHBand="1" w:noVBand="1"/>
      </w:tblPr>
      <w:tblGrid>
        <w:gridCol w:w="13603"/>
      </w:tblGrid>
      <w:tr w:rsidR="008A15CF" w14:paraId="7EF327E8" w14:textId="77777777" w:rsidTr="008A15CF">
        <w:tc>
          <w:tcPr>
            <w:tcW w:w="13603" w:type="dxa"/>
          </w:tcPr>
          <w:p w14:paraId="3B9D52AF" w14:textId="77777777" w:rsidR="008A15CF" w:rsidRDefault="008A15CF" w:rsidP="008A15CF">
            <w:pPr>
              <w:pStyle w:val="Imprint"/>
              <w:rPr>
                <w:color w:val="auto"/>
                <w:sz w:val="24"/>
                <w:szCs w:val="19"/>
              </w:rPr>
            </w:pPr>
            <w:bookmarkStart w:id="4" w:name="_Hlk37240926"/>
            <w:r w:rsidRPr="00F8298A">
              <w:rPr>
                <w:color w:val="auto"/>
                <w:sz w:val="24"/>
                <w:szCs w:val="19"/>
              </w:rPr>
              <w:t xml:space="preserve">To receive this document in another format, phone 1300 767 469, using the National Relay Service 13 36 77 if required, or </w:t>
            </w:r>
            <w:hyperlink r:id="rId21" w:history="1">
              <w:r w:rsidRPr="00F8298A">
                <w:rPr>
                  <w:rStyle w:val="Hyperlink"/>
                  <w:sz w:val="24"/>
                  <w:szCs w:val="19"/>
                </w:rPr>
                <w:t>email Radiation Team</w:t>
              </w:r>
            </w:hyperlink>
            <w:r w:rsidRPr="00F8298A">
              <w:rPr>
                <w:color w:val="auto"/>
                <w:sz w:val="24"/>
                <w:szCs w:val="19"/>
              </w:rPr>
              <w:t xml:space="preserve"> &lt;Radiation.Safety@health.vic.gov.au&gt;.</w:t>
            </w:r>
          </w:p>
          <w:p w14:paraId="1D79E821" w14:textId="77777777" w:rsidR="008A15CF" w:rsidRDefault="008A15CF" w:rsidP="008A15CF">
            <w:pPr>
              <w:pStyle w:val="Imprint"/>
              <w:rPr>
                <w:color w:val="auto"/>
                <w:sz w:val="24"/>
                <w:szCs w:val="19"/>
              </w:rPr>
            </w:pPr>
          </w:p>
          <w:p w14:paraId="68CB0AAF" w14:textId="77777777" w:rsidR="008A15CF" w:rsidRPr="0055119B" w:rsidRDefault="008A15CF" w:rsidP="008A15CF">
            <w:pPr>
              <w:pStyle w:val="Imprint"/>
            </w:pPr>
            <w:r w:rsidRPr="0055119B">
              <w:t>Authorised and published by the Victorian Government, 1 Treasury Place, Melbourne.</w:t>
            </w:r>
          </w:p>
          <w:p w14:paraId="5065CD77" w14:textId="25E97893" w:rsidR="008A15CF" w:rsidRPr="0055119B" w:rsidRDefault="008A15CF" w:rsidP="008A15CF">
            <w:pPr>
              <w:pStyle w:val="Imprint"/>
            </w:pPr>
            <w:r w:rsidRPr="0055119B">
              <w:t xml:space="preserve">© State of Victoria, Australia, </w:t>
            </w:r>
            <w:r w:rsidRPr="001E2A36">
              <w:t>Department of Health</w:t>
            </w:r>
            <w:r w:rsidRPr="0055119B">
              <w:t xml:space="preserve">, </w:t>
            </w:r>
            <w:r w:rsidR="00180797">
              <w:rPr>
                <w:color w:val="004C97"/>
              </w:rPr>
              <w:t>June</w:t>
            </w:r>
            <w:r>
              <w:rPr>
                <w:color w:val="004C97"/>
              </w:rPr>
              <w:t xml:space="preserve"> 2023. </w:t>
            </w:r>
          </w:p>
          <w:p w14:paraId="6C882BAA" w14:textId="3B11D611" w:rsidR="008A15CF" w:rsidRPr="0055119B" w:rsidRDefault="008A15CF" w:rsidP="008A15CF">
            <w:pPr>
              <w:pStyle w:val="Imprint"/>
            </w:pPr>
            <w:r w:rsidRPr="0055119B">
              <w:t xml:space="preserve">Available at </w:t>
            </w:r>
            <w:hyperlink r:id="rId22" w:history="1">
              <w:r w:rsidRPr="008A15CF">
                <w:rPr>
                  <w:rStyle w:val="Hyperlink"/>
                </w:rPr>
                <w:t>Radiation website</w:t>
              </w:r>
            </w:hyperlink>
            <w:r>
              <w:rPr>
                <w:color w:val="004C97"/>
              </w:rPr>
              <w:t xml:space="preserve"> </w:t>
            </w:r>
            <w:r w:rsidRPr="008A15CF">
              <w:rPr>
                <w:color w:val="auto"/>
              </w:rPr>
              <w:t>&lt;https://www.health.vic.gov.au/publications/standard-radiation-risk-statements&gt;</w:t>
            </w:r>
          </w:p>
          <w:p w14:paraId="3F000601" w14:textId="77777777" w:rsidR="008A15CF" w:rsidRDefault="008A15CF" w:rsidP="008A15CF">
            <w:pPr>
              <w:pStyle w:val="Imprint"/>
            </w:pPr>
          </w:p>
        </w:tc>
      </w:tr>
    </w:tbl>
    <w:bookmarkEnd w:id="4"/>
    <w:p w14:paraId="2050368E" w14:textId="3E882932" w:rsidR="00F8298A" w:rsidRPr="00825FFA" w:rsidRDefault="00825FFA" w:rsidP="00825FFA">
      <w:pPr>
        <w:rPr>
          <w:b/>
          <w:bCs/>
        </w:rPr>
        <w:sectPr w:rsidR="00F8298A" w:rsidRPr="00825FFA" w:rsidSect="00E03C59">
          <w:type w:val="continuous"/>
          <w:pgSz w:w="16838" w:h="11906" w:orient="landscape" w:code="9"/>
          <w:pgMar w:top="851" w:right="1418" w:bottom="851" w:left="1418" w:header="680" w:footer="851" w:gutter="0"/>
          <w:cols w:space="340"/>
          <w:docGrid w:linePitch="360"/>
        </w:sectPr>
      </w:pPr>
      <w:r w:rsidRPr="00825FFA">
        <w:rPr>
          <w:b/>
          <w:bCs/>
        </w:rPr>
        <w:t>From BEIR VII Phase 2, Health Risks from Exposure to Low Levels of Ionizing Radiation, United States National Aca</w:t>
      </w:r>
    </w:p>
    <w:p w14:paraId="43FF7612" w14:textId="514EDD6D" w:rsidR="00162CA9" w:rsidRDefault="00162CA9" w:rsidP="008A15CF">
      <w:pPr>
        <w:pStyle w:val="Accessibilitypara"/>
      </w:pPr>
    </w:p>
    <w:sectPr w:rsidR="00162CA9" w:rsidSect="00E03C59">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5CD54" w14:textId="77777777" w:rsidR="00145E4A" w:rsidRDefault="00145E4A">
      <w:r>
        <w:separator/>
      </w:r>
    </w:p>
  </w:endnote>
  <w:endnote w:type="continuationSeparator" w:id="0">
    <w:p w14:paraId="2BA359EF" w14:textId="77777777" w:rsidR="00145E4A" w:rsidRDefault="0014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69F99" w14:textId="77777777" w:rsidR="002D5FAB" w:rsidRDefault="002D5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3C6794B0" w:rsidR="00E261B3" w:rsidRPr="00F65AA9" w:rsidRDefault="00825FFA" w:rsidP="00F84FA0">
    <w:pPr>
      <w:pStyle w:val="Footer"/>
    </w:pPr>
    <w:r>
      <w:rPr>
        <w:noProof/>
        <w:lang w:eastAsia="en-AU"/>
      </w:rPr>
      <mc:AlternateContent>
        <mc:Choice Requires="wps">
          <w:drawing>
            <wp:anchor distT="0" distB="0" distL="114300" distR="114300" simplePos="0" relativeHeight="251710976" behindDoc="0" locked="0" layoutInCell="0" allowOverlap="1" wp14:anchorId="6CBFE86B" wp14:editId="3926D183">
              <wp:simplePos x="0" y="0"/>
              <wp:positionH relativeFrom="page">
                <wp:align>center</wp:align>
              </wp:positionH>
              <wp:positionV relativeFrom="page">
                <wp:align>bottom</wp:align>
              </wp:positionV>
              <wp:extent cx="7772400" cy="502285"/>
              <wp:effectExtent l="0" t="0" r="0" b="12065"/>
              <wp:wrapNone/>
              <wp:docPr id="3" name="MSIPCM66d7499898d410b66c44f922"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03D65A" w14:textId="0A519239" w:rsidR="00825FFA" w:rsidRPr="002D5FAB" w:rsidRDefault="002D5FAB" w:rsidP="002D5FAB">
                          <w:pPr>
                            <w:spacing w:after="0"/>
                            <w:jc w:val="center"/>
                            <w:rPr>
                              <w:rFonts w:ascii="Arial Black" w:hAnsi="Arial Black"/>
                              <w:color w:val="000000"/>
                              <w:sz w:val="20"/>
                            </w:rPr>
                          </w:pPr>
                          <w:r w:rsidRPr="002D5FA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CBFE86B" id="_x0000_t202" coordsize="21600,21600" o:spt="202" path="m,l,21600r21600,l21600,xe">
              <v:stroke joinstyle="miter"/>
              <v:path gradientshapeok="t" o:connecttype="rect"/>
            </v:shapetype>
            <v:shape id="MSIPCM66d7499898d410b66c44f922" o:spid="_x0000_s1026"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71097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" o:allowincell="f" filled="f" stroked="f" strokeweight=".5pt">
              <v:textbox inset=",0,,0">
                <w:txbxContent>
                  <w:p w14:paraId="6D03D65A" w14:textId="0A519239" w:rsidR="00825FFA" w:rsidRPr="002D5FAB" w:rsidRDefault="002D5FAB" w:rsidP="002D5FAB">
                    <w:pPr>
                      <w:spacing w:after="0"/>
                      <w:jc w:val="center"/>
                      <w:rPr>
                        <w:rFonts w:ascii="Arial Black" w:hAnsi="Arial Black"/>
                        <w:color w:val="000000"/>
                        <w:sz w:val="20"/>
                      </w:rPr>
                    </w:pPr>
                    <w:r w:rsidRPr="002D5FAB">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7411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0A51D467" w:rsidR="00373890" w:rsidRPr="00F65AA9" w:rsidRDefault="00825FFA" w:rsidP="00F84FA0">
    <w:pPr>
      <w:pStyle w:val="Footer"/>
    </w:pPr>
    <w:r>
      <w:rPr>
        <w:noProof/>
      </w:rPr>
      <mc:AlternateContent>
        <mc:Choice Requires="wps">
          <w:drawing>
            <wp:anchor distT="0" distB="0" distL="114300" distR="114300" simplePos="0" relativeHeight="251712000" behindDoc="0" locked="0" layoutInCell="0" allowOverlap="1" wp14:anchorId="004E1FDB" wp14:editId="576863C6">
              <wp:simplePos x="0" y="0"/>
              <wp:positionH relativeFrom="page">
                <wp:align>center</wp:align>
              </wp:positionH>
              <wp:positionV relativeFrom="page">
                <wp:align>bottom</wp:align>
              </wp:positionV>
              <wp:extent cx="7772400" cy="502285"/>
              <wp:effectExtent l="0" t="0" r="0" b="12065"/>
              <wp:wrapNone/>
              <wp:docPr id="4" name="MSIPCMa1cc4cd4b9ae62f8e2880633" descr="{&quot;HashCode&quot;:904758361,&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D08165" w14:textId="73E0E0EE" w:rsidR="00825FFA" w:rsidRPr="002D5FAB" w:rsidRDefault="002D5FAB" w:rsidP="002D5FAB">
                          <w:pPr>
                            <w:spacing w:after="0"/>
                            <w:jc w:val="center"/>
                            <w:rPr>
                              <w:rFonts w:ascii="Arial Black" w:hAnsi="Arial Black"/>
                              <w:color w:val="000000"/>
                              <w:sz w:val="20"/>
                            </w:rPr>
                          </w:pPr>
                          <w:r w:rsidRPr="002D5FA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04E1FDB" id="_x0000_t202" coordsize="21600,21600" o:spt="202" path="m,l,21600r21600,l21600,xe">
              <v:stroke joinstyle="miter"/>
              <v:path gradientshapeok="t" o:connecttype="rect"/>
            </v:shapetype>
            <v:shape id="MSIPCMa1cc4cd4b9ae62f8e2880633" o:spid="_x0000_s1028" type="#_x0000_t202" alt="{&quot;HashCode&quot;:904758361,&quot;Height&quot;:9999999.0,&quot;Width&quot;:9999999.0,&quot;Placement&quot;:&quot;Footer&quot;,&quot;Index&quot;:&quot;Primary&quot;,&quot;Section&quot;:2,&quot;Top&quot;:0.0,&quot;Left&quot;:0.0}" style="position:absolute;left:0;text-align:left;margin-left:0;margin-top:0;width:612pt;height:39.55pt;z-index:25171200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textbox inset=",0,,0">
                <w:txbxContent>
                  <w:p w14:paraId="7AD08165" w14:textId="73E0E0EE" w:rsidR="00825FFA" w:rsidRPr="002D5FAB" w:rsidRDefault="002D5FAB" w:rsidP="002D5FAB">
                    <w:pPr>
                      <w:spacing w:after="0"/>
                      <w:jc w:val="center"/>
                      <w:rPr>
                        <w:rFonts w:ascii="Arial Black" w:hAnsi="Arial Black"/>
                        <w:color w:val="000000"/>
                        <w:sz w:val="20"/>
                      </w:rPr>
                    </w:pPr>
                    <w:r w:rsidRPr="002D5FAB">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1ACCB641" wp14:editId="3A78911D">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ACCB641"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F23403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2D2BB" w14:textId="77777777" w:rsidR="00145E4A" w:rsidRDefault="00145E4A" w:rsidP="002862F1">
      <w:pPr>
        <w:spacing w:before="120"/>
      </w:pPr>
      <w:r>
        <w:separator/>
      </w:r>
    </w:p>
  </w:footnote>
  <w:footnote w:type="continuationSeparator" w:id="0">
    <w:p w14:paraId="3B7C756A" w14:textId="77777777" w:rsidR="00145E4A" w:rsidRDefault="00145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0C5B2" w14:textId="77777777" w:rsidR="002D5FAB" w:rsidRDefault="002D5F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72C2A" w14:textId="77777777" w:rsidR="002D5FAB" w:rsidRDefault="002D5F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5474657"/>
    <w:multiLevelType w:val="hybridMultilevel"/>
    <w:tmpl w:val="8E0248D2"/>
    <w:lvl w:ilvl="0" w:tplc="0C090001">
      <w:start w:val="1"/>
      <w:numFmt w:va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166167187">
    <w:abstractNumId w:val="10"/>
  </w:num>
  <w:num w:numId="2" w16cid:durableId="2032294293">
    <w:abstractNumId w:val="18"/>
  </w:num>
  <w:num w:numId="3" w16cid:durableId="13893826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00315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72837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90281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3353884">
    <w:abstractNumId w:val="22"/>
  </w:num>
  <w:num w:numId="8" w16cid:durableId="2043897802">
    <w:abstractNumId w:val="17"/>
  </w:num>
  <w:num w:numId="9" w16cid:durableId="112673136">
    <w:abstractNumId w:val="21"/>
  </w:num>
  <w:num w:numId="10" w16cid:durableId="4874063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1352151">
    <w:abstractNumId w:val="23"/>
  </w:num>
  <w:num w:numId="12" w16cid:durableId="13681400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9047008">
    <w:abstractNumId w:val="19"/>
  </w:num>
  <w:num w:numId="14" w16cid:durableId="896613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94880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28224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12639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9161596">
    <w:abstractNumId w:val="25"/>
  </w:num>
  <w:num w:numId="19" w16cid:durableId="5564763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4104075">
    <w:abstractNumId w:val="14"/>
  </w:num>
  <w:num w:numId="21" w16cid:durableId="699088807">
    <w:abstractNumId w:val="12"/>
  </w:num>
  <w:num w:numId="22" w16cid:durableId="7402518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2238188">
    <w:abstractNumId w:val="15"/>
  </w:num>
  <w:num w:numId="24" w16cid:durableId="779684900">
    <w:abstractNumId w:val="26"/>
  </w:num>
  <w:num w:numId="25" w16cid:durableId="138351251">
    <w:abstractNumId w:val="24"/>
  </w:num>
  <w:num w:numId="26" w16cid:durableId="194269323">
    <w:abstractNumId w:val="20"/>
  </w:num>
  <w:num w:numId="27" w16cid:durableId="535503948">
    <w:abstractNumId w:val="11"/>
  </w:num>
  <w:num w:numId="28" w16cid:durableId="1602493190">
    <w:abstractNumId w:val="27"/>
  </w:num>
  <w:num w:numId="29" w16cid:durableId="1636449707">
    <w:abstractNumId w:val="9"/>
  </w:num>
  <w:num w:numId="30" w16cid:durableId="1479884755">
    <w:abstractNumId w:val="7"/>
  </w:num>
  <w:num w:numId="31" w16cid:durableId="1984458381">
    <w:abstractNumId w:val="6"/>
  </w:num>
  <w:num w:numId="32" w16cid:durableId="1926916829">
    <w:abstractNumId w:val="5"/>
  </w:num>
  <w:num w:numId="33" w16cid:durableId="2126541233">
    <w:abstractNumId w:val="4"/>
  </w:num>
  <w:num w:numId="34" w16cid:durableId="406877310">
    <w:abstractNumId w:val="8"/>
  </w:num>
  <w:num w:numId="35" w16cid:durableId="42947646">
    <w:abstractNumId w:val="3"/>
  </w:num>
  <w:num w:numId="36" w16cid:durableId="1874346498">
    <w:abstractNumId w:val="2"/>
  </w:num>
  <w:num w:numId="37" w16cid:durableId="1560243429">
    <w:abstractNumId w:val="1"/>
  </w:num>
  <w:num w:numId="38" w16cid:durableId="891502327">
    <w:abstractNumId w:val="0"/>
  </w:num>
  <w:num w:numId="39" w16cid:durableId="8025819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98606865">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9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A4D"/>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511D"/>
    <w:rsid w:val="000E6BD4"/>
    <w:rsid w:val="000E6D6D"/>
    <w:rsid w:val="000F08A8"/>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33D85"/>
    <w:rsid w:val="00135E7D"/>
    <w:rsid w:val="0014255B"/>
    <w:rsid w:val="001447B3"/>
    <w:rsid w:val="00145E4A"/>
    <w:rsid w:val="00152073"/>
    <w:rsid w:val="00154E2D"/>
    <w:rsid w:val="00156598"/>
    <w:rsid w:val="00161939"/>
    <w:rsid w:val="00161AA0"/>
    <w:rsid w:val="00161D2E"/>
    <w:rsid w:val="00161F3E"/>
    <w:rsid w:val="00162093"/>
    <w:rsid w:val="00162CA9"/>
    <w:rsid w:val="00163E41"/>
    <w:rsid w:val="00165459"/>
    <w:rsid w:val="00165A57"/>
    <w:rsid w:val="001712C2"/>
    <w:rsid w:val="00172BAF"/>
    <w:rsid w:val="001771DD"/>
    <w:rsid w:val="00177995"/>
    <w:rsid w:val="00177A8C"/>
    <w:rsid w:val="00180797"/>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0AF2"/>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D5FAB"/>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314"/>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22DA"/>
    <w:rsid w:val="003E375C"/>
    <w:rsid w:val="003E4086"/>
    <w:rsid w:val="003E639E"/>
    <w:rsid w:val="003E71E5"/>
    <w:rsid w:val="003F0445"/>
    <w:rsid w:val="003F0CF0"/>
    <w:rsid w:val="003F14B1"/>
    <w:rsid w:val="003F2B20"/>
    <w:rsid w:val="003F30C3"/>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654A"/>
    <w:rsid w:val="004A707D"/>
    <w:rsid w:val="004B6260"/>
    <w:rsid w:val="004C3E02"/>
    <w:rsid w:val="004C5541"/>
    <w:rsid w:val="004C6EEE"/>
    <w:rsid w:val="004C702B"/>
    <w:rsid w:val="004C7ABD"/>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15FF3"/>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E468A"/>
    <w:rsid w:val="006F0330"/>
    <w:rsid w:val="006F1FDC"/>
    <w:rsid w:val="006F6B8C"/>
    <w:rsid w:val="007013EF"/>
    <w:rsid w:val="00704FC5"/>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9CA"/>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25FFA"/>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15CF"/>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5315"/>
    <w:rsid w:val="009E7F92"/>
    <w:rsid w:val="009F02A3"/>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3CFE"/>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701"/>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5E76"/>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07CAE"/>
    <w:rsid w:val="00C10037"/>
    <w:rsid w:val="00C123EA"/>
    <w:rsid w:val="00C12A49"/>
    <w:rsid w:val="00C133EE"/>
    <w:rsid w:val="00C149D0"/>
    <w:rsid w:val="00C26588"/>
    <w:rsid w:val="00C27DE9"/>
    <w:rsid w:val="00C32989"/>
    <w:rsid w:val="00C33388"/>
    <w:rsid w:val="00C35484"/>
    <w:rsid w:val="00C4173A"/>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C61F3"/>
    <w:rsid w:val="00CD3476"/>
    <w:rsid w:val="00CD64DF"/>
    <w:rsid w:val="00CE225F"/>
    <w:rsid w:val="00CF2F50"/>
    <w:rsid w:val="00CF6198"/>
    <w:rsid w:val="00D02919"/>
    <w:rsid w:val="00D04C61"/>
    <w:rsid w:val="00D05B8D"/>
    <w:rsid w:val="00D065A2"/>
    <w:rsid w:val="00D079AA"/>
    <w:rsid w:val="00D07F00"/>
    <w:rsid w:val="00D1130F"/>
    <w:rsid w:val="00D17B72"/>
    <w:rsid w:val="00D20C01"/>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D7730"/>
    <w:rsid w:val="00DE1745"/>
    <w:rsid w:val="00DE2D04"/>
    <w:rsid w:val="00DE3250"/>
    <w:rsid w:val="00DE451A"/>
    <w:rsid w:val="00DE6028"/>
    <w:rsid w:val="00DE78A3"/>
    <w:rsid w:val="00DF1A71"/>
    <w:rsid w:val="00DF50FC"/>
    <w:rsid w:val="00DF68C7"/>
    <w:rsid w:val="00DF731A"/>
    <w:rsid w:val="00E03C59"/>
    <w:rsid w:val="00E06B75"/>
    <w:rsid w:val="00E11332"/>
    <w:rsid w:val="00E11352"/>
    <w:rsid w:val="00E170DC"/>
    <w:rsid w:val="00E17546"/>
    <w:rsid w:val="00E210B5"/>
    <w:rsid w:val="00E24C73"/>
    <w:rsid w:val="00E261B3"/>
    <w:rsid w:val="00E26818"/>
    <w:rsid w:val="00E27FFC"/>
    <w:rsid w:val="00E30B15"/>
    <w:rsid w:val="00E33237"/>
    <w:rsid w:val="00E40181"/>
    <w:rsid w:val="00E54950"/>
    <w:rsid w:val="00E54E3C"/>
    <w:rsid w:val="00E56A01"/>
    <w:rsid w:val="00E62622"/>
    <w:rsid w:val="00E629A1"/>
    <w:rsid w:val="00E6794C"/>
    <w:rsid w:val="00E71591"/>
    <w:rsid w:val="00E71CEB"/>
    <w:rsid w:val="00E7474F"/>
    <w:rsid w:val="00E80D48"/>
    <w:rsid w:val="00E80DE3"/>
    <w:rsid w:val="00E82C55"/>
    <w:rsid w:val="00E8787E"/>
    <w:rsid w:val="00E92AC3"/>
    <w:rsid w:val="00EA1360"/>
    <w:rsid w:val="00EA2F6A"/>
    <w:rsid w:val="00EA2FDD"/>
    <w:rsid w:val="00EA6BE1"/>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47B0C"/>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298A"/>
    <w:rsid w:val="00F83103"/>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arpansa.gov.au/sites/default/files/legacy/pubs/rps/rps8.pdf" TargetMode="External"/><Relationship Id="rId3" Type="http://schemas.openxmlformats.org/officeDocument/2006/relationships/customXml" Target="../customXml/item3.xml"/><Relationship Id="rId21" Type="http://schemas.openxmlformats.org/officeDocument/2006/relationships/hyperlink" Target="mailto:Radiation.Safety@healt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arpansa.gov.au/pubs/rps/rps8.p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ealth.vic.gov.au/publications/standard-radiation-risk-statement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yperlinkbase xmlns="48a3a529-1f19-4207-8ed6-979d0ffc11ef">https://dhhsvicgovau.sharepoint.com/:w:/s/health/EfWE1MaM091KmQAbxOV76oQBjlKVGGXZ-KGB_8f7MHqinw</Hyperlinkbase>
    <Owner xmlns="48a3a529-1f19-4207-8ed6-979d0ffc11ef">
      <UserInfo>
        <DisplayName>Publishing Studio (DHHS)</DisplayName>
        <AccountId>73</AccountId>
        <AccountType/>
      </UserInfo>
    </Owner>
    <Share xmlns="48a3a529-1f19-4207-8ed6-979d0ffc11ef">Share icon</Share>
    <Review_x0020_date xmlns="48a3a529-1f19-4207-8ed6-979d0ffc11ef" xsi:nil="true"/>
    <Category xmlns="48a3a529-1f19-4207-8ed6-979d0ffc11ef">Factsheet</Category>
    <TaxCatchAll xmlns="5ce0f2b5-5be5-4508-bce9-d7011ece0659">
      <Value>17</Value>
    </TaxCatchAll>
    <n344420ac34640a081d490ac6ceaf7fb xmlns="48a3a529-1f19-4207-8ed6-979d0ffc11ef">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74cf097d-f69e-47d4-ab23-b0e64f517102</TermId>
        </TermInfo>
      </Terms>
    </n344420ac34640a081d490ac6ceaf7fb>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F09B2A9B27F54CA0FADF9CF6F58BF5" ma:contentTypeVersion="42" ma:contentTypeDescription="Create a new document." ma:contentTypeScope="" ma:versionID="59a52fb17622feca463e8744fd004fc4">
  <xsd:schema xmlns:xsd="http://www.w3.org/2001/XMLSchema" xmlns:xs="http://www.w3.org/2001/XMLSchema" xmlns:p="http://schemas.microsoft.com/office/2006/metadata/properties" xmlns:ns2="48a3a529-1f19-4207-8ed6-979d0ffc11ef" xmlns:ns3="edc24be7-85b6-48b8-bec8-bca4fac6ccab" xmlns:ns4="5ce0f2b5-5be5-4508-bce9-d7011ece0659" targetNamespace="http://schemas.microsoft.com/office/2006/metadata/properties" ma:root="true" ma:fieldsID="e91f48baac8a7a0e46215464e6c25ebf" ns2:_="" ns3:_="" ns4:_="">
    <xsd:import namespace="48a3a529-1f19-4207-8ed6-979d0ffc11ef"/>
    <xsd:import namespace="edc24be7-85b6-48b8-bec8-bca4fac6ccab"/>
    <xsd:import namespace="5ce0f2b5-5be5-4508-bce9-d7011ece0659"/>
    <xsd:element name="properties">
      <xsd:complexType>
        <xsd:sequence>
          <xsd:element name="documentManagement">
            <xsd:complexType>
              <xsd:all>
                <xsd:element ref="ns2:Shar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Owner" minOccurs="0"/>
                <xsd:element ref="ns2:Hyperlinkbase" minOccurs="0"/>
                <xsd:element ref="ns2:Review_x0020_date" minOccurs="0"/>
                <xsd:element ref="ns2:Category" minOccurs="0"/>
                <xsd:element ref="ns2:n344420ac34640a081d490ac6ceaf7fb"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3a529-1f19-4207-8ed6-979d0ffc11ef" elementFormDefault="qualified">
    <xsd:import namespace="http://schemas.microsoft.com/office/2006/documentManagement/types"/>
    <xsd:import namespace="http://schemas.microsoft.com/office/infopath/2007/PartnerControls"/>
    <xsd:element name="Share" ma:index="3" nillable="true" ma:displayName="Share" ma:default="Share icon" ma:description="Share icon action button." ma:format="Dropdown" ma:internalName="Shar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Owner" ma:index="16" nillable="true" ma:displayName="Template owner" ma:description="Owner of the template" ma:format="Dropdown"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yperlinkbase" ma:index="17" nillable="true" ma:displayName="Hyperlink base" ma:description="Link copied from O365 column to this field and placed in the doc property." ma:format="Dropdown" ma:internalName="Hyperlinkbase">
      <xsd:simpleType>
        <xsd:restriction base="dms:Text">
          <xsd:maxLength value="255"/>
        </xsd:restriction>
      </xsd:simpleType>
    </xsd:element>
    <xsd:element name="Review_x0020_date" ma:index="19" nillable="true" ma:displayName="Review date" ma:format="DateOnly" ma:internalName="Review_x0020_date">
      <xsd:simpleType>
        <xsd:restriction base="dms:DateTime"/>
      </xsd:simpleType>
    </xsd:element>
    <xsd:element name="Category" ma:index="22" nillable="true" ma:displayName="Category" ma:description="Type of template" ma:format="Dropdown" ma:internalName="Category">
      <xsd:simpleType>
        <xsd:restriction base="dms:Choice">
          <xsd:enumeration value="Factsheet"/>
          <xsd:enumeration value="Factsheet Landscape"/>
          <xsd:enumeration value="Report"/>
          <xsd:enumeration value="Presentation"/>
          <xsd:enumeration value="COVID-19"/>
        </xsd:restriction>
      </xsd:simpleType>
    </xsd:element>
    <xsd:element name="n344420ac34640a081d490ac6ceaf7fb" ma:index="24" nillable="true" ma:taxonomy="true" ma:internalName="n344420ac34640a081d490ac6ceaf7fb" ma:taxonomyFieldName="Tags" ma:displayName="Tags" ma:default="17;#Templates|74cf097d-f69e-47d4-ab23-b0e64f517102" ma:fieldId="{7344420a-c346-40a0-81d4-90ac6ceaf7fb}" ma:sspId="6e24e156-28e6-48ad-9c0f-4171595c9d94" ma:termSetId="da07054f-236e-4e2b-bd68-a1d5fc8999e1"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c24be7-85b6-48b8-bec8-bca4fac6ccab"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a03706d-99f5-4714-9c22-0cab5629b031}" ma:internalName="TaxCatchAll"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48a3a529-1f19-4207-8ed6-979d0ffc11ef"/>
    <ds:schemaRef ds:uri="5ce0f2b5-5be5-4508-bce9-d7011ece0659"/>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55F51BF-05AA-4045-B4C3-FFBC66AF6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3a529-1f19-4207-8ed6-979d0ffc11ef"/>
    <ds:schemaRef ds:uri="edc24be7-85b6-48b8-bec8-bca4fac6cca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1040</Words>
  <Characters>5930</Characters>
  <Application>Microsoft Office Word</Application>
  <DocSecurity>2</DocSecurity>
  <Lines>49</Lines>
  <Paragraphs>13</Paragraphs>
  <ScaleCrop>false</ScaleCrop>
  <HeadingPairs>
    <vt:vector size="2" baseType="variant">
      <vt:variant>
        <vt:lpstr>Title</vt:lpstr>
      </vt:variant>
      <vt:variant>
        <vt:i4>1</vt:i4>
      </vt:variant>
    </vt:vector>
  </HeadingPairs>
  <TitlesOfParts>
    <vt:vector size="1" baseType="lpstr">
      <vt:lpstr>Standard radiation risk statements</vt:lpstr>
    </vt:vector>
  </TitlesOfParts>
  <Manager/>
  <Company>Victoria State Government, Department of Health</Company>
  <LinksUpToDate>false</LinksUpToDate>
  <CharactersWithSpaces>6957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radiation risk statements</dc:title>
  <dc:subject/>
  <dc:creator>Microsoft Office User</dc:creator>
  <cp:keywords/>
  <dc:description/>
  <cp:revision>6</cp:revision>
  <cp:lastPrinted>2020-03-30T03:28:00Z</cp:lastPrinted>
  <dcterms:created xsi:type="dcterms:W3CDTF">2023-06-01T06:44:00Z</dcterms:created>
  <dcterms:modified xsi:type="dcterms:W3CDTF">2023-08-04T04:21:00Z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0x010100F6F09B2A9B27F54CA0FADF9CF6F58BF5</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43e64453-338c-4f93-8a4d-0039a0a41f2a_Enabled">
    <vt:lpwstr>true</vt:lpwstr>
  </property>
  <property fmtid="{D5CDD505-2E9C-101B-9397-08002B2CF9AE}" pid="16" name="MSIP_Label_43e64453-338c-4f93-8a4d-0039a0a41f2a_SetDate">
    <vt:lpwstr>2023-08-04T04:21:23Z</vt:lpwstr>
  </property>
  <property fmtid="{D5CDD505-2E9C-101B-9397-08002B2CF9AE}" pid="17" name="MSIP_Label_43e64453-338c-4f93-8a4d-0039a0a41f2a_Method">
    <vt:lpwstr>Privileged</vt:lpwstr>
  </property>
  <property fmtid="{D5CDD505-2E9C-101B-9397-08002B2CF9AE}" pid="18" name="MSIP_Label_43e64453-338c-4f93-8a4d-0039a0a41f2a_Name">
    <vt:lpwstr>43e64453-338c-4f93-8a4d-0039a0a41f2a</vt:lpwstr>
  </property>
  <property fmtid="{D5CDD505-2E9C-101B-9397-08002B2CF9AE}" pid="19" name="MSIP_Label_43e64453-338c-4f93-8a4d-0039a0a41f2a_SiteId">
    <vt:lpwstr>c0e0601f-0fac-449c-9c88-a104c4eb9f28</vt:lpwstr>
  </property>
  <property fmtid="{D5CDD505-2E9C-101B-9397-08002B2CF9AE}" pid="20" name="MSIP_Label_43e64453-338c-4f93-8a4d-0039a0a41f2a_ActionId">
    <vt:lpwstr>77002dd8-5a8b-4737-a34a-e7e07eae971d</vt:lpwstr>
  </property>
  <property fmtid="{D5CDD505-2E9C-101B-9397-08002B2CF9AE}" pid="21" name="MSIP_Label_43e64453-338c-4f93-8a4d-0039a0a41f2a_ContentBits">
    <vt:lpwstr>2</vt:lpwstr>
  </property>
</Properties>
</file>