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DAF4F" w14:textId="55F120E2" w:rsidR="00056EC4" w:rsidRDefault="00E9042A" w:rsidP="00056EC4">
      <w:pPr>
        <w:pStyle w:val="Body"/>
      </w:pPr>
      <w:r>
        <w:rPr>
          <w:noProof/>
        </w:rPr>
        <w:drawing>
          <wp:anchor distT="0" distB="0" distL="114300" distR="114300" simplePos="0" relativeHeight="251658241" behindDoc="1" locked="1" layoutInCell="1" allowOverlap="0" wp14:anchorId="72F79640" wp14:editId="522B779B">
            <wp:simplePos x="0" y="0"/>
            <wp:positionH relativeFrom="page">
              <wp:align>left</wp:align>
            </wp:positionH>
            <wp:positionV relativeFrom="page">
              <wp:align>top</wp:align>
            </wp:positionV>
            <wp:extent cx="7555865" cy="10147935"/>
            <wp:effectExtent l="0" t="0" r="6985" b="571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1"/>
                    <a:stretch>
                      <a:fillRect/>
                    </a:stretch>
                  </pic:blipFill>
                  <pic:spPr>
                    <a:xfrm>
                      <a:off x="0" y="0"/>
                      <a:ext cx="7555865" cy="10147935"/>
                    </a:xfrm>
                    <a:prstGeom prst="rect">
                      <a:avLst/>
                    </a:prstGeom>
                  </pic:spPr>
                </pic:pic>
              </a:graphicData>
            </a:graphic>
            <wp14:sizeRelH relativeFrom="margin">
              <wp14:pctWidth>0</wp14:pctWidth>
            </wp14:sizeRelH>
            <wp14:sizeRelV relativeFrom="margin">
              <wp14:pctHeight>0</wp14:pctHeight>
            </wp14:sizeRelV>
          </wp:anchor>
        </w:drawing>
      </w:r>
      <w:r w:rsidR="00EA4EE5">
        <w:t xml:space="preserve"> </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709BBF15" w14:textId="77777777" w:rsidTr="00431F42">
        <w:trPr>
          <w:cantSplit/>
        </w:trPr>
        <w:tc>
          <w:tcPr>
            <w:tcW w:w="0" w:type="auto"/>
            <w:tcMar>
              <w:top w:w="0" w:type="dxa"/>
              <w:left w:w="0" w:type="dxa"/>
              <w:right w:w="0" w:type="dxa"/>
            </w:tcMar>
          </w:tcPr>
          <w:p w14:paraId="4723C9D0" w14:textId="77777777" w:rsidR="007357C6" w:rsidRDefault="007357C6" w:rsidP="00431F42">
            <w:pPr>
              <w:pStyle w:val="Documenttitle"/>
            </w:pPr>
          </w:p>
          <w:p w14:paraId="7335BA9A" w14:textId="77777777" w:rsidR="007357C6" w:rsidRDefault="007357C6" w:rsidP="00431F42">
            <w:pPr>
              <w:pStyle w:val="Documenttitle"/>
            </w:pPr>
          </w:p>
          <w:p w14:paraId="3AEB5153" w14:textId="123DA225" w:rsidR="00AD784C" w:rsidRPr="00431F42" w:rsidRDefault="00572EAC" w:rsidP="00431F42">
            <w:pPr>
              <w:pStyle w:val="Documenttitle"/>
            </w:pPr>
            <w:r>
              <w:t>Review of the Health Services (Health Service Establishment</w:t>
            </w:r>
            <w:r w:rsidR="00621E4C">
              <w:t>s) Regulations 2013</w:t>
            </w:r>
          </w:p>
        </w:tc>
      </w:tr>
      <w:tr w:rsidR="00AD784C" w14:paraId="39676CA5" w14:textId="77777777" w:rsidTr="00431F42">
        <w:trPr>
          <w:cantSplit/>
        </w:trPr>
        <w:tc>
          <w:tcPr>
            <w:tcW w:w="0" w:type="auto"/>
          </w:tcPr>
          <w:p w14:paraId="21FE71FB" w14:textId="7E578382" w:rsidR="00386109" w:rsidRPr="00A1389F" w:rsidRDefault="00621E4C" w:rsidP="009315BE">
            <w:pPr>
              <w:pStyle w:val="Documentsubtitle"/>
            </w:pPr>
            <w:r>
              <w:t xml:space="preserve">Discussion paper – </w:t>
            </w:r>
            <w:r w:rsidR="36771CB4">
              <w:t xml:space="preserve">August </w:t>
            </w:r>
            <w:r w:rsidR="00D07117">
              <w:t xml:space="preserve">2023 </w:t>
            </w:r>
          </w:p>
        </w:tc>
      </w:tr>
      <w:tr w:rsidR="00430393" w14:paraId="0D3C95B4" w14:textId="77777777" w:rsidTr="00431F42">
        <w:trPr>
          <w:cantSplit/>
        </w:trPr>
        <w:tc>
          <w:tcPr>
            <w:tcW w:w="0" w:type="auto"/>
          </w:tcPr>
          <w:p w14:paraId="4FBFD433" w14:textId="77777777" w:rsidR="00430393" w:rsidRDefault="00460730" w:rsidP="00430393">
            <w:pPr>
              <w:pStyle w:val="Bannermarking"/>
            </w:pPr>
            <w:r>
              <w:fldChar w:fldCharType="begin"/>
            </w:r>
            <w:r>
              <w:instrText>FILLIN  "Type the protective marking" \d OFFICIAL \o  \* MERGEFORMAT</w:instrText>
            </w:r>
            <w:r>
              <w:fldChar w:fldCharType="separate"/>
            </w:r>
            <w:r w:rsidR="00A96504">
              <w:t>OFFICIAL</w:t>
            </w:r>
            <w:r>
              <w:fldChar w:fldCharType="end"/>
            </w:r>
          </w:p>
        </w:tc>
      </w:tr>
    </w:tbl>
    <w:p w14:paraId="23AF0679"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1D2EF039" w14:textId="77777777" w:rsidTr="00562507">
        <w:trPr>
          <w:cantSplit/>
          <w:trHeight w:val="7088"/>
        </w:trPr>
        <w:tc>
          <w:tcPr>
            <w:tcW w:w="9288" w:type="dxa"/>
          </w:tcPr>
          <w:p w14:paraId="2F52F933" w14:textId="10AB13DF" w:rsidR="009F2182" w:rsidRPr="00BA26F6" w:rsidRDefault="009F2182" w:rsidP="00BA26F6">
            <w:pPr>
              <w:pStyle w:val="Body"/>
              <w:rPr>
                <w:rFonts w:eastAsia="Times New Roman"/>
                <w:color w:val="87189D"/>
                <w:sz w:val="24"/>
                <w:szCs w:val="24"/>
              </w:rPr>
            </w:pPr>
          </w:p>
        </w:tc>
      </w:tr>
      <w:tr w:rsidR="009F2182" w14:paraId="56056D9B" w14:textId="77777777" w:rsidTr="00562507">
        <w:trPr>
          <w:cantSplit/>
          <w:trHeight w:val="5103"/>
        </w:trPr>
        <w:tc>
          <w:tcPr>
            <w:tcW w:w="9288" w:type="dxa"/>
            <w:vAlign w:val="bottom"/>
          </w:tcPr>
          <w:p w14:paraId="2CC27441" w14:textId="3A963DFA" w:rsidR="009F2182" w:rsidRPr="007D195B" w:rsidRDefault="009F2182" w:rsidP="009F2182">
            <w:pPr>
              <w:pStyle w:val="Accessibilitypara"/>
              <w:rPr>
                <w:szCs w:val="24"/>
              </w:rPr>
            </w:pPr>
            <w:r w:rsidRPr="007D195B">
              <w:rPr>
                <w:szCs w:val="24"/>
              </w:rPr>
              <w:t xml:space="preserve">To receive this document in another format, </w:t>
            </w:r>
            <w:hyperlink r:id="rId18" w:history="1">
              <w:r w:rsidRPr="006A4E6F">
                <w:rPr>
                  <w:rStyle w:val="Hyperlink"/>
                  <w:szCs w:val="24"/>
                </w:rPr>
                <w:t>email</w:t>
              </w:r>
              <w:r w:rsidR="00D4077E" w:rsidRPr="006A4E6F">
                <w:rPr>
                  <w:rStyle w:val="Hyperlink"/>
                  <w:szCs w:val="24"/>
                </w:rPr>
                <w:t xml:space="preserve"> </w:t>
              </w:r>
              <w:r w:rsidR="00CA25A6" w:rsidRPr="006A4E6F">
                <w:rPr>
                  <w:rStyle w:val="Hyperlink"/>
                  <w:szCs w:val="24"/>
                </w:rPr>
                <w:t xml:space="preserve">the Department of Health’s </w:t>
              </w:r>
              <w:r w:rsidR="007A030B" w:rsidRPr="006A4E6F">
                <w:rPr>
                  <w:rStyle w:val="Hyperlink"/>
                  <w:szCs w:val="24"/>
                </w:rPr>
                <w:t xml:space="preserve">Legislative and Regulatory Reform </w:t>
              </w:r>
              <w:r w:rsidR="007A1AB3">
                <w:rPr>
                  <w:rStyle w:val="Hyperlink"/>
                  <w:szCs w:val="24"/>
                </w:rPr>
                <w:t>T</w:t>
              </w:r>
              <w:r w:rsidR="007A030B" w:rsidRPr="006A4E6F">
                <w:rPr>
                  <w:rStyle w:val="Hyperlink"/>
                  <w:szCs w:val="24"/>
                </w:rPr>
                <w:t>eam</w:t>
              </w:r>
            </w:hyperlink>
            <w:r w:rsidR="007A030B" w:rsidRPr="007D195B">
              <w:rPr>
                <w:szCs w:val="24"/>
              </w:rPr>
              <w:t xml:space="preserve"> at </w:t>
            </w:r>
            <w:r w:rsidR="00585D92">
              <w:rPr>
                <w:rFonts w:cs="Arial"/>
                <w:szCs w:val="24"/>
              </w:rPr>
              <w:t>&lt;</w:t>
            </w:r>
            <w:r w:rsidR="006A4E6F" w:rsidRPr="00585D92">
              <w:rPr>
                <w:rFonts w:cs="Arial"/>
                <w:szCs w:val="24"/>
              </w:rPr>
              <w:t>legandregreform@health.vic.gov.au</w:t>
            </w:r>
            <w:r w:rsidR="00585D92">
              <w:rPr>
                <w:rFonts w:cs="Arial"/>
                <w:szCs w:val="24"/>
              </w:rPr>
              <w:t>&gt;</w:t>
            </w:r>
            <w:r w:rsidR="00BF2715" w:rsidRPr="007D195B">
              <w:rPr>
                <w:szCs w:val="24"/>
              </w:rPr>
              <w:t>.</w:t>
            </w:r>
          </w:p>
          <w:p w14:paraId="3AF2A845" w14:textId="77777777" w:rsidR="009F2182" w:rsidRPr="0055119B" w:rsidRDefault="009F2182" w:rsidP="009F2182">
            <w:pPr>
              <w:pStyle w:val="Imprint"/>
            </w:pPr>
            <w:r w:rsidRPr="0055119B">
              <w:t>Authorised and published by the Victorian Government, 1 Treasury Place, Melbourne.</w:t>
            </w:r>
          </w:p>
          <w:p w14:paraId="0A2E43EC" w14:textId="562191C2" w:rsidR="009F2182" w:rsidRPr="0055119B" w:rsidRDefault="009F2182" w:rsidP="009F2182">
            <w:pPr>
              <w:pStyle w:val="Imprint"/>
            </w:pPr>
            <w:r w:rsidRPr="0055119B">
              <w:t xml:space="preserve">© State of Victoria, Australia, Department </w:t>
            </w:r>
            <w:r w:rsidRPr="001B058F">
              <w:t xml:space="preserve">of </w:t>
            </w:r>
            <w:r w:rsidR="00D76ECC">
              <w:t>Health</w:t>
            </w:r>
            <w:r w:rsidRPr="0055119B">
              <w:t xml:space="preserve">, </w:t>
            </w:r>
            <w:r w:rsidR="004F23EE">
              <w:t>August</w:t>
            </w:r>
            <w:r w:rsidRPr="003632F6">
              <w:rPr>
                <w:color w:val="004C97"/>
              </w:rPr>
              <w:t xml:space="preserve"> </w:t>
            </w:r>
            <w:r w:rsidR="00E1368E" w:rsidRPr="003632F6">
              <w:rPr>
                <w:color w:val="auto"/>
              </w:rPr>
              <w:t>202</w:t>
            </w:r>
            <w:r w:rsidR="003A4264" w:rsidRPr="003632F6">
              <w:rPr>
                <w:color w:val="auto"/>
              </w:rPr>
              <w:t>3</w:t>
            </w:r>
            <w:r w:rsidRPr="003632F6">
              <w:rPr>
                <w:color w:val="auto"/>
              </w:rPr>
              <w:t>.</w:t>
            </w:r>
          </w:p>
          <w:p w14:paraId="5193A5F0" w14:textId="3694C4DC" w:rsidR="009F2182" w:rsidRPr="0055119B" w:rsidRDefault="009F2182" w:rsidP="009F2182">
            <w:pPr>
              <w:pStyle w:val="Imprint"/>
            </w:pPr>
            <w:bookmarkStart w:id="0" w:name="_Hlk62746129"/>
            <w:r w:rsidRPr="0055119B">
              <w:t>ISBN</w:t>
            </w:r>
            <w:r w:rsidR="00380068">
              <w:t xml:space="preserve"> 978-1-76131-194-9</w:t>
            </w:r>
            <w:r w:rsidRPr="00E33237">
              <w:rPr>
                <w:color w:val="004C97"/>
              </w:rPr>
              <w:t xml:space="preserve"> </w:t>
            </w:r>
            <w:r w:rsidRPr="0055119B">
              <w:t xml:space="preserve">(online/PDF/Word) </w:t>
            </w:r>
          </w:p>
          <w:bookmarkEnd w:id="0"/>
          <w:p w14:paraId="3609685B" w14:textId="00C54917" w:rsidR="005C1264" w:rsidRPr="0055119B" w:rsidRDefault="005C1264" w:rsidP="005C1264">
            <w:pPr>
              <w:pStyle w:val="Imprint"/>
            </w:pPr>
            <w:r w:rsidRPr="008D4D83">
              <w:t xml:space="preserve">Available at </w:t>
            </w:r>
            <w:r w:rsidR="00325536" w:rsidRPr="008D4D83">
              <w:t xml:space="preserve">the Department of Health website </w:t>
            </w:r>
            <w:hyperlink r:id="rId19" w:history="1">
              <w:r w:rsidR="008D4D83" w:rsidRPr="009111C6">
                <w:rPr>
                  <w:rStyle w:val="Hyperlink"/>
                </w:rPr>
                <w:t>Private Health Service Establishments</w:t>
              </w:r>
            </w:hyperlink>
            <w:r w:rsidR="009111C6">
              <w:t xml:space="preserve"> &lt;</w:t>
            </w:r>
            <w:r w:rsidR="009111C6" w:rsidRPr="009111C6">
              <w:t>https://www.health.vic.gov.au/hospitals-and-health-services/private-health-service-establishments</w:t>
            </w:r>
            <w:r w:rsidR="009111C6">
              <w:t>&gt;.</w:t>
            </w:r>
            <w:r w:rsidR="008D4D83" w:rsidRPr="008D4D83">
              <w:t xml:space="preserve"> </w:t>
            </w:r>
          </w:p>
          <w:p w14:paraId="64596F08" w14:textId="76821DC3" w:rsidR="009F2182" w:rsidRDefault="009F2182" w:rsidP="00CB60BD">
            <w:pPr>
              <w:pStyle w:val="Imprint"/>
            </w:pPr>
          </w:p>
        </w:tc>
      </w:tr>
      <w:tr w:rsidR="0008204A" w14:paraId="3320429D" w14:textId="77777777" w:rsidTr="0008204A">
        <w:trPr>
          <w:cantSplit/>
        </w:trPr>
        <w:tc>
          <w:tcPr>
            <w:tcW w:w="9288" w:type="dxa"/>
          </w:tcPr>
          <w:p w14:paraId="294ABC23" w14:textId="77777777" w:rsidR="0008204A" w:rsidRPr="0055119B" w:rsidRDefault="0008204A" w:rsidP="0008204A">
            <w:pPr>
              <w:pStyle w:val="Body"/>
            </w:pPr>
          </w:p>
        </w:tc>
      </w:tr>
    </w:tbl>
    <w:p w14:paraId="77A847D7" w14:textId="77777777" w:rsidR="0008204A" w:rsidRPr="0008204A" w:rsidRDefault="0008204A" w:rsidP="0008204A">
      <w:pPr>
        <w:pStyle w:val="Body"/>
      </w:pPr>
      <w:r w:rsidRPr="0008204A">
        <w:br w:type="page"/>
      </w:r>
    </w:p>
    <w:p w14:paraId="0DD8F5E6" w14:textId="77777777" w:rsidR="00AD784C" w:rsidRPr="00B57329" w:rsidRDefault="00AD784C" w:rsidP="002365B4">
      <w:pPr>
        <w:pStyle w:val="TOCheadingreport"/>
      </w:pPr>
      <w:r w:rsidRPr="00B57329">
        <w:lastRenderedPageBreak/>
        <w:t>Contents</w:t>
      </w:r>
    </w:p>
    <w:p w14:paraId="51A71659" w14:textId="7837EF8B" w:rsidR="002F2025"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3271991" w:history="1">
        <w:r w:rsidR="002F2025" w:rsidRPr="00CE3836">
          <w:rPr>
            <w:rStyle w:val="Hyperlink"/>
          </w:rPr>
          <w:t>Acronyms and abbreviations</w:t>
        </w:r>
        <w:r w:rsidR="002F2025">
          <w:rPr>
            <w:webHidden/>
          </w:rPr>
          <w:tab/>
        </w:r>
        <w:r w:rsidR="002F2025">
          <w:rPr>
            <w:webHidden/>
          </w:rPr>
          <w:fldChar w:fldCharType="begin"/>
        </w:r>
        <w:r w:rsidR="002F2025">
          <w:rPr>
            <w:webHidden/>
          </w:rPr>
          <w:instrText xml:space="preserve"> PAGEREF _Toc143271991 \h </w:instrText>
        </w:r>
        <w:r w:rsidR="002F2025">
          <w:rPr>
            <w:webHidden/>
          </w:rPr>
        </w:r>
        <w:r w:rsidR="002F2025">
          <w:rPr>
            <w:webHidden/>
          </w:rPr>
          <w:fldChar w:fldCharType="separate"/>
        </w:r>
        <w:r w:rsidR="00961824">
          <w:rPr>
            <w:webHidden/>
          </w:rPr>
          <w:t>5</w:t>
        </w:r>
        <w:r w:rsidR="002F2025">
          <w:rPr>
            <w:webHidden/>
          </w:rPr>
          <w:fldChar w:fldCharType="end"/>
        </w:r>
      </w:hyperlink>
    </w:p>
    <w:p w14:paraId="12113990" w14:textId="74D1A2AB" w:rsidR="002F2025" w:rsidRDefault="00460730">
      <w:pPr>
        <w:pStyle w:val="TOC1"/>
        <w:rPr>
          <w:rFonts w:asciiTheme="minorHAnsi" w:eastAsiaTheme="minorEastAsia" w:hAnsiTheme="minorHAnsi" w:cstheme="minorBidi"/>
          <w:b w:val="0"/>
          <w:sz w:val="22"/>
          <w:szCs w:val="22"/>
          <w:lang w:eastAsia="en-AU"/>
        </w:rPr>
      </w:pPr>
      <w:hyperlink w:anchor="_Toc143271992" w:history="1">
        <w:r w:rsidR="002F2025" w:rsidRPr="00CE3836">
          <w:rPr>
            <w:rStyle w:val="Hyperlink"/>
          </w:rPr>
          <w:t>Executive summary</w:t>
        </w:r>
        <w:r w:rsidR="002F2025">
          <w:rPr>
            <w:webHidden/>
          </w:rPr>
          <w:tab/>
        </w:r>
        <w:r w:rsidR="002F2025">
          <w:rPr>
            <w:webHidden/>
          </w:rPr>
          <w:fldChar w:fldCharType="begin"/>
        </w:r>
        <w:r w:rsidR="002F2025">
          <w:rPr>
            <w:webHidden/>
          </w:rPr>
          <w:instrText xml:space="preserve"> PAGEREF _Toc143271992 \h </w:instrText>
        </w:r>
        <w:r w:rsidR="002F2025">
          <w:rPr>
            <w:webHidden/>
          </w:rPr>
        </w:r>
        <w:r w:rsidR="002F2025">
          <w:rPr>
            <w:webHidden/>
          </w:rPr>
          <w:fldChar w:fldCharType="separate"/>
        </w:r>
        <w:r w:rsidR="00961824">
          <w:rPr>
            <w:webHidden/>
          </w:rPr>
          <w:t>6</w:t>
        </w:r>
        <w:r w:rsidR="002F2025">
          <w:rPr>
            <w:webHidden/>
          </w:rPr>
          <w:fldChar w:fldCharType="end"/>
        </w:r>
      </w:hyperlink>
    </w:p>
    <w:p w14:paraId="39DA0C00" w14:textId="0CEBACBC" w:rsidR="002F2025" w:rsidRDefault="00460730">
      <w:pPr>
        <w:pStyle w:val="TOC1"/>
        <w:rPr>
          <w:rFonts w:asciiTheme="minorHAnsi" w:eastAsiaTheme="minorEastAsia" w:hAnsiTheme="minorHAnsi" w:cstheme="minorBidi"/>
          <w:b w:val="0"/>
          <w:sz w:val="22"/>
          <w:szCs w:val="22"/>
          <w:lang w:eastAsia="en-AU"/>
        </w:rPr>
      </w:pPr>
      <w:hyperlink w:anchor="_Toc143271993" w:history="1">
        <w:r w:rsidR="002F2025" w:rsidRPr="00CE3836">
          <w:rPr>
            <w:rStyle w:val="Hyperlink"/>
          </w:rPr>
          <w:t>About the consultation process</w:t>
        </w:r>
        <w:r w:rsidR="002F2025">
          <w:rPr>
            <w:webHidden/>
          </w:rPr>
          <w:tab/>
        </w:r>
        <w:r w:rsidR="002F2025">
          <w:rPr>
            <w:webHidden/>
          </w:rPr>
          <w:fldChar w:fldCharType="begin"/>
        </w:r>
        <w:r w:rsidR="002F2025">
          <w:rPr>
            <w:webHidden/>
          </w:rPr>
          <w:instrText xml:space="preserve"> PAGEREF _Toc143271993 \h </w:instrText>
        </w:r>
        <w:r w:rsidR="002F2025">
          <w:rPr>
            <w:webHidden/>
          </w:rPr>
        </w:r>
        <w:r w:rsidR="002F2025">
          <w:rPr>
            <w:webHidden/>
          </w:rPr>
          <w:fldChar w:fldCharType="separate"/>
        </w:r>
        <w:r w:rsidR="00961824">
          <w:rPr>
            <w:webHidden/>
          </w:rPr>
          <w:t>7</w:t>
        </w:r>
        <w:r w:rsidR="002F2025">
          <w:rPr>
            <w:webHidden/>
          </w:rPr>
          <w:fldChar w:fldCharType="end"/>
        </w:r>
      </w:hyperlink>
    </w:p>
    <w:p w14:paraId="7D0B28CC" w14:textId="7FF5BA2D" w:rsidR="002F2025" w:rsidRDefault="00460730">
      <w:pPr>
        <w:pStyle w:val="TOC2"/>
        <w:rPr>
          <w:rFonts w:asciiTheme="minorHAnsi" w:eastAsiaTheme="minorEastAsia" w:hAnsiTheme="minorHAnsi" w:cstheme="minorBidi"/>
          <w:sz w:val="22"/>
          <w:szCs w:val="22"/>
          <w:lang w:eastAsia="en-AU"/>
        </w:rPr>
      </w:pPr>
      <w:hyperlink w:anchor="_Toc143271994" w:history="1">
        <w:r w:rsidR="002F2025" w:rsidRPr="00CE3836">
          <w:rPr>
            <w:rStyle w:val="Hyperlink"/>
          </w:rPr>
          <w:t>Who to contact</w:t>
        </w:r>
        <w:r w:rsidR="002F2025">
          <w:rPr>
            <w:webHidden/>
          </w:rPr>
          <w:tab/>
        </w:r>
        <w:r w:rsidR="002F2025">
          <w:rPr>
            <w:webHidden/>
          </w:rPr>
          <w:fldChar w:fldCharType="begin"/>
        </w:r>
        <w:r w:rsidR="002F2025">
          <w:rPr>
            <w:webHidden/>
          </w:rPr>
          <w:instrText xml:space="preserve"> PAGEREF _Toc143271994 \h </w:instrText>
        </w:r>
        <w:r w:rsidR="002F2025">
          <w:rPr>
            <w:webHidden/>
          </w:rPr>
        </w:r>
        <w:r w:rsidR="002F2025">
          <w:rPr>
            <w:webHidden/>
          </w:rPr>
          <w:fldChar w:fldCharType="separate"/>
        </w:r>
        <w:r w:rsidR="00961824">
          <w:rPr>
            <w:webHidden/>
          </w:rPr>
          <w:t>7</w:t>
        </w:r>
        <w:r w:rsidR="002F2025">
          <w:rPr>
            <w:webHidden/>
          </w:rPr>
          <w:fldChar w:fldCharType="end"/>
        </w:r>
      </w:hyperlink>
    </w:p>
    <w:p w14:paraId="30292148" w14:textId="094CD12E" w:rsidR="002F2025" w:rsidRDefault="00460730">
      <w:pPr>
        <w:pStyle w:val="TOC2"/>
        <w:rPr>
          <w:rFonts w:asciiTheme="minorHAnsi" w:eastAsiaTheme="minorEastAsia" w:hAnsiTheme="minorHAnsi" w:cstheme="minorBidi"/>
          <w:sz w:val="22"/>
          <w:szCs w:val="22"/>
          <w:lang w:eastAsia="en-AU"/>
        </w:rPr>
      </w:pPr>
      <w:hyperlink w:anchor="_Toc143271995" w:history="1">
        <w:r w:rsidR="002F2025" w:rsidRPr="00CE3836">
          <w:rPr>
            <w:rStyle w:val="Hyperlink"/>
          </w:rPr>
          <w:t>How to make a submission</w:t>
        </w:r>
        <w:r w:rsidR="002F2025">
          <w:rPr>
            <w:webHidden/>
          </w:rPr>
          <w:tab/>
        </w:r>
        <w:r w:rsidR="002F2025">
          <w:rPr>
            <w:webHidden/>
          </w:rPr>
          <w:fldChar w:fldCharType="begin"/>
        </w:r>
        <w:r w:rsidR="002F2025">
          <w:rPr>
            <w:webHidden/>
          </w:rPr>
          <w:instrText xml:space="preserve"> PAGEREF _Toc143271995 \h </w:instrText>
        </w:r>
        <w:r w:rsidR="002F2025">
          <w:rPr>
            <w:webHidden/>
          </w:rPr>
        </w:r>
        <w:r w:rsidR="002F2025">
          <w:rPr>
            <w:webHidden/>
          </w:rPr>
          <w:fldChar w:fldCharType="separate"/>
        </w:r>
        <w:r w:rsidR="00961824">
          <w:rPr>
            <w:webHidden/>
          </w:rPr>
          <w:t>7</w:t>
        </w:r>
        <w:r w:rsidR="002F2025">
          <w:rPr>
            <w:webHidden/>
          </w:rPr>
          <w:fldChar w:fldCharType="end"/>
        </w:r>
      </w:hyperlink>
    </w:p>
    <w:p w14:paraId="34EE94B5" w14:textId="4DEEE222" w:rsidR="002F2025" w:rsidRDefault="00460730">
      <w:pPr>
        <w:pStyle w:val="TOC2"/>
        <w:rPr>
          <w:rFonts w:asciiTheme="minorHAnsi" w:eastAsiaTheme="minorEastAsia" w:hAnsiTheme="minorHAnsi" w:cstheme="minorBidi"/>
          <w:sz w:val="22"/>
          <w:szCs w:val="22"/>
          <w:lang w:eastAsia="en-AU"/>
        </w:rPr>
      </w:pPr>
      <w:hyperlink w:anchor="_Toc143271996" w:history="1">
        <w:r w:rsidR="002F2025" w:rsidRPr="00CE3836">
          <w:rPr>
            <w:rStyle w:val="Hyperlink"/>
          </w:rPr>
          <w:t>Publication of submissions</w:t>
        </w:r>
        <w:r w:rsidR="002F2025">
          <w:rPr>
            <w:webHidden/>
          </w:rPr>
          <w:tab/>
        </w:r>
        <w:r w:rsidR="002F2025">
          <w:rPr>
            <w:webHidden/>
          </w:rPr>
          <w:fldChar w:fldCharType="begin"/>
        </w:r>
        <w:r w:rsidR="002F2025">
          <w:rPr>
            <w:webHidden/>
          </w:rPr>
          <w:instrText xml:space="preserve"> PAGEREF _Toc143271996 \h </w:instrText>
        </w:r>
        <w:r w:rsidR="002F2025">
          <w:rPr>
            <w:webHidden/>
          </w:rPr>
        </w:r>
        <w:r w:rsidR="002F2025">
          <w:rPr>
            <w:webHidden/>
          </w:rPr>
          <w:fldChar w:fldCharType="separate"/>
        </w:r>
        <w:r w:rsidR="00961824">
          <w:rPr>
            <w:webHidden/>
          </w:rPr>
          <w:t>7</w:t>
        </w:r>
        <w:r w:rsidR="002F2025">
          <w:rPr>
            <w:webHidden/>
          </w:rPr>
          <w:fldChar w:fldCharType="end"/>
        </w:r>
      </w:hyperlink>
    </w:p>
    <w:p w14:paraId="3FCBBD85" w14:textId="4641E1B9" w:rsidR="002F2025" w:rsidRDefault="00460730">
      <w:pPr>
        <w:pStyle w:val="TOC1"/>
        <w:rPr>
          <w:rFonts w:asciiTheme="minorHAnsi" w:eastAsiaTheme="minorEastAsia" w:hAnsiTheme="minorHAnsi" w:cstheme="minorBidi"/>
          <w:b w:val="0"/>
          <w:sz w:val="22"/>
          <w:szCs w:val="22"/>
          <w:lang w:eastAsia="en-AU"/>
        </w:rPr>
      </w:pPr>
      <w:hyperlink w:anchor="_Toc143271997" w:history="1">
        <w:r w:rsidR="002F2025" w:rsidRPr="00CE3836">
          <w:rPr>
            <w:rStyle w:val="Hyperlink"/>
          </w:rPr>
          <w:t>Introduction</w:t>
        </w:r>
        <w:r w:rsidR="002F2025">
          <w:rPr>
            <w:webHidden/>
          </w:rPr>
          <w:tab/>
        </w:r>
        <w:r w:rsidR="002F2025">
          <w:rPr>
            <w:webHidden/>
          </w:rPr>
          <w:fldChar w:fldCharType="begin"/>
        </w:r>
        <w:r w:rsidR="002F2025">
          <w:rPr>
            <w:webHidden/>
          </w:rPr>
          <w:instrText xml:space="preserve"> PAGEREF _Toc143271997 \h </w:instrText>
        </w:r>
        <w:r w:rsidR="002F2025">
          <w:rPr>
            <w:webHidden/>
          </w:rPr>
        </w:r>
        <w:r w:rsidR="002F2025">
          <w:rPr>
            <w:webHidden/>
          </w:rPr>
          <w:fldChar w:fldCharType="separate"/>
        </w:r>
        <w:r w:rsidR="00961824">
          <w:rPr>
            <w:webHidden/>
          </w:rPr>
          <w:t>8</w:t>
        </w:r>
        <w:r w:rsidR="002F2025">
          <w:rPr>
            <w:webHidden/>
          </w:rPr>
          <w:fldChar w:fldCharType="end"/>
        </w:r>
      </w:hyperlink>
    </w:p>
    <w:p w14:paraId="06326206" w14:textId="29B9D670" w:rsidR="002F2025" w:rsidRDefault="00460730">
      <w:pPr>
        <w:pStyle w:val="TOC2"/>
        <w:rPr>
          <w:rFonts w:asciiTheme="minorHAnsi" w:eastAsiaTheme="minorEastAsia" w:hAnsiTheme="minorHAnsi" w:cstheme="minorBidi"/>
          <w:sz w:val="22"/>
          <w:szCs w:val="22"/>
          <w:lang w:eastAsia="en-AU"/>
        </w:rPr>
      </w:pPr>
      <w:hyperlink w:anchor="_Toc143271998" w:history="1">
        <w:r w:rsidR="002F2025" w:rsidRPr="00CE3836">
          <w:rPr>
            <w:rStyle w:val="Hyperlink"/>
          </w:rPr>
          <w:t>Background</w:t>
        </w:r>
        <w:r w:rsidR="002F2025">
          <w:rPr>
            <w:webHidden/>
          </w:rPr>
          <w:tab/>
        </w:r>
        <w:r w:rsidR="002F2025">
          <w:rPr>
            <w:webHidden/>
          </w:rPr>
          <w:fldChar w:fldCharType="begin"/>
        </w:r>
        <w:r w:rsidR="002F2025">
          <w:rPr>
            <w:webHidden/>
          </w:rPr>
          <w:instrText xml:space="preserve"> PAGEREF _Toc143271998 \h </w:instrText>
        </w:r>
        <w:r w:rsidR="002F2025">
          <w:rPr>
            <w:webHidden/>
          </w:rPr>
        </w:r>
        <w:r w:rsidR="002F2025">
          <w:rPr>
            <w:webHidden/>
          </w:rPr>
          <w:fldChar w:fldCharType="separate"/>
        </w:r>
        <w:r w:rsidR="00961824">
          <w:rPr>
            <w:webHidden/>
          </w:rPr>
          <w:t>8</w:t>
        </w:r>
        <w:r w:rsidR="002F2025">
          <w:rPr>
            <w:webHidden/>
          </w:rPr>
          <w:fldChar w:fldCharType="end"/>
        </w:r>
      </w:hyperlink>
    </w:p>
    <w:p w14:paraId="55E73753" w14:textId="7AACCEA7" w:rsidR="002F2025" w:rsidRDefault="00460730">
      <w:pPr>
        <w:pStyle w:val="TOC2"/>
        <w:rPr>
          <w:rFonts w:asciiTheme="minorHAnsi" w:eastAsiaTheme="minorEastAsia" w:hAnsiTheme="minorHAnsi" w:cstheme="minorBidi"/>
          <w:sz w:val="22"/>
          <w:szCs w:val="22"/>
          <w:lang w:eastAsia="en-AU"/>
        </w:rPr>
      </w:pPr>
      <w:hyperlink w:anchor="_Toc143271999" w:history="1">
        <w:r w:rsidR="002F2025" w:rsidRPr="00CE3836">
          <w:rPr>
            <w:rStyle w:val="Hyperlink"/>
          </w:rPr>
          <w:t>Other government bodies</w:t>
        </w:r>
        <w:r w:rsidR="002F2025">
          <w:rPr>
            <w:webHidden/>
          </w:rPr>
          <w:tab/>
        </w:r>
        <w:r w:rsidR="002F2025">
          <w:rPr>
            <w:webHidden/>
          </w:rPr>
          <w:fldChar w:fldCharType="begin"/>
        </w:r>
        <w:r w:rsidR="002F2025">
          <w:rPr>
            <w:webHidden/>
          </w:rPr>
          <w:instrText xml:space="preserve"> PAGEREF _Toc143271999 \h </w:instrText>
        </w:r>
        <w:r w:rsidR="002F2025">
          <w:rPr>
            <w:webHidden/>
          </w:rPr>
        </w:r>
        <w:r w:rsidR="002F2025">
          <w:rPr>
            <w:webHidden/>
          </w:rPr>
          <w:fldChar w:fldCharType="separate"/>
        </w:r>
        <w:r w:rsidR="00961824">
          <w:rPr>
            <w:webHidden/>
          </w:rPr>
          <w:t>10</w:t>
        </w:r>
        <w:r w:rsidR="002F2025">
          <w:rPr>
            <w:webHidden/>
          </w:rPr>
          <w:fldChar w:fldCharType="end"/>
        </w:r>
      </w:hyperlink>
    </w:p>
    <w:p w14:paraId="22425F5E" w14:textId="3258E359" w:rsidR="002F2025" w:rsidRDefault="00460730">
      <w:pPr>
        <w:pStyle w:val="TOC2"/>
        <w:rPr>
          <w:rFonts w:asciiTheme="minorHAnsi" w:eastAsiaTheme="minorEastAsia" w:hAnsiTheme="minorHAnsi" w:cstheme="minorBidi"/>
          <w:sz w:val="22"/>
          <w:szCs w:val="22"/>
          <w:lang w:eastAsia="en-AU"/>
        </w:rPr>
      </w:pPr>
      <w:hyperlink w:anchor="_Toc143272000" w:history="1">
        <w:r w:rsidR="002F2025" w:rsidRPr="00CE3836">
          <w:rPr>
            <w:rStyle w:val="Hyperlink"/>
          </w:rPr>
          <w:t>Scope of the review and consultation</w:t>
        </w:r>
        <w:r w:rsidR="002F2025">
          <w:rPr>
            <w:webHidden/>
          </w:rPr>
          <w:tab/>
        </w:r>
        <w:r w:rsidR="002F2025">
          <w:rPr>
            <w:webHidden/>
          </w:rPr>
          <w:fldChar w:fldCharType="begin"/>
        </w:r>
        <w:r w:rsidR="002F2025">
          <w:rPr>
            <w:webHidden/>
          </w:rPr>
          <w:instrText xml:space="preserve"> PAGEREF _Toc143272000 \h </w:instrText>
        </w:r>
        <w:r w:rsidR="002F2025">
          <w:rPr>
            <w:webHidden/>
          </w:rPr>
        </w:r>
        <w:r w:rsidR="002F2025">
          <w:rPr>
            <w:webHidden/>
          </w:rPr>
          <w:fldChar w:fldCharType="separate"/>
        </w:r>
        <w:r w:rsidR="00961824">
          <w:rPr>
            <w:webHidden/>
          </w:rPr>
          <w:t>11</w:t>
        </w:r>
        <w:r w:rsidR="002F2025">
          <w:rPr>
            <w:webHidden/>
          </w:rPr>
          <w:fldChar w:fldCharType="end"/>
        </w:r>
      </w:hyperlink>
    </w:p>
    <w:p w14:paraId="6751686C" w14:textId="577D5E2B" w:rsidR="002F2025" w:rsidRDefault="00460730">
      <w:pPr>
        <w:pStyle w:val="TOC2"/>
        <w:rPr>
          <w:rFonts w:asciiTheme="minorHAnsi" w:eastAsiaTheme="minorEastAsia" w:hAnsiTheme="minorHAnsi" w:cstheme="minorBidi"/>
          <w:sz w:val="22"/>
          <w:szCs w:val="22"/>
          <w:lang w:eastAsia="en-AU"/>
        </w:rPr>
      </w:pPr>
      <w:hyperlink w:anchor="_Toc143272001" w:history="1">
        <w:r w:rsidR="002F2025" w:rsidRPr="00CE3836">
          <w:rPr>
            <w:rStyle w:val="Hyperlink"/>
          </w:rPr>
          <w:t>How changes are made to the Regulations</w:t>
        </w:r>
        <w:r w:rsidR="002F2025">
          <w:rPr>
            <w:webHidden/>
          </w:rPr>
          <w:tab/>
        </w:r>
        <w:r w:rsidR="002F2025">
          <w:rPr>
            <w:webHidden/>
          </w:rPr>
          <w:fldChar w:fldCharType="begin"/>
        </w:r>
        <w:r w:rsidR="002F2025">
          <w:rPr>
            <w:webHidden/>
          </w:rPr>
          <w:instrText xml:space="preserve"> PAGEREF _Toc143272001 \h </w:instrText>
        </w:r>
        <w:r w:rsidR="002F2025">
          <w:rPr>
            <w:webHidden/>
          </w:rPr>
        </w:r>
        <w:r w:rsidR="002F2025">
          <w:rPr>
            <w:webHidden/>
          </w:rPr>
          <w:fldChar w:fldCharType="separate"/>
        </w:r>
        <w:r w:rsidR="00961824">
          <w:rPr>
            <w:webHidden/>
          </w:rPr>
          <w:t>12</w:t>
        </w:r>
        <w:r w:rsidR="002F2025">
          <w:rPr>
            <w:webHidden/>
          </w:rPr>
          <w:fldChar w:fldCharType="end"/>
        </w:r>
      </w:hyperlink>
    </w:p>
    <w:p w14:paraId="391FD7D1" w14:textId="32CC4E5F" w:rsidR="002F2025" w:rsidRDefault="00460730">
      <w:pPr>
        <w:pStyle w:val="TOC1"/>
        <w:rPr>
          <w:rFonts w:asciiTheme="minorHAnsi" w:eastAsiaTheme="minorEastAsia" w:hAnsiTheme="minorHAnsi" w:cstheme="minorBidi"/>
          <w:b w:val="0"/>
          <w:sz w:val="22"/>
          <w:szCs w:val="22"/>
          <w:lang w:eastAsia="en-AU"/>
        </w:rPr>
      </w:pPr>
      <w:hyperlink w:anchor="_Toc143272002" w:history="1">
        <w:r w:rsidR="002F2025" w:rsidRPr="00CE3836">
          <w:rPr>
            <w:rStyle w:val="Hyperlink"/>
          </w:rPr>
          <w:t>1. Health service definitions and scope</w:t>
        </w:r>
        <w:r w:rsidR="002F2025">
          <w:rPr>
            <w:webHidden/>
          </w:rPr>
          <w:tab/>
        </w:r>
        <w:r w:rsidR="002F2025">
          <w:rPr>
            <w:webHidden/>
          </w:rPr>
          <w:fldChar w:fldCharType="begin"/>
        </w:r>
        <w:r w:rsidR="002F2025">
          <w:rPr>
            <w:webHidden/>
          </w:rPr>
          <w:instrText xml:space="preserve"> PAGEREF _Toc143272002 \h </w:instrText>
        </w:r>
        <w:r w:rsidR="002F2025">
          <w:rPr>
            <w:webHidden/>
          </w:rPr>
        </w:r>
        <w:r w:rsidR="002F2025">
          <w:rPr>
            <w:webHidden/>
          </w:rPr>
          <w:fldChar w:fldCharType="separate"/>
        </w:r>
        <w:r w:rsidR="00961824">
          <w:rPr>
            <w:webHidden/>
          </w:rPr>
          <w:t>13</w:t>
        </w:r>
        <w:r w:rsidR="002F2025">
          <w:rPr>
            <w:webHidden/>
          </w:rPr>
          <w:fldChar w:fldCharType="end"/>
        </w:r>
      </w:hyperlink>
    </w:p>
    <w:p w14:paraId="15A74BF0" w14:textId="63CA03A4" w:rsidR="002F2025" w:rsidRDefault="00460730">
      <w:pPr>
        <w:pStyle w:val="TOC2"/>
        <w:rPr>
          <w:rFonts w:asciiTheme="minorHAnsi" w:eastAsiaTheme="minorEastAsia" w:hAnsiTheme="minorHAnsi" w:cstheme="minorBidi"/>
          <w:sz w:val="22"/>
          <w:szCs w:val="22"/>
          <w:lang w:eastAsia="en-AU"/>
        </w:rPr>
      </w:pPr>
      <w:hyperlink w:anchor="_Toc143272003" w:history="1">
        <w:r w:rsidR="002F2025" w:rsidRPr="00CE3836">
          <w:rPr>
            <w:rStyle w:val="Hyperlink"/>
          </w:rPr>
          <w:t>1.1. Current health service definitions</w:t>
        </w:r>
        <w:r w:rsidR="002F2025">
          <w:rPr>
            <w:webHidden/>
          </w:rPr>
          <w:tab/>
        </w:r>
        <w:r w:rsidR="002F2025">
          <w:rPr>
            <w:webHidden/>
          </w:rPr>
          <w:fldChar w:fldCharType="begin"/>
        </w:r>
        <w:r w:rsidR="002F2025">
          <w:rPr>
            <w:webHidden/>
          </w:rPr>
          <w:instrText xml:space="preserve"> PAGEREF _Toc143272003 \h </w:instrText>
        </w:r>
        <w:r w:rsidR="002F2025">
          <w:rPr>
            <w:webHidden/>
          </w:rPr>
        </w:r>
        <w:r w:rsidR="002F2025">
          <w:rPr>
            <w:webHidden/>
          </w:rPr>
          <w:fldChar w:fldCharType="separate"/>
        </w:r>
        <w:r w:rsidR="00961824">
          <w:rPr>
            <w:webHidden/>
          </w:rPr>
          <w:t>13</w:t>
        </w:r>
        <w:r w:rsidR="002F2025">
          <w:rPr>
            <w:webHidden/>
          </w:rPr>
          <w:fldChar w:fldCharType="end"/>
        </w:r>
      </w:hyperlink>
    </w:p>
    <w:p w14:paraId="4E18F5F3" w14:textId="4306F3E7" w:rsidR="002F2025" w:rsidRDefault="00460730">
      <w:pPr>
        <w:pStyle w:val="TOC2"/>
        <w:rPr>
          <w:rFonts w:asciiTheme="minorHAnsi" w:eastAsiaTheme="minorEastAsia" w:hAnsiTheme="minorHAnsi" w:cstheme="minorBidi"/>
          <w:sz w:val="22"/>
          <w:szCs w:val="22"/>
          <w:lang w:eastAsia="en-AU"/>
        </w:rPr>
      </w:pPr>
      <w:hyperlink w:anchor="_Toc143272004" w:history="1">
        <w:r w:rsidR="002F2025" w:rsidRPr="00CE3836">
          <w:rPr>
            <w:rStyle w:val="Hyperlink"/>
          </w:rPr>
          <w:t>1.2. New health service definitions</w:t>
        </w:r>
        <w:r w:rsidR="002F2025">
          <w:rPr>
            <w:webHidden/>
          </w:rPr>
          <w:tab/>
        </w:r>
        <w:r w:rsidR="002F2025">
          <w:rPr>
            <w:webHidden/>
          </w:rPr>
          <w:fldChar w:fldCharType="begin"/>
        </w:r>
        <w:r w:rsidR="002F2025">
          <w:rPr>
            <w:webHidden/>
          </w:rPr>
          <w:instrText xml:space="preserve"> PAGEREF _Toc143272004 \h </w:instrText>
        </w:r>
        <w:r w:rsidR="002F2025">
          <w:rPr>
            <w:webHidden/>
          </w:rPr>
        </w:r>
        <w:r w:rsidR="002F2025">
          <w:rPr>
            <w:webHidden/>
          </w:rPr>
          <w:fldChar w:fldCharType="separate"/>
        </w:r>
        <w:r w:rsidR="00961824">
          <w:rPr>
            <w:webHidden/>
          </w:rPr>
          <w:t>14</w:t>
        </w:r>
        <w:r w:rsidR="002F2025">
          <w:rPr>
            <w:webHidden/>
          </w:rPr>
          <w:fldChar w:fldCharType="end"/>
        </w:r>
      </w:hyperlink>
    </w:p>
    <w:p w14:paraId="2EA05B39" w14:textId="151EF376" w:rsidR="002F2025" w:rsidRDefault="00460730">
      <w:pPr>
        <w:pStyle w:val="TOC1"/>
        <w:rPr>
          <w:rFonts w:asciiTheme="minorHAnsi" w:eastAsiaTheme="minorEastAsia" w:hAnsiTheme="minorHAnsi" w:cstheme="minorBidi"/>
          <w:b w:val="0"/>
          <w:sz w:val="22"/>
          <w:szCs w:val="22"/>
          <w:lang w:eastAsia="en-AU"/>
        </w:rPr>
      </w:pPr>
      <w:hyperlink w:anchor="_Toc143272005" w:history="1">
        <w:r w:rsidR="002F2025" w:rsidRPr="00CE3836">
          <w:rPr>
            <w:rStyle w:val="Hyperlink"/>
          </w:rPr>
          <w:t>2. Registration and accreditation</w:t>
        </w:r>
        <w:r w:rsidR="002F2025">
          <w:rPr>
            <w:webHidden/>
          </w:rPr>
          <w:tab/>
        </w:r>
        <w:r w:rsidR="002F2025">
          <w:rPr>
            <w:webHidden/>
          </w:rPr>
          <w:fldChar w:fldCharType="begin"/>
        </w:r>
        <w:r w:rsidR="002F2025">
          <w:rPr>
            <w:webHidden/>
          </w:rPr>
          <w:instrText xml:space="preserve"> PAGEREF _Toc143272005 \h </w:instrText>
        </w:r>
        <w:r w:rsidR="002F2025">
          <w:rPr>
            <w:webHidden/>
          </w:rPr>
        </w:r>
        <w:r w:rsidR="002F2025">
          <w:rPr>
            <w:webHidden/>
          </w:rPr>
          <w:fldChar w:fldCharType="separate"/>
        </w:r>
        <w:r w:rsidR="00961824">
          <w:rPr>
            <w:webHidden/>
          </w:rPr>
          <w:t>20</w:t>
        </w:r>
        <w:r w:rsidR="002F2025">
          <w:rPr>
            <w:webHidden/>
          </w:rPr>
          <w:fldChar w:fldCharType="end"/>
        </w:r>
      </w:hyperlink>
    </w:p>
    <w:p w14:paraId="58D85B6B" w14:textId="3790B688" w:rsidR="002F2025" w:rsidRDefault="00460730">
      <w:pPr>
        <w:pStyle w:val="TOC2"/>
        <w:rPr>
          <w:rFonts w:asciiTheme="minorHAnsi" w:eastAsiaTheme="minorEastAsia" w:hAnsiTheme="minorHAnsi" w:cstheme="minorBidi"/>
          <w:sz w:val="22"/>
          <w:szCs w:val="22"/>
          <w:lang w:eastAsia="en-AU"/>
        </w:rPr>
      </w:pPr>
      <w:hyperlink w:anchor="_Toc143272006" w:history="1">
        <w:r w:rsidR="002F2025" w:rsidRPr="00CE3836">
          <w:rPr>
            <w:rStyle w:val="Hyperlink"/>
          </w:rPr>
          <w:t>2.1 Registration</w:t>
        </w:r>
        <w:r w:rsidR="002F2025">
          <w:rPr>
            <w:webHidden/>
          </w:rPr>
          <w:tab/>
        </w:r>
        <w:r w:rsidR="002F2025">
          <w:rPr>
            <w:webHidden/>
          </w:rPr>
          <w:fldChar w:fldCharType="begin"/>
        </w:r>
        <w:r w:rsidR="002F2025">
          <w:rPr>
            <w:webHidden/>
          </w:rPr>
          <w:instrText xml:space="preserve"> PAGEREF _Toc143272006 \h </w:instrText>
        </w:r>
        <w:r w:rsidR="002F2025">
          <w:rPr>
            <w:webHidden/>
          </w:rPr>
        </w:r>
        <w:r w:rsidR="002F2025">
          <w:rPr>
            <w:webHidden/>
          </w:rPr>
          <w:fldChar w:fldCharType="separate"/>
        </w:r>
        <w:r w:rsidR="00961824">
          <w:rPr>
            <w:webHidden/>
          </w:rPr>
          <w:t>20</w:t>
        </w:r>
        <w:r w:rsidR="002F2025">
          <w:rPr>
            <w:webHidden/>
          </w:rPr>
          <w:fldChar w:fldCharType="end"/>
        </w:r>
      </w:hyperlink>
    </w:p>
    <w:p w14:paraId="7F37FD2C" w14:textId="260FD5C0" w:rsidR="002F2025" w:rsidRDefault="00460730">
      <w:pPr>
        <w:pStyle w:val="TOC2"/>
        <w:rPr>
          <w:rFonts w:asciiTheme="minorHAnsi" w:eastAsiaTheme="minorEastAsia" w:hAnsiTheme="minorHAnsi" w:cstheme="minorBidi"/>
          <w:sz w:val="22"/>
          <w:szCs w:val="22"/>
          <w:lang w:eastAsia="en-AU"/>
        </w:rPr>
      </w:pPr>
      <w:hyperlink w:anchor="_Toc143272007" w:history="1">
        <w:r w:rsidR="002F2025" w:rsidRPr="00CE3836">
          <w:rPr>
            <w:rStyle w:val="Hyperlink"/>
          </w:rPr>
          <w:t>2.2 Accreditation and related standards</w:t>
        </w:r>
        <w:r w:rsidR="002F2025">
          <w:rPr>
            <w:webHidden/>
          </w:rPr>
          <w:tab/>
        </w:r>
        <w:r w:rsidR="002F2025">
          <w:rPr>
            <w:webHidden/>
          </w:rPr>
          <w:fldChar w:fldCharType="begin"/>
        </w:r>
        <w:r w:rsidR="002F2025">
          <w:rPr>
            <w:webHidden/>
          </w:rPr>
          <w:instrText xml:space="preserve"> PAGEREF _Toc143272007 \h </w:instrText>
        </w:r>
        <w:r w:rsidR="002F2025">
          <w:rPr>
            <w:webHidden/>
          </w:rPr>
        </w:r>
        <w:r w:rsidR="002F2025">
          <w:rPr>
            <w:webHidden/>
          </w:rPr>
          <w:fldChar w:fldCharType="separate"/>
        </w:r>
        <w:r w:rsidR="00961824">
          <w:rPr>
            <w:webHidden/>
          </w:rPr>
          <w:t>21</w:t>
        </w:r>
        <w:r w:rsidR="002F2025">
          <w:rPr>
            <w:webHidden/>
          </w:rPr>
          <w:fldChar w:fldCharType="end"/>
        </w:r>
      </w:hyperlink>
    </w:p>
    <w:p w14:paraId="21F87101" w14:textId="219494AC" w:rsidR="002F2025" w:rsidRDefault="00460730">
      <w:pPr>
        <w:pStyle w:val="TOC2"/>
        <w:rPr>
          <w:rFonts w:asciiTheme="minorHAnsi" w:eastAsiaTheme="minorEastAsia" w:hAnsiTheme="minorHAnsi" w:cstheme="minorBidi"/>
          <w:sz w:val="22"/>
          <w:szCs w:val="22"/>
          <w:lang w:eastAsia="en-AU"/>
        </w:rPr>
      </w:pPr>
      <w:hyperlink w:anchor="_Toc143272008" w:history="1">
        <w:r w:rsidR="002F2025" w:rsidRPr="00CE3836">
          <w:rPr>
            <w:rStyle w:val="Hyperlink"/>
            <w:rFonts w:cs="Arial"/>
          </w:rPr>
          <w:t xml:space="preserve">2.3 </w:t>
        </w:r>
        <w:r w:rsidR="002F2025" w:rsidRPr="00CE3836">
          <w:rPr>
            <w:rStyle w:val="Hyperlink"/>
          </w:rPr>
          <w:t>Consequences</w:t>
        </w:r>
        <w:r w:rsidR="002F2025" w:rsidRPr="00CE3836">
          <w:rPr>
            <w:rStyle w:val="Hyperlink"/>
            <w:rFonts w:cs="Arial"/>
          </w:rPr>
          <w:t xml:space="preserve"> for non-compliance with registration and accreditation requirements</w:t>
        </w:r>
        <w:r w:rsidR="002F2025">
          <w:rPr>
            <w:webHidden/>
          </w:rPr>
          <w:tab/>
        </w:r>
        <w:r w:rsidR="002F2025">
          <w:rPr>
            <w:webHidden/>
          </w:rPr>
          <w:fldChar w:fldCharType="begin"/>
        </w:r>
        <w:r w:rsidR="002F2025">
          <w:rPr>
            <w:webHidden/>
          </w:rPr>
          <w:instrText xml:space="preserve"> PAGEREF _Toc143272008 \h </w:instrText>
        </w:r>
        <w:r w:rsidR="002F2025">
          <w:rPr>
            <w:webHidden/>
          </w:rPr>
        </w:r>
        <w:r w:rsidR="002F2025">
          <w:rPr>
            <w:webHidden/>
          </w:rPr>
          <w:fldChar w:fldCharType="separate"/>
        </w:r>
        <w:r w:rsidR="00961824">
          <w:rPr>
            <w:webHidden/>
          </w:rPr>
          <w:t>22</w:t>
        </w:r>
        <w:r w:rsidR="002F2025">
          <w:rPr>
            <w:webHidden/>
          </w:rPr>
          <w:fldChar w:fldCharType="end"/>
        </w:r>
      </w:hyperlink>
    </w:p>
    <w:p w14:paraId="5313FC1E" w14:textId="2B0D8105" w:rsidR="002F2025" w:rsidRDefault="00460730">
      <w:pPr>
        <w:pStyle w:val="TOC1"/>
        <w:rPr>
          <w:rFonts w:asciiTheme="minorHAnsi" w:eastAsiaTheme="minorEastAsia" w:hAnsiTheme="minorHAnsi" w:cstheme="minorBidi"/>
          <w:b w:val="0"/>
          <w:sz w:val="22"/>
          <w:szCs w:val="22"/>
          <w:lang w:eastAsia="en-AU"/>
        </w:rPr>
      </w:pPr>
      <w:hyperlink w:anchor="_Toc143272009" w:history="1">
        <w:r w:rsidR="002F2025" w:rsidRPr="00CE3836">
          <w:rPr>
            <w:rStyle w:val="Hyperlink"/>
          </w:rPr>
          <w:t>3. Clinical governance</w:t>
        </w:r>
        <w:r w:rsidR="002F2025">
          <w:rPr>
            <w:webHidden/>
          </w:rPr>
          <w:tab/>
        </w:r>
        <w:r w:rsidR="002F2025">
          <w:rPr>
            <w:webHidden/>
          </w:rPr>
          <w:fldChar w:fldCharType="begin"/>
        </w:r>
        <w:r w:rsidR="002F2025">
          <w:rPr>
            <w:webHidden/>
          </w:rPr>
          <w:instrText xml:space="preserve"> PAGEREF _Toc143272009 \h </w:instrText>
        </w:r>
        <w:r w:rsidR="002F2025">
          <w:rPr>
            <w:webHidden/>
          </w:rPr>
        </w:r>
        <w:r w:rsidR="002F2025">
          <w:rPr>
            <w:webHidden/>
          </w:rPr>
          <w:fldChar w:fldCharType="separate"/>
        </w:r>
        <w:r w:rsidR="00961824">
          <w:rPr>
            <w:webHidden/>
          </w:rPr>
          <w:t>24</w:t>
        </w:r>
        <w:r w:rsidR="002F2025">
          <w:rPr>
            <w:webHidden/>
          </w:rPr>
          <w:fldChar w:fldCharType="end"/>
        </w:r>
      </w:hyperlink>
    </w:p>
    <w:p w14:paraId="40BBF30D" w14:textId="77E0657F" w:rsidR="002F2025" w:rsidRDefault="00460730">
      <w:pPr>
        <w:pStyle w:val="TOC2"/>
        <w:rPr>
          <w:rFonts w:asciiTheme="minorHAnsi" w:eastAsiaTheme="minorEastAsia" w:hAnsiTheme="minorHAnsi" w:cstheme="minorBidi"/>
          <w:sz w:val="22"/>
          <w:szCs w:val="22"/>
          <w:lang w:eastAsia="en-AU"/>
        </w:rPr>
      </w:pPr>
      <w:hyperlink w:anchor="_Toc143272010" w:history="1">
        <w:r w:rsidR="002F2025" w:rsidRPr="00CE3836">
          <w:rPr>
            <w:rStyle w:val="Hyperlink"/>
          </w:rPr>
          <w:t>3.1 Mandating Safer Care Victoria Clinical governance framework</w:t>
        </w:r>
        <w:r w:rsidR="002F2025">
          <w:rPr>
            <w:webHidden/>
          </w:rPr>
          <w:tab/>
        </w:r>
        <w:r w:rsidR="002F2025">
          <w:rPr>
            <w:webHidden/>
          </w:rPr>
          <w:fldChar w:fldCharType="begin"/>
        </w:r>
        <w:r w:rsidR="002F2025">
          <w:rPr>
            <w:webHidden/>
          </w:rPr>
          <w:instrText xml:space="preserve"> PAGEREF _Toc143272010 \h </w:instrText>
        </w:r>
        <w:r w:rsidR="002F2025">
          <w:rPr>
            <w:webHidden/>
          </w:rPr>
        </w:r>
        <w:r w:rsidR="002F2025">
          <w:rPr>
            <w:webHidden/>
          </w:rPr>
          <w:fldChar w:fldCharType="separate"/>
        </w:r>
        <w:r w:rsidR="00961824">
          <w:rPr>
            <w:webHidden/>
          </w:rPr>
          <w:t>24</w:t>
        </w:r>
        <w:r w:rsidR="002F2025">
          <w:rPr>
            <w:webHidden/>
          </w:rPr>
          <w:fldChar w:fldCharType="end"/>
        </w:r>
      </w:hyperlink>
    </w:p>
    <w:p w14:paraId="0567FFA2" w14:textId="579C7F2B" w:rsidR="002F2025" w:rsidRDefault="00460730">
      <w:pPr>
        <w:pStyle w:val="TOC2"/>
        <w:rPr>
          <w:rFonts w:asciiTheme="minorHAnsi" w:eastAsiaTheme="minorEastAsia" w:hAnsiTheme="minorHAnsi" w:cstheme="minorBidi"/>
          <w:sz w:val="22"/>
          <w:szCs w:val="22"/>
          <w:lang w:eastAsia="en-AU"/>
        </w:rPr>
      </w:pPr>
      <w:hyperlink w:anchor="_Toc143272011" w:history="1">
        <w:r w:rsidR="002F2025" w:rsidRPr="00CE3836">
          <w:rPr>
            <w:rStyle w:val="Hyperlink"/>
          </w:rPr>
          <w:t>3.2 Mandating Safer Care Victoria credentialling policy</w:t>
        </w:r>
        <w:r w:rsidR="002F2025">
          <w:rPr>
            <w:webHidden/>
          </w:rPr>
          <w:tab/>
        </w:r>
        <w:r w:rsidR="002F2025">
          <w:rPr>
            <w:webHidden/>
          </w:rPr>
          <w:fldChar w:fldCharType="begin"/>
        </w:r>
        <w:r w:rsidR="002F2025">
          <w:rPr>
            <w:webHidden/>
          </w:rPr>
          <w:instrText xml:space="preserve"> PAGEREF _Toc143272011 \h </w:instrText>
        </w:r>
        <w:r w:rsidR="002F2025">
          <w:rPr>
            <w:webHidden/>
          </w:rPr>
        </w:r>
        <w:r w:rsidR="002F2025">
          <w:rPr>
            <w:webHidden/>
          </w:rPr>
          <w:fldChar w:fldCharType="separate"/>
        </w:r>
        <w:r w:rsidR="00961824">
          <w:rPr>
            <w:webHidden/>
          </w:rPr>
          <w:t>25</w:t>
        </w:r>
        <w:r w:rsidR="002F2025">
          <w:rPr>
            <w:webHidden/>
          </w:rPr>
          <w:fldChar w:fldCharType="end"/>
        </w:r>
      </w:hyperlink>
    </w:p>
    <w:p w14:paraId="01C6AF64" w14:textId="633BB2A8" w:rsidR="002F2025" w:rsidRDefault="00460730">
      <w:pPr>
        <w:pStyle w:val="TOC2"/>
        <w:rPr>
          <w:rFonts w:asciiTheme="minorHAnsi" w:eastAsiaTheme="minorEastAsia" w:hAnsiTheme="minorHAnsi" w:cstheme="minorBidi"/>
          <w:sz w:val="22"/>
          <w:szCs w:val="22"/>
          <w:lang w:eastAsia="en-AU"/>
        </w:rPr>
      </w:pPr>
      <w:hyperlink w:anchor="_Toc143272012" w:history="1">
        <w:r w:rsidR="002F2025" w:rsidRPr="00CE3836">
          <w:rPr>
            <w:rStyle w:val="Hyperlink"/>
          </w:rPr>
          <w:t>3.3 Mandating the Guideline for providers of liposuction</w:t>
        </w:r>
        <w:r w:rsidR="002F2025">
          <w:rPr>
            <w:webHidden/>
          </w:rPr>
          <w:tab/>
        </w:r>
        <w:r w:rsidR="002F2025">
          <w:rPr>
            <w:webHidden/>
          </w:rPr>
          <w:fldChar w:fldCharType="begin"/>
        </w:r>
        <w:r w:rsidR="002F2025">
          <w:rPr>
            <w:webHidden/>
          </w:rPr>
          <w:instrText xml:space="preserve"> PAGEREF _Toc143272012 \h </w:instrText>
        </w:r>
        <w:r w:rsidR="002F2025">
          <w:rPr>
            <w:webHidden/>
          </w:rPr>
        </w:r>
        <w:r w:rsidR="002F2025">
          <w:rPr>
            <w:webHidden/>
          </w:rPr>
          <w:fldChar w:fldCharType="separate"/>
        </w:r>
        <w:r w:rsidR="00961824">
          <w:rPr>
            <w:webHidden/>
          </w:rPr>
          <w:t>26</w:t>
        </w:r>
        <w:r w:rsidR="002F2025">
          <w:rPr>
            <w:webHidden/>
          </w:rPr>
          <w:fldChar w:fldCharType="end"/>
        </w:r>
      </w:hyperlink>
    </w:p>
    <w:p w14:paraId="3E433205" w14:textId="6B91F9FC" w:rsidR="002F2025" w:rsidRDefault="00460730">
      <w:pPr>
        <w:pStyle w:val="TOC2"/>
        <w:rPr>
          <w:rFonts w:asciiTheme="minorHAnsi" w:eastAsiaTheme="minorEastAsia" w:hAnsiTheme="minorHAnsi" w:cstheme="minorBidi"/>
          <w:sz w:val="22"/>
          <w:szCs w:val="22"/>
          <w:lang w:eastAsia="en-AU"/>
        </w:rPr>
      </w:pPr>
      <w:hyperlink w:anchor="_Toc143272013" w:history="1">
        <w:r w:rsidR="002F2025" w:rsidRPr="00CE3836">
          <w:rPr>
            <w:rStyle w:val="Hyperlink"/>
          </w:rPr>
          <w:t>3.4 Key clinical governance roles</w:t>
        </w:r>
        <w:r w:rsidR="002F2025">
          <w:rPr>
            <w:webHidden/>
          </w:rPr>
          <w:tab/>
        </w:r>
        <w:r w:rsidR="002F2025">
          <w:rPr>
            <w:webHidden/>
          </w:rPr>
          <w:fldChar w:fldCharType="begin"/>
        </w:r>
        <w:r w:rsidR="002F2025">
          <w:rPr>
            <w:webHidden/>
          </w:rPr>
          <w:instrText xml:space="preserve"> PAGEREF _Toc143272013 \h </w:instrText>
        </w:r>
        <w:r w:rsidR="002F2025">
          <w:rPr>
            <w:webHidden/>
          </w:rPr>
        </w:r>
        <w:r w:rsidR="002F2025">
          <w:rPr>
            <w:webHidden/>
          </w:rPr>
          <w:fldChar w:fldCharType="separate"/>
        </w:r>
        <w:r w:rsidR="00961824">
          <w:rPr>
            <w:webHidden/>
          </w:rPr>
          <w:t>27</w:t>
        </w:r>
        <w:r w:rsidR="002F2025">
          <w:rPr>
            <w:webHidden/>
          </w:rPr>
          <w:fldChar w:fldCharType="end"/>
        </w:r>
      </w:hyperlink>
    </w:p>
    <w:p w14:paraId="32E2C77B" w14:textId="064BB785" w:rsidR="002F2025" w:rsidRDefault="00460730">
      <w:pPr>
        <w:pStyle w:val="TOC2"/>
        <w:rPr>
          <w:rFonts w:asciiTheme="minorHAnsi" w:eastAsiaTheme="minorEastAsia" w:hAnsiTheme="minorHAnsi" w:cstheme="minorBidi"/>
          <w:sz w:val="22"/>
          <w:szCs w:val="22"/>
          <w:lang w:eastAsia="en-AU"/>
        </w:rPr>
      </w:pPr>
      <w:hyperlink w:anchor="_Toc143272014" w:history="1">
        <w:r w:rsidR="002F2025" w:rsidRPr="00CE3836">
          <w:rPr>
            <w:rStyle w:val="Hyperlink"/>
          </w:rPr>
          <w:t>3.5 Accountability for non-employee personnel</w:t>
        </w:r>
        <w:r w:rsidR="002F2025">
          <w:rPr>
            <w:webHidden/>
          </w:rPr>
          <w:tab/>
        </w:r>
        <w:r w:rsidR="002F2025">
          <w:rPr>
            <w:webHidden/>
          </w:rPr>
          <w:fldChar w:fldCharType="begin"/>
        </w:r>
        <w:r w:rsidR="002F2025">
          <w:rPr>
            <w:webHidden/>
          </w:rPr>
          <w:instrText xml:space="preserve"> PAGEREF _Toc143272014 \h </w:instrText>
        </w:r>
        <w:r w:rsidR="002F2025">
          <w:rPr>
            <w:webHidden/>
          </w:rPr>
        </w:r>
        <w:r w:rsidR="002F2025">
          <w:rPr>
            <w:webHidden/>
          </w:rPr>
          <w:fldChar w:fldCharType="separate"/>
        </w:r>
        <w:r w:rsidR="00961824">
          <w:rPr>
            <w:webHidden/>
          </w:rPr>
          <w:t>27</w:t>
        </w:r>
        <w:r w:rsidR="002F2025">
          <w:rPr>
            <w:webHidden/>
          </w:rPr>
          <w:fldChar w:fldCharType="end"/>
        </w:r>
      </w:hyperlink>
    </w:p>
    <w:p w14:paraId="410B861C" w14:textId="2D7F54AC" w:rsidR="002F2025" w:rsidRDefault="00460730">
      <w:pPr>
        <w:pStyle w:val="TOC2"/>
        <w:rPr>
          <w:rFonts w:asciiTheme="minorHAnsi" w:eastAsiaTheme="minorEastAsia" w:hAnsiTheme="minorHAnsi" w:cstheme="minorBidi"/>
          <w:sz w:val="22"/>
          <w:szCs w:val="22"/>
          <w:lang w:eastAsia="en-AU"/>
        </w:rPr>
      </w:pPr>
      <w:hyperlink w:anchor="_Toc143272015" w:history="1">
        <w:r w:rsidR="002F2025" w:rsidRPr="00CE3836">
          <w:rPr>
            <w:rStyle w:val="Hyperlink"/>
          </w:rPr>
          <w:t>3.6 Staff and Visiting Medical Officers fatigue</w:t>
        </w:r>
        <w:r w:rsidR="002F2025">
          <w:rPr>
            <w:webHidden/>
          </w:rPr>
          <w:tab/>
        </w:r>
        <w:r w:rsidR="002F2025">
          <w:rPr>
            <w:webHidden/>
          </w:rPr>
          <w:fldChar w:fldCharType="begin"/>
        </w:r>
        <w:r w:rsidR="002F2025">
          <w:rPr>
            <w:webHidden/>
          </w:rPr>
          <w:instrText xml:space="preserve"> PAGEREF _Toc143272015 \h </w:instrText>
        </w:r>
        <w:r w:rsidR="002F2025">
          <w:rPr>
            <w:webHidden/>
          </w:rPr>
        </w:r>
        <w:r w:rsidR="002F2025">
          <w:rPr>
            <w:webHidden/>
          </w:rPr>
          <w:fldChar w:fldCharType="separate"/>
        </w:r>
        <w:r w:rsidR="00961824">
          <w:rPr>
            <w:webHidden/>
          </w:rPr>
          <w:t>28</w:t>
        </w:r>
        <w:r w:rsidR="002F2025">
          <w:rPr>
            <w:webHidden/>
          </w:rPr>
          <w:fldChar w:fldCharType="end"/>
        </w:r>
      </w:hyperlink>
    </w:p>
    <w:p w14:paraId="7224C480" w14:textId="160A21ED" w:rsidR="002F2025" w:rsidRDefault="00460730">
      <w:pPr>
        <w:pStyle w:val="TOC2"/>
        <w:rPr>
          <w:rFonts w:asciiTheme="minorHAnsi" w:eastAsiaTheme="minorEastAsia" w:hAnsiTheme="minorHAnsi" w:cstheme="minorBidi"/>
          <w:sz w:val="22"/>
          <w:szCs w:val="22"/>
          <w:lang w:eastAsia="en-AU"/>
        </w:rPr>
      </w:pPr>
      <w:hyperlink w:anchor="_Toc143272016" w:history="1">
        <w:r w:rsidR="002F2025" w:rsidRPr="00CE3836">
          <w:rPr>
            <w:rStyle w:val="Hyperlink"/>
          </w:rPr>
          <w:t>3.7 Nurse professional development</w:t>
        </w:r>
        <w:r w:rsidR="002F2025">
          <w:rPr>
            <w:webHidden/>
          </w:rPr>
          <w:tab/>
        </w:r>
        <w:r w:rsidR="002F2025">
          <w:rPr>
            <w:webHidden/>
          </w:rPr>
          <w:fldChar w:fldCharType="begin"/>
        </w:r>
        <w:r w:rsidR="002F2025">
          <w:rPr>
            <w:webHidden/>
          </w:rPr>
          <w:instrText xml:space="preserve"> PAGEREF _Toc143272016 \h </w:instrText>
        </w:r>
        <w:r w:rsidR="002F2025">
          <w:rPr>
            <w:webHidden/>
          </w:rPr>
        </w:r>
        <w:r w:rsidR="002F2025">
          <w:rPr>
            <w:webHidden/>
          </w:rPr>
          <w:fldChar w:fldCharType="separate"/>
        </w:r>
        <w:r w:rsidR="00961824">
          <w:rPr>
            <w:webHidden/>
          </w:rPr>
          <w:t>29</w:t>
        </w:r>
        <w:r w:rsidR="002F2025">
          <w:rPr>
            <w:webHidden/>
          </w:rPr>
          <w:fldChar w:fldCharType="end"/>
        </w:r>
      </w:hyperlink>
    </w:p>
    <w:p w14:paraId="079344A9" w14:textId="0EB0F415" w:rsidR="002F2025" w:rsidRDefault="00460730">
      <w:pPr>
        <w:pStyle w:val="TOC2"/>
        <w:rPr>
          <w:rFonts w:asciiTheme="minorHAnsi" w:eastAsiaTheme="minorEastAsia" w:hAnsiTheme="minorHAnsi" w:cstheme="minorBidi"/>
          <w:sz w:val="22"/>
          <w:szCs w:val="22"/>
          <w:lang w:eastAsia="en-AU"/>
        </w:rPr>
      </w:pPr>
      <w:hyperlink w:anchor="_Toc143272017" w:history="1">
        <w:r w:rsidR="002F2025" w:rsidRPr="00CE3836">
          <w:rPr>
            <w:rStyle w:val="Hyperlink"/>
          </w:rPr>
          <w:t>3.8 Quality and safety committees</w:t>
        </w:r>
        <w:r w:rsidR="002F2025">
          <w:rPr>
            <w:webHidden/>
          </w:rPr>
          <w:tab/>
        </w:r>
        <w:r w:rsidR="002F2025">
          <w:rPr>
            <w:webHidden/>
          </w:rPr>
          <w:fldChar w:fldCharType="begin"/>
        </w:r>
        <w:r w:rsidR="002F2025">
          <w:rPr>
            <w:webHidden/>
          </w:rPr>
          <w:instrText xml:space="preserve"> PAGEREF _Toc143272017 \h </w:instrText>
        </w:r>
        <w:r w:rsidR="002F2025">
          <w:rPr>
            <w:webHidden/>
          </w:rPr>
        </w:r>
        <w:r w:rsidR="002F2025">
          <w:rPr>
            <w:webHidden/>
          </w:rPr>
          <w:fldChar w:fldCharType="separate"/>
        </w:r>
        <w:r w:rsidR="00961824">
          <w:rPr>
            <w:webHidden/>
          </w:rPr>
          <w:t>30</w:t>
        </w:r>
        <w:r w:rsidR="002F2025">
          <w:rPr>
            <w:webHidden/>
          </w:rPr>
          <w:fldChar w:fldCharType="end"/>
        </w:r>
      </w:hyperlink>
    </w:p>
    <w:p w14:paraId="37BDB913" w14:textId="02BD6AC1" w:rsidR="002F2025" w:rsidRDefault="00460730">
      <w:pPr>
        <w:pStyle w:val="TOC2"/>
        <w:rPr>
          <w:rFonts w:asciiTheme="minorHAnsi" w:eastAsiaTheme="minorEastAsia" w:hAnsiTheme="minorHAnsi" w:cstheme="minorBidi"/>
          <w:sz w:val="22"/>
          <w:szCs w:val="22"/>
          <w:lang w:eastAsia="en-AU"/>
        </w:rPr>
      </w:pPr>
      <w:hyperlink w:anchor="_Toc143272018" w:history="1">
        <w:r w:rsidR="002F2025" w:rsidRPr="00CE3836">
          <w:rPr>
            <w:rStyle w:val="Hyperlink"/>
          </w:rPr>
          <w:t>3.9 Adjunct diagnostic services</w:t>
        </w:r>
        <w:r w:rsidR="002F2025">
          <w:rPr>
            <w:webHidden/>
          </w:rPr>
          <w:tab/>
        </w:r>
        <w:r w:rsidR="002F2025">
          <w:rPr>
            <w:webHidden/>
          </w:rPr>
          <w:fldChar w:fldCharType="begin"/>
        </w:r>
        <w:r w:rsidR="002F2025">
          <w:rPr>
            <w:webHidden/>
          </w:rPr>
          <w:instrText xml:space="preserve"> PAGEREF _Toc143272018 \h </w:instrText>
        </w:r>
        <w:r w:rsidR="002F2025">
          <w:rPr>
            <w:webHidden/>
          </w:rPr>
        </w:r>
        <w:r w:rsidR="002F2025">
          <w:rPr>
            <w:webHidden/>
          </w:rPr>
          <w:fldChar w:fldCharType="separate"/>
        </w:r>
        <w:r w:rsidR="00961824">
          <w:rPr>
            <w:webHidden/>
          </w:rPr>
          <w:t>30</w:t>
        </w:r>
        <w:r w:rsidR="002F2025">
          <w:rPr>
            <w:webHidden/>
          </w:rPr>
          <w:fldChar w:fldCharType="end"/>
        </w:r>
      </w:hyperlink>
    </w:p>
    <w:p w14:paraId="0471D1CB" w14:textId="38276E70" w:rsidR="002F2025" w:rsidRDefault="00460730">
      <w:pPr>
        <w:pStyle w:val="TOC1"/>
        <w:rPr>
          <w:rFonts w:asciiTheme="minorHAnsi" w:eastAsiaTheme="minorEastAsia" w:hAnsiTheme="minorHAnsi" w:cstheme="minorBidi"/>
          <w:b w:val="0"/>
          <w:sz w:val="22"/>
          <w:szCs w:val="22"/>
          <w:lang w:eastAsia="en-AU"/>
        </w:rPr>
      </w:pPr>
      <w:hyperlink w:anchor="_Toc143272019" w:history="1">
        <w:r w:rsidR="002F2025" w:rsidRPr="00CE3836">
          <w:rPr>
            <w:rStyle w:val="Hyperlink"/>
          </w:rPr>
          <w:t>4. Staffing requirements</w:t>
        </w:r>
        <w:r w:rsidR="002F2025">
          <w:rPr>
            <w:webHidden/>
          </w:rPr>
          <w:tab/>
        </w:r>
        <w:r w:rsidR="002F2025">
          <w:rPr>
            <w:webHidden/>
          </w:rPr>
          <w:fldChar w:fldCharType="begin"/>
        </w:r>
        <w:r w:rsidR="002F2025">
          <w:rPr>
            <w:webHidden/>
          </w:rPr>
          <w:instrText xml:space="preserve"> PAGEREF _Toc143272019 \h </w:instrText>
        </w:r>
        <w:r w:rsidR="002F2025">
          <w:rPr>
            <w:webHidden/>
          </w:rPr>
        </w:r>
        <w:r w:rsidR="002F2025">
          <w:rPr>
            <w:webHidden/>
          </w:rPr>
          <w:fldChar w:fldCharType="separate"/>
        </w:r>
        <w:r w:rsidR="00961824">
          <w:rPr>
            <w:webHidden/>
          </w:rPr>
          <w:t>32</w:t>
        </w:r>
        <w:r w:rsidR="002F2025">
          <w:rPr>
            <w:webHidden/>
          </w:rPr>
          <w:fldChar w:fldCharType="end"/>
        </w:r>
      </w:hyperlink>
    </w:p>
    <w:p w14:paraId="1D89FB97" w14:textId="219D7363" w:rsidR="002F2025" w:rsidRDefault="00460730">
      <w:pPr>
        <w:pStyle w:val="TOC2"/>
        <w:rPr>
          <w:rFonts w:asciiTheme="minorHAnsi" w:eastAsiaTheme="minorEastAsia" w:hAnsiTheme="minorHAnsi" w:cstheme="minorBidi"/>
          <w:sz w:val="22"/>
          <w:szCs w:val="22"/>
          <w:lang w:eastAsia="en-AU"/>
        </w:rPr>
      </w:pPr>
      <w:hyperlink w:anchor="_Toc143272020" w:history="1">
        <w:r w:rsidR="002F2025" w:rsidRPr="00CE3836">
          <w:rPr>
            <w:rStyle w:val="Hyperlink"/>
          </w:rPr>
          <w:t>4.1. Senior appointments</w:t>
        </w:r>
        <w:r w:rsidR="002F2025">
          <w:rPr>
            <w:webHidden/>
          </w:rPr>
          <w:tab/>
        </w:r>
        <w:r w:rsidR="002F2025">
          <w:rPr>
            <w:webHidden/>
          </w:rPr>
          <w:fldChar w:fldCharType="begin"/>
        </w:r>
        <w:r w:rsidR="002F2025">
          <w:rPr>
            <w:webHidden/>
          </w:rPr>
          <w:instrText xml:space="preserve"> PAGEREF _Toc143272020 \h </w:instrText>
        </w:r>
        <w:r w:rsidR="002F2025">
          <w:rPr>
            <w:webHidden/>
          </w:rPr>
        </w:r>
        <w:r w:rsidR="002F2025">
          <w:rPr>
            <w:webHidden/>
          </w:rPr>
          <w:fldChar w:fldCharType="separate"/>
        </w:r>
        <w:r w:rsidR="00961824">
          <w:rPr>
            <w:webHidden/>
          </w:rPr>
          <w:t>32</w:t>
        </w:r>
        <w:r w:rsidR="002F2025">
          <w:rPr>
            <w:webHidden/>
          </w:rPr>
          <w:fldChar w:fldCharType="end"/>
        </w:r>
      </w:hyperlink>
    </w:p>
    <w:p w14:paraId="51859517" w14:textId="7D64A967" w:rsidR="002F2025" w:rsidRDefault="00460730">
      <w:pPr>
        <w:pStyle w:val="TOC2"/>
        <w:rPr>
          <w:rFonts w:asciiTheme="minorHAnsi" w:eastAsiaTheme="minorEastAsia" w:hAnsiTheme="minorHAnsi" w:cstheme="minorBidi"/>
          <w:sz w:val="22"/>
          <w:szCs w:val="22"/>
          <w:lang w:eastAsia="en-AU"/>
        </w:rPr>
      </w:pPr>
      <w:hyperlink w:anchor="_Toc143272021" w:history="1">
        <w:r w:rsidR="002F2025" w:rsidRPr="00CE3836">
          <w:rPr>
            <w:rStyle w:val="Hyperlink"/>
          </w:rPr>
          <w:t>4.2 Sufficient nursing and midwifery staff</w:t>
        </w:r>
        <w:r w:rsidR="002F2025">
          <w:rPr>
            <w:webHidden/>
          </w:rPr>
          <w:tab/>
        </w:r>
        <w:r w:rsidR="002F2025">
          <w:rPr>
            <w:webHidden/>
          </w:rPr>
          <w:fldChar w:fldCharType="begin"/>
        </w:r>
        <w:r w:rsidR="002F2025">
          <w:rPr>
            <w:webHidden/>
          </w:rPr>
          <w:instrText xml:space="preserve"> PAGEREF _Toc143272021 \h </w:instrText>
        </w:r>
        <w:r w:rsidR="002F2025">
          <w:rPr>
            <w:webHidden/>
          </w:rPr>
        </w:r>
        <w:r w:rsidR="002F2025">
          <w:rPr>
            <w:webHidden/>
          </w:rPr>
          <w:fldChar w:fldCharType="separate"/>
        </w:r>
        <w:r w:rsidR="00961824">
          <w:rPr>
            <w:webHidden/>
          </w:rPr>
          <w:t>37</w:t>
        </w:r>
        <w:r w:rsidR="002F2025">
          <w:rPr>
            <w:webHidden/>
          </w:rPr>
          <w:fldChar w:fldCharType="end"/>
        </w:r>
      </w:hyperlink>
    </w:p>
    <w:p w14:paraId="0CB566E7" w14:textId="0AA95387" w:rsidR="002F2025" w:rsidRDefault="00460730">
      <w:pPr>
        <w:pStyle w:val="TOC1"/>
        <w:rPr>
          <w:rFonts w:asciiTheme="minorHAnsi" w:eastAsiaTheme="minorEastAsia" w:hAnsiTheme="minorHAnsi" w:cstheme="minorBidi"/>
          <w:b w:val="0"/>
          <w:sz w:val="22"/>
          <w:szCs w:val="22"/>
          <w:lang w:eastAsia="en-AU"/>
        </w:rPr>
      </w:pPr>
      <w:hyperlink w:anchor="_Toc143272022" w:history="1">
        <w:r w:rsidR="002F2025" w:rsidRPr="00CE3836">
          <w:rPr>
            <w:rStyle w:val="Hyperlink"/>
          </w:rPr>
          <w:t>5. Pre-treatment clinical assessment and discharge of patients</w:t>
        </w:r>
        <w:r w:rsidR="002F2025">
          <w:rPr>
            <w:webHidden/>
          </w:rPr>
          <w:tab/>
        </w:r>
        <w:r w:rsidR="002F2025">
          <w:rPr>
            <w:webHidden/>
          </w:rPr>
          <w:fldChar w:fldCharType="begin"/>
        </w:r>
        <w:r w:rsidR="002F2025">
          <w:rPr>
            <w:webHidden/>
          </w:rPr>
          <w:instrText xml:space="preserve"> PAGEREF _Toc143272022 \h </w:instrText>
        </w:r>
        <w:r w:rsidR="002F2025">
          <w:rPr>
            <w:webHidden/>
          </w:rPr>
        </w:r>
        <w:r w:rsidR="002F2025">
          <w:rPr>
            <w:webHidden/>
          </w:rPr>
          <w:fldChar w:fldCharType="separate"/>
        </w:r>
        <w:r w:rsidR="00961824">
          <w:rPr>
            <w:webHidden/>
          </w:rPr>
          <w:t>43</w:t>
        </w:r>
        <w:r w:rsidR="002F2025">
          <w:rPr>
            <w:webHidden/>
          </w:rPr>
          <w:fldChar w:fldCharType="end"/>
        </w:r>
      </w:hyperlink>
    </w:p>
    <w:p w14:paraId="263973B4" w14:textId="271D4712" w:rsidR="002F2025" w:rsidRDefault="00460730">
      <w:pPr>
        <w:pStyle w:val="TOC2"/>
        <w:rPr>
          <w:rFonts w:asciiTheme="minorHAnsi" w:eastAsiaTheme="minorEastAsia" w:hAnsiTheme="minorHAnsi" w:cstheme="minorBidi"/>
          <w:sz w:val="22"/>
          <w:szCs w:val="22"/>
          <w:lang w:eastAsia="en-AU"/>
        </w:rPr>
      </w:pPr>
      <w:hyperlink w:anchor="_Toc143272023" w:history="1">
        <w:r w:rsidR="002F2025" w:rsidRPr="00CE3836">
          <w:rPr>
            <w:rStyle w:val="Hyperlink"/>
          </w:rPr>
          <w:t>5.1 Pre-treatment clinical risk assessment</w:t>
        </w:r>
        <w:r w:rsidR="002F2025">
          <w:rPr>
            <w:webHidden/>
          </w:rPr>
          <w:tab/>
        </w:r>
        <w:r w:rsidR="002F2025">
          <w:rPr>
            <w:webHidden/>
          </w:rPr>
          <w:fldChar w:fldCharType="begin"/>
        </w:r>
        <w:r w:rsidR="002F2025">
          <w:rPr>
            <w:webHidden/>
          </w:rPr>
          <w:instrText xml:space="preserve"> PAGEREF _Toc143272023 \h </w:instrText>
        </w:r>
        <w:r w:rsidR="002F2025">
          <w:rPr>
            <w:webHidden/>
          </w:rPr>
        </w:r>
        <w:r w:rsidR="002F2025">
          <w:rPr>
            <w:webHidden/>
          </w:rPr>
          <w:fldChar w:fldCharType="separate"/>
        </w:r>
        <w:r w:rsidR="00961824">
          <w:rPr>
            <w:webHidden/>
          </w:rPr>
          <w:t>43</w:t>
        </w:r>
        <w:r w:rsidR="002F2025">
          <w:rPr>
            <w:webHidden/>
          </w:rPr>
          <w:fldChar w:fldCharType="end"/>
        </w:r>
      </w:hyperlink>
    </w:p>
    <w:p w14:paraId="05187452" w14:textId="0567D5AC" w:rsidR="002F2025" w:rsidRDefault="00460730">
      <w:pPr>
        <w:pStyle w:val="TOC2"/>
        <w:rPr>
          <w:rFonts w:asciiTheme="minorHAnsi" w:eastAsiaTheme="minorEastAsia" w:hAnsiTheme="minorHAnsi" w:cstheme="minorBidi"/>
          <w:sz w:val="22"/>
          <w:szCs w:val="22"/>
          <w:lang w:eastAsia="en-AU"/>
        </w:rPr>
      </w:pPr>
      <w:hyperlink w:anchor="_Toc143272024" w:history="1">
        <w:r w:rsidR="002F2025" w:rsidRPr="00CE3836">
          <w:rPr>
            <w:rStyle w:val="Hyperlink"/>
          </w:rPr>
          <w:t>5.2 Discharge information to be given to patients</w:t>
        </w:r>
        <w:r w:rsidR="002F2025">
          <w:rPr>
            <w:webHidden/>
          </w:rPr>
          <w:tab/>
        </w:r>
        <w:r w:rsidR="002F2025">
          <w:rPr>
            <w:webHidden/>
          </w:rPr>
          <w:fldChar w:fldCharType="begin"/>
        </w:r>
        <w:r w:rsidR="002F2025">
          <w:rPr>
            <w:webHidden/>
          </w:rPr>
          <w:instrText xml:space="preserve"> PAGEREF _Toc143272024 \h </w:instrText>
        </w:r>
        <w:r w:rsidR="002F2025">
          <w:rPr>
            <w:webHidden/>
          </w:rPr>
        </w:r>
        <w:r w:rsidR="002F2025">
          <w:rPr>
            <w:webHidden/>
          </w:rPr>
          <w:fldChar w:fldCharType="separate"/>
        </w:r>
        <w:r w:rsidR="00961824">
          <w:rPr>
            <w:webHidden/>
          </w:rPr>
          <w:t>44</w:t>
        </w:r>
        <w:r w:rsidR="002F2025">
          <w:rPr>
            <w:webHidden/>
          </w:rPr>
          <w:fldChar w:fldCharType="end"/>
        </w:r>
      </w:hyperlink>
    </w:p>
    <w:p w14:paraId="16331C8C" w14:textId="7F9B4487" w:rsidR="002F2025" w:rsidRDefault="00460730">
      <w:pPr>
        <w:pStyle w:val="TOC1"/>
        <w:rPr>
          <w:rFonts w:asciiTheme="minorHAnsi" w:eastAsiaTheme="minorEastAsia" w:hAnsiTheme="minorHAnsi" w:cstheme="minorBidi"/>
          <w:b w:val="0"/>
          <w:sz w:val="22"/>
          <w:szCs w:val="22"/>
          <w:lang w:eastAsia="en-AU"/>
        </w:rPr>
      </w:pPr>
      <w:hyperlink w:anchor="_Toc143272025" w:history="1">
        <w:r w:rsidR="002F2025" w:rsidRPr="00CE3836">
          <w:rPr>
            <w:rStyle w:val="Hyperlink"/>
          </w:rPr>
          <w:t>6. Registers and records</w:t>
        </w:r>
        <w:r w:rsidR="002F2025">
          <w:rPr>
            <w:webHidden/>
          </w:rPr>
          <w:tab/>
        </w:r>
        <w:r w:rsidR="002F2025">
          <w:rPr>
            <w:webHidden/>
          </w:rPr>
          <w:fldChar w:fldCharType="begin"/>
        </w:r>
        <w:r w:rsidR="002F2025">
          <w:rPr>
            <w:webHidden/>
          </w:rPr>
          <w:instrText xml:space="preserve"> PAGEREF _Toc143272025 \h </w:instrText>
        </w:r>
        <w:r w:rsidR="002F2025">
          <w:rPr>
            <w:webHidden/>
          </w:rPr>
        </w:r>
        <w:r w:rsidR="002F2025">
          <w:rPr>
            <w:webHidden/>
          </w:rPr>
          <w:fldChar w:fldCharType="separate"/>
        </w:r>
        <w:r w:rsidR="00961824">
          <w:rPr>
            <w:webHidden/>
          </w:rPr>
          <w:t>46</w:t>
        </w:r>
        <w:r w:rsidR="002F2025">
          <w:rPr>
            <w:webHidden/>
          </w:rPr>
          <w:fldChar w:fldCharType="end"/>
        </w:r>
      </w:hyperlink>
    </w:p>
    <w:p w14:paraId="41DAE786" w14:textId="72661CDF" w:rsidR="002F2025" w:rsidRDefault="00460730">
      <w:pPr>
        <w:pStyle w:val="TOC2"/>
        <w:rPr>
          <w:rFonts w:asciiTheme="minorHAnsi" w:eastAsiaTheme="minorEastAsia" w:hAnsiTheme="minorHAnsi" w:cstheme="minorBidi"/>
          <w:sz w:val="22"/>
          <w:szCs w:val="22"/>
          <w:lang w:eastAsia="en-AU"/>
        </w:rPr>
      </w:pPr>
      <w:hyperlink w:anchor="_Toc143272026" w:history="1">
        <w:r w:rsidR="002F2025" w:rsidRPr="00CE3836">
          <w:rPr>
            <w:rStyle w:val="Hyperlink"/>
          </w:rPr>
          <w:t>6.1 Operation theatre register</w:t>
        </w:r>
        <w:r w:rsidR="002F2025">
          <w:rPr>
            <w:webHidden/>
          </w:rPr>
          <w:tab/>
        </w:r>
        <w:r w:rsidR="002F2025">
          <w:rPr>
            <w:webHidden/>
          </w:rPr>
          <w:fldChar w:fldCharType="begin"/>
        </w:r>
        <w:r w:rsidR="002F2025">
          <w:rPr>
            <w:webHidden/>
          </w:rPr>
          <w:instrText xml:space="preserve"> PAGEREF _Toc143272026 \h </w:instrText>
        </w:r>
        <w:r w:rsidR="002F2025">
          <w:rPr>
            <w:webHidden/>
          </w:rPr>
        </w:r>
        <w:r w:rsidR="002F2025">
          <w:rPr>
            <w:webHidden/>
          </w:rPr>
          <w:fldChar w:fldCharType="separate"/>
        </w:r>
        <w:r w:rsidR="00961824">
          <w:rPr>
            <w:webHidden/>
          </w:rPr>
          <w:t>46</w:t>
        </w:r>
        <w:r w:rsidR="002F2025">
          <w:rPr>
            <w:webHidden/>
          </w:rPr>
          <w:fldChar w:fldCharType="end"/>
        </w:r>
      </w:hyperlink>
    </w:p>
    <w:p w14:paraId="05F0D028" w14:textId="78BD1571" w:rsidR="002F2025" w:rsidRDefault="00460730">
      <w:pPr>
        <w:pStyle w:val="TOC1"/>
        <w:rPr>
          <w:rFonts w:asciiTheme="minorHAnsi" w:eastAsiaTheme="minorEastAsia" w:hAnsiTheme="minorHAnsi" w:cstheme="minorBidi"/>
          <w:b w:val="0"/>
          <w:sz w:val="22"/>
          <w:szCs w:val="22"/>
          <w:lang w:eastAsia="en-AU"/>
        </w:rPr>
      </w:pPr>
      <w:hyperlink w:anchor="_Toc143272027" w:history="1">
        <w:r w:rsidR="002F2025" w:rsidRPr="00CE3836">
          <w:rPr>
            <w:rStyle w:val="Hyperlink"/>
          </w:rPr>
          <w:t>7. Mandatory reporting to the department and Safer Care Victoria</w:t>
        </w:r>
        <w:r w:rsidR="002F2025">
          <w:rPr>
            <w:webHidden/>
          </w:rPr>
          <w:tab/>
        </w:r>
        <w:r w:rsidR="002F2025">
          <w:rPr>
            <w:webHidden/>
          </w:rPr>
          <w:fldChar w:fldCharType="begin"/>
        </w:r>
        <w:r w:rsidR="002F2025">
          <w:rPr>
            <w:webHidden/>
          </w:rPr>
          <w:instrText xml:space="preserve"> PAGEREF _Toc143272027 \h </w:instrText>
        </w:r>
        <w:r w:rsidR="002F2025">
          <w:rPr>
            <w:webHidden/>
          </w:rPr>
        </w:r>
        <w:r w:rsidR="002F2025">
          <w:rPr>
            <w:webHidden/>
          </w:rPr>
          <w:fldChar w:fldCharType="separate"/>
        </w:r>
        <w:r w:rsidR="00961824">
          <w:rPr>
            <w:webHidden/>
          </w:rPr>
          <w:t>47</w:t>
        </w:r>
        <w:r w:rsidR="002F2025">
          <w:rPr>
            <w:webHidden/>
          </w:rPr>
          <w:fldChar w:fldCharType="end"/>
        </w:r>
      </w:hyperlink>
    </w:p>
    <w:p w14:paraId="026E4528" w14:textId="74D75142" w:rsidR="002F2025" w:rsidRDefault="00460730">
      <w:pPr>
        <w:pStyle w:val="TOC2"/>
        <w:rPr>
          <w:rFonts w:asciiTheme="minorHAnsi" w:eastAsiaTheme="minorEastAsia" w:hAnsiTheme="minorHAnsi" w:cstheme="minorBidi"/>
          <w:sz w:val="22"/>
          <w:szCs w:val="22"/>
          <w:lang w:eastAsia="en-AU"/>
        </w:rPr>
      </w:pPr>
      <w:hyperlink w:anchor="_Toc143272028" w:history="1">
        <w:r w:rsidR="002F2025" w:rsidRPr="00CE3836">
          <w:rPr>
            <w:rStyle w:val="Hyperlink"/>
          </w:rPr>
          <w:t>7.1 Reporting of transfers out</w:t>
        </w:r>
        <w:r w:rsidR="002F2025">
          <w:rPr>
            <w:webHidden/>
          </w:rPr>
          <w:tab/>
        </w:r>
        <w:r w:rsidR="002F2025">
          <w:rPr>
            <w:webHidden/>
          </w:rPr>
          <w:fldChar w:fldCharType="begin"/>
        </w:r>
        <w:r w:rsidR="002F2025">
          <w:rPr>
            <w:webHidden/>
          </w:rPr>
          <w:instrText xml:space="preserve"> PAGEREF _Toc143272028 \h </w:instrText>
        </w:r>
        <w:r w:rsidR="002F2025">
          <w:rPr>
            <w:webHidden/>
          </w:rPr>
        </w:r>
        <w:r w:rsidR="002F2025">
          <w:rPr>
            <w:webHidden/>
          </w:rPr>
          <w:fldChar w:fldCharType="separate"/>
        </w:r>
        <w:r w:rsidR="00961824">
          <w:rPr>
            <w:webHidden/>
          </w:rPr>
          <w:t>47</w:t>
        </w:r>
        <w:r w:rsidR="002F2025">
          <w:rPr>
            <w:webHidden/>
          </w:rPr>
          <w:fldChar w:fldCharType="end"/>
        </w:r>
      </w:hyperlink>
    </w:p>
    <w:p w14:paraId="5B5FD2F7" w14:textId="7AA248D5" w:rsidR="002F2025" w:rsidRDefault="00460730">
      <w:pPr>
        <w:pStyle w:val="TOC2"/>
        <w:rPr>
          <w:rFonts w:asciiTheme="minorHAnsi" w:eastAsiaTheme="minorEastAsia" w:hAnsiTheme="minorHAnsi" w:cstheme="minorBidi"/>
          <w:sz w:val="22"/>
          <w:szCs w:val="22"/>
          <w:lang w:eastAsia="en-AU"/>
        </w:rPr>
      </w:pPr>
      <w:hyperlink w:anchor="_Toc143272029" w:history="1">
        <w:r w:rsidR="002F2025" w:rsidRPr="00CE3836">
          <w:rPr>
            <w:rStyle w:val="Hyperlink"/>
          </w:rPr>
          <w:t>7.2 Adverse patient safety events (APSE) – responding and reporting</w:t>
        </w:r>
        <w:r w:rsidR="002F2025">
          <w:rPr>
            <w:webHidden/>
          </w:rPr>
          <w:tab/>
        </w:r>
        <w:r w:rsidR="002F2025">
          <w:rPr>
            <w:webHidden/>
          </w:rPr>
          <w:fldChar w:fldCharType="begin"/>
        </w:r>
        <w:r w:rsidR="002F2025">
          <w:rPr>
            <w:webHidden/>
          </w:rPr>
          <w:instrText xml:space="preserve"> PAGEREF _Toc143272029 \h </w:instrText>
        </w:r>
        <w:r w:rsidR="002F2025">
          <w:rPr>
            <w:webHidden/>
          </w:rPr>
        </w:r>
        <w:r w:rsidR="002F2025">
          <w:rPr>
            <w:webHidden/>
          </w:rPr>
          <w:fldChar w:fldCharType="separate"/>
        </w:r>
        <w:r w:rsidR="00961824">
          <w:rPr>
            <w:webHidden/>
          </w:rPr>
          <w:t>47</w:t>
        </w:r>
        <w:r w:rsidR="002F2025">
          <w:rPr>
            <w:webHidden/>
          </w:rPr>
          <w:fldChar w:fldCharType="end"/>
        </w:r>
      </w:hyperlink>
    </w:p>
    <w:p w14:paraId="062D39DC" w14:textId="7481D40B" w:rsidR="002F2025" w:rsidRDefault="00460730">
      <w:pPr>
        <w:pStyle w:val="TOC2"/>
        <w:rPr>
          <w:rFonts w:asciiTheme="minorHAnsi" w:eastAsiaTheme="minorEastAsia" w:hAnsiTheme="minorHAnsi" w:cstheme="minorBidi"/>
          <w:sz w:val="22"/>
          <w:szCs w:val="22"/>
          <w:lang w:eastAsia="en-AU"/>
        </w:rPr>
      </w:pPr>
      <w:hyperlink w:anchor="_Toc143272030" w:history="1">
        <w:r w:rsidR="002F2025" w:rsidRPr="00CE3836">
          <w:rPr>
            <w:rStyle w:val="Hyperlink"/>
          </w:rPr>
          <w:t>7.3 Open Disclosure</w:t>
        </w:r>
        <w:r w:rsidR="002F2025">
          <w:rPr>
            <w:webHidden/>
          </w:rPr>
          <w:tab/>
        </w:r>
        <w:r w:rsidR="002F2025">
          <w:rPr>
            <w:webHidden/>
          </w:rPr>
          <w:fldChar w:fldCharType="begin"/>
        </w:r>
        <w:r w:rsidR="002F2025">
          <w:rPr>
            <w:webHidden/>
          </w:rPr>
          <w:instrText xml:space="preserve"> PAGEREF _Toc143272030 \h </w:instrText>
        </w:r>
        <w:r w:rsidR="002F2025">
          <w:rPr>
            <w:webHidden/>
          </w:rPr>
        </w:r>
        <w:r w:rsidR="002F2025">
          <w:rPr>
            <w:webHidden/>
          </w:rPr>
          <w:fldChar w:fldCharType="separate"/>
        </w:r>
        <w:r w:rsidR="00961824">
          <w:rPr>
            <w:webHidden/>
          </w:rPr>
          <w:t>52</w:t>
        </w:r>
        <w:r w:rsidR="002F2025">
          <w:rPr>
            <w:webHidden/>
          </w:rPr>
          <w:fldChar w:fldCharType="end"/>
        </w:r>
      </w:hyperlink>
    </w:p>
    <w:p w14:paraId="10115529" w14:textId="17D2427E" w:rsidR="002F2025" w:rsidRDefault="00460730">
      <w:pPr>
        <w:pStyle w:val="TOC2"/>
        <w:rPr>
          <w:rFonts w:asciiTheme="minorHAnsi" w:eastAsiaTheme="minorEastAsia" w:hAnsiTheme="minorHAnsi" w:cstheme="minorBidi"/>
          <w:sz w:val="22"/>
          <w:szCs w:val="22"/>
          <w:lang w:eastAsia="en-AU"/>
        </w:rPr>
      </w:pPr>
      <w:hyperlink w:anchor="_Toc143272031" w:history="1">
        <w:r w:rsidR="002F2025" w:rsidRPr="00CE3836">
          <w:rPr>
            <w:rStyle w:val="Hyperlink"/>
          </w:rPr>
          <w:t>7.4 Annual data reporting by mobile health services</w:t>
        </w:r>
        <w:r w:rsidR="002F2025">
          <w:rPr>
            <w:webHidden/>
          </w:rPr>
          <w:tab/>
        </w:r>
        <w:r w:rsidR="002F2025">
          <w:rPr>
            <w:webHidden/>
          </w:rPr>
          <w:fldChar w:fldCharType="begin"/>
        </w:r>
        <w:r w:rsidR="002F2025">
          <w:rPr>
            <w:webHidden/>
          </w:rPr>
          <w:instrText xml:space="preserve"> PAGEREF _Toc143272031 \h </w:instrText>
        </w:r>
        <w:r w:rsidR="002F2025">
          <w:rPr>
            <w:webHidden/>
          </w:rPr>
        </w:r>
        <w:r w:rsidR="002F2025">
          <w:rPr>
            <w:webHidden/>
          </w:rPr>
          <w:fldChar w:fldCharType="separate"/>
        </w:r>
        <w:r w:rsidR="00961824">
          <w:rPr>
            <w:webHidden/>
          </w:rPr>
          <w:t>53</w:t>
        </w:r>
        <w:r w:rsidR="002F2025">
          <w:rPr>
            <w:webHidden/>
          </w:rPr>
          <w:fldChar w:fldCharType="end"/>
        </w:r>
      </w:hyperlink>
    </w:p>
    <w:p w14:paraId="03FCCE21" w14:textId="5326F44A" w:rsidR="002F2025" w:rsidRDefault="00460730">
      <w:pPr>
        <w:pStyle w:val="TOC2"/>
        <w:rPr>
          <w:rFonts w:asciiTheme="minorHAnsi" w:eastAsiaTheme="minorEastAsia" w:hAnsiTheme="minorHAnsi" w:cstheme="minorBidi"/>
          <w:sz w:val="22"/>
          <w:szCs w:val="22"/>
          <w:lang w:eastAsia="en-AU"/>
        </w:rPr>
      </w:pPr>
      <w:hyperlink w:anchor="_Toc143272032" w:history="1">
        <w:r w:rsidR="002F2025" w:rsidRPr="00CE3836">
          <w:rPr>
            <w:rStyle w:val="Hyperlink"/>
            <w:rFonts w:eastAsia="Times"/>
          </w:rPr>
          <w:t>7.5 Infection control reporting</w:t>
        </w:r>
        <w:r w:rsidR="002F2025">
          <w:rPr>
            <w:webHidden/>
          </w:rPr>
          <w:tab/>
        </w:r>
        <w:r w:rsidR="002F2025">
          <w:rPr>
            <w:webHidden/>
          </w:rPr>
          <w:fldChar w:fldCharType="begin"/>
        </w:r>
        <w:r w:rsidR="002F2025">
          <w:rPr>
            <w:webHidden/>
          </w:rPr>
          <w:instrText xml:space="preserve"> PAGEREF _Toc143272032 \h </w:instrText>
        </w:r>
        <w:r w:rsidR="002F2025">
          <w:rPr>
            <w:webHidden/>
          </w:rPr>
        </w:r>
        <w:r w:rsidR="002F2025">
          <w:rPr>
            <w:webHidden/>
          </w:rPr>
          <w:fldChar w:fldCharType="separate"/>
        </w:r>
        <w:r w:rsidR="00961824">
          <w:rPr>
            <w:webHidden/>
          </w:rPr>
          <w:t>54</w:t>
        </w:r>
        <w:r w:rsidR="002F2025">
          <w:rPr>
            <w:webHidden/>
          </w:rPr>
          <w:fldChar w:fldCharType="end"/>
        </w:r>
      </w:hyperlink>
    </w:p>
    <w:p w14:paraId="147C7F5D" w14:textId="1BF463B0" w:rsidR="002F2025" w:rsidRDefault="00460730">
      <w:pPr>
        <w:pStyle w:val="TOC1"/>
        <w:rPr>
          <w:rFonts w:asciiTheme="minorHAnsi" w:eastAsiaTheme="minorEastAsia" w:hAnsiTheme="minorHAnsi" w:cstheme="minorBidi"/>
          <w:b w:val="0"/>
          <w:sz w:val="22"/>
          <w:szCs w:val="22"/>
          <w:lang w:eastAsia="en-AU"/>
        </w:rPr>
      </w:pPr>
      <w:hyperlink w:anchor="_Toc143272033" w:history="1">
        <w:r w:rsidR="002F2025" w:rsidRPr="00CE3836">
          <w:rPr>
            <w:rStyle w:val="Hyperlink"/>
          </w:rPr>
          <w:t>8. The patient experience: rights, informed care and complaints  </w:t>
        </w:r>
        <w:r w:rsidR="002F2025">
          <w:rPr>
            <w:webHidden/>
          </w:rPr>
          <w:tab/>
        </w:r>
        <w:r w:rsidR="002F2025">
          <w:rPr>
            <w:webHidden/>
          </w:rPr>
          <w:fldChar w:fldCharType="begin"/>
        </w:r>
        <w:r w:rsidR="002F2025">
          <w:rPr>
            <w:webHidden/>
          </w:rPr>
          <w:instrText xml:space="preserve"> PAGEREF _Toc143272033 \h </w:instrText>
        </w:r>
        <w:r w:rsidR="002F2025">
          <w:rPr>
            <w:webHidden/>
          </w:rPr>
        </w:r>
        <w:r w:rsidR="002F2025">
          <w:rPr>
            <w:webHidden/>
          </w:rPr>
          <w:fldChar w:fldCharType="separate"/>
        </w:r>
        <w:r w:rsidR="00961824">
          <w:rPr>
            <w:webHidden/>
          </w:rPr>
          <w:t>55</w:t>
        </w:r>
        <w:r w:rsidR="002F2025">
          <w:rPr>
            <w:webHidden/>
          </w:rPr>
          <w:fldChar w:fldCharType="end"/>
        </w:r>
      </w:hyperlink>
    </w:p>
    <w:p w14:paraId="072ECF2E" w14:textId="02BA4EF1" w:rsidR="002F2025" w:rsidRDefault="00460730">
      <w:pPr>
        <w:pStyle w:val="TOC2"/>
        <w:rPr>
          <w:rFonts w:asciiTheme="minorHAnsi" w:eastAsiaTheme="minorEastAsia" w:hAnsiTheme="minorHAnsi" w:cstheme="minorBidi"/>
          <w:sz w:val="22"/>
          <w:szCs w:val="22"/>
          <w:lang w:eastAsia="en-AU"/>
        </w:rPr>
      </w:pPr>
      <w:hyperlink w:anchor="_Toc143272034" w:history="1">
        <w:r w:rsidR="002F2025" w:rsidRPr="00CE3836">
          <w:rPr>
            <w:rStyle w:val="Hyperlink"/>
            <w:rFonts w:eastAsia="Times"/>
          </w:rPr>
          <w:t>8.1 Care of patients – respect, dignity and privacy</w:t>
        </w:r>
        <w:r w:rsidR="002F2025">
          <w:rPr>
            <w:webHidden/>
          </w:rPr>
          <w:tab/>
        </w:r>
        <w:r w:rsidR="002F2025">
          <w:rPr>
            <w:webHidden/>
          </w:rPr>
          <w:fldChar w:fldCharType="begin"/>
        </w:r>
        <w:r w:rsidR="002F2025">
          <w:rPr>
            <w:webHidden/>
          </w:rPr>
          <w:instrText xml:space="preserve"> PAGEREF _Toc143272034 \h </w:instrText>
        </w:r>
        <w:r w:rsidR="002F2025">
          <w:rPr>
            <w:webHidden/>
          </w:rPr>
        </w:r>
        <w:r w:rsidR="002F2025">
          <w:rPr>
            <w:webHidden/>
          </w:rPr>
          <w:fldChar w:fldCharType="separate"/>
        </w:r>
        <w:r w:rsidR="00961824">
          <w:rPr>
            <w:webHidden/>
          </w:rPr>
          <w:t>55</w:t>
        </w:r>
        <w:r w:rsidR="002F2025">
          <w:rPr>
            <w:webHidden/>
          </w:rPr>
          <w:fldChar w:fldCharType="end"/>
        </w:r>
      </w:hyperlink>
    </w:p>
    <w:p w14:paraId="29CEDAA0" w14:textId="1C84CB08" w:rsidR="002F2025" w:rsidRDefault="00460730">
      <w:pPr>
        <w:pStyle w:val="TOC2"/>
        <w:rPr>
          <w:rFonts w:asciiTheme="minorHAnsi" w:eastAsiaTheme="minorEastAsia" w:hAnsiTheme="minorHAnsi" w:cstheme="minorBidi"/>
          <w:sz w:val="22"/>
          <w:szCs w:val="22"/>
          <w:lang w:eastAsia="en-AU"/>
        </w:rPr>
      </w:pPr>
      <w:hyperlink w:anchor="_Toc143272035" w:history="1">
        <w:r w:rsidR="002F2025" w:rsidRPr="00CE3836">
          <w:rPr>
            <w:rStyle w:val="Hyperlink"/>
            <w:rFonts w:eastAsia="Times"/>
          </w:rPr>
          <w:t>8.2 Complaints</w:t>
        </w:r>
        <w:r w:rsidR="002F2025">
          <w:rPr>
            <w:webHidden/>
          </w:rPr>
          <w:tab/>
        </w:r>
        <w:r w:rsidR="002F2025">
          <w:rPr>
            <w:webHidden/>
          </w:rPr>
          <w:fldChar w:fldCharType="begin"/>
        </w:r>
        <w:r w:rsidR="002F2025">
          <w:rPr>
            <w:webHidden/>
          </w:rPr>
          <w:instrText xml:space="preserve"> PAGEREF _Toc143272035 \h </w:instrText>
        </w:r>
        <w:r w:rsidR="002F2025">
          <w:rPr>
            <w:webHidden/>
          </w:rPr>
        </w:r>
        <w:r w:rsidR="002F2025">
          <w:rPr>
            <w:webHidden/>
          </w:rPr>
          <w:fldChar w:fldCharType="separate"/>
        </w:r>
        <w:r w:rsidR="00961824">
          <w:rPr>
            <w:webHidden/>
          </w:rPr>
          <w:t>56</w:t>
        </w:r>
        <w:r w:rsidR="002F2025">
          <w:rPr>
            <w:webHidden/>
          </w:rPr>
          <w:fldChar w:fldCharType="end"/>
        </w:r>
      </w:hyperlink>
    </w:p>
    <w:p w14:paraId="7FA5E777" w14:textId="62F58C31" w:rsidR="002F2025" w:rsidRDefault="00460730">
      <w:pPr>
        <w:pStyle w:val="TOC2"/>
        <w:rPr>
          <w:rFonts w:asciiTheme="minorHAnsi" w:eastAsiaTheme="minorEastAsia" w:hAnsiTheme="minorHAnsi" w:cstheme="minorBidi"/>
          <w:sz w:val="22"/>
          <w:szCs w:val="22"/>
          <w:lang w:eastAsia="en-AU"/>
        </w:rPr>
      </w:pPr>
      <w:hyperlink w:anchor="_Toc143272036" w:history="1">
        <w:r w:rsidR="002F2025" w:rsidRPr="00CE3836">
          <w:rPr>
            <w:rStyle w:val="Hyperlink"/>
            <w:rFonts w:eastAsia="Times"/>
          </w:rPr>
          <w:t>8.3 Display and publication of information</w:t>
        </w:r>
        <w:r w:rsidR="002F2025">
          <w:rPr>
            <w:webHidden/>
          </w:rPr>
          <w:tab/>
        </w:r>
        <w:r w:rsidR="002F2025">
          <w:rPr>
            <w:webHidden/>
          </w:rPr>
          <w:fldChar w:fldCharType="begin"/>
        </w:r>
        <w:r w:rsidR="002F2025">
          <w:rPr>
            <w:webHidden/>
          </w:rPr>
          <w:instrText xml:space="preserve"> PAGEREF _Toc143272036 \h </w:instrText>
        </w:r>
        <w:r w:rsidR="002F2025">
          <w:rPr>
            <w:webHidden/>
          </w:rPr>
        </w:r>
        <w:r w:rsidR="002F2025">
          <w:rPr>
            <w:webHidden/>
          </w:rPr>
          <w:fldChar w:fldCharType="separate"/>
        </w:r>
        <w:r w:rsidR="00961824">
          <w:rPr>
            <w:webHidden/>
          </w:rPr>
          <w:t>56</w:t>
        </w:r>
        <w:r w:rsidR="002F2025">
          <w:rPr>
            <w:webHidden/>
          </w:rPr>
          <w:fldChar w:fldCharType="end"/>
        </w:r>
      </w:hyperlink>
    </w:p>
    <w:p w14:paraId="1AADBB0A" w14:textId="654EC00B" w:rsidR="002F2025" w:rsidRDefault="00460730">
      <w:pPr>
        <w:pStyle w:val="TOC2"/>
        <w:rPr>
          <w:rFonts w:asciiTheme="minorHAnsi" w:eastAsiaTheme="minorEastAsia" w:hAnsiTheme="minorHAnsi" w:cstheme="minorBidi"/>
          <w:sz w:val="22"/>
          <w:szCs w:val="22"/>
          <w:lang w:eastAsia="en-AU"/>
        </w:rPr>
      </w:pPr>
      <w:hyperlink w:anchor="_Toc143272037" w:history="1">
        <w:r w:rsidR="002F2025" w:rsidRPr="00CE3836">
          <w:rPr>
            <w:rStyle w:val="Hyperlink"/>
            <w:rFonts w:eastAsia="Times"/>
          </w:rPr>
          <w:t>8.4 Patient experience survey data</w:t>
        </w:r>
        <w:r w:rsidR="002F2025">
          <w:rPr>
            <w:webHidden/>
          </w:rPr>
          <w:tab/>
        </w:r>
        <w:r w:rsidR="002F2025">
          <w:rPr>
            <w:webHidden/>
          </w:rPr>
          <w:fldChar w:fldCharType="begin"/>
        </w:r>
        <w:r w:rsidR="002F2025">
          <w:rPr>
            <w:webHidden/>
          </w:rPr>
          <w:instrText xml:space="preserve"> PAGEREF _Toc143272037 \h </w:instrText>
        </w:r>
        <w:r w:rsidR="002F2025">
          <w:rPr>
            <w:webHidden/>
          </w:rPr>
        </w:r>
        <w:r w:rsidR="002F2025">
          <w:rPr>
            <w:webHidden/>
          </w:rPr>
          <w:fldChar w:fldCharType="separate"/>
        </w:r>
        <w:r w:rsidR="00961824">
          <w:rPr>
            <w:webHidden/>
          </w:rPr>
          <w:t>57</w:t>
        </w:r>
        <w:r w:rsidR="002F2025">
          <w:rPr>
            <w:webHidden/>
          </w:rPr>
          <w:fldChar w:fldCharType="end"/>
        </w:r>
      </w:hyperlink>
    </w:p>
    <w:p w14:paraId="15ED3D63" w14:textId="06B45CCD" w:rsidR="002F2025" w:rsidRDefault="00460730">
      <w:pPr>
        <w:pStyle w:val="TOC2"/>
        <w:rPr>
          <w:rFonts w:asciiTheme="minorHAnsi" w:eastAsiaTheme="minorEastAsia" w:hAnsiTheme="minorHAnsi" w:cstheme="minorBidi"/>
          <w:sz w:val="22"/>
          <w:szCs w:val="22"/>
          <w:lang w:eastAsia="en-AU"/>
        </w:rPr>
      </w:pPr>
      <w:hyperlink w:anchor="_Toc143272038" w:history="1">
        <w:r w:rsidR="002F2025" w:rsidRPr="00CE3836">
          <w:rPr>
            <w:rStyle w:val="Hyperlink"/>
          </w:rPr>
          <w:t>8.5 Safer Care Victoria Partnering in Healthcare Framework</w:t>
        </w:r>
        <w:r w:rsidR="002F2025">
          <w:rPr>
            <w:webHidden/>
          </w:rPr>
          <w:tab/>
        </w:r>
        <w:r w:rsidR="002F2025">
          <w:rPr>
            <w:webHidden/>
          </w:rPr>
          <w:fldChar w:fldCharType="begin"/>
        </w:r>
        <w:r w:rsidR="002F2025">
          <w:rPr>
            <w:webHidden/>
          </w:rPr>
          <w:instrText xml:space="preserve"> PAGEREF _Toc143272038 \h </w:instrText>
        </w:r>
        <w:r w:rsidR="002F2025">
          <w:rPr>
            <w:webHidden/>
          </w:rPr>
        </w:r>
        <w:r w:rsidR="002F2025">
          <w:rPr>
            <w:webHidden/>
          </w:rPr>
          <w:fldChar w:fldCharType="separate"/>
        </w:r>
        <w:r w:rsidR="00961824">
          <w:rPr>
            <w:webHidden/>
          </w:rPr>
          <w:t>57</w:t>
        </w:r>
        <w:r w:rsidR="002F2025">
          <w:rPr>
            <w:webHidden/>
          </w:rPr>
          <w:fldChar w:fldCharType="end"/>
        </w:r>
      </w:hyperlink>
    </w:p>
    <w:p w14:paraId="4958AEC5" w14:textId="7CEE0519" w:rsidR="002F2025" w:rsidRDefault="00460730">
      <w:pPr>
        <w:pStyle w:val="TOC1"/>
        <w:rPr>
          <w:rFonts w:asciiTheme="minorHAnsi" w:eastAsiaTheme="minorEastAsia" w:hAnsiTheme="minorHAnsi" w:cstheme="minorBidi"/>
          <w:b w:val="0"/>
          <w:sz w:val="22"/>
          <w:szCs w:val="22"/>
          <w:lang w:eastAsia="en-AU"/>
        </w:rPr>
      </w:pPr>
      <w:hyperlink w:anchor="_Toc143272039" w:history="1">
        <w:r w:rsidR="002F2025" w:rsidRPr="00CE3836">
          <w:rPr>
            <w:rStyle w:val="Hyperlink"/>
          </w:rPr>
          <w:t>9. Offences, penalties and sanctions</w:t>
        </w:r>
        <w:r w:rsidR="002F2025">
          <w:rPr>
            <w:webHidden/>
          </w:rPr>
          <w:tab/>
        </w:r>
        <w:r w:rsidR="002F2025">
          <w:rPr>
            <w:webHidden/>
          </w:rPr>
          <w:fldChar w:fldCharType="begin"/>
        </w:r>
        <w:r w:rsidR="002F2025">
          <w:rPr>
            <w:webHidden/>
          </w:rPr>
          <w:instrText xml:space="preserve"> PAGEREF _Toc143272039 \h </w:instrText>
        </w:r>
        <w:r w:rsidR="002F2025">
          <w:rPr>
            <w:webHidden/>
          </w:rPr>
        </w:r>
        <w:r w:rsidR="002F2025">
          <w:rPr>
            <w:webHidden/>
          </w:rPr>
          <w:fldChar w:fldCharType="separate"/>
        </w:r>
        <w:r w:rsidR="00961824">
          <w:rPr>
            <w:webHidden/>
          </w:rPr>
          <w:t>59</w:t>
        </w:r>
        <w:r w:rsidR="002F2025">
          <w:rPr>
            <w:webHidden/>
          </w:rPr>
          <w:fldChar w:fldCharType="end"/>
        </w:r>
      </w:hyperlink>
    </w:p>
    <w:p w14:paraId="6A35910F" w14:textId="790B8766" w:rsidR="002F2025" w:rsidRDefault="00460730">
      <w:pPr>
        <w:pStyle w:val="TOC2"/>
        <w:rPr>
          <w:rFonts w:asciiTheme="minorHAnsi" w:eastAsiaTheme="minorEastAsia" w:hAnsiTheme="minorHAnsi" w:cstheme="minorBidi"/>
          <w:sz w:val="22"/>
          <w:szCs w:val="22"/>
          <w:lang w:eastAsia="en-AU"/>
        </w:rPr>
      </w:pPr>
      <w:hyperlink w:anchor="_Toc143272040" w:history="1">
        <w:r w:rsidR="002F2025" w:rsidRPr="00CE3836">
          <w:rPr>
            <w:rStyle w:val="Hyperlink"/>
            <w:rFonts w:eastAsia="Times"/>
          </w:rPr>
          <w:t>9.1 Offences</w:t>
        </w:r>
        <w:r w:rsidR="002F2025" w:rsidRPr="00CE3836">
          <w:rPr>
            <w:rStyle w:val="Hyperlink"/>
          </w:rPr>
          <w:t xml:space="preserve"> in the Regulations</w:t>
        </w:r>
        <w:r w:rsidR="002F2025">
          <w:rPr>
            <w:webHidden/>
          </w:rPr>
          <w:tab/>
        </w:r>
        <w:r w:rsidR="002F2025">
          <w:rPr>
            <w:webHidden/>
          </w:rPr>
          <w:fldChar w:fldCharType="begin"/>
        </w:r>
        <w:r w:rsidR="002F2025">
          <w:rPr>
            <w:webHidden/>
          </w:rPr>
          <w:instrText xml:space="preserve"> PAGEREF _Toc143272040 \h </w:instrText>
        </w:r>
        <w:r w:rsidR="002F2025">
          <w:rPr>
            <w:webHidden/>
          </w:rPr>
        </w:r>
        <w:r w:rsidR="002F2025">
          <w:rPr>
            <w:webHidden/>
          </w:rPr>
          <w:fldChar w:fldCharType="separate"/>
        </w:r>
        <w:r w:rsidR="00961824">
          <w:rPr>
            <w:webHidden/>
          </w:rPr>
          <w:t>59</w:t>
        </w:r>
        <w:r w:rsidR="002F2025">
          <w:rPr>
            <w:webHidden/>
          </w:rPr>
          <w:fldChar w:fldCharType="end"/>
        </w:r>
      </w:hyperlink>
    </w:p>
    <w:p w14:paraId="240ACFF5" w14:textId="6DC2D019" w:rsidR="002F2025" w:rsidRDefault="00460730">
      <w:pPr>
        <w:pStyle w:val="TOC2"/>
        <w:rPr>
          <w:rFonts w:asciiTheme="minorHAnsi" w:eastAsiaTheme="minorEastAsia" w:hAnsiTheme="minorHAnsi" w:cstheme="minorBidi"/>
          <w:sz w:val="22"/>
          <w:szCs w:val="22"/>
          <w:lang w:eastAsia="en-AU"/>
        </w:rPr>
      </w:pPr>
      <w:hyperlink w:anchor="_Toc143272041" w:history="1">
        <w:r w:rsidR="002F2025" w:rsidRPr="00CE3836">
          <w:rPr>
            <w:rStyle w:val="Hyperlink"/>
            <w:rFonts w:eastAsia="Times"/>
          </w:rPr>
          <w:t>9.2 Infringements</w:t>
        </w:r>
        <w:r w:rsidR="002F2025" w:rsidRPr="00CE3836">
          <w:rPr>
            <w:rStyle w:val="Hyperlink"/>
          </w:rPr>
          <w:t xml:space="preserve"> in the Regulations</w:t>
        </w:r>
        <w:r w:rsidR="002F2025">
          <w:rPr>
            <w:webHidden/>
          </w:rPr>
          <w:tab/>
        </w:r>
        <w:r w:rsidR="002F2025">
          <w:rPr>
            <w:webHidden/>
          </w:rPr>
          <w:fldChar w:fldCharType="begin"/>
        </w:r>
        <w:r w:rsidR="002F2025">
          <w:rPr>
            <w:webHidden/>
          </w:rPr>
          <w:instrText xml:space="preserve"> PAGEREF _Toc143272041 \h </w:instrText>
        </w:r>
        <w:r w:rsidR="002F2025">
          <w:rPr>
            <w:webHidden/>
          </w:rPr>
        </w:r>
        <w:r w:rsidR="002F2025">
          <w:rPr>
            <w:webHidden/>
          </w:rPr>
          <w:fldChar w:fldCharType="separate"/>
        </w:r>
        <w:r w:rsidR="00961824">
          <w:rPr>
            <w:webHidden/>
          </w:rPr>
          <w:t>59</w:t>
        </w:r>
        <w:r w:rsidR="002F2025">
          <w:rPr>
            <w:webHidden/>
          </w:rPr>
          <w:fldChar w:fldCharType="end"/>
        </w:r>
      </w:hyperlink>
    </w:p>
    <w:p w14:paraId="4DD8A5DF" w14:textId="19FEC408" w:rsidR="002F2025" w:rsidRDefault="00460730">
      <w:pPr>
        <w:pStyle w:val="TOC1"/>
        <w:rPr>
          <w:rFonts w:asciiTheme="minorHAnsi" w:eastAsiaTheme="minorEastAsia" w:hAnsiTheme="minorHAnsi" w:cstheme="minorBidi"/>
          <w:b w:val="0"/>
          <w:sz w:val="22"/>
          <w:szCs w:val="22"/>
          <w:lang w:eastAsia="en-AU"/>
        </w:rPr>
      </w:pPr>
      <w:hyperlink w:anchor="_Toc143272042" w:history="1">
        <w:r w:rsidR="002F2025" w:rsidRPr="00CE3836">
          <w:rPr>
            <w:rStyle w:val="Hyperlink"/>
          </w:rPr>
          <w:t>10. Other issues</w:t>
        </w:r>
        <w:r w:rsidR="002F2025">
          <w:rPr>
            <w:webHidden/>
          </w:rPr>
          <w:tab/>
        </w:r>
        <w:r w:rsidR="002F2025">
          <w:rPr>
            <w:webHidden/>
          </w:rPr>
          <w:fldChar w:fldCharType="begin"/>
        </w:r>
        <w:r w:rsidR="002F2025">
          <w:rPr>
            <w:webHidden/>
          </w:rPr>
          <w:instrText xml:space="preserve"> PAGEREF _Toc143272042 \h </w:instrText>
        </w:r>
        <w:r w:rsidR="002F2025">
          <w:rPr>
            <w:webHidden/>
          </w:rPr>
        </w:r>
        <w:r w:rsidR="002F2025">
          <w:rPr>
            <w:webHidden/>
          </w:rPr>
          <w:fldChar w:fldCharType="separate"/>
        </w:r>
        <w:r w:rsidR="00961824">
          <w:rPr>
            <w:webHidden/>
          </w:rPr>
          <w:t>61</w:t>
        </w:r>
        <w:r w:rsidR="002F2025">
          <w:rPr>
            <w:webHidden/>
          </w:rPr>
          <w:fldChar w:fldCharType="end"/>
        </w:r>
      </w:hyperlink>
    </w:p>
    <w:p w14:paraId="0B603AE0" w14:textId="3BC88A9C" w:rsidR="002F2025" w:rsidRDefault="00460730">
      <w:pPr>
        <w:pStyle w:val="TOC2"/>
        <w:rPr>
          <w:rFonts w:asciiTheme="minorHAnsi" w:eastAsiaTheme="minorEastAsia" w:hAnsiTheme="minorHAnsi" w:cstheme="minorBidi"/>
          <w:sz w:val="22"/>
          <w:szCs w:val="22"/>
          <w:lang w:eastAsia="en-AU"/>
        </w:rPr>
      </w:pPr>
      <w:hyperlink w:anchor="_Toc143272043" w:history="1">
        <w:r w:rsidR="002F2025" w:rsidRPr="00CE3836">
          <w:rPr>
            <w:rStyle w:val="Hyperlink"/>
          </w:rPr>
          <w:t>10.1 Fees</w:t>
        </w:r>
        <w:r w:rsidR="002F2025">
          <w:rPr>
            <w:webHidden/>
          </w:rPr>
          <w:tab/>
        </w:r>
        <w:r w:rsidR="002F2025">
          <w:rPr>
            <w:webHidden/>
          </w:rPr>
          <w:fldChar w:fldCharType="begin"/>
        </w:r>
        <w:r w:rsidR="002F2025">
          <w:rPr>
            <w:webHidden/>
          </w:rPr>
          <w:instrText xml:space="preserve"> PAGEREF _Toc143272043 \h </w:instrText>
        </w:r>
        <w:r w:rsidR="002F2025">
          <w:rPr>
            <w:webHidden/>
          </w:rPr>
        </w:r>
        <w:r w:rsidR="002F2025">
          <w:rPr>
            <w:webHidden/>
          </w:rPr>
          <w:fldChar w:fldCharType="separate"/>
        </w:r>
        <w:r w:rsidR="00961824">
          <w:rPr>
            <w:webHidden/>
          </w:rPr>
          <w:t>61</w:t>
        </w:r>
        <w:r w:rsidR="002F2025">
          <w:rPr>
            <w:webHidden/>
          </w:rPr>
          <w:fldChar w:fldCharType="end"/>
        </w:r>
      </w:hyperlink>
    </w:p>
    <w:p w14:paraId="05BF5535" w14:textId="4B084D19" w:rsidR="002F2025" w:rsidRDefault="00460730">
      <w:pPr>
        <w:pStyle w:val="TOC2"/>
        <w:rPr>
          <w:rFonts w:asciiTheme="minorHAnsi" w:eastAsiaTheme="minorEastAsia" w:hAnsiTheme="minorHAnsi" w:cstheme="minorBidi"/>
          <w:sz w:val="22"/>
          <w:szCs w:val="22"/>
          <w:lang w:eastAsia="en-AU"/>
        </w:rPr>
      </w:pPr>
      <w:hyperlink w:anchor="_Toc143272044" w:history="1">
        <w:r w:rsidR="002F2025" w:rsidRPr="00CE3836">
          <w:rPr>
            <w:rStyle w:val="Hyperlink"/>
            <w:lang w:eastAsia="en-AU"/>
          </w:rPr>
          <w:t>10.2 Treatment agents must be available for clinical emergencies</w:t>
        </w:r>
        <w:r w:rsidR="002F2025">
          <w:rPr>
            <w:webHidden/>
          </w:rPr>
          <w:tab/>
        </w:r>
        <w:r w:rsidR="002F2025">
          <w:rPr>
            <w:webHidden/>
          </w:rPr>
          <w:fldChar w:fldCharType="begin"/>
        </w:r>
        <w:r w:rsidR="002F2025">
          <w:rPr>
            <w:webHidden/>
          </w:rPr>
          <w:instrText xml:space="preserve"> PAGEREF _Toc143272044 \h </w:instrText>
        </w:r>
        <w:r w:rsidR="002F2025">
          <w:rPr>
            <w:webHidden/>
          </w:rPr>
        </w:r>
        <w:r w:rsidR="002F2025">
          <w:rPr>
            <w:webHidden/>
          </w:rPr>
          <w:fldChar w:fldCharType="separate"/>
        </w:r>
        <w:r w:rsidR="00961824">
          <w:rPr>
            <w:webHidden/>
          </w:rPr>
          <w:t>61</w:t>
        </w:r>
        <w:r w:rsidR="002F2025">
          <w:rPr>
            <w:webHidden/>
          </w:rPr>
          <w:fldChar w:fldCharType="end"/>
        </w:r>
      </w:hyperlink>
    </w:p>
    <w:p w14:paraId="18347DB7" w14:textId="66EADC76" w:rsidR="002F2025" w:rsidRDefault="00460730">
      <w:pPr>
        <w:pStyle w:val="TOC2"/>
        <w:rPr>
          <w:rFonts w:asciiTheme="minorHAnsi" w:eastAsiaTheme="minorEastAsia" w:hAnsiTheme="minorHAnsi" w:cstheme="minorBidi"/>
          <w:sz w:val="22"/>
          <w:szCs w:val="22"/>
          <w:lang w:eastAsia="en-AU"/>
        </w:rPr>
      </w:pPr>
      <w:hyperlink w:anchor="_Toc143272045" w:history="1">
        <w:r w:rsidR="002F2025" w:rsidRPr="00CE3836">
          <w:rPr>
            <w:rStyle w:val="Hyperlink"/>
          </w:rPr>
          <w:t>10.3 Hospital-in-the-home</w:t>
        </w:r>
        <w:r w:rsidR="002F2025">
          <w:rPr>
            <w:webHidden/>
          </w:rPr>
          <w:tab/>
        </w:r>
        <w:r w:rsidR="002F2025">
          <w:rPr>
            <w:webHidden/>
          </w:rPr>
          <w:fldChar w:fldCharType="begin"/>
        </w:r>
        <w:r w:rsidR="002F2025">
          <w:rPr>
            <w:webHidden/>
          </w:rPr>
          <w:instrText xml:space="preserve"> PAGEREF _Toc143272045 \h </w:instrText>
        </w:r>
        <w:r w:rsidR="002F2025">
          <w:rPr>
            <w:webHidden/>
          </w:rPr>
        </w:r>
        <w:r w:rsidR="002F2025">
          <w:rPr>
            <w:webHidden/>
          </w:rPr>
          <w:fldChar w:fldCharType="separate"/>
        </w:r>
        <w:r w:rsidR="00961824">
          <w:rPr>
            <w:webHidden/>
          </w:rPr>
          <w:t>62</w:t>
        </w:r>
        <w:r w:rsidR="002F2025">
          <w:rPr>
            <w:webHidden/>
          </w:rPr>
          <w:fldChar w:fldCharType="end"/>
        </w:r>
      </w:hyperlink>
    </w:p>
    <w:p w14:paraId="30C79672" w14:textId="56DFD74B" w:rsidR="002F2025" w:rsidRDefault="00460730">
      <w:pPr>
        <w:pStyle w:val="TOC2"/>
        <w:rPr>
          <w:rFonts w:asciiTheme="minorHAnsi" w:eastAsiaTheme="minorEastAsia" w:hAnsiTheme="minorHAnsi" w:cstheme="minorBidi"/>
          <w:sz w:val="22"/>
          <w:szCs w:val="22"/>
          <w:lang w:eastAsia="en-AU"/>
        </w:rPr>
      </w:pPr>
      <w:hyperlink w:anchor="_Toc143272046" w:history="1">
        <w:r w:rsidR="002F2025" w:rsidRPr="00CE3836">
          <w:rPr>
            <w:rStyle w:val="Hyperlink"/>
          </w:rPr>
          <w:t>10.4 Other issues</w:t>
        </w:r>
        <w:r w:rsidR="002F2025">
          <w:rPr>
            <w:webHidden/>
          </w:rPr>
          <w:tab/>
        </w:r>
        <w:r w:rsidR="002F2025">
          <w:rPr>
            <w:webHidden/>
          </w:rPr>
          <w:fldChar w:fldCharType="begin"/>
        </w:r>
        <w:r w:rsidR="002F2025">
          <w:rPr>
            <w:webHidden/>
          </w:rPr>
          <w:instrText xml:space="preserve"> PAGEREF _Toc143272046 \h </w:instrText>
        </w:r>
        <w:r w:rsidR="002F2025">
          <w:rPr>
            <w:webHidden/>
          </w:rPr>
        </w:r>
        <w:r w:rsidR="002F2025">
          <w:rPr>
            <w:webHidden/>
          </w:rPr>
          <w:fldChar w:fldCharType="separate"/>
        </w:r>
        <w:r w:rsidR="00961824">
          <w:rPr>
            <w:webHidden/>
          </w:rPr>
          <w:t>63</w:t>
        </w:r>
        <w:r w:rsidR="002F2025">
          <w:rPr>
            <w:webHidden/>
          </w:rPr>
          <w:fldChar w:fldCharType="end"/>
        </w:r>
      </w:hyperlink>
    </w:p>
    <w:p w14:paraId="73E35965" w14:textId="6678EA61" w:rsidR="002F2025" w:rsidRDefault="00460730">
      <w:pPr>
        <w:pStyle w:val="TOC2"/>
        <w:rPr>
          <w:rFonts w:asciiTheme="minorHAnsi" w:eastAsiaTheme="minorEastAsia" w:hAnsiTheme="minorHAnsi" w:cstheme="minorBidi"/>
          <w:sz w:val="22"/>
          <w:szCs w:val="22"/>
          <w:lang w:eastAsia="en-AU"/>
        </w:rPr>
      </w:pPr>
      <w:hyperlink w:anchor="_Toc143272047" w:history="1">
        <w:r w:rsidR="002F2025" w:rsidRPr="00CE3836">
          <w:rPr>
            <w:rStyle w:val="Hyperlink"/>
          </w:rPr>
          <w:t>10.5 Administrative reforms</w:t>
        </w:r>
        <w:r w:rsidR="002F2025">
          <w:rPr>
            <w:webHidden/>
          </w:rPr>
          <w:tab/>
        </w:r>
        <w:r w:rsidR="002F2025">
          <w:rPr>
            <w:webHidden/>
          </w:rPr>
          <w:fldChar w:fldCharType="begin"/>
        </w:r>
        <w:r w:rsidR="002F2025">
          <w:rPr>
            <w:webHidden/>
          </w:rPr>
          <w:instrText xml:space="preserve"> PAGEREF _Toc143272047 \h </w:instrText>
        </w:r>
        <w:r w:rsidR="002F2025">
          <w:rPr>
            <w:webHidden/>
          </w:rPr>
        </w:r>
        <w:r w:rsidR="002F2025">
          <w:rPr>
            <w:webHidden/>
          </w:rPr>
          <w:fldChar w:fldCharType="separate"/>
        </w:r>
        <w:r w:rsidR="00961824">
          <w:rPr>
            <w:webHidden/>
          </w:rPr>
          <w:t>63</w:t>
        </w:r>
        <w:r w:rsidR="002F2025">
          <w:rPr>
            <w:webHidden/>
          </w:rPr>
          <w:fldChar w:fldCharType="end"/>
        </w:r>
      </w:hyperlink>
    </w:p>
    <w:p w14:paraId="73E96A8E" w14:textId="55CDD1C5" w:rsidR="002F2025" w:rsidRDefault="00460730">
      <w:pPr>
        <w:pStyle w:val="TOC1"/>
        <w:rPr>
          <w:rFonts w:asciiTheme="minorHAnsi" w:eastAsiaTheme="minorEastAsia" w:hAnsiTheme="minorHAnsi" w:cstheme="minorBidi"/>
          <w:b w:val="0"/>
          <w:sz w:val="22"/>
          <w:szCs w:val="22"/>
          <w:lang w:eastAsia="en-AU"/>
        </w:rPr>
      </w:pPr>
      <w:hyperlink w:anchor="_Toc143272048" w:history="1">
        <w:r w:rsidR="002F2025" w:rsidRPr="00CE3836">
          <w:rPr>
            <w:rStyle w:val="Hyperlink"/>
          </w:rPr>
          <w:t>Appendix A – Penalties and offences in the Regulations</w:t>
        </w:r>
        <w:r w:rsidR="002F2025">
          <w:rPr>
            <w:webHidden/>
          </w:rPr>
          <w:tab/>
        </w:r>
        <w:r w:rsidR="002F2025">
          <w:rPr>
            <w:webHidden/>
          </w:rPr>
          <w:fldChar w:fldCharType="begin"/>
        </w:r>
        <w:r w:rsidR="002F2025">
          <w:rPr>
            <w:webHidden/>
          </w:rPr>
          <w:instrText xml:space="preserve"> PAGEREF _Toc143272048 \h </w:instrText>
        </w:r>
        <w:r w:rsidR="002F2025">
          <w:rPr>
            <w:webHidden/>
          </w:rPr>
        </w:r>
        <w:r w:rsidR="002F2025">
          <w:rPr>
            <w:webHidden/>
          </w:rPr>
          <w:fldChar w:fldCharType="separate"/>
        </w:r>
        <w:r w:rsidR="00961824">
          <w:rPr>
            <w:webHidden/>
          </w:rPr>
          <w:t>65</w:t>
        </w:r>
        <w:r w:rsidR="002F2025">
          <w:rPr>
            <w:webHidden/>
          </w:rPr>
          <w:fldChar w:fldCharType="end"/>
        </w:r>
      </w:hyperlink>
    </w:p>
    <w:p w14:paraId="5CA9B4F5" w14:textId="07B9FE57" w:rsidR="002F2025" w:rsidRDefault="00460730">
      <w:pPr>
        <w:pStyle w:val="TOC1"/>
        <w:rPr>
          <w:rFonts w:asciiTheme="minorHAnsi" w:eastAsiaTheme="minorEastAsia" w:hAnsiTheme="minorHAnsi" w:cstheme="minorBidi"/>
          <w:b w:val="0"/>
          <w:sz w:val="22"/>
          <w:szCs w:val="22"/>
          <w:lang w:eastAsia="en-AU"/>
        </w:rPr>
      </w:pPr>
      <w:hyperlink w:anchor="_Toc143272049" w:history="1">
        <w:r w:rsidR="002F2025" w:rsidRPr="00CE3836">
          <w:rPr>
            <w:rStyle w:val="Hyperlink"/>
          </w:rPr>
          <w:t>Appendix B – Response template</w:t>
        </w:r>
        <w:r w:rsidR="002F2025">
          <w:rPr>
            <w:webHidden/>
          </w:rPr>
          <w:tab/>
        </w:r>
        <w:r w:rsidR="002F2025">
          <w:rPr>
            <w:webHidden/>
          </w:rPr>
          <w:fldChar w:fldCharType="begin"/>
        </w:r>
        <w:r w:rsidR="002F2025">
          <w:rPr>
            <w:webHidden/>
          </w:rPr>
          <w:instrText xml:space="preserve"> PAGEREF _Toc143272049 \h </w:instrText>
        </w:r>
        <w:r w:rsidR="002F2025">
          <w:rPr>
            <w:webHidden/>
          </w:rPr>
        </w:r>
        <w:r w:rsidR="002F2025">
          <w:rPr>
            <w:webHidden/>
          </w:rPr>
          <w:fldChar w:fldCharType="separate"/>
        </w:r>
        <w:r w:rsidR="00961824">
          <w:rPr>
            <w:webHidden/>
          </w:rPr>
          <w:t>68</w:t>
        </w:r>
        <w:r w:rsidR="002F2025">
          <w:rPr>
            <w:webHidden/>
          </w:rPr>
          <w:fldChar w:fldCharType="end"/>
        </w:r>
      </w:hyperlink>
    </w:p>
    <w:p w14:paraId="75900014" w14:textId="29EEE3D4" w:rsidR="002F2025" w:rsidRDefault="00460730">
      <w:pPr>
        <w:pStyle w:val="TOC2"/>
        <w:rPr>
          <w:rFonts w:asciiTheme="minorHAnsi" w:eastAsiaTheme="minorEastAsia" w:hAnsiTheme="minorHAnsi" w:cstheme="minorBidi"/>
          <w:sz w:val="22"/>
          <w:szCs w:val="22"/>
          <w:lang w:eastAsia="en-AU"/>
        </w:rPr>
      </w:pPr>
      <w:hyperlink w:anchor="_Toc143272050" w:history="1">
        <w:r w:rsidR="002F2025" w:rsidRPr="00CE3836">
          <w:rPr>
            <w:rStyle w:val="Hyperlink"/>
          </w:rPr>
          <w:t>Review of the Health Services (Health Service Establishments) Regulations 2013 discussion paper – August 2023</w:t>
        </w:r>
        <w:r w:rsidR="002F2025">
          <w:rPr>
            <w:webHidden/>
          </w:rPr>
          <w:tab/>
        </w:r>
        <w:r w:rsidR="002F2025">
          <w:rPr>
            <w:webHidden/>
          </w:rPr>
          <w:fldChar w:fldCharType="begin"/>
        </w:r>
        <w:r w:rsidR="002F2025">
          <w:rPr>
            <w:webHidden/>
          </w:rPr>
          <w:instrText xml:space="preserve"> PAGEREF _Toc143272050 \h </w:instrText>
        </w:r>
        <w:r w:rsidR="002F2025">
          <w:rPr>
            <w:webHidden/>
          </w:rPr>
        </w:r>
        <w:r w:rsidR="002F2025">
          <w:rPr>
            <w:webHidden/>
          </w:rPr>
          <w:fldChar w:fldCharType="separate"/>
        </w:r>
        <w:r w:rsidR="00961824">
          <w:rPr>
            <w:webHidden/>
          </w:rPr>
          <w:t>68</w:t>
        </w:r>
        <w:r w:rsidR="002F2025">
          <w:rPr>
            <w:webHidden/>
          </w:rPr>
          <w:fldChar w:fldCharType="end"/>
        </w:r>
      </w:hyperlink>
    </w:p>
    <w:p w14:paraId="306000BE" w14:textId="3CE5136F" w:rsidR="002F2025" w:rsidRDefault="00460730">
      <w:pPr>
        <w:pStyle w:val="TOC2"/>
        <w:rPr>
          <w:rFonts w:asciiTheme="minorHAnsi" w:eastAsiaTheme="minorEastAsia" w:hAnsiTheme="minorHAnsi" w:cstheme="minorBidi"/>
          <w:sz w:val="22"/>
          <w:szCs w:val="22"/>
          <w:lang w:eastAsia="en-AU"/>
        </w:rPr>
      </w:pPr>
      <w:hyperlink w:anchor="_Toc143272051" w:history="1">
        <w:r w:rsidR="002F2025" w:rsidRPr="00CE3836">
          <w:rPr>
            <w:rStyle w:val="Hyperlink"/>
          </w:rPr>
          <w:t>Making a submission</w:t>
        </w:r>
        <w:r w:rsidR="002F2025">
          <w:rPr>
            <w:webHidden/>
          </w:rPr>
          <w:tab/>
        </w:r>
        <w:r w:rsidR="002F2025">
          <w:rPr>
            <w:webHidden/>
          </w:rPr>
          <w:fldChar w:fldCharType="begin"/>
        </w:r>
        <w:r w:rsidR="002F2025">
          <w:rPr>
            <w:webHidden/>
          </w:rPr>
          <w:instrText xml:space="preserve"> PAGEREF _Toc143272051 \h </w:instrText>
        </w:r>
        <w:r w:rsidR="002F2025">
          <w:rPr>
            <w:webHidden/>
          </w:rPr>
        </w:r>
        <w:r w:rsidR="002F2025">
          <w:rPr>
            <w:webHidden/>
          </w:rPr>
          <w:fldChar w:fldCharType="separate"/>
        </w:r>
        <w:r w:rsidR="00961824">
          <w:rPr>
            <w:webHidden/>
          </w:rPr>
          <w:t>68</w:t>
        </w:r>
        <w:r w:rsidR="002F2025">
          <w:rPr>
            <w:webHidden/>
          </w:rPr>
          <w:fldChar w:fldCharType="end"/>
        </w:r>
      </w:hyperlink>
    </w:p>
    <w:p w14:paraId="6E094E11" w14:textId="723666DD" w:rsidR="002F2025" w:rsidRDefault="00460730">
      <w:pPr>
        <w:pStyle w:val="TOC2"/>
        <w:rPr>
          <w:rFonts w:asciiTheme="minorHAnsi" w:eastAsiaTheme="minorEastAsia" w:hAnsiTheme="minorHAnsi" w:cstheme="minorBidi"/>
          <w:sz w:val="22"/>
          <w:szCs w:val="22"/>
          <w:lang w:eastAsia="en-AU"/>
        </w:rPr>
      </w:pPr>
      <w:hyperlink w:anchor="_Toc143272052" w:history="1">
        <w:r w:rsidR="002F2025" w:rsidRPr="00CE3836">
          <w:rPr>
            <w:rStyle w:val="Hyperlink"/>
          </w:rPr>
          <w:t>Publication of submissions</w:t>
        </w:r>
        <w:r w:rsidR="002F2025">
          <w:rPr>
            <w:webHidden/>
          </w:rPr>
          <w:tab/>
        </w:r>
        <w:r w:rsidR="002F2025">
          <w:rPr>
            <w:webHidden/>
          </w:rPr>
          <w:fldChar w:fldCharType="begin"/>
        </w:r>
        <w:r w:rsidR="002F2025">
          <w:rPr>
            <w:webHidden/>
          </w:rPr>
          <w:instrText xml:space="preserve"> PAGEREF _Toc143272052 \h </w:instrText>
        </w:r>
        <w:r w:rsidR="002F2025">
          <w:rPr>
            <w:webHidden/>
          </w:rPr>
        </w:r>
        <w:r w:rsidR="002F2025">
          <w:rPr>
            <w:webHidden/>
          </w:rPr>
          <w:fldChar w:fldCharType="separate"/>
        </w:r>
        <w:r w:rsidR="00961824">
          <w:rPr>
            <w:webHidden/>
          </w:rPr>
          <w:t>68</w:t>
        </w:r>
        <w:r w:rsidR="002F2025">
          <w:rPr>
            <w:webHidden/>
          </w:rPr>
          <w:fldChar w:fldCharType="end"/>
        </w:r>
      </w:hyperlink>
    </w:p>
    <w:p w14:paraId="7604C23B" w14:textId="4424A00D" w:rsidR="002F2025" w:rsidRDefault="00460730">
      <w:pPr>
        <w:pStyle w:val="TOC2"/>
        <w:rPr>
          <w:rFonts w:asciiTheme="minorHAnsi" w:eastAsiaTheme="minorEastAsia" w:hAnsiTheme="minorHAnsi" w:cstheme="minorBidi"/>
          <w:sz w:val="22"/>
          <w:szCs w:val="22"/>
          <w:lang w:eastAsia="en-AU"/>
        </w:rPr>
      </w:pPr>
      <w:hyperlink w:anchor="_Toc143272053" w:history="1">
        <w:r w:rsidR="002F2025" w:rsidRPr="00CE3836">
          <w:rPr>
            <w:rStyle w:val="Hyperlink"/>
          </w:rPr>
          <w:t>Privacy Collection Notice</w:t>
        </w:r>
        <w:r w:rsidR="002F2025">
          <w:rPr>
            <w:webHidden/>
          </w:rPr>
          <w:tab/>
        </w:r>
        <w:r w:rsidR="002F2025">
          <w:rPr>
            <w:webHidden/>
          </w:rPr>
          <w:fldChar w:fldCharType="begin"/>
        </w:r>
        <w:r w:rsidR="002F2025">
          <w:rPr>
            <w:webHidden/>
          </w:rPr>
          <w:instrText xml:space="preserve"> PAGEREF _Toc143272053 \h </w:instrText>
        </w:r>
        <w:r w:rsidR="002F2025">
          <w:rPr>
            <w:webHidden/>
          </w:rPr>
        </w:r>
        <w:r w:rsidR="002F2025">
          <w:rPr>
            <w:webHidden/>
          </w:rPr>
          <w:fldChar w:fldCharType="separate"/>
        </w:r>
        <w:r w:rsidR="00961824">
          <w:rPr>
            <w:webHidden/>
          </w:rPr>
          <w:t>69</w:t>
        </w:r>
        <w:r w:rsidR="002F2025">
          <w:rPr>
            <w:webHidden/>
          </w:rPr>
          <w:fldChar w:fldCharType="end"/>
        </w:r>
      </w:hyperlink>
    </w:p>
    <w:p w14:paraId="2F9C4C8B" w14:textId="0B16D439" w:rsidR="002F2025" w:rsidRDefault="00460730">
      <w:pPr>
        <w:pStyle w:val="TOC2"/>
        <w:rPr>
          <w:rFonts w:asciiTheme="minorHAnsi" w:eastAsiaTheme="minorEastAsia" w:hAnsiTheme="minorHAnsi" w:cstheme="minorBidi"/>
          <w:sz w:val="22"/>
          <w:szCs w:val="22"/>
          <w:lang w:eastAsia="en-AU"/>
        </w:rPr>
      </w:pPr>
      <w:hyperlink w:anchor="_Toc143272054" w:history="1">
        <w:r w:rsidR="002F2025" w:rsidRPr="00CE3836">
          <w:rPr>
            <w:rStyle w:val="Hyperlink"/>
          </w:rPr>
          <w:t>Contact details</w:t>
        </w:r>
        <w:r w:rsidR="002F2025">
          <w:rPr>
            <w:webHidden/>
          </w:rPr>
          <w:tab/>
        </w:r>
        <w:r w:rsidR="002F2025">
          <w:rPr>
            <w:webHidden/>
          </w:rPr>
          <w:fldChar w:fldCharType="begin"/>
        </w:r>
        <w:r w:rsidR="002F2025">
          <w:rPr>
            <w:webHidden/>
          </w:rPr>
          <w:instrText xml:space="preserve"> PAGEREF _Toc143272054 \h </w:instrText>
        </w:r>
        <w:r w:rsidR="002F2025">
          <w:rPr>
            <w:webHidden/>
          </w:rPr>
        </w:r>
        <w:r w:rsidR="002F2025">
          <w:rPr>
            <w:webHidden/>
          </w:rPr>
          <w:fldChar w:fldCharType="separate"/>
        </w:r>
        <w:r w:rsidR="00961824">
          <w:rPr>
            <w:webHidden/>
          </w:rPr>
          <w:t>71</w:t>
        </w:r>
        <w:r w:rsidR="002F2025">
          <w:rPr>
            <w:webHidden/>
          </w:rPr>
          <w:fldChar w:fldCharType="end"/>
        </w:r>
      </w:hyperlink>
    </w:p>
    <w:p w14:paraId="1A3134C2" w14:textId="55362DD2" w:rsidR="002F2025" w:rsidRDefault="00460730">
      <w:pPr>
        <w:pStyle w:val="TOC2"/>
        <w:rPr>
          <w:rFonts w:asciiTheme="minorHAnsi" w:eastAsiaTheme="minorEastAsia" w:hAnsiTheme="minorHAnsi" w:cstheme="minorBidi"/>
          <w:sz w:val="22"/>
          <w:szCs w:val="22"/>
          <w:lang w:eastAsia="en-AU"/>
        </w:rPr>
      </w:pPr>
      <w:hyperlink w:anchor="_Toc143272055" w:history="1">
        <w:r w:rsidR="002F2025" w:rsidRPr="00CE3836">
          <w:rPr>
            <w:rStyle w:val="Hyperlink"/>
          </w:rPr>
          <w:t>Questions for public comment</w:t>
        </w:r>
        <w:r w:rsidR="002F2025">
          <w:rPr>
            <w:webHidden/>
          </w:rPr>
          <w:tab/>
        </w:r>
        <w:r w:rsidR="002F2025">
          <w:rPr>
            <w:webHidden/>
          </w:rPr>
          <w:fldChar w:fldCharType="begin"/>
        </w:r>
        <w:r w:rsidR="002F2025">
          <w:rPr>
            <w:webHidden/>
          </w:rPr>
          <w:instrText xml:space="preserve"> PAGEREF _Toc143272055 \h </w:instrText>
        </w:r>
        <w:r w:rsidR="002F2025">
          <w:rPr>
            <w:webHidden/>
          </w:rPr>
        </w:r>
        <w:r w:rsidR="002F2025">
          <w:rPr>
            <w:webHidden/>
          </w:rPr>
          <w:fldChar w:fldCharType="separate"/>
        </w:r>
        <w:r w:rsidR="00961824">
          <w:rPr>
            <w:webHidden/>
          </w:rPr>
          <w:t>72</w:t>
        </w:r>
        <w:r w:rsidR="002F2025">
          <w:rPr>
            <w:webHidden/>
          </w:rPr>
          <w:fldChar w:fldCharType="end"/>
        </w:r>
      </w:hyperlink>
    </w:p>
    <w:p w14:paraId="6064BFC6" w14:textId="6CC1BC28" w:rsidR="001C6E4A" w:rsidRDefault="00AD784C" w:rsidP="007857A0">
      <w:pPr>
        <w:pStyle w:val="Heading1"/>
      </w:pPr>
      <w:r>
        <w:fldChar w:fldCharType="end"/>
      </w:r>
      <w:bookmarkStart w:id="1" w:name="_Toc352920421"/>
      <w:bookmarkStart w:id="2" w:name="_Toc498423386"/>
      <w:bookmarkStart w:id="3" w:name="_Toc303937754"/>
    </w:p>
    <w:p w14:paraId="5BCADB71" w14:textId="77777777" w:rsidR="001C6E4A" w:rsidRDefault="001C6E4A" w:rsidP="005203D7">
      <w:pPr>
        <w:pStyle w:val="Body"/>
        <w:rPr>
          <w:rFonts w:eastAsia="MS Gothic" w:cs="Arial"/>
          <w:bCs/>
          <w:color w:val="C5511A"/>
          <w:kern w:val="32"/>
          <w:sz w:val="44"/>
          <w:szCs w:val="44"/>
        </w:rPr>
      </w:pPr>
      <w:r>
        <w:br w:type="page"/>
      </w:r>
    </w:p>
    <w:p w14:paraId="67E2BC6E" w14:textId="01EDA821" w:rsidR="007773DB" w:rsidRDefault="00A27AAF" w:rsidP="007773DB">
      <w:pPr>
        <w:pStyle w:val="Heading1"/>
      </w:pPr>
      <w:bookmarkStart w:id="4" w:name="_Toc141177718"/>
      <w:bookmarkStart w:id="5" w:name="_Toc143271991"/>
      <w:r>
        <w:lastRenderedPageBreak/>
        <w:t>Acronym</w:t>
      </w:r>
      <w:r w:rsidR="00236E52">
        <w:t>s and abbreviations</w:t>
      </w:r>
      <w:bookmarkEnd w:id="4"/>
      <w:bookmarkEnd w:id="5"/>
    </w:p>
    <w:tbl>
      <w:tblPr>
        <w:tblStyle w:val="TableGrid"/>
        <w:tblW w:w="5000" w:type="pct"/>
        <w:tblLook w:val="06A0" w:firstRow="1" w:lastRow="0" w:firstColumn="1" w:lastColumn="0" w:noHBand="1" w:noVBand="1"/>
      </w:tblPr>
      <w:tblGrid>
        <w:gridCol w:w="1867"/>
        <w:gridCol w:w="7421"/>
      </w:tblGrid>
      <w:tr w:rsidR="00200567" w14:paraId="555F22F7" w14:textId="77777777" w:rsidTr="006C20EA">
        <w:trPr>
          <w:tblHeader/>
        </w:trPr>
        <w:tc>
          <w:tcPr>
            <w:tcW w:w="1005" w:type="pct"/>
          </w:tcPr>
          <w:p w14:paraId="0063BD27" w14:textId="63F56EFC" w:rsidR="007773DB" w:rsidRPr="00CB3285" w:rsidRDefault="007773DB" w:rsidP="001B7238">
            <w:pPr>
              <w:pStyle w:val="Tablecolhead"/>
            </w:pPr>
            <w:r>
              <w:t>Acronym</w:t>
            </w:r>
            <w:r w:rsidR="00D2496F">
              <w:t xml:space="preserve"> / abbreviation</w:t>
            </w:r>
          </w:p>
        </w:tc>
        <w:tc>
          <w:tcPr>
            <w:tcW w:w="3995" w:type="pct"/>
          </w:tcPr>
          <w:p w14:paraId="0D5C37F2" w14:textId="1BCA94ED" w:rsidR="007773DB" w:rsidRDefault="00C22D47" w:rsidP="001B7238">
            <w:pPr>
              <w:pStyle w:val="Tablecolhead"/>
            </w:pPr>
            <w:r>
              <w:t>Meaning</w:t>
            </w:r>
          </w:p>
        </w:tc>
      </w:tr>
      <w:tr w:rsidR="00200567" w14:paraId="1A5A7F11" w14:textId="77777777" w:rsidTr="006C20EA">
        <w:tc>
          <w:tcPr>
            <w:tcW w:w="1005" w:type="pct"/>
          </w:tcPr>
          <w:p w14:paraId="18D678DB" w14:textId="77777777" w:rsidR="00BF249D" w:rsidRPr="00E13C3C" w:rsidRDefault="00BF249D">
            <w:r w:rsidRPr="00857E77">
              <w:t>ACSQHC</w:t>
            </w:r>
            <w:r>
              <w:t xml:space="preserve"> /</w:t>
            </w:r>
            <w:r>
              <w:br/>
              <w:t>the Commission</w:t>
            </w:r>
          </w:p>
        </w:tc>
        <w:tc>
          <w:tcPr>
            <w:tcW w:w="3995" w:type="pct"/>
          </w:tcPr>
          <w:p w14:paraId="76E71696" w14:textId="77777777" w:rsidR="00BF249D" w:rsidRPr="00E13C3C" w:rsidRDefault="00BF249D">
            <w:r w:rsidRPr="00857E77">
              <w:t>Australian Commission on Safety and Quality in Health Care</w:t>
            </w:r>
          </w:p>
        </w:tc>
      </w:tr>
      <w:tr w:rsidR="00200567" w14:paraId="476BC93D" w14:textId="77777777" w:rsidTr="006C20EA">
        <w:tc>
          <w:tcPr>
            <w:tcW w:w="1005" w:type="pct"/>
          </w:tcPr>
          <w:p w14:paraId="1020F0F1" w14:textId="1BBBE6B5" w:rsidR="00DB4CFF" w:rsidRPr="00857E77" w:rsidRDefault="00DB4CFF">
            <w:r>
              <w:t>Act</w:t>
            </w:r>
          </w:p>
        </w:tc>
        <w:tc>
          <w:tcPr>
            <w:tcW w:w="3995" w:type="pct"/>
          </w:tcPr>
          <w:p w14:paraId="5AC80B71" w14:textId="7B182765" w:rsidR="00DB4CFF" w:rsidRPr="00857E77" w:rsidRDefault="00DB4CFF">
            <w:r w:rsidRPr="009107A3">
              <w:rPr>
                <w:i/>
                <w:iCs/>
              </w:rPr>
              <w:t>Health Services Act 1988</w:t>
            </w:r>
          </w:p>
        </w:tc>
      </w:tr>
      <w:tr w:rsidR="00200567" w14:paraId="425117CA" w14:textId="77777777" w:rsidTr="006C20EA">
        <w:tc>
          <w:tcPr>
            <w:tcW w:w="1005" w:type="pct"/>
          </w:tcPr>
          <w:p w14:paraId="1DEA97CC" w14:textId="3EB3B591" w:rsidR="00821A57" w:rsidRDefault="00821A57" w:rsidP="001B7238">
            <w:r w:rsidRPr="00857E77">
              <w:t>Ahpra</w:t>
            </w:r>
          </w:p>
        </w:tc>
        <w:tc>
          <w:tcPr>
            <w:tcW w:w="3995" w:type="pct"/>
          </w:tcPr>
          <w:p w14:paraId="4BCE3EEE" w14:textId="0304A092" w:rsidR="00821A57" w:rsidRDefault="00821A57" w:rsidP="001B7238">
            <w:r w:rsidRPr="00857E77">
              <w:t>Australian Health Practitioner Regulation Agency</w:t>
            </w:r>
          </w:p>
        </w:tc>
      </w:tr>
      <w:tr w:rsidR="00200567" w14:paraId="77D46444" w14:textId="77777777" w:rsidTr="006C20EA">
        <w:tc>
          <w:tcPr>
            <w:tcW w:w="1005" w:type="pct"/>
          </w:tcPr>
          <w:p w14:paraId="1D10E9DE" w14:textId="492ADD8B" w:rsidR="00EC52D6" w:rsidRPr="00857E77" w:rsidRDefault="00EC52D6" w:rsidP="001B7238">
            <w:r>
              <w:t>APSE</w:t>
            </w:r>
          </w:p>
        </w:tc>
        <w:tc>
          <w:tcPr>
            <w:tcW w:w="3995" w:type="pct"/>
          </w:tcPr>
          <w:p w14:paraId="2CE8BE2C" w14:textId="33717A93" w:rsidR="00EC52D6" w:rsidRPr="00857E77" w:rsidRDefault="005673E7" w:rsidP="001B7238">
            <w:r>
              <w:t>Adverse Patient Safety Event</w:t>
            </w:r>
          </w:p>
        </w:tc>
      </w:tr>
      <w:tr w:rsidR="00200567" w14:paraId="4E0C30AF" w14:textId="77777777" w:rsidTr="006C20EA">
        <w:tc>
          <w:tcPr>
            <w:tcW w:w="1005" w:type="pct"/>
          </w:tcPr>
          <w:p w14:paraId="4FA9ED5F" w14:textId="181A0804" w:rsidR="00117DE5" w:rsidRDefault="00117DE5" w:rsidP="001B7238">
            <w:r>
              <w:t>AHSSQA Scheme</w:t>
            </w:r>
          </w:p>
        </w:tc>
        <w:tc>
          <w:tcPr>
            <w:tcW w:w="3995" w:type="pct"/>
          </w:tcPr>
          <w:p w14:paraId="45043904" w14:textId="25293718" w:rsidR="00117DE5" w:rsidRDefault="00117DE5" w:rsidP="001B7238">
            <w:r w:rsidRPr="00117DE5">
              <w:t>Australian Health Service Safety and Quality Accreditation Scheme</w:t>
            </w:r>
          </w:p>
        </w:tc>
      </w:tr>
      <w:tr w:rsidR="00200567" w14:paraId="186E6BA8" w14:textId="77777777" w:rsidTr="006C20EA">
        <w:tc>
          <w:tcPr>
            <w:tcW w:w="1005" w:type="pct"/>
          </w:tcPr>
          <w:p w14:paraId="5EA42828" w14:textId="3F4253AB" w:rsidR="00156309" w:rsidRPr="00E13C3C" w:rsidRDefault="006029AD" w:rsidP="001B7238">
            <w:r>
              <w:t>AusHFG</w:t>
            </w:r>
          </w:p>
        </w:tc>
        <w:tc>
          <w:tcPr>
            <w:tcW w:w="3995" w:type="pct"/>
          </w:tcPr>
          <w:p w14:paraId="5AA57460" w14:textId="03434D2E" w:rsidR="00156309" w:rsidRPr="00E13C3C" w:rsidRDefault="0026242B" w:rsidP="001B7238">
            <w:r>
              <w:t>Australasian Health Facility Design Guidelines</w:t>
            </w:r>
          </w:p>
        </w:tc>
      </w:tr>
      <w:tr w:rsidR="00200567" w14:paraId="7B9718A4" w14:textId="77777777" w:rsidTr="006C20EA">
        <w:tc>
          <w:tcPr>
            <w:tcW w:w="1005" w:type="pct"/>
          </w:tcPr>
          <w:p w14:paraId="7F09698A" w14:textId="3F3E1954" w:rsidR="0034729F" w:rsidRPr="00857E77" w:rsidRDefault="0034729F" w:rsidP="001B7238">
            <w:r>
              <w:t>CCRN</w:t>
            </w:r>
          </w:p>
        </w:tc>
        <w:tc>
          <w:tcPr>
            <w:tcW w:w="3995" w:type="pct"/>
          </w:tcPr>
          <w:p w14:paraId="2722C2C7" w14:textId="3FF0FB63" w:rsidR="0034729F" w:rsidRPr="00857E77" w:rsidRDefault="0034729F" w:rsidP="001B7238">
            <w:r>
              <w:t>Critical Care Registered Nurse</w:t>
            </w:r>
          </w:p>
        </w:tc>
      </w:tr>
      <w:tr w:rsidR="00200567" w14:paraId="39EC9330" w14:textId="77777777" w:rsidTr="006C20EA">
        <w:tc>
          <w:tcPr>
            <w:tcW w:w="1005" w:type="pct"/>
          </w:tcPr>
          <w:p w14:paraId="6030D8FB" w14:textId="19A14A4B" w:rsidR="00DB4CFF" w:rsidRDefault="0E22F77E" w:rsidP="001B7238">
            <w:r>
              <w:t>CQSO</w:t>
            </w:r>
          </w:p>
        </w:tc>
        <w:tc>
          <w:tcPr>
            <w:tcW w:w="3995" w:type="pct"/>
          </w:tcPr>
          <w:p w14:paraId="4D00FCBC" w14:textId="3D802456" w:rsidR="00DB4CFF" w:rsidRDefault="0E22F77E" w:rsidP="001B7238">
            <w:r>
              <w:t>Chief Quality and Safety Officer (appointed under the Health Services Act 1988. Currently Chief Executive Officer of Safer Care Victoria).</w:t>
            </w:r>
          </w:p>
        </w:tc>
      </w:tr>
      <w:tr w:rsidR="00685B83" w14:paraId="6548E55E" w14:textId="77777777" w:rsidTr="006C20EA">
        <w:tc>
          <w:tcPr>
            <w:tcW w:w="1005" w:type="pct"/>
          </w:tcPr>
          <w:p w14:paraId="18EB641B" w14:textId="2C3E4B35" w:rsidR="00685B83" w:rsidRDefault="00685B83" w:rsidP="001B7238">
            <w:r>
              <w:t>Department</w:t>
            </w:r>
          </w:p>
        </w:tc>
        <w:tc>
          <w:tcPr>
            <w:tcW w:w="3995" w:type="pct"/>
          </w:tcPr>
          <w:p w14:paraId="196C280B" w14:textId="409902C9" w:rsidR="00685B83" w:rsidRDefault="00685B83" w:rsidP="001B7238">
            <w:r>
              <w:t>Victorian Department of Health</w:t>
            </w:r>
          </w:p>
        </w:tc>
      </w:tr>
      <w:tr w:rsidR="00200567" w14:paraId="5BC53D96" w14:textId="77777777" w:rsidTr="006C20EA">
        <w:tc>
          <w:tcPr>
            <w:tcW w:w="1005" w:type="pct"/>
          </w:tcPr>
          <w:p w14:paraId="1633F01F" w14:textId="0BFD78BB" w:rsidR="00AE3E98" w:rsidRPr="00E13C3C" w:rsidRDefault="00111E8B" w:rsidP="001B7238">
            <w:r>
              <w:t>DMS</w:t>
            </w:r>
          </w:p>
        </w:tc>
        <w:tc>
          <w:tcPr>
            <w:tcW w:w="3995" w:type="pct"/>
          </w:tcPr>
          <w:p w14:paraId="618F9147" w14:textId="0FCDD154" w:rsidR="00AE3E98" w:rsidRPr="00E13C3C" w:rsidRDefault="00111E8B" w:rsidP="001B7238">
            <w:r>
              <w:t>Director of Medical Services</w:t>
            </w:r>
          </w:p>
        </w:tc>
      </w:tr>
      <w:tr w:rsidR="00200567" w14:paraId="38ED9731" w14:textId="77777777" w:rsidTr="006C20EA">
        <w:tc>
          <w:tcPr>
            <w:tcW w:w="1005" w:type="pct"/>
          </w:tcPr>
          <w:p w14:paraId="51F5C7A0" w14:textId="6324A56F" w:rsidR="00C22D47" w:rsidRPr="00E13C3C" w:rsidRDefault="00C22D47" w:rsidP="001B7238">
            <w:r>
              <w:t>DON</w:t>
            </w:r>
          </w:p>
        </w:tc>
        <w:tc>
          <w:tcPr>
            <w:tcW w:w="3995" w:type="pct"/>
          </w:tcPr>
          <w:p w14:paraId="5CF833F1" w14:textId="029439CB" w:rsidR="00C22D47" w:rsidRPr="00E13C3C" w:rsidRDefault="00C22D47" w:rsidP="001B7238">
            <w:r>
              <w:t>Director of Nursing</w:t>
            </w:r>
          </w:p>
        </w:tc>
      </w:tr>
      <w:tr w:rsidR="00200567" w14:paraId="73D3584A" w14:textId="77777777" w:rsidTr="006C20EA">
        <w:tc>
          <w:tcPr>
            <w:tcW w:w="1005" w:type="pct"/>
          </w:tcPr>
          <w:p w14:paraId="65D32961" w14:textId="5713B1A2" w:rsidR="00BE46E9" w:rsidRDefault="00BE46E9" w:rsidP="001B7238">
            <w:r>
              <w:t>DPC</w:t>
            </w:r>
          </w:p>
        </w:tc>
        <w:tc>
          <w:tcPr>
            <w:tcW w:w="3995" w:type="pct"/>
          </w:tcPr>
          <w:p w14:paraId="70E74873" w14:textId="44C77311" w:rsidR="00BE46E9" w:rsidRPr="00D06480" w:rsidRDefault="00BE46E9" w:rsidP="001B7238">
            <w:pPr>
              <w:rPr>
                <w:rFonts w:cs="Arial"/>
                <w:szCs w:val="21"/>
              </w:rPr>
            </w:pPr>
            <w:r>
              <w:rPr>
                <w:rFonts w:cs="Arial"/>
                <w:szCs w:val="21"/>
              </w:rPr>
              <w:t>Day procedure centre</w:t>
            </w:r>
          </w:p>
        </w:tc>
      </w:tr>
      <w:tr w:rsidR="00685B83" w14:paraId="78D5F0F7" w14:textId="77777777" w:rsidTr="006C20EA">
        <w:tc>
          <w:tcPr>
            <w:tcW w:w="1005" w:type="pct"/>
          </w:tcPr>
          <w:p w14:paraId="50ECB2E0" w14:textId="62A9BBBF" w:rsidR="00685B83" w:rsidRDefault="00685B83" w:rsidP="001B7238">
            <w:r>
              <w:t>HCC</w:t>
            </w:r>
          </w:p>
        </w:tc>
        <w:tc>
          <w:tcPr>
            <w:tcW w:w="3995" w:type="pct"/>
          </w:tcPr>
          <w:p w14:paraId="23972793" w14:textId="733BEFCD" w:rsidR="00685B83" w:rsidRDefault="00685B83" w:rsidP="737C5CB4">
            <w:pPr>
              <w:rPr>
                <w:rFonts w:cs="Arial"/>
              </w:rPr>
            </w:pPr>
            <w:r w:rsidRPr="737C5CB4">
              <w:rPr>
                <w:rFonts w:cs="Arial"/>
              </w:rPr>
              <w:t xml:space="preserve">Health </w:t>
            </w:r>
            <w:r w:rsidR="53057AB9" w:rsidRPr="737C5CB4">
              <w:rPr>
                <w:rFonts w:cs="Arial"/>
              </w:rPr>
              <w:t>C</w:t>
            </w:r>
            <w:r w:rsidRPr="737C5CB4">
              <w:rPr>
                <w:rFonts w:cs="Arial"/>
              </w:rPr>
              <w:t>omplaints Commissioner</w:t>
            </w:r>
          </w:p>
        </w:tc>
      </w:tr>
      <w:tr w:rsidR="00200567" w14:paraId="35B7B5B3" w14:textId="77777777" w:rsidTr="006C20EA">
        <w:tc>
          <w:tcPr>
            <w:tcW w:w="1005" w:type="pct"/>
          </w:tcPr>
          <w:p w14:paraId="46FD6562" w14:textId="67B70655" w:rsidR="00D31753" w:rsidRDefault="00D31753" w:rsidP="001B7238">
            <w:r>
              <w:t>HDU</w:t>
            </w:r>
          </w:p>
        </w:tc>
        <w:tc>
          <w:tcPr>
            <w:tcW w:w="3995" w:type="pct"/>
          </w:tcPr>
          <w:p w14:paraId="022738B9" w14:textId="40572D87" w:rsidR="00D31753" w:rsidRDefault="00AA7DFB" w:rsidP="001B7238">
            <w:r w:rsidRPr="00D06480">
              <w:rPr>
                <w:rFonts w:cs="Arial"/>
                <w:szCs w:val="21"/>
              </w:rPr>
              <w:t>H</w:t>
            </w:r>
            <w:r>
              <w:rPr>
                <w:rFonts w:cs="Arial"/>
                <w:szCs w:val="21"/>
              </w:rPr>
              <w:t xml:space="preserve">igh </w:t>
            </w:r>
            <w:r w:rsidRPr="00D06480">
              <w:rPr>
                <w:rFonts w:cs="Arial"/>
                <w:szCs w:val="21"/>
              </w:rPr>
              <w:t>D</w:t>
            </w:r>
            <w:r>
              <w:rPr>
                <w:rFonts w:cs="Arial"/>
                <w:szCs w:val="21"/>
              </w:rPr>
              <w:t xml:space="preserve">ependency </w:t>
            </w:r>
            <w:r w:rsidRPr="00D06480">
              <w:rPr>
                <w:rFonts w:cs="Arial"/>
                <w:szCs w:val="21"/>
              </w:rPr>
              <w:t>U</w:t>
            </w:r>
            <w:r>
              <w:rPr>
                <w:rFonts w:cs="Arial"/>
                <w:szCs w:val="21"/>
              </w:rPr>
              <w:t>nit</w:t>
            </w:r>
          </w:p>
        </w:tc>
      </w:tr>
      <w:tr w:rsidR="00200567" w14:paraId="0F7F77FB" w14:textId="77777777" w:rsidTr="006C20EA">
        <w:tc>
          <w:tcPr>
            <w:tcW w:w="1005" w:type="pct"/>
          </w:tcPr>
          <w:p w14:paraId="347D9AC3" w14:textId="5982FC24" w:rsidR="00D31753" w:rsidRDefault="00D31753" w:rsidP="001B7238">
            <w:r>
              <w:t>ICU</w:t>
            </w:r>
          </w:p>
        </w:tc>
        <w:tc>
          <w:tcPr>
            <w:tcW w:w="3995" w:type="pct"/>
          </w:tcPr>
          <w:p w14:paraId="51A70534" w14:textId="4B570444" w:rsidR="00D31753" w:rsidRDefault="005A7BD6" w:rsidP="001B7238">
            <w:r w:rsidRPr="00D06480">
              <w:rPr>
                <w:rFonts w:cs="Arial"/>
                <w:szCs w:val="21"/>
              </w:rPr>
              <w:t>I</w:t>
            </w:r>
            <w:r>
              <w:rPr>
                <w:rFonts w:cs="Arial"/>
                <w:szCs w:val="21"/>
              </w:rPr>
              <w:t xml:space="preserve">ntensive </w:t>
            </w:r>
            <w:r w:rsidRPr="00D06480">
              <w:rPr>
                <w:rFonts w:cs="Arial"/>
                <w:szCs w:val="21"/>
              </w:rPr>
              <w:t>C</w:t>
            </w:r>
            <w:r>
              <w:rPr>
                <w:rFonts w:cs="Arial"/>
                <w:szCs w:val="21"/>
              </w:rPr>
              <w:t xml:space="preserve">are </w:t>
            </w:r>
            <w:r w:rsidRPr="00D06480">
              <w:rPr>
                <w:rFonts w:cs="Arial"/>
                <w:szCs w:val="21"/>
              </w:rPr>
              <w:t>U</w:t>
            </w:r>
            <w:r>
              <w:rPr>
                <w:rFonts w:cs="Arial"/>
                <w:szCs w:val="21"/>
              </w:rPr>
              <w:t>nit</w:t>
            </w:r>
          </w:p>
        </w:tc>
      </w:tr>
      <w:tr w:rsidR="00200567" w14:paraId="53063574" w14:textId="77777777" w:rsidTr="006C20EA">
        <w:tc>
          <w:tcPr>
            <w:tcW w:w="1005" w:type="pct"/>
          </w:tcPr>
          <w:p w14:paraId="1CD9620B" w14:textId="3F046A3E" w:rsidR="00111E8B" w:rsidRDefault="00111E8B" w:rsidP="001B7238">
            <w:r>
              <w:t>MAC</w:t>
            </w:r>
          </w:p>
        </w:tc>
        <w:tc>
          <w:tcPr>
            <w:tcW w:w="3995" w:type="pct"/>
          </w:tcPr>
          <w:p w14:paraId="5A92F678" w14:textId="40DC99FE" w:rsidR="00111E8B" w:rsidRPr="00111E8B" w:rsidRDefault="00111E8B" w:rsidP="001B7238">
            <w:pPr>
              <w:rPr>
                <w:rFonts w:cs="Arial"/>
                <w:b/>
              </w:rPr>
            </w:pPr>
            <w:r>
              <w:t xml:space="preserve">Medical </w:t>
            </w:r>
            <w:r w:rsidR="15BD641C">
              <w:t>Adviso</w:t>
            </w:r>
            <w:r w:rsidR="00685B83">
              <w:t>r</w:t>
            </w:r>
            <w:r w:rsidR="15BD641C">
              <w:t>y</w:t>
            </w:r>
            <w:r>
              <w:t xml:space="preserve"> Committee</w:t>
            </w:r>
          </w:p>
        </w:tc>
      </w:tr>
      <w:tr w:rsidR="00200567" w14:paraId="139B2F20" w14:textId="77777777" w:rsidTr="006C20EA">
        <w:tc>
          <w:tcPr>
            <w:tcW w:w="1005" w:type="pct"/>
          </w:tcPr>
          <w:p w14:paraId="63F698EB" w14:textId="5C01B717" w:rsidR="00C97519" w:rsidRDefault="00F6598C" w:rsidP="001B7238">
            <w:r>
              <w:t xml:space="preserve">MBA / </w:t>
            </w:r>
            <w:r w:rsidR="00C123CB">
              <w:br/>
            </w:r>
            <w:r w:rsidR="00C97519">
              <w:t>the Board</w:t>
            </w:r>
          </w:p>
        </w:tc>
        <w:tc>
          <w:tcPr>
            <w:tcW w:w="3995" w:type="pct"/>
          </w:tcPr>
          <w:p w14:paraId="06555B46" w14:textId="65705278" w:rsidR="00F6598C" w:rsidRDefault="00C97519" w:rsidP="001B7238">
            <w:r>
              <w:t>Medical Board of Australia</w:t>
            </w:r>
          </w:p>
        </w:tc>
      </w:tr>
      <w:tr w:rsidR="00200567" w14:paraId="0B70E951" w14:textId="77777777" w:rsidTr="006C20EA">
        <w:tc>
          <w:tcPr>
            <w:tcW w:w="1005" w:type="pct"/>
          </w:tcPr>
          <w:p w14:paraId="70FFA18B" w14:textId="0A02D091" w:rsidR="008E21FA" w:rsidRDefault="00CE1BCB" w:rsidP="001B7238">
            <w:r>
              <w:t>NSQH</w:t>
            </w:r>
            <w:r w:rsidR="00BF0B0D">
              <w:t>S</w:t>
            </w:r>
            <w:r w:rsidR="00147558">
              <w:t xml:space="preserve"> Standards</w:t>
            </w:r>
            <w:r w:rsidR="008E21FA">
              <w:t xml:space="preserve"> /</w:t>
            </w:r>
            <w:r w:rsidR="00C123CB">
              <w:br/>
            </w:r>
            <w:r w:rsidR="008E21FA">
              <w:t>the Standards</w:t>
            </w:r>
          </w:p>
        </w:tc>
        <w:tc>
          <w:tcPr>
            <w:tcW w:w="3995" w:type="pct"/>
          </w:tcPr>
          <w:p w14:paraId="19E54410" w14:textId="73C434B9" w:rsidR="00CE1BCB" w:rsidRDefault="00E74614" w:rsidP="001B7238">
            <w:r>
              <w:t xml:space="preserve">National Safety </w:t>
            </w:r>
            <w:r w:rsidR="00750C04">
              <w:t xml:space="preserve">and Quality Health </w:t>
            </w:r>
            <w:r w:rsidR="00147558">
              <w:t>Service Standards</w:t>
            </w:r>
            <w:r w:rsidR="00750C04">
              <w:t xml:space="preserve"> </w:t>
            </w:r>
          </w:p>
        </w:tc>
      </w:tr>
      <w:tr w:rsidR="00200567" w14:paraId="62B41C50" w14:textId="77777777" w:rsidTr="006C20EA">
        <w:tc>
          <w:tcPr>
            <w:tcW w:w="1005" w:type="pct"/>
          </w:tcPr>
          <w:p w14:paraId="199AEF38" w14:textId="4A9D4D63" w:rsidR="00DB4CFF" w:rsidRDefault="00DB4CFF" w:rsidP="001B7238">
            <w:r>
              <w:t>Regulations</w:t>
            </w:r>
          </w:p>
        </w:tc>
        <w:tc>
          <w:tcPr>
            <w:tcW w:w="3995" w:type="pct"/>
          </w:tcPr>
          <w:p w14:paraId="67D7F3E2" w14:textId="56D22DBB" w:rsidR="00DB4CFF" w:rsidRDefault="00DB4CFF" w:rsidP="001B7238">
            <w:r>
              <w:t>Health Services (Health Service Establishments) Regulations 2013</w:t>
            </w:r>
          </w:p>
        </w:tc>
      </w:tr>
      <w:tr w:rsidR="00200567" w14:paraId="643998FD" w14:textId="77777777" w:rsidTr="006C20EA">
        <w:tc>
          <w:tcPr>
            <w:tcW w:w="1005" w:type="pct"/>
          </w:tcPr>
          <w:p w14:paraId="257AC8D4" w14:textId="404C53C5" w:rsidR="00D5133F" w:rsidRDefault="00D5133F" w:rsidP="001B7238">
            <w:r>
              <w:t>RIS</w:t>
            </w:r>
          </w:p>
        </w:tc>
        <w:tc>
          <w:tcPr>
            <w:tcW w:w="3995" w:type="pct"/>
          </w:tcPr>
          <w:p w14:paraId="7277425B" w14:textId="7A9C2BEA" w:rsidR="00D5133F" w:rsidRDefault="00D5133F" w:rsidP="001B7238">
            <w:r>
              <w:t>Regulatory Impact Statement</w:t>
            </w:r>
          </w:p>
        </w:tc>
      </w:tr>
      <w:tr w:rsidR="00200567" w14:paraId="52A7D3F6" w14:textId="77777777" w:rsidTr="006C20EA">
        <w:tblPrEx>
          <w:tblLook w:val="04A0" w:firstRow="1" w:lastRow="0" w:firstColumn="1" w:lastColumn="0" w:noHBand="0" w:noVBand="1"/>
        </w:tblPrEx>
        <w:tc>
          <w:tcPr>
            <w:tcW w:w="1005" w:type="pct"/>
          </w:tcPr>
          <w:p w14:paraId="2F667A13" w14:textId="77777777" w:rsidR="001926CD" w:rsidRDefault="001926CD">
            <w:r>
              <w:t>SAPSE</w:t>
            </w:r>
          </w:p>
        </w:tc>
        <w:tc>
          <w:tcPr>
            <w:tcW w:w="3995" w:type="pct"/>
          </w:tcPr>
          <w:p w14:paraId="0965FC47" w14:textId="77777777" w:rsidR="001926CD" w:rsidRDefault="001926CD">
            <w:r>
              <w:t>Serious Adverse Patient Safety Event</w:t>
            </w:r>
          </w:p>
        </w:tc>
      </w:tr>
      <w:tr w:rsidR="00200567" w14:paraId="124A7280" w14:textId="77777777" w:rsidTr="006C20EA">
        <w:tblPrEx>
          <w:tblLook w:val="04A0" w:firstRow="1" w:lastRow="0" w:firstColumn="1" w:lastColumn="0" w:noHBand="0" w:noVBand="1"/>
        </w:tblPrEx>
        <w:tc>
          <w:tcPr>
            <w:tcW w:w="1005" w:type="pct"/>
          </w:tcPr>
          <w:p w14:paraId="18D439E1" w14:textId="2B3F3A7C" w:rsidR="00BE46E9" w:rsidRDefault="00BE46E9">
            <w:r>
              <w:t>SCV</w:t>
            </w:r>
          </w:p>
        </w:tc>
        <w:tc>
          <w:tcPr>
            <w:tcW w:w="3995" w:type="pct"/>
          </w:tcPr>
          <w:p w14:paraId="20BD1E91" w14:textId="3DB1F84C" w:rsidR="00BE46E9" w:rsidRDefault="00BE46E9">
            <w:r>
              <w:t>Safer Care Victoria</w:t>
            </w:r>
          </w:p>
        </w:tc>
      </w:tr>
      <w:tr w:rsidR="00200567" w14:paraId="40C9A57D" w14:textId="77777777" w:rsidTr="006C20EA">
        <w:tblPrEx>
          <w:tblLook w:val="04A0" w:firstRow="1" w:lastRow="0" w:firstColumn="1" w:lastColumn="0" w:noHBand="0" w:noVBand="1"/>
        </w:tblPrEx>
        <w:tc>
          <w:tcPr>
            <w:tcW w:w="1005" w:type="pct"/>
          </w:tcPr>
          <w:p w14:paraId="1B1BCE69" w14:textId="77777777" w:rsidR="001926CD" w:rsidRDefault="001926CD">
            <w:r>
              <w:t>SDC</w:t>
            </w:r>
          </w:p>
        </w:tc>
        <w:tc>
          <w:tcPr>
            <w:tcW w:w="3995" w:type="pct"/>
          </w:tcPr>
          <w:p w14:paraId="14CA5C67" w14:textId="77777777" w:rsidR="001926CD" w:rsidRDefault="001926CD">
            <w:r>
              <w:t>Statutory Duty of Candour</w:t>
            </w:r>
          </w:p>
        </w:tc>
      </w:tr>
      <w:tr w:rsidR="00685B83" w14:paraId="37E326EF" w14:textId="77777777" w:rsidTr="006C20EA">
        <w:tblPrEx>
          <w:tblLook w:val="04A0" w:firstRow="1" w:lastRow="0" w:firstColumn="1" w:lastColumn="0" w:noHBand="0" w:noVBand="1"/>
        </w:tblPrEx>
        <w:tc>
          <w:tcPr>
            <w:tcW w:w="1005" w:type="pct"/>
          </w:tcPr>
          <w:p w14:paraId="49D58E50" w14:textId="7E20605C" w:rsidR="00685B83" w:rsidRDefault="00685B83">
            <w:r>
              <w:t xml:space="preserve">VAHI </w:t>
            </w:r>
          </w:p>
        </w:tc>
        <w:tc>
          <w:tcPr>
            <w:tcW w:w="3995" w:type="pct"/>
          </w:tcPr>
          <w:p w14:paraId="20C16F9A" w14:textId="33B8BEF4" w:rsidR="00685B83" w:rsidRDefault="00685B83">
            <w:r>
              <w:t>Victorian Agency for Health Information</w:t>
            </w:r>
          </w:p>
        </w:tc>
      </w:tr>
      <w:tr w:rsidR="00200567" w14:paraId="14C71813" w14:textId="77777777" w:rsidTr="006C20EA">
        <w:tblPrEx>
          <w:tblLook w:val="04A0" w:firstRow="1" w:lastRow="0" w:firstColumn="1" w:lastColumn="0" w:noHBand="0" w:noVBand="1"/>
        </w:tblPrEx>
        <w:tc>
          <w:tcPr>
            <w:tcW w:w="1005" w:type="pct"/>
          </w:tcPr>
          <w:p w14:paraId="5168D6D0" w14:textId="77777777" w:rsidR="001926CD" w:rsidRDefault="001926CD">
            <w:r>
              <w:t>VMO</w:t>
            </w:r>
          </w:p>
        </w:tc>
        <w:tc>
          <w:tcPr>
            <w:tcW w:w="3995" w:type="pct"/>
          </w:tcPr>
          <w:p w14:paraId="3E05DAB4" w14:textId="77777777" w:rsidR="001926CD" w:rsidRDefault="001926CD">
            <w:r>
              <w:t>Visiting Medical Officer</w:t>
            </w:r>
          </w:p>
        </w:tc>
      </w:tr>
    </w:tbl>
    <w:p w14:paraId="47F19C92" w14:textId="267CEF6C" w:rsidR="00C3173B" w:rsidRPr="00A71CE4" w:rsidRDefault="00C3173B" w:rsidP="00C3173B">
      <w:pPr>
        <w:pStyle w:val="Heading1"/>
      </w:pPr>
      <w:bookmarkStart w:id="6" w:name="_Toc141177719"/>
      <w:bookmarkStart w:id="7" w:name="_Toc143271992"/>
      <w:r>
        <w:lastRenderedPageBreak/>
        <w:t xml:space="preserve">Executive </w:t>
      </w:r>
      <w:r w:rsidR="00CF34DC">
        <w:t>s</w:t>
      </w:r>
      <w:r>
        <w:t>ummary</w:t>
      </w:r>
      <w:bookmarkEnd w:id="6"/>
      <w:bookmarkEnd w:id="7"/>
    </w:p>
    <w:p w14:paraId="277901A5" w14:textId="1882AD8A" w:rsidR="005369C4" w:rsidRDefault="000F0652" w:rsidP="00C3173B">
      <w:pPr>
        <w:pStyle w:val="Body"/>
      </w:pPr>
      <w:r>
        <w:t xml:space="preserve">This discussion paper seeks your </w:t>
      </w:r>
      <w:r w:rsidR="005A7E5B">
        <w:t xml:space="preserve">views on potential reforms to the </w:t>
      </w:r>
      <w:r w:rsidR="00C3173B" w:rsidRPr="00AC5DD6">
        <w:t>Health Services (</w:t>
      </w:r>
      <w:r w:rsidR="00C3173B">
        <w:t>Health Service Establishment</w:t>
      </w:r>
      <w:r w:rsidR="007D2526">
        <w:t>s</w:t>
      </w:r>
      <w:r w:rsidR="00C3173B">
        <w:t>)</w:t>
      </w:r>
      <w:r w:rsidR="00C3173B" w:rsidRPr="00AC5DD6">
        <w:t xml:space="preserve"> Regulations</w:t>
      </w:r>
      <w:r w:rsidR="00C3173B" w:rsidRPr="00DC0B28">
        <w:rPr>
          <w:i/>
        </w:rPr>
        <w:t xml:space="preserve"> </w:t>
      </w:r>
      <w:r w:rsidR="00C3173B" w:rsidRPr="00AC5DD6">
        <w:t>20</w:t>
      </w:r>
      <w:r w:rsidR="007D2526">
        <w:t>1</w:t>
      </w:r>
      <w:r w:rsidR="00C3173B" w:rsidRPr="00AC5DD6">
        <w:t>3 (</w:t>
      </w:r>
      <w:r w:rsidR="00C3173B">
        <w:t>the Regulations)</w:t>
      </w:r>
      <w:r w:rsidR="00D06224">
        <w:t xml:space="preserve"> </w:t>
      </w:r>
      <w:r w:rsidR="00FD37E7">
        <w:t>made under</w:t>
      </w:r>
      <w:r w:rsidR="00C3173B" w:rsidRPr="00CC0054">
        <w:t xml:space="preserve"> the</w:t>
      </w:r>
      <w:r w:rsidR="00C3173B" w:rsidRPr="00CC0054">
        <w:rPr>
          <w:i/>
        </w:rPr>
        <w:t xml:space="preserve"> Health Services Act 1988</w:t>
      </w:r>
      <w:r w:rsidR="00C3173B" w:rsidRPr="00CC0054">
        <w:t xml:space="preserve"> (the Act)</w:t>
      </w:r>
      <w:r w:rsidR="004279E8">
        <w:t>.</w:t>
      </w:r>
      <w:r w:rsidR="00886B80">
        <w:rPr>
          <w:rStyle w:val="FootnoteReference"/>
        </w:rPr>
        <w:footnoteReference w:id="2"/>
      </w:r>
    </w:p>
    <w:p w14:paraId="1B1062FC" w14:textId="0511314A" w:rsidR="00C3173B" w:rsidRPr="00CC0054" w:rsidRDefault="00AF486A" w:rsidP="00DC005A">
      <w:pPr>
        <w:pStyle w:val="Body"/>
      </w:pPr>
      <w:r w:rsidRPr="00DC005A">
        <w:t>The</w:t>
      </w:r>
      <w:r>
        <w:t xml:space="preserve"> Act </w:t>
      </w:r>
      <w:r w:rsidR="0019155B">
        <w:t>(</w:t>
      </w:r>
      <w:r w:rsidR="00481F49">
        <w:t>primarily Part</w:t>
      </w:r>
      <w:r w:rsidR="00D31DE5">
        <w:t>s</w:t>
      </w:r>
      <w:r w:rsidR="00481F49">
        <w:t xml:space="preserve"> 4</w:t>
      </w:r>
      <w:r w:rsidR="00D31DE5">
        <w:t xml:space="preserve"> and 5A</w:t>
      </w:r>
      <w:r w:rsidR="00481F49">
        <w:t xml:space="preserve">) </w:t>
      </w:r>
      <w:r>
        <w:t xml:space="preserve">and Regulations establish </w:t>
      </w:r>
      <w:r w:rsidR="00CC0457">
        <w:t>t</w:t>
      </w:r>
      <w:r w:rsidR="00F25244">
        <w:t>he</w:t>
      </w:r>
      <w:r w:rsidR="00AA1B25" w:rsidRPr="00AF6C5A">
        <w:t xml:space="preserve"> </w:t>
      </w:r>
      <w:r w:rsidR="00EC7094">
        <w:t xml:space="preserve">minimum </w:t>
      </w:r>
      <w:r w:rsidR="00AA1B25" w:rsidRPr="00AF6C5A">
        <w:t xml:space="preserve">requirements for the </w:t>
      </w:r>
      <w:r w:rsidR="00AA1B25" w:rsidRPr="00CC0457">
        <w:t>safety and quality of</w:t>
      </w:r>
      <w:r w:rsidR="00AA1B25" w:rsidRPr="00AF6C5A">
        <w:t xml:space="preserve"> patient care in Victoria's </w:t>
      </w:r>
      <w:r w:rsidR="00AA1B25">
        <w:t>private hospitals</w:t>
      </w:r>
      <w:r w:rsidR="00EF2FC0">
        <w:t xml:space="preserve"> and </w:t>
      </w:r>
      <w:r w:rsidR="00AA1B25">
        <w:t>day procedure centres</w:t>
      </w:r>
      <w:r w:rsidR="00EF2FC0">
        <w:t xml:space="preserve"> (including </w:t>
      </w:r>
      <w:r w:rsidR="00AA1B25">
        <w:t>mobile health services</w:t>
      </w:r>
      <w:r w:rsidR="00EF2FC0">
        <w:t>)</w:t>
      </w:r>
      <w:r w:rsidR="004C719D">
        <w:t>.</w:t>
      </w:r>
      <w:r w:rsidR="00C81979">
        <w:rPr>
          <w:rStyle w:val="FootnoteReference"/>
        </w:rPr>
        <w:footnoteReference w:id="3"/>
      </w:r>
      <w:r w:rsidR="00C81979">
        <w:t xml:space="preserve"> </w:t>
      </w:r>
      <w:r w:rsidR="00562325">
        <w:t xml:space="preserve">Under the Act and Regulations, the Secretary to the </w:t>
      </w:r>
      <w:r w:rsidR="00C104EB">
        <w:t>D</w:t>
      </w:r>
      <w:r w:rsidR="0018776E">
        <w:t xml:space="preserve">epartment </w:t>
      </w:r>
      <w:r w:rsidR="00C104EB">
        <w:t xml:space="preserve">of Health (the department) </w:t>
      </w:r>
      <w:r w:rsidR="00562325">
        <w:t xml:space="preserve">is the regulator </w:t>
      </w:r>
      <w:r w:rsidR="0018776E">
        <w:t xml:space="preserve">of </w:t>
      </w:r>
      <w:r w:rsidR="00562325">
        <w:t>health service establishments</w:t>
      </w:r>
      <w:r w:rsidR="00F0015D">
        <w:t xml:space="preserve">. </w:t>
      </w:r>
      <w:r w:rsidR="0018776E" w:rsidRPr="00712193">
        <w:t>A private hospital</w:t>
      </w:r>
      <w:r w:rsidR="0018776E">
        <w:t xml:space="preserve"> or </w:t>
      </w:r>
      <w:r w:rsidR="0018776E" w:rsidRPr="00712193">
        <w:t xml:space="preserve">day procedure centre cannot commence </w:t>
      </w:r>
      <w:r w:rsidR="0018776E">
        <w:t>operation (</w:t>
      </w:r>
      <w:r w:rsidR="0018776E" w:rsidRPr="00712193">
        <w:t>or continue operation</w:t>
      </w:r>
      <w:r w:rsidR="0018776E">
        <w:t xml:space="preserve">), nor admit </w:t>
      </w:r>
      <w:r w:rsidR="0018776E" w:rsidRPr="00712193">
        <w:t>patients unless the premises are registered under th</w:t>
      </w:r>
      <w:r w:rsidR="0018776E">
        <w:t>e Act</w:t>
      </w:r>
      <w:r w:rsidR="0018776E" w:rsidRPr="00712193">
        <w:t>.</w:t>
      </w:r>
      <w:r w:rsidR="0018776E">
        <w:t xml:space="preserve"> </w:t>
      </w:r>
    </w:p>
    <w:p w14:paraId="5EB21E22" w14:textId="07C83D49" w:rsidR="00C3173B" w:rsidRPr="00CC0054" w:rsidRDefault="00B22F26" w:rsidP="00C3173B">
      <w:pPr>
        <w:pStyle w:val="Body"/>
      </w:pPr>
      <w:r>
        <w:t xml:space="preserve">In accordance with the </w:t>
      </w:r>
      <w:r w:rsidRPr="00693B3D">
        <w:rPr>
          <w:i/>
          <w:iCs/>
        </w:rPr>
        <w:t>Subordinate Legislation Act</w:t>
      </w:r>
      <w:r w:rsidR="002D71DA" w:rsidRPr="00693B3D">
        <w:rPr>
          <w:i/>
          <w:iCs/>
        </w:rPr>
        <w:t xml:space="preserve"> </w:t>
      </w:r>
      <w:r w:rsidR="00B32FE5" w:rsidRPr="00693B3D">
        <w:rPr>
          <w:i/>
          <w:iCs/>
        </w:rPr>
        <w:t>1994</w:t>
      </w:r>
      <w:r>
        <w:t>, t</w:t>
      </w:r>
      <w:r w:rsidR="00C3173B">
        <w:t xml:space="preserve">he current </w:t>
      </w:r>
      <w:r w:rsidR="00C3173B" w:rsidRPr="00AC5DD6">
        <w:t>Regulations</w:t>
      </w:r>
      <w:r w:rsidR="00347424">
        <w:t xml:space="preserve"> </w:t>
      </w:r>
      <w:r w:rsidR="008916F8">
        <w:t xml:space="preserve">will </w:t>
      </w:r>
      <w:r w:rsidR="00C3173B">
        <w:t>expire</w:t>
      </w:r>
      <w:r w:rsidR="006F7DA6">
        <w:t xml:space="preserve"> (or ‘sunset’)</w:t>
      </w:r>
      <w:r w:rsidR="00C3173B">
        <w:t xml:space="preserve"> on </w:t>
      </w:r>
      <w:r w:rsidR="008C2B4F">
        <w:t>1</w:t>
      </w:r>
      <w:r w:rsidR="00C3173B">
        <w:t xml:space="preserve"> September </w:t>
      </w:r>
      <w:r w:rsidR="00612DDA">
        <w:t>2024</w:t>
      </w:r>
      <w:r w:rsidR="006F7DA6">
        <w:softHyphen/>
      </w:r>
      <w:r w:rsidR="00C3173B">
        <w:t>.</w:t>
      </w:r>
      <w:r w:rsidR="00530B15">
        <w:t xml:space="preserve"> </w:t>
      </w:r>
      <w:r w:rsidR="00DC5195">
        <w:t>T</w:t>
      </w:r>
      <w:r w:rsidR="00AE03A3">
        <w:t>he</w:t>
      </w:r>
      <w:r w:rsidR="00DC5195">
        <w:t xml:space="preserve"> </w:t>
      </w:r>
      <w:r w:rsidR="00204D71">
        <w:t>department</w:t>
      </w:r>
      <w:r w:rsidR="00BA15A7">
        <w:t xml:space="preserve"> considers that the </w:t>
      </w:r>
      <w:r w:rsidR="00DC5195">
        <w:t>Regulations should be re-made in whole, part, or a modified form</w:t>
      </w:r>
      <w:r w:rsidR="00EA4EE5">
        <w:t>,</w:t>
      </w:r>
      <w:r w:rsidR="00DC5195">
        <w:t xml:space="preserve"> to ensure the Act and Regulations can continue to operate as intended and provide for </w:t>
      </w:r>
      <w:r w:rsidR="00DC5195" w:rsidRPr="00712193">
        <w:t xml:space="preserve">minimum requirements for the </w:t>
      </w:r>
      <w:r w:rsidR="00DC5195" w:rsidRPr="00AE03A3">
        <w:t>safety</w:t>
      </w:r>
      <w:r w:rsidR="008355AD" w:rsidRPr="00AE03A3">
        <w:t xml:space="preserve"> and quality</w:t>
      </w:r>
      <w:r w:rsidR="00DC5195" w:rsidRPr="00AE03A3">
        <w:t xml:space="preserve"> of</w:t>
      </w:r>
      <w:r w:rsidR="00DC5195" w:rsidRPr="00712193">
        <w:t xml:space="preserve"> patient</w:t>
      </w:r>
      <w:r w:rsidR="000E2C80">
        <w:t xml:space="preserve"> care</w:t>
      </w:r>
      <w:r w:rsidR="00DC5195" w:rsidRPr="00712193">
        <w:t>.</w:t>
      </w:r>
    </w:p>
    <w:p w14:paraId="4C70806D" w14:textId="3AF3AF7C" w:rsidR="00B410C6" w:rsidRDefault="00B410C6" w:rsidP="00B410C6">
      <w:pPr>
        <w:pStyle w:val="Body"/>
      </w:pPr>
      <w:r>
        <w:t xml:space="preserve">This review </w:t>
      </w:r>
      <w:r w:rsidR="00EA4EE5">
        <w:t>will include stakeholder consultation</w:t>
      </w:r>
      <w:r w:rsidR="00540A90">
        <w:t xml:space="preserve"> about </w:t>
      </w:r>
      <w:r>
        <w:t xml:space="preserve">whether the Regulations </w:t>
      </w:r>
      <w:r w:rsidR="000347E0">
        <w:t>are</w:t>
      </w:r>
      <w:r w:rsidR="00E40DAC">
        <w:t xml:space="preserve"> fit for purpose and meet the objectives of the regulatory scheme</w:t>
      </w:r>
      <w:r w:rsidR="00B974C3">
        <w:t>.</w:t>
      </w:r>
      <w:r w:rsidR="000347E0">
        <w:t xml:space="preserve"> The department will consider</w:t>
      </w:r>
      <w:r w:rsidR="00DE495D">
        <w:t xml:space="preserve"> all</w:t>
      </w:r>
      <w:r w:rsidR="003C2C1A">
        <w:t xml:space="preserve"> submissions</w:t>
      </w:r>
      <w:r w:rsidR="00067F00">
        <w:t>, then conduct</w:t>
      </w:r>
      <w:r w:rsidR="003C2C1A">
        <w:t xml:space="preserve"> </w:t>
      </w:r>
      <w:r w:rsidR="00D5133F">
        <w:t xml:space="preserve">further </w:t>
      </w:r>
      <w:r w:rsidR="003C2C1A">
        <w:t xml:space="preserve">public consultation </w:t>
      </w:r>
      <w:r w:rsidR="00656922">
        <w:t xml:space="preserve">with </w:t>
      </w:r>
      <w:r w:rsidR="00AC2B12">
        <w:t xml:space="preserve">the </w:t>
      </w:r>
      <w:r w:rsidR="004B4A62">
        <w:t xml:space="preserve">likely </w:t>
      </w:r>
      <w:r w:rsidR="00AC2B12">
        <w:t xml:space="preserve">release of a Regulatory Impact Statement </w:t>
      </w:r>
      <w:r w:rsidR="00D5133F">
        <w:t xml:space="preserve">(RIS) </w:t>
      </w:r>
      <w:r w:rsidR="00656922">
        <w:t xml:space="preserve">and </w:t>
      </w:r>
      <w:r w:rsidR="00AC2B12">
        <w:t xml:space="preserve">draft new </w:t>
      </w:r>
      <w:r w:rsidR="00C104EB">
        <w:t>Regulations</w:t>
      </w:r>
      <w:r w:rsidR="00AC2B12">
        <w:t>.</w:t>
      </w:r>
    </w:p>
    <w:p w14:paraId="56444EE3" w14:textId="54DE0AC2" w:rsidR="00C140F6" w:rsidRDefault="00FD0FC3" w:rsidP="00C140F6">
      <w:pPr>
        <w:pStyle w:val="Body"/>
      </w:pPr>
      <w:r>
        <w:t>T</w:t>
      </w:r>
      <w:r w:rsidR="00C140F6">
        <w:t xml:space="preserve">his paper </w:t>
      </w:r>
      <w:r>
        <w:t xml:space="preserve">explores whether </w:t>
      </w:r>
      <w:r w:rsidR="006D0F80">
        <w:t xml:space="preserve">the </w:t>
      </w:r>
      <w:r w:rsidR="007C1E25">
        <w:t>key</w:t>
      </w:r>
      <w:r w:rsidR="006D0F80">
        <w:t xml:space="preserve"> </w:t>
      </w:r>
      <w:r>
        <w:t>elements</w:t>
      </w:r>
      <w:r w:rsidR="005D24EE">
        <w:t xml:space="preserve"> </w:t>
      </w:r>
      <w:r w:rsidR="006D0F80">
        <w:t>remain fit for purpose and achieve the outcome of safe</w:t>
      </w:r>
      <w:r w:rsidR="000C0ED9">
        <w:t>, quality</w:t>
      </w:r>
      <w:r w:rsidR="006D0F80">
        <w:t xml:space="preserve"> patient care</w:t>
      </w:r>
      <w:r w:rsidR="007C1E25">
        <w:t>, including</w:t>
      </w:r>
      <w:r w:rsidR="00C140F6">
        <w:t>:</w:t>
      </w:r>
    </w:p>
    <w:p w14:paraId="15933A3A" w14:textId="1F6B7F1C" w:rsidR="00C140F6" w:rsidRDefault="004477EE" w:rsidP="00C132C8">
      <w:pPr>
        <w:pStyle w:val="Body"/>
        <w:numPr>
          <w:ilvl w:val="0"/>
          <w:numId w:val="19"/>
        </w:numPr>
      </w:pPr>
      <w:r>
        <w:t>t</w:t>
      </w:r>
      <w:r w:rsidR="006D0F80">
        <w:t>he d</w:t>
      </w:r>
      <w:r w:rsidR="00C140F6">
        <w:t>efinition and scope of prescribed health services</w:t>
      </w:r>
      <w:r w:rsidR="00064526">
        <w:t xml:space="preserve"> including </w:t>
      </w:r>
      <w:r w:rsidR="007C1E25">
        <w:t>those relating to cosmetic surgery</w:t>
      </w:r>
    </w:p>
    <w:p w14:paraId="4C2D7BCA" w14:textId="79F80ABE" w:rsidR="00C140F6" w:rsidRDefault="004477EE" w:rsidP="00C132C8">
      <w:pPr>
        <w:pStyle w:val="Body"/>
        <w:numPr>
          <w:ilvl w:val="0"/>
          <w:numId w:val="19"/>
        </w:numPr>
      </w:pPr>
      <w:r>
        <w:t>s</w:t>
      </w:r>
      <w:r w:rsidR="00C140F6">
        <w:t xml:space="preserve">taffing requirements </w:t>
      </w:r>
      <w:r w:rsidR="00CB7600">
        <w:t xml:space="preserve">including </w:t>
      </w:r>
      <w:r w:rsidR="00C140F6">
        <w:t>staff-to-patient ratios and senior appointment</w:t>
      </w:r>
      <w:r w:rsidR="00C104EB">
        <w:t>s</w:t>
      </w:r>
    </w:p>
    <w:p w14:paraId="7A962330" w14:textId="3D72B645" w:rsidR="00C140F6" w:rsidRPr="00C140F6" w:rsidRDefault="004477EE" w:rsidP="00190705">
      <w:pPr>
        <w:pStyle w:val="DHHSbulletindentlastline"/>
      </w:pPr>
      <w:r>
        <w:t>c</w:t>
      </w:r>
      <w:r w:rsidR="00C140F6">
        <w:t>linical governance requirements</w:t>
      </w:r>
      <w:r w:rsidR="003242EA">
        <w:t xml:space="preserve"> including </w:t>
      </w:r>
      <w:r w:rsidR="00C140F6">
        <w:t>reporting</w:t>
      </w:r>
      <w:r w:rsidR="00CF02AD">
        <w:t>, patient admission and discharge</w:t>
      </w:r>
      <w:r w:rsidR="00C140F6">
        <w:t xml:space="preserve">, credentialling, </w:t>
      </w:r>
      <w:r w:rsidR="000F21C4">
        <w:t>external labour hire</w:t>
      </w:r>
      <w:r w:rsidR="00D639BF">
        <w:t xml:space="preserve"> </w:t>
      </w:r>
      <w:r w:rsidR="00611716">
        <w:t>accountability</w:t>
      </w:r>
      <w:r w:rsidR="00C140F6">
        <w:t xml:space="preserve">, and fatigue management. </w:t>
      </w:r>
    </w:p>
    <w:p w14:paraId="7E2EFBCD" w14:textId="5E8A983C" w:rsidR="00C3173B" w:rsidRDefault="00043ECD" w:rsidP="00C3173B">
      <w:pPr>
        <w:pStyle w:val="Body"/>
      </w:pPr>
      <w:r>
        <w:t xml:space="preserve">Not every issue or concern canvassed in this paper </w:t>
      </w:r>
      <w:r w:rsidR="00611716">
        <w:t xml:space="preserve">or raised by stakeholders </w:t>
      </w:r>
      <w:r>
        <w:t xml:space="preserve">will need a regulatory </w:t>
      </w:r>
      <w:r w:rsidR="00E46D85">
        <w:t xml:space="preserve">reform </w:t>
      </w:r>
      <w:r>
        <w:t xml:space="preserve">solution – in some cases, an administrative solution may be </w:t>
      </w:r>
      <w:r w:rsidR="008A0F50">
        <w:t>preferable,</w:t>
      </w:r>
      <w:r>
        <w:t xml:space="preserve"> or it may be determined that no action is required. </w:t>
      </w:r>
      <w:r w:rsidR="00C3173B">
        <w:t>The department acknowledges that some proposed changes, if enacted, may require a transition period for compliance</w:t>
      </w:r>
      <w:r w:rsidR="00496B5D">
        <w:t>.</w:t>
      </w:r>
      <w:r w:rsidR="00C3173B">
        <w:t xml:space="preserve"> </w:t>
      </w:r>
      <w:r w:rsidR="006F2B20">
        <w:t>T</w:t>
      </w:r>
      <w:r w:rsidR="00C3173B">
        <w:t xml:space="preserve">his will be addressed </w:t>
      </w:r>
      <w:r w:rsidR="00B542D9">
        <w:t>in more detail</w:t>
      </w:r>
      <w:r w:rsidR="00C3173B">
        <w:t xml:space="preserve"> at the next round of consultation.</w:t>
      </w:r>
    </w:p>
    <w:p w14:paraId="040CEFAE" w14:textId="7B3CB655" w:rsidR="00C3173B" w:rsidRDefault="00C3173B" w:rsidP="00C3173B">
      <w:pPr>
        <w:pStyle w:val="Body"/>
      </w:pPr>
      <w:r w:rsidRPr="00CC0054">
        <w:t xml:space="preserve">Please </w:t>
      </w:r>
      <w:r w:rsidR="006F2B20">
        <w:t>contribute</w:t>
      </w:r>
      <w:r w:rsidRPr="00CC0054">
        <w:t xml:space="preserve"> to the </w:t>
      </w:r>
      <w:r w:rsidR="008A0F50">
        <w:t xml:space="preserve">review of the Regulations </w:t>
      </w:r>
      <w:r w:rsidR="00351343">
        <w:t>by comment</w:t>
      </w:r>
      <w:r w:rsidR="004A6177">
        <w:t>ing</w:t>
      </w:r>
      <w:r w:rsidR="00351343">
        <w:t xml:space="preserve"> on specific </w:t>
      </w:r>
      <w:r w:rsidRPr="00CC0054">
        <w:t>proposals in th</w:t>
      </w:r>
      <w:r>
        <w:t>is</w:t>
      </w:r>
      <w:r w:rsidRPr="00CC0054">
        <w:t xml:space="preserve"> discussion paper or </w:t>
      </w:r>
      <w:r w:rsidR="00351343">
        <w:t>by</w:t>
      </w:r>
      <w:r w:rsidRPr="00CC0054">
        <w:t xml:space="preserve"> mak</w:t>
      </w:r>
      <w:r w:rsidR="00351343">
        <w:t>ing</w:t>
      </w:r>
      <w:r w:rsidRPr="00CC0054">
        <w:t xml:space="preserve"> any other suggestions </w:t>
      </w:r>
      <w:r w:rsidR="00DC6DEB">
        <w:t>to improve</w:t>
      </w:r>
      <w:r w:rsidRPr="00CC0054">
        <w:t xml:space="preserve"> </w:t>
      </w:r>
      <w:r>
        <w:t xml:space="preserve">regulation of </w:t>
      </w:r>
      <w:r w:rsidR="00635808" w:rsidRPr="00CC0054">
        <w:t>private hospital</w:t>
      </w:r>
      <w:r w:rsidR="00635808">
        <w:t>s and day procedure centres across</w:t>
      </w:r>
      <w:r w:rsidR="00635808" w:rsidRPr="00CC0054">
        <w:t xml:space="preserve"> Victoria</w:t>
      </w:r>
      <w:r w:rsidR="00635808">
        <w:t xml:space="preserve"> </w:t>
      </w:r>
      <w:r w:rsidR="00D447C8">
        <w:t xml:space="preserve">and ensure </w:t>
      </w:r>
      <w:r w:rsidR="00351343">
        <w:t>safe</w:t>
      </w:r>
      <w:r w:rsidR="00C104EB">
        <w:t>,</w:t>
      </w:r>
      <w:r w:rsidR="00351343">
        <w:t xml:space="preserve"> </w:t>
      </w:r>
      <w:r w:rsidR="009951C7">
        <w:t xml:space="preserve">quality </w:t>
      </w:r>
      <w:r>
        <w:t xml:space="preserve">patient </w:t>
      </w:r>
      <w:r w:rsidR="009951C7">
        <w:t>care</w:t>
      </w:r>
      <w:r w:rsidR="008E3E4E">
        <w:t>.</w:t>
      </w:r>
      <w:r w:rsidRPr="00CC0054">
        <w:t xml:space="preserve"> </w:t>
      </w:r>
    </w:p>
    <w:p w14:paraId="55E9E262" w14:textId="48DD9EAF" w:rsidR="00C3173B" w:rsidRDefault="00043ECD" w:rsidP="00ED66A5">
      <w:pPr>
        <w:pStyle w:val="Body"/>
        <w:rPr>
          <w:rFonts w:eastAsia="MS Gothic" w:cs="Arial"/>
          <w:bCs/>
          <w:color w:val="C5511A"/>
          <w:kern w:val="32"/>
          <w:sz w:val="44"/>
          <w:szCs w:val="44"/>
        </w:rPr>
      </w:pPr>
      <w:r>
        <w:t xml:space="preserve">Your views are important and welcome. </w:t>
      </w:r>
      <w:r w:rsidR="00C3173B">
        <w:br w:type="page"/>
      </w:r>
    </w:p>
    <w:p w14:paraId="50FBFE92" w14:textId="7EF346A3" w:rsidR="005A0C70" w:rsidRDefault="005A0C70" w:rsidP="007857A0">
      <w:pPr>
        <w:pStyle w:val="Heading1"/>
      </w:pPr>
      <w:bookmarkStart w:id="8" w:name="_Toc141177720"/>
      <w:bookmarkStart w:id="9" w:name="_Toc143271993"/>
      <w:r>
        <w:lastRenderedPageBreak/>
        <w:t>About the consultation process</w:t>
      </w:r>
      <w:bookmarkEnd w:id="1"/>
      <w:bookmarkEnd w:id="2"/>
      <w:bookmarkEnd w:id="8"/>
      <w:bookmarkEnd w:id="9"/>
    </w:p>
    <w:p w14:paraId="42D9719D" w14:textId="130780CC" w:rsidR="005A0C70" w:rsidRPr="00907D83" w:rsidRDefault="005A0C70" w:rsidP="00672539">
      <w:pPr>
        <w:pStyle w:val="Heading2"/>
      </w:pPr>
      <w:bookmarkStart w:id="10" w:name="_Toc303937755"/>
      <w:bookmarkStart w:id="11" w:name="_Toc352920422"/>
      <w:bookmarkStart w:id="12" w:name="_Toc497306522"/>
      <w:bookmarkStart w:id="13" w:name="_Toc497746822"/>
      <w:bookmarkStart w:id="14" w:name="_Toc498417640"/>
      <w:bookmarkStart w:id="15" w:name="_Toc498423029"/>
      <w:bookmarkStart w:id="16" w:name="_Toc498423387"/>
      <w:bookmarkStart w:id="17" w:name="_Toc141177721"/>
      <w:bookmarkStart w:id="18" w:name="_Toc143271994"/>
      <w:bookmarkEnd w:id="3"/>
      <w:r w:rsidRPr="00E56B60">
        <w:t xml:space="preserve">Who </w:t>
      </w:r>
      <w:bookmarkEnd w:id="10"/>
      <w:r>
        <w:t>to contact</w:t>
      </w:r>
      <w:bookmarkEnd w:id="11"/>
      <w:bookmarkEnd w:id="12"/>
      <w:bookmarkEnd w:id="13"/>
      <w:bookmarkEnd w:id="14"/>
      <w:bookmarkEnd w:id="15"/>
      <w:bookmarkEnd w:id="16"/>
      <w:bookmarkEnd w:id="17"/>
      <w:bookmarkEnd w:id="18"/>
      <w:r w:rsidRPr="00E56B60">
        <w:t xml:space="preserve"> </w:t>
      </w:r>
    </w:p>
    <w:p w14:paraId="33196D0C" w14:textId="226E573F" w:rsidR="005A0C70" w:rsidRPr="00D10CCD" w:rsidRDefault="005A0C70" w:rsidP="00672539">
      <w:pPr>
        <w:pStyle w:val="Body"/>
      </w:pPr>
      <w:r w:rsidRPr="00D10CCD">
        <w:t>For general enquiries about th</w:t>
      </w:r>
      <w:r>
        <w:t xml:space="preserve">is discussion paper and </w:t>
      </w:r>
      <w:r w:rsidR="00380068">
        <w:t xml:space="preserve">the </w:t>
      </w:r>
      <w:r>
        <w:t xml:space="preserve">broader consultation process, </w:t>
      </w:r>
      <w:r w:rsidRPr="00D10CCD">
        <w:t>please</w:t>
      </w:r>
      <w:r w:rsidR="00BE4628">
        <w:t xml:space="preserve"> </w:t>
      </w:r>
      <w:r w:rsidR="00380068">
        <w:t xml:space="preserve">email </w:t>
      </w:r>
      <w:hyperlink r:id="rId20" w:history="1">
        <w:r w:rsidR="00380068">
          <w:rPr>
            <w:rStyle w:val="Hyperlink"/>
          </w:rPr>
          <w:t xml:space="preserve">Legislation and Regulation Reform </w:t>
        </w:r>
      </w:hyperlink>
      <w:r w:rsidR="00380068" w:rsidRPr="00672539">
        <w:rPr>
          <w:rStyle w:val="normaltextrun"/>
        </w:rPr>
        <w:t>&lt;</w:t>
      </w:r>
      <w:r w:rsidR="00B84838" w:rsidRPr="00672539">
        <w:rPr>
          <w:rStyle w:val="normaltextrun"/>
        </w:rPr>
        <w:t>legandregreform@health.vic.gov.au</w:t>
      </w:r>
      <w:r w:rsidR="009F06FB" w:rsidRPr="00672539">
        <w:rPr>
          <w:rStyle w:val="normaltextrun"/>
        </w:rPr>
        <w:t>&gt;</w:t>
      </w:r>
      <w:r w:rsidR="00CA5623">
        <w:rPr>
          <w:rStyle w:val="normaltextrun"/>
        </w:rPr>
        <w:t>.</w:t>
      </w:r>
      <w:r w:rsidR="00380068">
        <w:t xml:space="preserve"> </w:t>
      </w:r>
    </w:p>
    <w:p w14:paraId="4633E90E" w14:textId="77777777" w:rsidR="00D84438" w:rsidRPr="00D84438" w:rsidRDefault="00147440" w:rsidP="00D84438">
      <w:pPr>
        <w:pStyle w:val="Heading2"/>
      </w:pPr>
      <w:bookmarkStart w:id="19" w:name="_Toc143271995"/>
      <w:bookmarkStart w:id="20" w:name="_Toc352920424"/>
      <w:bookmarkStart w:id="21" w:name="_Toc497306524"/>
      <w:bookmarkStart w:id="22" w:name="_Toc497746824"/>
      <w:bookmarkStart w:id="23" w:name="_Toc498417642"/>
      <w:bookmarkStart w:id="24" w:name="_Toc498423031"/>
      <w:bookmarkStart w:id="25" w:name="_Toc498423389"/>
      <w:r w:rsidRPr="00D84438">
        <w:t>How to make a submission</w:t>
      </w:r>
      <w:bookmarkEnd w:id="19"/>
    </w:p>
    <w:p w14:paraId="1BF44EF8" w14:textId="77777777" w:rsidR="00B87806" w:rsidRDefault="00DA6231" w:rsidP="00B87806">
      <w:pPr>
        <w:pStyle w:val="Body"/>
        <w:rPr>
          <w:rStyle w:val="normaltextrun"/>
          <w:rFonts w:cs="Arial"/>
          <w:szCs w:val="21"/>
        </w:rPr>
      </w:pPr>
      <w:r>
        <w:rPr>
          <w:rStyle w:val="normaltextrun"/>
          <w:rFonts w:cs="Arial"/>
          <w:szCs w:val="21"/>
        </w:rPr>
        <w:t>We invite written submissions that address (but are not limited to) the issues and questions in this paper. You are not obliged to respond to every question.</w:t>
      </w:r>
    </w:p>
    <w:p w14:paraId="0946182C" w14:textId="086A4879" w:rsidR="00B87806" w:rsidRDefault="00DA6231" w:rsidP="00B87806">
      <w:pPr>
        <w:pStyle w:val="Body"/>
        <w:rPr>
          <w:rStyle w:val="normaltextrun"/>
          <w:rFonts w:cs="Arial"/>
          <w:szCs w:val="21"/>
        </w:rPr>
      </w:pPr>
      <w:r w:rsidRPr="008E1034">
        <w:rPr>
          <w:rStyle w:val="normaltextrun"/>
          <w:rFonts w:cs="Arial"/>
          <w:b/>
          <w:bCs/>
          <w:szCs w:val="21"/>
        </w:rPr>
        <w:t>Submissions are due by</w:t>
      </w:r>
      <w:r>
        <w:rPr>
          <w:rStyle w:val="normaltextrun"/>
          <w:rFonts w:cs="Arial"/>
          <w:szCs w:val="21"/>
        </w:rPr>
        <w:t xml:space="preserve"> </w:t>
      </w:r>
      <w:r w:rsidRPr="00F8461B">
        <w:rPr>
          <w:rStyle w:val="normaltextrun"/>
          <w:rFonts w:cs="Arial"/>
          <w:b/>
          <w:bCs/>
          <w:szCs w:val="21"/>
        </w:rPr>
        <w:t xml:space="preserve">midnight </w:t>
      </w:r>
      <w:r w:rsidR="00594FA2" w:rsidRPr="00F8461B">
        <w:rPr>
          <w:rStyle w:val="normaltextrun"/>
          <w:rFonts w:cs="Arial"/>
          <w:b/>
          <w:bCs/>
          <w:szCs w:val="21"/>
        </w:rPr>
        <w:t>2</w:t>
      </w:r>
      <w:r w:rsidR="002428CF">
        <w:rPr>
          <w:rStyle w:val="normaltextrun"/>
          <w:rFonts w:cs="Arial"/>
          <w:b/>
          <w:bCs/>
          <w:szCs w:val="21"/>
        </w:rPr>
        <w:t>4</w:t>
      </w:r>
      <w:r w:rsidRPr="00F8461B">
        <w:rPr>
          <w:rStyle w:val="normaltextrun"/>
          <w:rFonts w:cs="Arial"/>
          <w:b/>
          <w:bCs/>
          <w:szCs w:val="21"/>
        </w:rPr>
        <w:t xml:space="preserve"> </w:t>
      </w:r>
      <w:r w:rsidR="00594FA2" w:rsidRPr="00F8461B">
        <w:rPr>
          <w:rStyle w:val="normaltextrun"/>
          <w:rFonts w:cs="Arial"/>
          <w:b/>
          <w:bCs/>
          <w:szCs w:val="21"/>
        </w:rPr>
        <w:t>September</w:t>
      </w:r>
      <w:r w:rsidRPr="00F8461B">
        <w:rPr>
          <w:rStyle w:val="normaltextrun"/>
          <w:rFonts w:cs="Arial"/>
          <w:b/>
          <w:bCs/>
          <w:szCs w:val="21"/>
        </w:rPr>
        <w:t xml:space="preserve"> 2023.</w:t>
      </w:r>
    </w:p>
    <w:p w14:paraId="0281B954" w14:textId="12E02613" w:rsidR="00E4040D" w:rsidRDefault="00DA6231" w:rsidP="00B87806">
      <w:pPr>
        <w:pStyle w:val="Body"/>
        <w:rPr>
          <w:rStyle w:val="normaltextrun"/>
          <w:rFonts w:cs="Arial"/>
          <w:szCs w:val="21"/>
        </w:rPr>
      </w:pPr>
      <w:r>
        <w:rPr>
          <w:rStyle w:val="normaltextrun"/>
          <w:rFonts w:cs="Arial"/>
          <w:szCs w:val="21"/>
        </w:rPr>
        <w:t>Please number your responses to match the questions in the paper or use the response template at</w:t>
      </w:r>
      <w:r w:rsidR="00856DE2">
        <w:rPr>
          <w:rStyle w:val="normaltextrun"/>
          <w:rFonts w:cs="Arial"/>
          <w:szCs w:val="21"/>
        </w:rPr>
        <w:t xml:space="preserve"> </w:t>
      </w:r>
      <w:r w:rsidR="00856DE2" w:rsidRPr="002F2025">
        <w:rPr>
          <w:rStyle w:val="normaltextrun"/>
          <w:rFonts w:cs="Arial"/>
          <w:szCs w:val="21"/>
        </w:rPr>
        <w:t>Appendix B – Response template</w:t>
      </w:r>
      <w:r>
        <w:rPr>
          <w:rStyle w:val="normaltextrun"/>
          <w:rFonts w:cs="Arial"/>
          <w:szCs w:val="21"/>
        </w:rPr>
        <w:t>.</w:t>
      </w:r>
    </w:p>
    <w:p w14:paraId="13B09D7D" w14:textId="77777777" w:rsidR="003E2300" w:rsidRDefault="00DA6231" w:rsidP="00B87806">
      <w:pPr>
        <w:pStyle w:val="Body"/>
        <w:rPr>
          <w:rStyle w:val="normaltextrun"/>
        </w:rPr>
      </w:pPr>
      <w:r w:rsidRPr="00B87806">
        <w:rPr>
          <w:rStyle w:val="normaltextrun"/>
        </w:rPr>
        <w:t xml:space="preserve">Submissions may be sent by email to </w:t>
      </w:r>
      <w:hyperlink r:id="rId21" w:history="1">
        <w:r w:rsidR="007E194E">
          <w:rPr>
            <w:rStyle w:val="Hyperlink"/>
          </w:rPr>
          <w:t xml:space="preserve">Legislation and Regulation Reform </w:t>
        </w:r>
      </w:hyperlink>
      <w:r w:rsidR="007E194E" w:rsidRPr="00672539">
        <w:rPr>
          <w:rStyle w:val="normaltextrun"/>
        </w:rPr>
        <w:t>&lt;legandregreform@health.vic.gov.au&gt;</w:t>
      </w:r>
      <w:r w:rsidRPr="00B87806">
        <w:rPr>
          <w:rStyle w:val="normaltextrun"/>
        </w:rPr>
        <w:t>.</w:t>
      </w:r>
    </w:p>
    <w:p w14:paraId="6DCA13D3" w14:textId="0E746107" w:rsidR="00DA6231" w:rsidRPr="00B87806" w:rsidRDefault="00DA6231" w:rsidP="00B87806">
      <w:pPr>
        <w:pStyle w:val="Body"/>
      </w:pPr>
      <w:r w:rsidRPr="00B87806">
        <w:rPr>
          <w:rStyle w:val="normaltextrun"/>
        </w:rPr>
        <w:t>You may choose to share personal or professional experience or knowledge, as well as qualitative and quantitative data. We ask you not to provide any identifying, or potentially identifying, information about patients, health practitioners or facilities.</w:t>
      </w:r>
      <w:r w:rsidR="00B87806">
        <w:rPr>
          <w:rStyle w:val="normaltextrun"/>
        </w:rPr>
        <w:t xml:space="preserve"> </w:t>
      </w:r>
      <w:r w:rsidRPr="00B87806">
        <w:rPr>
          <w:rStyle w:val="normaltextrun"/>
        </w:rPr>
        <w:t>The department welcomes lived experience and consumer perspectives and will arrang</w:t>
      </w:r>
      <w:r w:rsidR="00C104EB">
        <w:rPr>
          <w:rStyle w:val="normaltextrun"/>
        </w:rPr>
        <w:t>e</w:t>
      </w:r>
      <w:r w:rsidRPr="00B87806">
        <w:rPr>
          <w:rStyle w:val="normaltextrun"/>
        </w:rPr>
        <w:t xml:space="preserve"> dedicated consultation fora to seek that input into the review. It is not intended that a formal submission to this paper will be the primary mechanism for sharing personal stories that include identifying details. If you wish to participate and share your personal experience with identifying details, please </w:t>
      </w:r>
      <w:r w:rsidR="00C104EB">
        <w:rPr>
          <w:rStyle w:val="normaltextrun"/>
        </w:rPr>
        <w:t>email</w:t>
      </w:r>
      <w:r w:rsidR="008D11B8" w:rsidRPr="00B87806">
        <w:t xml:space="preserve"> </w:t>
      </w:r>
      <w:hyperlink r:id="rId22" w:history="1">
        <w:r w:rsidR="00304C97">
          <w:rPr>
            <w:rStyle w:val="Hyperlink"/>
          </w:rPr>
          <w:t xml:space="preserve">Legislation and Regulation Reform </w:t>
        </w:r>
      </w:hyperlink>
      <w:r w:rsidR="00304C97" w:rsidRPr="00672539">
        <w:rPr>
          <w:rStyle w:val="normaltextrun"/>
        </w:rPr>
        <w:t>&lt;legandregreform@health.vic.gov.au&gt;</w:t>
      </w:r>
      <w:r w:rsidR="00640DCD" w:rsidRPr="00B87806">
        <w:rPr>
          <w:rStyle w:val="normaltextrun"/>
        </w:rPr>
        <w:t xml:space="preserve"> </w:t>
      </w:r>
      <w:r w:rsidRPr="00B87806">
        <w:rPr>
          <w:rStyle w:val="normaltextrun"/>
        </w:rPr>
        <w:t>and you will be advised how to proceed.</w:t>
      </w:r>
    </w:p>
    <w:p w14:paraId="287EABCA" w14:textId="6C366593" w:rsidR="00DA6231" w:rsidRDefault="00DA6231" w:rsidP="006D76C1">
      <w:pPr>
        <w:pStyle w:val="Body"/>
        <w:rPr>
          <w:rStyle w:val="eop"/>
          <w:rFonts w:cs="Arial"/>
          <w:szCs w:val="21"/>
        </w:rPr>
      </w:pPr>
      <w:r>
        <w:rPr>
          <w:rStyle w:val="normaltextrun"/>
          <w:rFonts w:cs="Arial"/>
          <w:szCs w:val="21"/>
        </w:rPr>
        <w:t>If you have concerns about treatment received from a particular medical practitioner, or about a medical practitioner’s conduct, you should report these directly to</w:t>
      </w:r>
      <w:r w:rsidR="00E4040D">
        <w:rPr>
          <w:rStyle w:val="normaltextrun"/>
          <w:rFonts w:cs="Arial"/>
          <w:szCs w:val="21"/>
        </w:rPr>
        <w:t xml:space="preserve"> the </w:t>
      </w:r>
      <w:hyperlink r:id="rId23" w:history="1">
        <w:r w:rsidR="00E4040D" w:rsidRPr="00BB5D41">
          <w:rPr>
            <w:rStyle w:val="Hyperlink"/>
            <w:rFonts w:cs="Arial"/>
            <w:szCs w:val="21"/>
          </w:rPr>
          <w:t xml:space="preserve">Australian Health Practitioner Regulation </w:t>
        </w:r>
        <w:r w:rsidR="00DB45CB" w:rsidRPr="00BB5D41">
          <w:rPr>
            <w:rStyle w:val="Hyperlink"/>
            <w:rFonts w:cs="Arial"/>
            <w:szCs w:val="21"/>
          </w:rPr>
          <w:t>Agency</w:t>
        </w:r>
      </w:hyperlink>
      <w:r w:rsidR="00DB45CB">
        <w:rPr>
          <w:rStyle w:val="normaltextrun"/>
          <w:rFonts w:cs="Arial"/>
          <w:szCs w:val="21"/>
        </w:rPr>
        <w:t xml:space="preserve"> </w:t>
      </w:r>
      <w:r w:rsidR="00BB5D41">
        <w:rPr>
          <w:rStyle w:val="normaltextrun"/>
          <w:rFonts w:cs="Arial"/>
          <w:szCs w:val="21"/>
        </w:rPr>
        <w:t>&lt;</w:t>
      </w:r>
      <w:r w:rsidR="00BB5D41" w:rsidRPr="00BB5D41">
        <w:rPr>
          <w:rFonts w:cs="Arial"/>
          <w:szCs w:val="21"/>
        </w:rPr>
        <w:t>https://www.ahpra.gov.au/about-ahpra/contact-us.aspx</w:t>
      </w:r>
      <w:r w:rsidR="00BB5D41">
        <w:rPr>
          <w:rFonts w:cs="Arial"/>
          <w:szCs w:val="21"/>
        </w:rPr>
        <w:t>&gt;</w:t>
      </w:r>
      <w:r w:rsidR="00EE1282">
        <w:rPr>
          <w:rStyle w:val="normaltextrun"/>
          <w:rFonts w:cs="Arial"/>
          <w:szCs w:val="21"/>
        </w:rPr>
        <w:t xml:space="preserve"> or on 130</w:t>
      </w:r>
      <w:r w:rsidR="00C104EB">
        <w:rPr>
          <w:rStyle w:val="normaltextrun"/>
          <w:rFonts w:cs="Arial"/>
          <w:szCs w:val="21"/>
        </w:rPr>
        <w:t>0</w:t>
      </w:r>
      <w:r w:rsidR="00EE1282">
        <w:rPr>
          <w:rStyle w:val="normaltextrun"/>
          <w:rFonts w:cs="Arial"/>
          <w:szCs w:val="21"/>
        </w:rPr>
        <w:t xml:space="preserve"> 4</w:t>
      </w:r>
      <w:r w:rsidR="00C104EB">
        <w:rPr>
          <w:rStyle w:val="normaltextrun"/>
          <w:rFonts w:cs="Arial"/>
          <w:szCs w:val="21"/>
        </w:rPr>
        <w:t>1</w:t>
      </w:r>
      <w:r w:rsidR="00EE1282">
        <w:rPr>
          <w:rStyle w:val="normaltextrun"/>
          <w:rFonts w:cs="Arial"/>
          <w:szCs w:val="21"/>
        </w:rPr>
        <w:t>9 495</w:t>
      </w:r>
      <w:r>
        <w:rPr>
          <w:rStyle w:val="normaltextrun"/>
          <w:rFonts w:cs="Arial"/>
          <w:szCs w:val="21"/>
        </w:rPr>
        <w:t xml:space="preserve">. You can also raise complaints about services received at a facility with the </w:t>
      </w:r>
      <w:hyperlink r:id="rId24" w:history="1">
        <w:r w:rsidRPr="000D2BBD">
          <w:rPr>
            <w:rStyle w:val="Hyperlink"/>
            <w:rFonts w:cs="Arial"/>
            <w:szCs w:val="21"/>
          </w:rPr>
          <w:t>Health Complaints Commissioner</w:t>
        </w:r>
      </w:hyperlink>
      <w:r>
        <w:rPr>
          <w:rStyle w:val="normaltextrun"/>
          <w:rFonts w:cs="Arial"/>
          <w:szCs w:val="21"/>
        </w:rPr>
        <w:t xml:space="preserve"> </w:t>
      </w:r>
      <w:r w:rsidR="000D2BBD">
        <w:rPr>
          <w:rStyle w:val="normaltextrun"/>
          <w:rFonts w:cs="Arial"/>
          <w:szCs w:val="21"/>
        </w:rPr>
        <w:t>&lt;</w:t>
      </w:r>
      <w:r w:rsidR="000D2BBD" w:rsidRPr="000D2BBD">
        <w:t>https://www.hcc.vic.gov.au/</w:t>
      </w:r>
      <w:r w:rsidR="000D2BBD">
        <w:t>&gt;</w:t>
      </w:r>
      <w:r>
        <w:rPr>
          <w:rStyle w:val="normaltextrun"/>
          <w:rFonts w:cs="Arial"/>
          <w:szCs w:val="21"/>
        </w:rPr>
        <w:t xml:space="preserve"> or on 1300 582 113.</w:t>
      </w:r>
      <w:r w:rsidR="00B87806">
        <w:rPr>
          <w:rStyle w:val="eop"/>
          <w:rFonts w:cs="Arial"/>
          <w:szCs w:val="21"/>
        </w:rPr>
        <w:t xml:space="preserve"> </w:t>
      </w:r>
    </w:p>
    <w:p w14:paraId="43E1EFD4" w14:textId="1712AF67" w:rsidR="00DA6231" w:rsidRPr="00375CDE" w:rsidRDefault="00DA6231" w:rsidP="00375CDE">
      <w:pPr>
        <w:pStyle w:val="Heading2"/>
      </w:pPr>
      <w:bookmarkStart w:id="26" w:name="_Toc143271996"/>
      <w:r w:rsidRPr="00375CDE">
        <w:t>Publication</w:t>
      </w:r>
      <w:r w:rsidR="00B87806" w:rsidRPr="00375CDE">
        <w:t xml:space="preserve"> </w:t>
      </w:r>
      <w:r w:rsidRPr="00375CDE">
        <w:t>of</w:t>
      </w:r>
      <w:r w:rsidR="00B87806" w:rsidRPr="00375CDE">
        <w:t xml:space="preserve"> </w:t>
      </w:r>
      <w:r w:rsidRPr="00375CDE">
        <w:t>submissions</w:t>
      </w:r>
      <w:bookmarkEnd w:id="26"/>
      <w:r w:rsidR="00B87806" w:rsidRPr="00375CDE">
        <w:t xml:space="preserve"> </w:t>
      </w:r>
    </w:p>
    <w:p w14:paraId="4DBA7800" w14:textId="0D76BFF9" w:rsidR="00DA6231" w:rsidRPr="00375CDE" w:rsidRDefault="00DA6231" w:rsidP="00375CDE">
      <w:pPr>
        <w:pStyle w:val="Body"/>
      </w:pPr>
      <w:r w:rsidRPr="00375CDE">
        <w:t>All</w:t>
      </w:r>
      <w:r w:rsidR="00B87806" w:rsidRPr="00375CDE">
        <w:t xml:space="preserve"> </w:t>
      </w:r>
      <w:r w:rsidRPr="00375CDE">
        <w:t>submissions will be considered public documents unless marked ‘private and confidential’. They may be referred to in further consultation material developed by the department, including</w:t>
      </w:r>
      <w:r w:rsidRPr="00375CDE" w:rsidDel="00FB321A">
        <w:t xml:space="preserve"> </w:t>
      </w:r>
      <w:r w:rsidRPr="00375CDE">
        <w:t xml:space="preserve">being included in full or in summary in the Regulatory Impact Statement (RIS) </w:t>
      </w:r>
      <w:r w:rsidR="00595D00">
        <w:t>that</w:t>
      </w:r>
      <w:r w:rsidRPr="00375CDE">
        <w:t xml:space="preserve"> will be published on the department’s website.</w:t>
      </w:r>
    </w:p>
    <w:p w14:paraId="0F398BDC" w14:textId="5C09CCAF" w:rsidR="00DA6231" w:rsidRPr="00595D00" w:rsidRDefault="00DA6231" w:rsidP="00375CDE">
      <w:pPr>
        <w:pStyle w:val="Body"/>
        <w:rPr>
          <w:b/>
          <w:bCs/>
        </w:rPr>
      </w:pPr>
      <w:r w:rsidRPr="00595D00">
        <w:rPr>
          <w:b/>
          <w:bCs/>
        </w:rPr>
        <w:t>Clearly mark your submission ‘private and confidential’ if you are disclosing personal or other information that you prefer not to publish.</w:t>
      </w:r>
    </w:p>
    <w:p w14:paraId="69BF5BBF" w14:textId="291585C9" w:rsidR="00DA6231" w:rsidRPr="00375CDE" w:rsidRDefault="00DA6231" w:rsidP="00375CDE">
      <w:pPr>
        <w:pStyle w:val="Body"/>
      </w:pPr>
      <w:r w:rsidRPr="00375CDE">
        <w:t>Alternatively, you can submit material marked ‘private and confidential’ in a separate attachment to non-confidential material that can be published.</w:t>
      </w:r>
    </w:p>
    <w:p w14:paraId="6D2F9F14" w14:textId="6032FB62" w:rsidR="00DA6231" w:rsidRPr="00375CDE" w:rsidRDefault="00DA6231" w:rsidP="00375CDE">
      <w:pPr>
        <w:pStyle w:val="Body"/>
      </w:pPr>
      <w:r w:rsidRPr="00375CDE">
        <w:t xml:space="preserve">You may withdraw consent for the department to publish all or part of your submission by </w:t>
      </w:r>
      <w:r w:rsidR="00595D00">
        <w:t xml:space="preserve">emailing </w:t>
      </w:r>
      <w:hyperlink r:id="rId25" w:tgtFrame="_blank" w:history="1">
        <w:r w:rsidRPr="00375CDE">
          <w:rPr>
            <w:rStyle w:val="Hyperlink"/>
          </w:rPr>
          <w:t>Legislation and Regulation Reform</w:t>
        </w:r>
      </w:hyperlink>
      <w:r w:rsidR="000D746E">
        <w:t xml:space="preserve"> &lt;</w:t>
      </w:r>
      <w:r w:rsidRPr="00375CDE">
        <w:t xml:space="preserve">legandregreform@health.vic.gov.au&gt; before </w:t>
      </w:r>
      <w:r w:rsidR="00BA6D0E">
        <w:t>8</w:t>
      </w:r>
      <w:r w:rsidRPr="00375CDE">
        <w:t xml:space="preserve"> </w:t>
      </w:r>
      <w:r w:rsidR="00CA7843">
        <w:t>October 2023</w:t>
      </w:r>
      <w:r w:rsidR="002012BD">
        <w:t>.</w:t>
      </w:r>
    </w:p>
    <w:p w14:paraId="4EE37D24" w14:textId="6315AC5F" w:rsidR="00DA6231" w:rsidRPr="00375CDE" w:rsidRDefault="00DA6231" w:rsidP="00375CDE">
      <w:pPr>
        <w:pStyle w:val="Body"/>
      </w:pPr>
      <w:r w:rsidRPr="00375CDE">
        <w:t>Before publishing, the department will remove your contact details and may remove other personally identifying information from your submission.</w:t>
      </w:r>
    </w:p>
    <w:p w14:paraId="29B46A4E" w14:textId="77777777" w:rsidR="00EC6323" w:rsidRDefault="00DA6231" w:rsidP="00255D02">
      <w:pPr>
        <w:pStyle w:val="Body"/>
        <w:rPr>
          <w:rStyle w:val="normaltextrun"/>
          <w:rFonts w:cs="Arial"/>
          <w:szCs w:val="21"/>
        </w:rPr>
      </w:pPr>
      <w:r>
        <w:rPr>
          <w:rStyle w:val="normaltextrun"/>
          <w:rFonts w:cs="Arial"/>
          <w:szCs w:val="21"/>
        </w:rPr>
        <w:lastRenderedPageBreak/>
        <w:t>The department reserves the right to not publish submissions for any reason including material that is offensive, potentially defamatory or out of scope for the consultation. The views expressed in the submissions are those of the individuals or organisations who submit them and their publication does not imply any acceptance of, or agreement with, these views by the department.</w:t>
      </w:r>
    </w:p>
    <w:p w14:paraId="70F5B15D" w14:textId="6FE599EA" w:rsidR="00DA6231" w:rsidRDefault="00DA6231" w:rsidP="00EC6323">
      <w:pPr>
        <w:pStyle w:val="Body"/>
        <w:rPr>
          <w:rStyle w:val="normaltextrun"/>
          <w:rFonts w:cs="Arial"/>
          <w:szCs w:val="21"/>
        </w:rPr>
      </w:pPr>
      <w:r>
        <w:rPr>
          <w:rStyle w:val="normaltextrun"/>
          <w:rFonts w:cs="Arial"/>
          <w:szCs w:val="21"/>
        </w:rPr>
        <w:t>Copyright in submissions received by the department rests with the author(s), not with the department. If you are not the copyright owner of material in your submission, you should reference or provide a link to this material in your submission.</w:t>
      </w:r>
    </w:p>
    <w:p w14:paraId="1CA23C64" w14:textId="272BAA3F" w:rsidR="00DA6231" w:rsidRPr="00AA16A5" w:rsidRDefault="00DA6231" w:rsidP="00255D02">
      <w:pPr>
        <w:pStyle w:val="Body"/>
        <w:rPr>
          <w:rStyle w:val="eop"/>
          <w:rFonts w:cs="Arial"/>
          <w:b/>
          <w:bCs/>
          <w:szCs w:val="21"/>
        </w:rPr>
      </w:pPr>
      <w:r w:rsidRPr="00AA16A5">
        <w:rPr>
          <w:rStyle w:val="normaltextrun"/>
          <w:rFonts w:cs="Arial"/>
          <w:b/>
          <w:bCs/>
          <w:szCs w:val="21"/>
        </w:rPr>
        <w:t xml:space="preserve">Please read the </w:t>
      </w:r>
      <w:r w:rsidR="00595D00" w:rsidRPr="002F2025">
        <w:rPr>
          <w:rFonts w:cs="Arial"/>
          <w:b/>
          <w:bCs/>
          <w:szCs w:val="21"/>
        </w:rPr>
        <w:t>Privacy Collection Notice</w:t>
      </w:r>
      <w:r w:rsidR="00595D00">
        <w:rPr>
          <w:rStyle w:val="normaltextrun"/>
          <w:rFonts w:cs="Arial"/>
          <w:b/>
          <w:bCs/>
          <w:szCs w:val="21"/>
        </w:rPr>
        <w:t xml:space="preserve"> </w:t>
      </w:r>
      <w:r w:rsidRPr="00AA16A5">
        <w:rPr>
          <w:rStyle w:val="normaltextrun"/>
          <w:rFonts w:cs="Arial"/>
          <w:b/>
          <w:bCs/>
          <w:szCs w:val="21"/>
        </w:rPr>
        <w:t xml:space="preserve">in </w:t>
      </w:r>
      <w:r w:rsidR="00595D00" w:rsidRPr="002F2025">
        <w:rPr>
          <w:rFonts w:cs="Arial"/>
          <w:b/>
          <w:bCs/>
          <w:szCs w:val="21"/>
        </w:rPr>
        <w:t>Appendix B – Response template</w:t>
      </w:r>
      <w:r w:rsidR="00595D00">
        <w:rPr>
          <w:rStyle w:val="normaltextrun"/>
          <w:rFonts w:cs="Arial"/>
          <w:b/>
          <w:bCs/>
          <w:szCs w:val="21"/>
        </w:rPr>
        <w:t xml:space="preserve"> </w:t>
      </w:r>
      <w:r w:rsidRPr="00AA16A5">
        <w:rPr>
          <w:rStyle w:val="normaltextrun"/>
          <w:rFonts w:cs="Arial"/>
          <w:b/>
          <w:bCs/>
          <w:szCs w:val="21"/>
        </w:rPr>
        <w:t>before completing a submission.</w:t>
      </w:r>
    </w:p>
    <w:p w14:paraId="3EE39E04" w14:textId="7DE277A3" w:rsidR="00ED7762" w:rsidRPr="00B57329" w:rsidRDefault="009B2EA0" w:rsidP="00B94C5E">
      <w:pPr>
        <w:pStyle w:val="Heading1"/>
      </w:pPr>
      <w:bookmarkStart w:id="27" w:name="_Introduction"/>
      <w:bookmarkStart w:id="28" w:name="_Toc141177722"/>
      <w:bookmarkStart w:id="29" w:name="_Toc143271997"/>
      <w:bookmarkEnd w:id="20"/>
      <w:bookmarkEnd w:id="21"/>
      <w:bookmarkEnd w:id="22"/>
      <w:bookmarkEnd w:id="23"/>
      <w:bookmarkEnd w:id="24"/>
      <w:bookmarkEnd w:id="25"/>
      <w:bookmarkEnd w:id="27"/>
      <w:r>
        <w:t>I</w:t>
      </w:r>
      <w:r w:rsidR="005E5ECE">
        <w:t>ntroduction</w:t>
      </w:r>
      <w:bookmarkStart w:id="30" w:name="_Hlk63948051"/>
      <w:bookmarkEnd w:id="28"/>
      <w:bookmarkEnd w:id="29"/>
    </w:p>
    <w:p w14:paraId="09206E97" w14:textId="76DD36D1" w:rsidR="000175ED" w:rsidRDefault="000175ED" w:rsidP="000175ED">
      <w:pPr>
        <w:pStyle w:val="Heading2"/>
      </w:pPr>
      <w:bookmarkStart w:id="31" w:name="_Toc141177723"/>
      <w:bookmarkStart w:id="32" w:name="_Toc143271998"/>
      <w:bookmarkEnd w:id="30"/>
      <w:r>
        <w:t>Background</w:t>
      </w:r>
      <w:bookmarkEnd w:id="31"/>
      <w:bookmarkEnd w:id="32"/>
    </w:p>
    <w:p w14:paraId="0394E2D7" w14:textId="36D7BA7D" w:rsidR="00D0145F" w:rsidRDefault="00E96BA6" w:rsidP="00ED7762">
      <w:pPr>
        <w:pStyle w:val="Body"/>
      </w:pPr>
      <w:r>
        <w:t>R</w:t>
      </w:r>
      <w:r w:rsidR="009B2ABC">
        <w:t xml:space="preserve">egulation </w:t>
      </w:r>
      <w:r w:rsidR="00036D04">
        <w:t>is not static.</w:t>
      </w:r>
      <w:r w:rsidR="00477DFA">
        <w:t xml:space="preserve"> It must respon</w:t>
      </w:r>
      <w:r w:rsidR="007A1D6E">
        <w:t>d</w:t>
      </w:r>
      <w:r w:rsidR="00477DFA">
        <w:t xml:space="preserve"> to c</w:t>
      </w:r>
      <w:r w:rsidR="00D0145F">
        <w:t>hanges in:</w:t>
      </w:r>
    </w:p>
    <w:p w14:paraId="72880FFE" w14:textId="4AACB370" w:rsidR="00D0145F" w:rsidRDefault="00D564F3" w:rsidP="00C132C8">
      <w:pPr>
        <w:pStyle w:val="Body"/>
        <w:numPr>
          <w:ilvl w:val="0"/>
          <w:numId w:val="17"/>
        </w:numPr>
      </w:pPr>
      <w:r>
        <w:t>p</w:t>
      </w:r>
      <w:r w:rsidR="00036D04">
        <w:t>ractices</w:t>
      </w:r>
    </w:p>
    <w:p w14:paraId="506D4D77" w14:textId="4A026E26" w:rsidR="00D0145F" w:rsidRDefault="00026583" w:rsidP="00C132C8">
      <w:pPr>
        <w:pStyle w:val="Body"/>
        <w:numPr>
          <w:ilvl w:val="0"/>
          <w:numId w:val="17"/>
        </w:numPr>
      </w:pPr>
      <w:r>
        <w:t>methods of service delivery</w:t>
      </w:r>
    </w:p>
    <w:p w14:paraId="457FE0D8" w14:textId="2BAADCB8" w:rsidR="00D0145F" w:rsidRDefault="00036D04" w:rsidP="00C132C8">
      <w:pPr>
        <w:pStyle w:val="Body"/>
        <w:numPr>
          <w:ilvl w:val="0"/>
          <w:numId w:val="17"/>
        </w:numPr>
      </w:pPr>
      <w:r>
        <w:t xml:space="preserve">technology </w:t>
      </w:r>
    </w:p>
    <w:p w14:paraId="29171B0E" w14:textId="54E2365D" w:rsidR="00D0145F" w:rsidRDefault="00036D04" w:rsidP="00C132C8">
      <w:pPr>
        <w:pStyle w:val="Body"/>
        <w:numPr>
          <w:ilvl w:val="0"/>
          <w:numId w:val="17"/>
        </w:numPr>
      </w:pPr>
      <w:r>
        <w:t xml:space="preserve">community expectations </w:t>
      </w:r>
    </w:p>
    <w:p w14:paraId="4242F268" w14:textId="39973227" w:rsidR="00DE2216" w:rsidRDefault="00036D04" w:rsidP="00C132C8">
      <w:pPr>
        <w:pStyle w:val="Body"/>
        <w:numPr>
          <w:ilvl w:val="0"/>
          <w:numId w:val="17"/>
        </w:numPr>
      </w:pPr>
      <w:r>
        <w:t>workforce</w:t>
      </w:r>
    </w:p>
    <w:p w14:paraId="7DDF3381" w14:textId="31C71A98" w:rsidR="00DE2216" w:rsidRDefault="00E2087B" w:rsidP="00C132C8">
      <w:pPr>
        <w:pStyle w:val="Body"/>
        <w:numPr>
          <w:ilvl w:val="0"/>
          <w:numId w:val="17"/>
        </w:numPr>
      </w:pPr>
      <w:r>
        <w:t>the broader regulatory environment</w:t>
      </w:r>
      <w:r w:rsidR="00F20D9D">
        <w:t xml:space="preserve">. </w:t>
      </w:r>
    </w:p>
    <w:p w14:paraId="656768F0" w14:textId="0C061325" w:rsidR="00036D04" w:rsidRDefault="004D245B" w:rsidP="008846D6">
      <w:pPr>
        <w:pStyle w:val="Body"/>
      </w:pPr>
      <w:r>
        <w:t>U</w:t>
      </w:r>
      <w:r w:rsidR="00D5070A">
        <w:t xml:space="preserve">nder the </w:t>
      </w:r>
      <w:r w:rsidR="00D5070A" w:rsidRPr="6AF571E9">
        <w:rPr>
          <w:i/>
        </w:rPr>
        <w:t>Subordinate Legislation Act</w:t>
      </w:r>
      <w:r w:rsidR="1CEF0BAD" w:rsidRPr="6AF571E9">
        <w:rPr>
          <w:i/>
          <w:iCs/>
        </w:rPr>
        <w:t xml:space="preserve"> 1994</w:t>
      </w:r>
      <w:r w:rsidR="00D5070A">
        <w:t xml:space="preserve">, </w:t>
      </w:r>
      <w:r w:rsidR="00E96BA6">
        <w:t>r</w:t>
      </w:r>
      <w:r w:rsidR="003868DF">
        <w:t>egulations</w:t>
      </w:r>
      <w:r w:rsidR="005A5DD3">
        <w:t xml:space="preserve"> </w:t>
      </w:r>
      <w:r w:rsidR="00F30D30">
        <w:t xml:space="preserve">in Victoria </w:t>
      </w:r>
      <w:r w:rsidR="005A5DD3">
        <w:t>have a fixed maximum life of 10 years</w:t>
      </w:r>
      <w:r w:rsidR="00F30D30">
        <w:t xml:space="preserve"> </w:t>
      </w:r>
      <w:r w:rsidR="00AB2E38">
        <w:t>(unless extended for up to 12 months</w:t>
      </w:r>
      <w:r w:rsidR="005A5DD3">
        <w:t xml:space="preserve"> as </w:t>
      </w:r>
      <w:r w:rsidR="59017C27">
        <w:t>in the case of the R</w:t>
      </w:r>
      <w:r w:rsidR="6980DD8E">
        <w:t>e</w:t>
      </w:r>
      <w:r w:rsidR="59017C27">
        <w:t>gulatio</w:t>
      </w:r>
      <w:r w:rsidR="00DC7B4D">
        <w:t>ns</w:t>
      </w:r>
      <w:r w:rsidR="00AB2E38">
        <w:t>)</w:t>
      </w:r>
      <w:r w:rsidR="1027B7C9">
        <w:t>. R</w:t>
      </w:r>
      <w:r w:rsidR="00F30D30">
        <w:t xml:space="preserve">eviewing and </w:t>
      </w:r>
      <w:r w:rsidR="005A5DD3">
        <w:t xml:space="preserve">rewriting </w:t>
      </w:r>
      <w:r w:rsidR="00F30D30">
        <w:t>r</w:t>
      </w:r>
      <w:r w:rsidR="003868DF">
        <w:t>egulations</w:t>
      </w:r>
      <w:r w:rsidR="005A5DD3">
        <w:t xml:space="preserve"> forces a comprehensive review.</w:t>
      </w:r>
      <w:r w:rsidR="00D5070A">
        <w:t xml:space="preserve"> These reviews are </w:t>
      </w:r>
      <w:r w:rsidR="009E01E9">
        <w:t>referred to as a ‘sunset’ review</w:t>
      </w:r>
      <w:r w:rsidR="00C56C54">
        <w:t>.</w:t>
      </w:r>
      <w:r w:rsidR="00950075">
        <w:t xml:space="preserve"> </w:t>
      </w:r>
      <w:r w:rsidR="00C56C54">
        <w:t xml:space="preserve">This </w:t>
      </w:r>
      <w:r w:rsidR="00950075">
        <w:t xml:space="preserve">is </w:t>
      </w:r>
      <w:r w:rsidR="00B517DD">
        <w:t xml:space="preserve">the type of review </w:t>
      </w:r>
      <w:r w:rsidR="00950075">
        <w:t xml:space="preserve">currently required for the Regulations. </w:t>
      </w:r>
    </w:p>
    <w:p w14:paraId="1D9CDE58" w14:textId="369FF858" w:rsidR="00F96C8B" w:rsidRDefault="002411B5" w:rsidP="00ED7762">
      <w:pPr>
        <w:pStyle w:val="Body"/>
      </w:pPr>
      <w:r>
        <w:t xml:space="preserve">Regulations set the minimum standard of what is required. There are many reasons why a </w:t>
      </w:r>
      <w:r w:rsidR="0053628E">
        <w:t>hospital or day procedure centre may choose to exceed the minimum regulatory standards</w:t>
      </w:r>
      <w:r w:rsidR="5D6C7E83">
        <w:t>.</w:t>
      </w:r>
      <w:r w:rsidR="0053628E">
        <w:t xml:space="preserve"> </w:t>
      </w:r>
      <w:r w:rsidR="02F88C96">
        <w:t>R</w:t>
      </w:r>
      <w:r w:rsidR="00CB6C93">
        <w:t xml:space="preserve">egulations are an important </w:t>
      </w:r>
      <w:r w:rsidR="00931C02">
        <w:t xml:space="preserve">safeguard, setting foundational </w:t>
      </w:r>
      <w:r w:rsidR="00760894">
        <w:t xml:space="preserve">requirements and empowering a regulator to monitor </w:t>
      </w:r>
      <w:r w:rsidR="00D3781C">
        <w:t xml:space="preserve">compliance and take action </w:t>
      </w:r>
      <w:r w:rsidR="00CB6C93">
        <w:t>w</w:t>
      </w:r>
      <w:r w:rsidR="00CA6B8F">
        <w:t>here services do not meet the minimum required standards</w:t>
      </w:r>
      <w:r w:rsidR="004E24E8">
        <w:t>.</w:t>
      </w:r>
      <w:r w:rsidR="00897346">
        <w:t xml:space="preserve"> </w:t>
      </w:r>
    </w:p>
    <w:p w14:paraId="47E66F7B" w14:textId="52A03A01" w:rsidR="00D17589" w:rsidRDefault="00D17589" w:rsidP="00ED7762">
      <w:pPr>
        <w:pStyle w:val="Body"/>
      </w:pPr>
      <w:r>
        <w:t xml:space="preserve">The </w:t>
      </w:r>
      <w:r w:rsidR="00416EC6">
        <w:t xml:space="preserve">Act and the Regulations </w:t>
      </w:r>
      <w:r w:rsidR="00B44F8E">
        <w:t xml:space="preserve">for private hospitals and day procedure centres </w:t>
      </w:r>
      <w:r w:rsidR="00416EC6">
        <w:t xml:space="preserve">were last </w:t>
      </w:r>
      <w:r w:rsidR="00FB3746">
        <w:t xml:space="preserve">significantly reviewed and </w:t>
      </w:r>
      <w:r w:rsidR="00416EC6">
        <w:t>amended in 2018</w:t>
      </w:r>
      <w:r w:rsidR="6DF2D056">
        <w:t>. This was</w:t>
      </w:r>
      <w:r w:rsidR="00416EC6">
        <w:t xml:space="preserve"> in response to </w:t>
      </w:r>
      <w:r w:rsidR="006722CC" w:rsidRPr="00FB3746">
        <w:rPr>
          <w:i/>
          <w:iCs/>
        </w:rPr>
        <w:t>Targeting Zero – supporting the Victorian hospital system to eliminate avoidable harm and strengthen quality of care</w:t>
      </w:r>
      <w:r w:rsidR="00EA70A6" w:rsidRPr="00FB3746">
        <w:rPr>
          <w:i/>
          <w:iCs/>
        </w:rPr>
        <w:t xml:space="preserve">: Report of the </w:t>
      </w:r>
      <w:r w:rsidR="00FB3746" w:rsidRPr="00FB3746">
        <w:rPr>
          <w:i/>
          <w:iCs/>
        </w:rPr>
        <w:t>Review</w:t>
      </w:r>
      <w:r w:rsidR="00EA70A6" w:rsidRPr="00FB3746">
        <w:rPr>
          <w:i/>
          <w:iCs/>
        </w:rPr>
        <w:t xml:space="preserve"> of Hospital Safety and Quality Assurance in Victoria</w:t>
      </w:r>
      <w:r w:rsidR="00EA70A6">
        <w:t xml:space="preserve"> (Targeting Zero Report)</w:t>
      </w:r>
      <w:r w:rsidR="00FB3746">
        <w:rPr>
          <w:rStyle w:val="FootnoteReference"/>
        </w:rPr>
        <w:footnoteReference w:id="4"/>
      </w:r>
      <w:r w:rsidR="00595D00">
        <w:t>,</w:t>
      </w:r>
      <w:r w:rsidR="00EA70A6">
        <w:t xml:space="preserve"> </w:t>
      </w:r>
      <w:r w:rsidR="00416EC6">
        <w:t>which recommended a range of improvements to the hospital sector overall.</w:t>
      </w:r>
      <w:r w:rsidR="00A206CE">
        <w:t xml:space="preserve"> The 2018 amendments were designed to reduce </w:t>
      </w:r>
      <w:r w:rsidR="00E20BA3">
        <w:t xml:space="preserve">the </w:t>
      </w:r>
      <w:r w:rsidR="00A206CE">
        <w:t>risk of patient harm</w:t>
      </w:r>
      <w:r w:rsidR="71130F23">
        <w:t>.</w:t>
      </w:r>
      <w:r w:rsidR="00A206CE">
        <w:t xml:space="preserve"> </w:t>
      </w:r>
    </w:p>
    <w:p w14:paraId="1D3C80B2" w14:textId="67DE08D6" w:rsidR="3B98F8A0" w:rsidRDefault="3B98F8A0" w:rsidP="1F1C1D2A">
      <w:pPr>
        <w:pStyle w:val="Body"/>
      </w:pPr>
      <w:r>
        <w:t xml:space="preserve">The department would like Victorians to experience </w:t>
      </w:r>
      <w:r w:rsidR="00A30C53">
        <w:t>safe and high</w:t>
      </w:r>
      <w:r w:rsidR="00E646A7">
        <w:t>-</w:t>
      </w:r>
      <w:r w:rsidR="00A30C53">
        <w:t>quality</w:t>
      </w:r>
      <w:r>
        <w:t xml:space="preserve"> healthcare</w:t>
      </w:r>
      <w:r w:rsidR="29762F9A">
        <w:t xml:space="preserve">, whether this is provided in public or private hospitals. The department recognises the different models of care </w:t>
      </w:r>
      <w:r w:rsidR="29762F9A">
        <w:lastRenderedPageBreak/>
        <w:t>between private and public hospitals and seeks t</w:t>
      </w:r>
      <w:r w:rsidR="4AB08505">
        <w:t>o ensure that mechanisms to achieve this, including regulation</w:t>
      </w:r>
      <w:r w:rsidR="00790DEF">
        <w:t>,</w:t>
      </w:r>
      <w:r w:rsidR="4AB08505">
        <w:t xml:space="preserve"> are appropriate to the sector.</w:t>
      </w:r>
    </w:p>
    <w:p w14:paraId="5A8501C6" w14:textId="7D794475" w:rsidR="00BE48C8" w:rsidRPr="00144CFE" w:rsidRDefault="003C18DA" w:rsidP="000175ED">
      <w:pPr>
        <w:pStyle w:val="Heading3"/>
      </w:pPr>
      <w:bookmarkStart w:id="33" w:name="_Toc497306527"/>
      <w:bookmarkStart w:id="34" w:name="_Toc497746827"/>
      <w:bookmarkStart w:id="35" w:name="_Toc498417645"/>
      <w:bookmarkStart w:id="36" w:name="_Toc498423034"/>
      <w:bookmarkStart w:id="37" w:name="_Toc498423393"/>
      <w:r>
        <w:t>What are p</w:t>
      </w:r>
      <w:r w:rsidR="00BE48C8" w:rsidRPr="00144CFE">
        <w:t>rivate hospital</w:t>
      </w:r>
      <w:r>
        <w:t>s</w:t>
      </w:r>
      <w:r w:rsidR="00BE48C8" w:rsidRPr="00144CFE">
        <w:t xml:space="preserve"> and day procedure centre</w:t>
      </w:r>
      <w:bookmarkEnd w:id="33"/>
      <w:bookmarkEnd w:id="34"/>
      <w:bookmarkEnd w:id="35"/>
      <w:bookmarkEnd w:id="36"/>
      <w:bookmarkEnd w:id="37"/>
      <w:r>
        <w:t>s?</w:t>
      </w:r>
    </w:p>
    <w:p w14:paraId="68F694F6" w14:textId="4C05D6BA" w:rsidR="00962904" w:rsidRDefault="00BE48C8" w:rsidP="00121763">
      <w:pPr>
        <w:pStyle w:val="Body"/>
      </w:pPr>
      <w:r>
        <w:t>In Australia, hospital services are provided by both public and private hospitals. The state and territory governments largely own and manage public hospitals</w:t>
      </w:r>
      <w:r w:rsidR="00373B8B">
        <w:t>, with funding also provided by the Australian Government</w:t>
      </w:r>
      <w:r>
        <w:t xml:space="preserve">. Private hospitals are owned and managed by private organisations </w:t>
      </w:r>
      <w:r w:rsidR="006A1FDF">
        <w:t xml:space="preserve">– </w:t>
      </w:r>
      <w:r>
        <w:t xml:space="preserve">either </w:t>
      </w:r>
      <w:r w:rsidR="006A1FDF">
        <w:t xml:space="preserve">by </w:t>
      </w:r>
      <w:r>
        <w:t>for</w:t>
      </w:r>
      <w:r w:rsidR="00D434AB">
        <w:t>-</w:t>
      </w:r>
      <w:r>
        <w:t xml:space="preserve">profit companies or not-for-profit non-government organisations. </w:t>
      </w:r>
      <w:r w:rsidR="0056675D">
        <w:t>H</w:t>
      </w:r>
      <w:r w:rsidR="00D016FD">
        <w:t xml:space="preserve">ospitals are very diverse </w:t>
      </w:r>
      <w:r w:rsidR="00851921">
        <w:t xml:space="preserve">and differ in </w:t>
      </w:r>
      <w:r w:rsidR="00D016FD">
        <w:t>location, size, services provided</w:t>
      </w:r>
      <w:r w:rsidR="00E655B1">
        <w:t>, and patient</w:t>
      </w:r>
      <w:r w:rsidR="009E4CE1">
        <w:t xml:space="preserve"> acuity</w:t>
      </w:r>
      <w:r w:rsidR="00D016FD">
        <w:t>.</w:t>
      </w:r>
    </w:p>
    <w:p w14:paraId="3348B128" w14:textId="170B875F" w:rsidR="00962904" w:rsidRDefault="00BE48C8" w:rsidP="00121763">
      <w:pPr>
        <w:pStyle w:val="Body"/>
      </w:pPr>
      <w:r>
        <w:t xml:space="preserve">Some private </w:t>
      </w:r>
      <w:r w:rsidR="00C510DF">
        <w:t xml:space="preserve">health </w:t>
      </w:r>
      <w:r>
        <w:t xml:space="preserve">facilities provide </w:t>
      </w:r>
      <w:r w:rsidR="00C510DF">
        <w:t xml:space="preserve">health </w:t>
      </w:r>
      <w:r>
        <w:t xml:space="preserve">services on a day-only basis </w:t>
      </w:r>
      <w:r w:rsidR="00C510DF">
        <w:t>(</w:t>
      </w:r>
      <w:r w:rsidR="006D5B3F">
        <w:t>i.e. patients</w:t>
      </w:r>
      <w:r w:rsidR="00FE120F">
        <w:t xml:space="preserve"> are not expected to stay overnight and </w:t>
      </w:r>
      <w:r w:rsidR="003E69FD">
        <w:t xml:space="preserve">are </w:t>
      </w:r>
      <w:r w:rsidR="00FE120F">
        <w:t>admitted and discharged on the same day)</w:t>
      </w:r>
      <w:r w:rsidR="000A537B">
        <w:t xml:space="preserve">. </w:t>
      </w:r>
      <w:r w:rsidR="002B1101">
        <w:t>Where they are providing the types of service</w:t>
      </w:r>
      <w:r w:rsidR="00595D00">
        <w:t>s</w:t>
      </w:r>
      <w:r w:rsidR="002B1101">
        <w:t xml:space="preserve"> prescribed in the Regulations, these</w:t>
      </w:r>
      <w:r w:rsidR="009E4CE1">
        <w:t xml:space="preserve"> </w:t>
      </w:r>
      <w:r>
        <w:t xml:space="preserve">are referred to in the </w:t>
      </w:r>
      <w:r w:rsidR="00545AEF">
        <w:t xml:space="preserve">Act and Regulations </w:t>
      </w:r>
      <w:r>
        <w:t>as ‘day procedure centres</w:t>
      </w:r>
      <w:r w:rsidR="00CD71D8">
        <w:t>’</w:t>
      </w:r>
      <w:r w:rsidR="007C6386">
        <w:t>.</w:t>
      </w:r>
      <w:r w:rsidR="00962904">
        <w:t xml:space="preserve"> </w:t>
      </w:r>
      <w:r w:rsidR="00B96B77">
        <w:t>Some prescribed speciality services, such as anaesthesia</w:t>
      </w:r>
      <w:r w:rsidR="00877E76">
        <w:t xml:space="preserve"> and IV sedation</w:t>
      </w:r>
      <w:r w:rsidR="00654BC8">
        <w:t xml:space="preserve">, </w:t>
      </w:r>
      <w:r w:rsidR="00BA2E59">
        <w:t>can be</w:t>
      </w:r>
      <w:r w:rsidR="00AB7C75">
        <w:t xml:space="preserve"> </w:t>
      </w:r>
      <w:r w:rsidR="009E2289">
        <w:t>delivered</w:t>
      </w:r>
      <w:r w:rsidR="00FA7DDE">
        <w:t xml:space="preserve"> </w:t>
      </w:r>
      <w:r w:rsidR="00E77149">
        <w:t xml:space="preserve">by </w:t>
      </w:r>
      <w:r w:rsidR="00AB7C75">
        <w:t xml:space="preserve">mobile service providers </w:t>
      </w:r>
      <w:r w:rsidR="00877E76">
        <w:t xml:space="preserve">in unregistered </w:t>
      </w:r>
      <w:r w:rsidR="00007462">
        <w:t>settings</w:t>
      </w:r>
      <w:r w:rsidR="00877E76">
        <w:t xml:space="preserve"> </w:t>
      </w:r>
      <w:r w:rsidR="009E2289">
        <w:t xml:space="preserve">– for example, dental or radiology offices. </w:t>
      </w:r>
      <w:r w:rsidR="002B7D0E">
        <w:t xml:space="preserve">These </w:t>
      </w:r>
      <w:r w:rsidR="00E853FA">
        <w:t xml:space="preserve">mobile health service providers are registered </w:t>
      </w:r>
      <w:r w:rsidR="000D1A10">
        <w:t xml:space="preserve">with the department </w:t>
      </w:r>
      <w:r w:rsidR="00E853FA">
        <w:t>as day procedure centres.</w:t>
      </w:r>
    </w:p>
    <w:p w14:paraId="17C54B5A" w14:textId="40E0F388" w:rsidR="00DA45CC" w:rsidRDefault="00DA45CC" w:rsidP="00121763">
      <w:pPr>
        <w:pStyle w:val="Body"/>
      </w:pPr>
      <w:r w:rsidRPr="00BC5161">
        <w:t>Private hospitals and day procedure centres play a significant role in the delivery of health services in Victoria</w:t>
      </w:r>
      <w:r>
        <w:t>.</w:t>
      </w:r>
      <w:r w:rsidRPr="00BC5161">
        <w:t xml:space="preserve"> In </w:t>
      </w:r>
      <w:r>
        <w:t>2021-22</w:t>
      </w:r>
      <w:r w:rsidRPr="00BC5161">
        <w:t>, 1.0</w:t>
      </w:r>
      <w:r>
        <w:t>83</w:t>
      </w:r>
      <w:r w:rsidRPr="00BC5161">
        <w:t xml:space="preserve"> million </w:t>
      </w:r>
      <w:r>
        <w:t xml:space="preserve">– </w:t>
      </w:r>
      <w:r w:rsidRPr="00BC5161">
        <w:t>more than 37</w:t>
      </w:r>
      <w:r w:rsidR="004477EE">
        <w:t>%</w:t>
      </w:r>
      <w:r w:rsidRPr="00BC5161">
        <w:t xml:space="preserve"> of all hospital admissions in Victoria </w:t>
      </w:r>
      <w:r>
        <w:t>– o</w:t>
      </w:r>
      <w:r w:rsidRPr="00BC5161">
        <w:t>ccurred in private hospitals</w:t>
      </w:r>
      <w:r w:rsidR="000A1908">
        <w:t>, and</w:t>
      </w:r>
      <w:r w:rsidRPr="00BC5161">
        <w:t xml:space="preserve"> </w:t>
      </w:r>
      <w:r w:rsidR="000A1908">
        <w:t>p</w:t>
      </w:r>
      <w:r w:rsidR="267C5F1A">
        <w:t xml:space="preserve">rivate hospitals currently perform </w:t>
      </w:r>
      <w:r w:rsidR="000A1908">
        <w:t xml:space="preserve">well </w:t>
      </w:r>
      <w:r w:rsidR="267C5F1A">
        <w:t>over half of all elective surgical procedures carried out in Victoria.</w:t>
      </w:r>
      <w:r w:rsidR="0068045D">
        <w:rPr>
          <w:rStyle w:val="FootnoteReference"/>
        </w:rPr>
        <w:footnoteReference w:id="5"/>
      </w:r>
    </w:p>
    <w:p w14:paraId="695DAE99" w14:textId="52DAD216" w:rsidR="00BE48C8" w:rsidRPr="007F2D29" w:rsidRDefault="00BE48C8" w:rsidP="00121763">
      <w:pPr>
        <w:pStyle w:val="Body"/>
      </w:pPr>
      <w:r>
        <w:t>Private hospitals and day procedure centres</w:t>
      </w:r>
      <w:r w:rsidRPr="007F2D29">
        <w:t xml:space="preserve"> </w:t>
      </w:r>
      <w:r>
        <w:t>primarily provide elective surgery</w:t>
      </w:r>
      <w:r w:rsidR="00E21BA6">
        <w:t xml:space="preserve"> </w:t>
      </w:r>
      <w:r w:rsidR="00930E5B">
        <w:t>to</w:t>
      </w:r>
      <w:r w:rsidRPr="007F2D29">
        <w:t xml:space="preserve"> patients who are treated by a doctor of their choice.</w:t>
      </w:r>
      <w:r>
        <w:t xml:space="preserve"> </w:t>
      </w:r>
      <w:r w:rsidR="00064524">
        <w:t>Some private hospitals also provide accident and emergency services</w:t>
      </w:r>
      <w:r w:rsidR="00911838">
        <w:t>.</w:t>
      </w:r>
      <w:r w:rsidR="00064524">
        <w:t xml:space="preserve"> </w:t>
      </w:r>
      <w:r w:rsidRPr="007F2D29">
        <w:t>Patients are charged fees for accommodation and services provided by private hospitals</w:t>
      </w:r>
      <w:r>
        <w:t xml:space="preserve"> </w:t>
      </w:r>
      <w:r w:rsidRPr="007F2D29">
        <w:t>and day</w:t>
      </w:r>
      <w:r>
        <w:t xml:space="preserve"> </w:t>
      </w:r>
      <w:r w:rsidRPr="007F2D29">
        <w:t xml:space="preserve">procedure centres and relevant medical and </w:t>
      </w:r>
      <w:r>
        <w:t xml:space="preserve">allied health </w:t>
      </w:r>
      <w:r w:rsidRPr="007F2D29">
        <w:t>practitioners.</w:t>
      </w:r>
      <w:r w:rsidR="00284815">
        <w:t xml:space="preserve"> These costs </w:t>
      </w:r>
      <w:r w:rsidR="00CD12EA">
        <w:t xml:space="preserve">to individuals are often </w:t>
      </w:r>
      <w:r w:rsidR="00390485">
        <w:t>subsidised through a combination of government and private health insurance payments.</w:t>
      </w:r>
      <w:r w:rsidR="00390485">
        <w:rPr>
          <w:rStyle w:val="FootnoteReference"/>
        </w:rPr>
        <w:footnoteReference w:id="6"/>
      </w:r>
      <w:r w:rsidR="00ED5D45">
        <w:t xml:space="preserve"> Overall, private hospitals (relative to public hospitals) treat lower acuity patients and have </w:t>
      </w:r>
      <w:r w:rsidR="005D74B2">
        <w:t xml:space="preserve">fewer </w:t>
      </w:r>
      <w:r w:rsidR="00ED5D45">
        <w:t>unplanned admissions.</w:t>
      </w:r>
      <w:r>
        <w:t xml:space="preserve"> </w:t>
      </w:r>
      <w:r w:rsidRPr="007F2D29">
        <w:t xml:space="preserve">Private </w:t>
      </w:r>
      <w:r>
        <w:t>h</w:t>
      </w:r>
      <w:r w:rsidRPr="007F2D29">
        <w:t>ospitals exist in response to patients’ willingness</w:t>
      </w:r>
      <w:r>
        <w:t xml:space="preserve"> </w:t>
      </w:r>
      <w:r w:rsidRPr="007F2D29">
        <w:t>to</w:t>
      </w:r>
      <w:r>
        <w:t xml:space="preserve"> </w:t>
      </w:r>
      <w:r w:rsidRPr="007F2D29">
        <w:t>pay for a choice of doctor, private ward facilities</w:t>
      </w:r>
      <w:r w:rsidR="00B33AF9">
        <w:t>,</w:t>
      </w:r>
      <w:r w:rsidRPr="007F2D29">
        <w:t xml:space="preserve"> and relatively faster</w:t>
      </w:r>
      <w:r>
        <w:t xml:space="preserve"> </w:t>
      </w:r>
      <w:r w:rsidRPr="007F2D29">
        <w:t>access to hospital services</w:t>
      </w:r>
      <w:r>
        <w:t>.</w:t>
      </w:r>
    </w:p>
    <w:p w14:paraId="1BEC25B7" w14:textId="2581BB24" w:rsidR="0027572D" w:rsidRDefault="00F87E39" w:rsidP="00ED7762">
      <w:pPr>
        <w:pStyle w:val="Body"/>
      </w:pPr>
      <w:r w:rsidRPr="00E6014C">
        <w:t xml:space="preserve">Private </w:t>
      </w:r>
      <w:r>
        <w:t>h</w:t>
      </w:r>
      <w:r w:rsidRPr="00E6014C">
        <w:t xml:space="preserve">ospitals </w:t>
      </w:r>
      <w:r w:rsidRPr="007F2D29">
        <w:t>and day</w:t>
      </w:r>
      <w:r>
        <w:t xml:space="preserve"> </w:t>
      </w:r>
      <w:r w:rsidRPr="007F2D29">
        <w:t xml:space="preserve">procedure centres </w:t>
      </w:r>
      <w:r w:rsidRPr="00E6014C">
        <w:t xml:space="preserve">operate under fee-for-service funding models that reward additional activity. </w:t>
      </w:r>
      <w:r w:rsidRPr="00E6014C" w:rsidDel="00DD3A63">
        <w:t>Therefore</w:t>
      </w:r>
      <w:r w:rsidDel="00DD3A63">
        <w:t>,</w:t>
      </w:r>
      <w:r w:rsidRPr="00E6014C" w:rsidDel="00DD3A63">
        <w:t xml:space="preserve"> </w:t>
      </w:r>
      <w:r w:rsidDel="00DD3A63">
        <w:t>p</w:t>
      </w:r>
      <w:r w:rsidRPr="00E6014C" w:rsidDel="00DD3A63">
        <w:t xml:space="preserve">rivate </w:t>
      </w:r>
      <w:r w:rsidDel="00DD3A63">
        <w:t>h</w:t>
      </w:r>
      <w:r w:rsidRPr="00E6014C" w:rsidDel="00DD3A63">
        <w:t>ospitals</w:t>
      </w:r>
      <w:r w:rsidDel="00DD3A63">
        <w:t xml:space="preserve"> </w:t>
      </w:r>
      <w:r w:rsidRPr="007F2D29" w:rsidDel="00DD3A63">
        <w:t>and day</w:t>
      </w:r>
      <w:r w:rsidDel="00DD3A63">
        <w:t xml:space="preserve"> </w:t>
      </w:r>
      <w:r w:rsidRPr="007F2D29" w:rsidDel="00DD3A63">
        <w:t>procedure centres</w:t>
      </w:r>
      <w:r w:rsidRPr="00E6014C" w:rsidDel="00DD3A63">
        <w:t xml:space="preserve"> </w:t>
      </w:r>
      <w:r w:rsidR="00DA45CC">
        <w:t xml:space="preserve">may </w:t>
      </w:r>
      <w:r w:rsidRPr="00E6014C" w:rsidDel="00DD3A63">
        <w:t xml:space="preserve">generally have an incentive to maximise </w:t>
      </w:r>
      <w:r w:rsidDel="00DD3A63">
        <w:t>the number of people they treat.</w:t>
      </w:r>
      <w:r w:rsidR="006F2CC9">
        <w:t xml:space="preserve"> </w:t>
      </w:r>
    </w:p>
    <w:p w14:paraId="41912133" w14:textId="53BFB5B6" w:rsidR="1FBD6709" w:rsidRDefault="1FBD6709" w:rsidP="6F366F56">
      <w:pPr>
        <w:pStyle w:val="Body"/>
      </w:pPr>
      <w:r>
        <w:t xml:space="preserve">The </w:t>
      </w:r>
      <w:r w:rsidR="00D372E1">
        <w:t>d</w:t>
      </w:r>
      <w:r>
        <w:t xml:space="preserve">epartment commissions private hospitals to provide public services, often to reduce waiting lists. </w:t>
      </w:r>
    </w:p>
    <w:p w14:paraId="500642F4" w14:textId="16B46ACB" w:rsidR="00157DC5" w:rsidRDefault="003C18DA" w:rsidP="000175ED">
      <w:pPr>
        <w:pStyle w:val="Heading3"/>
      </w:pPr>
      <w:bookmarkStart w:id="38" w:name="_Toc497306528"/>
      <w:bookmarkStart w:id="39" w:name="_Toc497746828"/>
      <w:bookmarkStart w:id="40" w:name="_Toc498417646"/>
      <w:bookmarkStart w:id="41" w:name="_Toc498423035"/>
      <w:bookmarkStart w:id="42" w:name="_Toc498423394"/>
      <w:r>
        <w:t xml:space="preserve">How are </w:t>
      </w:r>
      <w:r w:rsidR="00157DC5">
        <w:t>private hospitals and day procedure centres</w:t>
      </w:r>
      <w:bookmarkEnd w:id="38"/>
      <w:bookmarkEnd w:id="39"/>
      <w:bookmarkEnd w:id="40"/>
      <w:bookmarkEnd w:id="41"/>
      <w:bookmarkEnd w:id="42"/>
      <w:r>
        <w:t xml:space="preserve"> regulated?</w:t>
      </w:r>
    </w:p>
    <w:p w14:paraId="67E4B690" w14:textId="1BC258E7" w:rsidR="00323E42" w:rsidRPr="00121763" w:rsidRDefault="00323E42" w:rsidP="00672539">
      <w:pPr>
        <w:pStyle w:val="Body"/>
      </w:pPr>
      <w:r>
        <w:t>Victoria has 7</w:t>
      </w:r>
      <w:r w:rsidR="00207A00">
        <w:t>7</w:t>
      </w:r>
      <w:r>
        <w:t xml:space="preserve"> registered private hospitals</w:t>
      </w:r>
      <w:r w:rsidR="007876AD">
        <w:t>,</w:t>
      </w:r>
      <w:r>
        <w:t xml:space="preserve"> 1</w:t>
      </w:r>
      <w:r w:rsidR="007F5FB8">
        <w:t>0</w:t>
      </w:r>
      <w:r w:rsidR="00207A00">
        <w:t>4</w:t>
      </w:r>
      <w:r>
        <w:t xml:space="preserve"> registered day procedure centres </w:t>
      </w:r>
      <w:r w:rsidR="007876AD">
        <w:t xml:space="preserve">and </w:t>
      </w:r>
      <w:r w:rsidR="00B01F09">
        <w:t>2</w:t>
      </w:r>
      <w:r w:rsidR="00207A00">
        <w:t>4</w:t>
      </w:r>
      <w:r w:rsidR="00B01F09">
        <w:t xml:space="preserve"> </w:t>
      </w:r>
      <w:r w:rsidR="00542BB4">
        <w:t>mobile services</w:t>
      </w:r>
      <w:r>
        <w:t xml:space="preserve"> (as at </w:t>
      </w:r>
      <w:r w:rsidR="00207A00">
        <w:t>11</w:t>
      </w:r>
      <w:r>
        <w:t xml:space="preserve"> </w:t>
      </w:r>
      <w:r w:rsidR="00FA07BF">
        <w:t>Ju</w:t>
      </w:r>
      <w:r w:rsidR="00207A00">
        <w:t>ly</w:t>
      </w:r>
      <w:r>
        <w:t xml:space="preserve"> 2023).</w:t>
      </w:r>
      <w:r>
        <w:rPr>
          <w:rStyle w:val="FootnoteReference"/>
        </w:rPr>
        <w:footnoteReference w:id="7"/>
      </w:r>
    </w:p>
    <w:p w14:paraId="710B03BB" w14:textId="64AF94A2" w:rsidR="00C86AD5" w:rsidRPr="00121763" w:rsidRDefault="00157DC5" w:rsidP="00C86AD5">
      <w:pPr>
        <w:pStyle w:val="Body"/>
      </w:pPr>
      <w:r w:rsidRPr="00121763">
        <w:lastRenderedPageBreak/>
        <w:t xml:space="preserve">The </w:t>
      </w:r>
      <w:r w:rsidR="00321A51">
        <w:t>department is</w:t>
      </w:r>
      <w:r w:rsidRPr="00121763">
        <w:t xml:space="preserve"> </w:t>
      </w:r>
      <w:r w:rsidR="00321A51" w:rsidRPr="00121763">
        <w:t>responsible</w:t>
      </w:r>
      <w:r w:rsidRPr="00121763">
        <w:t xml:space="preserve"> </w:t>
      </w:r>
      <w:r w:rsidR="00321A51">
        <w:t>for</w:t>
      </w:r>
      <w:r w:rsidR="00B545D7">
        <w:t xml:space="preserve"> regulating </w:t>
      </w:r>
      <w:r w:rsidR="000E1FE9">
        <w:t xml:space="preserve">these </w:t>
      </w:r>
      <w:r w:rsidR="00B545D7">
        <w:t>private hospitals and day procedure centres</w:t>
      </w:r>
      <w:r w:rsidR="00EE3830">
        <w:t xml:space="preserve"> </w:t>
      </w:r>
      <w:r w:rsidR="00555D44">
        <w:t>under</w:t>
      </w:r>
      <w:r w:rsidR="00C86AD5" w:rsidRPr="00121763">
        <w:t xml:space="preserve"> the Act and the Regulations</w:t>
      </w:r>
      <w:r w:rsidR="00C86AD5">
        <w:t xml:space="preserve"> (or regulatory scheme)</w:t>
      </w:r>
      <w:r w:rsidR="00C86AD5" w:rsidRPr="00121763">
        <w:t xml:space="preserve">. This </w:t>
      </w:r>
      <w:r w:rsidR="00C86AD5">
        <w:t xml:space="preserve">regulatory scheme </w:t>
      </w:r>
      <w:r w:rsidR="00C86AD5" w:rsidRPr="00121763">
        <w:t xml:space="preserve">sets out the legal powers of the department to monitor and enforce </w:t>
      </w:r>
      <w:r w:rsidR="00C86AD5">
        <w:t xml:space="preserve">minimum </w:t>
      </w:r>
      <w:r w:rsidR="00C86AD5" w:rsidRPr="00121763">
        <w:t xml:space="preserve">patient safety and quality of care requirements. </w:t>
      </w:r>
    </w:p>
    <w:p w14:paraId="156365D5" w14:textId="4E9B18F0" w:rsidR="00A36B8D" w:rsidRDefault="00A36B8D" w:rsidP="00A608E2">
      <w:pPr>
        <w:pStyle w:val="Body"/>
      </w:pPr>
      <w:r>
        <w:t>Under the scheme, the department:</w:t>
      </w:r>
    </w:p>
    <w:p w14:paraId="3DFAF1E4" w14:textId="623E53C9" w:rsidR="00A36B8D" w:rsidRDefault="00C21716" w:rsidP="00C132C8">
      <w:pPr>
        <w:pStyle w:val="Body"/>
        <w:numPr>
          <w:ilvl w:val="0"/>
          <w:numId w:val="18"/>
        </w:numPr>
      </w:pPr>
      <w:r>
        <w:t>m</w:t>
      </w:r>
      <w:r w:rsidR="00887AB3">
        <w:t xml:space="preserve">anages the </w:t>
      </w:r>
      <w:r w:rsidR="00841EC9">
        <w:t>lifecycle of approvals in principle (AIP), registrations and registration renewals</w:t>
      </w:r>
    </w:p>
    <w:p w14:paraId="5DCD73D2" w14:textId="3A4D560F" w:rsidR="008825DE" w:rsidRDefault="00B73D0E" w:rsidP="00C132C8">
      <w:pPr>
        <w:pStyle w:val="Body"/>
        <w:numPr>
          <w:ilvl w:val="0"/>
          <w:numId w:val="18"/>
        </w:numPr>
      </w:pPr>
      <w:r>
        <w:t>m</w:t>
      </w:r>
      <w:r w:rsidR="001677E9">
        <w:t>onitors</w:t>
      </w:r>
      <w:r w:rsidR="007E366D">
        <w:t xml:space="preserve"> compliance </w:t>
      </w:r>
      <w:r w:rsidR="009335D1">
        <w:t xml:space="preserve">and </w:t>
      </w:r>
      <w:r w:rsidR="008825DE">
        <w:t>conducts regulatory inspections</w:t>
      </w:r>
      <w:r w:rsidR="0029667F">
        <w:t xml:space="preserve"> of facilities</w:t>
      </w:r>
    </w:p>
    <w:p w14:paraId="2785107E" w14:textId="385D3715" w:rsidR="0006184F" w:rsidRDefault="00B54155" w:rsidP="00C132C8">
      <w:pPr>
        <w:pStyle w:val="Body"/>
        <w:numPr>
          <w:ilvl w:val="0"/>
          <w:numId w:val="18"/>
        </w:numPr>
      </w:pPr>
      <w:r>
        <w:t>p</w:t>
      </w:r>
      <w:r w:rsidR="0006184F">
        <w:t>rovide</w:t>
      </w:r>
      <w:r>
        <w:t>s</w:t>
      </w:r>
      <w:r w:rsidR="0006184F">
        <w:t xml:space="preserve"> </w:t>
      </w:r>
      <w:r>
        <w:t xml:space="preserve">advice and information to </w:t>
      </w:r>
      <w:r w:rsidR="00B717D8">
        <w:t xml:space="preserve">support </w:t>
      </w:r>
      <w:r w:rsidR="00E94B2F">
        <w:t>service providers to comply</w:t>
      </w:r>
    </w:p>
    <w:p w14:paraId="1618B877" w14:textId="30C1EC07" w:rsidR="009F1C31" w:rsidRDefault="006C6EF6" w:rsidP="00C132C8">
      <w:pPr>
        <w:pStyle w:val="Body"/>
        <w:numPr>
          <w:ilvl w:val="0"/>
          <w:numId w:val="18"/>
        </w:numPr>
      </w:pPr>
      <w:r>
        <w:t xml:space="preserve">conducts investigations </w:t>
      </w:r>
      <w:r w:rsidR="00D75EB1">
        <w:t xml:space="preserve">where serious issues or risks are </w:t>
      </w:r>
      <w:r w:rsidR="00DB49DD">
        <w:t>identified</w:t>
      </w:r>
    </w:p>
    <w:p w14:paraId="32A6FFF3" w14:textId="33D06A5A" w:rsidR="00007D5D" w:rsidRDefault="00327ECE" w:rsidP="00C132C8">
      <w:pPr>
        <w:pStyle w:val="Body"/>
        <w:numPr>
          <w:ilvl w:val="0"/>
          <w:numId w:val="18"/>
        </w:numPr>
      </w:pPr>
      <w:r>
        <w:t>uses</w:t>
      </w:r>
      <w:r w:rsidR="00316F96">
        <w:t xml:space="preserve"> </w:t>
      </w:r>
      <w:r w:rsidR="003A6F77">
        <w:t>enforcement tools</w:t>
      </w:r>
      <w:r w:rsidR="00EC73ED">
        <w:t xml:space="preserve"> to address </w:t>
      </w:r>
      <w:r w:rsidR="00007D5D">
        <w:t>non-compliance (</w:t>
      </w:r>
      <w:r w:rsidR="00E47C17">
        <w:t>for example,</w:t>
      </w:r>
      <w:r w:rsidR="00007D5D">
        <w:t xml:space="preserve"> </w:t>
      </w:r>
      <w:r w:rsidR="00467DC9">
        <w:t>action plans</w:t>
      </w:r>
      <w:r w:rsidR="00AC08D6">
        <w:t>, registration conditions</w:t>
      </w:r>
      <w:r w:rsidR="00467DC9">
        <w:t>)</w:t>
      </w:r>
    </w:p>
    <w:p w14:paraId="44B4BA98" w14:textId="58643C9A" w:rsidR="008C634A" w:rsidRDefault="00327ECE" w:rsidP="00C132C8">
      <w:pPr>
        <w:pStyle w:val="Body"/>
        <w:numPr>
          <w:ilvl w:val="0"/>
          <w:numId w:val="18"/>
        </w:numPr>
      </w:pPr>
      <w:r>
        <w:t xml:space="preserve">applies </w:t>
      </w:r>
      <w:r w:rsidR="00DC1C03">
        <w:t>sanctions</w:t>
      </w:r>
      <w:r w:rsidR="00180283">
        <w:t xml:space="preserve"> where necessary</w:t>
      </w:r>
      <w:r w:rsidR="004E50FE">
        <w:t xml:space="preserve"> to protect the public from harm</w:t>
      </w:r>
      <w:r w:rsidR="00180283">
        <w:t xml:space="preserve"> (</w:t>
      </w:r>
      <w:r w:rsidR="00E47C17">
        <w:t>for example</w:t>
      </w:r>
      <w:r w:rsidR="00603B0D">
        <w:t>,</w:t>
      </w:r>
      <w:r w:rsidR="00180283">
        <w:t xml:space="preserve"> registration </w:t>
      </w:r>
      <w:r w:rsidR="005667C0">
        <w:t>suspensions</w:t>
      </w:r>
      <w:r w:rsidR="00AC08D6">
        <w:t xml:space="preserve"> or</w:t>
      </w:r>
      <w:r w:rsidR="005667C0">
        <w:t xml:space="preserve"> revocation</w:t>
      </w:r>
      <w:r w:rsidR="00D456D7">
        <w:t>s</w:t>
      </w:r>
      <w:r w:rsidR="00AC08D6">
        <w:t xml:space="preserve"> and </w:t>
      </w:r>
      <w:r w:rsidR="00A92122">
        <w:t>court proceedings</w:t>
      </w:r>
      <w:r w:rsidR="00D456D7">
        <w:t>)</w:t>
      </w:r>
      <w:r w:rsidR="00922B06">
        <w:t>.</w:t>
      </w:r>
      <w:r w:rsidR="00193EB6">
        <w:t xml:space="preserve"> </w:t>
      </w:r>
    </w:p>
    <w:p w14:paraId="112508E2" w14:textId="6D472FED" w:rsidR="00611666" w:rsidRDefault="00570CE7" w:rsidP="00084F9C">
      <w:pPr>
        <w:pStyle w:val="Heading2"/>
      </w:pPr>
      <w:bookmarkStart w:id="43" w:name="_Toc141177724"/>
      <w:bookmarkStart w:id="44" w:name="_Toc143271999"/>
      <w:r>
        <w:t>Other government bodies</w:t>
      </w:r>
      <w:bookmarkEnd w:id="43"/>
      <w:bookmarkEnd w:id="44"/>
    </w:p>
    <w:p w14:paraId="356010C7" w14:textId="27597829" w:rsidR="0098129C" w:rsidRDefault="002C2FC9" w:rsidP="00C25337">
      <w:pPr>
        <w:pStyle w:val="Body"/>
      </w:pPr>
      <w:r>
        <w:t xml:space="preserve">The </w:t>
      </w:r>
      <w:r w:rsidR="000C6ABA">
        <w:t xml:space="preserve">department’s role as </w:t>
      </w:r>
      <w:r>
        <w:t>regulat</w:t>
      </w:r>
      <w:r w:rsidR="000C6ABA">
        <w:t>or</w:t>
      </w:r>
      <w:r>
        <w:t xml:space="preserve"> of health service establishments </w:t>
      </w:r>
      <w:r w:rsidR="0087165B">
        <w:t>is c</w:t>
      </w:r>
      <w:r w:rsidR="00A85301">
        <w:t xml:space="preserve">omplemented by </w:t>
      </w:r>
      <w:r w:rsidR="007451C8">
        <w:t xml:space="preserve">the functions </w:t>
      </w:r>
      <w:r w:rsidR="002C2FEC">
        <w:t xml:space="preserve">of other government agencies concerned with promoting </w:t>
      </w:r>
      <w:r w:rsidR="00D27900">
        <w:t>safety and quality in health service delivery across Victoria</w:t>
      </w:r>
      <w:r w:rsidR="389235E2">
        <w:t>,</w:t>
      </w:r>
      <w:r w:rsidR="00645AE8">
        <w:t xml:space="preserve"> in both the public and private sectors. </w:t>
      </w:r>
      <w:r w:rsidR="007D37E6">
        <w:t xml:space="preserve">These bodies </w:t>
      </w:r>
      <w:r w:rsidR="006A7C94">
        <w:t>work together</w:t>
      </w:r>
      <w:r w:rsidR="00751888">
        <w:t xml:space="preserve"> and</w:t>
      </w:r>
      <w:r w:rsidR="00751186">
        <w:t xml:space="preserve"> share information</w:t>
      </w:r>
      <w:r w:rsidR="00024146">
        <w:t xml:space="preserve"> </w:t>
      </w:r>
      <w:r w:rsidR="00DC6673">
        <w:t xml:space="preserve">to give government </w:t>
      </w:r>
      <w:r w:rsidR="002655FB">
        <w:t xml:space="preserve">a system-wide understanding of the </w:t>
      </w:r>
      <w:r w:rsidR="0060466E">
        <w:t>health</w:t>
      </w:r>
      <w:r w:rsidR="009B3B45">
        <w:t>care</w:t>
      </w:r>
      <w:r w:rsidR="0060466E">
        <w:t xml:space="preserve"> </w:t>
      </w:r>
      <w:r w:rsidR="00084A52">
        <w:t>landscape</w:t>
      </w:r>
      <w:r w:rsidR="00016359">
        <w:t xml:space="preserve">, </w:t>
      </w:r>
      <w:r w:rsidR="002A7D0D">
        <w:t>support</w:t>
      </w:r>
      <w:r w:rsidR="00746B2B">
        <w:t xml:space="preserve"> </w:t>
      </w:r>
      <w:r w:rsidR="00D665F0">
        <w:t xml:space="preserve">health </w:t>
      </w:r>
      <w:r w:rsidR="00746B2B">
        <w:t>service</w:t>
      </w:r>
      <w:r w:rsidR="00016359">
        <w:t xml:space="preserve"> providers</w:t>
      </w:r>
      <w:r w:rsidR="002A7D0D">
        <w:t xml:space="preserve"> </w:t>
      </w:r>
      <w:r w:rsidR="0019780A">
        <w:t>to</w:t>
      </w:r>
      <w:r w:rsidR="002A7D0D">
        <w:t xml:space="preserve"> </w:t>
      </w:r>
      <w:r w:rsidR="0040490E">
        <w:t xml:space="preserve">continuously </w:t>
      </w:r>
      <w:r w:rsidR="002A7D0D">
        <w:t>improve</w:t>
      </w:r>
      <w:r w:rsidR="004763C7">
        <w:t xml:space="preserve">, and </w:t>
      </w:r>
      <w:r w:rsidR="00446144">
        <w:t xml:space="preserve">provide transparency </w:t>
      </w:r>
      <w:r w:rsidR="00D156EB">
        <w:t>to</w:t>
      </w:r>
      <w:r w:rsidR="00446144">
        <w:t xml:space="preserve"> </w:t>
      </w:r>
      <w:r w:rsidR="00E063B7">
        <w:t>healthcare</w:t>
      </w:r>
      <w:r w:rsidR="00446144">
        <w:t xml:space="preserve"> </w:t>
      </w:r>
      <w:r w:rsidR="001B5264">
        <w:t>consumers and the public.</w:t>
      </w:r>
    </w:p>
    <w:p w14:paraId="20B13985" w14:textId="693BB7E6" w:rsidR="00C25337" w:rsidRDefault="0098129C" w:rsidP="0098129C">
      <w:pPr>
        <w:pStyle w:val="Heading3"/>
      </w:pPr>
      <w:bookmarkStart w:id="45" w:name="_Safer_Care_Victoria"/>
      <w:bookmarkEnd w:id="45"/>
      <w:r>
        <w:t>Safer Care Victoria</w:t>
      </w:r>
      <w:r w:rsidR="002A7D0D">
        <w:t xml:space="preserve"> </w:t>
      </w:r>
    </w:p>
    <w:p w14:paraId="4FFDB4E7" w14:textId="26D5ACBD" w:rsidR="000D5185" w:rsidRDefault="0098129C" w:rsidP="0098129C">
      <w:pPr>
        <w:pStyle w:val="Body"/>
        <w:rPr>
          <w:rFonts w:eastAsia="Times New Roman"/>
        </w:rPr>
      </w:pPr>
      <w:r w:rsidRPr="22C97103">
        <w:rPr>
          <w:rFonts w:cs="Arial"/>
        </w:rPr>
        <w:t xml:space="preserve">Safer Care Victoria (SCV) </w:t>
      </w:r>
      <w:r w:rsidR="00912CBB">
        <w:rPr>
          <w:rFonts w:cs="Arial"/>
        </w:rPr>
        <w:t>is</w:t>
      </w:r>
      <w:r w:rsidRPr="22C97103">
        <w:rPr>
          <w:rFonts w:cs="Arial"/>
        </w:rPr>
        <w:t xml:space="preserve"> responsib</w:t>
      </w:r>
      <w:r w:rsidR="00912CBB">
        <w:rPr>
          <w:rFonts w:cs="Arial"/>
        </w:rPr>
        <w:t>le</w:t>
      </w:r>
      <w:r w:rsidRPr="22C97103">
        <w:rPr>
          <w:rFonts w:cs="Arial"/>
        </w:rPr>
        <w:t xml:space="preserve"> for monitoring and improving the quality and safety of </w:t>
      </w:r>
      <w:r w:rsidRPr="009F7169">
        <w:rPr>
          <w:rFonts w:eastAsia="Times New Roman"/>
        </w:rPr>
        <w:t>care delivered across the health system. In 2022</w:t>
      </w:r>
      <w:r>
        <w:rPr>
          <w:rFonts w:eastAsia="Times New Roman"/>
        </w:rPr>
        <w:t>,</w:t>
      </w:r>
      <w:r w:rsidRPr="009F7169">
        <w:rPr>
          <w:rFonts w:eastAsia="Times New Roman"/>
        </w:rPr>
        <w:t xml:space="preserve"> the </w:t>
      </w:r>
      <w:r w:rsidRPr="00E267DC">
        <w:rPr>
          <w:rFonts w:eastAsia="Times New Roman"/>
          <w:i/>
        </w:rPr>
        <w:t>Health Legislation Amendment (Quality and Safety Act) 2022</w:t>
      </w:r>
      <w:r w:rsidRPr="009F7169">
        <w:rPr>
          <w:rFonts w:eastAsia="Times New Roman"/>
        </w:rPr>
        <w:t xml:space="preserve"> established the role of Chief Quality and Safety Officer (CQSO)</w:t>
      </w:r>
      <w:r w:rsidR="00710FCC">
        <w:rPr>
          <w:rFonts w:eastAsia="Times New Roman"/>
        </w:rPr>
        <w:t xml:space="preserve">, </w:t>
      </w:r>
      <w:r w:rsidR="00DA034F">
        <w:rPr>
          <w:rFonts w:eastAsia="Times New Roman"/>
        </w:rPr>
        <w:t>whose remit covers public health services</w:t>
      </w:r>
      <w:r w:rsidR="00022400">
        <w:rPr>
          <w:rFonts w:eastAsia="Times New Roman"/>
        </w:rPr>
        <w:t>,</w:t>
      </w:r>
      <w:r w:rsidR="00DA034F">
        <w:rPr>
          <w:rFonts w:eastAsia="Times New Roman"/>
        </w:rPr>
        <w:t xml:space="preserve"> </w:t>
      </w:r>
      <w:r w:rsidR="00022400" w:rsidRPr="22C97103">
        <w:rPr>
          <w:rFonts w:eastAsia="Times New Roman" w:cs="Arial"/>
          <w:lang w:eastAsia="en-AU"/>
        </w:rPr>
        <w:t>private hospitals</w:t>
      </w:r>
      <w:r w:rsidR="00022400">
        <w:rPr>
          <w:rFonts w:eastAsia="Times New Roman"/>
        </w:rPr>
        <w:t xml:space="preserve"> and </w:t>
      </w:r>
      <w:r w:rsidR="00022400">
        <w:rPr>
          <w:rFonts w:eastAsia="Times New Roman" w:cs="Arial"/>
          <w:lang w:eastAsia="en-AU"/>
        </w:rPr>
        <w:t>day procedure centres</w:t>
      </w:r>
      <w:r w:rsidR="009815E4">
        <w:rPr>
          <w:rFonts w:eastAsia="Times New Roman" w:cs="Arial"/>
          <w:lang w:eastAsia="en-AU"/>
        </w:rPr>
        <w:t xml:space="preserve"> (collectively referred to as ‘health service entities’)</w:t>
      </w:r>
      <w:r w:rsidR="00022400">
        <w:rPr>
          <w:rFonts w:eastAsia="Times New Roman" w:cs="Arial"/>
          <w:lang w:eastAsia="en-AU"/>
        </w:rPr>
        <w:t>.</w:t>
      </w:r>
      <w:r w:rsidRPr="009F7169">
        <w:rPr>
          <w:rFonts w:eastAsia="Times New Roman"/>
        </w:rPr>
        <w:t xml:space="preserve"> In November 2022</w:t>
      </w:r>
      <w:r>
        <w:rPr>
          <w:rFonts w:eastAsia="Times New Roman"/>
        </w:rPr>
        <w:t>,</w:t>
      </w:r>
      <w:r w:rsidRPr="009F7169">
        <w:rPr>
          <w:rFonts w:eastAsia="Times New Roman"/>
        </w:rPr>
        <w:t xml:space="preserve"> SCV’s Chief Executive Officer was appointed as the inaugural CQSO. Under this legislation, the functions of the CQSO involve</w:t>
      </w:r>
      <w:r w:rsidR="000D5185">
        <w:rPr>
          <w:rFonts w:eastAsia="Times New Roman"/>
        </w:rPr>
        <w:t>:</w:t>
      </w:r>
    </w:p>
    <w:p w14:paraId="63759101" w14:textId="6E50850E" w:rsidR="000D5185" w:rsidRPr="00156FA8" w:rsidRDefault="0098129C" w:rsidP="00DA5D0B">
      <w:pPr>
        <w:pStyle w:val="Body"/>
        <w:numPr>
          <w:ilvl w:val="0"/>
          <w:numId w:val="54"/>
        </w:numPr>
        <w:rPr>
          <w:rFonts w:eastAsia="Times New Roman" w:cs="Arial"/>
          <w:lang w:eastAsia="en-AU"/>
        </w:rPr>
      </w:pPr>
      <w:r w:rsidRPr="009F7169">
        <w:rPr>
          <w:rFonts w:eastAsia="Times New Roman"/>
        </w:rPr>
        <w:t>conducting quality and safety (Q&amp;S) reviews of services provided in or by health service entities</w:t>
      </w:r>
      <w:r w:rsidR="002D4EC9">
        <w:rPr>
          <w:rFonts w:eastAsia="Times New Roman"/>
        </w:rPr>
        <w:t xml:space="preserve"> (</w:t>
      </w:r>
      <w:r w:rsidR="002D4EC9" w:rsidRPr="22C97103">
        <w:rPr>
          <w:rFonts w:eastAsia="Times New Roman" w:cs="Arial"/>
          <w:lang w:eastAsia="en-AU"/>
        </w:rPr>
        <w:t xml:space="preserve">with </w:t>
      </w:r>
      <w:r w:rsidR="002D4EC9">
        <w:rPr>
          <w:rFonts w:eastAsia="Times New Roman" w:cs="Arial"/>
          <w:lang w:eastAsia="en-AU"/>
        </w:rPr>
        <w:t>or without notice)</w:t>
      </w:r>
    </w:p>
    <w:p w14:paraId="1D65F237" w14:textId="3E44EA1E" w:rsidR="00773A3F" w:rsidRPr="00156FA8" w:rsidRDefault="0098129C" w:rsidP="00DA5D0B">
      <w:pPr>
        <w:pStyle w:val="Body"/>
        <w:numPr>
          <w:ilvl w:val="0"/>
          <w:numId w:val="54"/>
        </w:numPr>
        <w:rPr>
          <w:rFonts w:eastAsia="Times New Roman" w:cs="Arial"/>
          <w:lang w:eastAsia="en-AU"/>
        </w:rPr>
      </w:pPr>
      <w:r w:rsidRPr="009F7169">
        <w:rPr>
          <w:rFonts w:eastAsia="Times New Roman"/>
        </w:rPr>
        <w:t xml:space="preserve">providing information to the Secretary concerning Q&amp;S reviews </w:t>
      </w:r>
    </w:p>
    <w:p w14:paraId="75C24DB7" w14:textId="7F20A4F5" w:rsidR="00F83D9D" w:rsidRPr="00156FA8" w:rsidRDefault="0098129C" w:rsidP="00DA5D0B">
      <w:pPr>
        <w:pStyle w:val="Body"/>
        <w:numPr>
          <w:ilvl w:val="0"/>
          <w:numId w:val="54"/>
        </w:numPr>
        <w:rPr>
          <w:rFonts w:eastAsia="Times New Roman" w:cs="Arial"/>
          <w:lang w:eastAsia="en-AU"/>
        </w:rPr>
      </w:pPr>
      <w:r w:rsidRPr="009F7169">
        <w:rPr>
          <w:rFonts w:eastAsia="Times New Roman"/>
        </w:rPr>
        <w:t xml:space="preserve">working co-operatively with other bodies </w:t>
      </w:r>
      <w:r w:rsidR="00F83D9D">
        <w:rPr>
          <w:rFonts w:eastAsia="Times New Roman"/>
        </w:rPr>
        <w:t>involved in</w:t>
      </w:r>
      <w:r w:rsidRPr="009F7169">
        <w:rPr>
          <w:rFonts w:eastAsia="Times New Roman"/>
        </w:rPr>
        <w:t xml:space="preserve"> the oversight or regulation of quality and safety in health service entities</w:t>
      </w:r>
    </w:p>
    <w:p w14:paraId="65AEB919" w14:textId="3160BCB1" w:rsidR="0098129C" w:rsidRDefault="0098129C" w:rsidP="00DA5D0B">
      <w:pPr>
        <w:pStyle w:val="Body"/>
        <w:numPr>
          <w:ilvl w:val="0"/>
          <w:numId w:val="54"/>
        </w:numPr>
        <w:rPr>
          <w:rFonts w:eastAsia="Times New Roman" w:cs="Arial"/>
          <w:lang w:eastAsia="en-AU"/>
        </w:rPr>
      </w:pPr>
      <w:r w:rsidRPr="22C97103">
        <w:rPr>
          <w:rFonts w:eastAsia="Times New Roman" w:cs="Arial"/>
          <w:lang w:eastAsia="en-AU"/>
        </w:rPr>
        <w:t xml:space="preserve">issuing guidelines to health service entities concerning the provision of services. </w:t>
      </w:r>
    </w:p>
    <w:p w14:paraId="3C884855" w14:textId="311EB9E8" w:rsidR="0098129C" w:rsidRDefault="00E8403E" w:rsidP="00E8403E">
      <w:pPr>
        <w:pStyle w:val="Heading3"/>
      </w:pPr>
      <w:bookmarkStart w:id="46" w:name="_Victorian_Agency_for"/>
      <w:bookmarkEnd w:id="46"/>
      <w:r>
        <w:t>Victorian Agency for Health Information</w:t>
      </w:r>
    </w:p>
    <w:p w14:paraId="2587CA36" w14:textId="35B12825" w:rsidR="00E8403E" w:rsidRDefault="007B16D1" w:rsidP="00C55B9C">
      <w:pPr>
        <w:pStyle w:val="Body"/>
      </w:pPr>
      <w:r>
        <w:t xml:space="preserve">The Victorian Agency for Health Information (VAHI) </w:t>
      </w:r>
      <w:r w:rsidR="001C75C5">
        <w:t xml:space="preserve">is </w:t>
      </w:r>
      <w:r w:rsidR="002271C7">
        <w:t xml:space="preserve">a division of the department responsible for data collection, management, </w:t>
      </w:r>
      <w:r w:rsidR="004C6148">
        <w:t>insights</w:t>
      </w:r>
      <w:r w:rsidR="002271C7">
        <w:t xml:space="preserve"> and reporting</w:t>
      </w:r>
      <w:r w:rsidR="001C75C5">
        <w:t>.</w:t>
      </w:r>
      <w:r w:rsidR="002271C7">
        <w:t xml:space="preserve"> I</w:t>
      </w:r>
      <w:r w:rsidR="004C6148">
        <w:t>t</w:t>
      </w:r>
      <w:r w:rsidR="0069572C" w:rsidRPr="0069572C">
        <w:t xml:space="preserve"> analys</w:t>
      </w:r>
      <w:r w:rsidR="004C6148">
        <w:t>es</w:t>
      </w:r>
      <w:r w:rsidR="0069572C" w:rsidRPr="0069572C">
        <w:t xml:space="preserve"> and shar</w:t>
      </w:r>
      <w:r w:rsidR="00172B53">
        <w:t>es</w:t>
      </w:r>
      <w:r w:rsidR="0069572C" w:rsidRPr="0069572C">
        <w:t xml:space="preserve"> information across Victoria’s healthcare system</w:t>
      </w:r>
      <w:r w:rsidR="00C218D8">
        <w:t xml:space="preserve"> to </w:t>
      </w:r>
      <w:r w:rsidR="0069572C" w:rsidRPr="0069572C">
        <w:t>build an accurate picture of hospital and health service performance.</w:t>
      </w:r>
      <w:r w:rsidR="00D67A2B">
        <w:t xml:space="preserve"> </w:t>
      </w:r>
      <w:r w:rsidR="00890F53">
        <w:t xml:space="preserve">VAHI ensures that data and information on the quality, safety and performance of Victoria's </w:t>
      </w:r>
      <w:r w:rsidR="00890F53">
        <w:lastRenderedPageBreak/>
        <w:t xml:space="preserve">healthcare system </w:t>
      </w:r>
      <w:r w:rsidR="00C55B9C">
        <w:t>is</w:t>
      </w:r>
      <w:r w:rsidR="00890F53">
        <w:t xml:space="preserve"> readily available to health services, government departments and agencies, researchers and the Victorian community.</w:t>
      </w:r>
    </w:p>
    <w:p w14:paraId="62AC0E7B" w14:textId="1FF02EA7" w:rsidR="006654E8" w:rsidRDefault="00AC630D" w:rsidP="00AD46C0">
      <w:pPr>
        <w:pStyle w:val="Heading3"/>
      </w:pPr>
      <w:r>
        <w:t>Health Complaints Commissioner</w:t>
      </w:r>
    </w:p>
    <w:p w14:paraId="42634AD2" w14:textId="7CCA1115" w:rsidR="00C55B9C" w:rsidRPr="00E8403E" w:rsidRDefault="00361F8D" w:rsidP="00AD46C0">
      <w:pPr>
        <w:pStyle w:val="Body"/>
      </w:pPr>
      <w:r>
        <w:t>Th</w:t>
      </w:r>
      <w:r w:rsidR="00153DEC">
        <w:t xml:space="preserve">e Health Complaints Commissioner (HCC) </w:t>
      </w:r>
      <w:r w:rsidR="008A1C8F">
        <w:t>receives and</w:t>
      </w:r>
      <w:r w:rsidR="00C964E6">
        <w:t xml:space="preserve"> manages complaints about healthcare and the handling of health information in Victoria. </w:t>
      </w:r>
      <w:r w:rsidR="007C680E">
        <w:t xml:space="preserve">The HCC </w:t>
      </w:r>
      <w:r w:rsidR="0064046C">
        <w:t xml:space="preserve">acts independently and impartially to investigate matters and review complaints data to help health service providers improve the quality of their service. </w:t>
      </w:r>
    </w:p>
    <w:p w14:paraId="5839CE0A" w14:textId="42234BD1" w:rsidR="00AF5DAC" w:rsidRPr="00AF5DAC" w:rsidRDefault="00AF5DAC" w:rsidP="00AF5DAC">
      <w:pPr>
        <w:pStyle w:val="Heading3"/>
      </w:pPr>
      <w:r w:rsidRPr="00AF5DAC">
        <w:t>Mental health service oversight</w:t>
      </w:r>
    </w:p>
    <w:p w14:paraId="71CF292D" w14:textId="3DEDCA9C" w:rsidR="00306C15" w:rsidRDefault="00AF5DAC" w:rsidP="00AF5DAC">
      <w:pPr>
        <w:pStyle w:val="Body"/>
        <w:rPr>
          <w:rStyle w:val="ui-provider"/>
        </w:rPr>
      </w:pPr>
      <w:r w:rsidRPr="38D9D120">
        <w:rPr>
          <w:rStyle w:val="ui-provider"/>
        </w:rPr>
        <w:t xml:space="preserve">Under the </w:t>
      </w:r>
      <w:r w:rsidRPr="38D9D120">
        <w:rPr>
          <w:rStyle w:val="ui-provider"/>
          <w:i/>
          <w:iCs/>
        </w:rPr>
        <w:t>Mental Health Act 2014</w:t>
      </w:r>
      <w:r w:rsidRPr="38D9D120">
        <w:rPr>
          <w:rStyle w:val="ui-provider"/>
        </w:rPr>
        <w:t xml:space="preserve">, a ‘mental health service provider’ (as defined) is subject to oversight, including by the Mental Health Complaints Commissioner and Chief Psychiatrist. This oversight does not apply to any health service establishments. From 1 September 2023, that legislation will be replaced by the </w:t>
      </w:r>
      <w:r w:rsidRPr="38D9D120">
        <w:rPr>
          <w:rStyle w:val="ui-provider"/>
          <w:i/>
          <w:iCs/>
        </w:rPr>
        <w:t>Mental Health and Wellbeing Act 2022</w:t>
      </w:r>
      <w:r w:rsidRPr="38D9D120">
        <w:rPr>
          <w:rStyle w:val="ui-provider"/>
        </w:rPr>
        <w:t>. Under that legislation the Mental Health and Wellbeing Commission</w:t>
      </w:r>
      <w:r w:rsidR="00C07371" w:rsidRPr="38D9D120">
        <w:rPr>
          <w:rStyle w:val="ui-provider"/>
        </w:rPr>
        <w:t xml:space="preserve"> (the Commission) </w:t>
      </w:r>
      <w:r w:rsidRPr="38D9D120">
        <w:rPr>
          <w:rStyle w:val="ui-provider"/>
        </w:rPr>
        <w:t xml:space="preserve">will have oversight roles in relation to ‘mental health and wellbeing service providers’ as defined. </w:t>
      </w:r>
      <w:r w:rsidR="00B22117" w:rsidRPr="38D9D120">
        <w:rPr>
          <w:rStyle w:val="ui-provider"/>
        </w:rPr>
        <w:t xml:space="preserve">While this will generally not apply </w:t>
      </w:r>
      <w:r w:rsidR="42678B09" w:rsidRPr="38D9D120">
        <w:rPr>
          <w:rStyle w:val="ui-provider"/>
        </w:rPr>
        <w:t xml:space="preserve">to </w:t>
      </w:r>
      <w:r w:rsidR="00AA2625" w:rsidRPr="38D9D120">
        <w:rPr>
          <w:rStyle w:val="ui-provider"/>
        </w:rPr>
        <w:t>health service establishments</w:t>
      </w:r>
      <w:r w:rsidR="006F010F" w:rsidRPr="38D9D120">
        <w:rPr>
          <w:rStyle w:val="ui-provider"/>
        </w:rPr>
        <w:t>,</w:t>
      </w:r>
      <w:r w:rsidR="00AA2625" w:rsidRPr="38D9D120">
        <w:rPr>
          <w:rStyle w:val="ui-provider"/>
        </w:rPr>
        <w:t xml:space="preserve"> the complaints</w:t>
      </w:r>
      <w:r w:rsidR="002E6E67" w:rsidRPr="38D9D120">
        <w:rPr>
          <w:rStyle w:val="ui-provider"/>
        </w:rPr>
        <w:t>-</w:t>
      </w:r>
      <w:r w:rsidR="00AA2625" w:rsidRPr="38D9D120">
        <w:rPr>
          <w:rStyle w:val="ui-provider"/>
        </w:rPr>
        <w:t xml:space="preserve">handling </w:t>
      </w:r>
      <w:r w:rsidR="00F36C34" w:rsidRPr="38D9D120">
        <w:rPr>
          <w:rStyle w:val="ui-provider"/>
        </w:rPr>
        <w:t xml:space="preserve">and other oversight functions of the </w:t>
      </w:r>
      <w:r w:rsidR="00AC7213" w:rsidRPr="38D9D120">
        <w:rPr>
          <w:rStyle w:val="ui-provider"/>
        </w:rPr>
        <w:t>Commission</w:t>
      </w:r>
      <w:r w:rsidR="00F36C34" w:rsidRPr="38D9D120">
        <w:rPr>
          <w:rStyle w:val="ui-provider"/>
        </w:rPr>
        <w:t xml:space="preserve"> may apply to some health service </w:t>
      </w:r>
      <w:r w:rsidR="00AC7213" w:rsidRPr="38D9D120">
        <w:rPr>
          <w:rStyle w:val="ui-provider"/>
        </w:rPr>
        <w:t>establishments</w:t>
      </w:r>
      <w:r w:rsidR="00F36C34" w:rsidRPr="38D9D120">
        <w:rPr>
          <w:rStyle w:val="ui-provider"/>
        </w:rPr>
        <w:t xml:space="preserve"> </w:t>
      </w:r>
      <w:r w:rsidR="00AC7213" w:rsidRPr="38D9D120">
        <w:rPr>
          <w:rStyle w:val="ui-provider"/>
        </w:rPr>
        <w:t>that receive State funding to deliver mental health services.</w:t>
      </w:r>
      <w:r w:rsidRPr="38D9D120">
        <w:rPr>
          <w:rStyle w:val="ui-provider"/>
        </w:rPr>
        <w:t xml:space="preserve"> Further information will be released in relation to application of that legislation in preparation for its commencement.</w:t>
      </w:r>
      <w:r w:rsidR="00A4512E" w:rsidRPr="38D9D120">
        <w:rPr>
          <w:rStyle w:val="ui-provider"/>
        </w:rPr>
        <w:t xml:space="preserve"> </w:t>
      </w:r>
    </w:p>
    <w:p w14:paraId="3CA24A12" w14:textId="61B1BBEE" w:rsidR="00AF5DAC" w:rsidRPr="00E8403E" w:rsidRDefault="00A4512E" w:rsidP="00AF5DAC">
      <w:pPr>
        <w:pStyle w:val="Body"/>
      </w:pPr>
      <w:r>
        <w:rPr>
          <w:rStyle w:val="ui-provider"/>
        </w:rPr>
        <w:t xml:space="preserve">Health service establishments providing </w:t>
      </w:r>
      <w:r w:rsidR="00306C15">
        <w:rPr>
          <w:rStyle w:val="ui-provider"/>
        </w:rPr>
        <w:t xml:space="preserve">mental health services as prescribed in the Regulations are subject to all relevant </w:t>
      </w:r>
      <w:r w:rsidR="009E615B">
        <w:rPr>
          <w:rStyle w:val="ui-provider"/>
        </w:rPr>
        <w:t>obligations</w:t>
      </w:r>
      <w:r w:rsidR="00306C15">
        <w:rPr>
          <w:rStyle w:val="ui-provider"/>
        </w:rPr>
        <w:t xml:space="preserve"> in the Act and Regulations </w:t>
      </w:r>
      <w:r w:rsidR="00D01C4C">
        <w:rPr>
          <w:rStyle w:val="ui-provider"/>
        </w:rPr>
        <w:t xml:space="preserve">and it is intended that continue when the new </w:t>
      </w:r>
      <w:r w:rsidR="00C104EB">
        <w:rPr>
          <w:rStyle w:val="ui-provider"/>
        </w:rPr>
        <w:t>Regulations</w:t>
      </w:r>
      <w:r w:rsidR="00D01C4C">
        <w:rPr>
          <w:rStyle w:val="ui-provider"/>
        </w:rPr>
        <w:t xml:space="preserve"> are made. </w:t>
      </w:r>
    </w:p>
    <w:p w14:paraId="64B1ED9B" w14:textId="771C3B8A" w:rsidR="000175ED" w:rsidRDefault="000175ED" w:rsidP="00084F9C">
      <w:pPr>
        <w:pStyle w:val="Heading2"/>
      </w:pPr>
      <w:bookmarkStart w:id="47" w:name="_Toc141177725"/>
      <w:bookmarkStart w:id="48" w:name="_Toc143272000"/>
      <w:r>
        <w:t xml:space="preserve">Scope of </w:t>
      </w:r>
      <w:r w:rsidR="003C18DA">
        <w:t xml:space="preserve">the review and </w:t>
      </w:r>
      <w:r>
        <w:t>consultation</w:t>
      </w:r>
      <w:bookmarkEnd w:id="47"/>
      <w:bookmarkEnd w:id="48"/>
    </w:p>
    <w:p w14:paraId="37AD38AC" w14:textId="32E1F6EB" w:rsidR="0040319A" w:rsidRPr="00DF3FEF" w:rsidRDefault="00755F69" w:rsidP="0040319A">
      <w:pPr>
        <w:pStyle w:val="Body"/>
      </w:pPr>
      <w:r w:rsidRPr="00405EF8">
        <w:t xml:space="preserve">The review aims to </w:t>
      </w:r>
      <w:r w:rsidR="008D51BA">
        <w:t>consider</w:t>
      </w:r>
      <w:r w:rsidRPr="00405EF8">
        <w:t xml:space="preserve"> whether the Regulations remain fit for purpose, or whether reforms are needed</w:t>
      </w:r>
      <w:r w:rsidR="00B165C9">
        <w:t xml:space="preserve"> to ensure they effectively achieve the regulatory objectives of </w:t>
      </w:r>
      <w:r w:rsidR="00BE35CD">
        <w:t>safe, quality patient care</w:t>
      </w:r>
      <w:r w:rsidRPr="00405EF8">
        <w:t xml:space="preserve">. </w:t>
      </w:r>
      <w:r w:rsidR="001D64DC">
        <w:t xml:space="preserve">The department welcomes feedback on </w:t>
      </w:r>
      <w:r w:rsidR="00C15908" w:rsidRPr="00405EF8">
        <w:t>all aspects of the Regulations</w:t>
      </w:r>
      <w:r w:rsidR="0088323A">
        <w:t>,</w:t>
      </w:r>
      <w:r w:rsidR="00C15908" w:rsidRPr="00405EF8">
        <w:t xml:space="preserve"> </w:t>
      </w:r>
      <w:r w:rsidR="00405EF8" w:rsidRPr="00405EF8">
        <w:t>including</w:t>
      </w:r>
      <w:r w:rsidR="00C15908" w:rsidRPr="00405EF8">
        <w:t xml:space="preserve"> </w:t>
      </w:r>
      <w:r w:rsidR="0040319A" w:rsidRPr="00405EF8">
        <w:t>what needs to be regulated and what may be better managed through other means</w:t>
      </w:r>
      <w:r w:rsidR="00405EF8" w:rsidRPr="00405EF8">
        <w:t xml:space="preserve">, and </w:t>
      </w:r>
      <w:r w:rsidR="0040319A" w:rsidRPr="00405EF8">
        <w:t>the impact of the Regulations</w:t>
      </w:r>
      <w:r w:rsidR="00405EF8" w:rsidRPr="00405EF8">
        <w:t xml:space="preserve"> or </w:t>
      </w:r>
      <w:r w:rsidR="0040319A" w:rsidRPr="00405EF8">
        <w:t>propos</w:t>
      </w:r>
      <w:r w:rsidR="00405EF8" w:rsidRPr="00405EF8">
        <w:t>ed changes.</w:t>
      </w:r>
      <w:r w:rsidR="00405EF8">
        <w:t xml:space="preserve"> </w:t>
      </w:r>
    </w:p>
    <w:p w14:paraId="047E1F98" w14:textId="3114A814" w:rsidR="00092FD1" w:rsidRDefault="00526870" w:rsidP="00526870">
      <w:pPr>
        <w:pStyle w:val="Body"/>
      </w:pPr>
      <w:r>
        <w:t>This paper canvasses issues and concerns that have been raised by interested parties with the department previously</w:t>
      </w:r>
      <w:r w:rsidR="009270CC">
        <w:t>. It</w:t>
      </w:r>
      <w:r>
        <w:t xml:space="preserve"> outlines some areas for possible reform</w:t>
      </w:r>
      <w:r w:rsidR="00195540">
        <w:t xml:space="preserve"> and </w:t>
      </w:r>
      <w:r w:rsidR="00BD64A8">
        <w:t>presents</w:t>
      </w:r>
      <w:r w:rsidR="00195540">
        <w:t xml:space="preserve"> </w:t>
      </w:r>
      <w:r>
        <w:t xml:space="preserve">options for consideration. However, stakeholders are encouraged to provide feedback on any issues related to the Regulations. </w:t>
      </w:r>
    </w:p>
    <w:p w14:paraId="420F032A" w14:textId="1641AF35" w:rsidR="009C04F2" w:rsidRDefault="009C04F2" w:rsidP="009C04F2">
      <w:pPr>
        <w:pStyle w:val="Body"/>
      </w:pPr>
      <w:r>
        <w:t xml:space="preserve">The scope of this review is limited to issues and amendments related to the Regulations. Any reforms that would require amendments to the Act are out of scope but may be noted by the department for future consideration. </w:t>
      </w:r>
    </w:p>
    <w:p w14:paraId="62438500" w14:textId="056DC80B" w:rsidR="00033AB3" w:rsidRDefault="00033AB3" w:rsidP="009C04F2">
      <w:pPr>
        <w:pStyle w:val="Body"/>
      </w:pPr>
      <w:r>
        <w:t xml:space="preserve">While the review may consider alignment between requirements and arrangements for public and private sector hospitals, reforms affecting the public sector are beyond the scope of the review. </w:t>
      </w:r>
    </w:p>
    <w:p w14:paraId="31F15E22" w14:textId="1C316D0A" w:rsidR="006F0665" w:rsidRDefault="006F0665" w:rsidP="009C04F2">
      <w:pPr>
        <w:pStyle w:val="Body"/>
      </w:pPr>
      <w:r>
        <w:t xml:space="preserve">This discussion paper does not replace or intend to interpret the </w:t>
      </w:r>
      <w:r w:rsidR="00DD5B1A">
        <w:t xml:space="preserve">Act and Regulations (or other relevant acts and regulations). </w:t>
      </w:r>
      <w:r>
        <w:t xml:space="preserve">It is recommended that </w:t>
      </w:r>
      <w:r w:rsidR="005D74B2">
        <w:t xml:space="preserve">health service establishment </w:t>
      </w:r>
      <w:r>
        <w:t>operators obtain legal advice for interpretation of specific provisions, as required.</w:t>
      </w:r>
    </w:p>
    <w:p w14:paraId="00C1DE1A" w14:textId="75DAF13F" w:rsidR="00084F9C" w:rsidRDefault="00084F9C" w:rsidP="00084F9C">
      <w:pPr>
        <w:pStyle w:val="Heading2"/>
      </w:pPr>
      <w:bookmarkStart w:id="49" w:name="_Toc141177726"/>
      <w:bookmarkStart w:id="50" w:name="_Toc143272001"/>
      <w:r w:rsidRPr="00084F9C">
        <w:lastRenderedPageBreak/>
        <w:t>How changes are made to the Regulations</w:t>
      </w:r>
      <w:bookmarkEnd w:id="49"/>
      <w:bookmarkEnd w:id="50"/>
    </w:p>
    <w:p w14:paraId="76FE4448" w14:textId="65DCEE1F" w:rsidR="00027DE7" w:rsidRPr="00EF24ED" w:rsidRDefault="00EF24ED" w:rsidP="00672539">
      <w:pPr>
        <w:pStyle w:val="Body"/>
      </w:pPr>
      <w:r w:rsidRPr="00EF24ED">
        <w:t xml:space="preserve">Under section 158 of the Act, the Governor in Council </w:t>
      </w:r>
      <w:r>
        <w:t>may</w:t>
      </w:r>
      <w:r w:rsidRPr="00EF24ED">
        <w:t xml:space="preserve"> make regulations related to private hospitals and day procedure centres.</w:t>
      </w:r>
      <w:r>
        <w:t xml:space="preserve"> </w:t>
      </w:r>
      <w:r w:rsidR="009E3BF2">
        <w:t xml:space="preserve">The making of any regulations must comply with the requirements of the Subordinate Legislation Act. </w:t>
      </w:r>
      <w:r>
        <w:t>The</w:t>
      </w:r>
      <w:r w:rsidR="009E3BF2">
        <w:t xml:space="preserve"> </w:t>
      </w:r>
      <w:r>
        <w:t xml:space="preserve">Governor in Council makes regulations under the Act </w:t>
      </w:r>
      <w:r w:rsidR="009E3BF2">
        <w:t xml:space="preserve">based </w:t>
      </w:r>
      <w:r>
        <w:t xml:space="preserve">on </w:t>
      </w:r>
      <w:r w:rsidR="0090634E">
        <w:t>the</w:t>
      </w:r>
      <w:r>
        <w:t xml:space="preserve"> recommendation of the Minister for Health</w:t>
      </w:r>
      <w:r w:rsidR="009E3BF2">
        <w:t xml:space="preserve">. </w:t>
      </w:r>
    </w:p>
    <w:p w14:paraId="65FDFA78" w14:textId="04BC7881" w:rsidR="00006043" w:rsidRPr="000175ED" w:rsidRDefault="00006043" w:rsidP="00006043">
      <w:pPr>
        <w:pStyle w:val="Heading3"/>
        <w:rPr>
          <w:sz w:val="21"/>
        </w:rPr>
      </w:pPr>
      <w:r>
        <w:t>Anticipated timelines</w:t>
      </w:r>
    </w:p>
    <w:p w14:paraId="1C1CFAED" w14:textId="53A78C97" w:rsidR="009E3BF2" w:rsidRDefault="009E3BF2" w:rsidP="00672539">
      <w:pPr>
        <w:pStyle w:val="Body"/>
      </w:pPr>
      <w:r>
        <w:rPr>
          <w:szCs w:val="21"/>
        </w:rPr>
        <w:t xml:space="preserve">The Regulations </w:t>
      </w:r>
      <w:r w:rsidR="009A2958">
        <w:rPr>
          <w:szCs w:val="21"/>
        </w:rPr>
        <w:t xml:space="preserve">will expire on </w:t>
      </w:r>
      <w:r w:rsidR="0044140C">
        <w:rPr>
          <w:szCs w:val="21"/>
        </w:rPr>
        <w:t>1</w:t>
      </w:r>
      <w:r w:rsidR="009A2958">
        <w:rPr>
          <w:szCs w:val="21"/>
        </w:rPr>
        <w:t xml:space="preserve"> September 2024</w:t>
      </w:r>
      <w:r>
        <w:t xml:space="preserve">. </w:t>
      </w:r>
    </w:p>
    <w:p w14:paraId="77666C59" w14:textId="245698B7" w:rsidR="007D2A2B" w:rsidRDefault="007D2A2B" w:rsidP="00672539">
      <w:pPr>
        <w:pStyle w:val="Body"/>
        <w:rPr>
          <w:lang w:eastAsia="en-AU"/>
        </w:rPr>
      </w:pPr>
    </w:p>
    <w:tbl>
      <w:tblPr>
        <w:tblStyle w:val="TableGrid"/>
        <w:tblW w:w="5000" w:type="pct"/>
        <w:tblLook w:val="04A0" w:firstRow="1" w:lastRow="0" w:firstColumn="1" w:lastColumn="0" w:noHBand="0" w:noVBand="1"/>
      </w:tblPr>
      <w:tblGrid>
        <w:gridCol w:w="6378"/>
        <w:gridCol w:w="2920"/>
      </w:tblGrid>
      <w:tr w:rsidR="00111274" w14:paraId="3EEC2F7B" w14:textId="77777777" w:rsidTr="00955189">
        <w:trPr>
          <w:trHeight w:val="683"/>
        </w:trPr>
        <w:tc>
          <w:tcPr>
            <w:tcW w:w="3430" w:type="pct"/>
            <w:tcBorders>
              <w:left w:val="nil"/>
              <w:bottom w:val="single" w:sz="4" w:space="0" w:color="auto"/>
              <w:right w:val="nil"/>
            </w:tcBorders>
          </w:tcPr>
          <w:p w14:paraId="6D3496AE" w14:textId="54F82D17" w:rsidR="00BC0A1A" w:rsidRDefault="00BC0A1A" w:rsidP="0074379B">
            <w:pPr>
              <w:pStyle w:val="Tablecolhead"/>
              <w:rPr>
                <w:lang w:eastAsia="en-AU"/>
              </w:rPr>
            </w:pPr>
            <w:r>
              <w:t>Public consultation on discussion paper</w:t>
            </w:r>
          </w:p>
        </w:tc>
        <w:tc>
          <w:tcPr>
            <w:tcW w:w="1570" w:type="pct"/>
            <w:tcBorders>
              <w:left w:val="nil"/>
              <w:bottom w:val="single" w:sz="4" w:space="0" w:color="auto"/>
              <w:right w:val="nil"/>
            </w:tcBorders>
          </w:tcPr>
          <w:p w14:paraId="1585892D" w14:textId="590BA837" w:rsidR="00BC0A1A" w:rsidRPr="00EB56B5" w:rsidRDefault="00A34ECE" w:rsidP="009E3BF2">
            <w:pPr>
              <w:pStyle w:val="DHHSbody"/>
              <w:spacing w:before="120"/>
              <w:rPr>
                <w:sz w:val="21"/>
                <w:szCs w:val="21"/>
                <w:lang w:eastAsia="en-AU"/>
              </w:rPr>
            </w:pPr>
            <w:r w:rsidRPr="00EB56B5">
              <w:rPr>
                <w:sz w:val="21"/>
                <w:szCs w:val="21"/>
                <w:lang w:eastAsia="en-AU"/>
              </w:rPr>
              <w:t>August</w:t>
            </w:r>
            <w:r w:rsidR="00EB4A58" w:rsidRPr="00EB56B5">
              <w:rPr>
                <w:sz w:val="21"/>
                <w:szCs w:val="21"/>
                <w:lang w:eastAsia="en-AU"/>
              </w:rPr>
              <w:t xml:space="preserve"> </w:t>
            </w:r>
            <w:r w:rsidR="00C123CB" w:rsidRPr="00EB56B5">
              <w:rPr>
                <w:sz w:val="21"/>
                <w:szCs w:val="21"/>
                <w:lang w:eastAsia="en-AU"/>
              </w:rPr>
              <w:t>–</w:t>
            </w:r>
            <w:r w:rsidR="00EB4A58" w:rsidRPr="00EB56B5">
              <w:rPr>
                <w:sz w:val="21"/>
                <w:szCs w:val="21"/>
                <w:lang w:eastAsia="en-AU"/>
              </w:rPr>
              <w:t xml:space="preserve"> September 2023</w:t>
            </w:r>
          </w:p>
        </w:tc>
      </w:tr>
      <w:tr w:rsidR="00111274" w14:paraId="6C5171D9" w14:textId="77777777" w:rsidTr="00955189">
        <w:trPr>
          <w:trHeight w:val="441"/>
        </w:trPr>
        <w:tc>
          <w:tcPr>
            <w:tcW w:w="3430" w:type="pct"/>
            <w:tcBorders>
              <w:left w:val="nil"/>
              <w:bottom w:val="single" w:sz="4" w:space="0" w:color="auto"/>
              <w:right w:val="nil"/>
            </w:tcBorders>
          </w:tcPr>
          <w:p w14:paraId="05E65B01" w14:textId="219A4F3F" w:rsidR="00BC0A1A" w:rsidRDefault="00994084" w:rsidP="0074379B">
            <w:pPr>
              <w:pStyle w:val="Tablecolhead"/>
              <w:rPr>
                <w:lang w:eastAsia="en-AU"/>
              </w:rPr>
            </w:pPr>
            <w:r>
              <w:t xml:space="preserve">Stakeholder </w:t>
            </w:r>
            <w:r w:rsidR="00A768AB">
              <w:t>engagement</w:t>
            </w:r>
            <w:r>
              <w:t xml:space="preserve"> </w:t>
            </w:r>
            <w:r w:rsidR="00B57568">
              <w:t xml:space="preserve">on discussion paper feedback and </w:t>
            </w:r>
            <w:r w:rsidR="00A768AB">
              <w:t xml:space="preserve">preparation of </w:t>
            </w:r>
            <w:r w:rsidR="00B57568">
              <w:t xml:space="preserve">Regulatory Impact Statement and </w:t>
            </w:r>
            <w:r w:rsidR="00A768AB">
              <w:t xml:space="preserve">draft </w:t>
            </w:r>
            <w:r w:rsidR="00C104EB">
              <w:t>Regulations</w:t>
            </w:r>
          </w:p>
        </w:tc>
        <w:tc>
          <w:tcPr>
            <w:tcW w:w="1570" w:type="pct"/>
            <w:tcBorders>
              <w:left w:val="nil"/>
              <w:bottom w:val="single" w:sz="4" w:space="0" w:color="auto"/>
              <w:right w:val="nil"/>
            </w:tcBorders>
          </w:tcPr>
          <w:p w14:paraId="713DD641" w14:textId="2EE7CD3B" w:rsidR="00BC0A1A" w:rsidRPr="00EB56B5" w:rsidRDefault="00EB4A58" w:rsidP="009E3BF2">
            <w:pPr>
              <w:pStyle w:val="DHHSbody"/>
              <w:spacing w:before="120"/>
              <w:rPr>
                <w:sz w:val="21"/>
                <w:szCs w:val="21"/>
                <w:lang w:eastAsia="en-AU"/>
              </w:rPr>
            </w:pPr>
            <w:r w:rsidRPr="00EB56B5">
              <w:rPr>
                <w:sz w:val="21"/>
                <w:szCs w:val="21"/>
                <w:lang w:eastAsia="en-AU"/>
              </w:rPr>
              <w:t xml:space="preserve">October </w:t>
            </w:r>
            <w:r w:rsidR="007C7C3D" w:rsidRPr="00EB56B5">
              <w:rPr>
                <w:sz w:val="21"/>
                <w:szCs w:val="21"/>
                <w:lang w:eastAsia="en-AU"/>
              </w:rPr>
              <w:t>2023 –</w:t>
            </w:r>
            <w:r w:rsidRPr="00EB56B5">
              <w:rPr>
                <w:sz w:val="21"/>
                <w:szCs w:val="21"/>
                <w:lang w:eastAsia="en-AU"/>
              </w:rPr>
              <w:t xml:space="preserve"> </w:t>
            </w:r>
            <w:r w:rsidR="00665466" w:rsidRPr="00EB56B5">
              <w:rPr>
                <w:sz w:val="21"/>
                <w:szCs w:val="21"/>
                <w:lang w:eastAsia="en-AU"/>
              </w:rPr>
              <w:t>March</w:t>
            </w:r>
            <w:r w:rsidR="007C7C3D" w:rsidRPr="00EB56B5">
              <w:rPr>
                <w:sz w:val="21"/>
                <w:szCs w:val="21"/>
                <w:lang w:eastAsia="en-AU"/>
              </w:rPr>
              <w:t xml:space="preserve"> 2024</w:t>
            </w:r>
          </w:p>
        </w:tc>
      </w:tr>
      <w:tr w:rsidR="00111274" w14:paraId="1BACF75E" w14:textId="77777777" w:rsidTr="00955189">
        <w:trPr>
          <w:trHeight w:val="535"/>
        </w:trPr>
        <w:tc>
          <w:tcPr>
            <w:tcW w:w="3430" w:type="pct"/>
            <w:tcBorders>
              <w:left w:val="nil"/>
              <w:bottom w:val="single" w:sz="4" w:space="0" w:color="auto"/>
              <w:right w:val="nil"/>
            </w:tcBorders>
          </w:tcPr>
          <w:p w14:paraId="0B8983F4" w14:textId="56517BD8" w:rsidR="00BC0A1A" w:rsidRDefault="00994084" w:rsidP="0074379B">
            <w:pPr>
              <w:pStyle w:val="Tablecolhead"/>
              <w:rPr>
                <w:lang w:eastAsia="en-AU"/>
              </w:rPr>
            </w:pPr>
            <w:r>
              <w:t xml:space="preserve">Public consultation on Regulatory Impact Statement </w:t>
            </w:r>
            <w:r w:rsidR="007C7C3D">
              <w:t>and</w:t>
            </w:r>
            <w:r>
              <w:t xml:space="preserve"> draft Regulations</w:t>
            </w:r>
          </w:p>
        </w:tc>
        <w:tc>
          <w:tcPr>
            <w:tcW w:w="1570" w:type="pct"/>
            <w:tcBorders>
              <w:left w:val="nil"/>
              <w:bottom w:val="single" w:sz="4" w:space="0" w:color="auto"/>
              <w:right w:val="nil"/>
            </w:tcBorders>
          </w:tcPr>
          <w:p w14:paraId="3597CD55" w14:textId="574E2A88" w:rsidR="00BC0A1A" w:rsidRPr="00EB56B5" w:rsidRDefault="0097796E" w:rsidP="009E3BF2">
            <w:pPr>
              <w:pStyle w:val="DHHSbody"/>
              <w:spacing w:before="120"/>
              <w:rPr>
                <w:sz w:val="21"/>
                <w:szCs w:val="21"/>
                <w:lang w:eastAsia="en-AU"/>
              </w:rPr>
            </w:pPr>
            <w:r w:rsidRPr="00EB56B5">
              <w:rPr>
                <w:sz w:val="21"/>
                <w:szCs w:val="21"/>
                <w:lang w:eastAsia="en-AU"/>
              </w:rPr>
              <w:t>April 2024 – May 2024</w:t>
            </w:r>
          </w:p>
        </w:tc>
      </w:tr>
      <w:tr w:rsidR="00111274" w14:paraId="799C784B" w14:textId="77777777" w:rsidTr="00955189">
        <w:trPr>
          <w:trHeight w:val="549"/>
        </w:trPr>
        <w:tc>
          <w:tcPr>
            <w:tcW w:w="3430" w:type="pct"/>
            <w:tcBorders>
              <w:left w:val="nil"/>
              <w:bottom w:val="single" w:sz="4" w:space="0" w:color="auto"/>
              <w:right w:val="nil"/>
            </w:tcBorders>
          </w:tcPr>
          <w:p w14:paraId="559AA18C" w14:textId="3C9649AB" w:rsidR="00BC0A1A" w:rsidRDefault="00665466" w:rsidP="0074379B">
            <w:pPr>
              <w:pStyle w:val="Tablecolhead"/>
              <w:rPr>
                <w:lang w:eastAsia="en-AU"/>
              </w:rPr>
            </w:pPr>
            <w:r>
              <w:t xml:space="preserve">Development and making of proposed Regulations </w:t>
            </w:r>
          </w:p>
        </w:tc>
        <w:tc>
          <w:tcPr>
            <w:tcW w:w="1570" w:type="pct"/>
            <w:tcBorders>
              <w:left w:val="nil"/>
              <w:bottom w:val="single" w:sz="4" w:space="0" w:color="auto"/>
              <w:right w:val="nil"/>
            </w:tcBorders>
          </w:tcPr>
          <w:p w14:paraId="28344DE1" w14:textId="431E2261" w:rsidR="00BC0A1A" w:rsidRPr="00EB56B5" w:rsidRDefault="00665466" w:rsidP="009E3BF2">
            <w:pPr>
              <w:pStyle w:val="DHHSbody"/>
              <w:spacing w:before="120"/>
              <w:rPr>
                <w:sz w:val="21"/>
                <w:szCs w:val="21"/>
                <w:lang w:eastAsia="en-AU"/>
              </w:rPr>
            </w:pPr>
            <w:r w:rsidRPr="00EB56B5">
              <w:rPr>
                <w:sz w:val="21"/>
                <w:szCs w:val="21"/>
                <w:lang w:eastAsia="en-AU"/>
              </w:rPr>
              <w:t xml:space="preserve">June 2024 – August 2024 </w:t>
            </w:r>
          </w:p>
        </w:tc>
      </w:tr>
      <w:tr w:rsidR="009977A1" w14:paraId="05C4DEC3" w14:textId="77777777" w:rsidTr="00955189">
        <w:trPr>
          <w:trHeight w:val="441"/>
        </w:trPr>
        <w:tc>
          <w:tcPr>
            <w:tcW w:w="3430" w:type="pct"/>
            <w:tcBorders>
              <w:left w:val="nil"/>
              <w:right w:val="nil"/>
            </w:tcBorders>
          </w:tcPr>
          <w:p w14:paraId="02BFC0FF" w14:textId="3B7FCBB9" w:rsidR="00BC0A1A" w:rsidRDefault="0074379B" w:rsidP="0074379B">
            <w:pPr>
              <w:pStyle w:val="Tablecolhead"/>
              <w:rPr>
                <w:lang w:eastAsia="en-AU"/>
              </w:rPr>
            </w:pPr>
            <w:r>
              <w:t>Making of new Regulations</w:t>
            </w:r>
            <w:r>
              <w:rPr>
                <w:lang w:eastAsia="en-AU"/>
              </w:rPr>
              <w:t xml:space="preserve"> </w:t>
            </w:r>
          </w:p>
        </w:tc>
        <w:tc>
          <w:tcPr>
            <w:tcW w:w="1570" w:type="pct"/>
            <w:tcBorders>
              <w:left w:val="nil"/>
              <w:right w:val="nil"/>
            </w:tcBorders>
          </w:tcPr>
          <w:p w14:paraId="115BB1E8" w14:textId="05D5CE56" w:rsidR="00BC0A1A" w:rsidRPr="00EB56B5" w:rsidRDefault="008716C5" w:rsidP="009E3BF2">
            <w:pPr>
              <w:pStyle w:val="DHHSbody"/>
              <w:spacing w:before="120"/>
              <w:rPr>
                <w:sz w:val="21"/>
                <w:szCs w:val="21"/>
                <w:lang w:eastAsia="en-AU"/>
              </w:rPr>
            </w:pPr>
            <w:r w:rsidRPr="00EB56B5">
              <w:rPr>
                <w:sz w:val="21"/>
                <w:szCs w:val="21"/>
                <w:lang w:eastAsia="en-AU"/>
              </w:rPr>
              <w:t>By September 2024</w:t>
            </w:r>
          </w:p>
        </w:tc>
      </w:tr>
    </w:tbl>
    <w:p w14:paraId="68B6C24E" w14:textId="77777777" w:rsidR="00027DE7" w:rsidRDefault="00027DE7" w:rsidP="008911F9">
      <w:pPr>
        <w:pStyle w:val="Body"/>
        <w:rPr>
          <w:rFonts w:eastAsia="MS Gothic" w:cs="Arial"/>
          <w:bCs/>
          <w:color w:val="C5511A"/>
          <w:kern w:val="32"/>
          <w:sz w:val="44"/>
          <w:szCs w:val="44"/>
        </w:rPr>
      </w:pPr>
      <w:r>
        <w:br w:type="page"/>
      </w:r>
    </w:p>
    <w:p w14:paraId="10DC612E" w14:textId="030F8BED" w:rsidR="00FD413B" w:rsidRDefault="0001299B" w:rsidP="006E5E57">
      <w:pPr>
        <w:pStyle w:val="Heading1"/>
      </w:pPr>
      <w:bookmarkStart w:id="51" w:name="_Toc141177727"/>
      <w:bookmarkStart w:id="52" w:name="_Toc143272002"/>
      <w:r>
        <w:lastRenderedPageBreak/>
        <w:t>1. H</w:t>
      </w:r>
      <w:r w:rsidR="00B06469">
        <w:t xml:space="preserve">ealth </w:t>
      </w:r>
      <w:r>
        <w:t>service definitions and scope</w:t>
      </w:r>
      <w:bookmarkEnd w:id="51"/>
      <w:bookmarkEnd w:id="52"/>
      <w:r w:rsidR="006E5E57">
        <w:t xml:space="preserve"> </w:t>
      </w:r>
    </w:p>
    <w:p w14:paraId="65B86FA4" w14:textId="11FE10A4" w:rsidR="00766C26" w:rsidRDefault="00600621" w:rsidP="00672539">
      <w:pPr>
        <w:pStyle w:val="Heading2"/>
      </w:pPr>
      <w:bookmarkStart w:id="53" w:name="_Toc141177728"/>
      <w:bookmarkStart w:id="54" w:name="_Toc143272003"/>
      <w:r>
        <w:t xml:space="preserve">1.1. </w:t>
      </w:r>
      <w:r w:rsidR="00C43410">
        <w:t xml:space="preserve">Current </w:t>
      </w:r>
      <w:r w:rsidR="00E01B01">
        <w:t>health service definitions</w:t>
      </w:r>
      <w:bookmarkEnd w:id="53"/>
      <w:bookmarkEnd w:id="54"/>
    </w:p>
    <w:p w14:paraId="56E07EE6" w14:textId="091F46D7" w:rsidR="008405FA" w:rsidRDefault="00AC604D" w:rsidP="00AC604D">
      <w:pPr>
        <w:pStyle w:val="Body"/>
      </w:pPr>
      <w:r>
        <w:t>The Regulations prescribe health services for the purposes of the definition of ‘day procedure centre’ (r.6) and ‘private hospital’ (r.7). The effect of prescribing a health service (for example endoscopy, oocyte retrieval, anaesthesia) is that the health service can only be provided in a registered private hospital or day procedure centre (not in consulting rooms</w:t>
      </w:r>
      <w:r w:rsidR="00EB56B5">
        <w:t>,</w:t>
      </w:r>
      <w:r>
        <w:t xml:space="preserve"> for example). </w:t>
      </w:r>
    </w:p>
    <w:p w14:paraId="4424784A" w14:textId="0F1B60B0" w:rsidR="00AC604D" w:rsidRDefault="00FF5547" w:rsidP="00AC604D">
      <w:pPr>
        <w:pStyle w:val="Body"/>
      </w:pPr>
      <w:r>
        <w:t>P</w:t>
      </w:r>
      <w:r w:rsidR="00AC604D">
        <w:t>rescribing health service</w:t>
      </w:r>
      <w:r w:rsidR="00CB47E9">
        <w:t>s</w:t>
      </w:r>
      <w:r w:rsidR="00AC604D">
        <w:t xml:space="preserve"> under the Regulations ensures </w:t>
      </w:r>
      <w:r w:rsidR="00CB47E9">
        <w:t>they are</w:t>
      </w:r>
      <w:r w:rsidR="00AC604D">
        <w:t xml:space="preserve"> performed in </w:t>
      </w:r>
      <w:r w:rsidR="007D580F">
        <w:t xml:space="preserve">registered </w:t>
      </w:r>
      <w:r w:rsidR="00AC604D">
        <w:t>facilit</w:t>
      </w:r>
      <w:r w:rsidR="000625BC">
        <w:t>ies</w:t>
      </w:r>
      <w:r w:rsidR="00AC604D">
        <w:t xml:space="preserve"> that meet minimum safety and quality standards and </w:t>
      </w:r>
      <w:r w:rsidR="002D5819">
        <w:t xml:space="preserve">are </w:t>
      </w:r>
      <w:r w:rsidR="00AC604D">
        <w:t>regulat</w:t>
      </w:r>
      <w:r w:rsidR="00F170C6">
        <w:t>ed</w:t>
      </w:r>
      <w:r w:rsidR="00AC604D">
        <w:t xml:space="preserve"> by the department to protect patients from risks of harm associated with th</w:t>
      </w:r>
      <w:r w:rsidR="002D5819">
        <w:t>ose</w:t>
      </w:r>
      <w:r w:rsidR="00AC604D">
        <w:t xml:space="preserve"> health service</w:t>
      </w:r>
      <w:r w:rsidR="002D5819">
        <w:t>s</w:t>
      </w:r>
      <w:r w:rsidR="00AC604D">
        <w:t xml:space="preserve">. </w:t>
      </w:r>
      <w:r w:rsidR="00C56C28">
        <w:t>Patient p</w:t>
      </w:r>
      <w:r w:rsidR="00AC604D">
        <w:t>rotecti</w:t>
      </w:r>
      <w:r w:rsidR="005929E3">
        <w:t>on</w:t>
      </w:r>
      <w:r w:rsidR="00AC604D">
        <w:t xml:space="preserve"> must be balanced against the impacts of requiring health service</w:t>
      </w:r>
      <w:r w:rsidR="005C170E">
        <w:t>s</w:t>
      </w:r>
      <w:r w:rsidR="00AC604D">
        <w:t xml:space="preserve"> to be performed in registered private hospital</w:t>
      </w:r>
      <w:r w:rsidR="005C170E">
        <w:t>s</w:t>
      </w:r>
      <w:r w:rsidR="00AC604D">
        <w:t xml:space="preserve"> or day procedure centre</w:t>
      </w:r>
      <w:r w:rsidR="00825F54">
        <w:t>s</w:t>
      </w:r>
      <w:r w:rsidR="005C170E">
        <w:t>.</w:t>
      </w:r>
      <w:r w:rsidR="00AC604D">
        <w:t xml:space="preserve"> </w:t>
      </w:r>
      <w:r w:rsidR="00071D14">
        <w:t>Impact</w:t>
      </w:r>
      <w:r w:rsidR="00C121F5">
        <w:t xml:space="preserve">s </w:t>
      </w:r>
      <w:r w:rsidR="00357052">
        <w:t xml:space="preserve">could </w:t>
      </w:r>
      <w:r w:rsidR="00AC604D">
        <w:t>includ</w:t>
      </w:r>
      <w:r w:rsidR="00357052">
        <w:t>e</w:t>
      </w:r>
      <w:r w:rsidR="00AC604D">
        <w:t xml:space="preserve"> reduced access to health service</w:t>
      </w:r>
      <w:r w:rsidR="00B21206">
        <w:t>s</w:t>
      </w:r>
      <w:r w:rsidR="00AC604D">
        <w:t xml:space="preserve"> (especially in regional and rural areas) and increased costs of health service</w:t>
      </w:r>
      <w:r w:rsidR="00B21206">
        <w:t>s</w:t>
      </w:r>
      <w:r w:rsidR="00AC604D">
        <w:t xml:space="preserve">. </w:t>
      </w:r>
    </w:p>
    <w:p w14:paraId="46277FF5" w14:textId="5A09C612" w:rsidR="00AC604D" w:rsidRDefault="000013D9" w:rsidP="00AC604D">
      <w:pPr>
        <w:pStyle w:val="Body"/>
      </w:pPr>
      <w:r>
        <w:t>The</w:t>
      </w:r>
      <w:r w:rsidR="00AC604D">
        <w:t xml:space="preserve"> Regulator draws on the list of prescribed health services in the Regulations to specify in a health service establishment’s certificate of registration the specific services that a premises is registered to provide. </w:t>
      </w:r>
    </w:p>
    <w:p w14:paraId="7464A202" w14:textId="68865E72" w:rsidR="00AC604D" w:rsidRDefault="00AC604D" w:rsidP="00AC604D">
      <w:pPr>
        <w:pStyle w:val="Body"/>
      </w:pPr>
      <w:r>
        <w:t>Some health services are defined in the Regulations (r.5)</w:t>
      </w:r>
      <w:r w:rsidR="009E4196">
        <w:t>,</w:t>
      </w:r>
      <w:r>
        <w:t xml:space="preserve"> including medical health service, surgical health service, speciality health service, anaesthesia (a type of speciality health service), emergency medicine (a type of speciality health service), </w:t>
      </w:r>
      <w:r w:rsidR="00A327D1">
        <w:t xml:space="preserve">and </w:t>
      </w:r>
      <w:r>
        <w:t xml:space="preserve">renal dialysis (a type of speciality health service). </w:t>
      </w:r>
      <w:r w:rsidRPr="007C216A">
        <w:rPr>
          <w:b/>
          <w:bCs/>
        </w:rPr>
        <w:t>Table 1</w:t>
      </w:r>
      <w:r>
        <w:t xml:space="preserve"> includes a list of defined health services and their definitions. </w:t>
      </w:r>
    </w:p>
    <w:p w14:paraId="53A815EB" w14:textId="34E18EB9" w:rsidR="00AC604D" w:rsidRDefault="00AC604D" w:rsidP="00AC604D">
      <w:pPr>
        <w:pStyle w:val="Body"/>
      </w:pPr>
      <w:r>
        <w:t xml:space="preserve">Other speciality health services are </w:t>
      </w:r>
      <w:r w:rsidR="00FF239D">
        <w:t xml:space="preserve">mentioned </w:t>
      </w:r>
      <w:r>
        <w:t xml:space="preserve">in the Act or Regulations </w:t>
      </w:r>
      <w:r w:rsidR="00FF239D">
        <w:t xml:space="preserve">but are not defined </w:t>
      </w:r>
      <w:r>
        <w:t xml:space="preserve">(see </w:t>
      </w:r>
      <w:r w:rsidRPr="001C7100">
        <w:rPr>
          <w:b/>
          <w:bCs/>
        </w:rPr>
        <w:t>Table 2</w:t>
      </w:r>
      <w:r>
        <w:t xml:space="preserve">). Terms not defined in the Act or Regulations (or </w:t>
      </w:r>
      <w:r w:rsidRPr="001A2138">
        <w:rPr>
          <w:i/>
          <w:iCs/>
        </w:rPr>
        <w:t>Interpretation of Legislation Act 1984</w:t>
      </w:r>
      <w:r>
        <w:t xml:space="preserve">) </w:t>
      </w:r>
      <w:r w:rsidR="00A24CFC">
        <w:t>are</w:t>
      </w:r>
      <w:r>
        <w:t xml:space="preserve"> taken to mean their firmly established ‘legal or technical meaning’ if there is one (such as a meaning established through case law or a meaning that is well established by a health professi</w:t>
      </w:r>
      <w:r w:rsidR="002240FA">
        <w:t>on</w:t>
      </w:r>
      <w:r>
        <w:t xml:space="preserve"> col</w:t>
      </w:r>
      <w:r w:rsidR="002240FA">
        <w:t>l</w:t>
      </w:r>
      <w:r>
        <w:t xml:space="preserve">ege) or ordinary meaning (its meaning in the Macquarie Dictionary). </w:t>
      </w:r>
    </w:p>
    <w:p w14:paraId="725DC77D" w14:textId="6B495359" w:rsidR="00AC604D" w:rsidRDefault="00AC604D" w:rsidP="00AC604D">
      <w:pPr>
        <w:pStyle w:val="Tablecaption"/>
      </w:pPr>
      <w:r w:rsidRPr="00816E39">
        <w:t xml:space="preserve">Table 1: </w:t>
      </w:r>
      <w:r w:rsidR="00CC0039">
        <w:t>H</w:t>
      </w:r>
      <w:r w:rsidRPr="00816E39">
        <w:t xml:space="preserve">ealth services </w:t>
      </w:r>
      <w:r>
        <w:t xml:space="preserve">currently </w:t>
      </w:r>
      <w:r w:rsidRPr="00816E39">
        <w:t>defined in the Regulations</w:t>
      </w:r>
      <w:r>
        <w:t xml:space="preserve"> (r.</w:t>
      </w:r>
      <w:r w:rsidR="00496E57">
        <w:t>5</w:t>
      </w:r>
      <w:r>
        <w:t xml:space="preserve">) </w:t>
      </w:r>
    </w:p>
    <w:tbl>
      <w:tblPr>
        <w:tblStyle w:val="TableGrid"/>
        <w:tblW w:w="5000" w:type="pct"/>
        <w:tblLook w:val="06A0" w:firstRow="1" w:lastRow="0" w:firstColumn="1" w:lastColumn="0" w:noHBand="1" w:noVBand="1"/>
      </w:tblPr>
      <w:tblGrid>
        <w:gridCol w:w="1737"/>
        <w:gridCol w:w="7551"/>
      </w:tblGrid>
      <w:tr w:rsidR="00736178" w14:paraId="3CF1A914" w14:textId="77777777" w:rsidTr="002B7F3C">
        <w:trPr>
          <w:tblHeader/>
        </w:trPr>
        <w:tc>
          <w:tcPr>
            <w:tcW w:w="935" w:type="pct"/>
          </w:tcPr>
          <w:p w14:paraId="086D2DCE" w14:textId="77777777" w:rsidR="00736178" w:rsidRPr="00CB3285" w:rsidRDefault="00736178" w:rsidP="00EE45AE">
            <w:pPr>
              <w:pStyle w:val="Tablecolhead"/>
            </w:pPr>
            <w:r>
              <w:t>Health service</w:t>
            </w:r>
          </w:p>
        </w:tc>
        <w:tc>
          <w:tcPr>
            <w:tcW w:w="4065" w:type="pct"/>
          </w:tcPr>
          <w:p w14:paraId="5F82EE02" w14:textId="77777777" w:rsidR="00736178" w:rsidRDefault="00736178" w:rsidP="00EE45AE">
            <w:pPr>
              <w:pStyle w:val="Tablecolhead"/>
            </w:pPr>
            <w:r>
              <w:t>Definition</w:t>
            </w:r>
          </w:p>
        </w:tc>
      </w:tr>
      <w:tr w:rsidR="00736178" w14:paraId="61CC9275" w14:textId="77777777" w:rsidTr="002B7F3C">
        <w:tc>
          <w:tcPr>
            <w:tcW w:w="935" w:type="pct"/>
          </w:tcPr>
          <w:p w14:paraId="1DF042C1" w14:textId="77777777" w:rsidR="00736178" w:rsidRDefault="00736178" w:rsidP="00EE45AE">
            <w:r>
              <w:t>Medical health service</w:t>
            </w:r>
          </w:p>
        </w:tc>
        <w:tc>
          <w:tcPr>
            <w:tcW w:w="4065" w:type="pct"/>
          </w:tcPr>
          <w:p w14:paraId="253D9B77" w14:textId="77777777" w:rsidR="00736178" w:rsidRDefault="00736178" w:rsidP="00EE45AE">
            <w:pPr>
              <w:spacing w:after="60"/>
            </w:pPr>
            <w:r>
              <w:t>Means a health service (other than emergency stabilisation treatment) that –</w:t>
            </w:r>
          </w:p>
          <w:p w14:paraId="4781E44B" w14:textId="77777777" w:rsidR="00736178" w:rsidRDefault="00736178" w:rsidP="00EE45AE">
            <w:pPr>
              <w:spacing w:after="60"/>
            </w:pPr>
            <w:r>
              <w:t xml:space="preserve">(a) is provided to a patient by a registered medical practitioner; and </w:t>
            </w:r>
          </w:p>
          <w:p w14:paraId="5D1FF6B3" w14:textId="77777777" w:rsidR="00736178" w:rsidRDefault="00736178" w:rsidP="00EE45AE">
            <w:r>
              <w:t xml:space="preserve">(b) involves diagnosis and treatment that requires – </w:t>
            </w:r>
          </w:p>
          <w:p w14:paraId="2E48089F" w14:textId="77777777" w:rsidR="00736178" w:rsidRDefault="00736178" w:rsidP="00EE45AE">
            <w:pPr>
              <w:spacing w:after="60"/>
              <w:ind w:left="720"/>
            </w:pPr>
            <w:r>
              <w:t xml:space="preserve">(i) nursing supervision and care; or </w:t>
            </w:r>
          </w:p>
          <w:p w14:paraId="1C7F7C34" w14:textId="77777777" w:rsidR="00736178" w:rsidRDefault="00736178" w:rsidP="00EE45AE">
            <w:pPr>
              <w:spacing w:after="60"/>
              <w:ind w:left="720"/>
            </w:pPr>
            <w:r>
              <w:t>(ii) the use of anaesthesia.</w:t>
            </w:r>
          </w:p>
        </w:tc>
      </w:tr>
      <w:tr w:rsidR="00736178" w14:paraId="751C25F4" w14:textId="77777777" w:rsidTr="002B7F3C">
        <w:tc>
          <w:tcPr>
            <w:tcW w:w="935" w:type="pct"/>
          </w:tcPr>
          <w:p w14:paraId="001B7BDB" w14:textId="77777777" w:rsidR="00736178" w:rsidRPr="00E13C3C" w:rsidRDefault="00736178" w:rsidP="00EE45AE">
            <w:r>
              <w:t>Surgical health service</w:t>
            </w:r>
          </w:p>
        </w:tc>
        <w:tc>
          <w:tcPr>
            <w:tcW w:w="4065" w:type="pct"/>
          </w:tcPr>
          <w:p w14:paraId="396B42DF" w14:textId="77777777" w:rsidR="00736178" w:rsidRDefault="00736178" w:rsidP="00EE45AE">
            <w:pPr>
              <w:spacing w:after="60"/>
            </w:pPr>
            <w:r>
              <w:t xml:space="preserve">Means a health service (other than emergency stabilisation treatment) that – </w:t>
            </w:r>
          </w:p>
          <w:p w14:paraId="62F13556" w14:textId="77777777" w:rsidR="00736178" w:rsidRDefault="00736178" w:rsidP="00EE45AE">
            <w:pPr>
              <w:spacing w:after="60"/>
            </w:pPr>
            <w:r>
              <w:t>(a) is ordinarily provided by a registered medical practitioner, registered dental practitioner, registered medical radiation practitioner or a registered podiatrist; and</w:t>
            </w:r>
          </w:p>
          <w:p w14:paraId="5A9801AD" w14:textId="77777777" w:rsidR="00736178" w:rsidRDefault="00736178" w:rsidP="00EE45AE">
            <w:pPr>
              <w:spacing w:after="60"/>
            </w:pPr>
            <w:r>
              <w:t>(b) involves the use of surgical instruments and an operating theatre, procedure room, or treatment room; and</w:t>
            </w:r>
          </w:p>
          <w:p w14:paraId="14853719" w14:textId="77777777" w:rsidR="00736178" w:rsidRDefault="00736178" w:rsidP="00EE45AE">
            <w:pPr>
              <w:spacing w:after="60"/>
            </w:pPr>
            <w:r>
              <w:t xml:space="preserve">(c) uses or requires one or more of the following </w:t>
            </w:r>
            <w:r>
              <w:softHyphen/>
              <w:t xml:space="preserve">– </w:t>
            </w:r>
          </w:p>
          <w:p w14:paraId="559F671D" w14:textId="77777777" w:rsidR="00736178" w:rsidRDefault="00736178" w:rsidP="00EE45AE">
            <w:pPr>
              <w:spacing w:after="60"/>
              <w:ind w:left="720"/>
            </w:pPr>
            <w:r>
              <w:t xml:space="preserve">(i) anaesthesia; or </w:t>
            </w:r>
          </w:p>
          <w:p w14:paraId="5F43A3BE" w14:textId="77777777" w:rsidR="00736178" w:rsidRDefault="00736178" w:rsidP="00EE45AE">
            <w:pPr>
              <w:spacing w:after="60"/>
              <w:ind w:left="720"/>
            </w:pPr>
            <w:r>
              <w:lastRenderedPageBreak/>
              <w:t xml:space="preserve">(ii) the attendance of at least one other registered health practitioner; or </w:t>
            </w:r>
          </w:p>
          <w:p w14:paraId="40ED928E" w14:textId="77777777" w:rsidR="00736178" w:rsidRPr="00E13C3C" w:rsidRDefault="00736178" w:rsidP="00EE45AE">
            <w:pPr>
              <w:spacing w:after="60"/>
              <w:ind w:left="720"/>
            </w:pPr>
            <w:r>
              <w:t>(iii) post-operative observation of the patient by nursing staff.</w:t>
            </w:r>
          </w:p>
        </w:tc>
      </w:tr>
      <w:tr w:rsidR="00736178" w14:paraId="331A139C" w14:textId="77777777" w:rsidTr="002B7F3C">
        <w:tc>
          <w:tcPr>
            <w:tcW w:w="935" w:type="pct"/>
          </w:tcPr>
          <w:p w14:paraId="53E8EFB6" w14:textId="77777777" w:rsidR="00736178" w:rsidRDefault="00736178" w:rsidP="00EE45AE">
            <w:r>
              <w:lastRenderedPageBreak/>
              <w:t>Speciality health service</w:t>
            </w:r>
          </w:p>
        </w:tc>
        <w:tc>
          <w:tcPr>
            <w:tcW w:w="4065" w:type="pct"/>
          </w:tcPr>
          <w:p w14:paraId="2A40EC84" w14:textId="77777777" w:rsidR="00736178" w:rsidRDefault="00736178" w:rsidP="00EE45AE">
            <w:pPr>
              <w:spacing w:after="60"/>
            </w:pPr>
            <w:r>
              <w:t xml:space="preserve">Means a health service (other than emergency stabilisation treatment) that – </w:t>
            </w:r>
          </w:p>
          <w:p w14:paraId="17BE3DCD" w14:textId="77777777" w:rsidR="00736178" w:rsidRDefault="00736178" w:rsidP="00EE45AE">
            <w:pPr>
              <w:spacing w:after="60"/>
            </w:pPr>
            <w:r>
              <w:t xml:space="preserve">(a) is ordinarily undertaken by, or under the supervision of, a registered medical practitioner, a registered dental practitioner, a registered medical radiation practitioner or a registered podiatrist; and </w:t>
            </w:r>
          </w:p>
          <w:p w14:paraId="78559DA3" w14:textId="77777777" w:rsidR="00736178" w:rsidRDefault="00736178" w:rsidP="00EE45AE">
            <w:pPr>
              <w:spacing w:after="60"/>
            </w:pPr>
            <w:r>
              <w:t xml:space="preserve">(b) requires one or both of the following – </w:t>
            </w:r>
          </w:p>
          <w:p w14:paraId="078D70F3" w14:textId="77777777" w:rsidR="00736178" w:rsidRDefault="00736178" w:rsidP="00EE45AE">
            <w:pPr>
              <w:spacing w:after="60"/>
              <w:ind w:left="720"/>
            </w:pPr>
            <w:r>
              <w:t xml:space="preserve">(i) specialist equipment; </w:t>
            </w:r>
          </w:p>
          <w:p w14:paraId="5832E222" w14:textId="77777777" w:rsidR="00736178" w:rsidRPr="00E13C3C" w:rsidRDefault="00736178" w:rsidP="00EE45AE">
            <w:pPr>
              <w:spacing w:after="60"/>
              <w:ind w:left="720"/>
            </w:pPr>
            <w:r>
              <w:t>(ii) an area that is specifically fitted out for the kind of service provided.</w:t>
            </w:r>
          </w:p>
        </w:tc>
      </w:tr>
      <w:tr w:rsidR="00736178" w14:paraId="0AEE73AC" w14:textId="77777777" w:rsidTr="002B7F3C">
        <w:tc>
          <w:tcPr>
            <w:tcW w:w="935" w:type="pct"/>
          </w:tcPr>
          <w:p w14:paraId="0A6F18AC" w14:textId="77777777" w:rsidR="00736178" w:rsidRDefault="00736178" w:rsidP="00EE45AE">
            <w:r>
              <w:t xml:space="preserve">Anaesthesia </w:t>
            </w:r>
          </w:p>
          <w:p w14:paraId="63123F85" w14:textId="77777777" w:rsidR="00736178" w:rsidRPr="007D2D78" w:rsidRDefault="00736178" w:rsidP="00EE45AE">
            <w:pPr>
              <w:rPr>
                <w:sz w:val="18"/>
                <w:szCs w:val="18"/>
              </w:rPr>
            </w:pPr>
            <w:r w:rsidRPr="007D2D78">
              <w:rPr>
                <w:sz w:val="18"/>
                <w:szCs w:val="18"/>
              </w:rPr>
              <w:t>(a type of speciality health service)</w:t>
            </w:r>
          </w:p>
        </w:tc>
        <w:tc>
          <w:tcPr>
            <w:tcW w:w="4065" w:type="pct"/>
          </w:tcPr>
          <w:p w14:paraId="4E1BC4A1" w14:textId="77777777" w:rsidR="00736178" w:rsidRDefault="00736178" w:rsidP="00EE45AE">
            <w:pPr>
              <w:spacing w:after="60"/>
            </w:pPr>
            <w:r>
              <w:t xml:space="preserve">(a) means any of the following – </w:t>
            </w:r>
          </w:p>
          <w:p w14:paraId="1A53433C" w14:textId="77777777" w:rsidR="00736178" w:rsidRDefault="00736178" w:rsidP="00EE45AE">
            <w:pPr>
              <w:spacing w:after="60"/>
              <w:ind w:left="720"/>
            </w:pPr>
            <w:r>
              <w:t>(i) general anaesthesia;</w:t>
            </w:r>
          </w:p>
          <w:p w14:paraId="07471A1C" w14:textId="77777777" w:rsidR="00736178" w:rsidRDefault="00736178" w:rsidP="00EE45AE">
            <w:pPr>
              <w:spacing w:after="60"/>
              <w:ind w:left="720"/>
            </w:pPr>
            <w:r>
              <w:t>(ii) a major regional anaesthetic block;</w:t>
            </w:r>
          </w:p>
          <w:p w14:paraId="4DC15852" w14:textId="77777777" w:rsidR="00736178" w:rsidRDefault="00736178" w:rsidP="00EE45AE">
            <w:pPr>
              <w:spacing w:after="60"/>
              <w:ind w:left="720"/>
            </w:pPr>
            <w:r>
              <w:t>(iii) intravenous sedation;</w:t>
            </w:r>
          </w:p>
          <w:p w14:paraId="0D662BD1" w14:textId="77777777" w:rsidR="00736178" w:rsidRDefault="00736178" w:rsidP="00EE45AE">
            <w:pPr>
              <w:spacing w:after="60"/>
              <w:ind w:left="720"/>
            </w:pPr>
            <w:r>
              <w:t>(iv) a high dose of local anaesthetic that has the potential to cause systemic toxicity; and</w:t>
            </w:r>
          </w:p>
          <w:p w14:paraId="23ABA53A" w14:textId="77777777" w:rsidR="00736178" w:rsidRPr="00E13C3C" w:rsidRDefault="00736178" w:rsidP="00EE45AE">
            <w:pPr>
              <w:spacing w:after="60"/>
            </w:pPr>
            <w:r>
              <w:t>(b) does not include a dental nerve block.</w:t>
            </w:r>
          </w:p>
        </w:tc>
      </w:tr>
      <w:tr w:rsidR="00736178" w14:paraId="3FB17C00" w14:textId="77777777" w:rsidTr="002B7F3C">
        <w:tc>
          <w:tcPr>
            <w:tcW w:w="935" w:type="pct"/>
          </w:tcPr>
          <w:p w14:paraId="78D8398A" w14:textId="77777777" w:rsidR="00736178" w:rsidRDefault="00736178" w:rsidP="00EE45AE">
            <w:r>
              <w:t xml:space="preserve">Emergency medicine </w:t>
            </w:r>
          </w:p>
          <w:p w14:paraId="1A245BD8" w14:textId="77777777" w:rsidR="00736178" w:rsidRPr="007D2D78" w:rsidRDefault="00736178" w:rsidP="00EE45AE">
            <w:pPr>
              <w:rPr>
                <w:sz w:val="18"/>
                <w:szCs w:val="18"/>
              </w:rPr>
            </w:pPr>
            <w:r w:rsidRPr="007D2D78">
              <w:rPr>
                <w:sz w:val="18"/>
                <w:szCs w:val="18"/>
              </w:rPr>
              <w:t>(a type of speciality health service)</w:t>
            </w:r>
          </w:p>
        </w:tc>
        <w:tc>
          <w:tcPr>
            <w:tcW w:w="4065" w:type="pct"/>
          </w:tcPr>
          <w:p w14:paraId="7FE438EB" w14:textId="77777777" w:rsidR="00736178" w:rsidRDefault="00736178" w:rsidP="00EE45AE">
            <w:pPr>
              <w:spacing w:after="60"/>
            </w:pPr>
            <w:r>
              <w:t xml:space="preserve">Means the medical or surgical treatment of patients as a matter of urgency for the purpose of – </w:t>
            </w:r>
          </w:p>
          <w:p w14:paraId="71688C33" w14:textId="77777777" w:rsidR="00736178" w:rsidRDefault="00736178" w:rsidP="00EE45AE">
            <w:pPr>
              <w:spacing w:after="60"/>
            </w:pPr>
            <w:r>
              <w:t xml:space="preserve">(a) saving life; or </w:t>
            </w:r>
          </w:p>
          <w:p w14:paraId="52D7720B" w14:textId="77777777" w:rsidR="00736178" w:rsidRDefault="00736178" w:rsidP="00EE45AE">
            <w:pPr>
              <w:spacing w:after="60"/>
            </w:pPr>
            <w:r>
              <w:t xml:space="preserve">(b) preventing further serious damage to health; or </w:t>
            </w:r>
          </w:p>
          <w:p w14:paraId="2E3EF108" w14:textId="77777777" w:rsidR="00736178" w:rsidRPr="00E13C3C" w:rsidRDefault="00736178" w:rsidP="00EE45AE">
            <w:pPr>
              <w:spacing w:after="60"/>
            </w:pPr>
            <w:r>
              <w:t>(c) preventing suffering or the continuation of suffering of significant pain or distress.</w:t>
            </w:r>
          </w:p>
        </w:tc>
      </w:tr>
      <w:tr w:rsidR="00736178" w14:paraId="4D20AF24" w14:textId="77777777" w:rsidTr="002B7F3C">
        <w:tc>
          <w:tcPr>
            <w:tcW w:w="935" w:type="pct"/>
          </w:tcPr>
          <w:p w14:paraId="16EED967" w14:textId="77777777" w:rsidR="00736178" w:rsidRDefault="00736178" w:rsidP="00EE45AE">
            <w:r>
              <w:t xml:space="preserve">Renal dialysis </w:t>
            </w:r>
          </w:p>
          <w:p w14:paraId="6417103E" w14:textId="77777777" w:rsidR="00736178" w:rsidRPr="007D2D78" w:rsidRDefault="00736178" w:rsidP="00EE45AE">
            <w:pPr>
              <w:rPr>
                <w:sz w:val="18"/>
                <w:szCs w:val="18"/>
              </w:rPr>
            </w:pPr>
            <w:r w:rsidRPr="007D2D78">
              <w:rPr>
                <w:sz w:val="18"/>
                <w:szCs w:val="18"/>
              </w:rPr>
              <w:t>(a type of speciality health service)</w:t>
            </w:r>
          </w:p>
        </w:tc>
        <w:tc>
          <w:tcPr>
            <w:tcW w:w="4065" w:type="pct"/>
          </w:tcPr>
          <w:p w14:paraId="63D713D5" w14:textId="77777777" w:rsidR="00736178" w:rsidRPr="00E13C3C" w:rsidRDefault="00736178" w:rsidP="00EE45AE">
            <w:pPr>
              <w:spacing w:after="60"/>
            </w:pPr>
            <w:r>
              <w:t>Means (haemodialysis) treatment that uses a dialyzer machine to remove waste and excess water from the blood.</w:t>
            </w:r>
          </w:p>
        </w:tc>
      </w:tr>
    </w:tbl>
    <w:p w14:paraId="62C63005" w14:textId="18033AE8" w:rsidR="00834324" w:rsidRDefault="00600621" w:rsidP="00672539">
      <w:pPr>
        <w:pStyle w:val="Heading2"/>
      </w:pPr>
      <w:bookmarkStart w:id="55" w:name="_Toc141177729"/>
      <w:bookmarkStart w:id="56" w:name="_Toc143272004"/>
      <w:r>
        <w:t xml:space="preserve">1.2. </w:t>
      </w:r>
      <w:r w:rsidR="003128CF">
        <w:t>N</w:t>
      </w:r>
      <w:r w:rsidR="006104D7">
        <w:t>ew health service definitions</w:t>
      </w:r>
      <w:bookmarkEnd w:id="55"/>
      <w:bookmarkEnd w:id="56"/>
    </w:p>
    <w:p w14:paraId="5314FA7E" w14:textId="7E284806" w:rsidR="001B029D" w:rsidRDefault="00AC604D" w:rsidP="001B029D">
      <w:pPr>
        <w:pStyle w:val="Body"/>
      </w:pPr>
      <w:r>
        <w:t xml:space="preserve">The department is </w:t>
      </w:r>
      <w:r w:rsidR="00F70048">
        <w:t xml:space="preserve">seeking feedback on </w:t>
      </w:r>
      <w:r>
        <w:t xml:space="preserve">whether </w:t>
      </w:r>
      <w:r w:rsidR="004D35CA">
        <w:t xml:space="preserve">current definitions of ‘speciality health services’ in the Regulations </w:t>
      </w:r>
      <w:r w:rsidR="00F70048">
        <w:t xml:space="preserve">are </w:t>
      </w:r>
      <w:r w:rsidR="005A13EB">
        <w:t>workable, effective and</w:t>
      </w:r>
      <w:r w:rsidR="004D35CA">
        <w:t xml:space="preserve"> remain fit for purpose</w:t>
      </w:r>
      <w:r w:rsidR="005A13EB">
        <w:t xml:space="preserve">. </w:t>
      </w:r>
      <w:r w:rsidR="00501FAC">
        <w:t xml:space="preserve">Noting that </w:t>
      </w:r>
      <w:r w:rsidR="00FA0323">
        <w:t xml:space="preserve">the new Regulations will last for 10 years, </w:t>
      </w:r>
      <w:r w:rsidR="00A3738D">
        <w:t xml:space="preserve">the department </w:t>
      </w:r>
      <w:r w:rsidR="00BD6668">
        <w:t>will</w:t>
      </w:r>
      <w:r w:rsidR="000A5553">
        <w:t xml:space="preserve"> consider</w:t>
      </w:r>
      <w:r w:rsidR="004D35CA">
        <w:t xml:space="preserve"> whether </w:t>
      </w:r>
      <w:r w:rsidR="003B12E5">
        <w:t xml:space="preserve">new </w:t>
      </w:r>
      <w:r>
        <w:t xml:space="preserve">definitions </w:t>
      </w:r>
      <w:r w:rsidR="00F22284">
        <w:t>are needed to accommodate future developments in health service delivery</w:t>
      </w:r>
      <w:r w:rsidR="000A5553">
        <w:t>.</w:t>
      </w:r>
      <w:r w:rsidR="00F22284" w:rsidDel="004D35CA">
        <w:t xml:space="preserve"> </w:t>
      </w:r>
    </w:p>
    <w:p w14:paraId="33C21ADA" w14:textId="78114DBB" w:rsidR="00AC604D" w:rsidRDefault="00AC604D" w:rsidP="00AC604D">
      <w:pPr>
        <w:pStyle w:val="Body"/>
      </w:pPr>
      <w:r>
        <w:t xml:space="preserve">In general, definitions in regulations are only </w:t>
      </w:r>
      <w:r w:rsidR="00695A5A">
        <w:t xml:space="preserve">needed </w:t>
      </w:r>
      <w:r>
        <w:t>to remove ambiguity or as a shortening device.</w:t>
      </w:r>
      <w:r>
        <w:rPr>
          <w:rStyle w:val="FootnoteReference"/>
        </w:rPr>
        <w:footnoteReference w:id="8"/>
      </w:r>
      <w:r>
        <w:t xml:space="preserve"> This may include a definition clarifying what is out of scope for the purposes of a set of </w:t>
      </w:r>
      <w:r>
        <w:lastRenderedPageBreak/>
        <w:t>regulations. For example, the Regulations do this for the definition of anaesthesia</w:t>
      </w:r>
      <w:r w:rsidR="001F3907">
        <w:t>,</w:t>
      </w:r>
      <w:r>
        <w:t xml:space="preserve"> which states that for the purposes of the Regulations anaesthesia does not include dental nerve block. </w:t>
      </w:r>
    </w:p>
    <w:p w14:paraId="388CF550" w14:textId="77777777" w:rsidR="00AC604D" w:rsidRDefault="00AC604D" w:rsidP="00AC604D">
      <w:pPr>
        <w:pStyle w:val="Body"/>
      </w:pPr>
      <w:r>
        <w:t xml:space="preserve">Defining a term can have benefits. It can improve clarity for stakeholders including regulated entities, the regulator, and the community. This can improve the workability, effectiveness, and enforceability of a regulatory scheme if the meaning of a term might otherwise be so ambiguous that the relevant expectations or requirements might not be consistently understood. </w:t>
      </w:r>
    </w:p>
    <w:p w14:paraId="12ABC8EB" w14:textId="5E367894" w:rsidR="00AC604D" w:rsidRDefault="00AC604D" w:rsidP="00AC604D">
      <w:pPr>
        <w:pStyle w:val="Body"/>
      </w:pPr>
      <w:r>
        <w:t>Defining a term can also have risks. The definition may unintentionally narrow or broaden the scope of the relevant term or may not remain current. Health services and practices evolve and can do so rapidly in response</w:t>
      </w:r>
      <w:r w:rsidR="003E5A02">
        <w:t>,</w:t>
      </w:r>
      <w:r>
        <w:t xml:space="preserve"> for example</w:t>
      </w:r>
      <w:r w:rsidR="003E5A02">
        <w:t>,</w:t>
      </w:r>
      <w:r>
        <w:t xml:space="preserve"> to technological and </w:t>
      </w:r>
      <w:r w:rsidR="00CB48D4">
        <w:t xml:space="preserve">clinical </w:t>
      </w:r>
      <w:r>
        <w:t xml:space="preserve">innovations. This may make defining some speciality health services in the Regulations impractical. </w:t>
      </w:r>
    </w:p>
    <w:p w14:paraId="6347A474" w14:textId="0F0AA8CC" w:rsidR="00AC604D" w:rsidRDefault="00AC604D" w:rsidP="00AC604D">
      <w:pPr>
        <w:pStyle w:val="Body"/>
      </w:pPr>
      <w:r>
        <w:t xml:space="preserve">Prescribed speciality health services for private hospitals and day procedure centres that are </w:t>
      </w:r>
      <w:r w:rsidRPr="00A80B18">
        <w:rPr>
          <w:i/>
          <w:iCs/>
        </w:rPr>
        <w:t>not</w:t>
      </w:r>
      <w:r>
        <w:t xml:space="preserve"> currently defined in the Act or Regulations </w:t>
      </w:r>
      <w:r w:rsidR="00F61595">
        <w:t xml:space="preserve">are summarised in </w:t>
      </w:r>
      <w:r w:rsidR="00F61595">
        <w:rPr>
          <w:b/>
          <w:bCs/>
        </w:rPr>
        <w:t>T</w:t>
      </w:r>
      <w:r w:rsidR="00F61595" w:rsidRPr="00F61595">
        <w:rPr>
          <w:b/>
          <w:bCs/>
        </w:rPr>
        <w:t>able 2</w:t>
      </w:r>
      <w:r w:rsidR="00F61595">
        <w:t>.</w:t>
      </w:r>
    </w:p>
    <w:p w14:paraId="0CFB0D90" w14:textId="287520C3" w:rsidR="00F61595" w:rsidRDefault="00F61595" w:rsidP="00F61595">
      <w:pPr>
        <w:pStyle w:val="Tablecaption"/>
      </w:pPr>
      <w:r w:rsidRPr="00816E39">
        <w:t xml:space="preserve">Table </w:t>
      </w:r>
      <w:r>
        <w:t>2</w:t>
      </w:r>
      <w:r w:rsidRPr="00816E39">
        <w:t xml:space="preserve">: </w:t>
      </w:r>
      <w:r w:rsidR="00CC0039">
        <w:t>H</w:t>
      </w:r>
      <w:r w:rsidRPr="00816E39">
        <w:t xml:space="preserve">ealth services </w:t>
      </w:r>
      <w:r w:rsidRPr="00F61595">
        <w:rPr>
          <w:i/>
          <w:iCs/>
        </w:rPr>
        <w:t>not</w:t>
      </w:r>
      <w:r>
        <w:t xml:space="preserve"> currently </w:t>
      </w:r>
      <w:r w:rsidRPr="00816E39">
        <w:t>defined in the Regulations</w:t>
      </w:r>
    </w:p>
    <w:tbl>
      <w:tblPr>
        <w:tblStyle w:val="TableGrid"/>
        <w:tblW w:w="5000" w:type="pct"/>
        <w:tblLook w:val="06A0" w:firstRow="1" w:lastRow="0" w:firstColumn="1" w:lastColumn="0" w:noHBand="1" w:noVBand="1"/>
      </w:tblPr>
      <w:tblGrid>
        <w:gridCol w:w="9288"/>
      </w:tblGrid>
      <w:tr w:rsidR="002F1C80" w14:paraId="3446C41F" w14:textId="77777777" w:rsidTr="006972FA">
        <w:tc>
          <w:tcPr>
            <w:tcW w:w="5000" w:type="pct"/>
            <w:shd w:val="clear" w:color="auto" w:fill="F2F2F2" w:themeFill="background1" w:themeFillShade="F2"/>
          </w:tcPr>
          <w:p w14:paraId="6D2EB79C" w14:textId="0B33D536" w:rsidR="002F1C80" w:rsidRDefault="002F1C80" w:rsidP="009A7C08">
            <w:pPr>
              <w:pStyle w:val="Tablecolhead"/>
            </w:pPr>
            <w:r>
              <w:t>Undefined prescribed speciality health services for private hospitals and day procedure centres</w:t>
            </w:r>
          </w:p>
        </w:tc>
      </w:tr>
      <w:tr w:rsidR="002F1C80" w14:paraId="555AB677" w14:textId="77777777" w:rsidTr="002F1C80">
        <w:tc>
          <w:tcPr>
            <w:tcW w:w="5000" w:type="pct"/>
          </w:tcPr>
          <w:p w14:paraId="09796911" w14:textId="77777777" w:rsidR="002F1C80" w:rsidRPr="00DE3E12" w:rsidRDefault="002F1C80" w:rsidP="00C132C8">
            <w:pPr>
              <w:pStyle w:val="Bullet1"/>
              <w:numPr>
                <w:ilvl w:val="0"/>
                <w:numId w:val="8"/>
              </w:numPr>
              <w:ind w:left="284" w:hanging="284"/>
            </w:pPr>
            <w:r w:rsidRPr="00DE3E12">
              <w:t>bariatric procedures</w:t>
            </w:r>
          </w:p>
          <w:p w14:paraId="11C06B2C" w14:textId="77777777" w:rsidR="002F1C80" w:rsidRPr="00DE3E12" w:rsidRDefault="002F1C80" w:rsidP="00C132C8">
            <w:pPr>
              <w:pStyle w:val="Bullet1"/>
              <w:numPr>
                <w:ilvl w:val="0"/>
                <w:numId w:val="8"/>
              </w:numPr>
              <w:ind w:left="284" w:hanging="284"/>
            </w:pPr>
            <w:r w:rsidRPr="00DE3E12">
              <w:t xml:space="preserve">cataract surgery </w:t>
            </w:r>
          </w:p>
          <w:p w14:paraId="1DDC4117" w14:textId="77777777" w:rsidR="002F1C80" w:rsidRPr="00DE3E12" w:rsidRDefault="002F1C80" w:rsidP="00C132C8">
            <w:pPr>
              <w:pStyle w:val="Bullet1"/>
              <w:numPr>
                <w:ilvl w:val="0"/>
                <w:numId w:val="8"/>
              </w:numPr>
              <w:ind w:left="284" w:hanging="284"/>
            </w:pPr>
            <w:r w:rsidRPr="00DE3E12">
              <w:t>endoscopy</w:t>
            </w:r>
          </w:p>
          <w:p w14:paraId="25B9DB7C" w14:textId="77777777" w:rsidR="002F1C80" w:rsidRPr="00DE3E12" w:rsidRDefault="002F1C80" w:rsidP="00C132C8">
            <w:pPr>
              <w:pStyle w:val="Bullet1"/>
              <w:numPr>
                <w:ilvl w:val="0"/>
                <w:numId w:val="8"/>
              </w:numPr>
              <w:ind w:left="284" w:hanging="284"/>
            </w:pPr>
            <w:r>
              <w:t>l</w:t>
            </w:r>
            <w:r w:rsidRPr="00DE3E12">
              <w:t xml:space="preserve">iposuction </w:t>
            </w:r>
            <w:r>
              <w:t>(removing in total at least 200ml of lipoaspirate)</w:t>
            </w:r>
          </w:p>
          <w:p w14:paraId="6625EC80" w14:textId="239ADC13" w:rsidR="002F1C80" w:rsidRPr="00DE3E12" w:rsidRDefault="002F1C80" w:rsidP="00C132C8">
            <w:pPr>
              <w:pStyle w:val="Bullet1"/>
              <w:numPr>
                <w:ilvl w:val="0"/>
                <w:numId w:val="8"/>
              </w:numPr>
              <w:ind w:left="284" w:hanging="284"/>
            </w:pPr>
            <w:r w:rsidRPr="00DE3E12">
              <w:t>mental health services</w:t>
            </w:r>
            <w:r w:rsidR="005B3D19">
              <w:rPr>
                <w:rStyle w:val="FootnoteReference"/>
              </w:rPr>
              <w:footnoteReference w:id="9"/>
            </w:r>
          </w:p>
          <w:p w14:paraId="57EEDD24" w14:textId="77777777" w:rsidR="002F1C80" w:rsidRPr="00DE3E12" w:rsidRDefault="002F1C80" w:rsidP="00C132C8">
            <w:pPr>
              <w:pStyle w:val="Bullet1"/>
              <w:numPr>
                <w:ilvl w:val="0"/>
                <w:numId w:val="8"/>
              </w:numPr>
              <w:ind w:left="284" w:hanging="284"/>
            </w:pPr>
            <w:r w:rsidRPr="00DE3E12">
              <w:t>oncology (chemotherapy)</w:t>
            </w:r>
          </w:p>
          <w:p w14:paraId="01A68479" w14:textId="77777777" w:rsidR="002F1C80" w:rsidRPr="00DE3E12" w:rsidRDefault="002F1C80" w:rsidP="00C132C8">
            <w:pPr>
              <w:pStyle w:val="Bullet1"/>
              <w:numPr>
                <w:ilvl w:val="0"/>
                <w:numId w:val="8"/>
              </w:numPr>
              <w:ind w:left="284" w:hanging="284"/>
            </w:pPr>
            <w:r w:rsidRPr="00DE3E12">
              <w:t>oncology (radiation therapy)</w:t>
            </w:r>
          </w:p>
          <w:p w14:paraId="6C34D9FD" w14:textId="77777777" w:rsidR="002F1C80" w:rsidRPr="00DE3E12" w:rsidRDefault="002F1C80" w:rsidP="00C132C8">
            <w:pPr>
              <w:pStyle w:val="Bullet1"/>
              <w:numPr>
                <w:ilvl w:val="0"/>
                <w:numId w:val="8"/>
              </w:numPr>
              <w:ind w:left="284" w:hanging="284"/>
            </w:pPr>
            <w:r w:rsidRPr="00DE3E12">
              <w:t>oocyte retrieval</w:t>
            </w:r>
          </w:p>
          <w:p w14:paraId="429BBC6B" w14:textId="77777777" w:rsidR="002F1C80" w:rsidRPr="00DE3E12" w:rsidRDefault="002F1C80" w:rsidP="00C132C8">
            <w:pPr>
              <w:pStyle w:val="Bullet1"/>
              <w:numPr>
                <w:ilvl w:val="0"/>
                <w:numId w:val="8"/>
              </w:numPr>
              <w:ind w:left="284" w:hanging="284"/>
            </w:pPr>
            <w:r w:rsidRPr="00DE3E12">
              <w:t>paediatric services</w:t>
            </w:r>
            <w:r>
              <w:t xml:space="preserve"> (provided to patients aged at least 28 days and under 18 years when admitted)</w:t>
            </w:r>
          </w:p>
          <w:p w14:paraId="3CDF15F9" w14:textId="0B84268B" w:rsidR="002F1C80" w:rsidRDefault="002F1C80" w:rsidP="00C132C8">
            <w:pPr>
              <w:pStyle w:val="Bullet1"/>
              <w:numPr>
                <w:ilvl w:val="0"/>
                <w:numId w:val="8"/>
              </w:numPr>
              <w:spacing w:after="120"/>
              <w:ind w:left="284" w:hanging="284"/>
            </w:pPr>
            <w:r w:rsidRPr="00DE3E12">
              <w:t>specialist rehabilitation services</w:t>
            </w:r>
          </w:p>
        </w:tc>
      </w:tr>
      <w:tr w:rsidR="002F1C80" w14:paraId="2EF5DC94" w14:textId="77777777" w:rsidTr="00EF6B93">
        <w:tc>
          <w:tcPr>
            <w:tcW w:w="5000" w:type="pct"/>
            <w:shd w:val="clear" w:color="auto" w:fill="F2F2F2" w:themeFill="background1" w:themeFillShade="F2"/>
          </w:tcPr>
          <w:p w14:paraId="64626CD4" w14:textId="518D3F9A" w:rsidR="002F1C80" w:rsidRDefault="002F1C80" w:rsidP="002F1C80">
            <w:pPr>
              <w:pStyle w:val="Tablecolhead"/>
            </w:pPr>
            <w:r>
              <w:t>Undefined prescribed speciality health services for private hospitals only</w:t>
            </w:r>
          </w:p>
        </w:tc>
      </w:tr>
      <w:tr w:rsidR="002F1C80" w14:paraId="7B5D83FD" w14:textId="77777777" w:rsidTr="002F1C80">
        <w:tc>
          <w:tcPr>
            <w:tcW w:w="5000" w:type="pct"/>
          </w:tcPr>
          <w:p w14:paraId="338390CC" w14:textId="3941D773" w:rsidR="00EF6B93" w:rsidRPr="00A15517" w:rsidRDefault="00EF6B93" w:rsidP="00AD46C0">
            <w:pPr>
              <w:pStyle w:val="Bullet1"/>
              <w:numPr>
                <w:ilvl w:val="0"/>
                <w:numId w:val="8"/>
              </w:numPr>
              <w:ind w:left="284" w:hanging="284"/>
            </w:pPr>
            <w:r w:rsidRPr="00A15517">
              <w:t>alcohol or drug detoxification</w:t>
            </w:r>
            <w:r>
              <w:t xml:space="preserve"> (detoxification – acute phase)</w:t>
            </w:r>
          </w:p>
          <w:p w14:paraId="5956BCC5" w14:textId="77777777" w:rsidR="00EF6B93" w:rsidRPr="00A15517" w:rsidRDefault="00EF6B93" w:rsidP="00C132C8">
            <w:pPr>
              <w:pStyle w:val="Bullet1"/>
              <w:numPr>
                <w:ilvl w:val="0"/>
                <w:numId w:val="8"/>
              </w:numPr>
              <w:ind w:left="284" w:hanging="284"/>
            </w:pPr>
            <w:r w:rsidRPr="00A15517">
              <w:t>cardiac surgery</w:t>
            </w:r>
          </w:p>
          <w:p w14:paraId="6F94C986" w14:textId="77777777" w:rsidR="00EF6B93" w:rsidRPr="00A15517" w:rsidRDefault="00EF6B93" w:rsidP="00C132C8">
            <w:pPr>
              <w:pStyle w:val="Bullet1"/>
              <w:numPr>
                <w:ilvl w:val="0"/>
                <w:numId w:val="8"/>
              </w:numPr>
              <w:ind w:left="284" w:hanging="284"/>
            </w:pPr>
            <w:r w:rsidRPr="00A15517">
              <w:t>cardiac catheterisation</w:t>
            </w:r>
          </w:p>
          <w:p w14:paraId="3A041277" w14:textId="21A4790E" w:rsidR="00EF6B93" w:rsidRPr="00A15517" w:rsidRDefault="00EF6B93" w:rsidP="00C132C8">
            <w:pPr>
              <w:pStyle w:val="Bullet1"/>
              <w:numPr>
                <w:ilvl w:val="0"/>
                <w:numId w:val="8"/>
              </w:numPr>
              <w:ind w:left="284" w:hanging="284"/>
            </w:pPr>
            <w:r w:rsidRPr="00A15517">
              <w:t>intensive care</w:t>
            </w:r>
          </w:p>
          <w:p w14:paraId="49453194" w14:textId="77777777" w:rsidR="00EF6B93" w:rsidRPr="00A15517" w:rsidRDefault="00EF6B93" w:rsidP="00C132C8">
            <w:pPr>
              <w:pStyle w:val="Bullet1"/>
              <w:numPr>
                <w:ilvl w:val="0"/>
                <w:numId w:val="8"/>
              </w:numPr>
              <w:ind w:left="284" w:hanging="284"/>
            </w:pPr>
            <w:r w:rsidRPr="00A15517">
              <w:t>neurosurgery</w:t>
            </w:r>
          </w:p>
          <w:p w14:paraId="530A9D8C" w14:textId="5EF5180B" w:rsidR="005743A9" w:rsidRPr="00A15517" w:rsidRDefault="005743A9" w:rsidP="00C132C8">
            <w:pPr>
              <w:pStyle w:val="Bullet1"/>
              <w:numPr>
                <w:ilvl w:val="0"/>
                <w:numId w:val="8"/>
              </w:numPr>
              <w:ind w:left="284" w:hanging="284"/>
            </w:pPr>
            <w:r>
              <w:t xml:space="preserve">neonatal </w:t>
            </w:r>
            <w:r w:rsidR="00144647">
              <w:t>services (provided to patients aged 28 days and under when admitted)</w:t>
            </w:r>
          </w:p>
          <w:p w14:paraId="278383A1" w14:textId="580A8DA8" w:rsidR="002F1C80" w:rsidRPr="00E13C3C" w:rsidRDefault="00EF6B93" w:rsidP="00C132C8">
            <w:pPr>
              <w:pStyle w:val="Bullet1"/>
              <w:numPr>
                <w:ilvl w:val="0"/>
                <w:numId w:val="8"/>
              </w:numPr>
              <w:spacing w:after="120"/>
              <w:ind w:left="284" w:hanging="284"/>
            </w:pPr>
            <w:r w:rsidRPr="00A15517">
              <w:t>obstetrics</w:t>
            </w:r>
          </w:p>
        </w:tc>
      </w:tr>
    </w:tbl>
    <w:p w14:paraId="3BC50060" w14:textId="77777777" w:rsidR="00A94722" w:rsidRDefault="00A94722" w:rsidP="00A94722">
      <w:pPr>
        <w:pStyle w:val="Body"/>
      </w:pPr>
    </w:p>
    <w:p w14:paraId="7B9D6DEA" w14:textId="58EC289B" w:rsidR="0094151D" w:rsidRDefault="00A94722" w:rsidP="00976838">
      <w:pPr>
        <w:pStyle w:val="Body"/>
      </w:pPr>
      <w:r>
        <w:lastRenderedPageBreak/>
        <w:t xml:space="preserve">The department is interested in hearing from stakeholders about the health services </w:t>
      </w:r>
      <w:r w:rsidR="009120D2">
        <w:t xml:space="preserve">currently prescribed in the Regulations </w:t>
      </w:r>
      <w:r>
        <w:t xml:space="preserve">and </w:t>
      </w:r>
      <w:r w:rsidR="006A1039">
        <w:t xml:space="preserve">whether </w:t>
      </w:r>
      <w:r w:rsidR="00F2152C">
        <w:t>there are</w:t>
      </w:r>
      <w:r w:rsidR="001C1B05">
        <w:t xml:space="preserve"> any issues with </w:t>
      </w:r>
      <w:r w:rsidR="00150C87">
        <w:t xml:space="preserve">their </w:t>
      </w:r>
      <w:r w:rsidR="00FE5064">
        <w:t>definition o</w:t>
      </w:r>
      <w:r w:rsidR="00150C87">
        <w:t>r</w:t>
      </w:r>
      <w:r w:rsidR="00FE5064">
        <w:t xml:space="preserve"> </w:t>
      </w:r>
      <w:r w:rsidR="001C1B05">
        <w:t>scope</w:t>
      </w:r>
      <w:r w:rsidR="00FE5064">
        <w:t>.</w:t>
      </w:r>
      <w:r w:rsidR="008D0DC9">
        <w:t xml:space="preserve"> </w:t>
      </w:r>
      <w:r w:rsidR="00223726">
        <w:t xml:space="preserve">For example, </w:t>
      </w:r>
      <w:r w:rsidR="00FB399F">
        <w:t>is there any ambiguity about</w:t>
      </w:r>
      <w:r w:rsidR="00025164">
        <w:t xml:space="preserve"> whether</w:t>
      </w:r>
      <w:r w:rsidR="0094151D">
        <w:t>:</w:t>
      </w:r>
    </w:p>
    <w:p w14:paraId="0508657F" w14:textId="1E8335E7" w:rsidR="00D01B21" w:rsidRDefault="00CF7224" w:rsidP="00C132C8">
      <w:pPr>
        <w:pStyle w:val="Body"/>
        <w:numPr>
          <w:ilvl w:val="0"/>
          <w:numId w:val="35"/>
        </w:numPr>
      </w:pPr>
      <w:r>
        <w:t>specific</w:t>
      </w:r>
      <w:r w:rsidR="00C46619">
        <w:t xml:space="preserve"> procedures are </w:t>
      </w:r>
      <w:r w:rsidR="008F68D3">
        <w:t>included in the existing</w:t>
      </w:r>
      <w:r w:rsidR="00D6141D">
        <w:t xml:space="preserve"> </w:t>
      </w:r>
      <w:r>
        <w:t>(</w:t>
      </w:r>
      <w:r w:rsidR="00E56D6E">
        <w:t>defined or undefined</w:t>
      </w:r>
      <w:r>
        <w:t>)</w:t>
      </w:r>
      <w:r w:rsidR="00E56D6E">
        <w:t xml:space="preserve"> </w:t>
      </w:r>
      <w:r w:rsidR="00967278">
        <w:t>speciality</w:t>
      </w:r>
      <w:r w:rsidR="00D6141D">
        <w:t xml:space="preserve"> </w:t>
      </w:r>
      <w:r w:rsidR="003D4430">
        <w:t>health</w:t>
      </w:r>
      <w:r w:rsidR="00C8526E">
        <w:t xml:space="preserve"> </w:t>
      </w:r>
      <w:r w:rsidR="00D72554">
        <w:t>service</w:t>
      </w:r>
      <w:r>
        <w:t xml:space="preserve"> categories</w:t>
      </w:r>
    </w:p>
    <w:p w14:paraId="6B5DD637" w14:textId="151D9AF7" w:rsidR="00EB2D8B" w:rsidRDefault="00EB2D8B" w:rsidP="00C132C8">
      <w:pPr>
        <w:pStyle w:val="Body"/>
        <w:numPr>
          <w:ilvl w:val="0"/>
          <w:numId w:val="35"/>
        </w:numPr>
      </w:pPr>
      <w:r>
        <w:t>health services</w:t>
      </w:r>
      <w:r w:rsidR="003D4430">
        <w:t xml:space="preserve"> </w:t>
      </w:r>
      <w:r w:rsidR="00CA4E2D">
        <w:t xml:space="preserve">not currently </w:t>
      </w:r>
      <w:r w:rsidR="0030247C">
        <w:t>listed</w:t>
      </w:r>
      <w:r w:rsidR="00CA4E2D">
        <w:t xml:space="preserve"> in the Regulations </w:t>
      </w:r>
      <w:r w:rsidR="00687B76">
        <w:t xml:space="preserve">are within scope and </w:t>
      </w:r>
      <w:r w:rsidR="00320BD4">
        <w:t xml:space="preserve">must </w:t>
      </w:r>
      <w:r w:rsidR="00687B76">
        <w:t xml:space="preserve">therefore </w:t>
      </w:r>
      <w:r w:rsidR="00320BD4">
        <w:t xml:space="preserve">be </w:t>
      </w:r>
      <w:r w:rsidR="00D72554">
        <w:t xml:space="preserve">performed in registered </w:t>
      </w:r>
      <w:r w:rsidR="00F306FE">
        <w:t>facilities</w:t>
      </w:r>
    </w:p>
    <w:p w14:paraId="19D8FB1D" w14:textId="05A17C3F" w:rsidR="00387E15" w:rsidRPr="00AD46C0" w:rsidDel="002640E4" w:rsidRDefault="00BF511A" w:rsidP="00504BBA">
      <w:pPr>
        <w:pStyle w:val="Body"/>
        <w:numPr>
          <w:ilvl w:val="0"/>
          <w:numId w:val="35"/>
        </w:numPr>
      </w:pPr>
      <w:r w:rsidRPr="00AD46C0">
        <w:t>certain</w:t>
      </w:r>
      <w:r w:rsidR="0080563F" w:rsidRPr="00AD46C0">
        <w:t xml:space="preserve"> </w:t>
      </w:r>
      <w:r w:rsidR="00967278">
        <w:t>speciality</w:t>
      </w:r>
      <w:r w:rsidR="00CC347B" w:rsidRPr="00AD46C0">
        <w:t xml:space="preserve"> services</w:t>
      </w:r>
      <w:r w:rsidR="00963120" w:rsidRPr="00AD46C0">
        <w:t xml:space="preserve"> </w:t>
      </w:r>
      <w:r w:rsidR="0081327F" w:rsidRPr="00AD46C0">
        <w:t xml:space="preserve">can be performed in </w:t>
      </w:r>
      <w:r w:rsidR="00387E15" w:rsidRPr="00AD46C0">
        <w:t xml:space="preserve">day procedure centres </w:t>
      </w:r>
      <w:r w:rsidR="0053489C" w:rsidRPr="00AD46C0">
        <w:t>or only in</w:t>
      </w:r>
      <w:r w:rsidR="00387E15" w:rsidRPr="00AD46C0">
        <w:t xml:space="preserve"> </w:t>
      </w:r>
      <w:r w:rsidR="00B56929" w:rsidRPr="00AD46C0">
        <w:t>private hospit</w:t>
      </w:r>
      <w:r w:rsidR="00387E15" w:rsidRPr="00AD46C0">
        <w:t>als</w:t>
      </w:r>
      <w:r w:rsidR="00971512">
        <w:t>.</w:t>
      </w:r>
    </w:p>
    <w:p w14:paraId="1A60CA61" w14:textId="0054D075" w:rsidR="00671CA0" w:rsidRDefault="00F117E3" w:rsidP="00AD46C0">
      <w:pPr>
        <w:pStyle w:val="Body"/>
      </w:pPr>
      <w:r w:rsidRPr="00AD46C0">
        <w:t>T</w:t>
      </w:r>
      <w:r w:rsidR="005555FD" w:rsidRPr="00AD46C0">
        <w:t xml:space="preserve">he department is aware that </w:t>
      </w:r>
      <w:r w:rsidR="000515F3" w:rsidRPr="00AD46C0">
        <w:t xml:space="preserve">some </w:t>
      </w:r>
      <w:r w:rsidR="008E11E7" w:rsidRPr="00AD46C0">
        <w:t xml:space="preserve">parts of the </w:t>
      </w:r>
      <w:r w:rsidR="000515F3" w:rsidRPr="00AD46C0">
        <w:t xml:space="preserve">health </w:t>
      </w:r>
      <w:r w:rsidR="008E11E7" w:rsidRPr="00AD46C0">
        <w:t>sector</w:t>
      </w:r>
      <w:r w:rsidR="00D66DE2" w:rsidRPr="00AD46C0">
        <w:t xml:space="preserve"> </w:t>
      </w:r>
      <w:r w:rsidR="0065673F" w:rsidRPr="00AD46C0">
        <w:t>may have experienced</w:t>
      </w:r>
      <w:r w:rsidR="00676E03" w:rsidRPr="00AD46C0">
        <w:t xml:space="preserve"> uncertainty about </w:t>
      </w:r>
      <w:r w:rsidR="002E31C4" w:rsidRPr="00AD46C0">
        <w:t xml:space="preserve">the scope of </w:t>
      </w:r>
      <w:r w:rsidR="00DB42AC">
        <w:t>acute al</w:t>
      </w:r>
      <w:r w:rsidR="00671CA0">
        <w:t xml:space="preserve">cohol </w:t>
      </w:r>
      <w:r w:rsidR="001F3907">
        <w:t xml:space="preserve">and other </w:t>
      </w:r>
      <w:r w:rsidR="00671CA0">
        <w:t xml:space="preserve">drug </w:t>
      </w:r>
      <w:r w:rsidR="001F3907">
        <w:t xml:space="preserve">(AOD) </w:t>
      </w:r>
      <w:r w:rsidR="00671CA0">
        <w:t xml:space="preserve">detoxification services that must be provided in a registered premises (described in Regulations currently as </w:t>
      </w:r>
      <w:r w:rsidR="001F3907">
        <w:t>‘</w:t>
      </w:r>
      <w:r w:rsidR="00971512" w:rsidRPr="00971512">
        <w:t>alcohol or drug detoxification (detoxification – acute phase)</w:t>
      </w:r>
      <w:r w:rsidR="001F3907">
        <w:t>’).</w:t>
      </w:r>
      <w:r w:rsidR="00671CA0">
        <w:t xml:space="preserve"> </w:t>
      </w:r>
      <w:r w:rsidR="00CA6F26" w:rsidRPr="00AD46C0">
        <w:t xml:space="preserve">The department </w:t>
      </w:r>
      <w:r w:rsidR="007D2BB2" w:rsidRPr="00AD46C0">
        <w:t>welcomes</w:t>
      </w:r>
      <w:r w:rsidR="00B7246E" w:rsidRPr="00AD46C0">
        <w:t xml:space="preserve"> suggestions from </w:t>
      </w:r>
      <w:r w:rsidR="002854C8" w:rsidRPr="00AD46C0">
        <w:t>both</w:t>
      </w:r>
      <w:r w:rsidR="008E11E7" w:rsidRPr="00AD46C0">
        <w:t xml:space="preserve"> registered and unregistered </w:t>
      </w:r>
      <w:r w:rsidR="006E3483" w:rsidRPr="00AD46C0">
        <w:t xml:space="preserve">AOD </w:t>
      </w:r>
      <w:r w:rsidR="008E11E7" w:rsidRPr="00AD46C0">
        <w:t>service providers</w:t>
      </w:r>
      <w:r w:rsidR="00B7246E" w:rsidRPr="00AD46C0">
        <w:t xml:space="preserve"> on how the Regulations could address any ambiguit</w:t>
      </w:r>
      <w:r w:rsidR="000515F3" w:rsidRPr="00AD46C0">
        <w:t>ies</w:t>
      </w:r>
      <w:r w:rsidR="0048082C" w:rsidRPr="00AD46C0">
        <w:t xml:space="preserve">, noting </w:t>
      </w:r>
      <w:r w:rsidR="00F96F73" w:rsidRPr="00AD46C0">
        <w:t xml:space="preserve">that the department </w:t>
      </w:r>
      <w:r w:rsidR="00B0642B" w:rsidRPr="00AD46C0">
        <w:t xml:space="preserve">does not </w:t>
      </w:r>
      <w:r w:rsidR="00FB75AB" w:rsidRPr="00AD46C0">
        <w:t>inten</w:t>
      </w:r>
      <w:r w:rsidR="00B0642B" w:rsidRPr="00AD46C0">
        <w:t>d</w:t>
      </w:r>
      <w:r w:rsidR="00FB75AB" w:rsidRPr="00AD46C0">
        <w:t xml:space="preserve"> to </w:t>
      </w:r>
      <w:r w:rsidR="00165236">
        <w:t>expand the Regulations to cover</w:t>
      </w:r>
      <w:r w:rsidR="00FB75AB" w:rsidRPr="00AD46C0">
        <w:t xml:space="preserve"> </w:t>
      </w:r>
      <w:r w:rsidR="00190072" w:rsidRPr="00AD46C0">
        <w:t xml:space="preserve">sub-acute </w:t>
      </w:r>
      <w:r w:rsidR="00DF2AB8" w:rsidRPr="00AD46C0">
        <w:t>or</w:t>
      </w:r>
      <w:r w:rsidR="00BB0411" w:rsidRPr="00AD46C0">
        <w:t xml:space="preserve"> rehabilitation </w:t>
      </w:r>
      <w:r w:rsidR="00033ED4" w:rsidRPr="00AD46C0">
        <w:t xml:space="preserve">AOD </w:t>
      </w:r>
      <w:r w:rsidR="00BB0411" w:rsidRPr="00AD46C0">
        <w:t>services</w:t>
      </w:r>
      <w:r w:rsidR="00671CA0">
        <w:t xml:space="preserve">. </w:t>
      </w:r>
    </w:p>
    <w:p w14:paraId="6FDF15A3" w14:textId="5E03DCE7" w:rsidR="00F117E3" w:rsidRPr="00AD46C0" w:rsidRDefault="00671CA0" w:rsidP="00E17FE1">
      <w:pPr>
        <w:pStyle w:val="Body"/>
      </w:pPr>
      <w:r>
        <w:t xml:space="preserve">The department is aware </w:t>
      </w:r>
      <w:r w:rsidR="00E17FE1">
        <w:t>that the term ‘mental health services’ may require clarification</w:t>
      </w:r>
      <w:r w:rsidR="008E4A91">
        <w:t>,</w:t>
      </w:r>
      <w:r w:rsidR="00E17FE1">
        <w:t xml:space="preserve"> including in light of </w:t>
      </w:r>
      <w:r w:rsidR="00845EAB">
        <w:t xml:space="preserve">the </w:t>
      </w:r>
      <w:r w:rsidR="000E653E">
        <w:t xml:space="preserve">new legislative framework for mental health and wellbeing services (the </w:t>
      </w:r>
      <w:r w:rsidR="000E653E" w:rsidRPr="00AD46C0">
        <w:rPr>
          <w:i/>
        </w:rPr>
        <w:t>Mental Health and Wellbeing Act 2022</w:t>
      </w:r>
      <w:r w:rsidR="000E653E">
        <w:t xml:space="preserve">, coming into operation on 1 September 2023, and associated regulations). </w:t>
      </w:r>
      <w:r w:rsidR="00ED3F05">
        <w:t xml:space="preserve">The department will be considering this issue and would welcome any relevant feedback from stakeholders. </w:t>
      </w:r>
    </w:p>
    <w:p w14:paraId="0515281E" w14:textId="7B8940D1" w:rsidR="003776A5" w:rsidRDefault="00600621" w:rsidP="003776A5">
      <w:pPr>
        <w:pStyle w:val="Heading3"/>
      </w:pPr>
      <w:r>
        <w:t>1.2.1</w:t>
      </w:r>
      <w:r w:rsidR="00750A36">
        <w:t xml:space="preserve"> </w:t>
      </w:r>
      <w:r w:rsidR="003776A5">
        <w:t>Cosmetic surgery</w:t>
      </w:r>
      <w:r w:rsidR="00834C13">
        <w:t xml:space="preserve"> </w:t>
      </w:r>
    </w:p>
    <w:p w14:paraId="783FE205" w14:textId="481675FF" w:rsidR="00DC5A4A" w:rsidRDefault="003776A5" w:rsidP="00672539">
      <w:pPr>
        <w:pStyle w:val="Body"/>
      </w:pPr>
      <w:r w:rsidRPr="00857E77">
        <w:t xml:space="preserve">In response to </w:t>
      </w:r>
      <w:r w:rsidR="005E6D33">
        <w:t xml:space="preserve">recent </w:t>
      </w:r>
      <w:r w:rsidR="00AF643D">
        <w:t xml:space="preserve">concerns </w:t>
      </w:r>
      <w:r w:rsidR="4B7BB386">
        <w:t xml:space="preserve">expressed </w:t>
      </w:r>
      <w:r w:rsidR="00AF643D">
        <w:t xml:space="preserve">about </w:t>
      </w:r>
      <w:r w:rsidR="06A9085E">
        <w:t xml:space="preserve">safety and </w:t>
      </w:r>
      <w:r w:rsidR="093DC92B">
        <w:t>quality</w:t>
      </w:r>
      <w:r w:rsidR="3116BD29">
        <w:t xml:space="preserve"> in</w:t>
      </w:r>
      <w:r w:rsidR="00AF643D">
        <w:t xml:space="preserve"> </w:t>
      </w:r>
      <w:r w:rsidR="005E6D33" w:rsidRPr="00857E77">
        <w:t>the cosmetic surgery sector</w:t>
      </w:r>
      <w:r w:rsidR="005E6D33">
        <w:t>,</w:t>
      </w:r>
      <w:r w:rsidR="005E6D33" w:rsidRPr="00857E77">
        <w:t xml:space="preserve"> </w:t>
      </w:r>
      <w:r w:rsidRPr="00857E77">
        <w:t>a significant national reform program</w:t>
      </w:r>
      <w:r w:rsidR="006162B8">
        <w:t xml:space="preserve"> </w:t>
      </w:r>
      <w:r w:rsidR="00FE3243">
        <w:t>is underway</w:t>
      </w:r>
      <w:r w:rsidR="00D33D34">
        <w:t xml:space="preserve">. </w:t>
      </w:r>
      <w:r w:rsidR="003C758D">
        <w:t>National bodies like the Australian Commission on Safety and Quality in Health Care (</w:t>
      </w:r>
      <w:r w:rsidR="00B5362E">
        <w:t>the Commission</w:t>
      </w:r>
      <w:r w:rsidR="003C758D">
        <w:t xml:space="preserve">), the </w:t>
      </w:r>
      <w:r w:rsidR="003C758D" w:rsidRPr="00857E77">
        <w:t>Australian Health Practitioner Regulation Agency (Ahpra) and the Medical Board</w:t>
      </w:r>
      <w:r w:rsidR="003C758D">
        <w:t xml:space="preserve"> of Australia (Medical Board) are leading </w:t>
      </w:r>
      <w:r w:rsidR="00922BDA">
        <w:t xml:space="preserve">different </w:t>
      </w:r>
      <w:r w:rsidR="003C0795">
        <w:t>elements</w:t>
      </w:r>
      <w:r w:rsidR="00EA3352">
        <w:t xml:space="preserve"> of the reform</w:t>
      </w:r>
      <w:r w:rsidR="003C0795">
        <w:t>s</w:t>
      </w:r>
      <w:r w:rsidR="00EA3352">
        <w:t xml:space="preserve">. </w:t>
      </w:r>
    </w:p>
    <w:p w14:paraId="799ACCD8" w14:textId="661037B8" w:rsidR="007F2963" w:rsidRDefault="00504F48" w:rsidP="00672539">
      <w:pPr>
        <w:pStyle w:val="Body"/>
      </w:pPr>
      <w:r>
        <w:t xml:space="preserve">The department is taking the opportunity to consider </w:t>
      </w:r>
      <w:r w:rsidR="008E69F5">
        <w:t>adding</w:t>
      </w:r>
      <w:r w:rsidR="00617205">
        <w:t xml:space="preserve"> ‘cosmetic surgery’ as a </w:t>
      </w:r>
      <w:r w:rsidR="00967278">
        <w:t>speciality</w:t>
      </w:r>
      <w:r w:rsidR="00617205">
        <w:t xml:space="preserve"> health service in the Regulations</w:t>
      </w:r>
      <w:r w:rsidR="008E69F5">
        <w:t xml:space="preserve"> so that Victoria’s legislation supports the national reforms. </w:t>
      </w:r>
      <w:r w:rsidR="00200567">
        <w:t>The background for this proposed amendment is summarised below.</w:t>
      </w:r>
      <w:r w:rsidR="00617205">
        <w:t xml:space="preserve"> </w:t>
      </w:r>
    </w:p>
    <w:p w14:paraId="17B0B2BC" w14:textId="791AEF91" w:rsidR="003776A5" w:rsidRPr="00857E77" w:rsidRDefault="002B2EC1" w:rsidP="00672539">
      <w:pPr>
        <w:pStyle w:val="Heading4"/>
      </w:pPr>
      <w:r>
        <w:t>1.2.1.1</w:t>
      </w:r>
      <w:r w:rsidR="00D50A26">
        <w:t xml:space="preserve"> </w:t>
      </w:r>
      <w:r w:rsidR="00192BD9">
        <w:t xml:space="preserve">National cosmetic surgery licensing framework and standards </w:t>
      </w:r>
    </w:p>
    <w:p w14:paraId="5EB83C19" w14:textId="557D8BBC" w:rsidR="00A44346" w:rsidRDefault="00AA1AF3" w:rsidP="00A44346">
      <w:pPr>
        <w:pStyle w:val="Body"/>
      </w:pPr>
      <w:r>
        <w:t xml:space="preserve">In 2022, </w:t>
      </w:r>
      <w:r w:rsidR="00201711">
        <w:t>f</w:t>
      </w:r>
      <w:r w:rsidR="00412E69">
        <w:t>edera</w:t>
      </w:r>
      <w:r w:rsidR="00DC6395">
        <w:t xml:space="preserve">l, </w:t>
      </w:r>
      <w:r w:rsidR="00201711">
        <w:t>s</w:t>
      </w:r>
      <w:r w:rsidR="00DC6395">
        <w:t xml:space="preserve">tate and </w:t>
      </w:r>
      <w:r w:rsidR="00201711">
        <w:t>t</w:t>
      </w:r>
      <w:r w:rsidR="00DC6395">
        <w:t xml:space="preserve">erritory </w:t>
      </w:r>
      <w:r w:rsidR="00201711">
        <w:t>h</w:t>
      </w:r>
      <w:r w:rsidR="00DC6395">
        <w:t xml:space="preserve">ealth </w:t>
      </w:r>
      <w:r w:rsidR="00201711">
        <w:t>m</w:t>
      </w:r>
      <w:r w:rsidR="00DC6395">
        <w:t xml:space="preserve">inisters </w:t>
      </w:r>
      <w:r w:rsidR="00400DCA">
        <w:t xml:space="preserve">tasked the </w:t>
      </w:r>
      <w:r w:rsidR="00B5362E">
        <w:t>Commission</w:t>
      </w:r>
      <w:r w:rsidR="00B5362E" w:rsidRPr="00857E77">
        <w:t xml:space="preserve"> </w:t>
      </w:r>
      <w:r w:rsidR="00400DCA">
        <w:t>with</w:t>
      </w:r>
      <w:r w:rsidR="00A44346">
        <w:t xml:space="preserve"> leading a review of licensing arrangements </w:t>
      </w:r>
      <w:r w:rsidR="00201711">
        <w:t>for</w:t>
      </w:r>
      <w:r w:rsidR="00A44346">
        <w:t xml:space="preserve"> private hospitals, day procedure centres and clinics where cosmetic procedures are performed</w:t>
      </w:r>
      <w:r w:rsidR="00201711">
        <w:t>,</w:t>
      </w:r>
      <w:r w:rsidR="00A44346">
        <w:t xml:space="preserve"> and developing national standards for the safe delivery of high-quality cosmetic procedures.</w:t>
      </w:r>
      <w:r w:rsidR="006162B8" w:rsidRPr="28273F43">
        <w:rPr>
          <w:rStyle w:val="FootnoteReference"/>
        </w:rPr>
        <w:footnoteReference w:id="10"/>
      </w:r>
    </w:p>
    <w:p w14:paraId="70C593BC" w14:textId="6448A540" w:rsidR="003776A5" w:rsidRDefault="006451DB" w:rsidP="00A44346">
      <w:pPr>
        <w:pStyle w:val="Body"/>
      </w:pPr>
      <w:r>
        <w:lastRenderedPageBreak/>
        <w:t xml:space="preserve">The </w:t>
      </w:r>
      <w:r w:rsidR="000443A5">
        <w:t>Commission</w:t>
      </w:r>
      <w:r w:rsidR="00787CCF">
        <w:t xml:space="preserve"> </w:t>
      </w:r>
      <w:r w:rsidR="00FA1039">
        <w:t>conducted</w:t>
      </w:r>
      <w:r w:rsidR="00103707">
        <w:t xml:space="preserve"> </w:t>
      </w:r>
      <w:r w:rsidR="00FA1039">
        <w:t xml:space="preserve">consultation </w:t>
      </w:r>
      <w:r w:rsidR="00103707">
        <w:t>to inform its</w:t>
      </w:r>
      <w:r w:rsidR="00787CCF">
        <w:t xml:space="preserve"> review of current licensing </w:t>
      </w:r>
      <w:r w:rsidR="00CD34F8">
        <w:t>schemes</w:t>
      </w:r>
      <w:r w:rsidR="004F4FC1">
        <w:t xml:space="preserve"> and </w:t>
      </w:r>
      <w:r w:rsidR="00E45C21">
        <w:t xml:space="preserve">development </w:t>
      </w:r>
      <w:r w:rsidR="004564A4">
        <w:t>of options to achieve greater national consistency</w:t>
      </w:r>
      <w:r w:rsidR="001026FD">
        <w:t>.</w:t>
      </w:r>
      <w:r w:rsidR="000D4EB8">
        <w:rPr>
          <w:rStyle w:val="FootnoteReference"/>
        </w:rPr>
        <w:footnoteReference w:id="11"/>
      </w:r>
      <w:r w:rsidR="004564A4">
        <w:t xml:space="preserve"> </w:t>
      </w:r>
      <w:r w:rsidR="000E6AAF">
        <w:t xml:space="preserve">Stakeholders from the Victorian private hospitals sector have also </w:t>
      </w:r>
      <w:r w:rsidR="009B0D54">
        <w:t xml:space="preserve">participated </w:t>
      </w:r>
      <w:r w:rsidR="00C80C63">
        <w:t>in</w:t>
      </w:r>
      <w:r w:rsidR="00953B2E">
        <w:t xml:space="preserve"> the </w:t>
      </w:r>
      <w:r w:rsidR="00B5362E">
        <w:t xml:space="preserve">Commission’s </w:t>
      </w:r>
      <w:r w:rsidR="00CF4D67">
        <w:t>consultation process</w:t>
      </w:r>
      <w:r w:rsidR="00C04CFC">
        <w:t>.</w:t>
      </w:r>
    </w:p>
    <w:p w14:paraId="145DBA32" w14:textId="1F8642BE" w:rsidR="00CB310E" w:rsidRDefault="00CB310E" w:rsidP="00A44346">
      <w:pPr>
        <w:pStyle w:val="Body"/>
      </w:pPr>
      <w:r>
        <w:t xml:space="preserve">The </w:t>
      </w:r>
      <w:r w:rsidR="00BD500A">
        <w:t xml:space="preserve">health ministers are due to consider the Commission’s </w:t>
      </w:r>
      <w:r w:rsidR="004D4C7B">
        <w:t xml:space="preserve">proposals </w:t>
      </w:r>
      <w:r w:rsidR="00EE198F">
        <w:t>later in</w:t>
      </w:r>
      <w:r w:rsidR="004D4C7B">
        <w:t xml:space="preserve"> 2023.</w:t>
      </w:r>
    </w:p>
    <w:p w14:paraId="661F3C7D" w14:textId="7A187D6C" w:rsidR="00997885" w:rsidRDefault="00636C73" w:rsidP="00672539">
      <w:pPr>
        <w:pStyle w:val="Heading4"/>
      </w:pPr>
      <w:r>
        <w:t>1.2.</w:t>
      </w:r>
      <w:r w:rsidR="00C02C12">
        <w:t xml:space="preserve">1.2 </w:t>
      </w:r>
      <w:r w:rsidR="00ED7BE7">
        <w:t>N</w:t>
      </w:r>
      <w:r w:rsidR="002B4317">
        <w:t xml:space="preserve">ational </w:t>
      </w:r>
      <w:r w:rsidR="00CA2086">
        <w:t>requirements</w:t>
      </w:r>
      <w:r w:rsidR="00ED7BE7">
        <w:t xml:space="preserve"> for </w:t>
      </w:r>
      <w:r w:rsidR="00CA2086">
        <w:t xml:space="preserve">cosmetic surgery </w:t>
      </w:r>
      <w:r w:rsidR="00495E1B">
        <w:t>practitioners</w:t>
      </w:r>
    </w:p>
    <w:p w14:paraId="22FDD7D6" w14:textId="458DBB5E" w:rsidR="00F63448" w:rsidRDefault="00636C73" w:rsidP="00672539">
      <w:pPr>
        <w:pStyle w:val="Body"/>
      </w:pPr>
      <w:r>
        <w:t>R</w:t>
      </w:r>
      <w:r w:rsidRPr="00857E77">
        <w:t xml:space="preserve">ecommendations </w:t>
      </w:r>
      <w:r w:rsidR="003C0795">
        <w:t>from</w:t>
      </w:r>
      <w:r w:rsidRPr="00857E77">
        <w:t xml:space="preserve"> the </w:t>
      </w:r>
      <w:r w:rsidR="00D806C7">
        <w:t>i</w:t>
      </w:r>
      <w:r w:rsidRPr="00857E77">
        <w:t>ndependent review of cosmetic surgery regulation</w:t>
      </w:r>
      <w:r w:rsidR="00D806C7">
        <w:rPr>
          <w:rStyle w:val="FootnoteReference"/>
        </w:rPr>
        <w:footnoteReference w:id="12"/>
      </w:r>
      <w:r w:rsidRPr="00857E77">
        <w:t xml:space="preserve"> commissioned by the Ahpra and the Medical Board</w:t>
      </w:r>
      <w:r>
        <w:t xml:space="preserve"> </w:t>
      </w:r>
      <w:r w:rsidR="00EE198F">
        <w:t>are currently being implemented</w:t>
      </w:r>
      <w:r>
        <w:t>.</w:t>
      </w:r>
      <w:r w:rsidR="00C32600">
        <w:rPr>
          <w:rStyle w:val="FootnoteReference"/>
        </w:rPr>
        <w:footnoteReference w:id="13"/>
      </w:r>
      <w:r>
        <w:t xml:space="preserve"> Th</w:t>
      </w:r>
      <w:r w:rsidR="000B65FA">
        <w:t>ese</w:t>
      </w:r>
      <w:r>
        <w:t xml:space="preserve"> </w:t>
      </w:r>
      <w:r w:rsidRPr="00857E77">
        <w:t>includ</w:t>
      </w:r>
      <w:r>
        <w:t>e</w:t>
      </w:r>
      <w:r w:rsidRPr="00857E77">
        <w:t xml:space="preserve"> </w:t>
      </w:r>
      <w:r>
        <w:t xml:space="preserve">a </w:t>
      </w:r>
      <w:r w:rsidR="004C5BE8">
        <w:t>range of measures</w:t>
      </w:r>
      <w:r w:rsidR="00F63448">
        <w:t>, such as:</w:t>
      </w:r>
    </w:p>
    <w:p w14:paraId="7A7FACC7" w14:textId="053AFFF4" w:rsidR="00C17B94" w:rsidRDefault="00010CC0" w:rsidP="00C132C8">
      <w:pPr>
        <w:pStyle w:val="Body"/>
        <w:numPr>
          <w:ilvl w:val="0"/>
          <w:numId w:val="49"/>
        </w:numPr>
      </w:pPr>
      <w:r>
        <w:t xml:space="preserve">new </w:t>
      </w:r>
      <w:r w:rsidR="00FC5A72" w:rsidRPr="00FD2110">
        <w:rPr>
          <w:i/>
          <w:iCs/>
        </w:rPr>
        <w:t>E</w:t>
      </w:r>
      <w:r w:rsidR="000E508E" w:rsidRPr="00FD2110">
        <w:rPr>
          <w:i/>
          <w:iCs/>
        </w:rPr>
        <w:t xml:space="preserve">ndorsement </w:t>
      </w:r>
      <w:r w:rsidR="008B05E9" w:rsidRPr="00FD2110">
        <w:rPr>
          <w:i/>
          <w:iCs/>
        </w:rPr>
        <w:t>of registration of registered medical practitioners for the approved area of cosmetic surgery</w:t>
      </w:r>
      <w:r w:rsidR="00976A9D">
        <w:rPr>
          <w:rStyle w:val="FootnoteReference"/>
        </w:rPr>
        <w:footnoteReference w:id="14"/>
      </w:r>
      <w:r w:rsidR="00E50309">
        <w:t xml:space="preserve"> </w:t>
      </w:r>
    </w:p>
    <w:p w14:paraId="70B6AB05" w14:textId="2A182925" w:rsidR="00685AEA" w:rsidRDefault="00681FD4" w:rsidP="00C132C8">
      <w:pPr>
        <w:pStyle w:val="Body"/>
        <w:numPr>
          <w:ilvl w:val="0"/>
          <w:numId w:val="49"/>
        </w:numPr>
      </w:pPr>
      <w:r>
        <w:t>updated</w:t>
      </w:r>
      <w:r w:rsidR="000E508E">
        <w:t xml:space="preserve"> </w:t>
      </w:r>
      <w:r w:rsidR="00CE3A65">
        <w:rPr>
          <w:i/>
          <w:iCs/>
        </w:rPr>
        <w:t>G</w:t>
      </w:r>
      <w:r w:rsidR="000E508E" w:rsidRPr="00FD2110">
        <w:rPr>
          <w:i/>
          <w:iCs/>
        </w:rPr>
        <w:t>uidelines</w:t>
      </w:r>
      <w:r w:rsidR="00636C73" w:rsidRPr="00FD2110">
        <w:rPr>
          <w:i/>
          <w:iCs/>
        </w:rPr>
        <w:t xml:space="preserve"> for </w:t>
      </w:r>
      <w:r w:rsidR="00FB6394" w:rsidRPr="00FD2110">
        <w:rPr>
          <w:i/>
          <w:iCs/>
        </w:rPr>
        <w:t xml:space="preserve">registered </w:t>
      </w:r>
      <w:r w:rsidR="00636C73" w:rsidRPr="00FD2110">
        <w:rPr>
          <w:i/>
          <w:iCs/>
        </w:rPr>
        <w:t>medical practitioners who perform cosmetic surgery</w:t>
      </w:r>
      <w:r w:rsidR="00CE3A65" w:rsidRPr="00FD2110">
        <w:rPr>
          <w:i/>
          <w:iCs/>
        </w:rPr>
        <w:t xml:space="preserve"> and procedures</w:t>
      </w:r>
      <w:r w:rsidR="00685AEA">
        <w:rPr>
          <w:rStyle w:val="FootnoteReference"/>
        </w:rPr>
        <w:footnoteReference w:id="15"/>
      </w:r>
    </w:p>
    <w:p w14:paraId="37553414" w14:textId="4485AD70" w:rsidR="00D60FCD" w:rsidRPr="00543E32" w:rsidRDefault="00C54DE1" w:rsidP="00C132C8">
      <w:pPr>
        <w:pStyle w:val="Body"/>
        <w:numPr>
          <w:ilvl w:val="0"/>
          <w:numId w:val="49"/>
        </w:numPr>
      </w:pPr>
      <w:r>
        <w:t>n</w:t>
      </w:r>
      <w:r w:rsidR="00D60FCD">
        <w:t>ew</w:t>
      </w:r>
      <w:r w:rsidR="00681FD4">
        <w:t xml:space="preserve"> </w:t>
      </w:r>
      <w:r w:rsidR="00CE3A65">
        <w:rPr>
          <w:i/>
          <w:iCs/>
        </w:rPr>
        <w:t>G</w:t>
      </w:r>
      <w:r w:rsidR="008B6D2B" w:rsidRPr="00FD2110">
        <w:rPr>
          <w:i/>
          <w:iCs/>
        </w:rPr>
        <w:t>uidelines for registered medical practitioners who advertise cosmetic surgery</w:t>
      </w:r>
      <w:r w:rsidR="00BB5A5B">
        <w:rPr>
          <w:i/>
          <w:iCs/>
        </w:rPr>
        <w:t>.</w:t>
      </w:r>
      <w:r w:rsidR="008B6D2B">
        <w:rPr>
          <w:rStyle w:val="FootnoteReference"/>
        </w:rPr>
        <w:footnoteReference w:id="16"/>
      </w:r>
    </w:p>
    <w:p w14:paraId="0E240708" w14:textId="4AB43D4C" w:rsidR="00651514" w:rsidRDefault="00FC1E2A" w:rsidP="00FD2110">
      <w:pPr>
        <w:pStyle w:val="Body"/>
      </w:pPr>
      <w:r>
        <w:t>A</w:t>
      </w:r>
      <w:r w:rsidR="00461F23">
        <w:t xml:space="preserve"> reform to protect the title ‘surgeon’ is </w:t>
      </w:r>
      <w:r w:rsidR="0065469F">
        <w:t xml:space="preserve">also underway, with </w:t>
      </w:r>
      <w:r w:rsidR="00D47849">
        <w:t xml:space="preserve">the Health Practitioner Regulation National Law (Surgeons) Amendment Bill 2023 </w:t>
      </w:r>
      <w:r w:rsidR="00B77348">
        <w:t>currently before the Queensland Parliament.</w:t>
      </w:r>
      <w:r w:rsidR="007F1793">
        <w:rPr>
          <w:rStyle w:val="FootnoteReference"/>
        </w:rPr>
        <w:footnoteReference w:id="17"/>
      </w:r>
      <w:r w:rsidR="00B77348">
        <w:t xml:space="preserve"> </w:t>
      </w:r>
    </w:p>
    <w:p w14:paraId="1A76BFC1" w14:textId="133817F3" w:rsidR="000D2608" w:rsidRDefault="00416AFF" w:rsidP="00AD6008">
      <w:pPr>
        <w:pStyle w:val="Heading4"/>
      </w:pPr>
      <w:r>
        <w:t>1.2.1.3 Cosmetic surgery definitions</w:t>
      </w:r>
    </w:p>
    <w:p w14:paraId="2292379A" w14:textId="35354EFF" w:rsidR="00DE3634" w:rsidRDefault="00B629E4" w:rsidP="00672539">
      <w:pPr>
        <w:pStyle w:val="Body"/>
      </w:pPr>
      <w:r>
        <w:t xml:space="preserve">The department is considering </w:t>
      </w:r>
      <w:r w:rsidR="003D0129">
        <w:t xml:space="preserve">whether </w:t>
      </w:r>
      <w:r w:rsidR="00F8683D">
        <w:t xml:space="preserve">adding cosmetic surgery </w:t>
      </w:r>
      <w:r w:rsidR="006E4F32">
        <w:t xml:space="preserve">as a </w:t>
      </w:r>
      <w:r w:rsidR="00737553">
        <w:t xml:space="preserve">defined </w:t>
      </w:r>
      <w:r w:rsidR="006E4F32">
        <w:t xml:space="preserve">category of health service in </w:t>
      </w:r>
      <w:r w:rsidR="00F8683D">
        <w:t xml:space="preserve">the </w:t>
      </w:r>
      <w:r w:rsidR="006A1619">
        <w:t xml:space="preserve">Regulations </w:t>
      </w:r>
      <w:r w:rsidR="0050380B">
        <w:t xml:space="preserve">may </w:t>
      </w:r>
      <w:r w:rsidR="00B1314A">
        <w:t>improve the regulation of cosmetic surgery and</w:t>
      </w:r>
      <w:r w:rsidR="0050380B">
        <w:t xml:space="preserve"> </w:t>
      </w:r>
      <w:r w:rsidR="006A1619">
        <w:t xml:space="preserve">support </w:t>
      </w:r>
      <w:r w:rsidR="00B1314A">
        <w:t>consistency with</w:t>
      </w:r>
      <w:r w:rsidR="006A1619">
        <w:t xml:space="preserve"> the</w:t>
      </w:r>
      <w:r w:rsidR="00907346">
        <w:t>se</w:t>
      </w:r>
      <w:r w:rsidR="006A1619">
        <w:t xml:space="preserve"> national reforms.</w:t>
      </w:r>
      <w:r w:rsidR="0031038C">
        <w:t xml:space="preserve"> </w:t>
      </w:r>
    </w:p>
    <w:p w14:paraId="7E200F98" w14:textId="5A03AC8B" w:rsidR="0077097C" w:rsidRDefault="00202DCD" w:rsidP="00672539">
      <w:pPr>
        <w:pStyle w:val="Body"/>
      </w:pPr>
      <w:r>
        <w:t xml:space="preserve">The </w:t>
      </w:r>
      <w:r w:rsidR="00F86EF5">
        <w:t xml:space="preserve">Medical Board </w:t>
      </w:r>
      <w:r w:rsidR="00A21FDA">
        <w:t>define</w:t>
      </w:r>
      <w:r w:rsidR="00925E7F">
        <w:t>s</w:t>
      </w:r>
      <w:r w:rsidR="00A21FDA">
        <w:t xml:space="preserve"> cosmetic surgery as</w:t>
      </w:r>
      <w:r w:rsidR="00716EC0">
        <w:t xml:space="preserve"> follows</w:t>
      </w:r>
      <w:r w:rsidR="00A21FDA">
        <w:t>:</w:t>
      </w:r>
    </w:p>
    <w:p w14:paraId="53D8D229" w14:textId="3E40F260" w:rsidR="00593069" w:rsidRPr="00672539" w:rsidRDefault="00AA048B" w:rsidP="00AD6008">
      <w:pPr>
        <w:pStyle w:val="Quotetext"/>
      </w:pPr>
      <w:r w:rsidRPr="00672539">
        <w:t>Cosmetic surgery and procedures are operations and other procedures that revise or change the</w:t>
      </w:r>
      <w:r w:rsidR="00432434" w:rsidRPr="00672539">
        <w:t xml:space="preserve"> </w:t>
      </w:r>
      <w:r w:rsidRPr="00672539">
        <w:t>appearance, colour, texture, structure or position of normal bodily features with the dominant purpose of achieving what the patient perceives to be a more desirable appearance.</w:t>
      </w:r>
    </w:p>
    <w:p w14:paraId="4F2A13EE" w14:textId="0205FF13" w:rsidR="00AA048B" w:rsidRPr="00EF7D47" w:rsidRDefault="00432434" w:rsidP="00AD6008">
      <w:pPr>
        <w:pStyle w:val="Quotetext"/>
      </w:pPr>
      <w:r w:rsidRPr="00672539">
        <w:lastRenderedPageBreak/>
        <w:t>Cosmetic surgery involves cutting beneath the skin. Examples include breast augmentation, abdominoplasty, rhinoplasty, blepharoplasty</w:t>
      </w:r>
      <w:r w:rsidR="00FA01FF">
        <w:rPr>
          <w:rStyle w:val="FootnoteReference"/>
        </w:rPr>
        <w:footnoteReference w:id="18"/>
      </w:r>
      <w:r w:rsidRPr="00672539">
        <w:t>, surgical face lifts, cosmetic genital surgery, and liposuction and fat transfer.</w:t>
      </w:r>
      <w:r w:rsidR="00201711" w:rsidRPr="00201711">
        <w:rPr>
          <w:rStyle w:val="FootnoteReference"/>
        </w:rPr>
        <w:t xml:space="preserve"> </w:t>
      </w:r>
      <w:r w:rsidR="00201711">
        <w:rPr>
          <w:rStyle w:val="FootnoteReference"/>
        </w:rPr>
        <w:footnoteReference w:id="19"/>
      </w:r>
    </w:p>
    <w:p w14:paraId="2FAEFDBB" w14:textId="4D83623C" w:rsidR="001645F0" w:rsidRDefault="00825DD4" w:rsidP="00672539">
      <w:pPr>
        <w:pStyle w:val="Body"/>
        <w:rPr>
          <w:szCs w:val="21"/>
        </w:rPr>
      </w:pPr>
      <w:r>
        <w:rPr>
          <w:szCs w:val="21"/>
        </w:rPr>
        <w:t>P</w:t>
      </w:r>
      <w:r w:rsidR="00A336EF">
        <w:rPr>
          <w:szCs w:val="21"/>
        </w:rPr>
        <w:t>rocedures that are not considered cosmetic surgery</w:t>
      </w:r>
      <w:r w:rsidR="00ED7E08">
        <w:rPr>
          <w:szCs w:val="21"/>
        </w:rPr>
        <w:t xml:space="preserve"> are also </w:t>
      </w:r>
      <w:r>
        <w:rPr>
          <w:szCs w:val="21"/>
        </w:rPr>
        <w:t>described</w:t>
      </w:r>
      <w:r w:rsidR="009E2046">
        <w:rPr>
          <w:szCs w:val="21"/>
        </w:rPr>
        <w:t xml:space="preserve">. </w:t>
      </w:r>
      <w:r w:rsidR="006D5B2E" w:rsidDel="00ED7E08">
        <w:rPr>
          <w:szCs w:val="21"/>
        </w:rPr>
        <w:t>For example:</w:t>
      </w:r>
    </w:p>
    <w:p w14:paraId="504E36E7" w14:textId="042B1C59" w:rsidR="00824224" w:rsidRPr="00AD6008" w:rsidRDefault="00A87042" w:rsidP="00C132C8">
      <w:pPr>
        <w:pStyle w:val="Body"/>
        <w:numPr>
          <w:ilvl w:val="0"/>
          <w:numId w:val="21"/>
        </w:numPr>
      </w:pPr>
      <w:r>
        <w:t>n</w:t>
      </w:r>
      <w:r w:rsidR="00135B67">
        <w:t>on-surgical c</w:t>
      </w:r>
      <w:r w:rsidR="008E478C">
        <w:t>osmetic p</w:t>
      </w:r>
      <w:r w:rsidR="0002133A" w:rsidRPr="002110B8">
        <w:t xml:space="preserve">rocedures that do not involve cutting beneath the skin but may involve piercing the skin, such </w:t>
      </w:r>
      <w:r w:rsidR="00824224" w:rsidRPr="00BD2404">
        <w:t xml:space="preserve">as </w:t>
      </w:r>
      <w:r w:rsidR="00824224" w:rsidRPr="00AD6008">
        <w:t>cosmetic injectables, thread lifts</w:t>
      </w:r>
      <w:r w:rsidR="00F12C1A">
        <w:t xml:space="preserve">, </w:t>
      </w:r>
      <w:r w:rsidR="00994505">
        <w:t>fat dissolving injections,</w:t>
      </w:r>
      <w:r w:rsidR="00824224" w:rsidRPr="00AD6008">
        <w:t xml:space="preserve"> cryolipolysis (fat freezing)</w:t>
      </w:r>
      <w:r w:rsidR="002219B1">
        <w:t>, laser hair removal, dermabrasion, chemical peels</w:t>
      </w:r>
      <w:r w:rsidR="002E6856">
        <w:t xml:space="preserve"> and hair transplants</w:t>
      </w:r>
    </w:p>
    <w:p w14:paraId="639D0E56" w14:textId="7580F94C" w:rsidR="00824224" w:rsidRPr="00AD6008" w:rsidRDefault="00A87042" w:rsidP="00C132C8">
      <w:pPr>
        <w:pStyle w:val="Body"/>
        <w:numPr>
          <w:ilvl w:val="0"/>
          <w:numId w:val="21"/>
        </w:numPr>
      </w:pPr>
      <w:r>
        <w:t>m</w:t>
      </w:r>
      <w:r w:rsidR="00824224" w:rsidRPr="00AD6008">
        <w:t>ole removal</w:t>
      </w:r>
      <w:r w:rsidR="002E6856">
        <w:t xml:space="preserve"> for the purpose</w:t>
      </w:r>
      <w:r w:rsidR="001C5E58">
        <w:t>s</w:t>
      </w:r>
      <w:r w:rsidR="002E6856">
        <w:t xml:space="preserve"> of appearance (even though it may involve cutting beneath the skin)</w:t>
      </w:r>
    </w:p>
    <w:p w14:paraId="1B3BF1F4" w14:textId="0A3F9A11" w:rsidR="00824224" w:rsidRPr="00AD6008" w:rsidRDefault="00A87042" w:rsidP="00C132C8">
      <w:pPr>
        <w:pStyle w:val="Body"/>
        <w:numPr>
          <w:ilvl w:val="0"/>
          <w:numId w:val="21"/>
        </w:numPr>
      </w:pPr>
      <w:r>
        <w:t>r</w:t>
      </w:r>
      <w:r w:rsidR="00824224" w:rsidRPr="00AD6008">
        <w:t xml:space="preserve">econstructive surgery </w:t>
      </w:r>
    </w:p>
    <w:p w14:paraId="65BDE904" w14:textId="5A7086B3" w:rsidR="00824224" w:rsidRPr="00AD6008" w:rsidRDefault="00A87042" w:rsidP="00C132C8">
      <w:pPr>
        <w:pStyle w:val="Body"/>
        <w:numPr>
          <w:ilvl w:val="0"/>
          <w:numId w:val="21"/>
        </w:numPr>
      </w:pPr>
      <w:r>
        <w:t>g</w:t>
      </w:r>
      <w:r w:rsidR="00824224" w:rsidRPr="00AD6008">
        <w:t>ender affirmation surgery</w:t>
      </w:r>
      <w:r w:rsidR="00050193">
        <w:t>.</w:t>
      </w:r>
    </w:p>
    <w:p w14:paraId="3DCC3852" w14:textId="20B82DC5" w:rsidR="00D26F47" w:rsidRDefault="006442BF" w:rsidP="006C5857">
      <w:pPr>
        <w:pStyle w:val="Body"/>
      </w:pPr>
      <w:r>
        <w:t>T</w:t>
      </w:r>
      <w:r w:rsidR="001571FA">
        <w:t>he</w:t>
      </w:r>
      <w:r w:rsidR="00A24DB3">
        <w:t xml:space="preserve"> </w:t>
      </w:r>
      <w:r w:rsidR="00400FDD">
        <w:t xml:space="preserve">procedures described </w:t>
      </w:r>
      <w:r w:rsidR="006C5857">
        <w:t xml:space="preserve">above </w:t>
      </w:r>
      <w:r w:rsidR="00400FDD">
        <w:t xml:space="preserve">as cosmetic surgery </w:t>
      </w:r>
      <w:r w:rsidR="003F6575">
        <w:t>(except low-volume liposuction</w:t>
      </w:r>
      <w:r w:rsidR="00D60787">
        <w:rPr>
          <w:rStyle w:val="FootnoteReference"/>
        </w:rPr>
        <w:footnoteReference w:id="20"/>
      </w:r>
      <w:r w:rsidR="003F6575">
        <w:t xml:space="preserve">) </w:t>
      </w:r>
      <w:r w:rsidR="001535A9">
        <w:t xml:space="preserve">must </w:t>
      </w:r>
      <w:r w:rsidR="00D03562">
        <w:t>already</w:t>
      </w:r>
      <w:r w:rsidR="001535A9">
        <w:t xml:space="preserve"> be conducted in registered and accredited facilities under the </w:t>
      </w:r>
      <w:r w:rsidR="004C4EB3">
        <w:t xml:space="preserve">Victorian </w:t>
      </w:r>
      <w:r w:rsidR="001535A9">
        <w:t>Regulations</w:t>
      </w:r>
      <w:r w:rsidR="001571FA">
        <w:t>. This is because they</w:t>
      </w:r>
      <w:r w:rsidR="00047DA7">
        <w:t xml:space="preserve"> </w:t>
      </w:r>
      <w:r w:rsidR="00857631">
        <w:t xml:space="preserve">come under </w:t>
      </w:r>
      <w:r w:rsidR="002B52B9">
        <w:t>on</w:t>
      </w:r>
      <w:r w:rsidR="00E81760">
        <w:t>e of the existing</w:t>
      </w:r>
      <w:r w:rsidR="00857631">
        <w:t xml:space="preserve"> </w:t>
      </w:r>
      <w:r w:rsidR="00DA7CBE">
        <w:t xml:space="preserve">r.5 </w:t>
      </w:r>
      <w:r w:rsidR="00857631">
        <w:t>definition</w:t>
      </w:r>
      <w:r w:rsidR="00E81760">
        <w:t>s</w:t>
      </w:r>
      <w:r w:rsidR="00857631">
        <w:t xml:space="preserve"> </w:t>
      </w:r>
      <w:r w:rsidR="00E81760">
        <w:t xml:space="preserve">of medical service, </w:t>
      </w:r>
      <w:r w:rsidR="00857631">
        <w:t>surgical health service</w:t>
      </w:r>
      <w:r w:rsidR="00E81760">
        <w:t xml:space="preserve"> or </w:t>
      </w:r>
      <w:r w:rsidR="00967278">
        <w:t>speciality</w:t>
      </w:r>
      <w:r w:rsidR="00E81760">
        <w:t xml:space="preserve"> health service</w:t>
      </w:r>
      <w:r w:rsidR="00472719">
        <w:t>,</w:t>
      </w:r>
      <w:r w:rsidR="00B72F40">
        <w:t xml:space="preserve"> or involve </w:t>
      </w:r>
      <w:r w:rsidR="00070233">
        <w:t xml:space="preserve">the </w:t>
      </w:r>
      <w:r w:rsidR="003101EA">
        <w:t>use of anaesthesia as defined in r.5.</w:t>
      </w:r>
    </w:p>
    <w:p w14:paraId="27DF5184" w14:textId="16AF9186" w:rsidR="007B3F3F" w:rsidRDefault="00027462" w:rsidP="00027462">
      <w:pPr>
        <w:pStyle w:val="Body"/>
        <w:rPr>
          <w:rFonts w:cs="Arial"/>
          <w:szCs w:val="21"/>
        </w:rPr>
      </w:pPr>
      <w:r>
        <w:t>Although these procedures are captured under various existing definitions, the</w:t>
      </w:r>
      <w:r w:rsidR="00384960">
        <w:t>re may be</w:t>
      </w:r>
      <w:r w:rsidR="000D3BAF">
        <w:t xml:space="preserve"> ben</w:t>
      </w:r>
      <w:r w:rsidR="00D461D5">
        <w:t xml:space="preserve">efits to </w:t>
      </w:r>
      <w:r w:rsidR="00B82B97">
        <w:t xml:space="preserve">adding </w:t>
      </w:r>
      <w:r>
        <w:t xml:space="preserve">cosmetic surgery </w:t>
      </w:r>
      <w:r w:rsidR="00EA78C8">
        <w:t xml:space="preserve">as a </w:t>
      </w:r>
      <w:r w:rsidR="009F3B40">
        <w:t xml:space="preserve">defined </w:t>
      </w:r>
      <w:r w:rsidR="001E6EBC">
        <w:t>health service</w:t>
      </w:r>
      <w:r w:rsidR="00EA78C8">
        <w:t xml:space="preserve"> in the Regulations.</w:t>
      </w:r>
      <w:r>
        <w:t xml:space="preserve"> </w:t>
      </w:r>
      <w:r w:rsidR="0016341F">
        <w:t>The department</w:t>
      </w:r>
      <w:r w:rsidR="00C46C73">
        <w:rPr>
          <w:rFonts w:cs="Arial"/>
          <w:szCs w:val="21"/>
        </w:rPr>
        <w:t xml:space="preserve"> </w:t>
      </w:r>
      <w:r w:rsidR="0016341F">
        <w:rPr>
          <w:rFonts w:cs="Arial"/>
          <w:szCs w:val="21"/>
        </w:rPr>
        <w:t>favour</w:t>
      </w:r>
      <w:r w:rsidR="0095700D">
        <w:rPr>
          <w:rFonts w:cs="Arial"/>
          <w:szCs w:val="21"/>
        </w:rPr>
        <w:t>s</w:t>
      </w:r>
      <w:r w:rsidR="0016341F">
        <w:rPr>
          <w:rFonts w:cs="Arial"/>
          <w:szCs w:val="21"/>
        </w:rPr>
        <w:t xml:space="preserve"> a broad definition</w:t>
      </w:r>
      <w:r w:rsidR="00CF1970">
        <w:rPr>
          <w:rFonts w:cs="Arial"/>
          <w:szCs w:val="21"/>
        </w:rPr>
        <w:t xml:space="preserve"> that will align with the Medical Board’s </w:t>
      </w:r>
      <w:r w:rsidR="00026F65">
        <w:rPr>
          <w:rFonts w:cs="Arial"/>
          <w:szCs w:val="21"/>
        </w:rPr>
        <w:t xml:space="preserve">definition </w:t>
      </w:r>
      <w:r w:rsidR="00826CDD">
        <w:rPr>
          <w:rFonts w:cs="Arial"/>
          <w:szCs w:val="21"/>
        </w:rPr>
        <w:t xml:space="preserve">and </w:t>
      </w:r>
      <w:r w:rsidR="00CF1970">
        <w:rPr>
          <w:rFonts w:cs="Arial"/>
          <w:szCs w:val="21"/>
        </w:rPr>
        <w:t>any definition</w:t>
      </w:r>
      <w:r w:rsidR="00826CDD">
        <w:rPr>
          <w:rFonts w:cs="Arial"/>
          <w:szCs w:val="21"/>
        </w:rPr>
        <w:t xml:space="preserve"> </w:t>
      </w:r>
      <w:r w:rsidR="00247484">
        <w:rPr>
          <w:rFonts w:cs="Arial"/>
          <w:szCs w:val="21"/>
        </w:rPr>
        <w:t xml:space="preserve">developed by the Commission and agreed to by the </w:t>
      </w:r>
      <w:r w:rsidR="00486F28">
        <w:rPr>
          <w:rFonts w:cs="Arial"/>
          <w:szCs w:val="21"/>
        </w:rPr>
        <w:t xml:space="preserve">health </w:t>
      </w:r>
      <w:r w:rsidR="00891F1B">
        <w:rPr>
          <w:rFonts w:cs="Arial"/>
          <w:szCs w:val="21"/>
        </w:rPr>
        <w:t>m</w:t>
      </w:r>
      <w:r w:rsidR="00486F28">
        <w:rPr>
          <w:rFonts w:cs="Arial"/>
          <w:szCs w:val="21"/>
        </w:rPr>
        <w:t xml:space="preserve">inisters. </w:t>
      </w:r>
      <w:r w:rsidR="00EF525A">
        <w:rPr>
          <w:rFonts w:cs="Arial"/>
          <w:szCs w:val="21"/>
        </w:rPr>
        <w:t xml:space="preserve">This will </w:t>
      </w:r>
      <w:r w:rsidR="00E26E7F">
        <w:rPr>
          <w:rFonts w:cs="Arial"/>
          <w:szCs w:val="21"/>
        </w:rPr>
        <w:t xml:space="preserve">bring consistency and </w:t>
      </w:r>
      <w:r w:rsidR="009E481C">
        <w:rPr>
          <w:rFonts w:cs="Arial"/>
          <w:szCs w:val="21"/>
        </w:rPr>
        <w:t xml:space="preserve">ensure </w:t>
      </w:r>
      <w:r w:rsidR="00CA0D98">
        <w:rPr>
          <w:rFonts w:cs="Arial"/>
          <w:szCs w:val="21"/>
        </w:rPr>
        <w:t xml:space="preserve">the Regulations </w:t>
      </w:r>
      <w:r w:rsidR="00730D1E">
        <w:rPr>
          <w:rFonts w:cs="Arial"/>
          <w:szCs w:val="21"/>
        </w:rPr>
        <w:t xml:space="preserve">cover </w:t>
      </w:r>
      <w:r w:rsidR="001467BF">
        <w:rPr>
          <w:rFonts w:cs="Arial"/>
          <w:szCs w:val="21"/>
        </w:rPr>
        <w:t xml:space="preserve">current cosmetic procedures and </w:t>
      </w:r>
      <w:r w:rsidR="0029629E">
        <w:rPr>
          <w:rFonts w:cs="Arial"/>
          <w:szCs w:val="21"/>
        </w:rPr>
        <w:t xml:space="preserve">any </w:t>
      </w:r>
      <w:r w:rsidR="004C75A6">
        <w:rPr>
          <w:rFonts w:cs="Arial"/>
          <w:szCs w:val="21"/>
        </w:rPr>
        <w:t>future innovations</w:t>
      </w:r>
      <w:r w:rsidR="00783BF5">
        <w:rPr>
          <w:rFonts w:cs="Arial"/>
          <w:szCs w:val="21"/>
        </w:rPr>
        <w:t xml:space="preserve"> in </w:t>
      </w:r>
      <w:r w:rsidR="00BD734B">
        <w:rPr>
          <w:rFonts w:cs="Arial"/>
          <w:szCs w:val="21"/>
        </w:rPr>
        <w:t xml:space="preserve">cosmetic </w:t>
      </w:r>
      <w:r w:rsidR="006D17C2">
        <w:rPr>
          <w:rFonts w:cs="Arial"/>
          <w:szCs w:val="21"/>
        </w:rPr>
        <w:t>surgery</w:t>
      </w:r>
      <w:r w:rsidR="00BD734B">
        <w:rPr>
          <w:rFonts w:cs="Arial"/>
          <w:szCs w:val="21"/>
        </w:rPr>
        <w:t xml:space="preserve"> practices, procedures and technology</w:t>
      </w:r>
      <w:r w:rsidR="004C75A6">
        <w:rPr>
          <w:rFonts w:cs="Arial"/>
          <w:szCs w:val="21"/>
        </w:rPr>
        <w:t xml:space="preserve">. </w:t>
      </w:r>
    </w:p>
    <w:p w14:paraId="1B07B177" w14:textId="09A55DF1" w:rsidR="002F404C" w:rsidRDefault="00C77D76" w:rsidP="00027462">
      <w:pPr>
        <w:pStyle w:val="Body"/>
      </w:pPr>
      <w:r>
        <w:t xml:space="preserve">Prescribing </w:t>
      </w:r>
      <w:r w:rsidR="007B3F3F">
        <w:t xml:space="preserve">cosmetic surgery as </w:t>
      </w:r>
      <w:r w:rsidR="00BE7083">
        <w:t xml:space="preserve">type of </w:t>
      </w:r>
      <w:r>
        <w:t xml:space="preserve">health service </w:t>
      </w:r>
      <w:r w:rsidR="007965A0">
        <w:t xml:space="preserve">may </w:t>
      </w:r>
      <w:r w:rsidR="00E121FC">
        <w:t>have several benefits</w:t>
      </w:r>
      <w:r w:rsidR="00662A56">
        <w:t>, including:</w:t>
      </w:r>
    </w:p>
    <w:p w14:paraId="7C07404A" w14:textId="0695AFAB" w:rsidR="00EA582C" w:rsidRPr="00EA582C" w:rsidRDefault="00623815" w:rsidP="00C132C8">
      <w:pPr>
        <w:pStyle w:val="Body"/>
        <w:numPr>
          <w:ilvl w:val="0"/>
          <w:numId w:val="22"/>
        </w:numPr>
      </w:pPr>
      <w:r>
        <w:t>r</w:t>
      </w:r>
      <w:r w:rsidR="003A7B06">
        <w:t xml:space="preserve">educing complexity and </w:t>
      </w:r>
      <w:r w:rsidR="009E65D4">
        <w:t xml:space="preserve">misalignment </w:t>
      </w:r>
      <w:r w:rsidR="00C424B4">
        <w:t xml:space="preserve">in how cosmetic surgery is </w:t>
      </w:r>
      <w:r w:rsidR="00423394">
        <w:t>categorised across different jurisdiction</w:t>
      </w:r>
      <w:r>
        <w:t>s</w:t>
      </w:r>
    </w:p>
    <w:p w14:paraId="4073574D" w14:textId="15451B7C" w:rsidR="00E121FC" w:rsidRDefault="00EC2B3D" w:rsidP="00C132C8">
      <w:pPr>
        <w:pStyle w:val="Body"/>
        <w:numPr>
          <w:ilvl w:val="0"/>
          <w:numId w:val="22"/>
        </w:numPr>
      </w:pPr>
      <w:r>
        <w:rPr>
          <w:szCs w:val="21"/>
        </w:rPr>
        <w:t>r</w:t>
      </w:r>
      <w:r w:rsidR="00585D79">
        <w:rPr>
          <w:szCs w:val="21"/>
        </w:rPr>
        <w:t xml:space="preserve">emoving any current ambiguity </w:t>
      </w:r>
      <w:r>
        <w:rPr>
          <w:szCs w:val="21"/>
        </w:rPr>
        <w:t xml:space="preserve">for health service providers </w:t>
      </w:r>
      <w:r w:rsidR="00585D79">
        <w:rPr>
          <w:szCs w:val="21"/>
        </w:rPr>
        <w:t>about which procedures</w:t>
      </w:r>
      <w:r w:rsidR="006B08EF">
        <w:rPr>
          <w:szCs w:val="21"/>
        </w:rPr>
        <w:t xml:space="preserve"> </w:t>
      </w:r>
      <w:r w:rsidR="00727AF2">
        <w:rPr>
          <w:szCs w:val="21"/>
        </w:rPr>
        <w:t>must be conducted in registered premises</w:t>
      </w:r>
      <w:r w:rsidR="00E21DDD">
        <w:rPr>
          <w:szCs w:val="21"/>
        </w:rPr>
        <w:t xml:space="preserve"> and </w:t>
      </w:r>
      <w:r w:rsidR="00B34CFA">
        <w:rPr>
          <w:szCs w:val="21"/>
        </w:rPr>
        <w:t xml:space="preserve">are in scope of </w:t>
      </w:r>
      <w:r w:rsidR="00763061">
        <w:rPr>
          <w:szCs w:val="21"/>
        </w:rPr>
        <w:t xml:space="preserve">regulation by the </w:t>
      </w:r>
      <w:r w:rsidR="0080593A">
        <w:rPr>
          <w:szCs w:val="21"/>
        </w:rPr>
        <w:t xml:space="preserve">department </w:t>
      </w:r>
    </w:p>
    <w:p w14:paraId="0C797116" w14:textId="7CC9097B" w:rsidR="00FF6329" w:rsidRDefault="00B04F6D" w:rsidP="00C132C8">
      <w:pPr>
        <w:pStyle w:val="Body"/>
        <w:numPr>
          <w:ilvl w:val="0"/>
          <w:numId w:val="22"/>
        </w:numPr>
      </w:pPr>
      <w:r>
        <w:t>i</w:t>
      </w:r>
      <w:r w:rsidR="00FF6329">
        <w:t>ncreas</w:t>
      </w:r>
      <w:r w:rsidR="005C69FE">
        <w:t xml:space="preserve">ing </w:t>
      </w:r>
      <w:r w:rsidR="00FF6329">
        <w:t xml:space="preserve">visibility for the community about which health services provide cosmetic </w:t>
      </w:r>
      <w:r w:rsidR="00737512">
        <w:t>surgery</w:t>
      </w:r>
      <w:r w:rsidR="008E3318">
        <w:t xml:space="preserve"> – for</w:t>
      </w:r>
      <w:r w:rsidR="00FF6329">
        <w:t xml:space="preserve"> example, facilities that perform these </w:t>
      </w:r>
      <w:r w:rsidR="00967278">
        <w:t>speciality</w:t>
      </w:r>
      <w:r w:rsidR="00FF6329">
        <w:t xml:space="preserve"> services would have cosmetic surgery listed on their registration certificate issued by the department.</w:t>
      </w:r>
    </w:p>
    <w:p w14:paraId="02A1B9B2" w14:textId="77777777" w:rsidR="00CE6108" w:rsidRDefault="001A0FE8" w:rsidP="00C132C8">
      <w:pPr>
        <w:pStyle w:val="Body"/>
        <w:numPr>
          <w:ilvl w:val="0"/>
          <w:numId w:val="22"/>
        </w:numPr>
      </w:pPr>
      <w:r>
        <w:t>complement</w:t>
      </w:r>
      <w:r w:rsidR="00B04F6D">
        <w:t>ing</w:t>
      </w:r>
      <w:r>
        <w:t xml:space="preserve"> </w:t>
      </w:r>
      <w:r w:rsidR="00BF1BD1">
        <w:t xml:space="preserve">Ahpra’s </w:t>
      </w:r>
      <w:r w:rsidR="00056D9E">
        <w:t xml:space="preserve">endorsement standard and guidelines </w:t>
      </w:r>
      <w:r w:rsidR="004A62E6">
        <w:t>and support</w:t>
      </w:r>
      <w:r w:rsidR="00E12916">
        <w:t>ing</w:t>
      </w:r>
      <w:r w:rsidR="004A62E6">
        <w:t xml:space="preserve"> medical practitioners to comply with their obligations </w:t>
      </w:r>
      <w:r w:rsidR="00D21969">
        <w:t>to only perform cosmetic surgery in accredited facilities</w:t>
      </w:r>
      <w:r w:rsidR="002B7E04">
        <w:t>.</w:t>
      </w:r>
    </w:p>
    <w:p w14:paraId="36A40F47" w14:textId="715DC4DA" w:rsidR="004005ED" w:rsidRDefault="004005ED" w:rsidP="004005ED">
      <w:pPr>
        <w:pStyle w:val="Body"/>
      </w:pPr>
      <w:r>
        <w:t xml:space="preserve">The </w:t>
      </w:r>
      <w:r w:rsidR="00396602">
        <w:t xml:space="preserve">department is aware that ongoing </w:t>
      </w:r>
      <w:r w:rsidR="00221E46">
        <w:t>and future developments in the</w:t>
      </w:r>
      <w:r w:rsidR="00396602">
        <w:t xml:space="preserve"> </w:t>
      </w:r>
      <w:r w:rsidR="00C57225">
        <w:t xml:space="preserve">national reforms in relation to cosmetic surgery may raise issues for </w:t>
      </w:r>
      <w:r w:rsidR="002B7DAA">
        <w:t xml:space="preserve">stakeholders and invites any comments </w:t>
      </w:r>
      <w:r w:rsidR="00B830A4">
        <w:t xml:space="preserve">or questions on that </w:t>
      </w:r>
      <w:r w:rsidR="00B830A4">
        <w:lastRenderedPageBreak/>
        <w:t>as part of the review of the Regulations, noting</w:t>
      </w:r>
      <w:r w:rsidR="00B17080">
        <w:t xml:space="preserve"> that </w:t>
      </w:r>
      <w:r w:rsidR="00B1314A">
        <w:t>some matters</w:t>
      </w:r>
      <w:r w:rsidR="00B17080">
        <w:t xml:space="preserve"> may be beyond the scope of the review and require separate </w:t>
      </w:r>
      <w:r w:rsidR="00B1314A">
        <w:t>consideration</w:t>
      </w:r>
      <w:r w:rsidR="00B17080">
        <w:t xml:space="preserve">. </w:t>
      </w:r>
    </w:p>
    <w:p w14:paraId="2BABA442" w14:textId="77777777" w:rsidR="009E62F3" w:rsidRPr="00DB699E" w:rsidRDefault="009E62F3" w:rsidP="00AD6008">
      <w:pPr>
        <w:pStyle w:val="Body"/>
      </w:pPr>
    </w:p>
    <w:tbl>
      <w:tblPr>
        <w:tblStyle w:val="TableGrid"/>
        <w:tblW w:w="5000" w:type="pct"/>
        <w:shd w:val="clear" w:color="auto" w:fill="F2F2F2" w:themeFill="background1" w:themeFillShade="F2"/>
        <w:tblLook w:val="06A0" w:firstRow="1" w:lastRow="0" w:firstColumn="1" w:lastColumn="0" w:noHBand="1" w:noVBand="1"/>
      </w:tblPr>
      <w:tblGrid>
        <w:gridCol w:w="9268"/>
      </w:tblGrid>
      <w:tr w:rsidR="00AC604D" w:rsidRPr="004E21D8" w14:paraId="1B2F769B" w14:textId="77777777" w:rsidTr="00882E7E">
        <w:trPr>
          <w:tblHeader/>
        </w:trPr>
        <w:tc>
          <w:tcPr>
            <w:tcW w:w="5000" w:type="pct"/>
            <w:tcBorders>
              <w:top w:val="single" w:sz="8" w:space="0" w:color="auto"/>
              <w:left w:val="single" w:sz="12" w:space="0" w:color="auto"/>
              <w:bottom w:val="nil"/>
              <w:right w:val="single" w:sz="12" w:space="0" w:color="auto"/>
            </w:tcBorders>
            <w:shd w:val="clear" w:color="auto" w:fill="F2F2F2" w:themeFill="background1" w:themeFillShade="F2"/>
          </w:tcPr>
          <w:p w14:paraId="311F5C94" w14:textId="77777777" w:rsidR="00AC604D" w:rsidRPr="004E21D8" w:rsidRDefault="00AC604D" w:rsidP="009A7C08">
            <w:pPr>
              <w:pStyle w:val="Tablecolhead"/>
              <w:rPr>
                <w:szCs w:val="21"/>
              </w:rPr>
            </w:pPr>
            <w:r w:rsidRPr="004E21D8">
              <w:rPr>
                <w:szCs w:val="21"/>
              </w:rPr>
              <w:t>Questions for consultation</w:t>
            </w:r>
          </w:p>
        </w:tc>
      </w:tr>
      <w:tr w:rsidR="00AC604D" w:rsidRPr="004E21D8" w14:paraId="1F8443C3" w14:textId="77777777" w:rsidTr="00882E7E">
        <w:tc>
          <w:tcPr>
            <w:tcW w:w="5000" w:type="pct"/>
            <w:tcBorders>
              <w:top w:val="nil"/>
              <w:left w:val="single" w:sz="12" w:space="0" w:color="auto"/>
              <w:bottom w:val="single" w:sz="12" w:space="0" w:color="auto"/>
              <w:right w:val="single" w:sz="12" w:space="0" w:color="auto"/>
            </w:tcBorders>
            <w:shd w:val="clear" w:color="auto" w:fill="F2F2F2" w:themeFill="background1" w:themeFillShade="F2"/>
          </w:tcPr>
          <w:p w14:paraId="06E5CDD0" w14:textId="31CCF902" w:rsidR="00AC604D" w:rsidRPr="00EE425E" w:rsidRDefault="00AC604D" w:rsidP="00C132C8">
            <w:pPr>
              <w:pStyle w:val="ListParagraph"/>
              <w:numPr>
                <w:ilvl w:val="0"/>
                <w:numId w:val="11"/>
              </w:numPr>
              <w:spacing w:before="120" w:after="120" w:line="280" w:lineRule="atLeast"/>
              <w:ind w:left="357" w:hanging="357"/>
              <w:contextualSpacing w:val="0"/>
              <w:rPr>
                <w:rFonts w:ascii="Arial" w:hAnsi="Arial" w:cs="Arial"/>
                <w:sz w:val="21"/>
                <w:szCs w:val="21"/>
              </w:rPr>
            </w:pPr>
            <w:r w:rsidRPr="00EE425E">
              <w:rPr>
                <w:rFonts w:ascii="Arial" w:hAnsi="Arial" w:cs="Arial"/>
                <w:sz w:val="21"/>
                <w:szCs w:val="21"/>
              </w:rPr>
              <w:t xml:space="preserve">Are the definitions for medical health service, surgical health service, speciality health service, anaesthesia, renal dialysis, and emergency medicine </w:t>
            </w:r>
            <w:r w:rsidR="000658A0" w:rsidRPr="00EE425E">
              <w:rPr>
                <w:rFonts w:ascii="Arial" w:hAnsi="Arial" w:cs="Arial"/>
                <w:sz w:val="21"/>
                <w:szCs w:val="21"/>
              </w:rPr>
              <w:t xml:space="preserve">clear, </w:t>
            </w:r>
            <w:r w:rsidRPr="00EE425E">
              <w:rPr>
                <w:rFonts w:ascii="Arial" w:hAnsi="Arial" w:cs="Arial"/>
                <w:sz w:val="21"/>
                <w:szCs w:val="21"/>
              </w:rPr>
              <w:t xml:space="preserve">current, workable, and effective? </w:t>
            </w:r>
          </w:p>
          <w:p w14:paraId="11263569" w14:textId="77058F8B" w:rsidR="00080BA8" w:rsidRPr="004E21D8" w:rsidRDefault="00AC604D" w:rsidP="00C132C8">
            <w:pPr>
              <w:pStyle w:val="ListParagraph"/>
              <w:numPr>
                <w:ilvl w:val="0"/>
                <w:numId w:val="11"/>
              </w:numPr>
              <w:spacing w:after="120" w:line="280" w:lineRule="atLeast"/>
              <w:ind w:left="357" w:hanging="357"/>
              <w:contextualSpacing w:val="0"/>
              <w:rPr>
                <w:rFonts w:ascii="Arial" w:hAnsi="Arial" w:cs="Arial"/>
                <w:sz w:val="21"/>
                <w:szCs w:val="21"/>
              </w:rPr>
            </w:pPr>
            <w:r w:rsidRPr="004E21D8">
              <w:rPr>
                <w:rFonts w:ascii="Arial" w:hAnsi="Arial" w:cs="Arial"/>
                <w:sz w:val="21"/>
                <w:szCs w:val="21"/>
              </w:rPr>
              <w:t xml:space="preserve">Are additional definitions of prescribed speciality health services </w:t>
            </w:r>
            <w:r w:rsidR="002D2D4A">
              <w:rPr>
                <w:rFonts w:ascii="Arial" w:hAnsi="Arial" w:cs="Arial"/>
                <w:sz w:val="21"/>
                <w:szCs w:val="21"/>
              </w:rPr>
              <w:t>needed</w:t>
            </w:r>
            <w:r w:rsidR="002D2D4A" w:rsidRPr="004E21D8">
              <w:rPr>
                <w:rFonts w:ascii="Arial" w:hAnsi="Arial" w:cs="Arial"/>
                <w:sz w:val="21"/>
                <w:szCs w:val="21"/>
              </w:rPr>
              <w:t xml:space="preserve"> </w:t>
            </w:r>
            <w:r w:rsidRPr="004E21D8">
              <w:rPr>
                <w:rFonts w:ascii="Arial" w:hAnsi="Arial" w:cs="Arial"/>
                <w:sz w:val="21"/>
                <w:szCs w:val="21"/>
              </w:rPr>
              <w:t xml:space="preserve">in the Regulations to address ambiguity? </w:t>
            </w:r>
          </w:p>
          <w:p w14:paraId="6718D2A5" w14:textId="77777777" w:rsidR="00080BA8" w:rsidRPr="004E21D8" w:rsidRDefault="00AC604D" w:rsidP="00C132C8">
            <w:pPr>
              <w:pStyle w:val="ListParagraph"/>
              <w:numPr>
                <w:ilvl w:val="1"/>
                <w:numId w:val="11"/>
              </w:numPr>
              <w:spacing w:after="120" w:line="280" w:lineRule="atLeast"/>
              <w:ind w:left="1077" w:hanging="357"/>
              <w:contextualSpacing w:val="0"/>
              <w:rPr>
                <w:rFonts w:ascii="Arial" w:hAnsi="Arial" w:cs="Arial"/>
                <w:sz w:val="21"/>
                <w:szCs w:val="21"/>
              </w:rPr>
            </w:pPr>
            <w:r w:rsidRPr="004E21D8">
              <w:rPr>
                <w:rFonts w:ascii="Arial" w:hAnsi="Arial" w:cs="Arial"/>
                <w:sz w:val="21"/>
                <w:szCs w:val="21"/>
              </w:rPr>
              <w:t xml:space="preserve">If not, why? </w:t>
            </w:r>
          </w:p>
          <w:p w14:paraId="421C74C0" w14:textId="77777777" w:rsidR="00080BA8" w:rsidRPr="004E21D8" w:rsidRDefault="00AC604D" w:rsidP="00C132C8">
            <w:pPr>
              <w:pStyle w:val="ListParagraph"/>
              <w:numPr>
                <w:ilvl w:val="1"/>
                <w:numId w:val="11"/>
              </w:numPr>
              <w:spacing w:after="120" w:line="280" w:lineRule="atLeast"/>
              <w:contextualSpacing w:val="0"/>
              <w:rPr>
                <w:rFonts w:ascii="Arial" w:hAnsi="Arial" w:cs="Arial"/>
                <w:sz w:val="21"/>
                <w:szCs w:val="21"/>
              </w:rPr>
            </w:pPr>
            <w:r w:rsidRPr="004E21D8">
              <w:rPr>
                <w:rFonts w:ascii="Arial" w:hAnsi="Arial" w:cs="Arial"/>
                <w:sz w:val="21"/>
                <w:szCs w:val="21"/>
              </w:rPr>
              <w:t xml:space="preserve">If so, can you provide details about what issues you experienced or expect due to ambiguity about the meaning of a prescribed speciality health service? </w:t>
            </w:r>
          </w:p>
          <w:p w14:paraId="01191DBE" w14:textId="06007328" w:rsidR="00AC604D" w:rsidRDefault="00AC604D" w:rsidP="00C132C8">
            <w:pPr>
              <w:pStyle w:val="ListParagraph"/>
              <w:numPr>
                <w:ilvl w:val="1"/>
                <w:numId w:val="11"/>
              </w:numPr>
              <w:spacing w:after="120" w:line="280" w:lineRule="atLeast"/>
              <w:contextualSpacing w:val="0"/>
              <w:rPr>
                <w:rFonts w:ascii="Arial" w:hAnsi="Arial" w:cs="Arial"/>
                <w:sz w:val="21"/>
                <w:szCs w:val="21"/>
              </w:rPr>
            </w:pPr>
            <w:r w:rsidRPr="004E21D8">
              <w:rPr>
                <w:rFonts w:ascii="Arial" w:hAnsi="Arial" w:cs="Arial"/>
                <w:sz w:val="21"/>
                <w:szCs w:val="21"/>
              </w:rPr>
              <w:t xml:space="preserve">If additional definitions are </w:t>
            </w:r>
            <w:r w:rsidR="00B2273D">
              <w:rPr>
                <w:rFonts w:ascii="Arial" w:hAnsi="Arial" w:cs="Arial"/>
                <w:sz w:val="21"/>
                <w:szCs w:val="21"/>
              </w:rPr>
              <w:t>needed</w:t>
            </w:r>
            <w:r w:rsidR="00B2273D" w:rsidRPr="004E21D8">
              <w:rPr>
                <w:rFonts w:ascii="Arial" w:hAnsi="Arial" w:cs="Arial"/>
                <w:sz w:val="21"/>
                <w:szCs w:val="21"/>
              </w:rPr>
              <w:t xml:space="preserve"> </w:t>
            </w:r>
            <w:r w:rsidRPr="004E21D8">
              <w:rPr>
                <w:rFonts w:ascii="Arial" w:hAnsi="Arial" w:cs="Arial"/>
                <w:sz w:val="21"/>
                <w:szCs w:val="21"/>
              </w:rPr>
              <w:t>to reduce ambiguity, which speciality health services should be defined and what authoritative source should the definition draw on?</w:t>
            </w:r>
          </w:p>
          <w:p w14:paraId="5A4E8465" w14:textId="6D4EEAE0" w:rsidR="00A12F8E" w:rsidRDefault="00A12F8E" w:rsidP="00E16F93">
            <w:pPr>
              <w:pStyle w:val="ListParagraph"/>
              <w:numPr>
                <w:ilvl w:val="1"/>
                <w:numId w:val="11"/>
              </w:numPr>
              <w:spacing w:after="120" w:line="280" w:lineRule="atLeast"/>
              <w:contextualSpacing w:val="0"/>
              <w:rPr>
                <w:rFonts w:ascii="Arial" w:hAnsi="Arial" w:cs="Arial"/>
                <w:sz w:val="21"/>
                <w:szCs w:val="21"/>
              </w:rPr>
            </w:pPr>
            <w:r>
              <w:rPr>
                <w:rFonts w:ascii="Arial" w:hAnsi="Arial" w:cs="Arial"/>
                <w:sz w:val="21"/>
                <w:szCs w:val="21"/>
              </w:rPr>
              <w:t xml:space="preserve">Do you consider clarification is required in relation to the terms </w:t>
            </w:r>
            <w:r w:rsidR="00891F1B">
              <w:rPr>
                <w:rFonts w:ascii="Arial" w:hAnsi="Arial" w:cs="Arial"/>
                <w:sz w:val="21"/>
                <w:szCs w:val="21"/>
              </w:rPr>
              <w:t>‘</w:t>
            </w:r>
            <w:r w:rsidRPr="00A12F8E">
              <w:rPr>
                <w:rFonts w:ascii="Arial" w:hAnsi="Arial" w:cs="Arial"/>
                <w:sz w:val="21"/>
                <w:szCs w:val="21"/>
              </w:rPr>
              <w:t>alcohol or drug detoxification (detoxification – acute phase)</w:t>
            </w:r>
            <w:r w:rsidR="00891F1B">
              <w:rPr>
                <w:rFonts w:ascii="Arial" w:hAnsi="Arial" w:cs="Arial"/>
                <w:sz w:val="21"/>
                <w:szCs w:val="21"/>
              </w:rPr>
              <w:t>’</w:t>
            </w:r>
            <w:r w:rsidRPr="00A12F8E">
              <w:rPr>
                <w:rFonts w:ascii="Arial" w:hAnsi="Arial" w:cs="Arial"/>
                <w:sz w:val="21"/>
                <w:szCs w:val="21"/>
              </w:rPr>
              <w:t xml:space="preserve"> or </w:t>
            </w:r>
            <w:r w:rsidR="00891F1B">
              <w:rPr>
                <w:rFonts w:ascii="Arial" w:hAnsi="Arial" w:cs="Arial"/>
                <w:sz w:val="21"/>
                <w:szCs w:val="21"/>
              </w:rPr>
              <w:t>‘</w:t>
            </w:r>
            <w:r w:rsidRPr="00A12F8E">
              <w:rPr>
                <w:rFonts w:ascii="Arial" w:hAnsi="Arial" w:cs="Arial"/>
                <w:sz w:val="21"/>
                <w:szCs w:val="21"/>
              </w:rPr>
              <w:t>mental health services</w:t>
            </w:r>
            <w:r w:rsidR="00891F1B">
              <w:rPr>
                <w:rFonts w:ascii="Arial" w:hAnsi="Arial" w:cs="Arial"/>
                <w:sz w:val="21"/>
                <w:szCs w:val="21"/>
              </w:rPr>
              <w:t>’</w:t>
            </w:r>
            <w:r w:rsidR="6D4884F4" w:rsidRPr="1AF5755C">
              <w:rPr>
                <w:rFonts w:ascii="Arial" w:hAnsi="Arial" w:cs="Arial"/>
                <w:sz w:val="21"/>
                <w:szCs w:val="21"/>
              </w:rPr>
              <w:t>?</w:t>
            </w:r>
            <w:r w:rsidRPr="00A12F8E">
              <w:rPr>
                <w:rFonts w:ascii="Arial" w:hAnsi="Arial" w:cs="Arial"/>
                <w:sz w:val="21"/>
                <w:szCs w:val="21"/>
              </w:rPr>
              <w:t xml:space="preserve"> </w:t>
            </w:r>
            <w:r>
              <w:rPr>
                <w:rFonts w:ascii="Arial" w:hAnsi="Arial" w:cs="Arial"/>
                <w:sz w:val="21"/>
                <w:szCs w:val="21"/>
              </w:rPr>
              <w:t>If so</w:t>
            </w:r>
            <w:r w:rsidR="7A09ED93" w:rsidRPr="1A82E973">
              <w:rPr>
                <w:rFonts w:ascii="Arial" w:hAnsi="Arial" w:cs="Arial"/>
                <w:sz w:val="21"/>
                <w:szCs w:val="21"/>
              </w:rPr>
              <w:t>,</w:t>
            </w:r>
            <w:r>
              <w:rPr>
                <w:rFonts w:ascii="Arial" w:hAnsi="Arial" w:cs="Arial"/>
                <w:sz w:val="21"/>
                <w:szCs w:val="21"/>
              </w:rPr>
              <w:t xml:space="preserve"> please provide details of </w:t>
            </w:r>
            <w:r w:rsidR="00B16C63">
              <w:rPr>
                <w:rFonts w:ascii="Arial" w:hAnsi="Arial" w:cs="Arial"/>
                <w:sz w:val="21"/>
                <w:szCs w:val="21"/>
              </w:rPr>
              <w:t>the ambiguity or clarification needed</w:t>
            </w:r>
            <w:r>
              <w:rPr>
                <w:rFonts w:ascii="Arial" w:hAnsi="Arial" w:cs="Arial"/>
                <w:sz w:val="21"/>
                <w:szCs w:val="21"/>
              </w:rPr>
              <w:t xml:space="preserve">. </w:t>
            </w:r>
          </w:p>
          <w:p w14:paraId="3BA821E5" w14:textId="393964C2" w:rsidR="00361C55" w:rsidRDefault="00F645EE" w:rsidP="00E16F93">
            <w:pPr>
              <w:pStyle w:val="ListParagraph"/>
              <w:numPr>
                <w:ilvl w:val="0"/>
                <w:numId w:val="11"/>
              </w:numPr>
              <w:spacing w:before="120" w:after="120" w:line="280" w:lineRule="atLeast"/>
              <w:ind w:left="357" w:hanging="357"/>
              <w:contextualSpacing w:val="0"/>
              <w:rPr>
                <w:rFonts w:ascii="Arial" w:hAnsi="Arial" w:cs="Arial"/>
                <w:sz w:val="21"/>
                <w:szCs w:val="21"/>
              </w:rPr>
            </w:pPr>
            <w:r w:rsidRPr="00A13414">
              <w:rPr>
                <w:rFonts w:ascii="Arial" w:hAnsi="Arial" w:cs="Arial"/>
                <w:sz w:val="21"/>
                <w:szCs w:val="21"/>
              </w:rPr>
              <w:t>D</w:t>
            </w:r>
            <w:r w:rsidR="00A96D6D" w:rsidRPr="00A13414">
              <w:rPr>
                <w:rFonts w:ascii="Arial" w:hAnsi="Arial" w:cs="Arial"/>
                <w:sz w:val="21"/>
                <w:szCs w:val="21"/>
              </w:rPr>
              <w:t>o</w:t>
            </w:r>
            <w:r w:rsidR="00A96D6D">
              <w:rPr>
                <w:rFonts w:ascii="Arial" w:hAnsi="Arial" w:cs="Arial"/>
                <w:sz w:val="21"/>
                <w:szCs w:val="21"/>
              </w:rPr>
              <w:t xml:space="preserve"> you </w:t>
            </w:r>
            <w:r w:rsidR="009C6BDA">
              <w:rPr>
                <w:rFonts w:ascii="Arial" w:hAnsi="Arial" w:cs="Arial"/>
                <w:sz w:val="21"/>
                <w:szCs w:val="21"/>
              </w:rPr>
              <w:t>support amending the Regulations to</w:t>
            </w:r>
            <w:r w:rsidR="00E142F5" w:rsidRPr="00A13414">
              <w:rPr>
                <w:rFonts w:ascii="Arial" w:hAnsi="Arial" w:cs="Arial"/>
                <w:sz w:val="21"/>
                <w:szCs w:val="21"/>
              </w:rPr>
              <w:t xml:space="preserve"> </w:t>
            </w:r>
            <w:r w:rsidR="0066070F" w:rsidRPr="00CA262E">
              <w:rPr>
                <w:rFonts w:ascii="Arial" w:hAnsi="Arial" w:cs="Arial"/>
                <w:sz w:val="21"/>
                <w:szCs w:val="21"/>
              </w:rPr>
              <w:t>defin</w:t>
            </w:r>
            <w:r w:rsidR="009C6BDA">
              <w:rPr>
                <w:rFonts w:ascii="Arial" w:hAnsi="Arial" w:cs="Arial"/>
                <w:sz w:val="21"/>
                <w:szCs w:val="21"/>
              </w:rPr>
              <w:t>e</w:t>
            </w:r>
            <w:r w:rsidR="0066070F">
              <w:rPr>
                <w:rFonts w:ascii="Arial" w:hAnsi="Arial" w:cs="Arial"/>
                <w:sz w:val="21"/>
                <w:szCs w:val="21"/>
              </w:rPr>
              <w:t xml:space="preserve"> </w:t>
            </w:r>
            <w:r w:rsidR="004A1CC9">
              <w:rPr>
                <w:rFonts w:ascii="Arial" w:hAnsi="Arial" w:cs="Arial"/>
                <w:sz w:val="21"/>
                <w:szCs w:val="21"/>
              </w:rPr>
              <w:t>cosmetic surgery as a type of health service</w:t>
            </w:r>
            <w:r w:rsidR="00E142F5" w:rsidRPr="00E267DC">
              <w:rPr>
                <w:rFonts w:ascii="Arial" w:hAnsi="Arial" w:cs="Arial"/>
                <w:sz w:val="21"/>
                <w:szCs w:val="21"/>
              </w:rPr>
              <w:t>?</w:t>
            </w:r>
            <w:r w:rsidR="004A1CC9" w:rsidRPr="00CA262E">
              <w:rPr>
                <w:rFonts w:ascii="Arial" w:hAnsi="Arial" w:cs="Arial"/>
                <w:sz w:val="21"/>
                <w:szCs w:val="21"/>
              </w:rPr>
              <w:t xml:space="preserve"> </w:t>
            </w:r>
            <w:r w:rsidR="009401EF">
              <w:rPr>
                <w:rFonts w:ascii="Arial" w:hAnsi="Arial" w:cs="Arial"/>
                <w:sz w:val="21"/>
                <w:szCs w:val="21"/>
              </w:rPr>
              <w:t>If yes, why? If not, why not?</w:t>
            </w:r>
          </w:p>
          <w:p w14:paraId="3B96B400" w14:textId="396F93CD" w:rsidR="00AC604D" w:rsidRPr="004E21D8" w:rsidRDefault="00AC604D" w:rsidP="00C132C8">
            <w:pPr>
              <w:pStyle w:val="ListParagraph"/>
              <w:numPr>
                <w:ilvl w:val="0"/>
                <w:numId w:val="11"/>
              </w:numPr>
              <w:spacing w:after="120" w:line="280" w:lineRule="atLeast"/>
              <w:ind w:left="357" w:hanging="357"/>
              <w:contextualSpacing w:val="0"/>
              <w:rPr>
                <w:sz w:val="21"/>
                <w:szCs w:val="21"/>
              </w:rPr>
            </w:pPr>
            <w:r w:rsidRPr="004E21D8">
              <w:rPr>
                <w:rFonts w:ascii="Arial" w:hAnsi="Arial" w:cs="Arial"/>
                <w:sz w:val="21"/>
                <w:szCs w:val="21"/>
              </w:rPr>
              <w:t>Do you have any other comments about the scope of prescribed speciality health services in the Regulations and any current or anticipated future impacts on quality</w:t>
            </w:r>
            <w:r w:rsidR="0024320E">
              <w:rPr>
                <w:rFonts w:ascii="Arial" w:hAnsi="Arial" w:cs="Arial"/>
                <w:sz w:val="21"/>
                <w:szCs w:val="21"/>
              </w:rPr>
              <w:t>,</w:t>
            </w:r>
            <w:r w:rsidRPr="004E21D8">
              <w:rPr>
                <w:rFonts w:ascii="Arial" w:hAnsi="Arial" w:cs="Arial"/>
                <w:sz w:val="21"/>
                <w:szCs w:val="21"/>
              </w:rPr>
              <w:t xml:space="preserve"> safety and access to health services?</w:t>
            </w:r>
            <w:r w:rsidRPr="004E21D8">
              <w:rPr>
                <w:sz w:val="21"/>
                <w:szCs w:val="21"/>
              </w:rPr>
              <w:t xml:space="preserve"> </w:t>
            </w:r>
          </w:p>
        </w:tc>
      </w:tr>
    </w:tbl>
    <w:p w14:paraId="2E8C45D6" w14:textId="77777777" w:rsidR="006E5E57" w:rsidRDefault="006E5E57" w:rsidP="00161CE9">
      <w:pPr>
        <w:pStyle w:val="Body"/>
        <w:rPr>
          <w:rFonts w:eastAsia="MS Gothic" w:cs="Arial"/>
          <w:bCs/>
          <w:color w:val="C5511A"/>
          <w:kern w:val="32"/>
          <w:sz w:val="44"/>
          <w:szCs w:val="44"/>
        </w:rPr>
      </w:pPr>
      <w:r>
        <w:br w:type="page"/>
      </w:r>
    </w:p>
    <w:p w14:paraId="12F5CE78" w14:textId="5B7881F2" w:rsidR="0099316E" w:rsidRDefault="00126824" w:rsidP="002F5A49">
      <w:pPr>
        <w:pStyle w:val="Heading1"/>
      </w:pPr>
      <w:bookmarkStart w:id="57" w:name="_Toc141177730"/>
      <w:bookmarkStart w:id="58" w:name="_Toc143272005"/>
      <w:r>
        <w:lastRenderedPageBreak/>
        <w:t xml:space="preserve">2. </w:t>
      </w:r>
      <w:r w:rsidR="00852885">
        <w:t>Registration and accreditation</w:t>
      </w:r>
      <w:bookmarkEnd w:id="57"/>
      <w:bookmarkEnd w:id="58"/>
    </w:p>
    <w:p w14:paraId="1603F09E" w14:textId="10C71782" w:rsidR="00A47FEB" w:rsidRDefault="00A47FEB" w:rsidP="00CD10B7">
      <w:pPr>
        <w:pStyle w:val="Heading2"/>
      </w:pPr>
      <w:bookmarkStart w:id="59" w:name="_Toc141177731"/>
      <w:bookmarkStart w:id="60" w:name="_Toc143272006"/>
      <w:r>
        <w:t>2.1 Registration</w:t>
      </w:r>
      <w:bookmarkEnd w:id="59"/>
      <w:bookmarkEnd w:id="60"/>
      <w:r>
        <w:t xml:space="preserve"> </w:t>
      </w:r>
    </w:p>
    <w:p w14:paraId="7D13165D" w14:textId="025D70D4" w:rsidR="00360C7F" w:rsidRDefault="00360C7F" w:rsidP="000D2E1C">
      <w:pPr>
        <w:pStyle w:val="Body"/>
      </w:pPr>
      <w:r>
        <w:t>Victoria</w:t>
      </w:r>
      <w:r w:rsidR="009936C9">
        <w:t xml:space="preserve"> uses a</w:t>
      </w:r>
      <w:r>
        <w:t xml:space="preserve"> registration-based regulatory scheme</w:t>
      </w:r>
      <w:r w:rsidR="009936C9">
        <w:t xml:space="preserve"> for</w:t>
      </w:r>
      <w:r>
        <w:t xml:space="preserve"> p</w:t>
      </w:r>
      <w:r w:rsidR="000D2E1C" w:rsidRPr="00121763">
        <w:t>rivate hospitals and day procedure centres</w:t>
      </w:r>
      <w:r w:rsidR="009936C9">
        <w:t>. The</w:t>
      </w:r>
      <w:r>
        <w:t xml:space="preserve"> registration </w:t>
      </w:r>
      <w:r w:rsidR="009936C9">
        <w:t>stages include</w:t>
      </w:r>
      <w:r>
        <w:t>:</w:t>
      </w:r>
    </w:p>
    <w:p w14:paraId="7F0DECFA" w14:textId="3C102A30" w:rsidR="00360C7F" w:rsidRDefault="009936C9" w:rsidP="00C132C8">
      <w:pPr>
        <w:pStyle w:val="Body"/>
        <w:numPr>
          <w:ilvl w:val="0"/>
          <w:numId w:val="26"/>
        </w:numPr>
      </w:pPr>
      <w:r>
        <w:t>a</w:t>
      </w:r>
      <w:r w:rsidR="00360C7F">
        <w:t xml:space="preserve">pproval </w:t>
      </w:r>
      <w:r w:rsidR="000D2E1C" w:rsidRPr="00121763">
        <w:t xml:space="preserve">in </w:t>
      </w:r>
      <w:r w:rsidR="00360C7F">
        <w:t>principle (for use of land or premises, construction of premises, alterations or extensions</w:t>
      </w:r>
      <w:r w:rsidR="000D2E1C" w:rsidRPr="00121763">
        <w:t xml:space="preserve"> to </w:t>
      </w:r>
      <w:r w:rsidR="00360C7F">
        <w:t>premises)</w:t>
      </w:r>
    </w:p>
    <w:p w14:paraId="64271F7C" w14:textId="74899233" w:rsidR="00360C7F" w:rsidRDefault="009936C9" w:rsidP="00C132C8">
      <w:pPr>
        <w:pStyle w:val="Body"/>
        <w:numPr>
          <w:ilvl w:val="0"/>
          <w:numId w:val="26"/>
        </w:numPr>
      </w:pPr>
      <w:r>
        <w:t>r</w:t>
      </w:r>
      <w:r w:rsidR="00360C7F">
        <w:t>egistration (</w:t>
      </w:r>
      <w:r w:rsidR="007F4E98">
        <w:t xml:space="preserve">to </w:t>
      </w:r>
      <w:r w:rsidR="000D2E1C" w:rsidRPr="00121763">
        <w:t xml:space="preserve">be </w:t>
      </w:r>
      <w:r w:rsidR="00360C7F">
        <w:t>the proprietor of a health service establishment)</w:t>
      </w:r>
    </w:p>
    <w:p w14:paraId="404BB054" w14:textId="18D391F1" w:rsidR="00360C7F" w:rsidRDefault="009936C9" w:rsidP="00C132C8">
      <w:pPr>
        <w:pStyle w:val="Body"/>
        <w:numPr>
          <w:ilvl w:val="0"/>
          <w:numId w:val="26"/>
        </w:numPr>
      </w:pPr>
      <w:r>
        <w:t>v</w:t>
      </w:r>
      <w:r w:rsidR="00360C7F">
        <w:t>ariation (for changes to the number of beds</w:t>
      </w:r>
      <w:r w:rsidR="005E5CE1">
        <w:t xml:space="preserve"> or</w:t>
      </w:r>
      <w:r w:rsidR="00360C7F">
        <w:t xml:space="preserve"> types of </w:t>
      </w:r>
      <w:r w:rsidR="001A54DA">
        <w:t xml:space="preserve">prescribed </w:t>
      </w:r>
      <w:r w:rsidR="00360C7F">
        <w:t>services provided</w:t>
      </w:r>
      <w:r w:rsidR="001A54DA">
        <w:t>, transfer of proprietor of the establishment, changes to other registration conditions</w:t>
      </w:r>
      <w:r w:rsidR="00360C7F">
        <w:t>)</w:t>
      </w:r>
    </w:p>
    <w:p w14:paraId="6BDDC375" w14:textId="3BF6F139" w:rsidR="007F4E98" w:rsidRDefault="009936C9" w:rsidP="00C132C8">
      <w:pPr>
        <w:pStyle w:val="Body"/>
        <w:numPr>
          <w:ilvl w:val="0"/>
          <w:numId w:val="26"/>
        </w:numPr>
      </w:pPr>
      <w:r>
        <w:t>r</w:t>
      </w:r>
      <w:r w:rsidR="007F4E98">
        <w:t xml:space="preserve">enewal </w:t>
      </w:r>
      <w:r w:rsidR="005E5CE1">
        <w:t>(every two years</w:t>
      </w:r>
      <w:r w:rsidR="001A54DA">
        <w:t xml:space="preserve"> or another period specified by the Secretary</w:t>
      </w:r>
      <w:r w:rsidR="005E5CE1">
        <w:t>)</w:t>
      </w:r>
      <w:r>
        <w:t>.</w:t>
      </w:r>
    </w:p>
    <w:p w14:paraId="2277C51D" w14:textId="10C59749" w:rsidR="000D2E1C" w:rsidRPr="00121763" w:rsidRDefault="001A54DA" w:rsidP="000D2E1C">
      <w:pPr>
        <w:pStyle w:val="Body"/>
      </w:pPr>
      <w:r>
        <w:t>The Act specifies the criteria that</w:t>
      </w:r>
      <w:r w:rsidR="000D2E1C" w:rsidRPr="00121763">
        <w:t xml:space="preserve"> </w:t>
      </w:r>
      <w:r w:rsidR="00CD10B7">
        <w:t xml:space="preserve">must be considered in any decision about whether </w:t>
      </w:r>
      <w:r w:rsidR="002849AF">
        <w:t xml:space="preserve">to </w:t>
      </w:r>
      <w:r w:rsidR="009936C9">
        <w:t>approve or refuse</w:t>
      </w:r>
      <w:r w:rsidR="002849AF">
        <w:t xml:space="preserve"> a regist</w:t>
      </w:r>
      <w:r w:rsidR="009936C9">
        <w:t>ration</w:t>
      </w:r>
      <w:r w:rsidR="002849AF">
        <w:t>. These include whether the proprietor</w:t>
      </w:r>
      <w:r w:rsidR="00CD10B7">
        <w:t xml:space="preserve"> of the health services establishment</w:t>
      </w:r>
      <w:r w:rsidR="002849AF">
        <w:t xml:space="preserve"> (an individual or </w:t>
      </w:r>
      <w:r w:rsidR="00CD10B7">
        <w:t xml:space="preserve">body </w:t>
      </w:r>
      <w:r w:rsidR="002849AF">
        <w:t>corporate)</w:t>
      </w:r>
      <w:r w:rsidR="000D2E1C" w:rsidRPr="00121763">
        <w:t>:</w:t>
      </w:r>
    </w:p>
    <w:p w14:paraId="67D1B61C" w14:textId="120C603B" w:rsidR="000D2E1C" w:rsidRPr="00121763" w:rsidRDefault="00F31115" w:rsidP="00C132C8">
      <w:pPr>
        <w:pStyle w:val="Body"/>
        <w:numPr>
          <w:ilvl w:val="0"/>
          <w:numId w:val="20"/>
        </w:numPr>
      </w:pPr>
      <w:r>
        <w:t>is</w:t>
      </w:r>
      <w:r w:rsidR="000D2E1C" w:rsidRPr="00121763">
        <w:t xml:space="preserve"> ‘fit and proper’</w:t>
      </w:r>
    </w:p>
    <w:p w14:paraId="7344426F" w14:textId="71ADA345" w:rsidR="000D2E1C" w:rsidRPr="00121763" w:rsidRDefault="000D2E1C" w:rsidP="00C132C8">
      <w:pPr>
        <w:pStyle w:val="Body"/>
        <w:numPr>
          <w:ilvl w:val="0"/>
          <w:numId w:val="20"/>
        </w:numPr>
      </w:pPr>
      <w:r w:rsidRPr="00121763">
        <w:t>ha</w:t>
      </w:r>
      <w:r w:rsidR="002849AF">
        <w:t>s</w:t>
      </w:r>
      <w:r w:rsidRPr="00121763">
        <w:t xml:space="preserve"> the financial capacity to carry on the business</w:t>
      </w:r>
      <w:r w:rsidR="00F31115">
        <w:t xml:space="preserve"> and secure tenure over the premises</w:t>
      </w:r>
    </w:p>
    <w:p w14:paraId="1CB59C9B" w14:textId="7FDEDA68" w:rsidR="000D2E1C" w:rsidRPr="00121763" w:rsidRDefault="002849AF" w:rsidP="00C132C8">
      <w:pPr>
        <w:pStyle w:val="Body"/>
        <w:numPr>
          <w:ilvl w:val="0"/>
          <w:numId w:val="20"/>
        </w:numPr>
      </w:pPr>
      <w:r>
        <w:t>has met</w:t>
      </w:r>
      <w:r w:rsidR="000D2E1C" w:rsidRPr="00121763">
        <w:t xml:space="preserve"> </w:t>
      </w:r>
      <w:r>
        <w:t xml:space="preserve">the </w:t>
      </w:r>
      <w:r w:rsidR="00216969">
        <w:t xml:space="preserve">approved guidelines </w:t>
      </w:r>
      <w:r w:rsidR="00B57F61">
        <w:t xml:space="preserve">for the </w:t>
      </w:r>
      <w:r w:rsidR="00435D12">
        <w:t xml:space="preserve">design, construction, fittings and </w:t>
      </w:r>
      <w:r w:rsidR="001B6CFB">
        <w:t>equipment of premises</w:t>
      </w:r>
      <w:r w:rsidR="00F31115">
        <w:t>, or of parts of premises</w:t>
      </w:r>
      <w:r w:rsidR="000D2E1C">
        <w:rPr>
          <w:rStyle w:val="FootnoteReference"/>
        </w:rPr>
        <w:footnoteReference w:id="21"/>
      </w:r>
    </w:p>
    <w:p w14:paraId="7E459895" w14:textId="688F3F89" w:rsidR="000D2E1C" w:rsidRPr="00121763" w:rsidRDefault="000D2E1C" w:rsidP="00C132C8">
      <w:pPr>
        <w:pStyle w:val="Body"/>
        <w:numPr>
          <w:ilvl w:val="0"/>
          <w:numId w:val="20"/>
        </w:numPr>
      </w:pPr>
      <w:r w:rsidRPr="00121763">
        <w:t>ha</w:t>
      </w:r>
      <w:r w:rsidR="00F31115">
        <w:t>s</w:t>
      </w:r>
      <w:r w:rsidRPr="00121763">
        <w:t xml:space="preserve"> suitable arrangements for management and staffing of the facility</w:t>
      </w:r>
    </w:p>
    <w:p w14:paraId="4EFB87C3" w14:textId="37667B19" w:rsidR="000D2E1C" w:rsidRPr="00121763" w:rsidRDefault="00F31115" w:rsidP="00C132C8">
      <w:pPr>
        <w:pStyle w:val="Body"/>
        <w:numPr>
          <w:ilvl w:val="0"/>
          <w:numId w:val="20"/>
        </w:numPr>
      </w:pPr>
      <w:r>
        <w:t xml:space="preserve">will </w:t>
      </w:r>
      <w:r w:rsidR="00C2630A">
        <w:t>provid</w:t>
      </w:r>
      <w:r w:rsidR="00F406D1">
        <w:t>e</w:t>
      </w:r>
      <w:r w:rsidR="00C2630A">
        <w:t xml:space="preserve"> safe, patient-centred and </w:t>
      </w:r>
      <w:r w:rsidR="0079513A">
        <w:t xml:space="preserve">appropriate </w:t>
      </w:r>
      <w:r w:rsidR="00F406D1">
        <w:t xml:space="preserve">health services </w:t>
      </w:r>
      <w:r w:rsidR="0079513A">
        <w:t>and foster continuous improvement in</w:t>
      </w:r>
      <w:r w:rsidR="000D2E1C" w:rsidRPr="00121763">
        <w:t xml:space="preserve"> quality </w:t>
      </w:r>
      <w:r w:rsidR="00BF0C1A">
        <w:t>and safety</w:t>
      </w:r>
    </w:p>
    <w:p w14:paraId="718D32A4" w14:textId="591FCFE7" w:rsidR="00A47FEB" w:rsidRPr="00CD10B7" w:rsidRDefault="000358A0" w:rsidP="00C132C8">
      <w:pPr>
        <w:pStyle w:val="Body"/>
        <w:numPr>
          <w:ilvl w:val="0"/>
          <w:numId w:val="20"/>
        </w:numPr>
      </w:pPr>
      <w:r>
        <w:t xml:space="preserve">has a </w:t>
      </w:r>
      <w:r w:rsidR="009936C9">
        <w:t xml:space="preserve">record of </w:t>
      </w:r>
      <w:r w:rsidR="00F31115">
        <w:t xml:space="preserve">complaints, </w:t>
      </w:r>
      <w:r w:rsidR="009936C9">
        <w:t>non-compliances or convictions as proprietor of another health service establishment.</w:t>
      </w:r>
    </w:p>
    <w:p w14:paraId="3D0A7C54" w14:textId="6916BACB" w:rsidR="00705965" w:rsidRDefault="00705965" w:rsidP="00705965">
      <w:pPr>
        <w:pStyle w:val="Body"/>
      </w:pPr>
      <w:r w:rsidRPr="00CD10B7">
        <w:t xml:space="preserve">These criteria are </w:t>
      </w:r>
      <w:r w:rsidR="002A514B">
        <w:t>established</w:t>
      </w:r>
      <w:r w:rsidRPr="00CD10B7">
        <w:t xml:space="preserve"> in the Act so are not in scope of the review of the Regulations</w:t>
      </w:r>
      <w:r w:rsidR="002A514B">
        <w:t>. H</w:t>
      </w:r>
      <w:r w:rsidRPr="00CD10B7">
        <w:t>owever</w:t>
      </w:r>
      <w:r w:rsidR="002A514B">
        <w:t>,</w:t>
      </w:r>
      <w:r w:rsidRPr="00CD10B7">
        <w:t xml:space="preserve"> they</w:t>
      </w:r>
      <w:r>
        <w:t xml:space="preserve"> </w:t>
      </w:r>
      <w:r w:rsidR="002E4B23">
        <w:t>are</w:t>
      </w:r>
      <w:r>
        <w:t xml:space="preserve"> the basis </w:t>
      </w:r>
      <w:r w:rsidR="002E4B23">
        <w:t>for</w:t>
      </w:r>
      <w:r>
        <w:t xml:space="preserve"> key </w:t>
      </w:r>
      <w:r w:rsidR="002A514B">
        <w:t xml:space="preserve">safety </w:t>
      </w:r>
      <w:r>
        <w:t>assessments conducted under the regulatory scheme, supported by powers under the Act to obtain information for the purposes of those assessments</w:t>
      </w:r>
      <w:r w:rsidR="00A66AAF">
        <w:t xml:space="preserve"> </w:t>
      </w:r>
      <w:r w:rsidR="00761402">
        <w:t xml:space="preserve">– </w:t>
      </w:r>
      <w:r w:rsidR="00A66AAF">
        <w:t>for example, s</w:t>
      </w:r>
      <w:r w:rsidR="00095255">
        <w:t>.</w:t>
      </w:r>
      <w:r w:rsidR="002401A9">
        <w:t>70(4)</w:t>
      </w:r>
      <w:r w:rsidR="00F56BF7">
        <w:t xml:space="preserve"> (</w:t>
      </w:r>
      <w:r w:rsidR="00E4032F">
        <w:t>approval in principle)</w:t>
      </w:r>
      <w:r w:rsidR="001A7454">
        <w:t xml:space="preserve">, </w:t>
      </w:r>
      <w:r w:rsidR="008D55FE">
        <w:t>s</w:t>
      </w:r>
      <w:r w:rsidR="00095255">
        <w:t>.</w:t>
      </w:r>
      <w:r w:rsidR="008D55FE">
        <w:t>82</w:t>
      </w:r>
      <w:r w:rsidR="00B13F56">
        <w:t>(3)</w:t>
      </w:r>
      <w:r w:rsidR="00BD36FA">
        <w:t xml:space="preserve"> (registration)</w:t>
      </w:r>
      <w:r w:rsidR="004F23F9">
        <w:t>, s</w:t>
      </w:r>
      <w:r w:rsidR="00095255">
        <w:t>.</w:t>
      </w:r>
      <w:r w:rsidR="004F23F9">
        <w:t>88</w:t>
      </w:r>
      <w:r w:rsidR="008D1744">
        <w:t>(4)</w:t>
      </w:r>
      <w:r w:rsidR="00BD36FA">
        <w:t xml:space="preserve"> (renewal</w:t>
      </w:r>
      <w:r w:rsidR="0006310F">
        <w:t>)</w:t>
      </w:r>
      <w:r w:rsidR="00495FDE">
        <w:t>, s</w:t>
      </w:r>
      <w:r w:rsidR="00095255">
        <w:t>.</w:t>
      </w:r>
      <w:r w:rsidR="00495FDE">
        <w:t>92</w:t>
      </w:r>
      <w:r w:rsidR="004E5F1E">
        <w:t>(4) (</w:t>
      </w:r>
      <w:r w:rsidR="00B34586">
        <w:t>v</w:t>
      </w:r>
      <w:r w:rsidR="004E5F1E">
        <w:t>ariation)</w:t>
      </w:r>
      <w:r>
        <w:t xml:space="preserve">. </w:t>
      </w:r>
    </w:p>
    <w:p w14:paraId="71D59AAA" w14:textId="33079791" w:rsidR="007D6829" w:rsidRDefault="00F33BD8" w:rsidP="00705965">
      <w:pPr>
        <w:pStyle w:val="Body"/>
      </w:pPr>
      <w:r>
        <w:t xml:space="preserve">The department </w:t>
      </w:r>
      <w:r w:rsidR="00CF3E6C">
        <w:t xml:space="preserve">may </w:t>
      </w:r>
      <w:r>
        <w:t>appl</w:t>
      </w:r>
      <w:r w:rsidR="00CF3E6C">
        <w:t>y</w:t>
      </w:r>
      <w:r>
        <w:t xml:space="preserve"> additional safeguards </w:t>
      </w:r>
      <w:r w:rsidR="006B2410">
        <w:t xml:space="preserve">by </w:t>
      </w:r>
      <w:r w:rsidR="00CF3E6C">
        <w:t>setting conditions o</w:t>
      </w:r>
      <w:r w:rsidR="000F6B2C">
        <w:t>n</w:t>
      </w:r>
      <w:r w:rsidR="00CF3E6C">
        <w:t xml:space="preserve"> registration</w:t>
      </w:r>
      <w:r w:rsidR="00314B8A">
        <w:t xml:space="preserve">. These </w:t>
      </w:r>
      <w:r w:rsidR="00DD35B9">
        <w:t xml:space="preserve">are </w:t>
      </w:r>
      <w:r w:rsidR="00BB307C">
        <w:t>listed on the registration certificate</w:t>
      </w:r>
      <w:r w:rsidR="00A605D1">
        <w:t xml:space="preserve"> (s</w:t>
      </w:r>
      <w:r w:rsidR="00095255">
        <w:t>.</w:t>
      </w:r>
      <w:r w:rsidR="00A605D1">
        <w:t>85</w:t>
      </w:r>
      <w:r w:rsidR="0024652D">
        <w:t>(c</w:t>
      </w:r>
      <w:r w:rsidR="00A605D1">
        <w:t>))</w:t>
      </w:r>
      <w:r w:rsidR="00BB307C">
        <w:t xml:space="preserve">. </w:t>
      </w:r>
      <w:r w:rsidR="005738A4">
        <w:t>Fo</w:t>
      </w:r>
      <w:r w:rsidR="00E0455B">
        <w:t xml:space="preserve">r example, conditions may </w:t>
      </w:r>
      <w:r w:rsidR="00BB307C">
        <w:t xml:space="preserve">restrict the types of health services </w:t>
      </w:r>
      <w:r w:rsidR="00E0455B">
        <w:t xml:space="preserve">a private hospital or day procedure centre </w:t>
      </w:r>
      <w:r w:rsidR="00F2142B">
        <w:t>can provide.</w:t>
      </w:r>
    </w:p>
    <w:p w14:paraId="565068B9" w14:textId="160DCC3E" w:rsidR="00705965" w:rsidRDefault="00314BDC" w:rsidP="00705965">
      <w:pPr>
        <w:pStyle w:val="Body"/>
      </w:pPr>
      <w:r>
        <w:t>R</w:t>
      </w:r>
      <w:r w:rsidR="00705965" w:rsidRPr="00ED5C4B">
        <w:t xml:space="preserve">egistration criteria and </w:t>
      </w:r>
      <w:r w:rsidR="00A7158B">
        <w:t xml:space="preserve">conditions </w:t>
      </w:r>
      <w:r w:rsidR="00705965" w:rsidRPr="00ED5C4B">
        <w:t xml:space="preserve">are complemented by </w:t>
      </w:r>
      <w:r w:rsidR="00FB2014">
        <w:t xml:space="preserve">additional </w:t>
      </w:r>
      <w:r w:rsidR="00847D58">
        <w:t xml:space="preserve">quality and safety </w:t>
      </w:r>
      <w:r w:rsidR="00705965" w:rsidRPr="00ED5C4B">
        <w:t xml:space="preserve">requirements </w:t>
      </w:r>
      <w:r w:rsidR="005431CD">
        <w:t xml:space="preserve">under </w:t>
      </w:r>
      <w:r w:rsidR="00705965" w:rsidRPr="00ED5C4B">
        <w:t>the Act and the Regulations</w:t>
      </w:r>
      <w:r w:rsidR="007C3714">
        <w:t xml:space="preserve"> – for example, the obligation </w:t>
      </w:r>
      <w:r w:rsidR="00705965" w:rsidRPr="00ED5C4B">
        <w:t>to comply with an approved accreditation scheme</w:t>
      </w:r>
      <w:r w:rsidR="006F24B4">
        <w:t xml:space="preserve"> (see below)</w:t>
      </w:r>
      <w:r w:rsidR="00705965" w:rsidRPr="00ED5C4B">
        <w:t xml:space="preserve">. </w:t>
      </w:r>
    </w:p>
    <w:p w14:paraId="48509346" w14:textId="2A56C317" w:rsidR="00FF444B" w:rsidRPr="00ED5C4B" w:rsidRDefault="00FF444B" w:rsidP="00FF444B">
      <w:pPr>
        <w:pStyle w:val="Heading2"/>
      </w:pPr>
      <w:bookmarkStart w:id="61" w:name="_2.2_Accreditation_and"/>
      <w:bookmarkStart w:id="62" w:name="_Toc141177732"/>
      <w:bookmarkStart w:id="63" w:name="_Toc143272007"/>
      <w:bookmarkEnd w:id="61"/>
      <w:r>
        <w:lastRenderedPageBreak/>
        <w:t>2.2 Accreditation and related standards</w:t>
      </w:r>
      <w:bookmarkEnd w:id="62"/>
      <w:bookmarkEnd w:id="63"/>
      <w:r>
        <w:t xml:space="preserve"> </w:t>
      </w:r>
    </w:p>
    <w:p w14:paraId="0215AEC4" w14:textId="4C54DCBB" w:rsidR="00167413" w:rsidRDefault="00C530FC" w:rsidP="00672539">
      <w:pPr>
        <w:pStyle w:val="Body"/>
      </w:pPr>
      <w:r>
        <w:t>T</w:t>
      </w:r>
      <w:r w:rsidRPr="00121763">
        <w:t xml:space="preserve">he </w:t>
      </w:r>
      <w:r>
        <w:t xml:space="preserve">Act </w:t>
      </w:r>
      <w:r w:rsidRPr="00121763">
        <w:t>requires private hospital</w:t>
      </w:r>
      <w:r>
        <w:t>s</w:t>
      </w:r>
      <w:r w:rsidRPr="00121763">
        <w:t xml:space="preserve"> and day procedure centre</w:t>
      </w:r>
      <w:r>
        <w:t xml:space="preserve">s to comply with an approved accreditation scheme. </w:t>
      </w:r>
      <w:r w:rsidR="00CD10B7" w:rsidRPr="00ED5C4B">
        <w:t xml:space="preserve">The approved scheme </w:t>
      </w:r>
      <w:r w:rsidR="00ED5C4B" w:rsidRPr="00ED5C4B">
        <w:t xml:space="preserve">for the purposes of that requirement </w:t>
      </w:r>
      <w:r w:rsidR="00CD10B7" w:rsidRPr="00ED5C4B">
        <w:t xml:space="preserve">is </w:t>
      </w:r>
      <w:r w:rsidR="00086BB3" w:rsidRPr="00ED5C4B">
        <w:t>the Australian Health Service Safety and Quality Accreditation Scheme</w:t>
      </w:r>
      <w:r w:rsidR="00086BB3">
        <w:t xml:space="preserve"> (the Scheme)</w:t>
      </w:r>
      <w:r w:rsidR="00086BB3">
        <w:rPr>
          <w:rStyle w:val="FootnoteReference"/>
        </w:rPr>
        <w:footnoteReference w:id="22"/>
      </w:r>
      <w:r w:rsidR="00086BB3">
        <w:t xml:space="preserve">, which is </w:t>
      </w:r>
      <w:r w:rsidR="008813DE">
        <w:t>administered</w:t>
      </w:r>
      <w:r w:rsidR="4B5D60C9">
        <w:t xml:space="preserve"> by the </w:t>
      </w:r>
      <w:r w:rsidR="4B5D60C9" w:rsidRPr="006F342F">
        <w:rPr>
          <w:color w:val="313131"/>
          <w:szCs w:val="21"/>
        </w:rPr>
        <w:t>Australian Commission on Safety and Quality in Health Care</w:t>
      </w:r>
      <w:r w:rsidR="4B5D60C9">
        <w:t xml:space="preserve"> </w:t>
      </w:r>
      <w:r w:rsidR="00FA46FC">
        <w:t>(the Commission)</w:t>
      </w:r>
      <w:r w:rsidR="0086620E">
        <w:t>.</w:t>
      </w:r>
      <w:r w:rsidR="003754D4">
        <w:t xml:space="preserve"> </w:t>
      </w:r>
      <w:r w:rsidR="004D612C">
        <w:t>T</w:t>
      </w:r>
      <w:r w:rsidR="00152A52">
        <w:t>h</w:t>
      </w:r>
      <w:r w:rsidR="009A22F1">
        <w:t>e</w:t>
      </w:r>
      <w:r w:rsidR="00152A52">
        <w:t xml:space="preserve"> </w:t>
      </w:r>
      <w:r w:rsidR="009A22F1">
        <w:t>S</w:t>
      </w:r>
      <w:r w:rsidR="00152A52">
        <w:t xml:space="preserve">cheme </w:t>
      </w:r>
      <w:r w:rsidR="003B4124">
        <w:t xml:space="preserve">requires </w:t>
      </w:r>
      <w:r w:rsidR="00152A52" w:rsidRPr="00121763">
        <w:t>private hospital</w:t>
      </w:r>
      <w:r w:rsidR="00152A52">
        <w:t>s</w:t>
      </w:r>
      <w:r w:rsidR="00152A52" w:rsidRPr="00121763">
        <w:t xml:space="preserve"> and day procedure centre</w:t>
      </w:r>
      <w:r w:rsidR="00152A52">
        <w:t xml:space="preserve">s </w:t>
      </w:r>
      <w:r w:rsidR="003B4124">
        <w:t xml:space="preserve">to </w:t>
      </w:r>
      <w:r w:rsidR="00152A52">
        <w:t>be</w:t>
      </w:r>
      <w:r w:rsidR="000D2E1C" w:rsidRPr="00121763">
        <w:t xml:space="preserve"> accredited </w:t>
      </w:r>
      <w:r w:rsidR="00CD10B7" w:rsidRPr="00ED5C4B">
        <w:t xml:space="preserve">against the </w:t>
      </w:r>
      <w:r w:rsidR="000D2E1C" w:rsidRPr="00ED5C4B">
        <w:t>National Safety and Quality Health Service Standards (</w:t>
      </w:r>
      <w:r w:rsidR="00407F44" w:rsidRPr="00ED5C4B">
        <w:t>NSQHS</w:t>
      </w:r>
      <w:r w:rsidR="000D2E1C" w:rsidRPr="00ED5C4B">
        <w:t xml:space="preserve"> Standards</w:t>
      </w:r>
      <w:r w:rsidR="000D2E1C" w:rsidRPr="00121763">
        <w:t>)</w:t>
      </w:r>
      <w:r w:rsidR="00152A52">
        <w:t xml:space="preserve">. </w:t>
      </w:r>
    </w:p>
    <w:p w14:paraId="7D8B9874" w14:textId="45AFF0B4" w:rsidR="00F17BE2" w:rsidRDefault="00745671" w:rsidP="00672539">
      <w:pPr>
        <w:pStyle w:val="Body"/>
      </w:pPr>
      <w:r>
        <w:t xml:space="preserve">Roles and responsibilities </w:t>
      </w:r>
      <w:r w:rsidR="00EE42D2">
        <w:t>in relation to the Scheme include</w:t>
      </w:r>
      <w:r w:rsidR="00DD39B6">
        <w:t xml:space="preserve"> the following</w:t>
      </w:r>
      <w:r w:rsidR="00EE42D2">
        <w:t>:</w:t>
      </w:r>
    </w:p>
    <w:p w14:paraId="37DF705B" w14:textId="0F66DDD5" w:rsidR="00F17BE2" w:rsidRDefault="00DD39B6" w:rsidP="00C132C8">
      <w:pPr>
        <w:pStyle w:val="Body"/>
        <w:numPr>
          <w:ilvl w:val="0"/>
          <w:numId w:val="30"/>
        </w:numPr>
      </w:pPr>
      <w:r>
        <w:t>T</w:t>
      </w:r>
      <w:r w:rsidR="00617055">
        <w:t>he</w:t>
      </w:r>
      <w:r w:rsidR="00167413" w:rsidRPr="00121763">
        <w:t xml:space="preserve"> Commission </w:t>
      </w:r>
      <w:r w:rsidR="00CD10B7" w:rsidRPr="00ED5C4B">
        <w:t xml:space="preserve">is responsible for developing the NSQHS Standards and administering the </w:t>
      </w:r>
      <w:r w:rsidR="00FD78AD">
        <w:t>S</w:t>
      </w:r>
      <w:r w:rsidR="00CD10B7" w:rsidRPr="00ED5C4B">
        <w:t>cheme</w:t>
      </w:r>
      <w:r>
        <w:t>.</w:t>
      </w:r>
    </w:p>
    <w:p w14:paraId="2CF65F2F" w14:textId="570125F1" w:rsidR="793B15F2" w:rsidRDefault="00DD39B6" w:rsidP="00C132C8">
      <w:pPr>
        <w:pStyle w:val="Body"/>
        <w:numPr>
          <w:ilvl w:val="0"/>
          <w:numId w:val="30"/>
        </w:numPr>
        <w:rPr>
          <w:szCs w:val="21"/>
        </w:rPr>
      </w:pPr>
      <w:r>
        <w:t>Q</w:t>
      </w:r>
      <w:r w:rsidR="00FF73D4" w:rsidRPr="00ED5C4B">
        <w:t xml:space="preserve">ualified third parties </w:t>
      </w:r>
      <w:r w:rsidR="00FF73D4">
        <w:t>approved by the Commission</w:t>
      </w:r>
      <w:r w:rsidR="00FF73D4" w:rsidRPr="00ED5C4B">
        <w:t xml:space="preserve"> </w:t>
      </w:r>
      <w:r w:rsidR="003F142D">
        <w:t xml:space="preserve">conduct </w:t>
      </w:r>
      <w:r w:rsidR="00FE42D5">
        <w:t xml:space="preserve">the </w:t>
      </w:r>
      <w:r w:rsidR="00F17BE2">
        <w:t>a</w:t>
      </w:r>
      <w:r w:rsidR="00CD10B7" w:rsidRPr="00ED5C4B">
        <w:t>ccreditation assessments and certifications</w:t>
      </w:r>
      <w:r>
        <w:t>.</w:t>
      </w:r>
      <w:r w:rsidR="00CD10B7" w:rsidRPr="00ED5C4B">
        <w:t xml:space="preserve"> </w:t>
      </w:r>
      <w:r w:rsidR="793B15F2" w:rsidRPr="47A77D5A">
        <w:rPr>
          <w:szCs w:val="21"/>
        </w:rPr>
        <w:t>Accreditation assessments are carried out at short notice, typically within 48 hours of notification.</w:t>
      </w:r>
    </w:p>
    <w:p w14:paraId="259A0106" w14:textId="186F1EBC" w:rsidR="000D2E1C" w:rsidRPr="00FA7A07" w:rsidRDefault="00DD39B6" w:rsidP="00C132C8">
      <w:pPr>
        <w:pStyle w:val="Body"/>
        <w:numPr>
          <w:ilvl w:val="0"/>
          <w:numId w:val="30"/>
        </w:numPr>
        <w:rPr>
          <w:i/>
          <w:iCs/>
        </w:rPr>
      </w:pPr>
      <w:r>
        <w:t>P</w:t>
      </w:r>
      <w:r w:rsidR="00795F22">
        <w:t xml:space="preserve">roprietors of </w:t>
      </w:r>
      <w:r w:rsidR="0030514A">
        <w:t xml:space="preserve">private hospitals and </w:t>
      </w:r>
      <w:r w:rsidR="00541726">
        <w:t xml:space="preserve">day procedure centres </w:t>
      </w:r>
      <w:r w:rsidR="00E21FC5">
        <w:t>must meet the accreditation requirements</w:t>
      </w:r>
      <w:r w:rsidR="001D64EF">
        <w:t xml:space="preserve"> and</w:t>
      </w:r>
      <w:r w:rsidR="00E21FC5">
        <w:t xml:space="preserve"> </w:t>
      </w:r>
      <w:r w:rsidR="005948DF">
        <w:t xml:space="preserve">take remedial actions to address </w:t>
      </w:r>
      <w:r w:rsidR="007F3F72">
        <w:t xml:space="preserve">identified </w:t>
      </w:r>
      <w:r w:rsidR="00561727">
        <w:t>issues</w:t>
      </w:r>
      <w:r w:rsidR="001D64EF">
        <w:t>. The</w:t>
      </w:r>
      <w:r w:rsidR="00B95F9F">
        <w:t xml:space="preserve"> </w:t>
      </w:r>
      <w:r w:rsidR="00BF67E9">
        <w:t>Regulations</w:t>
      </w:r>
      <w:r w:rsidR="00B95F9F">
        <w:t xml:space="preserve"> require them to</w:t>
      </w:r>
      <w:r w:rsidR="00A84586">
        <w:t xml:space="preserve"> </w:t>
      </w:r>
      <w:r w:rsidR="00B06503">
        <w:t xml:space="preserve">send the accreditation report </w:t>
      </w:r>
      <w:r w:rsidR="00B95F9F">
        <w:t>to the department (</w:t>
      </w:r>
      <w:r w:rsidR="00BF67E9">
        <w:t>r.46(6)</w:t>
      </w:r>
      <w:r w:rsidR="00D74A7F">
        <w:t>)</w:t>
      </w:r>
      <w:r w:rsidR="00095255">
        <w:t>,</w:t>
      </w:r>
      <w:r w:rsidR="00BF67E9">
        <w:t xml:space="preserve"> and the Act requires them to</w:t>
      </w:r>
      <w:r w:rsidR="00795F22">
        <w:t xml:space="preserve"> </w:t>
      </w:r>
      <w:r w:rsidR="00ED5C4B" w:rsidRPr="00ED5C4B">
        <w:t xml:space="preserve">notify the </w:t>
      </w:r>
      <w:r w:rsidR="00FA7A07">
        <w:t>department</w:t>
      </w:r>
      <w:r w:rsidR="00ED5C4B" w:rsidRPr="00ED5C4B">
        <w:t xml:space="preserve"> if they fail to obtain or maintain accreditation </w:t>
      </w:r>
      <w:r w:rsidR="006256A6">
        <w:t>(s</w:t>
      </w:r>
      <w:r w:rsidR="00095255">
        <w:t>.</w:t>
      </w:r>
      <w:r w:rsidR="008329BE">
        <w:t>107B)</w:t>
      </w:r>
      <w:r w:rsidR="00ED5C4B" w:rsidRPr="00ED5C4B">
        <w:t xml:space="preserve"> </w:t>
      </w:r>
      <w:r w:rsidR="000E69BD">
        <w:t xml:space="preserve">or </w:t>
      </w:r>
      <w:r w:rsidR="008634BC">
        <w:t>if</w:t>
      </w:r>
      <w:r w:rsidR="00ED5C4B" w:rsidRPr="00ED5C4B">
        <w:t xml:space="preserve"> safety risks </w:t>
      </w:r>
      <w:r w:rsidR="002D75BB">
        <w:t xml:space="preserve">are </w:t>
      </w:r>
      <w:r w:rsidR="00ED5C4B" w:rsidRPr="00ED5C4B">
        <w:t>identified during accreditation assessment</w:t>
      </w:r>
      <w:r w:rsidR="0008539F">
        <w:t xml:space="preserve"> (s</w:t>
      </w:r>
      <w:r w:rsidR="00095255">
        <w:t>.</w:t>
      </w:r>
      <w:r w:rsidR="00604A32">
        <w:t>110D</w:t>
      </w:r>
      <w:r w:rsidR="00EF2C71">
        <w:t>)</w:t>
      </w:r>
      <w:r>
        <w:t>.</w:t>
      </w:r>
    </w:p>
    <w:p w14:paraId="7508E322" w14:textId="617D6C7D" w:rsidR="00FA7A07" w:rsidRPr="007F3F72" w:rsidRDefault="00DD39B6" w:rsidP="00C132C8">
      <w:pPr>
        <w:pStyle w:val="Body"/>
        <w:numPr>
          <w:ilvl w:val="0"/>
          <w:numId w:val="30"/>
        </w:numPr>
        <w:rPr>
          <w:i/>
          <w:iCs/>
        </w:rPr>
      </w:pPr>
      <w:r>
        <w:t>T</w:t>
      </w:r>
      <w:r w:rsidR="00FA7A07">
        <w:t xml:space="preserve">he department </w:t>
      </w:r>
      <w:r w:rsidR="004D1FFB">
        <w:t xml:space="preserve">monitors </w:t>
      </w:r>
      <w:r w:rsidR="00AE00CE">
        <w:t>the accreditation status of private hospitals and day procedure centres</w:t>
      </w:r>
      <w:r w:rsidR="00C25CD3">
        <w:t xml:space="preserve"> and takes enforcement action where needed (see below).</w:t>
      </w:r>
    </w:p>
    <w:p w14:paraId="1D1C24E3" w14:textId="79FAD4C1" w:rsidR="003A459B" w:rsidRDefault="003A459B" w:rsidP="003A459B">
      <w:pPr>
        <w:pStyle w:val="Body"/>
      </w:pPr>
      <w:r>
        <w:t>The</w:t>
      </w:r>
      <w:r w:rsidRPr="00152A52">
        <w:t xml:space="preserve"> </w:t>
      </w:r>
      <w:r>
        <w:t>primary aim of the NSQHS</w:t>
      </w:r>
      <w:r w:rsidRPr="00121763">
        <w:t xml:space="preserve"> Standards</w:t>
      </w:r>
      <w:r>
        <w:t xml:space="preserve"> is to protect</w:t>
      </w:r>
      <w:r w:rsidRPr="00ED5C4B">
        <w:t xml:space="preserve"> the </w:t>
      </w:r>
      <w:r>
        <w:t>public from harm, improve the quality of health service provision,</w:t>
      </w:r>
      <w:r w:rsidRPr="00ED5C4B">
        <w:t xml:space="preserve"> and </w:t>
      </w:r>
      <w:r>
        <w:t>ensure national consistency</w:t>
      </w:r>
      <w:r w:rsidRPr="00121763">
        <w:t xml:space="preserve">. </w:t>
      </w:r>
    </w:p>
    <w:p w14:paraId="3AE23FA0" w14:textId="703A8A9C" w:rsidR="00BD5449" w:rsidRDefault="00BD5449" w:rsidP="003A459B">
      <w:pPr>
        <w:pStyle w:val="Body"/>
      </w:pPr>
      <w:r>
        <w:t xml:space="preserve">The eight </w:t>
      </w:r>
      <w:r w:rsidR="00E37D59" w:rsidRPr="00ED5C4B">
        <w:t>NSQHS Standards</w:t>
      </w:r>
      <w:r w:rsidR="00E37D59">
        <w:t xml:space="preserve"> are:</w:t>
      </w:r>
    </w:p>
    <w:p w14:paraId="298EDC59" w14:textId="6EB80C4A" w:rsidR="00E37D59" w:rsidRDefault="00E37D59" w:rsidP="00C132C8">
      <w:pPr>
        <w:pStyle w:val="Body"/>
        <w:numPr>
          <w:ilvl w:val="0"/>
          <w:numId w:val="31"/>
        </w:numPr>
      </w:pPr>
      <w:r>
        <w:t>Clinical governance</w:t>
      </w:r>
      <w:r w:rsidR="002B1458">
        <w:t xml:space="preserve"> </w:t>
      </w:r>
    </w:p>
    <w:p w14:paraId="477E5CD9" w14:textId="39D7A8F9" w:rsidR="00562CA5" w:rsidRDefault="00562CA5" w:rsidP="00C132C8">
      <w:pPr>
        <w:pStyle w:val="Body"/>
        <w:numPr>
          <w:ilvl w:val="0"/>
          <w:numId w:val="31"/>
        </w:numPr>
      </w:pPr>
      <w:r>
        <w:t>Partnering with consumers</w:t>
      </w:r>
    </w:p>
    <w:p w14:paraId="67196897" w14:textId="78412ED8" w:rsidR="00562CA5" w:rsidRDefault="00562CA5" w:rsidP="00C132C8">
      <w:pPr>
        <w:pStyle w:val="Body"/>
        <w:numPr>
          <w:ilvl w:val="0"/>
          <w:numId w:val="31"/>
        </w:numPr>
      </w:pPr>
      <w:r>
        <w:t>Preventing and controlling infections</w:t>
      </w:r>
    </w:p>
    <w:p w14:paraId="1243019D" w14:textId="00C54A4E" w:rsidR="00562CA5" w:rsidRDefault="00562CA5" w:rsidP="00C132C8">
      <w:pPr>
        <w:pStyle w:val="Body"/>
        <w:numPr>
          <w:ilvl w:val="0"/>
          <w:numId w:val="31"/>
        </w:numPr>
      </w:pPr>
      <w:r>
        <w:t>Medication safety</w:t>
      </w:r>
    </w:p>
    <w:p w14:paraId="070A135B" w14:textId="6AA591B6" w:rsidR="00562CA5" w:rsidRDefault="00562CA5" w:rsidP="00C132C8">
      <w:pPr>
        <w:pStyle w:val="Body"/>
        <w:numPr>
          <w:ilvl w:val="0"/>
          <w:numId w:val="31"/>
        </w:numPr>
      </w:pPr>
      <w:r>
        <w:t>Comprehensive care</w:t>
      </w:r>
    </w:p>
    <w:p w14:paraId="196F8ADF" w14:textId="1B0F886B" w:rsidR="00562CA5" w:rsidRDefault="00562CA5" w:rsidP="00C132C8">
      <w:pPr>
        <w:pStyle w:val="Body"/>
        <w:numPr>
          <w:ilvl w:val="0"/>
          <w:numId w:val="31"/>
        </w:numPr>
      </w:pPr>
      <w:r>
        <w:t>Communicating for safety</w:t>
      </w:r>
    </w:p>
    <w:p w14:paraId="66EF7D4C" w14:textId="667D1092" w:rsidR="00562CA5" w:rsidRDefault="00562CA5" w:rsidP="00C132C8">
      <w:pPr>
        <w:pStyle w:val="Body"/>
        <w:numPr>
          <w:ilvl w:val="0"/>
          <w:numId w:val="31"/>
        </w:numPr>
      </w:pPr>
      <w:r>
        <w:t>Blood management</w:t>
      </w:r>
    </w:p>
    <w:p w14:paraId="5BBA27CA" w14:textId="48CFA1CC" w:rsidR="00562CA5" w:rsidRDefault="00562CA5" w:rsidP="00C132C8">
      <w:pPr>
        <w:pStyle w:val="Body"/>
        <w:numPr>
          <w:ilvl w:val="0"/>
          <w:numId w:val="31"/>
        </w:numPr>
      </w:pPr>
      <w:r>
        <w:t>Recognising and responding to acute deterioration</w:t>
      </w:r>
    </w:p>
    <w:p w14:paraId="77739372" w14:textId="552B919B" w:rsidR="00705965" w:rsidRDefault="00CF27EA" w:rsidP="00705965">
      <w:pPr>
        <w:pStyle w:val="Body"/>
      </w:pPr>
      <w:r>
        <w:t xml:space="preserve">Many of the requirements </w:t>
      </w:r>
      <w:r w:rsidR="00F018F2">
        <w:t>under the</w:t>
      </w:r>
      <w:r w:rsidR="00F86640">
        <w:t xml:space="preserve"> </w:t>
      </w:r>
      <w:r w:rsidR="00F018F2" w:rsidRPr="00ED5C4B">
        <w:t>NSQHS Standards</w:t>
      </w:r>
      <w:r w:rsidR="00F018F2">
        <w:t xml:space="preserve"> are </w:t>
      </w:r>
      <w:r w:rsidR="00A0110E">
        <w:t xml:space="preserve">strengthened by </w:t>
      </w:r>
      <w:r w:rsidR="009E690B">
        <w:t>specific requirements in t</w:t>
      </w:r>
      <w:r w:rsidR="00705965">
        <w:t>he Regulations</w:t>
      </w:r>
      <w:r w:rsidR="00230307">
        <w:t>, as</w:t>
      </w:r>
      <w:r w:rsidR="009E690B">
        <w:t xml:space="preserve"> </w:t>
      </w:r>
      <w:r w:rsidR="001576D3">
        <w:t xml:space="preserve">discussed </w:t>
      </w:r>
      <w:r w:rsidR="006F1431">
        <w:t>throughout</w:t>
      </w:r>
      <w:r w:rsidR="00705965">
        <w:t xml:space="preserve"> this paper.</w:t>
      </w:r>
    </w:p>
    <w:p w14:paraId="6FB602E4" w14:textId="26C0F4BD" w:rsidR="1918C03F" w:rsidRDefault="1918C03F" w:rsidP="754CE4C6">
      <w:pPr>
        <w:pStyle w:val="Body"/>
      </w:pPr>
      <w:r>
        <w:lastRenderedPageBreak/>
        <w:t xml:space="preserve">Following a number of quality and safety concerns in hospitals that were NSQHS accredited, SCV </w:t>
      </w:r>
      <w:r w:rsidR="00E20B7D">
        <w:t>ha</w:t>
      </w:r>
      <w:r w:rsidR="0010036C">
        <w:t>s</w:t>
      </w:r>
      <w:r w:rsidR="00E20B7D">
        <w:t xml:space="preserve"> contr</w:t>
      </w:r>
      <w:r w:rsidR="006B06B9">
        <w:t>ibuted to</w:t>
      </w:r>
      <w:r w:rsidR="00FF1FD4">
        <w:t xml:space="preserve"> cross-jurisdictional work with the Commission</w:t>
      </w:r>
      <w:r w:rsidR="3FDC89A7">
        <w:t xml:space="preserve"> </w:t>
      </w:r>
      <w:r>
        <w:t>on improvements required</w:t>
      </w:r>
      <w:r w:rsidR="03464FC8">
        <w:t xml:space="preserve"> to strengthen assessment against the standards.</w:t>
      </w:r>
      <w:r w:rsidR="77E4FC1D">
        <w:t xml:space="preserve"> </w:t>
      </w:r>
    </w:p>
    <w:p w14:paraId="27EC6ADC" w14:textId="05D3A191" w:rsidR="00705965" w:rsidRDefault="00705965" w:rsidP="00705965">
      <w:pPr>
        <w:pStyle w:val="Body"/>
      </w:pPr>
      <w:r>
        <w:t xml:space="preserve">The department considers the provisions in the Act and Regulations relating to accreditation to be appropriate </w:t>
      </w:r>
      <w:r w:rsidR="00FC068A">
        <w:t xml:space="preserve">and necessary </w:t>
      </w:r>
      <w:r>
        <w:t xml:space="preserve">but welcomes any reflections from stakeholders on how they function operationally, including in the context of the related requirements in the Regulations. </w:t>
      </w:r>
    </w:p>
    <w:p w14:paraId="33CC49DF" w14:textId="2DDE3145" w:rsidR="00705965" w:rsidRDefault="006561A3" w:rsidP="00705965">
      <w:pPr>
        <w:pStyle w:val="Body"/>
      </w:pPr>
      <w:r>
        <w:t>A</w:t>
      </w:r>
      <w:r w:rsidR="00705965">
        <w:t xml:space="preserve">ccreditation against the </w:t>
      </w:r>
      <w:r w:rsidR="00705965" w:rsidRPr="00ED5C4B">
        <w:t>NSQHS Standards</w:t>
      </w:r>
      <w:r w:rsidR="00705965">
        <w:t xml:space="preserve"> is an important marker for patients and </w:t>
      </w:r>
      <w:r w:rsidR="0035111B">
        <w:t>the public</w:t>
      </w:r>
      <w:r w:rsidR="00705965">
        <w:t xml:space="preserve"> about a facility’s compliance with foundational safety requirements. </w:t>
      </w:r>
      <w:r w:rsidR="00571BA0">
        <w:t>Reflecting</w:t>
      </w:r>
      <w:r w:rsidR="00FA46FC">
        <w:t xml:space="preserve"> this</w:t>
      </w:r>
      <w:r w:rsidR="00571BA0">
        <w:t>,</w:t>
      </w:r>
      <w:r w:rsidR="00FA46FC">
        <w:t xml:space="preserve"> the Commission publishes </w:t>
      </w:r>
      <w:r w:rsidR="006F2163">
        <w:t>information about accreditation status and assessment on its public website.</w:t>
      </w:r>
      <w:r w:rsidR="00C13C6E">
        <w:rPr>
          <w:rStyle w:val="FootnoteReference"/>
        </w:rPr>
        <w:footnoteReference w:id="23"/>
      </w:r>
      <w:r w:rsidR="00FA46FC">
        <w:t xml:space="preserve"> </w:t>
      </w:r>
      <w:r w:rsidR="00705965">
        <w:t>T</w:t>
      </w:r>
      <w:r w:rsidR="0074239E">
        <w:t>o</w:t>
      </w:r>
      <w:r w:rsidR="00705965">
        <w:t xml:space="preserve"> enhance this</w:t>
      </w:r>
      <w:r w:rsidR="00571BA0">
        <w:t xml:space="preserve"> transparency</w:t>
      </w:r>
      <w:r w:rsidR="005F7122">
        <w:t>,</w:t>
      </w:r>
      <w:r w:rsidR="00705965">
        <w:t xml:space="preserve"> a requirement could be included in the Regulations for the proprietor to </w:t>
      </w:r>
      <w:r w:rsidR="00F0048B">
        <w:t>display the</w:t>
      </w:r>
      <w:r w:rsidR="00705965">
        <w:t xml:space="preserve"> accreditation certificate </w:t>
      </w:r>
      <w:r w:rsidR="00571BA0">
        <w:t>issued under the Scheme</w:t>
      </w:r>
      <w:r w:rsidR="00705965">
        <w:t xml:space="preserve"> in a prominent position – similar to the requirement </w:t>
      </w:r>
      <w:r w:rsidR="00B232D0">
        <w:t>to</w:t>
      </w:r>
      <w:r w:rsidR="00705965">
        <w:t xml:space="preserve"> display the certificate of registration </w:t>
      </w:r>
      <w:r w:rsidR="004D1151">
        <w:t xml:space="preserve">issued under the Act </w:t>
      </w:r>
      <w:r w:rsidR="00705965">
        <w:t xml:space="preserve">(r.45). </w:t>
      </w:r>
    </w:p>
    <w:p w14:paraId="3F3AC295" w14:textId="3CD35B01" w:rsidR="00705965" w:rsidRDefault="00705965" w:rsidP="00705965">
      <w:pPr>
        <w:pStyle w:val="Body"/>
        <w:rPr>
          <w:rFonts w:cs="Arial"/>
        </w:rPr>
      </w:pPr>
      <w:r>
        <w:t xml:space="preserve">The department is aware of other clinical or service standards that may be relevant to safe </w:t>
      </w:r>
      <w:r w:rsidR="005766BD">
        <w:t xml:space="preserve">healthcare </w:t>
      </w:r>
      <w:r>
        <w:t>delivery</w:t>
      </w:r>
      <w:r w:rsidR="00AE600F">
        <w:t xml:space="preserve"> </w:t>
      </w:r>
      <w:r>
        <w:t>– for example</w:t>
      </w:r>
      <w:r w:rsidR="001803EC">
        <w:t>,</w:t>
      </w:r>
      <w:r>
        <w:t xml:space="preserve"> the </w:t>
      </w:r>
      <w:r w:rsidRPr="47ABEBBE">
        <w:rPr>
          <w:rFonts w:cs="Arial"/>
        </w:rPr>
        <w:t>College of Emergency Medicine (ACEM) Quality Standards for Emergency Departments and Hospital-Based Emergency Care Services</w:t>
      </w:r>
      <w:r w:rsidR="00095255">
        <w:rPr>
          <w:rStyle w:val="FootnoteReference"/>
          <w:rFonts w:cs="Arial"/>
        </w:rPr>
        <w:footnoteReference w:id="24"/>
      </w:r>
      <w:r w:rsidRPr="47ABEBBE">
        <w:rPr>
          <w:rFonts w:cs="Arial"/>
        </w:rPr>
        <w:t>.</w:t>
      </w:r>
      <w:r w:rsidR="00654D4C">
        <w:rPr>
          <w:rFonts w:cs="Arial"/>
        </w:rPr>
        <w:t xml:space="preserve"> The department seeks f</w:t>
      </w:r>
      <w:r w:rsidRPr="47ABEBBE">
        <w:rPr>
          <w:rFonts w:cs="Arial"/>
        </w:rPr>
        <w:t xml:space="preserve">eedback on </w:t>
      </w:r>
      <w:r w:rsidR="000A3B23">
        <w:rPr>
          <w:rFonts w:cs="Arial"/>
        </w:rPr>
        <w:t>introducing additional standards</w:t>
      </w:r>
      <w:r w:rsidR="009F40AB">
        <w:rPr>
          <w:rFonts w:cs="Arial"/>
        </w:rPr>
        <w:t xml:space="preserve"> and</w:t>
      </w:r>
      <w:r w:rsidR="000A3B23">
        <w:rPr>
          <w:rFonts w:cs="Arial"/>
        </w:rPr>
        <w:t xml:space="preserve"> accreditation</w:t>
      </w:r>
      <w:r w:rsidR="005F6639">
        <w:rPr>
          <w:rFonts w:cs="Arial"/>
        </w:rPr>
        <w:t xml:space="preserve"> processe</w:t>
      </w:r>
      <w:r w:rsidR="00B701FD">
        <w:rPr>
          <w:rFonts w:cs="Arial"/>
        </w:rPr>
        <w:t>s, noting that</w:t>
      </w:r>
      <w:r w:rsidR="006B4EE1">
        <w:rPr>
          <w:rFonts w:cs="Arial"/>
        </w:rPr>
        <w:t xml:space="preserve"> </w:t>
      </w:r>
      <w:r w:rsidR="00EE48DD">
        <w:rPr>
          <w:rFonts w:cs="Arial"/>
        </w:rPr>
        <w:t xml:space="preserve">any benefits would need to be weighed against additional costs and administrative </w:t>
      </w:r>
      <w:r w:rsidR="00133E11">
        <w:rPr>
          <w:rFonts w:cs="Arial"/>
        </w:rPr>
        <w:t>impacts for service providers.</w:t>
      </w:r>
      <w:r w:rsidR="00521CAF">
        <w:rPr>
          <w:rFonts w:cs="Arial"/>
        </w:rPr>
        <w:t xml:space="preserve"> </w:t>
      </w:r>
    </w:p>
    <w:p w14:paraId="491D17FB" w14:textId="1F8BF511" w:rsidR="001B0D1A" w:rsidRDefault="00645092" w:rsidP="00645092">
      <w:pPr>
        <w:pStyle w:val="Heading2"/>
        <w:rPr>
          <w:rFonts w:cs="Arial"/>
        </w:rPr>
      </w:pPr>
      <w:bookmarkStart w:id="64" w:name="_2.3_Consequences_for"/>
      <w:bookmarkStart w:id="65" w:name="_Toc141177733"/>
      <w:bookmarkStart w:id="66" w:name="_Toc143272008"/>
      <w:bookmarkEnd w:id="64"/>
      <w:r>
        <w:rPr>
          <w:rFonts w:cs="Arial"/>
        </w:rPr>
        <w:t xml:space="preserve">2.3 </w:t>
      </w:r>
      <w:r w:rsidR="00DD7BB3" w:rsidRPr="00645092">
        <w:t>Consequences</w:t>
      </w:r>
      <w:r w:rsidR="00DD7BB3">
        <w:rPr>
          <w:rFonts w:cs="Arial"/>
        </w:rPr>
        <w:t xml:space="preserve"> for </w:t>
      </w:r>
      <w:r>
        <w:rPr>
          <w:rFonts w:cs="Arial"/>
        </w:rPr>
        <w:t>non-compliance with registration and accreditation requirements</w:t>
      </w:r>
      <w:bookmarkEnd w:id="65"/>
      <w:bookmarkEnd w:id="66"/>
    </w:p>
    <w:p w14:paraId="104F1E8F" w14:textId="3EF58294" w:rsidR="008A7BBA" w:rsidRDefault="00064530" w:rsidP="003D6A52">
      <w:pPr>
        <w:pStyle w:val="Body"/>
      </w:pPr>
      <w:r>
        <w:t xml:space="preserve">The Act </w:t>
      </w:r>
      <w:r w:rsidR="00873295">
        <w:t xml:space="preserve">includes </w:t>
      </w:r>
      <w:r w:rsidR="00C1045D">
        <w:t>a range of penalties associated with registration and accreditation</w:t>
      </w:r>
      <w:r w:rsidR="00FA00C5">
        <w:t xml:space="preserve">. For example, </w:t>
      </w:r>
      <w:r w:rsidR="00257955">
        <w:t xml:space="preserve">the proprietor of a </w:t>
      </w:r>
      <w:r w:rsidR="005A2B76">
        <w:t>health service establishment may receive</w:t>
      </w:r>
      <w:r w:rsidR="00103D70">
        <w:t xml:space="preserve"> </w:t>
      </w:r>
      <w:r w:rsidR="0057759B">
        <w:t>a penalty for:</w:t>
      </w:r>
    </w:p>
    <w:p w14:paraId="10DF73D7" w14:textId="3660F5CE" w:rsidR="00677D2A" w:rsidRPr="00677D2A" w:rsidRDefault="00487B25" w:rsidP="00C132C8">
      <w:pPr>
        <w:pStyle w:val="Body"/>
        <w:numPr>
          <w:ilvl w:val="0"/>
          <w:numId w:val="32"/>
        </w:numPr>
        <w:rPr>
          <w:i/>
          <w:iCs/>
        </w:rPr>
      </w:pPr>
      <w:r>
        <w:t>s.</w:t>
      </w:r>
      <w:r w:rsidR="00F90A8F">
        <w:t>107</w:t>
      </w:r>
      <w:r w:rsidR="00296BA5">
        <w:t>A</w:t>
      </w:r>
      <w:r w:rsidR="00F90A8F">
        <w:t xml:space="preserve"> </w:t>
      </w:r>
      <w:r w:rsidR="00A93596">
        <w:t>–</w:t>
      </w:r>
      <w:r w:rsidR="00F90A8F">
        <w:t xml:space="preserve"> </w:t>
      </w:r>
      <w:r w:rsidR="00A93596">
        <w:t>failing to comply</w:t>
      </w:r>
      <w:r w:rsidR="005F633F">
        <w:t xml:space="preserve"> with the requirements of </w:t>
      </w:r>
      <w:r w:rsidR="00147283">
        <w:t>an approved accreditation scheme</w:t>
      </w:r>
    </w:p>
    <w:p w14:paraId="680B3A8A" w14:textId="0585BFA0" w:rsidR="009849D3" w:rsidRPr="009849D3" w:rsidRDefault="00487B25" w:rsidP="00C132C8">
      <w:pPr>
        <w:pStyle w:val="Body"/>
        <w:numPr>
          <w:ilvl w:val="0"/>
          <w:numId w:val="32"/>
        </w:numPr>
        <w:rPr>
          <w:i/>
          <w:iCs/>
        </w:rPr>
      </w:pPr>
      <w:r>
        <w:t>s.</w:t>
      </w:r>
      <w:r w:rsidR="00962B23">
        <w:t xml:space="preserve">107B – failing to notify the </w:t>
      </w:r>
      <w:r w:rsidR="00AA281F">
        <w:t>Secretary</w:t>
      </w:r>
      <w:r w:rsidR="00AA34B7">
        <w:t xml:space="preserve"> </w:t>
      </w:r>
      <w:r w:rsidR="001A1665">
        <w:t xml:space="preserve">that accreditation has been </w:t>
      </w:r>
      <w:r w:rsidR="009849D3">
        <w:t xml:space="preserve">refused </w:t>
      </w:r>
      <w:r w:rsidR="006A1270">
        <w:t>or revoked</w:t>
      </w:r>
    </w:p>
    <w:p w14:paraId="6D86EF78" w14:textId="3DA81CBA" w:rsidR="00DA145B" w:rsidRPr="005C75B3" w:rsidRDefault="00AA34B7" w:rsidP="00C132C8">
      <w:pPr>
        <w:pStyle w:val="Body"/>
        <w:numPr>
          <w:ilvl w:val="0"/>
          <w:numId w:val="32"/>
        </w:numPr>
        <w:rPr>
          <w:i/>
          <w:iCs/>
        </w:rPr>
      </w:pPr>
      <w:r>
        <w:t>s</w:t>
      </w:r>
      <w:r w:rsidR="00487B25">
        <w:t>.</w:t>
      </w:r>
      <w:r>
        <w:t>108</w:t>
      </w:r>
      <w:r w:rsidR="001216E6">
        <w:t xml:space="preserve">, </w:t>
      </w:r>
      <w:r w:rsidR="00556F4B">
        <w:t>s</w:t>
      </w:r>
      <w:r w:rsidR="00487B25">
        <w:t>.</w:t>
      </w:r>
      <w:r w:rsidR="00556F4B">
        <w:t>108</w:t>
      </w:r>
      <w:r w:rsidR="005573EE">
        <w:t>B</w:t>
      </w:r>
      <w:r w:rsidR="00701468">
        <w:t>,</w:t>
      </w:r>
      <w:r w:rsidR="00883343">
        <w:t xml:space="preserve"> s</w:t>
      </w:r>
      <w:r w:rsidR="00487B25">
        <w:t>.</w:t>
      </w:r>
      <w:r w:rsidR="00883343">
        <w:t>115</w:t>
      </w:r>
      <w:r w:rsidR="00701468">
        <w:t xml:space="preserve"> </w:t>
      </w:r>
      <w:r>
        <w:t>–</w:t>
      </w:r>
      <w:r w:rsidR="005573EE">
        <w:t xml:space="preserve"> </w:t>
      </w:r>
      <w:r w:rsidR="00393419">
        <w:t xml:space="preserve">various offences related to </w:t>
      </w:r>
      <w:r w:rsidR="00E86479">
        <w:t>constructing</w:t>
      </w:r>
      <w:r w:rsidR="00712C7A">
        <w:t xml:space="preserve">, </w:t>
      </w:r>
      <w:r w:rsidR="001844FD">
        <w:t>altering</w:t>
      </w:r>
      <w:r w:rsidR="006F6FAE">
        <w:t xml:space="preserve"> </w:t>
      </w:r>
      <w:r w:rsidR="00E86479">
        <w:t>or</w:t>
      </w:r>
      <w:r w:rsidR="00712C7A">
        <w:t xml:space="preserve"> extend</w:t>
      </w:r>
      <w:r w:rsidR="006930DD">
        <w:t xml:space="preserve">ing </w:t>
      </w:r>
      <w:r w:rsidR="006F6FAE">
        <w:t>a</w:t>
      </w:r>
      <w:r w:rsidR="008658AA">
        <w:t xml:space="preserve"> health service establishment</w:t>
      </w:r>
      <w:r w:rsidR="00A114DD">
        <w:t xml:space="preserve"> and using these areas</w:t>
      </w:r>
      <w:r w:rsidR="005573EE">
        <w:t xml:space="preserve"> without the Secretary’s approva</w:t>
      </w:r>
      <w:r w:rsidR="006C45AD">
        <w:t>l</w:t>
      </w:r>
    </w:p>
    <w:p w14:paraId="608B0695" w14:textId="7BFA2ED5" w:rsidR="005C75B3" w:rsidRPr="0066483F" w:rsidRDefault="004F25C9" w:rsidP="00C132C8">
      <w:pPr>
        <w:pStyle w:val="Body"/>
        <w:numPr>
          <w:ilvl w:val="0"/>
          <w:numId w:val="32"/>
        </w:numPr>
        <w:rPr>
          <w:i/>
          <w:iCs/>
        </w:rPr>
      </w:pPr>
      <w:r>
        <w:t>s</w:t>
      </w:r>
      <w:r w:rsidR="00487B25">
        <w:t>.</w:t>
      </w:r>
      <w:r>
        <w:t>110D</w:t>
      </w:r>
      <w:r w:rsidR="009D5A09">
        <w:t xml:space="preserve"> – failing to </w:t>
      </w:r>
      <w:r w:rsidR="00E349C2">
        <w:t xml:space="preserve">inform the Secretary </w:t>
      </w:r>
      <w:r w:rsidR="0064782A">
        <w:t>about a serious risk to patient health or s</w:t>
      </w:r>
      <w:r w:rsidR="006807A0">
        <w:t>afety</w:t>
      </w:r>
      <w:r w:rsidR="00BC0248">
        <w:t xml:space="preserve">, including where </w:t>
      </w:r>
      <w:r w:rsidR="006807A0">
        <w:t xml:space="preserve">identified by an accreditation agency </w:t>
      </w:r>
      <w:r w:rsidR="00D60C2D">
        <w:t>during an accreditation assessment</w:t>
      </w:r>
    </w:p>
    <w:p w14:paraId="2BF37AFC" w14:textId="47E39F2F" w:rsidR="0066483F" w:rsidRPr="00B4559F" w:rsidRDefault="0066483F" w:rsidP="00C132C8">
      <w:pPr>
        <w:pStyle w:val="Body"/>
        <w:numPr>
          <w:ilvl w:val="0"/>
          <w:numId w:val="32"/>
        </w:numPr>
        <w:rPr>
          <w:i/>
          <w:iCs/>
        </w:rPr>
      </w:pPr>
      <w:r>
        <w:t>s</w:t>
      </w:r>
      <w:r w:rsidR="00487B25">
        <w:t>.</w:t>
      </w:r>
      <w:r>
        <w:t xml:space="preserve">111 </w:t>
      </w:r>
      <w:r w:rsidR="005E0CCF">
        <w:t>–</w:t>
      </w:r>
      <w:r>
        <w:t xml:space="preserve"> </w:t>
      </w:r>
      <w:r w:rsidR="005E0CCF">
        <w:t>c</w:t>
      </w:r>
      <w:r w:rsidR="00E22752">
        <w:t xml:space="preserve">onducting </w:t>
      </w:r>
      <w:r w:rsidR="00466AFA">
        <w:t xml:space="preserve">a </w:t>
      </w:r>
      <w:r w:rsidR="00E22752">
        <w:t>health service</w:t>
      </w:r>
      <w:r w:rsidR="00466AFA">
        <w:t xml:space="preserve"> establishment</w:t>
      </w:r>
      <w:r w:rsidR="00E22752">
        <w:t xml:space="preserve"> from an unregistered premises</w:t>
      </w:r>
      <w:r w:rsidR="00C11712">
        <w:t xml:space="preserve"> or without a current certificate o</w:t>
      </w:r>
      <w:r w:rsidR="00BF61AA">
        <w:t>f</w:t>
      </w:r>
      <w:r w:rsidR="00C11712">
        <w:t xml:space="preserve"> </w:t>
      </w:r>
      <w:r w:rsidR="00BD165B">
        <w:t>registration or renewal</w:t>
      </w:r>
    </w:p>
    <w:p w14:paraId="248A53C1" w14:textId="025EA705" w:rsidR="004D1547" w:rsidRPr="004D1547" w:rsidRDefault="00B4559F" w:rsidP="00C132C8">
      <w:pPr>
        <w:pStyle w:val="Body"/>
        <w:numPr>
          <w:ilvl w:val="0"/>
          <w:numId w:val="32"/>
        </w:numPr>
        <w:rPr>
          <w:i/>
          <w:iCs/>
        </w:rPr>
      </w:pPr>
      <w:r>
        <w:t>s</w:t>
      </w:r>
      <w:r w:rsidR="00487B25">
        <w:t>.</w:t>
      </w:r>
      <w:r>
        <w:t xml:space="preserve">112 </w:t>
      </w:r>
      <w:r w:rsidR="002070F0">
        <w:t>–</w:t>
      </w:r>
      <w:r>
        <w:t xml:space="preserve"> </w:t>
      </w:r>
      <w:r w:rsidR="004E7AA7">
        <w:t>exceeding the registered number of beds</w:t>
      </w:r>
    </w:p>
    <w:p w14:paraId="3419592C" w14:textId="043A0F3C" w:rsidR="00B4559F" w:rsidRPr="005350D5" w:rsidRDefault="004D1547" w:rsidP="00C132C8">
      <w:pPr>
        <w:pStyle w:val="Body"/>
        <w:numPr>
          <w:ilvl w:val="0"/>
          <w:numId w:val="32"/>
        </w:numPr>
        <w:rPr>
          <w:i/>
          <w:iCs/>
        </w:rPr>
      </w:pPr>
      <w:r>
        <w:t>s</w:t>
      </w:r>
      <w:r w:rsidR="00487B25">
        <w:t>.</w:t>
      </w:r>
      <w:r>
        <w:t xml:space="preserve">113 </w:t>
      </w:r>
      <w:r w:rsidR="002627D8">
        <w:t>–</w:t>
      </w:r>
      <w:r>
        <w:t xml:space="preserve"> </w:t>
      </w:r>
      <w:r w:rsidR="002627D8">
        <w:t xml:space="preserve">providing </w:t>
      </w:r>
      <w:r w:rsidR="00EB6F97">
        <w:t>prescribed health serv</w:t>
      </w:r>
      <w:r w:rsidR="00E136B8">
        <w:t xml:space="preserve">ices </w:t>
      </w:r>
      <w:r w:rsidR="00F32CC9">
        <w:t xml:space="preserve">for which the heath </w:t>
      </w:r>
      <w:r w:rsidR="00A9263E">
        <w:t>service establishment is not registered</w:t>
      </w:r>
    </w:p>
    <w:p w14:paraId="7B4420B1" w14:textId="42672EEA" w:rsidR="005350D5" w:rsidRPr="006C45AD" w:rsidRDefault="005350D5" w:rsidP="00C132C8">
      <w:pPr>
        <w:pStyle w:val="Body"/>
        <w:numPr>
          <w:ilvl w:val="0"/>
          <w:numId w:val="32"/>
        </w:numPr>
        <w:rPr>
          <w:i/>
          <w:iCs/>
        </w:rPr>
      </w:pPr>
      <w:r>
        <w:t>s</w:t>
      </w:r>
      <w:r w:rsidR="00487B25">
        <w:t>.</w:t>
      </w:r>
      <w:r>
        <w:t xml:space="preserve">144 </w:t>
      </w:r>
      <w:r w:rsidR="00BF215F">
        <w:t>–</w:t>
      </w:r>
      <w:r>
        <w:t xml:space="preserve"> contra</w:t>
      </w:r>
      <w:r w:rsidR="00BF215F">
        <w:t>vening a c</w:t>
      </w:r>
      <w:r w:rsidR="00A04494">
        <w:t>ondition of registration</w:t>
      </w:r>
      <w:r w:rsidR="009B57B5">
        <w:t>.</w:t>
      </w:r>
    </w:p>
    <w:p w14:paraId="032BF643" w14:textId="15B48DB5" w:rsidR="006C45AD" w:rsidRDefault="007D0822" w:rsidP="00924F45">
      <w:pPr>
        <w:pStyle w:val="Body"/>
      </w:pPr>
      <w:r>
        <w:lastRenderedPageBreak/>
        <w:t xml:space="preserve">The </w:t>
      </w:r>
      <w:r w:rsidR="0042321F">
        <w:t xml:space="preserve">Act also allows for </w:t>
      </w:r>
      <w:r w:rsidR="00F467F4">
        <w:t xml:space="preserve">health service establishments to be </w:t>
      </w:r>
      <w:r w:rsidR="00683E6D">
        <w:t>suspended or revoked</w:t>
      </w:r>
      <w:r w:rsidR="00FA029F">
        <w:t xml:space="preserve"> under certain circumstances</w:t>
      </w:r>
      <w:r w:rsidR="008E3CB7">
        <w:t xml:space="preserve"> related to registration and </w:t>
      </w:r>
      <w:r w:rsidR="00453A8D">
        <w:t>accreditation</w:t>
      </w:r>
      <w:r w:rsidR="00FA029F">
        <w:t>. For example:</w:t>
      </w:r>
    </w:p>
    <w:p w14:paraId="7FF5BF01" w14:textId="7562E2B5" w:rsidR="00B0525E" w:rsidRPr="00B0525E" w:rsidRDefault="00DA3FE5" w:rsidP="00C132C8">
      <w:pPr>
        <w:pStyle w:val="Body"/>
        <w:numPr>
          <w:ilvl w:val="0"/>
          <w:numId w:val="32"/>
        </w:numPr>
        <w:rPr>
          <w:i/>
          <w:iCs/>
        </w:rPr>
      </w:pPr>
      <w:r>
        <w:t>s</w:t>
      </w:r>
      <w:r w:rsidR="00487B25">
        <w:t>.</w:t>
      </w:r>
      <w:r>
        <w:t>100 and s</w:t>
      </w:r>
      <w:r w:rsidR="00487B25">
        <w:t>.</w:t>
      </w:r>
      <w:r>
        <w:t xml:space="preserve">101 </w:t>
      </w:r>
      <w:r w:rsidR="00450357">
        <w:t xml:space="preserve">– </w:t>
      </w:r>
      <w:r w:rsidR="000A0595">
        <w:t>the Secretary may suspe</w:t>
      </w:r>
      <w:r>
        <w:t xml:space="preserve">nd </w:t>
      </w:r>
      <w:r w:rsidR="002A069F">
        <w:t>registrat</w:t>
      </w:r>
      <w:r w:rsidR="00DF33AB">
        <w:t xml:space="preserve">ion of </w:t>
      </w:r>
      <w:r w:rsidR="00BC5508">
        <w:t xml:space="preserve">specified health services or of </w:t>
      </w:r>
      <w:r w:rsidR="00B01588">
        <w:t xml:space="preserve">a health service establishment </w:t>
      </w:r>
      <w:r w:rsidR="00686DF4">
        <w:t>if</w:t>
      </w:r>
      <w:r w:rsidR="00AE55D1">
        <w:t xml:space="preserve"> satisfied that </w:t>
      </w:r>
      <w:r w:rsidR="00F55F2A">
        <w:t>the proprietor has</w:t>
      </w:r>
      <w:r w:rsidR="00D7355A">
        <w:t xml:space="preserve"> failed </w:t>
      </w:r>
      <w:r w:rsidR="009C1018">
        <w:t xml:space="preserve">to </w:t>
      </w:r>
      <w:r w:rsidR="009C1018" w:rsidRPr="009C1018">
        <w:t>carry on the health service establishment in accordance with the Act</w:t>
      </w:r>
      <w:r w:rsidR="00E3458F">
        <w:t>,</w:t>
      </w:r>
      <w:r w:rsidR="009C1018" w:rsidRPr="009C1018">
        <w:t xml:space="preserve"> </w:t>
      </w:r>
      <w:r w:rsidR="00E3458F">
        <w:t>R</w:t>
      </w:r>
      <w:r w:rsidR="009C1018" w:rsidRPr="009C1018">
        <w:t xml:space="preserve">egulations </w:t>
      </w:r>
      <w:r w:rsidR="00B0525E">
        <w:t>or registration conditions</w:t>
      </w:r>
      <w:r w:rsidR="0097371B">
        <w:t>.</w:t>
      </w:r>
    </w:p>
    <w:p w14:paraId="301B8E39" w14:textId="62582C2A" w:rsidR="001606D6" w:rsidRPr="00F91FB2" w:rsidRDefault="00487B25" w:rsidP="00C132C8">
      <w:pPr>
        <w:pStyle w:val="Body"/>
        <w:numPr>
          <w:ilvl w:val="0"/>
          <w:numId w:val="32"/>
        </w:numPr>
      </w:pPr>
      <w:r>
        <w:t>s.</w:t>
      </w:r>
      <w:r w:rsidR="00B0525E">
        <w:t>102</w:t>
      </w:r>
      <w:r w:rsidR="00F55F2A">
        <w:t xml:space="preserve"> </w:t>
      </w:r>
      <w:r w:rsidR="0010197C">
        <w:t>–</w:t>
      </w:r>
      <w:r w:rsidR="00E3458F">
        <w:t xml:space="preserve"> </w:t>
      </w:r>
      <w:r w:rsidR="0010197C">
        <w:t xml:space="preserve">the Minister may revoke the registration of a health service establishment if satisfied that </w:t>
      </w:r>
      <w:r w:rsidR="00057D92">
        <w:t xml:space="preserve">the proprietor has failed to </w:t>
      </w:r>
      <w:r w:rsidR="00057D92" w:rsidRPr="009C1018">
        <w:t>carry on the health service establishment in accordance with the Act</w:t>
      </w:r>
      <w:r w:rsidR="00057D92">
        <w:t>,</w:t>
      </w:r>
      <w:r w:rsidR="00057D92" w:rsidRPr="009C1018">
        <w:t xml:space="preserve"> </w:t>
      </w:r>
      <w:r w:rsidR="00057D92">
        <w:t>R</w:t>
      </w:r>
      <w:r w:rsidR="00057D92" w:rsidRPr="009C1018">
        <w:t xml:space="preserve">egulations </w:t>
      </w:r>
      <w:r w:rsidR="00057D92">
        <w:t>or registration conditions</w:t>
      </w:r>
      <w:r w:rsidR="00AE2C8B">
        <w:t xml:space="preserve"> or </w:t>
      </w:r>
      <w:r w:rsidR="00616EB7">
        <w:t xml:space="preserve">has not complied with the requirements of </w:t>
      </w:r>
      <w:r w:rsidR="0058027C">
        <w:t>an approved accreditation scheme.</w:t>
      </w:r>
    </w:p>
    <w:p w14:paraId="477E9FB5" w14:textId="39BDD606" w:rsidR="000A66A7" w:rsidRPr="000A66A7" w:rsidRDefault="00E23F52" w:rsidP="005C4EA3">
      <w:pPr>
        <w:pStyle w:val="Body"/>
      </w:pPr>
      <w:r>
        <w:t>In addition to the sanctions under the Act, t</w:t>
      </w:r>
      <w:r w:rsidR="000A66A7">
        <w:t xml:space="preserve">he Regulations </w:t>
      </w:r>
      <w:r w:rsidR="001C5A41">
        <w:t xml:space="preserve">include a </w:t>
      </w:r>
      <w:r w:rsidR="00BA359D">
        <w:t>requirement</w:t>
      </w:r>
      <w:r w:rsidR="00272596">
        <w:t xml:space="preserve"> </w:t>
      </w:r>
      <w:r w:rsidR="006E4FB7">
        <w:t>related to registration</w:t>
      </w:r>
      <w:r w:rsidR="00272596">
        <w:t>, and non-compliance can attract a penalty</w:t>
      </w:r>
      <w:r w:rsidR="00514633">
        <w:t>:</w:t>
      </w:r>
      <w:r w:rsidR="004D3924">
        <w:t xml:space="preserve"> </w:t>
      </w:r>
    </w:p>
    <w:p w14:paraId="2FD6FCB1" w14:textId="6F2B372A" w:rsidR="003D6A52" w:rsidRPr="00487B25" w:rsidRDefault="006E4FB7" w:rsidP="00C132C8">
      <w:pPr>
        <w:pStyle w:val="Body"/>
        <w:numPr>
          <w:ilvl w:val="0"/>
          <w:numId w:val="32"/>
        </w:numPr>
        <w:rPr>
          <w:i/>
          <w:iCs/>
        </w:rPr>
      </w:pPr>
      <w:r>
        <w:t>r</w:t>
      </w:r>
      <w:r w:rsidR="00487B25">
        <w:t>.</w:t>
      </w:r>
      <w:r>
        <w:t xml:space="preserve">45 </w:t>
      </w:r>
      <w:r w:rsidR="00D1213C">
        <w:t>–</w:t>
      </w:r>
      <w:r>
        <w:t xml:space="preserve"> </w:t>
      </w:r>
      <w:r w:rsidR="00487B25">
        <w:t>t</w:t>
      </w:r>
      <w:r w:rsidR="00514633">
        <w:t>he proprietor of a health service establishment must</w:t>
      </w:r>
      <w:r w:rsidR="00275421">
        <w:t xml:space="preserve"> display </w:t>
      </w:r>
      <w:r w:rsidR="004B2FC6">
        <w:t>the certificate of registration in a prominent position</w:t>
      </w:r>
      <w:r w:rsidR="002A2859">
        <w:t xml:space="preserve"> at the entrance foyer or reception area</w:t>
      </w:r>
      <w:r w:rsidR="00455D40">
        <w:t>.</w:t>
      </w:r>
      <w:r w:rsidR="00D1213C">
        <w:t xml:space="preserve"> </w:t>
      </w:r>
    </w:p>
    <w:p w14:paraId="67F042C9" w14:textId="77777777" w:rsidR="00487B25" w:rsidRDefault="00487B25" w:rsidP="00487B25">
      <w:pPr>
        <w:pStyle w:val="Body"/>
        <w:ind w:left="360"/>
        <w:rPr>
          <w:i/>
          <w:iCs/>
        </w:rPr>
      </w:pPr>
    </w:p>
    <w:tbl>
      <w:tblPr>
        <w:tblStyle w:val="TableGrid"/>
        <w:tblW w:w="5000" w:type="pct"/>
        <w:shd w:val="clear" w:color="auto" w:fill="F2F2F2" w:themeFill="background1" w:themeFillShade="F2"/>
        <w:tblLook w:val="06A0" w:firstRow="1" w:lastRow="0" w:firstColumn="1" w:lastColumn="0" w:noHBand="1" w:noVBand="1"/>
      </w:tblPr>
      <w:tblGrid>
        <w:gridCol w:w="9268"/>
      </w:tblGrid>
      <w:tr w:rsidR="00911085" w:rsidRPr="004E21D8" w14:paraId="5388CAE2" w14:textId="77777777" w:rsidTr="00B675B8">
        <w:trPr>
          <w:tblHeader/>
        </w:trPr>
        <w:tc>
          <w:tcPr>
            <w:tcW w:w="5000" w:type="pct"/>
            <w:tcBorders>
              <w:top w:val="single" w:sz="12" w:space="0" w:color="auto"/>
              <w:left w:val="single" w:sz="12" w:space="0" w:color="auto"/>
              <w:bottom w:val="nil"/>
              <w:right w:val="single" w:sz="12" w:space="0" w:color="auto"/>
            </w:tcBorders>
            <w:shd w:val="clear" w:color="auto" w:fill="F2F2F2" w:themeFill="background1" w:themeFillShade="F2"/>
          </w:tcPr>
          <w:p w14:paraId="7E9C76DC" w14:textId="77777777" w:rsidR="00911085" w:rsidRPr="00D61458" w:rsidRDefault="00911085">
            <w:pPr>
              <w:pStyle w:val="Tablecolhead"/>
              <w:rPr>
                <w:rFonts w:cs="Arial"/>
                <w:szCs w:val="21"/>
              </w:rPr>
            </w:pPr>
            <w:r w:rsidRPr="00D61458">
              <w:rPr>
                <w:rFonts w:cs="Arial"/>
                <w:szCs w:val="21"/>
              </w:rPr>
              <w:t>Questions for consultation</w:t>
            </w:r>
          </w:p>
        </w:tc>
      </w:tr>
      <w:tr w:rsidR="00911085" w:rsidRPr="004E21D8" w14:paraId="56401DAD" w14:textId="77777777" w:rsidTr="00B675B8">
        <w:tc>
          <w:tcPr>
            <w:tcW w:w="5000" w:type="pct"/>
            <w:tcBorders>
              <w:top w:val="nil"/>
              <w:left w:val="single" w:sz="12" w:space="0" w:color="auto"/>
              <w:bottom w:val="single" w:sz="12" w:space="0" w:color="auto"/>
              <w:right w:val="single" w:sz="12" w:space="0" w:color="auto"/>
            </w:tcBorders>
            <w:shd w:val="clear" w:color="auto" w:fill="F2F2F2" w:themeFill="background1" w:themeFillShade="F2"/>
          </w:tcPr>
          <w:p w14:paraId="41DC2EC5" w14:textId="1F703F7D" w:rsidR="00911085" w:rsidRDefault="004835DA" w:rsidP="00C132C8">
            <w:pPr>
              <w:pStyle w:val="ListParagraph"/>
              <w:numPr>
                <w:ilvl w:val="0"/>
                <w:numId w:val="11"/>
              </w:numPr>
              <w:spacing w:before="120" w:after="120" w:line="280" w:lineRule="atLeast"/>
              <w:ind w:left="357" w:hanging="357"/>
              <w:contextualSpacing w:val="0"/>
              <w:rPr>
                <w:rFonts w:ascii="Arial" w:hAnsi="Arial" w:cs="Arial"/>
                <w:sz w:val="21"/>
                <w:szCs w:val="21"/>
              </w:rPr>
            </w:pPr>
            <w:r>
              <w:rPr>
                <w:rFonts w:ascii="Arial" w:hAnsi="Arial" w:cs="Arial"/>
                <w:sz w:val="21"/>
                <w:szCs w:val="21"/>
              </w:rPr>
              <w:t>D</w:t>
            </w:r>
            <w:r w:rsidR="00911085" w:rsidRPr="00D61458">
              <w:rPr>
                <w:rFonts w:ascii="Arial" w:hAnsi="Arial" w:cs="Arial"/>
                <w:sz w:val="21"/>
                <w:szCs w:val="21"/>
              </w:rPr>
              <w:t xml:space="preserve">o you </w:t>
            </w:r>
            <w:r w:rsidR="00911085">
              <w:rPr>
                <w:rFonts w:ascii="Arial" w:hAnsi="Arial" w:cs="Arial"/>
                <w:sz w:val="21"/>
                <w:szCs w:val="21"/>
              </w:rPr>
              <w:t>have any comments about the registration of private hospitals and day procedure centres</w:t>
            </w:r>
            <w:r w:rsidR="00FA2A6E">
              <w:rPr>
                <w:rFonts w:ascii="Arial" w:hAnsi="Arial" w:cs="Arial"/>
                <w:sz w:val="21"/>
                <w:szCs w:val="21"/>
              </w:rPr>
              <w:t xml:space="preserve"> (</w:t>
            </w:r>
            <w:r w:rsidR="00547F89">
              <w:rPr>
                <w:rFonts w:ascii="Arial" w:hAnsi="Arial" w:cs="Arial"/>
                <w:sz w:val="21"/>
                <w:szCs w:val="21"/>
              </w:rPr>
              <w:t>n</w:t>
            </w:r>
            <w:r w:rsidR="00FA2A6E">
              <w:rPr>
                <w:rFonts w:ascii="Arial" w:hAnsi="Arial" w:cs="Arial"/>
                <w:sz w:val="21"/>
                <w:szCs w:val="21"/>
              </w:rPr>
              <w:t xml:space="preserve">oting that amendments to registration criteria </w:t>
            </w:r>
            <w:r w:rsidR="00B64804">
              <w:rPr>
                <w:rFonts w:ascii="Arial" w:hAnsi="Arial" w:cs="Arial"/>
                <w:sz w:val="21"/>
                <w:szCs w:val="21"/>
              </w:rPr>
              <w:t xml:space="preserve">or other provisions </w:t>
            </w:r>
            <w:r w:rsidR="00FA2A6E">
              <w:rPr>
                <w:rFonts w:ascii="Arial" w:hAnsi="Arial" w:cs="Arial"/>
                <w:sz w:val="21"/>
                <w:szCs w:val="21"/>
              </w:rPr>
              <w:t>in the Act are outside the scope of this review of the Regulations</w:t>
            </w:r>
            <w:r w:rsidR="00547F89">
              <w:rPr>
                <w:rFonts w:ascii="Arial" w:hAnsi="Arial" w:cs="Arial"/>
                <w:sz w:val="21"/>
                <w:szCs w:val="21"/>
              </w:rPr>
              <w:t>)</w:t>
            </w:r>
            <w:r w:rsidR="00911085">
              <w:rPr>
                <w:rFonts w:ascii="Arial" w:hAnsi="Arial" w:cs="Arial"/>
                <w:sz w:val="21"/>
                <w:szCs w:val="21"/>
              </w:rPr>
              <w:t xml:space="preserve">? </w:t>
            </w:r>
          </w:p>
          <w:p w14:paraId="36FB2045" w14:textId="7825A8CE" w:rsidR="00911085" w:rsidRDefault="00911085" w:rsidP="00C132C8">
            <w:pPr>
              <w:pStyle w:val="ListParagraph"/>
              <w:numPr>
                <w:ilvl w:val="0"/>
                <w:numId w:val="11"/>
              </w:numPr>
              <w:spacing w:after="120" w:line="280" w:lineRule="atLeast"/>
              <w:contextualSpacing w:val="0"/>
              <w:rPr>
                <w:rFonts w:ascii="Arial" w:hAnsi="Arial" w:cs="Arial"/>
                <w:sz w:val="21"/>
                <w:szCs w:val="21"/>
              </w:rPr>
            </w:pPr>
            <w:r>
              <w:rPr>
                <w:rFonts w:ascii="Arial" w:hAnsi="Arial" w:cs="Arial"/>
                <w:sz w:val="21"/>
                <w:szCs w:val="21"/>
              </w:rPr>
              <w:t xml:space="preserve">Do you have any comments about the role accreditation to the </w:t>
            </w:r>
            <w:r w:rsidRPr="00013B63">
              <w:rPr>
                <w:rFonts w:ascii="Arial" w:hAnsi="Arial" w:cs="Arial"/>
                <w:sz w:val="21"/>
                <w:szCs w:val="21"/>
              </w:rPr>
              <w:t>NSQHS Standards</w:t>
            </w:r>
            <w:r>
              <w:rPr>
                <w:rFonts w:ascii="Arial" w:hAnsi="Arial" w:cs="Arial"/>
                <w:sz w:val="21"/>
                <w:szCs w:val="21"/>
              </w:rPr>
              <w:t xml:space="preserve"> </w:t>
            </w:r>
            <w:r w:rsidR="00596852">
              <w:rPr>
                <w:rFonts w:ascii="Arial" w:hAnsi="Arial" w:cs="Arial"/>
                <w:sz w:val="21"/>
                <w:szCs w:val="21"/>
              </w:rPr>
              <w:t xml:space="preserve">plays </w:t>
            </w:r>
            <w:r>
              <w:rPr>
                <w:rFonts w:ascii="Arial" w:hAnsi="Arial" w:cs="Arial"/>
                <w:sz w:val="21"/>
                <w:szCs w:val="21"/>
              </w:rPr>
              <w:t xml:space="preserve">in ensuring </w:t>
            </w:r>
            <w:r w:rsidR="00666225">
              <w:rPr>
                <w:rFonts w:ascii="Arial" w:hAnsi="Arial" w:cs="Arial"/>
                <w:sz w:val="21"/>
                <w:szCs w:val="21"/>
              </w:rPr>
              <w:t xml:space="preserve">the </w:t>
            </w:r>
            <w:r>
              <w:rPr>
                <w:rFonts w:ascii="Arial" w:hAnsi="Arial" w:cs="Arial"/>
                <w:sz w:val="21"/>
                <w:szCs w:val="21"/>
              </w:rPr>
              <w:t>safety and quality of health services provided by private hospitals and day procedure centres?</w:t>
            </w:r>
          </w:p>
          <w:p w14:paraId="71CBED48" w14:textId="111CDF7D" w:rsidR="00911085" w:rsidRDefault="00415618" w:rsidP="00C132C8">
            <w:pPr>
              <w:pStyle w:val="ListParagraph"/>
              <w:numPr>
                <w:ilvl w:val="0"/>
                <w:numId w:val="11"/>
              </w:numPr>
              <w:spacing w:after="120" w:line="280" w:lineRule="atLeast"/>
              <w:contextualSpacing w:val="0"/>
              <w:rPr>
                <w:rFonts w:ascii="Arial" w:hAnsi="Arial" w:cs="Arial"/>
                <w:sz w:val="21"/>
                <w:szCs w:val="21"/>
              </w:rPr>
            </w:pPr>
            <w:r>
              <w:rPr>
                <w:rFonts w:ascii="Arial" w:hAnsi="Arial" w:cs="Arial"/>
                <w:sz w:val="21"/>
                <w:szCs w:val="21"/>
              </w:rPr>
              <w:t>In</w:t>
            </w:r>
            <w:r w:rsidDel="00661C77">
              <w:rPr>
                <w:rFonts w:ascii="Arial" w:hAnsi="Arial" w:cs="Arial"/>
                <w:sz w:val="21"/>
                <w:szCs w:val="21"/>
              </w:rPr>
              <w:t xml:space="preserve"> </w:t>
            </w:r>
            <w:r w:rsidR="00661C77">
              <w:rPr>
                <w:rFonts w:ascii="Arial" w:hAnsi="Arial" w:cs="Arial"/>
                <w:sz w:val="21"/>
                <w:szCs w:val="21"/>
              </w:rPr>
              <w:t>relation to</w:t>
            </w:r>
            <w:r>
              <w:rPr>
                <w:rFonts w:ascii="Arial" w:hAnsi="Arial" w:cs="Arial"/>
                <w:sz w:val="21"/>
                <w:szCs w:val="21"/>
              </w:rPr>
              <w:t xml:space="preserve"> the accreditation process, </w:t>
            </w:r>
            <w:r w:rsidR="00661C77">
              <w:rPr>
                <w:rFonts w:ascii="Arial" w:hAnsi="Arial" w:cs="Arial"/>
                <w:sz w:val="21"/>
                <w:szCs w:val="21"/>
              </w:rPr>
              <w:t>are there opportunities to better communicate the respective roles of the Commission, accreditation assessment bodies and the department</w:t>
            </w:r>
            <w:r w:rsidR="00485ECD">
              <w:rPr>
                <w:rFonts w:ascii="Arial" w:hAnsi="Arial" w:cs="Arial"/>
                <w:sz w:val="21"/>
                <w:szCs w:val="21"/>
              </w:rPr>
              <w:t>?</w:t>
            </w:r>
            <w:r w:rsidR="001B21FC">
              <w:rPr>
                <w:rFonts w:ascii="Arial" w:hAnsi="Arial" w:cs="Arial"/>
                <w:sz w:val="21"/>
                <w:szCs w:val="21"/>
              </w:rPr>
              <w:t xml:space="preserve"> </w:t>
            </w:r>
          </w:p>
          <w:p w14:paraId="448E26B6" w14:textId="163984BC" w:rsidR="00B50A37" w:rsidRDefault="00B50A37" w:rsidP="00C132C8">
            <w:pPr>
              <w:pStyle w:val="ListParagraph"/>
              <w:numPr>
                <w:ilvl w:val="0"/>
                <w:numId w:val="11"/>
              </w:numPr>
              <w:spacing w:after="120" w:line="280" w:lineRule="atLeast"/>
              <w:contextualSpacing w:val="0"/>
              <w:rPr>
                <w:rFonts w:ascii="Arial" w:hAnsi="Arial" w:cs="Arial"/>
                <w:sz w:val="21"/>
                <w:szCs w:val="21"/>
              </w:rPr>
            </w:pPr>
            <w:r>
              <w:rPr>
                <w:rFonts w:ascii="Arial" w:hAnsi="Arial" w:cs="Arial"/>
                <w:sz w:val="21"/>
                <w:szCs w:val="21"/>
              </w:rPr>
              <w:t xml:space="preserve">Do you </w:t>
            </w:r>
            <w:r w:rsidR="00607DE1">
              <w:rPr>
                <w:rFonts w:ascii="Arial" w:hAnsi="Arial" w:cs="Arial"/>
                <w:sz w:val="21"/>
                <w:szCs w:val="21"/>
              </w:rPr>
              <w:t>support</w:t>
            </w:r>
            <w:r w:rsidR="005418B3">
              <w:rPr>
                <w:rFonts w:ascii="Arial" w:hAnsi="Arial" w:cs="Arial"/>
                <w:sz w:val="21"/>
                <w:szCs w:val="21"/>
              </w:rPr>
              <w:t xml:space="preserve"> </w:t>
            </w:r>
            <w:r w:rsidR="00607DE1">
              <w:rPr>
                <w:rFonts w:ascii="Arial" w:hAnsi="Arial" w:cs="Arial"/>
                <w:sz w:val="21"/>
                <w:szCs w:val="21"/>
              </w:rPr>
              <w:t>amend</w:t>
            </w:r>
            <w:r w:rsidR="00E24A9D">
              <w:rPr>
                <w:rFonts w:ascii="Arial" w:hAnsi="Arial" w:cs="Arial"/>
                <w:sz w:val="21"/>
                <w:szCs w:val="21"/>
              </w:rPr>
              <w:t>ing</w:t>
            </w:r>
            <w:r w:rsidR="00607DE1">
              <w:rPr>
                <w:rFonts w:ascii="Arial" w:hAnsi="Arial" w:cs="Arial"/>
                <w:sz w:val="21"/>
                <w:szCs w:val="21"/>
              </w:rPr>
              <w:t xml:space="preserve"> the Regulations to </w:t>
            </w:r>
            <w:r w:rsidR="005418B3">
              <w:rPr>
                <w:rFonts w:ascii="Arial" w:hAnsi="Arial" w:cs="Arial"/>
                <w:sz w:val="21"/>
                <w:szCs w:val="21"/>
              </w:rPr>
              <w:t>req</w:t>
            </w:r>
            <w:r w:rsidR="00F712A1">
              <w:rPr>
                <w:rFonts w:ascii="Arial" w:hAnsi="Arial" w:cs="Arial"/>
                <w:sz w:val="21"/>
                <w:szCs w:val="21"/>
              </w:rPr>
              <w:t>uire health service establishments to display their accreditation certificate in a p</w:t>
            </w:r>
            <w:r w:rsidR="00661C77">
              <w:rPr>
                <w:rFonts w:ascii="Arial" w:hAnsi="Arial" w:cs="Arial"/>
                <w:sz w:val="21"/>
                <w:szCs w:val="21"/>
              </w:rPr>
              <w:t>r</w:t>
            </w:r>
            <w:r w:rsidR="00F712A1">
              <w:rPr>
                <w:rFonts w:ascii="Arial" w:hAnsi="Arial" w:cs="Arial"/>
                <w:sz w:val="21"/>
                <w:szCs w:val="21"/>
              </w:rPr>
              <w:t>ominent place?</w:t>
            </w:r>
            <w:r w:rsidR="0097231F">
              <w:rPr>
                <w:rFonts w:ascii="Arial" w:hAnsi="Arial" w:cs="Arial"/>
                <w:sz w:val="21"/>
                <w:szCs w:val="21"/>
              </w:rPr>
              <w:t xml:space="preserve"> If not, why not?</w:t>
            </w:r>
          </w:p>
          <w:p w14:paraId="39F67AA3" w14:textId="74714F4D" w:rsidR="00345221" w:rsidRDefault="00B638C0" w:rsidP="00C132C8">
            <w:pPr>
              <w:pStyle w:val="ListParagraph"/>
              <w:numPr>
                <w:ilvl w:val="0"/>
                <w:numId w:val="11"/>
              </w:numPr>
              <w:spacing w:after="120" w:line="280" w:lineRule="atLeast"/>
              <w:contextualSpacing w:val="0"/>
              <w:rPr>
                <w:rFonts w:ascii="Arial" w:hAnsi="Arial" w:cs="Arial"/>
                <w:sz w:val="21"/>
                <w:szCs w:val="21"/>
              </w:rPr>
            </w:pPr>
            <w:r>
              <w:rPr>
                <w:rFonts w:ascii="Arial" w:hAnsi="Arial" w:cs="Arial"/>
                <w:sz w:val="21"/>
                <w:szCs w:val="21"/>
              </w:rPr>
              <w:t>Do you see</w:t>
            </w:r>
            <w:r w:rsidR="00702B19">
              <w:rPr>
                <w:rFonts w:ascii="Arial" w:hAnsi="Arial" w:cs="Arial"/>
                <w:sz w:val="21"/>
                <w:szCs w:val="21"/>
              </w:rPr>
              <w:t xml:space="preserve"> any role for additional</w:t>
            </w:r>
            <w:r w:rsidR="00EE1E9C">
              <w:rPr>
                <w:rFonts w:ascii="Arial" w:hAnsi="Arial" w:cs="Arial"/>
                <w:sz w:val="21"/>
                <w:szCs w:val="21"/>
              </w:rPr>
              <w:t xml:space="preserve"> </w:t>
            </w:r>
            <w:r w:rsidR="00C85C07">
              <w:rPr>
                <w:rFonts w:ascii="Arial" w:hAnsi="Arial" w:cs="Arial"/>
                <w:sz w:val="21"/>
                <w:szCs w:val="21"/>
              </w:rPr>
              <w:t>accreditation</w:t>
            </w:r>
            <w:r w:rsidR="0039433D">
              <w:rPr>
                <w:rFonts w:ascii="Arial" w:hAnsi="Arial" w:cs="Arial"/>
                <w:sz w:val="21"/>
                <w:szCs w:val="21"/>
              </w:rPr>
              <w:t xml:space="preserve"> schemes</w:t>
            </w:r>
            <w:r w:rsidR="0011027D">
              <w:rPr>
                <w:rFonts w:ascii="Arial" w:hAnsi="Arial" w:cs="Arial"/>
                <w:sz w:val="21"/>
                <w:szCs w:val="21"/>
              </w:rPr>
              <w:t xml:space="preserve"> to supplement quality and safety requirements under the Act, Regulations</w:t>
            </w:r>
            <w:r w:rsidR="00075499">
              <w:rPr>
                <w:rFonts w:ascii="Arial" w:hAnsi="Arial" w:cs="Arial"/>
                <w:sz w:val="21"/>
                <w:szCs w:val="21"/>
              </w:rPr>
              <w:t xml:space="preserve"> and </w:t>
            </w:r>
            <w:r w:rsidR="00266DED" w:rsidRPr="00266DED">
              <w:rPr>
                <w:rFonts w:ascii="Arial" w:hAnsi="Arial" w:cs="Arial"/>
                <w:sz w:val="21"/>
                <w:szCs w:val="21"/>
              </w:rPr>
              <w:t>NSQHS Standards</w:t>
            </w:r>
            <w:r w:rsidR="004F7018">
              <w:rPr>
                <w:rFonts w:ascii="Arial" w:hAnsi="Arial" w:cs="Arial"/>
                <w:sz w:val="21"/>
                <w:szCs w:val="21"/>
              </w:rPr>
              <w:t>? If yes, which ones</w:t>
            </w:r>
            <w:r w:rsidR="005637A0">
              <w:rPr>
                <w:rFonts w:ascii="Arial" w:hAnsi="Arial" w:cs="Arial"/>
                <w:sz w:val="21"/>
                <w:szCs w:val="21"/>
              </w:rPr>
              <w:t>, and why</w:t>
            </w:r>
            <w:r w:rsidR="004F7018">
              <w:rPr>
                <w:rFonts w:ascii="Arial" w:hAnsi="Arial" w:cs="Arial"/>
                <w:sz w:val="21"/>
                <w:szCs w:val="21"/>
              </w:rPr>
              <w:t xml:space="preserve">? What would be the impact on </w:t>
            </w:r>
            <w:r w:rsidR="009921B0">
              <w:rPr>
                <w:rFonts w:ascii="Arial" w:hAnsi="Arial" w:cs="Arial"/>
                <w:sz w:val="21"/>
                <w:szCs w:val="21"/>
              </w:rPr>
              <w:t>private hospitals and day procedure centres (for example, in terms of additional costs, involvement of third-party accredi</w:t>
            </w:r>
            <w:r w:rsidR="006A1E07">
              <w:rPr>
                <w:rFonts w:ascii="Arial" w:hAnsi="Arial" w:cs="Arial"/>
                <w:sz w:val="21"/>
                <w:szCs w:val="21"/>
              </w:rPr>
              <w:t>t</w:t>
            </w:r>
            <w:r w:rsidR="009921B0">
              <w:rPr>
                <w:rFonts w:ascii="Arial" w:hAnsi="Arial" w:cs="Arial"/>
                <w:sz w:val="21"/>
                <w:szCs w:val="21"/>
              </w:rPr>
              <w:t>ation agencies</w:t>
            </w:r>
            <w:r w:rsidR="006A1E07">
              <w:rPr>
                <w:rFonts w:ascii="Arial" w:hAnsi="Arial" w:cs="Arial"/>
                <w:sz w:val="21"/>
                <w:szCs w:val="21"/>
              </w:rPr>
              <w:t>)?</w:t>
            </w:r>
          </w:p>
          <w:p w14:paraId="5B11D5B3" w14:textId="4AA957AC" w:rsidR="005355B1" w:rsidRPr="00D61458" w:rsidRDefault="005355B1" w:rsidP="00C132C8">
            <w:pPr>
              <w:pStyle w:val="ListParagraph"/>
              <w:numPr>
                <w:ilvl w:val="0"/>
                <w:numId w:val="11"/>
              </w:numPr>
              <w:spacing w:after="120" w:line="280" w:lineRule="atLeast"/>
              <w:contextualSpacing w:val="0"/>
              <w:rPr>
                <w:rFonts w:ascii="Arial" w:hAnsi="Arial" w:cs="Arial"/>
                <w:sz w:val="21"/>
                <w:szCs w:val="21"/>
              </w:rPr>
            </w:pPr>
            <w:r>
              <w:rPr>
                <w:rFonts w:ascii="Arial" w:hAnsi="Arial" w:cs="Arial"/>
                <w:sz w:val="21"/>
                <w:szCs w:val="21"/>
              </w:rPr>
              <w:t xml:space="preserve">Do you have any comments on the </w:t>
            </w:r>
            <w:r w:rsidR="00B05C52">
              <w:rPr>
                <w:rFonts w:ascii="Arial" w:hAnsi="Arial" w:cs="Arial"/>
                <w:sz w:val="21"/>
                <w:szCs w:val="21"/>
              </w:rPr>
              <w:t>pen</w:t>
            </w:r>
            <w:r w:rsidR="00293198">
              <w:rPr>
                <w:rFonts w:ascii="Arial" w:hAnsi="Arial" w:cs="Arial"/>
                <w:sz w:val="21"/>
                <w:szCs w:val="21"/>
              </w:rPr>
              <w:t>alties and sanctions related to registration and accreditation</w:t>
            </w:r>
            <w:r w:rsidR="00B90488">
              <w:rPr>
                <w:rFonts w:ascii="Arial" w:hAnsi="Arial" w:cs="Arial"/>
                <w:sz w:val="21"/>
                <w:szCs w:val="21"/>
              </w:rPr>
              <w:t xml:space="preserve"> (noting amendments to the Act are beyond scope of this review but feedback on this issue may inform decisions on any future reforms</w:t>
            </w:r>
            <w:r w:rsidR="00E3128B">
              <w:rPr>
                <w:rFonts w:ascii="Arial" w:hAnsi="Arial" w:cs="Arial"/>
                <w:sz w:val="21"/>
                <w:szCs w:val="21"/>
              </w:rPr>
              <w:t>)</w:t>
            </w:r>
            <w:r w:rsidR="00293198">
              <w:rPr>
                <w:rFonts w:ascii="Arial" w:hAnsi="Arial" w:cs="Arial"/>
                <w:sz w:val="21"/>
                <w:szCs w:val="21"/>
              </w:rPr>
              <w:t>?</w:t>
            </w:r>
          </w:p>
        </w:tc>
      </w:tr>
    </w:tbl>
    <w:p w14:paraId="6CC5E563" w14:textId="77777777" w:rsidR="00251522" w:rsidRDefault="00251522" w:rsidP="00161CE9">
      <w:pPr>
        <w:pStyle w:val="Body"/>
        <w:rPr>
          <w:rFonts w:eastAsia="MS Gothic" w:cs="Arial"/>
          <w:bCs/>
          <w:color w:val="C5511A"/>
          <w:kern w:val="32"/>
          <w:sz w:val="44"/>
          <w:szCs w:val="44"/>
        </w:rPr>
      </w:pPr>
      <w:r>
        <w:br w:type="page"/>
      </w:r>
    </w:p>
    <w:p w14:paraId="65AACB6B" w14:textId="492D7DE6" w:rsidR="00FF444B" w:rsidRDefault="00FF444B" w:rsidP="00FF444B">
      <w:pPr>
        <w:pStyle w:val="Heading1"/>
      </w:pPr>
      <w:bookmarkStart w:id="67" w:name="_Toc141177734"/>
      <w:bookmarkStart w:id="68" w:name="_Toc143272009"/>
      <w:r>
        <w:lastRenderedPageBreak/>
        <w:t>3. Clinical governance</w:t>
      </w:r>
      <w:bookmarkEnd w:id="67"/>
      <w:bookmarkEnd w:id="68"/>
    </w:p>
    <w:p w14:paraId="644ABE2E" w14:textId="11B87046" w:rsidR="00FF444B" w:rsidRDefault="00FF444B" w:rsidP="00FF444B">
      <w:pPr>
        <w:pStyle w:val="Body"/>
      </w:pPr>
      <w:r>
        <w:t xml:space="preserve">The first </w:t>
      </w:r>
      <w:r w:rsidR="005F0C07" w:rsidRPr="00ED5C4B">
        <w:t xml:space="preserve">NSQHS </w:t>
      </w:r>
      <w:r w:rsidR="003E5578">
        <w:t>S</w:t>
      </w:r>
      <w:r w:rsidR="005F0C07" w:rsidRPr="00ED5C4B">
        <w:t>tandard</w:t>
      </w:r>
      <w:r w:rsidR="005F0C07">
        <w:t xml:space="preserve"> </w:t>
      </w:r>
      <w:r>
        <w:t>is the Clinical Governance Standard</w:t>
      </w:r>
      <w:r w:rsidR="00B81875">
        <w:t>, which</w:t>
      </w:r>
      <w:r w:rsidR="00766DED">
        <w:t>:</w:t>
      </w:r>
    </w:p>
    <w:p w14:paraId="226EE3A6" w14:textId="14983B07" w:rsidR="00FF444B" w:rsidRPr="007C50C2" w:rsidRDefault="00FF444B" w:rsidP="007C50C2">
      <w:pPr>
        <w:pStyle w:val="Quotetext"/>
      </w:pPr>
      <w:r w:rsidRPr="007C50C2">
        <w:t>…aims to ensure that there are systems in place within health service organisations to maintain and improve the reliability, safety and quality of health care. This standard, together with the Partnering with Consumers Standard, set the overarching requirements for the effective implementation of all other standards. The Clinical Governance Standard recognises the importance of governance, leadership, culture, patient safety systems, clinical performance and the patient care environment in delivering high quality care.</w:t>
      </w:r>
      <w:r w:rsidRPr="007C50C2">
        <w:rPr>
          <w:rStyle w:val="FootnoteReference"/>
        </w:rPr>
        <w:footnoteReference w:id="25"/>
      </w:r>
    </w:p>
    <w:p w14:paraId="1320113A" w14:textId="2CA0652A" w:rsidR="00FF444B" w:rsidRDefault="00FF444B" w:rsidP="00FF444B">
      <w:pPr>
        <w:pStyle w:val="Body"/>
      </w:pPr>
      <w:r>
        <w:t xml:space="preserve">The Act and Regulations also have </w:t>
      </w:r>
      <w:r w:rsidR="00A009BC">
        <w:t>provisions</w:t>
      </w:r>
      <w:r>
        <w:t xml:space="preserve"> that require appropriate clinical governance processes and systems to support safe and quality patient care and continuous improvement. This includes the requirement to prepare health service protocols for quality and safety (r.7A) which are often referred to as ‘</w:t>
      </w:r>
      <w:r w:rsidR="002231DD">
        <w:t>b</w:t>
      </w:r>
      <w:r>
        <w:t>y-laws’ by private hospitals and day procedure centres. Matters that must be included in these protocols include (but are not limited to):</w:t>
      </w:r>
    </w:p>
    <w:p w14:paraId="5041A135" w14:textId="3B6183A1" w:rsidR="00FF444B" w:rsidRDefault="00FF444B" w:rsidP="00C132C8">
      <w:pPr>
        <w:pStyle w:val="Body"/>
        <w:numPr>
          <w:ilvl w:val="0"/>
          <w:numId w:val="14"/>
        </w:numPr>
      </w:pPr>
      <w:r>
        <w:t>processes for assessing every three years the credentials of each health professional practising at the health service</w:t>
      </w:r>
    </w:p>
    <w:p w14:paraId="00D23E82" w14:textId="244A7649" w:rsidR="00FF444B" w:rsidRDefault="00FF444B" w:rsidP="00C132C8">
      <w:pPr>
        <w:pStyle w:val="Body"/>
        <w:numPr>
          <w:ilvl w:val="0"/>
          <w:numId w:val="14"/>
        </w:numPr>
      </w:pPr>
      <w:r>
        <w:t>processes for setting the scope of practice for each health professional practising at the health service</w:t>
      </w:r>
    </w:p>
    <w:p w14:paraId="7594A2BE" w14:textId="78FD59EC" w:rsidR="00036098" w:rsidRDefault="00FF444B" w:rsidP="00C132C8">
      <w:pPr>
        <w:pStyle w:val="Body"/>
        <w:numPr>
          <w:ilvl w:val="0"/>
          <w:numId w:val="14"/>
        </w:numPr>
      </w:pPr>
      <w:r>
        <w:t>processes for continually assessing the capacity of the health service to provide safe, patient-centred, and appropriate health services to patients</w:t>
      </w:r>
    </w:p>
    <w:p w14:paraId="58DBEDB6" w14:textId="0C499ECD" w:rsidR="00FF444B" w:rsidRDefault="00FF444B" w:rsidP="00C132C8">
      <w:pPr>
        <w:pStyle w:val="Body"/>
        <w:numPr>
          <w:ilvl w:val="0"/>
          <w:numId w:val="14"/>
        </w:numPr>
      </w:pPr>
      <w:r>
        <w:t>setting the frequency and procedures for meetings of committees with responsibility for the quality and safety of health services.</w:t>
      </w:r>
    </w:p>
    <w:p w14:paraId="2F9602DD" w14:textId="01ED057B" w:rsidR="00AF145E" w:rsidRDefault="00AF145E" w:rsidP="00FF444B">
      <w:pPr>
        <w:pStyle w:val="Body"/>
      </w:pPr>
      <w:r>
        <w:t xml:space="preserve">In addition, regulation 48 </w:t>
      </w:r>
      <w:r w:rsidR="0068663A">
        <w:t xml:space="preserve">requires </w:t>
      </w:r>
      <w:r w:rsidR="00011497">
        <w:t xml:space="preserve">that services record in writing information about key safety indicators, including </w:t>
      </w:r>
      <w:r w:rsidR="00472692">
        <w:t xml:space="preserve">compliance with its established protocols, and requires that the recorded information be reviewed at least every three months. </w:t>
      </w:r>
    </w:p>
    <w:p w14:paraId="083B559F" w14:textId="6E584E9B" w:rsidR="00FF444B" w:rsidRDefault="00FF444B" w:rsidP="00FF444B">
      <w:pPr>
        <w:pStyle w:val="Body"/>
      </w:pPr>
      <w:r>
        <w:t xml:space="preserve">The department is considering whether </w:t>
      </w:r>
      <w:r w:rsidR="00954AD9">
        <w:t xml:space="preserve">amendments or additions to these requirements might be </w:t>
      </w:r>
      <w:r w:rsidR="00946947">
        <w:t>appropriate, to strengthen the foundational regulat</w:t>
      </w:r>
      <w:r w:rsidR="00272C62">
        <w:t>ed standards</w:t>
      </w:r>
      <w:r w:rsidR="00946947">
        <w:t xml:space="preserve"> for clinical governance, as </w:t>
      </w:r>
      <w:r w:rsidR="00272C62">
        <w:t xml:space="preserve">a key </w:t>
      </w:r>
      <w:r w:rsidR="00CE0407">
        <w:t>factor in safety and quality of services</w:t>
      </w:r>
      <w:r>
        <w:t>.</w:t>
      </w:r>
      <w:r w:rsidR="00DF4C51">
        <w:t xml:space="preserve"> These </w:t>
      </w:r>
      <w:r w:rsidR="00272C62">
        <w:t xml:space="preserve">possible changes to the Regulations are </w:t>
      </w:r>
      <w:r w:rsidR="00DF4C51">
        <w:t>discussed below.</w:t>
      </w:r>
      <w:r>
        <w:t xml:space="preserve"> </w:t>
      </w:r>
    </w:p>
    <w:p w14:paraId="55DFEC57" w14:textId="25D852D2" w:rsidR="00FF444B" w:rsidRDefault="00FF444B" w:rsidP="00FF444B">
      <w:pPr>
        <w:pStyle w:val="Heading2"/>
      </w:pPr>
      <w:bookmarkStart w:id="69" w:name="_Toc141177735"/>
      <w:bookmarkStart w:id="70" w:name="_Toc143272010"/>
      <w:bookmarkStart w:id="71" w:name="_Toc131161805"/>
      <w:bookmarkStart w:id="72" w:name="_Toc131161803"/>
      <w:r>
        <w:t>3.1 Mandating Safer Care Victoria Clinical governance framework</w:t>
      </w:r>
      <w:bookmarkEnd w:id="69"/>
      <w:bookmarkEnd w:id="70"/>
      <w:r>
        <w:t xml:space="preserve"> </w:t>
      </w:r>
    </w:p>
    <w:p w14:paraId="0A7AAA03" w14:textId="2F003B1D" w:rsidR="00FF444B" w:rsidRDefault="00FA3A98" w:rsidP="00604251">
      <w:pPr>
        <w:pStyle w:val="Body"/>
      </w:pPr>
      <w:r>
        <w:t>SCV</w:t>
      </w:r>
      <w:r w:rsidR="009B3A05">
        <w:t xml:space="preserve"> </w:t>
      </w:r>
      <w:r w:rsidR="00243BDB">
        <w:t xml:space="preserve">has published </w:t>
      </w:r>
      <w:r w:rsidR="00E337CA">
        <w:t xml:space="preserve">the </w:t>
      </w:r>
      <w:hyperlink r:id="rId26">
        <w:r w:rsidR="00E337CA" w:rsidRPr="7A4DB812">
          <w:rPr>
            <w:rStyle w:val="Hyperlink"/>
          </w:rPr>
          <w:t>Victorian Clinical Governance Framework</w:t>
        </w:r>
      </w:hyperlink>
      <w:r w:rsidR="005A7996" w:rsidRPr="000638DC">
        <w:rPr>
          <w:rStyle w:val="FootnoteReference"/>
        </w:rPr>
        <w:footnoteReference w:id="26"/>
      </w:r>
      <w:r w:rsidR="00E337CA" w:rsidRPr="000638DC">
        <w:rPr>
          <w:rStyle w:val="FootnoteReference"/>
        </w:rPr>
        <w:t xml:space="preserve"> </w:t>
      </w:r>
      <w:r w:rsidR="00E337CA">
        <w:t xml:space="preserve">and a range of </w:t>
      </w:r>
      <w:hyperlink r:id="rId27">
        <w:r w:rsidR="00604251" w:rsidRPr="7A4DB812">
          <w:rPr>
            <w:rStyle w:val="Hyperlink"/>
          </w:rPr>
          <w:t>other materials</w:t>
        </w:r>
      </w:hyperlink>
      <w:r w:rsidR="00980EDA" w:rsidRPr="000638DC">
        <w:rPr>
          <w:rStyle w:val="FootnoteReference"/>
        </w:rPr>
        <w:footnoteReference w:id="27"/>
      </w:r>
      <w:r w:rsidR="00604251" w:rsidRPr="000638DC">
        <w:rPr>
          <w:rStyle w:val="FootnoteReference"/>
        </w:rPr>
        <w:t xml:space="preserve"> </w:t>
      </w:r>
      <w:r w:rsidR="00604251">
        <w:t xml:space="preserve">to further support services to establish and maintain </w:t>
      </w:r>
      <w:r w:rsidR="004603DE">
        <w:t xml:space="preserve">the robust clinical governance required to deliver safe care. This is designed to complement the governance requirements in the </w:t>
      </w:r>
      <w:r w:rsidR="004603DE" w:rsidRPr="00A46634">
        <w:t>NSQHS</w:t>
      </w:r>
      <w:r w:rsidR="004603DE">
        <w:t xml:space="preserve"> Standards. Private hospitals are already encouraged to adopt the Victorian Clinical Governance </w:t>
      </w:r>
      <w:r w:rsidR="004603DE">
        <w:lastRenderedPageBreak/>
        <w:t>Framework</w:t>
      </w:r>
      <w:r w:rsidR="0018667F">
        <w:t xml:space="preserve"> and adapt </w:t>
      </w:r>
      <w:r w:rsidR="00207DB2">
        <w:t xml:space="preserve">it </w:t>
      </w:r>
      <w:r w:rsidR="00A9750F">
        <w:t xml:space="preserve">to align </w:t>
      </w:r>
      <w:r w:rsidR="00FA2A9F">
        <w:t xml:space="preserve">with their </w:t>
      </w:r>
      <w:r w:rsidR="00CB7B32">
        <w:t>existing protocols and plans</w:t>
      </w:r>
      <w:r w:rsidR="00FA2A9F">
        <w:t xml:space="preserve">, </w:t>
      </w:r>
      <w:r w:rsidR="000F6816">
        <w:t xml:space="preserve">to </w:t>
      </w:r>
      <w:r w:rsidR="005054F5">
        <w:t xml:space="preserve">clearly establish and document </w:t>
      </w:r>
      <w:r w:rsidR="000F6816">
        <w:t>how the organisation assures good governance</w:t>
      </w:r>
      <w:r w:rsidR="004603DE">
        <w:t xml:space="preserve">. </w:t>
      </w:r>
    </w:p>
    <w:p w14:paraId="49963BC0" w14:textId="34A19127" w:rsidR="4E45054C" w:rsidRDefault="00FA3A98" w:rsidP="7A4DB812">
      <w:pPr>
        <w:pStyle w:val="Body"/>
      </w:pPr>
      <w:r>
        <w:t>SCV</w:t>
      </w:r>
      <w:r w:rsidR="4E45054C">
        <w:t xml:space="preserve"> provides support to private and public health services to improve their clinical governance capability.</w:t>
      </w:r>
    </w:p>
    <w:p w14:paraId="563CF3BE" w14:textId="0A20C21B" w:rsidR="004603DE" w:rsidRDefault="004603DE" w:rsidP="00604251">
      <w:pPr>
        <w:pStyle w:val="Body"/>
      </w:pPr>
      <w:r>
        <w:t xml:space="preserve">The </w:t>
      </w:r>
      <w:r w:rsidR="00C104EB">
        <w:t>department</w:t>
      </w:r>
      <w:r>
        <w:t xml:space="preserve"> is considering including a requirement in the Regulations to effectively mandate adoption of the Victorian Clinical Governance Framework</w:t>
      </w:r>
      <w:r w:rsidR="00F57F8F">
        <w:t xml:space="preserve"> and seeks feedback on the benefits and implications of such a reform. I</w:t>
      </w:r>
      <w:r>
        <w:t xml:space="preserve">t is noted that there may be elements of </w:t>
      </w:r>
      <w:r w:rsidR="0016594B">
        <w:t xml:space="preserve">the Framework that </w:t>
      </w:r>
      <w:r w:rsidR="0023612F">
        <w:t xml:space="preserve">may benefit from </w:t>
      </w:r>
      <w:r w:rsidR="002F2AB8">
        <w:t xml:space="preserve">adaptation or clarification </w:t>
      </w:r>
      <w:r w:rsidR="00770E4B">
        <w:t>so that they effectively reflect and support best practice clinical governance in private hospitals and day procedure centres</w:t>
      </w:r>
      <w:r w:rsidR="001574AC">
        <w:t>. F</w:t>
      </w:r>
      <w:r w:rsidR="00AA0A0F">
        <w:t>or example</w:t>
      </w:r>
      <w:r w:rsidR="00DD1A05">
        <w:t>,</w:t>
      </w:r>
      <w:r w:rsidR="00AA0A0F">
        <w:t xml:space="preserve"> the Framework </w:t>
      </w:r>
      <w:r w:rsidR="0016594B">
        <w:t>describe</w:t>
      </w:r>
      <w:r w:rsidR="00AA0A0F">
        <w:t>s</w:t>
      </w:r>
      <w:r w:rsidR="0016594B">
        <w:t xml:space="preserve"> health service boards </w:t>
      </w:r>
      <w:r w:rsidR="00770E4B">
        <w:t>and their roles and responsibilities in relation to clinical governance</w:t>
      </w:r>
      <w:r w:rsidR="0016594B">
        <w:t xml:space="preserve"> in a manner that reflects public sector h</w:t>
      </w:r>
      <w:r w:rsidR="00F57F8F">
        <w:t>ospital entit</w:t>
      </w:r>
      <w:r w:rsidR="00A55982">
        <w:t>i</w:t>
      </w:r>
      <w:r w:rsidR="00F57F8F">
        <w:t xml:space="preserve">es </w:t>
      </w:r>
      <w:r w:rsidR="0016594B">
        <w:t>established under the Act</w:t>
      </w:r>
      <w:r w:rsidR="00770E4B">
        <w:t>.</w:t>
      </w:r>
      <w:r w:rsidR="00F57F8F">
        <w:t xml:space="preserve"> </w:t>
      </w:r>
      <w:r w:rsidR="006467E8">
        <w:t xml:space="preserve">Feedback is sought on </w:t>
      </w:r>
      <w:r w:rsidR="0058134D">
        <w:t xml:space="preserve">any updates to the Framework that might ensure it </w:t>
      </w:r>
      <w:r w:rsidR="00884567">
        <w:t>would apply effectively if mandated in the Regulations</w:t>
      </w:r>
      <w:r w:rsidR="00F57F8F">
        <w:t xml:space="preserve">. </w:t>
      </w:r>
    </w:p>
    <w:p w14:paraId="63419ADB" w14:textId="77777777" w:rsidR="00604251" w:rsidRPr="00EF0852" w:rsidRDefault="00604251" w:rsidP="00604251">
      <w:pPr>
        <w:pStyle w:val="Body"/>
      </w:pPr>
    </w:p>
    <w:tbl>
      <w:tblPr>
        <w:tblStyle w:val="TableGrid"/>
        <w:tblW w:w="5000" w:type="pct"/>
        <w:shd w:val="clear" w:color="auto" w:fill="F2F2F2" w:themeFill="background1" w:themeFillShade="F2"/>
        <w:tblLook w:val="06A0" w:firstRow="1" w:lastRow="0" w:firstColumn="1" w:lastColumn="0" w:noHBand="1" w:noVBand="1"/>
      </w:tblPr>
      <w:tblGrid>
        <w:gridCol w:w="9268"/>
      </w:tblGrid>
      <w:tr w:rsidR="00FF444B" w:rsidRPr="004E21D8" w14:paraId="04A939F8" w14:textId="77777777">
        <w:trPr>
          <w:tblHeader/>
        </w:trPr>
        <w:tc>
          <w:tcPr>
            <w:tcW w:w="5000" w:type="pct"/>
            <w:tcBorders>
              <w:top w:val="single" w:sz="12" w:space="0" w:color="auto"/>
              <w:left w:val="single" w:sz="12" w:space="0" w:color="auto"/>
              <w:bottom w:val="nil"/>
              <w:right w:val="single" w:sz="12" w:space="0" w:color="auto"/>
            </w:tcBorders>
            <w:shd w:val="clear" w:color="auto" w:fill="F2F2F2" w:themeFill="background1" w:themeFillShade="F2"/>
          </w:tcPr>
          <w:p w14:paraId="1ED8F7DA" w14:textId="77777777" w:rsidR="00FF444B" w:rsidRPr="00D61458" w:rsidRDefault="00FF444B">
            <w:pPr>
              <w:pStyle w:val="Tablecolhead"/>
              <w:rPr>
                <w:rFonts w:cs="Arial"/>
                <w:szCs w:val="21"/>
              </w:rPr>
            </w:pPr>
            <w:r w:rsidRPr="00D61458">
              <w:rPr>
                <w:rFonts w:cs="Arial"/>
                <w:szCs w:val="21"/>
              </w:rPr>
              <w:t>Questions for consultation</w:t>
            </w:r>
          </w:p>
        </w:tc>
      </w:tr>
      <w:tr w:rsidR="00FF444B" w:rsidRPr="004E21D8" w14:paraId="4FC8235A" w14:textId="77777777">
        <w:tc>
          <w:tcPr>
            <w:tcW w:w="5000" w:type="pct"/>
            <w:tcBorders>
              <w:top w:val="nil"/>
              <w:left w:val="single" w:sz="12" w:space="0" w:color="auto"/>
              <w:bottom w:val="single" w:sz="12" w:space="0" w:color="auto"/>
              <w:right w:val="single" w:sz="12" w:space="0" w:color="auto"/>
            </w:tcBorders>
            <w:shd w:val="clear" w:color="auto" w:fill="F2F2F2" w:themeFill="background1" w:themeFillShade="F2"/>
          </w:tcPr>
          <w:p w14:paraId="6B21956A" w14:textId="354A5066" w:rsidR="00FF444B" w:rsidRDefault="00FF444B" w:rsidP="00C132C8">
            <w:pPr>
              <w:pStyle w:val="ListParagraph"/>
              <w:numPr>
                <w:ilvl w:val="0"/>
                <w:numId w:val="11"/>
              </w:numPr>
              <w:spacing w:before="120" w:after="120" w:line="280" w:lineRule="atLeast"/>
              <w:ind w:left="357" w:hanging="357"/>
              <w:contextualSpacing w:val="0"/>
              <w:rPr>
                <w:rFonts w:ascii="Arial" w:hAnsi="Arial" w:cs="Arial"/>
                <w:sz w:val="21"/>
                <w:szCs w:val="21"/>
              </w:rPr>
            </w:pPr>
            <w:r w:rsidRPr="00D61458">
              <w:rPr>
                <w:rFonts w:ascii="Arial" w:hAnsi="Arial" w:cs="Arial"/>
                <w:sz w:val="21"/>
                <w:szCs w:val="21"/>
              </w:rPr>
              <w:t xml:space="preserve">Do you support private hospitals and day procedure centres being required to comply with </w:t>
            </w:r>
            <w:r w:rsidR="00D34096">
              <w:rPr>
                <w:rFonts w:ascii="Arial" w:hAnsi="Arial" w:cs="Arial"/>
                <w:sz w:val="21"/>
                <w:szCs w:val="21"/>
              </w:rPr>
              <w:t xml:space="preserve">the </w:t>
            </w:r>
            <w:r w:rsidR="00FA3A98">
              <w:rPr>
                <w:rFonts w:ascii="Arial" w:hAnsi="Arial" w:cs="Arial"/>
                <w:sz w:val="21"/>
                <w:szCs w:val="21"/>
              </w:rPr>
              <w:t>SCV</w:t>
            </w:r>
            <w:r w:rsidR="00D34096">
              <w:rPr>
                <w:rFonts w:ascii="Arial" w:hAnsi="Arial" w:cs="Arial"/>
                <w:sz w:val="21"/>
                <w:szCs w:val="21"/>
              </w:rPr>
              <w:t xml:space="preserve"> </w:t>
            </w:r>
            <w:r w:rsidR="004603DE">
              <w:rPr>
                <w:rFonts w:ascii="Arial" w:hAnsi="Arial" w:cs="Arial"/>
                <w:sz w:val="21"/>
                <w:szCs w:val="21"/>
              </w:rPr>
              <w:t xml:space="preserve">Victorian </w:t>
            </w:r>
            <w:r w:rsidR="00D34096">
              <w:rPr>
                <w:rFonts w:ascii="Arial" w:hAnsi="Arial" w:cs="Arial"/>
                <w:sz w:val="21"/>
                <w:szCs w:val="21"/>
              </w:rPr>
              <w:t>Clinical Governance Framework?</w:t>
            </w:r>
            <w:r w:rsidRPr="00D61458">
              <w:rPr>
                <w:rFonts w:ascii="Arial" w:hAnsi="Arial" w:cs="Arial"/>
                <w:sz w:val="21"/>
                <w:szCs w:val="21"/>
              </w:rPr>
              <w:t xml:space="preserve"> If yes, why? If not, why not?</w:t>
            </w:r>
          </w:p>
          <w:p w14:paraId="065961DD" w14:textId="2B354680" w:rsidR="004603DE" w:rsidRDefault="004603DE" w:rsidP="00C132C8">
            <w:pPr>
              <w:pStyle w:val="ListParagraph"/>
              <w:numPr>
                <w:ilvl w:val="0"/>
                <w:numId w:val="11"/>
              </w:numPr>
              <w:spacing w:after="120" w:line="280" w:lineRule="atLeast"/>
              <w:contextualSpacing w:val="0"/>
              <w:rPr>
                <w:rFonts w:ascii="Arial" w:hAnsi="Arial" w:cs="Arial"/>
                <w:sz w:val="21"/>
                <w:szCs w:val="21"/>
              </w:rPr>
            </w:pPr>
            <w:r>
              <w:rPr>
                <w:rFonts w:ascii="Arial" w:hAnsi="Arial" w:cs="Arial"/>
                <w:sz w:val="21"/>
                <w:szCs w:val="21"/>
              </w:rPr>
              <w:t>Are there elements of the Victorian Clinical Governance Framework</w:t>
            </w:r>
            <w:r w:rsidR="00A45C3A">
              <w:rPr>
                <w:rFonts w:ascii="Arial" w:hAnsi="Arial" w:cs="Arial"/>
                <w:sz w:val="21"/>
                <w:szCs w:val="21"/>
              </w:rPr>
              <w:t xml:space="preserve"> </w:t>
            </w:r>
            <w:r w:rsidR="00D03C61">
              <w:rPr>
                <w:rFonts w:ascii="Arial" w:hAnsi="Arial" w:cs="Arial"/>
                <w:sz w:val="21"/>
                <w:szCs w:val="21"/>
              </w:rPr>
              <w:t xml:space="preserve">that might require </w:t>
            </w:r>
            <w:r w:rsidR="00450E93">
              <w:rPr>
                <w:rFonts w:ascii="Arial" w:hAnsi="Arial" w:cs="Arial"/>
                <w:sz w:val="21"/>
                <w:szCs w:val="21"/>
              </w:rPr>
              <w:t>clarification or adjustment in order to apply effectively to private hospitals and day procedure centres?</w:t>
            </w:r>
            <w:r w:rsidR="00D03C61">
              <w:rPr>
                <w:rFonts w:ascii="Arial" w:hAnsi="Arial" w:cs="Arial"/>
                <w:sz w:val="21"/>
                <w:szCs w:val="21"/>
              </w:rPr>
              <w:t xml:space="preserve"> </w:t>
            </w:r>
          </w:p>
          <w:p w14:paraId="026DF7CD" w14:textId="77777777" w:rsidR="00FF444B" w:rsidRPr="00D61458" w:rsidRDefault="00FF444B" w:rsidP="00C132C8">
            <w:pPr>
              <w:pStyle w:val="ListParagraph"/>
              <w:numPr>
                <w:ilvl w:val="0"/>
                <w:numId w:val="11"/>
              </w:numPr>
              <w:spacing w:after="120" w:line="280" w:lineRule="atLeast"/>
              <w:contextualSpacing w:val="0"/>
              <w:rPr>
                <w:rFonts w:ascii="Arial" w:hAnsi="Arial" w:cs="Arial"/>
                <w:sz w:val="21"/>
                <w:szCs w:val="21"/>
              </w:rPr>
            </w:pPr>
            <w:r>
              <w:rPr>
                <w:rFonts w:ascii="Arial" w:hAnsi="Arial" w:cs="Arial"/>
                <w:sz w:val="21"/>
                <w:szCs w:val="21"/>
              </w:rPr>
              <w:t xml:space="preserve">What impacts on private hospitals or day procedure centres do you anticipate this requirement would have? </w:t>
            </w:r>
          </w:p>
        </w:tc>
      </w:tr>
    </w:tbl>
    <w:p w14:paraId="4C011029" w14:textId="247913AE" w:rsidR="00FF444B" w:rsidRDefault="00FF444B" w:rsidP="00FF444B">
      <w:pPr>
        <w:pStyle w:val="Heading2"/>
      </w:pPr>
      <w:bookmarkStart w:id="73" w:name="_Toc143272011"/>
      <w:r>
        <w:t>3.2 Mandating Safer Care Victoria credentialling policy</w:t>
      </w:r>
      <w:bookmarkEnd w:id="71"/>
      <w:bookmarkEnd w:id="73"/>
    </w:p>
    <w:p w14:paraId="5FD5C4EB" w14:textId="413229D1" w:rsidR="00FF444B" w:rsidRDefault="00FF444B" w:rsidP="00161CE9">
      <w:pPr>
        <w:pStyle w:val="Body"/>
      </w:pPr>
      <w:r>
        <w:t xml:space="preserve">The </w:t>
      </w:r>
      <w:r w:rsidDel="00FA3A98">
        <w:t xml:space="preserve">SCV </w:t>
      </w:r>
      <w:hyperlink r:id="rId28" w:history="1">
        <w:r w:rsidRPr="000638DC">
          <w:rPr>
            <w:rStyle w:val="Hyperlink"/>
          </w:rPr>
          <w:t>Credentialing and scope of clinical practice for senior medical practitioners policy</w:t>
        </w:r>
      </w:hyperlink>
      <w:r>
        <w:rPr>
          <w:rStyle w:val="FootnoteReference"/>
        </w:rPr>
        <w:footnoteReference w:id="28"/>
      </w:r>
      <w:r>
        <w:rPr>
          <w:i/>
          <w:iCs/>
        </w:rPr>
        <w:t xml:space="preserve"> </w:t>
      </w:r>
      <w:r w:rsidRPr="00A15BF7">
        <w:t>details requirements for senior medical practitioner credentialing and scope of clinical practice</w:t>
      </w:r>
      <w:r w:rsidRPr="00A15BF7">
        <w:rPr>
          <w:i/>
          <w:iCs/>
        </w:rPr>
        <w:t>.</w:t>
      </w:r>
      <w:r>
        <w:t xml:space="preserve"> </w:t>
      </w:r>
      <w:r w:rsidRPr="00DC06C8">
        <w:t>It provides ‘what to do’ and ‘how to do it’ guidance for senior Victorian medical practitioners and their employing health service or health services where they have, or wish to obtain, visiting rights.</w:t>
      </w:r>
      <w:r>
        <w:t xml:space="preserve"> All public hospitals are required to comply with this policy. However, currently it is only a recommended policy for private hospitals and day procedure centres in Victoria.</w:t>
      </w:r>
    </w:p>
    <w:p w14:paraId="26F044EA" w14:textId="08293FCE" w:rsidR="00FF444B" w:rsidRDefault="00FF444B" w:rsidP="00161CE9">
      <w:pPr>
        <w:pStyle w:val="Body"/>
      </w:pPr>
      <w:r>
        <w:t xml:space="preserve">The department is considering whether it should be mandatory for all private hospitals and day procedure centres to comply with this SCV policy for the credentialling of registered medical practitioners who work in the facility. This would provide the basis for a consistent approach to credentialing and defining the scope of clinical </w:t>
      </w:r>
      <w:r w:rsidR="006E1431">
        <w:t xml:space="preserve">practice </w:t>
      </w:r>
      <w:r>
        <w:t xml:space="preserve">across both public and private facilities. </w:t>
      </w:r>
    </w:p>
    <w:p w14:paraId="6A907ACE" w14:textId="50542679" w:rsidR="00FF444B" w:rsidRDefault="00FF444B" w:rsidP="00161CE9">
      <w:pPr>
        <w:pStyle w:val="Body"/>
      </w:pPr>
      <w:r>
        <w:t xml:space="preserve">For example, the department is aware that not all private hospitals and day procedure centres require 100 points of identification or photo identification. The department considers this to be a patient safety risk due to the possibility of impersonation of medical practitioners. The SCV policy requires </w:t>
      </w:r>
      <w:r w:rsidRPr="00DA6174">
        <w:t>proof of identity based on a 100-point check of original documents</w:t>
      </w:r>
      <w:r>
        <w:t>.</w:t>
      </w:r>
    </w:p>
    <w:p w14:paraId="089C6C21" w14:textId="35C8B314" w:rsidR="00FF444B" w:rsidRDefault="00FF444B" w:rsidP="00161CE9">
      <w:pPr>
        <w:pStyle w:val="Body"/>
      </w:pPr>
      <w:r>
        <w:lastRenderedPageBreak/>
        <w:t xml:space="preserve">The department is aware that </w:t>
      </w:r>
      <w:r w:rsidR="000601F3">
        <w:t>some services may credential</w:t>
      </w:r>
      <w:r>
        <w:t xml:space="preserve"> a large number of medical practitioners and the department is specifically interested in the impacts that this proposal may have for these facilities to inform the impact analysis for this requirement. </w:t>
      </w:r>
    </w:p>
    <w:p w14:paraId="618FC02E" w14:textId="77777777" w:rsidR="00EC671B" w:rsidRDefault="00EC671B" w:rsidP="00161CE9">
      <w:pPr>
        <w:pStyle w:val="Body"/>
      </w:pPr>
    </w:p>
    <w:tbl>
      <w:tblPr>
        <w:tblStyle w:val="TableGrid"/>
        <w:tblW w:w="5000" w:type="pct"/>
        <w:shd w:val="clear" w:color="auto" w:fill="F2F2F2" w:themeFill="background1" w:themeFillShade="F2"/>
        <w:tblLook w:val="06A0" w:firstRow="1" w:lastRow="0" w:firstColumn="1" w:lastColumn="0" w:noHBand="1" w:noVBand="1"/>
      </w:tblPr>
      <w:tblGrid>
        <w:gridCol w:w="9268"/>
      </w:tblGrid>
      <w:tr w:rsidR="00FF444B" w:rsidRPr="004E21D8" w14:paraId="4D922C4F" w14:textId="77777777">
        <w:trPr>
          <w:tblHeader/>
        </w:trPr>
        <w:tc>
          <w:tcPr>
            <w:tcW w:w="5000" w:type="pct"/>
            <w:tcBorders>
              <w:top w:val="single" w:sz="12" w:space="0" w:color="auto"/>
              <w:left w:val="single" w:sz="12" w:space="0" w:color="auto"/>
              <w:bottom w:val="nil"/>
              <w:right w:val="single" w:sz="12" w:space="0" w:color="auto"/>
            </w:tcBorders>
            <w:shd w:val="clear" w:color="auto" w:fill="F2F2F2" w:themeFill="background1" w:themeFillShade="F2"/>
          </w:tcPr>
          <w:p w14:paraId="554184D8" w14:textId="77777777" w:rsidR="00FF444B" w:rsidRPr="00D61458" w:rsidRDefault="00FF444B">
            <w:pPr>
              <w:pStyle w:val="Tablecolhead"/>
              <w:rPr>
                <w:rFonts w:cs="Arial"/>
                <w:szCs w:val="21"/>
              </w:rPr>
            </w:pPr>
            <w:r w:rsidRPr="00D61458">
              <w:rPr>
                <w:rFonts w:cs="Arial"/>
                <w:szCs w:val="21"/>
              </w:rPr>
              <w:t>Questions for consultation</w:t>
            </w:r>
          </w:p>
        </w:tc>
      </w:tr>
      <w:tr w:rsidR="00FF444B" w:rsidRPr="004E21D8" w14:paraId="45C2D138" w14:textId="77777777">
        <w:tc>
          <w:tcPr>
            <w:tcW w:w="5000" w:type="pct"/>
            <w:tcBorders>
              <w:top w:val="nil"/>
              <w:left w:val="single" w:sz="12" w:space="0" w:color="auto"/>
              <w:bottom w:val="single" w:sz="12" w:space="0" w:color="auto"/>
              <w:right w:val="single" w:sz="12" w:space="0" w:color="auto"/>
            </w:tcBorders>
            <w:shd w:val="clear" w:color="auto" w:fill="F2F2F2" w:themeFill="background1" w:themeFillShade="F2"/>
          </w:tcPr>
          <w:p w14:paraId="7BBAA45E" w14:textId="77777777" w:rsidR="00FF444B" w:rsidRDefault="00FF444B" w:rsidP="00C132C8">
            <w:pPr>
              <w:pStyle w:val="ListParagraph"/>
              <w:numPr>
                <w:ilvl w:val="0"/>
                <w:numId w:val="11"/>
              </w:numPr>
              <w:spacing w:before="120" w:after="120" w:line="280" w:lineRule="atLeast"/>
              <w:ind w:left="357" w:hanging="357"/>
              <w:contextualSpacing w:val="0"/>
              <w:rPr>
                <w:rFonts w:ascii="Arial" w:hAnsi="Arial" w:cs="Arial"/>
                <w:sz w:val="21"/>
                <w:szCs w:val="21"/>
              </w:rPr>
            </w:pPr>
            <w:r w:rsidRPr="00D61458">
              <w:rPr>
                <w:rFonts w:ascii="Arial" w:hAnsi="Arial" w:cs="Arial"/>
                <w:sz w:val="21"/>
                <w:szCs w:val="21"/>
              </w:rPr>
              <w:t xml:space="preserve">Do you support private hospitals and day procedure centres being required to comply with SCV’s </w:t>
            </w:r>
            <w:r w:rsidRPr="00D61458">
              <w:rPr>
                <w:rFonts w:ascii="Arial" w:hAnsi="Arial" w:cs="Arial"/>
                <w:i/>
                <w:iCs/>
                <w:sz w:val="21"/>
                <w:szCs w:val="21"/>
              </w:rPr>
              <w:t>Credentialing and scope of clinical practice for senior medical practitioners policy</w:t>
            </w:r>
            <w:r w:rsidRPr="00D61458">
              <w:rPr>
                <w:rFonts w:ascii="Arial" w:hAnsi="Arial" w:cs="Arial"/>
                <w:sz w:val="21"/>
                <w:szCs w:val="21"/>
              </w:rPr>
              <w:t>? If yes, why? If not, why not?</w:t>
            </w:r>
          </w:p>
          <w:p w14:paraId="4240A9E7" w14:textId="77777777" w:rsidR="00FF444B" w:rsidRPr="00D61458" w:rsidRDefault="00FF444B" w:rsidP="00C132C8">
            <w:pPr>
              <w:pStyle w:val="ListParagraph"/>
              <w:numPr>
                <w:ilvl w:val="0"/>
                <w:numId w:val="11"/>
              </w:numPr>
              <w:spacing w:after="120" w:line="280" w:lineRule="atLeast"/>
              <w:contextualSpacing w:val="0"/>
              <w:rPr>
                <w:rFonts w:ascii="Arial" w:hAnsi="Arial" w:cs="Arial"/>
                <w:sz w:val="21"/>
                <w:szCs w:val="21"/>
              </w:rPr>
            </w:pPr>
            <w:r>
              <w:rPr>
                <w:rFonts w:ascii="Arial" w:hAnsi="Arial" w:cs="Arial"/>
                <w:sz w:val="21"/>
                <w:szCs w:val="21"/>
              </w:rPr>
              <w:t xml:space="preserve">What impacts on private hospitals or day procedure centres do you anticipate this requirement would have? </w:t>
            </w:r>
          </w:p>
        </w:tc>
      </w:tr>
    </w:tbl>
    <w:p w14:paraId="2F9212AF" w14:textId="374E2E20" w:rsidR="00DC2556" w:rsidRDefault="00445565" w:rsidP="008B5E73">
      <w:pPr>
        <w:pStyle w:val="Heading2"/>
      </w:pPr>
      <w:bookmarkStart w:id="74" w:name="_Toc143272012"/>
      <w:r w:rsidRPr="00E267DC">
        <w:t xml:space="preserve">3.3 Mandating </w:t>
      </w:r>
      <w:r w:rsidR="00AE7CA1" w:rsidRPr="00E267DC">
        <w:t xml:space="preserve">the </w:t>
      </w:r>
      <w:r w:rsidR="001322B5" w:rsidRPr="00E267DC">
        <w:t>Guideline for providers of liposuction</w:t>
      </w:r>
      <w:bookmarkEnd w:id="74"/>
    </w:p>
    <w:p w14:paraId="7630B120" w14:textId="7131A1AA" w:rsidR="008B5E73" w:rsidRDefault="00A864C8" w:rsidP="008B5E73">
      <w:pPr>
        <w:pStyle w:val="Body"/>
      </w:pPr>
      <w:r w:rsidRPr="00E267DC">
        <w:t xml:space="preserve">In August </w:t>
      </w:r>
      <w:r w:rsidR="00D54DFD" w:rsidRPr="00E267DC">
        <w:t xml:space="preserve">2022, </w:t>
      </w:r>
      <w:r w:rsidR="00615E9E">
        <w:t xml:space="preserve">the department published the </w:t>
      </w:r>
      <w:hyperlink r:id="rId29" w:history="1">
        <w:r w:rsidR="006C080D" w:rsidRPr="000638DC">
          <w:rPr>
            <w:rStyle w:val="Hyperlink"/>
          </w:rPr>
          <w:t>G</w:t>
        </w:r>
        <w:r w:rsidR="00A81A08" w:rsidRPr="000638DC">
          <w:rPr>
            <w:rStyle w:val="Hyperlink"/>
          </w:rPr>
          <w:t>uideline for providers of liposuction; best practice guideline for clinicians, and those involved in the provision of liposuction</w:t>
        </w:r>
      </w:hyperlink>
      <w:r w:rsidR="00A81A08" w:rsidRPr="00A81A08">
        <w:rPr>
          <w:i/>
          <w:iCs/>
        </w:rPr>
        <w:t xml:space="preserve"> </w:t>
      </w:r>
      <w:r w:rsidR="00A81A08" w:rsidRPr="00E267DC">
        <w:t>(the Guideline).</w:t>
      </w:r>
      <w:r w:rsidR="00A81A08">
        <w:rPr>
          <w:rStyle w:val="FootnoteReference"/>
        </w:rPr>
        <w:footnoteReference w:id="29"/>
      </w:r>
      <w:r w:rsidR="00F01C4D">
        <w:t xml:space="preserve"> The Guideline was developed to support clinicians and strengthen quality and safety in the practice of liposuction. </w:t>
      </w:r>
      <w:r w:rsidR="002C4E9B">
        <w:t>It includes guidance on</w:t>
      </w:r>
      <w:r w:rsidR="006E258E">
        <w:t>:</w:t>
      </w:r>
    </w:p>
    <w:p w14:paraId="2F5A45DC" w14:textId="174E9CDE" w:rsidR="006E258E" w:rsidRPr="00E267DC" w:rsidRDefault="006E258E" w:rsidP="00C132C8">
      <w:pPr>
        <w:pStyle w:val="Body"/>
        <w:numPr>
          <w:ilvl w:val="0"/>
          <w:numId w:val="43"/>
        </w:numPr>
        <w:rPr>
          <w:i/>
        </w:rPr>
      </w:pPr>
      <w:r>
        <w:t>Admission</w:t>
      </w:r>
      <w:r w:rsidR="004B32BD">
        <w:t>, discharge and follow-up care</w:t>
      </w:r>
      <w:r>
        <w:t xml:space="preserve"> </w:t>
      </w:r>
    </w:p>
    <w:p w14:paraId="55197CBA" w14:textId="50BA56C0" w:rsidR="006E258E" w:rsidRPr="00E267DC" w:rsidRDefault="006E258E" w:rsidP="00C132C8">
      <w:pPr>
        <w:pStyle w:val="Body"/>
        <w:numPr>
          <w:ilvl w:val="0"/>
          <w:numId w:val="43"/>
        </w:numPr>
        <w:rPr>
          <w:i/>
        </w:rPr>
      </w:pPr>
      <w:r>
        <w:t>Patient assessment</w:t>
      </w:r>
    </w:p>
    <w:p w14:paraId="3615EDD3" w14:textId="7D7367C3" w:rsidR="006E258E" w:rsidRPr="00E267DC" w:rsidRDefault="006E258E" w:rsidP="00C132C8">
      <w:pPr>
        <w:pStyle w:val="Body"/>
        <w:numPr>
          <w:ilvl w:val="0"/>
          <w:numId w:val="43"/>
        </w:numPr>
        <w:rPr>
          <w:i/>
        </w:rPr>
      </w:pPr>
      <w:r>
        <w:t>Informed consent and shared decision making</w:t>
      </w:r>
    </w:p>
    <w:p w14:paraId="54EE30BE" w14:textId="584FB4BC" w:rsidR="006E258E" w:rsidRPr="00E267DC" w:rsidRDefault="006E258E" w:rsidP="00C132C8">
      <w:pPr>
        <w:pStyle w:val="Body"/>
        <w:numPr>
          <w:ilvl w:val="0"/>
          <w:numId w:val="43"/>
        </w:numPr>
        <w:rPr>
          <w:i/>
        </w:rPr>
      </w:pPr>
      <w:r>
        <w:t>Staffing and credentialling</w:t>
      </w:r>
    </w:p>
    <w:p w14:paraId="18DDB0A7" w14:textId="5E44C3F9" w:rsidR="006E258E" w:rsidRDefault="00331107" w:rsidP="00C132C8">
      <w:pPr>
        <w:pStyle w:val="Body"/>
        <w:numPr>
          <w:ilvl w:val="0"/>
          <w:numId w:val="43"/>
        </w:numPr>
      </w:pPr>
      <w:r w:rsidRPr="00E267DC">
        <w:t>Facilities and equipment</w:t>
      </w:r>
    </w:p>
    <w:p w14:paraId="0A37A16E" w14:textId="7E09C24F" w:rsidR="00331107" w:rsidRDefault="00B00F14" w:rsidP="00C132C8">
      <w:pPr>
        <w:pStyle w:val="Body"/>
        <w:numPr>
          <w:ilvl w:val="0"/>
          <w:numId w:val="43"/>
        </w:numPr>
      </w:pPr>
      <w:r>
        <w:t>P</w:t>
      </w:r>
      <w:r w:rsidR="004B32BD">
        <w:t>roc</w:t>
      </w:r>
      <w:r w:rsidR="00FD37D3">
        <w:t>e</w:t>
      </w:r>
      <w:r w:rsidR="004B32BD">
        <w:t>dures</w:t>
      </w:r>
    </w:p>
    <w:p w14:paraId="421F0974" w14:textId="2F192DA8" w:rsidR="00B00F14" w:rsidRDefault="00B00F14" w:rsidP="00C132C8">
      <w:pPr>
        <w:pStyle w:val="Body"/>
        <w:numPr>
          <w:ilvl w:val="0"/>
          <w:numId w:val="43"/>
        </w:numPr>
      </w:pPr>
      <w:r>
        <w:t>Reporting and audit</w:t>
      </w:r>
    </w:p>
    <w:p w14:paraId="79369B18" w14:textId="7986F347" w:rsidR="00B00F14" w:rsidRDefault="00B00F14" w:rsidP="00C132C8">
      <w:pPr>
        <w:pStyle w:val="Body"/>
        <w:numPr>
          <w:ilvl w:val="0"/>
          <w:numId w:val="43"/>
        </w:numPr>
      </w:pPr>
      <w:r>
        <w:t>Complaints and open disclosure</w:t>
      </w:r>
    </w:p>
    <w:p w14:paraId="179A4C58" w14:textId="3D9B7A29" w:rsidR="00AE236F" w:rsidRDefault="008D71A1" w:rsidP="00AE236F">
      <w:pPr>
        <w:pStyle w:val="Body"/>
      </w:pPr>
      <w:r>
        <w:t xml:space="preserve">Following publication of the Guideline, the </w:t>
      </w:r>
      <w:r w:rsidR="00C70726">
        <w:t xml:space="preserve">Secretary </w:t>
      </w:r>
      <w:r w:rsidR="00AD1D43">
        <w:t xml:space="preserve">issued a direction under </w:t>
      </w:r>
      <w:r w:rsidR="00F2557F">
        <w:t>s</w:t>
      </w:r>
      <w:r w:rsidR="000638DC">
        <w:t>.</w:t>
      </w:r>
      <w:r w:rsidR="00F2557F">
        <w:t xml:space="preserve">105 of the Act </w:t>
      </w:r>
      <w:r w:rsidR="008F3326">
        <w:t xml:space="preserve">to </w:t>
      </w:r>
      <w:r w:rsidR="00AD1D43">
        <w:t xml:space="preserve">the proprietors of health service establishments, </w:t>
      </w:r>
      <w:r w:rsidR="00E25951">
        <w:t xml:space="preserve">requiring them to </w:t>
      </w:r>
      <w:r w:rsidR="00EF1337">
        <w:t>comply with the Gu</w:t>
      </w:r>
      <w:r w:rsidR="00D9315A">
        <w:t>ideline</w:t>
      </w:r>
      <w:r w:rsidR="007F5900">
        <w:t>.</w:t>
      </w:r>
      <w:r w:rsidR="00D9315A">
        <w:t xml:space="preserve"> </w:t>
      </w:r>
      <w:r w:rsidR="004338C2">
        <w:t xml:space="preserve">The </w:t>
      </w:r>
      <w:r w:rsidR="00364A4F">
        <w:t xml:space="preserve">Secretary </w:t>
      </w:r>
      <w:r w:rsidR="004338C2">
        <w:t xml:space="preserve">informed proprietors that </w:t>
      </w:r>
      <w:r w:rsidR="0015390A">
        <w:t xml:space="preserve">failure to comply with the direction could result in </w:t>
      </w:r>
      <w:r w:rsidR="00A87581">
        <w:t xml:space="preserve">a </w:t>
      </w:r>
      <w:r w:rsidR="0015390A">
        <w:t>penal</w:t>
      </w:r>
      <w:r w:rsidR="00262FF8">
        <w:t>t</w:t>
      </w:r>
      <w:r w:rsidR="00A87581">
        <w:t>y</w:t>
      </w:r>
      <w:r w:rsidR="00790A6A">
        <w:t xml:space="preserve"> or registration </w:t>
      </w:r>
      <w:r w:rsidR="00080E4C">
        <w:t>suspe</w:t>
      </w:r>
      <w:r w:rsidR="0016749B">
        <w:t>nsion</w:t>
      </w:r>
      <w:r w:rsidR="00E42EED">
        <w:t xml:space="preserve"> or revocation</w:t>
      </w:r>
      <w:r w:rsidR="00A87581">
        <w:t>.</w:t>
      </w:r>
    </w:p>
    <w:p w14:paraId="1B3F890D" w14:textId="10AA560F" w:rsidR="00FE5B39" w:rsidRDefault="007C0B68" w:rsidP="00AE236F">
      <w:pPr>
        <w:pStyle w:val="Body"/>
      </w:pPr>
      <w:r>
        <w:t xml:space="preserve">The department is considering mandating the Guideline through </w:t>
      </w:r>
      <w:r w:rsidR="008C1828">
        <w:t>the Regulations</w:t>
      </w:r>
      <w:r w:rsidR="00FB6C0E">
        <w:t xml:space="preserve"> (as permitted under </w:t>
      </w:r>
      <w:r w:rsidR="00153DB6">
        <w:t>s</w:t>
      </w:r>
      <w:r w:rsidR="000638DC">
        <w:t>.</w:t>
      </w:r>
      <w:r w:rsidR="00153DB6">
        <w:t>158(1)</w:t>
      </w:r>
      <w:r w:rsidR="004E0B9B">
        <w:t xml:space="preserve"> </w:t>
      </w:r>
      <w:r w:rsidR="00153DB6">
        <w:t>of the Act)</w:t>
      </w:r>
      <w:r w:rsidR="008C1828">
        <w:t xml:space="preserve"> </w:t>
      </w:r>
      <w:r w:rsidR="00931A32">
        <w:t xml:space="preserve">rather than through </w:t>
      </w:r>
      <w:r w:rsidR="008E4876">
        <w:t xml:space="preserve">a direction from the Secretary. </w:t>
      </w:r>
      <w:r w:rsidR="00F650A5">
        <w:t xml:space="preserve">As health service establishments that conduct cosmetic surgery are already required to comply with the Guideline, this administrative change should have no </w:t>
      </w:r>
      <w:r w:rsidR="00F458CC">
        <w:t xml:space="preserve">material </w:t>
      </w:r>
      <w:r w:rsidR="00F650A5">
        <w:t>impacts.</w:t>
      </w:r>
    </w:p>
    <w:p w14:paraId="4C25529F" w14:textId="77777777" w:rsidR="00D73A83" w:rsidRDefault="00D73A83" w:rsidP="00AE236F">
      <w:pPr>
        <w:pStyle w:val="Body"/>
      </w:pPr>
    </w:p>
    <w:tbl>
      <w:tblPr>
        <w:tblStyle w:val="TableGrid"/>
        <w:tblW w:w="5000" w:type="pct"/>
        <w:shd w:val="clear" w:color="auto" w:fill="F2F2F2" w:themeFill="background1" w:themeFillShade="F2"/>
        <w:tblLook w:val="06A0" w:firstRow="1" w:lastRow="0" w:firstColumn="1" w:lastColumn="0" w:noHBand="1" w:noVBand="1"/>
      </w:tblPr>
      <w:tblGrid>
        <w:gridCol w:w="9268"/>
      </w:tblGrid>
      <w:tr w:rsidR="00FE5B39" w:rsidRPr="004E21D8" w14:paraId="3D5E1B6F" w14:textId="77777777">
        <w:trPr>
          <w:tblHeader/>
        </w:trPr>
        <w:tc>
          <w:tcPr>
            <w:tcW w:w="5000" w:type="pct"/>
            <w:tcBorders>
              <w:top w:val="single" w:sz="12" w:space="0" w:color="auto"/>
              <w:left w:val="single" w:sz="12" w:space="0" w:color="auto"/>
              <w:bottom w:val="nil"/>
              <w:right w:val="single" w:sz="12" w:space="0" w:color="auto"/>
            </w:tcBorders>
            <w:shd w:val="clear" w:color="auto" w:fill="F2F2F2" w:themeFill="background1" w:themeFillShade="F2"/>
          </w:tcPr>
          <w:p w14:paraId="7F821B4B" w14:textId="77777777" w:rsidR="00FE5B39" w:rsidRPr="00D61458" w:rsidRDefault="00FE5B39">
            <w:pPr>
              <w:pStyle w:val="Tablecolhead"/>
              <w:rPr>
                <w:rFonts w:cs="Arial"/>
                <w:szCs w:val="21"/>
              </w:rPr>
            </w:pPr>
            <w:r w:rsidRPr="00D61458">
              <w:rPr>
                <w:rFonts w:cs="Arial"/>
                <w:szCs w:val="21"/>
              </w:rPr>
              <w:lastRenderedPageBreak/>
              <w:t>Questions for consultation</w:t>
            </w:r>
          </w:p>
        </w:tc>
      </w:tr>
      <w:tr w:rsidR="00FE5B39" w:rsidRPr="004E21D8" w14:paraId="2B6B644B" w14:textId="77777777">
        <w:tc>
          <w:tcPr>
            <w:tcW w:w="5000" w:type="pct"/>
            <w:tcBorders>
              <w:top w:val="nil"/>
              <w:left w:val="single" w:sz="12" w:space="0" w:color="auto"/>
              <w:bottom w:val="single" w:sz="12" w:space="0" w:color="auto"/>
              <w:right w:val="single" w:sz="12" w:space="0" w:color="auto"/>
            </w:tcBorders>
            <w:shd w:val="clear" w:color="auto" w:fill="F2F2F2" w:themeFill="background1" w:themeFillShade="F2"/>
          </w:tcPr>
          <w:p w14:paraId="23AFD42C" w14:textId="3B412D5B" w:rsidR="00FE5B39" w:rsidRPr="00E267DC" w:rsidRDefault="00FE5B39" w:rsidP="00C132C8">
            <w:pPr>
              <w:pStyle w:val="ListParagraph"/>
              <w:numPr>
                <w:ilvl w:val="0"/>
                <w:numId w:val="11"/>
              </w:numPr>
              <w:spacing w:before="120" w:after="120" w:line="280" w:lineRule="atLeast"/>
              <w:ind w:left="357" w:hanging="357"/>
              <w:contextualSpacing w:val="0"/>
              <w:rPr>
                <w:rFonts w:ascii="Arial" w:hAnsi="Arial" w:cs="Arial"/>
                <w:sz w:val="21"/>
                <w:szCs w:val="21"/>
              </w:rPr>
            </w:pPr>
            <w:r w:rsidRPr="00D61458">
              <w:rPr>
                <w:rFonts w:ascii="Arial" w:hAnsi="Arial" w:cs="Arial"/>
                <w:sz w:val="21"/>
                <w:szCs w:val="21"/>
              </w:rPr>
              <w:t xml:space="preserve">Do you support </w:t>
            </w:r>
            <w:r>
              <w:rPr>
                <w:rFonts w:ascii="Arial" w:hAnsi="Arial" w:cs="Arial"/>
                <w:sz w:val="21"/>
                <w:szCs w:val="21"/>
              </w:rPr>
              <w:t xml:space="preserve">mandating the </w:t>
            </w:r>
            <w:r w:rsidRPr="00E267DC">
              <w:rPr>
                <w:rFonts w:ascii="Arial" w:hAnsi="Arial" w:cs="Arial"/>
                <w:i/>
                <w:sz w:val="21"/>
                <w:szCs w:val="21"/>
              </w:rPr>
              <w:t>Guideline for providers of liposuction; best practice guideline for clinicians, and those involved in the provision of liposuction</w:t>
            </w:r>
            <w:r>
              <w:rPr>
                <w:rFonts w:ascii="Arial" w:hAnsi="Arial" w:cs="Arial"/>
                <w:i/>
                <w:iCs/>
                <w:sz w:val="21"/>
                <w:szCs w:val="21"/>
              </w:rPr>
              <w:t xml:space="preserve"> </w:t>
            </w:r>
            <w:r>
              <w:rPr>
                <w:rFonts w:ascii="Arial" w:hAnsi="Arial" w:cs="Arial"/>
                <w:sz w:val="21"/>
                <w:szCs w:val="21"/>
              </w:rPr>
              <w:t>through the Regulations instead of through a direction from the Secretary?</w:t>
            </w:r>
            <w:r w:rsidRPr="00D61458">
              <w:rPr>
                <w:rFonts w:ascii="Arial" w:hAnsi="Arial" w:cs="Arial"/>
                <w:sz w:val="21"/>
                <w:szCs w:val="21"/>
              </w:rPr>
              <w:t xml:space="preserve"> If yes, why? If not, why not?</w:t>
            </w:r>
          </w:p>
        </w:tc>
      </w:tr>
    </w:tbl>
    <w:p w14:paraId="15476F33" w14:textId="685DE543" w:rsidR="00FC5502" w:rsidRDefault="00FF444B" w:rsidP="00FC5502">
      <w:pPr>
        <w:pStyle w:val="Heading2"/>
      </w:pPr>
      <w:bookmarkStart w:id="75" w:name="_Toc143272013"/>
      <w:r>
        <w:t>3.</w:t>
      </w:r>
      <w:r w:rsidR="00890CAF">
        <w:t>4</w:t>
      </w:r>
      <w:r w:rsidR="00FC5502">
        <w:t xml:space="preserve"> </w:t>
      </w:r>
      <w:r w:rsidR="006374C2">
        <w:t xml:space="preserve">Key </w:t>
      </w:r>
      <w:r w:rsidR="002D71AA">
        <w:t>c</w:t>
      </w:r>
      <w:r w:rsidR="00DA745B">
        <w:t xml:space="preserve">linical </w:t>
      </w:r>
      <w:r w:rsidR="002D71AA">
        <w:t>g</w:t>
      </w:r>
      <w:r w:rsidR="00DA745B">
        <w:t xml:space="preserve">overnance </w:t>
      </w:r>
      <w:r w:rsidR="002D71AA">
        <w:t>r</w:t>
      </w:r>
      <w:r w:rsidR="00DA745B">
        <w:t>oles</w:t>
      </w:r>
      <w:bookmarkEnd w:id="75"/>
      <w:r w:rsidR="00FC5502">
        <w:t xml:space="preserve"> </w:t>
      </w:r>
    </w:p>
    <w:p w14:paraId="25FC7F66" w14:textId="2AC2ECE1" w:rsidR="00DA745B" w:rsidRDefault="00EF440B" w:rsidP="00AE236F">
      <w:pPr>
        <w:pStyle w:val="Body"/>
      </w:pPr>
      <w:r>
        <w:t xml:space="preserve">As the Commission has stated in the </w:t>
      </w:r>
      <w:r w:rsidRPr="00ED5C4B">
        <w:t>NSQHS Standards</w:t>
      </w:r>
      <w:r>
        <w:t>, clinical leadership roles are central to ensuring the safety and quality of services provided</w:t>
      </w:r>
      <w:r w:rsidR="00D90971">
        <w:t xml:space="preserve"> in a health service</w:t>
      </w:r>
      <w:r w:rsidR="009A5945">
        <w:t>:</w:t>
      </w:r>
      <w:r>
        <w:t xml:space="preserve"> </w:t>
      </w:r>
    </w:p>
    <w:p w14:paraId="31BFFE31" w14:textId="76531657" w:rsidR="00DA745B" w:rsidRDefault="00DA745B" w:rsidP="00B803DB">
      <w:pPr>
        <w:pStyle w:val="Quotetext"/>
      </w:pPr>
      <w:r w:rsidRPr="00DA745B">
        <w:t>Strong leadership can drive safety and quality improvements, and make them a priority. Commitment from leaders is important, because their actions and attitudes influence the perceptions, attitudes and behaviours of the workforce.</w:t>
      </w:r>
    </w:p>
    <w:p w14:paraId="7C00DE4A" w14:textId="6EE5413E" w:rsidR="0066122E" w:rsidRPr="0066122E" w:rsidRDefault="0066122E" w:rsidP="0066122E">
      <w:pPr>
        <w:pStyle w:val="Body"/>
      </w:pPr>
      <w:r>
        <w:t>The Commission goes on to say that clinical governance arrangements should</w:t>
      </w:r>
      <w:r w:rsidR="002D71AA">
        <w:t>:</w:t>
      </w:r>
      <w:r>
        <w:t xml:space="preserve"> </w:t>
      </w:r>
    </w:p>
    <w:p w14:paraId="6031CE24" w14:textId="6951FFE1" w:rsidR="00DA745B" w:rsidRDefault="00D90971" w:rsidP="00B803DB">
      <w:pPr>
        <w:pStyle w:val="Quotetext"/>
      </w:pPr>
      <w:r>
        <w:t>…[d]</w:t>
      </w:r>
      <w:r w:rsidR="00DA745B" w:rsidRPr="00DA745B">
        <w:t>efine the delegated safety and quality roles and responsibilities of clinical leaders. These may include implementing strategic direction, managing the operation of the clinical governance system, reporting on safety and quality, and implementing the organisation’s safety culture.</w:t>
      </w:r>
      <w:r w:rsidR="0062672C" w:rsidRPr="009A5945">
        <w:rPr>
          <w:rStyle w:val="FootnoteReference"/>
        </w:rPr>
        <w:footnoteReference w:id="30"/>
      </w:r>
    </w:p>
    <w:p w14:paraId="69AE367F" w14:textId="358A6778" w:rsidR="00CD56F7" w:rsidRDefault="0011622F" w:rsidP="00CD56F7">
      <w:pPr>
        <w:pStyle w:val="Body"/>
      </w:pPr>
      <w:r>
        <w:t xml:space="preserve">The department is considering </w:t>
      </w:r>
      <w:r w:rsidR="00613140">
        <w:t xml:space="preserve">including </w:t>
      </w:r>
      <w:r>
        <w:t>a requirement in the Regulations</w:t>
      </w:r>
      <w:r w:rsidR="00613140">
        <w:t xml:space="preserve"> that </w:t>
      </w:r>
      <w:r w:rsidR="00AB7949">
        <w:t xml:space="preserve">the clinical governance protocols of a service </w:t>
      </w:r>
      <w:r w:rsidR="00FC5518">
        <w:t>must</w:t>
      </w:r>
      <w:r w:rsidR="00AB7949">
        <w:t xml:space="preserve"> set out the roles and responsibilities of key clinical leadership positions – for example the Director of Medical Services and Director of Nursing</w:t>
      </w:r>
      <w:r>
        <w:t xml:space="preserve">. </w:t>
      </w:r>
      <w:r w:rsidR="00AB7949">
        <w:t xml:space="preserve">This would be consistent with the </w:t>
      </w:r>
      <w:r w:rsidR="00AB7949" w:rsidRPr="00ED5C4B">
        <w:t>NSQHS Standards</w:t>
      </w:r>
      <w:r w:rsidR="003A1819">
        <w:t xml:space="preserve"> </w:t>
      </w:r>
      <w:r w:rsidR="009A5945">
        <w:t xml:space="preserve">and </w:t>
      </w:r>
      <w:r w:rsidR="003A1819">
        <w:t>may already be reflected in established protocols</w:t>
      </w:r>
      <w:r w:rsidR="001F6930">
        <w:t xml:space="preserve">, so </w:t>
      </w:r>
      <w:r w:rsidR="003A1819">
        <w:t xml:space="preserve">the change to the Regulations may not impose significant additional </w:t>
      </w:r>
      <w:r w:rsidR="0053076D">
        <w:t>burden</w:t>
      </w:r>
      <w:r w:rsidR="003A1819">
        <w:t xml:space="preserve">. </w:t>
      </w:r>
    </w:p>
    <w:p w14:paraId="1C86562B" w14:textId="77777777" w:rsidR="00CD56F7" w:rsidRDefault="00CD56F7" w:rsidP="00CD56F7">
      <w:pPr>
        <w:pStyle w:val="Body"/>
      </w:pPr>
    </w:p>
    <w:tbl>
      <w:tblPr>
        <w:tblStyle w:val="TableGrid"/>
        <w:tblW w:w="5000" w:type="pct"/>
        <w:shd w:val="clear" w:color="auto" w:fill="F2F2F2" w:themeFill="background1" w:themeFillShade="F2"/>
        <w:tblLook w:val="06A0" w:firstRow="1" w:lastRow="0" w:firstColumn="1" w:lastColumn="0" w:noHBand="1" w:noVBand="1"/>
      </w:tblPr>
      <w:tblGrid>
        <w:gridCol w:w="9268"/>
      </w:tblGrid>
      <w:tr w:rsidR="00CD56F7" w:rsidRPr="004E21D8" w14:paraId="14D8D437" w14:textId="77777777">
        <w:trPr>
          <w:tblHeader/>
        </w:trPr>
        <w:tc>
          <w:tcPr>
            <w:tcW w:w="5000" w:type="pct"/>
            <w:tcBorders>
              <w:top w:val="single" w:sz="12" w:space="0" w:color="auto"/>
              <w:left w:val="single" w:sz="12" w:space="0" w:color="auto"/>
              <w:bottom w:val="nil"/>
              <w:right w:val="single" w:sz="12" w:space="0" w:color="auto"/>
            </w:tcBorders>
            <w:shd w:val="clear" w:color="auto" w:fill="F2F2F2" w:themeFill="background1" w:themeFillShade="F2"/>
          </w:tcPr>
          <w:p w14:paraId="5B6D8D76" w14:textId="77777777" w:rsidR="00CD56F7" w:rsidRPr="00D61458" w:rsidRDefault="00CD56F7">
            <w:pPr>
              <w:pStyle w:val="Tablecolhead"/>
              <w:rPr>
                <w:rFonts w:cs="Arial"/>
                <w:szCs w:val="21"/>
              </w:rPr>
            </w:pPr>
            <w:r w:rsidRPr="00D61458">
              <w:rPr>
                <w:rFonts w:cs="Arial"/>
                <w:szCs w:val="21"/>
              </w:rPr>
              <w:t>Questions for consultation</w:t>
            </w:r>
          </w:p>
        </w:tc>
      </w:tr>
      <w:tr w:rsidR="00CD56F7" w:rsidRPr="004E21D8" w14:paraId="30026FFB" w14:textId="77777777">
        <w:tc>
          <w:tcPr>
            <w:tcW w:w="5000" w:type="pct"/>
            <w:tcBorders>
              <w:top w:val="nil"/>
              <w:left w:val="single" w:sz="12" w:space="0" w:color="auto"/>
              <w:bottom w:val="single" w:sz="12" w:space="0" w:color="auto"/>
              <w:right w:val="single" w:sz="12" w:space="0" w:color="auto"/>
            </w:tcBorders>
            <w:shd w:val="clear" w:color="auto" w:fill="F2F2F2" w:themeFill="background1" w:themeFillShade="F2"/>
          </w:tcPr>
          <w:p w14:paraId="5D520E7B" w14:textId="3B11DBF5" w:rsidR="00CD56F7" w:rsidRPr="00E267DC" w:rsidRDefault="00CD56F7" w:rsidP="00C132C8">
            <w:pPr>
              <w:pStyle w:val="ListParagraph"/>
              <w:numPr>
                <w:ilvl w:val="0"/>
                <w:numId w:val="11"/>
              </w:numPr>
              <w:spacing w:after="120" w:line="280" w:lineRule="atLeast"/>
              <w:contextualSpacing w:val="0"/>
              <w:rPr>
                <w:rFonts w:ascii="Arial" w:hAnsi="Arial" w:cs="Arial"/>
                <w:sz w:val="21"/>
                <w:szCs w:val="21"/>
              </w:rPr>
            </w:pPr>
            <w:r w:rsidRPr="00D61458">
              <w:rPr>
                <w:rFonts w:ascii="Arial" w:hAnsi="Arial" w:cs="Arial"/>
                <w:sz w:val="21"/>
                <w:szCs w:val="21"/>
              </w:rPr>
              <w:t xml:space="preserve">Do you support </w:t>
            </w:r>
            <w:r w:rsidR="008245B1">
              <w:rPr>
                <w:rFonts w:ascii="Arial" w:hAnsi="Arial" w:cs="Arial"/>
                <w:sz w:val="21"/>
                <w:szCs w:val="21"/>
              </w:rPr>
              <w:t xml:space="preserve">a requirement in the Regulations that the clinical governance protocols of a </w:t>
            </w:r>
            <w:r w:rsidR="003A1819">
              <w:rPr>
                <w:rFonts w:ascii="Arial" w:hAnsi="Arial" w:cs="Arial"/>
                <w:sz w:val="21"/>
                <w:szCs w:val="21"/>
              </w:rPr>
              <w:t xml:space="preserve">health service must set out the roles and responsibilities of key clinical leadership positions? If not, why not? If so, which positions </w:t>
            </w:r>
            <w:r w:rsidR="00D60BBE">
              <w:rPr>
                <w:rFonts w:ascii="Arial" w:hAnsi="Arial" w:cs="Arial"/>
                <w:sz w:val="21"/>
                <w:szCs w:val="21"/>
              </w:rPr>
              <w:t xml:space="preserve">do you consider </w:t>
            </w:r>
            <w:r w:rsidR="003A1819">
              <w:rPr>
                <w:rFonts w:ascii="Arial" w:hAnsi="Arial" w:cs="Arial"/>
                <w:sz w:val="21"/>
                <w:szCs w:val="21"/>
              </w:rPr>
              <w:t xml:space="preserve">should be addressed in the protocols? </w:t>
            </w:r>
          </w:p>
        </w:tc>
      </w:tr>
    </w:tbl>
    <w:p w14:paraId="3DFDDC3C" w14:textId="50B2D77B" w:rsidR="00CD56F7" w:rsidRPr="0062672C" w:rsidRDefault="00CD56F7" w:rsidP="0011622F">
      <w:pPr>
        <w:pStyle w:val="Body"/>
      </w:pPr>
    </w:p>
    <w:p w14:paraId="67505F2B" w14:textId="7A9ED5CD" w:rsidR="00FF444B" w:rsidRDefault="00FF444B" w:rsidP="00FF444B">
      <w:pPr>
        <w:pStyle w:val="Heading2"/>
      </w:pPr>
      <w:bookmarkStart w:id="76" w:name="_Toc143272014"/>
      <w:r>
        <w:t>3.</w:t>
      </w:r>
      <w:r w:rsidR="00FC5502">
        <w:t>5</w:t>
      </w:r>
      <w:r>
        <w:t xml:space="preserve"> </w:t>
      </w:r>
      <w:r w:rsidR="00D004DE">
        <w:t>Accountability for non-employee personnel</w:t>
      </w:r>
      <w:bookmarkEnd w:id="76"/>
      <w:r w:rsidR="00D004DE">
        <w:t xml:space="preserve"> </w:t>
      </w:r>
      <w:bookmarkEnd w:id="72"/>
    </w:p>
    <w:p w14:paraId="0F23E30D" w14:textId="2E90A2CD" w:rsidR="00F80BE7" w:rsidRDefault="00FF444B" w:rsidP="00FF444B">
      <w:pPr>
        <w:pStyle w:val="Body"/>
      </w:pPr>
      <w:r>
        <w:t xml:space="preserve">The department is aware that some </w:t>
      </w:r>
      <w:r w:rsidR="000D3929">
        <w:t>health services</w:t>
      </w:r>
      <w:r>
        <w:t xml:space="preserve"> use external </w:t>
      </w:r>
      <w:r w:rsidR="00CD46FE">
        <w:t>agencies</w:t>
      </w:r>
      <w:r>
        <w:t xml:space="preserve"> to contract clinical staff to work in the facility including</w:t>
      </w:r>
      <w:r w:rsidR="007B6D70">
        <w:t>,</w:t>
      </w:r>
      <w:r>
        <w:t xml:space="preserve"> for example</w:t>
      </w:r>
      <w:r w:rsidR="007B6D70">
        <w:t>,</w:t>
      </w:r>
      <w:r>
        <w:t xml:space="preserve"> medical practitioners to work in their emergency departments. </w:t>
      </w:r>
      <w:r w:rsidR="00D004DE">
        <w:t>In addition</w:t>
      </w:r>
      <w:r w:rsidR="00954C99">
        <w:t>,</w:t>
      </w:r>
      <w:r w:rsidR="00D004DE">
        <w:t xml:space="preserve"> it is understood that </w:t>
      </w:r>
      <w:r w:rsidR="009A5945">
        <w:t>visiting medical officer (</w:t>
      </w:r>
      <w:r w:rsidR="00D004DE">
        <w:t>VMO</w:t>
      </w:r>
      <w:r w:rsidR="009A5945">
        <w:t>)</w:t>
      </w:r>
      <w:r w:rsidR="00D004DE">
        <w:t xml:space="preserve"> arrangements are often used. </w:t>
      </w:r>
    </w:p>
    <w:p w14:paraId="115FED7C" w14:textId="7DC26677" w:rsidR="00FF444B" w:rsidRDefault="00FF444B" w:rsidP="00FF444B">
      <w:pPr>
        <w:pStyle w:val="Body"/>
      </w:pPr>
      <w:r>
        <w:t xml:space="preserve">It is essential for quality and safety that </w:t>
      </w:r>
      <w:r w:rsidR="007A4DA5">
        <w:t>health service</w:t>
      </w:r>
      <w:r w:rsidR="005F3BE9">
        <w:t>s</w:t>
      </w:r>
      <w:r w:rsidR="007A4DA5">
        <w:t xml:space="preserve"> have clear </w:t>
      </w:r>
      <w:r>
        <w:t>chain</w:t>
      </w:r>
      <w:r w:rsidR="007A4DA5">
        <w:t>s</w:t>
      </w:r>
      <w:r>
        <w:t xml:space="preserve"> of command and responsibility </w:t>
      </w:r>
      <w:r w:rsidR="006373DC">
        <w:t xml:space="preserve">and </w:t>
      </w:r>
      <w:r>
        <w:t xml:space="preserve">powers to direct </w:t>
      </w:r>
      <w:r w:rsidR="009C34A9">
        <w:t>clinical personnel</w:t>
      </w:r>
      <w:r w:rsidR="009C4A8C">
        <w:t>,</w:t>
      </w:r>
      <w:r>
        <w:t xml:space="preserve"> including </w:t>
      </w:r>
      <w:r w:rsidR="009C34A9">
        <w:t>those</w:t>
      </w:r>
      <w:r w:rsidR="009C4A8C">
        <w:t xml:space="preserve"> who are</w:t>
      </w:r>
      <w:r>
        <w:t xml:space="preserve"> not direct</w:t>
      </w:r>
      <w:r w:rsidR="000D5DD3">
        <w:t>ly</w:t>
      </w:r>
      <w:r>
        <w:t xml:space="preserve"> employe</w:t>
      </w:r>
      <w:r w:rsidR="00B340B7">
        <w:t>d</w:t>
      </w:r>
      <w:r>
        <w:t xml:space="preserve"> </w:t>
      </w:r>
      <w:r w:rsidR="00B340B7">
        <w:t>by</w:t>
      </w:r>
      <w:r>
        <w:t xml:space="preserve"> the health service</w:t>
      </w:r>
      <w:r w:rsidR="00D56E39">
        <w:t xml:space="preserve">, and ensure their </w:t>
      </w:r>
      <w:r w:rsidR="008E7176">
        <w:t>compliance with the facility’s clinical governance and other safety and quality protocols</w:t>
      </w:r>
      <w:r>
        <w:t>. For example, if an adverse event occurs</w:t>
      </w:r>
      <w:r w:rsidR="003754B8">
        <w:t>,</w:t>
      </w:r>
      <w:r>
        <w:t xml:space="preserve"> there must be certainty about the directions the health service can give to medical practitioners, nurses or other </w:t>
      </w:r>
      <w:r w:rsidR="009C34A9">
        <w:t xml:space="preserve">relevant </w:t>
      </w:r>
      <w:r w:rsidR="009C34A9">
        <w:lastRenderedPageBreak/>
        <w:t>personnel, however engaged,</w:t>
      </w:r>
      <w:r>
        <w:t xml:space="preserve"> to participate in reviews or disclosure processes following the adverse event. </w:t>
      </w:r>
      <w:r w:rsidR="00F613FF">
        <w:t>This</w:t>
      </w:r>
      <w:r w:rsidR="008E7176">
        <w:t xml:space="preserve"> is reflected in </w:t>
      </w:r>
      <w:r w:rsidR="00034F13">
        <w:t>r.</w:t>
      </w:r>
      <w:r w:rsidR="004C5C99">
        <w:t>7A</w:t>
      </w:r>
      <w:r w:rsidR="00E109F9">
        <w:t xml:space="preserve">, which </w:t>
      </w:r>
      <w:r w:rsidR="00CB0E43">
        <w:t>requires that the clinical governance protocols for the facility must provide for</w:t>
      </w:r>
      <w:r w:rsidR="00E109F9">
        <w:t xml:space="preserve"> </w:t>
      </w:r>
      <w:r w:rsidR="00BD0C58">
        <w:t>credentialling</w:t>
      </w:r>
      <w:r w:rsidR="00800A80">
        <w:t xml:space="preserve"> each health professional practising at the health service establishment</w:t>
      </w:r>
      <w:r w:rsidR="00BD0C58">
        <w:t xml:space="preserve">, </w:t>
      </w:r>
      <w:r w:rsidR="00800A80">
        <w:t>setting the</w:t>
      </w:r>
      <w:r w:rsidR="00F613FF">
        <w:t>ir</w:t>
      </w:r>
      <w:r w:rsidR="00800A80">
        <w:t xml:space="preserve"> scope of practice</w:t>
      </w:r>
      <w:r w:rsidR="00CB0E43">
        <w:t>,</w:t>
      </w:r>
      <w:r w:rsidR="00800A80">
        <w:t xml:space="preserve"> </w:t>
      </w:r>
      <w:r w:rsidR="00CB0E43">
        <w:t xml:space="preserve">and </w:t>
      </w:r>
      <w:r w:rsidR="00F613FF" w:rsidRPr="008D6747">
        <w:t>continually assessing the</w:t>
      </w:r>
      <w:r w:rsidR="00F613FF">
        <w:t>ir</w:t>
      </w:r>
      <w:r w:rsidR="00F613FF" w:rsidRPr="008D6747">
        <w:t xml:space="preserve"> competence and performance</w:t>
      </w:r>
      <w:r w:rsidR="00632C19">
        <w:t>.</w:t>
      </w:r>
    </w:p>
    <w:p w14:paraId="6402006E" w14:textId="0B1BD549" w:rsidR="00FF444B" w:rsidRDefault="00FF444B" w:rsidP="00FF444B">
      <w:pPr>
        <w:pStyle w:val="Body"/>
      </w:pPr>
      <w:r>
        <w:t xml:space="preserve">Further, the department understands that some health services engaging clinical staff through external agencies may accept credentialling provided by the agency rather than conduct their own credentialling process. There may therefore be uncertainty about whether and how the hospital has set the scope of practice of </w:t>
      </w:r>
      <w:r w:rsidR="00C60083">
        <w:t xml:space="preserve">these </w:t>
      </w:r>
      <w:r>
        <w:t>staff. While this is a business risk for the health service involved, it may also be a patient safety risk and therefore worth consider</w:t>
      </w:r>
      <w:r w:rsidR="00712E65">
        <w:t>ing</w:t>
      </w:r>
      <w:r>
        <w:t xml:space="preserve"> during this review of the Regulations. For example, whether the clinical governance policies of the facility must specifically address the arrangements with clinical staff </w:t>
      </w:r>
      <w:r w:rsidR="00F80BE7">
        <w:t>other than employees</w:t>
      </w:r>
      <w:r>
        <w:t xml:space="preserve"> (such as credentialling and scope of practice processes, participation in reviews of adverse incidents, and powers to direct). </w:t>
      </w:r>
    </w:p>
    <w:p w14:paraId="7D9973ED" w14:textId="753122AA" w:rsidR="00D56E39" w:rsidRDefault="00D56E39" w:rsidP="00FF444B">
      <w:pPr>
        <w:pStyle w:val="Body"/>
      </w:pPr>
      <w:r>
        <w:t xml:space="preserve">The department </w:t>
      </w:r>
      <w:r w:rsidR="008B5516">
        <w:t>is aware</w:t>
      </w:r>
      <w:r>
        <w:t xml:space="preserve"> that these arrangements may be complex and </w:t>
      </w:r>
      <w:r w:rsidR="008B5516">
        <w:t>welcomes feedback on associate</w:t>
      </w:r>
      <w:r w:rsidR="00D72FB2">
        <w:t>d</w:t>
      </w:r>
      <w:r w:rsidR="006F72A3">
        <w:t xml:space="preserve"> </w:t>
      </w:r>
      <w:r w:rsidR="00B505AD">
        <w:t xml:space="preserve">risks </w:t>
      </w:r>
      <w:r w:rsidR="006F72A3">
        <w:t>and how they might be best mitigated.</w:t>
      </w:r>
    </w:p>
    <w:p w14:paraId="2D79A1CD" w14:textId="65F5015B" w:rsidR="00FF444B" w:rsidRPr="00FF444B" w:rsidRDefault="00FF444B" w:rsidP="00FF444B">
      <w:pPr>
        <w:pStyle w:val="Body"/>
      </w:pPr>
    </w:p>
    <w:tbl>
      <w:tblPr>
        <w:tblStyle w:val="TableGrid"/>
        <w:tblW w:w="5000" w:type="pct"/>
        <w:shd w:val="clear" w:color="auto" w:fill="F2F2F2" w:themeFill="background1" w:themeFillShade="F2"/>
        <w:tblLook w:val="06A0" w:firstRow="1" w:lastRow="0" w:firstColumn="1" w:lastColumn="0" w:noHBand="1" w:noVBand="1"/>
      </w:tblPr>
      <w:tblGrid>
        <w:gridCol w:w="9268"/>
      </w:tblGrid>
      <w:tr w:rsidR="00FF444B" w:rsidRPr="004E21D8" w14:paraId="0CCAD1B8" w14:textId="77777777">
        <w:trPr>
          <w:tblHeader/>
        </w:trPr>
        <w:tc>
          <w:tcPr>
            <w:tcW w:w="5000" w:type="pct"/>
            <w:tcBorders>
              <w:top w:val="single" w:sz="12" w:space="0" w:color="auto"/>
              <w:left w:val="single" w:sz="12" w:space="0" w:color="auto"/>
              <w:bottom w:val="nil"/>
              <w:right w:val="single" w:sz="12" w:space="0" w:color="auto"/>
            </w:tcBorders>
            <w:shd w:val="clear" w:color="auto" w:fill="F2F2F2" w:themeFill="background1" w:themeFillShade="F2"/>
          </w:tcPr>
          <w:p w14:paraId="2E40F384" w14:textId="638E89B0" w:rsidR="00FF444B" w:rsidRPr="00DC7757" w:rsidRDefault="00FF444B">
            <w:pPr>
              <w:pStyle w:val="Tablecolhead"/>
              <w:rPr>
                <w:rFonts w:cs="Arial"/>
                <w:szCs w:val="21"/>
              </w:rPr>
            </w:pPr>
            <w:r w:rsidRPr="00DC7757">
              <w:rPr>
                <w:rFonts w:cs="Arial"/>
                <w:szCs w:val="21"/>
              </w:rPr>
              <w:t>Questions for consultation</w:t>
            </w:r>
          </w:p>
        </w:tc>
      </w:tr>
      <w:tr w:rsidR="00FF444B" w:rsidRPr="004E21D8" w14:paraId="621C0DC1" w14:textId="77777777">
        <w:tc>
          <w:tcPr>
            <w:tcW w:w="5000" w:type="pct"/>
            <w:tcBorders>
              <w:top w:val="nil"/>
              <w:left w:val="single" w:sz="12" w:space="0" w:color="auto"/>
              <w:bottom w:val="single" w:sz="12" w:space="0" w:color="auto"/>
              <w:right w:val="single" w:sz="12" w:space="0" w:color="auto"/>
            </w:tcBorders>
            <w:shd w:val="clear" w:color="auto" w:fill="F2F2F2" w:themeFill="background1" w:themeFillShade="F2"/>
          </w:tcPr>
          <w:p w14:paraId="47963CD1" w14:textId="25E1D4D3" w:rsidR="00172871" w:rsidRDefault="00FF444B" w:rsidP="00C132C8">
            <w:pPr>
              <w:pStyle w:val="ListParagraph"/>
              <w:numPr>
                <w:ilvl w:val="0"/>
                <w:numId w:val="11"/>
              </w:numPr>
              <w:spacing w:before="120" w:after="120" w:line="280" w:lineRule="atLeast"/>
              <w:ind w:left="357" w:hanging="357"/>
              <w:contextualSpacing w:val="0"/>
              <w:rPr>
                <w:rFonts w:ascii="Arial" w:hAnsi="Arial" w:cs="Arial"/>
                <w:sz w:val="21"/>
                <w:szCs w:val="21"/>
              </w:rPr>
            </w:pPr>
            <w:r w:rsidRPr="00DC7757">
              <w:rPr>
                <w:rFonts w:ascii="Arial" w:hAnsi="Arial" w:cs="Arial"/>
                <w:sz w:val="21"/>
                <w:szCs w:val="21"/>
              </w:rPr>
              <w:t xml:space="preserve">Do you consider that the current use of </w:t>
            </w:r>
            <w:r>
              <w:rPr>
                <w:rFonts w:ascii="Arial" w:hAnsi="Arial" w:cs="Arial"/>
                <w:sz w:val="21"/>
                <w:szCs w:val="21"/>
              </w:rPr>
              <w:t xml:space="preserve">clinical staff </w:t>
            </w:r>
            <w:r w:rsidR="00D56E39">
              <w:rPr>
                <w:rFonts w:ascii="Arial" w:hAnsi="Arial" w:cs="Arial"/>
                <w:sz w:val="21"/>
                <w:szCs w:val="21"/>
              </w:rPr>
              <w:t>not directly employed,</w:t>
            </w:r>
            <w:r w:rsidRPr="00DC7757">
              <w:rPr>
                <w:rFonts w:ascii="Arial" w:hAnsi="Arial" w:cs="Arial"/>
                <w:sz w:val="21"/>
                <w:szCs w:val="21"/>
              </w:rPr>
              <w:t xml:space="preserve"> to work in </w:t>
            </w:r>
            <w:r>
              <w:rPr>
                <w:rFonts w:ascii="Arial" w:hAnsi="Arial" w:cs="Arial"/>
                <w:sz w:val="21"/>
                <w:szCs w:val="21"/>
              </w:rPr>
              <w:t>private hospitals or day procedure centres</w:t>
            </w:r>
            <w:r w:rsidR="00D56E39">
              <w:rPr>
                <w:rFonts w:ascii="Arial" w:hAnsi="Arial" w:cs="Arial"/>
                <w:sz w:val="21"/>
                <w:szCs w:val="21"/>
              </w:rPr>
              <w:t>,</w:t>
            </w:r>
            <w:r>
              <w:rPr>
                <w:rFonts w:ascii="Arial" w:hAnsi="Arial" w:cs="Arial"/>
                <w:sz w:val="21"/>
                <w:szCs w:val="21"/>
              </w:rPr>
              <w:t xml:space="preserve"> </w:t>
            </w:r>
            <w:r w:rsidRPr="00DC7757">
              <w:rPr>
                <w:rFonts w:ascii="Arial" w:hAnsi="Arial" w:cs="Arial"/>
                <w:sz w:val="21"/>
                <w:szCs w:val="21"/>
              </w:rPr>
              <w:t>may pose a risk to patient safety?</w:t>
            </w:r>
            <w:r w:rsidR="009230B3">
              <w:rPr>
                <w:rFonts w:ascii="Arial" w:hAnsi="Arial" w:cs="Arial"/>
                <w:sz w:val="21"/>
                <w:szCs w:val="21"/>
              </w:rPr>
              <w:t xml:space="preserve"> For example</w:t>
            </w:r>
            <w:r w:rsidR="009A5945">
              <w:rPr>
                <w:rFonts w:ascii="Arial" w:hAnsi="Arial" w:cs="Arial"/>
                <w:sz w:val="21"/>
                <w:szCs w:val="21"/>
              </w:rPr>
              <w:t>,</w:t>
            </w:r>
            <w:r w:rsidR="009230B3">
              <w:rPr>
                <w:rFonts w:ascii="Arial" w:hAnsi="Arial" w:cs="Arial"/>
                <w:sz w:val="21"/>
                <w:szCs w:val="21"/>
              </w:rPr>
              <w:t xml:space="preserve"> by compromising the facility’s direct oversight of credentialing, or </w:t>
            </w:r>
            <w:r w:rsidR="0095620D">
              <w:rPr>
                <w:rFonts w:ascii="Arial" w:hAnsi="Arial" w:cs="Arial"/>
                <w:sz w:val="21"/>
                <w:szCs w:val="21"/>
              </w:rPr>
              <w:t xml:space="preserve">undermining </w:t>
            </w:r>
            <w:r w:rsidR="009230B3">
              <w:rPr>
                <w:rFonts w:ascii="Arial" w:hAnsi="Arial" w:cs="Arial"/>
                <w:sz w:val="21"/>
                <w:szCs w:val="21"/>
              </w:rPr>
              <w:t xml:space="preserve">arrangements for incident reviews? </w:t>
            </w:r>
          </w:p>
          <w:p w14:paraId="03DAC0DB" w14:textId="77777777" w:rsidR="00172871" w:rsidRDefault="00FF444B" w:rsidP="00C132C8">
            <w:pPr>
              <w:pStyle w:val="ListParagraph"/>
              <w:numPr>
                <w:ilvl w:val="1"/>
                <w:numId w:val="11"/>
              </w:numPr>
              <w:spacing w:before="120" w:after="120" w:line="280" w:lineRule="atLeast"/>
              <w:ind w:left="1077" w:hanging="357"/>
              <w:contextualSpacing w:val="0"/>
              <w:rPr>
                <w:rFonts w:ascii="Arial" w:hAnsi="Arial" w:cs="Arial"/>
                <w:sz w:val="21"/>
                <w:szCs w:val="21"/>
              </w:rPr>
            </w:pPr>
            <w:r w:rsidRPr="00DC7757">
              <w:rPr>
                <w:rFonts w:ascii="Arial" w:hAnsi="Arial" w:cs="Arial"/>
                <w:sz w:val="21"/>
                <w:szCs w:val="21"/>
              </w:rPr>
              <w:t>If yes, why? If not, why not?</w:t>
            </w:r>
            <w:r w:rsidR="696718B2" w:rsidRPr="0A34807B">
              <w:rPr>
                <w:rFonts w:ascii="Arial" w:hAnsi="Arial" w:cs="Arial"/>
                <w:sz w:val="21"/>
                <w:szCs w:val="21"/>
              </w:rPr>
              <w:t xml:space="preserve"> </w:t>
            </w:r>
          </w:p>
          <w:p w14:paraId="4302EBC7" w14:textId="5F06D45C" w:rsidR="00FF444B" w:rsidRPr="0001366C" w:rsidRDefault="696718B2" w:rsidP="00C132C8">
            <w:pPr>
              <w:pStyle w:val="ListParagraph"/>
              <w:numPr>
                <w:ilvl w:val="1"/>
                <w:numId w:val="11"/>
              </w:numPr>
              <w:spacing w:before="120" w:after="120" w:line="280" w:lineRule="atLeast"/>
              <w:ind w:left="1077" w:hanging="357"/>
              <w:contextualSpacing w:val="0"/>
              <w:rPr>
                <w:rFonts w:ascii="Arial" w:hAnsi="Arial" w:cs="Arial"/>
                <w:sz w:val="21"/>
                <w:szCs w:val="21"/>
              </w:rPr>
            </w:pPr>
            <w:r w:rsidRPr="00A5578B">
              <w:rPr>
                <w:rFonts w:ascii="Arial" w:hAnsi="Arial" w:cs="Arial"/>
                <w:sz w:val="21"/>
                <w:szCs w:val="21"/>
              </w:rPr>
              <w:t xml:space="preserve">Are there actions that can be taken to mitigate </w:t>
            </w:r>
            <w:r w:rsidR="00B34165">
              <w:rPr>
                <w:rFonts w:ascii="Arial" w:hAnsi="Arial" w:cs="Arial"/>
                <w:sz w:val="21"/>
                <w:szCs w:val="21"/>
              </w:rPr>
              <w:t>any</w:t>
            </w:r>
            <w:r w:rsidR="00B34165" w:rsidRPr="00A5578B">
              <w:rPr>
                <w:rFonts w:ascii="Arial" w:hAnsi="Arial" w:cs="Arial"/>
                <w:sz w:val="21"/>
                <w:szCs w:val="21"/>
              </w:rPr>
              <w:t xml:space="preserve"> </w:t>
            </w:r>
            <w:r w:rsidRPr="00A5578B">
              <w:rPr>
                <w:rFonts w:ascii="Arial" w:hAnsi="Arial" w:cs="Arial"/>
                <w:sz w:val="21"/>
                <w:szCs w:val="21"/>
              </w:rPr>
              <w:t>risk?</w:t>
            </w:r>
          </w:p>
        </w:tc>
      </w:tr>
    </w:tbl>
    <w:p w14:paraId="1E0FDEBF" w14:textId="111CAB0F" w:rsidR="00FF444B" w:rsidRDefault="00FF444B" w:rsidP="00FF444B">
      <w:pPr>
        <w:pStyle w:val="Heading2"/>
      </w:pPr>
      <w:bookmarkStart w:id="77" w:name="_Toc131161804"/>
      <w:bookmarkStart w:id="78" w:name="_Toc143272015"/>
      <w:r>
        <w:t>3.</w:t>
      </w:r>
      <w:r w:rsidR="00FC5502">
        <w:t>6</w:t>
      </w:r>
      <w:r>
        <w:t xml:space="preserve"> Staff and Visiting Medical Officers fatigue</w:t>
      </w:r>
      <w:bookmarkEnd w:id="77"/>
      <w:bookmarkEnd w:id="78"/>
    </w:p>
    <w:p w14:paraId="61E0FA5C" w14:textId="21B12808" w:rsidR="00FF444B" w:rsidRDefault="00FF444B" w:rsidP="00FF444B">
      <w:pPr>
        <w:pStyle w:val="Body"/>
      </w:pPr>
      <w:r>
        <w:t>If surgical lists or work hours are excessive</w:t>
      </w:r>
      <w:r w:rsidR="0FD45CBD">
        <w:t>,</w:t>
      </w:r>
      <w:r>
        <w:t xml:space="preserve"> staff fatigue can become an issue with consequent risks for patient safety. </w:t>
      </w:r>
      <w:r w:rsidR="00224EF6">
        <w:t xml:space="preserve">Current evidence suggests </w:t>
      </w:r>
      <w:r w:rsidR="00F16DA7">
        <w:t>a system</w:t>
      </w:r>
      <w:r w:rsidR="00760A5B">
        <w:t>ic approach is required</w:t>
      </w:r>
      <w:r w:rsidR="00637729">
        <w:t>, not only</w:t>
      </w:r>
      <w:r w:rsidR="00760A5B">
        <w:t xml:space="preserve"> to prevent fat</w:t>
      </w:r>
      <w:r w:rsidR="00CE3B1D">
        <w:t xml:space="preserve">igue </w:t>
      </w:r>
      <w:r w:rsidR="004779D5">
        <w:t xml:space="preserve">but also </w:t>
      </w:r>
      <w:r w:rsidR="00CE3B1D">
        <w:t xml:space="preserve">to monitor </w:t>
      </w:r>
      <w:r w:rsidR="006325A0">
        <w:t>for adverse impacts arising from fatigue,</w:t>
      </w:r>
      <w:r w:rsidR="00666D47">
        <w:t xml:space="preserve"> </w:t>
      </w:r>
      <w:r w:rsidR="00C6540B">
        <w:t xml:space="preserve">to </w:t>
      </w:r>
      <w:r w:rsidR="00E85C56">
        <w:t>inform</w:t>
      </w:r>
      <w:r w:rsidR="00C6540B">
        <w:t xml:space="preserve"> </w:t>
      </w:r>
      <w:r w:rsidR="006325A0">
        <w:t>appropriate interventions and mitigations</w:t>
      </w:r>
      <w:r w:rsidR="00637729">
        <w:t>.</w:t>
      </w:r>
      <w:r w:rsidR="006325A0">
        <w:rPr>
          <w:rStyle w:val="FootnoteReference"/>
        </w:rPr>
        <w:footnoteReference w:id="31"/>
      </w:r>
      <w:r w:rsidR="00637729">
        <w:t xml:space="preserve"> </w:t>
      </w:r>
    </w:p>
    <w:p w14:paraId="62966134" w14:textId="6600EB89" w:rsidR="00FF444B" w:rsidRDefault="00FF444B" w:rsidP="00FF444B">
      <w:pPr>
        <w:pStyle w:val="Body"/>
      </w:pPr>
      <w:r>
        <w:t>There are numerous studies show</w:t>
      </w:r>
      <w:r w:rsidR="0004050D">
        <w:t>ing</w:t>
      </w:r>
      <w:r>
        <w:t xml:space="preserve"> that the fatigue experienced by any person </w:t>
      </w:r>
      <w:r w:rsidR="00E621BD">
        <w:t>staying awake for</w:t>
      </w:r>
      <w:r>
        <w:t xml:space="preserve"> 18 hours is </w:t>
      </w:r>
      <w:r w:rsidR="002333C8">
        <w:t>sim</w:t>
      </w:r>
      <w:r w:rsidR="00584075">
        <w:t>i</w:t>
      </w:r>
      <w:r w:rsidR="002333C8">
        <w:t>lar</w:t>
      </w:r>
      <w:r>
        <w:t xml:space="preserve"> to 0.05 alcohol concentration in the blood. </w:t>
      </w:r>
      <w:r w:rsidR="00E621BD">
        <w:t>Being awake</w:t>
      </w:r>
      <w:r>
        <w:t xml:space="preserve"> for 24 hours is </w:t>
      </w:r>
      <w:r w:rsidR="00E621BD">
        <w:t>similar to having</w:t>
      </w:r>
      <w:r>
        <w:t xml:space="preserve"> 0.1 alcohol concentration in the blood</w:t>
      </w:r>
      <w:r w:rsidR="004764A4">
        <w:t>.</w:t>
      </w:r>
      <w:r>
        <w:rPr>
          <w:rStyle w:val="FootnoteReference"/>
        </w:rPr>
        <w:footnoteReference w:id="32"/>
      </w:r>
      <w:r w:rsidR="004764A4">
        <w:t xml:space="preserve"> </w:t>
      </w:r>
      <w:r w:rsidR="00560686">
        <w:t>These studies</w:t>
      </w:r>
      <w:r>
        <w:t xml:space="preserve"> provide a clear indicator that excessive fatigue impacts performance. Therefore, w</w:t>
      </w:r>
      <w:r w:rsidRPr="00AA0C8B">
        <w:t>hen staff and VMOs are fatigued they are more likely to make mistakes.</w:t>
      </w:r>
      <w:r>
        <w:t xml:space="preserve"> This could include surgical errors, medication errors, or diagnostic </w:t>
      </w:r>
      <w:r>
        <w:lastRenderedPageBreak/>
        <w:t>errors. Staff and VMO fatigue can be a direct risk to patients and should be treated in the same manner as any other risk to patient safety.</w:t>
      </w:r>
    </w:p>
    <w:p w14:paraId="1E03F155" w14:textId="790BC01A" w:rsidR="00AF5DAC" w:rsidRPr="001F614B" w:rsidRDefault="00FF444B" w:rsidP="00AF5DAC">
      <w:pPr>
        <w:pStyle w:val="Body"/>
        <w:rPr>
          <w:b/>
          <w:bCs/>
        </w:rPr>
      </w:pPr>
      <w:r>
        <w:t xml:space="preserve">The department is considering whether the Regulations should be amended to </w:t>
      </w:r>
      <w:r w:rsidR="00EB7B5F">
        <w:t xml:space="preserve">include </w:t>
      </w:r>
      <w:r>
        <w:t>specific requirements to manag</w:t>
      </w:r>
      <w:r w:rsidR="00B4080D">
        <w:t>e</w:t>
      </w:r>
      <w:r>
        <w:t xml:space="preserve"> staff fatigue. For example, the Regulations could require clinical governance policies to </w:t>
      </w:r>
      <w:r w:rsidR="002975B5">
        <w:t>cover</w:t>
      </w:r>
      <w:r>
        <w:t xml:space="preserve"> </w:t>
      </w:r>
      <w:r w:rsidR="00AF5DAC">
        <w:t xml:space="preserve">management of </w:t>
      </w:r>
      <w:r>
        <w:t>staff fatigue</w:t>
      </w:r>
      <w:r w:rsidR="00AF5DAC">
        <w:t xml:space="preserve">, including </w:t>
      </w:r>
      <w:r w:rsidR="00C873C4">
        <w:t>how</w:t>
      </w:r>
      <w:r w:rsidR="00AF5DAC">
        <w:t xml:space="preserve"> the length of surgical lists will be controlled, when the facility will intervene to cap the length of the surgical list, and how cumulative fatigue over time and across campuses or facilities might be monitored.</w:t>
      </w:r>
    </w:p>
    <w:p w14:paraId="2CCC1BD4" w14:textId="77777777" w:rsidR="00BA5F6F" w:rsidRDefault="00BA5F6F" w:rsidP="00BA5F6F">
      <w:pPr>
        <w:pStyle w:val="Body"/>
      </w:pPr>
      <w:r>
        <w:t xml:space="preserve">It is not intended the Regulations would make the health service responsible for work that staff or VMOs may have performed elsewhere. However, such a scenario may still pose a risk to patients. It is worth noting that the Act holds the operator of the hospital or day procedure centre responsible for all patient treatment at its facility irrespective of who provides the treatment. </w:t>
      </w:r>
    </w:p>
    <w:p w14:paraId="53D13981" w14:textId="63AE6436" w:rsidR="00FF444B" w:rsidRPr="001F614B" w:rsidRDefault="00AF5DAC" w:rsidP="008E6C1E">
      <w:pPr>
        <w:pStyle w:val="Body"/>
        <w:rPr>
          <w:b/>
          <w:bCs/>
        </w:rPr>
      </w:pPr>
      <w:r>
        <w:t xml:space="preserve">The department is aware there may be arguments made </w:t>
      </w:r>
      <w:r w:rsidR="00943990">
        <w:t>for government to set</w:t>
      </w:r>
      <w:r w:rsidR="00FF444B">
        <w:t xml:space="preserve"> a maximum surgical list length (for example</w:t>
      </w:r>
      <w:r w:rsidR="00515CC1">
        <w:t>,</w:t>
      </w:r>
      <w:r w:rsidR="00FF444B">
        <w:t xml:space="preserve"> by anticipated hours to complete the list). </w:t>
      </w:r>
      <w:r>
        <w:t>It is noted that in the public and private sectors this would be complex. Many factors might impact on what a maximum length should be</w:t>
      </w:r>
      <w:r w:rsidR="009D00ED">
        <w:t>,</w:t>
      </w:r>
      <w:r>
        <w:t xml:space="preserve"> including the type of procedure(s) being performed. </w:t>
      </w:r>
      <w:r w:rsidR="00FF444B">
        <w:t xml:space="preserve">Exceptions would </w:t>
      </w:r>
      <w:r w:rsidR="005C4820">
        <w:t xml:space="preserve">likely </w:t>
      </w:r>
      <w:r w:rsidR="00FF444B">
        <w:t>also be required including</w:t>
      </w:r>
      <w:r w:rsidR="00527820">
        <w:t>,</w:t>
      </w:r>
      <w:r w:rsidR="00FF444B">
        <w:t xml:space="preserve"> for example</w:t>
      </w:r>
      <w:r w:rsidR="00527820">
        <w:t>,</w:t>
      </w:r>
      <w:r w:rsidR="00FF444B">
        <w:t xml:space="preserve"> for unplanned urgent surgery, where a single procedure is expected to take more than the maximum surgical list time</w:t>
      </w:r>
      <w:r>
        <w:t xml:space="preserve"> (for example</w:t>
      </w:r>
      <w:r w:rsidR="009A5945">
        <w:t>,</w:t>
      </w:r>
      <w:r>
        <w:t xml:space="preserve"> transplants)</w:t>
      </w:r>
      <w:r w:rsidR="00FF444B">
        <w:t>, or where one or more patients on the list experiences complications that delay the rest of the list.</w:t>
      </w:r>
      <w:r w:rsidR="000825DD">
        <w:t xml:space="preserve"> </w:t>
      </w:r>
    </w:p>
    <w:p w14:paraId="6F26E600" w14:textId="77777777" w:rsidR="00C123CB" w:rsidRDefault="00C123CB" w:rsidP="00FF444B">
      <w:pPr>
        <w:pStyle w:val="Body"/>
      </w:pPr>
    </w:p>
    <w:tbl>
      <w:tblPr>
        <w:tblStyle w:val="TableGrid"/>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2F2F2" w:themeFill="background1" w:themeFillShade="F2"/>
        <w:tblLook w:val="06A0" w:firstRow="1" w:lastRow="0" w:firstColumn="1" w:lastColumn="0" w:noHBand="1" w:noVBand="1"/>
      </w:tblPr>
      <w:tblGrid>
        <w:gridCol w:w="9268"/>
      </w:tblGrid>
      <w:tr w:rsidR="00FF444B" w:rsidRPr="004E21D8" w14:paraId="66260A2B" w14:textId="77777777" w:rsidTr="00BF54B6">
        <w:trPr>
          <w:tblHeader/>
        </w:trPr>
        <w:tc>
          <w:tcPr>
            <w:tcW w:w="5000" w:type="pct"/>
            <w:shd w:val="clear" w:color="auto" w:fill="F2F2F2" w:themeFill="background1" w:themeFillShade="F2"/>
          </w:tcPr>
          <w:p w14:paraId="7D98B35E" w14:textId="77777777" w:rsidR="00FF444B" w:rsidRPr="00D61458" w:rsidRDefault="00FF444B">
            <w:pPr>
              <w:pStyle w:val="Tablecolhead"/>
              <w:rPr>
                <w:rFonts w:cs="Arial"/>
                <w:szCs w:val="21"/>
              </w:rPr>
            </w:pPr>
            <w:r w:rsidRPr="00D61458">
              <w:rPr>
                <w:rFonts w:cs="Arial"/>
                <w:szCs w:val="21"/>
              </w:rPr>
              <w:t>Questions for consultation</w:t>
            </w:r>
          </w:p>
        </w:tc>
      </w:tr>
      <w:tr w:rsidR="00FF444B" w:rsidRPr="004E21D8" w14:paraId="48CD2166" w14:textId="77777777" w:rsidTr="00BF54B6">
        <w:tc>
          <w:tcPr>
            <w:tcW w:w="5000" w:type="pct"/>
            <w:shd w:val="clear" w:color="auto" w:fill="F2F2F2" w:themeFill="background1" w:themeFillShade="F2"/>
          </w:tcPr>
          <w:p w14:paraId="5C60F88C" w14:textId="12FA7793" w:rsidR="00FF444B" w:rsidRPr="00D61458" w:rsidRDefault="00FF444B" w:rsidP="00C132C8">
            <w:pPr>
              <w:pStyle w:val="ListParagraph"/>
              <w:numPr>
                <w:ilvl w:val="0"/>
                <w:numId w:val="11"/>
              </w:numPr>
              <w:spacing w:before="120" w:after="120" w:line="280" w:lineRule="atLeast"/>
              <w:ind w:left="357" w:hanging="357"/>
              <w:contextualSpacing w:val="0"/>
              <w:rPr>
                <w:rFonts w:ascii="Arial" w:hAnsi="Arial" w:cs="Arial"/>
                <w:sz w:val="21"/>
                <w:szCs w:val="21"/>
              </w:rPr>
            </w:pPr>
            <w:r w:rsidRPr="00D61458">
              <w:rPr>
                <w:rFonts w:ascii="Arial" w:hAnsi="Arial" w:cs="Arial"/>
                <w:sz w:val="21"/>
                <w:szCs w:val="21"/>
              </w:rPr>
              <w:t xml:space="preserve">Do you support </w:t>
            </w:r>
            <w:r w:rsidR="00DE2577">
              <w:rPr>
                <w:rFonts w:ascii="Arial" w:hAnsi="Arial" w:cs="Arial"/>
                <w:sz w:val="21"/>
                <w:szCs w:val="21"/>
              </w:rPr>
              <w:t xml:space="preserve">amending </w:t>
            </w:r>
            <w:r w:rsidRPr="00D61458">
              <w:rPr>
                <w:rFonts w:ascii="Arial" w:hAnsi="Arial" w:cs="Arial"/>
                <w:sz w:val="21"/>
                <w:szCs w:val="21"/>
              </w:rPr>
              <w:t xml:space="preserve">the Regulations to </w:t>
            </w:r>
            <w:r w:rsidR="00AF5DAC">
              <w:rPr>
                <w:rFonts w:ascii="Arial" w:hAnsi="Arial" w:cs="Arial"/>
                <w:sz w:val="21"/>
                <w:szCs w:val="21"/>
              </w:rPr>
              <w:t xml:space="preserve">require that the </w:t>
            </w:r>
            <w:r w:rsidR="00AF5DAC" w:rsidRPr="00D61458">
              <w:rPr>
                <w:rFonts w:ascii="Arial" w:hAnsi="Arial" w:cs="Arial"/>
                <w:sz w:val="21"/>
                <w:szCs w:val="21"/>
              </w:rPr>
              <w:t xml:space="preserve">clinical governance </w:t>
            </w:r>
            <w:r w:rsidR="00AF5DAC">
              <w:rPr>
                <w:rFonts w:ascii="Arial" w:hAnsi="Arial" w:cs="Arial"/>
                <w:sz w:val="21"/>
                <w:szCs w:val="21"/>
              </w:rPr>
              <w:t>protocols of a health service establishment must</w:t>
            </w:r>
            <w:r w:rsidR="00AF5DAC" w:rsidRPr="00D61458">
              <w:rPr>
                <w:rFonts w:ascii="Arial" w:hAnsi="Arial" w:cs="Arial"/>
                <w:sz w:val="21"/>
                <w:szCs w:val="21"/>
              </w:rPr>
              <w:t xml:space="preserve"> set out how staff and VMO fatigue </w:t>
            </w:r>
            <w:r w:rsidR="00AF5DAC">
              <w:rPr>
                <w:rFonts w:ascii="Arial" w:hAnsi="Arial" w:cs="Arial"/>
                <w:sz w:val="21"/>
                <w:szCs w:val="21"/>
              </w:rPr>
              <w:t xml:space="preserve">(including cumulative fatigue arising from work undertaken at multiple facilities) </w:t>
            </w:r>
            <w:r w:rsidR="00AF5DAC" w:rsidRPr="00D61458">
              <w:rPr>
                <w:rFonts w:ascii="Arial" w:hAnsi="Arial" w:cs="Arial"/>
                <w:sz w:val="21"/>
                <w:szCs w:val="21"/>
              </w:rPr>
              <w:t xml:space="preserve">is </w:t>
            </w:r>
            <w:r w:rsidR="004C09CF">
              <w:rPr>
                <w:rFonts w:ascii="Arial" w:hAnsi="Arial" w:cs="Arial"/>
                <w:sz w:val="21"/>
                <w:szCs w:val="21"/>
              </w:rPr>
              <w:t xml:space="preserve">monitored and </w:t>
            </w:r>
            <w:r w:rsidR="00AF5DAC" w:rsidRPr="00D61458">
              <w:rPr>
                <w:rFonts w:ascii="Arial" w:hAnsi="Arial" w:cs="Arial"/>
                <w:sz w:val="21"/>
                <w:szCs w:val="21"/>
              </w:rPr>
              <w:t>managed</w:t>
            </w:r>
            <w:r w:rsidRPr="00D61458">
              <w:rPr>
                <w:rFonts w:ascii="Arial" w:hAnsi="Arial" w:cs="Arial"/>
                <w:sz w:val="21"/>
                <w:szCs w:val="21"/>
              </w:rPr>
              <w:t>? If yes, why? If not, why not?</w:t>
            </w:r>
          </w:p>
          <w:p w14:paraId="59BD28A5" w14:textId="46DDA1A5" w:rsidR="00FF444B" w:rsidRPr="00753B5E" w:rsidRDefault="00AF5DAC" w:rsidP="00753B5E">
            <w:pPr>
              <w:pStyle w:val="ListParagraph"/>
              <w:numPr>
                <w:ilvl w:val="0"/>
                <w:numId w:val="11"/>
              </w:numPr>
              <w:spacing w:after="120"/>
              <w:ind w:left="357" w:hanging="357"/>
              <w:rPr>
                <w:rFonts w:ascii="Arial" w:hAnsi="Arial" w:cs="Arial"/>
                <w:sz w:val="21"/>
                <w:szCs w:val="21"/>
              </w:rPr>
            </w:pPr>
            <w:r w:rsidRPr="00753B5E">
              <w:rPr>
                <w:rFonts w:ascii="Arial" w:hAnsi="Arial" w:cs="Arial"/>
                <w:sz w:val="21"/>
                <w:szCs w:val="21"/>
              </w:rPr>
              <w:t>Do you have any comments on the benefits and implications of setting (in clinical governance protocols or centrally in government requirements) a maximum</w:t>
            </w:r>
            <w:r w:rsidR="00C2111B">
              <w:rPr>
                <w:rFonts w:ascii="Arial" w:hAnsi="Arial" w:cs="Arial"/>
                <w:sz w:val="21"/>
                <w:szCs w:val="21"/>
              </w:rPr>
              <w:t xml:space="preserve"> </w:t>
            </w:r>
            <w:r w:rsidR="00C2111B" w:rsidRPr="009A5945">
              <w:rPr>
                <w:rFonts w:ascii="Arial" w:hAnsi="Arial" w:cs="Arial"/>
                <w:sz w:val="21"/>
                <w:szCs w:val="21"/>
              </w:rPr>
              <w:t>length for</w:t>
            </w:r>
            <w:r w:rsidRPr="00753B5E">
              <w:rPr>
                <w:rFonts w:ascii="Arial" w:hAnsi="Arial" w:cs="Arial"/>
                <w:sz w:val="21"/>
                <w:szCs w:val="21"/>
              </w:rPr>
              <w:t xml:space="preserve"> surgical lis</w:t>
            </w:r>
            <w:r w:rsidR="00C2111B">
              <w:rPr>
                <w:rFonts w:ascii="Arial" w:hAnsi="Arial" w:cs="Arial"/>
                <w:sz w:val="21"/>
                <w:szCs w:val="21"/>
              </w:rPr>
              <w:t>ts</w:t>
            </w:r>
            <w:r w:rsidRPr="00753B5E">
              <w:rPr>
                <w:rFonts w:ascii="Arial" w:hAnsi="Arial" w:cs="Arial"/>
                <w:sz w:val="21"/>
                <w:szCs w:val="21"/>
              </w:rPr>
              <w:t xml:space="preserve">? </w:t>
            </w:r>
          </w:p>
        </w:tc>
      </w:tr>
    </w:tbl>
    <w:p w14:paraId="0082E781" w14:textId="4323F550" w:rsidR="00FF444B" w:rsidRPr="00F45204" w:rsidRDefault="00FF444B" w:rsidP="00FF444B">
      <w:pPr>
        <w:pStyle w:val="Heading2"/>
      </w:pPr>
      <w:bookmarkStart w:id="79" w:name="_Toc131161806"/>
      <w:bookmarkStart w:id="80" w:name="_Toc143272016"/>
      <w:r>
        <w:t>3.</w:t>
      </w:r>
      <w:r w:rsidR="00FC5502">
        <w:t>7</w:t>
      </w:r>
      <w:r>
        <w:t xml:space="preserve"> </w:t>
      </w:r>
      <w:r w:rsidRPr="00F45204">
        <w:t xml:space="preserve">Nurse </w:t>
      </w:r>
      <w:r>
        <w:t>professional development</w:t>
      </w:r>
      <w:bookmarkEnd w:id="79"/>
      <w:bookmarkEnd w:id="80"/>
    </w:p>
    <w:p w14:paraId="38F7F37D" w14:textId="18A7EA35" w:rsidR="00FF444B" w:rsidRDefault="00FF444B" w:rsidP="00161CE9">
      <w:pPr>
        <w:pStyle w:val="Body"/>
      </w:pPr>
      <w:r>
        <w:t>The department understands that approaches to the ongoing education of nursing and midwifery staff vary across private hospitals and day procedure centres.</w:t>
      </w:r>
    </w:p>
    <w:p w14:paraId="1B44E206" w14:textId="2BB4075C" w:rsidR="00FF444B" w:rsidRDefault="00FF444B" w:rsidP="00161CE9">
      <w:pPr>
        <w:pStyle w:val="Body"/>
      </w:pPr>
      <w:r>
        <w:t>The department is considering whether there should be specific mandatory requirements in re</w:t>
      </w:r>
      <w:r w:rsidDel="006414A9">
        <w:t>l</w:t>
      </w:r>
      <w:r>
        <w:t>ation to ongoing nurse education. For example, there could be a requirement for this to be addressed in clinical governance policies and procedures (and the department understands many facilities already do this).</w:t>
      </w:r>
    </w:p>
    <w:p w14:paraId="5A1FB8E5" w14:textId="77777777" w:rsidR="00EC671B" w:rsidRDefault="00EC671B" w:rsidP="00161CE9">
      <w:pPr>
        <w:pStyle w:val="Body"/>
      </w:pPr>
    </w:p>
    <w:tbl>
      <w:tblPr>
        <w:tblStyle w:val="TableGrid"/>
        <w:tblW w:w="5000" w:type="pct"/>
        <w:shd w:val="clear" w:color="auto" w:fill="F2F2F2" w:themeFill="background1" w:themeFillShade="F2"/>
        <w:tblLook w:val="06A0" w:firstRow="1" w:lastRow="0" w:firstColumn="1" w:lastColumn="0" w:noHBand="1" w:noVBand="1"/>
      </w:tblPr>
      <w:tblGrid>
        <w:gridCol w:w="9268"/>
      </w:tblGrid>
      <w:tr w:rsidR="00FF444B" w:rsidRPr="004E21D8" w14:paraId="562660EB" w14:textId="77777777">
        <w:trPr>
          <w:tblHeader/>
        </w:trPr>
        <w:tc>
          <w:tcPr>
            <w:tcW w:w="5000" w:type="pct"/>
            <w:tcBorders>
              <w:top w:val="single" w:sz="12" w:space="0" w:color="auto"/>
              <w:left w:val="single" w:sz="12" w:space="0" w:color="auto"/>
              <w:bottom w:val="nil"/>
              <w:right w:val="single" w:sz="12" w:space="0" w:color="auto"/>
            </w:tcBorders>
            <w:shd w:val="clear" w:color="auto" w:fill="F2F2F2" w:themeFill="background1" w:themeFillShade="F2"/>
          </w:tcPr>
          <w:p w14:paraId="3C9FB66E" w14:textId="77777777" w:rsidR="00FF444B" w:rsidRPr="00D61458" w:rsidRDefault="00FF444B">
            <w:pPr>
              <w:pStyle w:val="Tablecolhead"/>
              <w:rPr>
                <w:rFonts w:cs="Arial"/>
                <w:szCs w:val="21"/>
              </w:rPr>
            </w:pPr>
            <w:r w:rsidRPr="00D61458">
              <w:rPr>
                <w:rFonts w:cs="Arial"/>
                <w:szCs w:val="21"/>
              </w:rPr>
              <w:t>Questions for consultation</w:t>
            </w:r>
          </w:p>
        </w:tc>
      </w:tr>
      <w:tr w:rsidR="00FF444B" w:rsidRPr="004E21D8" w14:paraId="37269562" w14:textId="77777777">
        <w:tc>
          <w:tcPr>
            <w:tcW w:w="5000" w:type="pct"/>
            <w:tcBorders>
              <w:top w:val="nil"/>
              <w:left w:val="single" w:sz="12" w:space="0" w:color="auto"/>
              <w:bottom w:val="single" w:sz="12" w:space="0" w:color="auto"/>
              <w:right w:val="single" w:sz="12" w:space="0" w:color="auto"/>
            </w:tcBorders>
            <w:shd w:val="clear" w:color="auto" w:fill="F2F2F2" w:themeFill="background1" w:themeFillShade="F2"/>
          </w:tcPr>
          <w:p w14:paraId="1960F1BD" w14:textId="17ACAA89" w:rsidR="00FF444B" w:rsidRPr="00D61458" w:rsidRDefault="00FF444B" w:rsidP="00C132C8">
            <w:pPr>
              <w:pStyle w:val="ListParagraph"/>
              <w:numPr>
                <w:ilvl w:val="0"/>
                <w:numId w:val="11"/>
              </w:numPr>
              <w:spacing w:before="120" w:after="120" w:line="280" w:lineRule="atLeast"/>
              <w:ind w:left="357" w:hanging="357"/>
              <w:contextualSpacing w:val="0"/>
              <w:rPr>
                <w:rFonts w:ascii="Arial" w:hAnsi="Arial" w:cs="Arial"/>
                <w:sz w:val="21"/>
                <w:szCs w:val="21"/>
              </w:rPr>
            </w:pPr>
            <w:r w:rsidRPr="00D61458">
              <w:rPr>
                <w:rFonts w:ascii="Arial" w:hAnsi="Arial" w:cs="Arial"/>
                <w:sz w:val="21"/>
                <w:szCs w:val="21"/>
              </w:rPr>
              <w:t xml:space="preserve">Do you support </w:t>
            </w:r>
            <w:r w:rsidR="0010411C">
              <w:rPr>
                <w:rFonts w:ascii="Arial" w:hAnsi="Arial" w:cs="Arial"/>
                <w:sz w:val="21"/>
                <w:szCs w:val="21"/>
              </w:rPr>
              <w:t xml:space="preserve">amending </w:t>
            </w:r>
            <w:r>
              <w:rPr>
                <w:rFonts w:ascii="Arial" w:hAnsi="Arial" w:cs="Arial"/>
                <w:sz w:val="21"/>
                <w:szCs w:val="21"/>
              </w:rPr>
              <w:t xml:space="preserve">the Regulations to include </w:t>
            </w:r>
            <w:r w:rsidRPr="00D61458">
              <w:rPr>
                <w:rFonts w:ascii="Arial" w:hAnsi="Arial" w:cs="Arial"/>
                <w:sz w:val="21"/>
                <w:szCs w:val="21"/>
              </w:rPr>
              <w:t>mandatory requirements for the ongoing education of nursing and midwifery staff working at private hospitals and day procedure centres. If so, why? If not, why not?</w:t>
            </w:r>
          </w:p>
        </w:tc>
      </w:tr>
    </w:tbl>
    <w:p w14:paraId="5E3DB381" w14:textId="01B720E7" w:rsidR="00FF444B" w:rsidRDefault="00FF444B" w:rsidP="00FF444B">
      <w:pPr>
        <w:pStyle w:val="Heading2"/>
      </w:pPr>
      <w:bookmarkStart w:id="81" w:name="_Toc131161807"/>
      <w:bookmarkStart w:id="82" w:name="_Toc143272017"/>
      <w:r>
        <w:lastRenderedPageBreak/>
        <w:t>3.</w:t>
      </w:r>
      <w:r w:rsidR="00FC5502">
        <w:t>8</w:t>
      </w:r>
      <w:r>
        <w:t xml:space="preserve"> Quality and safety committees</w:t>
      </w:r>
      <w:bookmarkEnd w:id="81"/>
      <w:bookmarkEnd w:id="82"/>
    </w:p>
    <w:p w14:paraId="001C5314" w14:textId="263CF713" w:rsidR="00FF444B" w:rsidRDefault="00FF444B" w:rsidP="00FF444B">
      <w:pPr>
        <w:pStyle w:val="Body"/>
      </w:pPr>
      <w:r>
        <w:t xml:space="preserve">The quality and safety protocol requirements in the Regulations (r.7A) include that the protocols must set the frequency and procedures for meetings of committees that have responsibility for the quality and safety of health services provided at the private hospital or day procedure centre (r.7A(3)(f)). In addition, the Regulations (r.48) require the proprietor of a health service to record in writing and review at least every three months information in relation to the decisions and actions taken for the purposes of improving the quality and safety of health services provided. As previously noted, private hospitals and day procedure centres are diverse in location, size, services provided, and patient acuity. Therefore, in practice, the committee </w:t>
      </w:r>
      <w:r w:rsidR="0035397E">
        <w:t>responsible</w:t>
      </w:r>
      <w:r>
        <w:t xml:space="preserve"> for quality and safety may take various forms across health services</w:t>
      </w:r>
      <w:r w:rsidR="0082605E">
        <w:t xml:space="preserve">– for example, </w:t>
      </w:r>
      <w:r>
        <w:t xml:space="preserve">a medical advisory committee (MAC), a quality and safety committee or health service board. </w:t>
      </w:r>
    </w:p>
    <w:p w14:paraId="59ABD95E" w14:textId="0BE42F9B" w:rsidR="00FF444B" w:rsidRDefault="00FF444B" w:rsidP="00FF444B">
      <w:pPr>
        <w:pStyle w:val="Body"/>
      </w:pPr>
      <w:r>
        <w:t xml:space="preserve">The department is considering whether additional requirements for the committee with responsibility for quality and safety would improve patient safety. For example, setting a minimum meeting frequency requirement (such as once every three months) or requiring the committee Chair to have no financial (or </w:t>
      </w:r>
      <w:r w:rsidRPr="0099649A">
        <w:t>pecuniary</w:t>
      </w:r>
      <w:r>
        <w:t>) interest in the health service facility. The department understands that some committees responsible for quality and safety (such as a MAC) meet annually. Some stakeholders may consider an annual meeting to be too infrequent to be able to effectively govern quality and safety in a health service.</w:t>
      </w:r>
    </w:p>
    <w:p w14:paraId="4F75C7FF" w14:textId="09CA5C21" w:rsidR="63FFFF58" w:rsidRDefault="00FF444B" w:rsidP="00C123CB">
      <w:pPr>
        <w:pStyle w:val="Body"/>
      </w:pPr>
      <w:r>
        <w:t xml:space="preserve">The department </w:t>
      </w:r>
      <w:r w:rsidR="000115DB">
        <w:t>seek</w:t>
      </w:r>
      <w:r w:rsidR="005327A9">
        <w:t>s</w:t>
      </w:r>
      <w:r w:rsidR="000115DB">
        <w:t xml:space="preserve"> feedback</w:t>
      </w:r>
      <w:r>
        <w:t xml:space="preserve"> about how committees responsible for quality and safety currently operate in diverse private hospitals and day procedure centres, whether the operation of these committees could be improved to protect patients from harm, and what additional requirements may improve patient safety. </w:t>
      </w:r>
    </w:p>
    <w:p w14:paraId="33F1CBDE" w14:textId="77777777" w:rsidR="004F5D18" w:rsidRDefault="004F5D18" w:rsidP="00C123CB">
      <w:pPr>
        <w:pStyle w:val="Body"/>
      </w:pPr>
    </w:p>
    <w:tbl>
      <w:tblPr>
        <w:tblStyle w:val="TableGrid"/>
        <w:tblW w:w="5000" w:type="pct"/>
        <w:shd w:val="clear" w:color="auto" w:fill="F2F2F2" w:themeFill="background1" w:themeFillShade="F2"/>
        <w:tblLook w:val="06A0" w:firstRow="1" w:lastRow="0" w:firstColumn="1" w:lastColumn="0" w:noHBand="1" w:noVBand="1"/>
      </w:tblPr>
      <w:tblGrid>
        <w:gridCol w:w="9268"/>
      </w:tblGrid>
      <w:tr w:rsidR="00FF444B" w:rsidRPr="004E21D8" w14:paraId="29E94278" w14:textId="77777777">
        <w:trPr>
          <w:tblHeader/>
        </w:trPr>
        <w:tc>
          <w:tcPr>
            <w:tcW w:w="5000" w:type="pct"/>
            <w:tcBorders>
              <w:top w:val="single" w:sz="12" w:space="0" w:color="auto"/>
              <w:left w:val="single" w:sz="12" w:space="0" w:color="auto"/>
              <w:bottom w:val="nil"/>
              <w:right w:val="single" w:sz="12" w:space="0" w:color="auto"/>
            </w:tcBorders>
            <w:shd w:val="clear" w:color="auto" w:fill="F2F2F2" w:themeFill="background1" w:themeFillShade="F2"/>
          </w:tcPr>
          <w:p w14:paraId="20E5C5FD" w14:textId="77777777" w:rsidR="00FF444B" w:rsidRPr="00D61458" w:rsidRDefault="00FF444B">
            <w:pPr>
              <w:pStyle w:val="Tablecolhead"/>
              <w:rPr>
                <w:rFonts w:cs="Arial"/>
                <w:szCs w:val="21"/>
              </w:rPr>
            </w:pPr>
            <w:r w:rsidRPr="00D61458">
              <w:rPr>
                <w:rFonts w:cs="Arial"/>
                <w:szCs w:val="21"/>
              </w:rPr>
              <w:t>Questions for consultation</w:t>
            </w:r>
          </w:p>
        </w:tc>
      </w:tr>
      <w:tr w:rsidR="00FF444B" w:rsidRPr="004E21D8" w14:paraId="277571F4" w14:textId="77777777">
        <w:tc>
          <w:tcPr>
            <w:tcW w:w="5000" w:type="pct"/>
            <w:tcBorders>
              <w:top w:val="nil"/>
              <w:left w:val="single" w:sz="12" w:space="0" w:color="auto"/>
              <w:bottom w:val="single" w:sz="12" w:space="0" w:color="auto"/>
              <w:right w:val="single" w:sz="12" w:space="0" w:color="auto"/>
            </w:tcBorders>
            <w:shd w:val="clear" w:color="auto" w:fill="F2F2F2" w:themeFill="background1" w:themeFillShade="F2"/>
          </w:tcPr>
          <w:p w14:paraId="74A7BAF9" w14:textId="77777777" w:rsidR="00FF444B" w:rsidRDefault="00FF444B" w:rsidP="00C132C8">
            <w:pPr>
              <w:pStyle w:val="ListParagraph"/>
              <w:numPr>
                <w:ilvl w:val="0"/>
                <w:numId w:val="11"/>
              </w:numPr>
              <w:spacing w:before="120" w:after="120" w:line="280" w:lineRule="atLeast"/>
              <w:ind w:left="357" w:hanging="357"/>
              <w:contextualSpacing w:val="0"/>
              <w:rPr>
                <w:rFonts w:ascii="Arial" w:hAnsi="Arial" w:cs="Arial"/>
                <w:sz w:val="21"/>
                <w:szCs w:val="21"/>
              </w:rPr>
            </w:pPr>
            <w:r>
              <w:rPr>
                <w:rFonts w:ascii="Arial" w:hAnsi="Arial" w:cs="Arial"/>
                <w:sz w:val="21"/>
                <w:szCs w:val="21"/>
              </w:rPr>
              <w:t>How does the requirement for a committee with responsibility for quality and safety currently work in practice across diverse private hospitals and day procedure centres?</w:t>
            </w:r>
          </w:p>
          <w:p w14:paraId="61BCEA4D" w14:textId="64E8021A" w:rsidR="00FF444B" w:rsidRPr="00CE6E23" w:rsidRDefault="00FF444B" w:rsidP="00C132C8">
            <w:pPr>
              <w:pStyle w:val="ListParagraph"/>
              <w:numPr>
                <w:ilvl w:val="0"/>
                <w:numId w:val="11"/>
              </w:numPr>
              <w:spacing w:after="120" w:line="280" w:lineRule="atLeast"/>
              <w:ind w:left="357" w:hanging="357"/>
              <w:contextualSpacing w:val="0"/>
              <w:rPr>
                <w:rFonts w:ascii="Arial" w:hAnsi="Arial" w:cs="Arial"/>
                <w:sz w:val="21"/>
                <w:szCs w:val="21"/>
              </w:rPr>
            </w:pPr>
            <w:r w:rsidRPr="778B9E83">
              <w:rPr>
                <w:rFonts w:ascii="Arial" w:hAnsi="Arial" w:cs="Arial"/>
                <w:sz w:val="21"/>
                <w:szCs w:val="21"/>
              </w:rPr>
              <w:t xml:space="preserve">Could mandatory requirements in the Regulations for the committee responsible for quality and safety </w:t>
            </w:r>
            <w:r w:rsidR="00F86A07" w:rsidRPr="778B9E83">
              <w:rPr>
                <w:rFonts w:ascii="Arial" w:hAnsi="Arial" w:cs="Arial"/>
                <w:sz w:val="21"/>
                <w:szCs w:val="21"/>
              </w:rPr>
              <w:t xml:space="preserve">improve patient safety </w:t>
            </w:r>
            <w:r w:rsidR="00F86A07">
              <w:rPr>
                <w:rFonts w:ascii="Arial" w:hAnsi="Arial" w:cs="Arial"/>
                <w:sz w:val="21"/>
                <w:szCs w:val="21"/>
              </w:rPr>
              <w:t xml:space="preserve">– for example, </w:t>
            </w:r>
            <w:r w:rsidRPr="778B9E83">
              <w:rPr>
                <w:rFonts w:ascii="Arial" w:hAnsi="Arial" w:cs="Arial"/>
                <w:sz w:val="21"/>
                <w:szCs w:val="21"/>
              </w:rPr>
              <w:t xml:space="preserve">a minimum meeting frequency </w:t>
            </w:r>
            <w:r>
              <w:rPr>
                <w:rFonts w:ascii="Arial" w:hAnsi="Arial" w:cs="Arial"/>
                <w:sz w:val="21"/>
                <w:szCs w:val="21"/>
              </w:rPr>
              <w:t xml:space="preserve">of once every three months </w:t>
            </w:r>
            <w:r w:rsidRPr="778B9E83">
              <w:rPr>
                <w:rFonts w:ascii="Arial" w:hAnsi="Arial" w:cs="Arial"/>
                <w:sz w:val="21"/>
                <w:szCs w:val="21"/>
              </w:rPr>
              <w:t xml:space="preserve">or </w:t>
            </w:r>
            <w:r>
              <w:rPr>
                <w:rFonts w:ascii="Arial" w:hAnsi="Arial" w:cs="Arial"/>
                <w:sz w:val="21"/>
                <w:szCs w:val="21"/>
              </w:rPr>
              <w:t xml:space="preserve">a </w:t>
            </w:r>
            <w:r w:rsidRPr="778B9E83">
              <w:rPr>
                <w:rFonts w:ascii="Arial" w:hAnsi="Arial" w:cs="Arial"/>
                <w:sz w:val="21"/>
                <w:szCs w:val="21"/>
              </w:rPr>
              <w:t>requirement for a</w:t>
            </w:r>
            <w:r>
              <w:rPr>
                <w:rFonts w:ascii="Arial" w:hAnsi="Arial" w:cs="Arial"/>
                <w:sz w:val="21"/>
                <w:szCs w:val="21"/>
              </w:rPr>
              <w:t xml:space="preserve"> Chair with no financial interest in the health service</w:t>
            </w:r>
            <w:r w:rsidRPr="778B9E83">
              <w:rPr>
                <w:rFonts w:ascii="Arial" w:hAnsi="Arial" w:cs="Arial"/>
                <w:sz w:val="21"/>
                <w:szCs w:val="21"/>
              </w:rPr>
              <w:t>?</w:t>
            </w:r>
          </w:p>
        </w:tc>
      </w:tr>
    </w:tbl>
    <w:p w14:paraId="1203B050" w14:textId="6B2DD336" w:rsidR="00CA7454" w:rsidRDefault="00CA7454" w:rsidP="00CA7454">
      <w:pPr>
        <w:pStyle w:val="Heading2"/>
      </w:pPr>
      <w:bookmarkStart w:id="83" w:name="_Toc143272018"/>
      <w:r>
        <w:t>3.</w:t>
      </w:r>
      <w:r w:rsidR="00FC5502">
        <w:t>9</w:t>
      </w:r>
      <w:r>
        <w:t xml:space="preserve"> Adjunct diagnostic services</w:t>
      </w:r>
      <w:bookmarkEnd w:id="83"/>
    </w:p>
    <w:p w14:paraId="1BF27FD0" w14:textId="3B59111B" w:rsidR="002B35A4" w:rsidRDefault="006D5C07" w:rsidP="0026356C">
      <w:pPr>
        <w:pStyle w:val="Body"/>
      </w:pPr>
      <w:r>
        <w:t xml:space="preserve">The department is considering whether </w:t>
      </w:r>
      <w:r w:rsidR="007F192F">
        <w:t xml:space="preserve">the </w:t>
      </w:r>
      <w:r w:rsidR="005B6B47">
        <w:t>requirements for</w:t>
      </w:r>
      <w:r w:rsidR="007F192F">
        <w:t xml:space="preserve"> </w:t>
      </w:r>
      <w:r w:rsidR="00A96B21">
        <w:t xml:space="preserve">quality and safety protocols </w:t>
      </w:r>
      <w:r w:rsidR="00365675">
        <w:t>in the Regulations (r.7A)</w:t>
      </w:r>
      <w:r w:rsidR="00801E52">
        <w:t xml:space="preserve"> </w:t>
      </w:r>
      <w:r w:rsidR="00BA7420">
        <w:t>could</w:t>
      </w:r>
      <w:r w:rsidR="0046590D">
        <w:t xml:space="preserve"> be amended to reflect </w:t>
      </w:r>
      <w:r w:rsidR="00787EB1">
        <w:t xml:space="preserve">the fact that </w:t>
      </w:r>
      <w:r w:rsidR="004A20E6">
        <w:t xml:space="preserve">safe and </w:t>
      </w:r>
      <w:r w:rsidR="00787EB1">
        <w:t>comprehensive</w:t>
      </w:r>
      <w:r w:rsidR="00F70635">
        <w:t xml:space="preserve"> patient care </w:t>
      </w:r>
      <w:r w:rsidR="00417DE6">
        <w:t xml:space="preserve">may depend on </w:t>
      </w:r>
      <w:r w:rsidR="00377E46">
        <w:t>time</w:t>
      </w:r>
      <w:r w:rsidR="002C7773">
        <w:t xml:space="preserve">ly </w:t>
      </w:r>
      <w:r w:rsidR="00CD043B">
        <w:t xml:space="preserve">access to </w:t>
      </w:r>
      <w:r w:rsidR="003A3452">
        <w:t xml:space="preserve">adjunct diagnostic services </w:t>
      </w:r>
      <w:r w:rsidR="00F812F8">
        <w:t xml:space="preserve">such as </w:t>
      </w:r>
      <w:r w:rsidR="005559FE">
        <w:t>pathology or radiology.</w:t>
      </w:r>
      <w:r w:rsidR="00390732">
        <w:t xml:space="preserve"> These services may be </w:t>
      </w:r>
      <w:r w:rsidR="005E0480">
        <w:t>delivered</w:t>
      </w:r>
      <w:r w:rsidR="00390732">
        <w:t xml:space="preserve"> </w:t>
      </w:r>
      <w:r w:rsidR="00B37AAE">
        <w:t>by</w:t>
      </w:r>
      <w:r w:rsidR="00390732">
        <w:t xml:space="preserve"> the health </w:t>
      </w:r>
      <w:r w:rsidR="000343A0">
        <w:t>service establishment</w:t>
      </w:r>
      <w:r w:rsidR="00390732">
        <w:t xml:space="preserve"> or may be </w:t>
      </w:r>
      <w:r w:rsidR="00E659D7">
        <w:t xml:space="preserve">supplied </w:t>
      </w:r>
      <w:r w:rsidR="00BA1982">
        <w:t>by external providers.</w:t>
      </w:r>
      <w:r w:rsidR="00E97F2B">
        <w:t xml:space="preserve"> In either case, </w:t>
      </w:r>
      <w:r w:rsidR="00D13922">
        <w:t xml:space="preserve">these services should be </w:t>
      </w:r>
      <w:r w:rsidR="00513FE8">
        <w:t xml:space="preserve">reliable, </w:t>
      </w:r>
      <w:r w:rsidR="003670A8">
        <w:t>prompt</w:t>
      </w:r>
      <w:r w:rsidR="00513FE8">
        <w:t xml:space="preserve"> and </w:t>
      </w:r>
      <w:r w:rsidR="00D34F08">
        <w:t>available when needed</w:t>
      </w:r>
      <w:r w:rsidR="00513FE8">
        <w:t xml:space="preserve"> </w:t>
      </w:r>
      <w:r w:rsidR="00287D39">
        <w:t>to ensure patient safety.</w:t>
      </w:r>
    </w:p>
    <w:p w14:paraId="29064FEE" w14:textId="45EACC8A" w:rsidR="008C307B" w:rsidRDefault="005F7270" w:rsidP="008906F2">
      <w:pPr>
        <w:pStyle w:val="Body"/>
      </w:pPr>
      <w:r>
        <w:t>T</w:t>
      </w:r>
      <w:r w:rsidR="009F2C70">
        <w:t xml:space="preserve">he Regulations already require health service establishment </w:t>
      </w:r>
      <w:r w:rsidR="007734B9">
        <w:t xml:space="preserve">protocols to include </w:t>
      </w:r>
      <w:r w:rsidR="00AC74D5">
        <w:t>‘</w:t>
      </w:r>
      <w:r w:rsidR="007734B9">
        <w:t xml:space="preserve">processes for continually </w:t>
      </w:r>
      <w:r w:rsidR="008906F2">
        <w:t>assessing the</w:t>
      </w:r>
      <w:r w:rsidR="000C48A0">
        <w:t xml:space="preserve"> </w:t>
      </w:r>
      <w:r w:rsidR="008906F2">
        <w:t>capacity of the health service establishment</w:t>
      </w:r>
      <w:r w:rsidR="000C48A0">
        <w:t xml:space="preserve"> </w:t>
      </w:r>
      <w:r w:rsidR="008906F2">
        <w:t>to provide safe, patient-centred and</w:t>
      </w:r>
      <w:r w:rsidR="000C48A0">
        <w:t xml:space="preserve"> </w:t>
      </w:r>
      <w:r w:rsidR="008906F2">
        <w:t>appropriate health services to patients at</w:t>
      </w:r>
      <w:r w:rsidR="000C48A0">
        <w:t xml:space="preserve"> </w:t>
      </w:r>
      <w:r w:rsidR="008906F2">
        <w:t>each of its premises</w:t>
      </w:r>
      <w:r w:rsidR="00AC74D5">
        <w:t>’</w:t>
      </w:r>
      <w:r w:rsidR="003A65ED">
        <w:t xml:space="preserve"> (r.7A</w:t>
      </w:r>
      <w:r w:rsidR="005E1F09">
        <w:t>(</w:t>
      </w:r>
      <w:r w:rsidR="00721F72">
        <w:t>3)</w:t>
      </w:r>
      <w:r w:rsidR="008F7729">
        <w:t>(e</w:t>
      </w:r>
      <w:r w:rsidR="00553A2B">
        <w:t>)</w:t>
      </w:r>
      <w:r>
        <w:t xml:space="preserve">. </w:t>
      </w:r>
      <w:r w:rsidR="0044297F">
        <w:t>As t</w:t>
      </w:r>
      <w:r w:rsidR="008F7729">
        <w:t>h</w:t>
      </w:r>
      <w:r w:rsidR="0044297F">
        <w:t xml:space="preserve">is regulation does not explicitly cover adjunct </w:t>
      </w:r>
      <w:r w:rsidR="0005579C">
        <w:t xml:space="preserve">diagnostic </w:t>
      </w:r>
      <w:r w:rsidR="0044297F">
        <w:t xml:space="preserve">services provided off-site or by third parties, the </w:t>
      </w:r>
      <w:r w:rsidR="008F7729">
        <w:t xml:space="preserve">department seeks </w:t>
      </w:r>
      <w:r w:rsidR="00BE3B21">
        <w:t>feedback on whether a</w:t>
      </w:r>
      <w:r w:rsidR="0044297F">
        <w:t>n additional requirement should be introduced</w:t>
      </w:r>
      <w:r w:rsidR="003820A0">
        <w:t xml:space="preserve"> </w:t>
      </w:r>
      <w:r w:rsidR="00AD6EC0">
        <w:t>–</w:t>
      </w:r>
      <w:r w:rsidR="003820A0">
        <w:t xml:space="preserve"> for example, a requirement that health service establishment</w:t>
      </w:r>
      <w:r w:rsidR="00187A00">
        <w:t xml:space="preserve"> protocols include </w:t>
      </w:r>
      <w:r w:rsidR="005D396B">
        <w:t xml:space="preserve">processes for </w:t>
      </w:r>
      <w:r w:rsidR="00E219D0">
        <w:t xml:space="preserve">assessing </w:t>
      </w:r>
      <w:r w:rsidR="00E219D0">
        <w:lastRenderedPageBreak/>
        <w:t xml:space="preserve">the </w:t>
      </w:r>
      <w:r w:rsidR="006D6FC1">
        <w:t>reliability</w:t>
      </w:r>
      <w:r w:rsidR="00AD0A57">
        <w:t>,</w:t>
      </w:r>
      <w:r w:rsidR="00E936F1">
        <w:t xml:space="preserve"> </w:t>
      </w:r>
      <w:r w:rsidR="00AD0A57">
        <w:t xml:space="preserve">availability and timeliness of adjunct diagnostic services, whether provided by the </w:t>
      </w:r>
      <w:r w:rsidR="0012468B">
        <w:t xml:space="preserve">health service establishment or </w:t>
      </w:r>
      <w:r w:rsidR="00B23096">
        <w:t xml:space="preserve">an </w:t>
      </w:r>
      <w:r w:rsidR="0012468B">
        <w:t>external supplier.</w:t>
      </w:r>
    </w:p>
    <w:p w14:paraId="1B91ED5A" w14:textId="6413FC6F" w:rsidR="00D20F0F" w:rsidRDefault="00B23096" w:rsidP="008906F2">
      <w:pPr>
        <w:pStyle w:val="Body"/>
      </w:pPr>
      <w:r>
        <w:t xml:space="preserve">The </w:t>
      </w:r>
      <w:r w:rsidR="00406DC3">
        <w:t xml:space="preserve">department </w:t>
      </w:r>
      <w:r w:rsidR="003C2532">
        <w:t>review</w:t>
      </w:r>
      <w:r w:rsidR="00406DC3">
        <w:t xml:space="preserve">s </w:t>
      </w:r>
      <w:r w:rsidR="00D76300">
        <w:t>health service establishment</w:t>
      </w:r>
      <w:r w:rsidR="006E7988">
        <w:t>s’</w:t>
      </w:r>
      <w:r w:rsidR="00D76300">
        <w:t xml:space="preserve"> </w:t>
      </w:r>
      <w:r w:rsidR="00CF1A9A">
        <w:t xml:space="preserve">quality and safety </w:t>
      </w:r>
      <w:r w:rsidR="00D76300">
        <w:t xml:space="preserve">protocols as part of registration </w:t>
      </w:r>
      <w:r w:rsidR="00C40C37">
        <w:t>application and renewal</w:t>
      </w:r>
      <w:r w:rsidR="00D76300">
        <w:t xml:space="preserve"> process</w:t>
      </w:r>
      <w:r w:rsidR="00C40C37">
        <w:t>es</w:t>
      </w:r>
      <w:r w:rsidR="00D76300">
        <w:t xml:space="preserve"> </w:t>
      </w:r>
      <w:r w:rsidR="00797391">
        <w:t>and</w:t>
      </w:r>
      <w:r w:rsidR="00D76300">
        <w:t xml:space="preserve"> </w:t>
      </w:r>
      <w:r w:rsidR="007B2043">
        <w:t xml:space="preserve">during other regulatory interventions where required. </w:t>
      </w:r>
      <w:r w:rsidR="000B423E">
        <w:t xml:space="preserve">By including </w:t>
      </w:r>
      <w:r w:rsidR="00C84DAA">
        <w:t>the proposed</w:t>
      </w:r>
      <w:r w:rsidR="000B423E">
        <w:t xml:space="preserve"> </w:t>
      </w:r>
      <w:r w:rsidR="00C84DAA">
        <w:t xml:space="preserve">new </w:t>
      </w:r>
      <w:r w:rsidR="000B423E">
        <w:t xml:space="preserve">regulation, </w:t>
      </w:r>
      <w:r w:rsidR="00893053">
        <w:t xml:space="preserve">the </w:t>
      </w:r>
      <w:r w:rsidR="00A21104">
        <w:t>health service establish</w:t>
      </w:r>
      <w:r w:rsidR="002D2782">
        <w:t xml:space="preserve">ment would need to demonstrate </w:t>
      </w:r>
      <w:r w:rsidR="000803C5">
        <w:t xml:space="preserve">to the department </w:t>
      </w:r>
      <w:r w:rsidR="00BD584B">
        <w:t xml:space="preserve">that </w:t>
      </w:r>
      <w:r w:rsidR="00E737DF">
        <w:t xml:space="preserve">it has </w:t>
      </w:r>
      <w:r w:rsidR="00B74EAE">
        <w:t xml:space="preserve">implemented </w:t>
      </w:r>
      <w:r w:rsidR="00E737DF">
        <w:t xml:space="preserve">processes </w:t>
      </w:r>
      <w:r w:rsidR="00B74EAE">
        <w:t>for</w:t>
      </w:r>
      <w:r w:rsidR="00D565A7">
        <w:t xml:space="preserve"> </w:t>
      </w:r>
      <w:r w:rsidR="007C33BE">
        <w:t>assess</w:t>
      </w:r>
      <w:r w:rsidR="00B74EAE">
        <w:t>ing</w:t>
      </w:r>
      <w:r w:rsidR="00A64DF4">
        <w:t xml:space="preserve"> </w:t>
      </w:r>
      <w:r w:rsidR="0042730A">
        <w:t>the quality and safety of</w:t>
      </w:r>
      <w:r w:rsidR="000C7B06">
        <w:t xml:space="preserve"> adjunct diagnostic services</w:t>
      </w:r>
      <w:r w:rsidR="00630645">
        <w:t>.</w:t>
      </w:r>
    </w:p>
    <w:p w14:paraId="79551E73" w14:textId="77777777" w:rsidR="009D098B" w:rsidRDefault="009D098B" w:rsidP="008906F2">
      <w:pPr>
        <w:pStyle w:val="Body"/>
      </w:pPr>
    </w:p>
    <w:tbl>
      <w:tblPr>
        <w:tblStyle w:val="TableGrid"/>
        <w:tblW w:w="5000" w:type="pct"/>
        <w:shd w:val="clear" w:color="auto" w:fill="F2F2F2" w:themeFill="background1" w:themeFillShade="F2"/>
        <w:tblLook w:val="06A0" w:firstRow="1" w:lastRow="0" w:firstColumn="1" w:lastColumn="0" w:noHBand="1" w:noVBand="1"/>
      </w:tblPr>
      <w:tblGrid>
        <w:gridCol w:w="9268"/>
      </w:tblGrid>
      <w:tr w:rsidR="00DA1680" w:rsidRPr="004E21D8" w14:paraId="3E59C336" w14:textId="77777777">
        <w:trPr>
          <w:tblHeader/>
        </w:trPr>
        <w:tc>
          <w:tcPr>
            <w:tcW w:w="5000" w:type="pct"/>
            <w:tcBorders>
              <w:top w:val="single" w:sz="12" w:space="0" w:color="auto"/>
              <w:left w:val="single" w:sz="12" w:space="0" w:color="auto"/>
              <w:bottom w:val="nil"/>
              <w:right w:val="single" w:sz="12" w:space="0" w:color="auto"/>
            </w:tcBorders>
            <w:shd w:val="clear" w:color="auto" w:fill="F2F2F2" w:themeFill="background1" w:themeFillShade="F2"/>
          </w:tcPr>
          <w:p w14:paraId="54A764FB" w14:textId="77777777" w:rsidR="009D098B" w:rsidRPr="00D61458" w:rsidRDefault="009D098B">
            <w:pPr>
              <w:pStyle w:val="Tablecolhead"/>
              <w:rPr>
                <w:rFonts w:cs="Arial"/>
                <w:szCs w:val="21"/>
              </w:rPr>
            </w:pPr>
            <w:r w:rsidRPr="00D61458">
              <w:rPr>
                <w:rFonts w:cs="Arial"/>
                <w:szCs w:val="21"/>
              </w:rPr>
              <w:t>Questions for consultation</w:t>
            </w:r>
          </w:p>
        </w:tc>
      </w:tr>
      <w:tr w:rsidR="00DA1680" w:rsidRPr="004E21D8" w14:paraId="41789EA1" w14:textId="77777777">
        <w:tc>
          <w:tcPr>
            <w:tcW w:w="5000" w:type="pct"/>
            <w:tcBorders>
              <w:top w:val="nil"/>
              <w:left w:val="single" w:sz="12" w:space="0" w:color="auto"/>
              <w:bottom w:val="single" w:sz="12" w:space="0" w:color="auto"/>
              <w:right w:val="single" w:sz="12" w:space="0" w:color="auto"/>
            </w:tcBorders>
            <w:shd w:val="clear" w:color="auto" w:fill="F2F2F2" w:themeFill="background1" w:themeFillShade="F2"/>
          </w:tcPr>
          <w:p w14:paraId="7F832AA8" w14:textId="7A6CB196" w:rsidR="009D098B" w:rsidRPr="00983173" w:rsidRDefault="009D098B" w:rsidP="00C132C8">
            <w:pPr>
              <w:pStyle w:val="ListParagraph"/>
              <w:numPr>
                <w:ilvl w:val="0"/>
                <w:numId w:val="11"/>
              </w:numPr>
              <w:spacing w:before="120" w:after="120" w:line="280" w:lineRule="atLeast"/>
              <w:ind w:left="357" w:hanging="357"/>
              <w:contextualSpacing w:val="0"/>
              <w:rPr>
                <w:rFonts w:ascii="Arial" w:hAnsi="Arial" w:cs="Arial"/>
                <w:sz w:val="21"/>
                <w:szCs w:val="21"/>
              </w:rPr>
            </w:pPr>
            <w:r>
              <w:rPr>
                <w:rFonts w:ascii="Arial" w:hAnsi="Arial" w:cs="Arial"/>
                <w:sz w:val="21"/>
                <w:szCs w:val="21"/>
              </w:rPr>
              <w:t xml:space="preserve">Do you support amending </w:t>
            </w:r>
            <w:r w:rsidR="00F530E3">
              <w:rPr>
                <w:rFonts w:ascii="Arial" w:hAnsi="Arial" w:cs="Arial"/>
                <w:sz w:val="21"/>
                <w:szCs w:val="21"/>
              </w:rPr>
              <w:t xml:space="preserve">the </w:t>
            </w:r>
            <w:r w:rsidR="00B351FF">
              <w:rPr>
                <w:rFonts w:ascii="Arial" w:hAnsi="Arial" w:cs="Arial"/>
                <w:sz w:val="21"/>
                <w:szCs w:val="21"/>
              </w:rPr>
              <w:t xml:space="preserve">provisions </w:t>
            </w:r>
            <w:r w:rsidR="00D716F7">
              <w:rPr>
                <w:rFonts w:ascii="Arial" w:hAnsi="Arial" w:cs="Arial"/>
                <w:sz w:val="21"/>
                <w:szCs w:val="21"/>
              </w:rPr>
              <w:t xml:space="preserve">for </w:t>
            </w:r>
            <w:r w:rsidR="009B3DA8">
              <w:rPr>
                <w:rFonts w:ascii="Arial" w:hAnsi="Arial" w:cs="Arial"/>
                <w:sz w:val="21"/>
                <w:szCs w:val="21"/>
              </w:rPr>
              <w:t xml:space="preserve">quality and safety protocols </w:t>
            </w:r>
            <w:r w:rsidR="00212E99">
              <w:rPr>
                <w:rFonts w:ascii="Arial" w:hAnsi="Arial" w:cs="Arial"/>
                <w:sz w:val="21"/>
                <w:szCs w:val="21"/>
              </w:rPr>
              <w:t xml:space="preserve">in </w:t>
            </w:r>
            <w:r>
              <w:rPr>
                <w:rFonts w:ascii="Arial" w:hAnsi="Arial" w:cs="Arial"/>
                <w:sz w:val="21"/>
                <w:szCs w:val="21"/>
              </w:rPr>
              <w:t xml:space="preserve">the Regulations to include </w:t>
            </w:r>
            <w:r w:rsidR="00B803DC">
              <w:rPr>
                <w:rFonts w:ascii="Arial" w:hAnsi="Arial" w:cs="Arial"/>
                <w:sz w:val="21"/>
                <w:szCs w:val="21"/>
              </w:rPr>
              <w:t xml:space="preserve">a requirement that </w:t>
            </w:r>
            <w:r w:rsidR="00945199">
              <w:rPr>
                <w:rFonts w:ascii="Arial" w:hAnsi="Arial" w:cs="Arial"/>
                <w:sz w:val="21"/>
                <w:szCs w:val="21"/>
              </w:rPr>
              <w:t xml:space="preserve">these protocols </w:t>
            </w:r>
            <w:r w:rsidR="0006476C">
              <w:rPr>
                <w:rFonts w:ascii="Arial" w:hAnsi="Arial" w:cs="Arial"/>
                <w:sz w:val="21"/>
                <w:szCs w:val="21"/>
              </w:rPr>
              <w:t xml:space="preserve">include </w:t>
            </w:r>
            <w:r w:rsidR="0006476C" w:rsidRPr="0006476C">
              <w:rPr>
                <w:rFonts w:ascii="Arial" w:hAnsi="Arial" w:cs="Arial"/>
                <w:sz w:val="21"/>
                <w:szCs w:val="21"/>
              </w:rPr>
              <w:t>processes for assessing the reliability, availability and timeliness of adjunct diagnostic services, whether provided by the health service establishment or an external supplier</w:t>
            </w:r>
            <w:r w:rsidR="00BE591B">
              <w:rPr>
                <w:rFonts w:ascii="Arial" w:hAnsi="Arial" w:cs="Arial"/>
                <w:sz w:val="21"/>
                <w:szCs w:val="21"/>
              </w:rPr>
              <w:t>?</w:t>
            </w:r>
            <w:r w:rsidR="0006476C">
              <w:rPr>
                <w:rFonts w:ascii="Arial" w:hAnsi="Arial" w:cs="Arial"/>
                <w:sz w:val="21"/>
                <w:szCs w:val="21"/>
              </w:rPr>
              <w:t xml:space="preserve"> If yes, why? If no</w:t>
            </w:r>
            <w:r w:rsidR="00605BFF">
              <w:rPr>
                <w:rFonts w:ascii="Arial" w:hAnsi="Arial" w:cs="Arial"/>
                <w:sz w:val="21"/>
                <w:szCs w:val="21"/>
              </w:rPr>
              <w:t>t</w:t>
            </w:r>
            <w:r w:rsidR="0006476C">
              <w:rPr>
                <w:rFonts w:ascii="Arial" w:hAnsi="Arial" w:cs="Arial"/>
                <w:sz w:val="21"/>
                <w:szCs w:val="21"/>
              </w:rPr>
              <w:t xml:space="preserve">, why not? </w:t>
            </w:r>
          </w:p>
        </w:tc>
      </w:tr>
    </w:tbl>
    <w:p w14:paraId="01469EBE" w14:textId="77777777" w:rsidR="002B35A4" w:rsidRDefault="002B35A4" w:rsidP="00161CE9">
      <w:pPr>
        <w:pStyle w:val="Body"/>
      </w:pPr>
      <w:r>
        <w:br w:type="page"/>
      </w:r>
    </w:p>
    <w:p w14:paraId="40C9AF15" w14:textId="684767F8" w:rsidR="00620C63" w:rsidRDefault="00FF444B" w:rsidP="006F5D99">
      <w:pPr>
        <w:pStyle w:val="Heading1"/>
      </w:pPr>
      <w:bookmarkStart w:id="84" w:name="_Toc143272019"/>
      <w:r>
        <w:lastRenderedPageBreak/>
        <w:t>4</w:t>
      </w:r>
      <w:r w:rsidR="00CB3550">
        <w:t xml:space="preserve">. Staffing </w:t>
      </w:r>
      <w:r w:rsidR="00CA0A41">
        <w:t>requirements</w:t>
      </w:r>
      <w:bookmarkEnd w:id="84"/>
    </w:p>
    <w:p w14:paraId="5054B0B9" w14:textId="06AA9BAB" w:rsidR="003A41FF" w:rsidRDefault="002E73FE" w:rsidP="003A41FF">
      <w:pPr>
        <w:pStyle w:val="Heading2"/>
      </w:pPr>
      <w:bookmarkStart w:id="85" w:name="_Toc143272020"/>
      <w:r>
        <w:t>4</w:t>
      </w:r>
      <w:r w:rsidR="003A41FF">
        <w:t>.1. Senior appointments</w:t>
      </w:r>
      <w:bookmarkEnd w:id="85"/>
    </w:p>
    <w:p w14:paraId="5C0C76FC" w14:textId="19FB68CE" w:rsidR="003A41FF" w:rsidRDefault="003A41FF" w:rsidP="003A41FF">
      <w:pPr>
        <w:pStyle w:val="Body"/>
      </w:pPr>
      <w:r>
        <w:t xml:space="preserve">Senior appointments in health service establishments play a crucial role in clinical governance. Consistent with the </w:t>
      </w:r>
      <w:r w:rsidR="000367BA">
        <w:t>N</w:t>
      </w:r>
      <w:r w:rsidR="00AA2271">
        <w:t>SQHS</w:t>
      </w:r>
      <w:r>
        <w:t xml:space="preserve"> Standards, </w:t>
      </w:r>
      <w:r w:rsidR="00AC74D5">
        <w:t>‘</w:t>
      </w:r>
      <w:r>
        <w:t>leaders of a health service organisation have a responsibility to the community for continuous improvement of the safety and quality of their services, and ensuring that they are person centred, safe and effective.</w:t>
      </w:r>
      <w:r w:rsidR="00AC74D5">
        <w:t>’</w:t>
      </w:r>
      <w:r>
        <w:rPr>
          <w:rStyle w:val="FootnoteReference"/>
        </w:rPr>
        <w:footnoteReference w:id="33"/>
      </w:r>
    </w:p>
    <w:p w14:paraId="653D783D" w14:textId="47DB54D0" w:rsidR="003A41FF" w:rsidRDefault="003A41FF" w:rsidP="003A41FF">
      <w:pPr>
        <w:pStyle w:val="Body"/>
      </w:pPr>
      <w:r>
        <w:t xml:space="preserve">The Act enables the Regulations to prescribe requirements for staffing (s.158). The Regulations currently </w:t>
      </w:r>
      <w:r w:rsidR="001C7B51">
        <w:t>prescribe</w:t>
      </w:r>
      <w:r>
        <w:t xml:space="preserve"> requirements related to senior appointments in health service establishments</w:t>
      </w:r>
      <w:r w:rsidR="00E62AB0">
        <w:t xml:space="preserve">, </w:t>
      </w:r>
      <w:r w:rsidR="005F4B08">
        <w:t>such as</w:t>
      </w:r>
      <w:r>
        <w:t xml:space="preserve"> Director of Nursing</w:t>
      </w:r>
      <w:r w:rsidR="00E62AB0">
        <w:t xml:space="preserve"> (r.14)</w:t>
      </w:r>
      <w:r>
        <w:t xml:space="preserve">, </w:t>
      </w:r>
      <w:r w:rsidR="005305F8">
        <w:t>Acting Director of Nursing</w:t>
      </w:r>
      <w:r w:rsidR="00E62AB0">
        <w:t xml:space="preserve"> (r.15)</w:t>
      </w:r>
      <w:r w:rsidR="005305F8">
        <w:t xml:space="preserve">, </w:t>
      </w:r>
      <w:r>
        <w:t xml:space="preserve">Chief Executive Officer </w:t>
      </w:r>
      <w:r w:rsidR="005305F8">
        <w:t xml:space="preserve">and </w:t>
      </w:r>
      <w:r>
        <w:t>Medical Director</w:t>
      </w:r>
      <w:r w:rsidR="00D01304">
        <w:t xml:space="preserve"> (r.1</w:t>
      </w:r>
      <w:r w:rsidR="00941015">
        <w:t>7)</w:t>
      </w:r>
      <w:r w:rsidR="005305F8">
        <w:t>.</w:t>
      </w:r>
      <w:r w:rsidR="0065196D">
        <w:t xml:space="preserve"> </w:t>
      </w:r>
      <w:r>
        <w:t>To ensure these organisational leaders can fulfill their clinical governance functions</w:t>
      </w:r>
      <w:r w:rsidR="00F66853">
        <w:t>,</w:t>
      </w:r>
      <w:r>
        <w:t xml:space="preserve"> it is essential that suitably qualified and experienced individuals are in these roles</w:t>
      </w:r>
      <w:r w:rsidR="0089586C">
        <w:t>.</w:t>
      </w:r>
      <w:r>
        <w:t xml:space="preserve"> </w:t>
      </w:r>
    </w:p>
    <w:p w14:paraId="023A9C13" w14:textId="1A931755" w:rsidR="003A41FF" w:rsidRDefault="002E73FE" w:rsidP="00AB4D2D">
      <w:pPr>
        <w:pStyle w:val="Heading3"/>
      </w:pPr>
      <w:r>
        <w:t>4</w:t>
      </w:r>
      <w:r w:rsidR="003A41FF">
        <w:t>.1.1 Director of Nursing</w:t>
      </w:r>
    </w:p>
    <w:p w14:paraId="1D822533" w14:textId="5CFC8D07" w:rsidR="003A41FF" w:rsidRDefault="000443C9" w:rsidP="003A41FF">
      <w:pPr>
        <w:pStyle w:val="Body"/>
      </w:pPr>
      <w:r>
        <w:t>Under t</w:t>
      </w:r>
      <w:r w:rsidR="003A41FF">
        <w:t>he Regulations</w:t>
      </w:r>
      <w:r>
        <w:t>,</w:t>
      </w:r>
      <w:r w:rsidR="003A41FF">
        <w:t xml:space="preserve"> a health service establishment (other than a mobile health service) must appoint a </w:t>
      </w:r>
      <w:r w:rsidR="000208DA">
        <w:t>‘</w:t>
      </w:r>
      <w:r w:rsidR="003A41FF">
        <w:t>suitably qualified person</w:t>
      </w:r>
      <w:r w:rsidR="000208DA">
        <w:t>’</w:t>
      </w:r>
      <w:r w:rsidR="003A41FF">
        <w:t xml:space="preserve"> as the Director of Nursing (DON) (r.14(1)). The Regulations specify that a person is considered suitably qualified if they are a registered nurse, have at least one year</w:t>
      </w:r>
      <w:r w:rsidR="0043363B">
        <w:t>’s</w:t>
      </w:r>
      <w:r w:rsidR="003A41FF">
        <w:t xml:space="preserve"> practical experience in nursing management, and have at least five years’ clinical experience as a registered nurse (r.14(2)). It is an offence not </w:t>
      </w:r>
      <w:r w:rsidR="00E772AE">
        <w:t xml:space="preserve">to appoint </w:t>
      </w:r>
      <w:r w:rsidR="003A41FF">
        <w:t xml:space="preserve">a suitably qualified </w:t>
      </w:r>
      <w:r w:rsidR="00AC74D5">
        <w:t>DON,</w:t>
      </w:r>
      <w:r w:rsidR="003A41FF">
        <w:t xml:space="preserve"> with a maximum penalty of 50 penalty units ($9,</w:t>
      </w:r>
      <w:r w:rsidR="00F56AB7">
        <w:t>615.50</w:t>
      </w:r>
      <w:r w:rsidR="003A41FF">
        <w:t>)</w:t>
      </w:r>
      <w:r w:rsidR="003A41FF">
        <w:rPr>
          <w:rStyle w:val="FootnoteReference"/>
        </w:rPr>
        <w:footnoteReference w:id="34"/>
      </w:r>
      <w:r w:rsidR="003A41FF">
        <w:t xml:space="preserve"> for the proprietor. </w:t>
      </w:r>
    </w:p>
    <w:p w14:paraId="53A7A107" w14:textId="1D6ABD83" w:rsidR="003A41FF" w:rsidRDefault="002E73FE" w:rsidP="00A53D97">
      <w:pPr>
        <w:pStyle w:val="Heading4"/>
      </w:pPr>
      <w:r>
        <w:t>4</w:t>
      </w:r>
      <w:r w:rsidR="003A41FF">
        <w:t>.1.1</w:t>
      </w:r>
      <w:r w:rsidR="00A53D97">
        <w:t>.1</w:t>
      </w:r>
      <w:r w:rsidR="003A41FF">
        <w:t xml:space="preserve"> Director of Nursing title</w:t>
      </w:r>
    </w:p>
    <w:p w14:paraId="60D961E2" w14:textId="706CE1E3" w:rsidR="003A41FF" w:rsidRDefault="003A41FF" w:rsidP="003A41FF">
      <w:pPr>
        <w:pStyle w:val="Body"/>
      </w:pPr>
      <w:r>
        <w:t>The department is considering whether to continue with the requirement for a named position of D</w:t>
      </w:r>
      <w:r w:rsidR="0063360A">
        <w:t>ON</w:t>
      </w:r>
      <w:r>
        <w:t>. In some overnight hospitals the DON is termed the Director of Clinical Services. In some day procedure centres, the position is Nurse in Charge.</w:t>
      </w:r>
    </w:p>
    <w:p w14:paraId="0E8CFADD" w14:textId="482A980D" w:rsidR="003A41FF" w:rsidRDefault="003A41FF" w:rsidP="003A41FF">
      <w:pPr>
        <w:pStyle w:val="Body"/>
      </w:pPr>
      <w:r>
        <w:t>Arguably</w:t>
      </w:r>
      <w:r w:rsidR="006311ED">
        <w:t>,</w:t>
      </w:r>
      <w:r>
        <w:t xml:space="preserve"> the qualifications, experience, and authority of the nurse in charge of clinical services in the facility is more important than the name of the position</w:t>
      </w:r>
      <w:r w:rsidR="0030668D">
        <w:t>.</w:t>
      </w:r>
      <w:r>
        <w:t xml:space="preserve"> </w:t>
      </w:r>
      <w:r w:rsidR="00EF6CD0">
        <w:t>I</w:t>
      </w:r>
      <w:r>
        <w:t xml:space="preserve">t </w:t>
      </w:r>
      <w:r w:rsidR="00EF6CD0">
        <w:t>may also be</w:t>
      </w:r>
      <w:r>
        <w:t xml:space="preserve"> preferable to allow facilities flexibility in </w:t>
      </w:r>
      <w:r w:rsidR="007B528E">
        <w:t xml:space="preserve">job </w:t>
      </w:r>
      <w:r w:rsidR="00CE3DC9">
        <w:t>titles.</w:t>
      </w:r>
    </w:p>
    <w:p w14:paraId="5180A901" w14:textId="6D6E9300" w:rsidR="003A41FF" w:rsidRDefault="003A41FF" w:rsidP="003A41FF">
      <w:pPr>
        <w:pStyle w:val="Body"/>
      </w:pPr>
      <w:r>
        <w:t xml:space="preserve">If the department </w:t>
      </w:r>
      <w:r w:rsidR="000838A8">
        <w:t xml:space="preserve">amends </w:t>
      </w:r>
      <w:r w:rsidR="00C02208">
        <w:t xml:space="preserve">the Regulations to allow </w:t>
      </w:r>
      <w:r w:rsidR="00030CA3">
        <w:t xml:space="preserve">job title flexibility, </w:t>
      </w:r>
      <w:r w:rsidR="008447EA">
        <w:t>health service</w:t>
      </w:r>
      <w:r w:rsidR="00277F5B">
        <w:t>s’</w:t>
      </w:r>
      <w:r w:rsidR="00055E9A">
        <w:t xml:space="preserve"> </w:t>
      </w:r>
      <w:r>
        <w:t xml:space="preserve">clinical governance policies and procedures </w:t>
      </w:r>
      <w:r w:rsidR="00DA7BA4">
        <w:t xml:space="preserve">would need </w:t>
      </w:r>
      <w:r>
        <w:t>to set out the authority and function of the position, however named.</w:t>
      </w:r>
    </w:p>
    <w:p w14:paraId="4FE07875" w14:textId="2AFA29E4" w:rsidR="003A41FF" w:rsidRDefault="003A41FF" w:rsidP="003917E5">
      <w:pPr>
        <w:pStyle w:val="Body"/>
        <w:spacing w:after="240"/>
      </w:pPr>
      <w:r>
        <w:t>This proposal is consistent with the Regulations’ approach to any appointed Chief Executive Officer or Medical Director</w:t>
      </w:r>
      <w:r w:rsidR="00AC74D5">
        <w:t>,</w:t>
      </w:r>
      <w:r>
        <w:t xml:space="preserve"> </w:t>
      </w:r>
      <w:r w:rsidR="00BA4906">
        <w:t xml:space="preserve">which refer to these roles </w:t>
      </w:r>
      <w:r>
        <w:t xml:space="preserve">as ‘however titled’ (rr.17-18). </w:t>
      </w:r>
    </w:p>
    <w:tbl>
      <w:tblPr>
        <w:tblStyle w:val="TableGrid"/>
        <w:tblW w:w="5000" w:type="pct"/>
        <w:shd w:val="clear" w:color="auto" w:fill="F2F2F2" w:themeFill="background1" w:themeFillShade="F2"/>
        <w:tblLook w:val="06A0" w:firstRow="1" w:lastRow="0" w:firstColumn="1" w:lastColumn="0" w:noHBand="1" w:noVBand="1"/>
      </w:tblPr>
      <w:tblGrid>
        <w:gridCol w:w="9278"/>
      </w:tblGrid>
      <w:tr w:rsidR="003A41FF" w14:paraId="7237B49A" w14:textId="77777777" w:rsidTr="00B64894">
        <w:trPr>
          <w:tblHeader/>
        </w:trPr>
        <w:tc>
          <w:tcPr>
            <w:tcW w:w="5000" w:type="pct"/>
            <w:tcBorders>
              <w:top w:val="single" w:sz="8" w:space="0" w:color="auto"/>
              <w:left w:val="single" w:sz="8" w:space="0" w:color="auto"/>
              <w:bottom w:val="nil"/>
              <w:right w:val="single" w:sz="8" w:space="0" w:color="auto"/>
            </w:tcBorders>
            <w:shd w:val="clear" w:color="auto" w:fill="F2F2F2" w:themeFill="background1" w:themeFillShade="F2"/>
          </w:tcPr>
          <w:p w14:paraId="717A0C53" w14:textId="77777777" w:rsidR="003A41FF" w:rsidRPr="00CB3285" w:rsidRDefault="003A41FF" w:rsidP="009A7C08">
            <w:pPr>
              <w:pStyle w:val="Tablecolhead"/>
            </w:pPr>
            <w:r>
              <w:t>Question for consultation</w:t>
            </w:r>
          </w:p>
        </w:tc>
      </w:tr>
      <w:tr w:rsidR="003A41FF" w14:paraId="673CCFCC" w14:textId="77777777" w:rsidTr="00B64894">
        <w:tc>
          <w:tcPr>
            <w:tcW w:w="5000" w:type="pct"/>
            <w:tcBorders>
              <w:top w:val="nil"/>
              <w:left w:val="single" w:sz="8" w:space="0" w:color="auto"/>
              <w:bottom w:val="single" w:sz="8" w:space="0" w:color="auto"/>
              <w:right w:val="single" w:sz="8" w:space="0" w:color="auto"/>
            </w:tcBorders>
            <w:shd w:val="clear" w:color="auto" w:fill="F2F2F2" w:themeFill="background1" w:themeFillShade="F2"/>
          </w:tcPr>
          <w:p w14:paraId="5E1859E0" w14:textId="100C00A4" w:rsidR="003A41FF" w:rsidRPr="005B5D79" w:rsidRDefault="003A41FF" w:rsidP="00C132C8">
            <w:pPr>
              <w:pStyle w:val="ListParagraph"/>
              <w:numPr>
                <w:ilvl w:val="0"/>
                <w:numId w:val="11"/>
              </w:numPr>
              <w:spacing w:before="120" w:after="120" w:line="280" w:lineRule="atLeast"/>
              <w:ind w:left="357" w:hanging="357"/>
              <w:contextualSpacing w:val="0"/>
              <w:rPr>
                <w:rFonts w:ascii="Arial" w:hAnsi="Arial" w:cs="Arial"/>
                <w:sz w:val="21"/>
                <w:szCs w:val="21"/>
              </w:rPr>
            </w:pPr>
            <w:r w:rsidRPr="005B5D79">
              <w:rPr>
                <w:rFonts w:ascii="Arial" w:hAnsi="Arial" w:cs="Arial"/>
                <w:sz w:val="21"/>
                <w:szCs w:val="21"/>
              </w:rPr>
              <w:t>Do you support amending the Regulations so that the appointment now titled ‘Director of Nursing’ can be ‘however titled’ if the position has the qualifications, experience, and authority of the nurse who is in charge of clinical services in the facility</w:t>
            </w:r>
            <w:r w:rsidR="00BE591B">
              <w:rPr>
                <w:rFonts w:ascii="Arial" w:hAnsi="Arial" w:cs="Arial"/>
                <w:sz w:val="21"/>
                <w:szCs w:val="21"/>
              </w:rPr>
              <w:t>?</w:t>
            </w:r>
            <w:r w:rsidRPr="005B5D79">
              <w:rPr>
                <w:rFonts w:ascii="Arial" w:hAnsi="Arial" w:cs="Arial"/>
                <w:sz w:val="21"/>
                <w:szCs w:val="21"/>
              </w:rPr>
              <w:t xml:space="preserve"> If so</w:t>
            </w:r>
            <w:r w:rsidR="00F947A1" w:rsidRPr="005B5D79">
              <w:rPr>
                <w:rFonts w:ascii="Arial" w:hAnsi="Arial" w:cs="Arial"/>
                <w:sz w:val="21"/>
                <w:szCs w:val="21"/>
              </w:rPr>
              <w:t>,</w:t>
            </w:r>
            <w:r w:rsidRPr="005B5D79">
              <w:rPr>
                <w:rFonts w:ascii="Arial" w:hAnsi="Arial" w:cs="Arial"/>
                <w:sz w:val="21"/>
                <w:szCs w:val="21"/>
              </w:rPr>
              <w:t xml:space="preserve"> why? If not, why not? </w:t>
            </w:r>
          </w:p>
        </w:tc>
      </w:tr>
    </w:tbl>
    <w:p w14:paraId="22FCB4C1" w14:textId="2EBA81B5" w:rsidR="003A41FF" w:rsidRDefault="002E73FE" w:rsidP="00416700">
      <w:pPr>
        <w:pStyle w:val="Heading4"/>
      </w:pPr>
      <w:r>
        <w:lastRenderedPageBreak/>
        <w:t>4</w:t>
      </w:r>
      <w:r w:rsidR="00C83190">
        <w:t>.1.</w:t>
      </w:r>
      <w:r w:rsidR="00416700">
        <w:t>1.</w:t>
      </w:r>
      <w:r w:rsidR="00C83190">
        <w:t>2</w:t>
      </w:r>
      <w:r w:rsidR="003A41FF">
        <w:t xml:space="preserve"> Acting Director of Nursing experience and qualifications</w:t>
      </w:r>
    </w:p>
    <w:p w14:paraId="53AF1C51" w14:textId="60AD0F64" w:rsidR="003A41FF" w:rsidRDefault="003A41FF" w:rsidP="003A41FF">
      <w:pPr>
        <w:pStyle w:val="Body"/>
      </w:pPr>
      <w:r>
        <w:t>The Regulations require that if the DON is absent, incapacitated, or the position is vacant</w:t>
      </w:r>
      <w:r w:rsidR="006463E9">
        <w:t>,</w:t>
      </w:r>
      <w:r w:rsidDel="006463E9">
        <w:t xml:space="preserve"> </w:t>
      </w:r>
      <w:r>
        <w:t xml:space="preserve">an </w:t>
      </w:r>
      <w:r w:rsidR="00AC74D5">
        <w:t>A</w:t>
      </w:r>
      <w:r>
        <w:t xml:space="preserve">cting DON must be appointed (r.15). It is an offence </w:t>
      </w:r>
      <w:r w:rsidR="00C63F97">
        <w:t xml:space="preserve">not </w:t>
      </w:r>
      <w:r>
        <w:t xml:space="preserve">to </w:t>
      </w:r>
      <w:r w:rsidR="00C63F97">
        <w:t xml:space="preserve">appoint </w:t>
      </w:r>
      <w:r w:rsidR="002E5BB1">
        <w:t xml:space="preserve">an </w:t>
      </w:r>
      <w:r>
        <w:t xml:space="preserve">Acting </w:t>
      </w:r>
      <w:r w:rsidR="00AC74D5">
        <w:t>DON</w:t>
      </w:r>
      <w:r>
        <w:t xml:space="preserve"> when required, with a maximum penalty of 50 penalty units ($9,</w:t>
      </w:r>
      <w:r w:rsidR="00390ECE">
        <w:t>615.50</w:t>
      </w:r>
      <w:r>
        <w:t>)</w:t>
      </w:r>
      <w:r>
        <w:rPr>
          <w:rStyle w:val="FootnoteReference"/>
        </w:rPr>
        <w:footnoteReference w:id="35"/>
      </w:r>
      <w:r>
        <w:t xml:space="preserve"> for the proprietor.</w:t>
      </w:r>
      <w:r w:rsidR="00E91160">
        <w:t xml:space="preserve"> </w:t>
      </w:r>
      <w:r w:rsidR="001D2A10">
        <w:t xml:space="preserve">The Secretary must be notified of the </w:t>
      </w:r>
      <w:r w:rsidR="001720DF">
        <w:t xml:space="preserve">appointment and the qualifications of someone appointed to act as DON for more than 28 days (r.16). </w:t>
      </w:r>
      <w:r w:rsidR="00AC74D5">
        <w:t>There is currently no maximum amount of time for which a private hospital or day procedure centre can appoint an Acting DON.</w:t>
      </w:r>
    </w:p>
    <w:p w14:paraId="7FDE1ED9" w14:textId="5295FEAB" w:rsidR="003A41FF" w:rsidRDefault="00EB6F63" w:rsidP="00851889">
      <w:pPr>
        <w:pStyle w:val="Body"/>
      </w:pPr>
      <w:r>
        <w:t>The department notes</w:t>
      </w:r>
      <w:r w:rsidR="003A41FF">
        <w:t xml:space="preserve"> the </w:t>
      </w:r>
      <w:r w:rsidR="004477EE">
        <w:t>central</w:t>
      </w:r>
      <w:r w:rsidR="003A41FF">
        <w:t xml:space="preserve"> clinical governance and safety and quality role of the DON</w:t>
      </w:r>
      <w:r w:rsidR="005F2D4F">
        <w:t>,</w:t>
      </w:r>
      <w:r w:rsidR="003A41FF">
        <w:t xml:space="preserve"> </w:t>
      </w:r>
      <w:r>
        <w:t>and the potential benefits of workforce flexibility, including using acting opportunities as appropriately supported professional development. T</w:t>
      </w:r>
      <w:r w:rsidR="003A41FF">
        <w:t xml:space="preserve">he department is considering </w:t>
      </w:r>
      <w:r w:rsidR="00FF71A5">
        <w:t xml:space="preserve">specifying </w:t>
      </w:r>
      <w:r w:rsidR="003A41FF">
        <w:t xml:space="preserve">in the Regulations criteria that an Acting DON must meet to be considered suitably qualified, and the length of time for which an Acting </w:t>
      </w:r>
      <w:r w:rsidR="00AC74D5">
        <w:t>DON</w:t>
      </w:r>
      <w:r w:rsidR="003A41FF">
        <w:t xml:space="preserve"> can be appointed. Three options are included for consultation</w:t>
      </w:r>
      <w:r w:rsidR="00AC74D5">
        <w:t>:</w:t>
      </w:r>
      <w:r w:rsidR="003A41FF">
        <w:t xml:space="preserve"> </w:t>
      </w:r>
    </w:p>
    <w:p w14:paraId="7D3AA889" w14:textId="42DF63E3" w:rsidR="003A41FF" w:rsidRDefault="003A41FF" w:rsidP="001A7E12">
      <w:pPr>
        <w:pStyle w:val="Body"/>
        <w:ind w:left="360"/>
      </w:pPr>
      <w:r w:rsidRPr="00E267DC">
        <w:rPr>
          <w:b/>
        </w:rPr>
        <w:t>Option 1</w:t>
      </w:r>
      <w:r>
        <w:t xml:space="preserve"> – status quo</w:t>
      </w:r>
      <w:r w:rsidR="009D3F29">
        <w:t xml:space="preserve">. </w:t>
      </w:r>
      <w:r w:rsidRPr="00830167">
        <w:t xml:space="preserve">This option would not make any changes to the Regulations </w:t>
      </w:r>
      <w:r w:rsidR="0081085C">
        <w:t>to</w:t>
      </w:r>
      <w:r w:rsidRPr="00830167">
        <w:t xml:space="preserve"> add any criteria (such as qualifications and experience) that an </w:t>
      </w:r>
      <w:r w:rsidR="00AC74D5">
        <w:t>A</w:t>
      </w:r>
      <w:r w:rsidRPr="00830167">
        <w:t xml:space="preserve">cting DON must meet, or </w:t>
      </w:r>
      <w:r w:rsidR="00830167" w:rsidRPr="00830167">
        <w:t xml:space="preserve">the </w:t>
      </w:r>
      <w:r w:rsidRPr="00830167">
        <w:t>maximum length of time that an Acting DON can be appointed for. Rather, private hospitals and day procedure centres would continue to use their own clinical governance policies to ensure a suitably qualified and experienced individual is appointed as the Acting DON.</w:t>
      </w:r>
      <w:r>
        <w:t xml:space="preserve"> </w:t>
      </w:r>
    </w:p>
    <w:p w14:paraId="66BFD4F6" w14:textId="03FC5987" w:rsidR="003A41FF" w:rsidRDefault="003A41FF" w:rsidP="001A7E12">
      <w:pPr>
        <w:pStyle w:val="Body"/>
        <w:ind w:left="360"/>
      </w:pPr>
      <w:r w:rsidRPr="00E267DC">
        <w:rPr>
          <w:b/>
        </w:rPr>
        <w:t>Option 2</w:t>
      </w:r>
      <w:r>
        <w:t xml:space="preserve"> – meet the same criteria as the DON</w:t>
      </w:r>
      <w:r w:rsidR="005C26AA">
        <w:t>.</w:t>
      </w:r>
      <w:r w:rsidR="003971D8">
        <w:t xml:space="preserve"> </w:t>
      </w:r>
      <w:r>
        <w:t>This option would amend the Regulations to require the Acting DON to meet the same qualifications and experience criteria as for the permanent DON. These criteria include (r.14(2)) that the DON:</w:t>
      </w:r>
    </w:p>
    <w:p w14:paraId="6859D4E8" w14:textId="252747CC" w:rsidR="003A41FF" w:rsidRDefault="003A41FF" w:rsidP="001A7E12">
      <w:pPr>
        <w:pStyle w:val="Body"/>
        <w:numPr>
          <w:ilvl w:val="0"/>
          <w:numId w:val="40"/>
        </w:numPr>
      </w:pPr>
      <w:r>
        <w:t>is a registered nurse, and</w:t>
      </w:r>
    </w:p>
    <w:p w14:paraId="5949A591" w14:textId="60C87366" w:rsidR="003A41FF" w:rsidRDefault="003A41FF" w:rsidP="001A7E12">
      <w:pPr>
        <w:pStyle w:val="Body"/>
        <w:numPr>
          <w:ilvl w:val="0"/>
          <w:numId w:val="40"/>
        </w:numPr>
      </w:pPr>
      <w:r>
        <w:t>has at least 12 months</w:t>
      </w:r>
      <w:r w:rsidR="007F4FFE">
        <w:t>’</w:t>
      </w:r>
      <w:r>
        <w:t xml:space="preserve"> practical experience in nursing management, </w:t>
      </w:r>
    </w:p>
    <w:p w14:paraId="79618AFB" w14:textId="4624F49D" w:rsidR="003A41FF" w:rsidRDefault="003A41FF" w:rsidP="001A7E12">
      <w:pPr>
        <w:pStyle w:val="Body"/>
        <w:numPr>
          <w:ilvl w:val="0"/>
          <w:numId w:val="40"/>
        </w:numPr>
      </w:pPr>
      <w:r>
        <w:t>and has at least five years</w:t>
      </w:r>
      <w:r w:rsidR="007F4FFE">
        <w:t>’</w:t>
      </w:r>
      <w:r>
        <w:t xml:space="preserve"> clinical experience as a registered nurse.</w:t>
      </w:r>
    </w:p>
    <w:p w14:paraId="4689079C" w14:textId="0B552A2C" w:rsidR="003A41FF" w:rsidRDefault="003A41FF" w:rsidP="001A7E12">
      <w:pPr>
        <w:pStyle w:val="Body"/>
        <w:ind w:left="360"/>
      </w:pPr>
      <w:r w:rsidRPr="00E267DC">
        <w:rPr>
          <w:b/>
        </w:rPr>
        <w:t>Option 3</w:t>
      </w:r>
      <w:r>
        <w:t xml:space="preserve"> – enable the position of Acting DON to be used to upskill staff</w:t>
      </w:r>
      <w:r w:rsidR="003971D8">
        <w:t xml:space="preserve">. </w:t>
      </w:r>
      <w:r>
        <w:t xml:space="preserve">This option would enable the Acting DON role to be used as an opportunity to upskill staff and allow a registered nurse with lesser qualifications or experience (than what is required of the permanent DON) to be appointed as the Acting DON. </w:t>
      </w:r>
    </w:p>
    <w:p w14:paraId="11F5B5DB" w14:textId="1F8CA570" w:rsidR="003A41FF" w:rsidRDefault="003A41FF" w:rsidP="001A7E12">
      <w:pPr>
        <w:pStyle w:val="Body"/>
        <w:ind w:left="360"/>
      </w:pPr>
      <w:r>
        <w:t xml:space="preserve">If the Acting DON is to be in the role for 3 months or more, the </w:t>
      </w:r>
      <w:r w:rsidR="00C104EB">
        <w:t>department</w:t>
      </w:r>
      <w:r>
        <w:t xml:space="preserve"> proposes that a written mentoring program should be put in place as part of the facility</w:t>
      </w:r>
      <w:r w:rsidR="00EA741A">
        <w:t>’s</w:t>
      </w:r>
      <w:r>
        <w:t xml:space="preserve"> clinical governance policies and procedures, to ensure appropriate support, training, and guidance is provided. It is proposed that if this option is adopted, it would include a requirement that an Acting DON appointment is for a maximum of 12 months.</w:t>
      </w:r>
    </w:p>
    <w:p w14:paraId="0F2268E3" w14:textId="12C8F6CA" w:rsidR="00175D5B" w:rsidRDefault="003A41FF" w:rsidP="00175D5B">
      <w:pPr>
        <w:pStyle w:val="Body"/>
        <w:ind w:left="360"/>
      </w:pPr>
      <w:r>
        <w:t xml:space="preserve">This option recognises that the Acting DON role can be used to upskill staff when the permanent DON is on leave. However, this must not detrimentally impact on the quality and safety of health services. </w:t>
      </w:r>
    </w:p>
    <w:p w14:paraId="42B06F5C" w14:textId="77777777" w:rsidR="007F4FFE" w:rsidRDefault="007F4FFE" w:rsidP="00175D5B">
      <w:pPr>
        <w:pStyle w:val="Body"/>
        <w:ind w:left="360"/>
      </w:pPr>
    </w:p>
    <w:tbl>
      <w:tblPr>
        <w:tblStyle w:val="TableGrid"/>
        <w:tblW w:w="5000" w:type="pct"/>
        <w:shd w:val="clear" w:color="auto" w:fill="F2F2F2" w:themeFill="background1" w:themeFillShade="F2"/>
        <w:tblLook w:val="06A0" w:firstRow="1" w:lastRow="0" w:firstColumn="1" w:lastColumn="0" w:noHBand="1" w:noVBand="1"/>
      </w:tblPr>
      <w:tblGrid>
        <w:gridCol w:w="9268"/>
      </w:tblGrid>
      <w:tr w:rsidR="003A41FF" w14:paraId="6FF3F4C7" w14:textId="77777777" w:rsidTr="00882E7E">
        <w:trPr>
          <w:tblHeader/>
        </w:trPr>
        <w:tc>
          <w:tcPr>
            <w:tcW w:w="5000" w:type="pct"/>
            <w:tcBorders>
              <w:top w:val="single" w:sz="8" w:space="0" w:color="auto"/>
              <w:left w:val="single" w:sz="12" w:space="0" w:color="auto"/>
              <w:bottom w:val="nil"/>
              <w:right w:val="single" w:sz="12" w:space="0" w:color="auto"/>
            </w:tcBorders>
            <w:shd w:val="clear" w:color="auto" w:fill="F2F2F2" w:themeFill="background1" w:themeFillShade="F2"/>
          </w:tcPr>
          <w:p w14:paraId="46DEE495" w14:textId="77777777" w:rsidR="003A41FF" w:rsidRPr="00CB3285" w:rsidRDefault="003A41FF" w:rsidP="009A7C08">
            <w:pPr>
              <w:pStyle w:val="Tablecolhead"/>
            </w:pPr>
            <w:r>
              <w:t>Questions for consultation</w:t>
            </w:r>
          </w:p>
        </w:tc>
      </w:tr>
      <w:tr w:rsidR="003A41FF" w14:paraId="30D4F25D" w14:textId="77777777" w:rsidTr="00882E7E">
        <w:tc>
          <w:tcPr>
            <w:tcW w:w="5000" w:type="pct"/>
            <w:tcBorders>
              <w:top w:val="nil"/>
              <w:left w:val="single" w:sz="12" w:space="0" w:color="auto"/>
              <w:bottom w:val="single" w:sz="12" w:space="0" w:color="auto"/>
              <w:right w:val="single" w:sz="12" w:space="0" w:color="auto"/>
            </w:tcBorders>
            <w:shd w:val="clear" w:color="auto" w:fill="F2F2F2" w:themeFill="background1" w:themeFillShade="F2"/>
          </w:tcPr>
          <w:p w14:paraId="7D026F86" w14:textId="5B219E64" w:rsidR="003A41FF" w:rsidRPr="005B5D79" w:rsidRDefault="003A41FF" w:rsidP="00C132C8">
            <w:pPr>
              <w:pStyle w:val="ListParagraph"/>
              <w:numPr>
                <w:ilvl w:val="0"/>
                <w:numId w:val="11"/>
              </w:numPr>
              <w:spacing w:before="120" w:after="120" w:line="280" w:lineRule="atLeast"/>
              <w:ind w:left="357" w:hanging="357"/>
              <w:contextualSpacing w:val="0"/>
              <w:rPr>
                <w:rFonts w:ascii="Arial" w:hAnsi="Arial" w:cs="Arial"/>
                <w:sz w:val="21"/>
                <w:szCs w:val="21"/>
              </w:rPr>
            </w:pPr>
            <w:r w:rsidRPr="005B5D79">
              <w:rPr>
                <w:rFonts w:ascii="Arial" w:hAnsi="Arial" w:cs="Arial"/>
                <w:sz w:val="21"/>
                <w:szCs w:val="21"/>
              </w:rPr>
              <w:t xml:space="preserve">In relation to the qualifications and experience requirements of the Acting </w:t>
            </w:r>
            <w:r w:rsidR="00C758F7">
              <w:rPr>
                <w:rFonts w:ascii="Arial" w:hAnsi="Arial" w:cs="Arial"/>
                <w:sz w:val="21"/>
                <w:szCs w:val="21"/>
              </w:rPr>
              <w:t>DON,</w:t>
            </w:r>
            <w:r w:rsidRPr="005B5D79">
              <w:rPr>
                <w:rFonts w:ascii="Arial" w:hAnsi="Arial" w:cs="Arial"/>
                <w:sz w:val="21"/>
                <w:szCs w:val="21"/>
              </w:rPr>
              <w:t xml:space="preserve"> which of the below options do you support and why:</w:t>
            </w:r>
          </w:p>
          <w:p w14:paraId="617D63FC" w14:textId="36E9EF4A" w:rsidR="003A41FF" w:rsidRPr="005B5D79" w:rsidRDefault="003A41FF" w:rsidP="00E267DC">
            <w:pPr>
              <w:ind w:left="720"/>
              <w:rPr>
                <w:rFonts w:cs="Arial"/>
                <w:szCs w:val="21"/>
              </w:rPr>
            </w:pPr>
            <w:r w:rsidRPr="00E267DC">
              <w:rPr>
                <w:rFonts w:cs="Arial"/>
                <w:b/>
                <w:szCs w:val="21"/>
              </w:rPr>
              <w:lastRenderedPageBreak/>
              <w:t xml:space="preserve">Option </w:t>
            </w:r>
            <w:r w:rsidR="00F91E0E">
              <w:rPr>
                <w:rFonts w:cs="Arial"/>
                <w:b/>
                <w:bCs/>
                <w:szCs w:val="21"/>
              </w:rPr>
              <w:t>1</w:t>
            </w:r>
            <w:r w:rsidRPr="00CF4627">
              <w:rPr>
                <w:rFonts w:cs="Arial"/>
                <w:szCs w:val="21"/>
              </w:rPr>
              <w:t xml:space="preserve"> </w:t>
            </w:r>
            <w:r w:rsidRPr="005B5D79">
              <w:rPr>
                <w:rFonts w:cs="Arial"/>
                <w:szCs w:val="21"/>
              </w:rPr>
              <w:t>– maintain the status quo – no qualifications or experience requirements in Regulations, and no limit on the length of time that an Acting DON can be appointed for.</w:t>
            </w:r>
          </w:p>
          <w:p w14:paraId="2271A193" w14:textId="483B134F" w:rsidR="003A41FF" w:rsidRPr="005B5D79" w:rsidRDefault="003A41FF" w:rsidP="00E267DC">
            <w:pPr>
              <w:ind w:left="720"/>
              <w:rPr>
                <w:rFonts w:cs="Arial"/>
                <w:szCs w:val="21"/>
              </w:rPr>
            </w:pPr>
            <w:r w:rsidRPr="00E267DC">
              <w:rPr>
                <w:rFonts w:cs="Arial"/>
                <w:b/>
                <w:szCs w:val="21"/>
              </w:rPr>
              <w:t xml:space="preserve">Option </w:t>
            </w:r>
            <w:r w:rsidR="00F91E0E">
              <w:rPr>
                <w:rFonts w:cs="Arial"/>
                <w:b/>
                <w:bCs/>
                <w:szCs w:val="21"/>
              </w:rPr>
              <w:t>2</w:t>
            </w:r>
            <w:r w:rsidRPr="00CF4627">
              <w:rPr>
                <w:rFonts w:cs="Arial"/>
                <w:szCs w:val="21"/>
              </w:rPr>
              <w:t xml:space="preserve"> </w:t>
            </w:r>
            <w:r w:rsidRPr="005B5D79">
              <w:rPr>
                <w:rFonts w:cs="Arial"/>
                <w:szCs w:val="21"/>
              </w:rPr>
              <w:t>– require the Acting DON to meet the same qualifications and experience requirements of the DON</w:t>
            </w:r>
            <w:r w:rsidR="0051560B">
              <w:rPr>
                <w:rFonts w:cs="Arial"/>
                <w:szCs w:val="21"/>
              </w:rPr>
              <w:t>,</w:t>
            </w:r>
            <w:r w:rsidRPr="005B5D79">
              <w:rPr>
                <w:rFonts w:cs="Arial"/>
                <w:szCs w:val="21"/>
              </w:rPr>
              <w:t xml:space="preserve"> which are that they are a registered nurse, and have 12 months</w:t>
            </w:r>
            <w:r w:rsidR="007F4FFE">
              <w:rPr>
                <w:rFonts w:cs="Arial"/>
                <w:szCs w:val="21"/>
              </w:rPr>
              <w:t>’</w:t>
            </w:r>
            <w:r w:rsidRPr="005B5D79">
              <w:rPr>
                <w:rFonts w:cs="Arial"/>
                <w:szCs w:val="21"/>
              </w:rPr>
              <w:t xml:space="preserve"> practical experience in nursing management, and have at least five years</w:t>
            </w:r>
            <w:r w:rsidR="007F4FFE">
              <w:rPr>
                <w:rFonts w:cs="Arial"/>
                <w:szCs w:val="21"/>
              </w:rPr>
              <w:t>’</w:t>
            </w:r>
            <w:r w:rsidRPr="005B5D79">
              <w:rPr>
                <w:rFonts w:cs="Arial"/>
                <w:szCs w:val="21"/>
              </w:rPr>
              <w:t xml:space="preserve"> clinical experience as a registered nurse. </w:t>
            </w:r>
          </w:p>
          <w:p w14:paraId="5179DD87" w14:textId="390F7103" w:rsidR="003A41FF" w:rsidRPr="005B5D79" w:rsidRDefault="003A41FF" w:rsidP="00E267DC">
            <w:pPr>
              <w:ind w:left="720"/>
              <w:rPr>
                <w:rFonts w:cs="Arial"/>
                <w:szCs w:val="21"/>
              </w:rPr>
            </w:pPr>
            <w:r w:rsidRPr="00E267DC">
              <w:rPr>
                <w:rFonts w:cs="Arial"/>
                <w:b/>
                <w:szCs w:val="21"/>
              </w:rPr>
              <w:t xml:space="preserve">Option </w:t>
            </w:r>
            <w:r w:rsidR="00F91E0E">
              <w:rPr>
                <w:rFonts w:cs="Arial"/>
                <w:b/>
                <w:bCs/>
                <w:szCs w:val="21"/>
              </w:rPr>
              <w:t>3</w:t>
            </w:r>
            <w:r w:rsidRPr="00CF4627">
              <w:rPr>
                <w:rFonts w:cs="Arial"/>
                <w:szCs w:val="21"/>
              </w:rPr>
              <w:t xml:space="preserve"> </w:t>
            </w:r>
            <w:r w:rsidRPr="005B5D79">
              <w:rPr>
                <w:rFonts w:cs="Arial"/>
                <w:szCs w:val="21"/>
              </w:rPr>
              <w:softHyphen/>
              <w:t xml:space="preserve">– enable the position of Acting DON to be used to upskill staff. </w:t>
            </w:r>
          </w:p>
          <w:p w14:paraId="7C5054DF" w14:textId="678831FC" w:rsidR="00884952" w:rsidRDefault="0049507B" w:rsidP="00C132C8">
            <w:pPr>
              <w:pStyle w:val="Body"/>
              <w:numPr>
                <w:ilvl w:val="0"/>
                <w:numId w:val="11"/>
              </w:numPr>
              <w:ind w:left="357" w:hanging="357"/>
            </w:pPr>
            <w:r w:rsidRPr="005B5D79">
              <w:rPr>
                <w:rFonts w:cs="Arial"/>
                <w:szCs w:val="21"/>
              </w:rPr>
              <w:t xml:space="preserve">If the Acting DON is </w:t>
            </w:r>
            <w:r w:rsidRPr="005B5D79">
              <w:rPr>
                <w:rFonts w:cs="Arial"/>
                <w:i/>
                <w:szCs w:val="21"/>
              </w:rPr>
              <w:t>not</w:t>
            </w:r>
            <w:r w:rsidRPr="005B5D79">
              <w:rPr>
                <w:rFonts w:cs="Arial"/>
                <w:szCs w:val="21"/>
              </w:rPr>
              <w:t xml:space="preserve"> required to have the same level of </w:t>
            </w:r>
            <w:r w:rsidR="00C94450" w:rsidRPr="005B5D79">
              <w:rPr>
                <w:rFonts w:cs="Arial"/>
                <w:szCs w:val="21"/>
              </w:rPr>
              <w:t>experience and qualifications as the DON, would you support a</w:t>
            </w:r>
            <w:r w:rsidR="00D71752" w:rsidRPr="005B5D79">
              <w:rPr>
                <w:rFonts w:cs="Arial"/>
                <w:szCs w:val="21"/>
              </w:rPr>
              <w:t xml:space="preserve"> requirement that an Acting DON appointment is for a maximum of 12 months.</w:t>
            </w:r>
            <w:r w:rsidR="00FB7D20" w:rsidRPr="005B5D79">
              <w:rPr>
                <w:rFonts w:cs="Arial"/>
                <w:szCs w:val="21"/>
              </w:rPr>
              <w:t xml:space="preserve"> If so, why? If not, why not?</w:t>
            </w:r>
          </w:p>
        </w:tc>
      </w:tr>
    </w:tbl>
    <w:p w14:paraId="06393957" w14:textId="7C20573D" w:rsidR="003A41FF" w:rsidRDefault="002E73FE" w:rsidP="00823252">
      <w:pPr>
        <w:pStyle w:val="Heading4"/>
      </w:pPr>
      <w:r>
        <w:lastRenderedPageBreak/>
        <w:t>4</w:t>
      </w:r>
      <w:r w:rsidR="009264F0">
        <w:t>.</w:t>
      </w:r>
      <w:r w:rsidR="008E116C">
        <w:t>1.1</w:t>
      </w:r>
      <w:r w:rsidR="009264F0">
        <w:t>.</w:t>
      </w:r>
      <w:r w:rsidR="003A41FF">
        <w:t>3 Director of Nursing required on-site hours</w:t>
      </w:r>
    </w:p>
    <w:p w14:paraId="321264DA" w14:textId="46ED8AEF" w:rsidR="0078604C" w:rsidRDefault="001F10A3" w:rsidP="003A41FF">
      <w:pPr>
        <w:pStyle w:val="Body"/>
      </w:pPr>
      <w:r>
        <w:t>To ensure the quality and safety of health services, t</w:t>
      </w:r>
      <w:r w:rsidR="003A41FF">
        <w:t xml:space="preserve">he </w:t>
      </w:r>
      <w:r w:rsidR="00BD350A">
        <w:t>d</w:t>
      </w:r>
      <w:r w:rsidR="003A41FF">
        <w:t xml:space="preserve">epartment is considering whether the Regulations should be amended to </w:t>
      </w:r>
      <w:r w:rsidR="00F01D36">
        <w:t xml:space="preserve">include </w:t>
      </w:r>
      <w:r w:rsidR="000930D5">
        <w:t>other</w:t>
      </w:r>
      <w:r w:rsidR="00D65ADF">
        <w:t xml:space="preserve"> requirements related to the</w:t>
      </w:r>
      <w:r w:rsidR="000930D5">
        <w:t xml:space="preserve"> </w:t>
      </w:r>
      <w:r w:rsidR="00985090">
        <w:t xml:space="preserve">role of </w:t>
      </w:r>
      <w:r w:rsidR="00184523">
        <w:t>DON</w:t>
      </w:r>
      <w:r w:rsidR="00F1379E" w:rsidDel="006808C4">
        <w:t xml:space="preserve"> </w:t>
      </w:r>
      <w:r w:rsidR="006808C4">
        <w:t>such as</w:t>
      </w:r>
      <w:r w:rsidR="0046325E">
        <w:t>:</w:t>
      </w:r>
    </w:p>
    <w:p w14:paraId="4AAEAD84" w14:textId="295BE3A8" w:rsidR="001761C9" w:rsidRDefault="00117F7C" w:rsidP="00C132C8">
      <w:pPr>
        <w:pStyle w:val="Body"/>
        <w:numPr>
          <w:ilvl w:val="0"/>
          <w:numId w:val="15"/>
        </w:numPr>
      </w:pPr>
      <w:r>
        <w:t xml:space="preserve">minimum </w:t>
      </w:r>
      <w:r w:rsidR="001761C9">
        <w:t>on-site hours</w:t>
      </w:r>
    </w:p>
    <w:p w14:paraId="3E7963E2" w14:textId="6AB02155" w:rsidR="00156D36" w:rsidRDefault="006652EE" w:rsidP="00C132C8">
      <w:pPr>
        <w:pStyle w:val="Body"/>
        <w:numPr>
          <w:ilvl w:val="0"/>
          <w:numId w:val="15"/>
        </w:numPr>
      </w:pPr>
      <w:r>
        <w:t xml:space="preserve">experienced </w:t>
      </w:r>
      <w:r w:rsidR="00A6019D">
        <w:t xml:space="preserve">nursing </w:t>
      </w:r>
      <w:r w:rsidR="00156D36">
        <w:t>staff requirements when the DON is not on</w:t>
      </w:r>
      <w:r w:rsidR="00117F7C">
        <w:t>-site</w:t>
      </w:r>
    </w:p>
    <w:p w14:paraId="24730642" w14:textId="578A3F77" w:rsidR="00D061DD" w:rsidRDefault="00EC5A21" w:rsidP="00C132C8">
      <w:pPr>
        <w:pStyle w:val="Body"/>
        <w:numPr>
          <w:ilvl w:val="0"/>
          <w:numId w:val="15"/>
        </w:numPr>
      </w:pPr>
      <w:r>
        <w:t xml:space="preserve">a maximum number of day procedure centres that a </w:t>
      </w:r>
      <w:r w:rsidR="008E570E">
        <w:t>DON</w:t>
      </w:r>
      <w:r>
        <w:t xml:space="preserve"> can be nominated for.</w:t>
      </w:r>
    </w:p>
    <w:p w14:paraId="7CD49992" w14:textId="5A78EB0D" w:rsidR="0026596B" w:rsidRDefault="000E227D" w:rsidP="00E267DC">
      <w:pPr>
        <w:pStyle w:val="Body"/>
      </w:pPr>
      <w:r>
        <w:t>T</w:t>
      </w:r>
      <w:r w:rsidR="006B2EAC">
        <w:t xml:space="preserve">he department seeks feedback on </w:t>
      </w:r>
      <w:r w:rsidR="00B9507E">
        <w:t xml:space="preserve">the following </w:t>
      </w:r>
      <w:r w:rsidR="006B2EAC">
        <w:t>options</w:t>
      </w:r>
      <w:r w:rsidR="0091251C">
        <w:t>:</w:t>
      </w:r>
    </w:p>
    <w:p w14:paraId="58E715F8" w14:textId="77777777" w:rsidR="00313EB0" w:rsidRDefault="00444FBD" w:rsidP="00764C8F">
      <w:pPr>
        <w:pStyle w:val="Body"/>
        <w:ind w:left="360"/>
      </w:pPr>
      <w:r w:rsidRPr="00E267DC">
        <w:rPr>
          <w:b/>
        </w:rPr>
        <w:t>Option 1</w:t>
      </w:r>
      <w:r>
        <w:rPr>
          <w:b/>
          <w:bCs/>
        </w:rPr>
        <w:t xml:space="preserve"> </w:t>
      </w:r>
      <w:r w:rsidR="00B62BD2">
        <w:rPr>
          <w:b/>
          <w:bCs/>
        </w:rPr>
        <w:t>–</w:t>
      </w:r>
      <w:r w:rsidRPr="00E267DC">
        <w:rPr>
          <w:b/>
        </w:rPr>
        <w:t xml:space="preserve"> </w:t>
      </w:r>
      <w:r w:rsidR="00764C8F" w:rsidRPr="00D45AFB">
        <w:t>status quo</w:t>
      </w:r>
      <w:r w:rsidR="00764C8F">
        <w:t>.</w:t>
      </w:r>
      <w:r w:rsidR="00764C8F" w:rsidRPr="00D45AFB">
        <w:t xml:space="preserve"> </w:t>
      </w:r>
      <w:r w:rsidR="00764C8F">
        <w:t xml:space="preserve">This option would not make any changes to the Regulations and would continue with the current requirements. </w:t>
      </w:r>
    </w:p>
    <w:p w14:paraId="2CFA2467" w14:textId="4FA7610C" w:rsidR="00F06255" w:rsidRPr="00E267DC" w:rsidRDefault="00313EB0" w:rsidP="00E267DC">
      <w:pPr>
        <w:pStyle w:val="Body"/>
        <w:ind w:left="360"/>
      </w:pPr>
      <w:r>
        <w:rPr>
          <w:b/>
          <w:bCs/>
        </w:rPr>
        <w:t xml:space="preserve">Option 2 </w:t>
      </w:r>
      <w:r w:rsidR="00B85FB1">
        <w:rPr>
          <w:b/>
          <w:bCs/>
        </w:rPr>
        <w:t>–</w:t>
      </w:r>
      <w:r w:rsidR="00B76E63">
        <w:rPr>
          <w:b/>
          <w:bCs/>
        </w:rPr>
        <w:t xml:space="preserve"> </w:t>
      </w:r>
      <w:r w:rsidR="00B76E63" w:rsidRPr="00E267DC">
        <w:t>amend</w:t>
      </w:r>
      <w:r w:rsidR="00B76E63">
        <w:rPr>
          <w:b/>
          <w:bCs/>
        </w:rPr>
        <w:t xml:space="preserve"> </w:t>
      </w:r>
      <w:r w:rsidR="00B76E63">
        <w:t xml:space="preserve">the Regulations to </w:t>
      </w:r>
      <w:r w:rsidR="00B76E63" w:rsidRPr="00B346E5">
        <w:t>introduce</w:t>
      </w:r>
      <w:r w:rsidR="00B76E63">
        <w:rPr>
          <w:b/>
          <w:bCs/>
        </w:rPr>
        <w:t xml:space="preserve"> </w:t>
      </w:r>
      <w:r w:rsidR="00B76E63" w:rsidRPr="00B346E5">
        <w:t xml:space="preserve">minimum on-site hours </w:t>
      </w:r>
      <w:r w:rsidR="00B72131">
        <w:t>as follows</w:t>
      </w:r>
      <w:r w:rsidR="000F767B">
        <w:t>:</w:t>
      </w:r>
    </w:p>
    <w:p w14:paraId="7C58C110" w14:textId="52D59876" w:rsidR="00CC20F1" w:rsidRDefault="001F2B55" w:rsidP="00C132C8">
      <w:pPr>
        <w:pStyle w:val="Body"/>
        <w:numPr>
          <w:ilvl w:val="0"/>
          <w:numId w:val="40"/>
        </w:numPr>
      </w:pPr>
      <w:r>
        <w:t>f</w:t>
      </w:r>
      <w:r w:rsidR="000607A6">
        <w:t xml:space="preserve">or </w:t>
      </w:r>
      <w:r w:rsidR="008C227C">
        <w:t>p</w:t>
      </w:r>
      <w:r w:rsidR="000607A6">
        <w:t xml:space="preserve">rivate </w:t>
      </w:r>
      <w:r w:rsidR="008C227C">
        <w:t>h</w:t>
      </w:r>
      <w:r w:rsidR="000607A6">
        <w:t>ospitals (offering overnight admission), the department is considering whether the DON</w:t>
      </w:r>
      <w:r w:rsidR="00E527F8">
        <w:t>,</w:t>
      </w:r>
      <w:r w:rsidR="000607A6">
        <w:t xml:space="preserve"> or a nominated nurse in charge with the same qualifications and experience as a DON</w:t>
      </w:r>
      <w:r w:rsidR="00E527F8">
        <w:t>,</w:t>
      </w:r>
      <w:r w:rsidR="000607A6">
        <w:t xml:space="preserve"> </w:t>
      </w:r>
      <w:r w:rsidR="00880D07">
        <w:t xml:space="preserve">must </w:t>
      </w:r>
      <w:r w:rsidR="000607A6">
        <w:t>be on-site at all times</w:t>
      </w:r>
      <w:r w:rsidR="0048022C">
        <w:t>.</w:t>
      </w:r>
    </w:p>
    <w:p w14:paraId="0383D204" w14:textId="33F3755B" w:rsidR="00746B00" w:rsidRDefault="001F2B55" w:rsidP="00C132C8">
      <w:pPr>
        <w:pStyle w:val="Body"/>
        <w:numPr>
          <w:ilvl w:val="0"/>
          <w:numId w:val="40"/>
        </w:numPr>
      </w:pPr>
      <w:r>
        <w:t>f</w:t>
      </w:r>
      <w:r w:rsidR="00746B00">
        <w:t xml:space="preserve">or </w:t>
      </w:r>
      <w:r w:rsidR="008C227C">
        <w:t>d</w:t>
      </w:r>
      <w:r w:rsidR="00746B00">
        <w:t xml:space="preserve">ay </w:t>
      </w:r>
      <w:r w:rsidR="008C227C">
        <w:t>p</w:t>
      </w:r>
      <w:r w:rsidR="00746B00">
        <w:t xml:space="preserve">rocedure </w:t>
      </w:r>
      <w:r w:rsidR="008C227C">
        <w:t>c</w:t>
      </w:r>
      <w:r w:rsidR="00746B00">
        <w:t>entres, the department is considering whether the DON</w:t>
      </w:r>
      <w:r w:rsidR="004C22A6">
        <w:t>,</w:t>
      </w:r>
      <w:r w:rsidR="00746B00">
        <w:t xml:space="preserve"> or nominated nurse in charge with the same qualifications and experience as the DON</w:t>
      </w:r>
      <w:r w:rsidR="004C22A6">
        <w:t>,</w:t>
      </w:r>
      <w:r w:rsidR="00746B00">
        <w:t xml:space="preserve"> must be on-site for a minimum number of hours each week</w:t>
      </w:r>
      <w:r w:rsidR="00D806CF">
        <w:t xml:space="preserve">. </w:t>
      </w:r>
    </w:p>
    <w:p w14:paraId="506B611C" w14:textId="428F3F3B" w:rsidR="00C8363C" w:rsidRDefault="007B07DC" w:rsidP="00E267DC">
      <w:pPr>
        <w:pStyle w:val="Body"/>
        <w:ind w:left="360"/>
      </w:pPr>
      <w:r w:rsidRPr="00E267DC">
        <w:rPr>
          <w:b/>
        </w:rPr>
        <w:t xml:space="preserve">Option </w:t>
      </w:r>
      <w:r w:rsidR="00B76E63">
        <w:rPr>
          <w:b/>
          <w:bCs/>
        </w:rPr>
        <w:t>3</w:t>
      </w:r>
      <w:r>
        <w:t xml:space="preserve"> </w:t>
      </w:r>
      <w:r w:rsidR="0066380C">
        <w:t>–</w:t>
      </w:r>
      <w:r w:rsidR="006F69FB">
        <w:t xml:space="preserve"> </w:t>
      </w:r>
      <w:r w:rsidR="00404282">
        <w:t>a</w:t>
      </w:r>
      <w:r w:rsidR="004D5F5A">
        <w:t xml:space="preserve">n alternative </w:t>
      </w:r>
      <w:r w:rsidR="00CA43F5">
        <w:t>option for</w:t>
      </w:r>
      <w:r w:rsidR="008C227C">
        <w:t xml:space="preserve"> private hospitals and day procedure centres </w:t>
      </w:r>
      <w:r w:rsidR="00AD6FA6">
        <w:t xml:space="preserve">might be </w:t>
      </w:r>
      <w:r w:rsidR="007B5E29">
        <w:t xml:space="preserve">to require </w:t>
      </w:r>
      <w:r w:rsidR="00AD6FA6">
        <w:t xml:space="preserve">that a nurse with at least three years’ relevant clinical experience must be on-site to supervise the provision of </w:t>
      </w:r>
      <w:r w:rsidR="00AD6FA6" w:rsidRPr="00E267DC">
        <w:rPr>
          <w:i/>
        </w:rPr>
        <w:t>medical health services</w:t>
      </w:r>
      <w:r w:rsidR="00AD6FA6">
        <w:t xml:space="preserve">. </w:t>
      </w:r>
      <w:r w:rsidR="000603DF">
        <w:t xml:space="preserve">This would give medical health services </w:t>
      </w:r>
      <w:r w:rsidR="00AA6674">
        <w:t xml:space="preserve">the same level of supervision </w:t>
      </w:r>
      <w:r w:rsidR="008B4E35">
        <w:t xml:space="preserve">currently </w:t>
      </w:r>
      <w:r w:rsidR="009975B4">
        <w:t>required</w:t>
      </w:r>
      <w:r w:rsidR="008B4E35">
        <w:t xml:space="preserve"> </w:t>
      </w:r>
      <w:r w:rsidR="00A943B6">
        <w:t xml:space="preserve">for </w:t>
      </w:r>
      <w:r w:rsidR="00077ED5">
        <w:t>surgical, maternity, obstetric, and neonatal services</w:t>
      </w:r>
      <w:r w:rsidR="00AF1A9C">
        <w:t xml:space="preserve"> </w:t>
      </w:r>
      <w:r w:rsidR="002A1D45">
        <w:t>under the following Regulations:</w:t>
      </w:r>
      <w:r w:rsidR="00077ED5">
        <w:t xml:space="preserve"> </w:t>
      </w:r>
    </w:p>
    <w:p w14:paraId="1DB42875" w14:textId="02A07015" w:rsidR="001A1EF0" w:rsidRDefault="00DA2EFF" w:rsidP="00C132C8">
      <w:pPr>
        <w:pStyle w:val="Body"/>
        <w:numPr>
          <w:ilvl w:val="0"/>
          <w:numId w:val="39"/>
        </w:numPr>
      </w:pPr>
      <w:r>
        <w:t>r.26A</w:t>
      </w:r>
      <w:r w:rsidDel="00FE6C01">
        <w:t xml:space="preserve"> </w:t>
      </w:r>
      <w:r>
        <w:t>– a</w:t>
      </w:r>
      <w:r w:rsidR="00A2755F" w:rsidDel="00DA2EFF">
        <w:t xml:space="preserve"> </w:t>
      </w:r>
      <w:r w:rsidR="00A2755F">
        <w:t>nurse with at least three years</w:t>
      </w:r>
      <w:r w:rsidR="007F4FFE">
        <w:t>’</w:t>
      </w:r>
      <w:r w:rsidR="00A2755F">
        <w:t xml:space="preserve"> relevant clinical experience </w:t>
      </w:r>
      <w:r w:rsidR="0051517F">
        <w:t>must be</w:t>
      </w:r>
      <w:r w:rsidR="00A2755F">
        <w:t xml:space="preserve"> present to supervise the provision of surgical health services </w:t>
      </w:r>
      <w:r w:rsidR="001E24BC">
        <w:t>to a patient and their subsequent post-operative care</w:t>
      </w:r>
      <w:r w:rsidR="00A2755F">
        <w:t>.</w:t>
      </w:r>
    </w:p>
    <w:p w14:paraId="02D5559F" w14:textId="06F1C956" w:rsidR="000120B8" w:rsidRDefault="00684B75" w:rsidP="00C132C8">
      <w:pPr>
        <w:pStyle w:val="Body"/>
        <w:numPr>
          <w:ilvl w:val="0"/>
          <w:numId w:val="39"/>
        </w:numPr>
      </w:pPr>
      <w:r>
        <w:t>r</w:t>
      </w:r>
      <w:r w:rsidR="00044876">
        <w:t>.26B – a</w:t>
      </w:r>
      <w:r w:rsidR="0051517F">
        <w:t xml:space="preserve"> registered midwife with at least three years</w:t>
      </w:r>
      <w:r w:rsidR="007F4FFE">
        <w:t>’</w:t>
      </w:r>
      <w:r w:rsidR="0051517F">
        <w:t xml:space="preserve"> relevant clinical experience </w:t>
      </w:r>
      <w:r w:rsidR="003C2AF5">
        <w:t xml:space="preserve">must be present to provide clinical oversight of </w:t>
      </w:r>
      <w:r w:rsidR="00A2755F">
        <w:t xml:space="preserve">maternity, obstetric or neonatal services. </w:t>
      </w:r>
    </w:p>
    <w:p w14:paraId="661186F8" w14:textId="27BF5ABD" w:rsidR="3DB6157A" w:rsidRDefault="00886A4E" w:rsidP="00A73BDE">
      <w:pPr>
        <w:pStyle w:val="Body"/>
        <w:spacing w:after="240"/>
      </w:pPr>
      <w:r>
        <w:t xml:space="preserve">The department is also considering </w:t>
      </w:r>
      <w:r w:rsidR="00710250">
        <w:t>wh</w:t>
      </w:r>
      <w:r w:rsidR="0044330A">
        <w:t xml:space="preserve">ether </w:t>
      </w:r>
      <w:r w:rsidR="001A2E76">
        <w:t xml:space="preserve">there should be a maximum number of day procedure centres that a </w:t>
      </w:r>
      <w:r w:rsidR="00A57CD8">
        <w:t>DON</w:t>
      </w:r>
      <w:r w:rsidR="001A2E76">
        <w:t xml:space="preserve"> </w:t>
      </w:r>
      <w:r w:rsidR="00FA4FA7">
        <w:t xml:space="preserve">can be nominated for. </w:t>
      </w:r>
    </w:p>
    <w:tbl>
      <w:tblPr>
        <w:tblStyle w:val="TableGrid"/>
        <w:tblW w:w="5000" w:type="pct"/>
        <w:tblBorders>
          <w:top w:val="single" w:sz="8" w:space="0" w:color="auto"/>
          <w:left w:val="single" w:sz="12" w:space="0" w:color="auto"/>
          <w:right w:val="single" w:sz="12" w:space="0" w:color="auto"/>
          <w:insideH w:val="none" w:sz="0" w:space="0" w:color="auto"/>
          <w:insideV w:val="none" w:sz="0" w:space="0" w:color="auto"/>
        </w:tblBorders>
        <w:shd w:val="clear" w:color="auto" w:fill="F2F2F2" w:themeFill="background1" w:themeFillShade="F2"/>
        <w:tblLook w:val="06A0" w:firstRow="1" w:lastRow="0" w:firstColumn="1" w:lastColumn="0" w:noHBand="1" w:noVBand="1"/>
      </w:tblPr>
      <w:tblGrid>
        <w:gridCol w:w="9268"/>
      </w:tblGrid>
      <w:tr w:rsidR="00B57047" w14:paraId="73D858C9" w14:textId="77777777" w:rsidTr="00E267DC">
        <w:trPr>
          <w:tblHeader/>
        </w:trPr>
        <w:tc>
          <w:tcPr>
            <w:tcW w:w="5000" w:type="pct"/>
            <w:shd w:val="clear" w:color="auto" w:fill="F2F2F2" w:themeFill="background1" w:themeFillShade="F2"/>
          </w:tcPr>
          <w:p w14:paraId="37E5541B" w14:textId="77777777" w:rsidR="00B57047" w:rsidRPr="00CB3285" w:rsidRDefault="00B57047" w:rsidP="00386DDA">
            <w:pPr>
              <w:pStyle w:val="Tablecolhead"/>
            </w:pPr>
            <w:r>
              <w:lastRenderedPageBreak/>
              <w:t>Questions for consultation</w:t>
            </w:r>
          </w:p>
        </w:tc>
      </w:tr>
      <w:tr w:rsidR="00B57047" w14:paraId="566E2E39" w14:textId="77777777" w:rsidTr="00E267DC">
        <w:tc>
          <w:tcPr>
            <w:tcW w:w="5000" w:type="pct"/>
            <w:shd w:val="clear" w:color="auto" w:fill="F2F2F2" w:themeFill="background1" w:themeFillShade="F2"/>
          </w:tcPr>
          <w:p w14:paraId="42B93043" w14:textId="69872BC2" w:rsidR="00DE3D28" w:rsidRDefault="001C1846" w:rsidP="00C132C8">
            <w:pPr>
              <w:pStyle w:val="ListParagraph"/>
              <w:numPr>
                <w:ilvl w:val="0"/>
                <w:numId w:val="11"/>
              </w:numPr>
              <w:spacing w:before="120" w:after="120" w:line="280" w:lineRule="atLeast"/>
              <w:ind w:left="357" w:hanging="357"/>
              <w:contextualSpacing w:val="0"/>
              <w:rPr>
                <w:rFonts w:ascii="Arial" w:hAnsi="Arial" w:cs="Arial"/>
                <w:sz w:val="21"/>
                <w:szCs w:val="21"/>
              </w:rPr>
            </w:pPr>
            <w:r>
              <w:rPr>
                <w:rFonts w:ascii="Arial" w:hAnsi="Arial" w:cs="Arial"/>
                <w:sz w:val="21"/>
                <w:szCs w:val="21"/>
              </w:rPr>
              <w:t xml:space="preserve">To ensure </w:t>
            </w:r>
            <w:r w:rsidR="00847227">
              <w:rPr>
                <w:rFonts w:ascii="Arial" w:hAnsi="Arial" w:cs="Arial"/>
                <w:sz w:val="21"/>
                <w:szCs w:val="21"/>
              </w:rPr>
              <w:t xml:space="preserve">adequate nursing supervision </w:t>
            </w:r>
            <w:r w:rsidR="008A37B7">
              <w:rPr>
                <w:rFonts w:ascii="Arial" w:hAnsi="Arial" w:cs="Arial"/>
                <w:sz w:val="21"/>
                <w:szCs w:val="21"/>
              </w:rPr>
              <w:t xml:space="preserve">by a suitably qualified person, </w:t>
            </w:r>
            <w:r w:rsidR="00E2167B">
              <w:rPr>
                <w:rFonts w:ascii="Arial" w:hAnsi="Arial" w:cs="Arial"/>
                <w:sz w:val="21"/>
                <w:szCs w:val="21"/>
              </w:rPr>
              <w:t>which of the following options do you support</w:t>
            </w:r>
            <w:r w:rsidR="00AD2F5A">
              <w:rPr>
                <w:rFonts w:ascii="Arial" w:hAnsi="Arial" w:cs="Arial"/>
                <w:sz w:val="21"/>
                <w:szCs w:val="21"/>
              </w:rPr>
              <w:t>, and w</w:t>
            </w:r>
            <w:r w:rsidR="00E2167B">
              <w:rPr>
                <w:rFonts w:ascii="Arial" w:hAnsi="Arial" w:cs="Arial"/>
                <w:sz w:val="21"/>
                <w:szCs w:val="21"/>
              </w:rPr>
              <w:t>hy</w:t>
            </w:r>
            <w:r w:rsidR="007438A4">
              <w:rPr>
                <w:rFonts w:ascii="Arial" w:hAnsi="Arial" w:cs="Arial"/>
                <w:sz w:val="21"/>
                <w:szCs w:val="21"/>
              </w:rPr>
              <w:t xml:space="preserve"> / why not?</w:t>
            </w:r>
          </w:p>
          <w:p w14:paraId="58F27977" w14:textId="1FC4720A" w:rsidR="00BB7BCC" w:rsidRDefault="00BB7BCC" w:rsidP="24C27D9B">
            <w:pPr>
              <w:pStyle w:val="ListParagraph"/>
              <w:spacing w:after="120" w:line="280" w:lineRule="atLeast"/>
              <w:rPr>
                <w:rFonts w:ascii="Arial" w:hAnsi="Arial" w:cs="Arial"/>
                <w:sz w:val="21"/>
                <w:szCs w:val="21"/>
              </w:rPr>
            </w:pPr>
            <w:r w:rsidRPr="00E267DC">
              <w:rPr>
                <w:rFonts w:ascii="Arial" w:hAnsi="Arial" w:cs="Arial"/>
                <w:b/>
                <w:sz w:val="21"/>
                <w:szCs w:val="21"/>
              </w:rPr>
              <w:t>Option 1</w:t>
            </w:r>
            <w:r w:rsidRPr="005B5D79">
              <w:rPr>
                <w:rFonts w:ascii="Arial" w:hAnsi="Arial" w:cs="Arial"/>
                <w:sz w:val="21"/>
                <w:szCs w:val="21"/>
              </w:rPr>
              <w:t xml:space="preserve"> –</w:t>
            </w:r>
            <w:r>
              <w:rPr>
                <w:rFonts w:ascii="Arial" w:hAnsi="Arial" w:cs="Arial"/>
                <w:sz w:val="21"/>
                <w:szCs w:val="21"/>
              </w:rPr>
              <w:t xml:space="preserve"> </w:t>
            </w:r>
            <w:r w:rsidRPr="005B5D79">
              <w:rPr>
                <w:rFonts w:ascii="Arial" w:hAnsi="Arial" w:cs="Arial"/>
                <w:sz w:val="21"/>
                <w:szCs w:val="21"/>
              </w:rPr>
              <w:t xml:space="preserve">status quo – no </w:t>
            </w:r>
            <w:r>
              <w:rPr>
                <w:rFonts w:ascii="Arial" w:hAnsi="Arial" w:cs="Arial"/>
                <w:sz w:val="21"/>
                <w:szCs w:val="21"/>
              </w:rPr>
              <w:t>change to</w:t>
            </w:r>
            <w:r w:rsidRPr="005B5D79">
              <w:rPr>
                <w:rFonts w:ascii="Arial" w:hAnsi="Arial" w:cs="Arial"/>
                <w:sz w:val="21"/>
                <w:szCs w:val="21"/>
              </w:rPr>
              <w:t xml:space="preserve"> requirements in </w:t>
            </w:r>
            <w:r>
              <w:rPr>
                <w:rFonts w:ascii="Arial" w:hAnsi="Arial" w:cs="Arial"/>
                <w:sz w:val="21"/>
                <w:szCs w:val="21"/>
              </w:rPr>
              <w:t xml:space="preserve">the </w:t>
            </w:r>
            <w:r w:rsidRPr="005B5D79">
              <w:rPr>
                <w:rFonts w:ascii="Arial" w:hAnsi="Arial" w:cs="Arial"/>
                <w:sz w:val="21"/>
                <w:szCs w:val="21"/>
              </w:rPr>
              <w:t>Regulations.</w:t>
            </w:r>
          </w:p>
          <w:p w14:paraId="4AF695DE" w14:textId="77777777" w:rsidR="00A467CB" w:rsidRDefault="00BB7BCC" w:rsidP="00C123CB">
            <w:pPr>
              <w:pStyle w:val="ListParagraph"/>
              <w:spacing w:after="120" w:line="280" w:lineRule="atLeast"/>
              <w:contextualSpacing w:val="0"/>
              <w:rPr>
                <w:rFonts w:ascii="Arial" w:hAnsi="Arial" w:cs="Arial"/>
                <w:sz w:val="21"/>
                <w:szCs w:val="21"/>
              </w:rPr>
            </w:pPr>
            <w:r w:rsidRPr="00E267DC">
              <w:rPr>
                <w:rFonts w:ascii="Arial" w:hAnsi="Arial" w:cs="Arial"/>
                <w:b/>
                <w:sz w:val="21"/>
                <w:szCs w:val="21"/>
              </w:rPr>
              <w:t>Option 2</w:t>
            </w:r>
            <w:r>
              <w:rPr>
                <w:rFonts w:ascii="Arial" w:hAnsi="Arial" w:cs="Arial"/>
                <w:sz w:val="21"/>
                <w:szCs w:val="21"/>
              </w:rPr>
              <w:t xml:space="preserve"> – require</w:t>
            </w:r>
            <w:r w:rsidR="00FC222A">
              <w:rPr>
                <w:rFonts w:ascii="Arial" w:hAnsi="Arial" w:cs="Arial"/>
                <w:sz w:val="21"/>
                <w:szCs w:val="21"/>
              </w:rPr>
              <w:t xml:space="preserve"> a DON or nominated nurse in charge with the same qualifications and experience as the DON to </w:t>
            </w:r>
            <w:r w:rsidR="00D719E2">
              <w:rPr>
                <w:rFonts w:ascii="Arial" w:hAnsi="Arial" w:cs="Arial"/>
                <w:sz w:val="21"/>
                <w:szCs w:val="21"/>
              </w:rPr>
              <w:t>be</w:t>
            </w:r>
            <w:r w:rsidR="00A467CB">
              <w:rPr>
                <w:rFonts w:ascii="Arial" w:hAnsi="Arial" w:cs="Arial"/>
                <w:sz w:val="21"/>
                <w:szCs w:val="21"/>
              </w:rPr>
              <w:t>:</w:t>
            </w:r>
          </w:p>
          <w:p w14:paraId="557B9B5A" w14:textId="77777777" w:rsidR="00A467CB" w:rsidRDefault="004B47B0" w:rsidP="00C132C8">
            <w:pPr>
              <w:pStyle w:val="ListParagraph"/>
              <w:numPr>
                <w:ilvl w:val="0"/>
                <w:numId w:val="41"/>
              </w:numPr>
              <w:spacing w:after="120" w:line="280" w:lineRule="atLeast"/>
              <w:rPr>
                <w:rFonts w:ascii="Arial" w:hAnsi="Arial" w:cs="Arial"/>
                <w:sz w:val="21"/>
                <w:szCs w:val="21"/>
              </w:rPr>
            </w:pPr>
            <w:r>
              <w:rPr>
                <w:rFonts w:ascii="Arial" w:hAnsi="Arial" w:cs="Arial"/>
                <w:sz w:val="21"/>
                <w:szCs w:val="21"/>
              </w:rPr>
              <w:t xml:space="preserve">on-site at all times </w:t>
            </w:r>
            <w:r w:rsidR="00545646">
              <w:rPr>
                <w:rFonts w:ascii="Arial" w:hAnsi="Arial" w:cs="Arial"/>
                <w:sz w:val="21"/>
                <w:szCs w:val="21"/>
              </w:rPr>
              <w:t xml:space="preserve">in </w:t>
            </w:r>
            <w:r w:rsidR="0056298A">
              <w:rPr>
                <w:rFonts w:ascii="Arial" w:hAnsi="Arial" w:cs="Arial"/>
                <w:sz w:val="21"/>
                <w:szCs w:val="21"/>
              </w:rPr>
              <w:t>private hospitals</w:t>
            </w:r>
          </w:p>
          <w:p w14:paraId="78806051" w14:textId="272E1168" w:rsidR="00BB7BCC" w:rsidRDefault="00A467CB" w:rsidP="00C132C8">
            <w:pPr>
              <w:pStyle w:val="ListParagraph"/>
              <w:numPr>
                <w:ilvl w:val="0"/>
                <w:numId w:val="41"/>
              </w:numPr>
              <w:spacing w:after="120" w:line="280" w:lineRule="atLeast"/>
              <w:ind w:left="1434" w:hanging="357"/>
              <w:contextualSpacing w:val="0"/>
              <w:rPr>
                <w:rFonts w:ascii="Arial" w:hAnsi="Arial" w:cs="Arial"/>
                <w:sz w:val="21"/>
                <w:szCs w:val="21"/>
              </w:rPr>
            </w:pPr>
            <w:r w:rsidRPr="00473259">
              <w:rPr>
                <w:rFonts w:ascii="Arial" w:hAnsi="Arial" w:cs="Arial"/>
                <w:sz w:val="21"/>
                <w:szCs w:val="21"/>
              </w:rPr>
              <w:t>on-site for a minimum number of hours each week in day procedure centres</w:t>
            </w:r>
            <w:r w:rsidR="00473259" w:rsidRPr="00473259">
              <w:rPr>
                <w:rFonts w:ascii="Arial" w:hAnsi="Arial" w:cs="Arial"/>
                <w:sz w:val="21"/>
                <w:szCs w:val="21"/>
              </w:rPr>
              <w:t>.</w:t>
            </w:r>
            <w:r w:rsidR="00473259">
              <w:rPr>
                <w:rFonts w:ascii="Arial" w:hAnsi="Arial" w:cs="Arial"/>
                <w:sz w:val="21"/>
                <w:szCs w:val="21"/>
              </w:rPr>
              <w:t xml:space="preserve"> </w:t>
            </w:r>
            <w:r w:rsidR="004B4931" w:rsidRPr="00473259">
              <w:rPr>
                <w:rFonts w:ascii="Arial" w:hAnsi="Arial" w:cs="Arial"/>
                <w:sz w:val="21"/>
                <w:szCs w:val="21"/>
              </w:rPr>
              <w:t xml:space="preserve">What might be an appropriate number of hours? </w:t>
            </w:r>
          </w:p>
          <w:p w14:paraId="3EC4636B" w14:textId="748687C6" w:rsidR="00547B6A" w:rsidRPr="00895747" w:rsidRDefault="00473259" w:rsidP="00C123CB">
            <w:pPr>
              <w:pStyle w:val="ListParagraph"/>
              <w:spacing w:after="120" w:line="280" w:lineRule="atLeast"/>
              <w:contextualSpacing w:val="0"/>
              <w:rPr>
                <w:rFonts w:ascii="Arial" w:hAnsi="Arial" w:cs="Arial"/>
                <w:sz w:val="21"/>
                <w:szCs w:val="21"/>
              </w:rPr>
            </w:pPr>
            <w:r w:rsidRPr="00E267DC">
              <w:rPr>
                <w:rFonts w:ascii="Arial" w:hAnsi="Arial" w:cs="Arial"/>
                <w:b/>
                <w:bCs/>
                <w:sz w:val="21"/>
                <w:szCs w:val="21"/>
              </w:rPr>
              <w:t xml:space="preserve">Option 3 </w:t>
            </w:r>
            <w:r w:rsidR="00750E48" w:rsidRPr="00E267DC">
              <w:rPr>
                <w:rFonts w:cs="Arial"/>
                <w:b/>
                <w:szCs w:val="21"/>
              </w:rPr>
              <w:t xml:space="preserve">– </w:t>
            </w:r>
            <w:r w:rsidR="000935EF" w:rsidRPr="00E267DC">
              <w:rPr>
                <w:rFonts w:ascii="Arial" w:hAnsi="Arial" w:cs="Arial"/>
                <w:sz w:val="21"/>
                <w:szCs w:val="21"/>
              </w:rPr>
              <w:t>for</w:t>
            </w:r>
            <w:r w:rsidR="0063478B" w:rsidRPr="000935EF">
              <w:rPr>
                <w:rFonts w:ascii="Arial" w:hAnsi="Arial" w:cs="Arial"/>
                <w:sz w:val="21"/>
                <w:szCs w:val="21"/>
              </w:rPr>
              <w:t xml:space="preserve"> private hospitals and day procedure centres</w:t>
            </w:r>
            <w:r w:rsidR="00547B6A">
              <w:rPr>
                <w:rFonts w:ascii="Arial" w:hAnsi="Arial" w:cs="Arial"/>
                <w:sz w:val="21"/>
                <w:szCs w:val="21"/>
              </w:rPr>
              <w:t>,</w:t>
            </w:r>
            <w:r w:rsidR="0063478B" w:rsidRPr="000935EF">
              <w:rPr>
                <w:rFonts w:ascii="Arial" w:hAnsi="Arial" w:cs="Arial"/>
                <w:sz w:val="21"/>
                <w:szCs w:val="21"/>
              </w:rPr>
              <w:t xml:space="preserve"> require</w:t>
            </w:r>
            <w:r w:rsidR="0063478B" w:rsidRPr="000935EF" w:rsidDel="00547B6A">
              <w:rPr>
                <w:rFonts w:ascii="Arial" w:hAnsi="Arial" w:cs="Arial"/>
                <w:sz w:val="21"/>
                <w:szCs w:val="21"/>
              </w:rPr>
              <w:t xml:space="preserve"> </w:t>
            </w:r>
            <w:r w:rsidR="0063478B" w:rsidRPr="000935EF">
              <w:rPr>
                <w:rFonts w:ascii="Arial" w:hAnsi="Arial" w:cs="Arial"/>
                <w:sz w:val="21"/>
                <w:szCs w:val="21"/>
              </w:rPr>
              <w:t>a nurse with at least three years</w:t>
            </w:r>
            <w:r w:rsidR="007F4FFE">
              <w:rPr>
                <w:rFonts w:ascii="Arial" w:hAnsi="Arial" w:cs="Arial"/>
                <w:sz w:val="21"/>
                <w:szCs w:val="21"/>
              </w:rPr>
              <w:t>’</w:t>
            </w:r>
            <w:r w:rsidR="0063478B" w:rsidRPr="000935EF">
              <w:rPr>
                <w:rFonts w:ascii="Arial" w:hAnsi="Arial" w:cs="Arial"/>
                <w:sz w:val="21"/>
                <w:szCs w:val="21"/>
              </w:rPr>
              <w:t xml:space="preserve"> relevant clinical experience to be on-site to supervise the provision of medical health services? </w:t>
            </w:r>
          </w:p>
          <w:p w14:paraId="608B2DF0" w14:textId="6FCEF0C2" w:rsidR="00B57047" w:rsidRDefault="00FA4FA7" w:rsidP="00C132C8">
            <w:pPr>
              <w:pStyle w:val="ListParagraph"/>
              <w:numPr>
                <w:ilvl w:val="0"/>
                <w:numId w:val="11"/>
              </w:numPr>
              <w:spacing w:after="120" w:line="280" w:lineRule="atLeast"/>
              <w:ind w:left="357" w:hanging="357"/>
              <w:contextualSpacing w:val="0"/>
            </w:pPr>
            <w:r w:rsidRPr="005B5D79">
              <w:rPr>
                <w:rFonts w:ascii="Arial" w:hAnsi="Arial" w:cs="Arial"/>
                <w:sz w:val="21"/>
                <w:szCs w:val="21"/>
              </w:rPr>
              <w:t xml:space="preserve">For day procedure centres, would you support </w:t>
            </w:r>
            <w:r w:rsidR="00D0345D" w:rsidRPr="005B5D79">
              <w:rPr>
                <w:rFonts w:ascii="Arial" w:hAnsi="Arial" w:cs="Arial"/>
                <w:sz w:val="21"/>
                <w:szCs w:val="21"/>
              </w:rPr>
              <w:t xml:space="preserve">there being a maximum number of facilities that a </w:t>
            </w:r>
            <w:r w:rsidR="00291861" w:rsidRPr="005B5D79">
              <w:rPr>
                <w:rFonts w:ascii="Arial" w:hAnsi="Arial" w:cs="Arial"/>
                <w:sz w:val="21"/>
                <w:szCs w:val="21"/>
              </w:rPr>
              <w:t xml:space="preserve">DON </w:t>
            </w:r>
            <w:r w:rsidR="000D5367" w:rsidRPr="005B5D79">
              <w:rPr>
                <w:rFonts w:ascii="Arial" w:hAnsi="Arial" w:cs="Arial"/>
                <w:sz w:val="21"/>
                <w:szCs w:val="21"/>
              </w:rPr>
              <w:t>can be nominated for</w:t>
            </w:r>
            <w:r w:rsidR="00291861" w:rsidRPr="005B5D79">
              <w:rPr>
                <w:rFonts w:ascii="Arial" w:hAnsi="Arial" w:cs="Arial"/>
                <w:sz w:val="21"/>
                <w:szCs w:val="21"/>
              </w:rPr>
              <w:t>? If so</w:t>
            </w:r>
            <w:r w:rsidR="000D5367" w:rsidRPr="005B5D79">
              <w:rPr>
                <w:rFonts w:ascii="Arial" w:hAnsi="Arial" w:cs="Arial"/>
                <w:sz w:val="21"/>
                <w:szCs w:val="21"/>
              </w:rPr>
              <w:t>,</w:t>
            </w:r>
            <w:r w:rsidR="00291861" w:rsidRPr="005B5D79">
              <w:rPr>
                <w:rFonts w:ascii="Arial" w:hAnsi="Arial" w:cs="Arial"/>
                <w:sz w:val="21"/>
                <w:szCs w:val="21"/>
              </w:rPr>
              <w:t xml:space="preserve"> why</w:t>
            </w:r>
            <w:r w:rsidR="00B404F1" w:rsidRPr="005B5D79">
              <w:rPr>
                <w:rFonts w:ascii="Arial" w:hAnsi="Arial" w:cs="Arial"/>
                <w:sz w:val="21"/>
                <w:szCs w:val="21"/>
              </w:rPr>
              <w:t xml:space="preserve"> and what might be an appropriate number</w:t>
            </w:r>
            <w:r w:rsidR="00291861" w:rsidRPr="005B5D79">
              <w:rPr>
                <w:rFonts w:ascii="Arial" w:hAnsi="Arial" w:cs="Arial"/>
                <w:sz w:val="21"/>
                <w:szCs w:val="21"/>
              </w:rPr>
              <w:t>? If not, why not?</w:t>
            </w:r>
          </w:p>
        </w:tc>
      </w:tr>
    </w:tbl>
    <w:p w14:paraId="4763C4B7" w14:textId="4FCB9A7B" w:rsidR="003A41FF" w:rsidRDefault="002E73FE" w:rsidP="00CD7AC3">
      <w:pPr>
        <w:pStyle w:val="Heading4"/>
      </w:pPr>
      <w:r>
        <w:t>4</w:t>
      </w:r>
      <w:r w:rsidR="009264F0">
        <w:t>.</w:t>
      </w:r>
      <w:r w:rsidR="00CD7AC3">
        <w:t>1.1.4</w:t>
      </w:r>
      <w:r w:rsidR="003A41FF">
        <w:t xml:space="preserve"> Director of nursing hours devoted to non-clinical activity</w:t>
      </w:r>
    </w:p>
    <w:p w14:paraId="0A1C3297" w14:textId="5EAAEC64" w:rsidR="00852DE1" w:rsidRPr="00F229AB" w:rsidRDefault="003A41FF" w:rsidP="00BC298B">
      <w:pPr>
        <w:pStyle w:val="Body"/>
      </w:pPr>
      <w:r>
        <w:t xml:space="preserve">The department </w:t>
      </w:r>
      <w:r w:rsidR="00C96303">
        <w:t>understands</w:t>
      </w:r>
      <w:r w:rsidR="00095FD8">
        <w:t xml:space="preserve"> there may </w:t>
      </w:r>
      <w:r w:rsidR="00241997">
        <w:t xml:space="preserve">be </w:t>
      </w:r>
      <w:r w:rsidR="00095FD8">
        <w:t xml:space="preserve">some </w:t>
      </w:r>
      <w:r>
        <w:t xml:space="preserve">facilities where the DON’s work is purely clinical during working hours and the non-clinical component is done in the DON’s own time, sometimes off-site. </w:t>
      </w:r>
      <w:r w:rsidRPr="00852DE1">
        <w:t xml:space="preserve">The department </w:t>
      </w:r>
      <w:r w:rsidR="00E212B8" w:rsidRPr="00F229AB">
        <w:t xml:space="preserve">wishes to consider whether this </w:t>
      </w:r>
      <w:r w:rsidR="000C0812" w:rsidRPr="00F229AB">
        <w:t>may present a risk to patient safety such that</w:t>
      </w:r>
      <w:r w:rsidRPr="00F229AB">
        <w:t xml:space="preserve"> </w:t>
      </w:r>
      <w:r w:rsidR="00852DE1" w:rsidRPr="00F229AB">
        <w:t>r</w:t>
      </w:r>
      <w:r w:rsidR="00472CE0">
        <w:t xml:space="preserve">elevant </w:t>
      </w:r>
      <w:r w:rsidR="00852DE1">
        <w:t>r</w:t>
      </w:r>
      <w:r w:rsidR="00852DE1" w:rsidRPr="00F229AB">
        <w:t xml:space="preserve">equirements in the Regulations are appropriate. </w:t>
      </w:r>
    </w:p>
    <w:p w14:paraId="605F4CF2" w14:textId="781ED160" w:rsidR="00AB3948" w:rsidRDefault="00F84ABA" w:rsidP="00BC298B">
      <w:pPr>
        <w:pStyle w:val="Body"/>
      </w:pPr>
      <w:r>
        <w:t>As noted above, th</w:t>
      </w:r>
      <w:r w:rsidR="00472CE0">
        <w:t>e</w:t>
      </w:r>
      <w:r w:rsidR="00852DE1" w:rsidRPr="00F229AB">
        <w:t xml:space="preserve"> </w:t>
      </w:r>
      <w:r w:rsidR="00946A44">
        <w:t>DON</w:t>
      </w:r>
      <w:r w:rsidR="00852DE1" w:rsidRPr="00F229AB">
        <w:t xml:space="preserve"> is a key clinical governance role. </w:t>
      </w:r>
      <w:r w:rsidR="00852DE1">
        <w:t>Relevant non</w:t>
      </w:r>
      <w:r w:rsidR="0029027B">
        <w:t xml:space="preserve">-clinical activities </w:t>
      </w:r>
      <w:r w:rsidR="00852DE1">
        <w:t xml:space="preserve">of a DON may </w:t>
      </w:r>
      <w:r w:rsidR="0029027B">
        <w:t>include</w:t>
      </w:r>
      <w:r w:rsidR="00AB3948">
        <w:t>:</w:t>
      </w:r>
    </w:p>
    <w:p w14:paraId="0F36EC68" w14:textId="6C93BF82" w:rsidR="00862227" w:rsidRDefault="00862227" w:rsidP="00C132C8">
      <w:pPr>
        <w:pStyle w:val="Body"/>
        <w:numPr>
          <w:ilvl w:val="0"/>
          <w:numId w:val="34"/>
        </w:numPr>
      </w:pPr>
      <w:r>
        <w:t>quality and clinical governance</w:t>
      </w:r>
    </w:p>
    <w:p w14:paraId="1E5B5BC7" w14:textId="1C210D33" w:rsidR="00AB3948" w:rsidRDefault="00BC298B" w:rsidP="00C132C8">
      <w:pPr>
        <w:pStyle w:val="Body"/>
        <w:numPr>
          <w:ilvl w:val="0"/>
          <w:numId w:val="34"/>
        </w:numPr>
      </w:pPr>
      <w:r>
        <w:t>policy and systems reviews</w:t>
      </w:r>
    </w:p>
    <w:p w14:paraId="4EC63E76" w14:textId="3D197F8B" w:rsidR="00550FA0" w:rsidRDefault="00550FA0" w:rsidP="00C132C8">
      <w:pPr>
        <w:pStyle w:val="Body"/>
        <w:numPr>
          <w:ilvl w:val="0"/>
          <w:numId w:val="34"/>
        </w:numPr>
      </w:pPr>
      <w:r>
        <w:t>staff performance reviews and professional development</w:t>
      </w:r>
    </w:p>
    <w:p w14:paraId="22E64149" w14:textId="6746B9D0" w:rsidR="00AB3948" w:rsidRDefault="00BC298B" w:rsidP="00C132C8">
      <w:pPr>
        <w:pStyle w:val="Body"/>
        <w:numPr>
          <w:ilvl w:val="0"/>
          <w:numId w:val="34"/>
        </w:numPr>
      </w:pPr>
      <w:r>
        <w:t>setting</w:t>
      </w:r>
      <w:r w:rsidR="00C413CA">
        <w:t xml:space="preserve"> </w:t>
      </w:r>
      <w:r w:rsidR="00852DE1">
        <w:t>safety culture</w:t>
      </w:r>
    </w:p>
    <w:p w14:paraId="1FE6FC02" w14:textId="50E13F81" w:rsidR="00BC298B" w:rsidRDefault="00C413CA" w:rsidP="00C132C8">
      <w:pPr>
        <w:pStyle w:val="Body"/>
        <w:numPr>
          <w:ilvl w:val="0"/>
          <w:numId w:val="34"/>
        </w:numPr>
      </w:pPr>
      <w:r>
        <w:t>patient experience</w:t>
      </w:r>
      <w:r w:rsidR="00BC298B">
        <w:t xml:space="preserve">. </w:t>
      </w:r>
    </w:p>
    <w:p w14:paraId="61758C7F" w14:textId="50288BF3" w:rsidR="003A41FF" w:rsidRDefault="004D3A23" w:rsidP="003A41FF">
      <w:pPr>
        <w:pStyle w:val="Body"/>
      </w:pPr>
      <w:r>
        <w:t xml:space="preserve">If the Regulations were amended to introduce foundational requirements </w:t>
      </w:r>
      <w:r w:rsidR="006F3173">
        <w:t>to ensure attention to</w:t>
      </w:r>
      <w:r>
        <w:t xml:space="preserve"> non-clinical activities relevant to patient safety, t</w:t>
      </w:r>
      <w:r w:rsidR="00B853E6">
        <w:t>h</w:t>
      </w:r>
      <w:r w:rsidR="003A41FF">
        <w:t xml:space="preserve">ree options </w:t>
      </w:r>
      <w:r>
        <w:t>may be considered</w:t>
      </w:r>
      <w:r w:rsidR="003A41FF">
        <w:t xml:space="preserve">. </w:t>
      </w:r>
    </w:p>
    <w:p w14:paraId="260AE86B" w14:textId="5C80C507" w:rsidR="004A5B86" w:rsidRDefault="00CD3B4C" w:rsidP="00CD3B4C">
      <w:pPr>
        <w:pStyle w:val="Body"/>
        <w:ind w:left="360"/>
      </w:pPr>
      <w:r>
        <w:rPr>
          <w:b/>
          <w:bCs/>
        </w:rPr>
        <w:t xml:space="preserve">Option 1 </w:t>
      </w:r>
      <w:r>
        <w:rPr>
          <w:b/>
        </w:rPr>
        <w:t xml:space="preserve">– </w:t>
      </w:r>
      <w:r w:rsidRPr="00D45AFB">
        <w:t>status quo</w:t>
      </w:r>
      <w:r w:rsidR="001630EC">
        <w:t>.</w:t>
      </w:r>
      <w:r w:rsidRPr="00D45AFB">
        <w:t xml:space="preserve"> </w:t>
      </w:r>
      <w:r w:rsidR="001630EC">
        <w:t>T</w:t>
      </w:r>
      <w:r>
        <w:t xml:space="preserve">his option would not make any changes to the Regulations </w:t>
      </w:r>
      <w:r w:rsidRPr="00434553">
        <w:t>to mandate hours that the DON must devote to non-clinical activities</w:t>
      </w:r>
      <w:r>
        <w:t xml:space="preserve">. </w:t>
      </w:r>
      <w:r w:rsidRPr="00434553">
        <w:t>Rather, private hospitals and day procedure centres would continue to use their own clinical governance policies to ensure the DON appropriately balances clinical and non-clinical work</w:t>
      </w:r>
      <w:r w:rsidR="004A5B86">
        <w:t>.</w:t>
      </w:r>
    </w:p>
    <w:p w14:paraId="76762AC1" w14:textId="5E8B9A8C" w:rsidR="00EB5DC6" w:rsidRDefault="00EB5DC6" w:rsidP="00CD3B4C">
      <w:pPr>
        <w:pStyle w:val="Body"/>
        <w:ind w:left="360"/>
      </w:pPr>
      <w:r>
        <w:rPr>
          <w:b/>
          <w:bCs/>
        </w:rPr>
        <w:t xml:space="preserve">Option 2 </w:t>
      </w:r>
      <w:r w:rsidR="0050270D">
        <w:rPr>
          <w:b/>
          <w:bCs/>
        </w:rPr>
        <w:t xml:space="preserve">– </w:t>
      </w:r>
      <w:r w:rsidR="0050270D" w:rsidRPr="00A159EA">
        <w:t xml:space="preserve">amend </w:t>
      </w:r>
      <w:r w:rsidR="00A6790A">
        <w:t xml:space="preserve">the </w:t>
      </w:r>
      <w:r w:rsidR="0050270D" w:rsidRPr="00A159EA">
        <w:t xml:space="preserve">Regulations </w:t>
      </w:r>
      <w:r w:rsidR="004067F9">
        <w:t>to mandate</w:t>
      </w:r>
      <w:r w:rsidR="009C1609" w:rsidRPr="009C1609">
        <w:t xml:space="preserve"> </w:t>
      </w:r>
      <w:r w:rsidR="00A6790A">
        <w:t xml:space="preserve">the minimum </w:t>
      </w:r>
      <w:r w:rsidR="00A6790A" w:rsidRPr="00434553">
        <w:t xml:space="preserve">hours </w:t>
      </w:r>
      <w:r w:rsidR="009C1609" w:rsidRPr="009C1609">
        <w:t xml:space="preserve">that the DON must </w:t>
      </w:r>
      <w:r w:rsidR="00A6790A" w:rsidRPr="00434553">
        <w:t>devote to</w:t>
      </w:r>
      <w:r w:rsidR="009813C4" w:rsidRPr="009C1609">
        <w:t xml:space="preserve"> non-clinical </w:t>
      </w:r>
      <w:r w:rsidR="00A6790A" w:rsidRPr="00434553">
        <w:t>activities</w:t>
      </w:r>
      <w:r w:rsidR="009813C4">
        <w:t xml:space="preserve"> – for example</w:t>
      </w:r>
      <w:r w:rsidR="009C1609" w:rsidRPr="009C1609">
        <w:t>, one non-clinical day per week</w:t>
      </w:r>
      <w:r w:rsidR="007F25C2">
        <w:t xml:space="preserve">. </w:t>
      </w:r>
    </w:p>
    <w:p w14:paraId="7A8143A4" w14:textId="06B9B2B7" w:rsidR="0090353B" w:rsidRDefault="0090353B" w:rsidP="00A159EA">
      <w:pPr>
        <w:pStyle w:val="Body"/>
        <w:ind w:left="360"/>
      </w:pPr>
      <w:r>
        <w:rPr>
          <w:b/>
          <w:bCs/>
        </w:rPr>
        <w:t xml:space="preserve">Option 3 </w:t>
      </w:r>
      <w:r w:rsidR="00FC7DD4">
        <w:rPr>
          <w:b/>
          <w:bCs/>
        </w:rPr>
        <w:t xml:space="preserve">– </w:t>
      </w:r>
      <w:r w:rsidR="00FC7DD4" w:rsidRPr="00A159EA">
        <w:t xml:space="preserve">amend Regulations to require </w:t>
      </w:r>
      <w:r w:rsidR="00742B0F">
        <w:t xml:space="preserve">a health service establishment’s </w:t>
      </w:r>
      <w:r w:rsidR="00FC7DD4" w:rsidRPr="007A694C">
        <w:t xml:space="preserve">clinical governance </w:t>
      </w:r>
      <w:r w:rsidR="007A694C" w:rsidRPr="007A694C">
        <w:t>policy</w:t>
      </w:r>
      <w:r w:rsidR="00FC7DD4" w:rsidRPr="00A159EA">
        <w:t xml:space="preserve"> to specify how and when the DON will undertake non-clinical activit</w:t>
      </w:r>
      <w:r w:rsidR="00B2272A">
        <w:t>ies</w:t>
      </w:r>
      <w:r w:rsidR="0045104A">
        <w:t xml:space="preserve"> </w:t>
      </w:r>
      <w:r w:rsidR="0045104A" w:rsidRPr="0045104A">
        <w:t>(rather th</w:t>
      </w:r>
      <w:r w:rsidR="007F4FFE">
        <w:t>a</w:t>
      </w:r>
      <w:r w:rsidR="0045104A" w:rsidRPr="0045104A">
        <w:t>n set exact requirements for non-clinical hours as pro</w:t>
      </w:r>
      <w:r w:rsidR="007F4FFE">
        <w:t>po</w:t>
      </w:r>
      <w:r w:rsidR="0045104A" w:rsidRPr="0045104A">
        <w:t xml:space="preserve">sed in option </w:t>
      </w:r>
      <w:r w:rsidR="0045104A">
        <w:t xml:space="preserve">2). </w:t>
      </w:r>
    </w:p>
    <w:p w14:paraId="002B6167" w14:textId="77777777" w:rsidR="00B928D4" w:rsidRPr="00B928D4" w:rsidRDefault="00B928D4" w:rsidP="00B928D4">
      <w:pPr>
        <w:pStyle w:val="Body"/>
        <w:ind w:left="360"/>
      </w:pPr>
    </w:p>
    <w:tbl>
      <w:tblPr>
        <w:tblStyle w:val="TableGrid"/>
        <w:tblW w:w="5000" w:type="pct"/>
        <w:shd w:val="clear" w:color="auto" w:fill="F2F2F2" w:themeFill="background1" w:themeFillShade="F2"/>
        <w:tblLook w:val="06A0" w:firstRow="1" w:lastRow="0" w:firstColumn="1" w:lastColumn="0" w:noHBand="1" w:noVBand="1"/>
      </w:tblPr>
      <w:tblGrid>
        <w:gridCol w:w="9268"/>
      </w:tblGrid>
      <w:tr w:rsidR="003A41FF" w14:paraId="57E74EFE" w14:textId="77777777" w:rsidTr="00882E7E">
        <w:trPr>
          <w:tblHeader/>
        </w:trPr>
        <w:tc>
          <w:tcPr>
            <w:tcW w:w="5000" w:type="pct"/>
            <w:tcBorders>
              <w:top w:val="single" w:sz="12" w:space="0" w:color="auto"/>
              <w:left w:val="single" w:sz="12" w:space="0" w:color="auto"/>
              <w:bottom w:val="nil"/>
              <w:right w:val="single" w:sz="12" w:space="0" w:color="auto"/>
            </w:tcBorders>
            <w:shd w:val="clear" w:color="auto" w:fill="F2F2F2" w:themeFill="background1" w:themeFillShade="F2"/>
          </w:tcPr>
          <w:p w14:paraId="10A9A9E4" w14:textId="77777777" w:rsidR="003A41FF" w:rsidRPr="00CB3285" w:rsidRDefault="003A41FF" w:rsidP="009A7C08">
            <w:pPr>
              <w:pStyle w:val="Tablecolhead"/>
            </w:pPr>
            <w:r>
              <w:lastRenderedPageBreak/>
              <w:t>Questions for consultation</w:t>
            </w:r>
          </w:p>
        </w:tc>
      </w:tr>
      <w:tr w:rsidR="003A41FF" w14:paraId="503B24CF" w14:textId="77777777" w:rsidTr="00882E7E">
        <w:tc>
          <w:tcPr>
            <w:tcW w:w="5000" w:type="pct"/>
            <w:tcBorders>
              <w:top w:val="nil"/>
              <w:left w:val="single" w:sz="12" w:space="0" w:color="auto"/>
              <w:bottom w:val="single" w:sz="12" w:space="0" w:color="auto"/>
              <w:right w:val="single" w:sz="12" w:space="0" w:color="auto"/>
            </w:tcBorders>
            <w:shd w:val="clear" w:color="auto" w:fill="F2F2F2" w:themeFill="background1" w:themeFillShade="F2"/>
          </w:tcPr>
          <w:p w14:paraId="5E115BC1" w14:textId="5D0BB1BF" w:rsidR="003A41FF" w:rsidRPr="005B5D79" w:rsidRDefault="00061AFA" w:rsidP="00C132C8">
            <w:pPr>
              <w:pStyle w:val="ListParagraph"/>
              <w:numPr>
                <w:ilvl w:val="0"/>
                <w:numId w:val="11"/>
              </w:numPr>
              <w:spacing w:before="120" w:after="120" w:line="280" w:lineRule="atLeast"/>
              <w:ind w:left="357" w:hanging="357"/>
              <w:contextualSpacing w:val="0"/>
              <w:rPr>
                <w:rFonts w:ascii="Arial" w:hAnsi="Arial" w:cs="Arial"/>
                <w:sz w:val="21"/>
                <w:szCs w:val="21"/>
              </w:rPr>
            </w:pPr>
            <w:r>
              <w:rPr>
                <w:rFonts w:ascii="Arial" w:hAnsi="Arial" w:cs="Arial"/>
                <w:sz w:val="21"/>
                <w:szCs w:val="21"/>
              </w:rPr>
              <w:t>Would you support a requirement in the Regulations about</w:t>
            </w:r>
            <w:r w:rsidR="003A41FF" w:rsidRPr="005B5D79">
              <w:rPr>
                <w:rFonts w:ascii="Arial" w:hAnsi="Arial" w:cs="Arial"/>
                <w:sz w:val="21"/>
                <w:szCs w:val="21"/>
              </w:rPr>
              <w:t xml:space="preserve"> the hours a </w:t>
            </w:r>
            <w:r w:rsidR="00EE614F">
              <w:rPr>
                <w:rFonts w:ascii="Arial" w:hAnsi="Arial" w:cs="Arial"/>
                <w:sz w:val="21"/>
                <w:szCs w:val="21"/>
              </w:rPr>
              <w:t>DON</w:t>
            </w:r>
            <w:r w:rsidR="003A41FF" w:rsidRPr="005B5D79">
              <w:rPr>
                <w:rFonts w:ascii="Arial" w:hAnsi="Arial" w:cs="Arial"/>
                <w:sz w:val="21"/>
                <w:szCs w:val="21"/>
              </w:rPr>
              <w:t xml:space="preserve"> must devote to non-clinical activities</w:t>
            </w:r>
            <w:r>
              <w:rPr>
                <w:rFonts w:ascii="Arial" w:hAnsi="Arial" w:cs="Arial"/>
                <w:sz w:val="21"/>
                <w:szCs w:val="21"/>
              </w:rPr>
              <w:t>.</w:t>
            </w:r>
            <w:r w:rsidR="00FD7B34">
              <w:rPr>
                <w:rFonts w:ascii="Arial" w:hAnsi="Arial" w:cs="Arial"/>
                <w:sz w:val="21"/>
                <w:szCs w:val="21"/>
              </w:rPr>
              <w:t xml:space="preserve"> </w:t>
            </w:r>
            <w:r>
              <w:rPr>
                <w:rFonts w:ascii="Arial" w:hAnsi="Arial" w:cs="Arial"/>
                <w:sz w:val="21"/>
                <w:szCs w:val="21"/>
              </w:rPr>
              <w:t>If so, why, and</w:t>
            </w:r>
            <w:r w:rsidR="003A41FF" w:rsidRPr="005B5D79">
              <w:rPr>
                <w:rFonts w:ascii="Arial" w:hAnsi="Arial" w:cs="Arial"/>
                <w:sz w:val="21"/>
                <w:szCs w:val="21"/>
              </w:rPr>
              <w:t xml:space="preserve"> which of the below options do you support and why:</w:t>
            </w:r>
          </w:p>
          <w:p w14:paraId="5AF9E0F1" w14:textId="1E1EFA4E" w:rsidR="003A41FF" w:rsidRPr="005B5D79" w:rsidRDefault="003A41FF" w:rsidP="00BA7535">
            <w:pPr>
              <w:pStyle w:val="ListParagraph"/>
              <w:tabs>
                <w:tab w:val="left" w:pos="2977"/>
              </w:tabs>
              <w:spacing w:after="120" w:line="280" w:lineRule="atLeast"/>
              <w:contextualSpacing w:val="0"/>
              <w:rPr>
                <w:rFonts w:ascii="Arial" w:hAnsi="Arial" w:cs="Arial"/>
                <w:sz w:val="21"/>
                <w:szCs w:val="21"/>
              </w:rPr>
            </w:pPr>
            <w:r w:rsidRPr="00E267DC">
              <w:rPr>
                <w:rFonts w:ascii="Arial" w:hAnsi="Arial" w:cs="Arial"/>
                <w:b/>
                <w:sz w:val="21"/>
                <w:szCs w:val="21"/>
              </w:rPr>
              <w:t>Option 1</w:t>
            </w:r>
            <w:r w:rsidRPr="005B5D79">
              <w:rPr>
                <w:rFonts w:ascii="Arial" w:hAnsi="Arial" w:cs="Arial"/>
                <w:sz w:val="21"/>
                <w:szCs w:val="21"/>
              </w:rPr>
              <w:t xml:space="preserve"> – maintain the status quo </w:t>
            </w:r>
            <w:r w:rsidRPr="005B5D79">
              <w:rPr>
                <w:rFonts w:ascii="Arial" w:hAnsi="Arial" w:cs="Arial"/>
                <w:sz w:val="21"/>
                <w:szCs w:val="21"/>
              </w:rPr>
              <w:softHyphen/>
              <w:t xml:space="preserve">– no minimum non-clinical hours requirements in Regulations. </w:t>
            </w:r>
          </w:p>
          <w:p w14:paraId="11F4BD09" w14:textId="6D5C3795" w:rsidR="00A6790A" w:rsidRDefault="003A41FF" w:rsidP="00A6790A">
            <w:pPr>
              <w:pStyle w:val="ListParagraph"/>
              <w:spacing w:after="120" w:line="280" w:lineRule="atLeast"/>
              <w:contextualSpacing w:val="0"/>
              <w:rPr>
                <w:rFonts w:ascii="Arial" w:hAnsi="Arial" w:cs="Arial"/>
                <w:b/>
                <w:bCs/>
                <w:sz w:val="21"/>
                <w:szCs w:val="21"/>
              </w:rPr>
            </w:pPr>
            <w:r w:rsidRPr="00C123CB">
              <w:rPr>
                <w:rFonts w:ascii="Arial" w:hAnsi="Arial" w:cs="Arial"/>
                <w:b/>
                <w:sz w:val="21"/>
                <w:szCs w:val="21"/>
              </w:rPr>
              <w:t>Option 2</w:t>
            </w:r>
            <w:r w:rsidRPr="005B5D79">
              <w:rPr>
                <w:rFonts w:ascii="Arial" w:hAnsi="Arial" w:cs="Arial"/>
                <w:sz w:val="21"/>
                <w:szCs w:val="21"/>
              </w:rPr>
              <w:t xml:space="preserve"> </w:t>
            </w:r>
            <w:r w:rsidRPr="005B5D79">
              <w:rPr>
                <w:rFonts w:ascii="Arial" w:hAnsi="Arial" w:cs="Arial"/>
                <w:sz w:val="21"/>
                <w:szCs w:val="21"/>
              </w:rPr>
              <w:softHyphen/>
              <w:t xml:space="preserve">– </w:t>
            </w:r>
            <w:r w:rsidR="00A6790A" w:rsidRPr="00A6790A">
              <w:rPr>
                <w:rFonts w:ascii="Arial" w:hAnsi="Arial" w:cs="Arial"/>
                <w:sz w:val="21"/>
                <w:szCs w:val="21"/>
              </w:rPr>
              <w:t>amend the Regulations to mandate the minimum hours that the DON must devote to non-clinical activities – for example, one non-clinical day per week.</w:t>
            </w:r>
          </w:p>
          <w:p w14:paraId="484312F5" w14:textId="34BB8EFA" w:rsidR="003A41FF" w:rsidRDefault="003A41FF" w:rsidP="00E267DC">
            <w:pPr>
              <w:pStyle w:val="ListParagraph"/>
              <w:spacing w:after="120" w:line="280" w:lineRule="atLeast"/>
              <w:contextualSpacing w:val="0"/>
            </w:pPr>
            <w:r w:rsidRPr="00E267DC">
              <w:rPr>
                <w:rFonts w:ascii="Arial" w:hAnsi="Arial" w:cs="Arial"/>
                <w:b/>
                <w:sz w:val="21"/>
                <w:szCs w:val="21"/>
              </w:rPr>
              <w:t>Option 3</w:t>
            </w:r>
            <w:r w:rsidRPr="005B5D79">
              <w:rPr>
                <w:rFonts w:ascii="Arial" w:hAnsi="Arial" w:cs="Arial"/>
                <w:sz w:val="21"/>
                <w:szCs w:val="21"/>
              </w:rPr>
              <w:t xml:space="preserve"> – amend the Regulations to require clinical governance policies to address how the DON will undertake their non-clinical duties.</w:t>
            </w:r>
            <w:r w:rsidRPr="00C27905">
              <w:t xml:space="preserve"> </w:t>
            </w:r>
          </w:p>
        </w:tc>
      </w:tr>
    </w:tbl>
    <w:p w14:paraId="00CB1BEE" w14:textId="69B4B058" w:rsidR="003A41FF" w:rsidRDefault="002E73FE" w:rsidP="00AB4D2D">
      <w:pPr>
        <w:pStyle w:val="Heading3"/>
      </w:pPr>
      <w:r>
        <w:t>4</w:t>
      </w:r>
      <w:r w:rsidR="003A41FF">
        <w:t>.</w:t>
      </w:r>
      <w:r w:rsidR="00CF2F62">
        <w:t>1.</w:t>
      </w:r>
      <w:r w:rsidR="003A41FF">
        <w:t xml:space="preserve">2 Other appointments </w:t>
      </w:r>
    </w:p>
    <w:p w14:paraId="0AFB2CCA" w14:textId="781C2CE2" w:rsidR="003A41FF" w:rsidRPr="00897C1B" w:rsidRDefault="003A41FF" w:rsidP="003A41FF">
      <w:pPr>
        <w:pStyle w:val="Body"/>
      </w:pPr>
      <w:r>
        <w:t xml:space="preserve">The current Regulations require a health service establishment to notify the </w:t>
      </w:r>
      <w:r w:rsidR="006C0813">
        <w:t>d</w:t>
      </w:r>
      <w:r>
        <w:t xml:space="preserve">epartment if the service appoints a Chief Executive Officer or Medical Director (however named), and if the employment is terminated or the position becomes vacant (rr.17-18). The </w:t>
      </w:r>
      <w:r w:rsidR="006C0813">
        <w:t>d</w:t>
      </w:r>
      <w:r>
        <w:t xml:space="preserve">epartment must be notified within 28 days of the appointment, termination, or vacancy. It is an offence not to notify the </w:t>
      </w:r>
      <w:r w:rsidR="006C0813">
        <w:t>d</w:t>
      </w:r>
      <w:r>
        <w:t>epartment</w:t>
      </w:r>
      <w:r w:rsidR="00E478EC">
        <w:t>,</w:t>
      </w:r>
      <w:r>
        <w:t xml:space="preserve"> with a maximum penalty of 20 penalty units ($3,</w:t>
      </w:r>
      <w:r w:rsidR="007638FA">
        <w:t>8</w:t>
      </w:r>
      <w:r w:rsidR="003A6412">
        <w:t>46.20</w:t>
      </w:r>
      <w:r>
        <w:t>).</w:t>
      </w:r>
      <w:r>
        <w:rPr>
          <w:rStyle w:val="FootnoteReference"/>
        </w:rPr>
        <w:footnoteReference w:id="36"/>
      </w:r>
      <w:r w:rsidR="00317969">
        <w:t xml:space="preserve"> Whil</w:t>
      </w:r>
      <w:r w:rsidR="007F4FFE">
        <w:t>e</w:t>
      </w:r>
      <w:r w:rsidR="00317969">
        <w:t xml:space="preserve"> the Regulations require the department to be notified about these appointments</w:t>
      </w:r>
      <w:r w:rsidR="00B47248">
        <w:t>,</w:t>
      </w:r>
      <w:r w:rsidR="00317969">
        <w:t xml:space="preserve"> the Regulations don’t require the appointments to be made. </w:t>
      </w:r>
    </w:p>
    <w:p w14:paraId="60F2051E" w14:textId="1D436A38" w:rsidR="003A41FF" w:rsidRDefault="002E73FE" w:rsidP="00AB4D2D">
      <w:pPr>
        <w:pStyle w:val="Heading4"/>
      </w:pPr>
      <w:r>
        <w:t>4</w:t>
      </w:r>
      <w:r w:rsidR="003A41FF">
        <w:t>.</w:t>
      </w:r>
      <w:r w:rsidR="00CF2F62">
        <w:t>1</w:t>
      </w:r>
      <w:r w:rsidR="003A41FF">
        <w:t>.</w:t>
      </w:r>
      <w:r w:rsidR="00CF2F62">
        <w:t>2</w:t>
      </w:r>
      <w:r w:rsidR="007D17F6">
        <w:t>.1</w:t>
      </w:r>
      <w:r w:rsidR="003A41FF">
        <w:t xml:space="preserve"> </w:t>
      </w:r>
      <w:r w:rsidR="003A41FF" w:rsidRPr="00265F2A">
        <w:t>Medical</w:t>
      </w:r>
      <w:r w:rsidR="003A41FF">
        <w:t xml:space="preserve"> Director or Chief Executive Officer</w:t>
      </w:r>
    </w:p>
    <w:p w14:paraId="14E66EB5" w14:textId="75719782" w:rsidR="00B31C2E" w:rsidRDefault="008559F3" w:rsidP="00672539">
      <w:pPr>
        <w:pStyle w:val="Body"/>
      </w:pPr>
      <w:r>
        <w:t>For hospitals that are large or have high acuity patients, rely</w:t>
      </w:r>
      <w:r w:rsidR="001E1ACE">
        <w:t>ing</w:t>
      </w:r>
      <w:r>
        <w:t xml:space="preserve"> on a Medica</w:t>
      </w:r>
      <w:r w:rsidR="00146EA0">
        <w:t>l</w:t>
      </w:r>
      <w:r>
        <w:t xml:space="preserve"> Advisory Committee and/or corporate Medical Director alone</w:t>
      </w:r>
      <w:r w:rsidR="00D9027E">
        <w:t xml:space="preserve"> may not be sufficient to ensure </w:t>
      </w:r>
      <w:r w:rsidR="00650908">
        <w:t>safe, quality health service delivery</w:t>
      </w:r>
      <w:r w:rsidR="0014791A">
        <w:t>.</w:t>
      </w:r>
      <w:r>
        <w:t xml:space="preserve"> </w:t>
      </w:r>
      <w:r w:rsidR="00175D5B">
        <w:t>As outlined above</w:t>
      </w:r>
      <w:r w:rsidR="003A53D0">
        <w:t>,</w:t>
      </w:r>
      <w:r w:rsidR="00175D5B">
        <w:t xml:space="preserve"> key leadership roles </w:t>
      </w:r>
      <w:r w:rsidR="00D62E15">
        <w:t xml:space="preserve">play a </w:t>
      </w:r>
      <w:r w:rsidR="004477EE">
        <w:t xml:space="preserve">pivotal </w:t>
      </w:r>
      <w:r w:rsidR="00D62E15">
        <w:t>role in ensuring robust clinical governance</w:t>
      </w:r>
      <w:r w:rsidR="00175D5B">
        <w:t xml:space="preserve">. </w:t>
      </w:r>
      <w:r w:rsidR="003A41FF">
        <w:t>The department is considering whether the Regulations should be amended to</w:t>
      </w:r>
      <w:r w:rsidR="00B31C2E">
        <w:t>:</w:t>
      </w:r>
    </w:p>
    <w:p w14:paraId="76E32BE5" w14:textId="22CCF3C6" w:rsidR="00B31C2E" w:rsidRDefault="003A41FF" w:rsidP="00C132C8">
      <w:pPr>
        <w:pStyle w:val="Body"/>
        <w:numPr>
          <w:ilvl w:val="0"/>
          <w:numId w:val="51"/>
        </w:numPr>
        <w:ind w:left="426" w:hanging="284"/>
      </w:pPr>
      <w:r>
        <w:t xml:space="preserve">include a requirement for private hospitals with 200 or more overnight beds or that have an intensive care unit, emergency department, or acute rehabilitation ward to have an on-site Medical </w:t>
      </w:r>
      <w:r w:rsidR="001B5B15">
        <w:t>Director</w:t>
      </w:r>
      <w:r>
        <w:t xml:space="preserve"> (however named). </w:t>
      </w:r>
    </w:p>
    <w:p w14:paraId="3FBB3D08" w14:textId="1C3C82A2" w:rsidR="003A41FF" w:rsidRDefault="00760733" w:rsidP="00C132C8">
      <w:pPr>
        <w:pStyle w:val="Body"/>
        <w:numPr>
          <w:ilvl w:val="0"/>
          <w:numId w:val="51"/>
        </w:numPr>
        <w:ind w:left="426" w:hanging="284"/>
      </w:pPr>
      <w:r>
        <w:t>i</w:t>
      </w:r>
      <w:r w:rsidR="00B31C2E">
        <w:t xml:space="preserve">nclude a requirement that </w:t>
      </w:r>
      <w:r w:rsidR="00274112">
        <w:t>a</w:t>
      </w:r>
      <w:r w:rsidR="00EE7272">
        <w:t>n on-site</w:t>
      </w:r>
      <w:r w:rsidR="003A41FF">
        <w:t xml:space="preserve"> Medical </w:t>
      </w:r>
      <w:r w:rsidR="001B5B15">
        <w:t>Director</w:t>
      </w:r>
      <w:r w:rsidR="003A41FF">
        <w:t xml:space="preserve"> (however named) responsible for </w:t>
      </w:r>
      <w:r w:rsidR="006E15A4">
        <w:t>a</w:t>
      </w:r>
      <w:r w:rsidR="003A41FF">
        <w:t xml:space="preserve"> private hospital with 200 or more overnight beds</w:t>
      </w:r>
      <w:r w:rsidR="006E15A4">
        <w:t xml:space="preserve"> </w:t>
      </w:r>
      <w:r w:rsidR="008002E8">
        <w:t xml:space="preserve">cannot be responsible for any other </w:t>
      </w:r>
      <w:r w:rsidR="00F377B8">
        <w:t>facilities</w:t>
      </w:r>
      <w:r w:rsidR="003A41FF">
        <w:t xml:space="preserve">. </w:t>
      </w:r>
    </w:p>
    <w:p w14:paraId="0D213812" w14:textId="0D26882A" w:rsidR="003A41FF" w:rsidRDefault="003A41FF" w:rsidP="00672539">
      <w:pPr>
        <w:pStyle w:val="Body"/>
      </w:pPr>
      <w:r>
        <w:t xml:space="preserve">It is also proposed to require each private hospital with more than 200 overnight beds to have its own appointed Chief Executive </w:t>
      </w:r>
      <w:r w:rsidR="00504CC7">
        <w:t>Officer</w:t>
      </w:r>
      <w:r w:rsidR="00E85F27">
        <w:t xml:space="preserve"> (CEO)</w:t>
      </w:r>
      <w:r>
        <w:t xml:space="preserve"> to ensure appropriate on-site leadership</w:t>
      </w:r>
      <w:r w:rsidR="00E85F27">
        <w:t>.</w:t>
      </w:r>
    </w:p>
    <w:p w14:paraId="4E70CE0D" w14:textId="52451800" w:rsidR="003A41FF" w:rsidRDefault="00631D94" w:rsidP="00672539">
      <w:pPr>
        <w:pStyle w:val="Body"/>
      </w:pPr>
      <w:r>
        <w:t xml:space="preserve">Currently there are 8 private hospitals with more than 200 beds in Victoria. </w:t>
      </w:r>
      <w:r w:rsidR="003A41FF">
        <w:t xml:space="preserve">It may be that all such hospitals already have an on-site </w:t>
      </w:r>
      <w:r w:rsidR="00B91D4B">
        <w:t xml:space="preserve">Medical Director </w:t>
      </w:r>
      <w:r w:rsidR="003A41FF">
        <w:t>and CEO in which case the requirement may only reflect current practice and impose limited to no additional requirements on these services.</w:t>
      </w:r>
    </w:p>
    <w:p w14:paraId="589D9573" w14:textId="0AA7B39E" w:rsidR="003A41FF" w:rsidRPr="00F22F4E" w:rsidRDefault="002E73FE" w:rsidP="00AB4D2D">
      <w:pPr>
        <w:pStyle w:val="Heading4"/>
      </w:pPr>
      <w:r>
        <w:t>4</w:t>
      </w:r>
      <w:r w:rsidR="00266A70">
        <w:t>.</w:t>
      </w:r>
      <w:r w:rsidR="007D17F6">
        <w:t>1</w:t>
      </w:r>
      <w:r w:rsidR="00266A70">
        <w:t>.</w:t>
      </w:r>
      <w:r w:rsidR="00FE3937">
        <w:t>2</w:t>
      </w:r>
      <w:r w:rsidR="007D17F6">
        <w:t>.2</w:t>
      </w:r>
      <w:r w:rsidR="003A41FF">
        <w:t xml:space="preserve"> New senior appointment for midwifery</w:t>
      </w:r>
    </w:p>
    <w:p w14:paraId="29B440A9" w14:textId="3BD843BC" w:rsidR="0099316E" w:rsidRDefault="003A41FF" w:rsidP="00A250A3">
      <w:pPr>
        <w:pStyle w:val="Body"/>
        <w:spacing w:after="240"/>
      </w:pPr>
      <w:r>
        <w:t xml:space="preserve">The department is considering whether hospitals that provide maternity services should be required to appoint a Director of Midwifery or a Midwife in Charge (however named). This is because the midwifery </w:t>
      </w:r>
      <w:r w:rsidR="00967278">
        <w:t>speciality</w:t>
      </w:r>
      <w:r>
        <w:t xml:space="preserve"> is a separate qualification from nursing due to the different specialist care required. The </w:t>
      </w:r>
      <w:r w:rsidR="00AB049D">
        <w:t xml:space="preserve">anticipated impacts on patient safety and accessibility of services (particularly in </w:t>
      </w:r>
      <w:r w:rsidR="00AB049D">
        <w:lastRenderedPageBreak/>
        <w:t xml:space="preserve">smaller rural maternity </w:t>
      </w:r>
      <w:r w:rsidR="0099316E">
        <w:t>services) would</w:t>
      </w:r>
      <w:r w:rsidR="00D95354">
        <w:t xml:space="preserve"> need to be </w:t>
      </w:r>
      <w:r w:rsidR="00101373">
        <w:t>considered</w:t>
      </w:r>
      <w:r w:rsidR="00AB049D">
        <w:t xml:space="preserve">. </w:t>
      </w:r>
      <w:r>
        <w:t>The department notes that many students and recent graduates have undertaken double degrees so this issue may be less important over time.</w:t>
      </w:r>
    </w:p>
    <w:tbl>
      <w:tblPr>
        <w:tblStyle w:val="TableGrid"/>
        <w:tblW w:w="5000" w:type="pct"/>
        <w:shd w:val="clear" w:color="auto" w:fill="F2F2F2" w:themeFill="background1" w:themeFillShade="F2"/>
        <w:tblLook w:val="06A0" w:firstRow="1" w:lastRow="0" w:firstColumn="1" w:lastColumn="0" w:noHBand="1" w:noVBand="1"/>
      </w:tblPr>
      <w:tblGrid>
        <w:gridCol w:w="9268"/>
      </w:tblGrid>
      <w:tr w:rsidR="003A41FF" w14:paraId="33C714EE" w14:textId="77777777" w:rsidTr="00882E7E">
        <w:trPr>
          <w:tblHeader/>
        </w:trPr>
        <w:tc>
          <w:tcPr>
            <w:tcW w:w="5000" w:type="pct"/>
            <w:tcBorders>
              <w:top w:val="single" w:sz="12" w:space="0" w:color="auto"/>
              <w:left w:val="single" w:sz="12" w:space="0" w:color="auto"/>
              <w:bottom w:val="nil"/>
              <w:right w:val="single" w:sz="12" w:space="0" w:color="auto"/>
            </w:tcBorders>
            <w:shd w:val="clear" w:color="auto" w:fill="F2F2F2" w:themeFill="background1" w:themeFillShade="F2"/>
          </w:tcPr>
          <w:p w14:paraId="01EB1D13" w14:textId="77777777" w:rsidR="003A41FF" w:rsidRPr="00CB3285" w:rsidRDefault="003A41FF" w:rsidP="009A7C08">
            <w:pPr>
              <w:pStyle w:val="Tablecolhead"/>
            </w:pPr>
            <w:r>
              <w:t>Questions for consultation</w:t>
            </w:r>
          </w:p>
        </w:tc>
      </w:tr>
      <w:tr w:rsidR="003A41FF" w14:paraId="0AC879DB" w14:textId="77777777" w:rsidTr="00882E7E">
        <w:tc>
          <w:tcPr>
            <w:tcW w:w="5000" w:type="pct"/>
            <w:tcBorders>
              <w:top w:val="nil"/>
              <w:left w:val="single" w:sz="12" w:space="0" w:color="auto"/>
              <w:bottom w:val="single" w:sz="12" w:space="0" w:color="auto"/>
              <w:right w:val="single" w:sz="12" w:space="0" w:color="auto"/>
            </w:tcBorders>
            <w:shd w:val="clear" w:color="auto" w:fill="F2F2F2" w:themeFill="background1" w:themeFillShade="F2"/>
          </w:tcPr>
          <w:p w14:paraId="777ABCAF" w14:textId="32446AA1" w:rsidR="003A41FF" w:rsidRPr="005B5D79" w:rsidRDefault="003A41FF" w:rsidP="00C132C8">
            <w:pPr>
              <w:pStyle w:val="ListParagraph"/>
              <w:numPr>
                <w:ilvl w:val="0"/>
                <w:numId w:val="11"/>
              </w:numPr>
              <w:spacing w:before="120" w:after="120" w:line="280" w:lineRule="atLeast"/>
              <w:ind w:left="357" w:hanging="357"/>
              <w:contextualSpacing w:val="0"/>
              <w:rPr>
                <w:rFonts w:ascii="Arial" w:hAnsi="Arial" w:cs="Arial"/>
                <w:sz w:val="21"/>
                <w:szCs w:val="21"/>
              </w:rPr>
            </w:pPr>
            <w:r w:rsidRPr="005B5D79">
              <w:rPr>
                <w:rFonts w:ascii="Arial" w:hAnsi="Arial" w:cs="Arial"/>
                <w:sz w:val="21"/>
                <w:szCs w:val="21"/>
              </w:rPr>
              <w:t xml:space="preserve">Do you support </w:t>
            </w:r>
            <w:r w:rsidR="0040737B" w:rsidRPr="0040737B">
              <w:rPr>
                <w:rFonts w:ascii="Arial" w:hAnsi="Arial" w:cs="Arial"/>
                <w:sz w:val="21"/>
                <w:szCs w:val="21"/>
              </w:rPr>
              <w:t>including</w:t>
            </w:r>
            <w:r w:rsidRPr="005B5D79">
              <w:rPr>
                <w:rFonts w:ascii="Arial" w:hAnsi="Arial" w:cs="Arial"/>
                <w:sz w:val="21"/>
                <w:szCs w:val="21"/>
              </w:rPr>
              <w:t xml:space="preserve"> a </w:t>
            </w:r>
            <w:r w:rsidR="0040737B" w:rsidRPr="0040737B">
              <w:rPr>
                <w:rFonts w:ascii="Arial" w:hAnsi="Arial" w:cs="Arial"/>
                <w:sz w:val="21"/>
                <w:szCs w:val="21"/>
              </w:rPr>
              <w:t xml:space="preserve">requirement in the Regulations for </w:t>
            </w:r>
            <w:r w:rsidRPr="005B5D79">
              <w:rPr>
                <w:rFonts w:ascii="Arial" w:hAnsi="Arial" w:cs="Arial"/>
                <w:sz w:val="21"/>
                <w:szCs w:val="21"/>
              </w:rPr>
              <w:t xml:space="preserve">private </w:t>
            </w:r>
            <w:r w:rsidR="0040737B" w:rsidRPr="0040737B">
              <w:rPr>
                <w:rFonts w:ascii="Arial" w:hAnsi="Arial" w:cs="Arial"/>
                <w:sz w:val="21"/>
                <w:szCs w:val="21"/>
              </w:rPr>
              <w:t>hospitals with</w:t>
            </w:r>
            <w:r w:rsidRPr="005B5D79">
              <w:rPr>
                <w:rFonts w:ascii="Arial" w:hAnsi="Arial" w:cs="Arial"/>
                <w:sz w:val="21"/>
                <w:szCs w:val="21"/>
              </w:rPr>
              <w:t xml:space="preserve"> 200 or more overnight beds</w:t>
            </w:r>
            <w:r w:rsidR="0040737B" w:rsidRPr="0040737B">
              <w:rPr>
                <w:rFonts w:ascii="Arial" w:hAnsi="Arial" w:cs="Arial"/>
                <w:sz w:val="21"/>
                <w:szCs w:val="21"/>
              </w:rPr>
              <w:t xml:space="preserve"> or that have an </w:t>
            </w:r>
            <w:r w:rsidRPr="005B5D79">
              <w:rPr>
                <w:rFonts w:ascii="Arial" w:hAnsi="Arial" w:cs="Arial"/>
                <w:sz w:val="21"/>
                <w:szCs w:val="21"/>
              </w:rPr>
              <w:t>intensive care unit</w:t>
            </w:r>
            <w:r w:rsidR="0040737B" w:rsidRPr="0040737B">
              <w:rPr>
                <w:rFonts w:ascii="Arial" w:hAnsi="Arial" w:cs="Arial"/>
                <w:sz w:val="21"/>
                <w:szCs w:val="21"/>
              </w:rPr>
              <w:t>,</w:t>
            </w:r>
            <w:r w:rsidRPr="005B5D79">
              <w:rPr>
                <w:rFonts w:ascii="Arial" w:hAnsi="Arial" w:cs="Arial"/>
                <w:sz w:val="21"/>
                <w:szCs w:val="21"/>
              </w:rPr>
              <w:t xml:space="preserve"> emergency department</w:t>
            </w:r>
            <w:r w:rsidR="0040737B" w:rsidRPr="0040737B">
              <w:rPr>
                <w:rFonts w:ascii="Arial" w:hAnsi="Arial" w:cs="Arial"/>
                <w:sz w:val="21"/>
                <w:szCs w:val="21"/>
              </w:rPr>
              <w:t>,</w:t>
            </w:r>
            <w:r w:rsidRPr="005B5D79">
              <w:rPr>
                <w:rFonts w:ascii="Arial" w:hAnsi="Arial" w:cs="Arial"/>
                <w:sz w:val="21"/>
                <w:szCs w:val="21"/>
              </w:rPr>
              <w:t xml:space="preserve"> or acute rehabilitation ward</w:t>
            </w:r>
            <w:r w:rsidR="0040737B" w:rsidRPr="0040737B">
              <w:rPr>
                <w:rFonts w:ascii="Arial" w:hAnsi="Arial" w:cs="Arial"/>
                <w:sz w:val="21"/>
                <w:szCs w:val="21"/>
              </w:rPr>
              <w:t xml:space="preserve"> to have an on-site Medical Director (however named)</w:t>
            </w:r>
            <w:r w:rsidR="00447B64">
              <w:rPr>
                <w:rFonts w:ascii="Arial" w:hAnsi="Arial" w:cs="Arial"/>
                <w:sz w:val="21"/>
                <w:szCs w:val="21"/>
              </w:rPr>
              <w:t>?</w:t>
            </w:r>
            <w:r w:rsidRPr="005B5D79">
              <w:rPr>
                <w:rFonts w:ascii="Arial" w:hAnsi="Arial" w:cs="Arial"/>
                <w:sz w:val="21"/>
                <w:szCs w:val="21"/>
              </w:rPr>
              <w:t xml:space="preserve"> If </w:t>
            </w:r>
            <w:r w:rsidR="003105A0">
              <w:rPr>
                <w:rFonts w:ascii="Arial" w:hAnsi="Arial" w:cs="Arial"/>
                <w:sz w:val="21"/>
                <w:szCs w:val="21"/>
              </w:rPr>
              <w:t>yes</w:t>
            </w:r>
            <w:r w:rsidRPr="005B5D79">
              <w:rPr>
                <w:rFonts w:ascii="Arial" w:hAnsi="Arial" w:cs="Arial"/>
                <w:sz w:val="21"/>
                <w:szCs w:val="21"/>
              </w:rPr>
              <w:t>, why? If not, why not?</w:t>
            </w:r>
          </w:p>
          <w:p w14:paraId="29C6BE2D" w14:textId="46B47009" w:rsidR="00F07E42" w:rsidRPr="003105A0" w:rsidRDefault="001A3CA6" w:rsidP="00C132C8">
            <w:pPr>
              <w:pStyle w:val="ListParagraph"/>
              <w:numPr>
                <w:ilvl w:val="0"/>
                <w:numId w:val="11"/>
              </w:numPr>
              <w:spacing w:after="120" w:line="280" w:lineRule="atLeast"/>
              <w:ind w:left="357" w:hanging="357"/>
              <w:contextualSpacing w:val="0"/>
              <w:rPr>
                <w:rFonts w:ascii="Arial" w:hAnsi="Arial" w:cs="Arial"/>
                <w:sz w:val="21"/>
                <w:szCs w:val="21"/>
              </w:rPr>
            </w:pPr>
            <w:r w:rsidRPr="003105A0">
              <w:rPr>
                <w:rFonts w:ascii="Arial" w:hAnsi="Arial" w:cs="Arial"/>
                <w:sz w:val="21"/>
                <w:szCs w:val="21"/>
              </w:rPr>
              <w:t xml:space="preserve">Do you support including a requirement in the Regulations that an on-site Medical Director (however named) responsible for a private hospital with 200 or more overnight beds cannot be responsible for any other facilities? If yes, why? If not, why </w:t>
            </w:r>
            <w:r w:rsidR="003105A0" w:rsidRPr="003105A0">
              <w:rPr>
                <w:rFonts w:ascii="Arial" w:hAnsi="Arial" w:cs="Arial"/>
                <w:sz w:val="21"/>
                <w:szCs w:val="21"/>
              </w:rPr>
              <w:t>not?</w:t>
            </w:r>
          </w:p>
          <w:p w14:paraId="3AA58EB2" w14:textId="3D00900F" w:rsidR="003A41FF" w:rsidRPr="005B5D79" w:rsidRDefault="003A41FF" w:rsidP="00C132C8">
            <w:pPr>
              <w:pStyle w:val="ListParagraph"/>
              <w:numPr>
                <w:ilvl w:val="0"/>
                <w:numId w:val="11"/>
              </w:numPr>
              <w:spacing w:after="120" w:line="280" w:lineRule="atLeast"/>
              <w:ind w:left="357" w:hanging="357"/>
              <w:contextualSpacing w:val="0"/>
              <w:rPr>
                <w:rFonts w:ascii="Arial" w:hAnsi="Arial" w:cs="Arial"/>
                <w:sz w:val="21"/>
                <w:szCs w:val="21"/>
              </w:rPr>
            </w:pPr>
            <w:r w:rsidRPr="005B5D79">
              <w:rPr>
                <w:rFonts w:ascii="Arial" w:hAnsi="Arial" w:cs="Arial"/>
                <w:sz w:val="21"/>
                <w:szCs w:val="21"/>
              </w:rPr>
              <w:t xml:space="preserve">Do you support requiring a private hospital to have an on-site Chief Executive Officer if it has 200 or more overnight beds? If </w:t>
            </w:r>
            <w:r w:rsidR="003105A0">
              <w:rPr>
                <w:rFonts w:ascii="Arial" w:hAnsi="Arial" w:cs="Arial"/>
                <w:sz w:val="21"/>
                <w:szCs w:val="21"/>
              </w:rPr>
              <w:t>yes</w:t>
            </w:r>
            <w:r w:rsidRPr="005B5D79">
              <w:rPr>
                <w:rFonts w:ascii="Arial" w:hAnsi="Arial" w:cs="Arial"/>
                <w:sz w:val="21"/>
                <w:szCs w:val="21"/>
              </w:rPr>
              <w:t>, why? If not, why not?</w:t>
            </w:r>
          </w:p>
          <w:p w14:paraId="7C6005B9" w14:textId="69A6F49C" w:rsidR="003A41FF" w:rsidRDefault="003A41FF" w:rsidP="00C132C8">
            <w:pPr>
              <w:pStyle w:val="ListParagraph"/>
              <w:numPr>
                <w:ilvl w:val="0"/>
                <w:numId w:val="11"/>
              </w:numPr>
              <w:spacing w:after="120" w:line="280" w:lineRule="atLeast"/>
              <w:ind w:left="357" w:hanging="357"/>
              <w:contextualSpacing w:val="0"/>
            </w:pPr>
            <w:r w:rsidRPr="005B5D79">
              <w:rPr>
                <w:rFonts w:ascii="Arial" w:hAnsi="Arial" w:cs="Arial"/>
                <w:sz w:val="21"/>
                <w:szCs w:val="21"/>
              </w:rPr>
              <w:t>Do you support a</w:t>
            </w:r>
            <w:r w:rsidR="0065117F" w:rsidRPr="005B5D79">
              <w:rPr>
                <w:rFonts w:ascii="Arial" w:hAnsi="Arial" w:cs="Arial"/>
                <w:sz w:val="21"/>
                <w:szCs w:val="21"/>
              </w:rPr>
              <w:t>ny</w:t>
            </w:r>
            <w:r w:rsidRPr="005B5D79">
              <w:rPr>
                <w:rFonts w:ascii="Arial" w:hAnsi="Arial" w:cs="Arial"/>
                <w:sz w:val="21"/>
                <w:szCs w:val="21"/>
              </w:rPr>
              <w:t xml:space="preserve"> requirement</w:t>
            </w:r>
            <w:r w:rsidR="0065117F" w:rsidRPr="005B5D79">
              <w:rPr>
                <w:rFonts w:ascii="Arial" w:hAnsi="Arial" w:cs="Arial"/>
                <w:sz w:val="21"/>
                <w:szCs w:val="21"/>
              </w:rPr>
              <w:t>s</w:t>
            </w:r>
            <w:r w:rsidRPr="005B5D79">
              <w:rPr>
                <w:rFonts w:ascii="Arial" w:hAnsi="Arial" w:cs="Arial"/>
                <w:sz w:val="21"/>
                <w:szCs w:val="21"/>
              </w:rPr>
              <w:t xml:space="preserve"> for </w:t>
            </w:r>
            <w:r w:rsidR="00826A4D" w:rsidRPr="005B5D79">
              <w:rPr>
                <w:rFonts w:ascii="Arial" w:hAnsi="Arial" w:cs="Arial"/>
                <w:sz w:val="21"/>
                <w:szCs w:val="21"/>
              </w:rPr>
              <w:t xml:space="preserve">additional required senior appointments such as </w:t>
            </w:r>
            <w:r w:rsidRPr="005B5D79">
              <w:rPr>
                <w:rFonts w:ascii="Arial" w:hAnsi="Arial" w:cs="Arial"/>
                <w:sz w:val="21"/>
                <w:szCs w:val="21"/>
              </w:rPr>
              <w:t xml:space="preserve">hospitals that provide maternity services </w:t>
            </w:r>
            <w:r w:rsidR="00826A4D" w:rsidRPr="005B5D79">
              <w:rPr>
                <w:rFonts w:ascii="Arial" w:hAnsi="Arial" w:cs="Arial"/>
                <w:sz w:val="21"/>
                <w:szCs w:val="21"/>
              </w:rPr>
              <w:t xml:space="preserve">being required </w:t>
            </w:r>
            <w:r w:rsidRPr="005B5D79">
              <w:rPr>
                <w:rFonts w:ascii="Arial" w:hAnsi="Arial" w:cs="Arial"/>
                <w:sz w:val="21"/>
                <w:szCs w:val="21"/>
              </w:rPr>
              <w:t>to appoint a Director of Midwifery or a Midwife in Charge</w:t>
            </w:r>
            <w:r w:rsidR="00F30119" w:rsidRPr="005B5D79">
              <w:rPr>
                <w:rFonts w:ascii="Arial" w:hAnsi="Arial" w:cs="Arial"/>
                <w:sz w:val="21"/>
                <w:szCs w:val="21"/>
              </w:rPr>
              <w:t xml:space="preserve">, or a requirement to appoint a </w:t>
            </w:r>
            <w:r w:rsidR="00A04EB5" w:rsidRPr="005B5D79">
              <w:rPr>
                <w:rFonts w:ascii="Arial" w:hAnsi="Arial" w:cs="Arial"/>
                <w:sz w:val="21"/>
                <w:szCs w:val="21"/>
              </w:rPr>
              <w:t>Chief Executive Office or Medical Director (however named)</w:t>
            </w:r>
            <w:r w:rsidRPr="005B5D79">
              <w:rPr>
                <w:rFonts w:ascii="Arial" w:hAnsi="Arial" w:cs="Arial"/>
                <w:sz w:val="21"/>
                <w:szCs w:val="21"/>
              </w:rPr>
              <w:t xml:space="preserve">? If </w:t>
            </w:r>
            <w:r w:rsidR="003105A0">
              <w:rPr>
                <w:rFonts w:ascii="Arial" w:hAnsi="Arial" w:cs="Arial"/>
                <w:sz w:val="21"/>
                <w:szCs w:val="21"/>
              </w:rPr>
              <w:t xml:space="preserve">yes, why? </w:t>
            </w:r>
            <w:r w:rsidRPr="005B5D79">
              <w:rPr>
                <w:rFonts w:ascii="Arial" w:hAnsi="Arial" w:cs="Arial"/>
                <w:sz w:val="21"/>
                <w:szCs w:val="21"/>
              </w:rPr>
              <w:t xml:space="preserve">If not, why not? </w:t>
            </w:r>
          </w:p>
        </w:tc>
      </w:tr>
    </w:tbl>
    <w:p w14:paraId="7200B8EE" w14:textId="77777777" w:rsidR="00C123CB" w:rsidRDefault="002E73FE" w:rsidP="00C123CB">
      <w:pPr>
        <w:pStyle w:val="Heading2"/>
        <w:tabs>
          <w:tab w:val="left" w:pos="8443"/>
        </w:tabs>
      </w:pPr>
      <w:bookmarkStart w:id="86" w:name="_Toc143272021"/>
      <w:r>
        <w:t>4</w:t>
      </w:r>
      <w:r w:rsidR="005E16EE">
        <w:t>.2 Sufficient nursing and midwifery staff</w:t>
      </w:r>
      <w:bookmarkEnd w:id="86"/>
    </w:p>
    <w:p w14:paraId="79F7F93D" w14:textId="56B99664" w:rsidR="00041F69" w:rsidRDefault="00D853E9" w:rsidP="005E16EE">
      <w:pPr>
        <w:pStyle w:val="Body"/>
      </w:pPr>
      <w:r>
        <w:t xml:space="preserve">The Regulations specify the minimum nurse-to-patient ratios for private hospitals and day procedure centres </w:t>
      </w:r>
      <w:r w:rsidR="0062273E">
        <w:t xml:space="preserve">across the facility as a whole </w:t>
      </w:r>
      <w:r>
        <w:t>(r.27).</w:t>
      </w:r>
      <w:r w:rsidR="005D7D55">
        <w:t xml:space="preserve"> The requirements include </w:t>
      </w:r>
      <w:r w:rsidR="00BA31F3">
        <w:t xml:space="preserve">a general requirement </w:t>
      </w:r>
      <w:r w:rsidR="004A3870">
        <w:t xml:space="preserve">that a sufficient number of </w:t>
      </w:r>
      <w:r w:rsidR="00F14D22">
        <w:t>nursing staff must be on duty to provide care to patients</w:t>
      </w:r>
      <w:r w:rsidR="00B67DAF">
        <w:t xml:space="preserve">, </w:t>
      </w:r>
      <w:r w:rsidR="00DE2B55">
        <w:t xml:space="preserve">specify </w:t>
      </w:r>
      <w:r w:rsidR="00B67DAF">
        <w:t xml:space="preserve">what the </w:t>
      </w:r>
      <w:r w:rsidR="00D661D1">
        <w:t xml:space="preserve">minimum nurse-to-patient ratios </w:t>
      </w:r>
      <w:r w:rsidR="00B67DAF">
        <w:t xml:space="preserve">to meet the ‘sufficient number of nursing staff’ requirement is, and </w:t>
      </w:r>
      <w:r w:rsidR="007813F6">
        <w:t>what proportion of nurses can be enrolled nurses.</w:t>
      </w:r>
      <w:r w:rsidR="00BC2768">
        <w:t xml:space="preserve"> </w:t>
      </w:r>
    </w:p>
    <w:p w14:paraId="1306EBAE" w14:textId="6A011792" w:rsidR="009E3405" w:rsidRDefault="005E16EE" w:rsidP="005E16EE">
      <w:pPr>
        <w:pStyle w:val="Body"/>
      </w:pPr>
      <w:r>
        <w:t xml:space="preserve">The </w:t>
      </w:r>
      <w:r w:rsidRPr="00F06B97">
        <w:rPr>
          <w:i/>
          <w:iCs/>
        </w:rPr>
        <w:t>Safe Patient Care Act 2015</w:t>
      </w:r>
      <w:r>
        <w:t xml:space="preserve"> sets out the </w:t>
      </w:r>
      <w:r w:rsidR="00406584">
        <w:t xml:space="preserve">minimum </w:t>
      </w:r>
      <w:r>
        <w:t xml:space="preserve">nurse-to-patient ratios and the midwife-to-patient ratios required in Victorian public hospitals. </w:t>
      </w:r>
      <w:r w:rsidR="00EA5062">
        <w:t>For public hospitals, t</w:t>
      </w:r>
      <w:r>
        <w:t xml:space="preserve">he requirements are tailored to the tier of the hospital, the service provided, the acuity of patients, </w:t>
      </w:r>
      <w:r w:rsidR="006A2169">
        <w:t xml:space="preserve">specific wards, </w:t>
      </w:r>
      <w:r>
        <w:t xml:space="preserve">and are extensive. Public hospitals are tiered according to the acuity of patients. Private hospitals </w:t>
      </w:r>
      <w:r w:rsidR="00BB2B3A">
        <w:t xml:space="preserve">and day procedure centres </w:t>
      </w:r>
      <w:r>
        <w:t xml:space="preserve">are not tiered but overall treat lower acuity patients and have </w:t>
      </w:r>
      <w:r w:rsidR="007C540A">
        <w:t>fewer</w:t>
      </w:r>
      <w:r>
        <w:t xml:space="preserve"> unplanned admissions.</w:t>
      </w:r>
      <w:r w:rsidR="00E45E2D">
        <w:rPr>
          <w:rStyle w:val="FootnoteReference"/>
        </w:rPr>
        <w:footnoteReference w:id="37"/>
      </w:r>
    </w:p>
    <w:p w14:paraId="37254396" w14:textId="39A77A20" w:rsidR="009D7110" w:rsidRPr="00E4045F" w:rsidRDefault="00640ECA" w:rsidP="005E16EE">
      <w:pPr>
        <w:pStyle w:val="Body"/>
        <w:rPr>
          <w:rFonts w:cs="Arial"/>
          <w:color w:val="2A2736"/>
        </w:rPr>
      </w:pPr>
      <w:r>
        <w:rPr>
          <w:rFonts w:cs="Arial"/>
          <w:color w:val="2A2736"/>
        </w:rPr>
        <w:t xml:space="preserve">Nurse and midwife to patient ratios </w:t>
      </w:r>
      <w:r w:rsidR="00B17892">
        <w:rPr>
          <w:rFonts w:cs="Arial"/>
          <w:color w:val="2A2736"/>
        </w:rPr>
        <w:t>are intended to</w:t>
      </w:r>
      <w:r>
        <w:rPr>
          <w:rFonts w:cs="Arial"/>
          <w:color w:val="2A2736"/>
        </w:rPr>
        <w:t xml:space="preserve"> assist in maintaining the safety of Victorian patients and contribute to better</w:t>
      </w:r>
      <w:r w:rsidR="009619A2">
        <w:rPr>
          <w:rFonts w:cs="Arial"/>
          <w:color w:val="2A2736"/>
        </w:rPr>
        <w:t xml:space="preserve"> patient safety</w:t>
      </w:r>
      <w:r>
        <w:rPr>
          <w:rFonts w:cs="Arial"/>
          <w:color w:val="2A2736"/>
        </w:rPr>
        <w:t xml:space="preserve"> outcomes.</w:t>
      </w:r>
      <w:r w:rsidR="009E3405">
        <w:rPr>
          <w:rFonts w:cs="Arial"/>
          <w:color w:val="2A2736"/>
        </w:rPr>
        <w:t xml:space="preserve"> </w:t>
      </w:r>
      <w:r w:rsidR="009D7110">
        <w:t xml:space="preserve">Importantly, ratios are a minimum requirement and are not intended to prevent the </w:t>
      </w:r>
      <w:r w:rsidR="002B6B8F">
        <w:t>proprietor</w:t>
      </w:r>
      <w:r w:rsidR="009D7110">
        <w:t xml:space="preserve"> of a </w:t>
      </w:r>
      <w:r w:rsidR="002B6B8F">
        <w:t xml:space="preserve">private </w:t>
      </w:r>
      <w:r w:rsidR="009D7110">
        <w:t xml:space="preserve">hospital </w:t>
      </w:r>
      <w:r w:rsidR="002B6B8F">
        <w:t xml:space="preserve">or day procedure centre </w:t>
      </w:r>
      <w:r w:rsidR="009D7110">
        <w:t xml:space="preserve">from staffing a ward with additional staff beyond the </w:t>
      </w:r>
      <w:r w:rsidR="002B6B8F">
        <w:t xml:space="preserve">minimum </w:t>
      </w:r>
      <w:r w:rsidR="009D7110">
        <w:t>number required by the ratio if there is reason to do so.</w:t>
      </w:r>
      <w:r w:rsidR="00334F71">
        <w:t xml:space="preserve"> In addition, the ratios may be applied in a flexible way to evenly distribute workload</w:t>
      </w:r>
      <w:r w:rsidR="004A7842">
        <w:t xml:space="preserve"> and ensure patient safety across the whole facility</w:t>
      </w:r>
      <w:r w:rsidR="00334F71">
        <w:t>, having regard for the level of care required by patients in the ward</w:t>
      </w:r>
      <w:r w:rsidR="005E2EF6">
        <w:t>. This may legitimately result in some nurses either being assigned fewer or more patients than prescribed in the relevant ratio.</w:t>
      </w:r>
    </w:p>
    <w:p w14:paraId="40419C19" w14:textId="64C5EDF1" w:rsidR="005E16EE" w:rsidRDefault="002E73FE" w:rsidP="005E16EE">
      <w:pPr>
        <w:pStyle w:val="Heading3"/>
      </w:pPr>
      <w:r>
        <w:lastRenderedPageBreak/>
        <w:t>4</w:t>
      </w:r>
      <w:r w:rsidR="005E16EE">
        <w:t>.</w:t>
      </w:r>
      <w:r w:rsidR="004F4761">
        <w:t>2</w:t>
      </w:r>
      <w:r w:rsidR="005E16EE">
        <w:t>.1 Sufficient nursing staff</w:t>
      </w:r>
    </w:p>
    <w:p w14:paraId="300E3F61" w14:textId="7C8DB04B" w:rsidR="005E16EE" w:rsidRDefault="003725D7" w:rsidP="005E16EE">
      <w:pPr>
        <w:pStyle w:val="Body"/>
      </w:pPr>
      <w:r>
        <w:t>F</w:t>
      </w:r>
      <w:r w:rsidR="004C5E21">
        <w:t>o</w:t>
      </w:r>
      <w:r>
        <w:t xml:space="preserve">r </w:t>
      </w:r>
      <w:r w:rsidR="004C5E21">
        <w:t>private hospitals, t</w:t>
      </w:r>
      <w:r w:rsidR="005E16EE">
        <w:t xml:space="preserve">he Regulations require a </w:t>
      </w:r>
      <w:r w:rsidR="00FB667B">
        <w:t xml:space="preserve">minimum </w:t>
      </w:r>
      <w:r w:rsidR="005E16EE">
        <w:t xml:space="preserve">nurse-to-patient ratio of </w:t>
      </w:r>
      <w:r w:rsidR="009F575A">
        <w:t xml:space="preserve">at least </w:t>
      </w:r>
      <w:r w:rsidR="0041724D">
        <w:t>one</w:t>
      </w:r>
      <w:r w:rsidR="005E16EE">
        <w:t xml:space="preserve"> </w:t>
      </w:r>
      <w:r w:rsidR="009F575A">
        <w:t xml:space="preserve">registered </w:t>
      </w:r>
      <w:r w:rsidR="005E16EE">
        <w:t xml:space="preserve">nurse to 10 patients during the day and </w:t>
      </w:r>
      <w:r w:rsidR="00640CAD">
        <w:t>evening</w:t>
      </w:r>
      <w:r w:rsidR="005E16EE">
        <w:t xml:space="preserve">, and </w:t>
      </w:r>
      <w:r w:rsidR="009F575A">
        <w:t xml:space="preserve">at least </w:t>
      </w:r>
      <w:r w:rsidR="0041724D">
        <w:t>one</w:t>
      </w:r>
      <w:r w:rsidR="005E16EE">
        <w:t xml:space="preserve"> </w:t>
      </w:r>
      <w:r w:rsidR="005325C5">
        <w:t xml:space="preserve">registered </w:t>
      </w:r>
      <w:r w:rsidR="005E16EE">
        <w:t xml:space="preserve">nurse to 15 patients overnight across the facility. </w:t>
      </w:r>
      <w:r w:rsidR="004C5E21">
        <w:t>For day procedure centres, the Regulations currently require</w:t>
      </w:r>
      <w:r w:rsidR="00FB667B">
        <w:t xml:space="preserve"> a minimum nurse-to-patient ratio of at least </w:t>
      </w:r>
      <w:r w:rsidR="0041724D">
        <w:t xml:space="preserve">one registered nurse for every 10 patients. </w:t>
      </w:r>
      <w:r w:rsidR="005E16EE">
        <w:t xml:space="preserve">In addition, </w:t>
      </w:r>
      <w:r w:rsidR="00535828">
        <w:t>two</w:t>
      </w:r>
      <w:r w:rsidR="005E16EE">
        <w:t xml:space="preserve"> out of every </w:t>
      </w:r>
      <w:r w:rsidR="00535828">
        <w:t>three</w:t>
      </w:r>
      <w:r w:rsidR="005E16EE">
        <w:t xml:space="preserve"> nurses must be registered nurses</w:t>
      </w:r>
      <w:r w:rsidR="00535828">
        <w:t xml:space="preserve"> (not registered as an enrolled nurse)</w:t>
      </w:r>
      <w:r w:rsidR="005E16EE">
        <w:t xml:space="preserve">. The remainder may be enrolled nurses. </w:t>
      </w:r>
      <w:r w:rsidR="00062E81">
        <w:t xml:space="preserve">There is no required midwife-to-patient ratio. However, </w:t>
      </w:r>
      <w:r w:rsidR="008854E2">
        <w:t>the Regulations require that the proprietor of a</w:t>
      </w:r>
      <w:r w:rsidR="001A2E10">
        <w:t xml:space="preserve"> private hospital or day procedure centre must ensure that a registered midwife with at least three years</w:t>
      </w:r>
      <w:r w:rsidR="007C540A">
        <w:t>’</w:t>
      </w:r>
      <w:r w:rsidR="001A2E10">
        <w:t xml:space="preserve"> relevant </w:t>
      </w:r>
      <w:r w:rsidR="006B7E60">
        <w:t>clinical</w:t>
      </w:r>
      <w:r w:rsidR="001A2E10">
        <w:t xml:space="preserve"> experience must </w:t>
      </w:r>
      <w:r w:rsidR="006B7E60">
        <w:t xml:space="preserve">be present to provide clinical oversight of maternity services, obstetric services or neonatal services (r.26B). </w:t>
      </w:r>
    </w:p>
    <w:p w14:paraId="2DA22CFA" w14:textId="62B119F7" w:rsidR="005E16EE" w:rsidRDefault="005E16EE" w:rsidP="005E16EE">
      <w:pPr>
        <w:pStyle w:val="Body"/>
      </w:pPr>
      <w:r>
        <w:t xml:space="preserve">When considering changes to the nurse/midwife-to-patient ratios in the private </w:t>
      </w:r>
      <w:r w:rsidR="00D54CF5">
        <w:t xml:space="preserve">health service </w:t>
      </w:r>
      <w:r>
        <w:t>sector</w:t>
      </w:r>
      <w:r w:rsidR="007C540A">
        <w:t>,</w:t>
      </w:r>
      <w:r>
        <w:t xml:space="preserve"> </w:t>
      </w:r>
      <w:r w:rsidR="004B3D17">
        <w:t>several key</w:t>
      </w:r>
      <w:r>
        <w:t xml:space="preserve"> </w:t>
      </w:r>
      <w:r w:rsidR="00E33188">
        <w:t xml:space="preserve">guiding </w:t>
      </w:r>
      <w:r>
        <w:t>principles arise</w:t>
      </w:r>
      <w:r w:rsidR="004B3D17">
        <w:t xml:space="preserve"> in</w:t>
      </w:r>
      <w:r w:rsidR="00E74340">
        <w:t>cluding</w:t>
      </w:r>
      <w:r w:rsidR="004B3C57">
        <w:t>:</w:t>
      </w:r>
      <w:r>
        <w:t xml:space="preserve"> </w:t>
      </w:r>
    </w:p>
    <w:p w14:paraId="40EC084C" w14:textId="3F3E0826" w:rsidR="00100B03" w:rsidRDefault="00100B03" w:rsidP="00C132C8">
      <w:pPr>
        <w:pStyle w:val="Body"/>
        <w:numPr>
          <w:ilvl w:val="0"/>
          <w:numId w:val="9"/>
        </w:numPr>
      </w:pPr>
      <w:r>
        <w:t xml:space="preserve">The safety and quality of healthcare for patients is </w:t>
      </w:r>
      <w:r w:rsidR="004D705F">
        <w:t>the</w:t>
      </w:r>
      <w:r>
        <w:t xml:space="preserve"> paramount consideration. </w:t>
      </w:r>
    </w:p>
    <w:p w14:paraId="41A44A43" w14:textId="49CB7777" w:rsidR="005E16EE" w:rsidRDefault="00A07BE6" w:rsidP="00C132C8">
      <w:pPr>
        <w:pStyle w:val="Body"/>
        <w:numPr>
          <w:ilvl w:val="0"/>
          <w:numId w:val="9"/>
        </w:numPr>
      </w:pPr>
      <w:r>
        <w:t xml:space="preserve">The safety and quality of healthcare </w:t>
      </w:r>
      <w:r w:rsidR="005E16EE">
        <w:t xml:space="preserve">provided to patients in private hospitals and day procedure centres should not be any less than that provided in public </w:t>
      </w:r>
      <w:r w:rsidR="00F06057">
        <w:t>health services</w:t>
      </w:r>
      <w:r w:rsidR="005E16EE">
        <w:t xml:space="preserve">. </w:t>
      </w:r>
    </w:p>
    <w:p w14:paraId="56C1C534" w14:textId="1DB2EC05" w:rsidR="005E16EE" w:rsidRDefault="00907471" w:rsidP="00C132C8">
      <w:pPr>
        <w:pStyle w:val="Body"/>
        <w:numPr>
          <w:ilvl w:val="0"/>
          <w:numId w:val="9"/>
        </w:numPr>
      </w:pPr>
      <w:r>
        <w:t>N</w:t>
      </w:r>
      <w:r w:rsidR="005E16EE">
        <w:t xml:space="preserve">urse/midwife-to-patient ratios cannot be imposed to a level that makes it impossible for </w:t>
      </w:r>
      <w:r w:rsidR="008B3CA1">
        <w:t xml:space="preserve">private hospitals or day procedure centres </w:t>
      </w:r>
      <w:r w:rsidR="005E16EE">
        <w:t>to comply with the Regulation</w:t>
      </w:r>
      <w:r w:rsidR="009F1977">
        <w:t>s</w:t>
      </w:r>
      <w:r w:rsidR="007C540A">
        <w:t>.</w:t>
      </w:r>
    </w:p>
    <w:p w14:paraId="21E5EC67" w14:textId="145DBD76" w:rsidR="00047953" w:rsidRDefault="00047953" w:rsidP="00C132C8">
      <w:pPr>
        <w:pStyle w:val="Body"/>
        <w:numPr>
          <w:ilvl w:val="0"/>
          <w:numId w:val="9"/>
        </w:numPr>
      </w:pPr>
      <w:r>
        <w:t xml:space="preserve">The diversity of </w:t>
      </w:r>
      <w:r w:rsidR="00374B37">
        <w:t>private hospitals and day procedure centres must be considered</w:t>
      </w:r>
      <w:r w:rsidR="007C540A">
        <w:t>,</w:t>
      </w:r>
      <w:r w:rsidR="00A46EBA">
        <w:t xml:space="preserve"> including </w:t>
      </w:r>
      <w:r w:rsidR="007F7854">
        <w:t xml:space="preserve">diversity in </w:t>
      </w:r>
      <w:r w:rsidR="00E61DF2">
        <w:t xml:space="preserve">location, size, services provided, and that </w:t>
      </w:r>
      <w:r w:rsidR="00A46EBA">
        <w:t xml:space="preserve">private health services overall treat lower acuity patients and have </w:t>
      </w:r>
      <w:r w:rsidR="007C540A">
        <w:t>fewer</w:t>
      </w:r>
      <w:r w:rsidR="00A46EBA">
        <w:t xml:space="preserve"> unplanned admissions (when compared to public hospitals). </w:t>
      </w:r>
    </w:p>
    <w:p w14:paraId="62B74610" w14:textId="7FD918C2" w:rsidR="005E16EE" w:rsidRDefault="005E16EE" w:rsidP="005E16EE">
      <w:pPr>
        <w:pStyle w:val="Body"/>
      </w:pPr>
      <w:r>
        <w:t xml:space="preserve">Private hospitals and day procedure centres must fund all additional </w:t>
      </w:r>
      <w:r w:rsidR="00E4045F">
        <w:t xml:space="preserve">operating </w:t>
      </w:r>
      <w:r>
        <w:t>costs out of revenue</w:t>
      </w:r>
      <w:r w:rsidR="002B4F95">
        <w:t xml:space="preserve"> or </w:t>
      </w:r>
      <w:r w:rsidR="007F7854">
        <w:t xml:space="preserve">through </w:t>
      </w:r>
      <w:r w:rsidR="002B4F95">
        <w:t>increased fees for services</w:t>
      </w:r>
      <w:r>
        <w:t xml:space="preserve">. Therefore, it is </w:t>
      </w:r>
      <w:r w:rsidR="004477EE">
        <w:t xml:space="preserve">essential </w:t>
      </w:r>
      <w:r>
        <w:t xml:space="preserve">that any additional costs imposed by the Regulations </w:t>
      </w:r>
      <w:r w:rsidR="008127F8">
        <w:t xml:space="preserve">in relation to minimum nurse-to-patient ratios </w:t>
      </w:r>
      <w:r>
        <w:t>are sustainable</w:t>
      </w:r>
      <w:r w:rsidR="002B4F95">
        <w:t xml:space="preserve"> and consider impacts on service accessibility and cost</w:t>
      </w:r>
      <w:r>
        <w:t>.</w:t>
      </w:r>
    </w:p>
    <w:p w14:paraId="2C07BC6A" w14:textId="432140FB" w:rsidR="005E16EE" w:rsidRDefault="00A37196" w:rsidP="005E16EE">
      <w:pPr>
        <w:pStyle w:val="Body"/>
      </w:pPr>
      <w:r>
        <w:t xml:space="preserve">It is also acknowledged that there is </w:t>
      </w:r>
      <w:r w:rsidR="005E16EE">
        <w:t>current</w:t>
      </w:r>
      <w:r>
        <w:t>ly a</w:t>
      </w:r>
      <w:r w:rsidR="005E16EE">
        <w:t xml:space="preserve"> significant shortage of registered and enrolled nurses, and registered midwives. The staff that would be needed to meet increased ratios </w:t>
      </w:r>
      <w:r w:rsidR="00A21D38">
        <w:t xml:space="preserve">may not currently be </w:t>
      </w:r>
      <w:r w:rsidR="005E16EE">
        <w:t>available</w:t>
      </w:r>
      <w:r w:rsidR="00A21D38">
        <w:t xml:space="preserve"> (especially in regional and rural areas)</w:t>
      </w:r>
      <w:r w:rsidR="005E16EE">
        <w:t xml:space="preserve">. Therefore, if any </w:t>
      </w:r>
      <w:r w:rsidR="006C3B03">
        <w:t xml:space="preserve">increases to nurse-to-patient ratios were </w:t>
      </w:r>
      <w:r w:rsidR="005E16EE">
        <w:t xml:space="preserve">introduced there would need to be a significant lead time for implementation. Perhaps as much as </w:t>
      </w:r>
      <w:r w:rsidR="00ED4205">
        <w:t>five to 10</w:t>
      </w:r>
      <w:r w:rsidR="005E16EE">
        <w:t xml:space="preserve"> years would be required to allow for sufficient additional people to be trained </w:t>
      </w:r>
      <w:r w:rsidR="00ED4205">
        <w:t xml:space="preserve">and registered </w:t>
      </w:r>
      <w:r w:rsidR="005E16EE">
        <w:t>as nurses and midwives.</w:t>
      </w:r>
    </w:p>
    <w:p w14:paraId="3FD3F7DD" w14:textId="5062A2DE" w:rsidR="005E16EE" w:rsidRDefault="005E16EE" w:rsidP="005E16EE">
      <w:pPr>
        <w:pStyle w:val="Body"/>
      </w:pPr>
      <w:r>
        <w:t xml:space="preserve">Another consideration is what level of nurse-to-patient ratio </w:t>
      </w:r>
      <w:r w:rsidR="00C46BD9">
        <w:t xml:space="preserve">private </w:t>
      </w:r>
      <w:r>
        <w:t xml:space="preserve">hospitals </w:t>
      </w:r>
      <w:r w:rsidR="00C46BD9">
        <w:t xml:space="preserve">and day procedure centres </w:t>
      </w:r>
      <w:r>
        <w:t>would employ in the absence of Regulations. Hospitals exist to treat patients and achieve good outcomes for them.</w:t>
      </w:r>
      <w:r w:rsidR="005A13D0">
        <w:t xml:space="preserve"> Health professionals also have professional obligations in relation to ensuring safe and quality care for patients.</w:t>
      </w:r>
      <w:r>
        <w:t xml:space="preserve"> It would be </w:t>
      </w:r>
      <w:r w:rsidR="00186858">
        <w:t xml:space="preserve">inconsistent with these goals and obligations </w:t>
      </w:r>
      <w:r w:rsidR="005A13D0">
        <w:t xml:space="preserve">for private hospitals and day procedure centres </w:t>
      </w:r>
      <w:r>
        <w:t>to</w:t>
      </w:r>
      <w:r w:rsidR="00186858">
        <w:t xml:space="preserve"> not ensure </w:t>
      </w:r>
      <w:r w:rsidR="009A44AC">
        <w:t>sufficient</w:t>
      </w:r>
      <w:r w:rsidR="00186858">
        <w:t xml:space="preserve"> staffing levels </w:t>
      </w:r>
      <w:r w:rsidR="009A44AC">
        <w:t>to provide safe quality care to patients.</w:t>
      </w:r>
    </w:p>
    <w:p w14:paraId="41D8AC75" w14:textId="51E83AB6" w:rsidR="005E16EE" w:rsidRDefault="005E16EE" w:rsidP="005E16EE">
      <w:pPr>
        <w:pStyle w:val="Body"/>
      </w:pPr>
      <w:r>
        <w:t xml:space="preserve">As private hospitals </w:t>
      </w:r>
      <w:r w:rsidR="00381524">
        <w:t xml:space="preserve">and day procedure centres </w:t>
      </w:r>
      <w:r>
        <w:t xml:space="preserve">have a built-in incentive to staff according to patient needs, many facilities may already be exceeding the minimum requirements of the current Regulations. As a result, the cost impact of improving the statutory ratios may not be as severe as </w:t>
      </w:r>
      <w:r w:rsidR="001F6D3C">
        <w:t>any</w:t>
      </w:r>
      <w:r>
        <w:t xml:space="preserve"> regulatory change may indicate. </w:t>
      </w:r>
    </w:p>
    <w:p w14:paraId="305CCFCF" w14:textId="2DFA1352" w:rsidR="005E16EE" w:rsidRDefault="0019607F" w:rsidP="005E16EE">
      <w:pPr>
        <w:pStyle w:val="Body"/>
      </w:pPr>
      <w:r>
        <w:t xml:space="preserve">The department is aware of three possible </w:t>
      </w:r>
      <w:r w:rsidR="00C23BD9">
        <w:t xml:space="preserve">or proposed </w:t>
      </w:r>
      <w:r>
        <w:t xml:space="preserve">approaches </w:t>
      </w:r>
      <w:r w:rsidR="00C23BD9">
        <w:t>to ratios in the new Regulations</w:t>
      </w:r>
      <w:r w:rsidR="007C540A">
        <w:t>:</w:t>
      </w:r>
    </w:p>
    <w:p w14:paraId="0941DEB7" w14:textId="730F0C1E" w:rsidR="0044651D" w:rsidRDefault="0044651D" w:rsidP="005E16EE">
      <w:pPr>
        <w:pStyle w:val="Body"/>
        <w:ind w:left="360"/>
        <w:rPr>
          <w:b/>
          <w:bCs/>
        </w:rPr>
      </w:pPr>
      <w:r>
        <w:rPr>
          <w:b/>
          <w:bCs/>
        </w:rPr>
        <w:lastRenderedPageBreak/>
        <w:t xml:space="preserve">Option 1 </w:t>
      </w:r>
      <w:r w:rsidR="00606192" w:rsidRPr="00AD01BD">
        <w:t>–</w:t>
      </w:r>
      <w:r w:rsidRPr="00D45AFB">
        <w:t xml:space="preserve"> </w:t>
      </w:r>
      <w:r w:rsidR="00606192" w:rsidRPr="00D45AFB">
        <w:t xml:space="preserve">status quo </w:t>
      </w:r>
      <w:r w:rsidR="00D45AFB">
        <w:t>–</w:t>
      </w:r>
      <w:r w:rsidR="00606192" w:rsidRPr="00D45AFB">
        <w:t xml:space="preserve"> </w:t>
      </w:r>
      <w:r w:rsidR="0026596B">
        <w:t>T</w:t>
      </w:r>
      <w:r w:rsidR="00D45AFB">
        <w:t xml:space="preserve">his option would not make any changes to the Regulations and would continue with the current requirements. </w:t>
      </w:r>
    </w:p>
    <w:p w14:paraId="739D00BA" w14:textId="6DC407C7" w:rsidR="005E16EE" w:rsidRPr="005E40A2" w:rsidRDefault="005E16EE" w:rsidP="005E16EE">
      <w:pPr>
        <w:pStyle w:val="Body"/>
        <w:ind w:left="360"/>
        <w:rPr>
          <w:b/>
          <w:bCs/>
        </w:rPr>
      </w:pPr>
      <w:r w:rsidRPr="4F1C3AFA">
        <w:rPr>
          <w:b/>
          <w:bCs/>
        </w:rPr>
        <w:t xml:space="preserve">Option </w:t>
      </w:r>
      <w:r w:rsidR="0044651D">
        <w:rPr>
          <w:b/>
          <w:bCs/>
        </w:rPr>
        <w:t>2</w:t>
      </w:r>
      <w:r>
        <w:rPr>
          <w:b/>
          <w:bCs/>
        </w:rPr>
        <w:t xml:space="preserve"> </w:t>
      </w:r>
      <w:r w:rsidR="003461D9" w:rsidRPr="00AD01BD">
        <w:t>–</w:t>
      </w:r>
      <w:r>
        <w:rPr>
          <w:b/>
          <w:bCs/>
        </w:rPr>
        <w:t xml:space="preserve"> </w:t>
      </w:r>
      <w:r w:rsidR="003461D9">
        <w:t>Under this option</w:t>
      </w:r>
      <w:r w:rsidR="007C540A">
        <w:t>,</w:t>
      </w:r>
      <w:r w:rsidR="003461D9">
        <w:t xml:space="preserve"> the </w:t>
      </w:r>
      <w:r>
        <w:t xml:space="preserve">following changes </w:t>
      </w:r>
      <w:r w:rsidR="003461D9">
        <w:t xml:space="preserve">would be made </w:t>
      </w:r>
      <w:r>
        <w:t>to the Regulations to better align with the</w:t>
      </w:r>
      <w:r w:rsidR="00C5366C">
        <w:t xml:space="preserve"> requirements for</w:t>
      </w:r>
      <w:r>
        <w:t xml:space="preserve"> public </w:t>
      </w:r>
      <w:r w:rsidR="00C5366C">
        <w:t>hospitals</w:t>
      </w:r>
      <w:r w:rsidR="00CB7E50">
        <w:t>:</w:t>
      </w:r>
    </w:p>
    <w:p w14:paraId="6931D92D" w14:textId="50E07B6D" w:rsidR="005E16EE" w:rsidRPr="00D06480" w:rsidRDefault="005E16EE" w:rsidP="00C132C8">
      <w:pPr>
        <w:pStyle w:val="ListParagraph"/>
        <w:numPr>
          <w:ilvl w:val="0"/>
          <w:numId w:val="10"/>
        </w:numPr>
        <w:ind w:left="1080"/>
        <w:rPr>
          <w:rFonts w:ascii="Arial" w:hAnsi="Arial" w:cs="Arial"/>
          <w:sz w:val="21"/>
          <w:szCs w:val="21"/>
        </w:rPr>
      </w:pPr>
      <w:r w:rsidRPr="00D06480">
        <w:rPr>
          <w:rFonts w:ascii="Arial" w:hAnsi="Arial" w:cs="Arial"/>
          <w:sz w:val="21"/>
          <w:szCs w:val="21"/>
        </w:rPr>
        <w:t>Amend the current ratio of 1:10 nurses to patients to 1:5 during the morning and afternoon shifts</w:t>
      </w:r>
      <w:r w:rsidR="000044C9">
        <w:rPr>
          <w:rFonts w:ascii="Arial" w:hAnsi="Arial" w:cs="Arial"/>
          <w:sz w:val="21"/>
          <w:szCs w:val="21"/>
        </w:rPr>
        <w:t xml:space="preserve"> for private hospitals</w:t>
      </w:r>
      <w:r w:rsidRPr="00D06480">
        <w:rPr>
          <w:rFonts w:ascii="Arial" w:hAnsi="Arial" w:cs="Arial"/>
          <w:sz w:val="21"/>
          <w:szCs w:val="21"/>
        </w:rPr>
        <w:t>.</w:t>
      </w:r>
    </w:p>
    <w:p w14:paraId="38658C0F" w14:textId="4118EB6E" w:rsidR="005E16EE" w:rsidRPr="00D06480" w:rsidRDefault="005E16EE" w:rsidP="00C132C8">
      <w:pPr>
        <w:pStyle w:val="ListParagraph"/>
        <w:numPr>
          <w:ilvl w:val="0"/>
          <w:numId w:val="10"/>
        </w:numPr>
        <w:ind w:left="1080"/>
        <w:rPr>
          <w:rFonts w:ascii="Arial" w:hAnsi="Arial" w:cs="Arial"/>
          <w:sz w:val="21"/>
          <w:szCs w:val="21"/>
        </w:rPr>
      </w:pPr>
      <w:r w:rsidRPr="00D06480">
        <w:rPr>
          <w:rFonts w:ascii="Arial" w:hAnsi="Arial" w:cs="Arial"/>
          <w:sz w:val="21"/>
          <w:szCs w:val="21"/>
        </w:rPr>
        <w:t>Amend the current ratio of 1:15 nurses to patients to 1:10 during the night shift</w:t>
      </w:r>
      <w:r w:rsidR="000044C9">
        <w:rPr>
          <w:rFonts w:ascii="Arial" w:hAnsi="Arial" w:cs="Arial"/>
          <w:sz w:val="21"/>
          <w:szCs w:val="21"/>
        </w:rPr>
        <w:t xml:space="preserve"> for private </w:t>
      </w:r>
      <w:r w:rsidR="00780191">
        <w:rPr>
          <w:rFonts w:ascii="Arial" w:hAnsi="Arial" w:cs="Arial"/>
          <w:sz w:val="21"/>
          <w:szCs w:val="21"/>
        </w:rPr>
        <w:t>hospitals</w:t>
      </w:r>
      <w:r w:rsidRPr="00D06480">
        <w:rPr>
          <w:rFonts w:ascii="Arial" w:hAnsi="Arial" w:cs="Arial"/>
          <w:sz w:val="21"/>
          <w:szCs w:val="21"/>
        </w:rPr>
        <w:t>.</w:t>
      </w:r>
    </w:p>
    <w:p w14:paraId="2ABAE6D4" w14:textId="24BED915" w:rsidR="005E16EE" w:rsidRPr="003461D9" w:rsidRDefault="005E16EE" w:rsidP="00C132C8">
      <w:pPr>
        <w:pStyle w:val="ListParagraph"/>
        <w:numPr>
          <w:ilvl w:val="0"/>
          <w:numId w:val="10"/>
        </w:numPr>
        <w:ind w:left="1080"/>
        <w:rPr>
          <w:rFonts w:ascii="Arial" w:hAnsi="Arial" w:cs="Arial"/>
          <w:sz w:val="21"/>
          <w:szCs w:val="21"/>
        </w:rPr>
      </w:pPr>
      <w:r w:rsidRPr="00D06480">
        <w:rPr>
          <w:rFonts w:ascii="Arial" w:hAnsi="Arial" w:cs="Arial"/>
          <w:sz w:val="21"/>
          <w:szCs w:val="21"/>
        </w:rPr>
        <w:t>Insert a requirement for a ratio of 1:2 for H</w:t>
      </w:r>
      <w:r>
        <w:rPr>
          <w:rFonts w:ascii="Arial" w:hAnsi="Arial" w:cs="Arial"/>
          <w:sz w:val="21"/>
          <w:szCs w:val="21"/>
        </w:rPr>
        <w:t xml:space="preserve">igh </w:t>
      </w:r>
      <w:r w:rsidRPr="00D06480">
        <w:rPr>
          <w:rFonts w:ascii="Arial" w:hAnsi="Arial" w:cs="Arial"/>
          <w:sz w:val="21"/>
          <w:szCs w:val="21"/>
        </w:rPr>
        <w:t>D</w:t>
      </w:r>
      <w:r>
        <w:rPr>
          <w:rFonts w:ascii="Arial" w:hAnsi="Arial" w:cs="Arial"/>
          <w:sz w:val="21"/>
          <w:szCs w:val="21"/>
        </w:rPr>
        <w:t xml:space="preserve">ependency </w:t>
      </w:r>
      <w:r w:rsidRPr="00D06480">
        <w:rPr>
          <w:rFonts w:ascii="Arial" w:hAnsi="Arial" w:cs="Arial"/>
          <w:sz w:val="21"/>
          <w:szCs w:val="21"/>
        </w:rPr>
        <w:t>U</w:t>
      </w:r>
      <w:r>
        <w:rPr>
          <w:rFonts w:ascii="Arial" w:hAnsi="Arial" w:cs="Arial"/>
          <w:sz w:val="21"/>
          <w:szCs w:val="21"/>
        </w:rPr>
        <w:t>nit (HDU)</w:t>
      </w:r>
      <w:r w:rsidRPr="00D06480">
        <w:rPr>
          <w:rFonts w:ascii="Arial" w:hAnsi="Arial" w:cs="Arial"/>
          <w:sz w:val="21"/>
          <w:szCs w:val="21"/>
        </w:rPr>
        <w:t xml:space="preserve"> patients. This number can only include a Nurse in Charge if they are dedicated to this unit and have no other responsibilities.</w:t>
      </w:r>
      <w:r>
        <w:rPr>
          <w:rFonts w:ascii="Arial" w:hAnsi="Arial" w:cs="Arial"/>
          <w:sz w:val="21"/>
          <w:szCs w:val="21"/>
        </w:rPr>
        <w:t xml:space="preserve"> </w:t>
      </w:r>
      <w:r w:rsidRPr="00D06480">
        <w:rPr>
          <w:rFonts w:ascii="Arial" w:hAnsi="Arial" w:cs="Arial"/>
          <w:sz w:val="21"/>
          <w:szCs w:val="21"/>
        </w:rPr>
        <w:t xml:space="preserve">This change </w:t>
      </w:r>
      <w:r w:rsidR="00AD511E">
        <w:rPr>
          <w:rFonts w:ascii="Arial" w:hAnsi="Arial" w:cs="Arial"/>
          <w:sz w:val="21"/>
          <w:szCs w:val="21"/>
        </w:rPr>
        <w:t>may</w:t>
      </w:r>
      <w:r w:rsidRPr="00D06480">
        <w:rPr>
          <w:rFonts w:ascii="Arial" w:hAnsi="Arial" w:cs="Arial"/>
          <w:sz w:val="21"/>
          <w:szCs w:val="21"/>
        </w:rPr>
        <w:t xml:space="preserve"> require HDUs to be defined. A suggested definition is: </w:t>
      </w:r>
      <w:r w:rsidR="007C540A">
        <w:rPr>
          <w:rFonts w:ascii="Arial" w:hAnsi="Arial" w:cs="Arial"/>
          <w:sz w:val="21"/>
          <w:szCs w:val="21"/>
        </w:rPr>
        <w:t>‘</w:t>
      </w:r>
      <w:r w:rsidRPr="00D06480">
        <w:rPr>
          <w:rFonts w:ascii="Arial" w:hAnsi="Arial" w:cs="Arial"/>
          <w:color w:val="2E2E2E"/>
          <w:sz w:val="21"/>
          <w:szCs w:val="21"/>
        </w:rPr>
        <w:t>A HDU is a specially staffed and equipped area of a hospital that provides a level of care intermediate between intensive care and the general ward care.</w:t>
      </w:r>
      <w:r w:rsidR="00AD01BD">
        <w:rPr>
          <w:rFonts w:ascii="Arial" w:hAnsi="Arial" w:cs="Arial"/>
          <w:color w:val="2E2E2E"/>
          <w:sz w:val="21"/>
          <w:szCs w:val="21"/>
        </w:rPr>
        <w:t>’</w:t>
      </w:r>
      <w:r w:rsidR="00C123CB">
        <w:rPr>
          <w:rFonts w:ascii="Arial" w:hAnsi="Arial" w:cs="Arial"/>
          <w:color w:val="2E2E2E"/>
          <w:sz w:val="21"/>
          <w:szCs w:val="21"/>
        </w:rPr>
        <w:t xml:space="preserve"> </w:t>
      </w:r>
      <w:r w:rsidR="0019607F">
        <w:rPr>
          <w:rFonts w:ascii="Arial" w:hAnsi="Arial" w:cs="Arial"/>
          <w:sz w:val="21"/>
          <w:szCs w:val="21"/>
        </w:rPr>
        <w:t>In considering an appropriate definition</w:t>
      </w:r>
      <w:r w:rsidR="00AD01BD">
        <w:rPr>
          <w:rFonts w:ascii="Arial" w:hAnsi="Arial" w:cs="Arial"/>
          <w:sz w:val="21"/>
          <w:szCs w:val="21"/>
        </w:rPr>
        <w:t>,</w:t>
      </w:r>
      <w:r w:rsidR="0019607F">
        <w:rPr>
          <w:rFonts w:ascii="Arial" w:hAnsi="Arial" w:cs="Arial"/>
          <w:sz w:val="21"/>
          <w:szCs w:val="21"/>
        </w:rPr>
        <w:t xml:space="preserve"> it is noted that under the framework of ratios </w:t>
      </w:r>
      <w:r w:rsidR="00C23BD9">
        <w:rPr>
          <w:rFonts w:ascii="Arial" w:hAnsi="Arial" w:cs="Arial"/>
          <w:sz w:val="21"/>
          <w:szCs w:val="21"/>
        </w:rPr>
        <w:t>for public</w:t>
      </w:r>
      <w:r w:rsidR="0019607F">
        <w:rPr>
          <w:rFonts w:ascii="Arial" w:hAnsi="Arial" w:cs="Arial"/>
          <w:sz w:val="21"/>
          <w:szCs w:val="21"/>
        </w:rPr>
        <w:t xml:space="preserve"> </w:t>
      </w:r>
      <w:r w:rsidR="00C23BD9">
        <w:rPr>
          <w:rFonts w:ascii="Arial" w:hAnsi="Arial" w:cs="Arial"/>
          <w:sz w:val="21"/>
          <w:szCs w:val="21"/>
        </w:rPr>
        <w:t>hospitals</w:t>
      </w:r>
      <w:r w:rsidR="0019607F">
        <w:rPr>
          <w:rFonts w:ascii="Arial" w:hAnsi="Arial" w:cs="Arial"/>
          <w:sz w:val="21"/>
          <w:szCs w:val="21"/>
        </w:rPr>
        <w:t xml:space="preserve"> there are multiple tiers of HD</w:t>
      </w:r>
      <w:r w:rsidR="00AD01BD">
        <w:rPr>
          <w:rFonts w:ascii="Arial" w:hAnsi="Arial" w:cs="Arial"/>
          <w:sz w:val="21"/>
          <w:szCs w:val="21"/>
        </w:rPr>
        <w:t>U</w:t>
      </w:r>
      <w:r w:rsidR="0019607F">
        <w:rPr>
          <w:rFonts w:ascii="Arial" w:hAnsi="Arial" w:cs="Arial"/>
          <w:sz w:val="21"/>
          <w:szCs w:val="21"/>
        </w:rPr>
        <w:t xml:space="preserve"> with corresponding differentiated ratios</w:t>
      </w:r>
      <w:r w:rsidR="00AD01BD">
        <w:rPr>
          <w:rFonts w:ascii="Arial" w:hAnsi="Arial" w:cs="Arial"/>
          <w:sz w:val="21"/>
          <w:szCs w:val="21"/>
        </w:rPr>
        <w:t>.</w:t>
      </w:r>
      <w:r w:rsidR="0019607F">
        <w:rPr>
          <w:rFonts w:ascii="Arial" w:hAnsi="Arial" w:cs="Arial"/>
          <w:color w:val="2E2E2E"/>
          <w:sz w:val="21"/>
          <w:szCs w:val="21"/>
        </w:rPr>
        <w:t xml:space="preserve"> </w:t>
      </w:r>
      <w:r w:rsidR="003461D9">
        <w:rPr>
          <w:rFonts w:ascii="Arial" w:hAnsi="Arial" w:cs="Arial"/>
          <w:color w:val="2E2E2E"/>
          <w:sz w:val="21"/>
          <w:szCs w:val="21"/>
        </w:rPr>
        <w:t>Under this option</w:t>
      </w:r>
      <w:r w:rsidR="00AD01BD">
        <w:rPr>
          <w:rFonts w:ascii="Arial" w:hAnsi="Arial" w:cs="Arial"/>
          <w:color w:val="2E2E2E"/>
          <w:sz w:val="21"/>
          <w:szCs w:val="21"/>
        </w:rPr>
        <w:t>,</w:t>
      </w:r>
      <w:r w:rsidR="003461D9">
        <w:rPr>
          <w:rFonts w:ascii="Arial" w:hAnsi="Arial" w:cs="Arial"/>
          <w:color w:val="2E2E2E"/>
          <w:sz w:val="21"/>
          <w:szCs w:val="21"/>
        </w:rPr>
        <w:t xml:space="preserve"> the Regulation would also </w:t>
      </w:r>
      <w:r w:rsidRPr="00D06480">
        <w:rPr>
          <w:rFonts w:ascii="Arial" w:hAnsi="Arial" w:cs="Arial"/>
          <w:color w:val="2E2E2E"/>
          <w:sz w:val="21"/>
          <w:szCs w:val="21"/>
        </w:rPr>
        <w:t>require that a HDU must be on t</w:t>
      </w:r>
      <w:r w:rsidRPr="00D06480">
        <w:rPr>
          <w:rFonts w:ascii="Arial" w:hAnsi="Arial" w:cs="Arial"/>
          <w:sz w:val="21"/>
          <w:szCs w:val="21"/>
        </w:rPr>
        <w:t>he same site as an I</w:t>
      </w:r>
      <w:r>
        <w:rPr>
          <w:rFonts w:ascii="Arial" w:hAnsi="Arial" w:cs="Arial"/>
          <w:sz w:val="21"/>
          <w:szCs w:val="21"/>
        </w:rPr>
        <w:t xml:space="preserve">ntensive </w:t>
      </w:r>
      <w:r w:rsidRPr="00D06480">
        <w:rPr>
          <w:rFonts w:ascii="Arial" w:hAnsi="Arial" w:cs="Arial"/>
          <w:sz w:val="21"/>
          <w:szCs w:val="21"/>
        </w:rPr>
        <w:t>C</w:t>
      </w:r>
      <w:r>
        <w:rPr>
          <w:rFonts w:ascii="Arial" w:hAnsi="Arial" w:cs="Arial"/>
          <w:sz w:val="21"/>
          <w:szCs w:val="21"/>
        </w:rPr>
        <w:t xml:space="preserve">are </w:t>
      </w:r>
      <w:r w:rsidRPr="00D06480">
        <w:rPr>
          <w:rFonts w:ascii="Arial" w:hAnsi="Arial" w:cs="Arial"/>
          <w:sz w:val="21"/>
          <w:szCs w:val="21"/>
        </w:rPr>
        <w:t>U</w:t>
      </w:r>
      <w:r>
        <w:rPr>
          <w:rFonts w:ascii="Arial" w:hAnsi="Arial" w:cs="Arial"/>
          <w:sz w:val="21"/>
          <w:szCs w:val="21"/>
        </w:rPr>
        <w:t>nit (ICU)</w:t>
      </w:r>
      <w:r w:rsidRPr="00D06480">
        <w:rPr>
          <w:rFonts w:ascii="Arial" w:hAnsi="Arial" w:cs="Arial"/>
          <w:sz w:val="21"/>
          <w:szCs w:val="21"/>
        </w:rPr>
        <w:t xml:space="preserve">. </w:t>
      </w:r>
      <w:r w:rsidR="003461D9">
        <w:rPr>
          <w:rFonts w:ascii="Arial" w:hAnsi="Arial" w:cs="Arial"/>
          <w:sz w:val="21"/>
          <w:szCs w:val="21"/>
        </w:rPr>
        <w:t>Consideration would also be given to i</w:t>
      </w:r>
      <w:r w:rsidR="003461D9" w:rsidRPr="00D06480">
        <w:rPr>
          <w:rFonts w:ascii="Arial" w:hAnsi="Arial" w:cs="Arial"/>
          <w:sz w:val="21"/>
          <w:szCs w:val="21"/>
        </w:rPr>
        <w:t>nsert</w:t>
      </w:r>
      <w:r w:rsidR="003461D9">
        <w:rPr>
          <w:rFonts w:ascii="Arial" w:hAnsi="Arial" w:cs="Arial"/>
          <w:sz w:val="21"/>
          <w:szCs w:val="21"/>
        </w:rPr>
        <w:t>ing</w:t>
      </w:r>
      <w:r w:rsidR="003461D9" w:rsidRPr="00D06480">
        <w:rPr>
          <w:rFonts w:ascii="Arial" w:hAnsi="Arial" w:cs="Arial"/>
          <w:sz w:val="21"/>
          <w:szCs w:val="21"/>
        </w:rPr>
        <w:t xml:space="preserve"> a definition of a Close Observation </w:t>
      </w:r>
      <w:r w:rsidR="003461D9">
        <w:rPr>
          <w:rFonts w:ascii="Arial" w:hAnsi="Arial" w:cs="Arial"/>
          <w:sz w:val="21"/>
          <w:szCs w:val="21"/>
        </w:rPr>
        <w:t>U</w:t>
      </w:r>
      <w:r w:rsidR="003461D9" w:rsidRPr="00D06480">
        <w:rPr>
          <w:rFonts w:ascii="Arial" w:hAnsi="Arial" w:cs="Arial"/>
          <w:sz w:val="21"/>
          <w:szCs w:val="21"/>
        </w:rPr>
        <w:t>nit to differentiate it from a HDU.</w:t>
      </w:r>
    </w:p>
    <w:p w14:paraId="5F362283" w14:textId="77777777" w:rsidR="005E16EE" w:rsidRPr="00D06480" w:rsidRDefault="005E16EE" w:rsidP="00C132C8">
      <w:pPr>
        <w:pStyle w:val="ListParagraph"/>
        <w:numPr>
          <w:ilvl w:val="0"/>
          <w:numId w:val="10"/>
        </w:numPr>
        <w:ind w:left="1080"/>
        <w:rPr>
          <w:rFonts w:ascii="Arial" w:hAnsi="Arial" w:cs="Arial"/>
          <w:sz w:val="21"/>
          <w:szCs w:val="21"/>
        </w:rPr>
      </w:pPr>
      <w:r w:rsidRPr="4F1C3AFA">
        <w:rPr>
          <w:rFonts w:ascii="Arial" w:hAnsi="Arial" w:cs="Arial"/>
          <w:sz w:val="21"/>
          <w:szCs w:val="21"/>
        </w:rPr>
        <w:t>Insert a requirement for a ratio of 1:1 for an ICU</w:t>
      </w:r>
      <w:r>
        <w:rPr>
          <w:rFonts w:ascii="Arial" w:hAnsi="Arial" w:cs="Arial"/>
          <w:sz w:val="21"/>
          <w:szCs w:val="21"/>
        </w:rPr>
        <w:t>.</w:t>
      </w:r>
    </w:p>
    <w:p w14:paraId="62EB5EE9" w14:textId="4B871371" w:rsidR="005E16EE" w:rsidRPr="00BA6567" w:rsidRDefault="005E16EE" w:rsidP="00C132C8">
      <w:pPr>
        <w:pStyle w:val="ListParagraph"/>
        <w:numPr>
          <w:ilvl w:val="0"/>
          <w:numId w:val="10"/>
        </w:numPr>
        <w:ind w:left="1080"/>
        <w:rPr>
          <w:rFonts w:ascii="Arial" w:hAnsi="Arial" w:cs="Arial"/>
          <w:sz w:val="21"/>
          <w:szCs w:val="21"/>
        </w:rPr>
      </w:pPr>
      <w:r w:rsidRPr="00BA6567">
        <w:rPr>
          <w:rFonts w:ascii="Arial" w:hAnsi="Arial" w:cs="Arial"/>
          <w:sz w:val="21"/>
          <w:szCs w:val="21"/>
        </w:rPr>
        <w:t xml:space="preserve">Insert a minimum ratio of 1:3 for </w:t>
      </w:r>
      <w:r>
        <w:rPr>
          <w:rFonts w:ascii="Arial" w:hAnsi="Arial" w:cs="Arial"/>
          <w:sz w:val="21"/>
          <w:szCs w:val="21"/>
        </w:rPr>
        <w:t xml:space="preserve">occupied </w:t>
      </w:r>
      <w:r w:rsidRPr="00BA6567">
        <w:rPr>
          <w:rFonts w:ascii="Arial" w:hAnsi="Arial" w:cs="Arial"/>
          <w:sz w:val="21"/>
          <w:szCs w:val="21"/>
        </w:rPr>
        <w:t>E</w:t>
      </w:r>
      <w:r>
        <w:rPr>
          <w:rFonts w:ascii="Arial" w:hAnsi="Arial" w:cs="Arial"/>
          <w:sz w:val="21"/>
          <w:szCs w:val="21"/>
        </w:rPr>
        <w:t xml:space="preserve">mergency </w:t>
      </w:r>
      <w:r w:rsidRPr="00BA6567">
        <w:rPr>
          <w:rFonts w:ascii="Arial" w:hAnsi="Arial" w:cs="Arial"/>
          <w:sz w:val="21"/>
          <w:szCs w:val="21"/>
        </w:rPr>
        <w:t>D</w:t>
      </w:r>
      <w:r>
        <w:rPr>
          <w:rFonts w:ascii="Arial" w:hAnsi="Arial" w:cs="Arial"/>
          <w:sz w:val="21"/>
          <w:szCs w:val="21"/>
        </w:rPr>
        <w:t>epartment</w:t>
      </w:r>
      <w:r w:rsidRPr="00BA6567">
        <w:rPr>
          <w:rFonts w:ascii="Arial" w:hAnsi="Arial" w:cs="Arial"/>
          <w:sz w:val="21"/>
          <w:szCs w:val="21"/>
        </w:rPr>
        <w:t xml:space="preserve"> cubicles</w:t>
      </w:r>
      <w:r w:rsidR="00AD01BD">
        <w:rPr>
          <w:rFonts w:ascii="Arial" w:hAnsi="Arial" w:cs="Arial"/>
          <w:sz w:val="21"/>
          <w:szCs w:val="21"/>
        </w:rPr>
        <w:t>.</w:t>
      </w:r>
      <w:r w:rsidRPr="00BA6567">
        <w:rPr>
          <w:rFonts w:ascii="Arial" w:hAnsi="Arial" w:cs="Arial"/>
          <w:sz w:val="21"/>
          <w:szCs w:val="21"/>
        </w:rPr>
        <w:t xml:space="preserve"> This can only include a Nurse in </w:t>
      </w:r>
      <w:r w:rsidR="00AD01BD">
        <w:rPr>
          <w:rFonts w:ascii="Arial" w:hAnsi="Arial" w:cs="Arial"/>
          <w:sz w:val="21"/>
          <w:szCs w:val="21"/>
        </w:rPr>
        <w:t>C</w:t>
      </w:r>
      <w:r w:rsidRPr="00BA6567">
        <w:rPr>
          <w:rFonts w:ascii="Arial" w:hAnsi="Arial" w:cs="Arial"/>
          <w:sz w:val="21"/>
          <w:szCs w:val="21"/>
        </w:rPr>
        <w:t>harge if they are dedicated to this unit and have no other responsibilities.</w:t>
      </w:r>
    </w:p>
    <w:p w14:paraId="7AA4F7E4" w14:textId="018D4DDF" w:rsidR="005E16EE" w:rsidRDefault="005E16EE" w:rsidP="00C132C8">
      <w:pPr>
        <w:pStyle w:val="ListParagraph"/>
        <w:numPr>
          <w:ilvl w:val="0"/>
          <w:numId w:val="10"/>
        </w:numPr>
        <w:ind w:left="1080"/>
        <w:rPr>
          <w:rFonts w:ascii="Arial" w:hAnsi="Arial" w:cs="Arial"/>
          <w:sz w:val="21"/>
          <w:szCs w:val="21"/>
        </w:rPr>
      </w:pPr>
      <w:r w:rsidRPr="4F1C3AFA">
        <w:rPr>
          <w:rFonts w:ascii="Arial" w:hAnsi="Arial" w:cs="Arial"/>
          <w:sz w:val="21"/>
          <w:szCs w:val="21"/>
        </w:rPr>
        <w:t xml:space="preserve">Insert a minimum ratio 1:1 for occupied Emergency Department resuscitation bays excluding a </w:t>
      </w:r>
      <w:r w:rsidR="003461D9">
        <w:rPr>
          <w:rFonts w:ascii="Arial" w:hAnsi="Arial" w:cs="Arial"/>
          <w:sz w:val="21"/>
          <w:szCs w:val="21"/>
        </w:rPr>
        <w:t>N</w:t>
      </w:r>
      <w:r w:rsidRPr="4F1C3AFA">
        <w:rPr>
          <w:rFonts w:ascii="Arial" w:hAnsi="Arial" w:cs="Arial"/>
          <w:sz w:val="21"/>
          <w:szCs w:val="21"/>
        </w:rPr>
        <w:t xml:space="preserve">urse in </w:t>
      </w:r>
      <w:r w:rsidR="003461D9">
        <w:rPr>
          <w:rFonts w:ascii="Arial" w:hAnsi="Arial" w:cs="Arial"/>
          <w:sz w:val="21"/>
          <w:szCs w:val="21"/>
        </w:rPr>
        <w:t>C</w:t>
      </w:r>
      <w:r w:rsidRPr="4F1C3AFA">
        <w:rPr>
          <w:rFonts w:ascii="Arial" w:hAnsi="Arial" w:cs="Arial"/>
          <w:sz w:val="21"/>
          <w:szCs w:val="21"/>
        </w:rPr>
        <w:t>harge.</w:t>
      </w:r>
    </w:p>
    <w:p w14:paraId="25C6F192" w14:textId="1A6D7BA3" w:rsidR="005E16EE" w:rsidRDefault="005E16EE" w:rsidP="005E16EE">
      <w:pPr>
        <w:pStyle w:val="Body"/>
        <w:ind w:left="720"/>
      </w:pPr>
      <w:r>
        <w:t xml:space="preserve">If this </w:t>
      </w:r>
      <w:r w:rsidR="003461D9">
        <w:t>option is progressed</w:t>
      </w:r>
      <w:r>
        <w:t xml:space="preserve">, </w:t>
      </w:r>
      <w:r w:rsidR="00C23BD9">
        <w:t xml:space="preserve">it will </w:t>
      </w:r>
      <w:r w:rsidR="002C04EA">
        <w:t>likely</w:t>
      </w:r>
      <w:r w:rsidR="00C23BD9">
        <w:t xml:space="preserve"> be necessary to consider what specific requirements for </w:t>
      </w:r>
      <w:r w:rsidR="00204B7E">
        <w:t>registered nurses, as compared to enrolled nurses, might be feasible</w:t>
      </w:r>
      <w:r>
        <w:t>.</w:t>
      </w:r>
    </w:p>
    <w:p w14:paraId="5C2E3EBC" w14:textId="27008E87" w:rsidR="005E16EE" w:rsidRDefault="005E16EE" w:rsidP="005E16EE">
      <w:pPr>
        <w:pStyle w:val="Body"/>
        <w:ind w:left="720"/>
      </w:pPr>
      <w:r>
        <w:t xml:space="preserve">It is noted that this </w:t>
      </w:r>
      <w:r w:rsidR="003461D9">
        <w:t>option</w:t>
      </w:r>
      <w:r>
        <w:t xml:space="preserve"> would result in a near doubling of the nursing workforce requirement </w:t>
      </w:r>
      <w:r w:rsidR="003461D9">
        <w:t xml:space="preserve">as </w:t>
      </w:r>
      <w:r>
        <w:t xml:space="preserve">compared to the </w:t>
      </w:r>
      <w:r w:rsidR="003461D9">
        <w:t xml:space="preserve">requirements in the </w:t>
      </w:r>
      <w:r>
        <w:t xml:space="preserve">current Regulations. Whether this would reflect the actual increase in numbers is unknown and </w:t>
      </w:r>
      <w:r w:rsidR="00390194">
        <w:t xml:space="preserve">private </w:t>
      </w:r>
      <w:r>
        <w:t xml:space="preserve">hospitals </w:t>
      </w:r>
      <w:r w:rsidR="00390194">
        <w:t xml:space="preserve">and day procedure centres </w:t>
      </w:r>
      <w:r>
        <w:t>are invited to provide advice on this point.</w:t>
      </w:r>
    </w:p>
    <w:p w14:paraId="7529A42F" w14:textId="1801AD58" w:rsidR="005E16EE" w:rsidRPr="005E40A2" w:rsidRDefault="005E16EE" w:rsidP="00672539">
      <w:pPr>
        <w:pStyle w:val="Body"/>
        <w:ind w:left="360"/>
        <w:rPr>
          <w:b/>
          <w:bCs/>
        </w:rPr>
      </w:pPr>
      <w:r w:rsidRPr="4F1C3AFA">
        <w:rPr>
          <w:b/>
          <w:bCs/>
        </w:rPr>
        <w:t xml:space="preserve">Option </w:t>
      </w:r>
      <w:r w:rsidR="0044651D">
        <w:rPr>
          <w:b/>
          <w:bCs/>
        </w:rPr>
        <w:t>3</w:t>
      </w:r>
      <w:r>
        <w:rPr>
          <w:b/>
          <w:bCs/>
        </w:rPr>
        <w:t xml:space="preserve"> </w:t>
      </w:r>
      <w:r w:rsidR="003461D9" w:rsidRPr="00AD01BD">
        <w:t>–</w:t>
      </w:r>
      <w:r>
        <w:rPr>
          <w:b/>
          <w:bCs/>
        </w:rPr>
        <w:t xml:space="preserve"> </w:t>
      </w:r>
      <w:r w:rsidR="003461D9">
        <w:t>Under this option</w:t>
      </w:r>
      <w:r w:rsidR="00AD01BD">
        <w:t>,</w:t>
      </w:r>
      <w:r w:rsidR="003461D9">
        <w:t xml:space="preserve"> the Regulations would require</w:t>
      </w:r>
      <w:r>
        <w:t xml:space="preserve"> all hospitals that operate emergency departments, intensive care units or high dependency units to include policy and procedures in their clinical governance framework that determine the nurse-to-patient ratio in these areas of the hospital. The department can then review how these policies and procedures are being applied and adhered to during inspections.</w:t>
      </w:r>
    </w:p>
    <w:p w14:paraId="598CA2DF" w14:textId="77C4EA9B" w:rsidR="005E16EE" w:rsidRDefault="005E16EE" w:rsidP="00672539">
      <w:pPr>
        <w:pStyle w:val="Body"/>
        <w:ind w:left="360"/>
      </w:pPr>
      <w:r>
        <w:t>Hospitals should be able to predict demand based on history and</w:t>
      </w:r>
      <w:r w:rsidR="00AD01BD">
        <w:t>,</w:t>
      </w:r>
      <w:r>
        <w:t xml:space="preserve"> as a result</w:t>
      </w:r>
      <w:r w:rsidR="00AD01BD">
        <w:t>,</w:t>
      </w:r>
      <w:r>
        <w:t xml:space="preserve"> determine baseline staffing needs for these areas of the hospital. If it is proposed to flex up staff when required, the policy must state where the staff will come from, how their availability will be ensured, and how to ensure that other ward staffing does not fall below the general mandated level.</w:t>
      </w:r>
    </w:p>
    <w:p w14:paraId="03513256" w14:textId="3341CFD6" w:rsidR="005E16EE" w:rsidRDefault="005E16EE" w:rsidP="00672539">
      <w:pPr>
        <w:pStyle w:val="Body"/>
        <w:ind w:left="360"/>
      </w:pPr>
      <w:r>
        <w:t xml:space="preserve">For the remaining hospital wards and day procedure areas, a nurse-to-patient ratio of 1:8 during the day and afternoon and 1:12 overnight </w:t>
      </w:r>
      <w:r w:rsidR="003461D9">
        <w:t xml:space="preserve">would </w:t>
      </w:r>
      <w:r>
        <w:t>be mandated.</w:t>
      </w:r>
    </w:p>
    <w:p w14:paraId="5D04C13E" w14:textId="77777777" w:rsidR="005E16EE" w:rsidRDefault="005E16EE" w:rsidP="00672539">
      <w:pPr>
        <w:pStyle w:val="Body"/>
        <w:ind w:left="360"/>
      </w:pPr>
      <w:r>
        <w:t>This option provides some flexibility for private hospitals to employ staff, and flex staff according to patient acuity.</w:t>
      </w:r>
    </w:p>
    <w:p w14:paraId="700568E8" w14:textId="4911B2D1" w:rsidR="005E16EE" w:rsidRPr="000A1BD3" w:rsidRDefault="005E16EE" w:rsidP="00672539">
      <w:pPr>
        <w:pStyle w:val="Body"/>
        <w:ind w:left="360"/>
      </w:pPr>
      <w:r w:rsidRPr="00672539">
        <w:rPr>
          <w:b/>
          <w:bCs/>
        </w:rPr>
        <w:lastRenderedPageBreak/>
        <w:t xml:space="preserve">Option </w:t>
      </w:r>
      <w:r w:rsidR="0044651D" w:rsidRPr="00672539">
        <w:rPr>
          <w:b/>
          <w:bCs/>
        </w:rPr>
        <w:t>4</w:t>
      </w:r>
      <w:r w:rsidRPr="00672539">
        <w:rPr>
          <w:b/>
          <w:bCs/>
        </w:rPr>
        <w:t xml:space="preserve"> </w:t>
      </w:r>
      <w:r w:rsidR="003461D9" w:rsidRPr="00AD01BD">
        <w:t>–</w:t>
      </w:r>
      <w:r>
        <w:t xml:space="preserve"> </w:t>
      </w:r>
      <w:r w:rsidR="003461D9">
        <w:t xml:space="preserve">Under this </w:t>
      </w:r>
      <w:r w:rsidR="00E87952">
        <w:t>o</w:t>
      </w:r>
      <w:r w:rsidR="003461D9">
        <w:t>ption</w:t>
      </w:r>
      <w:r w:rsidR="0003714C">
        <w:t>,</w:t>
      </w:r>
      <w:r w:rsidR="003461D9">
        <w:t xml:space="preserve"> the Regulations would require that</w:t>
      </w:r>
      <w:r w:rsidRPr="005E40A2">
        <w:t xml:space="preserve"> the clinical governance policies and procedures of a facility </w:t>
      </w:r>
      <w:r w:rsidR="003461D9">
        <w:t>must</w:t>
      </w:r>
      <w:r>
        <w:t xml:space="preserve"> </w:t>
      </w:r>
      <w:r w:rsidRPr="005E40A2">
        <w:t>set out all staffing arrangements</w:t>
      </w:r>
      <w:r>
        <w:t>,</w:t>
      </w:r>
      <w:r w:rsidRPr="005E40A2">
        <w:t xml:space="preserve"> including minimum nurse/midwife-to-patient ratios</w:t>
      </w:r>
      <w:r>
        <w:t>.</w:t>
      </w:r>
      <w:r w:rsidR="003461D9">
        <w:t xml:space="preserve"> </w:t>
      </w:r>
      <w:r w:rsidRPr="003461D9">
        <w:t xml:space="preserve">Some facilities have expressed a preference for all staffing to be determined by the facility clinical governance policies. </w:t>
      </w:r>
      <w:r w:rsidR="006B0D7B" w:rsidRPr="003461D9">
        <w:t xml:space="preserve">However, this option is inconsistent with </w:t>
      </w:r>
      <w:r w:rsidR="001A1A12" w:rsidRPr="003461D9">
        <w:t xml:space="preserve">the approach taken for public hospitals where minimum nurse-to-patient ratios are mandated and would </w:t>
      </w:r>
      <w:r w:rsidR="003461D9" w:rsidRPr="003461D9">
        <w:t xml:space="preserve">also </w:t>
      </w:r>
      <w:r w:rsidR="00B94BE6" w:rsidRPr="003461D9">
        <w:t xml:space="preserve">be a significant departure from the approach </w:t>
      </w:r>
      <w:r w:rsidR="003461D9" w:rsidRPr="003461D9">
        <w:t>currently taken in the</w:t>
      </w:r>
      <w:r w:rsidR="00B94BE6" w:rsidRPr="003461D9">
        <w:t xml:space="preserve"> Regulations</w:t>
      </w:r>
      <w:r w:rsidR="003461D9" w:rsidRPr="003461D9">
        <w:t>,</w:t>
      </w:r>
      <w:r w:rsidR="00B94BE6" w:rsidRPr="003461D9">
        <w:t xml:space="preserve"> </w:t>
      </w:r>
      <w:r w:rsidR="00200024" w:rsidRPr="003461D9">
        <w:t>which mandates minimum nurse-to-patient ratios</w:t>
      </w:r>
      <w:r w:rsidR="000E2BB9" w:rsidRPr="003461D9">
        <w:t xml:space="preserve"> as an </w:t>
      </w:r>
      <w:r w:rsidR="000D5D53" w:rsidRPr="003461D9">
        <w:t xml:space="preserve">important </w:t>
      </w:r>
      <w:r w:rsidR="000E2BB9" w:rsidRPr="003461D9">
        <w:t xml:space="preserve">element </w:t>
      </w:r>
      <w:r w:rsidR="000D5D53" w:rsidRPr="003461D9">
        <w:t xml:space="preserve">for maintaining </w:t>
      </w:r>
      <w:r w:rsidR="000E2BB9" w:rsidRPr="003461D9">
        <w:t>patient</w:t>
      </w:r>
      <w:r w:rsidR="000D5D53" w:rsidRPr="003461D9">
        <w:t xml:space="preserve"> safety</w:t>
      </w:r>
      <w:r w:rsidR="003461D9" w:rsidRPr="003461D9">
        <w:t>.</w:t>
      </w:r>
      <w:r w:rsidR="003461D9">
        <w:t xml:space="preserve"> </w:t>
      </w:r>
      <w:r w:rsidR="00E87952">
        <w:t xml:space="preserve">Notwithstanding the current incentives in place outside the Regulations for private sector facilities to maintain adequate levels of staffing, this option may lead to a reduction in the level of nursing staffing that could adversely impact patient safety. </w:t>
      </w:r>
    </w:p>
    <w:p w14:paraId="1A968CF0" w14:textId="555F61EF" w:rsidR="005E16EE" w:rsidRDefault="002E73FE" w:rsidP="005E16EE">
      <w:pPr>
        <w:pStyle w:val="Heading3"/>
      </w:pPr>
      <w:r>
        <w:t>4</w:t>
      </w:r>
      <w:r w:rsidR="005E16EE">
        <w:t>.</w:t>
      </w:r>
      <w:r w:rsidR="004F4761">
        <w:t>2</w:t>
      </w:r>
      <w:r w:rsidR="005E16EE">
        <w:t xml:space="preserve">.2 Sufficient midwifery staff </w:t>
      </w:r>
    </w:p>
    <w:p w14:paraId="4DA3AF84" w14:textId="77777777" w:rsidR="00813A32" w:rsidRDefault="00813A32" w:rsidP="00813A32">
      <w:pPr>
        <w:pStyle w:val="Body"/>
      </w:pPr>
      <w:r>
        <w:t>The department is considering whether the Regulations should mandate a minimum number of midwives to be working in antenatal, delivery suites, and post-natal wards when patients are admitted.</w:t>
      </w:r>
    </w:p>
    <w:p w14:paraId="2DEDC173" w14:textId="1B469236" w:rsidR="005E16EE" w:rsidRDefault="005E16EE" w:rsidP="005E16EE">
      <w:pPr>
        <w:pStyle w:val="Body"/>
      </w:pPr>
      <w:r>
        <w:t xml:space="preserve">The department notes that many students and recent graduates have undertaken double </w:t>
      </w:r>
      <w:r w:rsidR="00A1589B">
        <w:t xml:space="preserve">nursing and midwifery </w:t>
      </w:r>
      <w:r>
        <w:t>degrees so this issue may be less important over time.</w:t>
      </w:r>
    </w:p>
    <w:p w14:paraId="537343EC" w14:textId="145CD9C0" w:rsidR="00BF4808" w:rsidRPr="00BF4808" w:rsidRDefault="00BF4808" w:rsidP="00672539">
      <w:pPr>
        <w:pStyle w:val="Body"/>
        <w:ind w:left="360"/>
      </w:pPr>
      <w:r w:rsidRPr="00672539">
        <w:rPr>
          <w:b/>
          <w:bCs/>
        </w:rPr>
        <w:t>Option 1</w:t>
      </w:r>
      <w:r>
        <w:t xml:space="preserve"> </w:t>
      </w:r>
      <w:r w:rsidRPr="00AD01BD">
        <w:t>–</w:t>
      </w:r>
      <w:r>
        <w:t xml:space="preserve"> status quo – </w:t>
      </w:r>
      <w:r w:rsidR="005255C1">
        <w:t xml:space="preserve">this would make no changes to the Regulations and </w:t>
      </w:r>
      <w:r w:rsidR="00014D0B">
        <w:t>the Regulations would not mandate minimum midwife-to-patient ratios.</w:t>
      </w:r>
    </w:p>
    <w:p w14:paraId="0054405A" w14:textId="62052811" w:rsidR="005E16EE" w:rsidRPr="001F614B" w:rsidRDefault="005E16EE" w:rsidP="00672539">
      <w:pPr>
        <w:pStyle w:val="Body"/>
        <w:ind w:left="360"/>
      </w:pPr>
      <w:r w:rsidRPr="00672539">
        <w:rPr>
          <w:b/>
          <w:bCs/>
        </w:rPr>
        <w:t xml:space="preserve">Option </w:t>
      </w:r>
      <w:r w:rsidR="00EA1501">
        <w:rPr>
          <w:b/>
          <w:bCs/>
        </w:rPr>
        <w:t>2</w:t>
      </w:r>
      <w:r>
        <w:t xml:space="preserve"> </w:t>
      </w:r>
      <w:r w:rsidR="00C123CB" w:rsidRPr="00AD01BD">
        <w:t>–</w:t>
      </w:r>
      <w:r>
        <w:t xml:space="preserve"> </w:t>
      </w:r>
      <w:r w:rsidRPr="001F614B">
        <w:t>Insert a minimum requirement of 2 midwives for every 3 patients in birthing suites</w:t>
      </w:r>
      <w:r w:rsidRPr="00BB0733">
        <w:rPr>
          <w:rFonts w:cs="Arial"/>
          <w:szCs w:val="21"/>
        </w:rPr>
        <w:t>.</w:t>
      </w:r>
    </w:p>
    <w:p w14:paraId="3B357C9C" w14:textId="581F9169" w:rsidR="005E16EE" w:rsidRPr="001F614B" w:rsidRDefault="005E16EE" w:rsidP="00672539">
      <w:pPr>
        <w:pStyle w:val="Body"/>
        <w:ind w:left="360"/>
      </w:pPr>
      <w:r w:rsidRPr="00672539">
        <w:rPr>
          <w:b/>
          <w:bCs/>
        </w:rPr>
        <w:t xml:space="preserve">Option </w:t>
      </w:r>
      <w:r w:rsidR="00EA1501">
        <w:rPr>
          <w:b/>
          <w:bCs/>
        </w:rPr>
        <w:t>3</w:t>
      </w:r>
      <w:r>
        <w:t xml:space="preserve"> </w:t>
      </w:r>
      <w:r w:rsidR="00C123CB" w:rsidRPr="00AD01BD">
        <w:t>–</w:t>
      </w:r>
      <w:r>
        <w:t xml:space="preserve"> </w:t>
      </w:r>
      <w:r w:rsidRPr="001F614B">
        <w:t>Require hospitals that provide maternity services to ensure there is at least 1 midwife on the ward whenever there is a maternity patient admitted and at least 1 midwife working in the birthing suites when a birth is in progress. The actual staffing arrangements must be detailed through clinical governance policies.</w:t>
      </w:r>
    </w:p>
    <w:p w14:paraId="50EC442E" w14:textId="1F533D53" w:rsidR="00D3770C" w:rsidRDefault="00E04154" w:rsidP="00D3770C">
      <w:pPr>
        <w:pStyle w:val="Body"/>
      </w:pPr>
      <w:r>
        <w:t>The department notes that t</w:t>
      </w:r>
      <w:r w:rsidR="00C26A82">
        <w:t xml:space="preserve">he preferred option </w:t>
      </w:r>
      <w:r w:rsidR="008308DB">
        <w:t xml:space="preserve">for sufficient </w:t>
      </w:r>
      <w:r w:rsidR="00645D20">
        <w:t>m</w:t>
      </w:r>
      <w:r w:rsidR="008308DB">
        <w:t xml:space="preserve">idwifery staff </w:t>
      </w:r>
      <w:r w:rsidR="00D3770C">
        <w:t xml:space="preserve">is likely to align with the </w:t>
      </w:r>
      <w:r w:rsidR="001C4D64">
        <w:t xml:space="preserve">equivalent </w:t>
      </w:r>
      <w:r w:rsidR="00D3770C">
        <w:t xml:space="preserve">option </w:t>
      </w:r>
      <w:r w:rsidR="00260645">
        <w:t xml:space="preserve">for </w:t>
      </w:r>
      <w:r w:rsidR="00D3770C">
        <w:t>sufficient nursing staff in the above section.</w:t>
      </w:r>
    </w:p>
    <w:p w14:paraId="0DFA4431" w14:textId="75993056" w:rsidR="005E16EE" w:rsidRDefault="002E73FE" w:rsidP="005E16EE">
      <w:pPr>
        <w:pStyle w:val="Heading3"/>
      </w:pPr>
      <w:r>
        <w:t>4</w:t>
      </w:r>
      <w:r w:rsidR="005E16EE">
        <w:t>.</w:t>
      </w:r>
      <w:r w:rsidR="004F4761">
        <w:t>2</w:t>
      </w:r>
      <w:r w:rsidR="005E16EE">
        <w:t xml:space="preserve">.3 Sufficient </w:t>
      </w:r>
      <w:r w:rsidR="00AD01BD">
        <w:t>c</w:t>
      </w:r>
      <w:r w:rsidR="005E16EE">
        <w:t xml:space="preserve">ritical </w:t>
      </w:r>
      <w:r w:rsidR="00AD01BD">
        <w:t>c</w:t>
      </w:r>
      <w:r w:rsidR="005E16EE">
        <w:t xml:space="preserve">are </w:t>
      </w:r>
      <w:r w:rsidR="00AD01BD">
        <w:t>r</w:t>
      </w:r>
      <w:r w:rsidR="005E16EE">
        <w:t xml:space="preserve">egistered </w:t>
      </w:r>
      <w:r w:rsidR="00AD01BD">
        <w:t>n</w:t>
      </w:r>
      <w:r w:rsidR="005E16EE">
        <w:t>urses</w:t>
      </w:r>
    </w:p>
    <w:p w14:paraId="5516D3A8" w14:textId="782948CA" w:rsidR="005E16EE" w:rsidRDefault="00397B11" w:rsidP="00336276">
      <w:pPr>
        <w:pStyle w:val="Body"/>
      </w:pPr>
      <w:r>
        <w:t xml:space="preserve">The department understands that some </w:t>
      </w:r>
      <w:r w:rsidR="005E16EE">
        <w:t xml:space="preserve">nurses </w:t>
      </w:r>
      <w:r>
        <w:t xml:space="preserve">have raised concerns </w:t>
      </w:r>
      <w:r w:rsidR="005E16EE">
        <w:t xml:space="preserve">that </w:t>
      </w:r>
      <w:r w:rsidR="00894FA6">
        <w:t xml:space="preserve">some </w:t>
      </w:r>
      <w:r w:rsidR="005E16EE">
        <w:t xml:space="preserve">facilities </w:t>
      </w:r>
      <w:r w:rsidR="0034729F">
        <w:t>may</w:t>
      </w:r>
      <w:r w:rsidR="005E16EE">
        <w:t xml:space="preserve"> not </w:t>
      </w:r>
      <w:r w:rsidR="0034729F">
        <w:t xml:space="preserve">be </w:t>
      </w:r>
      <w:r w:rsidR="005E16EE">
        <w:t xml:space="preserve">employing </w:t>
      </w:r>
      <w:r w:rsidR="009F427C">
        <w:t>enough</w:t>
      </w:r>
      <w:r w:rsidR="005E16EE">
        <w:t xml:space="preserve"> </w:t>
      </w:r>
      <w:r w:rsidR="00AD01BD">
        <w:t>c</w:t>
      </w:r>
      <w:r w:rsidR="005E16EE">
        <w:t xml:space="preserve">ritical </w:t>
      </w:r>
      <w:r w:rsidR="00AD01BD">
        <w:t>c</w:t>
      </w:r>
      <w:r w:rsidR="005E16EE">
        <w:t xml:space="preserve">are </w:t>
      </w:r>
      <w:r w:rsidR="00AD01BD">
        <w:t>r</w:t>
      </w:r>
      <w:r w:rsidR="005E16EE">
        <w:t xml:space="preserve">egistered </w:t>
      </w:r>
      <w:r w:rsidR="00AD01BD">
        <w:t>n</w:t>
      </w:r>
      <w:r w:rsidR="005E16EE">
        <w:t xml:space="preserve">urses (CCRNs) for the type and acuity of the patients being treated. </w:t>
      </w:r>
    </w:p>
    <w:p w14:paraId="67C2B549" w14:textId="101675EB" w:rsidR="005E16EE" w:rsidRDefault="005E16EE" w:rsidP="00336276">
      <w:pPr>
        <w:pStyle w:val="Body"/>
      </w:pPr>
      <w:r>
        <w:t xml:space="preserve">Therefore, the department </w:t>
      </w:r>
      <w:r w:rsidR="00A8590D">
        <w:t xml:space="preserve">is considering whether the Regulations should be amended so that </w:t>
      </w:r>
      <w:r>
        <w:t xml:space="preserve">the number and deployment </w:t>
      </w:r>
      <w:r w:rsidR="00AD01BD">
        <w:t xml:space="preserve">of </w:t>
      </w:r>
      <w:r>
        <w:t xml:space="preserve">CCRNs </w:t>
      </w:r>
      <w:r w:rsidR="00351FBC">
        <w:t xml:space="preserve">must </w:t>
      </w:r>
      <w:r>
        <w:t>be included in clinical governance policies and procedures of</w:t>
      </w:r>
      <w:r w:rsidR="00351FBC">
        <w:t xml:space="preserve"> private hospitals</w:t>
      </w:r>
      <w:r>
        <w:t xml:space="preserve">, and </w:t>
      </w:r>
      <w:r w:rsidR="00351FBC">
        <w:t xml:space="preserve">that </w:t>
      </w:r>
      <w:r>
        <w:t>they be linked to the type and acuity of patient</w:t>
      </w:r>
      <w:r w:rsidR="00142A33">
        <w:t>s receiving health services</w:t>
      </w:r>
      <w:r>
        <w:t xml:space="preserve">. </w:t>
      </w:r>
    </w:p>
    <w:p w14:paraId="02A17D26" w14:textId="77777777" w:rsidR="00780CA5" w:rsidRDefault="00780CA5" w:rsidP="005E16EE">
      <w:pPr>
        <w:pStyle w:val="Body"/>
      </w:pPr>
    </w:p>
    <w:tbl>
      <w:tblPr>
        <w:tblStyle w:val="TableGrid"/>
        <w:tblW w:w="5000" w:type="pct"/>
        <w:shd w:val="clear" w:color="auto" w:fill="F2F2F2" w:themeFill="background1" w:themeFillShade="F2"/>
        <w:tblLook w:val="06A0" w:firstRow="1" w:lastRow="0" w:firstColumn="1" w:lastColumn="0" w:noHBand="1" w:noVBand="1"/>
      </w:tblPr>
      <w:tblGrid>
        <w:gridCol w:w="9268"/>
      </w:tblGrid>
      <w:tr w:rsidR="00892798" w14:paraId="02E2ACF0" w14:textId="77777777" w:rsidTr="16DD06A3">
        <w:trPr>
          <w:tblHeader/>
        </w:trPr>
        <w:tc>
          <w:tcPr>
            <w:tcW w:w="5000" w:type="pct"/>
            <w:tcBorders>
              <w:top w:val="single" w:sz="12" w:space="0" w:color="auto"/>
              <w:left w:val="single" w:sz="12" w:space="0" w:color="auto"/>
              <w:bottom w:val="nil"/>
              <w:right w:val="single" w:sz="12" w:space="0" w:color="auto"/>
            </w:tcBorders>
            <w:shd w:val="clear" w:color="auto" w:fill="F2F2F2" w:themeFill="background1" w:themeFillShade="F2"/>
          </w:tcPr>
          <w:p w14:paraId="5798257A" w14:textId="77777777" w:rsidR="00892798" w:rsidRPr="00CB3285" w:rsidRDefault="00892798">
            <w:pPr>
              <w:pStyle w:val="Tablecolhead"/>
            </w:pPr>
            <w:r>
              <w:t>Questions for consultation</w:t>
            </w:r>
          </w:p>
        </w:tc>
      </w:tr>
      <w:tr w:rsidR="00892798" w14:paraId="61B7D166" w14:textId="77777777" w:rsidTr="16DD06A3">
        <w:tc>
          <w:tcPr>
            <w:tcW w:w="5000" w:type="pct"/>
            <w:tcBorders>
              <w:top w:val="nil"/>
              <w:left w:val="single" w:sz="12" w:space="0" w:color="auto"/>
              <w:bottom w:val="single" w:sz="12" w:space="0" w:color="auto"/>
              <w:right w:val="single" w:sz="12" w:space="0" w:color="auto"/>
            </w:tcBorders>
            <w:shd w:val="clear" w:color="auto" w:fill="F2F2F2" w:themeFill="background1" w:themeFillShade="F2"/>
          </w:tcPr>
          <w:p w14:paraId="713FAF04" w14:textId="47C0FF13" w:rsidR="00892798" w:rsidRPr="00780CA5" w:rsidRDefault="000D3422" w:rsidP="00C123CB">
            <w:pPr>
              <w:spacing w:before="120"/>
              <w:rPr>
                <w:rFonts w:cs="Arial"/>
                <w:szCs w:val="21"/>
                <w:u w:val="single"/>
              </w:rPr>
            </w:pPr>
            <w:r w:rsidRPr="00780CA5">
              <w:rPr>
                <w:rFonts w:cs="Arial"/>
                <w:szCs w:val="21"/>
                <w:u w:val="single"/>
              </w:rPr>
              <w:t>Sufficient nursing staff</w:t>
            </w:r>
            <w:r w:rsidR="00644D1C" w:rsidRPr="00780CA5">
              <w:rPr>
                <w:rFonts w:cs="Arial"/>
                <w:szCs w:val="21"/>
                <w:u w:val="single"/>
              </w:rPr>
              <w:t xml:space="preserve"> for private hospitals</w:t>
            </w:r>
          </w:p>
          <w:p w14:paraId="2AD4FDFE" w14:textId="629367CF" w:rsidR="00B223CF" w:rsidRPr="00780CA5" w:rsidRDefault="00B223CF" w:rsidP="00C132C8">
            <w:pPr>
              <w:pStyle w:val="ListParagraph"/>
              <w:numPr>
                <w:ilvl w:val="0"/>
                <w:numId w:val="11"/>
              </w:numPr>
              <w:spacing w:after="120" w:line="280" w:lineRule="atLeast"/>
              <w:contextualSpacing w:val="0"/>
              <w:rPr>
                <w:rFonts w:ascii="Arial" w:hAnsi="Arial" w:cs="Arial"/>
                <w:sz w:val="21"/>
                <w:szCs w:val="21"/>
              </w:rPr>
            </w:pPr>
            <w:r w:rsidRPr="00780CA5">
              <w:rPr>
                <w:rFonts w:ascii="Arial" w:hAnsi="Arial" w:cs="Arial"/>
                <w:sz w:val="21"/>
                <w:szCs w:val="21"/>
              </w:rPr>
              <w:t xml:space="preserve">In relation to the </w:t>
            </w:r>
            <w:r w:rsidR="009415DC" w:rsidRPr="00780CA5">
              <w:rPr>
                <w:rFonts w:ascii="Arial" w:hAnsi="Arial" w:cs="Arial"/>
                <w:sz w:val="21"/>
                <w:szCs w:val="21"/>
              </w:rPr>
              <w:t xml:space="preserve">minimum nurse-to-patient ratios, </w:t>
            </w:r>
            <w:r w:rsidRPr="00780CA5">
              <w:rPr>
                <w:rFonts w:ascii="Arial" w:hAnsi="Arial" w:cs="Arial"/>
                <w:sz w:val="21"/>
                <w:szCs w:val="21"/>
              </w:rPr>
              <w:t>which of the below options do you support and why:</w:t>
            </w:r>
          </w:p>
          <w:p w14:paraId="53E599D4" w14:textId="77777777" w:rsidR="009415DC" w:rsidRPr="00780CA5" w:rsidRDefault="00B223CF" w:rsidP="00E267DC">
            <w:pPr>
              <w:ind w:left="720"/>
              <w:rPr>
                <w:rFonts w:cs="Arial"/>
                <w:szCs w:val="21"/>
              </w:rPr>
            </w:pPr>
            <w:r w:rsidRPr="00E267DC">
              <w:rPr>
                <w:rFonts w:cs="Arial"/>
                <w:b/>
                <w:szCs w:val="21"/>
              </w:rPr>
              <w:lastRenderedPageBreak/>
              <w:t>Option 1</w:t>
            </w:r>
            <w:r w:rsidRPr="00780CA5">
              <w:rPr>
                <w:rFonts w:cs="Arial"/>
                <w:szCs w:val="21"/>
              </w:rPr>
              <w:t xml:space="preserve"> – maintain the status quo </w:t>
            </w:r>
            <w:r w:rsidRPr="00780CA5">
              <w:rPr>
                <w:rFonts w:cs="Arial"/>
                <w:szCs w:val="21"/>
              </w:rPr>
              <w:softHyphen/>
              <w:t xml:space="preserve">– </w:t>
            </w:r>
            <w:r w:rsidR="009415DC" w:rsidRPr="00780CA5">
              <w:rPr>
                <w:rFonts w:cs="Arial"/>
                <w:szCs w:val="21"/>
              </w:rPr>
              <w:t xml:space="preserve">no changes to the current minimum nurse-to-patient ratios required by the Regulations. </w:t>
            </w:r>
          </w:p>
          <w:p w14:paraId="4820BA89" w14:textId="17A0E70F" w:rsidR="00B223CF" w:rsidRPr="00780CA5" w:rsidRDefault="009415DC" w:rsidP="00E267DC">
            <w:pPr>
              <w:ind w:left="720"/>
              <w:rPr>
                <w:rFonts w:cs="Arial"/>
                <w:szCs w:val="21"/>
              </w:rPr>
            </w:pPr>
            <w:r w:rsidRPr="00E267DC">
              <w:rPr>
                <w:rFonts w:cs="Arial"/>
                <w:b/>
                <w:szCs w:val="21"/>
              </w:rPr>
              <w:t>Option 2</w:t>
            </w:r>
            <w:r w:rsidRPr="00696085">
              <w:rPr>
                <w:rFonts w:cs="Arial"/>
                <w:szCs w:val="21"/>
              </w:rPr>
              <w:t xml:space="preserve"> – </w:t>
            </w:r>
            <w:r w:rsidR="00E321FB" w:rsidRPr="00696085">
              <w:rPr>
                <w:rFonts w:cs="Arial"/>
                <w:szCs w:val="21"/>
              </w:rPr>
              <w:t>increas</w:t>
            </w:r>
            <w:r w:rsidR="00BA2F8C" w:rsidRPr="00696085">
              <w:rPr>
                <w:rFonts w:cs="Arial"/>
                <w:szCs w:val="21"/>
              </w:rPr>
              <w:t>e</w:t>
            </w:r>
            <w:r w:rsidR="00E321FB" w:rsidRPr="00696085">
              <w:rPr>
                <w:rFonts w:cs="Arial"/>
                <w:szCs w:val="21"/>
              </w:rPr>
              <w:t xml:space="preserve"> the general minimum nurse-to-patient ratios required by the Regulations for private hospitals, </w:t>
            </w:r>
            <w:r w:rsidR="008A65D8" w:rsidRPr="00696085">
              <w:rPr>
                <w:rFonts w:cs="Arial"/>
                <w:szCs w:val="21"/>
              </w:rPr>
              <w:t>and introduc</w:t>
            </w:r>
            <w:r w:rsidR="00BA2F8C" w:rsidRPr="00696085">
              <w:rPr>
                <w:rFonts w:cs="Arial"/>
                <w:szCs w:val="21"/>
              </w:rPr>
              <w:t>e</w:t>
            </w:r>
            <w:r w:rsidR="008A65D8" w:rsidRPr="00696085">
              <w:rPr>
                <w:rFonts w:cs="Arial"/>
                <w:szCs w:val="21"/>
              </w:rPr>
              <w:t xml:space="preserve"> minimum nurse-to-patient ratios for </w:t>
            </w:r>
            <w:r w:rsidR="00227115" w:rsidRPr="00696085">
              <w:rPr>
                <w:rFonts w:cs="Arial"/>
                <w:szCs w:val="21"/>
              </w:rPr>
              <w:t>high dependency units, intensive care units</w:t>
            </w:r>
            <w:r w:rsidR="00A75172">
              <w:rPr>
                <w:rFonts w:cs="Arial"/>
                <w:szCs w:val="21"/>
              </w:rPr>
              <w:t xml:space="preserve"> and</w:t>
            </w:r>
            <w:r w:rsidR="00A75172" w:rsidRPr="00696085">
              <w:rPr>
                <w:rFonts w:cs="Arial"/>
                <w:szCs w:val="21"/>
              </w:rPr>
              <w:t xml:space="preserve"> </w:t>
            </w:r>
            <w:r w:rsidR="00227115" w:rsidRPr="00696085">
              <w:rPr>
                <w:rFonts w:cs="Arial"/>
                <w:szCs w:val="21"/>
              </w:rPr>
              <w:t xml:space="preserve">emergency </w:t>
            </w:r>
            <w:r w:rsidR="00A75172" w:rsidRPr="00696085">
              <w:rPr>
                <w:rFonts w:cs="Arial"/>
                <w:szCs w:val="21"/>
              </w:rPr>
              <w:t>department</w:t>
            </w:r>
            <w:r w:rsidR="008C4EC7">
              <w:rPr>
                <w:rFonts w:cs="Arial"/>
                <w:szCs w:val="21"/>
              </w:rPr>
              <w:t>s.</w:t>
            </w:r>
            <w:r w:rsidR="00A75172" w:rsidRPr="00696085">
              <w:rPr>
                <w:rFonts w:cs="Arial"/>
                <w:szCs w:val="21"/>
              </w:rPr>
              <w:t xml:space="preserve"> </w:t>
            </w:r>
          </w:p>
          <w:p w14:paraId="08D58C95" w14:textId="48B68240" w:rsidR="00E15554" w:rsidRPr="00780CA5" w:rsidRDefault="00B223CF" w:rsidP="00E267DC">
            <w:pPr>
              <w:ind w:left="720"/>
              <w:rPr>
                <w:rFonts w:cs="Arial"/>
                <w:szCs w:val="21"/>
              </w:rPr>
            </w:pPr>
            <w:r w:rsidRPr="00E267DC">
              <w:rPr>
                <w:rFonts w:cs="Arial"/>
                <w:b/>
                <w:szCs w:val="21"/>
              </w:rPr>
              <w:t xml:space="preserve">Option </w:t>
            </w:r>
            <w:r w:rsidR="00301127" w:rsidRPr="00E267DC">
              <w:rPr>
                <w:rFonts w:cs="Arial"/>
                <w:b/>
                <w:szCs w:val="21"/>
              </w:rPr>
              <w:t>3</w:t>
            </w:r>
            <w:r w:rsidRPr="00696085">
              <w:rPr>
                <w:rFonts w:cs="Arial"/>
                <w:szCs w:val="21"/>
              </w:rPr>
              <w:t xml:space="preserve"> </w:t>
            </w:r>
            <w:r w:rsidRPr="00696085">
              <w:rPr>
                <w:rFonts w:cs="Arial"/>
                <w:szCs w:val="21"/>
              </w:rPr>
              <w:softHyphen/>
              <w:t xml:space="preserve">– amend the Regulations to require </w:t>
            </w:r>
            <w:r w:rsidR="00E15554" w:rsidRPr="00696085">
              <w:rPr>
                <w:rFonts w:cs="Arial"/>
                <w:szCs w:val="21"/>
              </w:rPr>
              <w:t>that the clinical governance policies and procedures of a facility must set out staffing arrangements</w:t>
            </w:r>
            <w:r w:rsidR="009F427C" w:rsidRPr="00696085">
              <w:rPr>
                <w:rFonts w:cs="Arial"/>
                <w:szCs w:val="21"/>
              </w:rPr>
              <w:t>, including nurse-to-patient ratios,</w:t>
            </w:r>
            <w:r w:rsidR="00D227D2" w:rsidRPr="00696085">
              <w:rPr>
                <w:rFonts w:cs="Arial"/>
                <w:szCs w:val="21"/>
              </w:rPr>
              <w:t xml:space="preserve"> for</w:t>
            </w:r>
            <w:r w:rsidR="00BA2F8C" w:rsidRPr="00696085">
              <w:rPr>
                <w:rFonts w:cs="Arial"/>
                <w:szCs w:val="21"/>
              </w:rPr>
              <w:t xml:space="preserve"> high dependency units,</w:t>
            </w:r>
            <w:r w:rsidR="00D227D2" w:rsidRPr="00696085">
              <w:rPr>
                <w:rFonts w:cs="Arial"/>
                <w:szCs w:val="21"/>
              </w:rPr>
              <w:t xml:space="preserve"> </w:t>
            </w:r>
            <w:r w:rsidR="00BA2F8C" w:rsidRPr="00696085">
              <w:rPr>
                <w:rFonts w:cs="Arial"/>
                <w:szCs w:val="21"/>
              </w:rPr>
              <w:t xml:space="preserve">intensive care units and </w:t>
            </w:r>
            <w:r w:rsidR="00D227D2" w:rsidRPr="00696085">
              <w:rPr>
                <w:rFonts w:cs="Arial"/>
                <w:szCs w:val="21"/>
              </w:rPr>
              <w:t>emergency departments,</w:t>
            </w:r>
            <w:r w:rsidR="00436059" w:rsidRPr="00696085">
              <w:rPr>
                <w:rFonts w:cs="Arial"/>
                <w:szCs w:val="21"/>
              </w:rPr>
              <w:t xml:space="preserve"> with</w:t>
            </w:r>
            <w:r w:rsidR="00E15554" w:rsidRPr="00780CA5">
              <w:rPr>
                <w:rFonts w:cs="Arial"/>
                <w:szCs w:val="21"/>
              </w:rPr>
              <w:t xml:space="preserve"> </w:t>
            </w:r>
            <w:r w:rsidR="00D7477B" w:rsidRPr="00780CA5">
              <w:rPr>
                <w:rFonts w:cs="Arial"/>
                <w:szCs w:val="21"/>
              </w:rPr>
              <w:t>minimum nurse-to-patient ratios</w:t>
            </w:r>
            <w:r w:rsidR="00D7477B" w:rsidRPr="00780CA5" w:rsidDel="00E15554">
              <w:rPr>
                <w:rFonts w:cs="Arial"/>
                <w:szCs w:val="21"/>
              </w:rPr>
              <w:t xml:space="preserve"> </w:t>
            </w:r>
            <w:r w:rsidR="00D7477B" w:rsidRPr="00780CA5">
              <w:rPr>
                <w:rFonts w:cs="Arial"/>
                <w:szCs w:val="21"/>
              </w:rPr>
              <w:t>for the other wards</w:t>
            </w:r>
            <w:r w:rsidR="009F427C" w:rsidRPr="00780CA5">
              <w:rPr>
                <w:rFonts w:cs="Arial"/>
                <w:szCs w:val="21"/>
              </w:rPr>
              <w:t xml:space="preserve"> specified in the Regulations</w:t>
            </w:r>
            <w:r w:rsidR="00D7477B" w:rsidRPr="00780CA5">
              <w:rPr>
                <w:rFonts w:cs="Arial"/>
                <w:szCs w:val="21"/>
              </w:rPr>
              <w:t>.</w:t>
            </w:r>
          </w:p>
          <w:p w14:paraId="799B5A9B" w14:textId="2488F49D" w:rsidR="00671B2B" w:rsidRPr="00780CA5" w:rsidRDefault="00671B2B" w:rsidP="16DD06A3">
            <w:pPr>
              <w:ind w:left="720"/>
              <w:rPr>
                <w:rFonts w:cs="Arial"/>
              </w:rPr>
            </w:pPr>
            <w:r w:rsidRPr="16DD06A3">
              <w:rPr>
                <w:rFonts w:cs="Arial"/>
                <w:b/>
                <w:bCs/>
              </w:rPr>
              <w:t xml:space="preserve">Option 4 </w:t>
            </w:r>
            <w:r w:rsidRPr="16DD06A3">
              <w:rPr>
                <w:rFonts w:cs="Arial"/>
              </w:rPr>
              <w:t xml:space="preserve">– amend the Regulations </w:t>
            </w:r>
            <w:r w:rsidR="00A41996" w:rsidRPr="16DD06A3">
              <w:rPr>
                <w:rFonts w:cs="Arial"/>
              </w:rPr>
              <w:t xml:space="preserve">to </w:t>
            </w:r>
            <w:r w:rsidRPr="16DD06A3">
              <w:rPr>
                <w:rFonts w:cs="Arial"/>
              </w:rPr>
              <w:t>require that the clinical governance policies and procedures of a facility must set out all staffing arrangements, including minimum nurse-to-patient ratios.</w:t>
            </w:r>
            <w:r w:rsidR="009F427C" w:rsidRPr="16DD06A3">
              <w:rPr>
                <w:rFonts w:cs="Arial"/>
              </w:rPr>
              <w:t xml:space="preserve"> Current nurse-to-patient ratios in the Regulations would be removed.</w:t>
            </w:r>
          </w:p>
          <w:p w14:paraId="19E15694" w14:textId="77777777" w:rsidR="000D3422" w:rsidRPr="00780CA5" w:rsidRDefault="000D3422" w:rsidP="00C123CB">
            <w:pPr>
              <w:spacing w:before="240"/>
              <w:rPr>
                <w:rFonts w:cs="Arial"/>
                <w:szCs w:val="21"/>
                <w:u w:val="single"/>
              </w:rPr>
            </w:pPr>
            <w:r w:rsidRPr="00780CA5">
              <w:rPr>
                <w:rFonts w:cs="Arial"/>
                <w:szCs w:val="21"/>
                <w:u w:val="single"/>
              </w:rPr>
              <w:t>Sufficient midwifery staff</w:t>
            </w:r>
          </w:p>
          <w:p w14:paraId="645147C9" w14:textId="1AD31C90" w:rsidR="00D62841" w:rsidRPr="00780CA5" w:rsidRDefault="004D56AB" w:rsidP="00C132C8">
            <w:pPr>
              <w:pStyle w:val="ListParagraph"/>
              <w:numPr>
                <w:ilvl w:val="0"/>
                <w:numId w:val="11"/>
              </w:numPr>
              <w:spacing w:after="120" w:line="280" w:lineRule="atLeast"/>
              <w:contextualSpacing w:val="0"/>
              <w:rPr>
                <w:rFonts w:ascii="Arial" w:hAnsi="Arial" w:cs="Arial"/>
                <w:sz w:val="21"/>
                <w:szCs w:val="21"/>
                <w:u w:val="single"/>
              </w:rPr>
            </w:pPr>
            <w:r w:rsidRPr="00780CA5">
              <w:rPr>
                <w:rFonts w:ascii="Arial" w:hAnsi="Arial" w:cs="Arial"/>
                <w:sz w:val="21"/>
                <w:szCs w:val="21"/>
              </w:rPr>
              <w:t>In relation to</w:t>
            </w:r>
            <w:r w:rsidR="006263F4" w:rsidRPr="00780CA5">
              <w:rPr>
                <w:rFonts w:ascii="Arial" w:hAnsi="Arial" w:cs="Arial"/>
                <w:sz w:val="21"/>
                <w:szCs w:val="21"/>
              </w:rPr>
              <w:t xml:space="preserve"> the</w:t>
            </w:r>
            <w:r w:rsidR="00AD01BD">
              <w:rPr>
                <w:rFonts w:ascii="Arial" w:hAnsi="Arial" w:cs="Arial"/>
                <w:sz w:val="21"/>
                <w:szCs w:val="21"/>
              </w:rPr>
              <w:t xml:space="preserve"> </w:t>
            </w:r>
            <w:r w:rsidR="006263F4" w:rsidRPr="00780CA5">
              <w:rPr>
                <w:rFonts w:ascii="Arial" w:hAnsi="Arial" w:cs="Arial"/>
                <w:sz w:val="21"/>
                <w:szCs w:val="21"/>
              </w:rPr>
              <w:t>minimum number of midwives to be working in antenatal, delivery suites, and post-natal wards when patients are admitted</w:t>
            </w:r>
            <w:r w:rsidR="003A4181" w:rsidRPr="00780CA5">
              <w:rPr>
                <w:rFonts w:ascii="Arial" w:hAnsi="Arial" w:cs="Arial"/>
                <w:sz w:val="21"/>
                <w:szCs w:val="21"/>
              </w:rPr>
              <w:t>, which of the below options do you support and why:</w:t>
            </w:r>
          </w:p>
          <w:p w14:paraId="3CBFE4FC" w14:textId="4D1F9D4E" w:rsidR="00D808A4" w:rsidRPr="00780CA5" w:rsidRDefault="00D808A4" w:rsidP="00E267DC">
            <w:pPr>
              <w:pStyle w:val="Body"/>
              <w:ind w:left="720"/>
              <w:rPr>
                <w:rFonts w:cs="Arial"/>
                <w:szCs w:val="21"/>
              </w:rPr>
            </w:pPr>
            <w:r w:rsidRPr="00E267DC">
              <w:rPr>
                <w:rFonts w:cs="Arial"/>
                <w:b/>
                <w:szCs w:val="21"/>
              </w:rPr>
              <w:t>Option 1</w:t>
            </w:r>
            <w:r w:rsidRPr="00780CA5">
              <w:rPr>
                <w:rFonts w:cs="Arial"/>
                <w:szCs w:val="21"/>
              </w:rPr>
              <w:t xml:space="preserve"> – </w:t>
            </w:r>
            <w:r w:rsidR="00AB0634" w:rsidRPr="00780CA5">
              <w:rPr>
                <w:rFonts w:cs="Arial"/>
                <w:szCs w:val="21"/>
              </w:rPr>
              <w:t xml:space="preserve">maintain the </w:t>
            </w:r>
            <w:r w:rsidRPr="00780CA5">
              <w:rPr>
                <w:rFonts w:cs="Arial"/>
                <w:szCs w:val="21"/>
              </w:rPr>
              <w:t>status quo – no changes to the Regulations and the Regulations would not mandate minimum midwife-to-patient ratios.</w:t>
            </w:r>
          </w:p>
          <w:p w14:paraId="28C068FF" w14:textId="03A231A3" w:rsidR="00D808A4" w:rsidRPr="00780CA5" w:rsidRDefault="00D808A4" w:rsidP="00E267DC">
            <w:pPr>
              <w:pStyle w:val="Body"/>
              <w:ind w:left="720"/>
              <w:rPr>
                <w:rFonts w:cs="Arial"/>
                <w:szCs w:val="21"/>
              </w:rPr>
            </w:pPr>
            <w:r w:rsidRPr="00E267DC">
              <w:rPr>
                <w:rFonts w:cs="Arial"/>
                <w:b/>
                <w:szCs w:val="21"/>
              </w:rPr>
              <w:t>Option 2</w:t>
            </w:r>
            <w:r w:rsidRPr="00780CA5">
              <w:rPr>
                <w:rFonts w:cs="Arial"/>
                <w:szCs w:val="21"/>
              </w:rPr>
              <w:t xml:space="preserve"> </w:t>
            </w:r>
            <w:r w:rsidR="00067A30" w:rsidRPr="00780CA5">
              <w:rPr>
                <w:rFonts w:cs="Arial"/>
                <w:szCs w:val="21"/>
              </w:rPr>
              <w:t>–</w:t>
            </w:r>
            <w:r w:rsidRPr="00780CA5">
              <w:rPr>
                <w:rFonts w:cs="Arial"/>
                <w:szCs w:val="21"/>
              </w:rPr>
              <w:t xml:space="preserve"> </w:t>
            </w:r>
            <w:r w:rsidR="00067A30" w:rsidRPr="00780CA5">
              <w:rPr>
                <w:rFonts w:cs="Arial"/>
                <w:szCs w:val="21"/>
              </w:rPr>
              <w:t>amend the Regulations to in</w:t>
            </w:r>
            <w:r w:rsidRPr="00780CA5">
              <w:rPr>
                <w:rFonts w:cs="Arial"/>
                <w:szCs w:val="21"/>
              </w:rPr>
              <w:t>sert a minimum requirement of 2 midwives for every 3 patients in birthing suites.</w:t>
            </w:r>
          </w:p>
          <w:p w14:paraId="7888C31E" w14:textId="2FFB8B78" w:rsidR="00D808A4" w:rsidRPr="00780CA5" w:rsidRDefault="00D808A4" w:rsidP="00E267DC">
            <w:pPr>
              <w:pStyle w:val="Body"/>
              <w:ind w:left="720"/>
              <w:rPr>
                <w:rFonts w:cs="Arial"/>
                <w:szCs w:val="21"/>
              </w:rPr>
            </w:pPr>
            <w:r w:rsidRPr="00E267DC">
              <w:rPr>
                <w:rFonts w:cs="Arial"/>
                <w:b/>
                <w:szCs w:val="21"/>
              </w:rPr>
              <w:t>Option 3</w:t>
            </w:r>
            <w:r w:rsidRPr="00780CA5">
              <w:rPr>
                <w:rFonts w:cs="Arial"/>
                <w:szCs w:val="21"/>
              </w:rPr>
              <w:t xml:space="preserve"> </w:t>
            </w:r>
            <w:r w:rsidR="00102157" w:rsidRPr="00780CA5">
              <w:rPr>
                <w:rFonts w:cs="Arial"/>
                <w:szCs w:val="21"/>
              </w:rPr>
              <w:t>–</w:t>
            </w:r>
            <w:r w:rsidRPr="00780CA5">
              <w:rPr>
                <w:rFonts w:cs="Arial"/>
                <w:szCs w:val="21"/>
              </w:rPr>
              <w:t xml:space="preserve"> </w:t>
            </w:r>
            <w:r w:rsidR="00102157" w:rsidRPr="00780CA5">
              <w:rPr>
                <w:rFonts w:cs="Arial"/>
                <w:szCs w:val="21"/>
              </w:rPr>
              <w:t>amend the Regulations to r</w:t>
            </w:r>
            <w:r w:rsidRPr="00780CA5">
              <w:rPr>
                <w:rFonts w:cs="Arial"/>
                <w:szCs w:val="21"/>
              </w:rPr>
              <w:t>equire hospitals that provide maternity services to ensure there is a</w:t>
            </w:r>
            <w:r w:rsidR="004D0A06" w:rsidRPr="00780CA5">
              <w:rPr>
                <w:rFonts w:cs="Arial"/>
                <w:szCs w:val="21"/>
              </w:rPr>
              <w:t>t</w:t>
            </w:r>
            <w:r w:rsidRPr="00780CA5">
              <w:rPr>
                <w:rFonts w:cs="Arial"/>
                <w:szCs w:val="21"/>
              </w:rPr>
              <w:t xml:space="preserve"> least 1 midwife on the ward whenever there is a maternity patient admitted </w:t>
            </w:r>
            <w:r w:rsidR="004D0A06" w:rsidRPr="00780CA5">
              <w:rPr>
                <w:rFonts w:cs="Arial"/>
                <w:szCs w:val="21"/>
              </w:rPr>
              <w:t>or</w:t>
            </w:r>
            <w:r w:rsidRPr="00780CA5">
              <w:rPr>
                <w:rFonts w:cs="Arial"/>
                <w:szCs w:val="21"/>
              </w:rPr>
              <w:t xml:space="preserve"> when a birth is in progress</w:t>
            </w:r>
            <w:r w:rsidR="00AD01BD">
              <w:rPr>
                <w:rFonts w:cs="Arial"/>
                <w:szCs w:val="21"/>
              </w:rPr>
              <w:t>,</w:t>
            </w:r>
            <w:r w:rsidR="006F0F43" w:rsidRPr="00780CA5">
              <w:rPr>
                <w:rFonts w:cs="Arial"/>
                <w:szCs w:val="21"/>
              </w:rPr>
              <w:t xml:space="preserve"> with the</w:t>
            </w:r>
            <w:r w:rsidRPr="00780CA5">
              <w:rPr>
                <w:rFonts w:cs="Arial"/>
                <w:szCs w:val="21"/>
              </w:rPr>
              <w:t xml:space="preserve"> staffing arrangements </w:t>
            </w:r>
            <w:r w:rsidR="006F0F43" w:rsidRPr="00780CA5">
              <w:rPr>
                <w:rFonts w:cs="Arial"/>
                <w:szCs w:val="21"/>
              </w:rPr>
              <w:t>further</w:t>
            </w:r>
            <w:r w:rsidRPr="00780CA5">
              <w:rPr>
                <w:rFonts w:cs="Arial"/>
                <w:szCs w:val="21"/>
              </w:rPr>
              <w:t xml:space="preserve"> detailed through clinical governance policies.</w:t>
            </w:r>
          </w:p>
          <w:p w14:paraId="358A449B" w14:textId="45962902" w:rsidR="005C2D16" w:rsidRPr="00780CA5" w:rsidRDefault="005C2D16" w:rsidP="00C123CB">
            <w:pPr>
              <w:spacing w:before="240"/>
              <w:rPr>
                <w:rFonts w:cs="Arial"/>
                <w:szCs w:val="21"/>
                <w:u w:val="single"/>
              </w:rPr>
            </w:pPr>
            <w:r w:rsidRPr="00780CA5">
              <w:rPr>
                <w:rFonts w:cs="Arial"/>
                <w:szCs w:val="21"/>
                <w:u w:val="single"/>
              </w:rPr>
              <w:t>Sufficient critical care registered nurses</w:t>
            </w:r>
          </w:p>
          <w:p w14:paraId="5CA669E4" w14:textId="442FBFE8" w:rsidR="00FD27B6" w:rsidRPr="00780CA5" w:rsidRDefault="006F4953" w:rsidP="00C132C8">
            <w:pPr>
              <w:pStyle w:val="ListParagraph"/>
              <w:numPr>
                <w:ilvl w:val="0"/>
                <w:numId w:val="11"/>
              </w:numPr>
              <w:rPr>
                <w:rFonts w:ascii="Arial" w:hAnsi="Arial" w:cs="Arial"/>
                <w:sz w:val="21"/>
                <w:szCs w:val="21"/>
              </w:rPr>
            </w:pPr>
            <w:r w:rsidRPr="00780CA5">
              <w:rPr>
                <w:rFonts w:ascii="Arial" w:hAnsi="Arial" w:cs="Arial"/>
                <w:sz w:val="21"/>
                <w:szCs w:val="21"/>
              </w:rPr>
              <w:t xml:space="preserve">Do you </w:t>
            </w:r>
            <w:r w:rsidR="008C6A4A" w:rsidRPr="00780CA5">
              <w:rPr>
                <w:rFonts w:ascii="Arial" w:hAnsi="Arial" w:cs="Arial"/>
                <w:sz w:val="21"/>
                <w:szCs w:val="21"/>
              </w:rPr>
              <w:t xml:space="preserve">support </w:t>
            </w:r>
            <w:r w:rsidR="009333EF" w:rsidRPr="00780CA5">
              <w:rPr>
                <w:rFonts w:ascii="Arial" w:hAnsi="Arial" w:cs="Arial"/>
                <w:sz w:val="21"/>
                <w:szCs w:val="21"/>
              </w:rPr>
              <w:t xml:space="preserve">requiring </w:t>
            </w:r>
            <w:r w:rsidR="004F284B" w:rsidRPr="00780CA5">
              <w:rPr>
                <w:rFonts w:ascii="Arial" w:hAnsi="Arial" w:cs="Arial"/>
                <w:sz w:val="21"/>
                <w:szCs w:val="21"/>
              </w:rPr>
              <w:t>that</w:t>
            </w:r>
            <w:r w:rsidR="009333EF" w:rsidRPr="00780CA5">
              <w:rPr>
                <w:rFonts w:ascii="Arial" w:hAnsi="Arial" w:cs="Arial"/>
                <w:sz w:val="21"/>
                <w:szCs w:val="21"/>
              </w:rPr>
              <w:t xml:space="preserve"> the</w:t>
            </w:r>
            <w:r w:rsidRPr="00780CA5">
              <w:rPr>
                <w:rFonts w:ascii="Arial" w:hAnsi="Arial" w:cs="Arial"/>
                <w:sz w:val="21"/>
                <w:szCs w:val="21"/>
              </w:rPr>
              <w:t xml:space="preserve"> number and deployment of CCRNs</w:t>
            </w:r>
            <w:r w:rsidR="004F284B" w:rsidRPr="00780CA5">
              <w:rPr>
                <w:rFonts w:ascii="Arial" w:hAnsi="Arial" w:cs="Arial"/>
                <w:sz w:val="21"/>
                <w:szCs w:val="21"/>
              </w:rPr>
              <w:t>,</w:t>
            </w:r>
            <w:r w:rsidRPr="00780CA5">
              <w:rPr>
                <w:rFonts w:ascii="Arial" w:hAnsi="Arial" w:cs="Arial"/>
                <w:sz w:val="21"/>
                <w:szCs w:val="21"/>
              </w:rPr>
              <w:t xml:space="preserve"> </w:t>
            </w:r>
            <w:r w:rsidR="004F284B" w:rsidRPr="00780CA5">
              <w:rPr>
                <w:rFonts w:ascii="Arial" w:hAnsi="Arial" w:cs="Arial"/>
                <w:sz w:val="21"/>
                <w:szCs w:val="21"/>
              </w:rPr>
              <w:t>linked to the type and acuity of patients receiving health services,</w:t>
            </w:r>
            <w:r w:rsidRPr="00780CA5">
              <w:rPr>
                <w:rFonts w:ascii="Arial" w:hAnsi="Arial" w:cs="Arial"/>
                <w:sz w:val="21"/>
                <w:szCs w:val="21"/>
              </w:rPr>
              <w:t xml:space="preserve"> must be included in clinical governance policies and procedures of private hospitals</w:t>
            </w:r>
            <w:r w:rsidR="004F284B" w:rsidRPr="00780CA5">
              <w:rPr>
                <w:rFonts w:ascii="Arial" w:hAnsi="Arial" w:cs="Arial"/>
                <w:sz w:val="21"/>
                <w:szCs w:val="21"/>
              </w:rPr>
              <w:t>?</w:t>
            </w:r>
          </w:p>
          <w:p w14:paraId="0684B1BC" w14:textId="0183AFD6" w:rsidR="00644D1C" w:rsidRPr="00780CA5" w:rsidRDefault="00644D1C" w:rsidP="00644D1C">
            <w:pPr>
              <w:rPr>
                <w:rFonts w:cs="Arial"/>
                <w:szCs w:val="21"/>
                <w:u w:val="single"/>
              </w:rPr>
            </w:pPr>
            <w:r w:rsidRPr="00780CA5">
              <w:rPr>
                <w:rFonts w:cs="Arial"/>
                <w:szCs w:val="21"/>
                <w:u w:val="single"/>
              </w:rPr>
              <w:t xml:space="preserve">Sufficient nursing staff for </w:t>
            </w:r>
            <w:r w:rsidR="00C26F5D">
              <w:rPr>
                <w:rFonts w:cs="Arial"/>
                <w:szCs w:val="21"/>
                <w:u w:val="single"/>
              </w:rPr>
              <w:t>day procedure centres</w:t>
            </w:r>
          </w:p>
          <w:p w14:paraId="0CE90029" w14:textId="7ED9F905" w:rsidR="000D3422" w:rsidRPr="000D3422" w:rsidRDefault="00644D1C" w:rsidP="00C132C8">
            <w:pPr>
              <w:pStyle w:val="ListParagraph"/>
              <w:numPr>
                <w:ilvl w:val="0"/>
                <w:numId w:val="11"/>
              </w:numPr>
              <w:rPr>
                <w:u w:val="single"/>
              </w:rPr>
            </w:pPr>
            <w:r w:rsidRPr="00780CA5">
              <w:rPr>
                <w:rFonts w:ascii="Arial" w:hAnsi="Arial" w:cs="Arial"/>
                <w:sz w:val="21"/>
                <w:szCs w:val="21"/>
              </w:rPr>
              <w:t xml:space="preserve">Do you think the current </w:t>
            </w:r>
            <w:r w:rsidR="002C3FF9">
              <w:rPr>
                <w:rFonts w:ascii="Arial" w:hAnsi="Arial" w:cs="Arial"/>
                <w:sz w:val="21"/>
                <w:szCs w:val="21"/>
              </w:rPr>
              <w:t xml:space="preserve">nurse-patient </w:t>
            </w:r>
            <w:r w:rsidRPr="00780CA5">
              <w:rPr>
                <w:rFonts w:ascii="Arial" w:hAnsi="Arial" w:cs="Arial"/>
                <w:sz w:val="21"/>
                <w:szCs w:val="21"/>
              </w:rPr>
              <w:t xml:space="preserve">ratios for </w:t>
            </w:r>
            <w:r w:rsidR="00C26F5D">
              <w:rPr>
                <w:rFonts w:ascii="Arial" w:hAnsi="Arial" w:cs="Arial"/>
                <w:sz w:val="21"/>
                <w:szCs w:val="21"/>
              </w:rPr>
              <w:t>day procedure centres</w:t>
            </w:r>
            <w:r w:rsidR="00C26F5D" w:rsidRPr="00780CA5">
              <w:rPr>
                <w:rFonts w:ascii="Arial" w:hAnsi="Arial" w:cs="Arial"/>
                <w:sz w:val="21"/>
                <w:szCs w:val="21"/>
              </w:rPr>
              <w:t xml:space="preserve"> </w:t>
            </w:r>
            <w:r w:rsidRPr="00780CA5">
              <w:rPr>
                <w:rFonts w:ascii="Arial" w:hAnsi="Arial" w:cs="Arial"/>
                <w:sz w:val="21"/>
                <w:szCs w:val="21"/>
              </w:rPr>
              <w:t xml:space="preserve">in the Regulations are fit for purpose? If not, why not? </w:t>
            </w:r>
          </w:p>
        </w:tc>
      </w:tr>
    </w:tbl>
    <w:p w14:paraId="421018FB" w14:textId="3909EC92" w:rsidR="00B73208" w:rsidRPr="00C16139" w:rsidRDefault="00B73208" w:rsidP="00B73208">
      <w:pPr>
        <w:pStyle w:val="Heading3"/>
        <w:rPr>
          <w:b/>
          <w:bCs w:val="0"/>
          <w:sz w:val="32"/>
          <w:szCs w:val="32"/>
        </w:rPr>
      </w:pPr>
      <w:r w:rsidRPr="00C16139">
        <w:rPr>
          <w:b/>
          <w:bCs w:val="0"/>
          <w:sz w:val="32"/>
          <w:szCs w:val="32"/>
        </w:rPr>
        <w:lastRenderedPageBreak/>
        <w:t xml:space="preserve">4.3 </w:t>
      </w:r>
      <w:r w:rsidR="00CB7853">
        <w:rPr>
          <w:b/>
          <w:bCs w:val="0"/>
          <w:sz w:val="32"/>
          <w:szCs w:val="32"/>
        </w:rPr>
        <w:t>O</w:t>
      </w:r>
      <w:r w:rsidRPr="00C16139">
        <w:rPr>
          <w:b/>
          <w:bCs w:val="0"/>
          <w:sz w:val="32"/>
          <w:szCs w:val="32"/>
        </w:rPr>
        <w:t xml:space="preserve">vernight clinical staff </w:t>
      </w:r>
    </w:p>
    <w:p w14:paraId="7E9B2188" w14:textId="45DF1A10" w:rsidR="00B73208" w:rsidRDefault="00B73208" w:rsidP="00B73208">
      <w:pPr>
        <w:pStyle w:val="Body"/>
      </w:pPr>
      <w:r>
        <w:t>The department understands that some private hospitals do not employ or engage medical practitioners to work overnight at hospitals where patients are kept overnight. If a medical practitioner is required</w:t>
      </w:r>
      <w:r w:rsidR="002C3FF9">
        <w:t>,</w:t>
      </w:r>
      <w:r>
        <w:t xml:space="preserve"> either the individual patient’s consultant must be contacted or the hospital must have its own arrangements with medical practitioners.</w:t>
      </w:r>
    </w:p>
    <w:p w14:paraId="20626222" w14:textId="4C32FFC2" w:rsidR="00B73208" w:rsidRDefault="00C26F5D" w:rsidP="00B73208">
      <w:pPr>
        <w:pStyle w:val="Body"/>
      </w:pPr>
      <w:r>
        <w:lastRenderedPageBreak/>
        <w:t>It is understood that l</w:t>
      </w:r>
      <w:r w:rsidR="00B73208">
        <w:t xml:space="preserve">arger hospitals with 24-hour </w:t>
      </w:r>
      <w:r w:rsidR="002C3FF9">
        <w:t>E</w:t>
      </w:r>
      <w:r w:rsidR="00B73208">
        <w:t xml:space="preserve">mergency </w:t>
      </w:r>
      <w:r w:rsidR="002C3FF9">
        <w:t>D</w:t>
      </w:r>
      <w:r w:rsidR="00B73208">
        <w:t>epartments (ED</w:t>
      </w:r>
      <w:r w:rsidR="002C3FF9">
        <w:t>s</w:t>
      </w:r>
      <w:r w:rsidR="00B73208">
        <w:t>) or Intensive Care Units (ICUs) have medical practitioners on-site in the ED and ICU but that does not mean they will be available for ward patients when needed as they may be dealing with an emergency.</w:t>
      </w:r>
    </w:p>
    <w:p w14:paraId="1D4A64E1" w14:textId="6C025B1B" w:rsidR="004C06F4" w:rsidRDefault="004C06F4" w:rsidP="004C06F4">
      <w:pPr>
        <w:pStyle w:val="Body"/>
      </w:pPr>
      <w:r>
        <w:t xml:space="preserve">This situation may pose a potential safety risk for patients as there could be time delays in contacting an external medical practitioner outside business hours, particularly overnight. This may have </w:t>
      </w:r>
      <w:r w:rsidR="00EA04FF">
        <w:t>particular</w:t>
      </w:r>
      <w:r>
        <w:t xml:space="preserve"> implications for a rapidly deteriorating patient</w:t>
      </w:r>
      <w:r w:rsidR="007612D9">
        <w:t xml:space="preserve"> – for example</w:t>
      </w:r>
      <w:r w:rsidR="002C3FF9">
        <w:t>,</w:t>
      </w:r>
      <w:r>
        <w:t xml:space="preserve"> </w:t>
      </w:r>
      <w:r w:rsidR="007612D9">
        <w:t>smaller</w:t>
      </w:r>
      <w:r>
        <w:t xml:space="preserve"> hospitals may rely on triple zero to transfer out deteriorating patients</w:t>
      </w:r>
      <w:r w:rsidR="002C3FF9">
        <w:t>,</w:t>
      </w:r>
      <w:r>
        <w:t xml:space="preserve"> which may </w:t>
      </w:r>
      <w:r w:rsidR="007612D9">
        <w:t xml:space="preserve">delay </w:t>
      </w:r>
      <w:r w:rsidR="006B5754">
        <w:t>necessary</w:t>
      </w:r>
      <w:r>
        <w:t xml:space="preserve"> treatment. </w:t>
      </w:r>
    </w:p>
    <w:p w14:paraId="795B7269" w14:textId="7866FB53" w:rsidR="00B73208" w:rsidRDefault="006B5754" w:rsidP="00B73208">
      <w:pPr>
        <w:pStyle w:val="Body"/>
      </w:pPr>
      <w:r>
        <w:t>Further, the department is aware there may be concerns about information asymmetry in relation to these arrangements. P</w:t>
      </w:r>
      <w:r w:rsidR="00B73208">
        <w:t xml:space="preserve">atients may </w:t>
      </w:r>
      <w:r>
        <w:t xml:space="preserve">choose a private hospital </w:t>
      </w:r>
      <w:r w:rsidR="00442503">
        <w:t>in the mistaken belief that there is a medical practitioner on</w:t>
      </w:r>
      <w:r w:rsidR="002C3FF9">
        <w:t>-</w:t>
      </w:r>
      <w:r w:rsidR="00442503">
        <w:t xml:space="preserve">site </w:t>
      </w:r>
      <w:r w:rsidR="00614460">
        <w:t xml:space="preserve">after hours as in </w:t>
      </w:r>
      <w:r w:rsidR="009C7C96">
        <w:t xml:space="preserve">most </w:t>
      </w:r>
      <w:r w:rsidR="00614460">
        <w:t>large public hospitals</w:t>
      </w:r>
      <w:r>
        <w:t>.</w:t>
      </w:r>
    </w:p>
    <w:p w14:paraId="1426821C" w14:textId="0D4F12D3" w:rsidR="00B73208" w:rsidRDefault="00B73208" w:rsidP="00B73208">
      <w:pPr>
        <w:pStyle w:val="Body"/>
      </w:pPr>
      <w:r>
        <w:t xml:space="preserve">The department is considering whether the Regulations should be amended </w:t>
      </w:r>
      <w:r w:rsidR="00A93D62">
        <w:t xml:space="preserve">to </w:t>
      </w:r>
      <w:r w:rsidR="00FD7FCF">
        <w:t>address a</w:t>
      </w:r>
      <w:r w:rsidR="001D3131">
        <w:t>ny risk to patients</w:t>
      </w:r>
      <w:r w:rsidR="00A93D62">
        <w:t xml:space="preserve">. For example, </w:t>
      </w:r>
      <w:r w:rsidR="00B6118F">
        <w:t>if appropriate to establish foundational regulatory standards for patient safety, the Regulations could require that all</w:t>
      </w:r>
      <w:r>
        <w:t xml:space="preserve"> overnight hospitals are required to have a medical practitioner or nurse practitioner on-site 24 hours a day, separately from persons engaged to work in a private hospital’s </w:t>
      </w:r>
      <w:r w:rsidR="002C3FF9">
        <w:t>ED</w:t>
      </w:r>
      <w:r>
        <w:t xml:space="preserve"> or</w:t>
      </w:r>
      <w:r w:rsidR="002C3FF9">
        <w:t xml:space="preserve"> ICU</w:t>
      </w:r>
      <w:r>
        <w:t>.</w:t>
      </w:r>
    </w:p>
    <w:p w14:paraId="13A04400" w14:textId="77777777" w:rsidR="00C123CB" w:rsidRDefault="00C123CB" w:rsidP="00B73208">
      <w:pPr>
        <w:pStyle w:val="Body"/>
      </w:pPr>
    </w:p>
    <w:tbl>
      <w:tblPr>
        <w:tblStyle w:val="TableGrid"/>
        <w:tblW w:w="5000" w:type="pct"/>
        <w:shd w:val="clear" w:color="auto" w:fill="F2F2F2" w:themeFill="background1" w:themeFillShade="F2"/>
        <w:tblLook w:val="06A0" w:firstRow="1" w:lastRow="0" w:firstColumn="1" w:lastColumn="0" w:noHBand="1" w:noVBand="1"/>
      </w:tblPr>
      <w:tblGrid>
        <w:gridCol w:w="9268"/>
      </w:tblGrid>
      <w:tr w:rsidR="00B73208" w:rsidRPr="00CB3285" w14:paraId="58CD5458" w14:textId="77777777">
        <w:trPr>
          <w:tblHeader/>
        </w:trPr>
        <w:tc>
          <w:tcPr>
            <w:tcW w:w="5000" w:type="pct"/>
            <w:tcBorders>
              <w:top w:val="single" w:sz="12" w:space="0" w:color="auto"/>
              <w:left w:val="single" w:sz="12" w:space="0" w:color="auto"/>
              <w:bottom w:val="nil"/>
              <w:right w:val="single" w:sz="12" w:space="0" w:color="auto"/>
            </w:tcBorders>
            <w:shd w:val="clear" w:color="auto" w:fill="F2F2F2" w:themeFill="background1" w:themeFillShade="F2"/>
          </w:tcPr>
          <w:p w14:paraId="6CBAE418" w14:textId="77777777" w:rsidR="00B73208" w:rsidRPr="00CB3285" w:rsidRDefault="00B73208">
            <w:pPr>
              <w:pStyle w:val="Tablecolhead"/>
            </w:pPr>
            <w:r>
              <w:t>Questions for consultation</w:t>
            </w:r>
          </w:p>
        </w:tc>
      </w:tr>
      <w:tr w:rsidR="00B73208" w:rsidRPr="000D3422" w14:paraId="0648AFF4" w14:textId="77777777">
        <w:tc>
          <w:tcPr>
            <w:tcW w:w="5000" w:type="pct"/>
            <w:tcBorders>
              <w:top w:val="nil"/>
              <w:left w:val="single" w:sz="12" w:space="0" w:color="auto"/>
              <w:bottom w:val="single" w:sz="12" w:space="0" w:color="auto"/>
              <w:right w:val="single" w:sz="12" w:space="0" w:color="auto"/>
            </w:tcBorders>
            <w:shd w:val="clear" w:color="auto" w:fill="F2F2F2" w:themeFill="background1" w:themeFillShade="F2"/>
          </w:tcPr>
          <w:p w14:paraId="4E4D0430" w14:textId="77777777" w:rsidR="00B73208" w:rsidRPr="00780CA5" w:rsidRDefault="00B73208" w:rsidP="00C123CB">
            <w:pPr>
              <w:spacing w:before="120"/>
              <w:rPr>
                <w:rFonts w:cs="Arial"/>
                <w:szCs w:val="21"/>
                <w:u w:val="single"/>
              </w:rPr>
            </w:pPr>
            <w:r w:rsidRPr="00780CA5">
              <w:rPr>
                <w:rFonts w:cs="Arial"/>
                <w:szCs w:val="21"/>
                <w:u w:val="single"/>
              </w:rPr>
              <w:t>Sufficient overnight clinical staff</w:t>
            </w:r>
          </w:p>
          <w:p w14:paraId="21098BE6" w14:textId="59B03805" w:rsidR="00B73208" w:rsidRPr="000D3422" w:rsidRDefault="00B73208" w:rsidP="00C132C8">
            <w:pPr>
              <w:pStyle w:val="ListParagraph"/>
              <w:numPr>
                <w:ilvl w:val="0"/>
                <w:numId w:val="11"/>
              </w:numPr>
              <w:rPr>
                <w:u w:val="single"/>
              </w:rPr>
            </w:pPr>
            <w:r w:rsidRPr="00780CA5">
              <w:rPr>
                <w:rFonts w:ascii="Arial" w:hAnsi="Arial" w:cs="Arial"/>
                <w:sz w:val="21"/>
                <w:szCs w:val="21"/>
              </w:rPr>
              <w:t>Do you support amendments to the Regulations requiring</w:t>
            </w:r>
            <w:r>
              <w:rPr>
                <w:rFonts w:ascii="Arial" w:hAnsi="Arial" w:cs="Arial"/>
                <w:sz w:val="21"/>
                <w:szCs w:val="21"/>
              </w:rPr>
              <w:t xml:space="preserve"> </w:t>
            </w:r>
            <w:r w:rsidRPr="00780CA5">
              <w:rPr>
                <w:rFonts w:ascii="Arial" w:hAnsi="Arial" w:cs="Arial"/>
                <w:sz w:val="21"/>
                <w:szCs w:val="21"/>
              </w:rPr>
              <w:t>that all overnight hospitals must have a medical practitioner or nurse practitioner on-site 24 hours a day, separately from persons engaged to work in a private hospital’s Emergency Department</w:t>
            </w:r>
            <w:r w:rsidR="002C3FF9">
              <w:rPr>
                <w:rFonts w:ascii="Arial" w:hAnsi="Arial" w:cs="Arial"/>
                <w:sz w:val="21"/>
                <w:szCs w:val="21"/>
              </w:rPr>
              <w:t xml:space="preserve"> or Intensive Care Unit</w:t>
            </w:r>
            <w:r w:rsidRPr="00780CA5">
              <w:rPr>
                <w:rFonts w:ascii="Arial" w:hAnsi="Arial" w:cs="Arial"/>
                <w:sz w:val="21"/>
                <w:szCs w:val="21"/>
              </w:rPr>
              <w:t xml:space="preserve">? </w:t>
            </w:r>
            <w:r w:rsidR="00FA4DE3">
              <w:rPr>
                <w:rFonts w:ascii="Arial" w:hAnsi="Arial" w:cs="Arial"/>
                <w:sz w:val="21"/>
                <w:szCs w:val="21"/>
              </w:rPr>
              <w:t xml:space="preserve">If so, why? If not, why not? </w:t>
            </w:r>
            <w:r w:rsidR="001D3131">
              <w:rPr>
                <w:rFonts w:ascii="Arial" w:hAnsi="Arial" w:cs="Arial"/>
                <w:sz w:val="21"/>
                <w:szCs w:val="21"/>
              </w:rPr>
              <w:t>If not, would you suggest including an alternative requirement in the Regulations</w:t>
            </w:r>
            <w:r w:rsidR="003C6E80">
              <w:rPr>
                <w:rFonts w:ascii="Arial" w:hAnsi="Arial" w:cs="Arial"/>
                <w:sz w:val="21"/>
                <w:szCs w:val="21"/>
              </w:rPr>
              <w:t xml:space="preserve"> to address any risk to patients</w:t>
            </w:r>
            <w:r w:rsidR="001D3131">
              <w:rPr>
                <w:rFonts w:ascii="Arial" w:hAnsi="Arial" w:cs="Arial"/>
                <w:sz w:val="21"/>
                <w:szCs w:val="21"/>
              </w:rPr>
              <w:t xml:space="preserve">? </w:t>
            </w:r>
          </w:p>
        </w:tc>
      </w:tr>
    </w:tbl>
    <w:p w14:paraId="73DF4BC8" w14:textId="0C12A8BE" w:rsidR="00311759" w:rsidRDefault="00311759" w:rsidP="004135CC">
      <w:pPr>
        <w:pStyle w:val="Body"/>
        <w:rPr>
          <w:rFonts w:eastAsia="MS Gothic" w:cs="Arial"/>
          <w:bCs/>
          <w:color w:val="C5511A"/>
          <w:kern w:val="32"/>
          <w:sz w:val="44"/>
          <w:szCs w:val="44"/>
        </w:rPr>
      </w:pPr>
      <w:r>
        <w:br w:type="page"/>
      </w:r>
    </w:p>
    <w:p w14:paraId="776A2A41" w14:textId="5DEE4664" w:rsidR="00194051" w:rsidRDefault="002E73FE" w:rsidP="005D3C16">
      <w:pPr>
        <w:pStyle w:val="Heading1"/>
      </w:pPr>
      <w:bookmarkStart w:id="87" w:name="_Toc143272022"/>
      <w:r>
        <w:lastRenderedPageBreak/>
        <w:t>5</w:t>
      </w:r>
      <w:r w:rsidR="005D3C16">
        <w:t xml:space="preserve">. </w:t>
      </w:r>
      <w:r w:rsidR="00F97BF5">
        <w:t>Pre-</w:t>
      </w:r>
      <w:r w:rsidR="00303BF7">
        <w:t>treatment</w:t>
      </w:r>
      <w:r w:rsidR="005D3C16">
        <w:t xml:space="preserve"> </w:t>
      </w:r>
      <w:r w:rsidR="00F97BF5">
        <w:t>clinical assessment</w:t>
      </w:r>
      <w:r w:rsidR="00F85A54">
        <w:t xml:space="preserve"> and discharge of patients</w:t>
      </w:r>
      <w:bookmarkEnd w:id="87"/>
    </w:p>
    <w:p w14:paraId="7898986B" w14:textId="3961F0AF" w:rsidR="00254DDB" w:rsidRDefault="002E73FE" w:rsidP="005B6B54">
      <w:pPr>
        <w:pStyle w:val="Heading2"/>
      </w:pPr>
      <w:bookmarkStart w:id="88" w:name="_Toc143272023"/>
      <w:r>
        <w:t>5</w:t>
      </w:r>
      <w:r w:rsidR="005B6B54" w:rsidRPr="005B6B54">
        <w:t>.1</w:t>
      </w:r>
      <w:r w:rsidR="00254DDB" w:rsidRPr="005B6B54">
        <w:t xml:space="preserve"> Pre-</w:t>
      </w:r>
      <w:r w:rsidR="001B0452">
        <w:t>treatment</w:t>
      </w:r>
      <w:r w:rsidR="00254DDB" w:rsidRPr="005B6B54">
        <w:t xml:space="preserve"> </w:t>
      </w:r>
      <w:r w:rsidR="00A25B3A">
        <w:t xml:space="preserve">clinical risk </w:t>
      </w:r>
      <w:r w:rsidR="00883274">
        <w:t>assessment</w:t>
      </w:r>
      <w:bookmarkEnd w:id="88"/>
    </w:p>
    <w:p w14:paraId="3D11D530" w14:textId="3D0056F5" w:rsidR="00883274" w:rsidRPr="00883274" w:rsidRDefault="00883274" w:rsidP="00883274">
      <w:pPr>
        <w:pStyle w:val="Body"/>
      </w:pPr>
      <w:r>
        <w:t xml:space="preserve">The Regulations currently require </w:t>
      </w:r>
      <w:r w:rsidR="008D5EE1">
        <w:t xml:space="preserve">registered day procedure centres and private hospitals to </w:t>
      </w:r>
      <w:r w:rsidR="00141167">
        <w:t>undertake</w:t>
      </w:r>
      <w:r w:rsidR="008D5EE1">
        <w:t xml:space="preserve"> </w:t>
      </w:r>
      <w:r w:rsidR="00141167">
        <w:t xml:space="preserve">and record in writing </w:t>
      </w:r>
      <w:r w:rsidR="0037472D">
        <w:t xml:space="preserve">the </w:t>
      </w:r>
      <w:r w:rsidR="0037472D" w:rsidRPr="00E267DC">
        <w:rPr>
          <w:i/>
        </w:rPr>
        <w:t>results</w:t>
      </w:r>
      <w:r w:rsidR="0037472D">
        <w:t xml:space="preserve"> of </w:t>
      </w:r>
      <w:r w:rsidR="00141167">
        <w:t>a pre-</w:t>
      </w:r>
      <w:r w:rsidR="00141167" w:rsidRPr="00E267DC">
        <w:rPr>
          <w:i/>
        </w:rPr>
        <w:t>admission</w:t>
      </w:r>
      <w:r w:rsidR="00141167">
        <w:t xml:space="preserve"> </w:t>
      </w:r>
      <w:r w:rsidR="00754FFE">
        <w:t>clinical</w:t>
      </w:r>
      <w:r w:rsidR="00141167">
        <w:t xml:space="preserve"> risk assessment </w:t>
      </w:r>
      <w:r w:rsidR="00754FFE">
        <w:t>for each patient (excluding emergency patients)</w:t>
      </w:r>
      <w:r w:rsidR="009639F5">
        <w:t xml:space="preserve"> admitted</w:t>
      </w:r>
      <w:r w:rsidR="00322B02">
        <w:t xml:space="preserve"> (r.20A).</w:t>
      </w:r>
      <w:r w:rsidR="00754FFE">
        <w:t xml:space="preserve"> </w:t>
      </w:r>
      <w:r w:rsidR="004A34CE">
        <w:t xml:space="preserve">Registered day procedure centres and private </w:t>
      </w:r>
      <w:r w:rsidR="00992EB2">
        <w:t>hospitals</w:t>
      </w:r>
      <w:r w:rsidR="004A34CE">
        <w:t xml:space="preserve"> are also required to </w:t>
      </w:r>
      <w:r w:rsidR="00992EB2">
        <w:t xml:space="preserve">have a </w:t>
      </w:r>
      <w:r w:rsidR="003C29D9">
        <w:t>procedure</w:t>
      </w:r>
      <w:r w:rsidR="00992EB2">
        <w:t xml:space="preserve"> for assessing </w:t>
      </w:r>
      <w:r w:rsidR="003C29D9">
        <w:t>the scope of practice of the</w:t>
      </w:r>
      <w:r w:rsidR="006F5F2A">
        <w:t xml:space="preserve"> relevant</w:t>
      </w:r>
      <w:r w:rsidR="003C29D9">
        <w:t xml:space="preserve"> registered health practitioner providing services to a patient. </w:t>
      </w:r>
      <w:r w:rsidR="004A34CE">
        <w:t>The purpose of</w:t>
      </w:r>
      <w:r w:rsidR="00025004">
        <w:t xml:space="preserve"> </w:t>
      </w:r>
      <w:r w:rsidR="004A34CE">
        <w:t>t</w:t>
      </w:r>
      <w:r w:rsidR="00FF21C9">
        <w:t>hese</w:t>
      </w:r>
      <w:r w:rsidR="004A34CE">
        <w:t xml:space="preserve"> requirement</w:t>
      </w:r>
      <w:r w:rsidR="00FF21C9">
        <w:t>s</w:t>
      </w:r>
      <w:r w:rsidR="004A34CE">
        <w:t xml:space="preserve"> is to ensure the quality and safety of health services being provided</w:t>
      </w:r>
      <w:r w:rsidR="00FF21C9">
        <w:t xml:space="preserve"> at the facility</w:t>
      </w:r>
      <w:r w:rsidR="004A34CE">
        <w:t xml:space="preserve">. </w:t>
      </w:r>
    </w:p>
    <w:p w14:paraId="036637EF" w14:textId="1AE26CB1" w:rsidR="00DB593C" w:rsidRPr="00DB593C" w:rsidRDefault="002E73FE" w:rsidP="00DD0A37">
      <w:pPr>
        <w:pStyle w:val="Heading3"/>
      </w:pPr>
      <w:r>
        <w:t>5</w:t>
      </w:r>
      <w:r w:rsidR="00DD0A37">
        <w:t>.1.1</w:t>
      </w:r>
      <w:r w:rsidR="00D8256E">
        <w:t xml:space="preserve"> </w:t>
      </w:r>
      <w:r w:rsidR="00DB593C">
        <w:t>Pre-</w:t>
      </w:r>
      <w:r w:rsidR="00726823">
        <w:t>treatment</w:t>
      </w:r>
      <w:r w:rsidR="00DB593C">
        <w:t xml:space="preserve"> assessment </w:t>
      </w:r>
      <w:r w:rsidR="007470C7">
        <w:t xml:space="preserve">of </w:t>
      </w:r>
      <w:r w:rsidR="00B43F5A">
        <w:t xml:space="preserve">non-admitted </w:t>
      </w:r>
      <w:r w:rsidR="007470C7">
        <w:t xml:space="preserve">patients </w:t>
      </w:r>
    </w:p>
    <w:p w14:paraId="0A5F1B69" w14:textId="147A8170" w:rsidR="007D670E" w:rsidRDefault="0031238A" w:rsidP="00E267DC">
      <w:pPr>
        <w:pStyle w:val="Body"/>
      </w:pPr>
      <w:r>
        <w:t xml:space="preserve">Patients can receive </w:t>
      </w:r>
      <w:r w:rsidR="00C435B0">
        <w:t xml:space="preserve">prescribed </w:t>
      </w:r>
      <w:r w:rsidR="00967278">
        <w:t>speciality</w:t>
      </w:r>
      <w:r w:rsidR="00C435B0">
        <w:t xml:space="preserve"> </w:t>
      </w:r>
      <w:r>
        <w:t>health services</w:t>
      </w:r>
      <w:r w:rsidR="00DF10BD">
        <w:t xml:space="preserve"> </w:t>
      </w:r>
      <w:r w:rsidR="00C013B1">
        <w:t xml:space="preserve">delivered by a </w:t>
      </w:r>
      <w:r w:rsidR="007D670E">
        <w:t xml:space="preserve">mobile health </w:t>
      </w:r>
      <w:r w:rsidR="00486437">
        <w:t>service provider</w:t>
      </w:r>
      <w:r w:rsidR="00625913">
        <w:t xml:space="preserve"> –</w:t>
      </w:r>
      <w:r w:rsidR="00164A46">
        <w:t xml:space="preserve"> typically </w:t>
      </w:r>
      <w:r w:rsidR="008F158E">
        <w:t>anaesthesia and IV sedation delivered by a m</w:t>
      </w:r>
      <w:r w:rsidR="008F158E" w:rsidRPr="006916FE">
        <w:t>o</w:t>
      </w:r>
      <w:r w:rsidR="008F158E" w:rsidRPr="00DF6FC6">
        <w:t xml:space="preserve">bile </w:t>
      </w:r>
      <w:r w:rsidR="008F158E">
        <w:t xml:space="preserve">anaesthetist. These mobile services are </w:t>
      </w:r>
      <w:r w:rsidR="005E0380">
        <w:t xml:space="preserve">delivered in </w:t>
      </w:r>
      <w:r w:rsidR="00AE2B3A">
        <w:t>settings</w:t>
      </w:r>
      <w:r w:rsidR="002E7A69">
        <w:t xml:space="preserve"> that are not a registered day procedure centre or private hospital</w:t>
      </w:r>
      <w:r w:rsidR="005E36BE">
        <w:t xml:space="preserve">, such as a dental </w:t>
      </w:r>
      <w:r w:rsidR="00FF291B">
        <w:t xml:space="preserve">or radiology </w:t>
      </w:r>
      <w:r w:rsidR="008B112D">
        <w:t>facility</w:t>
      </w:r>
      <w:r w:rsidR="00FF291B">
        <w:t xml:space="preserve">. </w:t>
      </w:r>
      <w:r w:rsidR="00C52B35">
        <w:t>In these situation</w:t>
      </w:r>
      <w:r w:rsidR="007E56C8">
        <w:t>s</w:t>
      </w:r>
      <w:r w:rsidR="00C52B35">
        <w:t>, patients are not ‘admitted’</w:t>
      </w:r>
      <w:r w:rsidR="00164A46">
        <w:t>.</w:t>
      </w:r>
      <w:r w:rsidR="001C37BC">
        <w:t xml:space="preserve"> As a result</w:t>
      </w:r>
      <w:r w:rsidR="00D02CBF">
        <w:t>,</w:t>
      </w:r>
      <w:r w:rsidR="001C37BC">
        <w:t xml:space="preserve"> </w:t>
      </w:r>
      <w:r w:rsidR="00577BCA">
        <w:t xml:space="preserve">the </w:t>
      </w:r>
      <w:r w:rsidR="00966A5B">
        <w:t>requirement</w:t>
      </w:r>
      <w:r w:rsidR="007D670E">
        <w:t xml:space="preserve"> </w:t>
      </w:r>
      <w:r w:rsidR="00164A46" w:rsidRPr="006916FE">
        <w:t>to do a pre-</w:t>
      </w:r>
      <w:r w:rsidR="00164A46" w:rsidRPr="00E267DC">
        <w:rPr>
          <w:i/>
          <w:iCs/>
        </w:rPr>
        <w:t>admission</w:t>
      </w:r>
      <w:r w:rsidR="00164A46" w:rsidRPr="006916FE">
        <w:t xml:space="preserve"> clinical risk assessment </w:t>
      </w:r>
      <w:r w:rsidR="00164A46" w:rsidRPr="001C37BC">
        <w:t>under</w:t>
      </w:r>
      <w:r w:rsidR="001C37BC" w:rsidRPr="001C37BC">
        <w:t xml:space="preserve"> </w:t>
      </w:r>
      <w:r w:rsidR="002C3FF9">
        <w:t>r.</w:t>
      </w:r>
      <w:r w:rsidR="00B35B6C" w:rsidRPr="001C37BC">
        <w:t>20A</w:t>
      </w:r>
      <w:r w:rsidR="00D87452">
        <w:t xml:space="preserve"> does not apply</w:t>
      </w:r>
      <w:r w:rsidR="001C37BC" w:rsidRPr="00F3005D">
        <w:t xml:space="preserve">. </w:t>
      </w:r>
      <w:r w:rsidR="00210B26">
        <w:t>T</w:t>
      </w:r>
      <w:r w:rsidR="00B33CC1">
        <w:t>he department understands that in practice</w:t>
      </w:r>
      <w:r w:rsidR="005938BC">
        <w:t>,</w:t>
      </w:r>
      <w:r w:rsidR="00B33CC1">
        <w:t xml:space="preserve"> mobile an</w:t>
      </w:r>
      <w:r w:rsidR="006A4910">
        <w:t>aesthetists conduct a pre-</w:t>
      </w:r>
      <w:r w:rsidR="008573E9">
        <w:t>treatment</w:t>
      </w:r>
      <w:r w:rsidR="006A4910">
        <w:t xml:space="preserve"> assessment as it is an essential component of best clinical practice. </w:t>
      </w:r>
    </w:p>
    <w:p w14:paraId="511465B2" w14:textId="624AE226" w:rsidR="001A551A" w:rsidRDefault="007D670E" w:rsidP="00E267DC">
      <w:pPr>
        <w:pStyle w:val="Body"/>
      </w:pPr>
      <w:r>
        <w:rPr>
          <w:bCs/>
        </w:rPr>
        <w:t xml:space="preserve">The department is considering </w:t>
      </w:r>
      <w:r w:rsidR="00F3005D" w:rsidRPr="00F3005D">
        <w:rPr>
          <w:bCs/>
        </w:rPr>
        <w:t>a</w:t>
      </w:r>
      <w:r w:rsidR="00B35B6C" w:rsidRPr="00F3005D">
        <w:rPr>
          <w:bCs/>
        </w:rPr>
        <w:t>mend</w:t>
      </w:r>
      <w:r w:rsidR="00AA6F4A">
        <w:rPr>
          <w:bCs/>
        </w:rPr>
        <w:t>ing the Regulations</w:t>
      </w:r>
      <w:r w:rsidR="00B35B6C" w:rsidRPr="00F3005D">
        <w:rPr>
          <w:bCs/>
        </w:rPr>
        <w:t xml:space="preserve"> </w:t>
      </w:r>
      <w:r w:rsidR="00B35B6C" w:rsidRPr="006916FE">
        <w:t xml:space="preserve">to require non-admitted patients receiving </w:t>
      </w:r>
      <w:r w:rsidR="00967278">
        <w:t>speciality</w:t>
      </w:r>
      <w:r w:rsidR="000A5887">
        <w:t xml:space="preserve"> health services</w:t>
      </w:r>
      <w:r w:rsidR="00B35B6C" w:rsidRPr="006916FE">
        <w:t xml:space="preserve"> </w:t>
      </w:r>
      <w:r w:rsidR="00AA6F4A">
        <w:t xml:space="preserve">from a mobile </w:t>
      </w:r>
      <w:r w:rsidR="000A5887">
        <w:t>health service provider</w:t>
      </w:r>
      <w:r w:rsidR="00136C7D">
        <w:t xml:space="preserve"> </w:t>
      </w:r>
      <w:r w:rsidR="00B35B6C" w:rsidRPr="006916FE">
        <w:t>to undergo a pre-</w:t>
      </w:r>
      <w:r w:rsidR="00963187">
        <w:t>treatment</w:t>
      </w:r>
      <w:r w:rsidR="00221DCA">
        <w:t xml:space="preserve"> </w:t>
      </w:r>
      <w:r w:rsidR="00B35B6C" w:rsidRPr="006916FE">
        <w:t>clinical risk assessment</w:t>
      </w:r>
      <w:r w:rsidR="00B35B6C">
        <w:t xml:space="preserve"> by the mobile </w:t>
      </w:r>
      <w:r w:rsidR="000A5887">
        <w:t>service provider</w:t>
      </w:r>
      <w:r w:rsidR="00994F44">
        <w:t>.</w:t>
      </w:r>
      <w:r w:rsidR="000F4E0A">
        <w:t xml:space="preserve"> </w:t>
      </w:r>
      <w:r w:rsidR="00DA274E">
        <w:t>(</w:t>
      </w:r>
      <w:r w:rsidR="00994F44">
        <w:t>S</w:t>
      </w:r>
      <w:r w:rsidR="00DA274E">
        <w:t>ee</w:t>
      </w:r>
      <w:r w:rsidR="00994F44">
        <w:t xml:space="preserve"> below for</w:t>
      </w:r>
      <w:r w:rsidR="00CA56B3">
        <w:t xml:space="preserve"> </w:t>
      </w:r>
      <w:r w:rsidR="006E7400">
        <w:t>the department’s proposal</w:t>
      </w:r>
      <w:r w:rsidR="004F018B">
        <w:t xml:space="preserve"> </w:t>
      </w:r>
      <w:r w:rsidR="0058505A">
        <w:t xml:space="preserve">on </w:t>
      </w:r>
      <w:r w:rsidR="00CA56B3">
        <w:t xml:space="preserve">who can </w:t>
      </w:r>
      <w:r w:rsidR="00D85F10">
        <w:t>review and finalise</w:t>
      </w:r>
      <w:r w:rsidR="00CA56B3">
        <w:t xml:space="preserve"> risk assessments</w:t>
      </w:r>
      <w:r w:rsidR="00D22B2A">
        <w:t>)</w:t>
      </w:r>
      <w:r w:rsidR="00B35B6C" w:rsidRPr="006916FE">
        <w:t>.</w:t>
      </w:r>
      <w:r w:rsidR="00F3005D">
        <w:t xml:space="preserve"> This change will enhance patient safety by applying the same minimum standard irrespective of whether a patient is admitted.</w:t>
      </w:r>
    </w:p>
    <w:p w14:paraId="344C04E5" w14:textId="69B3E431" w:rsidR="00D35764" w:rsidRPr="00DF6FC6" w:rsidRDefault="002E73FE" w:rsidP="00855C21">
      <w:pPr>
        <w:pStyle w:val="Heading3"/>
      </w:pPr>
      <w:r>
        <w:t>5</w:t>
      </w:r>
      <w:r w:rsidR="00855C21">
        <w:t>.1.</w:t>
      </w:r>
      <w:r w:rsidR="0081576C">
        <w:t>2</w:t>
      </w:r>
      <w:r w:rsidR="00855C21">
        <w:t xml:space="preserve"> Staff who </w:t>
      </w:r>
      <w:r w:rsidR="00AD41F3">
        <w:t>can</w:t>
      </w:r>
      <w:r w:rsidR="00855C21">
        <w:t xml:space="preserve"> undertake </w:t>
      </w:r>
      <w:r w:rsidR="00AD41F3">
        <w:t>a</w:t>
      </w:r>
      <w:r w:rsidR="00855C21">
        <w:t xml:space="preserve"> pre-admission </w:t>
      </w:r>
      <w:r w:rsidR="007B1718">
        <w:t xml:space="preserve">clinical </w:t>
      </w:r>
      <w:r w:rsidR="00855C21">
        <w:t>assessment</w:t>
      </w:r>
    </w:p>
    <w:p w14:paraId="75A3B435" w14:textId="00DE5F77" w:rsidR="00B35B6C" w:rsidRDefault="00DE3382" w:rsidP="00E267DC">
      <w:pPr>
        <w:pStyle w:val="Body"/>
      </w:pPr>
      <w:r>
        <w:t xml:space="preserve">The Regulations </w:t>
      </w:r>
      <w:r w:rsidR="00201F11">
        <w:t xml:space="preserve">do not currently specify who must undertake a pre-admission </w:t>
      </w:r>
      <w:r w:rsidR="00AE5BEC">
        <w:t xml:space="preserve">clinical risk </w:t>
      </w:r>
      <w:r w:rsidR="00201F11">
        <w:t xml:space="preserve">assessment. The department is considering amending </w:t>
      </w:r>
      <w:r w:rsidR="00284D8D">
        <w:t xml:space="preserve">the </w:t>
      </w:r>
      <w:r w:rsidR="003868DF">
        <w:t>Regulations</w:t>
      </w:r>
      <w:r w:rsidR="00284D8D">
        <w:t xml:space="preserve"> to require </w:t>
      </w:r>
      <w:r w:rsidR="005C37F1">
        <w:t xml:space="preserve">that </w:t>
      </w:r>
      <w:r w:rsidR="00B35B6C">
        <w:t xml:space="preserve">a clinical staff member </w:t>
      </w:r>
      <w:r w:rsidR="006275DD">
        <w:t xml:space="preserve">(such as a registered medical practitioner, nurse or midwife) </w:t>
      </w:r>
      <w:r w:rsidR="00701027">
        <w:t>must review</w:t>
      </w:r>
      <w:r w:rsidR="00463D52">
        <w:t>/assess</w:t>
      </w:r>
      <w:r w:rsidR="00701027">
        <w:t xml:space="preserve"> and finalise (for example by approving or signing) </w:t>
      </w:r>
      <w:r w:rsidR="00284D8D">
        <w:t>the pre</w:t>
      </w:r>
      <w:r w:rsidR="009C4A09">
        <w:t>-</w:t>
      </w:r>
      <w:r w:rsidR="00284D8D">
        <w:t xml:space="preserve">admission </w:t>
      </w:r>
      <w:r w:rsidR="00AE5BEC">
        <w:t xml:space="preserve">clinical risk </w:t>
      </w:r>
      <w:r w:rsidR="00284D8D">
        <w:t xml:space="preserve">assessment </w:t>
      </w:r>
      <w:r w:rsidR="00701027">
        <w:t xml:space="preserve">of patients </w:t>
      </w:r>
      <w:r w:rsidR="00284D8D">
        <w:t xml:space="preserve">at </w:t>
      </w:r>
      <w:r w:rsidR="00B35B6C">
        <w:t>all facilities.</w:t>
      </w:r>
      <w:r w:rsidR="00284D8D">
        <w:t xml:space="preserve"> For reasons of patient safety, it is not </w:t>
      </w:r>
      <w:r w:rsidR="004A7012">
        <w:t xml:space="preserve">considered </w:t>
      </w:r>
      <w:r w:rsidR="00284D8D">
        <w:t xml:space="preserve">appropriate for non-clinical staff to undertake </w:t>
      </w:r>
      <w:r w:rsidR="00530804">
        <w:t xml:space="preserve">and finalise </w:t>
      </w:r>
      <w:r w:rsidR="00284D8D">
        <w:t>the pre</w:t>
      </w:r>
      <w:r w:rsidR="004A7012">
        <w:t>-</w:t>
      </w:r>
      <w:r w:rsidR="00284D8D">
        <w:t xml:space="preserve">admission assessment as they cannot be expected to understand the </w:t>
      </w:r>
      <w:r w:rsidR="00803875">
        <w:t>clinical</w:t>
      </w:r>
      <w:r w:rsidR="00284D8D">
        <w:t xml:space="preserve"> risks</w:t>
      </w:r>
      <w:r w:rsidR="00803875">
        <w:t xml:space="preserve"> associated with each procedure</w:t>
      </w:r>
      <w:r w:rsidR="00284D8D">
        <w:t>.</w:t>
      </w:r>
    </w:p>
    <w:p w14:paraId="14187D62" w14:textId="5D52B3B8" w:rsidR="002909DE" w:rsidRPr="001D33F2" w:rsidRDefault="002E73FE" w:rsidP="001D33F2">
      <w:pPr>
        <w:pStyle w:val="Heading3"/>
      </w:pPr>
      <w:r>
        <w:t>5</w:t>
      </w:r>
      <w:r w:rsidR="002909DE">
        <w:t>.1.</w:t>
      </w:r>
      <w:r w:rsidR="0081576C">
        <w:t>3</w:t>
      </w:r>
      <w:r w:rsidR="002909DE">
        <w:t xml:space="preserve"> Requirement for an</w:t>
      </w:r>
      <w:r w:rsidR="001D33F2">
        <w:t xml:space="preserve">aesthetist to </w:t>
      </w:r>
      <w:r w:rsidR="00EE0FF5">
        <w:t>review a</w:t>
      </w:r>
      <w:r w:rsidR="001D33F2">
        <w:t xml:space="preserve"> pre-admission </w:t>
      </w:r>
      <w:r w:rsidR="007B1718">
        <w:t>clinical</w:t>
      </w:r>
      <w:r w:rsidR="001D33F2">
        <w:t xml:space="preserve"> assessment</w:t>
      </w:r>
    </w:p>
    <w:p w14:paraId="7BDE6B8D" w14:textId="72D2155E" w:rsidR="00DB57C5" w:rsidRDefault="00D102CF" w:rsidP="00E267DC">
      <w:pPr>
        <w:pStyle w:val="Body"/>
        <w:rPr>
          <w:bCs/>
        </w:rPr>
      </w:pPr>
      <w:r>
        <w:t xml:space="preserve">The department is considering amending the Regulations </w:t>
      </w:r>
      <w:r w:rsidR="00803875">
        <w:t>to require t</w:t>
      </w:r>
      <w:r w:rsidR="00B35B6C">
        <w:t xml:space="preserve">hat the proprietor </w:t>
      </w:r>
      <w:r w:rsidR="00D6204A">
        <w:t xml:space="preserve">of a registered </w:t>
      </w:r>
      <w:r>
        <w:t>private hospital or day procedure centre</w:t>
      </w:r>
      <w:r w:rsidR="00D6204A">
        <w:t xml:space="preserve"> </w:t>
      </w:r>
      <w:r w:rsidR="00B35B6C">
        <w:t xml:space="preserve">must ensure the anaesthetist </w:t>
      </w:r>
      <w:r w:rsidR="003D38EF">
        <w:t>reviews</w:t>
      </w:r>
      <w:r w:rsidR="00B35B6C">
        <w:t xml:space="preserve"> the </w:t>
      </w:r>
      <w:r w:rsidR="00296AF6">
        <w:t xml:space="preserve">pre-admission </w:t>
      </w:r>
      <w:r w:rsidR="00B35B6C">
        <w:t xml:space="preserve">assessment </w:t>
      </w:r>
      <w:r w:rsidR="00554C62">
        <w:t xml:space="preserve">before </w:t>
      </w:r>
      <w:r w:rsidR="002742B0">
        <w:t>the patient commences treatment</w:t>
      </w:r>
      <w:r w:rsidR="00494EB8">
        <w:t xml:space="preserve"> for planned procedures</w:t>
      </w:r>
      <w:r w:rsidR="00F866FF">
        <w:t xml:space="preserve"> that involve </w:t>
      </w:r>
      <w:r w:rsidR="008C1924">
        <w:t>anaesthesia</w:t>
      </w:r>
      <w:r w:rsidR="00AB2E0A">
        <w:t xml:space="preserve"> in a registered facility</w:t>
      </w:r>
      <w:r w:rsidR="00B35B6C">
        <w:t>.</w:t>
      </w:r>
      <w:r w:rsidR="00DB57C5">
        <w:t xml:space="preserve"> </w:t>
      </w:r>
      <w:r w:rsidR="00DB57C5">
        <w:rPr>
          <w:bCs/>
        </w:rPr>
        <w:t xml:space="preserve">The department understands this would generally already be occurring as part of best clinical practice. </w:t>
      </w:r>
    </w:p>
    <w:p w14:paraId="33AA1346" w14:textId="5BB71DF1" w:rsidR="00CB63B3" w:rsidRDefault="00CB63B3" w:rsidP="00CB63B3">
      <w:pPr>
        <w:pStyle w:val="Heading3"/>
      </w:pPr>
      <w:r>
        <w:lastRenderedPageBreak/>
        <w:t>5.1.</w:t>
      </w:r>
      <w:r w:rsidR="0081576C">
        <w:t>4</w:t>
      </w:r>
      <w:r>
        <w:t xml:space="preserve"> Documenting and retaining pre-admission assessments</w:t>
      </w:r>
    </w:p>
    <w:p w14:paraId="1EB2465D" w14:textId="2179DD17" w:rsidR="00CB63B3" w:rsidRDefault="00CB63B3" w:rsidP="00CB63B3">
      <w:pPr>
        <w:pStyle w:val="Body"/>
      </w:pPr>
      <w:r>
        <w:t xml:space="preserve">The current Regulations require a pre-admission assessment to be undertaken and the </w:t>
      </w:r>
      <w:r w:rsidRPr="00362638">
        <w:rPr>
          <w:i/>
          <w:iCs/>
        </w:rPr>
        <w:t>result</w:t>
      </w:r>
      <w:r>
        <w:t xml:space="preserve"> of the assessment to be recorded in writing, but do not require the full assessment to be documented. The department is considering amending the Regulations </w:t>
      </w:r>
      <w:r w:rsidR="00AF4698">
        <w:t xml:space="preserve">to </w:t>
      </w:r>
      <w:r>
        <w:t>requir</w:t>
      </w:r>
      <w:r w:rsidR="00AF4698">
        <w:t xml:space="preserve">e </w:t>
      </w:r>
      <w:r>
        <w:t xml:space="preserve">the pre-admission clinical risk assessment to be documented and retained by the registered health service, including mobile health services. The department understands that it is likely that most if not all private hospitals and day procedure centres currently document and retain the full assessment as an essential component of best clinical practice and health record keeping. </w:t>
      </w:r>
    </w:p>
    <w:p w14:paraId="244549B2" w14:textId="1ED0F6D6" w:rsidR="00B35B6C" w:rsidRDefault="00B35B6C" w:rsidP="00CD53F6">
      <w:pPr>
        <w:pStyle w:val="Body"/>
      </w:pPr>
    </w:p>
    <w:tbl>
      <w:tblPr>
        <w:tblStyle w:val="TableGrid"/>
        <w:tblW w:w="5000" w:type="pct"/>
        <w:shd w:val="clear" w:color="auto" w:fill="F2F2F2" w:themeFill="background1" w:themeFillShade="F2"/>
        <w:tblLook w:val="06A0" w:firstRow="1" w:lastRow="0" w:firstColumn="1" w:lastColumn="0" w:noHBand="1" w:noVBand="1"/>
      </w:tblPr>
      <w:tblGrid>
        <w:gridCol w:w="9268"/>
      </w:tblGrid>
      <w:tr w:rsidR="0039536B" w14:paraId="35D254F8" w14:textId="77777777" w:rsidTr="00882E7E">
        <w:trPr>
          <w:tblHeader/>
        </w:trPr>
        <w:tc>
          <w:tcPr>
            <w:tcW w:w="5000" w:type="pct"/>
            <w:tcBorders>
              <w:top w:val="single" w:sz="12" w:space="0" w:color="auto"/>
              <w:left w:val="single" w:sz="12" w:space="0" w:color="auto"/>
              <w:bottom w:val="nil"/>
              <w:right w:val="single" w:sz="12" w:space="0" w:color="auto"/>
            </w:tcBorders>
            <w:shd w:val="clear" w:color="auto" w:fill="F2F2F2" w:themeFill="background1" w:themeFillShade="F2"/>
          </w:tcPr>
          <w:p w14:paraId="47482578" w14:textId="77777777" w:rsidR="0039536B" w:rsidRPr="00CB3285" w:rsidRDefault="0039536B" w:rsidP="001B7238">
            <w:pPr>
              <w:pStyle w:val="Tablecolhead"/>
            </w:pPr>
            <w:r>
              <w:t>Questions for consultation</w:t>
            </w:r>
          </w:p>
        </w:tc>
      </w:tr>
      <w:tr w:rsidR="0039536B" w14:paraId="1E99ADE8" w14:textId="77777777" w:rsidTr="00882E7E">
        <w:tc>
          <w:tcPr>
            <w:tcW w:w="5000" w:type="pct"/>
            <w:tcBorders>
              <w:top w:val="nil"/>
              <w:left w:val="single" w:sz="12" w:space="0" w:color="auto"/>
              <w:bottom w:val="single" w:sz="12" w:space="0" w:color="auto"/>
              <w:right w:val="single" w:sz="12" w:space="0" w:color="auto"/>
            </w:tcBorders>
            <w:shd w:val="clear" w:color="auto" w:fill="F2F2F2" w:themeFill="background1" w:themeFillShade="F2"/>
          </w:tcPr>
          <w:p w14:paraId="4EAB1DCC" w14:textId="56F6D14E" w:rsidR="0039536B" w:rsidRPr="00E62D2B" w:rsidRDefault="00045B5B" w:rsidP="00C132C8">
            <w:pPr>
              <w:pStyle w:val="ListParagraph"/>
              <w:numPr>
                <w:ilvl w:val="0"/>
                <w:numId w:val="11"/>
              </w:numPr>
              <w:spacing w:before="120" w:after="120" w:line="280" w:lineRule="atLeast"/>
              <w:ind w:left="357" w:hanging="357"/>
              <w:contextualSpacing w:val="0"/>
              <w:rPr>
                <w:rFonts w:ascii="Arial" w:hAnsi="Arial" w:cs="Arial"/>
                <w:sz w:val="21"/>
                <w:szCs w:val="21"/>
              </w:rPr>
            </w:pPr>
            <w:r w:rsidRPr="00E62D2B">
              <w:rPr>
                <w:rFonts w:ascii="Arial" w:hAnsi="Arial" w:cs="Arial"/>
                <w:sz w:val="21"/>
                <w:szCs w:val="21"/>
              </w:rPr>
              <w:t xml:space="preserve">Should </w:t>
            </w:r>
            <w:r w:rsidR="00BA5535" w:rsidRPr="00E62D2B">
              <w:rPr>
                <w:rFonts w:ascii="Arial" w:hAnsi="Arial" w:cs="Arial"/>
                <w:sz w:val="21"/>
                <w:szCs w:val="21"/>
              </w:rPr>
              <w:t xml:space="preserve">the Regulations be amended to require </w:t>
            </w:r>
            <w:r w:rsidR="002B064B" w:rsidRPr="00E62D2B">
              <w:rPr>
                <w:rFonts w:ascii="Arial" w:hAnsi="Arial" w:cs="Arial"/>
                <w:sz w:val="21"/>
                <w:szCs w:val="21"/>
              </w:rPr>
              <w:t xml:space="preserve">that </w:t>
            </w:r>
            <w:r w:rsidR="001528E1">
              <w:rPr>
                <w:rFonts w:ascii="Arial" w:hAnsi="Arial" w:cs="Arial"/>
                <w:sz w:val="21"/>
                <w:szCs w:val="21"/>
              </w:rPr>
              <w:t>patient</w:t>
            </w:r>
            <w:r w:rsidR="008D5FAB">
              <w:rPr>
                <w:rFonts w:ascii="Arial" w:hAnsi="Arial" w:cs="Arial"/>
                <w:sz w:val="21"/>
                <w:szCs w:val="21"/>
              </w:rPr>
              <w:t>s</w:t>
            </w:r>
            <w:r w:rsidR="001528E1">
              <w:rPr>
                <w:rFonts w:ascii="Arial" w:hAnsi="Arial" w:cs="Arial"/>
                <w:sz w:val="21"/>
                <w:szCs w:val="21"/>
              </w:rPr>
              <w:t xml:space="preserve"> receiving</w:t>
            </w:r>
            <w:r w:rsidR="002B064B" w:rsidRPr="00E62D2B">
              <w:rPr>
                <w:rFonts w:ascii="Arial" w:hAnsi="Arial" w:cs="Arial"/>
                <w:sz w:val="21"/>
                <w:szCs w:val="21"/>
              </w:rPr>
              <w:t xml:space="preserve"> mobile </w:t>
            </w:r>
            <w:r w:rsidR="008D5FAB">
              <w:rPr>
                <w:rFonts w:ascii="Arial" w:hAnsi="Arial" w:cs="Arial"/>
                <w:sz w:val="21"/>
                <w:szCs w:val="21"/>
              </w:rPr>
              <w:t xml:space="preserve">health </w:t>
            </w:r>
            <w:r w:rsidR="002B064B" w:rsidRPr="00E62D2B">
              <w:rPr>
                <w:rFonts w:ascii="Arial" w:hAnsi="Arial" w:cs="Arial"/>
                <w:sz w:val="21"/>
                <w:szCs w:val="21"/>
              </w:rPr>
              <w:t xml:space="preserve">services (such as </w:t>
            </w:r>
            <w:r w:rsidR="009E350D">
              <w:rPr>
                <w:rFonts w:ascii="Arial" w:hAnsi="Arial" w:cs="Arial"/>
                <w:sz w:val="21"/>
                <w:szCs w:val="21"/>
              </w:rPr>
              <w:t xml:space="preserve">from </w:t>
            </w:r>
            <w:r w:rsidR="002B064B" w:rsidRPr="00E62D2B">
              <w:rPr>
                <w:rFonts w:ascii="Arial" w:hAnsi="Arial" w:cs="Arial"/>
                <w:sz w:val="21"/>
                <w:szCs w:val="21"/>
              </w:rPr>
              <w:t xml:space="preserve">a </w:t>
            </w:r>
            <w:r w:rsidR="00BA5535" w:rsidRPr="00E62D2B">
              <w:rPr>
                <w:rFonts w:ascii="Arial" w:hAnsi="Arial" w:cs="Arial"/>
                <w:sz w:val="21"/>
                <w:szCs w:val="21"/>
              </w:rPr>
              <w:t>mobile</w:t>
            </w:r>
            <w:r w:rsidR="002B064B" w:rsidRPr="00E62D2B">
              <w:rPr>
                <w:rFonts w:ascii="Arial" w:hAnsi="Arial" w:cs="Arial"/>
                <w:sz w:val="21"/>
                <w:szCs w:val="21"/>
              </w:rPr>
              <w:t xml:space="preserve"> </w:t>
            </w:r>
            <w:r w:rsidR="00BA5535" w:rsidRPr="00E62D2B">
              <w:rPr>
                <w:rFonts w:ascii="Arial" w:hAnsi="Arial" w:cs="Arial"/>
                <w:sz w:val="21"/>
                <w:szCs w:val="21"/>
              </w:rPr>
              <w:t>anaesthetist</w:t>
            </w:r>
            <w:r w:rsidR="009251B1" w:rsidRPr="00E62D2B">
              <w:rPr>
                <w:rFonts w:ascii="Arial" w:hAnsi="Arial" w:cs="Arial"/>
                <w:sz w:val="21"/>
                <w:szCs w:val="21"/>
              </w:rPr>
              <w:t>)</w:t>
            </w:r>
            <w:r w:rsidR="007B1419" w:rsidRPr="00E62D2B">
              <w:rPr>
                <w:rFonts w:ascii="Arial" w:hAnsi="Arial" w:cs="Arial"/>
                <w:sz w:val="21"/>
                <w:szCs w:val="21"/>
              </w:rPr>
              <w:t xml:space="preserve"> </w:t>
            </w:r>
            <w:r w:rsidR="009E350D">
              <w:rPr>
                <w:rFonts w:ascii="Arial" w:hAnsi="Arial" w:cs="Arial"/>
                <w:sz w:val="21"/>
                <w:szCs w:val="21"/>
              </w:rPr>
              <w:t>must undergo</w:t>
            </w:r>
            <w:r w:rsidR="00BA5535" w:rsidRPr="00E62D2B">
              <w:rPr>
                <w:rFonts w:ascii="Arial" w:hAnsi="Arial" w:cs="Arial"/>
                <w:sz w:val="21"/>
                <w:szCs w:val="21"/>
              </w:rPr>
              <w:t xml:space="preserve"> a </w:t>
            </w:r>
            <w:r w:rsidR="00DC4AD9" w:rsidRPr="00E62D2B">
              <w:rPr>
                <w:rFonts w:ascii="Arial" w:hAnsi="Arial" w:cs="Arial"/>
                <w:sz w:val="21"/>
                <w:szCs w:val="21"/>
              </w:rPr>
              <w:t>pre-</w:t>
            </w:r>
            <w:r w:rsidR="009E350D">
              <w:rPr>
                <w:rFonts w:ascii="Arial" w:hAnsi="Arial" w:cs="Arial"/>
                <w:sz w:val="21"/>
                <w:szCs w:val="21"/>
              </w:rPr>
              <w:t>treatment</w:t>
            </w:r>
            <w:r w:rsidR="00DC4AD9" w:rsidRPr="00E62D2B">
              <w:rPr>
                <w:rFonts w:ascii="Arial" w:hAnsi="Arial" w:cs="Arial"/>
                <w:sz w:val="21"/>
                <w:szCs w:val="21"/>
              </w:rPr>
              <w:t xml:space="preserve"> </w:t>
            </w:r>
            <w:r w:rsidR="00194E25" w:rsidRPr="00E62D2B">
              <w:rPr>
                <w:rFonts w:ascii="Arial" w:hAnsi="Arial" w:cs="Arial"/>
                <w:sz w:val="21"/>
                <w:szCs w:val="21"/>
              </w:rPr>
              <w:t xml:space="preserve">clinical risk </w:t>
            </w:r>
            <w:r w:rsidR="00DC4AD9" w:rsidRPr="00E62D2B">
              <w:rPr>
                <w:rFonts w:ascii="Arial" w:hAnsi="Arial" w:cs="Arial"/>
                <w:sz w:val="21"/>
                <w:szCs w:val="21"/>
              </w:rPr>
              <w:t>assessment</w:t>
            </w:r>
            <w:r w:rsidR="009251B1" w:rsidRPr="00E62D2B">
              <w:rPr>
                <w:rFonts w:ascii="Arial" w:hAnsi="Arial" w:cs="Arial"/>
                <w:sz w:val="21"/>
                <w:szCs w:val="21"/>
              </w:rPr>
              <w:t xml:space="preserve"> </w:t>
            </w:r>
            <w:r w:rsidR="0005154B">
              <w:rPr>
                <w:rFonts w:ascii="Arial" w:hAnsi="Arial" w:cs="Arial"/>
                <w:sz w:val="21"/>
                <w:szCs w:val="21"/>
              </w:rPr>
              <w:t>(</w:t>
            </w:r>
            <w:r w:rsidR="009251B1" w:rsidRPr="00E62D2B">
              <w:rPr>
                <w:rFonts w:ascii="Arial" w:hAnsi="Arial" w:cs="Arial"/>
                <w:sz w:val="21"/>
                <w:szCs w:val="21"/>
              </w:rPr>
              <w:t>noting that in practice this generally already occurs</w:t>
            </w:r>
            <w:r w:rsidR="0005154B">
              <w:rPr>
                <w:rFonts w:ascii="Arial" w:hAnsi="Arial" w:cs="Arial"/>
                <w:sz w:val="21"/>
                <w:szCs w:val="21"/>
              </w:rPr>
              <w:t xml:space="preserve"> with patients who receive mobile</w:t>
            </w:r>
            <w:r w:rsidR="00997EB2">
              <w:rPr>
                <w:rFonts w:ascii="Arial" w:hAnsi="Arial" w:cs="Arial"/>
                <w:sz w:val="21"/>
                <w:szCs w:val="21"/>
              </w:rPr>
              <w:t xml:space="preserve"> anaesthetic services)</w:t>
            </w:r>
            <w:r w:rsidR="00194E25" w:rsidRPr="00E62D2B">
              <w:rPr>
                <w:rFonts w:ascii="Arial" w:hAnsi="Arial" w:cs="Arial"/>
                <w:sz w:val="21"/>
                <w:szCs w:val="21"/>
              </w:rPr>
              <w:t>? If so, why? If not, why not?</w:t>
            </w:r>
          </w:p>
          <w:p w14:paraId="3213D60F" w14:textId="6E010DE0" w:rsidR="00254A96" w:rsidRPr="00E62D2B" w:rsidRDefault="004F0405" w:rsidP="00C132C8">
            <w:pPr>
              <w:pStyle w:val="ListParagraph"/>
              <w:numPr>
                <w:ilvl w:val="0"/>
                <w:numId w:val="11"/>
              </w:numPr>
              <w:spacing w:after="120" w:line="280" w:lineRule="atLeast"/>
              <w:contextualSpacing w:val="0"/>
              <w:rPr>
                <w:rFonts w:ascii="Arial" w:hAnsi="Arial" w:cs="Arial"/>
                <w:sz w:val="21"/>
                <w:szCs w:val="21"/>
              </w:rPr>
            </w:pPr>
            <w:r w:rsidRPr="00E62D2B">
              <w:rPr>
                <w:rFonts w:ascii="Arial" w:hAnsi="Arial" w:cs="Arial"/>
                <w:sz w:val="21"/>
                <w:szCs w:val="21"/>
              </w:rPr>
              <w:t xml:space="preserve">Should the Regulations be amended to require a pre-admission </w:t>
            </w:r>
            <w:r w:rsidR="00281C73" w:rsidRPr="00E62D2B">
              <w:rPr>
                <w:rFonts w:ascii="Arial" w:hAnsi="Arial" w:cs="Arial"/>
                <w:sz w:val="21"/>
                <w:szCs w:val="21"/>
              </w:rPr>
              <w:t xml:space="preserve">clinical risk </w:t>
            </w:r>
            <w:r w:rsidRPr="00E62D2B">
              <w:rPr>
                <w:rFonts w:ascii="Arial" w:hAnsi="Arial" w:cs="Arial"/>
                <w:sz w:val="21"/>
                <w:szCs w:val="21"/>
              </w:rPr>
              <w:t>assessment</w:t>
            </w:r>
            <w:r w:rsidR="00281C73" w:rsidRPr="00E62D2B">
              <w:rPr>
                <w:rFonts w:ascii="Arial" w:hAnsi="Arial" w:cs="Arial"/>
                <w:sz w:val="21"/>
                <w:szCs w:val="21"/>
              </w:rPr>
              <w:t xml:space="preserve"> to be </w:t>
            </w:r>
            <w:r w:rsidR="0007733F" w:rsidRPr="00E62D2B">
              <w:rPr>
                <w:rFonts w:ascii="Arial" w:hAnsi="Arial" w:cs="Arial"/>
                <w:sz w:val="21"/>
                <w:szCs w:val="21"/>
              </w:rPr>
              <w:t xml:space="preserve">reviewed/assessed/finalised </w:t>
            </w:r>
            <w:r w:rsidR="00281C73" w:rsidRPr="00E62D2B">
              <w:rPr>
                <w:rFonts w:ascii="Arial" w:hAnsi="Arial" w:cs="Arial"/>
                <w:sz w:val="21"/>
                <w:szCs w:val="21"/>
              </w:rPr>
              <w:t>by a clinical staff member?</w:t>
            </w:r>
            <w:r w:rsidRPr="00E62D2B">
              <w:rPr>
                <w:rFonts w:ascii="Arial" w:hAnsi="Arial" w:cs="Arial"/>
                <w:sz w:val="21"/>
                <w:szCs w:val="21"/>
              </w:rPr>
              <w:t xml:space="preserve"> </w:t>
            </w:r>
            <w:r w:rsidR="00956551" w:rsidRPr="00E62D2B">
              <w:rPr>
                <w:rFonts w:ascii="Arial" w:hAnsi="Arial" w:cs="Arial"/>
                <w:sz w:val="21"/>
                <w:szCs w:val="21"/>
              </w:rPr>
              <w:t>If so, why? If not, why not?</w:t>
            </w:r>
          </w:p>
          <w:p w14:paraId="65820CCC" w14:textId="78F9E0F0" w:rsidR="00AB2E0A" w:rsidRDefault="00AB2E0A" w:rsidP="00C132C8">
            <w:pPr>
              <w:pStyle w:val="ListParagraph"/>
              <w:numPr>
                <w:ilvl w:val="0"/>
                <w:numId w:val="11"/>
              </w:numPr>
              <w:spacing w:after="120" w:line="280" w:lineRule="atLeast"/>
              <w:contextualSpacing w:val="0"/>
            </w:pPr>
            <w:r w:rsidRPr="00E62D2B">
              <w:rPr>
                <w:rFonts w:ascii="Arial" w:hAnsi="Arial" w:cs="Arial"/>
                <w:sz w:val="21"/>
                <w:szCs w:val="21"/>
              </w:rPr>
              <w:t>Should the Regulations be amended to</w:t>
            </w:r>
            <w:r w:rsidR="00607618" w:rsidRPr="00E62D2B">
              <w:rPr>
                <w:rFonts w:ascii="Arial" w:hAnsi="Arial" w:cs="Arial"/>
                <w:sz w:val="21"/>
                <w:szCs w:val="21"/>
              </w:rPr>
              <w:t xml:space="preserve"> require that the </w:t>
            </w:r>
            <w:r w:rsidR="00E55069" w:rsidRPr="00E62D2B">
              <w:rPr>
                <w:rFonts w:ascii="Arial" w:hAnsi="Arial" w:cs="Arial"/>
                <w:sz w:val="21"/>
                <w:szCs w:val="21"/>
              </w:rPr>
              <w:t>proprietor</w:t>
            </w:r>
            <w:r w:rsidR="00607618" w:rsidRPr="00E62D2B">
              <w:rPr>
                <w:rFonts w:ascii="Arial" w:hAnsi="Arial" w:cs="Arial"/>
                <w:sz w:val="21"/>
                <w:szCs w:val="21"/>
              </w:rPr>
              <w:t xml:space="preserve"> of a registered private facility must ensure the </w:t>
            </w:r>
            <w:r w:rsidR="00E55069" w:rsidRPr="00E62D2B">
              <w:rPr>
                <w:rFonts w:ascii="Arial" w:hAnsi="Arial" w:cs="Arial"/>
                <w:sz w:val="21"/>
                <w:szCs w:val="21"/>
              </w:rPr>
              <w:t xml:space="preserve">anaesthetist </w:t>
            </w:r>
            <w:r w:rsidR="00C0151D">
              <w:rPr>
                <w:rFonts w:ascii="Arial" w:hAnsi="Arial" w:cs="Arial"/>
                <w:sz w:val="21"/>
                <w:szCs w:val="21"/>
              </w:rPr>
              <w:t>reviews</w:t>
            </w:r>
            <w:r w:rsidR="00E55069" w:rsidRPr="00E62D2B">
              <w:rPr>
                <w:rFonts w:ascii="Arial" w:hAnsi="Arial" w:cs="Arial"/>
                <w:sz w:val="21"/>
                <w:szCs w:val="21"/>
              </w:rPr>
              <w:t xml:space="preserve"> the pre-admission clinical risk assessment before a patient commences treatment for planned procedures</w:t>
            </w:r>
            <w:r w:rsidR="00DD40C7" w:rsidRPr="00E62D2B">
              <w:rPr>
                <w:rFonts w:ascii="Arial" w:hAnsi="Arial" w:cs="Arial"/>
                <w:sz w:val="21"/>
                <w:szCs w:val="21"/>
              </w:rPr>
              <w:t xml:space="preserve"> that involve anaesthesia</w:t>
            </w:r>
            <w:r w:rsidR="00670AD1" w:rsidRPr="00E62D2B">
              <w:rPr>
                <w:rFonts w:ascii="Arial" w:hAnsi="Arial" w:cs="Arial"/>
                <w:sz w:val="21"/>
                <w:szCs w:val="21"/>
              </w:rPr>
              <w:t>, noting that the department understands that in practice this generally already occurs</w:t>
            </w:r>
            <w:r w:rsidR="00DD40C7" w:rsidRPr="00E62D2B">
              <w:rPr>
                <w:rFonts w:ascii="Arial" w:hAnsi="Arial" w:cs="Arial"/>
                <w:sz w:val="21"/>
                <w:szCs w:val="21"/>
              </w:rPr>
              <w:t>? If so, why? If not, why not?</w:t>
            </w:r>
            <w:r w:rsidRPr="00566F26">
              <w:t xml:space="preserve"> </w:t>
            </w:r>
          </w:p>
          <w:p w14:paraId="6BA11B1A" w14:textId="528AA45E" w:rsidR="00AB2E0A" w:rsidRPr="00380068" w:rsidRDefault="00380068" w:rsidP="00C132C8">
            <w:pPr>
              <w:pStyle w:val="ListParagraph"/>
              <w:numPr>
                <w:ilvl w:val="0"/>
                <w:numId w:val="11"/>
              </w:numPr>
              <w:spacing w:after="120" w:line="280" w:lineRule="atLeast"/>
              <w:contextualSpacing w:val="0"/>
              <w:rPr>
                <w:rFonts w:ascii="Arial" w:hAnsi="Arial" w:cs="Arial"/>
                <w:sz w:val="21"/>
                <w:szCs w:val="21"/>
              </w:rPr>
            </w:pPr>
            <w:r w:rsidRPr="00E62D2B">
              <w:rPr>
                <w:rFonts w:ascii="Arial" w:hAnsi="Arial" w:cs="Arial"/>
                <w:sz w:val="21"/>
                <w:szCs w:val="21"/>
              </w:rPr>
              <w:t>Should the Regulations be amended to require that the full pre-admission clinical risk assessment be recorded in writing and retained rather than just the result of the assessment, noting that the department understands that in practice this generally already occurs? If so, why? If not, why not?</w:t>
            </w:r>
          </w:p>
        </w:tc>
      </w:tr>
    </w:tbl>
    <w:p w14:paraId="3E4265BF" w14:textId="49CED129" w:rsidR="00B024D4" w:rsidRDefault="002E73FE" w:rsidP="00B024D4">
      <w:pPr>
        <w:pStyle w:val="Heading2"/>
      </w:pPr>
      <w:bookmarkStart w:id="89" w:name="_Toc143272024"/>
      <w:r>
        <w:t>5</w:t>
      </w:r>
      <w:r w:rsidR="00B024D4">
        <w:t>.2 Discharge information to be given to patients</w:t>
      </w:r>
      <w:bookmarkEnd w:id="89"/>
    </w:p>
    <w:p w14:paraId="14461626" w14:textId="77777777" w:rsidR="00B024D4" w:rsidRDefault="00B024D4" w:rsidP="00B024D4">
      <w:pPr>
        <w:pStyle w:val="Body"/>
      </w:pPr>
      <w:r>
        <w:t xml:space="preserve">The Regulations currently require that the proprietor of a health service establishment must ensure that a patient’s written copy of the discharge summary includes a list of all medications currently prescribed for the patient, irrespective of whether the medication is prescribed in relation to the health service received at the health service establishment (r.34(3e)). This requirement has been in place since 2018. </w:t>
      </w:r>
    </w:p>
    <w:p w14:paraId="0B11110E" w14:textId="77777777" w:rsidR="0072069C" w:rsidRDefault="00B024D4" w:rsidP="00B024D4">
      <w:pPr>
        <w:pStyle w:val="Body"/>
      </w:pPr>
      <w:r>
        <w:t xml:space="preserve">The department is considering </w:t>
      </w:r>
      <w:r w:rsidR="000004B8">
        <w:t xml:space="preserve">replacing or </w:t>
      </w:r>
      <w:r>
        <w:t xml:space="preserve">removing the requirement for all registered </w:t>
      </w:r>
      <w:r w:rsidR="000004B8">
        <w:t>health service establishments</w:t>
      </w:r>
      <w:r>
        <w:t xml:space="preserve"> to give the patient </w:t>
      </w:r>
      <w:r w:rsidRPr="00DF6FC6">
        <w:t xml:space="preserve">a full list of prescribed medications </w:t>
      </w:r>
      <w:r>
        <w:t>(</w:t>
      </w:r>
      <w:r w:rsidR="008968CC">
        <w:t>that is</w:t>
      </w:r>
      <w:r>
        <w:t xml:space="preserve"> all medications including those the patient has advised they were taking prior to receiving a health service at the facility as well as new medications or changes to medications made during the provision of the health service in question – also known as a drug reconciliation) </w:t>
      </w:r>
      <w:r w:rsidRPr="00DF6FC6">
        <w:t>as part of the discharge summary</w:t>
      </w:r>
      <w:r>
        <w:t xml:space="preserve">. </w:t>
      </w:r>
    </w:p>
    <w:p w14:paraId="5FCC6766" w14:textId="57646E0C" w:rsidR="00B024D4" w:rsidRDefault="00B024D4" w:rsidP="00B024D4">
      <w:pPr>
        <w:pStyle w:val="Body"/>
      </w:pPr>
      <w:r>
        <w:t>The department understands that this requirement, which has been in place since 2018, has not worked as intended</w:t>
      </w:r>
      <w:r w:rsidR="00945880">
        <w:t>.</w:t>
      </w:r>
      <w:r>
        <w:t xml:space="preserve"> </w:t>
      </w:r>
      <w:r w:rsidR="00945880">
        <w:t>It</w:t>
      </w:r>
      <w:r>
        <w:t xml:space="preserve"> has created unnecessary paperwork for </w:t>
      </w:r>
      <w:r w:rsidR="00B84866">
        <w:t xml:space="preserve">health service establishments </w:t>
      </w:r>
      <w:r w:rsidR="00F007D7">
        <w:t>and discharge delays</w:t>
      </w:r>
      <w:r>
        <w:t xml:space="preserve"> for </w:t>
      </w:r>
      <w:r w:rsidR="00F007D7">
        <w:t xml:space="preserve">patients. </w:t>
      </w:r>
      <w:r w:rsidR="00B33C8F">
        <w:t xml:space="preserve">The department </w:t>
      </w:r>
      <w:r w:rsidR="00812E2D">
        <w:t xml:space="preserve">understands </w:t>
      </w:r>
      <w:r w:rsidR="00B33C8F">
        <w:t xml:space="preserve">that </w:t>
      </w:r>
      <w:r w:rsidR="00812E2D">
        <w:t xml:space="preserve">a full drug reconciliation </w:t>
      </w:r>
      <w:r w:rsidR="00270DDA">
        <w:t xml:space="preserve">is of most benefit </w:t>
      </w:r>
      <w:r w:rsidR="000B4101">
        <w:t>to</w:t>
      </w:r>
      <w:r w:rsidR="00270DDA">
        <w:t xml:space="preserve"> </w:t>
      </w:r>
      <w:r w:rsidR="00055B0E">
        <w:t>patients with complex needs</w:t>
      </w:r>
      <w:r w:rsidR="00396887">
        <w:t xml:space="preserve"> who ty</w:t>
      </w:r>
      <w:r w:rsidR="00A0380C">
        <w:t xml:space="preserve">pically </w:t>
      </w:r>
      <w:r w:rsidR="00632105">
        <w:t>stay at least one night in hospital</w:t>
      </w:r>
      <w:r w:rsidR="0074353A">
        <w:t>.</w:t>
      </w:r>
      <w:r w:rsidR="007B34BA">
        <w:t xml:space="preserve"> </w:t>
      </w:r>
      <w:r w:rsidR="00941BF5">
        <w:t xml:space="preserve">Information about changed or new medication is </w:t>
      </w:r>
      <w:r w:rsidR="002A057E">
        <w:t>sufficient for</w:t>
      </w:r>
      <w:r w:rsidR="00941BF5">
        <w:t xml:space="preserve"> </w:t>
      </w:r>
      <w:r w:rsidR="009F3BF9">
        <w:t>p</w:t>
      </w:r>
      <w:r w:rsidR="00F15FB2">
        <w:t>atients</w:t>
      </w:r>
      <w:r w:rsidR="002A057E">
        <w:t xml:space="preserve"> with less complex needs who are</w:t>
      </w:r>
      <w:r w:rsidR="00511C5F">
        <w:t xml:space="preserve"> typically </w:t>
      </w:r>
      <w:r w:rsidR="00F15FB2">
        <w:t>discharged</w:t>
      </w:r>
      <w:r w:rsidR="007B34BA">
        <w:t xml:space="preserve"> on the same</w:t>
      </w:r>
      <w:r>
        <w:t xml:space="preserve"> day</w:t>
      </w:r>
      <w:r w:rsidR="00511C5F">
        <w:t>.</w:t>
      </w:r>
      <w:r w:rsidR="007B34BA">
        <w:t xml:space="preserve"> </w:t>
      </w:r>
    </w:p>
    <w:p w14:paraId="3FA7ABB7" w14:textId="77777777" w:rsidR="00B024D4" w:rsidRDefault="00B024D4" w:rsidP="00B024D4">
      <w:pPr>
        <w:pStyle w:val="Body"/>
      </w:pPr>
      <w:r>
        <w:lastRenderedPageBreak/>
        <w:t>The existing requirement could be replaced with a requirement to include in a discharge summary:</w:t>
      </w:r>
    </w:p>
    <w:p w14:paraId="1E736865" w14:textId="6E0DEFD7" w:rsidR="00B024D4" w:rsidRDefault="00B024D4" w:rsidP="00C132C8">
      <w:pPr>
        <w:pStyle w:val="Body"/>
        <w:numPr>
          <w:ilvl w:val="0"/>
          <w:numId w:val="52"/>
        </w:numPr>
      </w:pPr>
      <w:r>
        <w:t>For discharge from a private hospital</w:t>
      </w:r>
      <w:r w:rsidR="30CFA82E">
        <w:t xml:space="preserve"> </w:t>
      </w:r>
      <w:r w:rsidR="00177F1D">
        <w:t>f</w:t>
      </w:r>
      <w:r w:rsidR="30CFA82E">
        <w:t xml:space="preserve">or patients </w:t>
      </w:r>
      <w:r w:rsidR="00420C4C">
        <w:t>who</w:t>
      </w:r>
      <w:r w:rsidR="30CFA82E">
        <w:t xml:space="preserve"> stay</w:t>
      </w:r>
      <w:r>
        <w:t xml:space="preserve"> </w:t>
      </w:r>
      <w:r w:rsidR="00263DE7">
        <w:t xml:space="preserve">one or more nights </w:t>
      </w:r>
      <w:r w:rsidR="00C123CB">
        <w:t>–</w:t>
      </w:r>
      <w:r>
        <w:t xml:space="preserve"> </w:t>
      </w:r>
      <w:r w:rsidRPr="00A21529">
        <w:t xml:space="preserve">a </w:t>
      </w:r>
      <w:r>
        <w:t xml:space="preserve">full </w:t>
      </w:r>
      <w:r w:rsidRPr="00A21529">
        <w:t>drug reconciliation</w:t>
      </w:r>
      <w:r>
        <w:t>.</w:t>
      </w:r>
    </w:p>
    <w:p w14:paraId="069F4F83" w14:textId="79A2B040" w:rsidR="0099065F" w:rsidRPr="0099065F" w:rsidRDefault="00C57F1A">
      <w:pPr>
        <w:pStyle w:val="Body"/>
        <w:numPr>
          <w:ilvl w:val="0"/>
          <w:numId w:val="52"/>
        </w:numPr>
        <w:spacing w:after="240"/>
        <w:rPr>
          <w:b/>
          <w:bCs/>
          <w:szCs w:val="21"/>
        </w:rPr>
      </w:pPr>
      <w:r>
        <w:t xml:space="preserve">For discharge from a private hospital for patients </w:t>
      </w:r>
      <w:r w:rsidR="0079536E">
        <w:t xml:space="preserve">discharged within one day </w:t>
      </w:r>
      <w:r>
        <w:t>–</w:t>
      </w:r>
      <w:r w:rsidR="00473A53">
        <w:t xml:space="preserve"> any change or addition to</w:t>
      </w:r>
      <w:r w:rsidR="00631C9C">
        <w:t xml:space="preserve"> prescribed </w:t>
      </w:r>
      <w:r w:rsidR="00473A53" w:rsidRPr="00A21529">
        <w:t>medication</w:t>
      </w:r>
      <w:r w:rsidR="00473A53">
        <w:t>s</w:t>
      </w:r>
      <w:r w:rsidR="0099065F">
        <w:t>.</w:t>
      </w:r>
      <w:r w:rsidR="00473A53" w:rsidRPr="00A21529">
        <w:t xml:space="preserve"> </w:t>
      </w:r>
    </w:p>
    <w:p w14:paraId="3AD7BEE9" w14:textId="42AAF21A" w:rsidR="3DCB7E36" w:rsidRDefault="00B024D4">
      <w:pPr>
        <w:pStyle w:val="Body"/>
        <w:numPr>
          <w:ilvl w:val="0"/>
          <w:numId w:val="52"/>
        </w:numPr>
        <w:spacing w:after="240"/>
        <w:rPr>
          <w:b/>
          <w:bCs/>
          <w:szCs w:val="21"/>
        </w:rPr>
      </w:pPr>
      <w:r>
        <w:t>For discharge from a day procedure centre</w:t>
      </w:r>
      <w:r w:rsidRPr="00A21529">
        <w:t xml:space="preserve"> –</w:t>
      </w:r>
      <w:r w:rsidR="00A91687">
        <w:t xml:space="preserve"> </w:t>
      </w:r>
      <w:r>
        <w:t xml:space="preserve">any change or addition to </w:t>
      </w:r>
      <w:r w:rsidR="00631C9C">
        <w:t xml:space="preserve">prescribed </w:t>
      </w:r>
      <w:r w:rsidRPr="00A21529">
        <w:t>medication</w:t>
      </w:r>
      <w:r>
        <w:t>s</w:t>
      </w:r>
      <w:r w:rsidR="0099065F">
        <w:t>.</w:t>
      </w:r>
      <w:r w:rsidRPr="00A21529">
        <w:t xml:space="preserve"> </w:t>
      </w:r>
    </w:p>
    <w:tbl>
      <w:tblPr>
        <w:tblStyle w:val="TableGrid"/>
        <w:tblW w:w="5000" w:type="pct"/>
        <w:shd w:val="clear" w:color="auto" w:fill="F2F2F2" w:themeFill="background1" w:themeFillShade="F2"/>
        <w:tblLook w:val="06A0" w:firstRow="1" w:lastRow="0" w:firstColumn="1" w:lastColumn="0" w:noHBand="1" w:noVBand="1"/>
      </w:tblPr>
      <w:tblGrid>
        <w:gridCol w:w="9268"/>
      </w:tblGrid>
      <w:tr w:rsidR="00B024D4" w:rsidRPr="004F2D6A" w14:paraId="77651E83" w14:textId="77777777" w:rsidTr="00386DDA">
        <w:trPr>
          <w:tblHeader/>
        </w:trPr>
        <w:tc>
          <w:tcPr>
            <w:tcW w:w="5000" w:type="pct"/>
            <w:tcBorders>
              <w:top w:val="single" w:sz="12" w:space="0" w:color="auto"/>
              <w:left w:val="single" w:sz="12" w:space="0" w:color="auto"/>
              <w:bottom w:val="nil"/>
              <w:right w:val="single" w:sz="12" w:space="0" w:color="auto"/>
            </w:tcBorders>
            <w:shd w:val="clear" w:color="auto" w:fill="F2F2F2" w:themeFill="background1" w:themeFillShade="F2"/>
          </w:tcPr>
          <w:p w14:paraId="4BB199C6" w14:textId="77777777" w:rsidR="00B024D4" w:rsidRPr="00AD3F8F" w:rsidRDefault="00B024D4" w:rsidP="00386DDA">
            <w:pPr>
              <w:pStyle w:val="Tablecolhead"/>
              <w:rPr>
                <w:rFonts w:cs="Arial"/>
                <w:szCs w:val="21"/>
              </w:rPr>
            </w:pPr>
            <w:r w:rsidRPr="00AD3F8F">
              <w:rPr>
                <w:rFonts w:cs="Arial"/>
                <w:szCs w:val="21"/>
              </w:rPr>
              <w:t>Questions for consultation</w:t>
            </w:r>
          </w:p>
        </w:tc>
      </w:tr>
      <w:tr w:rsidR="00B024D4" w:rsidRPr="004F2D6A" w14:paraId="6EC3E498" w14:textId="77777777" w:rsidTr="00386DDA">
        <w:tc>
          <w:tcPr>
            <w:tcW w:w="5000" w:type="pct"/>
            <w:tcBorders>
              <w:top w:val="nil"/>
              <w:left w:val="single" w:sz="12" w:space="0" w:color="auto"/>
              <w:bottom w:val="single" w:sz="12" w:space="0" w:color="auto"/>
              <w:right w:val="single" w:sz="12" w:space="0" w:color="auto"/>
            </w:tcBorders>
            <w:shd w:val="clear" w:color="auto" w:fill="F2F2F2" w:themeFill="background1" w:themeFillShade="F2"/>
          </w:tcPr>
          <w:p w14:paraId="7D5082C5" w14:textId="293E6D5F" w:rsidR="00B024D4" w:rsidRPr="00AD3F8F" w:rsidRDefault="00B024D4" w:rsidP="00C132C8">
            <w:pPr>
              <w:pStyle w:val="ListParagraph"/>
              <w:numPr>
                <w:ilvl w:val="0"/>
                <w:numId w:val="11"/>
              </w:numPr>
              <w:spacing w:before="120" w:after="120" w:line="280" w:lineRule="atLeast"/>
              <w:ind w:left="357" w:hanging="357"/>
              <w:contextualSpacing w:val="0"/>
              <w:rPr>
                <w:rFonts w:ascii="Arial" w:hAnsi="Arial" w:cs="Arial"/>
                <w:sz w:val="21"/>
                <w:szCs w:val="21"/>
              </w:rPr>
            </w:pPr>
            <w:r w:rsidRPr="00AD3F8F">
              <w:rPr>
                <w:rFonts w:ascii="Arial" w:hAnsi="Arial" w:cs="Arial"/>
                <w:sz w:val="21"/>
                <w:szCs w:val="21"/>
              </w:rPr>
              <w:t>What impacts has the current requirement (</w:t>
            </w:r>
            <w:r w:rsidR="004037F8" w:rsidRPr="00AD3F8F">
              <w:rPr>
                <w:rFonts w:ascii="Arial" w:hAnsi="Arial" w:cs="Arial"/>
                <w:sz w:val="21"/>
                <w:szCs w:val="21"/>
              </w:rPr>
              <w:t>introduced</w:t>
            </w:r>
            <w:r w:rsidRPr="00AD3F8F">
              <w:rPr>
                <w:rFonts w:ascii="Arial" w:hAnsi="Arial" w:cs="Arial"/>
                <w:sz w:val="21"/>
                <w:szCs w:val="21"/>
              </w:rPr>
              <w:t xml:space="preserve"> in 2018) to include all medications currently prescribed in a patient’s discharge summary had on private hospitals, day procedure centres, and patients? </w:t>
            </w:r>
          </w:p>
          <w:p w14:paraId="14B5B116" w14:textId="49EDE994" w:rsidR="00B024D4" w:rsidRPr="00AD3F8F" w:rsidRDefault="00B024D4" w:rsidP="00C132C8">
            <w:pPr>
              <w:pStyle w:val="ListParagraph"/>
              <w:numPr>
                <w:ilvl w:val="0"/>
                <w:numId w:val="11"/>
              </w:numPr>
              <w:spacing w:after="120" w:line="280" w:lineRule="atLeast"/>
              <w:ind w:left="357" w:hanging="357"/>
              <w:contextualSpacing w:val="0"/>
              <w:rPr>
                <w:rFonts w:ascii="Arial" w:hAnsi="Arial" w:cs="Arial"/>
                <w:sz w:val="21"/>
                <w:szCs w:val="21"/>
              </w:rPr>
            </w:pPr>
            <w:r w:rsidRPr="00AD3F8F">
              <w:rPr>
                <w:rFonts w:ascii="Arial" w:hAnsi="Arial" w:cs="Arial"/>
                <w:sz w:val="21"/>
                <w:szCs w:val="21"/>
              </w:rPr>
              <w:t>Should the Regulations be amended to replace the requirement to include all medications currently prescribed to a patient with the below requirements? If so, why</w:t>
            </w:r>
            <w:r w:rsidR="00731058" w:rsidRPr="00AD3F8F">
              <w:rPr>
                <w:rFonts w:ascii="Arial" w:hAnsi="Arial" w:cs="Arial"/>
                <w:sz w:val="21"/>
                <w:szCs w:val="21"/>
              </w:rPr>
              <w:t>?</w:t>
            </w:r>
            <w:r w:rsidRPr="00AD3F8F" w:rsidDel="00731058">
              <w:rPr>
                <w:rFonts w:ascii="Arial" w:hAnsi="Arial" w:cs="Arial"/>
                <w:sz w:val="21"/>
                <w:szCs w:val="21"/>
              </w:rPr>
              <w:t xml:space="preserve"> </w:t>
            </w:r>
            <w:r w:rsidR="00731058" w:rsidRPr="00AD3F8F">
              <w:rPr>
                <w:rFonts w:ascii="Arial" w:hAnsi="Arial" w:cs="Arial"/>
                <w:sz w:val="21"/>
                <w:szCs w:val="21"/>
              </w:rPr>
              <w:t>I</w:t>
            </w:r>
            <w:r w:rsidRPr="00AD3F8F">
              <w:rPr>
                <w:rFonts w:ascii="Arial" w:hAnsi="Arial" w:cs="Arial"/>
                <w:sz w:val="21"/>
                <w:szCs w:val="21"/>
              </w:rPr>
              <w:t>f not, why not?</w:t>
            </w:r>
          </w:p>
          <w:p w14:paraId="3F399505" w14:textId="77777777" w:rsidR="00C56E68" w:rsidRDefault="00B024D4" w:rsidP="001652E5">
            <w:pPr>
              <w:pStyle w:val="ListParagraph"/>
              <w:numPr>
                <w:ilvl w:val="1"/>
                <w:numId w:val="12"/>
              </w:numPr>
              <w:ind w:left="720"/>
              <w:rPr>
                <w:rFonts w:ascii="Arial" w:hAnsi="Arial" w:cs="Arial"/>
                <w:sz w:val="21"/>
                <w:szCs w:val="21"/>
              </w:rPr>
            </w:pPr>
            <w:r w:rsidRPr="00EC4655">
              <w:rPr>
                <w:rFonts w:ascii="Arial" w:hAnsi="Arial" w:cs="Arial"/>
                <w:sz w:val="21"/>
                <w:szCs w:val="21"/>
              </w:rPr>
              <w:t xml:space="preserve">For private hospitals – a </w:t>
            </w:r>
            <w:r w:rsidR="00041B56" w:rsidRPr="00EC4655">
              <w:rPr>
                <w:rFonts w:ascii="Arial" w:hAnsi="Arial" w:cs="Arial"/>
                <w:sz w:val="21"/>
                <w:szCs w:val="21"/>
              </w:rPr>
              <w:t xml:space="preserve">full </w:t>
            </w:r>
            <w:r w:rsidRPr="00EC4655">
              <w:rPr>
                <w:rFonts w:ascii="Arial" w:hAnsi="Arial" w:cs="Arial"/>
                <w:sz w:val="21"/>
                <w:szCs w:val="21"/>
              </w:rPr>
              <w:t xml:space="preserve">list of prescribed </w:t>
            </w:r>
            <w:r w:rsidR="00380FF5" w:rsidRPr="00EC4655">
              <w:rPr>
                <w:rFonts w:ascii="Arial" w:hAnsi="Arial" w:cs="Arial"/>
                <w:sz w:val="21"/>
                <w:szCs w:val="21"/>
              </w:rPr>
              <w:t>medications</w:t>
            </w:r>
            <w:r w:rsidR="006226D2" w:rsidRPr="00EC4655">
              <w:rPr>
                <w:rFonts w:ascii="Arial" w:hAnsi="Arial" w:cs="Arial"/>
                <w:sz w:val="21"/>
                <w:szCs w:val="21"/>
              </w:rPr>
              <w:t>,</w:t>
            </w:r>
            <w:r w:rsidR="006226D2">
              <w:t xml:space="preserve"> </w:t>
            </w:r>
            <w:r w:rsidR="006226D2" w:rsidRPr="00EC4655">
              <w:rPr>
                <w:rFonts w:ascii="Arial" w:hAnsi="Arial" w:cs="Arial"/>
                <w:sz w:val="21"/>
                <w:szCs w:val="21"/>
              </w:rPr>
              <w:t>irrespective of whether the</w:t>
            </w:r>
            <w:r w:rsidR="00EC4655">
              <w:rPr>
                <w:rFonts w:ascii="Arial" w:hAnsi="Arial" w:cs="Arial"/>
                <w:sz w:val="21"/>
                <w:szCs w:val="21"/>
              </w:rPr>
              <w:t xml:space="preserve"> </w:t>
            </w:r>
            <w:r w:rsidR="006226D2" w:rsidRPr="00EC4655">
              <w:rPr>
                <w:rFonts w:ascii="Arial" w:hAnsi="Arial" w:cs="Arial"/>
                <w:sz w:val="21"/>
                <w:szCs w:val="21"/>
              </w:rPr>
              <w:t>medication is in relation to the heath service</w:t>
            </w:r>
            <w:r w:rsidR="00EC4655" w:rsidRPr="00EC4655">
              <w:rPr>
                <w:rFonts w:ascii="Arial" w:hAnsi="Arial" w:cs="Arial"/>
                <w:sz w:val="21"/>
                <w:szCs w:val="21"/>
              </w:rPr>
              <w:t xml:space="preserve"> </w:t>
            </w:r>
            <w:r w:rsidR="006226D2" w:rsidRPr="00EC4655">
              <w:rPr>
                <w:rFonts w:ascii="Arial" w:hAnsi="Arial" w:cs="Arial"/>
                <w:sz w:val="21"/>
                <w:szCs w:val="21"/>
              </w:rPr>
              <w:t>received at the health service establishment</w:t>
            </w:r>
            <w:r w:rsidR="00EC4655" w:rsidRPr="00EC4655">
              <w:rPr>
                <w:rFonts w:ascii="Arial" w:hAnsi="Arial" w:cs="Arial"/>
                <w:sz w:val="21"/>
                <w:szCs w:val="21"/>
              </w:rPr>
              <w:t>,</w:t>
            </w:r>
            <w:r w:rsidR="00380FF5" w:rsidRPr="00EC4655">
              <w:rPr>
                <w:rFonts w:ascii="Arial" w:hAnsi="Arial" w:cs="Arial"/>
                <w:sz w:val="21"/>
                <w:szCs w:val="21"/>
              </w:rPr>
              <w:t xml:space="preserve"> </w:t>
            </w:r>
            <w:r w:rsidR="00B30651" w:rsidRPr="00EC4655">
              <w:rPr>
                <w:rFonts w:ascii="Arial" w:hAnsi="Arial" w:cs="Arial"/>
                <w:sz w:val="21"/>
                <w:szCs w:val="21"/>
              </w:rPr>
              <w:t>must be on t</w:t>
            </w:r>
            <w:r w:rsidRPr="00EC4655">
              <w:rPr>
                <w:rFonts w:ascii="Arial" w:hAnsi="Arial" w:cs="Arial"/>
                <w:sz w:val="21"/>
                <w:szCs w:val="21"/>
              </w:rPr>
              <w:t>he patient</w:t>
            </w:r>
            <w:r w:rsidR="00B30651" w:rsidRPr="00EC4655">
              <w:rPr>
                <w:rFonts w:ascii="Arial" w:hAnsi="Arial" w:cs="Arial"/>
                <w:sz w:val="21"/>
                <w:szCs w:val="21"/>
              </w:rPr>
              <w:t>’s discharge summary</w:t>
            </w:r>
            <w:r w:rsidR="007D707D">
              <w:rPr>
                <w:rFonts w:ascii="Arial" w:hAnsi="Arial" w:cs="Arial"/>
                <w:sz w:val="21"/>
                <w:szCs w:val="21"/>
              </w:rPr>
              <w:t xml:space="preserve"> if they stay one or more nights in the facility</w:t>
            </w:r>
            <w:r w:rsidR="00B30651" w:rsidRPr="00EC4655">
              <w:rPr>
                <w:rFonts w:ascii="Arial" w:hAnsi="Arial" w:cs="Arial"/>
                <w:sz w:val="21"/>
                <w:szCs w:val="21"/>
              </w:rPr>
              <w:t>.</w:t>
            </w:r>
          </w:p>
          <w:p w14:paraId="7452D39F" w14:textId="410A1EDA" w:rsidR="001652E5" w:rsidRDefault="00C56E68" w:rsidP="001652E5">
            <w:pPr>
              <w:pStyle w:val="ListParagraph"/>
              <w:numPr>
                <w:ilvl w:val="1"/>
                <w:numId w:val="12"/>
              </w:numPr>
              <w:ind w:left="720"/>
              <w:rPr>
                <w:rFonts w:ascii="Arial" w:hAnsi="Arial" w:cs="Arial"/>
                <w:sz w:val="21"/>
                <w:szCs w:val="21"/>
              </w:rPr>
            </w:pPr>
            <w:r w:rsidRPr="00EC4655">
              <w:rPr>
                <w:rFonts w:ascii="Arial" w:hAnsi="Arial" w:cs="Arial"/>
                <w:sz w:val="21"/>
                <w:szCs w:val="21"/>
              </w:rPr>
              <w:t>For private hospitals</w:t>
            </w:r>
            <w:r>
              <w:rPr>
                <w:rFonts w:ascii="Arial" w:hAnsi="Arial" w:cs="Arial"/>
                <w:sz w:val="21"/>
                <w:szCs w:val="21"/>
              </w:rPr>
              <w:t xml:space="preserve"> </w:t>
            </w:r>
            <w:r w:rsidR="006D6D42">
              <w:rPr>
                <w:rFonts w:ascii="Arial" w:hAnsi="Arial" w:cs="Arial"/>
                <w:sz w:val="21"/>
                <w:szCs w:val="21"/>
              </w:rPr>
              <w:t xml:space="preserve">– </w:t>
            </w:r>
            <w:r>
              <w:rPr>
                <w:rFonts w:ascii="Arial" w:hAnsi="Arial" w:cs="Arial"/>
                <w:sz w:val="21"/>
                <w:szCs w:val="21"/>
              </w:rPr>
              <w:t>any</w:t>
            </w:r>
            <w:r w:rsidR="001652E5">
              <w:rPr>
                <w:rFonts w:ascii="Arial" w:hAnsi="Arial" w:cs="Arial"/>
                <w:sz w:val="21"/>
                <w:szCs w:val="21"/>
              </w:rPr>
              <w:t xml:space="preserve"> changes or </w:t>
            </w:r>
            <w:r w:rsidR="001652E5" w:rsidRPr="00AD3F8F">
              <w:rPr>
                <w:rFonts w:ascii="Arial" w:hAnsi="Arial" w:cs="Arial"/>
                <w:sz w:val="21"/>
                <w:szCs w:val="21"/>
              </w:rPr>
              <w:t>addition</w:t>
            </w:r>
            <w:r w:rsidR="001652E5">
              <w:rPr>
                <w:rFonts w:ascii="Arial" w:hAnsi="Arial" w:cs="Arial"/>
                <w:sz w:val="21"/>
                <w:szCs w:val="21"/>
              </w:rPr>
              <w:t>s</w:t>
            </w:r>
            <w:r w:rsidR="001652E5" w:rsidRPr="00AD3F8F">
              <w:rPr>
                <w:rFonts w:ascii="Arial" w:hAnsi="Arial" w:cs="Arial"/>
                <w:sz w:val="21"/>
                <w:szCs w:val="21"/>
              </w:rPr>
              <w:t xml:space="preserve"> to </w:t>
            </w:r>
            <w:r w:rsidR="001652E5">
              <w:rPr>
                <w:rFonts w:ascii="Arial" w:hAnsi="Arial" w:cs="Arial"/>
                <w:sz w:val="21"/>
                <w:szCs w:val="21"/>
              </w:rPr>
              <w:t xml:space="preserve">prescribed </w:t>
            </w:r>
            <w:r w:rsidR="001652E5" w:rsidRPr="00AD3F8F">
              <w:rPr>
                <w:rFonts w:ascii="Arial" w:hAnsi="Arial" w:cs="Arial"/>
                <w:sz w:val="21"/>
                <w:szCs w:val="21"/>
              </w:rPr>
              <w:t>medication</w:t>
            </w:r>
            <w:r w:rsidR="001652E5">
              <w:rPr>
                <w:rFonts w:ascii="Arial" w:hAnsi="Arial" w:cs="Arial"/>
                <w:sz w:val="21"/>
                <w:szCs w:val="21"/>
              </w:rPr>
              <w:t>s</w:t>
            </w:r>
            <w:r w:rsidR="001652E5" w:rsidRPr="00AD3F8F">
              <w:rPr>
                <w:rFonts w:ascii="Arial" w:hAnsi="Arial" w:cs="Arial"/>
                <w:sz w:val="21"/>
                <w:szCs w:val="21"/>
              </w:rPr>
              <w:t xml:space="preserve"> must be on the </w:t>
            </w:r>
            <w:r w:rsidR="001652E5">
              <w:rPr>
                <w:rFonts w:ascii="Arial" w:hAnsi="Arial" w:cs="Arial"/>
                <w:sz w:val="21"/>
                <w:szCs w:val="21"/>
              </w:rPr>
              <w:t xml:space="preserve">patient’s </w:t>
            </w:r>
            <w:r w:rsidR="001652E5" w:rsidRPr="00AD3F8F">
              <w:rPr>
                <w:rFonts w:ascii="Arial" w:hAnsi="Arial" w:cs="Arial"/>
                <w:sz w:val="21"/>
                <w:szCs w:val="21"/>
              </w:rPr>
              <w:t>discharge summary</w:t>
            </w:r>
            <w:r w:rsidR="001652E5">
              <w:rPr>
                <w:rFonts w:ascii="Arial" w:hAnsi="Arial" w:cs="Arial"/>
                <w:sz w:val="21"/>
                <w:szCs w:val="21"/>
              </w:rPr>
              <w:t xml:space="preserve"> for patients </w:t>
            </w:r>
            <w:r w:rsidR="00916FF7">
              <w:rPr>
                <w:rFonts w:ascii="Arial" w:hAnsi="Arial" w:cs="Arial"/>
                <w:sz w:val="21"/>
                <w:szCs w:val="21"/>
              </w:rPr>
              <w:t xml:space="preserve">who </w:t>
            </w:r>
            <w:r w:rsidR="001C2568">
              <w:rPr>
                <w:rFonts w:ascii="Arial" w:hAnsi="Arial" w:cs="Arial"/>
                <w:sz w:val="21"/>
                <w:szCs w:val="21"/>
              </w:rPr>
              <w:t>are discharged within one day</w:t>
            </w:r>
            <w:r w:rsidR="001652E5" w:rsidRPr="00AD3F8F">
              <w:rPr>
                <w:rFonts w:ascii="Arial" w:hAnsi="Arial" w:cs="Arial"/>
                <w:sz w:val="21"/>
                <w:szCs w:val="21"/>
              </w:rPr>
              <w:t>.</w:t>
            </w:r>
            <w:r w:rsidR="001652E5">
              <w:rPr>
                <w:rFonts w:ascii="Arial" w:hAnsi="Arial" w:cs="Arial"/>
                <w:sz w:val="21"/>
                <w:szCs w:val="21"/>
              </w:rPr>
              <w:t xml:space="preserve"> </w:t>
            </w:r>
          </w:p>
          <w:p w14:paraId="46315CDA" w14:textId="5BC16547" w:rsidR="00B024D4" w:rsidRPr="00AD3F8F" w:rsidRDefault="00B024D4" w:rsidP="001652E5">
            <w:pPr>
              <w:pStyle w:val="ListParagraph"/>
              <w:numPr>
                <w:ilvl w:val="1"/>
                <w:numId w:val="12"/>
              </w:numPr>
              <w:ind w:left="720"/>
              <w:rPr>
                <w:rFonts w:ascii="Arial" w:hAnsi="Arial" w:cs="Arial"/>
                <w:sz w:val="21"/>
                <w:szCs w:val="21"/>
              </w:rPr>
            </w:pPr>
            <w:r w:rsidRPr="00AD3F8F">
              <w:rPr>
                <w:rFonts w:ascii="Arial" w:hAnsi="Arial" w:cs="Arial"/>
                <w:sz w:val="21"/>
                <w:szCs w:val="21"/>
              </w:rPr>
              <w:t xml:space="preserve">For day procedure centres – </w:t>
            </w:r>
            <w:r>
              <w:rPr>
                <w:rFonts w:ascii="Arial" w:hAnsi="Arial" w:cs="Arial"/>
                <w:sz w:val="21"/>
                <w:szCs w:val="21"/>
              </w:rPr>
              <w:t>any</w:t>
            </w:r>
            <w:r w:rsidRPr="00AD3F8F">
              <w:rPr>
                <w:rFonts w:ascii="Arial" w:hAnsi="Arial" w:cs="Arial"/>
                <w:sz w:val="21"/>
                <w:szCs w:val="21"/>
              </w:rPr>
              <w:t xml:space="preserve"> change</w:t>
            </w:r>
            <w:r w:rsidR="00B30651">
              <w:rPr>
                <w:rFonts w:ascii="Arial" w:hAnsi="Arial" w:cs="Arial"/>
                <w:sz w:val="21"/>
                <w:szCs w:val="21"/>
              </w:rPr>
              <w:t>s</w:t>
            </w:r>
            <w:r w:rsidRPr="00AD3F8F">
              <w:rPr>
                <w:rFonts w:ascii="Arial" w:hAnsi="Arial" w:cs="Arial"/>
                <w:sz w:val="21"/>
                <w:szCs w:val="21"/>
              </w:rPr>
              <w:t xml:space="preserve"> or addition</w:t>
            </w:r>
            <w:r w:rsidR="00B30651">
              <w:rPr>
                <w:rFonts w:ascii="Arial" w:hAnsi="Arial" w:cs="Arial"/>
                <w:sz w:val="21"/>
                <w:szCs w:val="21"/>
              </w:rPr>
              <w:t>s</w:t>
            </w:r>
            <w:r w:rsidRPr="00AD3F8F">
              <w:rPr>
                <w:rFonts w:ascii="Arial" w:hAnsi="Arial" w:cs="Arial"/>
                <w:sz w:val="21"/>
                <w:szCs w:val="21"/>
              </w:rPr>
              <w:t xml:space="preserve"> to </w:t>
            </w:r>
            <w:r w:rsidR="00C95DCA">
              <w:rPr>
                <w:rFonts w:ascii="Arial" w:hAnsi="Arial" w:cs="Arial"/>
                <w:sz w:val="21"/>
                <w:szCs w:val="21"/>
              </w:rPr>
              <w:t xml:space="preserve">prescribed </w:t>
            </w:r>
            <w:r w:rsidRPr="00AD3F8F">
              <w:rPr>
                <w:rFonts w:ascii="Arial" w:hAnsi="Arial" w:cs="Arial"/>
                <w:sz w:val="21"/>
                <w:szCs w:val="21"/>
              </w:rPr>
              <w:t>medication</w:t>
            </w:r>
            <w:r w:rsidR="00C95DCA">
              <w:rPr>
                <w:rFonts w:ascii="Arial" w:hAnsi="Arial" w:cs="Arial"/>
                <w:sz w:val="21"/>
                <w:szCs w:val="21"/>
              </w:rPr>
              <w:t>s</w:t>
            </w:r>
            <w:r w:rsidRPr="00AD3F8F">
              <w:rPr>
                <w:rFonts w:ascii="Arial" w:hAnsi="Arial" w:cs="Arial"/>
                <w:sz w:val="21"/>
                <w:szCs w:val="21"/>
              </w:rPr>
              <w:t xml:space="preserve"> must be on the </w:t>
            </w:r>
            <w:r w:rsidR="00C95DCA">
              <w:rPr>
                <w:rFonts w:ascii="Arial" w:hAnsi="Arial" w:cs="Arial"/>
                <w:sz w:val="21"/>
                <w:szCs w:val="21"/>
              </w:rPr>
              <w:t xml:space="preserve">patient’s </w:t>
            </w:r>
            <w:r w:rsidRPr="00AD3F8F">
              <w:rPr>
                <w:rFonts w:ascii="Arial" w:hAnsi="Arial" w:cs="Arial"/>
                <w:sz w:val="21"/>
                <w:szCs w:val="21"/>
              </w:rPr>
              <w:t>discharge summary.</w:t>
            </w:r>
          </w:p>
        </w:tc>
      </w:tr>
    </w:tbl>
    <w:p w14:paraId="718FCE02" w14:textId="0A9A6337" w:rsidR="00F85A54" w:rsidRDefault="00F85A54" w:rsidP="00FA39A8">
      <w:pPr>
        <w:pStyle w:val="Body"/>
        <w:rPr>
          <w:rFonts w:eastAsia="MS Gothic" w:cs="Arial"/>
          <w:bCs/>
          <w:color w:val="C5511A"/>
          <w:kern w:val="32"/>
          <w:sz w:val="44"/>
          <w:szCs w:val="44"/>
        </w:rPr>
      </w:pPr>
      <w:r>
        <w:br w:type="page"/>
      </w:r>
    </w:p>
    <w:p w14:paraId="5C11F97E" w14:textId="53953270" w:rsidR="00490918" w:rsidRPr="00066D09" w:rsidRDefault="002E73FE" w:rsidP="00066D09">
      <w:pPr>
        <w:pStyle w:val="Heading1"/>
      </w:pPr>
      <w:bookmarkStart w:id="90" w:name="_Toc143272025"/>
      <w:r>
        <w:lastRenderedPageBreak/>
        <w:t>6</w:t>
      </w:r>
      <w:r w:rsidR="00490918">
        <w:t>. Registers and records</w:t>
      </w:r>
      <w:bookmarkEnd w:id="90"/>
    </w:p>
    <w:p w14:paraId="62EF5B22" w14:textId="0A12D0EA" w:rsidR="00D9711F" w:rsidRPr="00D9711F" w:rsidRDefault="00212260" w:rsidP="00D9711F">
      <w:pPr>
        <w:pStyle w:val="Body"/>
      </w:pPr>
      <w:r>
        <w:t xml:space="preserve">The Act requires a </w:t>
      </w:r>
      <w:r w:rsidR="008E529B">
        <w:t xml:space="preserve">health service establishment </w:t>
      </w:r>
      <w:r w:rsidR="00696C1B">
        <w:t xml:space="preserve">to </w:t>
      </w:r>
      <w:r w:rsidR="008E529B">
        <w:t xml:space="preserve">keep </w:t>
      </w:r>
      <w:r w:rsidR="00736A3F">
        <w:t>particular (or prescribed)</w:t>
      </w:r>
      <w:r w:rsidR="008E529B">
        <w:t xml:space="preserve"> </w:t>
      </w:r>
      <w:r w:rsidR="00CF3A1B">
        <w:t xml:space="preserve">records </w:t>
      </w:r>
      <w:r w:rsidR="00736A3F">
        <w:t xml:space="preserve">about </w:t>
      </w:r>
      <w:r w:rsidR="00CF3A1B">
        <w:t xml:space="preserve">individuals who receive care in the establishment </w:t>
      </w:r>
      <w:r w:rsidR="00736A3F">
        <w:t>and the type of care, and staff employed by the establishment (s.109).</w:t>
      </w:r>
      <w:r w:rsidR="00D64BEC">
        <w:t xml:space="preserve"> Currently, the Regulations </w:t>
      </w:r>
      <w:r w:rsidR="005723CF">
        <w:t xml:space="preserve">include </w:t>
      </w:r>
      <w:r w:rsidR="00FC5702">
        <w:t>requirements</w:t>
      </w:r>
      <w:r w:rsidR="00D64BEC">
        <w:t xml:space="preserve"> </w:t>
      </w:r>
      <w:r w:rsidR="00FC5702">
        <w:t>for a patient admission and discharge register</w:t>
      </w:r>
      <w:r w:rsidR="004126B0">
        <w:t xml:space="preserve"> (r 35)</w:t>
      </w:r>
      <w:r w:rsidR="00FC5702">
        <w:t xml:space="preserve">, </w:t>
      </w:r>
      <w:r w:rsidR="004126B0">
        <w:t>staff register (r.36), operation theatre register (r.37)</w:t>
      </w:r>
      <w:r w:rsidR="000C496E">
        <w:t xml:space="preserve">, and birth register (r.38). </w:t>
      </w:r>
    </w:p>
    <w:p w14:paraId="17B23589" w14:textId="6DF6B49C" w:rsidR="00FA6586" w:rsidRPr="008016EB" w:rsidRDefault="002E73FE" w:rsidP="008016EB">
      <w:pPr>
        <w:pStyle w:val="Heading2"/>
      </w:pPr>
      <w:bookmarkStart w:id="91" w:name="_Toc143272026"/>
      <w:r>
        <w:t>6</w:t>
      </w:r>
      <w:r w:rsidR="00FA6586" w:rsidRPr="008016EB">
        <w:t>.1 Operati</w:t>
      </w:r>
      <w:r w:rsidR="0088197C">
        <w:t>on</w:t>
      </w:r>
      <w:r w:rsidR="00FA6586" w:rsidRPr="008016EB">
        <w:t xml:space="preserve"> theatre register</w:t>
      </w:r>
      <w:bookmarkEnd w:id="91"/>
    </w:p>
    <w:p w14:paraId="1C70A691" w14:textId="165F11EE" w:rsidR="00AA247F" w:rsidRDefault="00FA6586" w:rsidP="00FA6586">
      <w:pPr>
        <w:pStyle w:val="Body"/>
      </w:pPr>
      <w:r>
        <w:t xml:space="preserve">Currently, the Regulations require </w:t>
      </w:r>
      <w:r w:rsidR="001E0BDF">
        <w:t xml:space="preserve">a </w:t>
      </w:r>
      <w:r w:rsidR="00795F01">
        <w:t>proprietor</w:t>
      </w:r>
      <w:r w:rsidR="001E0BDF">
        <w:t xml:space="preserve"> </w:t>
      </w:r>
      <w:r w:rsidR="00883698">
        <w:t xml:space="preserve">to ensure that </w:t>
      </w:r>
      <w:r>
        <w:t>an operati</w:t>
      </w:r>
      <w:r w:rsidR="00F95C2B">
        <w:t>on</w:t>
      </w:r>
      <w:r>
        <w:t xml:space="preserve"> theatre register </w:t>
      </w:r>
      <w:r w:rsidR="00883698">
        <w:t>is</w:t>
      </w:r>
      <w:r>
        <w:t xml:space="preserve"> kept </w:t>
      </w:r>
      <w:r w:rsidR="00883698">
        <w:t xml:space="preserve">if the private hospital or day procedure centre </w:t>
      </w:r>
      <w:r w:rsidR="001C0959">
        <w:t>pro</w:t>
      </w:r>
      <w:r w:rsidR="00FD2005">
        <w:t xml:space="preserve">vides </w:t>
      </w:r>
      <w:r>
        <w:t xml:space="preserve">surgical </w:t>
      </w:r>
      <w:r w:rsidR="00FA52A5">
        <w:t xml:space="preserve">health services or </w:t>
      </w:r>
      <w:r w:rsidR="00967278">
        <w:t>speciality</w:t>
      </w:r>
      <w:r w:rsidR="00BE7034">
        <w:t xml:space="preserve"> </w:t>
      </w:r>
      <w:r w:rsidR="005D336D">
        <w:t xml:space="preserve">health services for the provision of </w:t>
      </w:r>
      <w:r>
        <w:t xml:space="preserve">endoscopy </w:t>
      </w:r>
      <w:r w:rsidR="00FA52A5">
        <w:t>(</w:t>
      </w:r>
      <w:r w:rsidR="00F95C2B">
        <w:t>r.37)</w:t>
      </w:r>
      <w:r>
        <w:t xml:space="preserve">. </w:t>
      </w:r>
      <w:r w:rsidR="00223C2A">
        <w:t>Failure</w:t>
      </w:r>
      <w:r w:rsidR="00977005">
        <w:t xml:space="preserve"> to </w:t>
      </w:r>
      <w:r w:rsidR="00223C2A">
        <w:t>comply carries</w:t>
      </w:r>
      <w:r w:rsidR="00977005" w:rsidRPr="00977005">
        <w:t xml:space="preserve"> a maximum penalty of </w:t>
      </w:r>
      <w:r w:rsidR="002A4ECE">
        <w:t>3</w:t>
      </w:r>
      <w:r w:rsidR="00977005" w:rsidRPr="00977005">
        <w:t>0 penalty units ($</w:t>
      </w:r>
      <w:r w:rsidR="005A07C9">
        <w:t>5,</w:t>
      </w:r>
      <w:r w:rsidR="00E07B12">
        <w:t>769.30</w:t>
      </w:r>
      <w:r w:rsidR="00977005" w:rsidRPr="00977005">
        <w:t>).</w:t>
      </w:r>
      <w:r w:rsidR="0066515D">
        <w:rPr>
          <w:rStyle w:val="FootnoteReference"/>
        </w:rPr>
        <w:footnoteReference w:id="38"/>
      </w:r>
      <w:r w:rsidR="00977005" w:rsidRPr="00977005">
        <w:t xml:space="preserve"> </w:t>
      </w:r>
      <w:r w:rsidR="001E1074">
        <w:t xml:space="preserve">The purpose of the register is to record what was carried out, when, by whom, and on whom. This is </w:t>
      </w:r>
      <w:r w:rsidR="00EB6C0A">
        <w:t xml:space="preserve">important for patient safety as </w:t>
      </w:r>
      <w:r w:rsidR="0048606E">
        <w:t xml:space="preserve">the register </w:t>
      </w:r>
      <w:r w:rsidR="00F03CC7">
        <w:t>may be</w:t>
      </w:r>
      <w:r w:rsidR="0048606E">
        <w:t xml:space="preserve"> </w:t>
      </w:r>
      <w:r w:rsidR="004477EE">
        <w:t xml:space="preserve">central </w:t>
      </w:r>
      <w:r w:rsidR="00F03CC7">
        <w:t xml:space="preserve">to </w:t>
      </w:r>
      <w:r w:rsidR="001E1074">
        <w:t xml:space="preserve">any </w:t>
      </w:r>
      <w:r w:rsidR="00BB231B">
        <w:t xml:space="preserve">adverse incident </w:t>
      </w:r>
      <w:r w:rsidR="001E1074">
        <w:t xml:space="preserve">investigation. </w:t>
      </w:r>
    </w:p>
    <w:p w14:paraId="2ABC7D85" w14:textId="64408745" w:rsidR="00FA6586" w:rsidRDefault="0048606E" w:rsidP="00FA6586">
      <w:pPr>
        <w:pStyle w:val="Body"/>
      </w:pPr>
      <w:r>
        <w:t>From a patient safety perspective, i</w:t>
      </w:r>
      <w:r w:rsidR="00FA6586">
        <w:t xml:space="preserve">t </w:t>
      </w:r>
      <w:r>
        <w:t>may</w:t>
      </w:r>
      <w:r w:rsidR="00FA6586">
        <w:t xml:space="preserve"> not make sense </w:t>
      </w:r>
      <w:r w:rsidR="006954C8">
        <w:t xml:space="preserve">for the Regulations </w:t>
      </w:r>
      <w:r w:rsidR="00FA6586">
        <w:t xml:space="preserve">to specify </w:t>
      </w:r>
      <w:r w:rsidR="00ED32F8">
        <w:t>only one</w:t>
      </w:r>
      <w:r w:rsidR="00FA6586">
        <w:t xml:space="preserve"> </w:t>
      </w:r>
      <w:r w:rsidR="004856CF">
        <w:t>special</w:t>
      </w:r>
      <w:r w:rsidR="00232485">
        <w:t>ity health service</w:t>
      </w:r>
      <w:r w:rsidR="00761BC1">
        <w:t xml:space="preserve"> (endoscopy)</w:t>
      </w:r>
      <w:r w:rsidR="005B7E9F">
        <w:t xml:space="preserve"> that must be recorded in the register while exclud</w:t>
      </w:r>
      <w:r w:rsidR="006954C8">
        <w:t>ing</w:t>
      </w:r>
      <w:r w:rsidR="005B7E9F">
        <w:t xml:space="preserve"> </w:t>
      </w:r>
      <w:r w:rsidR="005A3814">
        <w:t xml:space="preserve">other </w:t>
      </w:r>
      <w:r w:rsidR="00967278">
        <w:t>speciality</w:t>
      </w:r>
      <w:r w:rsidR="00761BC1">
        <w:t xml:space="preserve"> health services </w:t>
      </w:r>
      <w:r w:rsidR="005B7E9F">
        <w:t>performed in the same operating theatre</w:t>
      </w:r>
      <w:r w:rsidR="006954C8">
        <w:t xml:space="preserve"> or procedure room</w:t>
      </w:r>
      <w:r w:rsidR="00761BC1">
        <w:t>.</w:t>
      </w:r>
      <w:r w:rsidR="00FA6586">
        <w:t xml:space="preserve"> </w:t>
      </w:r>
      <w:r w:rsidR="00027E1A">
        <w:t xml:space="preserve">The department understands that in practice </w:t>
      </w:r>
      <w:r w:rsidR="00B77AAD">
        <w:t xml:space="preserve">services may already be including in the operation theatre register </w:t>
      </w:r>
      <w:r w:rsidR="00034DDE">
        <w:t xml:space="preserve">information related to </w:t>
      </w:r>
      <w:r w:rsidR="00B77AAD">
        <w:t xml:space="preserve">all </w:t>
      </w:r>
      <w:r w:rsidR="001E3615">
        <w:t>surgical or speciality health services provided</w:t>
      </w:r>
      <w:r w:rsidR="006A1AD1">
        <w:t xml:space="preserve"> </w:t>
      </w:r>
      <w:r w:rsidR="003B1E3D">
        <w:t>i</w:t>
      </w:r>
      <w:r w:rsidR="006A1AD1">
        <w:t xml:space="preserve">n an </w:t>
      </w:r>
      <w:r w:rsidR="002D2A9D">
        <w:t>operating theatre or procedure room</w:t>
      </w:r>
      <w:r w:rsidR="001E3615">
        <w:t xml:space="preserve">. </w:t>
      </w:r>
    </w:p>
    <w:p w14:paraId="1C282C5D" w14:textId="5D648A86" w:rsidR="00FA6586" w:rsidRDefault="00096757" w:rsidP="00FA6586">
      <w:pPr>
        <w:pStyle w:val="Body"/>
      </w:pPr>
      <w:r>
        <w:t xml:space="preserve">The department is considering whether </w:t>
      </w:r>
      <w:r w:rsidR="00FA6586">
        <w:t xml:space="preserve">to </w:t>
      </w:r>
      <w:r w:rsidR="00C87AB5">
        <w:t xml:space="preserve">amend the Regulations to </w:t>
      </w:r>
      <w:r w:rsidR="00FA6586">
        <w:t>require the operati</w:t>
      </w:r>
      <w:r>
        <w:t>on</w:t>
      </w:r>
      <w:r w:rsidR="00FA6586">
        <w:t xml:space="preserve"> theatre register</w:t>
      </w:r>
      <w:r>
        <w:t xml:space="preserve"> </w:t>
      </w:r>
      <w:r w:rsidR="00FA6586">
        <w:t>be used for all procedures carried out in operating theatres and procedure rooms.</w:t>
      </w:r>
    </w:p>
    <w:p w14:paraId="4FC94AD4" w14:textId="77777777" w:rsidR="00494C79" w:rsidRDefault="00494C79" w:rsidP="00FA6586">
      <w:pPr>
        <w:pStyle w:val="Body"/>
      </w:pPr>
    </w:p>
    <w:tbl>
      <w:tblPr>
        <w:tblW w:w="0" w:type="dxa"/>
        <w:tblBorders>
          <w:top w:val="outset" w:sz="6" w:space="0" w:color="auto"/>
          <w:left w:val="outset" w:sz="6" w:space="0" w:color="auto"/>
          <w:bottom w:val="outset" w:sz="6" w:space="0" w:color="auto"/>
          <w:right w:val="outset" w:sz="6" w:space="0" w:color="auto"/>
        </w:tblBorders>
        <w:shd w:val="clear" w:color="auto" w:fill="F2F2F2"/>
        <w:tblLook w:val="04A0" w:firstRow="1" w:lastRow="0" w:firstColumn="1" w:lastColumn="0" w:noHBand="0" w:noVBand="1"/>
      </w:tblPr>
      <w:tblGrid>
        <w:gridCol w:w="9282"/>
      </w:tblGrid>
      <w:tr w:rsidR="007363EB" w:rsidRPr="007363EB" w14:paraId="5EB8225E" w14:textId="77777777" w:rsidTr="00BD5F48">
        <w:trPr>
          <w:trHeight w:val="300"/>
        </w:trPr>
        <w:tc>
          <w:tcPr>
            <w:tcW w:w="9285" w:type="dxa"/>
            <w:tcBorders>
              <w:top w:val="single" w:sz="6" w:space="0" w:color="auto"/>
              <w:left w:val="single" w:sz="6" w:space="0" w:color="auto"/>
              <w:bottom w:val="nil"/>
              <w:right w:val="single" w:sz="6" w:space="0" w:color="auto"/>
            </w:tcBorders>
            <w:shd w:val="clear" w:color="auto" w:fill="F2F2F2"/>
            <w:hideMark/>
          </w:tcPr>
          <w:p w14:paraId="5642E0D5" w14:textId="77777777" w:rsidR="007363EB" w:rsidRPr="007363EB" w:rsidRDefault="007363EB" w:rsidP="00BD5F48">
            <w:pPr>
              <w:pStyle w:val="Tablecolhead"/>
              <w:rPr>
                <w:rFonts w:ascii="Segoe UI" w:hAnsi="Segoe UI" w:cs="Segoe UI"/>
                <w:b w:val="0"/>
                <w:bCs/>
                <w:sz w:val="18"/>
                <w:szCs w:val="18"/>
                <w:lang w:eastAsia="en-AU"/>
              </w:rPr>
            </w:pPr>
            <w:r w:rsidRPr="00BD5F48">
              <w:rPr>
                <w:rFonts w:cs="Arial"/>
                <w:szCs w:val="21"/>
                <w:lang w:eastAsia="en-AU"/>
              </w:rPr>
              <w:t>Questions for consultation </w:t>
            </w:r>
          </w:p>
        </w:tc>
      </w:tr>
      <w:tr w:rsidR="007363EB" w:rsidRPr="007363EB" w14:paraId="12C44166" w14:textId="77777777" w:rsidTr="00BD5F48">
        <w:trPr>
          <w:trHeight w:val="300"/>
        </w:trPr>
        <w:tc>
          <w:tcPr>
            <w:tcW w:w="9285" w:type="dxa"/>
            <w:tcBorders>
              <w:top w:val="nil"/>
              <w:left w:val="single" w:sz="6" w:space="0" w:color="auto"/>
              <w:bottom w:val="single" w:sz="6" w:space="0" w:color="auto"/>
              <w:right w:val="single" w:sz="6" w:space="0" w:color="auto"/>
            </w:tcBorders>
            <w:shd w:val="clear" w:color="auto" w:fill="F2F2F2"/>
            <w:hideMark/>
          </w:tcPr>
          <w:p w14:paraId="59241B3B" w14:textId="77777777" w:rsidR="006626EB" w:rsidRPr="00936629" w:rsidRDefault="006626EB" w:rsidP="006626EB">
            <w:pPr>
              <w:pStyle w:val="ListParagraph"/>
              <w:numPr>
                <w:ilvl w:val="0"/>
                <w:numId w:val="11"/>
              </w:numPr>
              <w:spacing w:before="120" w:after="120" w:line="280" w:lineRule="atLeast"/>
              <w:ind w:left="357" w:hanging="357"/>
              <w:contextualSpacing w:val="0"/>
              <w:rPr>
                <w:rFonts w:ascii="Arial" w:hAnsi="Arial" w:cs="Arial"/>
                <w:sz w:val="21"/>
                <w:szCs w:val="21"/>
              </w:rPr>
            </w:pPr>
            <w:r w:rsidRPr="00936629">
              <w:rPr>
                <w:rFonts w:ascii="Arial" w:hAnsi="Arial" w:cs="Arial"/>
                <w:sz w:val="21"/>
                <w:szCs w:val="21"/>
              </w:rPr>
              <w:t xml:space="preserve">Should the Regulations be amended to require that the operation theatre register be used to record all surgical health services </w:t>
            </w:r>
            <w:r>
              <w:rPr>
                <w:rFonts w:ascii="Arial" w:hAnsi="Arial" w:cs="Arial"/>
                <w:sz w:val="21"/>
                <w:szCs w:val="21"/>
              </w:rPr>
              <w:t>and</w:t>
            </w:r>
            <w:r w:rsidRPr="00936629">
              <w:rPr>
                <w:rFonts w:ascii="Arial" w:hAnsi="Arial" w:cs="Arial"/>
                <w:sz w:val="21"/>
                <w:szCs w:val="21"/>
              </w:rPr>
              <w:t xml:space="preserve"> speciality health services carried out in operating theatres and procedure rooms? If so, why? If not, why not?</w:t>
            </w:r>
          </w:p>
          <w:p w14:paraId="5CADCDFD" w14:textId="7F6CC7BD" w:rsidR="007363EB" w:rsidRPr="00154AF7" w:rsidRDefault="00154AF7" w:rsidP="00154AF7">
            <w:pPr>
              <w:pStyle w:val="ListParagraph"/>
              <w:numPr>
                <w:ilvl w:val="0"/>
                <w:numId w:val="11"/>
              </w:numPr>
              <w:spacing w:after="120" w:line="280" w:lineRule="atLeast"/>
              <w:contextualSpacing w:val="0"/>
              <w:rPr>
                <w:rFonts w:ascii="Arial" w:hAnsi="Arial" w:cs="Arial"/>
                <w:sz w:val="21"/>
                <w:szCs w:val="21"/>
              </w:rPr>
            </w:pPr>
            <w:r w:rsidRPr="00936629">
              <w:rPr>
                <w:rFonts w:ascii="Arial" w:hAnsi="Arial" w:cs="Arial"/>
                <w:sz w:val="21"/>
                <w:szCs w:val="21"/>
              </w:rPr>
              <w:t xml:space="preserve">Given advancements and changes in record keeping systems, is the specific requirement to keep an operation theatre register still fit for purpose? </w:t>
            </w:r>
          </w:p>
        </w:tc>
      </w:tr>
    </w:tbl>
    <w:p w14:paraId="354ECDA7" w14:textId="41DED087" w:rsidR="00B552BE" w:rsidRDefault="00B552BE" w:rsidP="00FA39A8">
      <w:pPr>
        <w:pStyle w:val="Body"/>
        <w:rPr>
          <w:rFonts w:eastAsia="MS Gothic" w:cs="Arial"/>
          <w:bCs/>
          <w:color w:val="C5511A"/>
          <w:kern w:val="32"/>
          <w:sz w:val="44"/>
          <w:szCs w:val="44"/>
        </w:rPr>
      </w:pPr>
      <w:r>
        <w:br w:type="page"/>
      </w:r>
    </w:p>
    <w:p w14:paraId="4E095CCB" w14:textId="328F0515" w:rsidR="001128D5" w:rsidRDefault="002E73FE" w:rsidP="00F6512B">
      <w:pPr>
        <w:pStyle w:val="Heading1"/>
      </w:pPr>
      <w:bookmarkStart w:id="92" w:name="_Toc143272027"/>
      <w:r>
        <w:lastRenderedPageBreak/>
        <w:t>7</w:t>
      </w:r>
      <w:r w:rsidR="001128D5">
        <w:t>. Mandatory reporting to the department and Safer Care Victoria</w:t>
      </w:r>
      <w:bookmarkEnd w:id="92"/>
    </w:p>
    <w:p w14:paraId="65A8EE6D" w14:textId="3FC04732" w:rsidR="00EB3BA6" w:rsidRDefault="00EB3BA6" w:rsidP="00EB3BA6">
      <w:pPr>
        <w:pStyle w:val="Heading2"/>
      </w:pPr>
      <w:bookmarkStart w:id="93" w:name="_Toc143272028"/>
      <w:r>
        <w:t>7.1 Reporting of transfers out</w:t>
      </w:r>
      <w:bookmarkEnd w:id="93"/>
      <w:r>
        <w:t xml:space="preserve"> </w:t>
      </w:r>
    </w:p>
    <w:p w14:paraId="1CCFB087" w14:textId="4E372EA8" w:rsidR="00EB3BA6" w:rsidRDefault="00336DFD" w:rsidP="00EB3BA6">
      <w:pPr>
        <w:pStyle w:val="Heading3"/>
      </w:pPr>
      <w:r>
        <w:t xml:space="preserve">7.1.1 </w:t>
      </w:r>
      <w:r w:rsidR="00EB3BA6">
        <w:t xml:space="preserve">Mandatory reporting to the </w:t>
      </w:r>
      <w:r w:rsidR="00C104EB">
        <w:t>department</w:t>
      </w:r>
      <w:r w:rsidR="00EB3BA6">
        <w:t xml:space="preserve"> of transfers out</w:t>
      </w:r>
    </w:p>
    <w:p w14:paraId="66B3F838" w14:textId="20B0D958" w:rsidR="00EB3BA6" w:rsidRDefault="00EB3BA6" w:rsidP="00FA39A8">
      <w:pPr>
        <w:pStyle w:val="Body"/>
      </w:pPr>
      <w:r>
        <w:t xml:space="preserve">The department is considering amending the Regulations to insert a new requirement that all private hospitals and day procedure centres must report to the department </w:t>
      </w:r>
      <w:r w:rsidR="00C7630B">
        <w:t xml:space="preserve">on transfers out of the facility. Of particular significance will be </w:t>
      </w:r>
      <w:r>
        <w:t xml:space="preserve">any transfer out of a patient due to a significant deterioration. It is expected </w:t>
      </w:r>
      <w:r w:rsidR="00C7630B">
        <w:t>that would</w:t>
      </w:r>
      <w:r>
        <w:t xml:space="preserve"> include all triple zero calls resulting in transfers and all transfers to emergency departments. </w:t>
      </w:r>
    </w:p>
    <w:p w14:paraId="214659A2" w14:textId="7A154FB8" w:rsidR="00EB3BA6" w:rsidRDefault="00EB3BA6" w:rsidP="00FA39A8">
      <w:pPr>
        <w:pStyle w:val="Body"/>
      </w:pPr>
      <w:r>
        <w:t>Currently the Regulations do not require private hospitals or day procedure centres to notify the department if a patient is transferred out due to a significant deterioration and for what reason. Significant deterioration would be intended to capture instances where the transfer out of a patient was due</w:t>
      </w:r>
      <w:r w:rsidR="00DA5D0B">
        <w:t>,</w:t>
      </w:r>
      <w:r>
        <w:t xml:space="preserve"> for example</w:t>
      </w:r>
      <w:r w:rsidR="00DA5D0B">
        <w:t>,</w:t>
      </w:r>
      <w:r>
        <w:t xml:space="preserve"> to an escalation in the care required to be provided rather than a progression in care required – so the patient requires a higher level of care than what was expected. It is important to note that a significant deterioration in care does not necessarily mean a clinical error or pre-admission screening error has been made. However, the department as the regulator and patient safety may benefit from having increased oversight of emergency transfers out of a facility due to a significant deterioration in a patient – especially if it is a repeat occurrence. </w:t>
      </w:r>
    </w:p>
    <w:p w14:paraId="44550BD8" w14:textId="440CAD66" w:rsidR="00EB3BA6" w:rsidRDefault="00532A6D" w:rsidP="00FA39A8">
      <w:pPr>
        <w:pStyle w:val="Body"/>
      </w:pPr>
      <w:r>
        <w:t>H</w:t>
      </w:r>
      <w:r w:rsidR="00EB3BA6">
        <w:t xml:space="preserve">ospitals </w:t>
      </w:r>
      <w:r>
        <w:t xml:space="preserve">receiving </w:t>
      </w:r>
      <w:r w:rsidR="00EB3BA6">
        <w:t xml:space="preserve">emergency transfers of deteriorating patients have advised the department that </w:t>
      </w:r>
      <w:r w:rsidR="00FE1747">
        <w:t>this</w:t>
      </w:r>
      <w:r w:rsidR="00EB3BA6">
        <w:t xml:space="preserve"> is reasonably common and suggested there are gaps in the department’s oversight about the prevalence or severity of these transfers. </w:t>
      </w:r>
    </w:p>
    <w:p w14:paraId="4948996C" w14:textId="65BF91FB" w:rsidR="00EB3BA6" w:rsidRDefault="00EB3BA6" w:rsidP="00FA39A8">
      <w:pPr>
        <w:pStyle w:val="Body"/>
      </w:pPr>
    </w:p>
    <w:tbl>
      <w:tblPr>
        <w:tblStyle w:val="TableGrid"/>
        <w:tblW w:w="5000" w:type="pct"/>
        <w:shd w:val="clear" w:color="auto" w:fill="F2F2F2" w:themeFill="background1" w:themeFillShade="F2"/>
        <w:tblLook w:val="06A0" w:firstRow="1" w:lastRow="0" w:firstColumn="1" w:lastColumn="0" w:noHBand="1" w:noVBand="1"/>
      </w:tblPr>
      <w:tblGrid>
        <w:gridCol w:w="9288"/>
      </w:tblGrid>
      <w:tr w:rsidR="00EB3BA6" w14:paraId="0C999F94" w14:textId="77777777" w:rsidTr="00386DDA">
        <w:trPr>
          <w:tblHeader/>
        </w:trPr>
        <w:tc>
          <w:tcPr>
            <w:tcW w:w="5000" w:type="pct"/>
            <w:tcBorders>
              <w:bottom w:val="nil"/>
            </w:tcBorders>
            <w:shd w:val="clear" w:color="auto" w:fill="F2F2F2" w:themeFill="background1" w:themeFillShade="F2"/>
          </w:tcPr>
          <w:p w14:paraId="01329563" w14:textId="77777777" w:rsidR="00EB3BA6" w:rsidRPr="00CB3285" w:rsidRDefault="00EB3BA6" w:rsidP="00386DDA">
            <w:pPr>
              <w:pStyle w:val="Tablecolhead"/>
            </w:pPr>
            <w:r>
              <w:t>Questions for consultation</w:t>
            </w:r>
          </w:p>
        </w:tc>
      </w:tr>
      <w:tr w:rsidR="00EB3BA6" w14:paraId="3A1BDD9A" w14:textId="77777777" w:rsidTr="00386DDA">
        <w:tc>
          <w:tcPr>
            <w:tcW w:w="5000" w:type="pct"/>
            <w:tcBorders>
              <w:top w:val="nil"/>
            </w:tcBorders>
            <w:shd w:val="clear" w:color="auto" w:fill="F2F2F2" w:themeFill="background1" w:themeFillShade="F2"/>
          </w:tcPr>
          <w:p w14:paraId="7C8BB579" w14:textId="522E45B1" w:rsidR="00EB3BA6" w:rsidRPr="00AD37AE" w:rsidRDefault="00EB3BA6" w:rsidP="3A18F5E8">
            <w:pPr>
              <w:pStyle w:val="ListParagraph"/>
              <w:numPr>
                <w:ilvl w:val="0"/>
                <w:numId w:val="11"/>
              </w:numPr>
              <w:spacing w:before="120" w:after="120" w:line="280" w:lineRule="atLeast"/>
              <w:ind w:left="357" w:hanging="357"/>
              <w:rPr>
                <w:rFonts w:ascii="Arial" w:hAnsi="Arial" w:cs="Arial"/>
                <w:sz w:val="21"/>
                <w:szCs w:val="21"/>
              </w:rPr>
            </w:pPr>
            <w:r w:rsidRPr="00AD37AE">
              <w:rPr>
                <w:rFonts w:ascii="Arial" w:hAnsi="Arial" w:cs="Arial"/>
                <w:sz w:val="21"/>
                <w:szCs w:val="21"/>
              </w:rPr>
              <w:t>Should the Regulations be amended to require private hospitals and day procedure centres to report to the department transfer</w:t>
            </w:r>
            <w:r w:rsidR="00C7630B">
              <w:rPr>
                <w:rFonts w:ascii="Arial" w:hAnsi="Arial" w:cs="Arial"/>
                <w:sz w:val="21"/>
                <w:szCs w:val="21"/>
              </w:rPr>
              <w:t>s</w:t>
            </w:r>
            <w:r w:rsidRPr="00AD37AE">
              <w:rPr>
                <w:rFonts w:ascii="Arial" w:hAnsi="Arial" w:cs="Arial"/>
                <w:sz w:val="21"/>
                <w:szCs w:val="21"/>
              </w:rPr>
              <w:t xml:space="preserve"> out of patients? If so, why? If not, why not?</w:t>
            </w:r>
            <w:r w:rsidR="00B85399">
              <w:rPr>
                <w:rFonts w:ascii="Arial" w:hAnsi="Arial" w:cs="Arial"/>
                <w:sz w:val="21"/>
                <w:szCs w:val="21"/>
              </w:rPr>
              <w:t xml:space="preserve"> </w:t>
            </w:r>
            <w:r w:rsidR="00C7630B">
              <w:rPr>
                <w:rFonts w:ascii="Arial" w:hAnsi="Arial" w:cs="Arial"/>
                <w:sz w:val="21"/>
                <w:szCs w:val="21"/>
              </w:rPr>
              <w:t>What would you consider an appropriate threshold for such a reporting requirement (i.e. which transfers should be reportable</w:t>
            </w:r>
            <w:r w:rsidR="00C7630B" w:rsidRPr="3A18F5E8">
              <w:rPr>
                <w:rFonts w:ascii="Arial" w:hAnsi="Arial" w:cs="Arial"/>
                <w:sz w:val="21"/>
                <w:szCs w:val="21"/>
              </w:rPr>
              <w:t>)</w:t>
            </w:r>
            <w:r w:rsidR="6D549861" w:rsidRPr="3A18F5E8">
              <w:rPr>
                <w:rFonts w:ascii="Arial" w:hAnsi="Arial" w:cs="Arial"/>
                <w:sz w:val="21"/>
                <w:szCs w:val="21"/>
              </w:rPr>
              <w:t>?</w:t>
            </w:r>
          </w:p>
          <w:p w14:paraId="0CF8A698" w14:textId="044F4AA6" w:rsidR="00EB3BA6" w:rsidRDefault="00EB3BA6" w:rsidP="00C132C8">
            <w:pPr>
              <w:pStyle w:val="ListParagraph"/>
              <w:numPr>
                <w:ilvl w:val="0"/>
                <w:numId w:val="11"/>
              </w:numPr>
              <w:spacing w:after="120" w:line="280" w:lineRule="atLeast"/>
              <w:contextualSpacing w:val="0"/>
            </w:pPr>
            <w:r w:rsidRPr="00AD37AE">
              <w:rPr>
                <w:rFonts w:ascii="Arial" w:hAnsi="Arial" w:cs="Arial"/>
                <w:sz w:val="21"/>
                <w:szCs w:val="21"/>
              </w:rPr>
              <w:t xml:space="preserve">If </w:t>
            </w:r>
            <w:r w:rsidR="00F077CF">
              <w:rPr>
                <w:rFonts w:ascii="Arial" w:hAnsi="Arial" w:cs="Arial"/>
                <w:sz w:val="21"/>
                <w:szCs w:val="21"/>
              </w:rPr>
              <w:t>private hospitals and</w:t>
            </w:r>
            <w:r w:rsidRPr="00AD37AE">
              <w:rPr>
                <w:rFonts w:ascii="Arial" w:hAnsi="Arial" w:cs="Arial"/>
                <w:sz w:val="21"/>
                <w:szCs w:val="21"/>
              </w:rPr>
              <w:t xml:space="preserve"> day procedure centres were required to report to the department any transfer out of patients due to significant deterioration, how often or quickly should the reports be made to the department, and what key information should be p</w:t>
            </w:r>
            <w:r w:rsidR="00EA2A16" w:rsidRPr="00AD37AE">
              <w:rPr>
                <w:rFonts w:ascii="Arial" w:hAnsi="Arial" w:cs="Arial"/>
                <w:sz w:val="21"/>
                <w:szCs w:val="21"/>
              </w:rPr>
              <w:t>rov</w:t>
            </w:r>
            <w:r w:rsidRPr="00AD37AE">
              <w:rPr>
                <w:rFonts w:ascii="Arial" w:hAnsi="Arial" w:cs="Arial"/>
                <w:sz w:val="21"/>
                <w:szCs w:val="21"/>
              </w:rPr>
              <w:t>ided?</w:t>
            </w:r>
          </w:p>
        </w:tc>
      </w:tr>
    </w:tbl>
    <w:p w14:paraId="17CD2B31" w14:textId="2661F75E" w:rsidR="000B66B5" w:rsidRDefault="000B66B5" w:rsidP="008329CD">
      <w:pPr>
        <w:pStyle w:val="Heading2"/>
      </w:pPr>
      <w:bookmarkStart w:id="94" w:name="_Toc131688417"/>
      <w:bookmarkStart w:id="95" w:name="_Toc143272029"/>
      <w:r>
        <w:t xml:space="preserve">7.2 </w:t>
      </w:r>
      <w:bookmarkEnd w:id="94"/>
      <w:r>
        <w:t xml:space="preserve">Adverse </w:t>
      </w:r>
      <w:r w:rsidR="004B5BF4">
        <w:t xml:space="preserve">patient safety </w:t>
      </w:r>
      <w:r>
        <w:t xml:space="preserve">events </w:t>
      </w:r>
      <w:r w:rsidR="004B5BF4">
        <w:t>(APSE)</w:t>
      </w:r>
      <w:r w:rsidR="004E5348">
        <w:t xml:space="preserve"> </w:t>
      </w:r>
      <w:r>
        <w:t>– responding and reporting</w:t>
      </w:r>
      <w:bookmarkEnd w:id="95"/>
      <w:r>
        <w:t xml:space="preserve"> </w:t>
      </w:r>
    </w:p>
    <w:p w14:paraId="4CA82255" w14:textId="14960F69" w:rsidR="007E15F3" w:rsidRPr="006D526F" w:rsidRDefault="007E15F3" w:rsidP="007E15F3">
      <w:pPr>
        <w:pStyle w:val="Body"/>
      </w:pPr>
      <w:r>
        <w:t xml:space="preserve">The </w:t>
      </w:r>
      <w:r w:rsidR="00C104EB">
        <w:t>department</w:t>
      </w:r>
      <w:r>
        <w:t xml:space="preserve"> is considering the current Regulations </w:t>
      </w:r>
      <w:r w:rsidR="00EA2CEF">
        <w:t xml:space="preserve">and associated legal requirements for services to report and respond to adverse </w:t>
      </w:r>
      <w:r w:rsidR="00531A0F">
        <w:t>events and</w:t>
      </w:r>
      <w:r w:rsidR="00EA2CEF">
        <w:t xml:space="preserve"> invites input on a number of </w:t>
      </w:r>
      <w:r w:rsidR="00531A0F">
        <w:t>issues</w:t>
      </w:r>
      <w:r w:rsidR="00EA2CEF">
        <w:t xml:space="preserve"> as set out below. </w:t>
      </w:r>
    </w:p>
    <w:p w14:paraId="34FEA45C" w14:textId="09E11EB7" w:rsidR="000B66B5" w:rsidRDefault="00F050AF" w:rsidP="00F45471">
      <w:pPr>
        <w:pStyle w:val="Heading3"/>
      </w:pPr>
      <w:r>
        <w:lastRenderedPageBreak/>
        <w:t xml:space="preserve">7.2.1 </w:t>
      </w:r>
      <w:r w:rsidR="000B66B5" w:rsidRPr="00F45471">
        <w:t>Background and context</w:t>
      </w:r>
    </w:p>
    <w:p w14:paraId="27F421AF" w14:textId="16915786" w:rsidR="000B66B5" w:rsidRPr="006D526F" w:rsidRDefault="000B66B5" w:rsidP="00FA39A8">
      <w:pPr>
        <w:pStyle w:val="Body"/>
      </w:pPr>
      <w:r w:rsidRPr="006D526F">
        <w:t>In 2016</w:t>
      </w:r>
      <w:r w:rsidR="00AE4460">
        <w:t>,</w:t>
      </w:r>
      <w:r w:rsidR="006D526F">
        <w:t xml:space="preserve"> the </w:t>
      </w:r>
      <w:r>
        <w:rPr>
          <w:rFonts w:eastAsia="Lato"/>
        </w:rPr>
        <w:t xml:space="preserve">Targeting </w:t>
      </w:r>
      <w:r w:rsidR="006D526F">
        <w:t>Zero Report</w:t>
      </w:r>
      <w:r>
        <w:rPr>
          <w:rFonts w:eastAsia="Lato"/>
        </w:rPr>
        <w:t xml:space="preserve"> </w:t>
      </w:r>
      <w:r w:rsidRPr="006D526F">
        <w:rPr>
          <w:rFonts w:eastAsia="Lato"/>
        </w:rPr>
        <w:t>made a number of findings and recommendations about oversight, reporting and response to adverse events. Since then</w:t>
      </w:r>
      <w:r w:rsidRPr="006D526F">
        <w:t xml:space="preserve">, legislative reforms have been made as part of wider changes to strengthen an open and honest culture in health services, to support identification of quality and safety risks and continuous improvement. </w:t>
      </w:r>
    </w:p>
    <w:p w14:paraId="5BBCFC42" w14:textId="77777777" w:rsidR="000B66B5" w:rsidRDefault="000B66B5" w:rsidP="000B66B5">
      <w:pPr>
        <w:pStyle w:val="Body"/>
        <w:rPr>
          <w:rFonts w:cs="Arial"/>
        </w:rPr>
      </w:pPr>
      <w:r>
        <w:rPr>
          <w:rFonts w:cs="Arial"/>
        </w:rPr>
        <w:t>As part of the reforms to apply these improvements to</w:t>
      </w:r>
      <w:r w:rsidRPr="50E6DBFB">
        <w:rPr>
          <w:rFonts w:cs="Arial"/>
        </w:rPr>
        <w:t xml:space="preserve"> the </w:t>
      </w:r>
      <w:r w:rsidRPr="0072126E">
        <w:rPr>
          <w:rStyle w:val="normaltextrun"/>
          <w:rFonts w:cs="Arial"/>
          <w:color w:val="000000" w:themeColor="text1"/>
        </w:rPr>
        <w:t>private healthcare sector</w:t>
      </w:r>
      <w:r w:rsidRPr="50E6DBFB">
        <w:rPr>
          <w:rStyle w:val="normaltextrun"/>
          <w:rFonts w:cs="Arial"/>
          <w:color w:val="000000" w:themeColor="text1"/>
        </w:rPr>
        <w:t>,</w:t>
      </w:r>
      <w:r w:rsidRPr="50E6DBFB">
        <w:rPr>
          <w:rFonts w:cs="Arial"/>
        </w:rPr>
        <w:t xml:space="preserve"> amendments</w:t>
      </w:r>
      <w:r>
        <w:rPr>
          <w:rFonts w:cs="Arial"/>
        </w:rPr>
        <w:t xml:space="preserve"> were made</w:t>
      </w:r>
      <w:r w:rsidRPr="50E6DBFB">
        <w:rPr>
          <w:rFonts w:cs="Arial"/>
        </w:rPr>
        <w:t xml:space="preserve"> to the Regulations in 2018</w:t>
      </w:r>
      <w:r>
        <w:rPr>
          <w:rFonts w:cs="Arial"/>
        </w:rPr>
        <w:t xml:space="preserve">, including: </w:t>
      </w:r>
    </w:p>
    <w:p w14:paraId="7C2646F7" w14:textId="77777777" w:rsidR="000B66B5" w:rsidRDefault="000B66B5" w:rsidP="00C132C8">
      <w:pPr>
        <w:pStyle w:val="Body"/>
        <w:numPr>
          <w:ilvl w:val="0"/>
          <w:numId w:val="27"/>
        </w:numPr>
        <w:ind w:left="426" w:hanging="426"/>
        <w:rPr>
          <w:rFonts w:cs="Arial"/>
        </w:rPr>
      </w:pPr>
      <w:r>
        <w:rPr>
          <w:rFonts w:cs="Arial"/>
        </w:rPr>
        <w:t>A new r</w:t>
      </w:r>
      <w:r w:rsidRPr="50E6DBFB">
        <w:rPr>
          <w:rFonts w:cs="Arial"/>
        </w:rPr>
        <w:t>equirement for the proprietor of a health service establishment to prepare operational protocols, which must include processes for improving quality and safety of the health services</w:t>
      </w:r>
      <w:r>
        <w:rPr>
          <w:rFonts w:cs="Arial"/>
        </w:rPr>
        <w:t>,</w:t>
      </w:r>
      <w:r w:rsidRPr="50E6DBFB">
        <w:rPr>
          <w:rFonts w:cs="Arial"/>
        </w:rPr>
        <w:t xml:space="preserve"> regular reviews of health practitioners</w:t>
      </w:r>
      <w:r>
        <w:rPr>
          <w:rFonts w:cs="Arial"/>
        </w:rPr>
        <w:t>’</w:t>
      </w:r>
      <w:r w:rsidRPr="50E6DBFB">
        <w:rPr>
          <w:rFonts w:cs="Arial"/>
        </w:rPr>
        <w:t xml:space="preserve"> credentials and scope of practice and reviews of patient safety and quality of care provided by the establishment. This regulation (r.7A) confers the responsibility for implementation and compliance with the protocols to the proprietor. </w:t>
      </w:r>
    </w:p>
    <w:p w14:paraId="637D6D83" w14:textId="1EA0496C" w:rsidR="000B66B5" w:rsidRPr="000C7BDF" w:rsidRDefault="00154DBD" w:rsidP="00C132C8">
      <w:pPr>
        <w:pStyle w:val="Body"/>
        <w:numPr>
          <w:ilvl w:val="0"/>
          <w:numId w:val="27"/>
        </w:numPr>
        <w:ind w:left="426" w:hanging="426"/>
        <w:rPr>
          <w:rFonts w:cs="Arial"/>
        </w:rPr>
      </w:pPr>
      <w:r>
        <w:rPr>
          <w:rFonts w:cs="Arial"/>
        </w:rPr>
        <w:t xml:space="preserve">A requirement to </w:t>
      </w:r>
      <w:r w:rsidR="00ED44B8">
        <w:rPr>
          <w:rFonts w:cs="Arial"/>
        </w:rPr>
        <w:t>put in place, publish and implement</w:t>
      </w:r>
      <w:r w:rsidR="00B8118D">
        <w:rPr>
          <w:rFonts w:cs="Arial"/>
        </w:rPr>
        <w:t xml:space="preserve"> an</w:t>
      </w:r>
      <w:r w:rsidR="000B66B5">
        <w:rPr>
          <w:rFonts w:cs="Arial"/>
        </w:rPr>
        <w:t xml:space="preserve"> open disclosure policy </w:t>
      </w:r>
      <w:r w:rsidR="00ED44B8">
        <w:rPr>
          <w:rStyle w:val="normaltextrun"/>
          <w:rFonts w:cs="Arial"/>
          <w:szCs w:val="21"/>
          <w:shd w:val="clear" w:color="auto" w:fill="FFFFFF"/>
        </w:rPr>
        <w:t>(</w:t>
      </w:r>
      <w:r w:rsidR="000B66B5" w:rsidRPr="0072126E">
        <w:rPr>
          <w:rStyle w:val="normaltextrun"/>
          <w:rFonts w:cs="Arial"/>
          <w:szCs w:val="21"/>
          <w:shd w:val="clear" w:color="auto" w:fill="FFFFFF"/>
        </w:rPr>
        <w:t>r.32A</w:t>
      </w:r>
      <w:r w:rsidR="00ED44B8">
        <w:rPr>
          <w:rStyle w:val="normaltextrun"/>
          <w:rFonts w:cs="Arial"/>
          <w:szCs w:val="21"/>
          <w:shd w:val="clear" w:color="auto" w:fill="FFFFFF"/>
        </w:rPr>
        <w:t>)</w:t>
      </w:r>
      <w:r w:rsidR="000B66B5" w:rsidRPr="0072126E">
        <w:rPr>
          <w:rStyle w:val="normaltextrun"/>
          <w:rFonts w:cs="Arial"/>
          <w:szCs w:val="21"/>
          <w:shd w:val="clear" w:color="auto" w:fill="FFFFFF"/>
        </w:rPr>
        <w:t>. Although this was already required as part of the NSQHS Standards</w:t>
      </w:r>
      <w:r w:rsidR="00DA5D0B">
        <w:rPr>
          <w:rStyle w:val="normaltextrun"/>
          <w:rFonts w:cs="Arial"/>
          <w:szCs w:val="21"/>
          <w:shd w:val="clear" w:color="auto" w:fill="FFFFFF"/>
        </w:rPr>
        <w:t>,</w:t>
      </w:r>
      <w:r w:rsidR="000B66B5" w:rsidRPr="0072126E">
        <w:rPr>
          <w:rStyle w:val="normaltextrun"/>
          <w:rFonts w:cs="Arial"/>
          <w:szCs w:val="21"/>
          <w:shd w:val="clear" w:color="auto" w:fill="FFFFFF"/>
        </w:rPr>
        <w:t xml:space="preserve"> </w:t>
      </w:r>
      <w:r w:rsidR="00ED44B8">
        <w:rPr>
          <w:rStyle w:val="normaltextrun"/>
          <w:rFonts w:cs="Arial"/>
          <w:szCs w:val="21"/>
          <w:shd w:val="clear" w:color="auto" w:fill="FFFFFF"/>
        </w:rPr>
        <w:t>a</w:t>
      </w:r>
      <w:r w:rsidR="000B66B5" w:rsidRPr="0072126E">
        <w:rPr>
          <w:rStyle w:val="normaltextrun"/>
          <w:rFonts w:cs="Arial"/>
          <w:szCs w:val="21"/>
          <w:shd w:val="clear" w:color="auto" w:fill="FFFFFF"/>
        </w:rPr>
        <w:t xml:space="preserve"> requirement was expressly inserted into the Regulations following the Targeting Zero </w:t>
      </w:r>
      <w:r w:rsidR="006D526F">
        <w:rPr>
          <w:rStyle w:val="normaltextrun"/>
          <w:rFonts w:cs="Arial"/>
          <w:szCs w:val="21"/>
          <w:shd w:val="clear" w:color="auto" w:fill="FFFFFF"/>
        </w:rPr>
        <w:t>R</w:t>
      </w:r>
      <w:r w:rsidR="000B66B5" w:rsidRPr="0072126E">
        <w:rPr>
          <w:rStyle w:val="normaltextrun"/>
          <w:rFonts w:cs="Arial"/>
          <w:szCs w:val="21"/>
          <w:shd w:val="clear" w:color="auto" w:fill="FFFFFF"/>
        </w:rPr>
        <w:t>eport.</w:t>
      </w:r>
    </w:p>
    <w:p w14:paraId="5DDF1720" w14:textId="2F265336" w:rsidR="000B66B5" w:rsidRPr="000B0FE5" w:rsidRDefault="000B66B5" w:rsidP="00C132C8">
      <w:pPr>
        <w:pStyle w:val="Body"/>
        <w:numPr>
          <w:ilvl w:val="0"/>
          <w:numId w:val="27"/>
        </w:numPr>
        <w:ind w:left="426" w:hanging="426"/>
        <w:rPr>
          <w:rFonts w:cs="Arial"/>
        </w:rPr>
      </w:pPr>
      <w:r w:rsidRPr="000B0FE5">
        <w:rPr>
          <w:rFonts w:cs="Arial"/>
        </w:rPr>
        <w:t xml:space="preserve">Regulations (r.48) prescribing minimum record-keeping requirements, including information relating to adverse events, </w:t>
      </w:r>
      <w:r>
        <w:rPr>
          <w:rFonts w:cs="Arial"/>
        </w:rPr>
        <w:t xml:space="preserve">sentinel events, </w:t>
      </w:r>
      <w:r w:rsidRPr="000B0FE5">
        <w:rPr>
          <w:rFonts w:cs="Arial"/>
        </w:rPr>
        <w:t>mortality and morbidity, compliance with protocols and patient experience and staff safety survey results</w:t>
      </w:r>
      <w:r w:rsidR="00FE1661">
        <w:rPr>
          <w:rFonts w:cs="Arial"/>
        </w:rPr>
        <w:t xml:space="preserve">, and requiring that </w:t>
      </w:r>
      <w:r w:rsidR="003003C6">
        <w:rPr>
          <w:rFonts w:cs="Arial"/>
        </w:rPr>
        <w:t>those records be reviewed at least every three months</w:t>
      </w:r>
      <w:r w:rsidRPr="000B0FE5">
        <w:rPr>
          <w:rFonts w:cs="Arial"/>
        </w:rPr>
        <w:t xml:space="preserve">. </w:t>
      </w:r>
    </w:p>
    <w:p w14:paraId="52870CFA" w14:textId="27730CD3" w:rsidR="000B66B5" w:rsidRDefault="000B66B5" w:rsidP="00C132C8">
      <w:pPr>
        <w:pStyle w:val="Body"/>
        <w:numPr>
          <w:ilvl w:val="0"/>
          <w:numId w:val="27"/>
        </w:numPr>
        <w:ind w:left="426" w:hanging="426"/>
        <w:rPr>
          <w:rFonts w:cs="Arial"/>
        </w:rPr>
      </w:pPr>
      <w:r>
        <w:rPr>
          <w:rFonts w:cs="Arial"/>
        </w:rPr>
        <w:t>A</w:t>
      </w:r>
      <w:r w:rsidRPr="03585CB9">
        <w:rPr>
          <w:rFonts w:cs="Arial"/>
        </w:rPr>
        <w:t xml:space="preserve"> requirement for the proprietor of a health service establishment to report sentinel events to the Secretary (r. 46A). </w:t>
      </w:r>
      <w:r w:rsidRPr="0072126E">
        <w:rPr>
          <w:rFonts w:eastAsia="Arial" w:cs="Arial"/>
        </w:rPr>
        <w:t xml:space="preserve">In the Regulations </w:t>
      </w:r>
      <w:r w:rsidR="00DA5D0B">
        <w:rPr>
          <w:rFonts w:eastAsia="Arial" w:cs="Arial"/>
        </w:rPr>
        <w:t>‘</w:t>
      </w:r>
      <w:r w:rsidRPr="00C63954">
        <w:rPr>
          <w:rFonts w:eastAsia="Arial" w:cs="Arial"/>
        </w:rPr>
        <w:t>sentinel event</w:t>
      </w:r>
      <w:r w:rsidR="00DA5D0B">
        <w:rPr>
          <w:rFonts w:eastAsia="Arial" w:cs="Arial"/>
        </w:rPr>
        <w:t>’</w:t>
      </w:r>
      <w:r w:rsidRPr="0072126E">
        <w:rPr>
          <w:rFonts w:eastAsia="Arial" w:cs="Arial"/>
        </w:rPr>
        <w:t xml:space="preserve"> means an unexpected and adverse event that occurs infrequently in a health service establishment and results in the death of, or serious physical or psychological injury to, a patient as a result of system and process deficiencies at the health service establishment</w:t>
      </w:r>
      <w:r w:rsidRPr="3ED35849">
        <w:rPr>
          <w:rFonts w:eastAsia="Arial" w:cs="Arial"/>
        </w:rPr>
        <w:t xml:space="preserve">. </w:t>
      </w:r>
      <w:r>
        <w:rPr>
          <w:rStyle w:val="normaltextrun"/>
          <w:rFonts w:eastAsia="Arial" w:cs="Arial"/>
          <w:color w:val="000000" w:themeColor="text1"/>
        </w:rPr>
        <w:t>H</w:t>
      </w:r>
      <w:r w:rsidRPr="3CB48021">
        <w:rPr>
          <w:rStyle w:val="normaltextrun"/>
          <w:rFonts w:eastAsia="Arial" w:cs="Arial"/>
          <w:color w:val="000000" w:themeColor="text1"/>
        </w:rPr>
        <w:t xml:space="preserve">ealth </w:t>
      </w:r>
      <w:r w:rsidRPr="30B28FED">
        <w:rPr>
          <w:rStyle w:val="normaltextrun"/>
          <w:rFonts w:eastAsia="Arial" w:cs="Arial"/>
          <w:color w:val="000000" w:themeColor="text1"/>
        </w:rPr>
        <w:t xml:space="preserve">services are </w:t>
      </w:r>
      <w:r w:rsidRPr="641A6517">
        <w:rPr>
          <w:rStyle w:val="normaltextrun"/>
          <w:rFonts w:eastAsia="Arial" w:cs="Arial"/>
          <w:color w:val="000000" w:themeColor="text1"/>
        </w:rPr>
        <w:t xml:space="preserve">expected to </w:t>
      </w:r>
      <w:r>
        <w:rPr>
          <w:rStyle w:val="normaltextrun"/>
          <w:rFonts w:eastAsia="Arial" w:cs="Arial"/>
          <w:color w:val="000000" w:themeColor="text1"/>
        </w:rPr>
        <w:t xml:space="preserve">meet reporting timelines, </w:t>
      </w:r>
      <w:r w:rsidRPr="47D7B177">
        <w:rPr>
          <w:rStyle w:val="normaltextrun"/>
          <w:rFonts w:eastAsia="Arial" w:cs="Arial"/>
          <w:color w:val="000000" w:themeColor="text1"/>
        </w:rPr>
        <w:t xml:space="preserve">review the </w:t>
      </w:r>
      <w:r w:rsidRPr="0DA6084D">
        <w:rPr>
          <w:rStyle w:val="normaltextrun"/>
          <w:rFonts w:eastAsia="Arial" w:cs="Arial"/>
          <w:color w:val="000000" w:themeColor="text1"/>
        </w:rPr>
        <w:t>incident</w:t>
      </w:r>
      <w:r w:rsidRPr="1302BB7B">
        <w:rPr>
          <w:rStyle w:val="normaltextrun"/>
          <w:rFonts w:eastAsia="Arial" w:cs="Arial"/>
          <w:color w:val="000000" w:themeColor="text1"/>
        </w:rPr>
        <w:t>,</w:t>
      </w:r>
      <w:r w:rsidRPr="0DA6084D">
        <w:rPr>
          <w:rStyle w:val="normaltextrun"/>
          <w:rFonts w:eastAsia="Arial" w:cs="Arial"/>
          <w:color w:val="000000" w:themeColor="text1"/>
        </w:rPr>
        <w:t xml:space="preserve"> </w:t>
      </w:r>
      <w:r w:rsidRPr="793949B3">
        <w:rPr>
          <w:rStyle w:val="normaltextrun"/>
          <w:rFonts w:eastAsia="Arial" w:cs="Arial"/>
          <w:color w:val="000000" w:themeColor="text1"/>
        </w:rPr>
        <w:t>make recommendations</w:t>
      </w:r>
      <w:r>
        <w:rPr>
          <w:rStyle w:val="normaltextrun"/>
          <w:rFonts w:eastAsia="Arial" w:cs="Arial"/>
          <w:color w:val="000000" w:themeColor="text1"/>
        </w:rPr>
        <w:t>,</w:t>
      </w:r>
      <w:r w:rsidRPr="793949B3">
        <w:rPr>
          <w:rStyle w:val="normaltextrun"/>
          <w:rFonts w:eastAsia="Arial" w:cs="Arial"/>
          <w:color w:val="000000" w:themeColor="text1"/>
        </w:rPr>
        <w:t xml:space="preserve"> </w:t>
      </w:r>
      <w:r w:rsidRPr="392A6C3F">
        <w:rPr>
          <w:rStyle w:val="normaltextrun"/>
          <w:rFonts w:eastAsia="Arial" w:cs="Arial"/>
          <w:color w:val="000000" w:themeColor="text1"/>
        </w:rPr>
        <w:t xml:space="preserve">and </w:t>
      </w:r>
      <w:r w:rsidRPr="27347D44">
        <w:rPr>
          <w:rStyle w:val="normaltextrun"/>
          <w:rFonts w:eastAsia="Arial" w:cs="Arial"/>
          <w:color w:val="000000" w:themeColor="text1"/>
        </w:rPr>
        <w:t xml:space="preserve">implement those </w:t>
      </w:r>
      <w:r w:rsidRPr="3E48A74C">
        <w:rPr>
          <w:rStyle w:val="normaltextrun"/>
          <w:rFonts w:eastAsia="Arial" w:cs="Arial"/>
          <w:color w:val="000000" w:themeColor="text1"/>
        </w:rPr>
        <w:t>recommendations</w:t>
      </w:r>
      <w:r>
        <w:rPr>
          <w:rStyle w:val="normaltextrun"/>
          <w:rFonts w:eastAsia="Arial" w:cs="Arial"/>
          <w:color w:val="000000" w:themeColor="text1"/>
        </w:rPr>
        <w:t xml:space="preserve"> per the </w:t>
      </w:r>
      <w:r w:rsidR="00FA3A98">
        <w:rPr>
          <w:rStyle w:val="normaltextrun"/>
          <w:rFonts w:eastAsia="Arial" w:cs="Arial"/>
          <w:color w:val="000000" w:themeColor="text1"/>
        </w:rPr>
        <w:t>SCV</w:t>
      </w:r>
      <w:r>
        <w:rPr>
          <w:rStyle w:val="normaltextrun"/>
          <w:rFonts w:eastAsia="Arial" w:cs="Arial"/>
          <w:color w:val="000000" w:themeColor="text1"/>
        </w:rPr>
        <w:t xml:space="preserve"> </w:t>
      </w:r>
      <w:hyperlink r:id="rId30" w:history="1">
        <w:r w:rsidR="00C7431F">
          <w:rPr>
            <w:rStyle w:val="Hyperlink"/>
          </w:rPr>
          <w:t>Victorian sentinel events guide</w:t>
        </w:r>
      </w:hyperlink>
      <w:r w:rsidRPr="70A5A144">
        <w:rPr>
          <w:rStyle w:val="normaltextrun"/>
          <w:rFonts w:eastAsia="Arial" w:cs="Arial"/>
          <w:color w:val="000000" w:themeColor="text1"/>
        </w:rPr>
        <w:t>.</w:t>
      </w:r>
      <w:r w:rsidR="00D143DD">
        <w:rPr>
          <w:rStyle w:val="FootnoteReference"/>
          <w:rFonts w:eastAsia="Arial" w:cs="Arial"/>
          <w:color w:val="000000" w:themeColor="text1"/>
        </w:rPr>
        <w:footnoteReference w:id="39"/>
      </w:r>
    </w:p>
    <w:p w14:paraId="2209B14F" w14:textId="5A360FA4" w:rsidR="000B66B5" w:rsidRPr="003B1014" w:rsidDel="0098129C" w:rsidRDefault="00E14CBF" w:rsidP="000B66B5">
      <w:pPr>
        <w:pStyle w:val="Body"/>
      </w:pPr>
      <w:r>
        <w:t>T</w:t>
      </w:r>
      <w:r w:rsidR="006E454B">
        <w:t xml:space="preserve">o </w:t>
      </w:r>
      <w:r w:rsidR="0086484B">
        <w:t>further</w:t>
      </w:r>
      <w:r w:rsidR="006E454B">
        <w:t xml:space="preserve"> </w:t>
      </w:r>
      <w:r w:rsidR="00BB45EA">
        <w:t xml:space="preserve">align </w:t>
      </w:r>
      <w:r w:rsidR="005F47D0">
        <w:t>public and private sector</w:t>
      </w:r>
      <w:r w:rsidR="00DC6E24">
        <w:t>s</w:t>
      </w:r>
      <w:r w:rsidR="005F47D0">
        <w:t xml:space="preserve"> </w:t>
      </w:r>
      <w:r w:rsidR="00D21D18">
        <w:t xml:space="preserve">and </w:t>
      </w:r>
      <w:r w:rsidR="005F0F6F">
        <w:t xml:space="preserve">drive </w:t>
      </w:r>
      <w:r w:rsidR="00D21D18">
        <w:t>continuous improvement,</w:t>
      </w:r>
      <w:r w:rsidR="006E454B">
        <w:t xml:space="preserve"> t</w:t>
      </w:r>
      <w:r>
        <w:t xml:space="preserve">he department </w:t>
      </w:r>
      <w:r w:rsidR="005F0F6F">
        <w:t>seeks</w:t>
      </w:r>
      <w:r>
        <w:t xml:space="preserve"> feedback </w:t>
      </w:r>
      <w:r w:rsidR="00174037">
        <w:t xml:space="preserve">on </w:t>
      </w:r>
      <w:r w:rsidR="00814733">
        <w:t xml:space="preserve">current </w:t>
      </w:r>
      <w:r w:rsidR="00174037">
        <w:t xml:space="preserve">processes </w:t>
      </w:r>
      <w:r w:rsidR="00814733">
        <w:t>for</w:t>
      </w:r>
      <w:r w:rsidR="00174037">
        <w:t xml:space="preserve"> </w:t>
      </w:r>
      <w:r w:rsidR="00EB6284">
        <w:t>review and reporting of adverse</w:t>
      </w:r>
      <w:r w:rsidR="005F0F6F">
        <w:t xml:space="preserve"> patient safety events</w:t>
      </w:r>
      <w:r w:rsidR="00730441">
        <w:t xml:space="preserve"> to identify opportunities and barriers for </w:t>
      </w:r>
      <w:r w:rsidR="004A3BC4">
        <w:t>robust and transparent processes</w:t>
      </w:r>
      <w:r w:rsidR="005F0F6F">
        <w:t>.</w:t>
      </w:r>
      <w:r>
        <w:t xml:space="preserve"> </w:t>
      </w:r>
      <w:r w:rsidR="003B1014" w:rsidRPr="00531A0F">
        <w:t xml:space="preserve">As outlined </w:t>
      </w:r>
      <w:r w:rsidR="000C239C">
        <w:t>in the</w:t>
      </w:r>
      <w:r w:rsidR="0023044B">
        <w:t xml:space="preserve"> </w:t>
      </w:r>
      <w:r w:rsidR="0023044B" w:rsidRPr="002206A6">
        <w:t>Introduction</w:t>
      </w:r>
      <w:r w:rsidR="000C239C">
        <w:t>,</w:t>
      </w:r>
      <w:r w:rsidR="003B1014" w:rsidRPr="00531A0F">
        <w:t xml:space="preserve"> </w:t>
      </w:r>
      <w:r w:rsidR="000B66B5" w:rsidRPr="22C97103" w:rsidDel="0098129C">
        <w:rPr>
          <w:rFonts w:cs="Arial"/>
        </w:rPr>
        <w:t xml:space="preserve">SCV has responsibility for monitoring and improving the quality and safety of </w:t>
      </w:r>
      <w:r w:rsidR="000B66B5" w:rsidRPr="00AC2A1D" w:rsidDel="0098129C">
        <w:t>care delivered across the health system</w:t>
      </w:r>
      <w:r w:rsidR="003B1014" w:rsidRPr="00531A0F">
        <w:t xml:space="preserve"> including through exercise</w:t>
      </w:r>
      <w:r w:rsidR="000B66B5" w:rsidRPr="00AC2A1D" w:rsidDel="0098129C">
        <w:t xml:space="preserve"> of </w:t>
      </w:r>
      <w:r w:rsidR="003B1014" w:rsidRPr="00531A0F">
        <w:t>legislative powers</w:t>
      </w:r>
      <w:r w:rsidR="000B66B5" w:rsidRPr="00AC2A1D" w:rsidDel="0098129C">
        <w:t xml:space="preserve"> of the CQSO</w:t>
      </w:r>
      <w:r w:rsidR="003B1014" w:rsidRPr="00531A0F">
        <w:t>.</w:t>
      </w:r>
      <w:r w:rsidR="003B1014">
        <w:t xml:space="preserve"> </w:t>
      </w:r>
    </w:p>
    <w:p w14:paraId="68E3D90C" w14:textId="12AE8B96" w:rsidR="000B66B5" w:rsidRPr="004A6007" w:rsidRDefault="00F45471" w:rsidP="00860C57">
      <w:pPr>
        <w:pStyle w:val="Heading3"/>
      </w:pPr>
      <w:r>
        <w:t>7.2.</w:t>
      </w:r>
      <w:r w:rsidR="00F050AF">
        <w:t>2</w:t>
      </w:r>
      <w:r>
        <w:t xml:space="preserve"> </w:t>
      </w:r>
      <w:r w:rsidR="000B66B5" w:rsidRPr="00F45471">
        <w:t>Statutory Duty of Candour</w:t>
      </w:r>
      <w:r w:rsidR="000B66B5" w:rsidRPr="004A6007">
        <w:t xml:space="preserve"> and serious adverse patient safety events (SAPSE)</w:t>
      </w:r>
    </w:p>
    <w:p w14:paraId="080A87CA" w14:textId="0F0D92B6" w:rsidR="000B66B5" w:rsidRDefault="000B66B5" w:rsidP="000B66B5">
      <w:pPr>
        <w:pStyle w:val="Body"/>
        <w:rPr>
          <w:rStyle w:val="normaltextrun"/>
          <w:rFonts w:cs="Arial"/>
          <w:color w:val="000000" w:themeColor="text1"/>
        </w:rPr>
      </w:pPr>
      <w:r>
        <w:t xml:space="preserve">In </w:t>
      </w:r>
      <w:r w:rsidRPr="7A4E613C">
        <w:rPr>
          <w:rFonts w:cs="Arial"/>
        </w:rPr>
        <w:t xml:space="preserve">2022, a </w:t>
      </w:r>
      <w:r w:rsidRPr="7A4E613C">
        <w:rPr>
          <w:rStyle w:val="normaltextrun"/>
          <w:rFonts w:cs="Arial"/>
          <w:color w:val="000000" w:themeColor="text1"/>
        </w:rPr>
        <w:t xml:space="preserve">statutory duty of candour (SDC) was introduced </w:t>
      </w:r>
      <w:r w:rsidR="00080206">
        <w:rPr>
          <w:rStyle w:val="normaltextrun"/>
          <w:rFonts w:cs="Arial"/>
          <w:color w:val="000000" w:themeColor="text1"/>
        </w:rPr>
        <w:t>through</w:t>
      </w:r>
      <w:r w:rsidRPr="7A4E613C">
        <w:rPr>
          <w:rStyle w:val="normaltextrun"/>
          <w:rFonts w:cs="Arial"/>
          <w:color w:val="000000" w:themeColor="text1"/>
        </w:rPr>
        <w:t xml:space="preserve"> amendments to the Act. </w:t>
      </w:r>
      <w:r w:rsidRPr="00D759D6">
        <w:rPr>
          <w:rStyle w:val="normaltextrun"/>
          <w:rFonts w:cs="Arial"/>
          <w:color w:val="000000"/>
          <w:szCs w:val="21"/>
          <w:shd w:val="clear" w:color="auto" w:fill="FFFFFF"/>
        </w:rPr>
        <w:t xml:space="preserve">The SDC </w:t>
      </w:r>
      <w:r w:rsidRPr="00A41170">
        <w:rPr>
          <w:rStyle w:val="normaltextrun"/>
          <w:rFonts w:cs="Arial"/>
          <w:szCs w:val="21"/>
          <w:shd w:val="clear" w:color="auto" w:fill="FFFFFF"/>
        </w:rPr>
        <w:t xml:space="preserve">builds on the principles and elements of open disclosure within the </w:t>
      </w:r>
      <w:hyperlink r:id="rId31" w:history="1">
        <w:r w:rsidRPr="00EE54C6">
          <w:rPr>
            <w:rStyle w:val="Hyperlink"/>
            <w:rFonts w:cs="Arial"/>
            <w:szCs w:val="21"/>
            <w:shd w:val="clear" w:color="auto" w:fill="FFFFFF"/>
          </w:rPr>
          <w:t>Australian Open Disclosure Framework</w:t>
        </w:r>
        <w:r w:rsidRPr="00EE54C6">
          <w:rPr>
            <w:rStyle w:val="Hyperlink"/>
            <w:rFonts w:cs="Arial"/>
            <w:szCs w:val="21"/>
            <w:bdr w:val="none" w:sz="0" w:space="0" w:color="auto" w:frame="1"/>
          </w:rPr>
          <w:t>.</w:t>
        </w:r>
      </w:hyperlink>
      <w:r w:rsidR="00EE54C6">
        <w:rPr>
          <w:rStyle w:val="FootnoteReference"/>
          <w:rFonts w:cs="Arial"/>
          <w:szCs w:val="21"/>
          <w:shd w:val="clear" w:color="auto" w:fill="FFFFFF"/>
        </w:rPr>
        <w:footnoteReference w:id="40"/>
      </w:r>
      <w:r w:rsidR="00C123CB">
        <w:rPr>
          <w:rStyle w:val="normaltextrun"/>
          <w:rFonts w:cs="Arial"/>
          <w:szCs w:val="21"/>
          <w:bdr w:val="none" w:sz="0" w:space="0" w:color="auto" w:frame="1"/>
        </w:rPr>
        <w:t xml:space="preserve"> </w:t>
      </w:r>
      <w:r w:rsidRPr="7A4E613C">
        <w:rPr>
          <w:rStyle w:val="normaltextrun"/>
          <w:rFonts w:cs="Arial"/>
          <w:color w:val="000000" w:themeColor="text1"/>
        </w:rPr>
        <w:t xml:space="preserve">The SDC applies to health service entities when a patient has suffered a serious adverse patient safety event (SAPSE). </w:t>
      </w:r>
    </w:p>
    <w:p w14:paraId="17080F7A" w14:textId="7B94A513" w:rsidR="000B66B5" w:rsidRDefault="000B66B5" w:rsidP="000B66B5">
      <w:pPr>
        <w:pStyle w:val="Body"/>
        <w:rPr>
          <w:rFonts w:eastAsia="Arial" w:cs="Arial"/>
        </w:rPr>
      </w:pPr>
      <w:r w:rsidRPr="1D970984">
        <w:rPr>
          <w:rFonts w:eastAsia="Arial" w:cs="Arial"/>
        </w:rPr>
        <w:lastRenderedPageBreak/>
        <w:t>In the Act</w:t>
      </w:r>
      <w:r w:rsidR="00EE0DCF">
        <w:rPr>
          <w:rFonts w:eastAsia="Arial" w:cs="Arial"/>
        </w:rPr>
        <w:t xml:space="preserve"> and the </w:t>
      </w:r>
      <w:r w:rsidR="00EE0DCF" w:rsidRPr="001349DD">
        <w:rPr>
          <w:rFonts w:eastAsia="Arial" w:cs="Arial"/>
        </w:rPr>
        <w:t>Health Services (Quality and Safety) Regulations 2020</w:t>
      </w:r>
      <w:r w:rsidR="00DE4CC6" w:rsidRPr="001349DD">
        <w:rPr>
          <w:rStyle w:val="FootnoteReference"/>
          <w:rFonts w:eastAsia="Arial" w:cs="Arial"/>
          <w:iCs/>
        </w:rPr>
        <w:footnoteReference w:id="41"/>
      </w:r>
      <w:r w:rsidRPr="1D970984">
        <w:rPr>
          <w:rFonts w:eastAsia="Arial" w:cs="Arial"/>
        </w:rPr>
        <w:t xml:space="preserve">, SAPSE is defined as an event that occurred while the patient was receiving health services from a health service entity and in the reasonable opinion of a registered health practitioner has resulted in, or is likely to result in, unintended or unexpected harm being suffered by the patient. This includes an event that is identified following discharge from the health service entity. Sentinel events are a sub-category of SAPSE and are </w:t>
      </w:r>
      <w:r>
        <w:rPr>
          <w:rFonts w:eastAsia="Arial" w:cs="Arial"/>
        </w:rPr>
        <w:t xml:space="preserve">therefore </w:t>
      </w:r>
      <w:r w:rsidRPr="1D970984">
        <w:rPr>
          <w:rFonts w:eastAsia="Arial" w:cs="Arial"/>
        </w:rPr>
        <w:t xml:space="preserve">subject to </w:t>
      </w:r>
      <w:r>
        <w:rPr>
          <w:rFonts w:eastAsia="Arial" w:cs="Arial"/>
        </w:rPr>
        <w:t>the SDC.</w:t>
      </w:r>
      <w:r w:rsidRPr="1D970984">
        <w:rPr>
          <w:rFonts w:eastAsia="Arial" w:cs="Arial"/>
        </w:rPr>
        <w:t xml:space="preserve"> </w:t>
      </w:r>
    </w:p>
    <w:p w14:paraId="2B466C8D" w14:textId="77777777" w:rsidR="000B66B5" w:rsidRPr="00D759D6" w:rsidRDefault="000B66B5" w:rsidP="000B66B5">
      <w:pPr>
        <w:pStyle w:val="Body"/>
        <w:rPr>
          <w:rStyle w:val="normaltextrun"/>
          <w:rFonts w:cs="Arial"/>
          <w:color w:val="000000"/>
          <w:szCs w:val="21"/>
          <w:shd w:val="clear" w:color="auto" w:fill="FFFFFF"/>
        </w:rPr>
      </w:pPr>
      <w:r w:rsidRPr="00D759D6">
        <w:rPr>
          <w:rStyle w:val="normaltextrun"/>
          <w:rFonts w:cs="Arial"/>
          <w:color w:val="000000"/>
          <w:szCs w:val="21"/>
          <w:shd w:val="clear" w:color="auto" w:fill="FFFFFF"/>
        </w:rPr>
        <w:t xml:space="preserve">The SDC means that </w:t>
      </w:r>
      <w:r>
        <w:rPr>
          <w:rStyle w:val="normaltextrun"/>
          <w:rFonts w:cs="Arial"/>
          <w:color w:val="000000"/>
          <w:szCs w:val="21"/>
          <w:shd w:val="clear" w:color="auto" w:fill="FFFFFF"/>
        </w:rPr>
        <w:t>health service entities</w:t>
      </w:r>
      <w:r w:rsidRPr="00D759D6">
        <w:rPr>
          <w:rStyle w:val="normaltextrun"/>
          <w:rFonts w:cs="Arial"/>
          <w:color w:val="000000"/>
          <w:szCs w:val="21"/>
          <w:shd w:val="clear" w:color="auto" w:fill="FFFFFF"/>
        </w:rPr>
        <w:t xml:space="preserve"> are required to:</w:t>
      </w:r>
    </w:p>
    <w:p w14:paraId="47BF1DA9" w14:textId="25D59E87" w:rsidR="000B66B5" w:rsidRPr="0072126E" w:rsidRDefault="000B66B5" w:rsidP="00C132C8">
      <w:pPr>
        <w:pStyle w:val="Body"/>
        <w:numPr>
          <w:ilvl w:val="0"/>
          <w:numId w:val="53"/>
        </w:numPr>
        <w:rPr>
          <w:rFonts w:cs="Arial"/>
          <w:szCs w:val="21"/>
          <w:lang w:eastAsia="en-AU"/>
        </w:rPr>
      </w:pPr>
      <w:r w:rsidRPr="0072126E">
        <w:rPr>
          <w:rFonts w:cs="Arial"/>
          <w:szCs w:val="21"/>
          <w:lang w:eastAsia="en-AU"/>
        </w:rPr>
        <w:t>apologise to any person seriously harmed while receiving care</w:t>
      </w:r>
      <w:r w:rsidR="00C123CB">
        <w:rPr>
          <w:rFonts w:cs="Arial"/>
          <w:szCs w:val="21"/>
          <w:lang w:eastAsia="en-AU"/>
        </w:rPr>
        <w:t xml:space="preserve"> </w:t>
      </w:r>
    </w:p>
    <w:p w14:paraId="09E1BE54" w14:textId="77777777" w:rsidR="000B66B5" w:rsidRPr="0072126E" w:rsidRDefault="000B66B5" w:rsidP="00C132C8">
      <w:pPr>
        <w:pStyle w:val="Body"/>
        <w:numPr>
          <w:ilvl w:val="0"/>
          <w:numId w:val="53"/>
        </w:numPr>
        <w:rPr>
          <w:rFonts w:cs="Arial"/>
          <w:szCs w:val="21"/>
          <w:lang w:eastAsia="en-AU"/>
        </w:rPr>
      </w:pPr>
      <w:r w:rsidRPr="0072126E">
        <w:rPr>
          <w:rFonts w:cs="Arial"/>
          <w:szCs w:val="21"/>
          <w:lang w:eastAsia="en-AU"/>
        </w:rPr>
        <w:t>give a written account of the facts regarding the SAPSE</w:t>
      </w:r>
    </w:p>
    <w:p w14:paraId="344F5F81" w14:textId="77777777" w:rsidR="000B66B5" w:rsidRPr="0072126E" w:rsidRDefault="000B66B5" w:rsidP="00C132C8">
      <w:pPr>
        <w:pStyle w:val="Body"/>
        <w:numPr>
          <w:ilvl w:val="0"/>
          <w:numId w:val="53"/>
        </w:numPr>
        <w:rPr>
          <w:rStyle w:val="normaltextrun"/>
          <w:rFonts w:cs="Arial"/>
          <w:szCs w:val="21"/>
          <w:lang w:eastAsia="en-AU"/>
        </w:rPr>
      </w:pPr>
      <w:r w:rsidRPr="0072126E">
        <w:rPr>
          <w:rFonts w:cs="Arial"/>
          <w:szCs w:val="21"/>
          <w:lang w:eastAsia="en-AU"/>
        </w:rPr>
        <w:t>describe what action was taken and improvements put in place to prevent re-occurrence of the event.</w:t>
      </w:r>
    </w:p>
    <w:p w14:paraId="640F9A2C" w14:textId="5D18B6D2" w:rsidR="000B66B5" w:rsidRDefault="000B66B5" w:rsidP="000B66B5">
      <w:pPr>
        <w:pStyle w:val="Body"/>
        <w:rPr>
          <w:rStyle w:val="normaltextrun"/>
          <w:rFonts w:cs="Arial"/>
          <w:szCs w:val="21"/>
        </w:rPr>
      </w:pPr>
      <w:r w:rsidRPr="0072126E">
        <w:rPr>
          <w:rStyle w:val="normaltextrun"/>
          <w:rFonts w:cs="Arial"/>
          <w:szCs w:val="21"/>
        </w:rPr>
        <w:t xml:space="preserve">This must be carried out in </w:t>
      </w:r>
      <w:r w:rsidRPr="00A41170">
        <w:rPr>
          <w:rStyle w:val="normaltextrun"/>
          <w:rFonts w:cs="Arial"/>
          <w:color w:val="000000" w:themeColor="text1"/>
          <w:szCs w:val="21"/>
        </w:rPr>
        <w:t xml:space="preserve">compliance with requirements and any </w:t>
      </w:r>
      <w:r w:rsidRPr="00751981">
        <w:rPr>
          <w:rStyle w:val="normaltextrun"/>
          <w:rFonts w:cs="Arial"/>
          <w:szCs w:val="21"/>
        </w:rPr>
        <w:t xml:space="preserve">timelines </w:t>
      </w:r>
      <w:r w:rsidRPr="00751981">
        <w:rPr>
          <w:rFonts w:cs="Arial"/>
          <w:szCs w:val="21"/>
        </w:rPr>
        <w:t xml:space="preserve">set out in the </w:t>
      </w:r>
      <w:hyperlink r:id="rId32" w:history="1">
        <w:r w:rsidRPr="00047743">
          <w:rPr>
            <w:rStyle w:val="Hyperlink"/>
          </w:rPr>
          <w:t>Victorian Duty of Candour Guidelines</w:t>
        </w:r>
      </w:hyperlink>
      <w:r w:rsidRPr="00751981">
        <w:rPr>
          <w:rFonts w:cs="Arial"/>
          <w:szCs w:val="21"/>
        </w:rPr>
        <w:t>.</w:t>
      </w:r>
      <w:r w:rsidR="00047743">
        <w:rPr>
          <w:rStyle w:val="FootnoteReference"/>
          <w:rFonts w:cs="Arial"/>
          <w:szCs w:val="21"/>
        </w:rPr>
        <w:footnoteReference w:id="42"/>
      </w:r>
      <w:r w:rsidRPr="00751981">
        <w:rPr>
          <w:rStyle w:val="normaltextrun"/>
          <w:rFonts w:cs="Arial"/>
          <w:szCs w:val="21"/>
        </w:rPr>
        <w:t xml:space="preserve"> </w:t>
      </w:r>
    </w:p>
    <w:p w14:paraId="459A80AC" w14:textId="0E27C631" w:rsidR="000B66B5" w:rsidRPr="00751981" w:rsidRDefault="000B66B5" w:rsidP="000B66B5">
      <w:pPr>
        <w:pStyle w:val="Body"/>
        <w:rPr>
          <w:rStyle w:val="normaltextrun"/>
          <w:rFonts w:cs="Arial"/>
          <w:szCs w:val="21"/>
        </w:rPr>
      </w:pPr>
      <w:r w:rsidRPr="7A4E613C">
        <w:rPr>
          <w:rStyle w:val="normaltextrun"/>
          <w:rFonts w:cs="Arial"/>
          <w:color w:val="000000" w:themeColor="text1"/>
        </w:rPr>
        <w:t>There are legal protections in place for apologies</w:t>
      </w:r>
      <w:r>
        <w:rPr>
          <w:rStyle w:val="normaltextrun"/>
          <w:rFonts w:cs="Arial"/>
          <w:color w:val="000000" w:themeColor="text1"/>
        </w:rPr>
        <w:t xml:space="preserve"> made in compliance with the SDC – s</w:t>
      </w:r>
      <w:r w:rsidR="00441771">
        <w:rPr>
          <w:rStyle w:val="normaltextrun"/>
          <w:rFonts w:cs="Arial"/>
          <w:color w:val="000000" w:themeColor="text1"/>
        </w:rPr>
        <w:t>.</w:t>
      </w:r>
      <w:r>
        <w:rPr>
          <w:rStyle w:val="normaltextrun"/>
          <w:rFonts w:cs="Arial"/>
          <w:color w:val="000000" w:themeColor="text1"/>
        </w:rPr>
        <w:t xml:space="preserve">128ZD of the Act provides that </w:t>
      </w:r>
      <w:r w:rsidR="003320A8">
        <w:rPr>
          <w:rStyle w:val="normaltextrun"/>
          <w:rFonts w:cs="Arial"/>
          <w:color w:val="000000" w:themeColor="text1"/>
        </w:rPr>
        <w:t>evidence of an apology is</w:t>
      </w:r>
      <w:r w:rsidR="0019530C">
        <w:rPr>
          <w:rStyle w:val="normaltextrun"/>
          <w:rFonts w:cs="Arial"/>
          <w:color w:val="000000" w:themeColor="text1"/>
        </w:rPr>
        <w:t xml:space="preserve"> not admissible in any civil or disciplinary proceeding, and as </w:t>
      </w:r>
      <w:r>
        <w:rPr>
          <w:rStyle w:val="normaltextrun"/>
          <w:rFonts w:cs="Arial"/>
          <w:color w:val="000000" w:themeColor="text1"/>
        </w:rPr>
        <w:t xml:space="preserve">such does not constitute an express or implied admission of </w:t>
      </w:r>
      <w:r w:rsidR="002C4D5A">
        <w:rPr>
          <w:rStyle w:val="normaltextrun"/>
          <w:rFonts w:cs="Arial"/>
          <w:color w:val="000000" w:themeColor="text1"/>
        </w:rPr>
        <w:t xml:space="preserve">fault or </w:t>
      </w:r>
      <w:r>
        <w:rPr>
          <w:rStyle w:val="normaltextrun"/>
          <w:rFonts w:cs="Arial"/>
          <w:color w:val="000000" w:themeColor="text1"/>
        </w:rPr>
        <w:t>liability.</w:t>
      </w:r>
    </w:p>
    <w:p w14:paraId="53471588" w14:textId="3D512155" w:rsidR="000B66B5" w:rsidRDefault="000B66B5" w:rsidP="000B66B5">
      <w:pPr>
        <w:pStyle w:val="Body"/>
        <w:rPr>
          <w:rStyle w:val="normaltextrun"/>
          <w:rFonts w:cs="Arial"/>
          <w:color w:val="000000" w:themeColor="text1"/>
        </w:rPr>
      </w:pPr>
      <w:r w:rsidRPr="6127121A">
        <w:rPr>
          <w:rStyle w:val="normaltextrun"/>
          <w:rFonts w:cs="Arial"/>
          <w:color w:val="000000" w:themeColor="text1"/>
        </w:rPr>
        <w:t>Division 8 of the Act covers SAPSE reviews</w:t>
      </w:r>
      <w:r>
        <w:rPr>
          <w:rStyle w:val="normaltextrun"/>
          <w:rFonts w:cs="Arial"/>
          <w:color w:val="000000" w:themeColor="text1"/>
        </w:rPr>
        <w:t>. The Act states that if</w:t>
      </w:r>
      <w:r w:rsidRPr="00F12CA3">
        <w:t xml:space="preserve"> a </w:t>
      </w:r>
      <w:r w:rsidR="00BF0261">
        <w:t>SAPSE</w:t>
      </w:r>
      <w:r w:rsidRPr="00F12CA3">
        <w:t xml:space="preserve"> occurs, a SAPSE review may be conducted by a SAPSE review panel</w:t>
      </w:r>
      <w:r>
        <w:t xml:space="preserve">. The panel may be appointed voluntarily or compulsorily upon direction from the Secretary </w:t>
      </w:r>
      <w:r w:rsidR="00BF0261">
        <w:t>of the Department of Health</w:t>
      </w:r>
      <w:r>
        <w:t xml:space="preserve"> (s.128P). This panel may be a joint </w:t>
      </w:r>
      <w:r w:rsidR="000E7A49">
        <w:t xml:space="preserve">SAPSE </w:t>
      </w:r>
      <w:r>
        <w:t xml:space="preserve">review panel if the event involves two or more health </w:t>
      </w:r>
      <w:r w:rsidR="000E7A49">
        <w:t>service</w:t>
      </w:r>
      <w:r>
        <w:t xml:space="preserve"> entities. Membership requirements of the panel (s.128Q)</w:t>
      </w:r>
      <w:r>
        <w:rPr>
          <w:rStyle w:val="normaltextrun"/>
          <w:rFonts w:cs="Arial"/>
          <w:color w:val="000000" w:themeColor="text1"/>
        </w:rPr>
        <w:t xml:space="preserve"> ensure that the panel members are sufficiently experienced, skilled and independent from the event – including a requirement that the </w:t>
      </w:r>
      <w:r w:rsidR="00621BD4">
        <w:rPr>
          <w:rStyle w:val="normaltextrun"/>
          <w:rFonts w:cs="Arial"/>
          <w:color w:val="000000" w:themeColor="text1"/>
        </w:rPr>
        <w:t>p</w:t>
      </w:r>
      <w:r>
        <w:rPr>
          <w:rStyle w:val="normaltextrun"/>
          <w:rFonts w:cs="Arial"/>
          <w:color w:val="000000" w:themeColor="text1"/>
        </w:rPr>
        <w:t xml:space="preserve">anel must include a person not employed or engaged by the relevant health service provider. Regulations 3C and 3D of the </w:t>
      </w:r>
      <w:r w:rsidRPr="001349DD">
        <w:rPr>
          <w:rStyle w:val="normaltextrun"/>
          <w:rFonts w:cs="Arial"/>
          <w:color w:val="000000" w:themeColor="text1"/>
        </w:rPr>
        <w:t xml:space="preserve">Health Services (Quality and Safety) Regulations </w:t>
      </w:r>
      <w:r w:rsidR="0098684D" w:rsidRPr="001349DD">
        <w:rPr>
          <w:rStyle w:val="normaltextrun"/>
          <w:rFonts w:cs="Arial"/>
          <w:color w:val="000000" w:themeColor="text1"/>
        </w:rPr>
        <w:t>2020</w:t>
      </w:r>
      <w:r>
        <w:rPr>
          <w:rStyle w:val="normaltextrun"/>
          <w:rFonts w:cs="Arial"/>
          <w:color w:val="000000" w:themeColor="text1"/>
        </w:rPr>
        <w:t xml:space="preserve"> specify more detail on the constitution of the </w:t>
      </w:r>
      <w:r w:rsidR="00D04483">
        <w:rPr>
          <w:rStyle w:val="normaltextrun"/>
          <w:rFonts w:cs="Arial"/>
          <w:color w:val="000000" w:themeColor="text1"/>
        </w:rPr>
        <w:t>p</w:t>
      </w:r>
      <w:r>
        <w:rPr>
          <w:rStyle w:val="normaltextrun"/>
          <w:rFonts w:cs="Arial"/>
          <w:color w:val="000000" w:themeColor="text1"/>
        </w:rPr>
        <w:t>anel including a requirement that if the SAPSE was a sentinel event</w:t>
      </w:r>
      <w:r w:rsidR="000B50E3">
        <w:rPr>
          <w:rStyle w:val="normaltextrun"/>
          <w:rFonts w:cs="Arial"/>
          <w:color w:val="000000" w:themeColor="text1"/>
        </w:rPr>
        <w:t>,</w:t>
      </w:r>
      <w:r>
        <w:rPr>
          <w:rStyle w:val="normaltextrun"/>
          <w:rFonts w:cs="Arial"/>
          <w:color w:val="000000" w:themeColor="text1"/>
        </w:rPr>
        <w:t xml:space="preserve"> the panel must include a consumer representative. Sections 128R and 128S </w:t>
      </w:r>
      <w:r w:rsidRPr="6127121A">
        <w:rPr>
          <w:rStyle w:val="normaltextrun"/>
          <w:rFonts w:cs="Arial"/>
          <w:color w:val="000000" w:themeColor="text1"/>
        </w:rPr>
        <w:t>provide</w:t>
      </w:r>
      <w:r>
        <w:rPr>
          <w:rStyle w:val="normaltextrun"/>
          <w:rFonts w:cs="Arial"/>
          <w:color w:val="000000" w:themeColor="text1"/>
        </w:rPr>
        <w:t xml:space="preserve"> protection from liability for SAPSE review panel members and participants respectively. </w:t>
      </w:r>
    </w:p>
    <w:p w14:paraId="6911F472" w14:textId="5769C980" w:rsidR="000B66B5" w:rsidRPr="00522944" w:rsidRDefault="000B66B5" w:rsidP="000B66B5">
      <w:pPr>
        <w:pStyle w:val="Body"/>
        <w:rPr>
          <w:rStyle w:val="normaltextrun"/>
          <w:rFonts w:eastAsia="Arial" w:cs="Arial"/>
        </w:rPr>
      </w:pPr>
      <w:r>
        <w:rPr>
          <w:rStyle w:val="normaltextrun"/>
          <w:rFonts w:cs="Arial"/>
          <w:color w:val="000000" w:themeColor="text1"/>
        </w:rPr>
        <w:t xml:space="preserve">The panel must produce a </w:t>
      </w:r>
      <w:r w:rsidR="009A3168">
        <w:rPr>
          <w:rStyle w:val="normaltextrun"/>
          <w:rFonts w:cs="Arial"/>
          <w:color w:val="000000" w:themeColor="text1"/>
        </w:rPr>
        <w:t xml:space="preserve">SAPSE review </w:t>
      </w:r>
      <w:r>
        <w:rPr>
          <w:rStyle w:val="normaltextrun"/>
          <w:rFonts w:cs="Arial"/>
          <w:color w:val="000000" w:themeColor="text1"/>
        </w:rPr>
        <w:t xml:space="preserve">report covering elements of the investigation, analysis of why the event happened and any contributing factors, and recommendations for changes or improvements that could reduce the likelihood of the event happening again. </w:t>
      </w:r>
    </w:p>
    <w:p w14:paraId="70DBA4C9" w14:textId="42DE947B" w:rsidR="000B66B5" w:rsidRDefault="000B66B5" w:rsidP="000B66B5">
      <w:pPr>
        <w:pStyle w:val="Body"/>
        <w:rPr>
          <w:rFonts w:ascii="Helvetica" w:hAnsi="Helvetica"/>
          <w:color w:val="4A4A4A"/>
          <w:szCs w:val="21"/>
        </w:rPr>
      </w:pPr>
      <w:r>
        <w:rPr>
          <w:rStyle w:val="normaltextrun"/>
          <w:rFonts w:cs="Arial"/>
          <w:color w:val="000000" w:themeColor="text1"/>
        </w:rPr>
        <w:t xml:space="preserve">While conduct of a SAPSE review is not specifically mandated in legislation, they </w:t>
      </w:r>
      <w:r w:rsidRPr="00A41170">
        <w:rPr>
          <w:rFonts w:cs="Arial"/>
          <w:szCs w:val="21"/>
        </w:rPr>
        <w:t xml:space="preserve">are </w:t>
      </w:r>
      <w:r w:rsidR="00B430DE">
        <w:rPr>
          <w:rFonts w:cs="Arial"/>
          <w:szCs w:val="21"/>
        </w:rPr>
        <w:t>a</w:t>
      </w:r>
      <w:r w:rsidRPr="00A41170">
        <w:rPr>
          <w:rFonts w:cs="Arial"/>
          <w:szCs w:val="21"/>
        </w:rPr>
        <w:t xml:space="preserve"> valuable quality and safety improvement process</w:t>
      </w:r>
      <w:r>
        <w:rPr>
          <w:rStyle w:val="normaltextrun"/>
          <w:rFonts w:cs="Arial"/>
          <w:color w:val="000000" w:themeColor="text1"/>
        </w:rPr>
        <w:t xml:space="preserve"> and may </w:t>
      </w:r>
      <w:r w:rsidR="00514D27">
        <w:rPr>
          <w:rStyle w:val="normaltextrun"/>
          <w:rFonts w:cs="Arial"/>
          <w:color w:val="000000" w:themeColor="text1"/>
        </w:rPr>
        <w:t xml:space="preserve">assist </w:t>
      </w:r>
      <w:r>
        <w:rPr>
          <w:rStyle w:val="normaltextrun"/>
          <w:rFonts w:cs="Arial"/>
          <w:color w:val="000000" w:themeColor="text1"/>
        </w:rPr>
        <w:t xml:space="preserve">health services </w:t>
      </w:r>
      <w:r w:rsidR="00514D27">
        <w:rPr>
          <w:rStyle w:val="normaltextrun"/>
          <w:rFonts w:cs="Arial"/>
          <w:color w:val="000000" w:themeColor="text1"/>
        </w:rPr>
        <w:t xml:space="preserve">in </w:t>
      </w:r>
      <w:r>
        <w:rPr>
          <w:rStyle w:val="normaltextrun"/>
          <w:rFonts w:cs="Arial"/>
          <w:color w:val="000000" w:themeColor="text1"/>
        </w:rPr>
        <w:t>fulfil</w:t>
      </w:r>
      <w:r w:rsidR="00514D27">
        <w:rPr>
          <w:rStyle w:val="normaltextrun"/>
          <w:rFonts w:cs="Arial"/>
          <w:color w:val="000000" w:themeColor="text1"/>
        </w:rPr>
        <w:t>ling</w:t>
      </w:r>
      <w:r>
        <w:rPr>
          <w:rStyle w:val="normaltextrun"/>
          <w:rFonts w:cs="Arial"/>
          <w:color w:val="000000" w:themeColor="text1"/>
        </w:rPr>
        <w:t xml:space="preserve"> their SDC </w:t>
      </w:r>
      <w:r w:rsidR="00EF2593">
        <w:rPr>
          <w:rStyle w:val="normaltextrun"/>
          <w:rFonts w:cs="Arial"/>
          <w:color w:val="000000" w:themeColor="text1"/>
        </w:rPr>
        <w:t>requirements</w:t>
      </w:r>
      <w:r>
        <w:rPr>
          <w:rStyle w:val="normaltextrun"/>
          <w:rFonts w:cs="Arial"/>
          <w:color w:val="000000" w:themeColor="text1"/>
        </w:rPr>
        <w:t xml:space="preserve">. </w:t>
      </w:r>
      <w:r w:rsidRPr="00A41170">
        <w:rPr>
          <w:rFonts w:cs="Arial"/>
          <w:szCs w:val="21"/>
        </w:rPr>
        <w:t xml:space="preserve">The legal protections </w:t>
      </w:r>
      <w:r w:rsidRPr="00A41170">
        <w:rPr>
          <w:rStyle w:val="normaltextrun"/>
          <w:rFonts w:cs="Arial"/>
          <w:szCs w:val="21"/>
          <w:bdr w:val="none" w:sz="0" w:space="0" w:color="auto" w:frame="1"/>
        </w:rPr>
        <w:t>for disclosures made during the SDC and SAPSE review process</w:t>
      </w:r>
      <w:r>
        <w:rPr>
          <w:rStyle w:val="normaltextrun"/>
          <w:rFonts w:cs="Arial"/>
          <w:szCs w:val="21"/>
          <w:bdr w:val="none" w:sz="0" w:space="0" w:color="auto" w:frame="1"/>
        </w:rPr>
        <w:t>es</w:t>
      </w:r>
      <w:r w:rsidRPr="00A41170">
        <w:rPr>
          <w:rFonts w:cs="Arial"/>
          <w:szCs w:val="21"/>
        </w:rPr>
        <w:t xml:space="preserve"> aim to foster a culture where errors and harm are effectively identified and discussed openly, improving </w:t>
      </w:r>
      <w:r w:rsidRPr="00A41170">
        <w:rPr>
          <w:rStyle w:val="normaltextrun"/>
          <w:rFonts w:cs="Arial"/>
          <w:szCs w:val="21"/>
          <w:bdr w:val="none" w:sz="0" w:space="0" w:color="auto" w:frame="1"/>
        </w:rPr>
        <w:t>health outcomes by ensuring a robust and transparent response to adverse incidents</w:t>
      </w:r>
      <w:r w:rsidRPr="00A41170">
        <w:rPr>
          <w:rFonts w:cs="Arial"/>
          <w:szCs w:val="21"/>
        </w:rPr>
        <w:t>, and more comprehensive and effective recommendations for improvements</w:t>
      </w:r>
      <w:r w:rsidRPr="00A41170">
        <w:rPr>
          <w:rStyle w:val="normaltextrun"/>
          <w:rFonts w:cs="Arial"/>
          <w:szCs w:val="21"/>
          <w:bdr w:val="none" w:sz="0" w:space="0" w:color="auto" w:frame="1"/>
        </w:rPr>
        <w:t>.</w:t>
      </w:r>
      <w:r w:rsidR="00C123CB">
        <w:rPr>
          <w:rFonts w:ascii="Helvetica" w:hAnsi="Helvetica"/>
          <w:szCs w:val="21"/>
        </w:rPr>
        <w:t xml:space="preserve"> </w:t>
      </w:r>
      <w:r w:rsidR="005C216E">
        <w:rPr>
          <w:rFonts w:ascii="Helvetica" w:hAnsi="Helvetica"/>
          <w:szCs w:val="21"/>
        </w:rPr>
        <w:t xml:space="preserve">SCV offers a </w:t>
      </w:r>
      <w:r w:rsidR="005C216E">
        <w:rPr>
          <w:rFonts w:ascii="Helvetica" w:hAnsi="Helvetica"/>
          <w:szCs w:val="21"/>
        </w:rPr>
        <w:lastRenderedPageBreak/>
        <w:t xml:space="preserve">range of supports for services </w:t>
      </w:r>
      <w:r w:rsidR="005432EE">
        <w:rPr>
          <w:rFonts w:ascii="Helvetica" w:hAnsi="Helvetica"/>
          <w:szCs w:val="21"/>
        </w:rPr>
        <w:t xml:space="preserve">in relation to the </w:t>
      </w:r>
      <w:r w:rsidR="00B473C3">
        <w:rPr>
          <w:rFonts w:ascii="Helvetica" w:hAnsi="Helvetica"/>
          <w:szCs w:val="21"/>
        </w:rPr>
        <w:t xml:space="preserve">SDC, SAPSE reviews and </w:t>
      </w:r>
      <w:r w:rsidR="00D51A0E">
        <w:rPr>
          <w:rFonts w:ascii="Helvetica" w:hAnsi="Helvetica"/>
          <w:szCs w:val="21"/>
        </w:rPr>
        <w:t>adverse event reporting and response.</w:t>
      </w:r>
      <w:r w:rsidR="00D51A0E">
        <w:rPr>
          <w:rStyle w:val="FootnoteReference"/>
          <w:rFonts w:ascii="Helvetica" w:hAnsi="Helvetica"/>
          <w:szCs w:val="21"/>
        </w:rPr>
        <w:footnoteReference w:id="43"/>
      </w:r>
    </w:p>
    <w:p w14:paraId="354D9806" w14:textId="41F20C0E" w:rsidR="000B66B5" w:rsidRPr="00F45471" w:rsidRDefault="00F45471" w:rsidP="00F45471">
      <w:pPr>
        <w:pStyle w:val="Heading3"/>
      </w:pPr>
      <w:r>
        <w:t>7.2.</w:t>
      </w:r>
      <w:r w:rsidR="00F050AF">
        <w:t>3</w:t>
      </w:r>
      <w:r>
        <w:t xml:space="preserve"> </w:t>
      </w:r>
      <w:r w:rsidR="000B66B5" w:rsidRPr="00F45471">
        <w:t xml:space="preserve">Statutory Duty of Candour Reporting under the Regulations </w:t>
      </w:r>
    </w:p>
    <w:p w14:paraId="7CCDF252" w14:textId="77777777" w:rsidR="000B66B5" w:rsidRDefault="000B66B5" w:rsidP="000B66B5">
      <w:pPr>
        <w:pStyle w:val="Body"/>
        <w:rPr>
          <w:rStyle w:val="normaltextrun"/>
          <w:rFonts w:cs="Arial"/>
          <w:color w:val="000000" w:themeColor="text1"/>
        </w:rPr>
      </w:pPr>
      <w:r w:rsidRPr="7A4E613C">
        <w:rPr>
          <w:rStyle w:val="normaltextrun"/>
          <w:rFonts w:cs="Arial"/>
          <w:color w:val="000000" w:themeColor="text1"/>
        </w:rPr>
        <w:t xml:space="preserve">To give effect to the changes introduced by the SDC, the Regulations </w:t>
      </w:r>
      <w:r>
        <w:rPr>
          <w:rStyle w:val="normaltextrun"/>
          <w:rFonts w:cs="Arial"/>
          <w:color w:val="000000" w:themeColor="text1"/>
        </w:rPr>
        <w:t>were amended in June 2023, with effect from 1 July 2023.</w:t>
      </w:r>
      <w:r w:rsidRPr="7A4E613C">
        <w:rPr>
          <w:rStyle w:val="normaltextrun"/>
          <w:rFonts w:cs="Arial"/>
          <w:color w:val="000000" w:themeColor="text1"/>
        </w:rPr>
        <w:t xml:space="preserve"> </w:t>
      </w:r>
      <w:r>
        <w:rPr>
          <w:rStyle w:val="normaltextrun"/>
          <w:rFonts w:cs="Arial"/>
          <w:color w:val="000000" w:themeColor="text1"/>
        </w:rPr>
        <w:t>These amendments</w:t>
      </w:r>
      <w:r w:rsidRPr="7A4E613C">
        <w:rPr>
          <w:rStyle w:val="normaltextrun"/>
          <w:rFonts w:cs="Arial"/>
          <w:color w:val="000000" w:themeColor="text1"/>
        </w:rPr>
        <w:t xml:space="preserve"> require </w:t>
      </w:r>
      <w:r w:rsidRPr="6A7BE5E7">
        <w:rPr>
          <w:rStyle w:val="normaltextrun"/>
          <w:rFonts w:cs="Arial"/>
          <w:color w:val="000000" w:themeColor="text1"/>
        </w:rPr>
        <w:t>a private hospital or day procedure centre</w:t>
      </w:r>
      <w:r w:rsidRPr="7A4E613C">
        <w:rPr>
          <w:rStyle w:val="normaltextrun"/>
          <w:rFonts w:cs="Arial"/>
          <w:color w:val="000000" w:themeColor="text1"/>
        </w:rPr>
        <w:t xml:space="preserve"> to keep records and lodge reports/returns on metrics related to the</w:t>
      </w:r>
      <w:r>
        <w:rPr>
          <w:rStyle w:val="normaltextrun"/>
          <w:rFonts w:cs="Arial"/>
          <w:color w:val="000000" w:themeColor="text1"/>
        </w:rPr>
        <w:t>ir performance with</w:t>
      </w:r>
      <w:r w:rsidRPr="7A4E613C">
        <w:rPr>
          <w:rStyle w:val="normaltextrun"/>
          <w:rFonts w:cs="Arial"/>
          <w:color w:val="000000" w:themeColor="text1"/>
        </w:rPr>
        <w:t xml:space="preserve"> SDC</w:t>
      </w:r>
      <w:r>
        <w:rPr>
          <w:rStyle w:val="normaltextrun"/>
          <w:rFonts w:cs="Arial"/>
          <w:color w:val="000000" w:themeColor="text1"/>
        </w:rPr>
        <w:t xml:space="preserve"> obligations</w:t>
      </w:r>
      <w:r w:rsidRPr="7A4E613C">
        <w:rPr>
          <w:rStyle w:val="normaltextrun"/>
          <w:rFonts w:cs="Arial"/>
          <w:color w:val="000000" w:themeColor="text1"/>
        </w:rPr>
        <w:t xml:space="preserve">. </w:t>
      </w:r>
    </w:p>
    <w:p w14:paraId="03D63352" w14:textId="74AB6B87" w:rsidR="000B66B5" w:rsidRDefault="000B66B5" w:rsidP="000B66B5">
      <w:pPr>
        <w:pStyle w:val="Body"/>
      </w:pPr>
      <w:r>
        <w:t>The proprietor of a private hospital or day procedure centre must report data for a 6</w:t>
      </w:r>
      <w:r w:rsidR="001C2A22">
        <w:t>-</w:t>
      </w:r>
      <w:r>
        <w:t>month reporting period on the number of SAPSE</w:t>
      </w:r>
      <w:r w:rsidR="00BF3A00">
        <w:t>s</w:t>
      </w:r>
      <w:r>
        <w:t xml:space="preserve"> occurring at the private hospital or day procedure centre in the first 3 months of the 6</w:t>
      </w:r>
      <w:r w:rsidR="00F42AE1">
        <w:t>-</w:t>
      </w:r>
      <w:r>
        <w:t>month reporting period and, for these events, the following information for the whole 6</w:t>
      </w:r>
      <w:r w:rsidR="00035629">
        <w:t>-</w:t>
      </w:r>
      <w:r>
        <w:t xml:space="preserve">month period: </w:t>
      </w:r>
    </w:p>
    <w:p w14:paraId="4B7B8A42" w14:textId="77777777" w:rsidR="000B66B5" w:rsidRDefault="000B66B5" w:rsidP="00C132C8">
      <w:pPr>
        <w:pStyle w:val="Body"/>
        <w:numPr>
          <w:ilvl w:val="0"/>
          <w:numId w:val="25"/>
        </w:numPr>
      </w:pPr>
      <w:r>
        <w:t xml:space="preserve">the number of instances where the duty of candour process was commenced; </w:t>
      </w:r>
    </w:p>
    <w:p w14:paraId="5D73EC07" w14:textId="2E89BF91" w:rsidR="000B66B5" w:rsidRDefault="000B66B5" w:rsidP="00C132C8">
      <w:pPr>
        <w:pStyle w:val="Body"/>
        <w:numPr>
          <w:ilvl w:val="0"/>
          <w:numId w:val="25"/>
        </w:numPr>
      </w:pPr>
      <w:r>
        <w:t>the number of instances where the health service has completed the duty of candour process by providing the information specified in s</w:t>
      </w:r>
      <w:r w:rsidR="00FE028A">
        <w:t>.</w:t>
      </w:r>
      <w:r>
        <w:t xml:space="preserve">128ZC(l)(a) of the Act; and </w:t>
      </w:r>
    </w:p>
    <w:p w14:paraId="4332B185" w14:textId="77777777" w:rsidR="000B66B5" w:rsidRPr="001721EF" w:rsidRDefault="000B66B5" w:rsidP="00C132C8">
      <w:pPr>
        <w:pStyle w:val="Body"/>
        <w:numPr>
          <w:ilvl w:val="0"/>
          <w:numId w:val="25"/>
        </w:numPr>
        <w:rPr>
          <w:rStyle w:val="normaltextrun"/>
          <w:color w:val="000000"/>
        </w:rPr>
      </w:pPr>
      <w:r>
        <w:t>the number of instances where the patient/next of kin/carer has chosen not to receive the duty of candour information.</w:t>
      </w:r>
      <w:r w:rsidDel="001B5907">
        <w:rPr>
          <w:rStyle w:val="normaltextrun"/>
          <w:rFonts w:cs="Arial"/>
          <w:color w:val="000000"/>
          <w:szCs w:val="21"/>
          <w:shd w:val="clear" w:color="auto" w:fill="FFFFFF"/>
        </w:rPr>
        <w:t xml:space="preserve"> </w:t>
      </w:r>
    </w:p>
    <w:p w14:paraId="0AD10127" w14:textId="1C1211BB" w:rsidR="000B66B5" w:rsidRDefault="000B66B5" w:rsidP="000B66B5">
      <w:pPr>
        <w:pStyle w:val="Body"/>
        <w:rPr>
          <w:color w:val="000000"/>
        </w:rPr>
      </w:pPr>
      <w:r w:rsidRPr="3D20F1B8">
        <w:rPr>
          <w:rFonts w:cs="Arial"/>
          <w:color w:val="000000" w:themeColor="text1"/>
        </w:rPr>
        <w:t>With reporting</w:t>
      </w:r>
      <w:r>
        <w:rPr>
          <w:rFonts w:cs="Arial"/>
          <w:color w:val="000000" w:themeColor="text1"/>
        </w:rPr>
        <w:t xml:space="preserve"> now mandatory</w:t>
      </w:r>
      <w:r w:rsidRPr="3D20F1B8">
        <w:rPr>
          <w:rFonts w:cs="Arial"/>
          <w:color w:val="000000" w:themeColor="text1"/>
        </w:rPr>
        <w:t>,</w:t>
      </w:r>
      <w:r w:rsidRPr="3D20F1B8">
        <w:rPr>
          <w:color w:val="000000" w:themeColor="text1"/>
        </w:rPr>
        <w:t xml:space="preserve"> private hospitals and day procedure centres</w:t>
      </w:r>
      <w:r w:rsidRPr="3D20F1B8">
        <w:rPr>
          <w:color w:val="000000"/>
        </w:rPr>
        <w:t xml:space="preserve"> start reporting on SAPSEs from</w:t>
      </w:r>
      <w:r>
        <w:rPr>
          <w:color w:val="000000"/>
        </w:rPr>
        <w:t xml:space="preserve"> </w:t>
      </w:r>
      <w:r w:rsidRPr="3D20F1B8">
        <w:rPr>
          <w:rFonts w:cs="Arial"/>
          <w:color w:val="000000" w:themeColor="text1"/>
        </w:rPr>
        <w:t>1 July 2023</w:t>
      </w:r>
      <w:r w:rsidRPr="3D20F1B8">
        <w:rPr>
          <w:color w:val="000000"/>
        </w:rPr>
        <w:t xml:space="preserve">, </w:t>
      </w:r>
      <w:r w:rsidRPr="3D20F1B8">
        <w:rPr>
          <w:color w:val="000000" w:themeColor="text1"/>
        </w:rPr>
        <w:t>with</w:t>
      </w:r>
      <w:r w:rsidRPr="3D20F1B8">
        <w:rPr>
          <w:color w:val="000000"/>
        </w:rPr>
        <w:t xml:space="preserve"> </w:t>
      </w:r>
      <w:r w:rsidRPr="3D20F1B8">
        <w:rPr>
          <w:color w:val="000000" w:themeColor="text1"/>
        </w:rPr>
        <w:t xml:space="preserve">the first report due to be lodged </w:t>
      </w:r>
      <w:r w:rsidRPr="3D20F1B8">
        <w:rPr>
          <w:color w:val="000000"/>
        </w:rPr>
        <w:t>by 14 January 2024.</w:t>
      </w:r>
      <w:r w:rsidRPr="3D20F1B8">
        <w:rPr>
          <w:color w:val="000000" w:themeColor="text1"/>
        </w:rPr>
        <w:t xml:space="preserve"> </w:t>
      </w:r>
      <w:r>
        <w:rPr>
          <w:color w:val="000000" w:themeColor="text1"/>
        </w:rPr>
        <w:t>L</w:t>
      </w:r>
      <w:r w:rsidRPr="3D20F1B8">
        <w:rPr>
          <w:color w:val="000000" w:themeColor="text1"/>
        </w:rPr>
        <w:t>odgement will be quarterly</w:t>
      </w:r>
      <w:r>
        <w:rPr>
          <w:color w:val="000000" w:themeColor="text1"/>
        </w:rPr>
        <w:t xml:space="preserve"> thereafter.</w:t>
      </w:r>
      <w:r w:rsidR="001334FB">
        <w:rPr>
          <w:color w:val="000000" w:themeColor="text1"/>
        </w:rPr>
        <w:t xml:space="preserve"> </w:t>
      </w:r>
      <w:r w:rsidR="00FF027B">
        <w:rPr>
          <w:color w:val="000000" w:themeColor="text1"/>
        </w:rPr>
        <w:t xml:space="preserve">Reporting requirements and </w:t>
      </w:r>
      <w:r w:rsidR="001334FB">
        <w:rPr>
          <w:color w:val="000000" w:themeColor="text1"/>
        </w:rPr>
        <w:t>portal are published on the SCV website.</w:t>
      </w:r>
      <w:r w:rsidR="001334FB">
        <w:rPr>
          <w:rStyle w:val="FootnoteReference"/>
          <w:color w:val="000000" w:themeColor="text1"/>
        </w:rPr>
        <w:footnoteReference w:id="44"/>
      </w:r>
      <w:r w:rsidR="001334FB">
        <w:rPr>
          <w:color w:val="000000" w:themeColor="text1"/>
        </w:rPr>
        <w:t xml:space="preserve"> </w:t>
      </w:r>
    </w:p>
    <w:p w14:paraId="0F25F3BD" w14:textId="4C783BB6" w:rsidR="000B66B5" w:rsidRPr="001F2014" w:rsidRDefault="00F45471" w:rsidP="00F45471">
      <w:pPr>
        <w:pStyle w:val="Heading3"/>
      </w:pPr>
      <w:r>
        <w:t>7.2.</w:t>
      </w:r>
      <w:r w:rsidR="00F050AF">
        <w:t>4</w:t>
      </w:r>
      <w:r>
        <w:t xml:space="preserve"> </w:t>
      </w:r>
      <w:r w:rsidR="000B66B5" w:rsidRPr="00F45471">
        <w:t>Reviews of SAPSEs</w:t>
      </w:r>
    </w:p>
    <w:p w14:paraId="3E044079" w14:textId="77777777" w:rsidR="000B66B5" w:rsidRDefault="000B66B5" w:rsidP="000B66B5">
      <w:pPr>
        <w:pStyle w:val="Body"/>
      </w:pPr>
      <w:r>
        <w:t>As set out above, recent reforms have sought to strengthen arrangements for timely and robust review of adverse events. A recent coronial investigation has resulted in recommendations that the Regulations should be amended to introduce requirements that:</w:t>
      </w:r>
    </w:p>
    <w:p w14:paraId="442A3F3E" w14:textId="7FF69316" w:rsidR="000B66B5" w:rsidRDefault="000B66B5" w:rsidP="00C132C8">
      <w:pPr>
        <w:pStyle w:val="Body"/>
        <w:numPr>
          <w:ilvl w:val="0"/>
          <w:numId w:val="23"/>
        </w:numPr>
      </w:pPr>
      <w:r>
        <w:t>all health facilities, public and private</w:t>
      </w:r>
      <w:r w:rsidR="00AC0D04">
        <w:t>,</w:t>
      </w:r>
      <w:r>
        <w:t xml:space="preserve"> are required to undertake root cause analysis reports of sentinel events and serious adverse patient safety events; and </w:t>
      </w:r>
    </w:p>
    <w:p w14:paraId="23C90CD6" w14:textId="77777777" w:rsidR="000B66B5" w:rsidRDefault="000B66B5" w:rsidP="00C132C8">
      <w:pPr>
        <w:pStyle w:val="Body"/>
        <w:numPr>
          <w:ilvl w:val="0"/>
          <w:numId w:val="23"/>
        </w:numPr>
      </w:pPr>
      <w:r>
        <w:t>private hospitals be required to have an independent member on a root cause analysis panel consistent with the requirements imposed on public hospitals.</w:t>
      </w:r>
    </w:p>
    <w:p w14:paraId="72FE2303" w14:textId="5424D969" w:rsidR="000B66B5" w:rsidRDefault="000B66B5" w:rsidP="000B66B5">
      <w:pPr>
        <w:pStyle w:val="Body"/>
      </w:pPr>
      <w:r>
        <w:t xml:space="preserve">These recommendations have been accepted in principle. The </w:t>
      </w:r>
      <w:r w:rsidR="00C104EB">
        <w:t>department</w:t>
      </w:r>
      <w:r>
        <w:t xml:space="preserve"> is considering how best to build on the existing arrangements outlined above, to give effect to these recommendations and ensure patient safety is prioritised and adverse events are investigated with a high level of rigour and transparency.</w:t>
      </w:r>
    </w:p>
    <w:p w14:paraId="1A922FEA" w14:textId="66F62077" w:rsidR="000B66B5" w:rsidRPr="001F2014" w:rsidRDefault="00F050AF" w:rsidP="00F45471">
      <w:pPr>
        <w:pStyle w:val="Heading3"/>
      </w:pPr>
      <w:r>
        <w:lastRenderedPageBreak/>
        <w:t xml:space="preserve">7.2.5 </w:t>
      </w:r>
      <w:r w:rsidR="000B66B5" w:rsidRPr="00F45471">
        <w:t>Issues for consultation</w:t>
      </w:r>
      <w:r w:rsidR="000B66B5" w:rsidRPr="001F2014" w:rsidDel="00C87670">
        <w:t xml:space="preserve"> </w:t>
      </w:r>
    </w:p>
    <w:p w14:paraId="32901086" w14:textId="4A235B40" w:rsidR="005F6583" w:rsidRDefault="000B66B5" w:rsidP="000B66B5">
      <w:pPr>
        <w:pStyle w:val="Body"/>
      </w:pPr>
      <w:r>
        <w:t xml:space="preserve">An effective investigation or review process requires a robust, transparent and collaborative approach. </w:t>
      </w:r>
      <w:r w:rsidR="00BD37CF">
        <w:t>The approach to incident management should be consistent across Victorian health services.</w:t>
      </w:r>
      <w:r w:rsidR="00D56FAE">
        <w:t xml:space="preserve"> The </w:t>
      </w:r>
      <w:r w:rsidR="00A256A2">
        <w:t xml:space="preserve">subsequent recommendations arising from reviews should be implemented and </w:t>
      </w:r>
      <w:r w:rsidR="009F610D">
        <w:t>insights shared.</w:t>
      </w:r>
    </w:p>
    <w:p w14:paraId="1014A958" w14:textId="2C4166D6" w:rsidR="001F789E" w:rsidRDefault="000B66B5" w:rsidP="000B66B5">
      <w:pPr>
        <w:pStyle w:val="Body"/>
      </w:pPr>
      <w:r>
        <w:t xml:space="preserve">The department is aware that </w:t>
      </w:r>
      <w:r w:rsidR="00AE6809">
        <w:t>these processes</w:t>
      </w:r>
      <w:r>
        <w:t xml:space="preserve"> may </w:t>
      </w:r>
      <w:r w:rsidR="00AE6809">
        <w:t>be hindered</w:t>
      </w:r>
      <w:r>
        <w:t xml:space="preserve"> when health services are hesitant </w:t>
      </w:r>
      <w:r w:rsidR="001F789E">
        <w:t>to</w:t>
      </w:r>
      <w:r w:rsidR="004F4447">
        <w:t>:</w:t>
      </w:r>
    </w:p>
    <w:p w14:paraId="34ED3730" w14:textId="67CD3ECC" w:rsidR="001F789E" w:rsidRDefault="00D913A1" w:rsidP="00C132C8">
      <w:pPr>
        <w:pStyle w:val="Body"/>
        <w:numPr>
          <w:ilvl w:val="0"/>
          <w:numId w:val="28"/>
        </w:numPr>
      </w:pPr>
      <w:r>
        <w:t>review</w:t>
      </w:r>
      <w:r w:rsidR="002B7CA4">
        <w:t xml:space="preserve"> </w:t>
      </w:r>
      <w:r w:rsidR="000B66B5">
        <w:t>sentinel events</w:t>
      </w:r>
      <w:r>
        <w:t xml:space="preserve"> using an </w:t>
      </w:r>
      <w:r w:rsidR="0070069E">
        <w:t>accepted</w:t>
      </w:r>
      <w:r w:rsidR="00BE4296">
        <w:t xml:space="preserve"> </w:t>
      </w:r>
      <w:r w:rsidR="0070069E">
        <w:t>robust</w:t>
      </w:r>
      <w:r>
        <w:t xml:space="preserve"> methodolog</w:t>
      </w:r>
      <w:r w:rsidR="001C5738">
        <w:t>y</w:t>
      </w:r>
    </w:p>
    <w:p w14:paraId="5B39ACAF" w14:textId="21171862" w:rsidR="001F789E" w:rsidRDefault="000B66B5" w:rsidP="00C132C8">
      <w:pPr>
        <w:pStyle w:val="Body"/>
        <w:numPr>
          <w:ilvl w:val="0"/>
          <w:numId w:val="28"/>
        </w:numPr>
      </w:pPr>
      <w:r>
        <w:t xml:space="preserve">use the existing SCV reporting </w:t>
      </w:r>
      <w:r w:rsidR="001A48DE">
        <w:t>portal</w:t>
      </w:r>
      <w:r w:rsidR="00974A92">
        <w:t xml:space="preserve"> (</w:t>
      </w:r>
      <w:r w:rsidR="0070069E">
        <w:t>designed</w:t>
      </w:r>
      <w:r>
        <w:t xml:space="preserve"> </w:t>
      </w:r>
      <w:r w:rsidR="00A802A9">
        <w:t xml:space="preserve">to </w:t>
      </w:r>
      <w:r w:rsidR="0070069E">
        <w:t xml:space="preserve">reflect a robust process and support </w:t>
      </w:r>
      <w:r w:rsidR="00710025">
        <w:t xml:space="preserve">effective </w:t>
      </w:r>
      <w:r w:rsidR="0070069E">
        <w:t xml:space="preserve">monitoring </w:t>
      </w:r>
      <w:r w:rsidR="00344A0C">
        <w:t xml:space="preserve">of </w:t>
      </w:r>
      <w:r w:rsidR="00710025">
        <w:t xml:space="preserve">reported data </w:t>
      </w:r>
      <w:r w:rsidR="0070069E">
        <w:t xml:space="preserve">by SCV) </w:t>
      </w:r>
    </w:p>
    <w:p w14:paraId="7544E75E" w14:textId="200E2F4F" w:rsidR="000B66B5" w:rsidRDefault="000B66B5" w:rsidP="00C132C8">
      <w:pPr>
        <w:pStyle w:val="Body"/>
        <w:numPr>
          <w:ilvl w:val="0"/>
          <w:numId w:val="28"/>
        </w:numPr>
      </w:pPr>
      <w:r>
        <w:t xml:space="preserve">participate in multi-agency reviews where the investigation of an event covers more than one facility. </w:t>
      </w:r>
    </w:p>
    <w:p w14:paraId="6F6CE64D" w14:textId="6412D769" w:rsidR="000B66B5" w:rsidRDefault="000B66B5" w:rsidP="000B66B5">
      <w:pPr>
        <w:pStyle w:val="Body"/>
      </w:pPr>
      <w:r>
        <w:rPr>
          <w:rStyle w:val="normaltextrun"/>
          <w:rFonts w:cs="Arial"/>
          <w:color w:val="000000"/>
          <w:szCs w:val="21"/>
          <w:shd w:val="clear" w:color="auto" w:fill="FFFFFF"/>
        </w:rPr>
        <w:t xml:space="preserve">To address these issues </w:t>
      </w:r>
      <w:r w:rsidR="00B260AB">
        <w:rPr>
          <w:rStyle w:val="normaltextrun"/>
          <w:rFonts w:cs="Arial"/>
          <w:color w:val="000000"/>
          <w:szCs w:val="21"/>
          <w:shd w:val="clear" w:color="auto" w:fill="FFFFFF"/>
        </w:rPr>
        <w:t xml:space="preserve">and aim for consistency across the health </w:t>
      </w:r>
      <w:r w:rsidR="00771218">
        <w:rPr>
          <w:rStyle w:val="normaltextrun"/>
          <w:rFonts w:cs="Arial"/>
          <w:color w:val="000000"/>
          <w:szCs w:val="21"/>
          <w:shd w:val="clear" w:color="auto" w:fill="FFFFFF"/>
        </w:rPr>
        <w:t>sector</w:t>
      </w:r>
      <w:r w:rsidR="004F4447">
        <w:rPr>
          <w:rStyle w:val="normaltextrun"/>
          <w:rFonts w:cs="Arial"/>
          <w:color w:val="000000"/>
          <w:szCs w:val="21"/>
          <w:shd w:val="clear" w:color="auto" w:fill="FFFFFF"/>
        </w:rPr>
        <w:t>,</w:t>
      </w:r>
      <w:r>
        <w:rPr>
          <w:rStyle w:val="normaltextrun"/>
          <w:rFonts w:cs="Arial"/>
          <w:color w:val="000000"/>
          <w:szCs w:val="21"/>
          <w:shd w:val="clear" w:color="auto" w:fill="FFFFFF"/>
        </w:rPr>
        <w:t xml:space="preserve"> the department is considering whether </w:t>
      </w:r>
      <w:r>
        <w:t>to mandate the following:</w:t>
      </w:r>
    </w:p>
    <w:p w14:paraId="3FCBFA34" w14:textId="2531A72C" w:rsidR="000B66B5" w:rsidRDefault="000B66B5" w:rsidP="00C132C8">
      <w:pPr>
        <w:pStyle w:val="Body"/>
        <w:numPr>
          <w:ilvl w:val="0"/>
          <w:numId w:val="24"/>
        </w:numPr>
      </w:pPr>
      <w:r>
        <w:t xml:space="preserve">All sentinel event reporting must be made in the manner determined by the Secretary. For most health services, this change will have no effect as they already use the Sentinel event portal on the </w:t>
      </w:r>
      <w:r w:rsidR="00FA3A98">
        <w:t>SCV</w:t>
      </w:r>
      <w:r>
        <w:t xml:space="preserve"> website</w:t>
      </w:r>
      <w:r w:rsidR="00F66F4D">
        <w:t xml:space="preserve"> and follow the </w:t>
      </w:r>
      <w:r w:rsidR="00583F28">
        <w:rPr>
          <w:rStyle w:val="normaltextrun"/>
          <w:rFonts w:eastAsia="Arial" w:cs="Arial"/>
          <w:color w:val="000000" w:themeColor="text1"/>
        </w:rPr>
        <w:t xml:space="preserve">SCV </w:t>
      </w:r>
      <w:hyperlink r:id="rId33" w:history="1">
        <w:r w:rsidR="00583F28">
          <w:rPr>
            <w:rStyle w:val="Hyperlink"/>
          </w:rPr>
          <w:t>Victorian sentinel events guide</w:t>
        </w:r>
      </w:hyperlink>
      <w:r>
        <w:t>.</w:t>
      </w:r>
      <w:r w:rsidR="00B55C27">
        <w:rPr>
          <w:rStyle w:val="FootnoteReference"/>
        </w:rPr>
        <w:footnoteReference w:id="45"/>
      </w:r>
    </w:p>
    <w:p w14:paraId="377D2CD0" w14:textId="1583D254" w:rsidR="000B66B5" w:rsidRDefault="000B66B5" w:rsidP="00C132C8">
      <w:pPr>
        <w:pStyle w:val="Body"/>
        <w:numPr>
          <w:ilvl w:val="0"/>
          <w:numId w:val="24"/>
        </w:numPr>
      </w:pPr>
      <w:r>
        <w:t xml:space="preserve">That all </w:t>
      </w:r>
      <w:r w:rsidR="00860C57">
        <w:t xml:space="preserve">adverse patient safety events </w:t>
      </w:r>
      <w:r w:rsidR="0027004C">
        <w:t>(</w:t>
      </w:r>
      <w:r w:rsidR="00E145C2">
        <w:t>APSEs</w:t>
      </w:r>
      <w:r w:rsidR="0027004C">
        <w:t>)</w:t>
      </w:r>
      <w:r>
        <w:t xml:space="preserve"> must be reviewed</w:t>
      </w:r>
      <w:r w:rsidR="00E145C2">
        <w:t xml:space="preserve"> in line with </w:t>
      </w:r>
      <w:r w:rsidR="00FA3A98">
        <w:t>SCV</w:t>
      </w:r>
      <w:r w:rsidR="00E145C2">
        <w:t>’s</w:t>
      </w:r>
      <w:r w:rsidR="001A499C">
        <w:t xml:space="preserve"> </w:t>
      </w:r>
      <w:hyperlink r:id="rId34" w:history="1">
        <w:r w:rsidR="001A499C" w:rsidRPr="00522A44">
          <w:rPr>
            <w:rStyle w:val="Hyperlink"/>
          </w:rPr>
          <w:t>Adverse Patient Safety Events</w:t>
        </w:r>
        <w:r w:rsidR="004F23FF" w:rsidRPr="00522A44">
          <w:rPr>
            <w:rStyle w:val="Hyperlink"/>
          </w:rPr>
          <w:t xml:space="preserve"> Policy</w:t>
        </w:r>
      </w:hyperlink>
      <w:r w:rsidR="00522A44" w:rsidRPr="00027D39">
        <w:rPr>
          <w:rStyle w:val="FootnoteReference"/>
        </w:rPr>
        <w:footnoteReference w:id="46"/>
      </w:r>
      <w:r>
        <w:t xml:space="preserve">, </w:t>
      </w:r>
      <w:r w:rsidR="0010092F">
        <w:t>noting</w:t>
      </w:r>
      <w:r>
        <w:t xml:space="preserve"> that </w:t>
      </w:r>
      <w:r w:rsidR="00A871E5">
        <w:t>depending on the incident severity rating</w:t>
      </w:r>
      <w:r>
        <w:t xml:space="preserve"> these reviews </w:t>
      </w:r>
      <w:r w:rsidR="008D1B7B">
        <w:t>must</w:t>
      </w:r>
      <w:r>
        <w:t xml:space="preserve"> </w:t>
      </w:r>
      <w:r w:rsidR="001140BA">
        <w:t>be undertaken using an a</w:t>
      </w:r>
      <w:r w:rsidR="00CF7A87">
        <w:t xml:space="preserve">pproved methodology (for example, root cause analysis, London </w:t>
      </w:r>
      <w:r w:rsidR="00187A68">
        <w:t>Protocol</w:t>
      </w:r>
      <w:r w:rsidR="00725C4C">
        <w:t xml:space="preserve">, </w:t>
      </w:r>
      <w:r w:rsidR="00C34401">
        <w:t>i</w:t>
      </w:r>
      <w:r w:rsidR="00725C4C">
        <w:t>n</w:t>
      </w:r>
      <w:r w:rsidR="00C34401">
        <w:t>-</w:t>
      </w:r>
      <w:r w:rsidR="00725C4C">
        <w:t>depth case review)</w:t>
      </w:r>
      <w:r w:rsidR="008D1B7B">
        <w:t xml:space="preserve"> </w:t>
      </w:r>
    </w:p>
    <w:p w14:paraId="4A707BC1" w14:textId="0BB91108" w:rsidR="005662C4" w:rsidRDefault="000B66B5" w:rsidP="000B66B5">
      <w:pPr>
        <w:pStyle w:val="Body"/>
      </w:pPr>
      <w:r>
        <w:t xml:space="preserve">The department is aware that service providers may have a range of arrangements in place for review of APSEs, </w:t>
      </w:r>
      <w:r w:rsidR="00501F2F">
        <w:t>particularly</w:t>
      </w:r>
      <w:r w:rsidR="003966F7">
        <w:t xml:space="preserve"> </w:t>
      </w:r>
      <w:r>
        <w:t xml:space="preserve">following </w:t>
      </w:r>
      <w:r w:rsidR="00501F2F">
        <w:t>the</w:t>
      </w:r>
      <w:r>
        <w:t xml:space="preserve"> introduction of the recent reforms</w:t>
      </w:r>
      <w:r w:rsidR="00FC0E27">
        <w:t xml:space="preserve"> to the Act</w:t>
      </w:r>
      <w:r>
        <w:t xml:space="preserve">, and is seeking feedback on the anticipated impact of introducing specific mandatory requirements for those reviews in the Regulations. </w:t>
      </w:r>
    </w:p>
    <w:p w14:paraId="78E0814F" w14:textId="2311F915" w:rsidR="002F66B2" w:rsidRDefault="005662C4" w:rsidP="000B66B5">
      <w:pPr>
        <w:pStyle w:val="Body"/>
      </w:pPr>
      <w:r>
        <w:t>Finally</w:t>
      </w:r>
      <w:r w:rsidR="00B074F0">
        <w:t>,</w:t>
      </w:r>
      <w:r w:rsidR="00C54930">
        <w:t xml:space="preserve"> the department is considering </w:t>
      </w:r>
      <w:r w:rsidR="003F398E">
        <w:t xml:space="preserve">the benefits and implications of broader incident reporting by health service establishments. </w:t>
      </w:r>
      <w:r w:rsidR="008E1DB4">
        <w:t>T</w:t>
      </w:r>
      <w:r w:rsidR="00895091">
        <w:t xml:space="preserve">he future goal is to </w:t>
      </w:r>
      <w:r w:rsidR="001143F3">
        <w:t xml:space="preserve">have private </w:t>
      </w:r>
      <w:r w:rsidR="00EB404A">
        <w:t>sector</w:t>
      </w:r>
      <w:r w:rsidR="001143F3">
        <w:t xml:space="preserve"> health services reporting into </w:t>
      </w:r>
      <w:r w:rsidR="009450DF">
        <w:t xml:space="preserve">the Victorian Health Incident Management </w:t>
      </w:r>
      <w:r w:rsidR="00032A83">
        <w:t xml:space="preserve">System </w:t>
      </w:r>
      <w:r w:rsidR="009450DF">
        <w:t>(VHIMS) database</w:t>
      </w:r>
      <w:r w:rsidR="00732C73">
        <w:t xml:space="preserve">. This is the database used for incident reporting by public sector </w:t>
      </w:r>
      <w:r w:rsidR="00D33BF0">
        <w:t>hospitals</w:t>
      </w:r>
      <w:r w:rsidR="0054188C">
        <w:t xml:space="preserve">. It </w:t>
      </w:r>
      <w:r w:rsidR="00605EFE" w:rsidRPr="0054188C">
        <w:t>is a standardised dataset for the collection and classification of clinical, occupational health and safety incidents, near misses, hazards and consumer feedback</w:t>
      </w:r>
      <w:r w:rsidR="0054188C">
        <w:t>.</w:t>
      </w:r>
      <w:r w:rsidR="0054188C">
        <w:rPr>
          <w:rStyle w:val="FootnoteReference"/>
        </w:rPr>
        <w:footnoteReference w:id="47"/>
      </w:r>
      <w:r w:rsidR="00605EFE">
        <w:t xml:space="preserve"> </w:t>
      </w:r>
      <w:r w:rsidR="00FB1098">
        <w:t xml:space="preserve">The data reported </w:t>
      </w:r>
      <w:r w:rsidR="00B353D3">
        <w:t>supports quality and safety</w:t>
      </w:r>
      <w:r w:rsidR="00FB1098">
        <w:t xml:space="preserve"> oversight by the department and </w:t>
      </w:r>
      <w:r w:rsidR="00FA3A98">
        <w:t>SCV</w:t>
      </w:r>
      <w:r w:rsidR="00F73E93">
        <w:t xml:space="preserve">. The data is also analysed by the </w:t>
      </w:r>
      <w:hyperlink r:id="rId35" w:history="1">
        <w:r w:rsidR="00F73E93" w:rsidRPr="00533646">
          <w:rPr>
            <w:rStyle w:val="Hyperlink"/>
          </w:rPr>
          <w:t>Victorian Agency for Health Information</w:t>
        </w:r>
      </w:hyperlink>
      <w:r w:rsidR="00F73E93">
        <w:t xml:space="preserve"> </w:t>
      </w:r>
      <w:r w:rsidR="00CD56C9">
        <w:t xml:space="preserve">(VAHI) </w:t>
      </w:r>
      <w:r w:rsidR="00F73E93">
        <w:t xml:space="preserve">and reported </w:t>
      </w:r>
      <w:r w:rsidR="00886EAF">
        <w:t>back</w:t>
      </w:r>
      <w:r w:rsidR="00EF6F9A">
        <w:t xml:space="preserve"> to </w:t>
      </w:r>
      <w:r w:rsidR="00031B1D">
        <w:t>health services</w:t>
      </w:r>
      <w:r w:rsidR="00F73E93">
        <w:t xml:space="preserve">, </w:t>
      </w:r>
      <w:r w:rsidR="00EF6F9A">
        <w:t xml:space="preserve">to inform </w:t>
      </w:r>
      <w:r w:rsidR="00F73E93">
        <w:t xml:space="preserve">their </w:t>
      </w:r>
      <w:r w:rsidR="00886EAF">
        <w:t>internal review</w:t>
      </w:r>
      <w:r w:rsidR="007C60E2">
        <w:t xml:space="preserve"> and continuous improvement activities</w:t>
      </w:r>
      <w:r w:rsidR="00EF6F9A">
        <w:t>.</w:t>
      </w:r>
      <w:r w:rsidR="007C60E2">
        <w:t xml:space="preserve"> </w:t>
      </w:r>
      <w:r w:rsidR="00F73E93">
        <w:t>Consistent reporting</w:t>
      </w:r>
      <w:r w:rsidR="00451FC9">
        <w:t xml:space="preserve"> from across the private and public sectors </w:t>
      </w:r>
      <w:r w:rsidR="00F73E93">
        <w:t>would allow</w:t>
      </w:r>
      <w:r w:rsidR="001F12C2">
        <w:t xml:space="preserve"> </w:t>
      </w:r>
      <w:r w:rsidR="00EE5D29">
        <w:t xml:space="preserve">a </w:t>
      </w:r>
      <w:r w:rsidR="001F12C2">
        <w:t xml:space="preserve">system-wide </w:t>
      </w:r>
      <w:r w:rsidR="001F12C2">
        <w:lastRenderedPageBreak/>
        <w:t>approach</w:t>
      </w:r>
      <w:r w:rsidR="00095718">
        <w:t xml:space="preserve"> to improved healthcare</w:t>
      </w:r>
      <w:r w:rsidR="003D4619">
        <w:t xml:space="preserve"> and </w:t>
      </w:r>
      <w:r w:rsidR="00451FC9">
        <w:t xml:space="preserve">provide services with </w:t>
      </w:r>
      <w:r w:rsidR="003D4619">
        <w:t>t</w:t>
      </w:r>
      <w:r w:rsidR="00BF7EB6">
        <w:t>he most comprehensive</w:t>
      </w:r>
      <w:r w:rsidR="00DF5EBD">
        <w:t xml:space="preserve"> quality and safety dataset</w:t>
      </w:r>
      <w:r w:rsidR="00660465">
        <w:t>.</w:t>
      </w:r>
      <w:r w:rsidR="00FF30E1">
        <w:t xml:space="preserve"> </w:t>
      </w:r>
    </w:p>
    <w:p w14:paraId="4FC9F30A" w14:textId="1033BC84" w:rsidR="000B66B5" w:rsidRDefault="00CD56C9" w:rsidP="000B66B5">
      <w:pPr>
        <w:pStyle w:val="Body"/>
      </w:pPr>
      <w:r>
        <w:t>VAHI</w:t>
      </w:r>
      <w:r w:rsidR="0025743A">
        <w:t xml:space="preserve"> </w:t>
      </w:r>
      <w:r w:rsidR="00F84B49">
        <w:t>has worked</w:t>
      </w:r>
      <w:r w:rsidR="00FD5E8C">
        <w:t xml:space="preserve"> to make </w:t>
      </w:r>
      <w:r w:rsidR="00774C8A">
        <w:t xml:space="preserve">the </w:t>
      </w:r>
      <w:r w:rsidR="00C22B98">
        <w:t xml:space="preserve">VHIMS </w:t>
      </w:r>
      <w:r w:rsidR="00774C8A">
        <w:t xml:space="preserve">system </w:t>
      </w:r>
      <w:r w:rsidR="00F84B49">
        <w:t>compatible</w:t>
      </w:r>
      <w:r w:rsidR="006A70E8">
        <w:t>/</w:t>
      </w:r>
      <w:r w:rsidR="00774C8A">
        <w:t>integrated with</w:t>
      </w:r>
      <w:r w:rsidR="006A70E8">
        <w:t xml:space="preserve"> a</w:t>
      </w:r>
      <w:r w:rsidR="00774C8A">
        <w:t xml:space="preserve"> common risk </w:t>
      </w:r>
      <w:r w:rsidR="00F84B49">
        <w:t>register</w:t>
      </w:r>
      <w:r w:rsidR="00B50BE9">
        <w:t>,</w:t>
      </w:r>
      <w:r w:rsidR="00774C8A">
        <w:t xml:space="preserve"> </w:t>
      </w:r>
      <w:r w:rsidR="00F84B49">
        <w:t xml:space="preserve">and </w:t>
      </w:r>
      <w:r w:rsidR="00C22B98">
        <w:t xml:space="preserve">to </w:t>
      </w:r>
      <w:r w:rsidR="00F84B49">
        <w:t xml:space="preserve">provide </w:t>
      </w:r>
      <w:r w:rsidR="00B372CC">
        <w:t>a free database</w:t>
      </w:r>
      <w:r w:rsidR="006A70E8">
        <w:t xml:space="preserve"> for uploading to VHIMS</w:t>
      </w:r>
      <w:r w:rsidR="00B372CC">
        <w:t xml:space="preserve"> to ensure </w:t>
      </w:r>
      <w:r w:rsidR="00774C8A">
        <w:t>accessib</w:t>
      </w:r>
      <w:r w:rsidR="00A62EEE">
        <w:t>ility</w:t>
      </w:r>
      <w:r w:rsidR="00774C8A">
        <w:t xml:space="preserve"> for all </w:t>
      </w:r>
      <w:r w:rsidR="00C22B98">
        <w:t xml:space="preserve">public sector </w:t>
      </w:r>
      <w:r w:rsidR="00774C8A">
        <w:t>health service</w:t>
      </w:r>
      <w:r w:rsidR="00A62EEE">
        <w:t xml:space="preserve">s. </w:t>
      </w:r>
      <w:r w:rsidR="00C22B98">
        <w:t>However, it</w:t>
      </w:r>
      <w:r w:rsidR="00E168AA">
        <w:t xml:space="preserve"> is acknowledged that </w:t>
      </w:r>
      <w:r w:rsidR="00943C91">
        <w:t>implementing</w:t>
      </w:r>
      <w:r w:rsidR="00DF5EBD">
        <w:t xml:space="preserve"> mandated reporting </w:t>
      </w:r>
      <w:r w:rsidR="008D2668">
        <w:t>to VHIMS in the Regulations</w:t>
      </w:r>
      <w:r w:rsidR="00943C91">
        <w:t xml:space="preserve"> would be complex</w:t>
      </w:r>
      <w:r w:rsidR="00665A1E">
        <w:t xml:space="preserve"> </w:t>
      </w:r>
      <w:r w:rsidR="004D1A62">
        <w:t xml:space="preserve">and may place a financial burden on health </w:t>
      </w:r>
      <w:r w:rsidR="000C3E9D">
        <w:t>services</w:t>
      </w:r>
      <w:r w:rsidR="00665A1E">
        <w:t>. F</w:t>
      </w:r>
      <w:r w:rsidR="00943C91">
        <w:t>or example</w:t>
      </w:r>
      <w:r w:rsidR="00344A0C">
        <w:t>,</w:t>
      </w:r>
      <w:r w:rsidR="00943C91">
        <w:t xml:space="preserve"> there may be</w:t>
      </w:r>
      <w:r w:rsidR="00E5570E">
        <w:t xml:space="preserve"> incompatibility</w:t>
      </w:r>
      <w:r w:rsidR="005D3D39">
        <w:t xml:space="preserve"> between VHIMS and</w:t>
      </w:r>
      <w:r w:rsidR="00E5570E">
        <w:t xml:space="preserve"> existing </w:t>
      </w:r>
      <w:r w:rsidR="00943C91">
        <w:t xml:space="preserve">ICT </w:t>
      </w:r>
      <w:r w:rsidR="00E5570E">
        <w:t xml:space="preserve">systems </w:t>
      </w:r>
      <w:r w:rsidR="00D542F2">
        <w:t xml:space="preserve">including </w:t>
      </w:r>
      <w:r w:rsidR="006F4899">
        <w:t>variations between how incidents are rated</w:t>
      </w:r>
      <w:r w:rsidR="00D542F2">
        <w:t>,</w:t>
      </w:r>
      <w:r w:rsidR="008D2B5E">
        <w:t xml:space="preserve"> and </w:t>
      </w:r>
      <w:r w:rsidR="00B3400B">
        <w:t xml:space="preserve">services may have to </w:t>
      </w:r>
      <w:r w:rsidR="008D2B5E">
        <w:t>transition to new systems and processes</w:t>
      </w:r>
      <w:r w:rsidR="00E35419">
        <w:t xml:space="preserve">. </w:t>
      </w:r>
      <w:r w:rsidR="00B3400B">
        <w:t xml:space="preserve">It is anticipated that </w:t>
      </w:r>
      <w:r w:rsidR="00B1395F">
        <w:t xml:space="preserve">extensive </w:t>
      </w:r>
      <w:r w:rsidR="00CD782D">
        <w:t xml:space="preserve">engagement </w:t>
      </w:r>
      <w:r w:rsidR="00FD35CF">
        <w:t>with</w:t>
      </w:r>
      <w:r w:rsidR="00CD782D">
        <w:t xml:space="preserve"> the sector, careful implementation </w:t>
      </w:r>
      <w:r w:rsidR="00BE36BD">
        <w:t xml:space="preserve">planning </w:t>
      </w:r>
      <w:r w:rsidR="00CD782D">
        <w:t xml:space="preserve">and a phased approach </w:t>
      </w:r>
      <w:r w:rsidR="00B1395F">
        <w:t>would be required to</w:t>
      </w:r>
      <w:r w:rsidR="00CD782D">
        <w:t xml:space="preserve"> </w:t>
      </w:r>
      <w:r w:rsidR="00691F80">
        <w:t>ensure feasibility</w:t>
      </w:r>
      <w:r w:rsidR="00CD782D">
        <w:t>.</w:t>
      </w:r>
      <w:r w:rsidR="003E7374">
        <w:t xml:space="preserve"> </w:t>
      </w:r>
      <w:r w:rsidR="00C5513C">
        <w:t>Voluntary notifications</w:t>
      </w:r>
      <w:r w:rsidR="00A62F1D">
        <w:t xml:space="preserve"> </w:t>
      </w:r>
      <w:r w:rsidR="008D2668">
        <w:t>could be introduced</w:t>
      </w:r>
      <w:r w:rsidR="00151000">
        <w:t xml:space="preserve"> for </w:t>
      </w:r>
      <w:r w:rsidR="00C22B98">
        <w:t>services</w:t>
      </w:r>
      <w:r w:rsidR="0014661F">
        <w:t xml:space="preserve"> </w:t>
      </w:r>
      <w:r w:rsidR="00F8508E">
        <w:t>to be</w:t>
      </w:r>
      <w:r w:rsidR="0014661F">
        <w:t xml:space="preserve"> able</w:t>
      </w:r>
      <w:r w:rsidR="00151000">
        <w:t xml:space="preserve"> to contribute their data</w:t>
      </w:r>
      <w:r w:rsidR="00F8508E">
        <w:t xml:space="preserve">, </w:t>
      </w:r>
      <w:r w:rsidR="0014661F">
        <w:t xml:space="preserve">to </w:t>
      </w:r>
      <w:r w:rsidR="00151000">
        <w:t xml:space="preserve">benchmark </w:t>
      </w:r>
      <w:r w:rsidR="0014661F">
        <w:t xml:space="preserve">their data </w:t>
      </w:r>
      <w:r w:rsidR="00151000">
        <w:t>against similar health services</w:t>
      </w:r>
      <w:r w:rsidR="0014661F">
        <w:t>,</w:t>
      </w:r>
      <w:r w:rsidR="00D5638C">
        <w:t xml:space="preserve"> prior to a staged roll</w:t>
      </w:r>
      <w:r w:rsidR="00C61ACA">
        <w:t>-</w:t>
      </w:r>
      <w:r w:rsidR="00D5638C">
        <w:t xml:space="preserve">out </w:t>
      </w:r>
      <w:r w:rsidR="00B1014B">
        <w:t>in the future</w:t>
      </w:r>
      <w:r w:rsidR="00A168A5">
        <w:t>.</w:t>
      </w:r>
      <w:r w:rsidR="00C0408D">
        <w:t xml:space="preserve"> </w:t>
      </w:r>
      <w:r w:rsidR="00F97D38">
        <w:t xml:space="preserve">The department welcomes feedback on </w:t>
      </w:r>
      <w:r w:rsidR="002E73FE">
        <w:t xml:space="preserve">the benefits and implications of mandating reporting through VHIMS in the Regulations. </w:t>
      </w:r>
    </w:p>
    <w:p w14:paraId="53110BAF" w14:textId="77777777" w:rsidR="00860C57" w:rsidRDefault="00860C57" w:rsidP="000B66B5">
      <w:pPr>
        <w:pStyle w:val="Body"/>
      </w:pPr>
    </w:p>
    <w:tbl>
      <w:tblPr>
        <w:tblW w:w="4993" w:type="pct"/>
        <w:tblBorders>
          <w:top w:val="outset" w:sz="6" w:space="0" w:color="auto"/>
          <w:left w:val="outset" w:sz="6" w:space="0" w:color="auto"/>
          <w:bottom w:val="outset" w:sz="6" w:space="0" w:color="auto"/>
          <w:right w:val="outset" w:sz="6" w:space="0" w:color="auto"/>
        </w:tblBorders>
        <w:shd w:val="clear" w:color="auto" w:fill="F2F2F2"/>
        <w:tblLook w:val="04A0" w:firstRow="1" w:lastRow="0" w:firstColumn="1" w:lastColumn="0" w:noHBand="0" w:noVBand="1"/>
      </w:tblPr>
      <w:tblGrid>
        <w:gridCol w:w="9269"/>
      </w:tblGrid>
      <w:tr w:rsidR="000B66B5" w:rsidRPr="00C80649" w14:paraId="0F3A9B03" w14:textId="77777777" w:rsidTr="000B4DD2">
        <w:trPr>
          <w:trHeight w:val="300"/>
          <w:tblHeader/>
        </w:trPr>
        <w:tc>
          <w:tcPr>
            <w:tcW w:w="5000" w:type="pct"/>
            <w:tcBorders>
              <w:top w:val="single" w:sz="6" w:space="0" w:color="auto"/>
              <w:left w:val="single" w:sz="6" w:space="0" w:color="auto"/>
              <w:bottom w:val="nil"/>
              <w:right w:val="single" w:sz="6" w:space="0" w:color="auto"/>
            </w:tcBorders>
            <w:shd w:val="clear" w:color="auto" w:fill="F2F2F2" w:themeFill="background1" w:themeFillShade="F2"/>
            <w:hideMark/>
          </w:tcPr>
          <w:p w14:paraId="1DC0F9C4" w14:textId="3A28D962" w:rsidR="000B66B5" w:rsidRPr="00C80649" w:rsidRDefault="000B66B5" w:rsidP="006364A1">
            <w:pPr>
              <w:pStyle w:val="Tablecolhead"/>
            </w:pPr>
            <w:r w:rsidRPr="00C80649">
              <w:t>Questions for consultation</w:t>
            </w:r>
          </w:p>
        </w:tc>
      </w:tr>
      <w:tr w:rsidR="000B66B5" w:rsidRPr="00C80649" w14:paraId="046846D8" w14:textId="77777777" w:rsidTr="000B4DD2">
        <w:trPr>
          <w:trHeight w:val="300"/>
          <w:tblHeader/>
        </w:trPr>
        <w:tc>
          <w:tcPr>
            <w:tcW w:w="5000" w:type="pct"/>
            <w:tcBorders>
              <w:top w:val="nil"/>
              <w:left w:val="single" w:sz="6" w:space="0" w:color="auto"/>
              <w:bottom w:val="single" w:sz="6" w:space="0" w:color="auto"/>
              <w:right w:val="single" w:sz="6" w:space="0" w:color="auto"/>
            </w:tcBorders>
            <w:shd w:val="clear" w:color="auto" w:fill="F2F2F2" w:themeFill="background1" w:themeFillShade="F2"/>
            <w:hideMark/>
          </w:tcPr>
          <w:p w14:paraId="56598E84" w14:textId="63AEB076" w:rsidR="000B66B5" w:rsidRPr="0095662C" w:rsidRDefault="000B66B5" w:rsidP="00C132C8">
            <w:pPr>
              <w:pStyle w:val="ListParagraph"/>
              <w:numPr>
                <w:ilvl w:val="0"/>
                <w:numId w:val="11"/>
              </w:numPr>
              <w:spacing w:before="120" w:after="120" w:line="280" w:lineRule="atLeast"/>
              <w:ind w:left="357" w:hanging="357"/>
              <w:contextualSpacing w:val="0"/>
              <w:rPr>
                <w:rFonts w:ascii="Arial" w:hAnsi="Arial" w:cs="Arial"/>
                <w:sz w:val="21"/>
                <w:szCs w:val="21"/>
              </w:rPr>
            </w:pPr>
            <w:r w:rsidRPr="0095662C">
              <w:rPr>
                <w:rFonts w:ascii="Arial" w:hAnsi="Arial" w:cs="Arial"/>
                <w:sz w:val="21"/>
                <w:szCs w:val="21"/>
              </w:rPr>
              <w:t>Do you have any comments regarding the proposal to mandate sentinel event reporting via an approved pathway (currently the Sentinel event portal)?</w:t>
            </w:r>
          </w:p>
          <w:p w14:paraId="2BA4A650" w14:textId="1DF2A8A5" w:rsidR="000B66B5" w:rsidRPr="0095662C" w:rsidRDefault="00086E65" w:rsidP="00C132C8">
            <w:pPr>
              <w:pStyle w:val="ListParagraph"/>
              <w:numPr>
                <w:ilvl w:val="0"/>
                <w:numId w:val="11"/>
              </w:numPr>
              <w:spacing w:after="120" w:line="280" w:lineRule="atLeast"/>
              <w:ind w:left="357" w:hanging="357"/>
              <w:contextualSpacing w:val="0"/>
              <w:rPr>
                <w:rFonts w:ascii="Arial" w:hAnsi="Arial" w:cs="Arial"/>
                <w:sz w:val="21"/>
                <w:szCs w:val="21"/>
              </w:rPr>
            </w:pPr>
            <w:r>
              <w:rPr>
                <w:rFonts w:ascii="Arial" w:hAnsi="Arial" w:cs="Arial"/>
                <w:sz w:val="21"/>
                <w:szCs w:val="21"/>
              </w:rPr>
              <w:t>Noting that amendments to the Act are beyond scope of this review, but acknowledging that the protections in the Act are relevant to any mandate for SAPSE reviews, do</w:t>
            </w:r>
            <w:r w:rsidRPr="0095662C">
              <w:rPr>
                <w:rFonts w:ascii="Arial" w:hAnsi="Arial" w:cs="Arial"/>
                <w:sz w:val="21"/>
                <w:szCs w:val="21"/>
              </w:rPr>
              <w:t xml:space="preserve"> </w:t>
            </w:r>
            <w:r w:rsidR="000B66B5" w:rsidRPr="0095662C">
              <w:rPr>
                <w:rFonts w:ascii="Arial" w:hAnsi="Arial" w:cs="Arial"/>
                <w:sz w:val="21"/>
                <w:szCs w:val="21"/>
              </w:rPr>
              <w:t xml:space="preserve">you find the current </w:t>
            </w:r>
            <w:r w:rsidR="00091620" w:rsidRPr="0095662C">
              <w:rPr>
                <w:rFonts w:ascii="Arial" w:hAnsi="Arial" w:cs="Arial"/>
                <w:sz w:val="21"/>
                <w:szCs w:val="21"/>
              </w:rPr>
              <w:t xml:space="preserve">legislation </w:t>
            </w:r>
            <w:r w:rsidR="00F54A4B" w:rsidRPr="0095662C">
              <w:rPr>
                <w:rFonts w:ascii="Arial" w:hAnsi="Arial" w:cs="Arial"/>
                <w:sz w:val="21"/>
                <w:szCs w:val="21"/>
              </w:rPr>
              <w:t>(</w:t>
            </w:r>
            <w:r w:rsidR="00091620" w:rsidRPr="0095662C">
              <w:rPr>
                <w:rFonts w:ascii="Arial" w:hAnsi="Arial" w:cs="Arial"/>
                <w:sz w:val="21"/>
                <w:szCs w:val="21"/>
              </w:rPr>
              <w:t>the Act) has</w:t>
            </w:r>
            <w:r w:rsidR="000B66B5" w:rsidRPr="0095662C">
              <w:rPr>
                <w:rFonts w:ascii="Arial" w:hAnsi="Arial" w:cs="Arial"/>
                <w:sz w:val="21"/>
                <w:szCs w:val="21"/>
              </w:rPr>
              <w:t xml:space="preserve"> sufficient protections in place to ensure rigorous and transparent review processes of adverse incidents?</w:t>
            </w:r>
            <w:r w:rsidR="00974B7E" w:rsidRPr="0095662C">
              <w:rPr>
                <w:rFonts w:ascii="Arial" w:hAnsi="Arial" w:cs="Arial"/>
                <w:sz w:val="21"/>
                <w:szCs w:val="21"/>
              </w:rPr>
              <w:t xml:space="preserve"> If not, </w:t>
            </w:r>
            <w:r w:rsidR="002672EC" w:rsidRPr="0095662C">
              <w:rPr>
                <w:rFonts w:ascii="Arial" w:hAnsi="Arial" w:cs="Arial"/>
                <w:sz w:val="21"/>
                <w:szCs w:val="21"/>
              </w:rPr>
              <w:t>why not?</w:t>
            </w:r>
          </w:p>
          <w:p w14:paraId="7B99A617" w14:textId="68CFEC1A" w:rsidR="00D52418" w:rsidRPr="0095662C" w:rsidRDefault="00AC4600" w:rsidP="00C132C8">
            <w:pPr>
              <w:pStyle w:val="ListParagraph"/>
              <w:numPr>
                <w:ilvl w:val="0"/>
                <w:numId w:val="11"/>
              </w:numPr>
              <w:spacing w:after="120" w:line="280" w:lineRule="atLeast"/>
              <w:ind w:left="357" w:hanging="357"/>
              <w:contextualSpacing w:val="0"/>
              <w:rPr>
                <w:rFonts w:ascii="Arial" w:hAnsi="Arial" w:cs="Arial"/>
                <w:sz w:val="21"/>
                <w:szCs w:val="21"/>
              </w:rPr>
            </w:pPr>
            <w:r w:rsidRPr="0095662C">
              <w:rPr>
                <w:rFonts w:ascii="Arial" w:hAnsi="Arial" w:cs="Arial"/>
                <w:sz w:val="21"/>
                <w:szCs w:val="21"/>
              </w:rPr>
              <w:t xml:space="preserve">Do you have any comments regarding the proposal for health service establishments to have protocols that align with </w:t>
            </w:r>
            <w:r w:rsidR="00FA3A98">
              <w:rPr>
                <w:rFonts w:ascii="Arial" w:hAnsi="Arial" w:cs="Arial"/>
                <w:sz w:val="21"/>
                <w:szCs w:val="21"/>
              </w:rPr>
              <w:t>SCV</w:t>
            </w:r>
            <w:r w:rsidR="00DB09A3" w:rsidRPr="0095662C">
              <w:rPr>
                <w:rFonts w:ascii="Arial" w:hAnsi="Arial" w:cs="Arial"/>
                <w:sz w:val="21"/>
                <w:szCs w:val="21"/>
              </w:rPr>
              <w:t xml:space="preserve">’s </w:t>
            </w:r>
            <w:r w:rsidR="00DB09A3" w:rsidRPr="00E267DC">
              <w:rPr>
                <w:rFonts w:ascii="Arial" w:hAnsi="Arial" w:cs="Arial"/>
                <w:i/>
                <w:sz w:val="21"/>
                <w:szCs w:val="21"/>
              </w:rPr>
              <w:t>Adverse Patient Safety Event</w:t>
            </w:r>
            <w:r w:rsidR="00B81F67" w:rsidRPr="00E267DC">
              <w:rPr>
                <w:rFonts w:ascii="Arial" w:hAnsi="Arial" w:cs="Arial"/>
                <w:i/>
                <w:sz w:val="21"/>
                <w:szCs w:val="21"/>
              </w:rPr>
              <w:t xml:space="preserve"> </w:t>
            </w:r>
            <w:r w:rsidR="00B81F67" w:rsidRPr="00E267DC">
              <w:rPr>
                <w:rFonts w:ascii="Arial" w:hAnsi="Arial" w:cs="Arial"/>
                <w:i/>
                <w:iCs/>
                <w:sz w:val="21"/>
                <w:szCs w:val="21"/>
              </w:rPr>
              <w:t>Policy</w:t>
            </w:r>
            <w:r w:rsidR="009D7949" w:rsidRPr="0095662C">
              <w:rPr>
                <w:rFonts w:ascii="Arial" w:hAnsi="Arial" w:cs="Arial"/>
                <w:sz w:val="21"/>
                <w:szCs w:val="21"/>
              </w:rPr>
              <w:t>?</w:t>
            </w:r>
          </w:p>
          <w:p w14:paraId="10712CCA" w14:textId="6FBD640D" w:rsidR="00EB4354" w:rsidRPr="0095662C" w:rsidRDefault="00EB4354" w:rsidP="00C132C8">
            <w:pPr>
              <w:pStyle w:val="ListParagraph"/>
              <w:numPr>
                <w:ilvl w:val="0"/>
                <w:numId w:val="11"/>
              </w:numPr>
              <w:spacing w:after="120" w:line="280" w:lineRule="atLeast"/>
              <w:ind w:left="357" w:hanging="357"/>
              <w:contextualSpacing w:val="0"/>
              <w:rPr>
                <w:rFonts w:ascii="Arial" w:hAnsi="Arial" w:cs="Arial"/>
                <w:sz w:val="21"/>
                <w:szCs w:val="21"/>
              </w:rPr>
            </w:pPr>
            <w:r w:rsidRPr="0095662C">
              <w:rPr>
                <w:rFonts w:ascii="Arial" w:hAnsi="Arial" w:cs="Arial"/>
                <w:sz w:val="21"/>
                <w:szCs w:val="21"/>
              </w:rPr>
              <w:t>Do you foresee any barriers for health services to comply with a requirement to have an independent person on their SAPSE review panel should they choose to conduct a protected review?</w:t>
            </w:r>
          </w:p>
          <w:p w14:paraId="668D22F4" w14:textId="630A66B0" w:rsidR="000B66B5" w:rsidRPr="0095662C" w:rsidRDefault="000B66B5" w:rsidP="00C132C8">
            <w:pPr>
              <w:pStyle w:val="ListParagraph"/>
              <w:numPr>
                <w:ilvl w:val="0"/>
                <w:numId w:val="11"/>
              </w:numPr>
              <w:spacing w:after="120" w:line="280" w:lineRule="atLeast"/>
              <w:ind w:left="357" w:hanging="357"/>
              <w:contextualSpacing w:val="0"/>
              <w:rPr>
                <w:rFonts w:ascii="Arial" w:hAnsi="Arial" w:cs="Arial"/>
                <w:sz w:val="21"/>
                <w:szCs w:val="21"/>
              </w:rPr>
            </w:pPr>
            <w:r w:rsidRPr="0095662C">
              <w:rPr>
                <w:rFonts w:ascii="Arial" w:hAnsi="Arial" w:cs="Arial"/>
                <w:sz w:val="21"/>
                <w:szCs w:val="21"/>
              </w:rPr>
              <w:t xml:space="preserve">Do you foresee any barriers for </w:t>
            </w:r>
            <w:r w:rsidRPr="00860C57">
              <w:rPr>
                <w:rFonts w:ascii="Arial" w:hAnsi="Arial" w:cs="Arial"/>
                <w:sz w:val="21"/>
                <w:szCs w:val="21"/>
              </w:rPr>
              <w:t xml:space="preserve">health </w:t>
            </w:r>
            <w:r w:rsidR="002A3CD9" w:rsidRPr="00860C57">
              <w:rPr>
                <w:rFonts w:ascii="Arial" w:hAnsi="Arial" w:cs="Arial"/>
                <w:sz w:val="21"/>
                <w:szCs w:val="21"/>
              </w:rPr>
              <w:t>service establishments</w:t>
            </w:r>
            <w:r w:rsidR="002A3CD9" w:rsidRPr="0095662C" w:rsidDel="002A3CD9">
              <w:rPr>
                <w:rFonts w:ascii="Arial" w:hAnsi="Arial" w:cs="Arial"/>
                <w:sz w:val="21"/>
                <w:szCs w:val="21"/>
              </w:rPr>
              <w:t xml:space="preserve"> </w:t>
            </w:r>
            <w:r w:rsidRPr="0095662C">
              <w:rPr>
                <w:rFonts w:ascii="Arial" w:hAnsi="Arial" w:cs="Arial"/>
                <w:sz w:val="21"/>
                <w:szCs w:val="21"/>
              </w:rPr>
              <w:t>to conduct a review using an approved methodology (for example, root cause analysis</w:t>
            </w:r>
            <w:r w:rsidR="00F64C8F">
              <w:rPr>
                <w:rFonts w:ascii="Arial" w:hAnsi="Arial" w:cs="Arial"/>
                <w:sz w:val="21"/>
                <w:szCs w:val="21"/>
              </w:rPr>
              <w:t>,</w:t>
            </w:r>
            <w:r w:rsidRPr="0095662C">
              <w:rPr>
                <w:rFonts w:ascii="Arial" w:hAnsi="Arial" w:cs="Arial"/>
                <w:sz w:val="21"/>
                <w:szCs w:val="21"/>
              </w:rPr>
              <w:t xml:space="preserve"> </w:t>
            </w:r>
            <w:r w:rsidR="00E165D9" w:rsidRPr="0095662C">
              <w:rPr>
                <w:rFonts w:ascii="Arial" w:hAnsi="Arial" w:cs="Arial"/>
                <w:sz w:val="21"/>
                <w:szCs w:val="21"/>
              </w:rPr>
              <w:t>London Protocol</w:t>
            </w:r>
            <w:r w:rsidR="00F64C8F">
              <w:rPr>
                <w:rFonts w:ascii="Arial" w:hAnsi="Arial" w:cs="Arial"/>
                <w:sz w:val="21"/>
                <w:szCs w:val="21"/>
              </w:rPr>
              <w:t xml:space="preserve"> or in-depth case review</w:t>
            </w:r>
            <w:r w:rsidRPr="0095662C">
              <w:rPr>
                <w:rFonts w:ascii="Arial" w:hAnsi="Arial" w:cs="Arial"/>
                <w:sz w:val="21"/>
                <w:szCs w:val="21"/>
              </w:rPr>
              <w:t>) for all sentinel events and SAPSE</w:t>
            </w:r>
            <w:r w:rsidR="005830BB" w:rsidRPr="0095662C">
              <w:rPr>
                <w:rFonts w:ascii="Arial" w:hAnsi="Arial" w:cs="Arial"/>
                <w:sz w:val="21"/>
                <w:szCs w:val="21"/>
              </w:rPr>
              <w:t>s</w:t>
            </w:r>
            <w:r w:rsidR="00E165D9" w:rsidRPr="0095662C">
              <w:rPr>
                <w:rFonts w:ascii="Arial" w:hAnsi="Arial" w:cs="Arial"/>
                <w:sz w:val="21"/>
                <w:szCs w:val="21"/>
              </w:rPr>
              <w:t>?</w:t>
            </w:r>
          </w:p>
          <w:p w14:paraId="2A8D405A" w14:textId="0DF58B45" w:rsidR="00CD06A4" w:rsidRPr="0095662C" w:rsidRDefault="00474EDC" w:rsidP="00C132C8">
            <w:pPr>
              <w:pStyle w:val="ListParagraph"/>
              <w:numPr>
                <w:ilvl w:val="0"/>
                <w:numId w:val="11"/>
              </w:numPr>
              <w:spacing w:after="120" w:line="280" w:lineRule="atLeast"/>
              <w:ind w:left="357" w:hanging="357"/>
              <w:contextualSpacing w:val="0"/>
              <w:rPr>
                <w:rFonts w:ascii="Arial" w:hAnsi="Arial" w:cs="Arial"/>
                <w:sz w:val="21"/>
                <w:szCs w:val="21"/>
              </w:rPr>
            </w:pPr>
            <w:r w:rsidRPr="0095662C">
              <w:rPr>
                <w:rFonts w:ascii="Arial" w:hAnsi="Arial" w:cs="Arial"/>
                <w:sz w:val="21"/>
                <w:szCs w:val="21"/>
              </w:rPr>
              <w:t xml:space="preserve">If </w:t>
            </w:r>
            <w:r w:rsidR="002A7E22" w:rsidRPr="0095662C">
              <w:rPr>
                <w:rFonts w:ascii="Arial" w:hAnsi="Arial" w:cs="Arial"/>
                <w:sz w:val="21"/>
                <w:szCs w:val="21"/>
              </w:rPr>
              <w:t>data-reporting</w:t>
            </w:r>
            <w:r w:rsidRPr="0095662C">
              <w:rPr>
                <w:rFonts w:ascii="Arial" w:hAnsi="Arial" w:cs="Arial"/>
                <w:sz w:val="21"/>
                <w:szCs w:val="21"/>
              </w:rPr>
              <w:t xml:space="preserve"> systems were free </w:t>
            </w:r>
            <w:r w:rsidR="003A5EFE" w:rsidRPr="0095662C">
              <w:rPr>
                <w:rFonts w:ascii="Arial" w:hAnsi="Arial" w:cs="Arial"/>
                <w:sz w:val="21"/>
                <w:szCs w:val="21"/>
              </w:rPr>
              <w:t>and/</w:t>
            </w:r>
            <w:r w:rsidRPr="0095662C">
              <w:rPr>
                <w:rFonts w:ascii="Arial" w:hAnsi="Arial" w:cs="Arial"/>
                <w:sz w:val="21"/>
                <w:szCs w:val="21"/>
              </w:rPr>
              <w:t xml:space="preserve">or </w:t>
            </w:r>
            <w:r w:rsidR="00C34401" w:rsidRPr="0095662C">
              <w:rPr>
                <w:rFonts w:ascii="Arial" w:hAnsi="Arial" w:cs="Arial"/>
                <w:sz w:val="21"/>
                <w:szCs w:val="21"/>
              </w:rPr>
              <w:t>integrated,</w:t>
            </w:r>
            <w:r w:rsidRPr="0095662C">
              <w:rPr>
                <w:rFonts w:ascii="Arial" w:hAnsi="Arial" w:cs="Arial"/>
                <w:sz w:val="21"/>
                <w:szCs w:val="21"/>
              </w:rPr>
              <w:t xml:space="preserve"> do you see any barriers for </w:t>
            </w:r>
            <w:r w:rsidR="002A3CD9" w:rsidRPr="00860C57">
              <w:rPr>
                <w:rFonts w:ascii="Arial" w:hAnsi="Arial" w:cs="Arial"/>
                <w:sz w:val="21"/>
                <w:szCs w:val="21"/>
              </w:rPr>
              <w:t>health service establishments</w:t>
            </w:r>
            <w:r w:rsidR="002A3CD9" w:rsidRPr="0095662C" w:rsidDel="002A3CD9">
              <w:rPr>
                <w:rFonts w:ascii="Arial" w:hAnsi="Arial" w:cs="Arial"/>
                <w:sz w:val="21"/>
                <w:szCs w:val="21"/>
              </w:rPr>
              <w:t xml:space="preserve"> </w:t>
            </w:r>
            <w:r w:rsidRPr="0095662C">
              <w:rPr>
                <w:rFonts w:ascii="Arial" w:hAnsi="Arial" w:cs="Arial"/>
                <w:sz w:val="21"/>
                <w:szCs w:val="21"/>
              </w:rPr>
              <w:t xml:space="preserve">to report all adverse events through VHIMS? </w:t>
            </w:r>
            <w:r w:rsidR="000056D8" w:rsidRPr="0095662C">
              <w:rPr>
                <w:rFonts w:ascii="Arial" w:hAnsi="Arial" w:cs="Arial"/>
                <w:sz w:val="21"/>
                <w:szCs w:val="21"/>
              </w:rPr>
              <w:t>Do</w:t>
            </w:r>
            <w:r w:rsidR="003B6633" w:rsidRPr="0095662C">
              <w:rPr>
                <w:rFonts w:ascii="Arial" w:hAnsi="Arial" w:cs="Arial"/>
                <w:sz w:val="21"/>
                <w:szCs w:val="21"/>
              </w:rPr>
              <w:t xml:space="preserve"> you see a value in receiving</w:t>
            </w:r>
            <w:r w:rsidR="00B41D4E" w:rsidRPr="0095662C">
              <w:rPr>
                <w:rFonts w:ascii="Arial" w:hAnsi="Arial" w:cs="Arial"/>
                <w:sz w:val="21"/>
                <w:szCs w:val="21"/>
              </w:rPr>
              <w:t xml:space="preserve"> tailored</w:t>
            </w:r>
            <w:r w:rsidR="00B654BA" w:rsidRPr="0095662C">
              <w:rPr>
                <w:rFonts w:ascii="Arial" w:hAnsi="Arial" w:cs="Arial"/>
                <w:sz w:val="21"/>
                <w:szCs w:val="21"/>
              </w:rPr>
              <w:t xml:space="preserve"> performance</w:t>
            </w:r>
            <w:r w:rsidR="003B6633" w:rsidRPr="0095662C">
              <w:rPr>
                <w:rFonts w:ascii="Arial" w:hAnsi="Arial" w:cs="Arial"/>
                <w:sz w:val="21"/>
                <w:szCs w:val="21"/>
              </w:rPr>
              <w:t xml:space="preserve"> </w:t>
            </w:r>
            <w:r w:rsidR="00C53EF5" w:rsidRPr="0095662C">
              <w:rPr>
                <w:rFonts w:ascii="Arial" w:hAnsi="Arial" w:cs="Arial"/>
                <w:sz w:val="21"/>
                <w:szCs w:val="21"/>
              </w:rPr>
              <w:t>reports from VAHI</w:t>
            </w:r>
            <w:r w:rsidR="00723244" w:rsidRPr="0095662C">
              <w:rPr>
                <w:rFonts w:ascii="Arial" w:hAnsi="Arial" w:cs="Arial"/>
                <w:sz w:val="21"/>
                <w:szCs w:val="21"/>
              </w:rPr>
              <w:t>?</w:t>
            </w:r>
            <w:r w:rsidR="00C53EF5" w:rsidRPr="0095662C">
              <w:rPr>
                <w:rFonts w:ascii="Arial" w:hAnsi="Arial" w:cs="Arial"/>
                <w:sz w:val="21"/>
                <w:szCs w:val="21"/>
              </w:rPr>
              <w:t xml:space="preserve"> </w:t>
            </w:r>
          </w:p>
          <w:p w14:paraId="67175016" w14:textId="3DC4D6EB" w:rsidR="000B66B5" w:rsidRPr="007B5955" w:rsidRDefault="0063005E" w:rsidP="00C132C8">
            <w:pPr>
              <w:pStyle w:val="ListParagraph"/>
              <w:numPr>
                <w:ilvl w:val="0"/>
                <w:numId w:val="11"/>
              </w:numPr>
              <w:spacing w:after="120" w:line="280" w:lineRule="atLeast"/>
              <w:ind w:left="357" w:hanging="357"/>
              <w:contextualSpacing w:val="0"/>
              <w:rPr>
                <w:rFonts w:ascii="Arial" w:hAnsi="Arial" w:cs="Arial"/>
                <w:sz w:val="21"/>
                <w:szCs w:val="21"/>
              </w:rPr>
            </w:pPr>
            <w:r w:rsidRPr="007B5955">
              <w:rPr>
                <w:rFonts w:ascii="Arial" w:hAnsi="Arial" w:cs="Arial"/>
                <w:sz w:val="21"/>
                <w:szCs w:val="21"/>
              </w:rPr>
              <w:t>Do you support the Regulations</w:t>
            </w:r>
            <w:r w:rsidR="00236A0C" w:rsidRPr="007B5955">
              <w:rPr>
                <w:rFonts w:ascii="Arial" w:hAnsi="Arial" w:cs="Arial"/>
                <w:sz w:val="21"/>
                <w:szCs w:val="21"/>
              </w:rPr>
              <w:t xml:space="preserve"> being amended </w:t>
            </w:r>
            <w:r w:rsidR="009A0C5E" w:rsidRPr="007B5955">
              <w:rPr>
                <w:rFonts w:ascii="Arial" w:hAnsi="Arial" w:cs="Arial"/>
                <w:sz w:val="21"/>
                <w:szCs w:val="21"/>
              </w:rPr>
              <w:t>so that information relating to adverse events re</w:t>
            </w:r>
            <w:r w:rsidR="00B2167C">
              <w:rPr>
                <w:rFonts w:ascii="Arial" w:hAnsi="Arial" w:cs="Arial"/>
                <w:sz w:val="21"/>
                <w:szCs w:val="21"/>
              </w:rPr>
              <w:t>c</w:t>
            </w:r>
            <w:r w:rsidR="009A0C5E" w:rsidRPr="007B5955">
              <w:rPr>
                <w:rFonts w:ascii="Arial" w:hAnsi="Arial" w:cs="Arial"/>
                <w:sz w:val="21"/>
                <w:szCs w:val="21"/>
              </w:rPr>
              <w:t>or</w:t>
            </w:r>
            <w:r w:rsidR="00B2167C">
              <w:rPr>
                <w:rFonts w:ascii="Arial" w:hAnsi="Arial" w:cs="Arial"/>
                <w:sz w:val="21"/>
                <w:szCs w:val="21"/>
              </w:rPr>
              <w:t>d</w:t>
            </w:r>
            <w:r w:rsidR="009A0C5E" w:rsidRPr="007B5955">
              <w:rPr>
                <w:rFonts w:ascii="Arial" w:hAnsi="Arial" w:cs="Arial"/>
                <w:sz w:val="21"/>
                <w:szCs w:val="21"/>
              </w:rPr>
              <w:t>ed and reviewed under r.48 is available to the Secretary upon request?</w:t>
            </w:r>
          </w:p>
        </w:tc>
      </w:tr>
    </w:tbl>
    <w:p w14:paraId="1D7ECECA" w14:textId="77777777" w:rsidR="000B66B5" w:rsidRDefault="000B66B5" w:rsidP="000B66B5">
      <w:pPr>
        <w:pStyle w:val="Heading2"/>
      </w:pPr>
      <w:bookmarkStart w:id="96" w:name="_Toc131688418"/>
      <w:bookmarkStart w:id="97" w:name="_Toc143272030"/>
      <w:r>
        <w:t>7.3 Open Disclosure</w:t>
      </w:r>
      <w:bookmarkEnd w:id="96"/>
      <w:bookmarkEnd w:id="97"/>
    </w:p>
    <w:p w14:paraId="24CFED5B" w14:textId="535950ED" w:rsidR="000B66B5" w:rsidRPr="0072126E" w:rsidRDefault="000B66B5" w:rsidP="16DD06A3">
      <w:pPr>
        <w:pStyle w:val="Body"/>
        <w:rPr>
          <w:rStyle w:val="normaltextrun"/>
          <w:rFonts w:cs="Arial"/>
          <w:bdr w:val="none" w:sz="0" w:space="0" w:color="auto" w:frame="1"/>
        </w:rPr>
      </w:pPr>
      <w:r w:rsidRPr="16DD06A3">
        <w:rPr>
          <w:rStyle w:val="normaltextrun"/>
          <w:rFonts w:cs="Arial"/>
          <w:color w:val="000000"/>
          <w:bdr w:val="none" w:sz="0" w:space="0" w:color="auto" w:frame="1"/>
        </w:rPr>
        <w:t>The Australian Open Disclosure Framework</w:t>
      </w:r>
      <w:r>
        <w:rPr>
          <w:rFonts w:cs="Arial"/>
          <w:color w:val="2A2736"/>
        </w:rPr>
        <w:t xml:space="preserve"> provides a nationally consistent basis for communication following a healthcare incident or adverse event.</w:t>
      </w:r>
      <w:r w:rsidRPr="16DD06A3">
        <w:rPr>
          <w:rStyle w:val="normaltextrun"/>
          <w:rFonts w:cs="Arial"/>
          <w:color w:val="000000"/>
          <w:bdr w:val="none" w:sz="0" w:space="0" w:color="auto" w:frame="1"/>
        </w:rPr>
        <w:t xml:space="preserve"> The existing provisions under </w:t>
      </w:r>
      <w:r w:rsidR="00F01A61">
        <w:rPr>
          <w:rStyle w:val="normaltextrun"/>
          <w:rFonts w:cs="Arial"/>
          <w:color w:val="000000"/>
          <w:bdr w:val="none" w:sz="0" w:space="0" w:color="auto" w:frame="1"/>
        </w:rPr>
        <w:t>r.</w:t>
      </w:r>
      <w:r w:rsidRPr="16DD06A3">
        <w:rPr>
          <w:rStyle w:val="normaltextrun"/>
          <w:rFonts w:cs="Arial"/>
          <w:color w:val="000000"/>
          <w:bdr w:val="none" w:sz="0" w:space="0" w:color="auto" w:frame="1"/>
        </w:rPr>
        <w:t xml:space="preserve">32A regarding the preparation and implementation of an open disclosure policy </w:t>
      </w:r>
      <w:r w:rsidRPr="007F014C">
        <w:t>must include processes by which open discussion between the health service establishment and a patient and the patient</w:t>
      </w:r>
      <w:r w:rsidR="001F2B55">
        <w:t>’</w:t>
      </w:r>
      <w:r w:rsidRPr="007F014C">
        <w:t xml:space="preserve">s family and carers are to occur following any adverse event that results in harm to the </w:t>
      </w:r>
      <w:r w:rsidRPr="007F014C">
        <w:lastRenderedPageBreak/>
        <w:t>patient</w:t>
      </w:r>
      <w:r w:rsidRPr="16DD06A3">
        <w:rPr>
          <w:rStyle w:val="normaltextrun"/>
          <w:rFonts w:cs="Arial"/>
          <w:color w:val="000000"/>
          <w:bdr w:val="none" w:sz="0" w:space="0" w:color="auto" w:frame="1"/>
        </w:rPr>
        <w:t xml:space="preserve">. </w:t>
      </w:r>
      <w:r w:rsidRPr="16DD06A3">
        <w:rPr>
          <w:rStyle w:val="normaltextrun"/>
          <w:rFonts w:cs="Arial"/>
          <w:bdr w:val="none" w:sz="0" w:space="0" w:color="auto" w:frame="1"/>
        </w:rPr>
        <w:t>O</w:t>
      </w:r>
      <w:r w:rsidRPr="16DD06A3">
        <w:rPr>
          <w:rStyle w:val="normaltextrun"/>
          <w:rFonts w:cs="Arial"/>
          <w:shd w:val="clear" w:color="auto" w:fill="FFFFFF"/>
        </w:rPr>
        <w:t xml:space="preserve">pen disclosure, as outlined within the Australian Open Disclosure Framework, must occur for all cases of harm and near miss. </w:t>
      </w:r>
    </w:p>
    <w:p w14:paraId="57D18AF5" w14:textId="1508DD73" w:rsidR="000B66B5" w:rsidRPr="0072126E" w:rsidRDefault="000B66B5" w:rsidP="000B66B5">
      <w:pPr>
        <w:pStyle w:val="Body"/>
        <w:rPr>
          <w:rStyle w:val="normaltextrun"/>
          <w:rFonts w:cs="Arial"/>
          <w:szCs w:val="21"/>
          <w:bdr w:val="none" w:sz="0" w:space="0" w:color="auto" w:frame="1"/>
        </w:rPr>
      </w:pPr>
      <w:r w:rsidRPr="0072126E">
        <w:rPr>
          <w:rStyle w:val="normaltextrun"/>
          <w:rFonts w:cs="Arial"/>
          <w:szCs w:val="21"/>
          <w:bdr w:val="none" w:sz="0" w:space="0" w:color="auto" w:frame="1"/>
        </w:rPr>
        <w:t xml:space="preserve">The SDC builds upon and complements the principles and elements of open disclosure. </w:t>
      </w:r>
      <w:r w:rsidRPr="0072126E">
        <w:rPr>
          <w:rStyle w:val="normaltextrun"/>
          <w:rFonts w:cs="Arial"/>
          <w:szCs w:val="21"/>
          <w:shd w:val="clear" w:color="auto" w:fill="FFFFFF"/>
        </w:rPr>
        <w:t xml:space="preserve">On the occasion that an event constitutes a SAPSE, the SDC must occur as per the </w:t>
      </w:r>
      <w:r w:rsidR="00ED3F3B" w:rsidRPr="00ED3F3B">
        <w:rPr>
          <w:rStyle w:val="normaltextrun"/>
          <w:rFonts w:cs="Arial"/>
          <w:szCs w:val="21"/>
          <w:shd w:val="clear" w:color="auto" w:fill="FFFFFF"/>
        </w:rPr>
        <w:t>Act</w:t>
      </w:r>
      <w:r w:rsidRPr="0072126E">
        <w:rPr>
          <w:rStyle w:val="normaltextrun"/>
          <w:rFonts w:cs="Arial"/>
          <w:szCs w:val="21"/>
          <w:shd w:val="clear" w:color="auto" w:fill="FFFFFF"/>
        </w:rPr>
        <w:t xml:space="preserve"> </w:t>
      </w:r>
      <w:r w:rsidR="00ED3F3B">
        <w:rPr>
          <w:rStyle w:val="normaltextrun"/>
          <w:rFonts w:cs="Arial"/>
          <w:szCs w:val="21"/>
          <w:shd w:val="clear" w:color="auto" w:fill="FFFFFF"/>
        </w:rPr>
        <w:t xml:space="preserve">and </w:t>
      </w:r>
      <w:r w:rsidRPr="0072126E">
        <w:rPr>
          <w:rStyle w:val="normaltextrun"/>
          <w:rFonts w:cs="Arial"/>
          <w:szCs w:val="21"/>
          <w:shd w:val="clear" w:color="auto" w:fill="FFFFFF"/>
        </w:rPr>
        <w:t>regulations.</w:t>
      </w:r>
    </w:p>
    <w:p w14:paraId="06A5F832" w14:textId="77777777" w:rsidR="00C123CB" w:rsidRDefault="00C123CB" w:rsidP="000B66B5">
      <w:pPr>
        <w:pStyle w:val="Body"/>
        <w:rPr>
          <w:rStyle w:val="normaltextrun"/>
          <w:rFonts w:cs="Arial"/>
          <w:color w:val="000000"/>
          <w:szCs w:val="21"/>
          <w:bdr w:val="none" w:sz="0" w:space="0" w:color="auto" w:frame="1"/>
        </w:rPr>
      </w:pPr>
    </w:p>
    <w:tbl>
      <w:tblPr>
        <w:tblStyle w:val="TableGrid"/>
        <w:tblW w:w="5000" w:type="pct"/>
        <w:shd w:val="clear" w:color="auto" w:fill="F2F2F2" w:themeFill="background1" w:themeFillShade="F2"/>
        <w:tblLook w:val="06A0" w:firstRow="1" w:lastRow="0" w:firstColumn="1" w:lastColumn="0" w:noHBand="1" w:noVBand="1"/>
      </w:tblPr>
      <w:tblGrid>
        <w:gridCol w:w="9268"/>
      </w:tblGrid>
      <w:tr w:rsidR="00784CCF" w:rsidRPr="004E21D8" w14:paraId="771EB733" w14:textId="77777777">
        <w:trPr>
          <w:tblHeader/>
        </w:trPr>
        <w:tc>
          <w:tcPr>
            <w:tcW w:w="5000" w:type="pct"/>
            <w:tcBorders>
              <w:top w:val="single" w:sz="8" w:space="0" w:color="auto"/>
              <w:left w:val="single" w:sz="12" w:space="0" w:color="auto"/>
              <w:bottom w:val="nil"/>
              <w:right w:val="single" w:sz="12" w:space="0" w:color="auto"/>
            </w:tcBorders>
            <w:shd w:val="clear" w:color="auto" w:fill="F2F2F2" w:themeFill="background1" w:themeFillShade="F2"/>
          </w:tcPr>
          <w:p w14:paraId="0DC26EBB" w14:textId="77777777" w:rsidR="00784CCF" w:rsidRPr="004E21D8" w:rsidRDefault="00784CCF">
            <w:pPr>
              <w:pStyle w:val="Tablecolhead"/>
              <w:rPr>
                <w:szCs w:val="21"/>
              </w:rPr>
            </w:pPr>
            <w:r w:rsidRPr="004E21D8">
              <w:rPr>
                <w:szCs w:val="21"/>
              </w:rPr>
              <w:t>Questions for consultation</w:t>
            </w:r>
          </w:p>
        </w:tc>
      </w:tr>
      <w:tr w:rsidR="00784CCF" w:rsidRPr="004E21D8" w14:paraId="0E1CAF48" w14:textId="77777777">
        <w:tc>
          <w:tcPr>
            <w:tcW w:w="5000" w:type="pct"/>
            <w:tcBorders>
              <w:top w:val="nil"/>
              <w:left w:val="single" w:sz="12" w:space="0" w:color="auto"/>
              <w:bottom w:val="single" w:sz="12" w:space="0" w:color="auto"/>
              <w:right w:val="single" w:sz="12" w:space="0" w:color="auto"/>
            </w:tcBorders>
            <w:shd w:val="clear" w:color="auto" w:fill="F2F2F2" w:themeFill="background1" w:themeFillShade="F2"/>
          </w:tcPr>
          <w:p w14:paraId="15D100E9" w14:textId="42AB5FA3" w:rsidR="00784CCF" w:rsidRPr="00F301E8" w:rsidRDefault="00F301E8" w:rsidP="00C132C8">
            <w:pPr>
              <w:pStyle w:val="ListParagraph"/>
              <w:numPr>
                <w:ilvl w:val="0"/>
                <w:numId w:val="11"/>
              </w:numPr>
              <w:spacing w:before="120" w:after="120" w:line="280" w:lineRule="atLeast"/>
              <w:ind w:left="357" w:hanging="357"/>
              <w:contextualSpacing w:val="0"/>
              <w:rPr>
                <w:rFonts w:ascii="Arial" w:hAnsi="Arial" w:cs="Arial"/>
                <w:sz w:val="21"/>
                <w:szCs w:val="21"/>
              </w:rPr>
            </w:pPr>
            <w:r w:rsidRPr="00F301E8">
              <w:rPr>
                <w:rFonts w:ascii="Arial" w:hAnsi="Arial" w:cs="Arial"/>
                <w:sz w:val="21"/>
                <w:szCs w:val="21"/>
                <w:lang w:eastAsia="en-AU"/>
              </w:rPr>
              <w:t>Do</w:t>
            </w:r>
            <w:r w:rsidRPr="00F301E8">
              <w:rPr>
                <w:rFonts w:ascii="Arial" w:eastAsia="Times New Roman" w:hAnsi="Arial" w:cs="Arial"/>
                <w:sz w:val="21"/>
                <w:szCs w:val="21"/>
                <w:lang w:eastAsia="en-AU"/>
              </w:rPr>
              <w:t xml:space="preserve"> you have any comments regarding the proposal to maintain the existing </w:t>
            </w:r>
            <w:r w:rsidR="00680FFC">
              <w:rPr>
                <w:rFonts w:ascii="Arial" w:eastAsia="Times New Roman" w:hAnsi="Arial" w:cs="Arial"/>
                <w:sz w:val="21"/>
                <w:szCs w:val="21"/>
                <w:lang w:eastAsia="en-AU"/>
              </w:rPr>
              <w:t>r</w:t>
            </w:r>
            <w:r w:rsidRPr="00F301E8">
              <w:rPr>
                <w:rFonts w:ascii="Arial" w:eastAsia="Times New Roman" w:hAnsi="Arial" w:cs="Arial"/>
                <w:sz w:val="21"/>
                <w:szCs w:val="21"/>
                <w:lang w:eastAsia="en-AU"/>
              </w:rPr>
              <w:t xml:space="preserve">egulation </w:t>
            </w:r>
            <w:r w:rsidR="00680FFC">
              <w:rPr>
                <w:rFonts w:ascii="Arial" w:eastAsia="Times New Roman" w:hAnsi="Arial" w:cs="Arial"/>
                <w:sz w:val="21"/>
                <w:szCs w:val="21"/>
                <w:lang w:eastAsia="en-AU"/>
              </w:rPr>
              <w:t xml:space="preserve">(r.32A) </w:t>
            </w:r>
            <w:r w:rsidRPr="00F301E8">
              <w:rPr>
                <w:rFonts w:ascii="Arial" w:eastAsia="Times New Roman" w:hAnsi="Arial" w:cs="Arial"/>
                <w:sz w:val="21"/>
                <w:szCs w:val="21"/>
                <w:lang w:eastAsia="en-AU"/>
              </w:rPr>
              <w:t>regarding open disclosure?</w:t>
            </w:r>
            <w:r w:rsidR="00784CCF" w:rsidRPr="00F301E8">
              <w:rPr>
                <w:rFonts w:ascii="Arial" w:hAnsi="Arial" w:cs="Arial"/>
                <w:sz w:val="21"/>
                <w:szCs w:val="21"/>
              </w:rPr>
              <w:t xml:space="preserve"> </w:t>
            </w:r>
          </w:p>
        </w:tc>
      </w:tr>
    </w:tbl>
    <w:p w14:paraId="7E9F2A43" w14:textId="42FDC747" w:rsidR="00DF73E5" w:rsidRDefault="00610CBA" w:rsidP="00DF73E5">
      <w:pPr>
        <w:pStyle w:val="Heading2"/>
      </w:pPr>
      <w:bookmarkStart w:id="98" w:name="_Toc143272031"/>
      <w:r>
        <w:t>7</w:t>
      </w:r>
      <w:r w:rsidR="00DF73E5">
        <w:t>.</w:t>
      </w:r>
      <w:r>
        <w:t>4</w:t>
      </w:r>
      <w:r w:rsidR="00DF73E5">
        <w:t xml:space="preserve"> A</w:t>
      </w:r>
      <w:r w:rsidR="00DF73E5" w:rsidRPr="00CB2764">
        <w:t>nnual data reporting by mobile</w:t>
      </w:r>
      <w:r w:rsidR="00DF73E5">
        <w:t xml:space="preserve"> health service</w:t>
      </w:r>
      <w:r w:rsidR="00DF73E5" w:rsidRPr="00CB2764">
        <w:t>s</w:t>
      </w:r>
      <w:bookmarkEnd w:id="98"/>
    </w:p>
    <w:p w14:paraId="1CC8B8EE" w14:textId="6FEB0EDC" w:rsidR="00A11843" w:rsidRDefault="00A11843" w:rsidP="16DD06A3">
      <w:pPr>
        <w:pStyle w:val="Body"/>
        <w:spacing w:line="264" w:lineRule="auto"/>
        <w:rPr>
          <w:rFonts w:eastAsia="Arial" w:cs="Arial"/>
        </w:rPr>
      </w:pPr>
      <w:r w:rsidRPr="16DD06A3">
        <w:rPr>
          <w:rFonts w:eastAsia="Arial" w:cs="Arial"/>
        </w:rPr>
        <w:t xml:space="preserve">The definition of </w:t>
      </w:r>
      <w:r w:rsidRPr="16DD06A3">
        <w:rPr>
          <w:rFonts w:eastAsia="Arial" w:cs="Arial"/>
          <w:b/>
          <w:bCs/>
          <w:i/>
          <w:iCs/>
        </w:rPr>
        <w:t>health service establishment</w:t>
      </w:r>
      <w:r w:rsidRPr="16DD06A3">
        <w:rPr>
          <w:rFonts w:eastAsia="Arial" w:cs="Arial"/>
        </w:rPr>
        <w:t xml:space="preserve"> was amended in 2018 to include </w:t>
      </w:r>
      <w:r w:rsidR="00292B2B">
        <w:rPr>
          <w:rFonts w:eastAsia="Arial" w:cs="Arial"/>
        </w:rPr>
        <w:t>‘</w:t>
      </w:r>
      <w:r w:rsidRPr="16DD06A3">
        <w:rPr>
          <w:rFonts w:eastAsia="Arial" w:cs="Arial"/>
        </w:rPr>
        <w:t>premises at which, or from which, a prescribed health service is provided</w:t>
      </w:r>
      <w:r w:rsidR="00292B2B">
        <w:rPr>
          <w:rFonts w:eastAsia="Arial" w:cs="Arial"/>
        </w:rPr>
        <w:t>’</w:t>
      </w:r>
      <w:r w:rsidRPr="16DD06A3">
        <w:rPr>
          <w:rFonts w:eastAsia="Arial" w:cs="Arial"/>
        </w:rPr>
        <w:t>. The amendment was required to enable a flexible registration system that covered central premises as well as services linked to those premises. It was intended that health service establishments with smaller off-site facilities or services incorporating the same management and clinical governance arrangements as a central premises would be covered by the amended definition</w:t>
      </w:r>
      <w:r w:rsidR="00156A05">
        <w:t xml:space="preserve"> – </w:t>
      </w:r>
      <w:r>
        <w:t xml:space="preserve">for example, </w:t>
      </w:r>
      <w:r w:rsidR="00174D87">
        <w:t>h</w:t>
      </w:r>
      <w:r>
        <w:t>ospital</w:t>
      </w:r>
      <w:r w:rsidR="00174D87">
        <w:t>-</w:t>
      </w:r>
      <w:r>
        <w:t>in</w:t>
      </w:r>
      <w:r w:rsidR="00174D87">
        <w:t>-</w:t>
      </w:r>
      <w:r>
        <w:t>the</w:t>
      </w:r>
      <w:r w:rsidR="00174D87">
        <w:t>-h</w:t>
      </w:r>
      <w:r>
        <w:t>ome.</w:t>
      </w:r>
      <w:r w:rsidRPr="16DD06A3">
        <w:rPr>
          <w:rFonts w:eastAsia="Arial" w:cs="Arial"/>
        </w:rPr>
        <w:t xml:space="preserve"> </w:t>
      </w:r>
    </w:p>
    <w:p w14:paraId="5B6B3543" w14:textId="069D546F" w:rsidR="00A11843" w:rsidRDefault="00A11843" w:rsidP="00A11843">
      <w:pPr>
        <w:pStyle w:val="Body"/>
      </w:pPr>
      <w:r w:rsidRPr="0070219B">
        <w:rPr>
          <w:rFonts w:eastAsia="Arial" w:cs="Arial"/>
          <w:szCs w:val="21"/>
        </w:rPr>
        <w:t xml:space="preserve">The definition also intended to cover emerging and future innovative models of care. </w:t>
      </w:r>
      <w:r>
        <w:t>Unlike other health service establishments, mobile health services (usually anaesthetic and intravenous sedation services) are not required to report any Victorian Admitted Episode Data (VAED) to the department as their patients are not admitted. Typically, the patients are seen at privately owned dental clinics and radiation clinics that have contracted anaesthetic services.</w:t>
      </w:r>
    </w:p>
    <w:p w14:paraId="589C1D1B" w14:textId="0E6757CC" w:rsidR="00665212" w:rsidRDefault="00A11843" w:rsidP="00665212">
      <w:pPr>
        <w:pStyle w:val="Body"/>
        <w:rPr>
          <w:rFonts w:cs="Arial"/>
          <w:szCs w:val="21"/>
        </w:rPr>
      </w:pPr>
      <w:r>
        <w:t>Currently mobile health services are requested to report data annually</w:t>
      </w:r>
      <w:r w:rsidR="006F3F1F">
        <w:t xml:space="preserve"> </w:t>
      </w:r>
      <w:r w:rsidR="006F3F1F">
        <w:rPr>
          <w:rFonts w:cs="Arial"/>
          <w:szCs w:val="21"/>
        </w:rPr>
        <w:t xml:space="preserve">via a template that is emailed to the </w:t>
      </w:r>
      <w:r w:rsidR="006F3F1F" w:rsidRPr="001A3F04">
        <w:rPr>
          <w:rFonts w:cs="Arial"/>
          <w:szCs w:val="21"/>
        </w:rPr>
        <w:t>proprietor of the mobile service health service establishment</w:t>
      </w:r>
      <w:r>
        <w:t xml:space="preserve">. </w:t>
      </w:r>
    </w:p>
    <w:p w14:paraId="3AE72B06" w14:textId="781574F0" w:rsidR="00A11843" w:rsidRDefault="00A11843" w:rsidP="00A11843">
      <w:pPr>
        <w:pStyle w:val="Body"/>
      </w:pPr>
      <w:r>
        <w:t>This retrospective baseline data supports the department’s overview of the sector and informs risk-based monitoring. The department is considering formalising this practi</w:t>
      </w:r>
      <w:r w:rsidR="00270F57">
        <w:t>c</w:t>
      </w:r>
      <w:r>
        <w:t>e of data reporting from mobile services to ensure that data is received in full and in a timely manner.</w:t>
      </w:r>
    </w:p>
    <w:p w14:paraId="516A5D4B" w14:textId="6BE54397" w:rsidR="00A11843" w:rsidRPr="00A24ED9" w:rsidRDefault="00A11843" w:rsidP="00E267DC">
      <w:pPr>
        <w:pStyle w:val="Body"/>
        <w:rPr>
          <w:rFonts w:cs="Arial"/>
          <w:b/>
          <w:bCs/>
          <w:szCs w:val="21"/>
        </w:rPr>
      </w:pPr>
      <w:r w:rsidRPr="00A24ED9">
        <w:t>The</w:t>
      </w:r>
      <w:r w:rsidRPr="00A24ED9">
        <w:rPr>
          <w:rFonts w:cs="Arial"/>
          <w:szCs w:val="21"/>
        </w:rPr>
        <w:t xml:space="preserve"> department proposes to add a regulation </w:t>
      </w:r>
      <w:r>
        <w:rPr>
          <w:rFonts w:cs="Arial"/>
          <w:szCs w:val="21"/>
        </w:rPr>
        <w:t>requiring</w:t>
      </w:r>
      <w:r w:rsidRPr="00A24ED9">
        <w:rPr>
          <w:rFonts w:cs="Arial"/>
          <w:szCs w:val="21"/>
        </w:rPr>
        <w:t xml:space="preserve"> </w:t>
      </w:r>
      <w:bookmarkStart w:id="99" w:name="_Toc447893808"/>
      <w:bookmarkStart w:id="100" w:name="_Toc448843843"/>
      <w:r w:rsidRPr="00A24ED9">
        <w:rPr>
          <w:rFonts w:cs="Arial"/>
          <w:szCs w:val="21"/>
        </w:rPr>
        <w:t xml:space="preserve">an </w:t>
      </w:r>
      <w:bookmarkEnd w:id="99"/>
      <w:bookmarkEnd w:id="100"/>
      <w:r w:rsidRPr="00A24ED9">
        <w:rPr>
          <w:rFonts w:cs="Arial"/>
          <w:szCs w:val="21"/>
        </w:rPr>
        <w:t xml:space="preserve">annual report </w:t>
      </w:r>
      <w:r>
        <w:rPr>
          <w:rFonts w:cs="Arial"/>
          <w:szCs w:val="21"/>
        </w:rPr>
        <w:t xml:space="preserve">to the Secretary </w:t>
      </w:r>
      <w:r w:rsidRPr="00A24ED9">
        <w:rPr>
          <w:rFonts w:cs="Arial"/>
          <w:szCs w:val="21"/>
        </w:rPr>
        <w:t xml:space="preserve">on the operation of the mobile health service during the previous financial year. </w:t>
      </w:r>
      <w:r w:rsidR="00A3303F">
        <w:rPr>
          <w:rFonts w:cs="Arial"/>
          <w:szCs w:val="21"/>
        </w:rPr>
        <w:t>It is anticipated that any such</w:t>
      </w:r>
      <w:r w:rsidRPr="00A24ED9">
        <w:rPr>
          <w:rFonts w:cs="Arial"/>
          <w:szCs w:val="21"/>
        </w:rPr>
        <w:t xml:space="preserve"> annual report </w:t>
      </w:r>
      <w:r>
        <w:rPr>
          <w:rFonts w:cs="Arial"/>
          <w:szCs w:val="21"/>
        </w:rPr>
        <w:t xml:space="preserve">would </w:t>
      </w:r>
      <w:r w:rsidRPr="00A24ED9">
        <w:rPr>
          <w:rFonts w:cs="Arial"/>
          <w:szCs w:val="21"/>
        </w:rPr>
        <w:t>contain the</w:t>
      </w:r>
      <w:r w:rsidR="007C4CBF">
        <w:rPr>
          <w:rFonts w:cs="Arial"/>
          <w:szCs w:val="21"/>
        </w:rPr>
        <w:t xml:space="preserve"> following</w:t>
      </w:r>
      <w:r w:rsidRPr="00A24ED9">
        <w:rPr>
          <w:rFonts w:cs="Arial"/>
          <w:szCs w:val="21"/>
        </w:rPr>
        <w:t xml:space="preserve"> information in respect of the financial year reported on</w:t>
      </w:r>
      <w:r w:rsidR="00A3303F">
        <w:rPr>
          <w:rFonts w:cs="Arial"/>
          <w:szCs w:val="21"/>
        </w:rPr>
        <w:t>, consistent with current operational arrangements</w:t>
      </w:r>
      <w:r w:rsidR="00602FAE">
        <w:rPr>
          <w:rFonts w:cs="Arial"/>
          <w:szCs w:val="21"/>
        </w:rPr>
        <w:t>:</w:t>
      </w:r>
    </w:p>
    <w:p w14:paraId="7889F776" w14:textId="7DCC280F" w:rsidR="00A11843" w:rsidRPr="00A24ED9" w:rsidRDefault="00A11843" w:rsidP="00C132C8">
      <w:pPr>
        <w:pStyle w:val="Body"/>
        <w:numPr>
          <w:ilvl w:val="0"/>
          <w:numId w:val="50"/>
        </w:numPr>
        <w:rPr>
          <w:rFonts w:cs="Arial"/>
          <w:szCs w:val="21"/>
        </w:rPr>
      </w:pPr>
      <w:r w:rsidRPr="00A24ED9">
        <w:t>the number of patients treated</w:t>
      </w:r>
    </w:p>
    <w:p w14:paraId="5FE75550" w14:textId="41975D78" w:rsidR="00A11843" w:rsidRPr="00AE5193" w:rsidRDefault="00A11843" w:rsidP="00C132C8">
      <w:pPr>
        <w:pStyle w:val="Body"/>
        <w:numPr>
          <w:ilvl w:val="0"/>
          <w:numId w:val="50"/>
        </w:numPr>
        <w:rPr>
          <w:rFonts w:cs="Arial"/>
          <w:szCs w:val="21"/>
        </w:rPr>
      </w:pPr>
      <w:r w:rsidRPr="00A24ED9">
        <w:t xml:space="preserve">the number of patients </w:t>
      </w:r>
      <w:r w:rsidRPr="28BA2A3A">
        <w:rPr>
          <w:rFonts w:cs="Arial"/>
          <w:szCs w:val="21"/>
        </w:rPr>
        <w:t>at</w:t>
      </w:r>
      <w:r w:rsidRPr="00A24ED9">
        <w:rPr>
          <w:rFonts w:cs="Arial"/>
          <w:szCs w:val="21"/>
        </w:rPr>
        <w:t xml:space="preserve"> each acuity level</w:t>
      </w:r>
      <w:r>
        <w:rPr>
          <w:rFonts w:cs="Arial"/>
          <w:szCs w:val="21"/>
        </w:rPr>
        <w:t xml:space="preserve"> (</w:t>
      </w:r>
      <w:r w:rsidRPr="28BA2A3A">
        <w:rPr>
          <w:rFonts w:cs="Arial"/>
          <w:szCs w:val="21"/>
        </w:rPr>
        <w:t xml:space="preserve">patient’s preoperative physical </w:t>
      </w:r>
      <w:r w:rsidR="00D62E0E" w:rsidRPr="28BA2A3A">
        <w:rPr>
          <w:rFonts w:cs="Arial"/>
          <w:szCs w:val="21"/>
        </w:rPr>
        <w:t xml:space="preserve">health </w:t>
      </w:r>
      <w:r w:rsidRPr="28BA2A3A">
        <w:rPr>
          <w:rFonts w:cs="Arial"/>
          <w:szCs w:val="21"/>
        </w:rPr>
        <w:t xml:space="preserve">status using the </w:t>
      </w:r>
      <w:r>
        <w:rPr>
          <w:rFonts w:cs="Arial"/>
          <w:szCs w:val="21"/>
        </w:rPr>
        <w:t xml:space="preserve">ASA </w:t>
      </w:r>
      <w:r w:rsidRPr="28BA2A3A">
        <w:rPr>
          <w:rFonts w:cs="Arial"/>
          <w:szCs w:val="21"/>
        </w:rPr>
        <w:t>scale</w:t>
      </w:r>
      <w:r w:rsidR="00A91363">
        <w:rPr>
          <w:rStyle w:val="FootnoteReference"/>
          <w:rFonts w:cs="Arial"/>
          <w:szCs w:val="21"/>
        </w:rPr>
        <w:footnoteReference w:id="48"/>
      </w:r>
      <w:r w:rsidRPr="28BA2A3A">
        <w:rPr>
          <w:rFonts w:cs="Arial"/>
          <w:szCs w:val="21"/>
        </w:rPr>
        <w:t>)</w:t>
      </w:r>
    </w:p>
    <w:p w14:paraId="48C0CA2F" w14:textId="77777777" w:rsidR="00A11843" w:rsidRPr="00FF166E" w:rsidRDefault="00A11843" w:rsidP="00C132C8">
      <w:pPr>
        <w:pStyle w:val="Body"/>
        <w:numPr>
          <w:ilvl w:val="0"/>
          <w:numId w:val="50"/>
        </w:numPr>
        <w:rPr>
          <w:rFonts w:cs="Arial"/>
          <w:szCs w:val="21"/>
        </w:rPr>
      </w:pPr>
      <w:r w:rsidRPr="00FF166E">
        <w:t>nature of the anaes</w:t>
      </w:r>
      <w:r w:rsidRPr="00FF166E">
        <w:rPr>
          <w:rFonts w:cs="Arial"/>
          <w:szCs w:val="21"/>
        </w:rPr>
        <w:t>thesia (general anaesthesia or sedation)</w:t>
      </w:r>
    </w:p>
    <w:p w14:paraId="27194B09" w14:textId="77777777" w:rsidR="00A11843" w:rsidRPr="0070219B" w:rsidRDefault="00A11843" w:rsidP="00C132C8">
      <w:pPr>
        <w:pStyle w:val="Body"/>
        <w:numPr>
          <w:ilvl w:val="0"/>
          <w:numId w:val="50"/>
        </w:numPr>
        <w:rPr>
          <w:rFonts w:cs="Arial"/>
          <w:szCs w:val="21"/>
        </w:rPr>
      </w:pPr>
      <w:r w:rsidRPr="00FF166E">
        <w:t>number of clini</w:t>
      </w:r>
      <w:r w:rsidRPr="00FF166E">
        <w:rPr>
          <w:rFonts w:cs="Arial"/>
          <w:szCs w:val="21"/>
        </w:rPr>
        <w:t>cal incidents in relation to a patient while under the care of the mobile health service</w:t>
      </w:r>
    </w:p>
    <w:p w14:paraId="10606992" w14:textId="77777777" w:rsidR="00A11843" w:rsidRPr="0070219B" w:rsidRDefault="00A11843" w:rsidP="00C132C8">
      <w:pPr>
        <w:pStyle w:val="Body"/>
        <w:numPr>
          <w:ilvl w:val="0"/>
          <w:numId w:val="50"/>
        </w:numPr>
        <w:rPr>
          <w:rFonts w:cs="Arial"/>
          <w:szCs w:val="21"/>
        </w:rPr>
      </w:pPr>
      <w:r w:rsidRPr="0070219B">
        <w:lastRenderedPageBreak/>
        <w:t>number of emergency patient transfers</w:t>
      </w:r>
    </w:p>
    <w:p w14:paraId="5DBEBC96" w14:textId="75AA8543" w:rsidR="00A11843" w:rsidRPr="0070219B" w:rsidRDefault="00A11843" w:rsidP="00C132C8">
      <w:pPr>
        <w:pStyle w:val="Body"/>
        <w:numPr>
          <w:ilvl w:val="0"/>
          <w:numId w:val="50"/>
        </w:numPr>
        <w:rPr>
          <w:rFonts w:cs="Arial"/>
          <w:szCs w:val="21"/>
        </w:rPr>
      </w:pPr>
      <w:r w:rsidRPr="0070219B">
        <w:t>any other information that the Secretary has,</w:t>
      </w:r>
      <w:r w:rsidR="00C123CB">
        <w:t xml:space="preserve"> </w:t>
      </w:r>
      <w:r w:rsidRPr="0070219B">
        <w:t>by notice given to the prop</w:t>
      </w:r>
      <w:r w:rsidRPr="0070219B">
        <w:rPr>
          <w:rFonts w:cs="Arial"/>
          <w:szCs w:val="21"/>
        </w:rPr>
        <w:t>rietor of the mobile service health service establishment, requested the proprietor to include.</w:t>
      </w:r>
    </w:p>
    <w:p w14:paraId="088FAE51" w14:textId="77777777" w:rsidR="00C123CB" w:rsidRDefault="00C123CB" w:rsidP="00A11843">
      <w:pPr>
        <w:pStyle w:val="Body"/>
        <w:rPr>
          <w:rFonts w:cs="Arial"/>
          <w:szCs w:val="21"/>
        </w:rPr>
      </w:pPr>
    </w:p>
    <w:tbl>
      <w:tblPr>
        <w:tblStyle w:val="TableGrid"/>
        <w:tblW w:w="5000" w:type="pct"/>
        <w:shd w:val="clear" w:color="auto" w:fill="F2F2F2" w:themeFill="background1" w:themeFillShade="F2"/>
        <w:tblLook w:val="06A0" w:firstRow="1" w:lastRow="0" w:firstColumn="1" w:lastColumn="0" w:noHBand="1" w:noVBand="1"/>
      </w:tblPr>
      <w:tblGrid>
        <w:gridCol w:w="9268"/>
      </w:tblGrid>
      <w:tr w:rsidR="00F301E8" w:rsidRPr="004E21D8" w14:paraId="01C582CC" w14:textId="77777777">
        <w:trPr>
          <w:tblHeader/>
        </w:trPr>
        <w:tc>
          <w:tcPr>
            <w:tcW w:w="5000" w:type="pct"/>
            <w:tcBorders>
              <w:top w:val="single" w:sz="8" w:space="0" w:color="auto"/>
              <w:left w:val="single" w:sz="12" w:space="0" w:color="auto"/>
              <w:bottom w:val="nil"/>
              <w:right w:val="single" w:sz="12" w:space="0" w:color="auto"/>
            </w:tcBorders>
            <w:shd w:val="clear" w:color="auto" w:fill="F2F2F2" w:themeFill="background1" w:themeFillShade="F2"/>
          </w:tcPr>
          <w:p w14:paraId="10DCCD88" w14:textId="77777777" w:rsidR="00F301E8" w:rsidRPr="004E21D8" w:rsidRDefault="00F301E8">
            <w:pPr>
              <w:pStyle w:val="Tablecolhead"/>
              <w:rPr>
                <w:szCs w:val="21"/>
              </w:rPr>
            </w:pPr>
            <w:r w:rsidRPr="004E21D8">
              <w:rPr>
                <w:szCs w:val="21"/>
              </w:rPr>
              <w:t>Questions for consultation</w:t>
            </w:r>
          </w:p>
        </w:tc>
      </w:tr>
      <w:tr w:rsidR="00F301E8" w:rsidRPr="004E21D8" w14:paraId="30EB56E8" w14:textId="77777777">
        <w:tc>
          <w:tcPr>
            <w:tcW w:w="5000" w:type="pct"/>
            <w:tcBorders>
              <w:top w:val="nil"/>
              <w:left w:val="single" w:sz="12" w:space="0" w:color="auto"/>
              <w:bottom w:val="single" w:sz="12" w:space="0" w:color="auto"/>
              <w:right w:val="single" w:sz="12" w:space="0" w:color="auto"/>
            </w:tcBorders>
            <w:shd w:val="clear" w:color="auto" w:fill="F2F2F2" w:themeFill="background1" w:themeFillShade="F2"/>
          </w:tcPr>
          <w:p w14:paraId="6FC7C6AE" w14:textId="45D5E434" w:rsidR="00F301E8" w:rsidRPr="00F301E8" w:rsidRDefault="00F301E8" w:rsidP="00C132C8">
            <w:pPr>
              <w:pStyle w:val="ListParagraph"/>
              <w:numPr>
                <w:ilvl w:val="0"/>
                <w:numId w:val="11"/>
              </w:numPr>
              <w:spacing w:before="120" w:after="120" w:line="280" w:lineRule="atLeast"/>
              <w:ind w:left="357" w:hanging="357"/>
              <w:contextualSpacing w:val="0"/>
              <w:rPr>
                <w:rFonts w:ascii="Arial" w:hAnsi="Arial" w:cs="Arial"/>
                <w:sz w:val="21"/>
                <w:szCs w:val="21"/>
              </w:rPr>
            </w:pPr>
            <w:r w:rsidRPr="00F301E8">
              <w:rPr>
                <w:rFonts w:ascii="Arial" w:hAnsi="Arial" w:cs="Arial"/>
                <w:sz w:val="21"/>
                <w:szCs w:val="21"/>
              </w:rPr>
              <w:t xml:space="preserve">Do you support the Regulations being amended to require that a day procedure centre providing mobile services (such as mobile anaesthesia) is required to report annual data to the department? </w:t>
            </w:r>
          </w:p>
          <w:p w14:paraId="1437F72E" w14:textId="1E15BADE" w:rsidR="00F301E8" w:rsidRPr="00F301E8" w:rsidRDefault="00F301E8" w:rsidP="00C132C8">
            <w:pPr>
              <w:pStyle w:val="ListParagraph"/>
              <w:numPr>
                <w:ilvl w:val="0"/>
                <w:numId w:val="11"/>
              </w:numPr>
              <w:spacing w:after="120" w:line="280" w:lineRule="atLeast"/>
              <w:contextualSpacing w:val="0"/>
              <w:rPr>
                <w:rFonts w:ascii="Arial" w:hAnsi="Arial" w:cs="Arial"/>
                <w:sz w:val="21"/>
                <w:szCs w:val="21"/>
              </w:rPr>
            </w:pPr>
            <w:r w:rsidRPr="00F301E8">
              <w:rPr>
                <w:rFonts w:ascii="Arial" w:hAnsi="Arial" w:cs="Arial"/>
                <w:sz w:val="21"/>
                <w:szCs w:val="21"/>
              </w:rPr>
              <w:t>Do you think the listed data points are appropriate? Are there other metrics that would support risk-based monitoring of the services provided</w:t>
            </w:r>
            <w:r w:rsidR="00DA020E">
              <w:rPr>
                <w:rFonts w:ascii="Arial" w:hAnsi="Arial" w:cs="Arial"/>
                <w:sz w:val="21"/>
                <w:szCs w:val="21"/>
              </w:rPr>
              <w:t>?</w:t>
            </w:r>
          </w:p>
          <w:p w14:paraId="0ADBE4F6" w14:textId="3E3FE2E7" w:rsidR="00F301E8" w:rsidRPr="00F301E8" w:rsidRDefault="00F301E8" w:rsidP="00C132C8">
            <w:pPr>
              <w:pStyle w:val="ListParagraph"/>
              <w:numPr>
                <w:ilvl w:val="0"/>
                <w:numId w:val="11"/>
              </w:numPr>
              <w:spacing w:after="120" w:line="280" w:lineRule="atLeast"/>
              <w:contextualSpacing w:val="0"/>
              <w:rPr>
                <w:rFonts w:ascii="Arial" w:eastAsia="Times New Roman" w:hAnsi="Arial"/>
                <w:sz w:val="21"/>
                <w:lang w:eastAsia="en-AU"/>
              </w:rPr>
            </w:pPr>
            <w:r w:rsidRPr="00F301E8">
              <w:rPr>
                <w:rFonts w:ascii="Arial" w:hAnsi="Arial" w:cs="Arial"/>
                <w:sz w:val="21"/>
                <w:szCs w:val="21"/>
              </w:rPr>
              <w:t>Do you have any comments regarding the burden of reporting this data?</w:t>
            </w:r>
            <w:r w:rsidRPr="00F301E8">
              <w:rPr>
                <w:szCs w:val="21"/>
              </w:rPr>
              <w:t xml:space="preserve"> </w:t>
            </w:r>
          </w:p>
        </w:tc>
      </w:tr>
    </w:tbl>
    <w:p w14:paraId="5D3596C8" w14:textId="2EE3C761" w:rsidR="000956CE" w:rsidRDefault="00610CBA" w:rsidP="000956CE">
      <w:pPr>
        <w:pStyle w:val="Heading2"/>
      </w:pPr>
      <w:bookmarkStart w:id="101" w:name="_Toc143272032"/>
      <w:r>
        <w:rPr>
          <w:rFonts w:eastAsia="Times"/>
        </w:rPr>
        <w:t>7</w:t>
      </w:r>
      <w:r w:rsidR="000956CE">
        <w:rPr>
          <w:rFonts w:eastAsia="Times"/>
        </w:rPr>
        <w:t>.</w:t>
      </w:r>
      <w:r>
        <w:rPr>
          <w:rFonts w:eastAsia="Times"/>
        </w:rPr>
        <w:t>5</w:t>
      </w:r>
      <w:r w:rsidR="000956CE" w:rsidRPr="3D9DAD65">
        <w:rPr>
          <w:rFonts w:eastAsia="Times"/>
        </w:rPr>
        <w:t xml:space="preserve"> </w:t>
      </w:r>
      <w:r w:rsidR="007C4CBF">
        <w:rPr>
          <w:rFonts w:eastAsia="Times"/>
        </w:rPr>
        <w:t>Infection</w:t>
      </w:r>
      <w:r w:rsidR="0047184B">
        <w:rPr>
          <w:rFonts w:eastAsia="Times"/>
        </w:rPr>
        <w:t xml:space="preserve"> control</w:t>
      </w:r>
      <w:r w:rsidR="000956CE" w:rsidRPr="3D9DAD65">
        <w:rPr>
          <w:rFonts w:eastAsia="Times"/>
        </w:rPr>
        <w:t xml:space="preserve"> reporting</w:t>
      </w:r>
      <w:bookmarkEnd w:id="101"/>
    </w:p>
    <w:p w14:paraId="65D2ED42" w14:textId="27356D28" w:rsidR="00DB17B7" w:rsidRDefault="00DB17B7" w:rsidP="00DB17B7">
      <w:pPr>
        <w:pStyle w:val="Body"/>
        <w:rPr>
          <w:rFonts w:cs="Arial"/>
          <w:color w:val="333333"/>
          <w:shd w:val="clear" w:color="auto" w:fill="FFFFFF"/>
        </w:rPr>
      </w:pPr>
      <w:r>
        <w:t xml:space="preserve">Under regulations 46(3)(a) and (4), the proprietor of a private hospital must prepare a return for each month containing data about infections acquired by patients and staff at the private hospital and infection prevention and surveillance activities implemented at the private hospital. </w:t>
      </w:r>
    </w:p>
    <w:p w14:paraId="67E4E7F9" w14:textId="77777777" w:rsidR="00DB17B7" w:rsidRDefault="00DB17B7" w:rsidP="00DB17B7">
      <w:pPr>
        <w:pStyle w:val="Body"/>
      </w:pPr>
      <w:r>
        <w:t xml:space="preserve">This requirement was introduced in the last amendments to the Regulations in 2018 to improve oversight of quality and safety and align private sector date reporting with public health services. </w:t>
      </w:r>
    </w:p>
    <w:p w14:paraId="53A423FB" w14:textId="70AD52E6" w:rsidR="00DB17B7" w:rsidRDefault="00DB17B7" w:rsidP="00DB17B7">
      <w:pPr>
        <w:pStyle w:val="Body"/>
        <w:rPr>
          <w:rFonts w:cs="Arial"/>
          <w:color w:val="333333"/>
        </w:rPr>
      </w:pPr>
      <w:r>
        <w:t xml:space="preserve">In practice, this is implemented by health services </w:t>
      </w:r>
      <w:r w:rsidRPr="3FE78CD3">
        <w:t>reporting</w:t>
      </w:r>
      <w:r w:rsidRPr="3D9DAD65">
        <w:rPr>
          <w:szCs w:val="21"/>
        </w:rPr>
        <w:t xml:space="preserve"> </w:t>
      </w:r>
      <w:r>
        <w:t xml:space="preserve">data to the Victorian Hospital-acquired </w:t>
      </w:r>
      <w:r w:rsidRPr="00720465">
        <w:t>Infection Surveillance System (VICNISS).</w:t>
      </w:r>
      <w:r w:rsidRPr="0070219B">
        <w:rPr>
          <w:rFonts w:cs="Arial"/>
        </w:rPr>
        <w:t xml:space="preserve"> The primary aim of the VICNISS Coordinating Centre is to reduce the occurrence of healthcare associated infections (HAIs) in Victoria.</w:t>
      </w:r>
      <w:r w:rsidRPr="00720465">
        <w:t xml:space="preserve"> </w:t>
      </w:r>
      <w:r w:rsidRPr="0070219B">
        <w:rPr>
          <w:rFonts w:cs="Arial"/>
        </w:rPr>
        <w:t xml:space="preserve">The Coordinating Centre collates the data and provides reports to the </w:t>
      </w:r>
      <w:r w:rsidR="00C104EB">
        <w:rPr>
          <w:rFonts w:cs="Arial"/>
        </w:rPr>
        <w:t>d</w:t>
      </w:r>
      <w:r w:rsidRPr="0070219B">
        <w:rPr>
          <w:rFonts w:cs="Arial"/>
        </w:rPr>
        <w:t>epartment, as well as to participating hospitals. Participating hospital staff have access to their own hospital data, to aggregated data for the State and in some cases to de-identified data from other hospitals</w:t>
      </w:r>
      <w:r w:rsidRPr="3FE78CD3">
        <w:rPr>
          <w:rFonts w:cs="Arial"/>
          <w:color w:val="333333"/>
        </w:rPr>
        <w:t>.</w:t>
      </w:r>
      <w:r w:rsidR="00C123CB">
        <w:rPr>
          <w:rFonts w:cs="Arial"/>
          <w:color w:val="333333"/>
        </w:rPr>
        <w:t xml:space="preserve"> </w:t>
      </w:r>
    </w:p>
    <w:p w14:paraId="436AB45A" w14:textId="77777777" w:rsidR="00182387" w:rsidRDefault="00182387" w:rsidP="00DB17B7">
      <w:pPr>
        <w:pStyle w:val="Body"/>
      </w:pPr>
    </w:p>
    <w:tbl>
      <w:tblPr>
        <w:tblStyle w:val="TableGrid"/>
        <w:tblW w:w="5000" w:type="pct"/>
        <w:shd w:val="clear" w:color="auto" w:fill="F2F2F2" w:themeFill="background1" w:themeFillShade="F2"/>
        <w:tblLook w:val="06A0" w:firstRow="1" w:lastRow="0" w:firstColumn="1" w:lastColumn="0" w:noHBand="1" w:noVBand="1"/>
      </w:tblPr>
      <w:tblGrid>
        <w:gridCol w:w="9268"/>
      </w:tblGrid>
      <w:tr w:rsidR="00DA020E" w:rsidRPr="004E21D8" w14:paraId="2627EBC7" w14:textId="77777777">
        <w:trPr>
          <w:tblHeader/>
        </w:trPr>
        <w:tc>
          <w:tcPr>
            <w:tcW w:w="5000" w:type="pct"/>
            <w:tcBorders>
              <w:top w:val="single" w:sz="8" w:space="0" w:color="auto"/>
              <w:left w:val="single" w:sz="12" w:space="0" w:color="auto"/>
              <w:bottom w:val="nil"/>
              <w:right w:val="single" w:sz="12" w:space="0" w:color="auto"/>
            </w:tcBorders>
            <w:shd w:val="clear" w:color="auto" w:fill="F2F2F2" w:themeFill="background1" w:themeFillShade="F2"/>
          </w:tcPr>
          <w:p w14:paraId="30E39716" w14:textId="77777777" w:rsidR="00DA020E" w:rsidRPr="004E21D8" w:rsidRDefault="00DA020E">
            <w:pPr>
              <w:pStyle w:val="Tablecolhead"/>
              <w:rPr>
                <w:szCs w:val="21"/>
              </w:rPr>
            </w:pPr>
            <w:r w:rsidRPr="004E21D8">
              <w:rPr>
                <w:szCs w:val="21"/>
              </w:rPr>
              <w:t>Questions for consultation</w:t>
            </w:r>
          </w:p>
        </w:tc>
      </w:tr>
      <w:tr w:rsidR="00DA020E" w:rsidRPr="004E21D8" w14:paraId="15E648E8" w14:textId="77777777">
        <w:tc>
          <w:tcPr>
            <w:tcW w:w="5000" w:type="pct"/>
            <w:tcBorders>
              <w:top w:val="nil"/>
              <w:left w:val="single" w:sz="12" w:space="0" w:color="auto"/>
              <w:bottom w:val="single" w:sz="12" w:space="0" w:color="auto"/>
              <w:right w:val="single" w:sz="12" w:space="0" w:color="auto"/>
            </w:tcBorders>
            <w:shd w:val="clear" w:color="auto" w:fill="F2F2F2" w:themeFill="background1" w:themeFillShade="F2"/>
          </w:tcPr>
          <w:p w14:paraId="62669EC8" w14:textId="26B32DBB" w:rsidR="00DA020E" w:rsidRPr="00F301E8" w:rsidRDefault="00DA020E" w:rsidP="00C132C8">
            <w:pPr>
              <w:pStyle w:val="ListParagraph"/>
              <w:numPr>
                <w:ilvl w:val="0"/>
                <w:numId w:val="11"/>
              </w:numPr>
              <w:spacing w:before="120" w:after="120" w:line="280" w:lineRule="atLeast"/>
              <w:ind w:left="357" w:hanging="357"/>
              <w:contextualSpacing w:val="0"/>
              <w:rPr>
                <w:rFonts w:ascii="Arial" w:eastAsia="Times New Roman" w:hAnsi="Arial"/>
                <w:sz w:val="21"/>
                <w:lang w:eastAsia="en-AU"/>
              </w:rPr>
            </w:pPr>
            <w:r w:rsidRPr="00DA020E">
              <w:rPr>
                <w:rFonts w:ascii="Arial" w:hAnsi="Arial" w:cs="Arial"/>
                <w:sz w:val="21"/>
                <w:szCs w:val="21"/>
              </w:rPr>
              <w:t>Do you have any comments regarding the current process of reporting data to VICNISS</w:t>
            </w:r>
            <w:r>
              <w:rPr>
                <w:rFonts w:ascii="Arial" w:hAnsi="Arial" w:cs="Arial"/>
                <w:sz w:val="21"/>
                <w:szCs w:val="21"/>
              </w:rPr>
              <w:t>?</w:t>
            </w:r>
          </w:p>
        </w:tc>
      </w:tr>
    </w:tbl>
    <w:p w14:paraId="74B2B16F" w14:textId="77777777" w:rsidR="00182387" w:rsidRDefault="00182387" w:rsidP="00FA39A8">
      <w:pPr>
        <w:pStyle w:val="Body"/>
        <w:rPr>
          <w:rFonts w:eastAsia="MS Gothic" w:cs="Arial"/>
          <w:bCs/>
          <w:color w:val="C5511A"/>
          <w:kern w:val="32"/>
          <w:sz w:val="44"/>
          <w:szCs w:val="44"/>
        </w:rPr>
      </w:pPr>
      <w:r>
        <w:br w:type="page"/>
      </w:r>
    </w:p>
    <w:p w14:paraId="1795DCB6" w14:textId="2756B9B0" w:rsidR="00DA0F84" w:rsidRPr="00DA0F84" w:rsidRDefault="00E65575" w:rsidP="00FA3059">
      <w:pPr>
        <w:pStyle w:val="Heading1"/>
        <w:rPr>
          <w:rFonts w:ascii="Segoe UI" w:hAnsi="Segoe UI" w:cs="Segoe UI"/>
          <w:sz w:val="18"/>
          <w:szCs w:val="18"/>
        </w:rPr>
      </w:pPr>
      <w:bookmarkStart w:id="102" w:name="_Toc143272033"/>
      <w:r w:rsidDel="00FA3059">
        <w:lastRenderedPageBreak/>
        <w:t>8.</w:t>
      </w:r>
      <w:r w:rsidR="00FA3059">
        <w:t xml:space="preserve"> </w:t>
      </w:r>
      <w:r w:rsidR="00DA0F84" w:rsidRPr="00E65575">
        <w:t>The patient experience: rights, informed care and complaints  </w:t>
      </w:r>
      <w:bookmarkEnd w:id="102"/>
      <w:r w:rsidR="00C123CB">
        <w:rPr>
          <w:color w:val="53565A"/>
          <w:sz w:val="32"/>
          <w:szCs w:val="32"/>
        </w:rPr>
        <w:t xml:space="preserve"> </w:t>
      </w:r>
    </w:p>
    <w:p w14:paraId="53197147" w14:textId="5D2D4521" w:rsidR="00B240C9" w:rsidRPr="008A3752" w:rsidRDefault="00DA0F84" w:rsidP="008A3752">
      <w:pPr>
        <w:pStyle w:val="Body"/>
      </w:pPr>
      <w:r w:rsidRPr="008A3752">
        <w:t>Ensuring that individuals</w:t>
      </w:r>
      <w:r w:rsidR="00A32AFB">
        <w:t>’</w:t>
      </w:r>
      <w:r w:rsidRPr="008A3752">
        <w:t xml:space="preserve"> rights are respected and that they can be fully informed about the care they will receive is fundamental to a safe and thriving health system. Patients also need to be satisfied that if they raise any issues or complaints regarding their treatment at a health service establishment that their concerns will be considered and current or future care uncompromised.</w:t>
      </w:r>
      <w:r w:rsidR="00C123CB">
        <w:t xml:space="preserve"> </w:t>
      </w:r>
    </w:p>
    <w:p w14:paraId="199DF326" w14:textId="75747A64" w:rsidR="007828E6" w:rsidRPr="00E65575" w:rsidRDefault="00DA0F84" w:rsidP="00E65575">
      <w:pPr>
        <w:pStyle w:val="Body"/>
      </w:pPr>
      <w:r w:rsidRPr="008A3752">
        <w:t xml:space="preserve">The Targeting </w:t>
      </w:r>
      <w:r w:rsidR="006D526F" w:rsidRPr="008A3752">
        <w:t>Zero Report</w:t>
      </w:r>
      <w:r w:rsidRPr="008A3752">
        <w:t xml:space="preserve"> highlighted the importance of </w:t>
      </w:r>
      <w:r w:rsidR="00765D1D" w:rsidRPr="008A3752">
        <w:t>patient-centred care</w:t>
      </w:r>
      <w:r w:rsidR="00B950B4" w:rsidRPr="008A3752">
        <w:t xml:space="preserve"> and</w:t>
      </w:r>
      <w:r w:rsidR="00765D1D" w:rsidRPr="008A3752">
        <w:t xml:space="preserve"> </w:t>
      </w:r>
      <w:r w:rsidRPr="008A3752">
        <w:t xml:space="preserve">transparency </w:t>
      </w:r>
      <w:r w:rsidR="00B950B4" w:rsidRPr="008A3752">
        <w:t>as well as</w:t>
      </w:r>
      <w:r w:rsidRPr="008A3752">
        <w:t xml:space="preserve"> continuous improvement.</w:t>
      </w:r>
      <w:r w:rsidR="00C123CB">
        <w:t xml:space="preserve"> </w:t>
      </w:r>
      <w:r w:rsidRPr="008A3752">
        <w:t xml:space="preserve">While </w:t>
      </w:r>
      <w:r w:rsidR="00B950B4" w:rsidRPr="008A3752">
        <w:t>requirements in the Regulations</w:t>
      </w:r>
      <w:r w:rsidRPr="008A3752">
        <w:t xml:space="preserve"> regarding the management of patient care and addressing complaints have been in place for some time, the requirement to capture and review patient experience data was only added </w:t>
      </w:r>
      <w:r w:rsidR="00B950B4" w:rsidRPr="008A3752">
        <w:t xml:space="preserve">as part of the </w:t>
      </w:r>
      <w:r w:rsidRPr="008A3752">
        <w:t xml:space="preserve">2018 regulatory amendments. </w:t>
      </w:r>
      <w:r w:rsidR="005830BB">
        <w:t>In addition</w:t>
      </w:r>
      <w:r w:rsidR="00EC6161">
        <w:t>,</w:t>
      </w:r>
      <w:r w:rsidR="005830BB">
        <w:t xml:space="preserve"> the NSQHS Standards (</w:t>
      </w:r>
      <w:r w:rsidR="0061722D">
        <w:t>Standard 2</w:t>
      </w:r>
      <w:r w:rsidR="005830BB">
        <w:t>)</w:t>
      </w:r>
      <w:r w:rsidR="0061722D">
        <w:t xml:space="preserve"> </w:t>
      </w:r>
      <w:r w:rsidR="002A514B">
        <w:t>set requirements for partnering with consumers</w:t>
      </w:r>
      <w:r w:rsidR="005830BB">
        <w:t xml:space="preserve">. </w:t>
      </w:r>
      <w:r w:rsidRPr="008A3752">
        <w:t xml:space="preserve">By seeking the patient experience, health services can </w:t>
      </w:r>
      <w:r w:rsidR="00B950B4" w:rsidRPr="008A3752">
        <w:t>best understand and address patient needs,</w:t>
      </w:r>
      <w:r w:rsidR="006A65D5">
        <w:t xml:space="preserve"> and</w:t>
      </w:r>
      <w:r w:rsidR="00B950B4" w:rsidRPr="008A3752">
        <w:t xml:space="preserve"> </w:t>
      </w:r>
      <w:r w:rsidRPr="008A3752">
        <w:t xml:space="preserve">take action </w:t>
      </w:r>
      <w:r w:rsidR="00B950B4" w:rsidRPr="008A3752">
        <w:t>in response to</w:t>
      </w:r>
      <w:r w:rsidRPr="008A3752">
        <w:t xml:space="preserve"> patient concern</w:t>
      </w:r>
      <w:r w:rsidR="00B950B4" w:rsidRPr="008A3752">
        <w:t>s, benefitting both the patient and ultimately the health service</w:t>
      </w:r>
      <w:r w:rsidRPr="008A3752">
        <w:t>.</w:t>
      </w:r>
      <w:r w:rsidR="00B950B4" w:rsidRPr="008A3752">
        <w:t xml:space="preserve"> Relevant data </w:t>
      </w:r>
      <w:r w:rsidRPr="008A3752">
        <w:t>collected, analysed and shared helps health services improve their own performance and provide a safer environment for care.</w:t>
      </w:r>
      <w:r w:rsidR="00C123CB">
        <w:t xml:space="preserve"> </w:t>
      </w:r>
    </w:p>
    <w:p w14:paraId="3CB7170A" w14:textId="4ABF4D89" w:rsidR="00B60901" w:rsidRPr="00E65575" w:rsidRDefault="00B60901" w:rsidP="00E65575">
      <w:pPr>
        <w:pStyle w:val="Body"/>
      </w:pPr>
      <w:r>
        <w:t xml:space="preserve">The department is considering whether changes to existing requirements, or insertion of new requirements in the Regulations, </w:t>
      </w:r>
      <w:r w:rsidR="00312C8F">
        <w:t>might</w:t>
      </w:r>
      <w:r w:rsidR="00DB736C">
        <w:t xml:space="preserve"> </w:t>
      </w:r>
      <w:r>
        <w:t xml:space="preserve">improve </w:t>
      </w:r>
      <w:r w:rsidR="006836A4">
        <w:t xml:space="preserve">regulation of foundational requirements for </w:t>
      </w:r>
      <w:r>
        <w:t>patient</w:t>
      </w:r>
      <w:r w:rsidR="006836A4">
        <w:t>-centred</w:t>
      </w:r>
      <w:r>
        <w:t xml:space="preserve"> care.</w:t>
      </w:r>
    </w:p>
    <w:p w14:paraId="20F2B31A" w14:textId="21091411" w:rsidR="00DA0F84" w:rsidRPr="00E65575" w:rsidRDefault="00E65575" w:rsidP="00E65575">
      <w:pPr>
        <w:pStyle w:val="Heading2"/>
        <w:rPr>
          <w:rFonts w:eastAsia="Times"/>
        </w:rPr>
      </w:pPr>
      <w:bookmarkStart w:id="103" w:name="_Toc143272034"/>
      <w:r>
        <w:rPr>
          <w:rFonts w:eastAsia="Times"/>
        </w:rPr>
        <w:t xml:space="preserve">8.1 </w:t>
      </w:r>
      <w:r w:rsidR="00DA0F84" w:rsidRPr="00E65575">
        <w:rPr>
          <w:rFonts w:eastAsia="Times"/>
        </w:rPr>
        <w:t xml:space="preserve">Care of </w:t>
      </w:r>
      <w:r w:rsidR="006E0354">
        <w:rPr>
          <w:rFonts w:eastAsia="Times"/>
        </w:rPr>
        <w:t>p</w:t>
      </w:r>
      <w:r w:rsidR="00DA0F84" w:rsidRPr="00E65575">
        <w:rPr>
          <w:rFonts w:eastAsia="Times"/>
        </w:rPr>
        <w:t>atients – respect, dignity and privacy</w:t>
      </w:r>
      <w:bookmarkEnd w:id="103"/>
      <w:r w:rsidR="00C123CB">
        <w:rPr>
          <w:rFonts w:eastAsia="Times"/>
        </w:rPr>
        <w:t xml:space="preserve"> </w:t>
      </w:r>
    </w:p>
    <w:p w14:paraId="3ACF10B7" w14:textId="37C9D040" w:rsidR="00DF2B24" w:rsidRPr="00E267DC" w:rsidRDefault="00DF2B24" w:rsidP="00A860F5">
      <w:pPr>
        <w:pStyle w:val="Body"/>
        <w:rPr>
          <w:i/>
        </w:rPr>
      </w:pPr>
      <w:r>
        <w:t xml:space="preserve">The Regulations require the proprietor to take </w:t>
      </w:r>
      <w:r w:rsidR="008C0823">
        <w:t>reasonable</w:t>
      </w:r>
      <w:r>
        <w:t xml:space="preserve"> steps </w:t>
      </w:r>
      <w:r w:rsidR="00EB54F1">
        <w:t xml:space="preserve">to ensure </w:t>
      </w:r>
      <w:r>
        <w:t xml:space="preserve">that the needs of patients are met </w:t>
      </w:r>
      <w:r w:rsidR="008C0823">
        <w:t>promptly and efficiently by competent staff (r.28).</w:t>
      </w:r>
      <w:r w:rsidR="008C0823">
        <w:rPr>
          <w:iCs/>
        </w:rPr>
        <w:t xml:space="preserve"> In addition, </w:t>
      </w:r>
      <w:r w:rsidR="00B065D5">
        <w:rPr>
          <w:iCs/>
        </w:rPr>
        <w:t>rights-based requirements are included</w:t>
      </w:r>
      <w:r w:rsidR="004D54FD">
        <w:rPr>
          <w:iCs/>
        </w:rPr>
        <w:t xml:space="preserve"> in the Regulations</w:t>
      </w:r>
      <w:r w:rsidR="00B065D5">
        <w:rPr>
          <w:iCs/>
        </w:rPr>
        <w:t xml:space="preserve">. </w:t>
      </w:r>
    </w:p>
    <w:p w14:paraId="6708356D" w14:textId="39C232F6" w:rsidR="00D828AD" w:rsidRDefault="00D828AD" w:rsidP="008A3752">
      <w:pPr>
        <w:pStyle w:val="Body"/>
      </w:pPr>
      <w:r>
        <w:t xml:space="preserve">Regulation </w:t>
      </w:r>
      <w:r w:rsidRPr="008A3752">
        <w:t xml:space="preserve">20(2) </w:t>
      </w:r>
      <w:r>
        <w:t>lists</w:t>
      </w:r>
      <w:r w:rsidRPr="008A3752">
        <w:t xml:space="preserve"> the information to be given to patients in a statement covering patient rights.</w:t>
      </w:r>
    </w:p>
    <w:p w14:paraId="50424763" w14:textId="206854C1" w:rsidR="0098606F" w:rsidRDefault="00BC24A4" w:rsidP="008A3752">
      <w:pPr>
        <w:pStyle w:val="Body"/>
      </w:pPr>
      <w:r>
        <w:t xml:space="preserve">Regulation 25 </w:t>
      </w:r>
      <w:r w:rsidR="00681FF1" w:rsidRPr="008A3752">
        <w:t>outlines the responsibility of proprietors of health service establishments to ensure that patients are treated with dignity and respect with regard to individual religious beliefs, and ethnic or cultural practices. It specifies that the patient should not be subjected to unusual routines, unless the routines are beneficial for the patient, and that meals are to be provided in accordance with cultural practices.</w:t>
      </w:r>
      <w:r w:rsidR="00681FF1">
        <w:t xml:space="preserve"> </w:t>
      </w:r>
      <w:r w:rsidR="00BE3E2A">
        <w:t xml:space="preserve">These </w:t>
      </w:r>
      <w:r w:rsidR="007411B6">
        <w:t>principles</w:t>
      </w:r>
      <w:r w:rsidR="00BE3E2A">
        <w:t xml:space="preserve"> align with elements of </w:t>
      </w:r>
      <w:r w:rsidR="00BE3E2A" w:rsidRPr="008A3752">
        <w:t xml:space="preserve">the </w:t>
      </w:r>
      <w:r w:rsidR="00BE3E2A" w:rsidRPr="003253A5">
        <w:rPr>
          <w:iCs/>
        </w:rPr>
        <w:t>Victorian</w:t>
      </w:r>
      <w:r w:rsidR="00BE3E2A" w:rsidRPr="008A3752">
        <w:rPr>
          <w:i/>
        </w:rPr>
        <w:t xml:space="preserve"> </w:t>
      </w:r>
      <w:hyperlink r:id="rId36" w:history="1">
        <w:r w:rsidR="00BE3E2A" w:rsidRPr="003253A5">
          <w:rPr>
            <w:rStyle w:val="Hyperlink"/>
          </w:rPr>
          <w:t>Charter of Human Rights and Responsibilities Act 2006</w:t>
        </w:r>
      </w:hyperlink>
      <w:r w:rsidR="00BE3E2A" w:rsidRPr="008A3752">
        <w:t xml:space="preserve"> (the Charter)</w:t>
      </w:r>
      <w:r w:rsidR="00BE3E2A">
        <w:rPr>
          <w:rStyle w:val="FootnoteReference"/>
        </w:rPr>
        <w:footnoteReference w:id="49"/>
      </w:r>
      <w:r w:rsidR="00C7625A">
        <w:t>, which</w:t>
      </w:r>
      <w:r w:rsidR="00D025BA">
        <w:t xml:space="preserve"> </w:t>
      </w:r>
      <w:r w:rsidR="00445403">
        <w:t xml:space="preserve">only </w:t>
      </w:r>
      <w:r w:rsidR="00D025BA">
        <w:t xml:space="preserve">applies to </w:t>
      </w:r>
      <w:r w:rsidR="009A5BFF">
        <w:t>p</w:t>
      </w:r>
      <w:r w:rsidR="00DA0F84" w:rsidRPr="008A3752">
        <w:t xml:space="preserve">ublic authorities (including </w:t>
      </w:r>
      <w:r w:rsidR="004F7DC6">
        <w:t xml:space="preserve">public </w:t>
      </w:r>
      <w:r w:rsidR="00DA0F84" w:rsidRPr="008A3752">
        <w:t>health services)</w:t>
      </w:r>
      <w:r w:rsidR="00F6650A">
        <w:t xml:space="preserve">. Regulation 25 </w:t>
      </w:r>
      <w:r w:rsidR="00445403">
        <w:t xml:space="preserve">therefore </w:t>
      </w:r>
      <w:r w:rsidR="00F6650A">
        <w:t xml:space="preserve">ensures </w:t>
      </w:r>
      <w:r w:rsidR="007411B6">
        <w:t>patients in private facilities are afforded similar protections of their rights.</w:t>
      </w:r>
      <w:r w:rsidR="00DA0F84" w:rsidRPr="008A3752">
        <w:t xml:space="preserve"> </w:t>
      </w:r>
    </w:p>
    <w:p w14:paraId="44CE2A22" w14:textId="5E54E0E7" w:rsidR="007828E6" w:rsidRPr="00E65575" w:rsidRDefault="00280CCF" w:rsidP="00E65575">
      <w:pPr>
        <w:pStyle w:val="Body"/>
      </w:pPr>
      <w:r>
        <w:t xml:space="preserve">Regulation 25 </w:t>
      </w:r>
      <w:r w:rsidR="008D2169" w:rsidRPr="008A3752">
        <w:t>also covers personal privacy, and provides examples of when privacy should be available</w:t>
      </w:r>
      <w:r w:rsidR="00285D20">
        <w:t xml:space="preserve">, such as </w:t>
      </w:r>
      <w:r w:rsidR="008D2169" w:rsidRPr="008A3752">
        <w:t xml:space="preserve">when bathing, toileting and dressing, </w:t>
      </w:r>
      <w:r w:rsidR="00A17656">
        <w:t>and</w:t>
      </w:r>
      <w:r w:rsidR="008D2169" w:rsidRPr="008A3752">
        <w:t xml:space="preserve"> when receiving health services.</w:t>
      </w:r>
      <w:r w:rsidR="008D2169">
        <w:t xml:space="preserve"> </w:t>
      </w:r>
      <w:r w:rsidR="00285D20">
        <w:t xml:space="preserve">These requirements </w:t>
      </w:r>
      <w:r w:rsidR="008F0841">
        <w:t>are</w:t>
      </w:r>
      <w:r w:rsidR="00285D20">
        <w:t xml:space="preserve"> </w:t>
      </w:r>
      <w:r w:rsidR="00AC2E25">
        <w:t>consistent with other obligations private businesses may have</w:t>
      </w:r>
      <w:r w:rsidR="008D2169">
        <w:t xml:space="preserve"> – </w:t>
      </w:r>
      <w:r w:rsidR="00AC2E25">
        <w:t>for example</w:t>
      </w:r>
      <w:r w:rsidR="008D2169">
        <w:t>,</w:t>
      </w:r>
      <w:r w:rsidR="00AC2E25">
        <w:t xml:space="preserve"> under privacy legislation.</w:t>
      </w:r>
    </w:p>
    <w:p w14:paraId="73A5EB1D" w14:textId="181F2F11" w:rsidR="00DA0F84" w:rsidRPr="00E65575" w:rsidRDefault="00E65575" w:rsidP="00E65575">
      <w:pPr>
        <w:pStyle w:val="Heading2"/>
        <w:rPr>
          <w:rFonts w:eastAsia="Times"/>
        </w:rPr>
      </w:pPr>
      <w:bookmarkStart w:id="104" w:name="_Toc143272035"/>
      <w:r>
        <w:rPr>
          <w:rFonts w:eastAsia="Times"/>
        </w:rPr>
        <w:lastRenderedPageBreak/>
        <w:t xml:space="preserve">8.2 </w:t>
      </w:r>
      <w:r w:rsidR="00DA0F84" w:rsidRPr="00E65575">
        <w:rPr>
          <w:rFonts w:eastAsia="Times"/>
        </w:rPr>
        <w:t>Complaints</w:t>
      </w:r>
      <w:bookmarkEnd w:id="104"/>
      <w:r w:rsidR="00C123CB">
        <w:rPr>
          <w:rFonts w:eastAsia="Times"/>
        </w:rPr>
        <w:t xml:space="preserve"> </w:t>
      </w:r>
    </w:p>
    <w:p w14:paraId="3F39BFE8" w14:textId="0E967479" w:rsidR="00DA0F84" w:rsidRPr="008A3752" w:rsidRDefault="00DA0F84" w:rsidP="008A3752">
      <w:pPr>
        <w:pStyle w:val="Body"/>
      </w:pPr>
      <w:r>
        <w:t xml:space="preserve">The management of complaints is an important part of the continuous improvement process and </w:t>
      </w:r>
      <w:r w:rsidR="007B5B4F">
        <w:t>information about complaints received and how they were managed</w:t>
      </w:r>
      <w:r>
        <w:t xml:space="preserve"> is a</w:t>
      </w:r>
      <w:r w:rsidR="003B7A4C">
        <w:t>n</w:t>
      </w:r>
      <w:r>
        <w:t xml:space="preserve"> </w:t>
      </w:r>
      <w:r w:rsidR="004477EE">
        <w:t xml:space="preserve">essential </w:t>
      </w:r>
      <w:r>
        <w:t>source of information</w:t>
      </w:r>
      <w:r w:rsidR="002016F1">
        <w:t xml:space="preserve"> about the quality and safety of services provided</w:t>
      </w:r>
      <w:r>
        <w:t>. Part 7 of the Regulations addresses how complaints are to be managed by a health service, including:</w:t>
      </w:r>
      <w:r w:rsidR="00C123CB">
        <w:t xml:space="preserve"> </w:t>
      </w:r>
    </w:p>
    <w:p w14:paraId="2583F13D" w14:textId="173B7455" w:rsidR="00DA0F84" w:rsidRPr="008A3752" w:rsidRDefault="00DA0F84" w:rsidP="00C132C8">
      <w:pPr>
        <w:pStyle w:val="Body"/>
        <w:numPr>
          <w:ilvl w:val="0"/>
          <w:numId w:val="29"/>
        </w:numPr>
        <w:spacing w:line="240" w:lineRule="auto"/>
      </w:pPr>
      <w:r w:rsidRPr="008A3752">
        <w:t xml:space="preserve">nomination of a complaints officer </w:t>
      </w:r>
      <w:r w:rsidR="00C123CB">
        <w:t>–</w:t>
      </w:r>
      <w:r w:rsidRPr="008A3752">
        <w:t xml:space="preserve"> r.29(1)</w:t>
      </w:r>
      <w:r w:rsidR="00C123CB">
        <w:t xml:space="preserve"> </w:t>
      </w:r>
    </w:p>
    <w:p w14:paraId="51CA6F5A" w14:textId="3CFEFFBA" w:rsidR="00DA0F84" w:rsidRPr="008A3752" w:rsidRDefault="00DA0F84" w:rsidP="00C132C8">
      <w:pPr>
        <w:pStyle w:val="Body"/>
        <w:numPr>
          <w:ilvl w:val="0"/>
          <w:numId w:val="29"/>
        </w:numPr>
        <w:spacing w:line="240" w:lineRule="auto"/>
      </w:pPr>
      <w:r w:rsidRPr="008A3752">
        <w:t xml:space="preserve">ensuring staff and patients are provided with the name of the complaints officer </w:t>
      </w:r>
      <w:r w:rsidR="00C123CB">
        <w:t>–</w:t>
      </w:r>
      <w:r w:rsidRPr="008A3752">
        <w:t xml:space="preserve"> r.29(2)</w:t>
      </w:r>
      <w:r w:rsidR="00C123CB">
        <w:t xml:space="preserve"> </w:t>
      </w:r>
    </w:p>
    <w:p w14:paraId="5E1EA064" w14:textId="1DA55E23" w:rsidR="00DA0F84" w:rsidRPr="008A3752" w:rsidRDefault="00DA0F84" w:rsidP="00C132C8">
      <w:pPr>
        <w:pStyle w:val="Body"/>
        <w:numPr>
          <w:ilvl w:val="0"/>
          <w:numId w:val="29"/>
        </w:numPr>
        <w:spacing w:line="240" w:lineRule="auto"/>
      </w:pPr>
      <w:r w:rsidRPr="008A3752">
        <w:t xml:space="preserve">dealing with complaints promptly and discreetly </w:t>
      </w:r>
      <w:r w:rsidR="00C123CB">
        <w:t>–</w:t>
      </w:r>
      <w:r w:rsidRPr="008A3752">
        <w:t xml:space="preserve"> r.30(1)(2)</w:t>
      </w:r>
      <w:r w:rsidR="00C123CB">
        <w:t xml:space="preserve"> </w:t>
      </w:r>
    </w:p>
    <w:p w14:paraId="57FC0E38" w14:textId="1D3D2AB0" w:rsidR="00DA0F84" w:rsidRPr="008A3752" w:rsidRDefault="00DA0F84" w:rsidP="00C132C8">
      <w:pPr>
        <w:pStyle w:val="Body"/>
        <w:numPr>
          <w:ilvl w:val="0"/>
          <w:numId w:val="29"/>
        </w:numPr>
        <w:spacing w:line="240" w:lineRule="auto"/>
      </w:pPr>
      <w:r w:rsidRPr="008A3752">
        <w:t xml:space="preserve">informing </w:t>
      </w:r>
      <w:r w:rsidR="00E1645B">
        <w:t xml:space="preserve">the </w:t>
      </w:r>
      <w:r w:rsidRPr="008A3752">
        <w:t xml:space="preserve">complainant of the subsequent action that has been taken </w:t>
      </w:r>
      <w:r w:rsidR="00C123CB">
        <w:t>–</w:t>
      </w:r>
      <w:r w:rsidRPr="008A3752">
        <w:t xml:space="preserve"> r.30(3)</w:t>
      </w:r>
      <w:r w:rsidR="00C123CB">
        <w:t xml:space="preserve"> </w:t>
      </w:r>
    </w:p>
    <w:p w14:paraId="7BBA57C7" w14:textId="198E23CE" w:rsidR="00DA0F84" w:rsidRPr="008A3752" w:rsidRDefault="00DA0F84" w:rsidP="00C132C8">
      <w:pPr>
        <w:pStyle w:val="Body"/>
        <w:numPr>
          <w:ilvl w:val="0"/>
          <w:numId w:val="29"/>
        </w:numPr>
        <w:spacing w:line="240" w:lineRule="auto"/>
      </w:pPr>
      <w:r w:rsidRPr="008A3752">
        <w:t xml:space="preserve">making and retaining records of complaints for 7 years </w:t>
      </w:r>
      <w:r w:rsidR="00C123CB">
        <w:t>–</w:t>
      </w:r>
      <w:r w:rsidRPr="008A3752">
        <w:t xml:space="preserve"> r.31</w:t>
      </w:r>
      <w:r w:rsidR="00C123CB">
        <w:t xml:space="preserve"> </w:t>
      </w:r>
    </w:p>
    <w:p w14:paraId="36C65A8A" w14:textId="4E9B6359" w:rsidR="00DA0F84" w:rsidRPr="008A3752" w:rsidRDefault="00DA0F84" w:rsidP="00C132C8">
      <w:pPr>
        <w:pStyle w:val="Body"/>
        <w:numPr>
          <w:ilvl w:val="0"/>
          <w:numId w:val="29"/>
        </w:numPr>
        <w:spacing w:line="240" w:lineRule="auto"/>
      </w:pPr>
      <w:r w:rsidRPr="008A3752">
        <w:t xml:space="preserve">ensuring that patients are not adversely affected due to making a complaint </w:t>
      </w:r>
      <w:r w:rsidR="00C123CB">
        <w:t>–</w:t>
      </w:r>
      <w:r w:rsidRPr="008A3752">
        <w:t xml:space="preserve"> r.32</w:t>
      </w:r>
      <w:r w:rsidR="00E1645B">
        <w:t>.</w:t>
      </w:r>
    </w:p>
    <w:p w14:paraId="6B67D151" w14:textId="276E95C9" w:rsidR="007828E6" w:rsidRPr="00DF6ADB" w:rsidRDefault="00DA0F84" w:rsidP="00DF6ADB">
      <w:pPr>
        <w:pStyle w:val="Body"/>
      </w:pPr>
      <w:r w:rsidRPr="008A3752">
        <w:t>These requirements supplement sections 71, 83 and 84 of the Act</w:t>
      </w:r>
      <w:r w:rsidR="002016F1">
        <w:t>,</w:t>
      </w:r>
      <w:r w:rsidRPr="008A3752">
        <w:t xml:space="preserve"> </w:t>
      </w:r>
      <w:r w:rsidR="002016F1">
        <w:t>which</w:t>
      </w:r>
      <w:r>
        <w:t xml:space="preserve"> </w:t>
      </w:r>
      <w:r w:rsidRPr="008A3752">
        <w:t xml:space="preserve">list complaints within the previous </w:t>
      </w:r>
      <w:r w:rsidR="00E1645B">
        <w:t>three</w:t>
      </w:r>
      <w:r w:rsidRPr="008A3752">
        <w:t xml:space="preserve"> years among the criteria that the Secretary must consider when considering granting or refusing an approval in principle, registration or renewal of registration of a health service establishment.</w:t>
      </w:r>
      <w:r w:rsidR="00C123CB">
        <w:t xml:space="preserve"> </w:t>
      </w:r>
      <w:r w:rsidR="00206D56" w:rsidRPr="008A3752">
        <w:t xml:space="preserve">Further, r.20(2)(l) </w:t>
      </w:r>
      <w:r w:rsidR="00043E96" w:rsidRPr="008A3752">
        <w:t xml:space="preserve">specifies that in the information provided </w:t>
      </w:r>
      <w:r w:rsidR="00DF6ADB">
        <w:t>t</w:t>
      </w:r>
      <w:r w:rsidR="00043E96" w:rsidRPr="008A3752">
        <w:t>o patient</w:t>
      </w:r>
      <w:r w:rsidR="00DF6ADB">
        <w:t>s</w:t>
      </w:r>
      <w:r w:rsidR="00043E96" w:rsidRPr="008A3752">
        <w:t xml:space="preserve"> </w:t>
      </w:r>
      <w:r w:rsidR="005E1CDA" w:rsidRPr="008A3752">
        <w:t xml:space="preserve">on or before admission, they </w:t>
      </w:r>
      <w:r w:rsidR="00985F46">
        <w:t>must be</w:t>
      </w:r>
      <w:r w:rsidR="00664454" w:rsidRPr="008A3752">
        <w:t xml:space="preserve"> advised that they can comment or complain about </w:t>
      </w:r>
      <w:r w:rsidR="007B1DCD" w:rsidRPr="008A3752">
        <w:t xml:space="preserve">the treatment or quality of the health </w:t>
      </w:r>
      <w:r w:rsidR="00417317" w:rsidRPr="008A3752">
        <w:t>care or services</w:t>
      </w:r>
      <w:r w:rsidR="00965942" w:rsidRPr="008A3752">
        <w:t xml:space="preserve"> and </w:t>
      </w:r>
      <w:r w:rsidR="00985F46">
        <w:t xml:space="preserve">be </w:t>
      </w:r>
      <w:r w:rsidR="00965942" w:rsidRPr="008A3752">
        <w:t xml:space="preserve">given the contact </w:t>
      </w:r>
      <w:r w:rsidR="007C0D0A">
        <w:t xml:space="preserve">details </w:t>
      </w:r>
      <w:r w:rsidR="00965942" w:rsidRPr="008A3752">
        <w:t xml:space="preserve">of the complaints </w:t>
      </w:r>
      <w:r w:rsidR="00FC61CD" w:rsidRPr="008A3752">
        <w:t>officer.</w:t>
      </w:r>
    </w:p>
    <w:p w14:paraId="104407A3" w14:textId="5CE2DBDC" w:rsidR="008805BA" w:rsidRPr="00DF6ADB" w:rsidRDefault="008805BA" w:rsidP="00DF6ADB">
      <w:pPr>
        <w:pStyle w:val="Body"/>
      </w:pPr>
      <w:r>
        <w:t>The department is interested in feedback on benefits and implications of a</w:t>
      </w:r>
      <w:r w:rsidR="00967F75">
        <w:t xml:space="preserve">n additional requirement, </w:t>
      </w:r>
      <w:r>
        <w:t>complement</w:t>
      </w:r>
      <w:r w:rsidR="00967F75">
        <w:t xml:space="preserve">ing the current </w:t>
      </w:r>
      <w:r>
        <w:t xml:space="preserve">r.31, </w:t>
      </w:r>
      <w:r w:rsidR="00967F75">
        <w:t xml:space="preserve">that </w:t>
      </w:r>
      <w:r>
        <w:t xml:space="preserve">deidentified data about complaints received </w:t>
      </w:r>
      <w:r w:rsidR="00967F75">
        <w:t>must</w:t>
      </w:r>
      <w:r>
        <w:t xml:space="preserve"> be provided to the Secretary, to support risk-based monitoring of service safety.</w:t>
      </w:r>
    </w:p>
    <w:p w14:paraId="07A761FF" w14:textId="74859AEA" w:rsidR="00DA0F84" w:rsidRPr="005C111D" w:rsidRDefault="005C111D" w:rsidP="005C111D">
      <w:pPr>
        <w:pStyle w:val="Heading2"/>
        <w:rPr>
          <w:rFonts w:eastAsia="Times"/>
        </w:rPr>
      </w:pPr>
      <w:bookmarkStart w:id="105" w:name="_Toc143272036"/>
      <w:r>
        <w:rPr>
          <w:rFonts w:eastAsia="Times"/>
        </w:rPr>
        <w:t xml:space="preserve">8.3 </w:t>
      </w:r>
      <w:r w:rsidR="00DA0F84" w:rsidRPr="005C111D">
        <w:rPr>
          <w:rFonts w:eastAsia="Times"/>
        </w:rPr>
        <w:t xml:space="preserve">Display </w:t>
      </w:r>
      <w:r w:rsidR="00B9738C">
        <w:rPr>
          <w:rFonts w:eastAsia="Times"/>
        </w:rPr>
        <w:t xml:space="preserve">and publication </w:t>
      </w:r>
      <w:r w:rsidR="00DA0F84" w:rsidRPr="005C111D">
        <w:rPr>
          <w:rFonts w:eastAsia="Times"/>
        </w:rPr>
        <w:t>of information</w:t>
      </w:r>
      <w:bookmarkEnd w:id="105"/>
      <w:r w:rsidR="00C123CB">
        <w:rPr>
          <w:rFonts w:eastAsia="Times"/>
        </w:rPr>
        <w:t xml:space="preserve"> </w:t>
      </w:r>
    </w:p>
    <w:p w14:paraId="3B6727B6" w14:textId="1CC12F8A" w:rsidR="00DA0F84" w:rsidRPr="008A3752" w:rsidRDefault="00D1153B" w:rsidP="008A3752">
      <w:pPr>
        <w:pStyle w:val="Body"/>
      </w:pPr>
      <w:r>
        <w:t xml:space="preserve">Regulation </w:t>
      </w:r>
      <w:r w:rsidR="00DA0F84" w:rsidRPr="008A3752">
        <w:t xml:space="preserve">45 </w:t>
      </w:r>
      <w:r>
        <w:t>requires</w:t>
      </w:r>
      <w:r w:rsidR="00DA0F84" w:rsidRPr="008A3752">
        <w:t xml:space="preserve"> that the proprietor of a health service establishment must display in a prominent position at the entrance or reception area the certificate of registration of the premises as a health service establishment.</w:t>
      </w:r>
      <w:r w:rsidR="00C123CB">
        <w:t xml:space="preserve"> </w:t>
      </w:r>
      <w:r w:rsidR="00DA0F84" w:rsidRPr="008A3752">
        <w:t>The particulars of the certificate of registration are laid out in s.85 of the Act and include:</w:t>
      </w:r>
      <w:r w:rsidR="00C123CB">
        <w:t xml:space="preserve"> </w:t>
      </w:r>
    </w:p>
    <w:p w14:paraId="7F6B542B" w14:textId="29D18085" w:rsidR="00DA0F84" w:rsidRPr="00C84CB3" w:rsidRDefault="00DA0F84" w:rsidP="00C132C8">
      <w:pPr>
        <w:pStyle w:val="Body"/>
        <w:numPr>
          <w:ilvl w:val="0"/>
          <w:numId w:val="33"/>
        </w:numPr>
        <w:rPr>
          <w:rFonts w:cs="Arial"/>
          <w:szCs w:val="21"/>
          <w:lang w:eastAsia="en-AU"/>
        </w:rPr>
      </w:pPr>
      <w:r w:rsidRPr="00C84CB3">
        <w:rPr>
          <w:rFonts w:cs="Arial"/>
          <w:szCs w:val="21"/>
          <w:lang w:eastAsia="en-AU"/>
        </w:rPr>
        <w:t>the kind of health services provided at or from the premises</w:t>
      </w:r>
      <w:r w:rsidR="00C123CB">
        <w:rPr>
          <w:rFonts w:cs="Arial"/>
          <w:szCs w:val="21"/>
          <w:lang w:eastAsia="en-AU"/>
        </w:rPr>
        <w:t xml:space="preserve"> </w:t>
      </w:r>
    </w:p>
    <w:p w14:paraId="5388FAC5" w14:textId="5C41C4E8" w:rsidR="00DA0F84" w:rsidRPr="00C84CB3" w:rsidRDefault="00DA0F84" w:rsidP="00C132C8">
      <w:pPr>
        <w:pStyle w:val="Body"/>
        <w:numPr>
          <w:ilvl w:val="0"/>
          <w:numId w:val="33"/>
        </w:numPr>
        <w:rPr>
          <w:rFonts w:cs="Arial"/>
          <w:szCs w:val="21"/>
          <w:lang w:eastAsia="en-AU"/>
        </w:rPr>
      </w:pPr>
      <w:r w:rsidRPr="00C84CB3">
        <w:rPr>
          <w:rFonts w:cs="Arial"/>
          <w:szCs w:val="21"/>
          <w:lang w:eastAsia="en-AU"/>
        </w:rPr>
        <w:t>the name of the proprietor</w:t>
      </w:r>
      <w:r w:rsidR="00C123CB">
        <w:rPr>
          <w:rFonts w:cs="Arial"/>
          <w:szCs w:val="21"/>
          <w:lang w:eastAsia="en-AU"/>
        </w:rPr>
        <w:t xml:space="preserve"> </w:t>
      </w:r>
    </w:p>
    <w:p w14:paraId="490928DD" w14:textId="49FD0BD6" w:rsidR="00DA0F84" w:rsidRPr="00C84CB3" w:rsidRDefault="00DA0F84" w:rsidP="00C132C8">
      <w:pPr>
        <w:pStyle w:val="Body"/>
        <w:numPr>
          <w:ilvl w:val="0"/>
          <w:numId w:val="33"/>
        </w:numPr>
        <w:rPr>
          <w:rFonts w:cs="Arial"/>
          <w:szCs w:val="21"/>
          <w:lang w:eastAsia="en-AU"/>
        </w:rPr>
      </w:pPr>
      <w:r w:rsidRPr="00C84CB3">
        <w:rPr>
          <w:rFonts w:cs="Arial"/>
          <w:szCs w:val="21"/>
          <w:lang w:eastAsia="en-AU"/>
        </w:rPr>
        <w:t>any conditions which have been applied</w:t>
      </w:r>
      <w:r w:rsidR="00C123CB">
        <w:rPr>
          <w:rFonts w:cs="Arial"/>
          <w:szCs w:val="21"/>
          <w:lang w:eastAsia="en-AU"/>
        </w:rPr>
        <w:t xml:space="preserve"> </w:t>
      </w:r>
    </w:p>
    <w:p w14:paraId="7F718331" w14:textId="36D8E291" w:rsidR="00DA0F84" w:rsidRPr="00C84CB3" w:rsidRDefault="00DA0F84" w:rsidP="00C132C8">
      <w:pPr>
        <w:pStyle w:val="Body"/>
        <w:numPr>
          <w:ilvl w:val="0"/>
          <w:numId w:val="33"/>
        </w:numPr>
        <w:rPr>
          <w:rFonts w:cs="Arial"/>
          <w:szCs w:val="21"/>
          <w:lang w:eastAsia="en-AU"/>
        </w:rPr>
      </w:pPr>
      <w:r w:rsidRPr="00C84CB3">
        <w:rPr>
          <w:rFonts w:cs="Arial"/>
          <w:szCs w:val="21"/>
          <w:lang w:eastAsia="en-AU"/>
        </w:rPr>
        <w:t>details of whether a prescribed health service may be provided at other premises</w:t>
      </w:r>
      <w:r w:rsidR="00C123CB">
        <w:rPr>
          <w:rFonts w:cs="Arial"/>
          <w:szCs w:val="21"/>
          <w:lang w:eastAsia="en-AU"/>
        </w:rPr>
        <w:t xml:space="preserve"> </w:t>
      </w:r>
    </w:p>
    <w:p w14:paraId="40C2F7FF" w14:textId="39789B55" w:rsidR="00DA0F84" w:rsidRPr="00C84CB3" w:rsidRDefault="00DA0F84" w:rsidP="00C132C8">
      <w:pPr>
        <w:pStyle w:val="Body"/>
        <w:numPr>
          <w:ilvl w:val="0"/>
          <w:numId w:val="33"/>
        </w:numPr>
        <w:rPr>
          <w:rFonts w:cs="Arial"/>
          <w:szCs w:val="21"/>
          <w:lang w:eastAsia="en-AU"/>
        </w:rPr>
      </w:pPr>
      <w:r w:rsidRPr="00C84CB3">
        <w:rPr>
          <w:rFonts w:cs="Arial"/>
          <w:szCs w:val="21"/>
          <w:lang w:eastAsia="en-AU"/>
        </w:rPr>
        <w:t>the number of beds (if any) to which the registration relates</w:t>
      </w:r>
      <w:r w:rsidR="00C123CB">
        <w:rPr>
          <w:rFonts w:cs="Arial"/>
          <w:szCs w:val="21"/>
          <w:lang w:eastAsia="en-AU"/>
        </w:rPr>
        <w:t xml:space="preserve"> </w:t>
      </w:r>
    </w:p>
    <w:p w14:paraId="12B0BB98" w14:textId="7FBBA053" w:rsidR="00DA0F84" w:rsidRPr="00C84CB3" w:rsidRDefault="00DA0F84" w:rsidP="00C132C8">
      <w:pPr>
        <w:pStyle w:val="Body"/>
        <w:numPr>
          <w:ilvl w:val="0"/>
          <w:numId w:val="33"/>
        </w:numPr>
        <w:rPr>
          <w:rFonts w:cs="Arial"/>
          <w:szCs w:val="21"/>
          <w:lang w:eastAsia="en-AU"/>
        </w:rPr>
      </w:pPr>
      <w:r w:rsidRPr="00C84CB3">
        <w:rPr>
          <w:rFonts w:cs="Arial"/>
          <w:szCs w:val="21"/>
          <w:lang w:eastAsia="en-AU"/>
        </w:rPr>
        <w:t>the period for which the registration is granted</w:t>
      </w:r>
      <w:r w:rsidR="00C123CB">
        <w:rPr>
          <w:rFonts w:cs="Arial"/>
          <w:szCs w:val="21"/>
          <w:lang w:eastAsia="en-AU"/>
        </w:rPr>
        <w:t xml:space="preserve"> </w:t>
      </w:r>
    </w:p>
    <w:p w14:paraId="21197469" w14:textId="107F2282" w:rsidR="00DA0F84" w:rsidRPr="00C84CB3" w:rsidRDefault="00DA0F84" w:rsidP="00C132C8">
      <w:pPr>
        <w:pStyle w:val="Body"/>
        <w:numPr>
          <w:ilvl w:val="0"/>
          <w:numId w:val="33"/>
        </w:numPr>
        <w:rPr>
          <w:rFonts w:cs="Arial"/>
          <w:szCs w:val="21"/>
          <w:lang w:eastAsia="en-AU"/>
        </w:rPr>
      </w:pPr>
      <w:r w:rsidRPr="00C84CB3">
        <w:rPr>
          <w:rFonts w:cs="Arial"/>
          <w:szCs w:val="21"/>
          <w:lang w:eastAsia="en-AU"/>
        </w:rPr>
        <w:t>if the premises are registered as a day procedure centre or private hospital</w:t>
      </w:r>
      <w:r w:rsidR="00BE0631">
        <w:rPr>
          <w:rFonts w:cs="Arial"/>
          <w:szCs w:val="21"/>
          <w:lang w:eastAsia="en-AU"/>
        </w:rPr>
        <w:t>:</w:t>
      </w:r>
      <w:r w:rsidR="00C123CB">
        <w:rPr>
          <w:rFonts w:cs="Arial"/>
          <w:szCs w:val="21"/>
          <w:lang w:eastAsia="en-AU"/>
        </w:rPr>
        <w:t xml:space="preserve"> </w:t>
      </w:r>
    </w:p>
    <w:p w14:paraId="6893B0D7" w14:textId="6BBA8600" w:rsidR="00DA0F84" w:rsidRPr="00C84CB3" w:rsidRDefault="00DA0F84" w:rsidP="00C132C8">
      <w:pPr>
        <w:pStyle w:val="Body"/>
        <w:numPr>
          <w:ilvl w:val="1"/>
          <w:numId w:val="33"/>
        </w:numPr>
        <w:ind w:left="1134" w:hanging="425"/>
        <w:rPr>
          <w:rFonts w:cs="Arial"/>
          <w:szCs w:val="21"/>
          <w:lang w:eastAsia="en-AU"/>
        </w:rPr>
      </w:pPr>
      <w:r w:rsidRPr="00C84CB3">
        <w:rPr>
          <w:rFonts w:cs="Arial"/>
          <w:szCs w:val="21"/>
          <w:lang w:eastAsia="en-AU"/>
        </w:rPr>
        <w:t>the kinds of prescribed health services</w:t>
      </w:r>
      <w:r w:rsidR="00BE0631">
        <w:rPr>
          <w:rFonts w:cs="Arial"/>
          <w:szCs w:val="21"/>
          <w:lang w:eastAsia="en-AU"/>
        </w:rPr>
        <w:t>;</w:t>
      </w:r>
      <w:r w:rsidRPr="00C84CB3">
        <w:rPr>
          <w:rFonts w:cs="Arial"/>
          <w:szCs w:val="21"/>
          <w:lang w:eastAsia="en-AU"/>
        </w:rPr>
        <w:t xml:space="preserve"> and</w:t>
      </w:r>
      <w:r w:rsidR="00C123CB">
        <w:rPr>
          <w:rFonts w:cs="Arial"/>
          <w:szCs w:val="21"/>
          <w:lang w:eastAsia="en-AU"/>
        </w:rPr>
        <w:t xml:space="preserve"> </w:t>
      </w:r>
    </w:p>
    <w:p w14:paraId="04F41A00" w14:textId="2B5C104C" w:rsidR="00DA0F84" w:rsidRDefault="00DA0F84" w:rsidP="00C132C8">
      <w:pPr>
        <w:pStyle w:val="Body"/>
        <w:numPr>
          <w:ilvl w:val="1"/>
          <w:numId w:val="33"/>
        </w:numPr>
        <w:ind w:left="1134" w:hanging="425"/>
        <w:rPr>
          <w:rFonts w:cs="Arial"/>
          <w:szCs w:val="21"/>
          <w:lang w:eastAsia="en-AU"/>
        </w:rPr>
      </w:pPr>
      <w:r w:rsidRPr="00C84CB3">
        <w:rPr>
          <w:rFonts w:cs="Arial"/>
          <w:szCs w:val="21"/>
          <w:lang w:eastAsia="en-AU"/>
        </w:rPr>
        <w:t>the number of beds that may be used for specified kinds of prescribed health services.</w:t>
      </w:r>
      <w:r w:rsidR="00C123CB">
        <w:rPr>
          <w:rFonts w:cs="Arial"/>
          <w:szCs w:val="21"/>
          <w:lang w:eastAsia="en-AU"/>
        </w:rPr>
        <w:t xml:space="preserve"> </w:t>
      </w:r>
    </w:p>
    <w:p w14:paraId="2286CF7D" w14:textId="1BEF67CD" w:rsidR="007828E6" w:rsidRPr="005C111D" w:rsidRDefault="00DA0F84" w:rsidP="005C111D">
      <w:pPr>
        <w:pStyle w:val="Body"/>
      </w:pPr>
      <w:r w:rsidRPr="008A3752">
        <w:t>Additionally, if required to be appointed under the legislation, the names of the Director of Nursing, the Chief Executive Officer or Medical Director, and the contact details of the person nominated under r.29 to receive and deal with complaints</w:t>
      </w:r>
      <w:r w:rsidR="001B18B4">
        <w:t>,</w:t>
      </w:r>
      <w:r w:rsidR="00DE612C" w:rsidRPr="008A3752">
        <w:t xml:space="preserve"> must be displa</w:t>
      </w:r>
      <w:r w:rsidR="00B9248B" w:rsidRPr="008A3752">
        <w:t>yed</w:t>
      </w:r>
      <w:r w:rsidRPr="008A3752">
        <w:t>.</w:t>
      </w:r>
      <w:r w:rsidR="00C123CB">
        <w:t xml:space="preserve"> </w:t>
      </w:r>
    </w:p>
    <w:p w14:paraId="621993B2" w14:textId="37EADB8B" w:rsidR="00431E6B" w:rsidRPr="005C111D" w:rsidRDefault="00431E6B" w:rsidP="005C111D">
      <w:pPr>
        <w:pStyle w:val="Body"/>
      </w:pPr>
      <w:r>
        <w:lastRenderedPageBreak/>
        <w:t xml:space="preserve">As noted </w:t>
      </w:r>
      <w:r w:rsidR="00A815F7">
        <w:t>in</w:t>
      </w:r>
      <w:r w:rsidR="001C7085">
        <w:t xml:space="preserve"> </w:t>
      </w:r>
      <w:r w:rsidR="00467EEF">
        <w:t xml:space="preserve">Chapter 2 – </w:t>
      </w:r>
      <w:r w:rsidR="00D36648" w:rsidRPr="001C7085">
        <w:t>Accreditation and related standards</w:t>
      </w:r>
      <w:r w:rsidR="00D36648">
        <w:t xml:space="preserve"> </w:t>
      </w:r>
      <w:r>
        <w:t>above</w:t>
      </w:r>
      <w:r w:rsidR="00A815F7">
        <w:t>,</w:t>
      </w:r>
      <w:r>
        <w:t xml:space="preserve"> the department is considering complementing this with a requirement for display of the certificate of accreditation issued under the </w:t>
      </w:r>
      <w:r w:rsidR="00B065D5">
        <w:t xml:space="preserve">Australian </w:t>
      </w:r>
      <w:r w:rsidR="000D359D" w:rsidRPr="00ED5C4B">
        <w:t>Health Service Safety and Quality Accreditation Scheme</w:t>
      </w:r>
      <w:r>
        <w:t xml:space="preserve">. </w:t>
      </w:r>
    </w:p>
    <w:p w14:paraId="03C112D7" w14:textId="08CAD79C" w:rsidR="00B875F4" w:rsidRPr="005C111D" w:rsidRDefault="00B875F4" w:rsidP="005C111D">
      <w:pPr>
        <w:pStyle w:val="Body"/>
      </w:pPr>
      <w:r>
        <w:t xml:space="preserve">Further, </w:t>
      </w:r>
      <w:r w:rsidR="00A972D0">
        <w:t>r.</w:t>
      </w:r>
      <w:r>
        <w:t xml:space="preserve">7A and </w:t>
      </w:r>
      <w:r w:rsidR="00A972D0">
        <w:t>r.</w:t>
      </w:r>
      <w:r>
        <w:t xml:space="preserve">32A require that the clinical protocols and open disclosure policy of the facility be published on the </w:t>
      </w:r>
      <w:r w:rsidR="00B9738C">
        <w:t xml:space="preserve">health service establishment’s website. The department is interested to hear </w:t>
      </w:r>
      <w:r w:rsidR="00E24340">
        <w:t>about</w:t>
      </w:r>
      <w:r w:rsidR="00B9738C">
        <w:t xml:space="preserve"> the most common and effective means of displaying this kind of information so </w:t>
      </w:r>
      <w:r w:rsidR="00E24340">
        <w:t>those</w:t>
      </w:r>
      <w:r w:rsidR="00B9738C">
        <w:t xml:space="preserve"> can be best reflected in the </w:t>
      </w:r>
      <w:r w:rsidR="00E24340">
        <w:t>R</w:t>
      </w:r>
      <w:r w:rsidR="00B9738C">
        <w:t>egulations.</w:t>
      </w:r>
    </w:p>
    <w:p w14:paraId="52B284C9" w14:textId="686540F7" w:rsidR="00DA0F84" w:rsidRPr="005C111D" w:rsidRDefault="005C111D" w:rsidP="005C111D">
      <w:pPr>
        <w:pStyle w:val="Heading2"/>
        <w:rPr>
          <w:rFonts w:eastAsia="Times"/>
        </w:rPr>
      </w:pPr>
      <w:bookmarkStart w:id="106" w:name="_Toc143272037"/>
      <w:r>
        <w:rPr>
          <w:rFonts w:eastAsia="Times"/>
        </w:rPr>
        <w:t xml:space="preserve">8.4 </w:t>
      </w:r>
      <w:r w:rsidR="00DA0F84" w:rsidRPr="005C111D">
        <w:rPr>
          <w:rFonts w:eastAsia="Times"/>
        </w:rPr>
        <w:t>Patient experience survey data</w:t>
      </w:r>
      <w:bookmarkEnd w:id="106"/>
      <w:r w:rsidR="00C123CB">
        <w:rPr>
          <w:rFonts w:eastAsia="Times"/>
        </w:rPr>
        <w:t xml:space="preserve"> </w:t>
      </w:r>
    </w:p>
    <w:p w14:paraId="788B9430" w14:textId="707E4DB8" w:rsidR="00F72150" w:rsidRPr="008A3752" w:rsidRDefault="00DA0F84" w:rsidP="008A3752">
      <w:pPr>
        <w:pStyle w:val="Body"/>
      </w:pPr>
      <w:r w:rsidRPr="008A3752">
        <w:t>Collecting data on the patient experience helps organisations identify areas for improvement of their patient care.</w:t>
      </w:r>
      <w:r w:rsidR="00C123CB">
        <w:t xml:space="preserve"> </w:t>
      </w:r>
      <w:r w:rsidRPr="008A3752">
        <w:t>Insights from the patient experience are valuable as the information is factual in nature, distinct from patient satisfaction data which is</w:t>
      </w:r>
      <w:r>
        <w:t xml:space="preserve"> </w:t>
      </w:r>
      <w:r w:rsidR="00E65575">
        <w:t>more</w:t>
      </w:r>
      <w:r w:rsidRPr="008A3752">
        <w:t xml:space="preserve"> subjective. Patient experience explores the nature of the actual care the patient received, helping to identify the system</w:t>
      </w:r>
      <w:r w:rsidR="003169D4">
        <w:t>-</w:t>
      </w:r>
      <w:r w:rsidRPr="008A3752">
        <w:t>related factors that may lead to a positive or negative experience.</w:t>
      </w:r>
      <w:r w:rsidR="00C123CB">
        <w:t xml:space="preserve"> </w:t>
      </w:r>
    </w:p>
    <w:p w14:paraId="6839D754" w14:textId="3EAE040B" w:rsidR="00C43A40" w:rsidRPr="008A3752" w:rsidRDefault="00DA0F84" w:rsidP="008A3752">
      <w:pPr>
        <w:pStyle w:val="Body"/>
      </w:pPr>
      <w:r w:rsidRPr="008A3752">
        <w:t>In addition to other quality and safety data that proprietors must record and review, r.49 requires that patient experience data in the form of a survey must be collected and reviewed, with this data made available to the Secretary on request.</w:t>
      </w:r>
      <w:r w:rsidR="00C123CB">
        <w:t xml:space="preserve"> </w:t>
      </w:r>
    </w:p>
    <w:p w14:paraId="31655F03" w14:textId="665AE7FB" w:rsidR="00DA0F84" w:rsidRPr="008A3752" w:rsidRDefault="00DA0F84" w:rsidP="008A3752">
      <w:pPr>
        <w:pStyle w:val="Body"/>
      </w:pPr>
      <w:r w:rsidRPr="008A3752">
        <w:t xml:space="preserve">Additionally, r.48(b)(v) requires the proprietor of a health service establishment to ensure results from surveys (including patient experience) are reviewed quarterly. </w:t>
      </w:r>
    </w:p>
    <w:p w14:paraId="5085C3CD" w14:textId="12B85868" w:rsidR="000756E4" w:rsidRDefault="000756E4" w:rsidP="000756E4">
      <w:pPr>
        <w:pStyle w:val="Heading2"/>
      </w:pPr>
      <w:bookmarkStart w:id="107" w:name="_Toc143272038"/>
      <w:r>
        <w:t xml:space="preserve">8.5 </w:t>
      </w:r>
      <w:r w:rsidR="00D31433">
        <w:t xml:space="preserve">Safer Care Victoria </w:t>
      </w:r>
      <w:r>
        <w:t xml:space="preserve">Partnering in Healthcare </w:t>
      </w:r>
      <w:r w:rsidR="00A3303F">
        <w:t>F</w:t>
      </w:r>
      <w:r>
        <w:t>ramework</w:t>
      </w:r>
      <w:bookmarkEnd w:id="107"/>
      <w:r>
        <w:t xml:space="preserve"> </w:t>
      </w:r>
    </w:p>
    <w:p w14:paraId="23BAA998" w14:textId="668CD299" w:rsidR="00166532" w:rsidRDefault="00166532" w:rsidP="16DD06A3">
      <w:pPr>
        <w:pStyle w:val="Body"/>
        <w:rPr>
          <w:rFonts w:asciiTheme="minorHAnsi" w:hAnsiTheme="minorHAnsi" w:cstheme="minorBidi"/>
          <w:sz w:val="22"/>
          <w:szCs w:val="22"/>
        </w:rPr>
      </w:pPr>
      <w:r w:rsidRPr="16DD06A3">
        <w:rPr>
          <w:rFonts w:cstheme="minorBidi"/>
        </w:rPr>
        <w:t xml:space="preserve">Consumer partnerships are </w:t>
      </w:r>
      <w:r w:rsidR="004477EE" w:rsidRPr="16DD06A3">
        <w:rPr>
          <w:rFonts w:cstheme="minorBidi"/>
        </w:rPr>
        <w:t>central</w:t>
      </w:r>
      <w:r w:rsidRPr="16DD06A3">
        <w:rPr>
          <w:rFonts w:cstheme="minorBidi"/>
        </w:rPr>
        <w:t xml:space="preserve"> to a quality system focussed on improved health outcomes. </w:t>
      </w:r>
      <w:r w:rsidR="00E6684C" w:rsidRPr="16DD06A3">
        <w:rPr>
          <w:rFonts w:cstheme="minorBidi"/>
        </w:rPr>
        <w:t xml:space="preserve">Closely integrated and aligned with the Clinical Governance </w:t>
      </w:r>
      <w:r w:rsidR="007E0758">
        <w:rPr>
          <w:rFonts w:cstheme="minorBidi"/>
        </w:rPr>
        <w:t>S</w:t>
      </w:r>
      <w:r w:rsidR="00E6684C" w:rsidRPr="16DD06A3">
        <w:rPr>
          <w:rFonts w:cstheme="minorBidi"/>
        </w:rPr>
        <w:t xml:space="preserve">tandard (see section 3), </w:t>
      </w:r>
      <w:r w:rsidRPr="16DD06A3">
        <w:rPr>
          <w:rFonts w:cstheme="minorBidi"/>
        </w:rPr>
        <w:t xml:space="preserve">Partnering with </w:t>
      </w:r>
      <w:r w:rsidR="007E0758">
        <w:rPr>
          <w:rFonts w:cstheme="minorBidi"/>
        </w:rPr>
        <w:t>C</w:t>
      </w:r>
      <w:r w:rsidRPr="16DD06A3">
        <w:rPr>
          <w:rFonts w:cstheme="minorBidi"/>
        </w:rPr>
        <w:t>onsumers is the second NSQHS Standard</w:t>
      </w:r>
      <w:r w:rsidR="0005446D" w:rsidRPr="16DD06A3">
        <w:rPr>
          <w:rFonts w:cstheme="minorBidi"/>
        </w:rPr>
        <w:t xml:space="preserve"> and</w:t>
      </w:r>
      <w:r w:rsidRPr="16DD06A3">
        <w:rPr>
          <w:rFonts w:cstheme="minorBidi"/>
        </w:rPr>
        <w:t>:</w:t>
      </w:r>
    </w:p>
    <w:p w14:paraId="32B91074" w14:textId="59F03160" w:rsidR="00166532" w:rsidRPr="007C50C2" w:rsidRDefault="00166532" w:rsidP="007C50C2">
      <w:pPr>
        <w:pStyle w:val="Quotetext"/>
      </w:pPr>
      <w:r w:rsidRPr="007C50C2">
        <w:t>This standard, together with the Clinical Governance Standard, underpins all the other standards. The Partnering with Consumers Standard recognises the importance of involving patients in their own care and providing clear communication to patients.</w:t>
      </w:r>
      <w:r w:rsidR="00C24FC3" w:rsidRPr="00BA30E3">
        <w:rPr>
          <w:rStyle w:val="FootnoteReference"/>
        </w:rPr>
        <w:footnoteReference w:id="50"/>
      </w:r>
    </w:p>
    <w:p w14:paraId="160160E2" w14:textId="77DFAF41" w:rsidR="00FF2BF2" w:rsidRPr="00FF2BF2" w:rsidRDefault="00166532" w:rsidP="00E267DC">
      <w:pPr>
        <w:pStyle w:val="Body"/>
        <w:rPr>
          <w:rFonts w:cstheme="minorHAnsi"/>
        </w:rPr>
      </w:pPr>
      <w:r>
        <w:rPr>
          <w:rFonts w:cstheme="minorHAnsi"/>
        </w:rPr>
        <w:t xml:space="preserve">The </w:t>
      </w:r>
      <w:r w:rsidR="00F338C3">
        <w:rPr>
          <w:rFonts w:cstheme="minorHAnsi"/>
        </w:rPr>
        <w:t xml:space="preserve">SCV </w:t>
      </w:r>
      <w:hyperlink r:id="rId37" w:history="1">
        <w:r w:rsidRPr="00F338C3">
          <w:rPr>
            <w:rStyle w:val="Hyperlink"/>
            <w:rFonts w:cstheme="minorHAnsi"/>
          </w:rPr>
          <w:t>Partnering in Healthcare Framework</w:t>
        </w:r>
      </w:hyperlink>
      <w:r w:rsidR="00F338C3">
        <w:rPr>
          <w:rStyle w:val="FootnoteReference"/>
          <w:rFonts w:cstheme="minorHAnsi"/>
        </w:rPr>
        <w:footnoteReference w:id="51"/>
      </w:r>
      <w:r>
        <w:rPr>
          <w:rFonts w:cstheme="minorHAnsi"/>
        </w:rPr>
        <w:t xml:space="preserve"> </w:t>
      </w:r>
      <w:r w:rsidR="00C61DF6">
        <w:rPr>
          <w:rFonts w:cstheme="minorHAnsi"/>
        </w:rPr>
        <w:t xml:space="preserve">(the Framework) </w:t>
      </w:r>
      <w:r>
        <w:rPr>
          <w:rFonts w:cstheme="minorHAnsi"/>
        </w:rPr>
        <w:t xml:space="preserve">was produced with extensive </w:t>
      </w:r>
      <w:r w:rsidR="00C148D8">
        <w:rPr>
          <w:rFonts w:cstheme="minorHAnsi"/>
        </w:rPr>
        <w:t xml:space="preserve">public </w:t>
      </w:r>
      <w:r>
        <w:rPr>
          <w:rFonts w:cstheme="minorHAnsi"/>
        </w:rPr>
        <w:t xml:space="preserve">health sector </w:t>
      </w:r>
      <w:r w:rsidR="00A56810">
        <w:rPr>
          <w:rFonts w:cstheme="minorHAnsi"/>
        </w:rPr>
        <w:t>and consumer</w:t>
      </w:r>
      <w:r>
        <w:rPr>
          <w:rFonts w:cstheme="minorHAnsi"/>
        </w:rPr>
        <w:t xml:space="preserve"> consultation in 2018.</w:t>
      </w:r>
      <w:r w:rsidR="00C21C3F">
        <w:rPr>
          <w:rFonts w:cstheme="minorHAnsi"/>
        </w:rPr>
        <w:t xml:space="preserve"> T</w:t>
      </w:r>
      <w:r>
        <w:rPr>
          <w:rFonts w:cstheme="minorHAnsi"/>
        </w:rPr>
        <w:t>his best</w:t>
      </w:r>
      <w:r w:rsidR="006C30A5">
        <w:rPr>
          <w:rFonts w:cstheme="minorHAnsi"/>
        </w:rPr>
        <w:t>-</w:t>
      </w:r>
      <w:r>
        <w:rPr>
          <w:rFonts w:cstheme="minorHAnsi"/>
        </w:rPr>
        <w:t>practice resource is intended to align with existing policies and procedures within health services</w:t>
      </w:r>
      <w:r w:rsidR="0096327A">
        <w:rPr>
          <w:rFonts w:cstheme="minorHAnsi"/>
        </w:rPr>
        <w:t>, helping organisations to identify issues, monitor implementation</w:t>
      </w:r>
      <w:r>
        <w:rPr>
          <w:rFonts w:cstheme="minorHAnsi"/>
        </w:rPr>
        <w:t xml:space="preserve"> and </w:t>
      </w:r>
      <w:r w:rsidR="0096327A">
        <w:rPr>
          <w:rFonts w:cstheme="minorHAnsi"/>
        </w:rPr>
        <w:t>measure progress and achievements.</w:t>
      </w:r>
      <w:r w:rsidR="00FF2BF2">
        <w:rPr>
          <w:rFonts w:cstheme="minorHAnsi"/>
        </w:rPr>
        <w:t xml:space="preserve"> </w:t>
      </w:r>
      <w:r w:rsidR="00110B22">
        <w:t>Adopting t</w:t>
      </w:r>
      <w:r w:rsidR="0075412F">
        <w:t xml:space="preserve">he </w:t>
      </w:r>
      <w:r w:rsidR="00C61DF6">
        <w:t>F</w:t>
      </w:r>
      <w:r w:rsidR="0075412F">
        <w:t>ramework is a requirement for all Victorian public health services</w:t>
      </w:r>
      <w:r w:rsidR="00FF2BF2">
        <w:t xml:space="preserve"> but </w:t>
      </w:r>
      <w:r w:rsidR="00110B22">
        <w:t xml:space="preserve">it </w:t>
      </w:r>
      <w:r w:rsidR="008C4CE6">
        <w:t>is a</w:t>
      </w:r>
      <w:r w:rsidR="00FF2BF2">
        <w:t xml:space="preserve"> tool</w:t>
      </w:r>
      <w:r w:rsidR="008C4CE6">
        <w:t xml:space="preserve"> that</w:t>
      </w:r>
      <w:r w:rsidR="00FF2BF2">
        <w:t xml:space="preserve"> </w:t>
      </w:r>
      <w:r w:rsidR="008C4CE6">
        <w:t xml:space="preserve">could be used by </w:t>
      </w:r>
      <w:r w:rsidR="00A739EB">
        <w:t>other</w:t>
      </w:r>
      <w:r w:rsidR="008C4CE6">
        <w:t xml:space="preserve"> health services</w:t>
      </w:r>
      <w:r w:rsidR="0075412F">
        <w:t xml:space="preserve">. </w:t>
      </w:r>
    </w:p>
    <w:p w14:paraId="17D7B7D6" w14:textId="30AC537F" w:rsidR="00166532" w:rsidRPr="008A3752" w:rsidRDefault="009A66DD" w:rsidP="008A3752">
      <w:pPr>
        <w:pStyle w:val="Body"/>
      </w:pPr>
      <w:r>
        <w:t xml:space="preserve">The department is </w:t>
      </w:r>
      <w:r w:rsidR="00A1605A">
        <w:t>intere</w:t>
      </w:r>
      <w:r w:rsidR="00645C8C">
        <w:t>sted in feedback about the benefits and implications of</w:t>
      </w:r>
      <w:r w:rsidR="00A739EB">
        <w:t xml:space="preserve"> </w:t>
      </w:r>
      <w:r>
        <w:t>private health services adopt</w:t>
      </w:r>
      <w:r w:rsidR="00645C8C">
        <w:t>ing</w:t>
      </w:r>
      <w:r>
        <w:t xml:space="preserve"> the </w:t>
      </w:r>
      <w:r w:rsidR="00C148D8">
        <w:t>F</w:t>
      </w:r>
      <w:r>
        <w:t>ramework.</w:t>
      </w:r>
    </w:p>
    <w:p w14:paraId="5CA7CF92" w14:textId="77777777" w:rsidR="00710BA5" w:rsidRPr="008A3752" w:rsidRDefault="00710BA5" w:rsidP="008A3752">
      <w:pPr>
        <w:pStyle w:val="Body"/>
      </w:pPr>
    </w:p>
    <w:tbl>
      <w:tblPr>
        <w:tblStyle w:val="TableGrid"/>
        <w:tblW w:w="5000" w:type="pct"/>
        <w:shd w:val="clear" w:color="auto" w:fill="F2F2F2" w:themeFill="background1" w:themeFillShade="F2"/>
        <w:tblLook w:val="06A0" w:firstRow="1" w:lastRow="0" w:firstColumn="1" w:lastColumn="0" w:noHBand="1" w:noVBand="1"/>
      </w:tblPr>
      <w:tblGrid>
        <w:gridCol w:w="9268"/>
      </w:tblGrid>
      <w:tr w:rsidR="00182387" w:rsidRPr="004E21D8" w14:paraId="5DCA6AF4" w14:textId="77777777">
        <w:trPr>
          <w:tblHeader/>
        </w:trPr>
        <w:tc>
          <w:tcPr>
            <w:tcW w:w="5000" w:type="pct"/>
            <w:tcBorders>
              <w:top w:val="single" w:sz="8" w:space="0" w:color="auto"/>
              <w:left w:val="single" w:sz="12" w:space="0" w:color="auto"/>
              <w:bottom w:val="nil"/>
              <w:right w:val="single" w:sz="12" w:space="0" w:color="auto"/>
            </w:tcBorders>
            <w:shd w:val="clear" w:color="auto" w:fill="F2F2F2" w:themeFill="background1" w:themeFillShade="F2"/>
          </w:tcPr>
          <w:p w14:paraId="4449C9AA" w14:textId="77777777" w:rsidR="00182387" w:rsidRPr="004E21D8" w:rsidRDefault="00182387">
            <w:pPr>
              <w:pStyle w:val="Tablecolhead"/>
              <w:rPr>
                <w:szCs w:val="21"/>
              </w:rPr>
            </w:pPr>
            <w:r w:rsidRPr="004E21D8">
              <w:rPr>
                <w:szCs w:val="21"/>
              </w:rPr>
              <w:lastRenderedPageBreak/>
              <w:t>Questions for consultation</w:t>
            </w:r>
          </w:p>
        </w:tc>
      </w:tr>
      <w:tr w:rsidR="00182387" w:rsidRPr="004E21D8" w14:paraId="7DA76936" w14:textId="77777777" w:rsidTr="00FE0810">
        <w:trPr>
          <w:trHeight w:val="81"/>
        </w:trPr>
        <w:tc>
          <w:tcPr>
            <w:tcW w:w="5000" w:type="pct"/>
            <w:tcBorders>
              <w:top w:val="nil"/>
              <w:left w:val="single" w:sz="12" w:space="0" w:color="auto"/>
              <w:bottom w:val="single" w:sz="12" w:space="0" w:color="auto"/>
              <w:right w:val="single" w:sz="12" w:space="0" w:color="auto"/>
            </w:tcBorders>
            <w:shd w:val="clear" w:color="auto" w:fill="F2F2F2" w:themeFill="background1" w:themeFillShade="F2"/>
          </w:tcPr>
          <w:p w14:paraId="2E6F20FD" w14:textId="2345CA95" w:rsidR="00182387" w:rsidRPr="00E267DC" w:rsidRDefault="00182387" w:rsidP="008F73E1">
            <w:pPr>
              <w:pStyle w:val="ListParagraph"/>
              <w:numPr>
                <w:ilvl w:val="0"/>
                <w:numId w:val="11"/>
              </w:numPr>
              <w:spacing w:after="120" w:line="280" w:lineRule="atLeast"/>
              <w:contextualSpacing w:val="0"/>
              <w:rPr>
                <w:rFonts w:ascii="Arial" w:eastAsia="Times New Roman" w:hAnsi="Arial"/>
                <w:sz w:val="21"/>
                <w:lang w:eastAsia="en-AU"/>
              </w:rPr>
            </w:pPr>
            <w:r w:rsidRPr="00182387">
              <w:rPr>
                <w:rFonts w:ascii="Arial" w:hAnsi="Arial" w:cs="Arial"/>
                <w:sz w:val="21"/>
                <w:szCs w:val="21"/>
              </w:rPr>
              <w:t xml:space="preserve">Do you have any feedback or suggestions for improvements or additions to any of the regulations </w:t>
            </w:r>
            <w:r w:rsidR="00387178">
              <w:rPr>
                <w:rFonts w:ascii="Arial" w:hAnsi="Arial" w:cs="Arial"/>
                <w:sz w:val="21"/>
                <w:szCs w:val="21"/>
              </w:rPr>
              <w:t xml:space="preserve">related to </w:t>
            </w:r>
            <w:r w:rsidR="008F73E1" w:rsidRPr="008F73E1">
              <w:rPr>
                <w:rFonts w:ascii="Arial" w:hAnsi="Arial" w:cs="Arial"/>
                <w:sz w:val="21"/>
                <w:szCs w:val="21"/>
              </w:rPr>
              <w:t>patient rights, informed care and complaints?</w:t>
            </w:r>
            <w:r w:rsidRPr="00182387">
              <w:rPr>
                <w:rFonts w:ascii="Arial" w:hAnsi="Arial" w:cs="Arial"/>
                <w:sz w:val="21"/>
                <w:szCs w:val="21"/>
              </w:rPr>
              <w:t xml:space="preserve"> If yes, please reference the regulation number in your response</w:t>
            </w:r>
            <w:r w:rsidR="00DC4AC2">
              <w:rPr>
                <w:rFonts w:ascii="Arial" w:hAnsi="Arial" w:cs="Arial"/>
                <w:sz w:val="21"/>
                <w:szCs w:val="21"/>
              </w:rPr>
              <w:t>.</w:t>
            </w:r>
          </w:p>
          <w:p w14:paraId="04CD50B4" w14:textId="325137B5" w:rsidR="00D203BD" w:rsidRPr="00E267DC" w:rsidRDefault="00541486" w:rsidP="008F73E1">
            <w:pPr>
              <w:pStyle w:val="ListParagraph"/>
              <w:numPr>
                <w:ilvl w:val="0"/>
                <w:numId w:val="11"/>
              </w:numPr>
              <w:spacing w:after="120" w:line="280" w:lineRule="atLeast"/>
              <w:contextualSpacing w:val="0"/>
              <w:rPr>
                <w:rFonts w:ascii="Arial" w:eastAsia="Times New Roman" w:hAnsi="Arial"/>
                <w:sz w:val="21"/>
                <w:szCs w:val="21"/>
                <w:lang w:eastAsia="en-AU"/>
              </w:rPr>
            </w:pPr>
            <w:r>
              <w:rPr>
                <w:rFonts w:ascii="Arial" w:hAnsi="Arial" w:cs="Arial"/>
                <w:sz w:val="21"/>
                <w:szCs w:val="21"/>
              </w:rPr>
              <w:t>Would you support a requirement in</w:t>
            </w:r>
            <w:r w:rsidR="002C3E6E">
              <w:rPr>
                <w:rFonts w:ascii="Arial" w:hAnsi="Arial" w:cs="Arial"/>
                <w:sz w:val="21"/>
                <w:szCs w:val="21"/>
              </w:rPr>
              <w:t xml:space="preserve"> the Regulations </w:t>
            </w:r>
            <w:r w:rsidR="007B7C93">
              <w:rPr>
                <w:rFonts w:ascii="Arial" w:hAnsi="Arial" w:cs="Arial"/>
                <w:sz w:val="21"/>
                <w:szCs w:val="21"/>
              </w:rPr>
              <w:t>for</w:t>
            </w:r>
            <w:r w:rsidR="002C3E6E">
              <w:rPr>
                <w:rFonts w:ascii="Arial" w:hAnsi="Arial" w:cs="Arial"/>
                <w:sz w:val="21"/>
                <w:szCs w:val="21"/>
              </w:rPr>
              <w:t xml:space="preserve"> </w:t>
            </w:r>
            <w:r w:rsidR="00995494">
              <w:rPr>
                <w:rFonts w:ascii="Arial" w:hAnsi="Arial" w:cs="Arial"/>
                <w:sz w:val="21"/>
                <w:szCs w:val="21"/>
              </w:rPr>
              <w:t xml:space="preserve">de-identified </w:t>
            </w:r>
            <w:r>
              <w:rPr>
                <w:rFonts w:ascii="Arial" w:hAnsi="Arial" w:cs="Arial"/>
                <w:sz w:val="21"/>
                <w:szCs w:val="21"/>
              </w:rPr>
              <w:t>data about</w:t>
            </w:r>
            <w:r w:rsidR="00C6374A" w:rsidRPr="00C6374A">
              <w:rPr>
                <w:rFonts w:ascii="Arial" w:hAnsi="Arial" w:cs="Arial"/>
                <w:sz w:val="21"/>
                <w:szCs w:val="21"/>
              </w:rPr>
              <w:t xml:space="preserve"> </w:t>
            </w:r>
            <w:r w:rsidR="00FF597A">
              <w:rPr>
                <w:rFonts w:ascii="Arial" w:hAnsi="Arial" w:cs="Arial"/>
                <w:sz w:val="21"/>
                <w:szCs w:val="21"/>
              </w:rPr>
              <w:t xml:space="preserve">complaints </w:t>
            </w:r>
            <w:r>
              <w:rPr>
                <w:rFonts w:ascii="Arial" w:hAnsi="Arial" w:cs="Arial"/>
                <w:sz w:val="21"/>
                <w:szCs w:val="21"/>
              </w:rPr>
              <w:t>to be reported, or</w:t>
            </w:r>
            <w:r w:rsidR="00CC3B29">
              <w:rPr>
                <w:rFonts w:ascii="Arial" w:hAnsi="Arial" w:cs="Arial"/>
                <w:sz w:val="21"/>
                <w:szCs w:val="21"/>
              </w:rPr>
              <w:t xml:space="preserve"> </w:t>
            </w:r>
            <w:r w:rsidR="002C3E6E" w:rsidRPr="00C6374A">
              <w:rPr>
                <w:rFonts w:ascii="Arial" w:hAnsi="Arial" w:cs="Arial"/>
                <w:sz w:val="21"/>
                <w:szCs w:val="21"/>
              </w:rPr>
              <w:t>made available</w:t>
            </w:r>
            <w:r>
              <w:rPr>
                <w:rFonts w:ascii="Arial" w:hAnsi="Arial" w:cs="Arial"/>
                <w:sz w:val="21"/>
                <w:szCs w:val="21"/>
              </w:rPr>
              <w:t>,</w:t>
            </w:r>
            <w:r w:rsidR="002C3E6E" w:rsidRPr="00C6374A">
              <w:rPr>
                <w:rFonts w:ascii="Arial" w:hAnsi="Arial" w:cs="Arial"/>
                <w:sz w:val="21"/>
                <w:szCs w:val="21"/>
              </w:rPr>
              <w:t xml:space="preserve"> to the Secretary</w:t>
            </w:r>
            <w:r>
              <w:rPr>
                <w:rFonts w:ascii="Arial" w:hAnsi="Arial" w:cs="Arial"/>
                <w:sz w:val="21"/>
                <w:szCs w:val="21"/>
              </w:rPr>
              <w:t xml:space="preserve">, </w:t>
            </w:r>
            <w:r w:rsidR="00995494">
              <w:rPr>
                <w:rFonts w:ascii="Arial" w:hAnsi="Arial" w:cs="Arial"/>
                <w:sz w:val="21"/>
                <w:szCs w:val="21"/>
              </w:rPr>
              <w:t>to inform risk</w:t>
            </w:r>
            <w:r w:rsidR="0042709E">
              <w:rPr>
                <w:rFonts w:ascii="Arial" w:hAnsi="Arial" w:cs="Arial"/>
                <w:sz w:val="21"/>
                <w:szCs w:val="21"/>
              </w:rPr>
              <w:t>-</w:t>
            </w:r>
            <w:r w:rsidR="00995494">
              <w:rPr>
                <w:rFonts w:ascii="Arial" w:hAnsi="Arial" w:cs="Arial"/>
                <w:sz w:val="21"/>
                <w:szCs w:val="21"/>
              </w:rPr>
              <w:t>based monitoring of service safety</w:t>
            </w:r>
            <w:r w:rsidR="002C3E6E" w:rsidRPr="00C6374A">
              <w:rPr>
                <w:rFonts w:ascii="Arial" w:hAnsi="Arial" w:cs="Arial"/>
                <w:sz w:val="21"/>
                <w:szCs w:val="21"/>
              </w:rPr>
              <w:t xml:space="preserve">? </w:t>
            </w:r>
            <w:r w:rsidR="002C3E6E" w:rsidRPr="00936629">
              <w:rPr>
                <w:rFonts w:ascii="Arial" w:hAnsi="Arial" w:cs="Arial"/>
                <w:sz w:val="21"/>
                <w:szCs w:val="21"/>
              </w:rPr>
              <w:t>If so, why? If not, why not?</w:t>
            </w:r>
          </w:p>
          <w:p w14:paraId="3975F792" w14:textId="2439B7EF" w:rsidR="00182387" w:rsidRPr="00FE0810" w:rsidRDefault="00F57ECC" w:rsidP="008F73E1">
            <w:pPr>
              <w:pStyle w:val="ListParagraph"/>
              <w:numPr>
                <w:ilvl w:val="0"/>
                <w:numId w:val="11"/>
              </w:numPr>
              <w:spacing w:after="120" w:line="280" w:lineRule="atLeast"/>
              <w:contextualSpacing w:val="0"/>
              <w:rPr>
                <w:rFonts w:ascii="Arial" w:eastAsia="Times New Roman" w:hAnsi="Arial"/>
                <w:sz w:val="21"/>
                <w:lang w:eastAsia="en-AU"/>
              </w:rPr>
            </w:pPr>
            <w:r w:rsidRPr="00C6374A">
              <w:rPr>
                <w:rFonts w:ascii="Arial" w:hAnsi="Arial" w:cs="Arial"/>
                <w:sz w:val="21"/>
                <w:szCs w:val="21"/>
              </w:rPr>
              <w:t>What would be the benefit</w:t>
            </w:r>
            <w:r w:rsidRPr="00E267DC">
              <w:rPr>
                <w:rFonts w:ascii="Arial" w:hAnsi="Arial" w:cs="Arial"/>
              </w:rPr>
              <w:t xml:space="preserve">s and/or </w:t>
            </w:r>
            <w:r w:rsidRPr="00673C1E">
              <w:rPr>
                <w:rFonts w:ascii="Arial" w:hAnsi="Arial" w:cs="Arial"/>
                <w:sz w:val="21"/>
                <w:szCs w:val="21"/>
              </w:rPr>
              <w:t xml:space="preserve">implications of </w:t>
            </w:r>
            <w:r w:rsidR="00AE6925" w:rsidRPr="00673C1E">
              <w:rPr>
                <w:rFonts w:ascii="Arial" w:hAnsi="Arial" w:cs="Arial"/>
                <w:sz w:val="21"/>
                <w:szCs w:val="21"/>
              </w:rPr>
              <w:t xml:space="preserve">health </w:t>
            </w:r>
            <w:r w:rsidR="00AE6925" w:rsidRPr="00B174B5">
              <w:rPr>
                <w:rFonts w:ascii="Arial" w:hAnsi="Arial" w:cs="Arial"/>
                <w:sz w:val="21"/>
                <w:szCs w:val="21"/>
              </w:rPr>
              <w:t>service establishments</w:t>
            </w:r>
            <w:r w:rsidR="00AE6925" w:rsidRPr="00B174B5" w:rsidDel="00AE6925">
              <w:rPr>
                <w:rFonts w:ascii="Arial" w:hAnsi="Arial" w:cs="Arial"/>
                <w:sz w:val="21"/>
                <w:szCs w:val="21"/>
              </w:rPr>
              <w:t xml:space="preserve"> </w:t>
            </w:r>
            <w:r w:rsidRPr="00B174B5">
              <w:rPr>
                <w:rFonts w:ascii="Arial" w:hAnsi="Arial" w:cs="Arial"/>
                <w:sz w:val="21"/>
                <w:szCs w:val="21"/>
              </w:rPr>
              <w:t xml:space="preserve">adopting the Partnering in </w:t>
            </w:r>
            <w:r w:rsidR="00C85443" w:rsidRPr="00B174B5">
              <w:rPr>
                <w:rFonts w:ascii="Arial" w:hAnsi="Arial" w:cs="Arial"/>
                <w:sz w:val="21"/>
                <w:szCs w:val="21"/>
              </w:rPr>
              <w:t>H</w:t>
            </w:r>
            <w:r w:rsidRPr="00B174B5">
              <w:rPr>
                <w:rFonts w:ascii="Arial" w:hAnsi="Arial" w:cs="Arial"/>
                <w:sz w:val="21"/>
                <w:szCs w:val="21"/>
              </w:rPr>
              <w:t xml:space="preserve">ealthcare </w:t>
            </w:r>
            <w:r w:rsidR="00C85443" w:rsidRPr="00B174B5">
              <w:rPr>
                <w:rFonts w:ascii="Arial" w:hAnsi="Arial" w:cs="Arial"/>
                <w:sz w:val="21"/>
                <w:szCs w:val="21"/>
              </w:rPr>
              <w:t>F</w:t>
            </w:r>
            <w:r w:rsidRPr="00B174B5">
              <w:rPr>
                <w:rFonts w:ascii="Arial" w:hAnsi="Arial" w:cs="Arial"/>
                <w:sz w:val="21"/>
                <w:szCs w:val="21"/>
              </w:rPr>
              <w:t xml:space="preserve">ramework alongside </w:t>
            </w:r>
            <w:r w:rsidR="00C85443" w:rsidRPr="00B174B5">
              <w:rPr>
                <w:rFonts w:ascii="Arial" w:hAnsi="Arial" w:cs="Arial"/>
                <w:sz w:val="21"/>
                <w:szCs w:val="21"/>
              </w:rPr>
              <w:t>their</w:t>
            </w:r>
            <w:r w:rsidRPr="00B174B5">
              <w:rPr>
                <w:rFonts w:ascii="Arial" w:hAnsi="Arial" w:cs="Arial"/>
                <w:sz w:val="21"/>
                <w:szCs w:val="21"/>
              </w:rPr>
              <w:t xml:space="preserve"> existing patient engagement policy?</w:t>
            </w:r>
            <w:r w:rsidR="00645C8C" w:rsidRPr="00B174B5">
              <w:rPr>
                <w:rFonts w:ascii="Arial" w:hAnsi="Arial" w:cs="Arial"/>
                <w:sz w:val="21"/>
                <w:szCs w:val="21"/>
              </w:rPr>
              <w:t xml:space="preserve"> Would that </w:t>
            </w:r>
            <w:r w:rsidR="00EE2C48" w:rsidRPr="00B174B5">
              <w:rPr>
                <w:rFonts w:ascii="Arial" w:hAnsi="Arial" w:cs="Arial"/>
                <w:sz w:val="21"/>
                <w:szCs w:val="21"/>
              </w:rPr>
              <w:t>constitute a</w:t>
            </w:r>
            <w:r w:rsidR="00645C8C" w:rsidRPr="00B174B5">
              <w:rPr>
                <w:rFonts w:ascii="Arial" w:hAnsi="Arial" w:cs="Arial"/>
                <w:sz w:val="21"/>
                <w:szCs w:val="21"/>
              </w:rPr>
              <w:t xml:space="preserve"> </w:t>
            </w:r>
            <w:r w:rsidR="00EE2C48" w:rsidRPr="00B174B5">
              <w:rPr>
                <w:rFonts w:ascii="Arial" w:hAnsi="Arial" w:cs="Arial"/>
                <w:sz w:val="21"/>
                <w:szCs w:val="21"/>
              </w:rPr>
              <w:t>significant shift from current arrangements?</w:t>
            </w:r>
          </w:p>
        </w:tc>
      </w:tr>
    </w:tbl>
    <w:p w14:paraId="5D2F20FD" w14:textId="191F9329" w:rsidR="006C3D2E" w:rsidRPr="00EB2BFF" w:rsidRDefault="00DC4AC2" w:rsidP="005F1A0D">
      <w:pPr>
        <w:pStyle w:val="Heading1"/>
        <w:rPr>
          <w:szCs w:val="21"/>
          <w:lang w:eastAsia="en-AU"/>
        </w:rPr>
      </w:pPr>
      <w:r>
        <w:rPr>
          <w:szCs w:val="21"/>
          <w:lang w:eastAsia="en-AU"/>
        </w:rPr>
        <w:br w:type="page"/>
      </w:r>
      <w:bookmarkStart w:id="108" w:name="_Toc143272039"/>
      <w:r w:rsidR="005C111D">
        <w:lastRenderedPageBreak/>
        <w:t>9</w:t>
      </w:r>
      <w:r w:rsidR="00031F8E">
        <w:t>.</w:t>
      </w:r>
      <w:r w:rsidR="00610CBA">
        <w:t xml:space="preserve"> </w:t>
      </w:r>
      <w:r w:rsidR="0088349D">
        <w:t>Offences, p</w:t>
      </w:r>
      <w:r w:rsidR="00E97D73">
        <w:t>enalties</w:t>
      </w:r>
      <w:r w:rsidR="006C3D2E">
        <w:t xml:space="preserve"> and sanctions</w:t>
      </w:r>
      <w:bookmarkEnd w:id="108"/>
    </w:p>
    <w:p w14:paraId="7D0F2C64" w14:textId="589F7C5B" w:rsidR="00CE0A94" w:rsidRDefault="00687007" w:rsidP="00CE0A94">
      <w:pPr>
        <w:pStyle w:val="Body"/>
      </w:pPr>
      <w:r>
        <w:t xml:space="preserve">The Act and Regulations </w:t>
      </w:r>
      <w:r w:rsidR="00A77A5D">
        <w:t xml:space="preserve">work together to </w:t>
      </w:r>
      <w:r w:rsidR="00AD1693">
        <w:t xml:space="preserve">provide </w:t>
      </w:r>
      <w:r w:rsidR="005A54CC">
        <w:t xml:space="preserve">a </w:t>
      </w:r>
      <w:r w:rsidR="00EB2DE0">
        <w:t xml:space="preserve">regulatory </w:t>
      </w:r>
      <w:r w:rsidR="005A54CC">
        <w:t xml:space="preserve">framework </w:t>
      </w:r>
      <w:r w:rsidR="00EB2DE0">
        <w:t>that</w:t>
      </w:r>
      <w:r w:rsidR="00CE0A94">
        <w:t>:</w:t>
      </w:r>
    </w:p>
    <w:p w14:paraId="043F23B3" w14:textId="4FA53FB9" w:rsidR="00CE0A94" w:rsidRDefault="00EB2DE0" w:rsidP="00C132C8">
      <w:pPr>
        <w:pStyle w:val="Body"/>
        <w:numPr>
          <w:ilvl w:val="0"/>
          <w:numId w:val="36"/>
        </w:numPr>
      </w:pPr>
      <w:r>
        <w:t xml:space="preserve">sets obligations </w:t>
      </w:r>
      <w:r w:rsidR="00A77A5D">
        <w:t xml:space="preserve">that </w:t>
      </w:r>
      <w:r>
        <w:t xml:space="preserve">health service establishments </w:t>
      </w:r>
      <w:r w:rsidR="00A77A5D">
        <w:t>must meet</w:t>
      </w:r>
      <w:r w:rsidR="00B36C66">
        <w:t xml:space="preserve"> (for</w:t>
      </w:r>
      <w:r w:rsidR="00A83D38">
        <w:t xml:space="preserve"> example, </w:t>
      </w:r>
      <w:r w:rsidR="00B9009A">
        <w:t xml:space="preserve">registration and </w:t>
      </w:r>
      <w:r w:rsidR="00F74B26">
        <w:t>accreditation</w:t>
      </w:r>
      <w:r w:rsidR="00443D81">
        <w:t xml:space="preserve">, </w:t>
      </w:r>
      <w:r w:rsidR="009A0D93">
        <w:t xml:space="preserve">quality and safety protocols, </w:t>
      </w:r>
      <w:r w:rsidR="00213A33">
        <w:t xml:space="preserve">senior appointments and </w:t>
      </w:r>
      <w:r w:rsidR="00CC219E">
        <w:t xml:space="preserve">other </w:t>
      </w:r>
      <w:r w:rsidR="00DF1191">
        <w:t>requirements as discussed throughout this paper)</w:t>
      </w:r>
    </w:p>
    <w:p w14:paraId="66DAB8E0" w14:textId="5E447CA9" w:rsidR="00CE0A94" w:rsidRDefault="00EB2DE0" w:rsidP="00C132C8">
      <w:pPr>
        <w:pStyle w:val="Body"/>
        <w:numPr>
          <w:ilvl w:val="0"/>
          <w:numId w:val="36"/>
        </w:numPr>
      </w:pPr>
      <w:r>
        <w:t>provide</w:t>
      </w:r>
      <w:r w:rsidR="00A77A5D">
        <w:t>s</w:t>
      </w:r>
      <w:r>
        <w:t xml:space="preserve"> a range of </w:t>
      </w:r>
      <w:r w:rsidR="009E3C5E">
        <w:t xml:space="preserve">powers and </w:t>
      </w:r>
      <w:r>
        <w:t>statutory t</w:t>
      </w:r>
      <w:r w:rsidR="00AD1693">
        <w:t xml:space="preserve">ools </w:t>
      </w:r>
      <w:r w:rsidR="00A77A5D">
        <w:t xml:space="preserve">for the department </w:t>
      </w:r>
      <w:r w:rsidR="00C27750">
        <w:t xml:space="preserve">and SCV </w:t>
      </w:r>
      <w:r w:rsidR="00A77A5D">
        <w:t>to monitor and enforce compliance with these obligations</w:t>
      </w:r>
      <w:r w:rsidR="005C1F95">
        <w:t xml:space="preserve"> (for example, </w:t>
      </w:r>
      <w:r w:rsidR="003176A9">
        <w:t xml:space="preserve">powers of </w:t>
      </w:r>
      <w:r w:rsidR="00D01FF8">
        <w:t xml:space="preserve">entry </w:t>
      </w:r>
      <w:r w:rsidR="005E4756">
        <w:t xml:space="preserve">for authorised officers and </w:t>
      </w:r>
      <w:r w:rsidR="00B50491">
        <w:t>authorised quality and safety officers</w:t>
      </w:r>
      <w:r w:rsidR="00DB6F3B">
        <w:t>; power</w:t>
      </w:r>
      <w:r w:rsidR="004E67F2">
        <w:t xml:space="preserve">s for the Secretary to </w:t>
      </w:r>
      <w:r w:rsidR="007B3C7A">
        <w:t>request information</w:t>
      </w:r>
      <w:r w:rsidR="008844E6">
        <w:t>)</w:t>
      </w:r>
    </w:p>
    <w:p w14:paraId="77ED5814" w14:textId="0A25AA6C" w:rsidR="002C06B6" w:rsidRDefault="00FB019B" w:rsidP="00C132C8">
      <w:pPr>
        <w:pStyle w:val="Body"/>
        <w:numPr>
          <w:ilvl w:val="0"/>
          <w:numId w:val="36"/>
        </w:numPr>
      </w:pPr>
      <w:r>
        <w:t xml:space="preserve">defines </w:t>
      </w:r>
      <w:r w:rsidR="00BA20CF">
        <w:t xml:space="preserve">offences, </w:t>
      </w:r>
      <w:r>
        <w:t xml:space="preserve">penalties and </w:t>
      </w:r>
      <w:r w:rsidR="00103E14">
        <w:t xml:space="preserve">other </w:t>
      </w:r>
      <w:r>
        <w:t>sanctions</w:t>
      </w:r>
      <w:r w:rsidR="00C01ABF">
        <w:t xml:space="preserve"> </w:t>
      </w:r>
      <w:r w:rsidR="00931684">
        <w:t>that may be applied where serious breaches</w:t>
      </w:r>
      <w:r w:rsidR="009E050A">
        <w:t xml:space="preserve"> occur</w:t>
      </w:r>
      <w:r w:rsidR="00D773C4">
        <w:t xml:space="preserve"> (for example, </w:t>
      </w:r>
      <w:r w:rsidR="0027691F">
        <w:t xml:space="preserve">penalty units for various offences; </w:t>
      </w:r>
      <w:r w:rsidR="00D773C4">
        <w:t>registration conditions, suspensions and revocations)</w:t>
      </w:r>
      <w:r w:rsidR="009E050A">
        <w:t>.</w:t>
      </w:r>
      <w:r w:rsidR="00C01ABF">
        <w:t xml:space="preserve"> </w:t>
      </w:r>
    </w:p>
    <w:p w14:paraId="3CA41A3E" w14:textId="0A059DE8" w:rsidR="00134896" w:rsidRDefault="00E74E9C" w:rsidP="00A77A5D">
      <w:pPr>
        <w:pStyle w:val="Body"/>
      </w:pPr>
      <w:r>
        <w:t>O</w:t>
      </w:r>
      <w:r w:rsidR="00167BB7">
        <w:t>ffences</w:t>
      </w:r>
      <w:r w:rsidR="00A25C6B">
        <w:t>,</w:t>
      </w:r>
      <w:r w:rsidR="00167BB7">
        <w:t xml:space="preserve"> penalties </w:t>
      </w:r>
      <w:r w:rsidR="00A25C6B">
        <w:t xml:space="preserve">and sanctions </w:t>
      </w:r>
      <w:r w:rsidR="00494415">
        <w:t xml:space="preserve">will be </w:t>
      </w:r>
      <w:r w:rsidR="00FA23C2">
        <w:t xml:space="preserve">considered </w:t>
      </w:r>
      <w:r w:rsidR="00DD5BFE">
        <w:t>as part of</w:t>
      </w:r>
      <w:r w:rsidR="00FA23C2">
        <w:t xml:space="preserve"> th</w:t>
      </w:r>
      <w:r w:rsidR="00880022">
        <w:t>is review</w:t>
      </w:r>
      <w:r w:rsidR="002E4C27">
        <w:t xml:space="preserve"> of the Regulations.</w:t>
      </w:r>
      <w:r w:rsidR="00565F19">
        <w:t xml:space="preserve"> </w:t>
      </w:r>
    </w:p>
    <w:p w14:paraId="4B3799D6" w14:textId="3C4C1230" w:rsidR="00A77A5D" w:rsidRDefault="00134896" w:rsidP="00A77A5D">
      <w:pPr>
        <w:pStyle w:val="Body"/>
      </w:pPr>
      <w:r>
        <w:t xml:space="preserve">As noted earlier in this paper – for example, in </w:t>
      </w:r>
      <w:r w:rsidR="00467EEF">
        <w:t>Chapter</w:t>
      </w:r>
      <w:r w:rsidR="00074A46">
        <w:t xml:space="preserve"> </w:t>
      </w:r>
      <w:r w:rsidR="005F1A0D" w:rsidRPr="00467EEF">
        <w:t>2</w:t>
      </w:r>
      <w:r w:rsidR="00467EEF">
        <w:t xml:space="preserve"> </w:t>
      </w:r>
      <w:r w:rsidR="005F1A0D" w:rsidRPr="00467EEF">
        <w:t>Consequences for non-compliance with registration and accreditation requirements</w:t>
      </w:r>
      <w:r w:rsidR="005F1A0D">
        <w:t xml:space="preserve"> </w:t>
      </w:r>
      <w:r w:rsidR="00F844BD">
        <w:t xml:space="preserve">– </w:t>
      </w:r>
      <w:r w:rsidR="00DD3320">
        <w:t>some</w:t>
      </w:r>
      <w:r w:rsidR="00F844BD">
        <w:t xml:space="preserve"> </w:t>
      </w:r>
      <w:r w:rsidR="00F5549D">
        <w:t xml:space="preserve">penalties are </w:t>
      </w:r>
      <w:r w:rsidR="008F4D26">
        <w:t xml:space="preserve">defined in the Act, so amending these is outside the scope of this review. </w:t>
      </w:r>
      <w:r w:rsidR="009665F5">
        <w:t>However, t</w:t>
      </w:r>
      <w:r w:rsidR="008F4D26">
        <w:t>he department is still keen to hear from stakeholders</w:t>
      </w:r>
      <w:r w:rsidR="00643FD6">
        <w:t xml:space="preserve"> </w:t>
      </w:r>
      <w:r w:rsidR="00D663F1">
        <w:t xml:space="preserve">if they have </w:t>
      </w:r>
      <w:r w:rsidR="004C1ABB">
        <w:t>feedback or suggestions in relation to these.</w:t>
      </w:r>
    </w:p>
    <w:p w14:paraId="0EC4F044" w14:textId="226295F8" w:rsidR="004C1ABB" w:rsidRDefault="00317BF3" w:rsidP="00317BF3">
      <w:pPr>
        <w:pStyle w:val="Heading2"/>
      </w:pPr>
      <w:bookmarkStart w:id="109" w:name="_Toc143272040"/>
      <w:r>
        <w:rPr>
          <w:rFonts w:eastAsia="Times"/>
        </w:rPr>
        <w:t xml:space="preserve">9.1 </w:t>
      </w:r>
      <w:r w:rsidR="006B07A0" w:rsidRPr="00317BF3">
        <w:rPr>
          <w:rFonts w:eastAsia="Times"/>
        </w:rPr>
        <w:t>Offences</w:t>
      </w:r>
      <w:r w:rsidR="006B07A0">
        <w:t xml:space="preserve"> </w:t>
      </w:r>
      <w:r>
        <w:t>in the Regulations</w:t>
      </w:r>
      <w:bookmarkEnd w:id="109"/>
    </w:p>
    <w:p w14:paraId="63FE83AA" w14:textId="59507E9C" w:rsidR="00B9346C" w:rsidRDefault="00524D78" w:rsidP="002E467E">
      <w:pPr>
        <w:pStyle w:val="Body"/>
      </w:pPr>
      <w:r>
        <w:t xml:space="preserve">The </w:t>
      </w:r>
      <w:r w:rsidR="006D2D20">
        <w:t xml:space="preserve">Regulations prescribe </w:t>
      </w:r>
      <w:r w:rsidR="00111063">
        <w:t>35</w:t>
      </w:r>
      <w:r w:rsidR="006D2D20">
        <w:t xml:space="preserve"> offences</w:t>
      </w:r>
      <w:r w:rsidR="00F758F4">
        <w:t xml:space="preserve"> with penalty units. </w:t>
      </w:r>
      <w:r w:rsidR="00780709">
        <w:t xml:space="preserve">The maximum penalty amounts set out in the Regulations are the maximum </w:t>
      </w:r>
      <w:r w:rsidR="00D1758D">
        <w:t xml:space="preserve">penalties that may be imposed by a court if a person is prosecuted for a breach of the Regulations. This is different from </w:t>
      </w:r>
      <w:r w:rsidR="0032323D">
        <w:t xml:space="preserve">an infringement penalty, which is discussed in the section below. </w:t>
      </w:r>
      <w:r w:rsidR="00F758F4">
        <w:t xml:space="preserve">These are </w:t>
      </w:r>
      <w:r w:rsidR="004D7399">
        <w:t>summarised in</w:t>
      </w:r>
      <w:r w:rsidR="000E48F3">
        <w:t xml:space="preserve"> </w:t>
      </w:r>
      <w:r w:rsidR="000E48F3" w:rsidRPr="00FB4458">
        <w:t>Appendix A – Penalties and offences in the Regulations</w:t>
      </w:r>
      <w:r w:rsidR="00526212">
        <w:t>.</w:t>
      </w:r>
    </w:p>
    <w:p w14:paraId="660C4E69" w14:textId="77777777" w:rsidR="00B24CDC" w:rsidRDefault="00C76599" w:rsidP="002E467E">
      <w:pPr>
        <w:pStyle w:val="Body"/>
      </w:pPr>
      <w:r>
        <w:t xml:space="preserve">The department seeks feedback from stakeholders </w:t>
      </w:r>
      <w:r w:rsidR="0032597F">
        <w:t xml:space="preserve">about </w:t>
      </w:r>
      <w:r w:rsidR="003A21FE">
        <w:t xml:space="preserve">whether the </w:t>
      </w:r>
      <w:r w:rsidR="006154F4">
        <w:t xml:space="preserve">offences and penalties are </w:t>
      </w:r>
      <w:r w:rsidR="00DE6641">
        <w:t>sufficient and fit for purpose. For example</w:t>
      </w:r>
      <w:r w:rsidR="00B24CDC">
        <w:t>:</w:t>
      </w:r>
    </w:p>
    <w:p w14:paraId="5DC789A5" w14:textId="77777777" w:rsidR="00B24CDC" w:rsidRDefault="00B24CDC" w:rsidP="00C132C8">
      <w:pPr>
        <w:pStyle w:val="Body"/>
        <w:numPr>
          <w:ilvl w:val="0"/>
          <w:numId w:val="37"/>
        </w:numPr>
      </w:pPr>
      <w:r>
        <w:t>A</w:t>
      </w:r>
      <w:r w:rsidR="00A64533">
        <w:t>re the p</w:t>
      </w:r>
      <w:r w:rsidR="00BD28DB">
        <w:t>enalty amounts proportionate to the offence</w:t>
      </w:r>
      <w:r>
        <w:t xml:space="preserve">? </w:t>
      </w:r>
    </w:p>
    <w:p w14:paraId="09395209" w14:textId="2CFDB395" w:rsidR="00526212" w:rsidRDefault="00B24CDC" w:rsidP="00C132C8">
      <w:pPr>
        <w:pStyle w:val="Body"/>
        <w:numPr>
          <w:ilvl w:val="0"/>
          <w:numId w:val="37"/>
        </w:numPr>
      </w:pPr>
      <w:r>
        <w:t>Are the penalties effective as a deterrent to non-compliance?</w:t>
      </w:r>
    </w:p>
    <w:p w14:paraId="24968B7C" w14:textId="7D3C4A1E" w:rsidR="00E57170" w:rsidRDefault="00E57170" w:rsidP="00C132C8">
      <w:pPr>
        <w:pStyle w:val="Body"/>
        <w:numPr>
          <w:ilvl w:val="0"/>
          <w:numId w:val="37"/>
        </w:numPr>
      </w:pPr>
      <w:r>
        <w:t xml:space="preserve">Are there any </w:t>
      </w:r>
      <w:r w:rsidR="007F0EB1">
        <w:t>other breaches or non-compliances that should become offences under the Regulations?</w:t>
      </w:r>
    </w:p>
    <w:p w14:paraId="2EB0F5B6" w14:textId="46095859" w:rsidR="006D5BF1" w:rsidRDefault="006D5BF1" w:rsidP="00C132C8">
      <w:pPr>
        <w:pStyle w:val="Body"/>
        <w:numPr>
          <w:ilvl w:val="0"/>
          <w:numId w:val="37"/>
        </w:numPr>
      </w:pPr>
      <w:r>
        <w:t>Are there other sanction</w:t>
      </w:r>
      <w:r w:rsidR="001A78FF">
        <w:t>s</w:t>
      </w:r>
      <w:r>
        <w:t xml:space="preserve"> that could be more effective</w:t>
      </w:r>
      <w:r w:rsidR="004D68DF">
        <w:t xml:space="preserve"> </w:t>
      </w:r>
      <w:r w:rsidR="00431EDD">
        <w:t xml:space="preserve">if </w:t>
      </w:r>
      <w:r w:rsidR="004D68DF">
        <w:t xml:space="preserve">remedial </w:t>
      </w:r>
      <w:r w:rsidR="00431EDD">
        <w:t xml:space="preserve">activities have failed to </w:t>
      </w:r>
      <w:r w:rsidR="000351EE">
        <w:t xml:space="preserve">bring </w:t>
      </w:r>
      <w:r w:rsidR="00CE0695">
        <w:t>health services into compliance?</w:t>
      </w:r>
    </w:p>
    <w:p w14:paraId="27B2BBC5" w14:textId="1FCA4DA8" w:rsidR="001254AF" w:rsidRDefault="003D72D5" w:rsidP="003D72D5">
      <w:pPr>
        <w:pStyle w:val="Heading2"/>
      </w:pPr>
      <w:bookmarkStart w:id="110" w:name="_Toc143272041"/>
      <w:r>
        <w:rPr>
          <w:rFonts w:eastAsia="Times"/>
        </w:rPr>
        <w:t xml:space="preserve">9.2 </w:t>
      </w:r>
      <w:r w:rsidRPr="003D72D5">
        <w:rPr>
          <w:rFonts w:eastAsia="Times"/>
        </w:rPr>
        <w:t>Infringements</w:t>
      </w:r>
      <w:r>
        <w:t xml:space="preserve"> in the Regulations</w:t>
      </w:r>
      <w:bookmarkEnd w:id="110"/>
    </w:p>
    <w:p w14:paraId="4CA2B968" w14:textId="0CDCC582" w:rsidR="007F0EB1" w:rsidRDefault="003D72D5" w:rsidP="00906923">
      <w:pPr>
        <w:pStyle w:val="Body"/>
      </w:pPr>
      <w:r>
        <w:t xml:space="preserve">The Act </w:t>
      </w:r>
      <w:r w:rsidR="00B02755">
        <w:t xml:space="preserve">(s.155) </w:t>
      </w:r>
      <w:r w:rsidR="00743A36">
        <w:t xml:space="preserve">allows </w:t>
      </w:r>
      <w:r w:rsidR="00CF7732">
        <w:t xml:space="preserve">an authorised officer to serve an infringement notice on a person </w:t>
      </w:r>
      <w:r w:rsidR="0026548D">
        <w:t xml:space="preserve">whom the officer believes has committed a prescribed offence against the </w:t>
      </w:r>
      <w:r w:rsidR="00C104EB">
        <w:t>Regulations</w:t>
      </w:r>
      <w:r w:rsidR="00054339">
        <w:t xml:space="preserve"> requiring the person to pay the prescribed penal</w:t>
      </w:r>
      <w:r w:rsidR="00525BAB">
        <w:t xml:space="preserve">ty </w:t>
      </w:r>
      <w:r w:rsidR="00272EBE">
        <w:t>for that infringement, being an amount not exceeding one-fifth of the maximum penalty applicable to the offence.</w:t>
      </w:r>
    </w:p>
    <w:p w14:paraId="0609C3DD" w14:textId="56CB1954" w:rsidR="00E14651" w:rsidRDefault="00BC275A" w:rsidP="00906923">
      <w:pPr>
        <w:pStyle w:val="Body"/>
      </w:pPr>
      <w:r>
        <w:lastRenderedPageBreak/>
        <w:t xml:space="preserve">While there are currently no infringement offences prescribed in the Regulations, the department </w:t>
      </w:r>
      <w:r w:rsidR="00B40DC3">
        <w:t xml:space="preserve">is considering </w:t>
      </w:r>
      <w:r w:rsidR="00C249B7">
        <w:t>whether they could be a useful addition</w:t>
      </w:r>
      <w:r w:rsidR="00812CC5">
        <w:t xml:space="preserve">. </w:t>
      </w:r>
      <w:r w:rsidR="00077BB2">
        <w:t xml:space="preserve">Infringements are </w:t>
      </w:r>
      <w:r w:rsidR="003E4A56">
        <w:t xml:space="preserve">part of the contemporary regulatory ‘toolkit’ </w:t>
      </w:r>
      <w:r w:rsidR="0094034E">
        <w:t xml:space="preserve">for </w:t>
      </w:r>
      <w:r w:rsidR="00376731">
        <w:t>several reasons:</w:t>
      </w:r>
    </w:p>
    <w:p w14:paraId="061E127F" w14:textId="6DBAF15A" w:rsidR="00376731" w:rsidRDefault="00F801FF" w:rsidP="00C132C8">
      <w:pPr>
        <w:pStyle w:val="Body"/>
        <w:numPr>
          <w:ilvl w:val="0"/>
          <w:numId w:val="38"/>
        </w:numPr>
      </w:pPr>
      <w:r>
        <w:t>Infringements can be issue</w:t>
      </w:r>
      <w:r w:rsidR="00984769">
        <w:t>d</w:t>
      </w:r>
      <w:r>
        <w:t xml:space="preserve"> </w:t>
      </w:r>
      <w:r w:rsidR="00AB5FF5">
        <w:t>swiftly</w:t>
      </w:r>
      <w:r w:rsidR="00984769">
        <w:t xml:space="preserve"> as </w:t>
      </w:r>
      <w:r w:rsidR="00FB2B73">
        <w:t xml:space="preserve">direct </w:t>
      </w:r>
      <w:r w:rsidR="004810C1">
        <w:t>punishment for</w:t>
      </w:r>
      <w:r w:rsidR="007E5EE2">
        <w:t xml:space="preserve"> clearcut</w:t>
      </w:r>
      <w:r w:rsidR="00736B09">
        <w:t xml:space="preserve"> </w:t>
      </w:r>
      <w:r w:rsidR="004E22F2">
        <w:t>offences</w:t>
      </w:r>
      <w:r w:rsidR="000F6DBA">
        <w:t xml:space="preserve"> (for example, parking fines are infringements for</w:t>
      </w:r>
      <w:r w:rsidR="00BE0C40">
        <w:t xml:space="preserve"> </w:t>
      </w:r>
      <w:r w:rsidR="008B633B">
        <w:t xml:space="preserve">disobeying </w:t>
      </w:r>
      <w:r w:rsidR="005E52A1">
        <w:t xml:space="preserve">parking </w:t>
      </w:r>
      <w:r w:rsidR="00E479C3">
        <w:t>rules)</w:t>
      </w:r>
      <w:r w:rsidR="00FB2B73">
        <w:t>.</w:t>
      </w:r>
    </w:p>
    <w:p w14:paraId="75AF76E3" w14:textId="7E150FD7" w:rsidR="007A0055" w:rsidRDefault="007A0055" w:rsidP="00C132C8">
      <w:pPr>
        <w:pStyle w:val="Body"/>
        <w:numPr>
          <w:ilvl w:val="0"/>
          <w:numId w:val="38"/>
        </w:numPr>
      </w:pPr>
      <w:r>
        <w:t>Infringements can be issued without potentially lengthy or costly court proceedings.</w:t>
      </w:r>
    </w:p>
    <w:p w14:paraId="2C20D8C8" w14:textId="1D5E7444" w:rsidR="007A0055" w:rsidRDefault="007A0055" w:rsidP="00C132C8">
      <w:pPr>
        <w:pStyle w:val="Body"/>
        <w:numPr>
          <w:ilvl w:val="0"/>
          <w:numId w:val="38"/>
        </w:numPr>
      </w:pPr>
      <w:r>
        <w:t xml:space="preserve">Infringement amounts are lower than penalty amounts and may therefore be proportionate to </w:t>
      </w:r>
      <w:r w:rsidR="007E5878">
        <w:t xml:space="preserve">less serious </w:t>
      </w:r>
      <w:r>
        <w:t>offence</w:t>
      </w:r>
      <w:r w:rsidR="007E5878">
        <w:t>s</w:t>
      </w:r>
      <w:r w:rsidR="00423F1F">
        <w:t>.</w:t>
      </w:r>
    </w:p>
    <w:p w14:paraId="1EF4D56B" w14:textId="5DFB7A38" w:rsidR="00C81332" w:rsidRDefault="00423F1F" w:rsidP="00C132C8">
      <w:pPr>
        <w:pStyle w:val="Body"/>
        <w:numPr>
          <w:ilvl w:val="0"/>
          <w:numId w:val="38"/>
        </w:numPr>
      </w:pPr>
      <w:r>
        <w:t xml:space="preserve">Infringements </w:t>
      </w:r>
      <w:r w:rsidR="00412499">
        <w:t xml:space="preserve">do not </w:t>
      </w:r>
      <w:r w:rsidR="00560405">
        <w:t xml:space="preserve">result in </w:t>
      </w:r>
      <w:r w:rsidR="00860200">
        <w:t>a criminal record</w:t>
      </w:r>
      <w:r w:rsidR="005A04A2">
        <w:t>.</w:t>
      </w:r>
    </w:p>
    <w:p w14:paraId="514C49D4" w14:textId="70F951D2" w:rsidR="0075734D" w:rsidRDefault="0075734D" w:rsidP="00C132C8">
      <w:pPr>
        <w:pStyle w:val="Body"/>
        <w:numPr>
          <w:ilvl w:val="0"/>
          <w:numId w:val="38"/>
        </w:numPr>
      </w:pPr>
      <w:r>
        <w:t>Infringements may act as a deterrent to reoffending.</w:t>
      </w:r>
    </w:p>
    <w:p w14:paraId="383ADD1C" w14:textId="4230D3AF" w:rsidR="00291822" w:rsidRDefault="001978D0" w:rsidP="008F1A9A">
      <w:pPr>
        <w:pStyle w:val="Body"/>
      </w:pPr>
      <w:r>
        <w:t xml:space="preserve">Introducing infringement offences into the Regulations will give the department, as the regulator of health service establishments, </w:t>
      </w:r>
      <w:r w:rsidR="006A7BB2">
        <w:t xml:space="preserve">more </w:t>
      </w:r>
      <w:r w:rsidR="00F11509">
        <w:t>options for responding to non-compliance</w:t>
      </w:r>
      <w:r w:rsidR="00527B57">
        <w:t>.</w:t>
      </w:r>
      <w:r w:rsidR="0076380D">
        <w:t xml:space="preserve"> </w:t>
      </w:r>
      <w:r w:rsidR="00533410">
        <w:t xml:space="preserve">This is </w:t>
      </w:r>
      <w:r w:rsidR="008F3407">
        <w:t xml:space="preserve">particularly </w:t>
      </w:r>
      <w:r w:rsidR="004B00C1">
        <w:t xml:space="preserve">important in relation to cases of </w:t>
      </w:r>
      <w:r w:rsidR="008F3407">
        <w:t xml:space="preserve">lower-level offences where court </w:t>
      </w:r>
      <w:r w:rsidR="00A31081">
        <w:t>proceedings</w:t>
      </w:r>
      <w:r w:rsidR="008F3407">
        <w:t xml:space="preserve">, registration </w:t>
      </w:r>
      <w:r w:rsidR="00533410">
        <w:t>suspensions</w:t>
      </w:r>
      <w:r w:rsidR="001F2B55">
        <w:t>,</w:t>
      </w:r>
      <w:r w:rsidR="00533410">
        <w:t xml:space="preserve"> or other </w:t>
      </w:r>
      <w:r w:rsidR="001D4851">
        <w:t xml:space="preserve">‘full force of the law’ sanctions </w:t>
      </w:r>
      <w:r w:rsidR="005B4147">
        <w:t xml:space="preserve">would be </w:t>
      </w:r>
      <w:r w:rsidR="008929D0">
        <w:t>disproportionate</w:t>
      </w:r>
      <w:r w:rsidR="003D0482">
        <w:t xml:space="preserve"> to the </w:t>
      </w:r>
      <w:r w:rsidR="00670831">
        <w:t>non-compliance</w:t>
      </w:r>
      <w:r w:rsidR="003D0482">
        <w:t>.</w:t>
      </w:r>
      <w:r w:rsidR="00291822">
        <w:t xml:space="preserve"> </w:t>
      </w:r>
    </w:p>
    <w:p w14:paraId="07668D53" w14:textId="40F44F7E" w:rsidR="008F1A9A" w:rsidRDefault="00291822" w:rsidP="008F1A9A">
      <w:pPr>
        <w:pStyle w:val="Body"/>
      </w:pPr>
      <w:r>
        <w:t>Any decision to prescribe an offence in the Regulations would need to consider</w:t>
      </w:r>
      <w:r w:rsidR="00B90652">
        <w:t>,</w:t>
      </w:r>
      <w:r>
        <w:t xml:space="preserve"> and be consistent with</w:t>
      </w:r>
      <w:r w:rsidR="00B90652">
        <w:t>,</w:t>
      </w:r>
      <w:r>
        <w:t xml:space="preserve"> the </w:t>
      </w:r>
      <w:hyperlink r:id="rId38" w:history="1">
        <w:r w:rsidR="00BC1E80">
          <w:rPr>
            <w:rStyle w:val="Hyperlink"/>
          </w:rPr>
          <w:t>Attorney-General’s Guidelines to the Infringements Act 2006</w:t>
        </w:r>
      </w:hyperlink>
      <w:r w:rsidR="002321DD">
        <w:t>.</w:t>
      </w:r>
      <w:r w:rsidR="00DA19EF">
        <w:rPr>
          <w:rStyle w:val="FootnoteReference"/>
        </w:rPr>
        <w:footnoteReference w:id="52"/>
      </w:r>
      <w:r w:rsidR="0053034A">
        <w:t xml:space="preserve"> </w:t>
      </w:r>
    </w:p>
    <w:p w14:paraId="176A11C6" w14:textId="77777777" w:rsidR="00EF358D" w:rsidRDefault="00EF358D" w:rsidP="008F1A9A">
      <w:pPr>
        <w:pStyle w:val="Body"/>
      </w:pPr>
    </w:p>
    <w:tbl>
      <w:tblPr>
        <w:tblStyle w:val="TableGrid"/>
        <w:tblW w:w="5000" w:type="pct"/>
        <w:shd w:val="clear" w:color="auto" w:fill="F2F2F2" w:themeFill="background1" w:themeFillShade="F2"/>
        <w:tblLook w:val="06A0" w:firstRow="1" w:lastRow="0" w:firstColumn="1" w:lastColumn="0" w:noHBand="1" w:noVBand="1"/>
      </w:tblPr>
      <w:tblGrid>
        <w:gridCol w:w="9268"/>
      </w:tblGrid>
      <w:tr w:rsidR="000F2867" w:rsidRPr="004E21D8" w14:paraId="1864D681" w14:textId="77777777">
        <w:trPr>
          <w:tblHeader/>
        </w:trPr>
        <w:tc>
          <w:tcPr>
            <w:tcW w:w="5000" w:type="pct"/>
            <w:tcBorders>
              <w:top w:val="single" w:sz="8" w:space="0" w:color="auto"/>
              <w:left w:val="single" w:sz="12" w:space="0" w:color="auto"/>
              <w:bottom w:val="nil"/>
              <w:right w:val="single" w:sz="12" w:space="0" w:color="auto"/>
            </w:tcBorders>
            <w:shd w:val="clear" w:color="auto" w:fill="F2F2F2" w:themeFill="background1" w:themeFillShade="F2"/>
          </w:tcPr>
          <w:p w14:paraId="2C5D752C" w14:textId="77777777" w:rsidR="000F2867" w:rsidRPr="004E21D8" w:rsidRDefault="000F2867">
            <w:pPr>
              <w:pStyle w:val="Tablecolhead"/>
              <w:rPr>
                <w:szCs w:val="21"/>
              </w:rPr>
            </w:pPr>
            <w:r w:rsidRPr="004E21D8">
              <w:rPr>
                <w:szCs w:val="21"/>
              </w:rPr>
              <w:t>Questions for consultation</w:t>
            </w:r>
          </w:p>
        </w:tc>
      </w:tr>
      <w:tr w:rsidR="000F2867" w:rsidRPr="004E21D8" w14:paraId="7AD1A0DE" w14:textId="77777777">
        <w:tc>
          <w:tcPr>
            <w:tcW w:w="5000" w:type="pct"/>
            <w:tcBorders>
              <w:top w:val="nil"/>
              <w:left w:val="single" w:sz="12" w:space="0" w:color="auto"/>
              <w:bottom w:val="single" w:sz="12" w:space="0" w:color="auto"/>
              <w:right w:val="single" w:sz="12" w:space="0" w:color="auto"/>
            </w:tcBorders>
            <w:shd w:val="clear" w:color="auto" w:fill="F2F2F2" w:themeFill="background1" w:themeFillShade="F2"/>
          </w:tcPr>
          <w:p w14:paraId="6718B2CA" w14:textId="6B76E136" w:rsidR="000F2867" w:rsidRPr="00502CA7" w:rsidRDefault="000F2867" w:rsidP="00C132C8">
            <w:pPr>
              <w:pStyle w:val="ListParagraph"/>
              <w:numPr>
                <w:ilvl w:val="0"/>
                <w:numId w:val="11"/>
              </w:numPr>
              <w:spacing w:before="120" w:after="120" w:line="280" w:lineRule="atLeast"/>
              <w:ind w:left="357" w:hanging="357"/>
              <w:contextualSpacing w:val="0"/>
              <w:rPr>
                <w:rFonts w:ascii="Arial" w:eastAsia="Times New Roman" w:hAnsi="Arial"/>
                <w:sz w:val="21"/>
                <w:lang w:eastAsia="en-AU"/>
              </w:rPr>
            </w:pPr>
            <w:r w:rsidRPr="00182387">
              <w:rPr>
                <w:rFonts w:ascii="Arial" w:hAnsi="Arial" w:cs="Arial"/>
                <w:sz w:val="21"/>
                <w:szCs w:val="21"/>
              </w:rPr>
              <w:t xml:space="preserve">Do you have any feedback </w:t>
            </w:r>
            <w:r w:rsidR="0094675F">
              <w:rPr>
                <w:rFonts w:ascii="Arial" w:hAnsi="Arial" w:cs="Arial"/>
                <w:sz w:val="21"/>
                <w:szCs w:val="21"/>
              </w:rPr>
              <w:t xml:space="preserve">on </w:t>
            </w:r>
            <w:r w:rsidR="00946F3D">
              <w:rPr>
                <w:rFonts w:ascii="Arial" w:hAnsi="Arial" w:cs="Arial"/>
                <w:sz w:val="21"/>
                <w:szCs w:val="21"/>
              </w:rPr>
              <w:t>the existing penalty offences and penalty amounts in the Regulations (</w:t>
            </w:r>
            <w:r w:rsidR="006F5DBE">
              <w:rPr>
                <w:rFonts w:ascii="Arial" w:hAnsi="Arial" w:cs="Arial"/>
                <w:sz w:val="21"/>
                <w:szCs w:val="21"/>
              </w:rPr>
              <w:t>as summarised in</w:t>
            </w:r>
            <w:r w:rsidR="00BC1E80">
              <w:rPr>
                <w:rFonts w:ascii="Arial" w:hAnsi="Arial" w:cs="Arial"/>
                <w:sz w:val="21"/>
                <w:szCs w:val="21"/>
              </w:rPr>
              <w:t xml:space="preserve"> </w:t>
            </w:r>
            <w:r w:rsidR="00BC1E80" w:rsidRPr="00FB4458">
              <w:rPr>
                <w:rFonts w:ascii="Arial" w:hAnsi="Arial" w:cs="Arial"/>
                <w:sz w:val="21"/>
                <w:szCs w:val="21"/>
              </w:rPr>
              <w:t>Appendix A – Penalties and offences in the Regulations</w:t>
            </w:r>
            <w:r w:rsidR="006F5DBE">
              <w:rPr>
                <w:rFonts w:ascii="Arial" w:hAnsi="Arial" w:cs="Arial"/>
                <w:sz w:val="21"/>
                <w:szCs w:val="21"/>
              </w:rPr>
              <w:t>)</w:t>
            </w:r>
            <w:r w:rsidR="00502CA7">
              <w:rPr>
                <w:rFonts w:ascii="Arial" w:hAnsi="Arial" w:cs="Arial"/>
                <w:sz w:val="21"/>
                <w:szCs w:val="21"/>
              </w:rPr>
              <w:t>?</w:t>
            </w:r>
            <w:r w:rsidR="006F5DBE">
              <w:rPr>
                <w:rFonts w:ascii="Arial" w:hAnsi="Arial" w:cs="Arial"/>
                <w:sz w:val="21"/>
                <w:szCs w:val="21"/>
              </w:rPr>
              <w:t xml:space="preserve"> </w:t>
            </w:r>
            <w:r w:rsidRPr="00182387">
              <w:rPr>
                <w:rFonts w:ascii="Arial" w:hAnsi="Arial" w:cs="Arial"/>
                <w:sz w:val="21"/>
                <w:szCs w:val="21"/>
              </w:rPr>
              <w:t>If yes, please reference the regulation number in your response</w:t>
            </w:r>
            <w:r>
              <w:rPr>
                <w:rFonts w:ascii="Arial" w:hAnsi="Arial" w:cs="Arial"/>
                <w:sz w:val="21"/>
                <w:szCs w:val="21"/>
              </w:rPr>
              <w:t>.</w:t>
            </w:r>
          </w:p>
          <w:p w14:paraId="056F6C15" w14:textId="6B1F44A1" w:rsidR="00502CA7" w:rsidRPr="00966D10" w:rsidRDefault="00502CA7" w:rsidP="00C132C8">
            <w:pPr>
              <w:pStyle w:val="ListParagraph"/>
              <w:numPr>
                <w:ilvl w:val="0"/>
                <w:numId w:val="11"/>
              </w:numPr>
              <w:spacing w:after="120" w:line="280" w:lineRule="atLeast"/>
              <w:contextualSpacing w:val="0"/>
              <w:rPr>
                <w:rFonts w:ascii="Arial" w:eastAsia="Times New Roman" w:hAnsi="Arial"/>
                <w:sz w:val="21"/>
                <w:lang w:eastAsia="en-AU"/>
              </w:rPr>
            </w:pPr>
            <w:r>
              <w:rPr>
                <w:rFonts w:ascii="Arial" w:hAnsi="Arial"/>
                <w:sz w:val="21"/>
              </w:rPr>
              <w:t xml:space="preserve">Do you </w:t>
            </w:r>
            <w:r w:rsidR="00966D10">
              <w:rPr>
                <w:rFonts w:ascii="Arial" w:hAnsi="Arial"/>
                <w:sz w:val="21"/>
              </w:rPr>
              <w:t xml:space="preserve">have any suggestions for additional </w:t>
            </w:r>
            <w:r w:rsidR="007A26B7">
              <w:rPr>
                <w:rFonts w:ascii="Arial" w:hAnsi="Arial"/>
                <w:sz w:val="21"/>
              </w:rPr>
              <w:t xml:space="preserve">offences and </w:t>
            </w:r>
            <w:r w:rsidR="00966D10">
              <w:rPr>
                <w:rFonts w:ascii="Arial" w:hAnsi="Arial"/>
                <w:sz w:val="21"/>
              </w:rPr>
              <w:t>penalties that could be prescribed in the Regulations?</w:t>
            </w:r>
          </w:p>
          <w:p w14:paraId="6F85CB35" w14:textId="4F33581D" w:rsidR="00966D10" w:rsidRPr="00F301E8" w:rsidRDefault="00100466" w:rsidP="00C132C8">
            <w:pPr>
              <w:pStyle w:val="ListParagraph"/>
              <w:numPr>
                <w:ilvl w:val="0"/>
                <w:numId w:val="11"/>
              </w:numPr>
              <w:spacing w:after="120" w:line="280" w:lineRule="atLeast"/>
              <w:ind w:left="357" w:hanging="357"/>
              <w:contextualSpacing w:val="0"/>
              <w:rPr>
                <w:rFonts w:ascii="Arial" w:eastAsia="Times New Roman" w:hAnsi="Arial"/>
                <w:sz w:val="21"/>
                <w:lang w:eastAsia="en-AU"/>
              </w:rPr>
            </w:pPr>
            <w:r>
              <w:rPr>
                <w:rFonts w:ascii="Arial" w:eastAsia="Times New Roman" w:hAnsi="Arial"/>
                <w:sz w:val="21"/>
                <w:lang w:eastAsia="en-AU"/>
              </w:rPr>
              <w:t>Do you support the introduction of infringement</w:t>
            </w:r>
            <w:r w:rsidR="00F85FA6">
              <w:rPr>
                <w:rFonts w:ascii="Arial" w:eastAsia="Times New Roman" w:hAnsi="Arial"/>
                <w:sz w:val="21"/>
                <w:lang w:eastAsia="en-AU"/>
              </w:rPr>
              <w:t>s</w:t>
            </w:r>
            <w:r>
              <w:rPr>
                <w:rFonts w:ascii="Arial" w:eastAsia="Times New Roman" w:hAnsi="Arial"/>
                <w:sz w:val="21"/>
                <w:lang w:eastAsia="en-AU"/>
              </w:rPr>
              <w:t xml:space="preserve"> </w:t>
            </w:r>
            <w:r w:rsidR="00055F21">
              <w:rPr>
                <w:rFonts w:ascii="Arial" w:eastAsia="Times New Roman" w:hAnsi="Arial"/>
                <w:sz w:val="21"/>
                <w:lang w:eastAsia="en-AU"/>
              </w:rPr>
              <w:t>to allow the department to</w:t>
            </w:r>
            <w:r w:rsidR="00F85FA6">
              <w:rPr>
                <w:rFonts w:ascii="Arial" w:eastAsia="Times New Roman" w:hAnsi="Arial"/>
                <w:sz w:val="21"/>
                <w:lang w:eastAsia="en-AU"/>
              </w:rPr>
              <w:t xml:space="preserve"> deal with </w:t>
            </w:r>
            <w:r w:rsidR="008D3FAC">
              <w:rPr>
                <w:rFonts w:ascii="Arial" w:eastAsia="Times New Roman" w:hAnsi="Arial"/>
                <w:sz w:val="21"/>
                <w:lang w:eastAsia="en-AU"/>
              </w:rPr>
              <w:t>less serious</w:t>
            </w:r>
            <w:r w:rsidR="002E31CA">
              <w:rPr>
                <w:rFonts w:ascii="Arial" w:eastAsia="Times New Roman" w:hAnsi="Arial"/>
                <w:sz w:val="21"/>
                <w:lang w:eastAsia="en-AU"/>
              </w:rPr>
              <w:t xml:space="preserve"> </w:t>
            </w:r>
            <w:r w:rsidR="00F85FA6">
              <w:rPr>
                <w:rFonts w:ascii="Arial" w:eastAsia="Times New Roman" w:hAnsi="Arial"/>
                <w:sz w:val="21"/>
                <w:lang w:eastAsia="en-AU"/>
              </w:rPr>
              <w:t>breaches</w:t>
            </w:r>
            <w:r w:rsidR="005C6183">
              <w:rPr>
                <w:rFonts w:ascii="Arial" w:eastAsia="Times New Roman" w:hAnsi="Arial"/>
                <w:sz w:val="21"/>
                <w:lang w:eastAsia="en-AU"/>
              </w:rPr>
              <w:t xml:space="preserve"> </w:t>
            </w:r>
            <w:r w:rsidR="000678F2">
              <w:rPr>
                <w:rFonts w:ascii="Arial" w:eastAsia="Times New Roman" w:hAnsi="Arial"/>
                <w:sz w:val="21"/>
                <w:lang w:eastAsia="en-AU"/>
              </w:rPr>
              <w:t>in a way that is swi</w:t>
            </w:r>
            <w:r w:rsidR="00DC6A0E">
              <w:rPr>
                <w:rFonts w:ascii="Arial" w:eastAsia="Times New Roman" w:hAnsi="Arial"/>
                <w:sz w:val="21"/>
                <w:lang w:eastAsia="en-AU"/>
              </w:rPr>
              <w:t>ft, direct</w:t>
            </w:r>
            <w:r w:rsidR="005855AA">
              <w:rPr>
                <w:rFonts w:ascii="Arial" w:eastAsia="Times New Roman" w:hAnsi="Arial"/>
                <w:sz w:val="21"/>
                <w:lang w:eastAsia="en-AU"/>
              </w:rPr>
              <w:t xml:space="preserve"> and </w:t>
            </w:r>
            <w:r w:rsidR="00FE54FC">
              <w:rPr>
                <w:rFonts w:ascii="Arial" w:eastAsia="Times New Roman" w:hAnsi="Arial"/>
                <w:sz w:val="21"/>
                <w:lang w:eastAsia="en-AU"/>
              </w:rPr>
              <w:t>proportionate to the offence</w:t>
            </w:r>
            <w:r w:rsidR="00914332">
              <w:rPr>
                <w:rFonts w:ascii="Arial" w:eastAsia="Times New Roman" w:hAnsi="Arial"/>
                <w:sz w:val="21"/>
                <w:lang w:eastAsia="en-AU"/>
              </w:rPr>
              <w:t>? If yes, why? If not, why not?</w:t>
            </w:r>
            <w:r w:rsidR="00DC6A0E">
              <w:rPr>
                <w:rFonts w:ascii="Arial" w:eastAsia="Times New Roman" w:hAnsi="Arial"/>
                <w:sz w:val="21"/>
                <w:lang w:eastAsia="en-AU"/>
              </w:rPr>
              <w:t xml:space="preserve"> </w:t>
            </w:r>
          </w:p>
        </w:tc>
      </w:tr>
    </w:tbl>
    <w:p w14:paraId="5B93DE41" w14:textId="3BF5E928" w:rsidR="006C3D2E" w:rsidRDefault="006C3D2E" w:rsidP="00FA39A8">
      <w:pPr>
        <w:pStyle w:val="Body"/>
        <w:rPr>
          <w:rFonts w:eastAsia="MS Gothic" w:cs="Arial"/>
          <w:bCs/>
          <w:color w:val="C5511A"/>
          <w:kern w:val="32"/>
          <w:sz w:val="44"/>
          <w:szCs w:val="44"/>
        </w:rPr>
      </w:pPr>
      <w:r>
        <w:br w:type="page"/>
      </w:r>
    </w:p>
    <w:p w14:paraId="6F6E3941" w14:textId="28A82922" w:rsidR="00031F8E" w:rsidRDefault="006C3D2E" w:rsidP="00031F8E">
      <w:pPr>
        <w:pStyle w:val="Heading1"/>
      </w:pPr>
      <w:bookmarkStart w:id="111" w:name="_Toc143272042"/>
      <w:r>
        <w:lastRenderedPageBreak/>
        <w:t xml:space="preserve">10. </w:t>
      </w:r>
      <w:r w:rsidR="00610CBA">
        <w:t>Other issues</w:t>
      </w:r>
      <w:bookmarkEnd w:id="111"/>
    </w:p>
    <w:p w14:paraId="6554FED7" w14:textId="5665634C" w:rsidR="006D18CB" w:rsidRDefault="00683E02" w:rsidP="00F11F05">
      <w:pPr>
        <w:pStyle w:val="Heading2"/>
      </w:pPr>
      <w:bookmarkStart w:id="112" w:name="_Toc143272043"/>
      <w:r>
        <w:t>10</w:t>
      </w:r>
      <w:r w:rsidR="00284C09">
        <w:t>.1</w:t>
      </w:r>
      <w:r w:rsidR="00DC09B1">
        <w:t xml:space="preserve"> </w:t>
      </w:r>
      <w:r w:rsidR="006D18CB">
        <w:t>Fees</w:t>
      </w:r>
      <w:bookmarkEnd w:id="112"/>
    </w:p>
    <w:p w14:paraId="2A1BAC71" w14:textId="66A1C877" w:rsidR="00F522A9" w:rsidRDefault="0021496A" w:rsidP="00DC14B9">
      <w:pPr>
        <w:pStyle w:val="Body"/>
      </w:pPr>
      <w:r>
        <w:t xml:space="preserve">This review of the Regulations is also an opportunity to consider if the fees prescribed in the Regulations </w:t>
      </w:r>
      <w:r w:rsidR="00CD6894">
        <w:t>remain</w:t>
      </w:r>
      <w:r w:rsidR="00796729">
        <w:t xml:space="preserve"> appropriate.</w:t>
      </w:r>
      <w:r w:rsidR="00405C3F">
        <w:t xml:space="preserve"> </w:t>
      </w:r>
      <w:r w:rsidR="00D10B1D">
        <w:t>Fees are charged for various registration-related activities – for example, approval in principle</w:t>
      </w:r>
      <w:r w:rsidR="00812EF9">
        <w:t xml:space="preserve"> and registration </w:t>
      </w:r>
      <w:r w:rsidR="00504AEA">
        <w:t>renewal</w:t>
      </w:r>
      <w:r w:rsidR="00812EF9">
        <w:t xml:space="preserve">. Fees </w:t>
      </w:r>
      <w:r w:rsidR="003C6C2D">
        <w:t xml:space="preserve">differ between private hospitals and day procedure centres and </w:t>
      </w:r>
      <w:r w:rsidR="00CC4FC2">
        <w:t>are scaled</w:t>
      </w:r>
      <w:r w:rsidR="00D97FEC">
        <w:t xml:space="preserve"> to the number of beds provided </w:t>
      </w:r>
      <w:r w:rsidR="00241637">
        <w:t>at</w:t>
      </w:r>
      <w:r w:rsidR="00D97FEC">
        <w:t xml:space="preserve"> the </w:t>
      </w:r>
      <w:r w:rsidR="00241637">
        <w:t>premises</w:t>
      </w:r>
      <w:r w:rsidR="00D97FEC">
        <w:t>.</w:t>
      </w:r>
      <w:r w:rsidR="00D35A79">
        <w:t xml:space="preserve"> Fees are set in ‘fee units’</w:t>
      </w:r>
      <w:r w:rsidR="005D17C0">
        <w:t xml:space="preserve"> with </w:t>
      </w:r>
      <w:r w:rsidR="00505DCD">
        <w:t xml:space="preserve">a fixed value </w:t>
      </w:r>
      <w:r w:rsidR="005D17C0">
        <w:t xml:space="preserve">each </w:t>
      </w:r>
      <w:r w:rsidR="00505DCD">
        <w:t xml:space="preserve">financial </w:t>
      </w:r>
      <w:r w:rsidR="005D17C0">
        <w:t>year</w:t>
      </w:r>
      <w:r w:rsidR="000A61E4">
        <w:t>.</w:t>
      </w:r>
      <w:r w:rsidR="000A61E4">
        <w:rPr>
          <w:rStyle w:val="FootnoteReference"/>
        </w:rPr>
        <w:footnoteReference w:id="53"/>
      </w:r>
      <w:r w:rsidR="005D17C0">
        <w:t xml:space="preserve"> </w:t>
      </w:r>
    </w:p>
    <w:p w14:paraId="40541807" w14:textId="40B994E0" w:rsidR="00721272" w:rsidRDefault="008700C0" w:rsidP="00DC14B9">
      <w:pPr>
        <w:pStyle w:val="Body"/>
      </w:pPr>
      <w:r>
        <w:t xml:space="preserve">The </w:t>
      </w:r>
      <w:r w:rsidR="00393F0F">
        <w:t>fees currently prescribed in the Regulations include</w:t>
      </w:r>
      <w:r w:rsidR="00721272">
        <w:t>:</w:t>
      </w:r>
    </w:p>
    <w:p w14:paraId="4C77E263" w14:textId="3E85095D" w:rsidR="00721272" w:rsidRDefault="00002C5A" w:rsidP="00C132C8">
      <w:pPr>
        <w:pStyle w:val="Body"/>
        <w:numPr>
          <w:ilvl w:val="0"/>
          <w:numId w:val="16"/>
        </w:numPr>
      </w:pPr>
      <w:r>
        <w:t xml:space="preserve">application for </w:t>
      </w:r>
      <w:r w:rsidR="00FF604C">
        <w:t>approval in prin</w:t>
      </w:r>
      <w:r w:rsidR="00647700">
        <w:t xml:space="preserve">ciple </w:t>
      </w:r>
      <w:r w:rsidR="002B66A5">
        <w:t>fee</w:t>
      </w:r>
      <w:r w:rsidR="00613CF3">
        <w:t>s</w:t>
      </w:r>
      <w:r w:rsidR="002B66A5">
        <w:t xml:space="preserve"> </w:t>
      </w:r>
      <w:r w:rsidR="00D22884">
        <w:t>(</w:t>
      </w:r>
      <w:r w:rsidR="008E5129">
        <w:t>s.</w:t>
      </w:r>
      <w:r w:rsidR="00D22884">
        <w:t>70</w:t>
      </w:r>
      <w:r w:rsidR="00EF29BC">
        <w:t>(2</w:t>
      </w:r>
      <w:r w:rsidR="00B30FB3">
        <w:t>)(</w:t>
      </w:r>
      <w:r w:rsidR="009772E8">
        <w:t>b)</w:t>
      </w:r>
      <w:r w:rsidR="00AE4F50">
        <w:t xml:space="preserve"> and r.</w:t>
      </w:r>
      <w:r w:rsidR="00D43319">
        <w:t>8</w:t>
      </w:r>
      <w:r w:rsidR="00434B89">
        <w:t>(2)</w:t>
      </w:r>
      <w:r w:rsidR="001338AD">
        <w:t>)</w:t>
      </w:r>
    </w:p>
    <w:p w14:paraId="58C3B2A5" w14:textId="10C50DBA" w:rsidR="004232AB" w:rsidRDefault="00002C5A" w:rsidP="00C132C8">
      <w:pPr>
        <w:pStyle w:val="Body"/>
        <w:numPr>
          <w:ilvl w:val="0"/>
          <w:numId w:val="16"/>
        </w:numPr>
      </w:pPr>
      <w:r>
        <w:t xml:space="preserve">application for </w:t>
      </w:r>
      <w:r w:rsidR="006B5C7B">
        <w:t xml:space="preserve">transfer or variation of certificate </w:t>
      </w:r>
      <w:r w:rsidR="00A77C94">
        <w:t xml:space="preserve">of </w:t>
      </w:r>
      <w:r w:rsidR="002B66A5">
        <w:t xml:space="preserve">approval in principle </w:t>
      </w:r>
      <w:r w:rsidR="00E7737C">
        <w:t xml:space="preserve">fee </w:t>
      </w:r>
      <w:r w:rsidR="00FE6D36">
        <w:t>(s.</w:t>
      </w:r>
      <w:r w:rsidR="00067770">
        <w:t>74(2) and r.</w:t>
      </w:r>
      <w:r w:rsidR="00656420">
        <w:t>9(b)</w:t>
      </w:r>
      <w:r w:rsidR="00067770">
        <w:t>)</w:t>
      </w:r>
    </w:p>
    <w:p w14:paraId="7ECDD6E9" w14:textId="25A9FA78" w:rsidR="004232AB" w:rsidRDefault="006F2EEC" w:rsidP="00C132C8">
      <w:pPr>
        <w:pStyle w:val="Body"/>
        <w:numPr>
          <w:ilvl w:val="0"/>
          <w:numId w:val="16"/>
        </w:numPr>
      </w:pPr>
      <w:r>
        <w:t xml:space="preserve">application for registration </w:t>
      </w:r>
      <w:r w:rsidR="007F2921">
        <w:t xml:space="preserve">fee </w:t>
      </w:r>
      <w:r>
        <w:t>(s.</w:t>
      </w:r>
      <w:r w:rsidR="00854337">
        <w:t>82(2</w:t>
      </w:r>
      <w:r w:rsidR="003530C9">
        <w:t>)(</w:t>
      </w:r>
      <w:r w:rsidR="00854337">
        <w:t>b)</w:t>
      </w:r>
      <w:r w:rsidR="00CF4BD4">
        <w:t xml:space="preserve"> and </w:t>
      </w:r>
      <w:r w:rsidR="00527984">
        <w:t>r.</w:t>
      </w:r>
      <w:r w:rsidR="003530C9">
        <w:t>10(2)</w:t>
      </w:r>
      <w:r w:rsidR="00527984">
        <w:t>)</w:t>
      </w:r>
    </w:p>
    <w:p w14:paraId="79A11C5C" w14:textId="5D793F84" w:rsidR="005062A8" w:rsidRDefault="005062A8" w:rsidP="00C132C8">
      <w:pPr>
        <w:pStyle w:val="Body"/>
        <w:numPr>
          <w:ilvl w:val="0"/>
          <w:numId w:val="16"/>
        </w:numPr>
      </w:pPr>
      <w:r>
        <w:t xml:space="preserve">application for variation </w:t>
      </w:r>
      <w:r w:rsidR="00F7303C">
        <w:t xml:space="preserve">of registration fee </w:t>
      </w:r>
      <w:r w:rsidR="00F7303C" w:rsidDel="00D701F0">
        <w:t>(</w:t>
      </w:r>
      <w:r w:rsidR="00F7303C">
        <w:t>s.92(2</w:t>
      </w:r>
      <w:r w:rsidR="00A07CCB">
        <w:t>)</w:t>
      </w:r>
      <w:r w:rsidR="007D04CC">
        <w:t>(</w:t>
      </w:r>
      <w:r w:rsidR="00F7303C">
        <w:t>b) and r.</w:t>
      </w:r>
      <w:r w:rsidR="00F55E83">
        <w:t>13</w:t>
      </w:r>
      <w:r w:rsidR="009F32B6">
        <w:t>(2)</w:t>
      </w:r>
      <w:r w:rsidR="00F7303C">
        <w:t>)</w:t>
      </w:r>
    </w:p>
    <w:p w14:paraId="3E323C77" w14:textId="69AA612B" w:rsidR="009549C5" w:rsidRDefault="009549C5" w:rsidP="00C132C8">
      <w:pPr>
        <w:pStyle w:val="Body"/>
        <w:numPr>
          <w:ilvl w:val="0"/>
          <w:numId w:val="16"/>
        </w:numPr>
      </w:pPr>
      <w:r>
        <w:t>application for approval of alterations to clinical area</w:t>
      </w:r>
      <w:r w:rsidR="009D286B">
        <w:t xml:space="preserve"> (</w:t>
      </w:r>
      <w:r w:rsidR="00FA61D4">
        <w:t>s.</w:t>
      </w:r>
      <w:r w:rsidR="001B4DDA">
        <w:t>108(2)(b)</w:t>
      </w:r>
      <w:r w:rsidR="009D286B">
        <w:t xml:space="preserve"> and r.13A</w:t>
      </w:r>
      <w:r w:rsidR="00D701F0">
        <w:t>(2))</w:t>
      </w:r>
    </w:p>
    <w:p w14:paraId="28E6C33E" w14:textId="5EF314BA" w:rsidR="004232AB" w:rsidRDefault="00B25EF7" w:rsidP="00C132C8">
      <w:pPr>
        <w:pStyle w:val="Body"/>
        <w:numPr>
          <w:ilvl w:val="0"/>
          <w:numId w:val="16"/>
        </w:numPr>
      </w:pPr>
      <w:r>
        <w:t>annual fee (</w:t>
      </w:r>
      <w:r w:rsidR="002E14A8">
        <w:t>s.</w:t>
      </w:r>
      <w:r w:rsidR="002B19E7">
        <w:t>87(</w:t>
      </w:r>
      <w:r w:rsidR="00733B70">
        <w:t>2</w:t>
      </w:r>
      <w:r w:rsidR="002B19E7">
        <w:t>) and r.</w:t>
      </w:r>
      <w:r w:rsidR="00733B70">
        <w:t>11</w:t>
      </w:r>
      <w:r w:rsidR="00EA1A5C">
        <w:t>)</w:t>
      </w:r>
      <w:r w:rsidR="00627C2C">
        <w:t xml:space="preserve"> (note this is currently prescribed as nil fee)</w:t>
      </w:r>
    </w:p>
    <w:p w14:paraId="0A86B780" w14:textId="2E6F05F4" w:rsidR="004232AB" w:rsidRDefault="00913FBD" w:rsidP="00C132C8">
      <w:pPr>
        <w:pStyle w:val="Body"/>
        <w:numPr>
          <w:ilvl w:val="0"/>
          <w:numId w:val="16"/>
        </w:numPr>
      </w:pPr>
      <w:r>
        <w:t xml:space="preserve">application </w:t>
      </w:r>
      <w:r w:rsidR="004232AB">
        <w:t xml:space="preserve">for </w:t>
      </w:r>
      <w:r w:rsidR="00757432">
        <w:t>renewal of registration fee (</w:t>
      </w:r>
      <w:r w:rsidR="00E918E2">
        <w:t>s.88(2</w:t>
      </w:r>
      <w:r w:rsidR="006C6F8A">
        <w:t>(</w:t>
      </w:r>
      <w:r w:rsidR="00E918E2">
        <w:t>b) and r.</w:t>
      </w:r>
      <w:r w:rsidR="00FD3C32">
        <w:t>12(2)</w:t>
      </w:r>
      <w:r w:rsidR="00E918E2">
        <w:t>)</w:t>
      </w:r>
    </w:p>
    <w:p w14:paraId="577DEFC7" w14:textId="5D78BDD1" w:rsidR="008700C0" w:rsidRDefault="00C331BE" w:rsidP="00C132C8">
      <w:pPr>
        <w:pStyle w:val="Body"/>
        <w:numPr>
          <w:ilvl w:val="0"/>
          <w:numId w:val="16"/>
        </w:numPr>
      </w:pPr>
      <w:r>
        <w:t>additional fees if a</w:t>
      </w:r>
      <w:r w:rsidR="009D6526">
        <w:t>n annual</w:t>
      </w:r>
      <w:r>
        <w:t xml:space="preserve"> fee is not paid on time</w:t>
      </w:r>
      <w:r w:rsidR="00ED60C2">
        <w:t xml:space="preserve"> </w:t>
      </w:r>
      <w:r w:rsidR="009D6526">
        <w:t>(s.87(2)(</w:t>
      </w:r>
      <w:r w:rsidR="006A0FF5">
        <w:t>b)</w:t>
      </w:r>
      <w:r w:rsidR="009D6526">
        <w:t xml:space="preserve">) </w:t>
      </w:r>
      <w:r w:rsidR="00ED60C2">
        <w:t xml:space="preserve">or </w:t>
      </w:r>
      <w:r w:rsidR="00934365">
        <w:t>if a renewal of registration</w:t>
      </w:r>
      <w:r w:rsidR="00ED60C2">
        <w:t xml:space="preserve"> </w:t>
      </w:r>
      <w:r w:rsidR="009A5263">
        <w:t>is not made at least 3 months prior to the registration expiring</w:t>
      </w:r>
      <w:r w:rsidR="00EA3C80">
        <w:t xml:space="preserve"> (s.88(2)(</w:t>
      </w:r>
      <w:r w:rsidR="00AE4657">
        <w:t>b)(</w:t>
      </w:r>
      <w:r w:rsidR="007A3931">
        <w:t>ii))</w:t>
      </w:r>
      <w:r w:rsidR="009A5263">
        <w:t xml:space="preserve">. </w:t>
      </w:r>
    </w:p>
    <w:p w14:paraId="63CD1387" w14:textId="58EB33D5" w:rsidR="00E1201C" w:rsidRDefault="00E1201C" w:rsidP="00E1201C">
      <w:pPr>
        <w:pStyle w:val="Body"/>
      </w:pPr>
      <w:r>
        <w:t xml:space="preserve">Regulations that set fees are subject to the Government’s </w:t>
      </w:r>
      <w:hyperlink r:id="rId39" w:history="1">
        <w:r w:rsidRPr="007F3CC9">
          <w:rPr>
            <w:rStyle w:val="Hyperlink"/>
          </w:rPr>
          <w:t>Pricing for Value Guide</w:t>
        </w:r>
      </w:hyperlink>
      <w:r w:rsidRPr="007F3CC9">
        <w:rPr>
          <w:rStyle w:val="FootnoteReference"/>
        </w:rPr>
        <w:footnoteReference w:id="54"/>
      </w:r>
      <w:r>
        <w:t xml:space="preserve">, which </w:t>
      </w:r>
      <w:r w:rsidR="00D034DD" w:rsidRPr="00D034DD">
        <w:t xml:space="preserve">is intended to improve consistency and capability in setting fees and charges across government. </w:t>
      </w:r>
      <w:r w:rsidR="005B2481">
        <w:t xml:space="preserve">The </w:t>
      </w:r>
      <w:r w:rsidR="005B2481" w:rsidRPr="005B2481">
        <w:rPr>
          <w:i/>
          <w:iCs/>
        </w:rPr>
        <w:t>Pricing for Value Guide</w:t>
      </w:r>
      <w:r w:rsidR="005B2481">
        <w:t xml:space="preserve"> </w:t>
      </w:r>
      <w:r w:rsidR="00D034DD" w:rsidRPr="00D034DD">
        <w:t xml:space="preserve">sets out 12 Pricing Principles </w:t>
      </w:r>
      <w:r>
        <w:t>and requires departments to undertake pricing reviews.</w:t>
      </w:r>
      <w:r w:rsidR="00FF4EE9">
        <w:t xml:space="preserve"> Th</w:t>
      </w:r>
      <w:r w:rsidR="00DA4DCC">
        <w:t xml:space="preserve">e Pricing Principles include </w:t>
      </w:r>
      <w:r w:rsidR="001F1F6C">
        <w:t xml:space="preserve">principles </w:t>
      </w:r>
      <w:r w:rsidR="008265C4">
        <w:t xml:space="preserve">related to </w:t>
      </w:r>
      <w:r w:rsidR="001F1F6C">
        <w:t>cost recovery</w:t>
      </w:r>
      <w:r w:rsidR="007F3CC9">
        <w:t>,</w:t>
      </w:r>
      <w:r w:rsidR="001F1F6C">
        <w:t xml:space="preserve"> </w:t>
      </w:r>
      <w:r w:rsidR="00F84561">
        <w:t xml:space="preserve">who </w:t>
      </w:r>
      <w:r w:rsidR="004F7FE9">
        <w:t xml:space="preserve">should </w:t>
      </w:r>
      <w:r w:rsidR="00C248E8">
        <w:t>bear</w:t>
      </w:r>
      <w:r w:rsidR="004F7FE9">
        <w:t xml:space="preserve"> </w:t>
      </w:r>
      <w:r w:rsidR="00C851B5">
        <w:t xml:space="preserve">costs (such as fees), </w:t>
      </w:r>
      <w:r w:rsidR="008265C4">
        <w:t xml:space="preserve">that fees should not limit access to those with a lower ability to pay, </w:t>
      </w:r>
      <w:r w:rsidR="005459E6">
        <w:t xml:space="preserve">fee structures should be </w:t>
      </w:r>
      <w:r w:rsidR="009D18F2">
        <w:t>easy to understand and simple to administer, and fees should be monitored and reviewed.</w:t>
      </w:r>
    </w:p>
    <w:p w14:paraId="48581968" w14:textId="5073D70B" w:rsidR="009D18F2" w:rsidRDefault="009D18F2" w:rsidP="00E1201C">
      <w:pPr>
        <w:pStyle w:val="Body"/>
      </w:pPr>
      <w:r>
        <w:t xml:space="preserve">The Regulatory Impact Statement will provide more details </w:t>
      </w:r>
      <w:r w:rsidR="00450C04">
        <w:t xml:space="preserve">about any proposed changes to fees and the proposed fees in </w:t>
      </w:r>
      <w:r w:rsidR="00513B11">
        <w:t xml:space="preserve">the new </w:t>
      </w:r>
      <w:r w:rsidR="00C104EB">
        <w:t>Regulations</w:t>
      </w:r>
      <w:r w:rsidR="00513B11">
        <w:t>. For the purposes of this discussion paper the department</w:t>
      </w:r>
      <w:r w:rsidR="00025C9B">
        <w:t xml:space="preserve"> invites</w:t>
      </w:r>
      <w:r w:rsidR="009C3CB5">
        <w:t xml:space="preserve"> any preliminary </w:t>
      </w:r>
      <w:r w:rsidR="00553BE9">
        <w:t>comments on the fees</w:t>
      </w:r>
      <w:r w:rsidR="00DD11AA">
        <w:t xml:space="preserve">. </w:t>
      </w:r>
    </w:p>
    <w:p w14:paraId="67D12057" w14:textId="07733EBB" w:rsidR="00E62B88" w:rsidRDefault="00683E02" w:rsidP="000A1DEB">
      <w:pPr>
        <w:pStyle w:val="Heading2"/>
        <w:rPr>
          <w:lang w:eastAsia="en-AU"/>
        </w:rPr>
      </w:pPr>
      <w:bookmarkStart w:id="113" w:name="_Toc143272044"/>
      <w:r>
        <w:rPr>
          <w:lang w:eastAsia="en-AU"/>
        </w:rPr>
        <w:t>10</w:t>
      </w:r>
      <w:r w:rsidR="005C111D">
        <w:rPr>
          <w:lang w:eastAsia="en-AU"/>
        </w:rPr>
        <w:t xml:space="preserve">.2 </w:t>
      </w:r>
      <w:r w:rsidR="00E62B88" w:rsidRPr="77559CFE">
        <w:rPr>
          <w:lang w:eastAsia="en-AU"/>
        </w:rPr>
        <w:t>Treatment</w:t>
      </w:r>
      <w:r w:rsidR="00E62B88" w:rsidRPr="00590A80">
        <w:rPr>
          <w:lang w:eastAsia="en-AU"/>
        </w:rPr>
        <w:t xml:space="preserve"> agents must be available</w:t>
      </w:r>
      <w:r w:rsidR="00E62B88" w:rsidRPr="77559CFE">
        <w:rPr>
          <w:lang w:eastAsia="en-AU"/>
        </w:rPr>
        <w:t xml:space="preserve"> for</w:t>
      </w:r>
      <w:r w:rsidR="00E62B88">
        <w:rPr>
          <w:lang w:eastAsia="en-AU"/>
        </w:rPr>
        <w:t xml:space="preserve"> </w:t>
      </w:r>
      <w:r w:rsidR="00F26539">
        <w:rPr>
          <w:lang w:eastAsia="en-AU"/>
        </w:rPr>
        <w:t>clinical emergencies</w:t>
      </w:r>
      <w:bookmarkEnd w:id="113"/>
    </w:p>
    <w:p w14:paraId="14F2281A" w14:textId="2389E7ED" w:rsidR="00E62B88" w:rsidRPr="000D16F1" w:rsidRDefault="00E62B88" w:rsidP="000D16F1">
      <w:pPr>
        <w:pStyle w:val="Body"/>
      </w:pPr>
      <w:r w:rsidRPr="000D16F1">
        <w:t>Regulation 28A currently require</w:t>
      </w:r>
      <w:r w:rsidR="007F3CC9">
        <w:t>s</w:t>
      </w:r>
      <w:r w:rsidRPr="000D16F1">
        <w:t xml:space="preserve"> the proprietor of a health service establishment to have reversible agents for anaesthesia or other sedation immediately accessible when providing a health service that includes the use of anaesthesia or sedation (and where such agent exists).</w:t>
      </w:r>
      <w:r w:rsidR="00C123CB">
        <w:t xml:space="preserve"> </w:t>
      </w:r>
      <w:r w:rsidRPr="000D16F1">
        <w:t xml:space="preserve">Anaesthesia in this context is defined as per the Regulations (r.5) and includes general anaesthesia, major regional </w:t>
      </w:r>
      <w:r w:rsidRPr="000D16F1">
        <w:lastRenderedPageBreak/>
        <w:t>anaesthetic block, intravenous sedation, or a high dose of local anaesthetic that has the potential to cause system toxicity (and does not include a dental nerve block).</w:t>
      </w:r>
      <w:r w:rsidR="00C123CB">
        <w:t xml:space="preserve"> </w:t>
      </w:r>
    </w:p>
    <w:p w14:paraId="2532F882" w14:textId="5D0560F4" w:rsidR="00E62B88" w:rsidRPr="000D16F1" w:rsidRDefault="00E62B88" w:rsidP="000D16F1">
      <w:pPr>
        <w:pStyle w:val="Body"/>
      </w:pPr>
      <w:r w:rsidRPr="000D16F1">
        <w:t xml:space="preserve">The department understands that the use of the terminology ‘reversible agent’ in this section of the Regulations may unintentionally narrow the emergency medication inventory that should be required to be </w:t>
      </w:r>
      <w:r w:rsidR="00C960AD">
        <w:t>available on-site</w:t>
      </w:r>
      <w:r w:rsidRPr="000D16F1">
        <w:t>.</w:t>
      </w:r>
      <w:r w:rsidR="00C123CB">
        <w:t xml:space="preserve"> </w:t>
      </w:r>
      <w:r w:rsidRPr="000D16F1">
        <w:t xml:space="preserve">In addition to the medications and agents commonly used to manage anaesthesia, health service establishments should ensure availability of treatment agents for the management of clinical emergencies </w:t>
      </w:r>
      <w:r w:rsidR="00203D67">
        <w:t>that may arise</w:t>
      </w:r>
      <w:r w:rsidRPr="000D16F1">
        <w:t>.</w:t>
      </w:r>
    </w:p>
    <w:p w14:paraId="1EF688F5" w14:textId="42AECD7D" w:rsidR="00E62B88" w:rsidRPr="000D16F1" w:rsidRDefault="00E62B88" w:rsidP="000D16F1">
      <w:pPr>
        <w:pStyle w:val="Body"/>
      </w:pPr>
      <w:r w:rsidRPr="000D16F1">
        <w:t xml:space="preserve">For example, the </w:t>
      </w:r>
      <w:r w:rsidRPr="0060361F">
        <w:t xml:space="preserve">Australian and New Zealand College of Anaesthetists </w:t>
      </w:r>
      <w:r w:rsidR="00AD33F0">
        <w:t>(ANZCA)</w:t>
      </w:r>
      <w:r w:rsidRPr="0060361F">
        <w:t xml:space="preserve"> </w:t>
      </w:r>
      <w:r w:rsidR="00CD5CF9">
        <w:t>and</w:t>
      </w:r>
      <w:r w:rsidRPr="0060361F">
        <w:t xml:space="preserve"> the Faculty of Pain Medication </w:t>
      </w:r>
      <w:r w:rsidRPr="00E267DC">
        <w:t>Position Statement</w:t>
      </w:r>
      <w:r>
        <w:rPr>
          <w:iCs/>
        </w:rPr>
        <w:t xml:space="preserve"> (PS55(A))</w:t>
      </w:r>
      <w:r w:rsidRPr="0078006B">
        <w:rPr>
          <w:i/>
        </w:rPr>
        <w:t xml:space="preserve"> </w:t>
      </w:r>
      <w:r w:rsidRPr="000D16F1">
        <w:t xml:space="preserve">states </w:t>
      </w:r>
      <w:r w:rsidR="007F3CC9">
        <w:t>‘</w:t>
      </w:r>
      <w:r w:rsidRPr="000D16F1">
        <w:t>in addition, if volatile anaesthetics or suxamethonium are intended to be used, the possibility of malignant hyperthermia (MH) is present. A supply of Dantrolene appropriate to the clinical area must be stocked</w:t>
      </w:r>
      <w:r w:rsidR="007F3CC9">
        <w:t>’</w:t>
      </w:r>
      <w:r w:rsidRPr="000D16F1">
        <w:t>.</w:t>
      </w:r>
      <w:r w:rsidR="007F3CC9" w:rsidRPr="007F3CC9">
        <w:rPr>
          <w:rStyle w:val="FootnoteReference"/>
          <w:iCs/>
        </w:rPr>
        <w:t xml:space="preserve"> </w:t>
      </w:r>
      <w:r w:rsidR="007F3CC9">
        <w:rPr>
          <w:rStyle w:val="FootnoteReference"/>
          <w:iCs/>
        </w:rPr>
        <w:footnoteReference w:id="55"/>
      </w:r>
      <w:r w:rsidR="00C123CB">
        <w:t xml:space="preserve"> </w:t>
      </w:r>
    </w:p>
    <w:p w14:paraId="1BEFC88C" w14:textId="7AB9561D" w:rsidR="00E62B88" w:rsidRPr="000D16F1" w:rsidRDefault="00E62B88" w:rsidP="000D16F1">
      <w:pPr>
        <w:pStyle w:val="Body"/>
      </w:pPr>
      <w:r w:rsidRPr="000D16F1">
        <w:t xml:space="preserve">The statement also specifies a minimum requirement for basic emergency medication inventories to manage emergency conditions that may </w:t>
      </w:r>
      <w:r w:rsidR="00B721E8">
        <w:t>arise</w:t>
      </w:r>
      <w:r w:rsidRPr="000D16F1">
        <w:t>, such as adrenal dysfunction, anaphylaxis, bronchospasm, cardiac arrest, cardiac arrhythmias, coagulopathies, hyperkalaemia, hypoglycaemia, hypotension, hyperglycaemia, hypertension, malignant hyperpyrexia, major haemorrhage, pulmonary oedema, raised intracranial pressure, respiratory depression, and uterine atony (where relevant).</w:t>
      </w:r>
    </w:p>
    <w:p w14:paraId="6F1FD25F" w14:textId="784A201A" w:rsidR="008B0697" w:rsidRPr="000D16F1" w:rsidRDefault="00D63938" w:rsidP="000D16F1">
      <w:pPr>
        <w:pStyle w:val="Body"/>
      </w:pPr>
      <w:r>
        <w:t xml:space="preserve">Clinical emergencies may </w:t>
      </w:r>
      <w:r w:rsidR="00D932D5">
        <w:t xml:space="preserve">arise from other </w:t>
      </w:r>
      <w:r w:rsidR="000C1C48">
        <w:t xml:space="preserve">aspects of medical </w:t>
      </w:r>
      <w:r w:rsidR="00295C41">
        <w:t>treatment</w:t>
      </w:r>
      <w:r w:rsidR="00FF3F2B">
        <w:t>,</w:t>
      </w:r>
      <w:r w:rsidR="00295C41">
        <w:t xml:space="preserve"> and it is </w:t>
      </w:r>
      <w:r w:rsidR="000C1C48">
        <w:t xml:space="preserve">expected that </w:t>
      </w:r>
      <w:r w:rsidR="000C1C48" w:rsidRPr="000D16F1">
        <w:t xml:space="preserve">health service establishments should ensure availability of </w:t>
      </w:r>
      <w:r w:rsidR="00FF3F2B">
        <w:t xml:space="preserve">appropriate </w:t>
      </w:r>
      <w:r w:rsidR="000C1C48" w:rsidRPr="000D16F1">
        <w:t>treatment agents for</w:t>
      </w:r>
      <w:r w:rsidR="000C1C48">
        <w:t xml:space="preserve"> such events.</w:t>
      </w:r>
    </w:p>
    <w:p w14:paraId="652EA1B2" w14:textId="77777777" w:rsidR="00C123CB" w:rsidRDefault="00E62B88" w:rsidP="000D16F1">
      <w:pPr>
        <w:pStyle w:val="Body"/>
      </w:pPr>
      <w:r w:rsidRPr="000D16F1">
        <w:t>The department is considering amending the Regulations to require that additional treatment agents are available at the facility for the management of emergencies</w:t>
      </w:r>
      <w:r w:rsidR="00745751">
        <w:t>.</w:t>
      </w:r>
      <w:r w:rsidRPr="000D16F1">
        <w:t xml:space="preserve"> The treatment agents required would be dependent on the nature of </w:t>
      </w:r>
      <w:r w:rsidR="00182EEB">
        <w:t>medical</w:t>
      </w:r>
      <w:r w:rsidRPr="000D16F1">
        <w:t xml:space="preserve"> services provided</w:t>
      </w:r>
      <w:r w:rsidR="00745751">
        <w:t xml:space="preserve">, for example </w:t>
      </w:r>
      <w:r w:rsidR="00745751" w:rsidRPr="000D16F1">
        <w:t>anaesthesia.</w:t>
      </w:r>
    </w:p>
    <w:p w14:paraId="58ED68EB" w14:textId="632A348B" w:rsidR="00E62B88" w:rsidRDefault="00E62B88" w:rsidP="000D16F1">
      <w:pPr>
        <w:pStyle w:val="Body"/>
      </w:pPr>
      <w:r w:rsidRPr="000D16F1">
        <w:t xml:space="preserve"> </w:t>
      </w:r>
    </w:p>
    <w:tbl>
      <w:tblPr>
        <w:tblStyle w:val="TableGrid"/>
        <w:tblW w:w="5000" w:type="pct"/>
        <w:shd w:val="clear" w:color="auto" w:fill="F2F2F2" w:themeFill="background1" w:themeFillShade="F2"/>
        <w:tblLook w:val="06A0" w:firstRow="1" w:lastRow="0" w:firstColumn="1" w:lastColumn="0" w:noHBand="1" w:noVBand="1"/>
      </w:tblPr>
      <w:tblGrid>
        <w:gridCol w:w="9268"/>
      </w:tblGrid>
      <w:tr w:rsidR="00DC4AC2" w:rsidRPr="004E21D8" w14:paraId="422436DF" w14:textId="77777777">
        <w:trPr>
          <w:tblHeader/>
        </w:trPr>
        <w:tc>
          <w:tcPr>
            <w:tcW w:w="5000" w:type="pct"/>
            <w:tcBorders>
              <w:top w:val="single" w:sz="8" w:space="0" w:color="auto"/>
              <w:left w:val="single" w:sz="12" w:space="0" w:color="auto"/>
              <w:bottom w:val="nil"/>
              <w:right w:val="single" w:sz="12" w:space="0" w:color="auto"/>
            </w:tcBorders>
            <w:shd w:val="clear" w:color="auto" w:fill="F2F2F2" w:themeFill="background1" w:themeFillShade="F2"/>
          </w:tcPr>
          <w:p w14:paraId="4636DF60" w14:textId="1664F975" w:rsidR="00DC4AC2" w:rsidRPr="004E21D8" w:rsidRDefault="00DC4AC2">
            <w:pPr>
              <w:pStyle w:val="Tablecolhead"/>
              <w:rPr>
                <w:szCs w:val="21"/>
              </w:rPr>
            </w:pPr>
            <w:r w:rsidRPr="004E21D8">
              <w:rPr>
                <w:szCs w:val="21"/>
              </w:rPr>
              <w:t>Questions for consultation</w:t>
            </w:r>
          </w:p>
        </w:tc>
      </w:tr>
      <w:tr w:rsidR="00DC4AC2" w:rsidRPr="004E21D8" w14:paraId="13DB8A97" w14:textId="77777777">
        <w:tc>
          <w:tcPr>
            <w:tcW w:w="5000" w:type="pct"/>
            <w:tcBorders>
              <w:top w:val="nil"/>
              <w:left w:val="single" w:sz="12" w:space="0" w:color="auto"/>
              <w:bottom w:val="single" w:sz="12" w:space="0" w:color="auto"/>
              <w:right w:val="single" w:sz="12" w:space="0" w:color="auto"/>
            </w:tcBorders>
            <w:shd w:val="clear" w:color="auto" w:fill="F2F2F2" w:themeFill="background1" w:themeFillShade="F2"/>
          </w:tcPr>
          <w:p w14:paraId="4035D84A" w14:textId="77777777" w:rsidR="00B05749" w:rsidRPr="00D14692" w:rsidRDefault="00B05749" w:rsidP="00C132C8">
            <w:pPr>
              <w:pStyle w:val="ListParagraph"/>
              <w:numPr>
                <w:ilvl w:val="0"/>
                <w:numId w:val="11"/>
              </w:numPr>
              <w:spacing w:before="120"/>
              <w:ind w:left="357" w:hanging="357"/>
              <w:contextualSpacing w:val="0"/>
              <w:rPr>
                <w:rFonts w:ascii="Arial" w:hAnsi="Arial" w:cs="Arial"/>
                <w:sz w:val="21"/>
                <w:szCs w:val="21"/>
              </w:rPr>
            </w:pPr>
            <w:r>
              <w:rPr>
                <w:rFonts w:ascii="Arial" w:hAnsi="Arial" w:cs="Arial"/>
                <w:sz w:val="21"/>
                <w:szCs w:val="21"/>
              </w:rPr>
              <w:t>D</w:t>
            </w:r>
            <w:r w:rsidRPr="00091D15">
              <w:rPr>
                <w:rFonts w:ascii="Arial" w:hAnsi="Arial" w:cs="Arial"/>
                <w:sz w:val="21"/>
                <w:szCs w:val="21"/>
              </w:rPr>
              <w:t xml:space="preserve">o you have any preliminary comment on the fees set out in the Regulations? </w:t>
            </w:r>
          </w:p>
          <w:p w14:paraId="10151537" w14:textId="3971615F" w:rsidR="00DC4AC2" w:rsidRPr="000609F4" w:rsidRDefault="00DC4AC2" w:rsidP="00C132C8">
            <w:pPr>
              <w:pStyle w:val="ListParagraph"/>
              <w:numPr>
                <w:ilvl w:val="0"/>
                <w:numId w:val="11"/>
              </w:numPr>
              <w:spacing w:before="120"/>
              <w:ind w:left="357" w:hanging="357"/>
              <w:rPr>
                <w:rFonts w:ascii="Arial" w:hAnsi="Arial" w:cs="Arial"/>
                <w:sz w:val="21"/>
                <w:szCs w:val="21"/>
              </w:rPr>
            </w:pPr>
            <w:r w:rsidRPr="00DC4AC2">
              <w:rPr>
                <w:rFonts w:ascii="Arial" w:hAnsi="Arial" w:cs="Arial"/>
                <w:sz w:val="21"/>
                <w:szCs w:val="21"/>
              </w:rPr>
              <w:t>Should the Regulations be amended so that health service establishments must ensure treatment agents are available for clinical emergencies that require pharmacological intervention</w:t>
            </w:r>
            <w:r w:rsidR="007F3CC9">
              <w:rPr>
                <w:rFonts w:ascii="Arial" w:hAnsi="Arial" w:cs="Arial"/>
                <w:sz w:val="21"/>
                <w:szCs w:val="21"/>
              </w:rPr>
              <w:t xml:space="preserve"> – </w:t>
            </w:r>
            <w:r w:rsidR="00A356FF">
              <w:rPr>
                <w:rFonts w:ascii="Arial" w:hAnsi="Arial" w:cs="Arial"/>
                <w:sz w:val="21"/>
                <w:szCs w:val="21"/>
              </w:rPr>
              <w:t>for example,</w:t>
            </w:r>
            <w:r w:rsidR="002A0AD6">
              <w:rPr>
                <w:rFonts w:ascii="Arial" w:hAnsi="Arial" w:cs="Arial"/>
                <w:sz w:val="21"/>
                <w:szCs w:val="21"/>
              </w:rPr>
              <w:t xml:space="preserve"> treatments specific to anaesthesi</w:t>
            </w:r>
            <w:r w:rsidR="00F70FC7">
              <w:rPr>
                <w:rFonts w:ascii="Arial" w:hAnsi="Arial" w:cs="Arial"/>
                <w:sz w:val="21"/>
                <w:szCs w:val="21"/>
              </w:rPr>
              <w:t>a.</w:t>
            </w:r>
            <w:r w:rsidRPr="00DC4AC2">
              <w:rPr>
                <w:rFonts w:ascii="Arial" w:hAnsi="Arial" w:cs="Arial"/>
                <w:sz w:val="21"/>
                <w:szCs w:val="21"/>
              </w:rPr>
              <w:t xml:space="preserve"> If so, why? If not, why not? </w:t>
            </w:r>
          </w:p>
        </w:tc>
      </w:tr>
    </w:tbl>
    <w:p w14:paraId="0FDF9950" w14:textId="705FFE88" w:rsidR="00104219" w:rsidRDefault="00683E02" w:rsidP="00104219">
      <w:pPr>
        <w:pStyle w:val="Heading2"/>
      </w:pPr>
      <w:bookmarkStart w:id="114" w:name="_Toc143272045"/>
      <w:r>
        <w:t>10</w:t>
      </w:r>
      <w:r w:rsidR="00104219">
        <w:t>.</w:t>
      </w:r>
      <w:r w:rsidR="00DC09B1">
        <w:t>3</w:t>
      </w:r>
      <w:r w:rsidR="00104219">
        <w:t xml:space="preserve"> Hospital-in-the-home</w:t>
      </w:r>
      <w:bookmarkEnd w:id="114"/>
    </w:p>
    <w:p w14:paraId="10095A26" w14:textId="21F17446" w:rsidR="00104219" w:rsidRDefault="00104219" w:rsidP="00E267DC">
      <w:pPr>
        <w:pStyle w:val="Body"/>
      </w:pPr>
      <w:r>
        <w:t>Hospital-in-the-home is a growing area of medical and nursing care. The Act already permits registered facilities to provide services at or from their location</w:t>
      </w:r>
      <w:r w:rsidR="00392FC7">
        <w:t>,</w:t>
      </w:r>
      <w:r>
        <w:t xml:space="preserve"> so this includes hospital</w:t>
      </w:r>
      <w:r w:rsidR="00392FC7">
        <w:t>-</w:t>
      </w:r>
      <w:r>
        <w:t>in</w:t>
      </w:r>
      <w:r w:rsidR="00392FC7">
        <w:t>-</w:t>
      </w:r>
      <w:r w:rsidR="00FF5C49">
        <w:t>the</w:t>
      </w:r>
      <w:r w:rsidR="00392FC7">
        <w:t>-</w:t>
      </w:r>
      <w:r>
        <w:t>home services.</w:t>
      </w:r>
    </w:p>
    <w:p w14:paraId="51D40D3D" w14:textId="77777777" w:rsidR="00104219" w:rsidRDefault="00104219" w:rsidP="00E267DC">
      <w:pPr>
        <w:pStyle w:val="Body"/>
      </w:pPr>
      <w:r>
        <w:lastRenderedPageBreak/>
        <w:t>The department seeks advice on what new measures, if any, could or should be included in the Regulations to ensure these services are delivered safely.</w:t>
      </w:r>
    </w:p>
    <w:p w14:paraId="4F0CC828" w14:textId="20A0674A" w:rsidR="00104219" w:rsidRDefault="004E56DA" w:rsidP="00E267DC">
      <w:pPr>
        <w:pStyle w:val="Body"/>
      </w:pPr>
      <w:r>
        <w:t>S</w:t>
      </w:r>
      <w:r w:rsidR="00104219">
        <w:t xml:space="preserve">ervices typically provided </w:t>
      </w:r>
      <w:r>
        <w:t xml:space="preserve">in the home </w:t>
      </w:r>
      <w:r w:rsidR="00104219">
        <w:t>are for chronic conditions such as palliative care, dialysis, and oncology. There may also be home births. The department is aware that this service is now being extended to heart patients by some hospitals.</w:t>
      </w:r>
    </w:p>
    <w:p w14:paraId="2C5D3C50" w14:textId="26C0E817" w:rsidR="00104219" w:rsidRDefault="00104219" w:rsidP="00E267DC">
      <w:pPr>
        <w:pStyle w:val="Body"/>
      </w:pPr>
      <w:r>
        <w:t>As the new Regulations will have a 10-year life</w:t>
      </w:r>
      <w:r w:rsidR="00B26955">
        <w:t>span,</w:t>
      </w:r>
      <w:r>
        <w:t xml:space="preserve"> the department wishes to ensure they are appropriate to regulate the hospital-in-the-home patient service over the next 10 years.</w:t>
      </w:r>
    </w:p>
    <w:p w14:paraId="2E254D03" w14:textId="683737AD" w:rsidR="00104219" w:rsidRDefault="00683E02" w:rsidP="00104219">
      <w:pPr>
        <w:pStyle w:val="Heading2"/>
      </w:pPr>
      <w:bookmarkStart w:id="115" w:name="_Toc143272046"/>
      <w:r>
        <w:t>10</w:t>
      </w:r>
      <w:r w:rsidR="00104219">
        <w:t>.</w:t>
      </w:r>
      <w:r w:rsidR="00DC09B1">
        <w:t>4</w:t>
      </w:r>
      <w:r w:rsidR="00104219" w:rsidRPr="006B35F6">
        <w:t xml:space="preserve"> Other issues</w:t>
      </w:r>
      <w:bookmarkEnd w:id="115"/>
    </w:p>
    <w:p w14:paraId="68084075" w14:textId="77777777" w:rsidR="00104219" w:rsidRDefault="00104219" w:rsidP="00104219">
      <w:pPr>
        <w:pStyle w:val="Body"/>
      </w:pPr>
      <w:r>
        <w:t>This discussion paper is an opportunity for you to raise other issues related to the Regulations that have not been specifically raised in this discussion paper. For example, this could include:</w:t>
      </w:r>
    </w:p>
    <w:p w14:paraId="1F9DB693" w14:textId="467FD377" w:rsidR="00104219" w:rsidRDefault="00104219" w:rsidP="00C132C8">
      <w:pPr>
        <w:pStyle w:val="Body"/>
        <w:numPr>
          <w:ilvl w:val="0"/>
          <w:numId w:val="13"/>
        </w:numPr>
      </w:pPr>
      <w:r>
        <w:t>Requirements that you may consider no longer fit for purpose (since the making of the Regulations in 2013). For example, this may be due to technological advancements, changes in clinical practice, changes in business practices, changes in community expectations, changes in other relevant regulatory schemes, or changes in regulatory burden</w:t>
      </w:r>
      <w:r w:rsidR="00B26955">
        <w:t>.</w:t>
      </w:r>
      <w:r>
        <w:t xml:space="preserve"> </w:t>
      </w:r>
    </w:p>
    <w:p w14:paraId="0071F8BA" w14:textId="449A0B96" w:rsidR="00104219" w:rsidRDefault="00104219" w:rsidP="00C132C8">
      <w:pPr>
        <w:pStyle w:val="Body"/>
        <w:numPr>
          <w:ilvl w:val="0"/>
          <w:numId w:val="13"/>
        </w:numPr>
      </w:pPr>
      <w:r>
        <w:t>Requirements that you may consider are not effectively or efficiently achieving the desired outcome of safe</w:t>
      </w:r>
      <w:r w:rsidR="00B26955">
        <w:t xml:space="preserve">, quality </w:t>
      </w:r>
      <w:r>
        <w:t xml:space="preserve">health services for patients. </w:t>
      </w:r>
    </w:p>
    <w:p w14:paraId="2F5FAA73" w14:textId="04F5737E" w:rsidR="00104219" w:rsidRDefault="00104219" w:rsidP="00C132C8">
      <w:pPr>
        <w:pStyle w:val="Body"/>
        <w:numPr>
          <w:ilvl w:val="0"/>
          <w:numId w:val="13"/>
        </w:numPr>
      </w:pPr>
      <w:r>
        <w:t>Requirements that you may consider essential for achieving the desired outcome of safe</w:t>
      </w:r>
      <w:r w:rsidR="00B26955">
        <w:t>, quality</w:t>
      </w:r>
      <w:r>
        <w:t xml:space="preserve"> health services for patients. </w:t>
      </w:r>
    </w:p>
    <w:p w14:paraId="041ABE12" w14:textId="77777777" w:rsidR="00104219" w:rsidRDefault="00104219" w:rsidP="00104219">
      <w:pPr>
        <w:pStyle w:val="Body"/>
      </w:pPr>
      <w:r>
        <w:t xml:space="preserve">It should be noted that amendments to the Regulations are within the scope of this review but amendments to the Act are not within scope. Therefore, some issues may not be able to be considered through this review such as proposals that would require amendments to the Act. </w:t>
      </w:r>
    </w:p>
    <w:p w14:paraId="4E6C12BB" w14:textId="77777777" w:rsidR="00612F71" w:rsidRDefault="00612F71" w:rsidP="00104219">
      <w:pPr>
        <w:pStyle w:val="Body"/>
      </w:pPr>
    </w:p>
    <w:tbl>
      <w:tblPr>
        <w:tblStyle w:val="TableGrid"/>
        <w:tblW w:w="5000" w:type="pct"/>
        <w:shd w:val="clear" w:color="auto" w:fill="F2F2F2" w:themeFill="background1" w:themeFillShade="F2"/>
        <w:tblLook w:val="06A0" w:firstRow="1" w:lastRow="0" w:firstColumn="1" w:lastColumn="0" w:noHBand="1" w:noVBand="1"/>
      </w:tblPr>
      <w:tblGrid>
        <w:gridCol w:w="9268"/>
      </w:tblGrid>
      <w:tr w:rsidR="00F974A4" w:rsidRPr="004E21D8" w14:paraId="72E7AD5C" w14:textId="77777777">
        <w:trPr>
          <w:tblHeader/>
        </w:trPr>
        <w:tc>
          <w:tcPr>
            <w:tcW w:w="5000" w:type="pct"/>
            <w:tcBorders>
              <w:top w:val="single" w:sz="8" w:space="0" w:color="auto"/>
              <w:left w:val="single" w:sz="12" w:space="0" w:color="auto"/>
              <w:bottom w:val="nil"/>
              <w:right w:val="single" w:sz="12" w:space="0" w:color="auto"/>
            </w:tcBorders>
            <w:shd w:val="clear" w:color="auto" w:fill="F2F2F2" w:themeFill="background1" w:themeFillShade="F2"/>
          </w:tcPr>
          <w:p w14:paraId="10FA71AD" w14:textId="77777777" w:rsidR="00F974A4" w:rsidRPr="00CB3285" w:rsidRDefault="00F974A4">
            <w:pPr>
              <w:pStyle w:val="Tablecolhead"/>
            </w:pPr>
            <w:r>
              <w:t>Questions for consultation</w:t>
            </w:r>
          </w:p>
        </w:tc>
      </w:tr>
      <w:tr w:rsidR="00F974A4" w:rsidRPr="004E21D8" w14:paraId="3FC21F1A" w14:textId="77777777">
        <w:tc>
          <w:tcPr>
            <w:tcW w:w="5000" w:type="pct"/>
            <w:tcBorders>
              <w:top w:val="nil"/>
              <w:left w:val="single" w:sz="12" w:space="0" w:color="auto"/>
              <w:bottom w:val="single" w:sz="12" w:space="0" w:color="auto"/>
              <w:right w:val="single" w:sz="12" w:space="0" w:color="auto"/>
            </w:tcBorders>
            <w:shd w:val="clear" w:color="auto" w:fill="F2F2F2" w:themeFill="background1" w:themeFillShade="F2"/>
          </w:tcPr>
          <w:p w14:paraId="3CF28AC3" w14:textId="77777777" w:rsidR="00F974A4" w:rsidRPr="004E21D8" w:rsidRDefault="00F974A4" w:rsidP="00C132C8">
            <w:pPr>
              <w:pStyle w:val="ListParagraph"/>
              <w:numPr>
                <w:ilvl w:val="0"/>
                <w:numId w:val="11"/>
              </w:numPr>
              <w:spacing w:before="120" w:after="120" w:line="280" w:lineRule="atLeast"/>
              <w:ind w:left="357" w:hanging="357"/>
              <w:contextualSpacing w:val="0"/>
              <w:rPr>
                <w:sz w:val="21"/>
                <w:szCs w:val="21"/>
              </w:rPr>
            </w:pPr>
            <w:r w:rsidRPr="00F974A4">
              <w:rPr>
                <w:rFonts w:ascii="Arial" w:hAnsi="Arial" w:cs="Arial"/>
                <w:sz w:val="21"/>
                <w:szCs w:val="21"/>
              </w:rPr>
              <w:t xml:space="preserve">Are there any other issues related to the Regulations that have not specifically been raised in this discussion paper that you would like to raise with the department? </w:t>
            </w:r>
          </w:p>
        </w:tc>
      </w:tr>
    </w:tbl>
    <w:p w14:paraId="50C8C589" w14:textId="6D3E55D8" w:rsidR="00A95153" w:rsidRDefault="00683E02" w:rsidP="00104219">
      <w:pPr>
        <w:pStyle w:val="Heading2"/>
      </w:pPr>
      <w:bookmarkStart w:id="116" w:name="_Toc143272047"/>
      <w:r>
        <w:t>10</w:t>
      </w:r>
      <w:r w:rsidR="00104219">
        <w:t>.</w:t>
      </w:r>
      <w:r w:rsidR="00DC09B1">
        <w:t>5</w:t>
      </w:r>
      <w:r w:rsidR="00104219">
        <w:t xml:space="preserve"> Administrative reforms</w:t>
      </w:r>
      <w:bookmarkEnd w:id="116"/>
      <w:r w:rsidR="00104219">
        <w:t xml:space="preserve"> </w:t>
      </w:r>
    </w:p>
    <w:p w14:paraId="1CC577D4" w14:textId="58979CD5" w:rsidR="003869D5" w:rsidRDefault="003869D5" w:rsidP="003869D5">
      <w:pPr>
        <w:pStyle w:val="Body"/>
      </w:pPr>
      <w:r>
        <w:t xml:space="preserve">This review of the Regulations is an opportunity for </w:t>
      </w:r>
      <w:r w:rsidR="00A71829">
        <w:t xml:space="preserve">stakeholders to raise any other amendments that are </w:t>
      </w:r>
      <w:r w:rsidR="00942207">
        <w:t>of an administrative nature. This may incl</w:t>
      </w:r>
      <w:r w:rsidR="0061273A">
        <w:t xml:space="preserve">ude raising with the department any sections </w:t>
      </w:r>
      <w:r w:rsidR="001B0817">
        <w:t>of the</w:t>
      </w:r>
      <w:r w:rsidR="0061273A">
        <w:t xml:space="preserve"> Regulations</w:t>
      </w:r>
      <w:r w:rsidR="001B0817">
        <w:t xml:space="preserve"> that may </w:t>
      </w:r>
      <w:r w:rsidR="004A7B5E">
        <w:t>contain errors, are</w:t>
      </w:r>
      <w:r w:rsidR="001B0817">
        <w:t xml:space="preserve"> unclear</w:t>
      </w:r>
      <w:r w:rsidR="004A7B5E">
        <w:t xml:space="preserve">, or may be duplicative. </w:t>
      </w:r>
    </w:p>
    <w:p w14:paraId="1AC4ECCC" w14:textId="1EA31579" w:rsidR="00104219" w:rsidRDefault="00683E02" w:rsidP="00104219">
      <w:pPr>
        <w:pStyle w:val="Heading3"/>
      </w:pPr>
      <w:r>
        <w:t>10</w:t>
      </w:r>
      <w:r w:rsidR="00104219">
        <w:t>.</w:t>
      </w:r>
      <w:r w:rsidR="00DC09B1">
        <w:t>5</w:t>
      </w:r>
      <w:r w:rsidR="00104219">
        <w:t>.1 Prevention of Scalding</w:t>
      </w:r>
    </w:p>
    <w:p w14:paraId="0FBD0BA1" w14:textId="25CAE2BE" w:rsidR="00104219" w:rsidRDefault="00104219" w:rsidP="00104219">
      <w:pPr>
        <w:pStyle w:val="Body"/>
      </w:pPr>
      <w:r>
        <w:t xml:space="preserve">The department proposes to repeal </w:t>
      </w:r>
      <w:r w:rsidR="00B26955">
        <w:t>r.</w:t>
      </w:r>
      <w:r>
        <w:t>41 which imposes a specific requirement for the proprietor of a health service establishment facility to ensure that every bath, shower and hand basin used by patients is installed with a system or mechanism to avoid the risk of scalding by controlling the outlet temperature of hot water.</w:t>
      </w:r>
    </w:p>
    <w:p w14:paraId="5D6069DD" w14:textId="382E7815" w:rsidR="00B147AD" w:rsidRDefault="00104219" w:rsidP="003869D5">
      <w:pPr>
        <w:pStyle w:val="Body"/>
      </w:pPr>
      <w:r>
        <w:t xml:space="preserve">The Australasian Health Facility Design Guidelines (AusHFG) which are mandatory in Victoria (as a condition for Approval in Principle for a new build or renovation), set out requirements for the safe provision of hot water in facilities. Since 2018, the Act has also contained a general requirement to </w:t>
      </w:r>
      <w:r>
        <w:lastRenderedPageBreak/>
        <w:t xml:space="preserve">provide a safe service (s.110B). Therefore, the department is considering removing this specific requirement from the Regulations (r.41) as it may be considered duplicative and would not impact on the outcome of delivering safe health services. </w:t>
      </w:r>
    </w:p>
    <w:p w14:paraId="67F40F48" w14:textId="77777777" w:rsidR="00C123CB" w:rsidRDefault="00C123CB" w:rsidP="003869D5">
      <w:pPr>
        <w:pStyle w:val="Body"/>
      </w:pPr>
    </w:p>
    <w:tbl>
      <w:tblPr>
        <w:tblStyle w:val="TableGrid"/>
        <w:tblW w:w="5000" w:type="pct"/>
        <w:shd w:val="clear" w:color="auto" w:fill="F2F2F2" w:themeFill="background1" w:themeFillShade="F2"/>
        <w:tblLook w:val="06A0" w:firstRow="1" w:lastRow="0" w:firstColumn="1" w:lastColumn="0" w:noHBand="1" w:noVBand="1"/>
      </w:tblPr>
      <w:tblGrid>
        <w:gridCol w:w="9268"/>
      </w:tblGrid>
      <w:tr w:rsidR="00612F71" w:rsidRPr="004E21D8" w14:paraId="4C103363" w14:textId="77777777">
        <w:trPr>
          <w:tblHeader/>
        </w:trPr>
        <w:tc>
          <w:tcPr>
            <w:tcW w:w="5000" w:type="pct"/>
            <w:tcBorders>
              <w:top w:val="single" w:sz="8" w:space="0" w:color="auto"/>
              <w:left w:val="single" w:sz="12" w:space="0" w:color="auto"/>
              <w:bottom w:val="nil"/>
              <w:right w:val="single" w:sz="12" w:space="0" w:color="auto"/>
            </w:tcBorders>
            <w:shd w:val="clear" w:color="auto" w:fill="F2F2F2" w:themeFill="background1" w:themeFillShade="F2"/>
          </w:tcPr>
          <w:p w14:paraId="6F668BDB" w14:textId="77777777" w:rsidR="00612F71" w:rsidRPr="004E21D8" w:rsidRDefault="00612F71">
            <w:pPr>
              <w:pStyle w:val="Tablecolhead"/>
              <w:rPr>
                <w:szCs w:val="21"/>
              </w:rPr>
            </w:pPr>
            <w:r w:rsidRPr="004E21D8">
              <w:rPr>
                <w:szCs w:val="21"/>
              </w:rPr>
              <w:t>Questions for consultation</w:t>
            </w:r>
          </w:p>
        </w:tc>
      </w:tr>
      <w:tr w:rsidR="00612F71" w:rsidRPr="004E21D8" w14:paraId="020105E4" w14:textId="77777777">
        <w:tc>
          <w:tcPr>
            <w:tcW w:w="5000" w:type="pct"/>
            <w:tcBorders>
              <w:top w:val="nil"/>
              <w:left w:val="single" w:sz="12" w:space="0" w:color="auto"/>
              <w:bottom w:val="single" w:sz="12" w:space="0" w:color="auto"/>
              <w:right w:val="single" w:sz="12" w:space="0" w:color="auto"/>
            </w:tcBorders>
            <w:shd w:val="clear" w:color="auto" w:fill="F2F2F2" w:themeFill="background1" w:themeFillShade="F2"/>
          </w:tcPr>
          <w:p w14:paraId="420D1AEA" w14:textId="39000295" w:rsidR="00612F71" w:rsidRPr="00612F71" w:rsidRDefault="00612F71" w:rsidP="00C132C8">
            <w:pPr>
              <w:pStyle w:val="ListParagraph"/>
              <w:numPr>
                <w:ilvl w:val="0"/>
                <w:numId w:val="11"/>
              </w:numPr>
              <w:spacing w:before="120" w:after="120"/>
              <w:ind w:left="357" w:hanging="357"/>
              <w:contextualSpacing w:val="0"/>
              <w:rPr>
                <w:rFonts w:ascii="Arial" w:hAnsi="Arial" w:cs="Arial"/>
                <w:sz w:val="21"/>
                <w:szCs w:val="21"/>
              </w:rPr>
            </w:pPr>
            <w:r w:rsidRPr="00612F71">
              <w:rPr>
                <w:rFonts w:ascii="Arial" w:hAnsi="Arial" w:cs="Arial"/>
                <w:sz w:val="21"/>
                <w:szCs w:val="21"/>
              </w:rPr>
              <w:t xml:space="preserve">Do you agree that the requirements in the Regulations to prevent scalding of patients (r.41) can be removed from the Regulations without impacting on the delivery of safe health services? </w:t>
            </w:r>
          </w:p>
          <w:p w14:paraId="27765754" w14:textId="753A1983" w:rsidR="00612F71" w:rsidRPr="00612F71" w:rsidRDefault="00612F71" w:rsidP="00C132C8">
            <w:pPr>
              <w:pStyle w:val="ListParagraph"/>
              <w:numPr>
                <w:ilvl w:val="0"/>
                <w:numId w:val="11"/>
              </w:numPr>
              <w:spacing w:after="120" w:line="280" w:lineRule="atLeast"/>
              <w:contextualSpacing w:val="0"/>
              <w:rPr>
                <w:rFonts w:ascii="Arial" w:hAnsi="Arial" w:cs="Arial"/>
                <w:sz w:val="21"/>
                <w:szCs w:val="21"/>
              </w:rPr>
            </w:pPr>
            <w:r w:rsidRPr="00612F71">
              <w:rPr>
                <w:rFonts w:ascii="Arial" w:hAnsi="Arial" w:cs="Arial"/>
                <w:sz w:val="21"/>
                <w:szCs w:val="21"/>
              </w:rPr>
              <w:t xml:space="preserve">Are there any other specific areas of the Regulations that you would like to raise with </w:t>
            </w:r>
            <w:r w:rsidR="003D3EFF">
              <w:rPr>
                <w:rFonts w:ascii="Arial" w:hAnsi="Arial" w:cs="Arial"/>
                <w:sz w:val="21"/>
                <w:szCs w:val="21"/>
              </w:rPr>
              <w:t>the</w:t>
            </w:r>
            <w:r w:rsidRPr="00612F71">
              <w:rPr>
                <w:rFonts w:ascii="Arial" w:hAnsi="Arial" w:cs="Arial"/>
                <w:sz w:val="21"/>
                <w:szCs w:val="21"/>
              </w:rPr>
              <w:t xml:space="preserve"> review team as a requirement that may be duplicative, unclear or contain an error?</w:t>
            </w:r>
            <w:r w:rsidRPr="00612F71">
              <w:rPr>
                <w:szCs w:val="21"/>
              </w:rPr>
              <w:t xml:space="preserve"> </w:t>
            </w:r>
          </w:p>
        </w:tc>
      </w:tr>
    </w:tbl>
    <w:p w14:paraId="13490C2A" w14:textId="77777777" w:rsidR="004C7452" w:rsidRDefault="004C7452">
      <w:pPr>
        <w:spacing w:after="0" w:line="240" w:lineRule="auto"/>
        <w:rPr>
          <w:rFonts w:eastAsia="MS Gothic" w:cs="Arial"/>
          <w:bCs/>
          <w:color w:val="C5511A"/>
          <w:kern w:val="32"/>
          <w:sz w:val="44"/>
          <w:szCs w:val="44"/>
        </w:rPr>
      </w:pPr>
      <w:r>
        <w:br w:type="page"/>
      </w:r>
    </w:p>
    <w:p w14:paraId="6A8A76BF" w14:textId="5B63EA6B" w:rsidR="00273091" w:rsidRDefault="00273091" w:rsidP="00273091">
      <w:pPr>
        <w:pStyle w:val="Heading1"/>
      </w:pPr>
      <w:bookmarkStart w:id="117" w:name="_Appendix_A_–"/>
      <w:bookmarkStart w:id="118" w:name="_Toc143272048"/>
      <w:bookmarkEnd w:id="117"/>
      <w:r>
        <w:lastRenderedPageBreak/>
        <w:t xml:space="preserve">Appendix A – </w:t>
      </w:r>
      <w:r w:rsidR="004D7399">
        <w:t>P</w:t>
      </w:r>
      <w:r>
        <w:t>enalties and offences in the Regulations</w:t>
      </w:r>
      <w:bookmarkEnd w:id="118"/>
    </w:p>
    <w:p w14:paraId="055E831E" w14:textId="08A2B8E0" w:rsidR="00273091" w:rsidRDefault="00273091" w:rsidP="00E267DC">
      <w:pPr>
        <w:pStyle w:val="Tablecaption"/>
      </w:pPr>
      <w:r>
        <w:t>T</w:t>
      </w:r>
      <w:r w:rsidR="00943701">
        <w:t>able 3: O</w:t>
      </w:r>
      <w:r>
        <w:t>ffences and penalties in the Regulations</w:t>
      </w:r>
    </w:p>
    <w:tbl>
      <w:tblPr>
        <w:tblStyle w:val="TableGrid"/>
        <w:tblW w:w="0" w:type="auto"/>
        <w:tblLook w:val="04A0" w:firstRow="1" w:lastRow="0" w:firstColumn="1" w:lastColumn="0" w:noHBand="0" w:noVBand="1"/>
      </w:tblPr>
      <w:tblGrid>
        <w:gridCol w:w="1387"/>
        <w:gridCol w:w="5114"/>
        <w:gridCol w:w="1393"/>
        <w:gridCol w:w="1394"/>
      </w:tblGrid>
      <w:tr w:rsidR="00DA1680" w14:paraId="63218E70" w14:textId="172C3E4D" w:rsidTr="00492F3C">
        <w:trPr>
          <w:tblHeader/>
        </w:trPr>
        <w:tc>
          <w:tcPr>
            <w:tcW w:w="1387" w:type="dxa"/>
          </w:tcPr>
          <w:p w14:paraId="0FDE9B93" w14:textId="77777777" w:rsidR="00DA1680" w:rsidRDefault="00DA1680">
            <w:pPr>
              <w:pStyle w:val="Tablecolhead"/>
            </w:pPr>
            <w:r>
              <w:t>Regulation</w:t>
            </w:r>
          </w:p>
        </w:tc>
        <w:tc>
          <w:tcPr>
            <w:tcW w:w="5114" w:type="dxa"/>
          </w:tcPr>
          <w:p w14:paraId="6A030AA0" w14:textId="593B2C46" w:rsidR="00DA1680" w:rsidRDefault="00DA1680">
            <w:pPr>
              <w:pStyle w:val="Tablecolhead"/>
            </w:pPr>
            <w:r>
              <w:t>Offence description</w:t>
            </w:r>
          </w:p>
        </w:tc>
        <w:tc>
          <w:tcPr>
            <w:tcW w:w="1393" w:type="dxa"/>
          </w:tcPr>
          <w:p w14:paraId="11BB8D1F" w14:textId="77777777" w:rsidR="00DA1680" w:rsidRDefault="00DA1680">
            <w:pPr>
              <w:pStyle w:val="Tablecolhead"/>
            </w:pPr>
            <w:r>
              <w:t>Penalty units</w:t>
            </w:r>
          </w:p>
        </w:tc>
        <w:tc>
          <w:tcPr>
            <w:tcW w:w="1394" w:type="dxa"/>
          </w:tcPr>
          <w:p w14:paraId="175EDBE1" w14:textId="683BA795" w:rsidR="00DA1680" w:rsidRDefault="00DA1680">
            <w:pPr>
              <w:pStyle w:val="Tablecolhead"/>
            </w:pPr>
            <w:r>
              <w:t>Amount</w:t>
            </w:r>
            <w:r>
              <w:rPr>
                <w:rStyle w:val="FootnoteReference"/>
              </w:rPr>
              <w:footnoteReference w:id="56"/>
            </w:r>
          </w:p>
        </w:tc>
      </w:tr>
      <w:tr w:rsidR="00DA1680" w14:paraId="3ADA50C3" w14:textId="02B006F4" w:rsidTr="00492F3C">
        <w:tc>
          <w:tcPr>
            <w:tcW w:w="1387" w:type="dxa"/>
          </w:tcPr>
          <w:p w14:paraId="19625706" w14:textId="77777777" w:rsidR="00DA1680" w:rsidRDefault="00DA1680">
            <w:pPr>
              <w:pStyle w:val="Tabletext"/>
            </w:pPr>
            <w:r>
              <w:t>r.14(1)</w:t>
            </w:r>
          </w:p>
        </w:tc>
        <w:tc>
          <w:tcPr>
            <w:tcW w:w="5114" w:type="dxa"/>
          </w:tcPr>
          <w:p w14:paraId="6CB15014" w14:textId="2BC0BD28" w:rsidR="00DA1680" w:rsidRDefault="00DA1680">
            <w:pPr>
              <w:pStyle w:val="Tabletext"/>
            </w:pPr>
            <w:r>
              <w:t>Not appointing a suitably qualified person as the DON</w:t>
            </w:r>
            <w:r w:rsidR="00E5613D">
              <w:t>.</w:t>
            </w:r>
          </w:p>
        </w:tc>
        <w:tc>
          <w:tcPr>
            <w:tcW w:w="1393" w:type="dxa"/>
          </w:tcPr>
          <w:p w14:paraId="6959F35E" w14:textId="77777777" w:rsidR="00DA1680" w:rsidRDefault="00DA1680">
            <w:pPr>
              <w:pStyle w:val="Tabletext"/>
            </w:pPr>
            <w:r>
              <w:t>50</w:t>
            </w:r>
          </w:p>
        </w:tc>
        <w:tc>
          <w:tcPr>
            <w:tcW w:w="1394" w:type="dxa"/>
          </w:tcPr>
          <w:p w14:paraId="360766E1" w14:textId="4EDC0F67" w:rsidR="001D55CB" w:rsidRDefault="001D55CB">
            <w:pPr>
              <w:pStyle w:val="Tabletext"/>
            </w:pPr>
            <w:r>
              <w:t>$9,</w:t>
            </w:r>
            <w:r w:rsidR="00D46F4A">
              <w:t>615.50</w:t>
            </w:r>
          </w:p>
        </w:tc>
      </w:tr>
      <w:tr w:rsidR="00DA1680" w14:paraId="76DC652E" w14:textId="40EF6011" w:rsidTr="00492F3C">
        <w:tc>
          <w:tcPr>
            <w:tcW w:w="1387" w:type="dxa"/>
          </w:tcPr>
          <w:p w14:paraId="64592D18" w14:textId="77777777" w:rsidR="00DA1680" w:rsidRDefault="00DA1680">
            <w:pPr>
              <w:pStyle w:val="Tabletext"/>
            </w:pPr>
            <w:r>
              <w:t>r.15</w:t>
            </w:r>
          </w:p>
        </w:tc>
        <w:tc>
          <w:tcPr>
            <w:tcW w:w="5114" w:type="dxa"/>
          </w:tcPr>
          <w:p w14:paraId="4C23CCE8" w14:textId="1C257981" w:rsidR="00DA1680" w:rsidRDefault="00DA1680">
            <w:pPr>
              <w:pStyle w:val="Tabletext"/>
            </w:pPr>
            <w:r>
              <w:t>Not appointing an acting DON</w:t>
            </w:r>
            <w:r w:rsidR="00E5613D">
              <w:t>.</w:t>
            </w:r>
          </w:p>
        </w:tc>
        <w:tc>
          <w:tcPr>
            <w:tcW w:w="1393" w:type="dxa"/>
          </w:tcPr>
          <w:p w14:paraId="1478BC4C" w14:textId="77777777" w:rsidR="00DA1680" w:rsidRDefault="00DA1680">
            <w:pPr>
              <w:pStyle w:val="Tabletext"/>
            </w:pPr>
            <w:r>
              <w:t>50</w:t>
            </w:r>
          </w:p>
        </w:tc>
        <w:tc>
          <w:tcPr>
            <w:tcW w:w="1394" w:type="dxa"/>
          </w:tcPr>
          <w:p w14:paraId="3A455646" w14:textId="49EB3B2F" w:rsidR="00DA1680" w:rsidRDefault="001D55CB">
            <w:pPr>
              <w:pStyle w:val="Tabletext"/>
            </w:pPr>
            <w:r>
              <w:t>$9,</w:t>
            </w:r>
            <w:r w:rsidR="00D46F4A">
              <w:t>615.50</w:t>
            </w:r>
          </w:p>
        </w:tc>
      </w:tr>
      <w:tr w:rsidR="00DA1680" w14:paraId="6A037E28" w14:textId="4936B5AE" w:rsidTr="00492F3C">
        <w:tc>
          <w:tcPr>
            <w:tcW w:w="1387" w:type="dxa"/>
          </w:tcPr>
          <w:p w14:paraId="0022910C" w14:textId="77777777" w:rsidR="00DA1680" w:rsidRDefault="00DA1680">
            <w:pPr>
              <w:pStyle w:val="Tabletext"/>
            </w:pPr>
            <w:r>
              <w:t>r.16</w:t>
            </w:r>
          </w:p>
        </w:tc>
        <w:tc>
          <w:tcPr>
            <w:tcW w:w="5114" w:type="dxa"/>
          </w:tcPr>
          <w:p w14:paraId="49232C3C" w14:textId="64B318C3" w:rsidR="00DA1680" w:rsidRDefault="00DA1680">
            <w:pPr>
              <w:pStyle w:val="Tabletext"/>
            </w:pPr>
            <w:r>
              <w:t>Not notifying the Secretary of the appointment, qualifications and experience of a DON or acting DON within 28 days</w:t>
            </w:r>
            <w:r w:rsidR="00E5613D">
              <w:t>.</w:t>
            </w:r>
          </w:p>
        </w:tc>
        <w:tc>
          <w:tcPr>
            <w:tcW w:w="1393" w:type="dxa"/>
          </w:tcPr>
          <w:p w14:paraId="6564E073" w14:textId="6FA7E87C" w:rsidR="00DA1680" w:rsidRDefault="00DA1680">
            <w:pPr>
              <w:pStyle w:val="Tabletext"/>
            </w:pPr>
            <w:r>
              <w:t>20</w:t>
            </w:r>
          </w:p>
        </w:tc>
        <w:tc>
          <w:tcPr>
            <w:tcW w:w="1394" w:type="dxa"/>
          </w:tcPr>
          <w:p w14:paraId="52E4A309" w14:textId="26FE0303" w:rsidR="00DA1680" w:rsidRDefault="007A5036">
            <w:pPr>
              <w:pStyle w:val="Tabletext"/>
            </w:pPr>
            <w:r>
              <w:t>$</w:t>
            </w:r>
            <w:r w:rsidR="00961770">
              <w:t>3,</w:t>
            </w:r>
            <w:r w:rsidR="003B3E63">
              <w:t>846.20</w:t>
            </w:r>
          </w:p>
        </w:tc>
      </w:tr>
      <w:tr w:rsidR="00DA1680" w14:paraId="57D9CEC1" w14:textId="4883BC0C" w:rsidTr="00492F3C">
        <w:tc>
          <w:tcPr>
            <w:tcW w:w="1387" w:type="dxa"/>
          </w:tcPr>
          <w:p w14:paraId="230BB154" w14:textId="08D328DA" w:rsidR="00DA1680" w:rsidRDefault="00DA1680">
            <w:pPr>
              <w:pStyle w:val="Tabletext"/>
            </w:pPr>
            <w:r>
              <w:t>r.17</w:t>
            </w:r>
          </w:p>
        </w:tc>
        <w:tc>
          <w:tcPr>
            <w:tcW w:w="5114" w:type="dxa"/>
          </w:tcPr>
          <w:p w14:paraId="129EB378" w14:textId="45C9D4F2" w:rsidR="00DA1680" w:rsidRDefault="00DA1680">
            <w:pPr>
              <w:pStyle w:val="Tabletext"/>
            </w:pPr>
            <w:r>
              <w:t>Not notifying the Secretary of the appointment of a CEO or Medical Director (however titled) within 28 days</w:t>
            </w:r>
            <w:r w:rsidR="00E5613D">
              <w:t>.</w:t>
            </w:r>
          </w:p>
        </w:tc>
        <w:tc>
          <w:tcPr>
            <w:tcW w:w="1393" w:type="dxa"/>
          </w:tcPr>
          <w:p w14:paraId="6D57AECD" w14:textId="3DDCD62C" w:rsidR="00DA1680" w:rsidRDefault="00DA1680">
            <w:pPr>
              <w:pStyle w:val="Tabletext"/>
            </w:pPr>
            <w:r>
              <w:t>20</w:t>
            </w:r>
          </w:p>
        </w:tc>
        <w:tc>
          <w:tcPr>
            <w:tcW w:w="1394" w:type="dxa"/>
          </w:tcPr>
          <w:p w14:paraId="00D1F713" w14:textId="0B078543" w:rsidR="00DA1680" w:rsidRDefault="00D668D6">
            <w:pPr>
              <w:pStyle w:val="Tabletext"/>
            </w:pPr>
            <w:r>
              <w:t>$3,</w:t>
            </w:r>
            <w:r w:rsidR="003B3E63">
              <w:t>846.20</w:t>
            </w:r>
          </w:p>
        </w:tc>
      </w:tr>
      <w:tr w:rsidR="00611877" w14:paraId="680DB1F2" w14:textId="39E83747" w:rsidTr="00492F3C">
        <w:tc>
          <w:tcPr>
            <w:tcW w:w="1387" w:type="dxa"/>
          </w:tcPr>
          <w:p w14:paraId="59DDABB0" w14:textId="4A2FBF8E" w:rsidR="00611877" w:rsidRDefault="00611877" w:rsidP="00611877">
            <w:pPr>
              <w:pStyle w:val="Tabletext"/>
            </w:pPr>
            <w:r>
              <w:t>r.18</w:t>
            </w:r>
          </w:p>
        </w:tc>
        <w:tc>
          <w:tcPr>
            <w:tcW w:w="5114" w:type="dxa"/>
          </w:tcPr>
          <w:p w14:paraId="28105628" w14:textId="6226B653" w:rsidR="00611877" w:rsidRDefault="00611877" w:rsidP="00611877">
            <w:pPr>
              <w:pStyle w:val="Tabletext"/>
            </w:pPr>
            <w:r>
              <w:t>Not notifying the Secretary of the termination of a CEO or Medical Director (however titled) appointment or vacancy of the position within 28 days.</w:t>
            </w:r>
          </w:p>
        </w:tc>
        <w:tc>
          <w:tcPr>
            <w:tcW w:w="1393" w:type="dxa"/>
          </w:tcPr>
          <w:p w14:paraId="15C6007E" w14:textId="097731F4" w:rsidR="00611877" w:rsidRDefault="00611877" w:rsidP="00611877">
            <w:pPr>
              <w:pStyle w:val="Tabletext"/>
            </w:pPr>
            <w:r>
              <w:t>20</w:t>
            </w:r>
          </w:p>
        </w:tc>
        <w:tc>
          <w:tcPr>
            <w:tcW w:w="1394" w:type="dxa"/>
          </w:tcPr>
          <w:p w14:paraId="1C9D7A78" w14:textId="42F440D7" w:rsidR="00611877" w:rsidRDefault="00D668D6" w:rsidP="00611877">
            <w:pPr>
              <w:pStyle w:val="Tabletext"/>
            </w:pPr>
            <w:r>
              <w:t>$3,</w:t>
            </w:r>
            <w:r w:rsidR="003B3E63">
              <w:t>846.20</w:t>
            </w:r>
          </w:p>
        </w:tc>
      </w:tr>
      <w:tr w:rsidR="00611877" w14:paraId="3D1A1E46" w14:textId="4AAF9EC9" w:rsidTr="00492F3C">
        <w:tc>
          <w:tcPr>
            <w:tcW w:w="1387" w:type="dxa"/>
          </w:tcPr>
          <w:p w14:paraId="70707863" w14:textId="0E98E6EE" w:rsidR="00611877" w:rsidRDefault="00E40520" w:rsidP="00611877">
            <w:pPr>
              <w:pStyle w:val="Tabletext"/>
            </w:pPr>
            <w:r>
              <w:t>r.19</w:t>
            </w:r>
          </w:p>
        </w:tc>
        <w:tc>
          <w:tcPr>
            <w:tcW w:w="5114" w:type="dxa"/>
          </w:tcPr>
          <w:p w14:paraId="25C76840" w14:textId="6AFB152A" w:rsidR="00611877" w:rsidRDefault="00702E55" w:rsidP="00611877">
            <w:pPr>
              <w:pStyle w:val="Tabletext"/>
            </w:pPr>
            <w:r>
              <w:t>Not allocating a unit record number</w:t>
            </w:r>
            <w:r w:rsidR="000B2270">
              <w:t xml:space="preserve"> to a patient </w:t>
            </w:r>
            <w:r w:rsidR="009E0545">
              <w:t>on or as soon as practicable after admission</w:t>
            </w:r>
            <w:r w:rsidR="00E5613D">
              <w:t>.</w:t>
            </w:r>
          </w:p>
        </w:tc>
        <w:tc>
          <w:tcPr>
            <w:tcW w:w="1393" w:type="dxa"/>
          </w:tcPr>
          <w:p w14:paraId="6DF72382" w14:textId="0853F0E5" w:rsidR="00611877" w:rsidRDefault="009E0545" w:rsidP="00611877">
            <w:pPr>
              <w:pStyle w:val="Tabletext"/>
            </w:pPr>
            <w:r>
              <w:t>30</w:t>
            </w:r>
          </w:p>
        </w:tc>
        <w:tc>
          <w:tcPr>
            <w:tcW w:w="1394" w:type="dxa"/>
          </w:tcPr>
          <w:p w14:paraId="4E6B6D65" w14:textId="2D7E1349" w:rsidR="00611877" w:rsidRDefault="002774C8" w:rsidP="00611877">
            <w:pPr>
              <w:pStyle w:val="Tabletext"/>
            </w:pPr>
            <w:r>
              <w:t>$5,</w:t>
            </w:r>
            <w:r w:rsidR="00D37FAC">
              <w:t>769.30</w:t>
            </w:r>
          </w:p>
        </w:tc>
      </w:tr>
      <w:tr w:rsidR="000616AD" w14:paraId="71580EA5" w14:textId="3F8ABD3C" w:rsidTr="00492F3C">
        <w:tc>
          <w:tcPr>
            <w:tcW w:w="1387" w:type="dxa"/>
          </w:tcPr>
          <w:p w14:paraId="2E083A93" w14:textId="5C95C244" w:rsidR="000616AD" w:rsidRDefault="000616AD" w:rsidP="000616AD">
            <w:pPr>
              <w:pStyle w:val="Tabletext"/>
            </w:pPr>
            <w:r>
              <w:t>r.20(1)</w:t>
            </w:r>
          </w:p>
        </w:tc>
        <w:tc>
          <w:tcPr>
            <w:tcW w:w="5114" w:type="dxa"/>
          </w:tcPr>
          <w:p w14:paraId="6D264CED" w14:textId="77777777" w:rsidR="000616AD" w:rsidRDefault="000616AD" w:rsidP="000616AD">
            <w:pPr>
              <w:pStyle w:val="Tabletext"/>
            </w:pPr>
            <w:r>
              <w:t>Not giving a patient on or before admission a statement containing information about the health care services provided by the health service establishment*; fees; and an explanation of the treatment.</w:t>
            </w:r>
          </w:p>
          <w:p w14:paraId="0CBBD666" w14:textId="409D750A" w:rsidR="000616AD" w:rsidRDefault="000616AD" w:rsidP="000616AD">
            <w:pPr>
              <w:pStyle w:val="Tabletext"/>
            </w:pPr>
            <w:r>
              <w:t>*r.20(2) gives an extensive list of items that must be covered in the statement.</w:t>
            </w:r>
          </w:p>
        </w:tc>
        <w:tc>
          <w:tcPr>
            <w:tcW w:w="1393" w:type="dxa"/>
          </w:tcPr>
          <w:p w14:paraId="1D1CB4FD" w14:textId="448C5C7B" w:rsidR="000616AD" w:rsidRDefault="000616AD" w:rsidP="000616AD">
            <w:pPr>
              <w:pStyle w:val="Tabletext"/>
            </w:pPr>
            <w:r>
              <w:t>50</w:t>
            </w:r>
          </w:p>
        </w:tc>
        <w:tc>
          <w:tcPr>
            <w:tcW w:w="1394" w:type="dxa"/>
          </w:tcPr>
          <w:p w14:paraId="488A79E4" w14:textId="1DCA11F5" w:rsidR="000616AD" w:rsidRDefault="000616AD" w:rsidP="000616AD">
            <w:pPr>
              <w:pStyle w:val="Tabletext"/>
            </w:pPr>
            <w:r>
              <w:t>$9,</w:t>
            </w:r>
            <w:r w:rsidR="00D46F4A">
              <w:t>615.50</w:t>
            </w:r>
          </w:p>
        </w:tc>
      </w:tr>
      <w:tr w:rsidR="00F41F8B" w14:paraId="7CD71C4F" w14:textId="77777777" w:rsidTr="00492F3C">
        <w:tc>
          <w:tcPr>
            <w:tcW w:w="1387" w:type="dxa"/>
          </w:tcPr>
          <w:p w14:paraId="266112E4" w14:textId="295799E8" w:rsidR="00F41F8B" w:rsidRDefault="00F41F8B" w:rsidP="00F41F8B">
            <w:pPr>
              <w:pStyle w:val="Tabletext"/>
            </w:pPr>
            <w:r>
              <w:t>r.21</w:t>
            </w:r>
          </w:p>
        </w:tc>
        <w:tc>
          <w:tcPr>
            <w:tcW w:w="5114" w:type="dxa"/>
          </w:tcPr>
          <w:p w14:paraId="751E70EB" w14:textId="3D67D083" w:rsidR="00F41F8B" w:rsidRDefault="00F41F8B" w:rsidP="00F41F8B">
            <w:pPr>
              <w:pStyle w:val="Tabletext"/>
            </w:pPr>
            <w:r>
              <w:t>Not creating and maintaining separate clinical records for each patient</w:t>
            </w:r>
            <w:r w:rsidR="00E5613D">
              <w:t>.</w:t>
            </w:r>
          </w:p>
        </w:tc>
        <w:tc>
          <w:tcPr>
            <w:tcW w:w="1393" w:type="dxa"/>
          </w:tcPr>
          <w:p w14:paraId="2BDEDB23" w14:textId="46096331" w:rsidR="00F41F8B" w:rsidRDefault="00F41F8B" w:rsidP="00F41F8B">
            <w:pPr>
              <w:pStyle w:val="Tabletext"/>
            </w:pPr>
            <w:r>
              <w:t>30</w:t>
            </w:r>
          </w:p>
        </w:tc>
        <w:tc>
          <w:tcPr>
            <w:tcW w:w="1394" w:type="dxa"/>
          </w:tcPr>
          <w:p w14:paraId="1F89999F" w14:textId="0E0F7FB1" w:rsidR="00F41F8B" w:rsidRDefault="00F41F8B" w:rsidP="00F41F8B">
            <w:pPr>
              <w:pStyle w:val="Tabletext"/>
            </w:pPr>
            <w:r>
              <w:t>$5,</w:t>
            </w:r>
            <w:r w:rsidR="00D37FAC">
              <w:t>769.30</w:t>
            </w:r>
          </w:p>
        </w:tc>
      </w:tr>
      <w:tr w:rsidR="00DC6C17" w14:paraId="68F337B3" w14:textId="77777777" w:rsidTr="00492F3C">
        <w:tc>
          <w:tcPr>
            <w:tcW w:w="1387" w:type="dxa"/>
          </w:tcPr>
          <w:p w14:paraId="502FE46D" w14:textId="01E8C53A" w:rsidR="00DC6C17" w:rsidRDefault="00DC6C17" w:rsidP="00DC6C17">
            <w:pPr>
              <w:pStyle w:val="Tabletext"/>
            </w:pPr>
            <w:r>
              <w:t>r.22</w:t>
            </w:r>
          </w:p>
        </w:tc>
        <w:tc>
          <w:tcPr>
            <w:tcW w:w="5114" w:type="dxa"/>
          </w:tcPr>
          <w:p w14:paraId="52185553" w14:textId="303E96E1" w:rsidR="00DC6C17" w:rsidRDefault="00DC6C17" w:rsidP="00DC6C17">
            <w:pPr>
              <w:pStyle w:val="Tabletext"/>
            </w:pPr>
            <w:r>
              <w:t>Not ensuring each clinical record contains the required information*</w:t>
            </w:r>
          </w:p>
          <w:p w14:paraId="585AFBA5" w14:textId="7FB5F977" w:rsidR="00DC6C17" w:rsidRDefault="00DC6C17" w:rsidP="00DC6C17">
            <w:pPr>
              <w:pStyle w:val="Tabletext"/>
            </w:pPr>
            <w:r>
              <w:t xml:space="preserve">*r.22(a) – (e) give an extensive list of information required </w:t>
            </w:r>
            <w:r w:rsidR="00C123CB">
              <w:t>–</w:t>
            </w:r>
            <w:r>
              <w:t xml:space="preserve"> e.g. patient name, address, contact details, clinical history, diagnostic test results, etc.</w:t>
            </w:r>
          </w:p>
        </w:tc>
        <w:tc>
          <w:tcPr>
            <w:tcW w:w="1393" w:type="dxa"/>
          </w:tcPr>
          <w:p w14:paraId="3574BECF" w14:textId="589E5C33" w:rsidR="00DC6C17" w:rsidRDefault="00DC6C17" w:rsidP="00DC6C17">
            <w:pPr>
              <w:pStyle w:val="Tabletext"/>
            </w:pPr>
            <w:r>
              <w:t>30</w:t>
            </w:r>
          </w:p>
        </w:tc>
        <w:tc>
          <w:tcPr>
            <w:tcW w:w="1394" w:type="dxa"/>
          </w:tcPr>
          <w:p w14:paraId="5AC8EB2E" w14:textId="05D9BAF6" w:rsidR="00DC6C17" w:rsidRDefault="00DC6C17" w:rsidP="00DC6C17">
            <w:pPr>
              <w:pStyle w:val="Tabletext"/>
            </w:pPr>
            <w:r>
              <w:t>$5,</w:t>
            </w:r>
            <w:r w:rsidR="00D37FAC">
              <w:t>769.30</w:t>
            </w:r>
          </w:p>
        </w:tc>
      </w:tr>
      <w:tr w:rsidR="00065B04" w14:paraId="7EA3B57D" w14:textId="77777777" w:rsidTr="00492F3C">
        <w:tc>
          <w:tcPr>
            <w:tcW w:w="1387" w:type="dxa"/>
          </w:tcPr>
          <w:p w14:paraId="48FE8E4B" w14:textId="6EF7D714" w:rsidR="00065B04" w:rsidRDefault="00CE188C" w:rsidP="00065B04">
            <w:pPr>
              <w:pStyle w:val="Tabletext"/>
            </w:pPr>
            <w:r>
              <w:t>r.23</w:t>
            </w:r>
          </w:p>
        </w:tc>
        <w:tc>
          <w:tcPr>
            <w:tcW w:w="5114" w:type="dxa"/>
          </w:tcPr>
          <w:p w14:paraId="68A59E79" w14:textId="52B70CED" w:rsidR="00065B04" w:rsidRDefault="00826DA2" w:rsidP="00065B04">
            <w:pPr>
              <w:pStyle w:val="Tabletext"/>
            </w:pPr>
            <w:r>
              <w:t xml:space="preserve">Not ensuring a patient can be readily identified </w:t>
            </w:r>
            <w:r w:rsidR="001061C2">
              <w:t xml:space="preserve">by an </w:t>
            </w:r>
            <w:r w:rsidR="00234FEA">
              <w:t xml:space="preserve">attached </w:t>
            </w:r>
            <w:r w:rsidR="001061C2">
              <w:t xml:space="preserve">identity band or device </w:t>
            </w:r>
            <w:r w:rsidR="00CF276A">
              <w:t xml:space="preserve">or a photograph </w:t>
            </w:r>
            <w:r w:rsidR="00C05FFE">
              <w:t>on</w:t>
            </w:r>
            <w:r w:rsidR="006B4B1C">
              <w:t xml:space="preserve"> </w:t>
            </w:r>
            <w:r w:rsidR="00CF276A">
              <w:t>their clinical record</w:t>
            </w:r>
            <w:r w:rsidR="00E5613D">
              <w:t>.</w:t>
            </w:r>
          </w:p>
        </w:tc>
        <w:tc>
          <w:tcPr>
            <w:tcW w:w="1393" w:type="dxa"/>
          </w:tcPr>
          <w:p w14:paraId="34BD6FE2" w14:textId="254449D7" w:rsidR="00065B04" w:rsidRDefault="00CF276A" w:rsidP="00065B04">
            <w:pPr>
              <w:pStyle w:val="Tabletext"/>
            </w:pPr>
            <w:r>
              <w:t>40</w:t>
            </w:r>
          </w:p>
        </w:tc>
        <w:tc>
          <w:tcPr>
            <w:tcW w:w="1394" w:type="dxa"/>
          </w:tcPr>
          <w:p w14:paraId="627A0877" w14:textId="1FBBE29A" w:rsidR="00065B04" w:rsidRDefault="003F747C" w:rsidP="00065B04">
            <w:pPr>
              <w:pStyle w:val="Tabletext"/>
            </w:pPr>
            <w:r>
              <w:t>$7,</w:t>
            </w:r>
            <w:r w:rsidR="006152BE">
              <w:t>692.40</w:t>
            </w:r>
          </w:p>
        </w:tc>
      </w:tr>
      <w:tr w:rsidR="004922A2" w14:paraId="11440945" w14:textId="77777777" w:rsidTr="00492F3C">
        <w:tc>
          <w:tcPr>
            <w:tcW w:w="1387" w:type="dxa"/>
          </w:tcPr>
          <w:p w14:paraId="6453BA90" w14:textId="7AD2C12E" w:rsidR="004922A2" w:rsidRDefault="004922A2" w:rsidP="004922A2">
            <w:pPr>
              <w:pStyle w:val="Tabletext"/>
            </w:pPr>
            <w:r>
              <w:t>r.24(1)</w:t>
            </w:r>
          </w:p>
        </w:tc>
        <w:tc>
          <w:tcPr>
            <w:tcW w:w="5114" w:type="dxa"/>
          </w:tcPr>
          <w:p w14:paraId="7B2907F1" w14:textId="5377CA0C" w:rsidR="004922A2" w:rsidRDefault="004922A2" w:rsidP="004922A2">
            <w:pPr>
              <w:pStyle w:val="Tabletext"/>
            </w:pPr>
            <w:r>
              <w:t>Not ensuring at least 2 identity bands or devices are attached to an infant before leaving the delivery room and while it remains on the premises</w:t>
            </w:r>
            <w:r w:rsidR="00E5613D">
              <w:t>.</w:t>
            </w:r>
            <w:r>
              <w:t xml:space="preserve"> </w:t>
            </w:r>
          </w:p>
        </w:tc>
        <w:tc>
          <w:tcPr>
            <w:tcW w:w="1393" w:type="dxa"/>
          </w:tcPr>
          <w:p w14:paraId="70229C63" w14:textId="5D19BF09" w:rsidR="004922A2" w:rsidRDefault="004922A2" w:rsidP="004922A2">
            <w:pPr>
              <w:pStyle w:val="Tabletext"/>
            </w:pPr>
            <w:r>
              <w:t>30</w:t>
            </w:r>
          </w:p>
        </w:tc>
        <w:tc>
          <w:tcPr>
            <w:tcW w:w="1394" w:type="dxa"/>
          </w:tcPr>
          <w:p w14:paraId="7AD67B45" w14:textId="7482E240" w:rsidR="004922A2" w:rsidRDefault="004922A2" w:rsidP="004922A2">
            <w:pPr>
              <w:pStyle w:val="Tabletext"/>
            </w:pPr>
            <w:r>
              <w:t>$5,</w:t>
            </w:r>
            <w:r w:rsidR="00D37FAC">
              <w:t>769.30</w:t>
            </w:r>
          </w:p>
        </w:tc>
      </w:tr>
      <w:tr w:rsidR="004922A2" w14:paraId="5CFA376E" w14:textId="77777777" w:rsidTr="00492F3C">
        <w:tc>
          <w:tcPr>
            <w:tcW w:w="1387" w:type="dxa"/>
          </w:tcPr>
          <w:p w14:paraId="49461B99" w14:textId="6BA65DFA" w:rsidR="004922A2" w:rsidRDefault="004922A2" w:rsidP="004922A2">
            <w:pPr>
              <w:pStyle w:val="Tabletext"/>
            </w:pPr>
            <w:r>
              <w:lastRenderedPageBreak/>
              <w:t>r.24(2)</w:t>
            </w:r>
          </w:p>
        </w:tc>
        <w:tc>
          <w:tcPr>
            <w:tcW w:w="5114" w:type="dxa"/>
          </w:tcPr>
          <w:p w14:paraId="219D8EEE" w14:textId="358F020E" w:rsidR="004922A2" w:rsidRDefault="004922A2" w:rsidP="004922A2">
            <w:pPr>
              <w:pStyle w:val="Tabletext"/>
            </w:pPr>
            <w:r>
              <w:t>Not ensuring at least 2 identity bands or devices are attached to an infant if its mother is admitted as a patient immediately after giving birth</w:t>
            </w:r>
            <w:r w:rsidR="00E5613D">
              <w:t>.</w:t>
            </w:r>
          </w:p>
        </w:tc>
        <w:tc>
          <w:tcPr>
            <w:tcW w:w="1393" w:type="dxa"/>
          </w:tcPr>
          <w:p w14:paraId="34810BD7" w14:textId="775F34FF" w:rsidR="004922A2" w:rsidRDefault="004922A2" w:rsidP="004922A2">
            <w:pPr>
              <w:pStyle w:val="Tabletext"/>
            </w:pPr>
            <w:r>
              <w:t>30</w:t>
            </w:r>
          </w:p>
        </w:tc>
        <w:tc>
          <w:tcPr>
            <w:tcW w:w="1394" w:type="dxa"/>
          </w:tcPr>
          <w:p w14:paraId="55B0069A" w14:textId="031BC657" w:rsidR="004922A2" w:rsidRDefault="004922A2" w:rsidP="004922A2">
            <w:pPr>
              <w:pStyle w:val="Tabletext"/>
            </w:pPr>
            <w:r>
              <w:t>$5,</w:t>
            </w:r>
            <w:r w:rsidR="00D37FAC">
              <w:t>769.30</w:t>
            </w:r>
          </w:p>
        </w:tc>
      </w:tr>
      <w:tr w:rsidR="00C9087C" w14:paraId="139C3AB6" w14:textId="77777777" w:rsidTr="00492F3C">
        <w:tc>
          <w:tcPr>
            <w:tcW w:w="1387" w:type="dxa"/>
          </w:tcPr>
          <w:p w14:paraId="494234AA" w14:textId="5B7B87CD" w:rsidR="00C9087C" w:rsidRDefault="00C9087C" w:rsidP="00C9087C">
            <w:pPr>
              <w:pStyle w:val="Tabletext"/>
            </w:pPr>
            <w:r>
              <w:t>r.26</w:t>
            </w:r>
          </w:p>
        </w:tc>
        <w:tc>
          <w:tcPr>
            <w:tcW w:w="5114" w:type="dxa"/>
          </w:tcPr>
          <w:p w14:paraId="0BEB3F0E" w14:textId="4A4EA8CE" w:rsidR="00C9087C" w:rsidRDefault="00C9087C" w:rsidP="00C9087C">
            <w:pPr>
              <w:pStyle w:val="Tabletext"/>
            </w:pPr>
            <w:r>
              <w:t>Not ensuring each nurse is an enrolled or registered nurse with the professional competence, education or experience relevant to the health services being provided</w:t>
            </w:r>
            <w:r w:rsidR="00E5613D">
              <w:t>.</w:t>
            </w:r>
          </w:p>
        </w:tc>
        <w:tc>
          <w:tcPr>
            <w:tcW w:w="1393" w:type="dxa"/>
          </w:tcPr>
          <w:p w14:paraId="5ADEBD6C" w14:textId="3CD6A16A" w:rsidR="00C9087C" w:rsidRDefault="00C9087C" w:rsidP="00C9087C">
            <w:pPr>
              <w:pStyle w:val="Tabletext"/>
            </w:pPr>
            <w:r>
              <w:t>50</w:t>
            </w:r>
          </w:p>
        </w:tc>
        <w:tc>
          <w:tcPr>
            <w:tcW w:w="1394" w:type="dxa"/>
          </w:tcPr>
          <w:p w14:paraId="2E15C10F" w14:textId="17F9A232" w:rsidR="00C9087C" w:rsidRDefault="00C9087C" w:rsidP="00C9087C">
            <w:pPr>
              <w:pStyle w:val="Tabletext"/>
            </w:pPr>
            <w:r>
              <w:t>$9,</w:t>
            </w:r>
            <w:r w:rsidR="00D46F4A">
              <w:t>615.50</w:t>
            </w:r>
          </w:p>
        </w:tc>
      </w:tr>
      <w:tr w:rsidR="00084AB3" w14:paraId="53FE1D58" w14:textId="77777777" w:rsidTr="00492F3C">
        <w:tc>
          <w:tcPr>
            <w:tcW w:w="1387" w:type="dxa"/>
          </w:tcPr>
          <w:p w14:paraId="21FD5139" w14:textId="11C5052C" w:rsidR="00084AB3" w:rsidRDefault="00084AB3" w:rsidP="00084AB3">
            <w:pPr>
              <w:pStyle w:val="Tabletext"/>
            </w:pPr>
            <w:r>
              <w:t>r.27(1)</w:t>
            </w:r>
          </w:p>
        </w:tc>
        <w:tc>
          <w:tcPr>
            <w:tcW w:w="5114" w:type="dxa"/>
          </w:tcPr>
          <w:p w14:paraId="403E6589" w14:textId="77777777" w:rsidR="00084AB3" w:rsidRDefault="00084AB3" w:rsidP="00084AB3">
            <w:pPr>
              <w:pStyle w:val="Tabletext"/>
            </w:pPr>
            <w:r>
              <w:t>Not ensuring a sufficient number of nursing staff* are on duty</w:t>
            </w:r>
          </w:p>
          <w:p w14:paraId="0E21ABDC" w14:textId="46AEB8E2" w:rsidR="00084AB3" w:rsidRDefault="00084AB3" w:rsidP="00084AB3">
            <w:pPr>
              <w:pStyle w:val="Tabletext"/>
            </w:pPr>
            <w:r>
              <w:t>*r.27(2) gives the required nurse-to-patient ratios for private hospitals and day procedure centres</w:t>
            </w:r>
            <w:r w:rsidR="00E5613D">
              <w:t>.</w:t>
            </w:r>
          </w:p>
        </w:tc>
        <w:tc>
          <w:tcPr>
            <w:tcW w:w="1393" w:type="dxa"/>
          </w:tcPr>
          <w:p w14:paraId="3CCADA95" w14:textId="4827290E" w:rsidR="00084AB3" w:rsidRDefault="00084AB3" w:rsidP="00084AB3">
            <w:pPr>
              <w:pStyle w:val="Tabletext"/>
            </w:pPr>
            <w:r>
              <w:t>50</w:t>
            </w:r>
          </w:p>
        </w:tc>
        <w:tc>
          <w:tcPr>
            <w:tcW w:w="1394" w:type="dxa"/>
          </w:tcPr>
          <w:p w14:paraId="4D3060CB" w14:textId="7146C29F" w:rsidR="00084AB3" w:rsidRDefault="00084AB3" w:rsidP="00084AB3">
            <w:pPr>
              <w:pStyle w:val="Tabletext"/>
            </w:pPr>
            <w:r>
              <w:t>$9,</w:t>
            </w:r>
            <w:r w:rsidR="00D46F4A">
              <w:t>615.50</w:t>
            </w:r>
          </w:p>
        </w:tc>
      </w:tr>
      <w:tr w:rsidR="00084AB3" w14:paraId="6D2CE227" w14:textId="77777777" w:rsidTr="00492F3C">
        <w:tc>
          <w:tcPr>
            <w:tcW w:w="1387" w:type="dxa"/>
          </w:tcPr>
          <w:p w14:paraId="31E57713" w14:textId="5309457E" w:rsidR="00084AB3" w:rsidRDefault="00C06AA7" w:rsidP="00084AB3">
            <w:pPr>
              <w:pStyle w:val="Tabletext"/>
            </w:pPr>
            <w:r>
              <w:t>r.28</w:t>
            </w:r>
          </w:p>
        </w:tc>
        <w:tc>
          <w:tcPr>
            <w:tcW w:w="5114" w:type="dxa"/>
          </w:tcPr>
          <w:p w14:paraId="4B15F456" w14:textId="37F78BF8" w:rsidR="00084AB3" w:rsidRDefault="00C06AA7" w:rsidP="00084AB3">
            <w:pPr>
              <w:pStyle w:val="Tabletext"/>
            </w:pPr>
            <w:r>
              <w:t>Not ensuring patient needs are met promptly and effectively by nursing staff and other professionally competent registered health practitioners</w:t>
            </w:r>
            <w:r w:rsidR="00E5613D">
              <w:t>.</w:t>
            </w:r>
          </w:p>
        </w:tc>
        <w:tc>
          <w:tcPr>
            <w:tcW w:w="1393" w:type="dxa"/>
          </w:tcPr>
          <w:p w14:paraId="244B5851" w14:textId="1E2CB86E" w:rsidR="00084AB3" w:rsidRDefault="00C06AA7" w:rsidP="00084AB3">
            <w:pPr>
              <w:pStyle w:val="Tabletext"/>
            </w:pPr>
            <w:r>
              <w:t>50</w:t>
            </w:r>
          </w:p>
        </w:tc>
        <w:tc>
          <w:tcPr>
            <w:tcW w:w="1394" w:type="dxa"/>
          </w:tcPr>
          <w:p w14:paraId="7987E36E" w14:textId="5B030A99" w:rsidR="00084AB3" w:rsidRDefault="00C06AA7" w:rsidP="00084AB3">
            <w:pPr>
              <w:pStyle w:val="Tabletext"/>
            </w:pPr>
            <w:r>
              <w:t>$9,</w:t>
            </w:r>
            <w:r w:rsidR="00D46F4A">
              <w:t>615.50</w:t>
            </w:r>
          </w:p>
        </w:tc>
      </w:tr>
      <w:tr w:rsidR="0027364F" w14:paraId="23C1D37D" w14:textId="77777777" w:rsidTr="00492F3C">
        <w:tc>
          <w:tcPr>
            <w:tcW w:w="1387" w:type="dxa"/>
          </w:tcPr>
          <w:p w14:paraId="3631B2FE" w14:textId="73D0562C" w:rsidR="0027364F" w:rsidRDefault="0027364F" w:rsidP="0027364F">
            <w:pPr>
              <w:pStyle w:val="Tabletext"/>
            </w:pPr>
            <w:r>
              <w:t>r.29(1)</w:t>
            </w:r>
          </w:p>
        </w:tc>
        <w:tc>
          <w:tcPr>
            <w:tcW w:w="5114" w:type="dxa"/>
          </w:tcPr>
          <w:p w14:paraId="2BAC8C79" w14:textId="2EC18914" w:rsidR="0027364F" w:rsidRDefault="0027364F" w:rsidP="0027364F">
            <w:pPr>
              <w:pStyle w:val="Tabletext"/>
            </w:pPr>
            <w:r>
              <w:t>Not nominating a person to receive and deal with patient complaints</w:t>
            </w:r>
            <w:r w:rsidR="00E5613D">
              <w:t>.</w:t>
            </w:r>
          </w:p>
        </w:tc>
        <w:tc>
          <w:tcPr>
            <w:tcW w:w="1393" w:type="dxa"/>
          </w:tcPr>
          <w:p w14:paraId="1595BB67" w14:textId="29D0449F" w:rsidR="0027364F" w:rsidRDefault="0027364F" w:rsidP="0027364F">
            <w:pPr>
              <w:pStyle w:val="Tabletext"/>
            </w:pPr>
            <w:r>
              <w:t>50</w:t>
            </w:r>
          </w:p>
        </w:tc>
        <w:tc>
          <w:tcPr>
            <w:tcW w:w="1394" w:type="dxa"/>
          </w:tcPr>
          <w:p w14:paraId="2C430FCC" w14:textId="701D8965" w:rsidR="0027364F" w:rsidRDefault="0027364F" w:rsidP="0027364F">
            <w:pPr>
              <w:pStyle w:val="Tabletext"/>
            </w:pPr>
            <w:r>
              <w:t>$9,</w:t>
            </w:r>
            <w:r w:rsidR="00D46F4A">
              <w:t>615.50</w:t>
            </w:r>
          </w:p>
        </w:tc>
      </w:tr>
      <w:tr w:rsidR="007E0D61" w14:paraId="066B68FA" w14:textId="77777777" w:rsidTr="00492F3C">
        <w:tc>
          <w:tcPr>
            <w:tcW w:w="1387" w:type="dxa"/>
          </w:tcPr>
          <w:p w14:paraId="5C568CEA" w14:textId="2D4AA727" w:rsidR="007E0D61" w:rsidRDefault="007E0D61" w:rsidP="007E0D61">
            <w:pPr>
              <w:pStyle w:val="Tabletext"/>
            </w:pPr>
            <w:r>
              <w:t>r.29(2)</w:t>
            </w:r>
          </w:p>
        </w:tc>
        <w:tc>
          <w:tcPr>
            <w:tcW w:w="5114" w:type="dxa"/>
          </w:tcPr>
          <w:p w14:paraId="7F68DFB8" w14:textId="51B491E4" w:rsidR="007E0D61" w:rsidRDefault="007E0D61" w:rsidP="007E0D61">
            <w:pPr>
              <w:pStyle w:val="Tabletext"/>
            </w:pPr>
            <w:r>
              <w:t>Not ensuring that patients and staff are informed of the name of the person nominated to receive and deal with complaints</w:t>
            </w:r>
            <w:r w:rsidR="00E5613D">
              <w:t>.</w:t>
            </w:r>
          </w:p>
        </w:tc>
        <w:tc>
          <w:tcPr>
            <w:tcW w:w="1393" w:type="dxa"/>
          </w:tcPr>
          <w:p w14:paraId="755B9991" w14:textId="0C2727F2" w:rsidR="007E0D61" w:rsidRDefault="007E0D61" w:rsidP="007E0D61">
            <w:pPr>
              <w:pStyle w:val="Tabletext"/>
            </w:pPr>
            <w:r>
              <w:t>50</w:t>
            </w:r>
          </w:p>
        </w:tc>
        <w:tc>
          <w:tcPr>
            <w:tcW w:w="1394" w:type="dxa"/>
          </w:tcPr>
          <w:p w14:paraId="561F361A" w14:textId="2D253563" w:rsidR="007E0D61" w:rsidRDefault="007E0D61" w:rsidP="007E0D61">
            <w:pPr>
              <w:pStyle w:val="Tabletext"/>
            </w:pPr>
            <w:r>
              <w:t>$9,</w:t>
            </w:r>
            <w:r w:rsidR="00D46F4A">
              <w:t>615.50</w:t>
            </w:r>
          </w:p>
        </w:tc>
      </w:tr>
      <w:tr w:rsidR="00FE4E38" w14:paraId="7E9B444A" w14:textId="77777777" w:rsidTr="00492F3C">
        <w:tc>
          <w:tcPr>
            <w:tcW w:w="1387" w:type="dxa"/>
          </w:tcPr>
          <w:p w14:paraId="4374AACB" w14:textId="406A49DD" w:rsidR="00FE4E38" w:rsidRDefault="00FE4E38" w:rsidP="00FE4E38">
            <w:pPr>
              <w:pStyle w:val="Tabletext"/>
            </w:pPr>
            <w:r>
              <w:t>r.30(1)</w:t>
            </w:r>
          </w:p>
        </w:tc>
        <w:tc>
          <w:tcPr>
            <w:tcW w:w="5114" w:type="dxa"/>
          </w:tcPr>
          <w:p w14:paraId="6DC902CA" w14:textId="174DB890" w:rsidR="00FE4E38" w:rsidRDefault="00FE4E38" w:rsidP="00FE4E38">
            <w:pPr>
              <w:pStyle w:val="Tabletext"/>
            </w:pPr>
            <w:r>
              <w:t>Not responding to a complaint as soon as practicable</w:t>
            </w:r>
            <w:r w:rsidR="00E5613D">
              <w:t>.</w:t>
            </w:r>
          </w:p>
        </w:tc>
        <w:tc>
          <w:tcPr>
            <w:tcW w:w="1393" w:type="dxa"/>
          </w:tcPr>
          <w:p w14:paraId="537CDF71" w14:textId="264BEFDB" w:rsidR="00FE4E38" w:rsidRDefault="00FE4E38" w:rsidP="00FE4E38">
            <w:pPr>
              <w:pStyle w:val="Tabletext"/>
            </w:pPr>
            <w:r>
              <w:t>40</w:t>
            </w:r>
          </w:p>
        </w:tc>
        <w:tc>
          <w:tcPr>
            <w:tcW w:w="1394" w:type="dxa"/>
          </w:tcPr>
          <w:p w14:paraId="7894C6CB" w14:textId="657BE4EF" w:rsidR="00FE4E38" w:rsidRDefault="00FE4E38" w:rsidP="00FE4E38">
            <w:pPr>
              <w:pStyle w:val="Tabletext"/>
            </w:pPr>
            <w:r>
              <w:t>$7,</w:t>
            </w:r>
            <w:r w:rsidR="006152BE">
              <w:t>692.40</w:t>
            </w:r>
          </w:p>
        </w:tc>
      </w:tr>
      <w:tr w:rsidR="00FE4E38" w14:paraId="124D0A15" w14:textId="77777777" w:rsidTr="00492F3C">
        <w:tc>
          <w:tcPr>
            <w:tcW w:w="1387" w:type="dxa"/>
          </w:tcPr>
          <w:p w14:paraId="70BD7767" w14:textId="1B64FED2" w:rsidR="00FE4E38" w:rsidRDefault="00FE4E38" w:rsidP="00FE4E38">
            <w:pPr>
              <w:pStyle w:val="Tabletext"/>
            </w:pPr>
            <w:r>
              <w:t>r.30(2)</w:t>
            </w:r>
          </w:p>
        </w:tc>
        <w:tc>
          <w:tcPr>
            <w:tcW w:w="5114" w:type="dxa"/>
          </w:tcPr>
          <w:p w14:paraId="2F9AA77A" w14:textId="20DD1E99" w:rsidR="00FE4E38" w:rsidRDefault="00FE4E38" w:rsidP="00FE4E38">
            <w:pPr>
              <w:pStyle w:val="Tabletext"/>
            </w:pPr>
            <w:r>
              <w:t>Not ensuring a compla</w:t>
            </w:r>
            <w:r w:rsidR="00E5613D">
              <w:t>i</w:t>
            </w:r>
            <w:r>
              <w:t>nt is dealt with discreetly</w:t>
            </w:r>
            <w:r w:rsidR="00E5613D">
              <w:t>.</w:t>
            </w:r>
          </w:p>
        </w:tc>
        <w:tc>
          <w:tcPr>
            <w:tcW w:w="1393" w:type="dxa"/>
          </w:tcPr>
          <w:p w14:paraId="5B17ACF0" w14:textId="2DEA64D6" w:rsidR="00FE4E38" w:rsidRDefault="00FE4E38" w:rsidP="00FE4E38">
            <w:pPr>
              <w:pStyle w:val="Tabletext"/>
            </w:pPr>
            <w:r>
              <w:t>40</w:t>
            </w:r>
          </w:p>
        </w:tc>
        <w:tc>
          <w:tcPr>
            <w:tcW w:w="1394" w:type="dxa"/>
          </w:tcPr>
          <w:p w14:paraId="3652672D" w14:textId="1820951F" w:rsidR="00FE4E38" w:rsidRDefault="00FE4E38" w:rsidP="00FE4E38">
            <w:pPr>
              <w:pStyle w:val="Tabletext"/>
            </w:pPr>
            <w:r>
              <w:t>$7,</w:t>
            </w:r>
            <w:r w:rsidR="006152BE">
              <w:t>692.40</w:t>
            </w:r>
          </w:p>
        </w:tc>
      </w:tr>
      <w:tr w:rsidR="007869A9" w14:paraId="73D61311" w14:textId="77777777" w:rsidTr="00492F3C">
        <w:tc>
          <w:tcPr>
            <w:tcW w:w="1387" w:type="dxa"/>
          </w:tcPr>
          <w:p w14:paraId="311F0D2B" w14:textId="00584604" w:rsidR="007869A9" w:rsidRDefault="007869A9" w:rsidP="007869A9">
            <w:pPr>
              <w:pStyle w:val="Tabletext"/>
            </w:pPr>
            <w:r>
              <w:t>r.30(3)</w:t>
            </w:r>
          </w:p>
        </w:tc>
        <w:tc>
          <w:tcPr>
            <w:tcW w:w="5114" w:type="dxa"/>
          </w:tcPr>
          <w:p w14:paraId="0F4904D7" w14:textId="5DEB8E40" w:rsidR="007869A9" w:rsidRDefault="007869A9" w:rsidP="007869A9">
            <w:pPr>
              <w:pStyle w:val="Tabletext"/>
            </w:pPr>
            <w:r>
              <w:t>Not informing the complainant of the action taken in respect of the complaint</w:t>
            </w:r>
            <w:r w:rsidR="00E5613D">
              <w:t>.</w:t>
            </w:r>
          </w:p>
        </w:tc>
        <w:tc>
          <w:tcPr>
            <w:tcW w:w="1393" w:type="dxa"/>
          </w:tcPr>
          <w:p w14:paraId="7F4B53E4" w14:textId="57136329" w:rsidR="007869A9" w:rsidRDefault="007869A9" w:rsidP="007869A9">
            <w:pPr>
              <w:pStyle w:val="Tabletext"/>
            </w:pPr>
            <w:r>
              <w:t>40</w:t>
            </w:r>
          </w:p>
        </w:tc>
        <w:tc>
          <w:tcPr>
            <w:tcW w:w="1394" w:type="dxa"/>
          </w:tcPr>
          <w:p w14:paraId="07DE3CFB" w14:textId="79D0EA50" w:rsidR="007869A9" w:rsidRDefault="007869A9" w:rsidP="007869A9">
            <w:pPr>
              <w:pStyle w:val="Tabletext"/>
            </w:pPr>
            <w:r>
              <w:t>$7,</w:t>
            </w:r>
            <w:r w:rsidR="006152BE">
              <w:t>692.40</w:t>
            </w:r>
          </w:p>
        </w:tc>
      </w:tr>
      <w:tr w:rsidR="00785DF4" w14:paraId="08A320CE" w14:textId="77777777" w:rsidTr="00492F3C">
        <w:tc>
          <w:tcPr>
            <w:tcW w:w="1387" w:type="dxa"/>
          </w:tcPr>
          <w:p w14:paraId="33FACDDB" w14:textId="5CBBB593" w:rsidR="00785DF4" w:rsidRDefault="00785DF4" w:rsidP="00785DF4">
            <w:pPr>
              <w:pStyle w:val="Tabletext"/>
            </w:pPr>
            <w:r>
              <w:t>r.31(1)</w:t>
            </w:r>
          </w:p>
        </w:tc>
        <w:tc>
          <w:tcPr>
            <w:tcW w:w="5114" w:type="dxa"/>
          </w:tcPr>
          <w:p w14:paraId="274BE07E" w14:textId="77777777" w:rsidR="00785DF4" w:rsidRDefault="00785DF4" w:rsidP="00785DF4">
            <w:pPr>
              <w:pStyle w:val="Tabletext"/>
            </w:pPr>
            <w:r>
              <w:t>Not keeping a written record* of every complaint</w:t>
            </w:r>
          </w:p>
          <w:p w14:paraId="37B82A05" w14:textId="30BD0FB5" w:rsidR="00785DF4" w:rsidRDefault="00785DF4" w:rsidP="00785DF4">
            <w:pPr>
              <w:pStyle w:val="Tabletext"/>
            </w:pPr>
            <w:r>
              <w:t>*r.31(2) lists the information to be recorded</w:t>
            </w:r>
            <w:r w:rsidR="00E5613D">
              <w:t>.</w:t>
            </w:r>
          </w:p>
        </w:tc>
        <w:tc>
          <w:tcPr>
            <w:tcW w:w="1393" w:type="dxa"/>
          </w:tcPr>
          <w:p w14:paraId="2F30C507" w14:textId="61DEE99C" w:rsidR="00785DF4" w:rsidRDefault="00785DF4" w:rsidP="00785DF4">
            <w:pPr>
              <w:pStyle w:val="Tabletext"/>
            </w:pPr>
            <w:r>
              <w:t>30</w:t>
            </w:r>
          </w:p>
        </w:tc>
        <w:tc>
          <w:tcPr>
            <w:tcW w:w="1394" w:type="dxa"/>
          </w:tcPr>
          <w:p w14:paraId="7D0374C2" w14:textId="73BB9C0C" w:rsidR="00785DF4" w:rsidRDefault="00785DF4" w:rsidP="00785DF4">
            <w:pPr>
              <w:pStyle w:val="Tabletext"/>
            </w:pPr>
            <w:r>
              <w:t>$5,</w:t>
            </w:r>
            <w:r w:rsidR="006152BE">
              <w:t>769.30</w:t>
            </w:r>
          </w:p>
        </w:tc>
      </w:tr>
      <w:tr w:rsidR="00A63A9D" w14:paraId="4BE7098C" w14:textId="77777777" w:rsidTr="00492F3C">
        <w:tc>
          <w:tcPr>
            <w:tcW w:w="1387" w:type="dxa"/>
          </w:tcPr>
          <w:p w14:paraId="585B6B60" w14:textId="496190E7" w:rsidR="00A63A9D" w:rsidRDefault="00A63A9D" w:rsidP="00A63A9D">
            <w:pPr>
              <w:pStyle w:val="Tabletext"/>
            </w:pPr>
            <w:r>
              <w:t>r.31(3)</w:t>
            </w:r>
          </w:p>
        </w:tc>
        <w:tc>
          <w:tcPr>
            <w:tcW w:w="5114" w:type="dxa"/>
          </w:tcPr>
          <w:p w14:paraId="463325D4" w14:textId="60106027" w:rsidR="00A63A9D" w:rsidRDefault="00A63A9D" w:rsidP="00A63A9D">
            <w:pPr>
              <w:pStyle w:val="Tabletext"/>
            </w:pPr>
            <w:r>
              <w:t>Not storing the record securely for 7 years</w:t>
            </w:r>
            <w:r w:rsidR="00E5613D">
              <w:t>.</w:t>
            </w:r>
          </w:p>
        </w:tc>
        <w:tc>
          <w:tcPr>
            <w:tcW w:w="1393" w:type="dxa"/>
          </w:tcPr>
          <w:p w14:paraId="333F1BB2" w14:textId="479F8AD5" w:rsidR="00A63A9D" w:rsidRDefault="00A63A9D" w:rsidP="00A63A9D">
            <w:pPr>
              <w:pStyle w:val="Tabletext"/>
            </w:pPr>
            <w:r>
              <w:t>30</w:t>
            </w:r>
          </w:p>
        </w:tc>
        <w:tc>
          <w:tcPr>
            <w:tcW w:w="1394" w:type="dxa"/>
          </w:tcPr>
          <w:p w14:paraId="171641CD" w14:textId="65020C8B" w:rsidR="00A63A9D" w:rsidRDefault="00A63A9D" w:rsidP="00A63A9D">
            <w:pPr>
              <w:pStyle w:val="Tabletext"/>
            </w:pPr>
            <w:r>
              <w:t>$5,</w:t>
            </w:r>
            <w:r w:rsidR="006152BE">
              <w:t>769.30</w:t>
            </w:r>
          </w:p>
        </w:tc>
      </w:tr>
      <w:tr w:rsidR="00A63A9D" w14:paraId="498362A7" w14:textId="77777777" w:rsidTr="00492F3C">
        <w:tc>
          <w:tcPr>
            <w:tcW w:w="1387" w:type="dxa"/>
          </w:tcPr>
          <w:p w14:paraId="6519E3A9" w14:textId="48EBCC21" w:rsidR="00A63A9D" w:rsidRDefault="00E027A2" w:rsidP="00A63A9D">
            <w:pPr>
              <w:pStyle w:val="Tabletext"/>
            </w:pPr>
            <w:r>
              <w:t>r.32</w:t>
            </w:r>
          </w:p>
        </w:tc>
        <w:tc>
          <w:tcPr>
            <w:tcW w:w="5114" w:type="dxa"/>
          </w:tcPr>
          <w:p w14:paraId="2D3FB6AB" w14:textId="6F45AA5B" w:rsidR="00A63A9D" w:rsidRDefault="00A76652" w:rsidP="00A63A9D">
            <w:pPr>
              <w:pStyle w:val="Tabletext"/>
            </w:pPr>
            <w:r>
              <w:t xml:space="preserve">Not </w:t>
            </w:r>
            <w:r w:rsidR="006F1FA0">
              <w:t>taking reasonable steps to ensure a complainant</w:t>
            </w:r>
            <w:r w:rsidR="00976FD3">
              <w:t xml:space="preserve"> is not adversely affected</w:t>
            </w:r>
            <w:r w:rsidR="009A000A">
              <w:t xml:space="preserve"> by making the complaint</w:t>
            </w:r>
            <w:r w:rsidR="00E5613D">
              <w:t>.</w:t>
            </w:r>
          </w:p>
        </w:tc>
        <w:tc>
          <w:tcPr>
            <w:tcW w:w="1393" w:type="dxa"/>
          </w:tcPr>
          <w:p w14:paraId="004F83A9" w14:textId="18DD645A" w:rsidR="00A63A9D" w:rsidRDefault="00006282" w:rsidP="00A63A9D">
            <w:pPr>
              <w:pStyle w:val="Tabletext"/>
            </w:pPr>
            <w:r>
              <w:t>60</w:t>
            </w:r>
          </w:p>
        </w:tc>
        <w:tc>
          <w:tcPr>
            <w:tcW w:w="1394" w:type="dxa"/>
          </w:tcPr>
          <w:p w14:paraId="057A8D17" w14:textId="096260BB" w:rsidR="00A63A9D" w:rsidRDefault="004E50FA" w:rsidP="00A63A9D">
            <w:pPr>
              <w:pStyle w:val="Tabletext"/>
            </w:pPr>
            <w:r>
              <w:t>$11,</w:t>
            </w:r>
            <w:r w:rsidR="001411F2">
              <w:t>538.60</w:t>
            </w:r>
          </w:p>
        </w:tc>
      </w:tr>
      <w:tr w:rsidR="005215EE" w14:paraId="6A22FD09" w14:textId="77777777" w:rsidTr="00492F3C">
        <w:tc>
          <w:tcPr>
            <w:tcW w:w="1387" w:type="dxa"/>
          </w:tcPr>
          <w:p w14:paraId="48A4E1A8" w14:textId="3B081B10" w:rsidR="005215EE" w:rsidRDefault="005215EE" w:rsidP="005215EE">
            <w:pPr>
              <w:pStyle w:val="Tabletext"/>
            </w:pPr>
            <w:r>
              <w:t>r.33</w:t>
            </w:r>
          </w:p>
        </w:tc>
        <w:tc>
          <w:tcPr>
            <w:tcW w:w="5114" w:type="dxa"/>
          </w:tcPr>
          <w:p w14:paraId="7871D7F3" w14:textId="5EA55E5E" w:rsidR="005215EE" w:rsidRDefault="005215EE" w:rsidP="005215EE">
            <w:pPr>
              <w:pStyle w:val="Tabletext"/>
            </w:pPr>
            <w:r>
              <w:t>Not sending all information and documents relating to a transferring patient’s medical condition and treatment to the receiving establishment or agency</w:t>
            </w:r>
            <w:r w:rsidR="00E5613D">
              <w:t>.</w:t>
            </w:r>
          </w:p>
        </w:tc>
        <w:tc>
          <w:tcPr>
            <w:tcW w:w="1393" w:type="dxa"/>
          </w:tcPr>
          <w:p w14:paraId="42767106" w14:textId="4114745A" w:rsidR="005215EE" w:rsidRDefault="005215EE" w:rsidP="005215EE">
            <w:pPr>
              <w:pStyle w:val="Tabletext"/>
            </w:pPr>
            <w:r>
              <w:t>40</w:t>
            </w:r>
          </w:p>
        </w:tc>
        <w:tc>
          <w:tcPr>
            <w:tcW w:w="1394" w:type="dxa"/>
          </w:tcPr>
          <w:p w14:paraId="54DAD4CF" w14:textId="4944298F" w:rsidR="005215EE" w:rsidRDefault="005215EE" w:rsidP="005215EE">
            <w:pPr>
              <w:pStyle w:val="Tabletext"/>
            </w:pPr>
            <w:r>
              <w:t>$7,</w:t>
            </w:r>
            <w:r w:rsidR="006152BE">
              <w:t>692.40</w:t>
            </w:r>
          </w:p>
        </w:tc>
      </w:tr>
      <w:tr w:rsidR="00785DF4" w14:paraId="7F43B2D2" w14:textId="77777777" w:rsidTr="00492F3C">
        <w:tc>
          <w:tcPr>
            <w:tcW w:w="1387" w:type="dxa"/>
          </w:tcPr>
          <w:p w14:paraId="1AE45765" w14:textId="276FA85B" w:rsidR="00785DF4" w:rsidRDefault="00785DF4" w:rsidP="00785DF4">
            <w:pPr>
              <w:pStyle w:val="Tabletext"/>
            </w:pPr>
            <w:r>
              <w:t>r.37</w:t>
            </w:r>
            <w:r w:rsidR="00AF7FA0">
              <w:t>(1)</w:t>
            </w:r>
          </w:p>
        </w:tc>
        <w:tc>
          <w:tcPr>
            <w:tcW w:w="5114" w:type="dxa"/>
          </w:tcPr>
          <w:p w14:paraId="2F186763" w14:textId="77777777" w:rsidR="00785DF4" w:rsidRDefault="00785DF4" w:rsidP="00785DF4">
            <w:pPr>
              <w:pStyle w:val="Tabletext"/>
            </w:pPr>
            <w:r>
              <w:t>Not keeping an Operation Theatre Register</w:t>
            </w:r>
            <w:r w:rsidR="00AF7FA0">
              <w:t>*</w:t>
            </w:r>
            <w:r>
              <w:t xml:space="preserve"> where surgical health services or endoscopy is carried on</w:t>
            </w:r>
          </w:p>
          <w:p w14:paraId="44F9865F" w14:textId="7C255768" w:rsidR="00AF7FA0" w:rsidRDefault="00E5613D" w:rsidP="00785DF4">
            <w:pPr>
              <w:pStyle w:val="Tabletext"/>
            </w:pPr>
            <w:r>
              <w:t>*</w:t>
            </w:r>
            <w:r w:rsidR="00AF7FA0">
              <w:t xml:space="preserve">r.37(2) lists the information to be </w:t>
            </w:r>
            <w:r w:rsidR="006F4281">
              <w:t>contained in the register</w:t>
            </w:r>
            <w:r>
              <w:t>.</w:t>
            </w:r>
          </w:p>
        </w:tc>
        <w:tc>
          <w:tcPr>
            <w:tcW w:w="1393" w:type="dxa"/>
          </w:tcPr>
          <w:p w14:paraId="33A4CBB2" w14:textId="6B76FD4E" w:rsidR="00785DF4" w:rsidRDefault="00785DF4" w:rsidP="00785DF4">
            <w:pPr>
              <w:pStyle w:val="Tabletext"/>
            </w:pPr>
            <w:r>
              <w:t>30</w:t>
            </w:r>
          </w:p>
        </w:tc>
        <w:tc>
          <w:tcPr>
            <w:tcW w:w="1394" w:type="dxa"/>
          </w:tcPr>
          <w:p w14:paraId="542735B1" w14:textId="3CCC4977" w:rsidR="00785DF4" w:rsidRDefault="00785DF4" w:rsidP="00785DF4">
            <w:pPr>
              <w:pStyle w:val="Tabletext"/>
            </w:pPr>
            <w:r>
              <w:t>$5,</w:t>
            </w:r>
            <w:r w:rsidR="006152BE">
              <w:t>769.30</w:t>
            </w:r>
          </w:p>
        </w:tc>
      </w:tr>
      <w:tr w:rsidR="00152704" w14:paraId="235FE1BB" w14:textId="77777777" w:rsidTr="00492F3C">
        <w:tc>
          <w:tcPr>
            <w:tcW w:w="1387" w:type="dxa"/>
          </w:tcPr>
          <w:p w14:paraId="21598602" w14:textId="14213280" w:rsidR="00152704" w:rsidRDefault="00152704" w:rsidP="00152704">
            <w:pPr>
              <w:pStyle w:val="Tabletext"/>
            </w:pPr>
            <w:r>
              <w:t>r.38</w:t>
            </w:r>
            <w:r w:rsidR="00EB394C">
              <w:t>(1)</w:t>
            </w:r>
          </w:p>
        </w:tc>
        <w:tc>
          <w:tcPr>
            <w:tcW w:w="5114" w:type="dxa"/>
          </w:tcPr>
          <w:p w14:paraId="2C9733BE" w14:textId="77777777" w:rsidR="00152704" w:rsidRDefault="00152704" w:rsidP="00152704">
            <w:pPr>
              <w:pStyle w:val="Tabletext"/>
            </w:pPr>
            <w:r>
              <w:t>Not keeping a Birth Register</w:t>
            </w:r>
            <w:r w:rsidR="00EB394C">
              <w:t>*</w:t>
            </w:r>
            <w:r>
              <w:t xml:space="preserve"> where obstetrics </w:t>
            </w:r>
            <w:r w:rsidR="0070162D">
              <w:t>may be</w:t>
            </w:r>
            <w:r>
              <w:t xml:space="preserve"> carried on</w:t>
            </w:r>
          </w:p>
          <w:p w14:paraId="0276B134" w14:textId="45E23277" w:rsidR="00EB394C" w:rsidRDefault="00E5613D" w:rsidP="00152704">
            <w:pPr>
              <w:pStyle w:val="Tabletext"/>
            </w:pPr>
            <w:r>
              <w:t>*r</w:t>
            </w:r>
            <w:r w:rsidR="00EB394C">
              <w:t>.38(2) lists the information to be contained in the register</w:t>
            </w:r>
            <w:r w:rsidR="00367B55">
              <w:t>.</w:t>
            </w:r>
          </w:p>
        </w:tc>
        <w:tc>
          <w:tcPr>
            <w:tcW w:w="1393" w:type="dxa"/>
          </w:tcPr>
          <w:p w14:paraId="1E78CD64" w14:textId="6106D945" w:rsidR="00152704" w:rsidRDefault="00152704" w:rsidP="00152704">
            <w:pPr>
              <w:pStyle w:val="Tabletext"/>
            </w:pPr>
            <w:r>
              <w:t>30</w:t>
            </w:r>
          </w:p>
        </w:tc>
        <w:tc>
          <w:tcPr>
            <w:tcW w:w="1394" w:type="dxa"/>
          </w:tcPr>
          <w:p w14:paraId="1B6C4355" w14:textId="076B345F" w:rsidR="00152704" w:rsidRDefault="00152704" w:rsidP="00152704">
            <w:pPr>
              <w:pStyle w:val="Tabletext"/>
            </w:pPr>
            <w:r>
              <w:t>$5,</w:t>
            </w:r>
            <w:r w:rsidR="006152BE">
              <w:t>769.30</w:t>
            </w:r>
          </w:p>
        </w:tc>
      </w:tr>
      <w:tr w:rsidR="00820F25" w14:paraId="31239368" w14:textId="77777777" w:rsidTr="00492F3C">
        <w:tc>
          <w:tcPr>
            <w:tcW w:w="1387" w:type="dxa"/>
          </w:tcPr>
          <w:p w14:paraId="762EDBBB" w14:textId="4E47BEE9" w:rsidR="00820F25" w:rsidRDefault="00820F25" w:rsidP="00820F25">
            <w:pPr>
              <w:pStyle w:val="Tabletext"/>
            </w:pPr>
            <w:r>
              <w:t>r.38(3)</w:t>
            </w:r>
          </w:p>
        </w:tc>
        <w:tc>
          <w:tcPr>
            <w:tcW w:w="5114" w:type="dxa"/>
          </w:tcPr>
          <w:p w14:paraId="7EB08B9E" w14:textId="11B6E1EA" w:rsidR="00820F25" w:rsidRDefault="00820F25" w:rsidP="00820F25">
            <w:pPr>
              <w:pStyle w:val="Tabletext"/>
            </w:pPr>
            <w:r>
              <w:t>Not retaining the Birth Register for at least 25 years after date of last entry</w:t>
            </w:r>
            <w:r w:rsidR="00367B55">
              <w:t>.</w:t>
            </w:r>
          </w:p>
        </w:tc>
        <w:tc>
          <w:tcPr>
            <w:tcW w:w="1393" w:type="dxa"/>
          </w:tcPr>
          <w:p w14:paraId="55E921CF" w14:textId="581F5197" w:rsidR="00820F25" w:rsidRDefault="00820F25" w:rsidP="00820F25">
            <w:pPr>
              <w:pStyle w:val="Tabletext"/>
            </w:pPr>
            <w:r>
              <w:t>30</w:t>
            </w:r>
          </w:p>
        </w:tc>
        <w:tc>
          <w:tcPr>
            <w:tcW w:w="1394" w:type="dxa"/>
          </w:tcPr>
          <w:p w14:paraId="6BC2F450" w14:textId="3883DCE4" w:rsidR="00820F25" w:rsidRDefault="00820F25" w:rsidP="00820F25">
            <w:pPr>
              <w:pStyle w:val="Tabletext"/>
            </w:pPr>
            <w:r>
              <w:t>$5,</w:t>
            </w:r>
            <w:r w:rsidR="006152BE">
              <w:t>769.30</w:t>
            </w:r>
          </w:p>
        </w:tc>
      </w:tr>
      <w:tr w:rsidR="00820F25" w14:paraId="1F5D3736" w14:textId="77777777" w:rsidTr="00492F3C">
        <w:tc>
          <w:tcPr>
            <w:tcW w:w="1387" w:type="dxa"/>
          </w:tcPr>
          <w:p w14:paraId="00C7F793" w14:textId="1589340B" w:rsidR="00820F25" w:rsidRDefault="00E64C8B" w:rsidP="00820F25">
            <w:pPr>
              <w:pStyle w:val="Tabletext"/>
            </w:pPr>
            <w:r>
              <w:lastRenderedPageBreak/>
              <w:t>r.39</w:t>
            </w:r>
          </w:p>
        </w:tc>
        <w:tc>
          <w:tcPr>
            <w:tcW w:w="5114" w:type="dxa"/>
          </w:tcPr>
          <w:p w14:paraId="127161F3" w14:textId="300589F4" w:rsidR="00820F25" w:rsidRDefault="009C73FB" w:rsidP="00820F25">
            <w:pPr>
              <w:pStyle w:val="Tabletext"/>
            </w:pPr>
            <w:r>
              <w:t xml:space="preserve">Not </w:t>
            </w:r>
            <w:r w:rsidR="00575FDF">
              <w:t xml:space="preserve">putting signage </w:t>
            </w:r>
            <w:r w:rsidR="00317A46">
              <w:t xml:space="preserve">at room entrances </w:t>
            </w:r>
            <w:r w:rsidR="00A86987">
              <w:t xml:space="preserve">to indicate the </w:t>
            </w:r>
            <w:r w:rsidR="00B91FE5">
              <w:t>room’s letter or number and the number of beds and recovery chairs ordinarily in that room</w:t>
            </w:r>
            <w:r w:rsidR="00367B55">
              <w:t>.</w:t>
            </w:r>
          </w:p>
        </w:tc>
        <w:tc>
          <w:tcPr>
            <w:tcW w:w="1393" w:type="dxa"/>
          </w:tcPr>
          <w:p w14:paraId="22C76CD0" w14:textId="0D7DFB25" w:rsidR="00820F25" w:rsidRDefault="00B97FF2" w:rsidP="00820F25">
            <w:pPr>
              <w:pStyle w:val="Tabletext"/>
            </w:pPr>
            <w:r>
              <w:t>10</w:t>
            </w:r>
          </w:p>
        </w:tc>
        <w:tc>
          <w:tcPr>
            <w:tcW w:w="1394" w:type="dxa"/>
          </w:tcPr>
          <w:p w14:paraId="57A63C1E" w14:textId="20C59106" w:rsidR="00820F25" w:rsidRDefault="00057FEE" w:rsidP="00820F25">
            <w:pPr>
              <w:pStyle w:val="Tabletext"/>
            </w:pPr>
            <w:r>
              <w:t>$1,</w:t>
            </w:r>
            <w:r w:rsidR="001411F2">
              <w:t>923.10</w:t>
            </w:r>
          </w:p>
        </w:tc>
      </w:tr>
      <w:tr w:rsidR="003165B5" w14:paraId="66929A04" w14:textId="77777777" w:rsidTr="00492F3C">
        <w:tc>
          <w:tcPr>
            <w:tcW w:w="1387" w:type="dxa"/>
          </w:tcPr>
          <w:p w14:paraId="2474A562" w14:textId="5043DD71" w:rsidR="003165B5" w:rsidRDefault="003165B5" w:rsidP="003165B5">
            <w:pPr>
              <w:pStyle w:val="Tabletext"/>
            </w:pPr>
            <w:r>
              <w:t>r.40</w:t>
            </w:r>
            <w:r w:rsidR="00A612E5">
              <w:t>(1)</w:t>
            </w:r>
          </w:p>
        </w:tc>
        <w:tc>
          <w:tcPr>
            <w:tcW w:w="5114" w:type="dxa"/>
          </w:tcPr>
          <w:p w14:paraId="2F6ABF0F" w14:textId="77777777" w:rsidR="003165B5" w:rsidRDefault="003165B5" w:rsidP="003165B5">
            <w:pPr>
              <w:pStyle w:val="Tabletext"/>
            </w:pPr>
            <w:r>
              <w:t>Not operating an effective electronic communication system</w:t>
            </w:r>
            <w:r w:rsidR="00A612E5">
              <w:t>*</w:t>
            </w:r>
            <w:r>
              <w:t xml:space="preserve"> at a registered premises</w:t>
            </w:r>
          </w:p>
          <w:p w14:paraId="29F97559" w14:textId="4F5880E1" w:rsidR="00A612E5" w:rsidRDefault="00367B55" w:rsidP="003165B5">
            <w:pPr>
              <w:pStyle w:val="Tabletext"/>
            </w:pPr>
            <w:r>
              <w:t>*</w:t>
            </w:r>
            <w:r w:rsidR="00A612E5">
              <w:t xml:space="preserve">r.40(2) </w:t>
            </w:r>
            <w:r w:rsidR="00CF5C70">
              <w:t xml:space="preserve">specifies the </w:t>
            </w:r>
            <w:r w:rsidR="00343619">
              <w:t xml:space="preserve">purpose and </w:t>
            </w:r>
            <w:r w:rsidR="00CF5C70">
              <w:t>require</w:t>
            </w:r>
            <w:r w:rsidR="00DA4FFA">
              <w:t>d function</w:t>
            </w:r>
            <w:r w:rsidR="002F400C">
              <w:t xml:space="preserve">ality </w:t>
            </w:r>
            <w:r w:rsidR="00CF5C70">
              <w:t>of the system</w:t>
            </w:r>
            <w:r>
              <w:t>.</w:t>
            </w:r>
          </w:p>
        </w:tc>
        <w:tc>
          <w:tcPr>
            <w:tcW w:w="1393" w:type="dxa"/>
          </w:tcPr>
          <w:p w14:paraId="62179B84" w14:textId="0620A856" w:rsidR="003165B5" w:rsidRDefault="003165B5" w:rsidP="003165B5">
            <w:pPr>
              <w:pStyle w:val="Tabletext"/>
            </w:pPr>
            <w:r>
              <w:t>60</w:t>
            </w:r>
          </w:p>
        </w:tc>
        <w:tc>
          <w:tcPr>
            <w:tcW w:w="1394" w:type="dxa"/>
          </w:tcPr>
          <w:p w14:paraId="3EB5FC08" w14:textId="719DD352" w:rsidR="003165B5" w:rsidRDefault="003165B5" w:rsidP="003165B5">
            <w:pPr>
              <w:pStyle w:val="Tabletext"/>
            </w:pPr>
            <w:r>
              <w:t>$11,</w:t>
            </w:r>
            <w:r w:rsidR="001411F2">
              <w:t>538.60</w:t>
            </w:r>
          </w:p>
        </w:tc>
      </w:tr>
      <w:tr w:rsidR="001576C4" w14:paraId="5F4DD760" w14:textId="77777777" w:rsidTr="00492F3C">
        <w:tc>
          <w:tcPr>
            <w:tcW w:w="1387" w:type="dxa"/>
          </w:tcPr>
          <w:p w14:paraId="0260A3AF" w14:textId="64EBA294" w:rsidR="001576C4" w:rsidRDefault="001576C4" w:rsidP="001576C4">
            <w:pPr>
              <w:pStyle w:val="Tabletext"/>
            </w:pPr>
            <w:r>
              <w:t>r.41</w:t>
            </w:r>
          </w:p>
        </w:tc>
        <w:tc>
          <w:tcPr>
            <w:tcW w:w="5114" w:type="dxa"/>
          </w:tcPr>
          <w:p w14:paraId="50740F12" w14:textId="115509F0" w:rsidR="001576C4" w:rsidRDefault="001576C4" w:rsidP="001576C4">
            <w:pPr>
              <w:pStyle w:val="Tabletext"/>
            </w:pPr>
            <w:r>
              <w:t>Not installing a system or mechanism to control hot water temperature to avoid patient scalding</w:t>
            </w:r>
            <w:r w:rsidR="00367B55">
              <w:t>.</w:t>
            </w:r>
          </w:p>
        </w:tc>
        <w:tc>
          <w:tcPr>
            <w:tcW w:w="1393" w:type="dxa"/>
          </w:tcPr>
          <w:p w14:paraId="0F72FC9D" w14:textId="525CD029" w:rsidR="001576C4" w:rsidRDefault="001576C4" w:rsidP="001576C4">
            <w:pPr>
              <w:pStyle w:val="Tabletext"/>
            </w:pPr>
            <w:r>
              <w:t>50</w:t>
            </w:r>
          </w:p>
        </w:tc>
        <w:tc>
          <w:tcPr>
            <w:tcW w:w="1394" w:type="dxa"/>
          </w:tcPr>
          <w:p w14:paraId="4951B9B3" w14:textId="0286A34D" w:rsidR="001576C4" w:rsidRDefault="001576C4" w:rsidP="001576C4">
            <w:pPr>
              <w:pStyle w:val="Tabletext"/>
            </w:pPr>
            <w:r>
              <w:t>$9,</w:t>
            </w:r>
            <w:r w:rsidR="006152BE">
              <w:t>615.50</w:t>
            </w:r>
          </w:p>
        </w:tc>
      </w:tr>
      <w:tr w:rsidR="001576C4" w14:paraId="490A8687" w14:textId="77777777" w:rsidTr="00492F3C">
        <w:tc>
          <w:tcPr>
            <w:tcW w:w="1387" w:type="dxa"/>
          </w:tcPr>
          <w:p w14:paraId="26B3D731" w14:textId="31AFB091" w:rsidR="001576C4" w:rsidRDefault="001576C4" w:rsidP="001576C4">
            <w:pPr>
              <w:pStyle w:val="Tabletext"/>
            </w:pPr>
            <w:r>
              <w:t>r.42</w:t>
            </w:r>
          </w:p>
        </w:tc>
        <w:tc>
          <w:tcPr>
            <w:tcW w:w="5114" w:type="dxa"/>
          </w:tcPr>
          <w:p w14:paraId="5C534525" w14:textId="066AF9A2" w:rsidR="001576C4" w:rsidRDefault="000C243A" w:rsidP="001576C4">
            <w:pPr>
              <w:pStyle w:val="Tabletext"/>
            </w:pPr>
            <w:r>
              <w:t>Not ensuring premises are kept clean, h</w:t>
            </w:r>
            <w:r w:rsidR="008F6A97">
              <w:t xml:space="preserve">ygienic, in </w:t>
            </w:r>
            <w:r w:rsidR="00C25931">
              <w:t xml:space="preserve">proper state of repair and free of </w:t>
            </w:r>
            <w:r w:rsidR="00CA7B1A">
              <w:t>hazards</w:t>
            </w:r>
            <w:r w:rsidR="001427CB">
              <w:t xml:space="preserve"> or materials </w:t>
            </w:r>
            <w:r w:rsidR="0054557D">
              <w:t xml:space="preserve">that may become offensive, injurious to health or </w:t>
            </w:r>
            <w:r w:rsidR="00CB4AA5">
              <w:t>facilitate fire outbreaks</w:t>
            </w:r>
            <w:r w:rsidR="00367B55">
              <w:t>.</w:t>
            </w:r>
          </w:p>
        </w:tc>
        <w:tc>
          <w:tcPr>
            <w:tcW w:w="1393" w:type="dxa"/>
          </w:tcPr>
          <w:p w14:paraId="01908E30" w14:textId="0C72049C" w:rsidR="001576C4" w:rsidRDefault="00CB4AA5" w:rsidP="001576C4">
            <w:pPr>
              <w:pStyle w:val="Tabletext"/>
            </w:pPr>
            <w:r>
              <w:t>80</w:t>
            </w:r>
          </w:p>
        </w:tc>
        <w:tc>
          <w:tcPr>
            <w:tcW w:w="1394" w:type="dxa"/>
          </w:tcPr>
          <w:p w14:paraId="21AB7093" w14:textId="55D5C041" w:rsidR="001576C4" w:rsidRDefault="006152BE" w:rsidP="001576C4">
            <w:pPr>
              <w:pStyle w:val="Tabletext"/>
            </w:pPr>
            <w:r>
              <w:t>$1</w:t>
            </w:r>
            <w:r w:rsidR="006974BB">
              <w:t>5,384.80</w:t>
            </w:r>
          </w:p>
        </w:tc>
      </w:tr>
      <w:tr w:rsidR="00826ACF" w14:paraId="4AA1B781" w14:textId="77777777" w:rsidTr="00492F3C">
        <w:tc>
          <w:tcPr>
            <w:tcW w:w="1387" w:type="dxa"/>
          </w:tcPr>
          <w:p w14:paraId="31C78283" w14:textId="2E7C2B41" w:rsidR="00826ACF" w:rsidRDefault="00826ACF" w:rsidP="00826ACF">
            <w:pPr>
              <w:pStyle w:val="Tabletext"/>
            </w:pPr>
            <w:r>
              <w:t>r.43(2)</w:t>
            </w:r>
          </w:p>
        </w:tc>
        <w:tc>
          <w:tcPr>
            <w:tcW w:w="5114" w:type="dxa"/>
          </w:tcPr>
          <w:p w14:paraId="4DE6A3F8" w14:textId="50F76D3B" w:rsidR="00826ACF" w:rsidRDefault="00826ACF" w:rsidP="00826ACF">
            <w:pPr>
              <w:pStyle w:val="Tabletext"/>
            </w:pPr>
            <w:r>
              <w:t>Not ensuring facilities, equipment, furnishings and fittings are maintained in good working order and kept clean and hygienic</w:t>
            </w:r>
            <w:r w:rsidR="00367B55">
              <w:t>.</w:t>
            </w:r>
          </w:p>
        </w:tc>
        <w:tc>
          <w:tcPr>
            <w:tcW w:w="1393" w:type="dxa"/>
          </w:tcPr>
          <w:p w14:paraId="242D4CC5" w14:textId="39F950DD" w:rsidR="00826ACF" w:rsidRDefault="00826ACF" w:rsidP="00826ACF">
            <w:pPr>
              <w:pStyle w:val="Tabletext"/>
            </w:pPr>
            <w:r>
              <w:t>80</w:t>
            </w:r>
          </w:p>
        </w:tc>
        <w:tc>
          <w:tcPr>
            <w:tcW w:w="1394" w:type="dxa"/>
          </w:tcPr>
          <w:p w14:paraId="78E6D5B7" w14:textId="7D6CEABD" w:rsidR="00826ACF" w:rsidRDefault="006974BB" w:rsidP="00826ACF">
            <w:pPr>
              <w:pStyle w:val="Tabletext"/>
            </w:pPr>
            <w:r>
              <w:t>$15,384.80</w:t>
            </w:r>
          </w:p>
        </w:tc>
      </w:tr>
      <w:tr w:rsidR="00401C0D" w14:paraId="752D36DB" w14:textId="77777777" w:rsidTr="00492F3C">
        <w:tc>
          <w:tcPr>
            <w:tcW w:w="1387" w:type="dxa"/>
          </w:tcPr>
          <w:p w14:paraId="4D1554A7" w14:textId="458783D0" w:rsidR="00401C0D" w:rsidRDefault="00401C0D" w:rsidP="00401C0D">
            <w:pPr>
              <w:pStyle w:val="Tabletext"/>
            </w:pPr>
            <w:r>
              <w:t>r.44(1)</w:t>
            </w:r>
          </w:p>
        </w:tc>
        <w:tc>
          <w:tcPr>
            <w:tcW w:w="5114" w:type="dxa"/>
          </w:tcPr>
          <w:p w14:paraId="6B043E71" w14:textId="6E102D82" w:rsidR="00401C0D" w:rsidRDefault="00401C0D" w:rsidP="00401C0D">
            <w:pPr>
              <w:pStyle w:val="Tabletext"/>
            </w:pPr>
            <w:r>
              <w:t>Not implementing and maintaining an Infection Control Management Plan*</w:t>
            </w:r>
          </w:p>
          <w:p w14:paraId="465D77FD" w14:textId="394464E4" w:rsidR="00401C0D" w:rsidRDefault="00367B55" w:rsidP="00401C0D">
            <w:pPr>
              <w:pStyle w:val="Tabletext"/>
            </w:pPr>
            <w:r>
              <w:t>*</w:t>
            </w:r>
            <w:r w:rsidR="00401C0D">
              <w:t>rr.44(2) and 44(30) specify the purpose and requirements of the Plan</w:t>
            </w:r>
            <w:r>
              <w:t>.</w:t>
            </w:r>
          </w:p>
        </w:tc>
        <w:tc>
          <w:tcPr>
            <w:tcW w:w="1393" w:type="dxa"/>
          </w:tcPr>
          <w:p w14:paraId="0AD0FF47" w14:textId="79AF3436" w:rsidR="00401C0D" w:rsidRDefault="00401C0D" w:rsidP="00401C0D">
            <w:pPr>
              <w:pStyle w:val="Tabletext"/>
            </w:pPr>
            <w:r>
              <w:t>80</w:t>
            </w:r>
          </w:p>
        </w:tc>
        <w:tc>
          <w:tcPr>
            <w:tcW w:w="1394" w:type="dxa"/>
          </w:tcPr>
          <w:p w14:paraId="0EDDFC85" w14:textId="2AC80BC4" w:rsidR="00401C0D" w:rsidRDefault="006974BB" w:rsidP="00401C0D">
            <w:pPr>
              <w:pStyle w:val="Tabletext"/>
            </w:pPr>
            <w:r>
              <w:t>$15,384.80</w:t>
            </w:r>
          </w:p>
        </w:tc>
      </w:tr>
      <w:tr w:rsidR="00317ED4" w14:paraId="36B5D716" w14:textId="77777777" w:rsidTr="00492F3C">
        <w:tc>
          <w:tcPr>
            <w:tcW w:w="1387" w:type="dxa"/>
          </w:tcPr>
          <w:p w14:paraId="7E4A04AF" w14:textId="677A58D8" w:rsidR="00317ED4" w:rsidRDefault="00317ED4" w:rsidP="00317ED4">
            <w:pPr>
              <w:pStyle w:val="Tabletext"/>
            </w:pPr>
            <w:r>
              <w:t>r.45</w:t>
            </w:r>
          </w:p>
        </w:tc>
        <w:tc>
          <w:tcPr>
            <w:tcW w:w="5114" w:type="dxa"/>
          </w:tcPr>
          <w:p w14:paraId="78A29B91" w14:textId="0FDF4291" w:rsidR="00317ED4" w:rsidRDefault="00317ED4" w:rsidP="00317ED4">
            <w:pPr>
              <w:pStyle w:val="Tabletext"/>
            </w:pPr>
            <w:r>
              <w:t>Not prominently displaying the registration certificate, name of the DON and name of the CEO or Medical Director if appointed</w:t>
            </w:r>
            <w:r w:rsidR="00367B55">
              <w:t>.</w:t>
            </w:r>
          </w:p>
        </w:tc>
        <w:tc>
          <w:tcPr>
            <w:tcW w:w="1393" w:type="dxa"/>
          </w:tcPr>
          <w:p w14:paraId="1136FC65" w14:textId="22659D23" w:rsidR="00317ED4" w:rsidRDefault="00317ED4" w:rsidP="00317ED4">
            <w:pPr>
              <w:pStyle w:val="Tabletext"/>
            </w:pPr>
            <w:r>
              <w:t>20</w:t>
            </w:r>
          </w:p>
        </w:tc>
        <w:tc>
          <w:tcPr>
            <w:tcW w:w="1394" w:type="dxa"/>
          </w:tcPr>
          <w:p w14:paraId="057D65C5" w14:textId="50224254" w:rsidR="00317ED4" w:rsidRDefault="00317ED4" w:rsidP="00317ED4">
            <w:pPr>
              <w:pStyle w:val="Tabletext"/>
            </w:pPr>
            <w:r>
              <w:t>$3,</w:t>
            </w:r>
            <w:r w:rsidR="006974BB">
              <w:t>846.20</w:t>
            </w:r>
          </w:p>
        </w:tc>
      </w:tr>
      <w:tr w:rsidR="009D3BF5" w14:paraId="3720B3E6" w14:textId="77777777" w:rsidTr="00492F3C">
        <w:tc>
          <w:tcPr>
            <w:tcW w:w="1387" w:type="dxa"/>
          </w:tcPr>
          <w:p w14:paraId="013036F0" w14:textId="49964F32" w:rsidR="009D3BF5" w:rsidRDefault="009D3BF5" w:rsidP="009D3BF5">
            <w:pPr>
              <w:pStyle w:val="Tabletext"/>
            </w:pPr>
            <w:r>
              <w:t>r.46A</w:t>
            </w:r>
          </w:p>
        </w:tc>
        <w:tc>
          <w:tcPr>
            <w:tcW w:w="5114" w:type="dxa"/>
          </w:tcPr>
          <w:p w14:paraId="31B84EE2" w14:textId="03096FF3" w:rsidR="009D3BF5" w:rsidRDefault="009D3BF5" w:rsidP="009D3BF5">
            <w:pPr>
              <w:pStyle w:val="Tabletext"/>
            </w:pPr>
            <w:r>
              <w:t>Not reporting a sentinel event in required timeframe</w:t>
            </w:r>
            <w:r w:rsidR="00367B55">
              <w:t>.</w:t>
            </w:r>
          </w:p>
        </w:tc>
        <w:tc>
          <w:tcPr>
            <w:tcW w:w="1393" w:type="dxa"/>
          </w:tcPr>
          <w:p w14:paraId="06B708B3" w14:textId="57C39492" w:rsidR="009D3BF5" w:rsidRDefault="009D3BF5" w:rsidP="009D3BF5">
            <w:pPr>
              <w:pStyle w:val="Tabletext"/>
            </w:pPr>
            <w:r>
              <w:t>40</w:t>
            </w:r>
          </w:p>
        </w:tc>
        <w:tc>
          <w:tcPr>
            <w:tcW w:w="1394" w:type="dxa"/>
          </w:tcPr>
          <w:p w14:paraId="36D57CC7" w14:textId="44CE2A41" w:rsidR="009D3BF5" w:rsidRDefault="009D3BF5" w:rsidP="009D3BF5">
            <w:pPr>
              <w:pStyle w:val="Tabletext"/>
            </w:pPr>
            <w:r>
              <w:t>$7,</w:t>
            </w:r>
            <w:r w:rsidR="006974BB">
              <w:t>692.40</w:t>
            </w:r>
          </w:p>
        </w:tc>
      </w:tr>
    </w:tbl>
    <w:p w14:paraId="51FBE275" w14:textId="77777777" w:rsidR="005D0265" w:rsidRDefault="005D0265" w:rsidP="00273091">
      <w:pPr>
        <w:pStyle w:val="Body"/>
        <w:sectPr w:rsidR="005D0265" w:rsidSect="00454A7D">
          <w:headerReference w:type="even" r:id="rId40"/>
          <w:headerReference w:type="default" r:id="rId41"/>
          <w:footerReference w:type="even" r:id="rId42"/>
          <w:footerReference w:type="default" r:id="rId43"/>
          <w:headerReference w:type="first" r:id="rId44"/>
          <w:pgSz w:w="11906" w:h="16838" w:code="9"/>
          <w:pgMar w:top="1418" w:right="1304" w:bottom="1134" w:left="1304" w:header="680" w:footer="851" w:gutter="0"/>
          <w:cols w:space="340"/>
          <w:titlePg/>
          <w:docGrid w:linePitch="360"/>
        </w:sectPr>
      </w:pPr>
    </w:p>
    <w:p w14:paraId="2C04B891" w14:textId="497E6089" w:rsidR="006C5EC1" w:rsidRDefault="0029468E" w:rsidP="00F434B7">
      <w:pPr>
        <w:pStyle w:val="Heading1"/>
      </w:pPr>
      <w:bookmarkStart w:id="119" w:name="_Appendix_B_–"/>
      <w:bookmarkStart w:id="120" w:name="_Toc143272049"/>
      <w:bookmarkEnd w:id="119"/>
      <w:r>
        <w:rPr>
          <w:noProof/>
        </w:rPr>
        <w:lastRenderedPageBreak/>
        <w:drawing>
          <wp:anchor distT="0" distB="0" distL="114300" distR="114300" simplePos="0" relativeHeight="251658240" behindDoc="1" locked="1" layoutInCell="1" allowOverlap="1" wp14:anchorId="07E495A4" wp14:editId="7ED81A1B">
            <wp:simplePos x="0" y="0"/>
            <wp:positionH relativeFrom="page">
              <wp:posOffset>-1270</wp:posOffset>
            </wp:positionH>
            <wp:positionV relativeFrom="page">
              <wp:posOffset>-3810</wp:posOffset>
            </wp:positionV>
            <wp:extent cx="7555865" cy="1358265"/>
            <wp:effectExtent l="0" t="0" r="635" b="635"/>
            <wp:wrapNone/>
            <wp:docPr id="63" name="Pictur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45"/>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r w:rsidR="006C5EC1">
        <w:t xml:space="preserve">Appendix </w:t>
      </w:r>
      <w:r w:rsidR="00273091">
        <w:t>B</w:t>
      </w:r>
      <w:r w:rsidR="006C5EC1">
        <w:t xml:space="preserve"> –</w:t>
      </w:r>
      <w:r w:rsidR="003772BF">
        <w:t xml:space="preserve"> </w:t>
      </w:r>
      <w:r w:rsidR="003E0398">
        <w:t>R</w:t>
      </w:r>
      <w:r w:rsidR="00F434B7">
        <w:t>esponse template</w:t>
      </w:r>
      <w:bookmarkEnd w:id="120"/>
    </w:p>
    <w:p w14:paraId="24243BDA" w14:textId="154890A1" w:rsidR="00984C4C" w:rsidRDefault="00DA0946" w:rsidP="003726EB">
      <w:pPr>
        <w:pStyle w:val="Heading2"/>
      </w:pPr>
      <w:bookmarkStart w:id="121" w:name="_Toc143272050"/>
      <w:r w:rsidRPr="00274F47">
        <w:t>Review of the Health Service</w:t>
      </w:r>
      <w:r w:rsidR="006B5FAE" w:rsidRPr="00274F47">
        <w:t>s (Health Service Establishments) Regulations</w:t>
      </w:r>
      <w:r w:rsidR="00C126BC" w:rsidRPr="00274F47">
        <w:t xml:space="preserve"> 2013</w:t>
      </w:r>
      <w:r w:rsidR="004F2AA8">
        <w:t xml:space="preserve"> </w:t>
      </w:r>
      <w:r w:rsidR="00461B82">
        <w:t>d</w:t>
      </w:r>
      <w:r w:rsidR="00274F47">
        <w:t xml:space="preserve">iscussion paper – </w:t>
      </w:r>
      <w:r w:rsidR="00EA5CAB">
        <w:t>August</w:t>
      </w:r>
      <w:r w:rsidR="00274F47">
        <w:t xml:space="preserve"> 2023</w:t>
      </w:r>
      <w:bookmarkEnd w:id="121"/>
    </w:p>
    <w:p w14:paraId="68217145" w14:textId="7027B352" w:rsidR="004F2AA8" w:rsidRPr="00984C4C" w:rsidRDefault="00460730" w:rsidP="00435C68">
      <w:pPr>
        <w:pStyle w:val="Bannermarking"/>
      </w:pPr>
      <w:r>
        <w:fldChar w:fldCharType="begin"/>
      </w:r>
      <w:r>
        <w:instrText>FILLIN  "Type the protective marking" \d OFFICIAL \o  \* MERGEFORMAT</w:instrText>
      </w:r>
      <w:r>
        <w:fldChar w:fldCharType="separate"/>
      </w:r>
      <w:r w:rsidR="0084005F">
        <w:t>OFFICIAL</w:t>
      </w:r>
      <w:r>
        <w:fldChar w:fldCharType="end"/>
      </w:r>
    </w:p>
    <w:p w14:paraId="3EB2CF82" w14:textId="77777777" w:rsidR="00014077" w:rsidRPr="00014077" w:rsidRDefault="00014077" w:rsidP="00435C68">
      <w:pPr>
        <w:pStyle w:val="Body"/>
      </w:pPr>
    </w:p>
    <w:p w14:paraId="03C5B9D9" w14:textId="275C85C0" w:rsidR="0061279C" w:rsidRDefault="00F57DB9" w:rsidP="00F434B7">
      <w:pPr>
        <w:pStyle w:val="Body"/>
      </w:pPr>
      <w:r>
        <w:t xml:space="preserve">The </w:t>
      </w:r>
      <w:r w:rsidR="00F513BC">
        <w:t xml:space="preserve">Department of Health (the department) is seeking </w:t>
      </w:r>
      <w:r w:rsidR="00AA14EA">
        <w:t xml:space="preserve">feedback </w:t>
      </w:r>
      <w:r w:rsidR="00C623E8">
        <w:t xml:space="preserve">on </w:t>
      </w:r>
      <w:r w:rsidR="003772BF">
        <w:t xml:space="preserve">the </w:t>
      </w:r>
      <w:r w:rsidR="00DA0946">
        <w:t>discussion</w:t>
      </w:r>
      <w:r w:rsidR="003772BF">
        <w:t xml:space="preserve"> paper, </w:t>
      </w:r>
      <w:r w:rsidR="00DA0946" w:rsidRPr="00C126BC">
        <w:rPr>
          <w:i/>
          <w:iCs/>
        </w:rPr>
        <w:t>Review of the Health Service</w:t>
      </w:r>
      <w:r w:rsidR="006B5FAE" w:rsidRPr="00C126BC">
        <w:rPr>
          <w:i/>
          <w:iCs/>
        </w:rPr>
        <w:t>s (Health Service Establishments) Regulations</w:t>
      </w:r>
      <w:r w:rsidR="00C126BC" w:rsidRPr="00C126BC">
        <w:rPr>
          <w:i/>
          <w:iCs/>
        </w:rPr>
        <w:t xml:space="preserve"> 2013</w:t>
      </w:r>
      <w:r w:rsidR="003772BF">
        <w:t xml:space="preserve">. </w:t>
      </w:r>
    </w:p>
    <w:p w14:paraId="76ADD0DA" w14:textId="615465AE" w:rsidR="003772BF" w:rsidRDefault="00C623E8" w:rsidP="00F434B7">
      <w:pPr>
        <w:pStyle w:val="Body"/>
      </w:pPr>
      <w:r>
        <w:t xml:space="preserve">You may use this template </w:t>
      </w:r>
      <w:r w:rsidR="00401397">
        <w:t xml:space="preserve">to </w:t>
      </w:r>
      <w:r w:rsidR="000D616E">
        <w:t xml:space="preserve">submit your response </w:t>
      </w:r>
      <w:r w:rsidR="002142B7">
        <w:t xml:space="preserve">or provide your feedback in another written format. </w:t>
      </w:r>
    </w:p>
    <w:p w14:paraId="318A7C6F" w14:textId="77777777" w:rsidR="00BF6AD1" w:rsidRDefault="00BF6AD1" w:rsidP="00BF6AD1">
      <w:pPr>
        <w:pStyle w:val="Body"/>
      </w:pPr>
      <w:r>
        <w:t>Any individual or organisation can make a submission.</w:t>
      </w:r>
    </w:p>
    <w:p w14:paraId="28D47788" w14:textId="77777777" w:rsidR="00BF6AD1" w:rsidRDefault="00BF6AD1" w:rsidP="00BF6AD1">
      <w:pPr>
        <w:pStyle w:val="Body"/>
      </w:pPr>
      <w:r>
        <w:t>Your submission can address one or more of the questions in the discussion paper that are relevant to you or your organisation. These questions are listed below to guide your submission. You do not need to address all the questions.</w:t>
      </w:r>
    </w:p>
    <w:p w14:paraId="79FA61A3" w14:textId="77777777" w:rsidR="00BF6AD1" w:rsidRDefault="00BF6AD1" w:rsidP="00BF6AD1">
      <w:pPr>
        <w:pStyle w:val="Body"/>
      </w:pPr>
      <w:r>
        <w:t xml:space="preserve">Your submission can also include feedback on any other elements of the </w:t>
      </w:r>
      <w:r w:rsidRPr="00435C68">
        <w:t>Health Services (Health Service Establishments) Regulations 2013</w:t>
      </w:r>
      <w:r>
        <w:t xml:space="preserve"> (the Regulations) not covered by the questions.</w:t>
      </w:r>
    </w:p>
    <w:p w14:paraId="1580A420" w14:textId="77777777" w:rsidR="00BF6AD1" w:rsidRDefault="00BF6AD1" w:rsidP="00BF6AD1">
      <w:pPr>
        <w:pStyle w:val="Body"/>
      </w:pPr>
      <w:r>
        <w:t>Your submission may include facts, opinions, recommendations or suggested solutions to the questions.</w:t>
      </w:r>
    </w:p>
    <w:p w14:paraId="0325277C" w14:textId="77777777" w:rsidR="00BF6AD1" w:rsidRDefault="00BF6AD1" w:rsidP="00BF6AD1">
      <w:pPr>
        <w:pStyle w:val="Body"/>
      </w:pPr>
      <w:r>
        <w:t xml:space="preserve">When writing your submission, please: </w:t>
      </w:r>
    </w:p>
    <w:p w14:paraId="43687AF1" w14:textId="77777777" w:rsidR="00BF6AD1" w:rsidRDefault="00BF6AD1" w:rsidP="00BF6AD1">
      <w:pPr>
        <w:pStyle w:val="Body"/>
        <w:numPr>
          <w:ilvl w:val="0"/>
          <w:numId w:val="44"/>
        </w:numPr>
      </w:pPr>
      <w:r>
        <w:t>Be brief and clear. If your submission is long, it is helpful to include a summary of your key points on the first page. Please number the pages in your submission.</w:t>
      </w:r>
    </w:p>
    <w:p w14:paraId="1A41408E" w14:textId="77777777" w:rsidR="00BF6AD1" w:rsidRDefault="00BF6AD1" w:rsidP="00BF6AD1">
      <w:pPr>
        <w:pStyle w:val="Body"/>
        <w:numPr>
          <w:ilvl w:val="0"/>
          <w:numId w:val="44"/>
        </w:numPr>
      </w:pPr>
      <w:r>
        <w:t>Make it clear who the submission is from. If you are making a submission on behalf of an organisation, please indicate your position in the organisation and the level at which the submission has been authorised.</w:t>
      </w:r>
    </w:p>
    <w:p w14:paraId="54563943" w14:textId="77777777" w:rsidR="00BF6AD1" w:rsidRDefault="00BF6AD1" w:rsidP="00BF6AD1">
      <w:pPr>
        <w:pStyle w:val="Body"/>
        <w:numPr>
          <w:ilvl w:val="0"/>
          <w:numId w:val="44"/>
        </w:numPr>
      </w:pPr>
      <w:r>
        <w:t>Be relevant and appropriate. The department may choose not to accept a submission that is not relevant, is frivolous or contains offensive language or remarks.</w:t>
      </w:r>
    </w:p>
    <w:p w14:paraId="0ADFA997" w14:textId="77777777" w:rsidR="00BF6AD1" w:rsidRDefault="00BF6AD1" w:rsidP="00BF6AD1">
      <w:pPr>
        <w:pStyle w:val="Body"/>
      </w:pPr>
      <w:r>
        <w:t>Your name will only be published if you provide consent.</w:t>
      </w:r>
    </w:p>
    <w:p w14:paraId="4179CF10" w14:textId="77777777" w:rsidR="00BF6AD1" w:rsidDel="00D542C9" w:rsidRDefault="00BF6AD1" w:rsidP="00BF6AD1">
      <w:pPr>
        <w:pStyle w:val="Body"/>
      </w:pPr>
      <w:r>
        <w:t>Material in your submission will only be published if you provide consent.</w:t>
      </w:r>
    </w:p>
    <w:p w14:paraId="7769C5E7" w14:textId="77777777" w:rsidR="00BF6AD1" w:rsidRDefault="00BF6AD1" w:rsidP="00B01938">
      <w:pPr>
        <w:pStyle w:val="Heading2"/>
      </w:pPr>
      <w:bookmarkStart w:id="122" w:name="_Toc143272051"/>
      <w:r>
        <w:t>Making a submission</w:t>
      </w:r>
      <w:bookmarkEnd w:id="122"/>
    </w:p>
    <w:p w14:paraId="2FDA1D24" w14:textId="566708A8" w:rsidR="00BF6AD1" w:rsidRDefault="00BF6AD1" w:rsidP="00BF6AD1">
      <w:pPr>
        <w:pStyle w:val="Body"/>
      </w:pPr>
      <w:r>
        <w:t xml:space="preserve">Once you have completed your response, please email it to </w:t>
      </w:r>
      <w:hyperlink r:id="rId46" w:history="1">
        <w:r w:rsidR="0085244E">
          <w:rPr>
            <w:rStyle w:val="Hyperlink"/>
          </w:rPr>
          <w:t xml:space="preserve">Legislation and Regulation Reform </w:t>
        </w:r>
      </w:hyperlink>
      <w:r>
        <w:t xml:space="preserve"> &lt;legandregreform@health.vic.gov.au&gt;.</w:t>
      </w:r>
    </w:p>
    <w:p w14:paraId="1B45115E" w14:textId="392B45C7" w:rsidR="00AD6B2B" w:rsidRDefault="00AD6B2B" w:rsidP="00AD6B2B">
      <w:pPr>
        <w:pStyle w:val="Body"/>
        <w:rPr>
          <w:rStyle w:val="normaltextrun"/>
          <w:rFonts w:cs="Arial"/>
          <w:szCs w:val="21"/>
        </w:rPr>
      </w:pPr>
      <w:r w:rsidRPr="008E1034">
        <w:rPr>
          <w:rStyle w:val="normaltextrun"/>
          <w:rFonts w:cs="Arial"/>
          <w:b/>
          <w:bCs/>
          <w:szCs w:val="21"/>
        </w:rPr>
        <w:t>Submissions are due by</w:t>
      </w:r>
      <w:r>
        <w:rPr>
          <w:rStyle w:val="normaltextrun"/>
          <w:rFonts w:cs="Arial"/>
          <w:szCs w:val="21"/>
        </w:rPr>
        <w:t xml:space="preserve"> </w:t>
      </w:r>
      <w:r w:rsidRPr="00F8461B">
        <w:rPr>
          <w:rStyle w:val="normaltextrun"/>
          <w:rFonts w:cs="Arial"/>
          <w:b/>
          <w:bCs/>
          <w:szCs w:val="21"/>
        </w:rPr>
        <w:t>midnight 2</w:t>
      </w:r>
      <w:r w:rsidR="00480471">
        <w:rPr>
          <w:rStyle w:val="normaltextrun"/>
          <w:rFonts w:cs="Arial"/>
          <w:b/>
          <w:bCs/>
          <w:szCs w:val="21"/>
        </w:rPr>
        <w:t>4</w:t>
      </w:r>
      <w:r w:rsidRPr="00F8461B">
        <w:rPr>
          <w:rStyle w:val="normaltextrun"/>
          <w:rFonts w:cs="Arial"/>
          <w:b/>
          <w:bCs/>
          <w:szCs w:val="21"/>
        </w:rPr>
        <w:t xml:space="preserve"> September 2023.</w:t>
      </w:r>
    </w:p>
    <w:p w14:paraId="5E0E0953" w14:textId="77777777" w:rsidR="00BF6AD1" w:rsidRPr="00ED6EDE" w:rsidRDefault="00BF6AD1" w:rsidP="00B01938">
      <w:pPr>
        <w:pStyle w:val="Heading2"/>
      </w:pPr>
      <w:bookmarkStart w:id="123" w:name="_Toc143272052"/>
      <w:r w:rsidRPr="00ED6EDE">
        <w:t>Publication of submissions</w:t>
      </w:r>
      <w:bookmarkEnd w:id="123"/>
    </w:p>
    <w:p w14:paraId="39918DC8" w14:textId="77777777" w:rsidR="00AA2803" w:rsidRPr="00375CDE" w:rsidRDefault="00AA2803" w:rsidP="00AA2803">
      <w:pPr>
        <w:pStyle w:val="Body"/>
      </w:pPr>
      <w:r w:rsidRPr="00375CDE">
        <w:t>All submissions will be considered public documents unless marked ‘private and confidential’. They may be referred to in further consultation material developed by the department, including</w:t>
      </w:r>
      <w:r w:rsidRPr="00375CDE" w:rsidDel="00FB321A">
        <w:t xml:space="preserve"> </w:t>
      </w:r>
      <w:r w:rsidRPr="00375CDE">
        <w:t xml:space="preserve">being </w:t>
      </w:r>
      <w:r w:rsidRPr="00375CDE">
        <w:lastRenderedPageBreak/>
        <w:t xml:space="preserve">included in full or in summary in the Regulatory Impact Statement (RIS) </w:t>
      </w:r>
      <w:r>
        <w:t>that</w:t>
      </w:r>
      <w:r w:rsidRPr="00375CDE">
        <w:t xml:space="preserve"> will be published on the department’s website.</w:t>
      </w:r>
    </w:p>
    <w:p w14:paraId="224CA7A7" w14:textId="77777777" w:rsidR="00BF6AD1" w:rsidRPr="00802817" w:rsidRDefault="00BF6AD1" w:rsidP="00BF6AD1">
      <w:pPr>
        <w:pStyle w:val="Body"/>
      </w:pPr>
      <w:r w:rsidRPr="00802817">
        <w:rPr>
          <w:b/>
          <w:bCs/>
        </w:rPr>
        <w:t>Clearly mark your submission ‘private and confidential’ if you are disclosing personal or other information that you prefer not to publish</w:t>
      </w:r>
      <w:r w:rsidRPr="00802817">
        <w:t>.</w:t>
      </w:r>
    </w:p>
    <w:p w14:paraId="71C87686" w14:textId="77777777" w:rsidR="00BF6AD1" w:rsidRDefault="00BF6AD1" w:rsidP="00BF6AD1">
      <w:pPr>
        <w:pStyle w:val="Body"/>
      </w:pPr>
      <w:r w:rsidRPr="00802817">
        <w:t xml:space="preserve">Alternatively, you can submit material marked ‘private and confidential’ in a separate attachment to non-confidential material that can be published. </w:t>
      </w:r>
      <w:r>
        <w:tab/>
      </w:r>
      <w:r>
        <w:tab/>
      </w:r>
    </w:p>
    <w:p w14:paraId="48BDFB02" w14:textId="7C8264EF" w:rsidR="000D746E" w:rsidRDefault="00BF6AD1" w:rsidP="00BF6AD1">
      <w:pPr>
        <w:pStyle w:val="Body"/>
      </w:pPr>
      <w:r w:rsidRPr="00380068">
        <w:t xml:space="preserve">You may withdraw consent for the department to publish all or part of your submission by </w:t>
      </w:r>
      <w:r w:rsidR="000D746E">
        <w:t>emailing</w:t>
      </w:r>
      <w:r w:rsidRPr="00380068">
        <w:t xml:space="preserve"> </w:t>
      </w:r>
      <w:hyperlink r:id="rId47" w:history="1">
        <w:r>
          <w:rPr>
            <w:rStyle w:val="Hyperlink"/>
          </w:rPr>
          <w:t>Legislation and Regulation Reform</w:t>
        </w:r>
      </w:hyperlink>
      <w:r w:rsidRPr="00380068">
        <w:t xml:space="preserve"> </w:t>
      </w:r>
      <w:r w:rsidR="000D746E" w:rsidRPr="00375CDE">
        <w:t xml:space="preserve">&lt;legandregreform@health.vic.gov.au&gt; before </w:t>
      </w:r>
      <w:r w:rsidR="00BA6D0E">
        <w:t>8</w:t>
      </w:r>
      <w:r w:rsidR="000D746E" w:rsidRPr="00375CDE">
        <w:t xml:space="preserve"> </w:t>
      </w:r>
      <w:r w:rsidR="000D746E">
        <w:t>October 2023.</w:t>
      </w:r>
    </w:p>
    <w:p w14:paraId="793D3E46" w14:textId="77777777" w:rsidR="0035233C" w:rsidRPr="00375CDE" w:rsidRDefault="0035233C" w:rsidP="0035233C">
      <w:pPr>
        <w:pStyle w:val="Body"/>
      </w:pPr>
      <w:r w:rsidRPr="00375CDE">
        <w:t>Before publishing, the department will remove your contact details and may remove other personally identifying information from your submission.</w:t>
      </w:r>
    </w:p>
    <w:p w14:paraId="22FE9301" w14:textId="77777777" w:rsidR="0026266F" w:rsidRDefault="0026266F" w:rsidP="0026266F">
      <w:pPr>
        <w:pStyle w:val="Body"/>
        <w:rPr>
          <w:rStyle w:val="normaltextrun"/>
          <w:rFonts w:cs="Arial"/>
          <w:szCs w:val="21"/>
        </w:rPr>
      </w:pPr>
      <w:r>
        <w:rPr>
          <w:rStyle w:val="normaltextrun"/>
          <w:rFonts w:cs="Arial"/>
          <w:szCs w:val="21"/>
        </w:rPr>
        <w:t>The department reserves the right to not publish submissions for any reason including material that is offensive, potentially defamatory or out of scope for the consultation. The views expressed in the submissions are those of the individuals or organisations who submit them and their publication does not imply any acceptance of, or agreement with, these views by the department.</w:t>
      </w:r>
    </w:p>
    <w:p w14:paraId="1B5A4171" w14:textId="77777777" w:rsidR="0026266F" w:rsidRDefault="0026266F" w:rsidP="0026266F">
      <w:pPr>
        <w:pStyle w:val="Body"/>
        <w:rPr>
          <w:rStyle w:val="normaltextrun"/>
          <w:rFonts w:cs="Arial"/>
          <w:szCs w:val="21"/>
        </w:rPr>
      </w:pPr>
      <w:r>
        <w:rPr>
          <w:rStyle w:val="normaltextrun"/>
          <w:rFonts w:cs="Arial"/>
          <w:szCs w:val="21"/>
        </w:rPr>
        <w:t>Copyright in submissions received by the department rests with the author(s), not with the department. If you are not the copyright owner of material in your submission, you should reference or provide a link to this material in your submission.</w:t>
      </w:r>
    </w:p>
    <w:p w14:paraId="3310C64B" w14:textId="77777777" w:rsidR="00BF6AD1" w:rsidRPr="00380068" w:rsidRDefault="00BF6AD1" w:rsidP="00BF6AD1">
      <w:pPr>
        <w:pStyle w:val="Body"/>
      </w:pPr>
      <w:r w:rsidRPr="00380068">
        <w:t>Please read the collection notice below before completing a submission.</w:t>
      </w:r>
    </w:p>
    <w:p w14:paraId="259406F6" w14:textId="77777777" w:rsidR="00BF6AD1" w:rsidRDefault="00BF6AD1" w:rsidP="00B01938">
      <w:pPr>
        <w:pStyle w:val="Heading2"/>
      </w:pPr>
      <w:bookmarkStart w:id="124" w:name="_Privacy_Collection_Notice"/>
      <w:bookmarkStart w:id="125" w:name="_Toc143272053"/>
      <w:bookmarkEnd w:id="124"/>
      <w:r>
        <w:t>Privacy Collection Notice</w:t>
      </w:r>
      <w:bookmarkEnd w:id="125"/>
    </w:p>
    <w:p w14:paraId="3ADBCB6E" w14:textId="52254110" w:rsidR="00BF6AD1" w:rsidRPr="0026266F" w:rsidRDefault="00BF6AD1" w:rsidP="0026266F">
      <w:pPr>
        <w:pStyle w:val="Body"/>
        <w:rPr>
          <w:i/>
          <w:iCs/>
        </w:rPr>
      </w:pPr>
      <w:r>
        <w:rPr>
          <w:rStyle w:val="normaltextrun"/>
          <w:rFonts w:cs="Arial"/>
          <w:szCs w:val="21"/>
        </w:rPr>
        <w:t xml:space="preserve">The department is committed to protecting your personal information and privacy, and any information you provide is collected and handled in accordance with the </w:t>
      </w:r>
      <w:r w:rsidRPr="0026266F">
        <w:rPr>
          <w:rStyle w:val="normaltextrun"/>
          <w:rFonts w:cs="Arial"/>
          <w:i/>
          <w:iCs/>
          <w:szCs w:val="21"/>
        </w:rPr>
        <w:t>Privacy and Data Protection Act 2014</w:t>
      </w:r>
      <w:r w:rsidR="0026266F" w:rsidRPr="0026266F">
        <w:rPr>
          <w:rStyle w:val="normaltextrun"/>
          <w:rFonts w:cs="Arial"/>
          <w:i/>
          <w:iCs/>
          <w:szCs w:val="21"/>
        </w:rPr>
        <w:t>.</w:t>
      </w:r>
    </w:p>
    <w:p w14:paraId="1D18206B" w14:textId="2F365E36" w:rsidR="00BF6AD1" w:rsidRPr="00AA16A5" w:rsidRDefault="00BF6AD1" w:rsidP="0026266F">
      <w:pPr>
        <w:pStyle w:val="Body"/>
      </w:pPr>
      <w:r>
        <w:rPr>
          <w:rStyle w:val="normaltextrun"/>
          <w:rFonts w:cs="Arial"/>
          <w:szCs w:val="21"/>
        </w:rPr>
        <w:t xml:space="preserve">The information in your submission is collected by the department to administer the public consultation process associated with the </w:t>
      </w:r>
      <w:r w:rsidRPr="00380068">
        <w:rPr>
          <w:i/>
          <w:iCs/>
        </w:rPr>
        <w:t xml:space="preserve">Review </w:t>
      </w:r>
      <w:r w:rsidRPr="00AA16A5">
        <w:rPr>
          <w:i/>
          <w:iCs/>
        </w:rPr>
        <w:t>of the Health Services (Health Service Establishments) Regulations 2013 – discussion paper</w:t>
      </w:r>
      <w:r w:rsidRPr="00AA16A5">
        <w:t xml:space="preserve">. </w:t>
      </w:r>
      <w:bookmarkStart w:id="126" w:name="_Hlk141109969"/>
      <w:r w:rsidRPr="00AA16A5">
        <w:t xml:space="preserve">This information will be used to prepare for further consultation, including a Regulatory Impact Statement (RIS) and an exposure draft of proposed </w:t>
      </w:r>
      <w:r w:rsidR="00C104EB">
        <w:t>Regulations</w:t>
      </w:r>
      <w:r w:rsidRPr="00AA16A5">
        <w:t xml:space="preserve">. </w:t>
      </w:r>
      <w:bookmarkEnd w:id="126"/>
    </w:p>
    <w:p w14:paraId="41A05A19" w14:textId="77777777" w:rsidR="00BF6AD1" w:rsidRDefault="00BF6AD1" w:rsidP="0026266F">
      <w:pPr>
        <w:pStyle w:val="Body"/>
        <w:rPr>
          <w:rFonts w:ascii="Segoe UI" w:hAnsi="Segoe UI" w:cs="Segoe UI"/>
          <w:sz w:val="18"/>
          <w:szCs w:val="18"/>
        </w:rPr>
      </w:pPr>
      <w:r w:rsidRPr="00AA16A5">
        <w:rPr>
          <w:rStyle w:val="normaltextrun"/>
          <w:rFonts w:cs="Arial"/>
          <w:szCs w:val="21"/>
        </w:rPr>
        <w:t>The department may engage a third party to help develop the RIS. The department may share your submission, and any personal information you p</w:t>
      </w:r>
      <w:r>
        <w:rPr>
          <w:rStyle w:val="normaltextrun"/>
          <w:rFonts w:cs="Arial"/>
          <w:szCs w:val="21"/>
        </w:rPr>
        <w:t xml:space="preserve">rovide, with the third party. All parties are committed to protecting the personal information provided by you, in accordance with Victorian privacy laws. </w:t>
      </w:r>
    </w:p>
    <w:p w14:paraId="3FAD57E2" w14:textId="0458E128" w:rsidR="00BF6AD1" w:rsidRDefault="00BF6AD1" w:rsidP="00BF6AD1">
      <w:pPr>
        <w:pStyle w:val="Body"/>
        <w:rPr>
          <w:rStyle w:val="normaltextrun"/>
          <w:rFonts w:eastAsia="MS Gothic" w:cs="Arial"/>
          <w:szCs w:val="21"/>
        </w:rPr>
      </w:pPr>
      <w:r w:rsidRPr="00380068">
        <w:t>If you provide your personal information (e.g. name, title, role), you can choose whether we publish these details by ticking the appropriate field in the</w:t>
      </w:r>
      <w:r w:rsidR="00785F34">
        <w:t xml:space="preserve"> response template</w:t>
      </w:r>
      <w:r>
        <w:rPr>
          <w:rStyle w:val="normaltextrun"/>
          <w:rFonts w:eastAsia="MS Gothic" w:cs="Arial"/>
          <w:szCs w:val="21"/>
        </w:rPr>
        <w:t>.</w:t>
      </w:r>
      <w:r w:rsidRPr="000504AE">
        <w:rPr>
          <w:rStyle w:val="normaltextrun"/>
          <w:rFonts w:eastAsia="MS Gothic" w:cs="Arial"/>
          <w:szCs w:val="21"/>
        </w:rPr>
        <w:t xml:space="preserve"> </w:t>
      </w:r>
    </w:p>
    <w:p w14:paraId="78115B08" w14:textId="77777777" w:rsidR="00BF6AD1" w:rsidRPr="00380068" w:rsidRDefault="00BF6AD1" w:rsidP="00BF6AD1">
      <w:pPr>
        <w:pStyle w:val="Body"/>
      </w:pPr>
      <w:r w:rsidRPr="00380068">
        <w:t xml:space="preserve">You can choose to make an anonymous submission. However, you will need to provide your contact details if you would like the department to advise you of the outcome of the consultation. </w:t>
      </w:r>
    </w:p>
    <w:p w14:paraId="4CDE2B41" w14:textId="77777777" w:rsidR="00BF6AD1" w:rsidRPr="00380068" w:rsidRDefault="00BF6AD1" w:rsidP="00BF6AD1">
      <w:pPr>
        <w:pStyle w:val="Body"/>
      </w:pPr>
      <w:r w:rsidRPr="00380068">
        <w:t xml:space="preserve">Material in submissions – including those made anonymously – may be published unless you clearly mark it ‘private and confidential’. </w:t>
      </w:r>
    </w:p>
    <w:p w14:paraId="022E4571" w14:textId="77777777" w:rsidR="00BF6AD1" w:rsidRPr="000504AE" w:rsidRDefault="00BF6AD1" w:rsidP="00BF6AD1">
      <w:pPr>
        <w:pStyle w:val="Body"/>
        <w:rPr>
          <w:rStyle w:val="eop"/>
          <w:rFonts w:cs="Arial"/>
          <w:szCs w:val="21"/>
        </w:rPr>
      </w:pPr>
      <w:r w:rsidRPr="00380068">
        <w:t xml:space="preserve">For more information on the department’s privacy collection practices, please refer to the department’s </w:t>
      </w:r>
      <w:hyperlink r:id="rId48" w:history="1">
        <w:r w:rsidRPr="00380068">
          <w:rPr>
            <w:rStyle w:val="Hyperlink"/>
          </w:rPr>
          <w:t>Privacy policy</w:t>
        </w:r>
      </w:hyperlink>
      <w:r w:rsidRPr="00380068">
        <w:t xml:space="preserve"> </w:t>
      </w:r>
      <w:r>
        <w:t>&lt;</w:t>
      </w:r>
      <w:r w:rsidRPr="00380068">
        <w:rPr>
          <w:rFonts w:cs="Arial"/>
          <w:szCs w:val="21"/>
        </w:rPr>
        <w:t>https://www.health.vic.gov.au/department-of-health-privacy-policy</w:t>
      </w:r>
      <w:r>
        <w:rPr>
          <w:rFonts w:cs="Arial"/>
          <w:szCs w:val="21"/>
        </w:rPr>
        <w:t>&gt;.</w:t>
      </w:r>
    </w:p>
    <w:p w14:paraId="442AB7F3" w14:textId="5A56A866" w:rsidR="00BF6AD1" w:rsidRPr="00672539" w:rsidRDefault="00BF6AD1" w:rsidP="00BF6AD1">
      <w:pPr>
        <w:pStyle w:val="Body"/>
        <w:rPr>
          <w:rStyle w:val="normaltextrun"/>
        </w:rPr>
      </w:pPr>
      <w:r>
        <w:t xml:space="preserve">You may contact the </w:t>
      </w:r>
      <w:r w:rsidRPr="00380068">
        <w:t>Legislative and Regulatory Reform team supervising the consultation by emailing</w:t>
      </w:r>
      <w:r w:rsidRPr="000504AE">
        <w:rPr>
          <w:rStyle w:val="normaltextrun"/>
          <w:rFonts w:eastAsia="MS Gothic" w:cs="Arial"/>
          <w:szCs w:val="21"/>
        </w:rPr>
        <w:t xml:space="preserve"> </w:t>
      </w:r>
      <w:hyperlink r:id="rId49" w:history="1">
        <w:r>
          <w:rPr>
            <w:rStyle w:val="Hyperlink"/>
          </w:rPr>
          <w:t>Legislation and Regulation Reform</w:t>
        </w:r>
        <w:r w:rsidRPr="00785F34">
          <w:t xml:space="preserve"> </w:t>
        </w:r>
      </w:hyperlink>
      <w:r>
        <w:t>&lt;</w:t>
      </w:r>
      <w:r w:rsidRPr="00380068">
        <w:t>legandregreform@health.vic.gov.au&gt;</w:t>
      </w:r>
      <w:r>
        <w:t>.</w:t>
      </w:r>
    </w:p>
    <w:p w14:paraId="35DFAC16" w14:textId="2B04D66F" w:rsidR="00BF6AD1" w:rsidRPr="00380068" w:rsidRDefault="00BF6AD1" w:rsidP="00BF6AD1">
      <w:pPr>
        <w:pStyle w:val="Body"/>
      </w:pPr>
      <w:r w:rsidRPr="00380068">
        <w:lastRenderedPageBreak/>
        <w:t>You may contact the department’s Privacy team by emailing</w:t>
      </w:r>
      <w:r w:rsidRPr="000504AE">
        <w:rPr>
          <w:rStyle w:val="normaltextrun"/>
          <w:rFonts w:eastAsia="MS Gothic" w:cs="Arial"/>
          <w:szCs w:val="21"/>
        </w:rPr>
        <w:t xml:space="preserve"> </w:t>
      </w:r>
      <w:hyperlink r:id="rId50" w:history="1">
        <w:r>
          <w:rPr>
            <w:rStyle w:val="Hyperlink"/>
            <w:rFonts w:cs="Arial"/>
            <w:szCs w:val="21"/>
          </w:rPr>
          <w:t>Privacy team</w:t>
        </w:r>
      </w:hyperlink>
      <w:r>
        <w:rPr>
          <w:rStyle w:val="normaltextrun"/>
          <w:rFonts w:eastAsia="MS Gothic" w:cs="Arial"/>
          <w:szCs w:val="21"/>
        </w:rPr>
        <w:t xml:space="preserve"> </w:t>
      </w:r>
      <w:r w:rsidRPr="00380068">
        <w:t xml:space="preserve">&lt;privacy@health.vic.gov.au&gt;. </w:t>
      </w:r>
    </w:p>
    <w:p w14:paraId="60D9AB6C" w14:textId="77777777" w:rsidR="00BF6AD1" w:rsidRDefault="00BF6AD1" w:rsidP="00BF6AD1">
      <w:pPr>
        <w:pStyle w:val="Body"/>
      </w:pPr>
      <w:r w:rsidRPr="00380068" w:rsidDel="00900E0C">
        <w:t xml:space="preserve">You/your organisation can request access and changes to information that you provide to the department using the </w:t>
      </w:r>
      <w:r w:rsidDel="00900E0C">
        <w:t>email contacts</w:t>
      </w:r>
      <w:r w:rsidRPr="00380068" w:rsidDel="00900E0C">
        <w:t xml:space="preserve"> above. </w:t>
      </w:r>
    </w:p>
    <w:p w14:paraId="34B386FE" w14:textId="254E6FA1" w:rsidR="00380068" w:rsidRDefault="00380068" w:rsidP="00311E76">
      <w:pPr>
        <w:pStyle w:val="Body"/>
      </w:pPr>
      <w:r>
        <w:br w:type="page"/>
      </w:r>
    </w:p>
    <w:p w14:paraId="14201A03" w14:textId="2F4AA4CB" w:rsidR="0074575F" w:rsidRPr="00E267DC" w:rsidRDefault="00746677" w:rsidP="00E267DC">
      <w:pPr>
        <w:pStyle w:val="Heading2"/>
      </w:pPr>
      <w:bookmarkStart w:id="127" w:name="_Toc143272054"/>
      <w:r w:rsidRPr="00E267DC">
        <w:lastRenderedPageBreak/>
        <w:t>Contact details</w:t>
      </w:r>
      <w:bookmarkEnd w:id="127"/>
    </w:p>
    <w:tbl>
      <w:tblPr>
        <w:tblStyle w:val="TableGrid"/>
        <w:tblW w:w="5000" w:type="pct"/>
        <w:tblBorders>
          <w:bottom w:val="none" w:sz="0" w:space="0" w:color="auto"/>
        </w:tblBorders>
        <w:tblLook w:val="04A0" w:firstRow="1" w:lastRow="0" w:firstColumn="1" w:lastColumn="0" w:noHBand="0" w:noVBand="1"/>
      </w:tblPr>
      <w:tblGrid>
        <w:gridCol w:w="4815"/>
        <w:gridCol w:w="3827"/>
        <w:gridCol w:w="646"/>
      </w:tblGrid>
      <w:tr w:rsidR="00B65C83" w:rsidRPr="00C123CB" w14:paraId="2FF7067F" w14:textId="77777777" w:rsidTr="00C123CB">
        <w:tc>
          <w:tcPr>
            <w:tcW w:w="2592" w:type="pct"/>
            <w:shd w:val="clear" w:color="auto" w:fill="E36C0A" w:themeFill="accent6" w:themeFillShade="BF"/>
          </w:tcPr>
          <w:p w14:paraId="5F793BB0" w14:textId="10B7BF43" w:rsidR="00B65C83" w:rsidRPr="00C123CB" w:rsidRDefault="00C123CB" w:rsidP="00C123CB">
            <w:pPr>
              <w:pStyle w:val="Tablecolhead"/>
              <w:rPr>
                <w:color w:val="FFFFFF" w:themeColor="background1"/>
              </w:rPr>
            </w:pPr>
            <w:r w:rsidRPr="00C123CB">
              <w:rPr>
                <w:color w:val="FFFFFF" w:themeColor="background1"/>
              </w:rPr>
              <w:t>Question</w:t>
            </w:r>
          </w:p>
        </w:tc>
        <w:tc>
          <w:tcPr>
            <w:tcW w:w="2408" w:type="pct"/>
            <w:gridSpan w:val="2"/>
            <w:tcBorders>
              <w:bottom w:val="single" w:sz="4" w:space="0" w:color="auto"/>
            </w:tcBorders>
            <w:shd w:val="clear" w:color="auto" w:fill="E36C0A" w:themeFill="accent6" w:themeFillShade="BF"/>
          </w:tcPr>
          <w:p w14:paraId="48F3C6AC" w14:textId="760DF767" w:rsidR="00B65C83" w:rsidRPr="00C123CB" w:rsidRDefault="00380068" w:rsidP="00C123CB">
            <w:pPr>
              <w:pStyle w:val="Tablecolhead"/>
              <w:rPr>
                <w:color w:val="FFFFFF" w:themeColor="background1"/>
              </w:rPr>
            </w:pPr>
            <w:r>
              <w:rPr>
                <w:color w:val="FFFFFF" w:themeColor="background1"/>
              </w:rPr>
              <w:t>Your r</w:t>
            </w:r>
            <w:r w:rsidR="00C123CB" w:rsidRPr="00C123CB">
              <w:rPr>
                <w:color w:val="FFFFFF" w:themeColor="background1"/>
              </w:rPr>
              <w:t>esponse</w:t>
            </w:r>
          </w:p>
        </w:tc>
      </w:tr>
      <w:tr w:rsidR="00C123CB" w:rsidRPr="001810F0" w14:paraId="51DEAB04" w14:textId="77777777" w:rsidTr="00C123CB">
        <w:tc>
          <w:tcPr>
            <w:tcW w:w="2592" w:type="pct"/>
          </w:tcPr>
          <w:p w14:paraId="0214F3A0" w14:textId="4A1DAF24" w:rsidR="00C123CB" w:rsidRPr="00E267DC" w:rsidRDefault="00C123CB" w:rsidP="00E267DC">
            <w:pPr>
              <w:pStyle w:val="Tabletext"/>
            </w:pPr>
            <w:r w:rsidRPr="00E267DC">
              <w:t>Name</w:t>
            </w:r>
            <w:r w:rsidRPr="00960495">
              <w:t xml:space="preserve"> </w:t>
            </w:r>
            <w:r>
              <w:t xml:space="preserve">and title </w:t>
            </w:r>
            <w:r w:rsidRPr="00960495">
              <w:t>(optional)</w:t>
            </w:r>
          </w:p>
        </w:tc>
        <w:tc>
          <w:tcPr>
            <w:tcW w:w="2408" w:type="pct"/>
            <w:gridSpan w:val="2"/>
            <w:tcBorders>
              <w:bottom w:val="single" w:sz="4" w:space="0" w:color="auto"/>
            </w:tcBorders>
          </w:tcPr>
          <w:p w14:paraId="78D3011D" w14:textId="77777777" w:rsidR="00C123CB" w:rsidRPr="00E267DC" w:rsidRDefault="00C123CB" w:rsidP="00E267DC">
            <w:pPr>
              <w:pStyle w:val="Tabletext"/>
            </w:pPr>
          </w:p>
        </w:tc>
      </w:tr>
      <w:tr w:rsidR="00C123CB" w:rsidRPr="001810F0" w14:paraId="2D3A9DDF" w14:textId="77777777" w:rsidTr="00C123CB">
        <w:trPr>
          <w:trHeight w:val="623"/>
        </w:trPr>
        <w:tc>
          <w:tcPr>
            <w:tcW w:w="2592" w:type="pct"/>
            <w:vMerge w:val="restart"/>
          </w:tcPr>
          <w:p w14:paraId="29DD071A" w14:textId="2392385D" w:rsidR="00C123CB" w:rsidRDefault="00C123CB">
            <w:pPr>
              <w:pStyle w:val="Tabletext"/>
            </w:pPr>
            <w:r>
              <w:t>In what capacity are you making this submission?</w:t>
            </w:r>
          </w:p>
        </w:tc>
        <w:tc>
          <w:tcPr>
            <w:tcW w:w="2060" w:type="pct"/>
            <w:tcBorders>
              <w:top w:val="single" w:sz="4" w:space="0" w:color="auto"/>
              <w:bottom w:val="nil"/>
              <w:right w:val="nil"/>
            </w:tcBorders>
          </w:tcPr>
          <w:p w14:paraId="1AC57CFC" w14:textId="7E7C3B65" w:rsidR="00C123CB" w:rsidRDefault="00C123CB" w:rsidP="00C123CB">
            <w:pPr>
              <w:pStyle w:val="Tabletext"/>
            </w:pPr>
            <w:r>
              <w:t>Consumer of health services</w:t>
            </w:r>
          </w:p>
        </w:tc>
        <w:sdt>
          <w:sdtPr>
            <w:id w:val="846603691"/>
            <w14:checkbox>
              <w14:checked w14:val="0"/>
              <w14:checkedState w14:val="2612" w14:font="MS Gothic"/>
              <w14:uncheckedState w14:val="2610" w14:font="MS Gothic"/>
            </w14:checkbox>
          </w:sdtPr>
          <w:sdtEndPr/>
          <w:sdtContent>
            <w:tc>
              <w:tcPr>
                <w:tcW w:w="348" w:type="pct"/>
                <w:tcBorders>
                  <w:top w:val="single" w:sz="4" w:space="0" w:color="auto"/>
                  <w:left w:val="nil"/>
                  <w:bottom w:val="nil"/>
                </w:tcBorders>
              </w:tcPr>
              <w:p w14:paraId="1F6628DE" w14:textId="2FB83053" w:rsidR="00C123CB" w:rsidRPr="00EB0304" w:rsidRDefault="00C123CB" w:rsidP="00C123CB">
                <w:pPr>
                  <w:pStyle w:val="Tabletext"/>
                  <w:jc w:val="center"/>
                </w:pPr>
                <w:r>
                  <w:rPr>
                    <w:rFonts w:ascii="MS Gothic" w:eastAsia="MS Gothic" w:hAnsi="MS Gothic" w:hint="eastAsia"/>
                  </w:rPr>
                  <w:t>☐</w:t>
                </w:r>
              </w:p>
            </w:tc>
          </w:sdtContent>
        </w:sdt>
      </w:tr>
      <w:tr w:rsidR="00C123CB" w:rsidRPr="001810F0" w14:paraId="0257FBC1" w14:textId="77777777" w:rsidTr="00C123CB">
        <w:trPr>
          <w:trHeight w:val="623"/>
        </w:trPr>
        <w:tc>
          <w:tcPr>
            <w:tcW w:w="2592" w:type="pct"/>
            <w:vMerge/>
          </w:tcPr>
          <w:p w14:paraId="4931D864" w14:textId="77777777" w:rsidR="00C123CB" w:rsidRDefault="00C123CB">
            <w:pPr>
              <w:pStyle w:val="Tabletext"/>
            </w:pPr>
          </w:p>
        </w:tc>
        <w:tc>
          <w:tcPr>
            <w:tcW w:w="2060" w:type="pct"/>
            <w:tcBorders>
              <w:top w:val="nil"/>
              <w:bottom w:val="nil"/>
              <w:right w:val="nil"/>
            </w:tcBorders>
          </w:tcPr>
          <w:p w14:paraId="1CC25616" w14:textId="661560BC" w:rsidR="00C123CB" w:rsidRDefault="00C123CB" w:rsidP="00C123CB">
            <w:pPr>
              <w:pStyle w:val="Tabletext"/>
            </w:pPr>
            <w:r>
              <w:t>Registered private hospital</w:t>
            </w:r>
          </w:p>
        </w:tc>
        <w:sdt>
          <w:sdtPr>
            <w:id w:val="545647078"/>
            <w14:checkbox>
              <w14:checked w14:val="0"/>
              <w14:checkedState w14:val="2612" w14:font="MS Gothic"/>
              <w14:uncheckedState w14:val="2610" w14:font="MS Gothic"/>
            </w14:checkbox>
          </w:sdtPr>
          <w:sdtEndPr/>
          <w:sdtContent>
            <w:tc>
              <w:tcPr>
                <w:tcW w:w="348" w:type="pct"/>
                <w:tcBorders>
                  <w:top w:val="nil"/>
                  <w:left w:val="nil"/>
                  <w:bottom w:val="nil"/>
                </w:tcBorders>
              </w:tcPr>
              <w:p w14:paraId="18474CBF" w14:textId="491C3871" w:rsidR="00C123CB" w:rsidRDefault="00C123CB" w:rsidP="00C123CB">
                <w:pPr>
                  <w:pStyle w:val="Tabletext"/>
                  <w:jc w:val="center"/>
                </w:pPr>
                <w:r>
                  <w:rPr>
                    <w:rFonts w:ascii="MS Gothic" w:eastAsia="MS Gothic" w:hAnsi="MS Gothic" w:hint="eastAsia"/>
                  </w:rPr>
                  <w:t>☐</w:t>
                </w:r>
              </w:p>
            </w:tc>
          </w:sdtContent>
        </w:sdt>
      </w:tr>
      <w:tr w:rsidR="00C123CB" w:rsidRPr="001810F0" w14:paraId="2C39EB38" w14:textId="77777777" w:rsidTr="00C123CB">
        <w:trPr>
          <w:trHeight w:val="623"/>
        </w:trPr>
        <w:tc>
          <w:tcPr>
            <w:tcW w:w="2592" w:type="pct"/>
            <w:vMerge/>
          </w:tcPr>
          <w:p w14:paraId="44D31766" w14:textId="77777777" w:rsidR="00C123CB" w:rsidRDefault="00C123CB">
            <w:pPr>
              <w:pStyle w:val="Tabletext"/>
            </w:pPr>
          </w:p>
        </w:tc>
        <w:tc>
          <w:tcPr>
            <w:tcW w:w="2060" w:type="pct"/>
            <w:tcBorders>
              <w:top w:val="nil"/>
              <w:bottom w:val="nil"/>
              <w:right w:val="nil"/>
            </w:tcBorders>
          </w:tcPr>
          <w:p w14:paraId="4022A425" w14:textId="3BD9444C" w:rsidR="00C123CB" w:rsidRDefault="00380068">
            <w:pPr>
              <w:pStyle w:val="Tabletext"/>
            </w:pPr>
            <w:r>
              <w:t>Registered d</w:t>
            </w:r>
            <w:r w:rsidR="00C123CB">
              <w:t>ay procedure centre (including mobile services)</w:t>
            </w:r>
          </w:p>
        </w:tc>
        <w:sdt>
          <w:sdtPr>
            <w:id w:val="894085831"/>
            <w14:checkbox>
              <w14:checked w14:val="0"/>
              <w14:checkedState w14:val="2612" w14:font="MS Gothic"/>
              <w14:uncheckedState w14:val="2610" w14:font="MS Gothic"/>
            </w14:checkbox>
          </w:sdtPr>
          <w:sdtEndPr/>
          <w:sdtContent>
            <w:tc>
              <w:tcPr>
                <w:tcW w:w="348" w:type="pct"/>
                <w:tcBorders>
                  <w:top w:val="nil"/>
                  <w:left w:val="nil"/>
                  <w:bottom w:val="nil"/>
                </w:tcBorders>
              </w:tcPr>
              <w:p w14:paraId="71357E44" w14:textId="471D569B" w:rsidR="00C123CB" w:rsidRDefault="00C123CB" w:rsidP="00C123CB">
                <w:pPr>
                  <w:pStyle w:val="Tabletext"/>
                  <w:jc w:val="center"/>
                </w:pPr>
                <w:r>
                  <w:rPr>
                    <w:rFonts w:ascii="MS Gothic" w:eastAsia="MS Gothic" w:hAnsi="MS Gothic" w:hint="eastAsia"/>
                  </w:rPr>
                  <w:t>☐</w:t>
                </w:r>
              </w:p>
            </w:tc>
          </w:sdtContent>
        </w:sdt>
      </w:tr>
      <w:tr w:rsidR="00C123CB" w:rsidRPr="001810F0" w14:paraId="6ADE7EA5" w14:textId="77777777" w:rsidTr="00C123CB">
        <w:trPr>
          <w:trHeight w:val="623"/>
        </w:trPr>
        <w:tc>
          <w:tcPr>
            <w:tcW w:w="2592" w:type="pct"/>
            <w:vMerge/>
          </w:tcPr>
          <w:p w14:paraId="523FCDB0" w14:textId="77777777" w:rsidR="00C123CB" w:rsidRDefault="00C123CB">
            <w:pPr>
              <w:pStyle w:val="Tabletext"/>
            </w:pPr>
          </w:p>
        </w:tc>
        <w:tc>
          <w:tcPr>
            <w:tcW w:w="2060" w:type="pct"/>
            <w:tcBorders>
              <w:top w:val="nil"/>
              <w:bottom w:val="nil"/>
              <w:right w:val="nil"/>
            </w:tcBorders>
          </w:tcPr>
          <w:p w14:paraId="4508FB75" w14:textId="554BDE9F" w:rsidR="00C123CB" w:rsidRDefault="00C123CB" w:rsidP="00C123CB">
            <w:pPr>
              <w:pStyle w:val="Tabletext"/>
            </w:pPr>
            <w:r>
              <w:t>Member of a professional association</w:t>
            </w:r>
            <w:r w:rsidR="00380068">
              <w:t xml:space="preserve"> or peak body</w:t>
            </w:r>
          </w:p>
        </w:tc>
        <w:sdt>
          <w:sdtPr>
            <w:id w:val="1308827812"/>
            <w14:checkbox>
              <w14:checked w14:val="0"/>
              <w14:checkedState w14:val="2612" w14:font="MS Gothic"/>
              <w14:uncheckedState w14:val="2610" w14:font="MS Gothic"/>
            </w14:checkbox>
          </w:sdtPr>
          <w:sdtEndPr/>
          <w:sdtContent>
            <w:tc>
              <w:tcPr>
                <w:tcW w:w="348" w:type="pct"/>
                <w:tcBorders>
                  <w:top w:val="nil"/>
                  <w:left w:val="nil"/>
                  <w:bottom w:val="nil"/>
                </w:tcBorders>
              </w:tcPr>
              <w:p w14:paraId="74C2A91C" w14:textId="471111A5" w:rsidR="00C123CB" w:rsidRDefault="00C123CB" w:rsidP="00C123CB">
                <w:pPr>
                  <w:pStyle w:val="Tabletext"/>
                  <w:jc w:val="center"/>
                </w:pPr>
                <w:r>
                  <w:rPr>
                    <w:rFonts w:ascii="MS Gothic" w:eastAsia="MS Gothic" w:hAnsi="MS Gothic" w:hint="eastAsia"/>
                  </w:rPr>
                  <w:t>☐</w:t>
                </w:r>
              </w:p>
            </w:tc>
          </w:sdtContent>
        </w:sdt>
      </w:tr>
      <w:tr w:rsidR="00C123CB" w:rsidRPr="001810F0" w14:paraId="182F67CC" w14:textId="77777777" w:rsidTr="00C123CB">
        <w:trPr>
          <w:trHeight w:val="623"/>
        </w:trPr>
        <w:tc>
          <w:tcPr>
            <w:tcW w:w="2592" w:type="pct"/>
            <w:vMerge/>
          </w:tcPr>
          <w:p w14:paraId="4D90CEA7" w14:textId="77777777" w:rsidR="00C123CB" w:rsidRDefault="00C123CB">
            <w:pPr>
              <w:pStyle w:val="Tabletext"/>
            </w:pPr>
          </w:p>
        </w:tc>
        <w:tc>
          <w:tcPr>
            <w:tcW w:w="2060" w:type="pct"/>
            <w:tcBorders>
              <w:top w:val="nil"/>
              <w:bottom w:val="nil"/>
              <w:right w:val="nil"/>
            </w:tcBorders>
          </w:tcPr>
          <w:p w14:paraId="32E6B4E6" w14:textId="450A8080" w:rsidR="00C123CB" w:rsidRDefault="00C123CB" w:rsidP="00C123CB">
            <w:pPr>
              <w:pStyle w:val="Tabletext"/>
            </w:pPr>
            <w:r>
              <w:t>Regulator</w:t>
            </w:r>
            <w:r w:rsidR="00380068">
              <w:t xml:space="preserve"> or government agency</w:t>
            </w:r>
          </w:p>
        </w:tc>
        <w:sdt>
          <w:sdtPr>
            <w:id w:val="444435308"/>
            <w14:checkbox>
              <w14:checked w14:val="0"/>
              <w14:checkedState w14:val="2612" w14:font="MS Gothic"/>
              <w14:uncheckedState w14:val="2610" w14:font="MS Gothic"/>
            </w14:checkbox>
          </w:sdtPr>
          <w:sdtEndPr/>
          <w:sdtContent>
            <w:tc>
              <w:tcPr>
                <w:tcW w:w="348" w:type="pct"/>
                <w:tcBorders>
                  <w:top w:val="nil"/>
                  <w:left w:val="nil"/>
                  <w:bottom w:val="nil"/>
                </w:tcBorders>
              </w:tcPr>
              <w:p w14:paraId="4754B84E" w14:textId="25CE6897" w:rsidR="00C123CB" w:rsidRDefault="00C123CB" w:rsidP="00C123CB">
                <w:pPr>
                  <w:pStyle w:val="Tabletext"/>
                  <w:jc w:val="center"/>
                </w:pPr>
                <w:r>
                  <w:rPr>
                    <w:rFonts w:ascii="MS Gothic" w:eastAsia="MS Gothic" w:hAnsi="MS Gothic" w:hint="eastAsia"/>
                  </w:rPr>
                  <w:t>☐</w:t>
                </w:r>
              </w:p>
            </w:tc>
          </w:sdtContent>
        </w:sdt>
      </w:tr>
      <w:tr w:rsidR="00C123CB" w:rsidRPr="001810F0" w14:paraId="7FA8FFF6" w14:textId="77777777" w:rsidTr="00C123CB">
        <w:trPr>
          <w:trHeight w:val="864"/>
        </w:trPr>
        <w:tc>
          <w:tcPr>
            <w:tcW w:w="2592" w:type="pct"/>
            <w:vMerge/>
          </w:tcPr>
          <w:p w14:paraId="67AEF17C" w14:textId="77777777" w:rsidR="00C123CB" w:rsidRDefault="00C123CB">
            <w:pPr>
              <w:pStyle w:val="Tabletext"/>
            </w:pPr>
          </w:p>
        </w:tc>
        <w:tc>
          <w:tcPr>
            <w:tcW w:w="2060" w:type="pct"/>
            <w:tcBorders>
              <w:top w:val="nil"/>
              <w:bottom w:val="single" w:sz="4" w:space="0" w:color="auto"/>
              <w:right w:val="nil"/>
            </w:tcBorders>
          </w:tcPr>
          <w:p w14:paraId="572C383D" w14:textId="77777777" w:rsidR="00C123CB" w:rsidRDefault="00C123CB">
            <w:pPr>
              <w:pStyle w:val="Tabletext"/>
            </w:pPr>
            <w:r>
              <w:t>Other – please state below</w:t>
            </w:r>
          </w:p>
          <w:p w14:paraId="0E75D68A" w14:textId="77777777" w:rsidR="00A87350" w:rsidRDefault="00A87350">
            <w:pPr>
              <w:pStyle w:val="Tabletext"/>
            </w:pPr>
          </w:p>
          <w:p w14:paraId="64AAC09B" w14:textId="1F06181B" w:rsidR="00E70C30" w:rsidRDefault="00E70C30">
            <w:pPr>
              <w:pStyle w:val="Tabletext"/>
            </w:pPr>
            <w:r>
              <w:t>…………………………………………...</w:t>
            </w:r>
          </w:p>
        </w:tc>
        <w:tc>
          <w:tcPr>
            <w:tcW w:w="348" w:type="pct"/>
            <w:tcBorders>
              <w:top w:val="nil"/>
              <w:left w:val="nil"/>
              <w:bottom w:val="single" w:sz="4" w:space="0" w:color="auto"/>
            </w:tcBorders>
          </w:tcPr>
          <w:p w14:paraId="3D72FEE2" w14:textId="0EA35571" w:rsidR="00C123CB" w:rsidRDefault="00C123CB" w:rsidP="00C123CB">
            <w:pPr>
              <w:pStyle w:val="Tabletext"/>
              <w:jc w:val="center"/>
            </w:pPr>
          </w:p>
        </w:tc>
      </w:tr>
      <w:tr w:rsidR="0033684D" w:rsidRPr="001810F0" w14:paraId="66AB8686" w14:textId="77777777" w:rsidTr="00C123CB">
        <w:tc>
          <w:tcPr>
            <w:tcW w:w="2592" w:type="pct"/>
          </w:tcPr>
          <w:p w14:paraId="661C4101" w14:textId="3CB16B9D" w:rsidR="0033684D" w:rsidRPr="00EB0304" w:rsidRDefault="0033684D">
            <w:pPr>
              <w:pStyle w:val="Tabletext"/>
            </w:pPr>
            <w:r>
              <w:t>Organisation</w:t>
            </w:r>
            <w:r w:rsidR="00380068">
              <w:t xml:space="preserve"> / association / peak body / regulator / government agency</w:t>
            </w:r>
            <w:r>
              <w:t xml:space="preserve"> (if relevant)</w:t>
            </w:r>
          </w:p>
        </w:tc>
        <w:tc>
          <w:tcPr>
            <w:tcW w:w="2408" w:type="pct"/>
            <w:gridSpan w:val="2"/>
            <w:tcBorders>
              <w:top w:val="nil"/>
            </w:tcBorders>
          </w:tcPr>
          <w:p w14:paraId="64F6AF2F" w14:textId="77777777" w:rsidR="0033684D" w:rsidRPr="00EB0304" w:rsidRDefault="0033684D">
            <w:pPr>
              <w:pStyle w:val="Tabletext"/>
            </w:pPr>
          </w:p>
        </w:tc>
      </w:tr>
      <w:tr w:rsidR="003035B6" w:rsidRPr="001810F0" w14:paraId="681513AC" w14:textId="77777777" w:rsidTr="00C123CB">
        <w:tc>
          <w:tcPr>
            <w:tcW w:w="2592" w:type="pct"/>
          </w:tcPr>
          <w:p w14:paraId="26C20D35" w14:textId="63E3EDD3" w:rsidR="003035B6" w:rsidRDefault="003035B6">
            <w:pPr>
              <w:pStyle w:val="Tabletext"/>
            </w:pPr>
            <w:r>
              <w:t>Are you authorised to provide this response on behalf of your organisation?</w:t>
            </w:r>
          </w:p>
        </w:tc>
        <w:tc>
          <w:tcPr>
            <w:tcW w:w="2408" w:type="pct"/>
            <w:gridSpan w:val="2"/>
          </w:tcPr>
          <w:p w14:paraId="7D816538" w14:textId="549A4734" w:rsidR="003035B6" w:rsidRPr="00EB0304" w:rsidRDefault="0007470D">
            <w:pPr>
              <w:pStyle w:val="Tabletext"/>
            </w:pPr>
            <w:r>
              <w:t xml:space="preserve">Yes   </w:t>
            </w:r>
            <w:sdt>
              <w:sdtPr>
                <w:id w:val="-18474800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205154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B7DBF">
              <w:t xml:space="preserve">          N/A   </w:t>
            </w:r>
            <w:sdt>
              <w:sdtPr>
                <w:id w:val="-1226453022"/>
                <w14:checkbox>
                  <w14:checked w14:val="0"/>
                  <w14:checkedState w14:val="2612" w14:font="MS Gothic"/>
                  <w14:uncheckedState w14:val="2610" w14:font="MS Gothic"/>
                </w14:checkbox>
              </w:sdtPr>
              <w:sdtEndPr/>
              <w:sdtContent>
                <w:r w:rsidR="00DB7DBF">
                  <w:rPr>
                    <w:rFonts w:ascii="MS Gothic" w:eastAsia="MS Gothic" w:hAnsi="MS Gothic" w:hint="eastAsia"/>
                  </w:rPr>
                  <w:t>☐</w:t>
                </w:r>
              </w:sdtContent>
            </w:sdt>
          </w:p>
        </w:tc>
      </w:tr>
      <w:tr w:rsidR="00C57D94" w:rsidRPr="001810F0" w14:paraId="5D19BEDA" w14:textId="77777777" w:rsidTr="00C123CB">
        <w:tc>
          <w:tcPr>
            <w:tcW w:w="2592" w:type="pct"/>
          </w:tcPr>
          <w:p w14:paraId="2C383470" w14:textId="42D8B4E9" w:rsidR="00C57D94" w:rsidRDefault="00536DB2">
            <w:pPr>
              <w:pStyle w:val="Tabletext"/>
            </w:pPr>
            <w:r>
              <w:t>Email address (optional)</w:t>
            </w:r>
          </w:p>
        </w:tc>
        <w:tc>
          <w:tcPr>
            <w:tcW w:w="2408" w:type="pct"/>
            <w:gridSpan w:val="2"/>
          </w:tcPr>
          <w:p w14:paraId="03408422" w14:textId="77777777" w:rsidR="00C57D94" w:rsidRDefault="00C57D94">
            <w:pPr>
              <w:pStyle w:val="Tabletext"/>
            </w:pPr>
          </w:p>
        </w:tc>
      </w:tr>
      <w:tr w:rsidR="00B65C83" w:rsidRPr="001810F0" w14:paraId="5D7AB14E" w14:textId="77777777" w:rsidTr="00C123CB">
        <w:tc>
          <w:tcPr>
            <w:tcW w:w="2592" w:type="pct"/>
          </w:tcPr>
          <w:p w14:paraId="32C10064" w14:textId="516806AC" w:rsidR="00B65C83" w:rsidRPr="00E267DC" w:rsidRDefault="00B65C83" w:rsidP="00E267DC">
            <w:pPr>
              <w:pStyle w:val="Tabletext"/>
            </w:pPr>
            <w:r w:rsidRPr="00E267DC">
              <w:t>Would you li</w:t>
            </w:r>
            <w:r>
              <w:t>ke to remain anonymous</w:t>
            </w:r>
            <w:r w:rsidR="00751032">
              <w:t xml:space="preserve"> if </w:t>
            </w:r>
            <w:r w:rsidR="006C328C">
              <w:t xml:space="preserve">material in </w:t>
            </w:r>
            <w:r w:rsidR="00751032">
              <w:t>your submission is published</w:t>
            </w:r>
            <w:r>
              <w:t>?</w:t>
            </w:r>
          </w:p>
        </w:tc>
        <w:tc>
          <w:tcPr>
            <w:tcW w:w="2408" w:type="pct"/>
            <w:gridSpan w:val="2"/>
          </w:tcPr>
          <w:p w14:paraId="3138D665" w14:textId="646FDA65" w:rsidR="00B65C83" w:rsidRPr="00E267DC" w:rsidRDefault="00567AF2" w:rsidP="00E267DC">
            <w:pPr>
              <w:pStyle w:val="Tabletext"/>
            </w:pPr>
            <w:r>
              <w:t xml:space="preserve">Yes   </w:t>
            </w:r>
            <w:sdt>
              <w:sdtPr>
                <w:id w:val="-6344884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499808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   </w:t>
            </w:r>
            <w:sdt>
              <w:sdtPr>
                <w:id w:val="18878344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65C83" w:rsidRPr="001810F0" w14:paraId="1AD0FAEE" w14:textId="77777777" w:rsidTr="00C123CB">
        <w:tc>
          <w:tcPr>
            <w:tcW w:w="2592" w:type="pct"/>
          </w:tcPr>
          <w:p w14:paraId="47600AB4" w14:textId="28128313" w:rsidR="00B65C83" w:rsidRPr="00E267DC" w:rsidRDefault="00F97670" w:rsidP="00E267DC">
            <w:pPr>
              <w:pStyle w:val="Tabletext"/>
            </w:pPr>
            <w:r w:rsidRPr="00EB0304">
              <w:t>Would you</w:t>
            </w:r>
            <w:r w:rsidR="002D7336">
              <w:t>r</w:t>
            </w:r>
            <w:r w:rsidRPr="00EB0304">
              <w:t xml:space="preserve"> </w:t>
            </w:r>
            <w:r w:rsidR="002D7336">
              <w:t xml:space="preserve">organisation like to </w:t>
            </w:r>
            <w:r>
              <w:t xml:space="preserve">remain anonymous if </w:t>
            </w:r>
            <w:r w:rsidR="006C328C">
              <w:t xml:space="preserve">material in </w:t>
            </w:r>
            <w:r>
              <w:t>your submission is published?</w:t>
            </w:r>
          </w:p>
        </w:tc>
        <w:tc>
          <w:tcPr>
            <w:tcW w:w="2408" w:type="pct"/>
            <w:gridSpan w:val="2"/>
          </w:tcPr>
          <w:p w14:paraId="4A8785DD" w14:textId="00BEEE06" w:rsidR="00B65C83" w:rsidRPr="00E267DC" w:rsidRDefault="00567AF2" w:rsidP="00E267DC">
            <w:pPr>
              <w:pStyle w:val="Tabletext"/>
            </w:pPr>
            <w:r>
              <w:t xml:space="preserve">Yes   </w:t>
            </w:r>
            <w:sdt>
              <w:sdtPr>
                <w:id w:val="-20826677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383316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   </w:t>
            </w:r>
            <w:sdt>
              <w:sdtPr>
                <w:id w:val="-16093467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65C83" w:rsidRPr="001810F0" w14:paraId="29F30D4C" w14:textId="77777777" w:rsidTr="00C123CB">
        <w:tc>
          <w:tcPr>
            <w:tcW w:w="2592" w:type="pct"/>
            <w:tcBorders>
              <w:bottom w:val="single" w:sz="4" w:space="0" w:color="auto"/>
            </w:tcBorders>
          </w:tcPr>
          <w:p w14:paraId="6BE19E13" w14:textId="77777777" w:rsidR="00B65C83" w:rsidRDefault="003355BB" w:rsidP="00960495">
            <w:pPr>
              <w:pStyle w:val="Tabletext"/>
            </w:pPr>
            <w:r>
              <w:t>Do you</w:t>
            </w:r>
            <w:r w:rsidR="003D78AC">
              <w:t xml:space="preserve">/your organisation consent for </w:t>
            </w:r>
            <w:r w:rsidR="006109BD">
              <w:t>material in your submission to be published on the department’s website?</w:t>
            </w:r>
          </w:p>
          <w:p w14:paraId="5E372AC4" w14:textId="2C1F6DEA" w:rsidR="00C133FB" w:rsidRPr="00E267DC" w:rsidRDefault="00C133FB" w:rsidP="00E267DC">
            <w:pPr>
              <w:pStyle w:val="Tabletext"/>
            </w:pPr>
            <w:r>
              <w:t>NOTE: We will not publish any text marked ‘private and confidential’</w:t>
            </w:r>
            <w:r w:rsidR="00EB2B98">
              <w:t>.</w:t>
            </w:r>
          </w:p>
        </w:tc>
        <w:tc>
          <w:tcPr>
            <w:tcW w:w="2408" w:type="pct"/>
            <w:gridSpan w:val="2"/>
            <w:tcBorders>
              <w:bottom w:val="single" w:sz="4" w:space="0" w:color="auto"/>
            </w:tcBorders>
          </w:tcPr>
          <w:p w14:paraId="057084C9" w14:textId="5392A726" w:rsidR="00B65C83" w:rsidRPr="00E267DC" w:rsidRDefault="00DD2BBF" w:rsidP="00E267DC">
            <w:pPr>
              <w:pStyle w:val="Tabletext"/>
            </w:pPr>
            <w:r>
              <w:t xml:space="preserve">Yes   </w:t>
            </w:r>
            <w:sdt>
              <w:sdtPr>
                <w:id w:val="-14184047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0479546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   </w:t>
            </w:r>
            <w:sdt>
              <w:sdtPr>
                <w:id w:val="-17481724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380068" w:rsidRPr="001810F0" w14:paraId="6BFB2879" w14:textId="77777777" w:rsidTr="00C123CB">
        <w:tc>
          <w:tcPr>
            <w:tcW w:w="2592" w:type="pct"/>
            <w:tcBorders>
              <w:bottom w:val="single" w:sz="4" w:space="0" w:color="auto"/>
            </w:tcBorders>
          </w:tcPr>
          <w:p w14:paraId="337158EF" w14:textId="5AB7E9A3" w:rsidR="00380068" w:rsidRDefault="00380068" w:rsidP="00960495">
            <w:pPr>
              <w:pStyle w:val="Tabletext"/>
            </w:pPr>
            <w:r>
              <w:t xml:space="preserve">Do you/your organisation consent for material in your submission to be shared with a third party engaged to develop a Regulatory Impact Statement? </w:t>
            </w:r>
          </w:p>
        </w:tc>
        <w:tc>
          <w:tcPr>
            <w:tcW w:w="2408" w:type="pct"/>
            <w:gridSpan w:val="2"/>
            <w:tcBorders>
              <w:bottom w:val="single" w:sz="4" w:space="0" w:color="auto"/>
            </w:tcBorders>
          </w:tcPr>
          <w:p w14:paraId="1E6D8E5C" w14:textId="55DB5774" w:rsidR="00380068" w:rsidRDefault="00380068" w:rsidP="00E267DC">
            <w:pPr>
              <w:pStyle w:val="Tabletext"/>
            </w:pPr>
            <w:r>
              <w:t xml:space="preserve">Yes   </w:t>
            </w:r>
            <w:sdt>
              <w:sdtPr>
                <w:id w:val="-12210511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47794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   </w:t>
            </w:r>
            <w:sdt>
              <w:sdtPr>
                <w:id w:val="-1513684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00F3D" w:rsidRPr="001810F0" w14:paraId="490B7045" w14:textId="77777777" w:rsidTr="00C123CB">
        <w:tc>
          <w:tcPr>
            <w:tcW w:w="2592" w:type="pct"/>
            <w:tcBorders>
              <w:bottom w:val="single" w:sz="4" w:space="0" w:color="auto"/>
            </w:tcBorders>
          </w:tcPr>
          <w:p w14:paraId="60C8F8AF" w14:textId="77777777" w:rsidR="00200F3D" w:rsidRDefault="00200F3D" w:rsidP="00200F3D">
            <w:pPr>
              <w:pStyle w:val="Tabletext"/>
            </w:pPr>
            <w:r>
              <w:t>Do you wish to be advised of the outcomes of this review?</w:t>
            </w:r>
          </w:p>
          <w:p w14:paraId="6C51F52C" w14:textId="7ED385FD" w:rsidR="00200F3D" w:rsidRPr="00E267DC" w:rsidRDefault="00200F3D" w:rsidP="00E267DC">
            <w:pPr>
              <w:pStyle w:val="Tabletext"/>
            </w:pPr>
            <w:r>
              <w:t>If you answer ‘yes’, you must provide an email address</w:t>
            </w:r>
            <w:r w:rsidR="00380068">
              <w:t xml:space="preserve"> above</w:t>
            </w:r>
            <w:r w:rsidR="002274BB">
              <w:t>.</w:t>
            </w:r>
          </w:p>
        </w:tc>
        <w:tc>
          <w:tcPr>
            <w:tcW w:w="2408" w:type="pct"/>
            <w:gridSpan w:val="2"/>
            <w:tcBorders>
              <w:bottom w:val="single" w:sz="4" w:space="0" w:color="auto"/>
            </w:tcBorders>
          </w:tcPr>
          <w:p w14:paraId="1F378DA6" w14:textId="3F46531F" w:rsidR="00200F3D" w:rsidRPr="00E267DC" w:rsidRDefault="00200F3D" w:rsidP="00E267DC">
            <w:pPr>
              <w:pStyle w:val="Tabletext"/>
            </w:pPr>
            <w:r>
              <w:t xml:space="preserve">Yes   </w:t>
            </w:r>
            <w:sdt>
              <w:sdtPr>
                <w:id w:val="7442319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310261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   </w:t>
            </w:r>
            <w:sdt>
              <w:sdtPr>
                <w:id w:val="-477670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F7689F2" w14:textId="5E2F5C4C" w:rsidR="0074575F" w:rsidRDefault="0074575F" w:rsidP="00DE047D">
      <w:pPr>
        <w:pStyle w:val="Heading2"/>
      </w:pPr>
    </w:p>
    <w:p w14:paraId="78E6DEDA" w14:textId="77777777" w:rsidR="00380068" w:rsidRDefault="00380068">
      <w:pPr>
        <w:spacing w:after="0" w:line="240" w:lineRule="auto"/>
        <w:rPr>
          <w:b/>
          <w:color w:val="53565A"/>
          <w:sz w:val="32"/>
          <w:szCs w:val="28"/>
        </w:rPr>
      </w:pPr>
      <w:r>
        <w:br w:type="page"/>
      </w:r>
    </w:p>
    <w:p w14:paraId="0BE31A04" w14:textId="66F95DD5" w:rsidR="002A4B7C" w:rsidRDefault="00615EC1" w:rsidP="00DE047D">
      <w:pPr>
        <w:pStyle w:val="Heading2"/>
      </w:pPr>
      <w:bookmarkStart w:id="128" w:name="_Toc143272055"/>
      <w:r w:rsidRPr="00E267DC">
        <w:lastRenderedPageBreak/>
        <w:t>Questions for public comment</w:t>
      </w:r>
      <w:bookmarkEnd w:id="128"/>
    </w:p>
    <w:tbl>
      <w:tblPr>
        <w:tblStyle w:val="TableGrid"/>
        <w:tblW w:w="0" w:type="auto"/>
        <w:tblLook w:val="04A0" w:firstRow="1" w:lastRow="0" w:firstColumn="1" w:lastColumn="0" w:noHBand="0" w:noVBand="1"/>
      </w:tblPr>
      <w:tblGrid>
        <w:gridCol w:w="536"/>
        <w:gridCol w:w="3962"/>
        <w:gridCol w:w="4790"/>
      </w:tblGrid>
      <w:tr w:rsidR="006A4686" w:rsidRPr="00C123CB" w14:paraId="2731D2E2" w14:textId="77777777" w:rsidTr="00044EFB">
        <w:trPr>
          <w:tblHeader/>
        </w:trPr>
        <w:tc>
          <w:tcPr>
            <w:tcW w:w="4498" w:type="dxa"/>
            <w:gridSpan w:val="2"/>
            <w:shd w:val="clear" w:color="auto" w:fill="E36C0A" w:themeFill="accent6" w:themeFillShade="BF"/>
          </w:tcPr>
          <w:p w14:paraId="34E1E734" w14:textId="6CC113DC" w:rsidR="006A4686" w:rsidRPr="00C123CB" w:rsidRDefault="006A4686" w:rsidP="00E267DC">
            <w:pPr>
              <w:pStyle w:val="Tablecolhead"/>
              <w:rPr>
                <w:color w:val="FFFFFF" w:themeColor="background1"/>
              </w:rPr>
            </w:pPr>
            <w:r w:rsidRPr="00C123CB">
              <w:rPr>
                <w:color w:val="FFFFFF" w:themeColor="background1"/>
              </w:rPr>
              <w:t>Question</w:t>
            </w:r>
          </w:p>
        </w:tc>
        <w:tc>
          <w:tcPr>
            <w:tcW w:w="4790" w:type="dxa"/>
            <w:shd w:val="clear" w:color="auto" w:fill="E36C0A" w:themeFill="accent6" w:themeFillShade="BF"/>
          </w:tcPr>
          <w:p w14:paraId="596F8AEF" w14:textId="2A5589D9" w:rsidR="006A4686" w:rsidRPr="00C123CB" w:rsidRDefault="006A4686" w:rsidP="00E267DC">
            <w:pPr>
              <w:pStyle w:val="Tablecolhead"/>
              <w:rPr>
                <w:color w:val="FFFFFF" w:themeColor="background1"/>
              </w:rPr>
            </w:pPr>
            <w:r w:rsidRPr="00C123CB">
              <w:rPr>
                <w:color w:val="FFFFFF" w:themeColor="background1"/>
              </w:rPr>
              <w:t>Comment</w:t>
            </w:r>
          </w:p>
        </w:tc>
      </w:tr>
      <w:tr w:rsidR="00E85FC2" w:rsidRPr="00E85FC2" w14:paraId="0029D37A" w14:textId="77777777" w:rsidTr="00380068">
        <w:tc>
          <w:tcPr>
            <w:tcW w:w="9288" w:type="dxa"/>
            <w:gridSpan w:val="3"/>
            <w:shd w:val="clear" w:color="auto" w:fill="FBD4B4" w:themeFill="accent6" w:themeFillTint="66"/>
          </w:tcPr>
          <w:p w14:paraId="4C089430" w14:textId="4C1908B0" w:rsidR="006A4686" w:rsidRPr="00E85FC2" w:rsidRDefault="006A4686" w:rsidP="00E267DC">
            <w:pPr>
              <w:pStyle w:val="Tablecolhead"/>
              <w:rPr>
                <w:color w:val="auto"/>
              </w:rPr>
            </w:pPr>
            <w:r w:rsidRPr="00E85FC2">
              <w:rPr>
                <w:color w:val="auto"/>
              </w:rPr>
              <w:t>Health service definitions and scope</w:t>
            </w:r>
          </w:p>
        </w:tc>
      </w:tr>
      <w:tr w:rsidR="00141952" w14:paraId="72CE0512" w14:textId="77777777" w:rsidTr="00044EFB">
        <w:tc>
          <w:tcPr>
            <w:tcW w:w="536" w:type="dxa"/>
          </w:tcPr>
          <w:p w14:paraId="37C2F369" w14:textId="7BC2E1D6" w:rsidR="00E03CF0" w:rsidRDefault="00E03CF0" w:rsidP="00C132C8">
            <w:pPr>
              <w:pStyle w:val="Numberdigit"/>
            </w:pPr>
          </w:p>
        </w:tc>
        <w:tc>
          <w:tcPr>
            <w:tcW w:w="3962" w:type="dxa"/>
          </w:tcPr>
          <w:p w14:paraId="4D00D138" w14:textId="4AD4DCD6" w:rsidR="00E03CF0" w:rsidRDefault="00495F84" w:rsidP="00E267DC">
            <w:pPr>
              <w:pStyle w:val="Tabletext"/>
            </w:pPr>
            <w:r w:rsidRPr="00495F84">
              <w:t>Are the definitions for medical health service, surgical health service, speciality health service, anaesthesia, renal dialysis, and emergency medicine clear, current, workable, and effective?</w:t>
            </w:r>
          </w:p>
        </w:tc>
        <w:tc>
          <w:tcPr>
            <w:tcW w:w="4790" w:type="dxa"/>
          </w:tcPr>
          <w:p w14:paraId="33673586" w14:textId="77777777" w:rsidR="00E03CF0" w:rsidRDefault="00E03CF0" w:rsidP="00E267DC">
            <w:pPr>
              <w:pStyle w:val="Tabletext"/>
            </w:pPr>
          </w:p>
        </w:tc>
      </w:tr>
      <w:tr w:rsidR="00141952" w14:paraId="5732E2B6" w14:textId="77777777" w:rsidTr="00044EFB">
        <w:tc>
          <w:tcPr>
            <w:tcW w:w="536" w:type="dxa"/>
          </w:tcPr>
          <w:p w14:paraId="71BD3CAF" w14:textId="79CF843F" w:rsidR="00E03CF0" w:rsidRDefault="00E03CF0" w:rsidP="00C132C8">
            <w:pPr>
              <w:pStyle w:val="Numberdigit"/>
            </w:pPr>
          </w:p>
        </w:tc>
        <w:tc>
          <w:tcPr>
            <w:tcW w:w="3962" w:type="dxa"/>
          </w:tcPr>
          <w:p w14:paraId="7C67D437" w14:textId="77777777" w:rsidR="00E03CF0" w:rsidRDefault="00590114" w:rsidP="00E267DC">
            <w:pPr>
              <w:pStyle w:val="Tabletext"/>
            </w:pPr>
            <w:r w:rsidRPr="00590114">
              <w:t>Are additional definitions of prescribed speciality health services needed in the Regulations to address ambiguity?</w:t>
            </w:r>
          </w:p>
          <w:p w14:paraId="11AFDB95" w14:textId="2F9E04B8" w:rsidR="004A36EC" w:rsidRDefault="004A36EC" w:rsidP="00C132C8">
            <w:pPr>
              <w:pStyle w:val="Tabletext"/>
              <w:numPr>
                <w:ilvl w:val="0"/>
                <w:numId w:val="46"/>
              </w:numPr>
            </w:pPr>
            <w:r>
              <w:t xml:space="preserve">If not, why? </w:t>
            </w:r>
          </w:p>
          <w:p w14:paraId="22878F44" w14:textId="14A6DBD3" w:rsidR="004A36EC" w:rsidRDefault="004A36EC" w:rsidP="00C132C8">
            <w:pPr>
              <w:pStyle w:val="Tabletext"/>
              <w:numPr>
                <w:ilvl w:val="0"/>
                <w:numId w:val="46"/>
              </w:numPr>
            </w:pPr>
            <w:r>
              <w:t xml:space="preserve">If so, can you provide details about what issues you experienced or expect due to ambiguity about the meaning of a prescribed speciality health service? </w:t>
            </w:r>
          </w:p>
          <w:p w14:paraId="6A1B718E" w14:textId="77777777" w:rsidR="004A36EC" w:rsidRDefault="004A36EC" w:rsidP="00C132C8">
            <w:pPr>
              <w:pStyle w:val="Tabletext"/>
              <w:numPr>
                <w:ilvl w:val="0"/>
                <w:numId w:val="46"/>
              </w:numPr>
            </w:pPr>
            <w:r>
              <w:t>If additional definitions are needed to reduce ambiguity, which speciality health services should be defined and what authoritative source should the definition draw on?</w:t>
            </w:r>
          </w:p>
          <w:p w14:paraId="03CE0781" w14:textId="40FCB662" w:rsidR="00906E05" w:rsidRDefault="00906E05" w:rsidP="00C132C8">
            <w:pPr>
              <w:pStyle w:val="Tabletext"/>
              <w:numPr>
                <w:ilvl w:val="0"/>
                <w:numId w:val="46"/>
              </w:numPr>
            </w:pPr>
            <w:r>
              <w:rPr>
                <w:rStyle w:val="normaltextrun"/>
                <w:rFonts w:eastAsia="MS Gothic"/>
                <w:color w:val="000000"/>
                <w:szCs w:val="21"/>
                <w:shd w:val="clear" w:color="auto" w:fill="FFFFFF"/>
              </w:rPr>
              <w:t xml:space="preserve">Do you consider clarification is required in relation to the terms </w:t>
            </w:r>
            <w:r w:rsidR="00164FAB">
              <w:rPr>
                <w:rStyle w:val="normaltextrun"/>
                <w:rFonts w:eastAsia="MS Gothic"/>
                <w:color w:val="000000"/>
                <w:szCs w:val="21"/>
                <w:shd w:val="clear" w:color="auto" w:fill="FFFFFF"/>
              </w:rPr>
              <w:t>‘</w:t>
            </w:r>
            <w:r>
              <w:rPr>
                <w:rStyle w:val="normaltextrun"/>
                <w:rFonts w:eastAsia="MS Gothic"/>
                <w:color w:val="000000"/>
                <w:szCs w:val="21"/>
                <w:shd w:val="clear" w:color="auto" w:fill="FFFFFF"/>
              </w:rPr>
              <w:t>alcohol or drug detoxification (detoxification – acute phase)</w:t>
            </w:r>
            <w:r w:rsidR="00164FAB">
              <w:rPr>
                <w:rStyle w:val="normaltextrun"/>
                <w:rFonts w:eastAsia="MS Gothic"/>
                <w:color w:val="000000"/>
                <w:szCs w:val="21"/>
                <w:shd w:val="clear" w:color="auto" w:fill="FFFFFF"/>
              </w:rPr>
              <w:t>’</w:t>
            </w:r>
            <w:r>
              <w:rPr>
                <w:rStyle w:val="normaltextrun"/>
                <w:rFonts w:eastAsia="MS Gothic"/>
                <w:color w:val="000000"/>
                <w:szCs w:val="21"/>
                <w:shd w:val="clear" w:color="auto" w:fill="FFFFFF"/>
              </w:rPr>
              <w:t xml:space="preserve"> or </w:t>
            </w:r>
            <w:r w:rsidR="00164FAB">
              <w:rPr>
                <w:rStyle w:val="normaltextrun"/>
                <w:rFonts w:eastAsia="MS Gothic"/>
                <w:color w:val="000000"/>
                <w:szCs w:val="21"/>
                <w:shd w:val="clear" w:color="auto" w:fill="FFFFFF"/>
              </w:rPr>
              <w:t>‘</w:t>
            </w:r>
            <w:r>
              <w:rPr>
                <w:rStyle w:val="normaltextrun"/>
                <w:rFonts w:eastAsia="MS Gothic"/>
                <w:color w:val="000000"/>
                <w:szCs w:val="21"/>
                <w:shd w:val="clear" w:color="auto" w:fill="FFFFFF"/>
              </w:rPr>
              <w:t>mental health services</w:t>
            </w:r>
            <w:r w:rsidR="00164FAB">
              <w:rPr>
                <w:rStyle w:val="normaltextrun"/>
                <w:rFonts w:eastAsia="MS Gothic"/>
                <w:color w:val="000000"/>
                <w:szCs w:val="21"/>
                <w:shd w:val="clear" w:color="auto" w:fill="FFFFFF"/>
              </w:rPr>
              <w:t>’</w:t>
            </w:r>
            <w:r w:rsidR="009A0E9E">
              <w:rPr>
                <w:rStyle w:val="normaltextrun"/>
                <w:rFonts w:eastAsia="MS Gothic"/>
                <w:color w:val="000000"/>
                <w:szCs w:val="21"/>
                <w:shd w:val="clear" w:color="auto" w:fill="FFFFFF"/>
              </w:rPr>
              <w:t>?</w:t>
            </w:r>
            <w:r>
              <w:rPr>
                <w:rStyle w:val="normaltextrun"/>
                <w:rFonts w:eastAsia="MS Gothic"/>
                <w:color w:val="000000"/>
                <w:szCs w:val="21"/>
                <w:shd w:val="clear" w:color="auto" w:fill="FFFFFF"/>
              </w:rPr>
              <w:t xml:space="preserve"> If so</w:t>
            </w:r>
            <w:r w:rsidR="000B7A0F">
              <w:rPr>
                <w:rStyle w:val="normaltextrun"/>
                <w:rFonts w:eastAsia="MS Gothic"/>
                <w:color w:val="000000"/>
                <w:szCs w:val="21"/>
                <w:shd w:val="clear" w:color="auto" w:fill="FFFFFF"/>
              </w:rPr>
              <w:t>,</w:t>
            </w:r>
            <w:r>
              <w:rPr>
                <w:rStyle w:val="normaltextrun"/>
                <w:rFonts w:eastAsia="MS Gothic"/>
                <w:color w:val="000000"/>
                <w:szCs w:val="21"/>
                <w:shd w:val="clear" w:color="auto" w:fill="FFFFFF"/>
              </w:rPr>
              <w:t xml:space="preserve"> please provide details of the ambiguity or clarification needed.</w:t>
            </w:r>
          </w:p>
        </w:tc>
        <w:tc>
          <w:tcPr>
            <w:tcW w:w="4790" w:type="dxa"/>
          </w:tcPr>
          <w:p w14:paraId="12029225" w14:textId="77777777" w:rsidR="00E03CF0" w:rsidRDefault="00E03CF0" w:rsidP="00E267DC">
            <w:pPr>
              <w:pStyle w:val="Tabletext"/>
            </w:pPr>
          </w:p>
        </w:tc>
      </w:tr>
      <w:tr w:rsidR="00141952" w14:paraId="2757946F" w14:textId="77777777" w:rsidTr="00044EFB">
        <w:tc>
          <w:tcPr>
            <w:tcW w:w="536" w:type="dxa"/>
          </w:tcPr>
          <w:p w14:paraId="1D23D8EF" w14:textId="77777777" w:rsidR="00E03CF0" w:rsidRDefault="00E03CF0" w:rsidP="00C132C8">
            <w:pPr>
              <w:pStyle w:val="Numberdigit"/>
            </w:pPr>
          </w:p>
        </w:tc>
        <w:tc>
          <w:tcPr>
            <w:tcW w:w="3962" w:type="dxa"/>
          </w:tcPr>
          <w:p w14:paraId="0346110F" w14:textId="34CE7CFC" w:rsidR="00E03CF0" w:rsidRDefault="009C6BDA" w:rsidP="00E267DC">
            <w:pPr>
              <w:pStyle w:val="Tabletext"/>
            </w:pPr>
            <w:r>
              <w:t>D</w:t>
            </w:r>
            <w:r w:rsidR="00C27308">
              <w:t xml:space="preserve">o you </w:t>
            </w:r>
            <w:r w:rsidR="009401EF">
              <w:t>support amending the Regulations to define</w:t>
            </w:r>
            <w:r w:rsidR="00C27308">
              <w:t xml:space="preserve"> cosmetic surgery as a type of health service</w:t>
            </w:r>
            <w:r>
              <w:t>?</w:t>
            </w:r>
            <w:r w:rsidR="00C27308">
              <w:t xml:space="preserve"> </w:t>
            </w:r>
            <w:r w:rsidR="009401EF">
              <w:t>If yes, why? If not, why not?</w:t>
            </w:r>
          </w:p>
        </w:tc>
        <w:tc>
          <w:tcPr>
            <w:tcW w:w="4790" w:type="dxa"/>
          </w:tcPr>
          <w:p w14:paraId="320923D3" w14:textId="77777777" w:rsidR="00E03CF0" w:rsidRDefault="00E03CF0" w:rsidP="00E267DC">
            <w:pPr>
              <w:pStyle w:val="Tabletext"/>
            </w:pPr>
          </w:p>
        </w:tc>
      </w:tr>
      <w:tr w:rsidR="00141952" w14:paraId="783FE3D8" w14:textId="77777777" w:rsidTr="00044EFB">
        <w:tc>
          <w:tcPr>
            <w:tcW w:w="536" w:type="dxa"/>
          </w:tcPr>
          <w:p w14:paraId="34B13046" w14:textId="77777777" w:rsidR="00E03CF0" w:rsidRDefault="00E03CF0" w:rsidP="00C132C8">
            <w:pPr>
              <w:pStyle w:val="Numberdigit"/>
            </w:pPr>
          </w:p>
        </w:tc>
        <w:tc>
          <w:tcPr>
            <w:tcW w:w="3962" w:type="dxa"/>
          </w:tcPr>
          <w:p w14:paraId="0C95C613" w14:textId="24A0B73C" w:rsidR="00E03CF0" w:rsidRDefault="00BA0898" w:rsidP="00E267DC">
            <w:pPr>
              <w:pStyle w:val="Tabletext"/>
            </w:pPr>
            <w:r w:rsidRPr="00BA0898">
              <w:t>Do you have any other comments about the scope of prescribed speciality health services in the Regulations and any current or anticipated future impacts on quality, safety and access to health services?</w:t>
            </w:r>
          </w:p>
        </w:tc>
        <w:tc>
          <w:tcPr>
            <w:tcW w:w="4790" w:type="dxa"/>
          </w:tcPr>
          <w:p w14:paraId="68DC75CE" w14:textId="77777777" w:rsidR="00E03CF0" w:rsidRDefault="00E03CF0" w:rsidP="00E267DC">
            <w:pPr>
              <w:pStyle w:val="Tabletext"/>
            </w:pPr>
          </w:p>
        </w:tc>
      </w:tr>
      <w:tr w:rsidR="00E85FC2" w:rsidRPr="00E85FC2" w14:paraId="73F2F8DF" w14:textId="77777777" w:rsidTr="00380068">
        <w:tc>
          <w:tcPr>
            <w:tcW w:w="9288" w:type="dxa"/>
            <w:gridSpan w:val="3"/>
            <w:shd w:val="clear" w:color="auto" w:fill="FBD4B4" w:themeFill="accent6" w:themeFillTint="66"/>
          </w:tcPr>
          <w:p w14:paraId="735DE3A4" w14:textId="434DBDB2" w:rsidR="003358BC" w:rsidRPr="00E85FC2" w:rsidRDefault="003358BC" w:rsidP="003358BC">
            <w:pPr>
              <w:pStyle w:val="Tablecolhead"/>
              <w:rPr>
                <w:color w:val="auto"/>
              </w:rPr>
            </w:pPr>
            <w:r w:rsidRPr="00E85FC2">
              <w:rPr>
                <w:color w:val="auto"/>
              </w:rPr>
              <w:t>Registration and accreditation</w:t>
            </w:r>
          </w:p>
        </w:tc>
      </w:tr>
      <w:tr w:rsidR="00141952" w14:paraId="21581D3F" w14:textId="77777777" w:rsidTr="00044EFB">
        <w:tc>
          <w:tcPr>
            <w:tcW w:w="536" w:type="dxa"/>
          </w:tcPr>
          <w:p w14:paraId="5DE204B4" w14:textId="77777777" w:rsidR="00E03CF0" w:rsidRDefault="00E03CF0" w:rsidP="00C132C8">
            <w:pPr>
              <w:pStyle w:val="Numberdigit"/>
            </w:pPr>
          </w:p>
        </w:tc>
        <w:tc>
          <w:tcPr>
            <w:tcW w:w="3962" w:type="dxa"/>
          </w:tcPr>
          <w:p w14:paraId="42DB4B20" w14:textId="485AF372" w:rsidR="00E03CF0" w:rsidRDefault="00894259" w:rsidP="00E267DC">
            <w:pPr>
              <w:pStyle w:val="Tabletext"/>
            </w:pPr>
            <w:r w:rsidRPr="00894259">
              <w:rPr>
                <w:rFonts w:cs="Arial"/>
                <w:szCs w:val="21"/>
              </w:rPr>
              <w:t xml:space="preserve">Do you have any comments about the registration of private hospitals and day procedure centres (noting that amendments to registration criteria or other provisions in the Act are outside </w:t>
            </w:r>
            <w:r w:rsidRPr="00894259">
              <w:rPr>
                <w:rFonts w:cs="Arial"/>
                <w:szCs w:val="21"/>
              </w:rPr>
              <w:lastRenderedPageBreak/>
              <w:t>the scope of this review of the Regulations)?</w:t>
            </w:r>
          </w:p>
        </w:tc>
        <w:tc>
          <w:tcPr>
            <w:tcW w:w="4790" w:type="dxa"/>
          </w:tcPr>
          <w:p w14:paraId="71DDED61" w14:textId="77777777" w:rsidR="00E03CF0" w:rsidRDefault="00E03CF0" w:rsidP="00E267DC">
            <w:pPr>
              <w:pStyle w:val="Tabletext"/>
            </w:pPr>
          </w:p>
        </w:tc>
      </w:tr>
      <w:tr w:rsidR="00224C3A" w14:paraId="67AFF247" w14:textId="77777777" w:rsidTr="00044EFB">
        <w:tc>
          <w:tcPr>
            <w:tcW w:w="536" w:type="dxa"/>
          </w:tcPr>
          <w:p w14:paraId="470928A5" w14:textId="77777777" w:rsidR="00893D72" w:rsidRDefault="00893D72" w:rsidP="00C132C8">
            <w:pPr>
              <w:pStyle w:val="Numberdigit"/>
            </w:pPr>
          </w:p>
        </w:tc>
        <w:tc>
          <w:tcPr>
            <w:tcW w:w="3962" w:type="dxa"/>
          </w:tcPr>
          <w:p w14:paraId="45691D94" w14:textId="501D536E" w:rsidR="00893D72" w:rsidRDefault="00894259" w:rsidP="009A3CD7">
            <w:pPr>
              <w:pStyle w:val="Tabletext"/>
            </w:pPr>
            <w:r w:rsidRPr="00894259">
              <w:rPr>
                <w:rFonts w:cs="Arial"/>
                <w:szCs w:val="21"/>
              </w:rPr>
              <w:t>Do you have any comments about the role accreditation to the NSQHS Standards plays in ensuring the safety and quality of health services provided by private hospitals and day procedure centres?</w:t>
            </w:r>
          </w:p>
        </w:tc>
        <w:tc>
          <w:tcPr>
            <w:tcW w:w="4790" w:type="dxa"/>
          </w:tcPr>
          <w:p w14:paraId="6CA09639" w14:textId="77777777" w:rsidR="00893D72" w:rsidRDefault="00893D72" w:rsidP="00893D72">
            <w:pPr>
              <w:pStyle w:val="Tabletext"/>
            </w:pPr>
          </w:p>
        </w:tc>
      </w:tr>
      <w:tr w:rsidR="00224C3A" w14:paraId="5D5220A5" w14:textId="77777777" w:rsidTr="00044EFB">
        <w:tc>
          <w:tcPr>
            <w:tcW w:w="536" w:type="dxa"/>
          </w:tcPr>
          <w:p w14:paraId="29274768" w14:textId="77777777" w:rsidR="00893D72" w:rsidRDefault="00893D72" w:rsidP="00C132C8">
            <w:pPr>
              <w:pStyle w:val="Numberdigit"/>
            </w:pPr>
          </w:p>
        </w:tc>
        <w:tc>
          <w:tcPr>
            <w:tcW w:w="3962" w:type="dxa"/>
          </w:tcPr>
          <w:p w14:paraId="62EB2E55" w14:textId="289C4CE2" w:rsidR="00893D72" w:rsidRDefault="005130BC" w:rsidP="009A3CD7">
            <w:pPr>
              <w:pStyle w:val="Tabletext"/>
            </w:pPr>
            <w:r>
              <w:rPr>
                <w:rStyle w:val="normaltextrun"/>
                <w:rFonts w:cs="Arial"/>
                <w:color w:val="000000"/>
                <w:szCs w:val="21"/>
                <w:shd w:val="clear" w:color="auto" w:fill="FFFFFF"/>
              </w:rPr>
              <w:t>In relation to the accreditation process, are there opportunities to better communicate the respective roles of the Commission, accreditation assessment bodies and the department? </w:t>
            </w:r>
            <w:r>
              <w:rPr>
                <w:rStyle w:val="eop"/>
                <w:rFonts w:eastAsia="MS Gothic" w:cs="Arial"/>
                <w:color w:val="000000"/>
                <w:szCs w:val="21"/>
                <w:shd w:val="clear" w:color="auto" w:fill="FFFFFF"/>
              </w:rPr>
              <w:t> </w:t>
            </w:r>
          </w:p>
        </w:tc>
        <w:tc>
          <w:tcPr>
            <w:tcW w:w="4790" w:type="dxa"/>
          </w:tcPr>
          <w:p w14:paraId="735D4CA4" w14:textId="77777777" w:rsidR="00893D72" w:rsidRDefault="00893D72" w:rsidP="00893D72">
            <w:pPr>
              <w:pStyle w:val="Tabletext"/>
            </w:pPr>
          </w:p>
        </w:tc>
      </w:tr>
      <w:tr w:rsidR="00224C3A" w14:paraId="0A3C00D2" w14:textId="77777777" w:rsidTr="00044EFB">
        <w:tc>
          <w:tcPr>
            <w:tcW w:w="536" w:type="dxa"/>
          </w:tcPr>
          <w:p w14:paraId="0D578800" w14:textId="77777777" w:rsidR="00893D72" w:rsidRDefault="00893D72" w:rsidP="00C132C8">
            <w:pPr>
              <w:pStyle w:val="Numberdigit"/>
            </w:pPr>
          </w:p>
        </w:tc>
        <w:tc>
          <w:tcPr>
            <w:tcW w:w="3962" w:type="dxa"/>
          </w:tcPr>
          <w:p w14:paraId="720913D5" w14:textId="1FA99D71" w:rsidR="00893D72" w:rsidRDefault="00006D66" w:rsidP="00BA17D4">
            <w:pPr>
              <w:pStyle w:val="Tabletext"/>
            </w:pPr>
            <w:r w:rsidRPr="00006D66">
              <w:rPr>
                <w:rFonts w:cs="Arial"/>
              </w:rPr>
              <w:t>Do you support amending the Regulations to require health service establishments to display their accreditation certificate in a prominent place? If not, why not?</w:t>
            </w:r>
          </w:p>
        </w:tc>
        <w:tc>
          <w:tcPr>
            <w:tcW w:w="4790" w:type="dxa"/>
          </w:tcPr>
          <w:p w14:paraId="614AB62F" w14:textId="77777777" w:rsidR="00893D72" w:rsidRDefault="00893D72" w:rsidP="00893D72">
            <w:pPr>
              <w:pStyle w:val="Tabletext"/>
            </w:pPr>
          </w:p>
        </w:tc>
      </w:tr>
      <w:tr w:rsidR="00224C3A" w14:paraId="6FE97FBE" w14:textId="77777777" w:rsidTr="00044EFB">
        <w:tc>
          <w:tcPr>
            <w:tcW w:w="536" w:type="dxa"/>
          </w:tcPr>
          <w:p w14:paraId="5A69A93D" w14:textId="77777777" w:rsidR="00893D72" w:rsidRDefault="00893D72" w:rsidP="00C132C8">
            <w:pPr>
              <w:pStyle w:val="Numberdigit"/>
            </w:pPr>
          </w:p>
        </w:tc>
        <w:tc>
          <w:tcPr>
            <w:tcW w:w="3962" w:type="dxa"/>
          </w:tcPr>
          <w:p w14:paraId="228E5D9B" w14:textId="5C85F935" w:rsidR="00893D72" w:rsidRDefault="00006D66" w:rsidP="009A3CD7">
            <w:pPr>
              <w:pStyle w:val="Tabletext"/>
            </w:pPr>
            <w:r w:rsidRPr="00006D66">
              <w:rPr>
                <w:rFonts w:cs="Arial"/>
                <w:szCs w:val="21"/>
              </w:rPr>
              <w:t>Do you see any role for additional accreditation schemes to supplement quality and safety requirements under the Act, Regulations and NSQHS Standards? If yes, which ones</w:t>
            </w:r>
            <w:r w:rsidR="005130BC">
              <w:rPr>
                <w:rFonts w:cs="Arial"/>
                <w:szCs w:val="21"/>
              </w:rPr>
              <w:t xml:space="preserve"> </w:t>
            </w:r>
            <w:r w:rsidR="005130BC">
              <w:rPr>
                <w:rFonts w:cs="Arial"/>
              </w:rPr>
              <w:t>and why</w:t>
            </w:r>
            <w:r w:rsidRPr="00006D66">
              <w:rPr>
                <w:rFonts w:cs="Arial"/>
                <w:szCs w:val="21"/>
              </w:rPr>
              <w:t>? What would be the impact on private hospitals and day procedure centres (for example, in terms of additional costs, involvement of third-party accreditation agencies)?</w:t>
            </w:r>
          </w:p>
        </w:tc>
        <w:tc>
          <w:tcPr>
            <w:tcW w:w="4790" w:type="dxa"/>
          </w:tcPr>
          <w:p w14:paraId="4AA9D1FC" w14:textId="77777777" w:rsidR="00893D72" w:rsidRDefault="00893D72" w:rsidP="00893D72">
            <w:pPr>
              <w:pStyle w:val="Tabletext"/>
            </w:pPr>
          </w:p>
        </w:tc>
      </w:tr>
      <w:tr w:rsidR="00224C3A" w14:paraId="43B27099" w14:textId="77777777" w:rsidTr="00044EFB">
        <w:tc>
          <w:tcPr>
            <w:tcW w:w="536" w:type="dxa"/>
          </w:tcPr>
          <w:p w14:paraId="1E9C2262" w14:textId="77777777" w:rsidR="0076008B" w:rsidRDefault="0076008B" w:rsidP="00C132C8">
            <w:pPr>
              <w:pStyle w:val="Numberdigit"/>
            </w:pPr>
          </w:p>
        </w:tc>
        <w:tc>
          <w:tcPr>
            <w:tcW w:w="3962" w:type="dxa"/>
          </w:tcPr>
          <w:p w14:paraId="66DFC757" w14:textId="1818AB25" w:rsidR="0076008B" w:rsidRPr="00006D66" w:rsidRDefault="0076008B" w:rsidP="00E267DC">
            <w:pPr>
              <w:pStyle w:val="Tabletext"/>
              <w:rPr>
                <w:rFonts w:cs="Arial"/>
                <w:szCs w:val="21"/>
              </w:rPr>
            </w:pPr>
            <w:r>
              <w:rPr>
                <w:rFonts w:cs="Arial"/>
                <w:szCs w:val="21"/>
              </w:rPr>
              <w:t>Do you have any comments on the penalties and sanctions related to registration and accreditation</w:t>
            </w:r>
            <w:r w:rsidR="005130BC">
              <w:rPr>
                <w:rFonts w:cs="Arial"/>
                <w:szCs w:val="21"/>
              </w:rPr>
              <w:t xml:space="preserve"> </w:t>
            </w:r>
            <w:r w:rsidR="005130BC">
              <w:rPr>
                <w:rStyle w:val="normaltextrun"/>
                <w:rFonts w:eastAsia="MS Gothic"/>
                <w:color w:val="000000"/>
                <w:szCs w:val="21"/>
                <w:shd w:val="clear" w:color="auto" w:fill="FFFFFF"/>
              </w:rPr>
              <w:t>(noting amendments to the Act are beyond scope of this review but feedback on this issue may inform decisions on any future reforms)</w:t>
            </w:r>
            <w:r>
              <w:rPr>
                <w:rFonts w:cs="Arial"/>
                <w:szCs w:val="21"/>
              </w:rPr>
              <w:t>?</w:t>
            </w:r>
          </w:p>
        </w:tc>
        <w:tc>
          <w:tcPr>
            <w:tcW w:w="4790" w:type="dxa"/>
          </w:tcPr>
          <w:p w14:paraId="31EF4839" w14:textId="77777777" w:rsidR="0076008B" w:rsidRDefault="0076008B" w:rsidP="00893D72">
            <w:pPr>
              <w:pStyle w:val="Tabletext"/>
            </w:pPr>
          </w:p>
        </w:tc>
      </w:tr>
      <w:tr w:rsidR="00E85FC2" w:rsidRPr="00E85FC2" w14:paraId="1C0CE274" w14:textId="77777777" w:rsidTr="00380068">
        <w:tc>
          <w:tcPr>
            <w:tcW w:w="9288" w:type="dxa"/>
            <w:gridSpan w:val="3"/>
            <w:shd w:val="clear" w:color="auto" w:fill="FBD4B4" w:themeFill="accent6" w:themeFillTint="66"/>
          </w:tcPr>
          <w:p w14:paraId="6064F4B6" w14:textId="64C1D056" w:rsidR="00F932D3" w:rsidRPr="00E85FC2" w:rsidRDefault="00F932D3" w:rsidP="00E267DC">
            <w:pPr>
              <w:pStyle w:val="Tablecolhead"/>
              <w:rPr>
                <w:color w:val="auto"/>
              </w:rPr>
            </w:pPr>
            <w:r w:rsidRPr="00E85FC2">
              <w:rPr>
                <w:color w:val="auto"/>
              </w:rPr>
              <w:t>Clinical governance</w:t>
            </w:r>
          </w:p>
        </w:tc>
      </w:tr>
      <w:tr w:rsidR="00224C3A" w14:paraId="52683565" w14:textId="77777777" w:rsidTr="00044EFB">
        <w:tc>
          <w:tcPr>
            <w:tcW w:w="536" w:type="dxa"/>
          </w:tcPr>
          <w:p w14:paraId="1C9CA364" w14:textId="77777777" w:rsidR="0076008B" w:rsidRDefault="0076008B" w:rsidP="00C132C8">
            <w:pPr>
              <w:pStyle w:val="Numberdigit"/>
            </w:pPr>
          </w:p>
        </w:tc>
        <w:tc>
          <w:tcPr>
            <w:tcW w:w="3962" w:type="dxa"/>
          </w:tcPr>
          <w:p w14:paraId="4034E229" w14:textId="1FA99D71" w:rsidR="0076008B" w:rsidRPr="00006D66" w:rsidRDefault="00F932D3" w:rsidP="00E267DC">
            <w:pPr>
              <w:pStyle w:val="Tabletext"/>
              <w:rPr>
                <w:rFonts w:cs="Arial"/>
              </w:rPr>
            </w:pPr>
            <w:r w:rsidRPr="00F932D3">
              <w:rPr>
                <w:rFonts w:cs="Arial"/>
              </w:rPr>
              <w:t>Do you support private hospitals and day procedure centres being required to comply with the Safer Care Victoria Victorian Clinical Governance Framework?</w:t>
            </w:r>
            <w:r w:rsidR="00BA17D4">
              <w:rPr>
                <w:rFonts w:cs="Arial"/>
              </w:rPr>
              <w:t xml:space="preserve"> </w:t>
            </w:r>
            <w:r w:rsidRPr="00F932D3">
              <w:rPr>
                <w:rFonts w:cs="Arial"/>
              </w:rPr>
              <w:t>If yes, why? If not, why not?</w:t>
            </w:r>
          </w:p>
        </w:tc>
        <w:tc>
          <w:tcPr>
            <w:tcW w:w="4790" w:type="dxa"/>
          </w:tcPr>
          <w:p w14:paraId="47D50687" w14:textId="77777777" w:rsidR="0076008B" w:rsidRDefault="0076008B" w:rsidP="00893D72">
            <w:pPr>
              <w:pStyle w:val="Tabletext"/>
            </w:pPr>
          </w:p>
        </w:tc>
      </w:tr>
      <w:tr w:rsidR="00224C3A" w14:paraId="455207CF" w14:textId="77777777" w:rsidTr="00044EFB">
        <w:tc>
          <w:tcPr>
            <w:tcW w:w="536" w:type="dxa"/>
          </w:tcPr>
          <w:p w14:paraId="6CCEE953" w14:textId="77777777" w:rsidR="0076008B" w:rsidRDefault="0076008B" w:rsidP="00C132C8">
            <w:pPr>
              <w:pStyle w:val="Numberdigit"/>
            </w:pPr>
          </w:p>
        </w:tc>
        <w:tc>
          <w:tcPr>
            <w:tcW w:w="3962" w:type="dxa"/>
          </w:tcPr>
          <w:p w14:paraId="58DA052B" w14:textId="2B8B4377" w:rsidR="0076008B" w:rsidRPr="00006D66" w:rsidRDefault="00F932D3" w:rsidP="00E267DC">
            <w:pPr>
              <w:pStyle w:val="Tabletext"/>
              <w:rPr>
                <w:rFonts w:cs="Arial"/>
              </w:rPr>
            </w:pPr>
            <w:r w:rsidRPr="00F932D3">
              <w:rPr>
                <w:rFonts w:cs="Arial"/>
                <w:szCs w:val="21"/>
              </w:rPr>
              <w:t xml:space="preserve">Are there elements of the Victorian Clinical Governance Framework that might require clarification or adjustment in order to apply effectively to private hospitals and day procedure centres? </w:t>
            </w:r>
          </w:p>
        </w:tc>
        <w:tc>
          <w:tcPr>
            <w:tcW w:w="4790" w:type="dxa"/>
          </w:tcPr>
          <w:p w14:paraId="3F0531BD" w14:textId="77777777" w:rsidR="0076008B" w:rsidRDefault="0076008B" w:rsidP="00893D72">
            <w:pPr>
              <w:pStyle w:val="Tabletext"/>
            </w:pPr>
          </w:p>
        </w:tc>
      </w:tr>
      <w:tr w:rsidR="00224C3A" w14:paraId="4B19C7AE" w14:textId="77777777" w:rsidTr="00044EFB">
        <w:tc>
          <w:tcPr>
            <w:tcW w:w="536" w:type="dxa"/>
          </w:tcPr>
          <w:p w14:paraId="05B2EF50" w14:textId="77777777" w:rsidR="0076008B" w:rsidRDefault="0076008B" w:rsidP="00C132C8">
            <w:pPr>
              <w:pStyle w:val="Numberdigit"/>
            </w:pPr>
          </w:p>
        </w:tc>
        <w:tc>
          <w:tcPr>
            <w:tcW w:w="3962" w:type="dxa"/>
          </w:tcPr>
          <w:p w14:paraId="3C9383EA" w14:textId="52ACD8A1" w:rsidR="0076008B" w:rsidRPr="00006D66" w:rsidRDefault="00F932D3" w:rsidP="00E267DC">
            <w:pPr>
              <w:pStyle w:val="Tabletext"/>
              <w:rPr>
                <w:rFonts w:cs="Arial"/>
                <w:szCs w:val="21"/>
              </w:rPr>
            </w:pPr>
            <w:r w:rsidRPr="00F932D3">
              <w:rPr>
                <w:rFonts w:cs="Arial"/>
                <w:szCs w:val="21"/>
              </w:rPr>
              <w:t>What impacts on private hospitals or day procedure centres do you anticipate this requirement would have?</w:t>
            </w:r>
          </w:p>
        </w:tc>
        <w:tc>
          <w:tcPr>
            <w:tcW w:w="4790" w:type="dxa"/>
          </w:tcPr>
          <w:p w14:paraId="0238762A" w14:textId="77777777" w:rsidR="0076008B" w:rsidRDefault="0076008B" w:rsidP="00893D72">
            <w:pPr>
              <w:pStyle w:val="Tabletext"/>
            </w:pPr>
          </w:p>
        </w:tc>
      </w:tr>
      <w:tr w:rsidR="00224C3A" w14:paraId="5E1339D5" w14:textId="77777777" w:rsidTr="00044EFB">
        <w:tc>
          <w:tcPr>
            <w:tcW w:w="536" w:type="dxa"/>
          </w:tcPr>
          <w:p w14:paraId="3A0B957F" w14:textId="77777777" w:rsidR="00893D72" w:rsidRDefault="00893D72" w:rsidP="00C132C8">
            <w:pPr>
              <w:pStyle w:val="Numberdigit"/>
            </w:pPr>
          </w:p>
        </w:tc>
        <w:tc>
          <w:tcPr>
            <w:tcW w:w="3962" w:type="dxa"/>
          </w:tcPr>
          <w:p w14:paraId="6972FE67" w14:textId="1FA99D71" w:rsidR="00893D72" w:rsidRDefault="00214AB9" w:rsidP="00BA17D4">
            <w:pPr>
              <w:pStyle w:val="Tabletext"/>
            </w:pPr>
            <w:r w:rsidRPr="00214AB9">
              <w:t xml:space="preserve">Do you support private hospitals and day procedure centres being required to comply with SCV’s </w:t>
            </w:r>
            <w:r w:rsidRPr="008E36B8">
              <w:rPr>
                <w:i/>
              </w:rPr>
              <w:t>Credentialing and scope of clinical practice for senior medical practitioners policy</w:t>
            </w:r>
            <w:r w:rsidRPr="00214AB9">
              <w:t>? If yes, why? If not, why not?</w:t>
            </w:r>
          </w:p>
        </w:tc>
        <w:tc>
          <w:tcPr>
            <w:tcW w:w="4790" w:type="dxa"/>
          </w:tcPr>
          <w:p w14:paraId="7B96AA61" w14:textId="77777777" w:rsidR="00893D72" w:rsidRDefault="00893D72" w:rsidP="00893D72">
            <w:pPr>
              <w:pStyle w:val="Tabletext"/>
            </w:pPr>
          </w:p>
        </w:tc>
      </w:tr>
      <w:tr w:rsidR="00224C3A" w14:paraId="74F3F5C6" w14:textId="77777777" w:rsidTr="00044EFB">
        <w:tc>
          <w:tcPr>
            <w:tcW w:w="536" w:type="dxa"/>
          </w:tcPr>
          <w:p w14:paraId="0F915D7E" w14:textId="77777777" w:rsidR="00893D72" w:rsidRDefault="00893D72" w:rsidP="00C132C8">
            <w:pPr>
              <w:pStyle w:val="Numberdigit"/>
            </w:pPr>
          </w:p>
        </w:tc>
        <w:tc>
          <w:tcPr>
            <w:tcW w:w="3962" w:type="dxa"/>
          </w:tcPr>
          <w:p w14:paraId="56BC751A" w14:textId="386A09DF" w:rsidR="00893D72" w:rsidRDefault="00214AB9" w:rsidP="00893D72">
            <w:pPr>
              <w:pStyle w:val="Tabletext"/>
            </w:pPr>
            <w:r w:rsidRPr="00214AB9">
              <w:t>What impacts on private hospitals or day procedure centres do you anticipate this requirement would have?</w:t>
            </w:r>
          </w:p>
        </w:tc>
        <w:tc>
          <w:tcPr>
            <w:tcW w:w="4790" w:type="dxa"/>
          </w:tcPr>
          <w:p w14:paraId="16E5477B" w14:textId="77777777" w:rsidR="00893D72" w:rsidRDefault="00893D72" w:rsidP="00893D72">
            <w:pPr>
              <w:pStyle w:val="Tabletext"/>
            </w:pPr>
          </w:p>
        </w:tc>
      </w:tr>
      <w:tr w:rsidR="00224C3A" w14:paraId="40B3EB5E" w14:textId="77777777" w:rsidTr="00044EFB">
        <w:tc>
          <w:tcPr>
            <w:tcW w:w="536" w:type="dxa"/>
          </w:tcPr>
          <w:p w14:paraId="49720610" w14:textId="77777777" w:rsidR="00893D72" w:rsidRDefault="00893D72" w:rsidP="00C132C8">
            <w:pPr>
              <w:pStyle w:val="Numberdigit"/>
            </w:pPr>
          </w:p>
        </w:tc>
        <w:tc>
          <w:tcPr>
            <w:tcW w:w="3962" w:type="dxa"/>
          </w:tcPr>
          <w:p w14:paraId="365F65DC" w14:textId="1FA99D71" w:rsidR="00893D72" w:rsidRDefault="00214AB9" w:rsidP="00BA17D4">
            <w:pPr>
              <w:pStyle w:val="Tabletext"/>
            </w:pPr>
            <w:r w:rsidRPr="00214AB9">
              <w:t xml:space="preserve">Do you support mandating the </w:t>
            </w:r>
            <w:r w:rsidRPr="008F7916">
              <w:rPr>
                <w:i/>
              </w:rPr>
              <w:t xml:space="preserve">Guideline for providers of liposuction; best practice guideline for clinicians, and those involved in the provision of liposuction </w:t>
            </w:r>
            <w:r w:rsidRPr="008E36B8">
              <w:t>through the Regulations</w:t>
            </w:r>
            <w:r w:rsidRPr="00214AB9">
              <w:t xml:space="preserve"> instead of through a direction from the Secretary? If yes, why? If not, why not?</w:t>
            </w:r>
          </w:p>
        </w:tc>
        <w:tc>
          <w:tcPr>
            <w:tcW w:w="4790" w:type="dxa"/>
          </w:tcPr>
          <w:p w14:paraId="04D37ECB" w14:textId="77777777" w:rsidR="00893D72" w:rsidRDefault="00893D72" w:rsidP="00893D72">
            <w:pPr>
              <w:pStyle w:val="Tabletext"/>
            </w:pPr>
          </w:p>
        </w:tc>
      </w:tr>
      <w:tr w:rsidR="00B5696B" w14:paraId="51FE9F8B" w14:textId="77777777" w:rsidTr="00044EFB">
        <w:tc>
          <w:tcPr>
            <w:tcW w:w="536" w:type="dxa"/>
          </w:tcPr>
          <w:p w14:paraId="257D2809" w14:textId="77777777" w:rsidR="00B5696B" w:rsidRDefault="00B5696B" w:rsidP="00C132C8">
            <w:pPr>
              <w:pStyle w:val="Numberdigit"/>
            </w:pPr>
          </w:p>
        </w:tc>
        <w:tc>
          <w:tcPr>
            <w:tcW w:w="3962" w:type="dxa"/>
          </w:tcPr>
          <w:p w14:paraId="4D75B736" w14:textId="5E62D459" w:rsidR="00B5696B" w:rsidRPr="00214AB9" w:rsidRDefault="00B5696B" w:rsidP="00893D72">
            <w:pPr>
              <w:pStyle w:val="Tabletext"/>
            </w:pPr>
            <w:r w:rsidRPr="00B5696B">
              <w:t xml:space="preserve">Do you support a requirement in the Regulations that the clinical governance protocols of a health service must set out the roles and responsibilities of key clinical leadership positions? If not, why not? If so, which positions </w:t>
            </w:r>
            <w:r w:rsidR="00A53AB8">
              <w:t>do you consider</w:t>
            </w:r>
            <w:r w:rsidRPr="00B5696B">
              <w:t xml:space="preserve"> should be addressed in the protocols?</w:t>
            </w:r>
          </w:p>
        </w:tc>
        <w:tc>
          <w:tcPr>
            <w:tcW w:w="4790" w:type="dxa"/>
          </w:tcPr>
          <w:p w14:paraId="38027992" w14:textId="77777777" w:rsidR="00B5696B" w:rsidRDefault="00B5696B" w:rsidP="00893D72">
            <w:pPr>
              <w:pStyle w:val="Tabletext"/>
            </w:pPr>
          </w:p>
        </w:tc>
      </w:tr>
      <w:tr w:rsidR="00224C3A" w14:paraId="0510FEB0" w14:textId="77777777" w:rsidTr="00044EFB">
        <w:tc>
          <w:tcPr>
            <w:tcW w:w="536" w:type="dxa"/>
          </w:tcPr>
          <w:p w14:paraId="4E0178C1" w14:textId="77777777" w:rsidR="00893D72" w:rsidRDefault="00893D72" w:rsidP="00C132C8">
            <w:pPr>
              <w:pStyle w:val="Numberdigit"/>
            </w:pPr>
          </w:p>
        </w:tc>
        <w:tc>
          <w:tcPr>
            <w:tcW w:w="3962" w:type="dxa"/>
          </w:tcPr>
          <w:p w14:paraId="111E507F" w14:textId="15340CED" w:rsidR="00214AB9" w:rsidRDefault="00214AB9" w:rsidP="00893D72">
            <w:pPr>
              <w:pStyle w:val="Tabletext"/>
            </w:pPr>
            <w:r w:rsidRPr="00214AB9">
              <w:t xml:space="preserve">Do you consider that the current use of clinical staff </w:t>
            </w:r>
            <w:r w:rsidR="00CD68A5">
              <w:rPr>
                <w:rStyle w:val="normaltextrun"/>
                <w:rFonts w:eastAsia="MS Gothic"/>
                <w:color w:val="000000"/>
                <w:szCs w:val="21"/>
                <w:shd w:val="clear" w:color="auto" w:fill="FFFFFF"/>
              </w:rPr>
              <w:t xml:space="preserve">not directly employed, to work in private hospitals or day procedure centres, </w:t>
            </w:r>
            <w:r w:rsidRPr="00214AB9">
              <w:t>may pose a risk to patient safety?</w:t>
            </w:r>
          </w:p>
          <w:p w14:paraId="3BE15DB1" w14:textId="0712E77C" w:rsidR="00214AB9" w:rsidRDefault="00214AB9" w:rsidP="00C132C8">
            <w:pPr>
              <w:pStyle w:val="Tabletext"/>
              <w:numPr>
                <w:ilvl w:val="0"/>
                <w:numId w:val="47"/>
              </w:numPr>
            </w:pPr>
            <w:r w:rsidRPr="00214AB9">
              <w:t xml:space="preserve">If yes, why? If not, why not? </w:t>
            </w:r>
          </w:p>
          <w:p w14:paraId="298275C8" w14:textId="0712E77C" w:rsidR="00893D72" w:rsidRDefault="00214AB9" w:rsidP="00C132C8">
            <w:pPr>
              <w:pStyle w:val="Tabletext"/>
              <w:numPr>
                <w:ilvl w:val="0"/>
                <w:numId w:val="47"/>
              </w:numPr>
            </w:pPr>
            <w:r w:rsidRPr="00214AB9">
              <w:t>Are there actions that can be taken to mitigate this risk?</w:t>
            </w:r>
          </w:p>
        </w:tc>
        <w:tc>
          <w:tcPr>
            <w:tcW w:w="4790" w:type="dxa"/>
          </w:tcPr>
          <w:p w14:paraId="0CED4231" w14:textId="77777777" w:rsidR="00893D72" w:rsidRDefault="00893D72" w:rsidP="00893D72">
            <w:pPr>
              <w:pStyle w:val="Tabletext"/>
            </w:pPr>
          </w:p>
        </w:tc>
      </w:tr>
      <w:tr w:rsidR="00224C3A" w14:paraId="2391B6D3" w14:textId="77777777" w:rsidTr="00044EFB">
        <w:tc>
          <w:tcPr>
            <w:tcW w:w="536" w:type="dxa"/>
          </w:tcPr>
          <w:p w14:paraId="69F5A955" w14:textId="77777777" w:rsidR="00893D72" w:rsidRDefault="00893D72" w:rsidP="00C132C8">
            <w:pPr>
              <w:pStyle w:val="Numberdigit"/>
            </w:pPr>
          </w:p>
        </w:tc>
        <w:tc>
          <w:tcPr>
            <w:tcW w:w="3962" w:type="dxa"/>
          </w:tcPr>
          <w:p w14:paraId="106E0FF4" w14:textId="55EC4908" w:rsidR="00893D72" w:rsidRDefault="00B1661E" w:rsidP="00893D72">
            <w:pPr>
              <w:pStyle w:val="Tabletext"/>
            </w:pPr>
            <w:r w:rsidRPr="00B1661E">
              <w:t>Do you support amending the Regulations to require that the clinical governance protocols of a health service establishment must set out how staff and VMO fatigue (including cumulative fatigue arising from work undertaken at multiple facilities) is monitored and managed? If yes, why? If not, why not?</w:t>
            </w:r>
          </w:p>
        </w:tc>
        <w:tc>
          <w:tcPr>
            <w:tcW w:w="4790" w:type="dxa"/>
          </w:tcPr>
          <w:p w14:paraId="6966B098" w14:textId="77777777" w:rsidR="00893D72" w:rsidRDefault="00893D72" w:rsidP="00893D72">
            <w:pPr>
              <w:pStyle w:val="Tabletext"/>
            </w:pPr>
          </w:p>
        </w:tc>
      </w:tr>
      <w:tr w:rsidR="00224C3A" w14:paraId="01F69BD4" w14:textId="77777777" w:rsidTr="00044EFB">
        <w:tc>
          <w:tcPr>
            <w:tcW w:w="536" w:type="dxa"/>
          </w:tcPr>
          <w:p w14:paraId="51CC1FF5" w14:textId="77777777" w:rsidR="00893D72" w:rsidRDefault="00893D72" w:rsidP="00C132C8">
            <w:pPr>
              <w:pStyle w:val="Numberdigit"/>
            </w:pPr>
          </w:p>
        </w:tc>
        <w:tc>
          <w:tcPr>
            <w:tcW w:w="3962" w:type="dxa"/>
          </w:tcPr>
          <w:p w14:paraId="1EF2CB61" w14:textId="3338CDB2" w:rsidR="00893D72" w:rsidRDefault="00C51649" w:rsidP="00C51649">
            <w:pPr>
              <w:pStyle w:val="Tabletext"/>
            </w:pPr>
            <w:r w:rsidRPr="00C51649">
              <w:t>Do you have any comments on the benefits and implications of setting (in clinical governance protocols or centrally in government requirements) a maximum surgical list length?</w:t>
            </w:r>
          </w:p>
        </w:tc>
        <w:tc>
          <w:tcPr>
            <w:tcW w:w="4790" w:type="dxa"/>
          </w:tcPr>
          <w:p w14:paraId="637105C1" w14:textId="77777777" w:rsidR="00893D72" w:rsidRDefault="00893D72" w:rsidP="00893D72">
            <w:pPr>
              <w:pStyle w:val="Tabletext"/>
            </w:pPr>
          </w:p>
        </w:tc>
      </w:tr>
      <w:tr w:rsidR="00141952" w14:paraId="7BF1F2E5" w14:textId="77777777" w:rsidTr="00044EFB">
        <w:tc>
          <w:tcPr>
            <w:tcW w:w="536" w:type="dxa"/>
          </w:tcPr>
          <w:p w14:paraId="193D0260" w14:textId="77777777" w:rsidR="00E03CF0" w:rsidRDefault="00E03CF0" w:rsidP="00C132C8">
            <w:pPr>
              <w:pStyle w:val="Numberdigit"/>
            </w:pPr>
          </w:p>
        </w:tc>
        <w:tc>
          <w:tcPr>
            <w:tcW w:w="3962" w:type="dxa"/>
          </w:tcPr>
          <w:p w14:paraId="5490D1EC" w14:textId="56F35D67" w:rsidR="00E03CF0" w:rsidRDefault="00A14EFE" w:rsidP="00E267DC">
            <w:pPr>
              <w:pStyle w:val="Tabletext"/>
            </w:pPr>
            <w:r w:rsidRPr="00A14EFE">
              <w:t>Do you support amending the Regulations to include mandatory requirements for the ongoing education of nursing and midwifery staff working at private hospitals and day procedure centres. If so, why? If not, why not?</w:t>
            </w:r>
          </w:p>
        </w:tc>
        <w:tc>
          <w:tcPr>
            <w:tcW w:w="4790" w:type="dxa"/>
          </w:tcPr>
          <w:p w14:paraId="52D23BA7" w14:textId="77777777" w:rsidR="00E03CF0" w:rsidRDefault="00E03CF0" w:rsidP="00E267DC">
            <w:pPr>
              <w:pStyle w:val="Tabletext"/>
            </w:pPr>
          </w:p>
        </w:tc>
      </w:tr>
      <w:tr w:rsidR="00224C3A" w14:paraId="45D2739B" w14:textId="77777777" w:rsidTr="00044EFB">
        <w:tc>
          <w:tcPr>
            <w:tcW w:w="536" w:type="dxa"/>
          </w:tcPr>
          <w:p w14:paraId="1927A65E" w14:textId="77777777" w:rsidR="00893D72" w:rsidRDefault="00893D72" w:rsidP="00C132C8">
            <w:pPr>
              <w:pStyle w:val="Numberdigit"/>
            </w:pPr>
          </w:p>
        </w:tc>
        <w:tc>
          <w:tcPr>
            <w:tcW w:w="3962" w:type="dxa"/>
          </w:tcPr>
          <w:p w14:paraId="21262EDB" w14:textId="150AA9F6" w:rsidR="00893D72" w:rsidRDefault="00A14EFE" w:rsidP="00B731A6">
            <w:pPr>
              <w:pStyle w:val="Tabletext"/>
            </w:pPr>
            <w:r w:rsidRPr="00A14EFE">
              <w:t>How does the requirement for a committee with responsibility for quality and safety currently work in practice across diverse private hospitals and day procedure centres?</w:t>
            </w:r>
          </w:p>
        </w:tc>
        <w:tc>
          <w:tcPr>
            <w:tcW w:w="4790" w:type="dxa"/>
          </w:tcPr>
          <w:p w14:paraId="50E03EB5" w14:textId="77777777" w:rsidR="00893D72" w:rsidRDefault="00893D72" w:rsidP="00893D72">
            <w:pPr>
              <w:pStyle w:val="Tabletext"/>
            </w:pPr>
          </w:p>
        </w:tc>
      </w:tr>
      <w:tr w:rsidR="00A14EFE" w14:paraId="233ACA51" w14:textId="77777777" w:rsidTr="00044EFB">
        <w:tc>
          <w:tcPr>
            <w:tcW w:w="536" w:type="dxa"/>
          </w:tcPr>
          <w:p w14:paraId="52827ABF" w14:textId="77777777" w:rsidR="00A14EFE" w:rsidRDefault="00A14EFE" w:rsidP="00C132C8">
            <w:pPr>
              <w:pStyle w:val="Numberdigit"/>
            </w:pPr>
          </w:p>
        </w:tc>
        <w:tc>
          <w:tcPr>
            <w:tcW w:w="3962" w:type="dxa"/>
          </w:tcPr>
          <w:p w14:paraId="72ABCED2" w14:textId="3DC2F728" w:rsidR="00A14EFE" w:rsidRPr="00A14EFE" w:rsidRDefault="00A14EFE" w:rsidP="00E267DC">
            <w:pPr>
              <w:pStyle w:val="Tabletext"/>
            </w:pPr>
            <w:r w:rsidRPr="00A14EFE">
              <w:t>Could mandatory requirements in the Regulations for the committee responsible for quality and safety improve patient safety – for example, a minimum meeting frequency of once every three months or a requirement for a Chair with no financial interest in the health service?</w:t>
            </w:r>
          </w:p>
        </w:tc>
        <w:tc>
          <w:tcPr>
            <w:tcW w:w="4790" w:type="dxa"/>
          </w:tcPr>
          <w:p w14:paraId="442A3B89" w14:textId="77777777" w:rsidR="00A14EFE" w:rsidRDefault="00A14EFE" w:rsidP="00893D72">
            <w:pPr>
              <w:pStyle w:val="Tabletext"/>
            </w:pPr>
          </w:p>
        </w:tc>
      </w:tr>
      <w:tr w:rsidR="00A14EFE" w14:paraId="5BC09024" w14:textId="77777777" w:rsidTr="00044EFB">
        <w:tc>
          <w:tcPr>
            <w:tcW w:w="536" w:type="dxa"/>
          </w:tcPr>
          <w:p w14:paraId="49CECBB5" w14:textId="77777777" w:rsidR="00A14EFE" w:rsidRDefault="00A14EFE" w:rsidP="00C132C8">
            <w:pPr>
              <w:pStyle w:val="Numberdigit"/>
            </w:pPr>
          </w:p>
        </w:tc>
        <w:tc>
          <w:tcPr>
            <w:tcW w:w="3962" w:type="dxa"/>
          </w:tcPr>
          <w:p w14:paraId="1D69BA05" w14:textId="6BD5B80E" w:rsidR="00A14EFE" w:rsidRPr="00A14EFE" w:rsidRDefault="00A14EFE" w:rsidP="00E267DC">
            <w:pPr>
              <w:pStyle w:val="Tabletext"/>
            </w:pPr>
            <w:r w:rsidRPr="00A14EFE">
              <w:t>Do you support amending the provisions for quality and safety protocols in the Regulations to include a requirement that these protocols include processes for assessing the reliability, availability and timeliness of adjunct diagnostic services, whether provided by the health service establishment or an external supplier. If yes, why? If not, why not?</w:t>
            </w:r>
          </w:p>
        </w:tc>
        <w:tc>
          <w:tcPr>
            <w:tcW w:w="4790" w:type="dxa"/>
          </w:tcPr>
          <w:p w14:paraId="7C120E6E" w14:textId="77777777" w:rsidR="00A14EFE" w:rsidRDefault="00A14EFE" w:rsidP="00893D72">
            <w:pPr>
              <w:pStyle w:val="Tabletext"/>
            </w:pPr>
          </w:p>
        </w:tc>
      </w:tr>
      <w:tr w:rsidR="00E85FC2" w:rsidRPr="00E85FC2" w14:paraId="6EE2DBF0" w14:textId="77777777" w:rsidTr="00380068">
        <w:tc>
          <w:tcPr>
            <w:tcW w:w="9288" w:type="dxa"/>
            <w:gridSpan w:val="3"/>
            <w:shd w:val="clear" w:color="auto" w:fill="FBD4B4" w:themeFill="accent6" w:themeFillTint="66"/>
          </w:tcPr>
          <w:p w14:paraId="411F7546" w14:textId="4409C6B1" w:rsidR="00A14EFE" w:rsidRPr="00E85FC2" w:rsidRDefault="00A14EFE" w:rsidP="00E267DC">
            <w:pPr>
              <w:pStyle w:val="Tablecolhead"/>
              <w:rPr>
                <w:color w:val="auto"/>
              </w:rPr>
            </w:pPr>
            <w:r w:rsidRPr="00E85FC2">
              <w:rPr>
                <w:color w:val="auto"/>
              </w:rPr>
              <w:t>Staffing requirements</w:t>
            </w:r>
          </w:p>
        </w:tc>
      </w:tr>
      <w:tr w:rsidR="00A14EFE" w14:paraId="68385508" w14:textId="77777777" w:rsidTr="00044EFB">
        <w:tc>
          <w:tcPr>
            <w:tcW w:w="536" w:type="dxa"/>
          </w:tcPr>
          <w:p w14:paraId="60921A36" w14:textId="77777777" w:rsidR="00A14EFE" w:rsidRDefault="00A14EFE" w:rsidP="00C132C8">
            <w:pPr>
              <w:pStyle w:val="Numberdigit"/>
            </w:pPr>
          </w:p>
        </w:tc>
        <w:tc>
          <w:tcPr>
            <w:tcW w:w="3962" w:type="dxa"/>
          </w:tcPr>
          <w:p w14:paraId="600461E2" w14:textId="70DF7EE6" w:rsidR="00A14EFE" w:rsidRPr="00A14EFE" w:rsidRDefault="00A14EFE" w:rsidP="00E267DC">
            <w:pPr>
              <w:pStyle w:val="Tabletext"/>
            </w:pPr>
            <w:r w:rsidRPr="00A14EFE">
              <w:t>Do you support amending the Regulations so that the appointment now titled ‘Director of Nursing’ can be ‘however titled’ if the position has the qualifications, experience, and authority of the nurse who is in charge of clinical services in the facility. If so, why? If not, why not?</w:t>
            </w:r>
          </w:p>
        </w:tc>
        <w:tc>
          <w:tcPr>
            <w:tcW w:w="4790" w:type="dxa"/>
          </w:tcPr>
          <w:p w14:paraId="232BF3E5" w14:textId="77777777" w:rsidR="00A14EFE" w:rsidRDefault="00A14EFE" w:rsidP="00893D72">
            <w:pPr>
              <w:pStyle w:val="Tabletext"/>
            </w:pPr>
          </w:p>
        </w:tc>
      </w:tr>
      <w:tr w:rsidR="00A14EFE" w14:paraId="2DD45344" w14:textId="77777777" w:rsidTr="00044EFB">
        <w:tc>
          <w:tcPr>
            <w:tcW w:w="536" w:type="dxa"/>
          </w:tcPr>
          <w:p w14:paraId="2D6C9AE1" w14:textId="77777777" w:rsidR="00A14EFE" w:rsidRDefault="00A14EFE" w:rsidP="00C132C8">
            <w:pPr>
              <w:pStyle w:val="Numberdigit"/>
            </w:pPr>
          </w:p>
        </w:tc>
        <w:tc>
          <w:tcPr>
            <w:tcW w:w="3962" w:type="dxa"/>
          </w:tcPr>
          <w:p w14:paraId="202AD495" w14:textId="1C59CBF7" w:rsidR="00F91E0E" w:rsidRDefault="00F91E0E" w:rsidP="00E267DC">
            <w:pPr>
              <w:pStyle w:val="Tabletext"/>
            </w:pPr>
            <w:r>
              <w:t>In relation to the qualifications and experience requirements of the Acting DON, which of the below options do you support and why:</w:t>
            </w:r>
          </w:p>
          <w:p w14:paraId="262A1E30" w14:textId="7D0B039F" w:rsidR="00F91E0E" w:rsidRDefault="00F91E0E" w:rsidP="00E267DC">
            <w:pPr>
              <w:pStyle w:val="Tabletext"/>
              <w:ind w:left="219"/>
            </w:pPr>
            <w:r w:rsidRPr="00E267DC">
              <w:rPr>
                <w:b/>
              </w:rPr>
              <w:t>Option 1</w:t>
            </w:r>
            <w:r>
              <w:t xml:space="preserve"> – maintain the status quo – no qualifications or experience requirements in Regulations, and no limit on the length of time that an Acting DON can be appointed for.</w:t>
            </w:r>
          </w:p>
          <w:p w14:paraId="38D4EAE9" w14:textId="67E4D8EE" w:rsidR="00F91E0E" w:rsidRDefault="00F91E0E" w:rsidP="00E267DC">
            <w:pPr>
              <w:pStyle w:val="Tabletext"/>
              <w:ind w:left="219"/>
            </w:pPr>
            <w:r w:rsidRPr="00E267DC">
              <w:rPr>
                <w:b/>
              </w:rPr>
              <w:t>Option 2</w:t>
            </w:r>
            <w:r>
              <w:t xml:space="preserve"> – require the Acting DON to meet the same qualifications and experience requirements of the DON</w:t>
            </w:r>
            <w:r w:rsidR="002443A4">
              <w:t>,</w:t>
            </w:r>
            <w:r>
              <w:t xml:space="preserve"> </w:t>
            </w:r>
            <w:r>
              <w:lastRenderedPageBreak/>
              <w:t xml:space="preserve">which are that they are a registered nurse, and have 12 months practical experience in nursing management, and have at least five years clinical experience as a registered nurse). </w:t>
            </w:r>
          </w:p>
          <w:p w14:paraId="3A7E86E0" w14:textId="4F17F273" w:rsidR="00A14EFE" w:rsidRPr="00A14EFE" w:rsidRDefault="00F91E0E" w:rsidP="00E267DC">
            <w:pPr>
              <w:pStyle w:val="Tabletext"/>
              <w:ind w:left="219"/>
            </w:pPr>
            <w:r w:rsidRPr="00E267DC">
              <w:rPr>
                <w:b/>
              </w:rPr>
              <w:t>Option 3</w:t>
            </w:r>
            <w:r>
              <w:t xml:space="preserve"> </w:t>
            </w:r>
            <w:r w:rsidR="00380068">
              <w:t>–</w:t>
            </w:r>
            <w:r>
              <w:t xml:space="preserve"> enable the position of Acting DON to be used to upskill staff.</w:t>
            </w:r>
          </w:p>
        </w:tc>
        <w:tc>
          <w:tcPr>
            <w:tcW w:w="4790" w:type="dxa"/>
          </w:tcPr>
          <w:p w14:paraId="230910C0" w14:textId="77777777" w:rsidR="00A14EFE" w:rsidRDefault="00A14EFE" w:rsidP="00893D72">
            <w:pPr>
              <w:pStyle w:val="Tabletext"/>
            </w:pPr>
          </w:p>
        </w:tc>
      </w:tr>
      <w:tr w:rsidR="00A14EFE" w14:paraId="72E32313" w14:textId="77777777" w:rsidTr="00044EFB">
        <w:tc>
          <w:tcPr>
            <w:tcW w:w="536" w:type="dxa"/>
          </w:tcPr>
          <w:p w14:paraId="1F9DFC81" w14:textId="77777777" w:rsidR="00A14EFE" w:rsidRDefault="00A14EFE" w:rsidP="00C132C8">
            <w:pPr>
              <w:pStyle w:val="Numberdigit"/>
            </w:pPr>
          </w:p>
        </w:tc>
        <w:tc>
          <w:tcPr>
            <w:tcW w:w="3962" w:type="dxa"/>
          </w:tcPr>
          <w:p w14:paraId="0AEC9937" w14:textId="6F8D206A" w:rsidR="00A14EFE" w:rsidRPr="00A14EFE" w:rsidRDefault="00B731A6" w:rsidP="00E267DC">
            <w:pPr>
              <w:pStyle w:val="Tabletext"/>
            </w:pPr>
            <w:r w:rsidRPr="00B731A6">
              <w:t xml:space="preserve">If the Acting DON is </w:t>
            </w:r>
            <w:r w:rsidRPr="00E267DC">
              <w:rPr>
                <w:i/>
              </w:rPr>
              <w:t>not</w:t>
            </w:r>
            <w:r w:rsidRPr="00B731A6">
              <w:t xml:space="preserve"> required to have the same level of experience and qualifications as the DON, would you support a requirement that an Acting DON appointment is for a maximum of 12 months. If so, why? If not, why not?</w:t>
            </w:r>
          </w:p>
        </w:tc>
        <w:tc>
          <w:tcPr>
            <w:tcW w:w="4790" w:type="dxa"/>
          </w:tcPr>
          <w:p w14:paraId="31BE76DF" w14:textId="77777777" w:rsidR="00A14EFE" w:rsidRDefault="00A14EFE" w:rsidP="00B731A6">
            <w:pPr>
              <w:pStyle w:val="Tabletext"/>
            </w:pPr>
          </w:p>
        </w:tc>
      </w:tr>
      <w:tr w:rsidR="00A14EFE" w14:paraId="7B92066A" w14:textId="77777777" w:rsidTr="00044EFB">
        <w:tc>
          <w:tcPr>
            <w:tcW w:w="536" w:type="dxa"/>
          </w:tcPr>
          <w:p w14:paraId="6A10614E" w14:textId="77777777" w:rsidR="00A14EFE" w:rsidRDefault="00A14EFE" w:rsidP="00C132C8">
            <w:pPr>
              <w:pStyle w:val="Numberdigit"/>
            </w:pPr>
          </w:p>
        </w:tc>
        <w:tc>
          <w:tcPr>
            <w:tcW w:w="3962" w:type="dxa"/>
          </w:tcPr>
          <w:p w14:paraId="4BF87D74" w14:textId="3D035E93" w:rsidR="00492BCE" w:rsidRDefault="00492BCE" w:rsidP="00492BCE">
            <w:pPr>
              <w:pStyle w:val="Tabletext"/>
            </w:pPr>
            <w:r>
              <w:t>To ensure adequate nursing supervision by a suitably qualified person, which of the following options do you support, and why / why not?</w:t>
            </w:r>
          </w:p>
          <w:p w14:paraId="16F1B10C" w14:textId="3D035E93" w:rsidR="00492BCE" w:rsidRDefault="00492BCE" w:rsidP="00E267DC">
            <w:pPr>
              <w:pStyle w:val="Tabletext"/>
              <w:ind w:left="219"/>
            </w:pPr>
            <w:r w:rsidRPr="00E267DC">
              <w:rPr>
                <w:b/>
              </w:rPr>
              <w:t>Option 1</w:t>
            </w:r>
            <w:r>
              <w:t xml:space="preserve"> – status quo – no change to requirements in the Regulations.</w:t>
            </w:r>
          </w:p>
          <w:p w14:paraId="5121CE09" w14:textId="3D035E93" w:rsidR="00492BCE" w:rsidRDefault="00492BCE" w:rsidP="00E267DC">
            <w:pPr>
              <w:pStyle w:val="Tabletext"/>
              <w:ind w:left="219"/>
            </w:pPr>
            <w:r w:rsidRPr="00E267DC">
              <w:rPr>
                <w:b/>
              </w:rPr>
              <w:t>Option 2</w:t>
            </w:r>
            <w:r>
              <w:t xml:space="preserve"> – require a DON or nominated nurse in charge with the same qualifications and experience as the DON to be:</w:t>
            </w:r>
          </w:p>
          <w:p w14:paraId="18E9FD59" w14:textId="3D035E93" w:rsidR="00492BCE" w:rsidRDefault="00492BCE" w:rsidP="00C132C8">
            <w:pPr>
              <w:pStyle w:val="Tabletext"/>
              <w:numPr>
                <w:ilvl w:val="0"/>
                <w:numId w:val="45"/>
              </w:numPr>
              <w:ind w:left="502" w:hanging="283"/>
            </w:pPr>
            <w:r>
              <w:t>on-site at all times in private hospitals</w:t>
            </w:r>
          </w:p>
          <w:p w14:paraId="63A8FD25" w14:textId="7D6E7B34" w:rsidR="00492BCE" w:rsidRDefault="00492BCE" w:rsidP="00C132C8">
            <w:pPr>
              <w:pStyle w:val="Tabletext"/>
              <w:numPr>
                <w:ilvl w:val="0"/>
                <w:numId w:val="45"/>
              </w:numPr>
              <w:ind w:left="502" w:hanging="283"/>
            </w:pPr>
            <w:r>
              <w:t xml:space="preserve">on-site for a minimum number of hours each week in day procedure centres. What might be an appropriate number of hours? </w:t>
            </w:r>
          </w:p>
          <w:p w14:paraId="1171D4BD" w14:textId="3D035E93" w:rsidR="00A14EFE" w:rsidRPr="00A14EFE" w:rsidRDefault="00492BCE" w:rsidP="00E267DC">
            <w:pPr>
              <w:pStyle w:val="Tabletext"/>
              <w:ind w:left="219"/>
            </w:pPr>
            <w:r w:rsidRPr="00E267DC">
              <w:rPr>
                <w:b/>
              </w:rPr>
              <w:t>Option 3</w:t>
            </w:r>
            <w:r>
              <w:t xml:space="preserve"> – for private hospitals and day procedure centres, require a nurse with at least three years relevant clinical experience to be on-site to supervise the provision of medical health services?</w:t>
            </w:r>
          </w:p>
        </w:tc>
        <w:tc>
          <w:tcPr>
            <w:tcW w:w="4790" w:type="dxa"/>
          </w:tcPr>
          <w:p w14:paraId="56FB239C" w14:textId="77777777" w:rsidR="00A14EFE" w:rsidRDefault="00A14EFE" w:rsidP="00B731A6">
            <w:pPr>
              <w:pStyle w:val="Tabletext"/>
            </w:pPr>
          </w:p>
        </w:tc>
      </w:tr>
      <w:tr w:rsidR="00A14EFE" w14:paraId="00C0800F" w14:textId="77777777" w:rsidTr="00044EFB">
        <w:tc>
          <w:tcPr>
            <w:tcW w:w="536" w:type="dxa"/>
          </w:tcPr>
          <w:p w14:paraId="3097F418" w14:textId="77777777" w:rsidR="00A14EFE" w:rsidRDefault="00A14EFE" w:rsidP="00C132C8">
            <w:pPr>
              <w:pStyle w:val="Numberdigit"/>
            </w:pPr>
          </w:p>
        </w:tc>
        <w:tc>
          <w:tcPr>
            <w:tcW w:w="3962" w:type="dxa"/>
          </w:tcPr>
          <w:p w14:paraId="507C1283" w14:textId="4DB9BE1E" w:rsidR="00A14EFE" w:rsidRPr="00A14EFE" w:rsidRDefault="00492BCE" w:rsidP="00E267DC">
            <w:pPr>
              <w:pStyle w:val="Tabletext"/>
            </w:pPr>
            <w:r w:rsidRPr="002F3D39">
              <w:t>For</w:t>
            </w:r>
            <w:r w:rsidRPr="00492BCE">
              <w:t xml:space="preserve"> day procedure centres, would you support there being a maximum number of facilities that a DON can be nominated for? If so, why and what might be an appropriate number? If not, why not?</w:t>
            </w:r>
          </w:p>
        </w:tc>
        <w:tc>
          <w:tcPr>
            <w:tcW w:w="4790" w:type="dxa"/>
          </w:tcPr>
          <w:p w14:paraId="42DF049B" w14:textId="77777777" w:rsidR="00A14EFE" w:rsidRDefault="00A14EFE" w:rsidP="00B731A6">
            <w:pPr>
              <w:pStyle w:val="Tabletext"/>
            </w:pPr>
          </w:p>
        </w:tc>
      </w:tr>
      <w:tr w:rsidR="00A14EFE" w14:paraId="793CEDD1" w14:textId="77777777" w:rsidTr="00044EFB">
        <w:tc>
          <w:tcPr>
            <w:tcW w:w="536" w:type="dxa"/>
          </w:tcPr>
          <w:p w14:paraId="2AFF453B" w14:textId="77777777" w:rsidR="00A14EFE" w:rsidRDefault="00A14EFE" w:rsidP="00C132C8">
            <w:pPr>
              <w:pStyle w:val="Numberdigit"/>
            </w:pPr>
          </w:p>
        </w:tc>
        <w:tc>
          <w:tcPr>
            <w:tcW w:w="3962" w:type="dxa"/>
          </w:tcPr>
          <w:p w14:paraId="37ECC9B5" w14:textId="77777777" w:rsidR="007E7A2B" w:rsidRDefault="007E5F2C" w:rsidP="00EB246D">
            <w:pPr>
              <w:pStyle w:val="Tabletext"/>
              <w:rPr>
                <w:rStyle w:val="normaltextrun"/>
                <w:rFonts w:eastAsia="MS Gothic"/>
                <w:color w:val="000000"/>
                <w:szCs w:val="21"/>
                <w:shd w:val="clear" w:color="auto" w:fill="FFFFFF"/>
              </w:rPr>
            </w:pPr>
            <w:r>
              <w:rPr>
                <w:rStyle w:val="normaltextrun"/>
                <w:rFonts w:eastAsia="MS Gothic"/>
                <w:color w:val="000000"/>
                <w:szCs w:val="21"/>
                <w:shd w:val="clear" w:color="auto" w:fill="FFFFFF"/>
              </w:rPr>
              <w:t>Would you support a requirement in the Regulations about the hours a DON must devote to non-clinical activities. If so, why, and which of the below options do you support and why:</w:t>
            </w:r>
          </w:p>
          <w:p w14:paraId="102F8725" w14:textId="098B168D" w:rsidR="002F3D39" w:rsidRDefault="002F3D39" w:rsidP="00E267DC">
            <w:pPr>
              <w:pStyle w:val="Tabletext"/>
              <w:ind w:left="219"/>
            </w:pPr>
            <w:r w:rsidRPr="00E267DC">
              <w:rPr>
                <w:b/>
              </w:rPr>
              <w:t>Option 1</w:t>
            </w:r>
            <w:r>
              <w:t xml:space="preserve"> – maintain the status quo – no minimum non-clinical hours requirements in Regulations. </w:t>
            </w:r>
          </w:p>
          <w:p w14:paraId="0A605203" w14:textId="26575837" w:rsidR="002F3D39" w:rsidRDefault="002F3D39" w:rsidP="00E267DC">
            <w:pPr>
              <w:pStyle w:val="Tabletext"/>
              <w:ind w:left="219"/>
            </w:pPr>
            <w:r w:rsidRPr="00E267DC">
              <w:rPr>
                <w:b/>
              </w:rPr>
              <w:lastRenderedPageBreak/>
              <w:t>Option 2</w:t>
            </w:r>
            <w:r>
              <w:t xml:space="preserve"> – </w:t>
            </w:r>
            <w:r>
              <w:rPr>
                <w:rStyle w:val="normaltextrun"/>
                <w:rFonts w:cs="Arial"/>
                <w:color w:val="000000"/>
                <w:szCs w:val="21"/>
                <w:shd w:val="clear" w:color="auto" w:fill="FFFFFF"/>
              </w:rPr>
              <w:t xml:space="preserve">amend the Regulations to </w:t>
            </w:r>
            <w:r w:rsidR="00B60CC7">
              <w:rPr>
                <w:rStyle w:val="normaltextrun"/>
                <w:rFonts w:cs="Arial"/>
                <w:color w:val="000000"/>
                <w:szCs w:val="21"/>
                <w:shd w:val="clear" w:color="auto" w:fill="FFFFFF"/>
              </w:rPr>
              <w:t>mandate</w:t>
            </w:r>
            <w:r>
              <w:rPr>
                <w:rStyle w:val="normaltextrun"/>
                <w:rFonts w:cs="Arial"/>
                <w:color w:val="000000"/>
                <w:szCs w:val="21"/>
                <w:shd w:val="clear" w:color="auto" w:fill="FFFFFF"/>
              </w:rPr>
              <w:t xml:space="preserve"> the minimum </w:t>
            </w:r>
            <w:r w:rsidR="00B60CC7">
              <w:rPr>
                <w:rStyle w:val="normaltextrun"/>
                <w:rFonts w:cs="Arial"/>
                <w:color w:val="000000"/>
                <w:szCs w:val="21"/>
                <w:shd w:val="clear" w:color="auto" w:fill="FFFFFF"/>
              </w:rPr>
              <w:t xml:space="preserve">hours that the DON must devote to </w:t>
            </w:r>
            <w:r>
              <w:rPr>
                <w:rStyle w:val="normaltextrun"/>
                <w:rFonts w:cs="Arial"/>
                <w:color w:val="000000"/>
                <w:szCs w:val="21"/>
                <w:shd w:val="clear" w:color="auto" w:fill="FFFFFF"/>
              </w:rPr>
              <w:t xml:space="preserve">non-clinical </w:t>
            </w:r>
            <w:r w:rsidR="00B60CC7">
              <w:rPr>
                <w:rStyle w:val="normaltextrun"/>
                <w:rFonts w:cs="Arial"/>
                <w:color w:val="000000"/>
                <w:szCs w:val="21"/>
                <w:shd w:val="clear" w:color="auto" w:fill="FFFFFF"/>
              </w:rPr>
              <w:t>activities – for example, one non-</w:t>
            </w:r>
            <w:r>
              <w:rPr>
                <w:rStyle w:val="normaltextrun"/>
                <w:rFonts w:cs="Arial"/>
                <w:color w:val="000000"/>
                <w:szCs w:val="21"/>
                <w:shd w:val="clear" w:color="auto" w:fill="FFFFFF"/>
              </w:rPr>
              <w:t xml:space="preserve">clinical </w:t>
            </w:r>
            <w:r w:rsidR="00B60CC7">
              <w:rPr>
                <w:rStyle w:val="normaltextrun"/>
                <w:rFonts w:cs="Arial"/>
                <w:color w:val="000000"/>
                <w:szCs w:val="21"/>
                <w:shd w:val="clear" w:color="auto" w:fill="FFFFFF"/>
              </w:rPr>
              <w:t>day per week</w:t>
            </w:r>
            <w:r>
              <w:t xml:space="preserve">. </w:t>
            </w:r>
          </w:p>
          <w:p w14:paraId="1E0FA581" w14:textId="2C370014" w:rsidR="00A14EFE" w:rsidRPr="00A14EFE" w:rsidRDefault="002F3D39" w:rsidP="00E267DC">
            <w:pPr>
              <w:pStyle w:val="Tabletext"/>
              <w:ind w:left="219"/>
            </w:pPr>
            <w:r w:rsidRPr="00E267DC">
              <w:rPr>
                <w:b/>
              </w:rPr>
              <w:t>Option 3</w:t>
            </w:r>
            <w:r>
              <w:t xml:space="preserve"> – amend the Regulations to require clinical governance policies to address how the DON will undertake their non-clinical duties.</w:t>
            </w:r>
          </w:p>
        </w:tc>
        <w:tc>
          <w:tcPr>
            <w:tcW w:w="4790" w:type="dxa"/>
          </w:tcPr>
          <w:p w14:paraId="594CFAC3" w14:textId="77777777" w:rsidR="00A14EFE" w:rsidRDefault="00A14EFE" w:rsidP="00B731A6">
            <w:pPr>
              <w:pStyle w:val="Tabletext"/>
            </w:pPr>
          </w:p>
        </w:tc>
      </w:tr>
      <w:tr w:rsidR="00A14EFE" w14:paraId="24769ED7" w14:textId="77777777" w:rsidTr="00044EFB">
        <w:tc>
          <w:tcPr>
            <w:tcW w:w="536" w:type="dxa"/>
          </w:tcPr>
          <w:p w14:paraId="0BA7668B" w14:textId="77777777" w:rsidR="00A14EFE" w:rsidRDefault="00A14EFE" w:rsidP="00C132C8">
            <w:pPr>
              <w:pStyle w:val="Numberdigit"/>
            </w:pPr>
          </w:p>
        </w:tc>
        <w:tc>
          <w:tcPr>
            <w:tcW w:w="3962" w:type="dxa"/>
          </w:tcPr>
          <w:p w14:paraId="3015A4BC" w14:textId="4C620BC2" w:rsidR="00A14EFE" w:rsidRPr="00A14EFE" w:rsidRDefault="001F1E39" w:rsidP="00E267DC">
            <w:pPr>
              <w:pStyle w:val="Tabletext"/>
            </w:pPr>
            <w:r>
              <w:rPr>
                <w:rStyle w:val="normaltextrun"/>
                <w:rFonts w:cs="Arial"/>
                <w:color w:val="000000"/>
                <w:szCs w:val="21"/>
                <w:shd w:val="clear" w:color="auto" w:fill="FFFFFF"/>
              </w:rPr>
              <w:t>Do you support including a requirement in the Regulations for private hospitals with 200 or more overnight beds or that have an intensive care unit, emergency department, or acute rehabilitation ward to have an on-site Medical Director (however named)? If yes, why? If not, why not?</w:t>
            </w:r>
            <w:r>
              <w:rPr>
                <w:rStyle w:val="eop"/>
                <w:rFonts w:eastAsia="MS Gothic" w:cs="Arial"/>
                <w:color w:val="000000"/>
                <w:szCs w:val="21"/>
                <w:shd w:val="clear" w:color="auto" w:fill="FFFFFF"/>
              </w:rPr>
              <w:t> </w:t>
            </w:r>
          </w:p>
        </w:tc>
        <w:tc>
          <w:tcPr>
            <w:tcW w:w="4790" w:type="dxa"/>
          </w:tcPr>
          <w:p w14:paraId="495D89A7" w14:textId="77777777" w:rsidR="00A14EFE" w:rsidRDefault="00A14EFE" w:rsidP="00B731A6">
            <w:pPr>
              <w:pStyle w:val="Tabletext"/>
            </w:pPr>
          </w:p>
        </w:tc>
      </w:tr>
      <w:tr w:rsidR="00F3385E" w14:paraId="5EF71103" w14:textId="77777777" w:rsidTr="00490BFF">
        <w:tc>
          <w:tcPr>
            <w:tcW w:w="536" w:type="dxa"/>
          </w:tcPr>
          <w:p w14:paraId="524BBF43" w14:textId="77777777" w:rsidR="00F3385E" w:rsidRDefault="00F3385E" w:rsidP="00C132C8">
            <w:pPr>
              <w:pStyle w:val="Numberdigit"/>
            </w:pPr>
          </w:p>
        </w:tc>
        <w:tc>
          <w:tcPr>
            <w:tcW w:w="3962" w:type="dxa"/>
          </w:tcPr>
          <w:p w14:paraId="3EF55172" w14:textId="7A5BBC4F" w:rsidR="00F3385E" w:rsidRPr="00604982" w:rsidRDefault="00205FE0" w:rsidP="00E267DC">
            <w:pPr>
              <w:pStyle w:val="Tabletext"/>
            </w:pPr>
            <w:r>
              <w:rPr>
                <w:rStyle w:val="normaltextrun"/>
                <w:rFonts w:cs="Arial"/>
                <w:color w:val="000000"/>
                <w:szCs w:val="21"/>
                <w:shd w:val="clear" w:color="auto" w:fill="FFFFFF"/>
              </w:rPr>
              <w:t xml:space="preserve">Do you support </w:t>
            </w:r>
            <w:r w:rsidR="0019485D">
              <w:rPr>
                <w:rStyle w:val="normaltextrun"/>
                <w:rFonts w:cs="Arial"/>
                <w:color w:val="000000"/>
                <w:szCs w:val="21"/>
                <w:shd w:val="clear" w:color="auto" w:fill="FFFFFF"/>
              </w:rPr>
              <w:t>including a requirement</w:t>
            </w:r>
            <w:r w:rsidR="004328BD">
              <w:rPr>
                <w:rStyle w:val="normaltextrun"/>
                <w:rFonts w:cs="Arial"/>
                <w:color w:val="000000"/>
                <w:szCs w:val="21"/>
                <w:shd w:val="clear" w:color="auto" w:fill="FFFFFF"/>
              </w:rPr>
              <w:t xml:space="preserve"> in the Regulations</w:t>
            </w:r>
            <w:r>
              <w:rPr>
                <w:rStyle w:val="normaltextrun"/>
                <w:rFonts w:cs="Arial"/>
                <w:color w:val="000000"/>
                <w:szCs w:val="21"/>
                <w:shd w:val="clear" w:color="auto" w:fill="FFFFFF"/>
              </w:rPr>
              <w:t xml:space="preserve"> that an on-site Medical Director (however named) responsible for a private hospital with 200 or more overnight beds cannot be responsible for any other facilities? If yes, why? If not, why not?</w:t>
            </w:r>
            <w:r>
              <w:rPr>
                <w:rStyle w:val="eop"/>
                <w:rFonts w:eastAsia="MS Gothic" w:cs="Arial"/>
                <w:color w:val="000000"/>
                <w:szCs w:val="21"/>
                <w:shd w:val="clear" w:color="auto" w:fill="FFFFFF"/>
              </w:rPr>
              <w:t> </w:t>
            </w:r>
          </w:p>
        </w:tc>
        <w:tc>
          <w:tcPr>
            <w:tcW w:w="4790" w:type="dxa"/>
          </w:tcPr>
          <w:p w14:paraId="64424FAA" w14:textId="77777777" w:rsidR="00F3385E" w:rsidRDefault="00F3385E" w:rsidP="00B731A6">
            <w:pPr>
              <w:pStyle w:val="Tabletext"/>
            </w:pPr>
          </w:p>
        </w:tc>
      </w:tr>
      <w:tr w:rsidR="00A14EFE" w14:paraId="773F47FB" w14:textId="77777777" w:rsidTr="00044EFB">
        <w:tc>
          <w:tcPr>
            <w:tcW w:w="536" w:type="dxa"/>
          </w:tcPr>
          <w:p w14:paraId="151E3B53" w14:textId="77777777" w:rsidR="00A14EFE" w:rsidRDefault="00A14EFE" w:rsidP="00C132C8">
            <w:pPr>
              <w:pStyle w:val="Numberdigit"/>
            </w:pPr>
          </w:p>
        </w:tc>
        <w:tc>
          <w:tcPr>
            <w:tcW w:w="3962" w:type="dxa"/>
          </w:tcPr>
          <w:p w14:paraId="43D68A9C" w14:textId="1296FE7B" w:rsidR="00A14EFE" w:rsidRPr="00A14EFE" w:rsidRDefault="009C129F" w:rsidP="00E267DC">
            <w:pPr>
              <w:pStyle w:val="Tabletext"/>
            </w:pPr>
            <w:r>
              <w:rPr>
                <w:rStyle w:val="normaltextrun"/>
                <w:rFonts w:cs="Arial"/>
                <w:color w:val="000000"/>
                <w:szCs w:val="21"/>
                <w:shd w:val="clear" w:color="auto" w:fill="FFFFFF"/>
              </w:rPr>
              <w:t>Do you support requiring a private hospital to have an on-site Chief Executive Officer if it has 200 or more overnight beds? If yes, why? If not, why not?</w:t>
            </w:r>
            <w:r>
              <w:rPr>
                <w:rStyle w:val="eop"/>
                <w:rFonts w:eastAsia="MS Gothic" w:cs="Arial"/>
                <w:color w:val="000000"/>
                <w:szCs w:val="21"/>
                <w:shd w:val="clear" w:color="auto" w:fill="FFFFFF"/>
              </w:rPr>
              <w:t> </w:t>
            </w:r>
          </w:p>
        </w:tc>
        <w:tc>
          <w:tcPr>
            <w:tcW w:w="4790" w:type="dxa"/>
          </w:tcPr>
          <w:p w14:paraId="18906A00" w14:textId="77777777" w:rsidR="00A14EFE" w:rsidRDefault="00A14EFE" w:rsidP="00B731A6">
            <w:pPr>
              <w:pStyle w:val="Tabletext"/>
            </w:pPr>
          </w:p>
        </w:tc>
      </w:tr>
      <w:tr w:rsidR="00224C3A" w14:paraId="37223114" w14:textId="77777777" w:rsidTr="00044EFB">
        <w:tc>
          <w:tcPr>
            <w:tcW w:w="536" w:type="dxa"/>
          </w:tcPr>
          <w:p w14:paraId="2EDED752" w14:textId="77777777" w:rsidR="00893D72" w:rsidRDefault="00893D72" w:rsidP="00C132C8">
            <w:pPr>
              <w:pStyle w:val="Numberdigit"/>
            </w:pPr>
          </w:p>
        </w:tc>
        <w:tc>
          <w:tcPr>
            <w:tcW w:w="3962" w:type="dxa"/>
          </w:tcPr>
          <w:p w14:paraId="35F735DD" w14:textId="3047107A" w:rsidR="00893D72" w:rsidRDefault="00F1240E" w:rsidP="00B731A6">
            <w:pPr>
              <w:pStyle w:val="Tabletext"/>
            </w:pPr>
            <w:r w:rsidRPr="00380068">
              <w:t>Do you support any requirements for additional required senior appointments such as hospitals that provide maternity services being required to appoint a Director of Midwifery or a Midwife in Charge, or a requirement to appoint a Chief Executive Office or Medical Director (however named)? If yes, why? If not, why not?</w:t>
            </w:r>
          </w:p>
        </w:tc>
        <w:tc>
          <w:tcPr>
            <w:tcW w:w="4790" w:type="dxa"/>
          </w:tcPr>
          <w:p w14:paraId="67DA274A" w14:textId="77777777" w:rsidR="00893D72" w:rsidRDefault="00893D72" w:rsidP="00B731A6">
            <w:pPr>
              <w:pStyle w:val="Tabletext"/>
            </w:pPr>
          </w:p>
        </w:tc>
      </w:tr>
      <w:tr w:rsidR="00604982" w14:paraId="20918205" w14:textId="77777777" w:rsidTr="00044EFB">
        <w:tc>
          <w:tcPr>
            <w:tcW w:w="536" w:type="dxa"/>
          </w:tcPr>
          <w:p w14:paraId="73721F19" w14:textId="77777777" w:rsidR="00604982" w:rsidRDefault="00604982" w:rsidP="00C132C8">
            <w:pPr>
              <w:pStyle w:val="Numberdigit"/>
            </w:pPr>
          </w:p>
        </w:tc>
        <w:tc>
          <w:tcPr>
            <w:tcW w:w="3962" w:type="dxa"/>
          </w:tcPr>
          <w:p w14:paraId="5858172B" w14:textId="77777777" w:rsidR="00604982" w:rsidRDefault="00696085" w:rsidP="00B731A6">
            <w:pPr>
              <w:pStyle w:val="Tabletext"/>
            </w:pPr>
            <w:r w:rsidRPr="00696085">
              <w:t>Sufficient nursing staff for private hospitals</w:t>
            </w:r>
            <w:r>
              <w:t>:</w:t>
            </w:r>
          </w:p>
          <w:p w14:paraId="3F00817B" w14:textId="16EC00FE" w:rsidR="00696085" w:rsidRDefault="00696085" w:rsidP="00696085">
            <w:pPr>
              <w:pStyle w:val="Tabletext"/>
            </w:pPr>
            <w:r>
              <w:t>In relation to the minimum nurse-to-patient ratios, which of the below options do you support and why:</w:t>
            </w:r>
          </w:p>
          <w:p w14:paraId="11742D2B" w14:textId="191DC36E" w:rsidR="00696085" w:rsidRDefault="00696085" w:rsidP="00E267DC">
            <w:pPr>
              <w:pStyle w:val="Tabletext"/>
              <w:ind w:left="219"/>
            </w:pPr>
            <w:r w:rsidRPr="00E267DC">
              <w:rPr>
                <w:b/>
              </w:rPr>
              <w:t>Option 1</w:t>
            </w:r>
            <w:r>
              <w:t xml:space="preserve"> – maintain the status quo – no changes to the current minimum nurse-to-patient ratios required by the Regulations. </w:t>
            </w:r>
          </w:p>
          <w:p w14:paraId="30F58A29" w14:textId="46860B99" w:rsidR="00696085" w:rsidRDefault="00696085" w:rsidP="00E267DC">
            <w:pPr>
              <w:pStyle w:val="Tabletext"/>
              <w:ind w:left="219"/>
            </w:pPr>
            <w:r w:rsidRPr="00E267DC">
              <w:rPr>
                <w:b/>
              </w:rPr>
              <w:t>Option 2</w:t>
            </w:r>
            <w:r>
              <w:t xml:space="preserve"> – increase the general minimum nurse-to-patient ratios required by the Regulations for </w:t>
            </w:r>
            <w:r>
              <w:lastRenderedPageBreak/>
              <w:t xml:space="preserve">private hospitals, and introduce minimum nurse-to-patient ratios for high dependency units, intensive care units and emergency </w:t>
            </w:r>
            <w:r w:rsidR="00A4078E">
              <w:t>departments</w:t>
            </w:r>
            <w:r>
              <w:t xml:space="preserve">. </w:t>
            </w:r>
          </w:p>
          <w:p w14:paraId="56C221EE" w14:textId="55AEF6CE" w:rsidR="00696085" w:rsidRDefault="00696085" w:rsidP="00E267DC">
            <w:pPr>
              <w:pStyle w:val="Tabletext"/>
              <w:ind w:left="219"/>
            </w:pPr>
            <w:r w:rsidRPr="00E267DC">
              <w:rPr>
                <w:b/>
              </w:rPr>
              <w:t>Option 3</w:t>
            </w:r>
            <w:r>
              <w:t xml:space="preserve"> – amend the Regulations to require the that the clinical governance policies and procedures of a facility must set out staffing arrangements, including nurse-to-patient ratios, for high dependency units, intensive care units and emergency departments, with minimum nurse-to-patient ratios for the other wards specified in the Regulations.</w:t>
            </w:r>
          </w:p>
          <w:p w14:paraId="7C1FE4FC" w14:textId="709C9BE6" w:rsidR="00696085" w:rsidRPr="00604982" w:rsidRDefault="00696085" w:rsidP="00E267DC">
            <w:pPr>
              <w:pStyle w:val="Tabletext"/>
              <w:ind w:left="219"/>
            </w:pPr>
            <w:r w:rsidRPr="00E267DC">
              <w:rPr>
                <w:b/>
              </w:rPr>
              <w:t>Option 4</w:t>
            </w:r>
            <w:r>
              <w:t xml:space="preserve"> – amend the Regulations to require that the clinical governance policies and procedures of a facility must set out all staffing arrangements, including minimum nurse-to-patient ratios. Current nurse-to-patient ratios in the Regulations would be removed.</w:t>
            </w:r>
          </w:p>
        </w:tc>
        <w:tc>
          <w:tcPr>
            <w:tcW w:w="4790" w:type="dxa"/>
          </w:tcPr>
          <w:p w14:paraId="6EA08EC1" w14:textId="77777777" w:rsidR="00604982" w:rsidRDefault="00604982" w:rsidP="00B731A6">
            <w:pPr>
              <w:pStyle w:val="Tabletext"/>
            </w:pPr>
          </w:p>
        </w:tc>
      </w:tr>
      <w:tr w:rsidR="00604982" w14:paraId="70363C52" w14:textId="77777777" w:rsidTr="00044EFB">
        <w:tc>
          <w:tcPr>
            <w:tcW w:w="536" w:type="dxa"/>
          </w:tcPr>
          <w:p w14:paraId="256A90D6" w14:textId="77777777" w:rsidR="00604982" w:rsidRDefault="00604982" w:rsidP="00C132C8">
            <w:pPr>
              <w:pStyle w:val="Numberdigit"/>
            </w:pPr>
          </w:p>
        </w:tc>
        <w:tc>
          <w:tcPr>
            <w:tcW w:w="3962" w:type="dxa"/>
          </w:tcPr>
          <w:p w14:paraId="5E8EE6AD" w14:textId="77777777" w:rsidR="00604982" w:rsidRDefault="00BD240C" w:rsidP="00B731A6">
            <w:pPr>
              <w:pStyle w:val="Tabletext"/>
            </w:pPr>
            <w:r w:rsidRPr="00BD240C">
              <w:t>Sufficient midwifery staff</w:t>
            </w:r>
            <w:r>
              <w:t>:</w:t>
            </w:r>
          </w:p>
          <w:p w14:paraId="06973B8E" w14:textId="6DD463DB" w:rsidR="00BD240C" w:rsidRDefault="00BD240C" w:rsidP="00BD240C">
            <w:pPr>
              <w:pStyle w:val="Tabletext"/>
            </w:pPr>
            <w:r>
              <w:t>In relation to the minimum number of midwives to be working in antenatal, delivery suites, and post-natal wards when patients are admitted, which of the below options do you support and why:</w:t>
            </w:r>
          </w:p>
          <w:p w14:paraId="72D466D6" w14:textId="77777777" w:rsidR="00BD240C" w:rsidRDefault="00BD240C" w:rsidP="00E267DC">
            <w:pPr>
              <w:pStyle w:val="Tabletext"/>
              <w:ind w:left="219"/>
            </w:pPr>
            <w:r w:rsidRPr="00E267DC">
              <w:rPr>
                <w:b/>
              </w:rPr>
              <w:t>Option 1</w:t>
            </w:r>
            <w:r>
              <w:t xml:space="preserve"> – maintain the status quo – no changes to the Regulations and the Regulations would not mandate minimum midwife-to-patient ratios.</w:t>
            </w:r>
          </w:p>
          <w:p w14:paraId="597A1F0B" w14:textId="77777777" w:rsidR="00BD240C" w:rsidRDefault="00BD240C" w:rsidP="00E267DC">
            <w:pPr>
              <w:pStyle w:val="Tabletext"/>
              <w:ind w:left="219"/>
            </w:pPr>
            <w:r w:rsidRPr="00E267DC">
              <w:rPr>
                <w:b/>
              </w:rPr>
              <w:t>Option 2</w:t>
            </w:r>
            <w:r>
              <w:t xml:space="preserve"> – amend the Regulations to insert a minimum requirement of 2 midwives for every 3 patients in birthing suites.</w:t>
            </w:r>
          </w:p>
          <w:p w14:paraId="04432974" w14:textId="3D05DA37" w:rsidR="00BD240C" w:rsidRPr="00604982" w:rsidRDefault="00BD240C" w:rsidP="00E267DC">
            <w:pPr>
              <w:pStyle w:val="Tabletext"/>
              <w:ind w:left="219"/>
            </w:pPr>
            <w:r w:rsidRPr="00E267DC">
              <w:rPr>
                <w:b/>
              </w:rPr>
              <w:t>Option 3</w:t>
            </w:r>
            <w:r>
              <w:t xml:space="preserve"> – amend the Regulations to require hospitals that provide maternity services to ensure there is at least 1 midwife on the ward whenever there is a maternity patient admitted or when a birth is in progress with the staffing arrangements further detailed through clinical governance policies.</w:t>
            </w:r>
          </w:p>
        </w:tc>
        <w:tc>
          <w:tcPr>
            <w:tcW w:w="4790" w:type="dxa"/>
          </w:tcPr>
          <w:p w14:paraId="1F99F41A" w14:textId="77777777" w:rsidR="00604982" w:rsidRDefault="00604982" w:rsidP="00B731A6">
            <w:pPr>
              <w:pStyle w:val="Tabletext"/>
            </w:pPr>
          </w:p>
        </w:tc>
      </w:tr>
      <w:tr w:rsidR="00604982" w14:paraId="40D152E7" w14:textId="77777777" w:rsidTr="00044EFB">
        <w:tc>
          <w:tcPr>
            <w:tcW w:w="536" w:type="dxa"/>
          </w:tcPr>
          <w:p w14:paraId="247321EF" w14:textId="77777777" w:rsidR="00604982" w:rsidRDefault="00604982" w:rsidP="00C132C8">
            <w:pPr>
              <w:pStyle w:val="Numberdigit"/>
            </w:pPr>
          </w:p>
        </w:tc>
        <w:tc>
          <w:tcPr>
            <w:tcW w:w="3962" w:type="dxa"/>
          </w:tcPr>
          <w:p w14:paraId="2875927C" w14:textId="77777777" w:rsidR="00604982" w:rsidRDefault="00BD240C" w:rsidP="00B731A6">
            <w:pPr>
              <w:pStyle w:val="Tabletext"/>
            </w:pPr>
            <w:r w:rsidRPr="00BD240C">
              <w:t>Sufficient critical care registered nurses</w:t>
            </w:r>
            <w:r>
              <w:t>:</w:t>
            </w:r>
          </w:p>
          <w:p w14:paraId="6FE99634" w14:textId="4075F41C" w:rsidR="00BD240C" w:rsidRPr="00604982" w:rsidRDefault="00BD240C" w:rsidP="00BD240C">
            <w:pPr>
              <w:pStyle w:val="Tabletext"/>
            </w:pPr>
            <w:r w:rsidRPr="00BD240C">
              <w:t xml:space="preserve">Do you support requiring that the number and deployment of CCRNs, linked to the type and acuity of patients </w:t>
            </w:r>
            <w:r w:rsidRPr="00BD240C">
              <w:lastRenderedPageBreak/>
              <w:t>receiving health services, must be included in clinical governance policies and procedures of private hospitals</w:t>
            </w:r>
            <w:r>
              <w:t>?</w:t>
            </w:r>
          </w:p>
        </w:tc>
        <w:tc>
          <w:tcPr>
            <w:tcW w:w="4790" w:type="dxa"/>
          </w:tcPr>
          <w:p w14:paraId="6F34348F" w14:textId="77777777" w:rsidR="00604982" w:rsidRDefault="00604982" w:rsidP="00B731A6">
            <w:pPr>
              <w:pStyle w:val="Tabletext"/>
            </w:pPr>
          </w:p>
        </w:tc>
      </w:tr>
      <w:tr w:rsidR="00380068" w14:paraId="690365DF" w14:textId="77777777" w:rsidTr="00490BFF">
        <w:tc>
          <w:tcPr>
            <w:tcW w:w="536" w:type="dxa"/>
          </w:tcPr>
          <w:p w14:paraId="5C2F0075" w14:textId="77777777" w:rsidR="00380068" w:rsidRDefault="00380068" w:rsidP="00C132C8">
            <w:pPr>
              <w:pStyle w:val="Numberdigit"/>
            </w:pPr>
          </w:p>
        </w:tc>
        <w:tc>
          <w:tcPr>
            <w:tcW w:w="3962" w:type="dxa"/>
          </w:tcPr>
          <w:p w14:paraId="53E49A7F" w14:textId="220EDA70" w:rsidR="00380068" w:rsidRDefault="00380068" w:rsidP="00380068">
            <w:pPr>
              <w:pStyle w:val="Tabletext"/>
            </w:pPr>
            <w:r w:rsidRPr="000518AE">
              <w:t xml:space="preserve">Sufficient nursing staff for </w:t>
            </w:r>
            <w:r w:rsidR="00CD5544">
              <w:t>day procedure centres</w:t>
            </w:r>
            <w:r>
              <w:t>:</w:t>
            </w:r>
          </w:p>
          <w:p w14:paraId="12315E4D" w14:textId="6E6B7446" w:rsidR="00380068" w:rsidRPr="000518AE" w:rsidRDefault="00380068" w:rsidP="00380068">
            <w:pPr>
              <w:pStyle w:val="Tabletext"/>
            </w:pPr>
            <w:r w:rsidRPr="000518AE">
              <w:t xml:space="preserve">Do you think the current </w:t>
            </w:r>
            <w:r w:rsidR="002C3FF9">
              <w:t xml:space="preserve">nurse-patient </w:t>
            </w:r>
            <w:r w:rsidRPr="000518AE">
              <w:t>ratios for DPCs in the Regulations are fit for purpose? If not, why not?</w:t>
            </w:r>
          </w:p>
        </w:tc>
        <w:tc>
          <w:tcPr>
            <w:tcW w:w="4790" w:type="dxa"/>
          </w:tcPr>
          <w:p w14:paraId="0AFB62A1" w14:textId="77777777" w:rsidR="00380068" w:rsidRDefault="00380068" w:rsidP="00B731A6">
            <w:pPr>
              <w:pStyle w:val="Tabletext"/>
            </w:pPr>
          </w:p>
        </w:tc>
      </w:tr>
      <w:tr w:rsidR="00604982" w14:paraId="4FB99FE2" w14:textId="77777777" w:rsidTr="00044EFB">
        <w:tc>
          <w:tcPr>
            <w:tcW w:w="536" w:type="dxa"/>
          </w:tcPr>
          <w:p w14:paraId="7C81760E" w14:textId="77777777" w:rsidR="00604982" w:rsidRDefault="00604982" w:rsidP="00C132C8">
            <w:pPr>
              <w:pStyle w:val="Numberdigit"/>
            </w:pPr>
          </w:p>
        </w:tc>
        <w:tc>
          <w:tcPr>
            <w:tcW w:w="3962" w:type="dxa"/>
          </w:tcPr>
          <w:p w14:paraId="5C01D8AF" w14:textId="44506112" w:rsidR="00C03F3D" w:rsidRDefault="00C03F3D" w:rsidP="00C03F3D">
            <w:pPr>
              <w:pStyle w:val="Tabletext"/>
            </w:pPr>
            <w:r w:rsidRPr="000518AE">
              <w:t xml:space="preserve">Sufficient </w:t>
            </w:r>
            <w:r w:rsidR="00980DD1">
              <w:t>overnight clinical staff</w:t>
            </w:r>
            <w:r>
              <w:t>:</w:t>
            </w:r>
          </w:p>
          <w:p w14:paraId="0D9AF053" w14:textId="05AC41D4" w:rsidR="00604982" w:rsidRPr="00604982" w:rsidRDefault="00980DD1" w:rsidP="00B731A6">
            <w:pPr>
              <w:pStyle w:val="Tabletext"/>
            </w:pPr>
            <w:r>
              <w:rPr>
                <w:rStyle w:val="normaltextrun"/>
                <w:rFonts w:cs="Arial"/>
                <w:color w:val="000000"/>
                <w:szCs w:val="21"/>
                <w:shd w:val="clear" w:color="auto" w:fill="FFFFFF"/>
              </w:rPr>
              <w:t>Do you support amendments to the Regulations requiring</w:t>
            </w:r>
            <w:r w:rsidR="00C13DB7">
              <w:rPr>
                <w:rStyle w:val="normaltextrun"/>
                <w:rFonts w:cs="Arial"/>
                <w:color w:val="000000"/>
                <w:szCs w:val="21"/>
                <w:shd w:val="clear" w:color="auto" w:fill="FFFFFF"/>
              </w:rPr>
              <w:t xml:space="preserve"> </w:t>
            </w:r>
            <w:r>
              <w:rPr>
                <w:rStyle w:val="normaltextrun"/>
                <w:rFonts w:cs="Arial"/>
                <w:color w:val="000000"/>
                <w:szCs w:val="21"/>
                <w:shd w:val="clear" w:color="auto" w:fill="FFFFFF"/>
              </w:rPr>
              <w:t>that all overnight hospitals must have a medical practitioner or nurse practitioner on-site 24 hours a day, separately from persons engaged to work in a private hospital’s Emergency Department</w:t>
            </w:r>
            <w:r w:rsidR="002C3FF9">
              <w:rPr>
                <w:rStyle w:val="normaltextrun"/>
                <w:rFonts w:cs="Arial"/>
                <w:color w:val="000000"/>
                <w:szCs w:val="21"/>
                <w:shd w:val="clear" w:color="auto" w:fill="FFFFFF"/>
              </w:rPr>
              <w:t xml:space="preserve"> </w:t>
            </w:r>
            <w:r w:rsidR="002C3FF9">
              <w:rPr>
                <w:rFonts w:cs="Arial"/>
                <w:szCs w:val="21"/>
              </w:rPr>
              <w:t>or Intensive Care Unit</w:t>
            </w:r>
            <w:r w:rsidR="002C3FF9" w:rsidRPr="00780CA5">
              <w:rPr>
                <w:rFonts w:cs="Arial"/>
                <w:szCs w:val="21"/>
              </w:rPr>
              <w:t>?</w:t>
            </w:r>
            <w:r w:rsidR="00530AB1">
              <w:rPr>
                <w:rStyle w:val="normaltextrun"/>
                <w:rFonts w:cs="Arial"/>
                <w:color w:val="000000"/>
                <w:szCs w:val="21"/>
                <w:shd w:val="clear" w:color="auto" w:fill="FFFFFF"/>
              </w:rPr>
              <w:t xml:space="preserve"> </w:t>
            </w:r>
            <w:r w:rsidR="00530AB1">
              <w:rPr>
                <w:rStyle w:val="normaltextrun"/>
                <w:rFonts w:eastAsia="MS Gothic"/>
                <w:color w:val="000000"/>
                <w:szCs w:val="21"/>
                <w:shd w:val="clear" w:color="auto" w:fill="FFFFFF"/>
              </w:rPr>
              <w:t>If so, why? If not, why not? If not, would you suggest including an alternative requirement in the Regulations to address any risk to patients? </w:t>
            </w:r>
          </w:p>
        </w:tc>
        <w:tc>
          <w:tcPr>
            <w:tcW w:w="4790" w:type="dxa"/>
          </w:tcPr>
          <w:p w14:paraId="0C024FBC" w14:textId="77777777" w:rsidR="00604982" w:rsidRDefault="00604982" w:rsidP="00B731A6">
            <w:pPr>
              <w:pStyle w:val="Tabletext"/>
            </w:pPr>
          </w:p>
        </w:tc>
      </w:tr>
      <w:tr w:rsidR="00E85FC2" w:rsidRPr="00E85FC2" w14:paraId="55C66E6D" w14:textId="77777777" w:rsidTr="00380068">
        <w:tc>
          <w:tcPr>
            <w:tcW w:w="9288" w:type="dxa"/>
            <w:gridSpan w:val="3"/>
            <w:shd w:val="clear" w:color="auto" w:fill="FBD4B4" w:themeFill="accent6" w:themeFillTint="66"/>
          </w:tcPr>
          <w:p w14:paraId="5F3029F4" w14:textId="52BF6076" w:rsidR="000518AE" w:rsidRPr="00E85FC2" w:rsidRDefault="000518AE" w:rsidP="00E267DC">
            <w:pPr>
              <w:pStyle w:val="Tablecolhead"/>
              <w:rPr>
                <w:color w:val="auto"/>
              </w:rPr>
            </w:pPr>
            <w:r w:rsidRPr="00E85FC2">
              <w:rPr>
                <w:color w:val="auto"/>
              </w:rPr>
              <w:t>Pre-</w:t>
            </w:r>
            <w:r w:rsidR="00380068" w:rsidRPr="00E85FC2">
              <w:rPr>
                <w:color w:val="auto"/>
              </w:rPr>
              <w:t>treatment</w:t>
            </w:r>
            <w:r w:rsidRPr="00E85FC2">
              <w:rPr>
                <w:color w:val="auto"/>
              </w:rPr>
              <w:t xml:space="preserve"> clinical assessment and discharge of patients</w:t>
            </w:r>
          </w:p>
        </w:tc>
      </w:tr>
      <w:tr w:rsidR="00604982" w14:paraId="098CA7D6" w14:textId="77777777" w:rsidTr="00044EFB">
        <w:tc>
          <w:tcPr>
            <w:tcW w:w="536" w:type="dxa"/>
          </w:tcPr>
          <w:p w14:paraId="20C3C97F" w14:textId="77777777" w:rsidR="00604982" w:rsidRDefault="00604982" w:rsidP="00C132C8">
            <w:pPr>
              <w:pStyle w:val="Numberdigit"/>
            </w:pPr>
          </w:p>
        </w:tc>
        <w:tc>
          <w:tcPr>
            <w:tcW w:w="3962" w:type="dxa"/>
          </w:tcPr>
          <w:p w14:paraId="1215C184" w14:textId="6F8FFF08" w:rsidR="00604982" w:rsidRPr="006F3563" w:rsidRDefault="006F3563" w:rsidP="006F3563">
            <w:pPr>
              <w:pStyle w:val="Tabletext"/>
            </w:pPr>
            <w:r>
              <w:rPr>
                <w:rStyle w:val="normaltextrun"/>
                <w:rFonts w:cs="Arial"/>
                <w:color w:val="000000"/>
                <w:szCs w:val="21"/>
                <w:shd w:val="clear" w:color="auto" w:fill="FFFFFF"/>
              </w:rPr>
              <w:t xml:space="preserve">Should the Regulations be amended to require that </w:t>
            </w:r>
            <w:r w:rsidR="00E432B5">
              <w:rPr>
                <w:rStyle w:val="normaltextrun"/>
                <w:rFonts w:cs="Arial"/>
                <w:color w:val="000000"/>
                <w:szCs w:val="21"/>
                <w:shd w:val="clear" w:color="auto" w:fill="FFFFFF"/>
              </w:rPr>
              <w:t>patients receiving</w:t>
            </w:r>
            <w:r>
              <w:rPr>
                <w:rStyle w:val="normaltextrun"/>
                <w:rFonts w:cs="Arial"/>
                <w:color w:val="000000"/>
                <w:szCs w:val="21"/>
                <w:shd w:val="clear" w:color="auto" w:fill="FFFFFF"/>
              </w:rPr>
              <w:t xml:space="preserve"> mobile </w:t>
            </w:r>
            <w:r w:rsidR="00E432B5">
              <w:rPr>
                <w:rStyle w:val="normaltextrun"/>
                <w:rFonts w:cs="Arial"/>
                <w:color w:val="000000"/>
                <w:szCs w:val="21"/>
                <w:shd w:val="clear" w:color="auto" w:fill="FFFFFF"/>
              </w:rPr>
              <w:t xml:space="preserve">health </w:t>
            </w:r>
            <w:r>
              <w:rPr>
                <w:rStyle w:val="normaltextrun"/>
                <w:rFonts w:cs="Arial"/>
                <w:color w:val="000000"/>
                <w:szCs w:val="21"/>
                <w:shd w:val="clear" w:color="auto" w:fill="FFFFFF"/>
              </w:rPr>
              <w:t xml:space="preserve">services (such as </w:t>
            </w:r>
            <w:r w:rsidR="00E432B5">
              <w:rPr>
                <w:rStyle w:val="normaltextrun"/>
                <w:rFonts w:cs="Arial"/>
                <w:color w:val="000000"/>
                <w:szCs w:val="21"/>
                <w:shd w:val="clear" w:color="auto" w:fill="FFFFFF"/>
              </w:rPr>
              <w:t xml:space="preserve">from </w:t>
            </w:r>
            <w:r>
              <w:rPr>
                <w:rStyle w:val="normaltextrun"/>
                <w:rFonts w:cs="Arial"/>
                <w:color w:val="000000"/>
                <w:szCs w:val="21"/>
                <w:shd w:val="clear" w:color="auto" w:fill="FFFFFF"/>
              </w:rPr>
              <w:t xml:space="preserve">a mobile anaesthetist) </w:t>
            </w:r>
            <w:r w:rsidR="00E432B5">
              <w:rPr>
                <w:rStyle w:val="normaltextrun"/>
                <w:rFonts w:cs="Arial"/>
                <w:color w:val="000000"/>
                <w:szCs w:val="21"/>
                <w:shd w:val="clear" w:color="auto" w:fill="FFFFFF"/>
              </w:rPr>
              <w:t>must undergo</w:t>
            </w:r>
            <w:r>
              <w:rPr>
                <w:rStyle w:val="normaltextrun"/>
                <w:rFonts w:cs="Arial"/>
                <w:color w:val="000000"/>
                <w:szCs w:val="21"/>
                <w:shd w:val="clear" w:color="auto" w:fill="FFFFFF"/>
              </w:rPr>
              <w:t xml:space="preserve"> a pre-</w:t>
            </w:r>
            <w:r w:rsidR="00E432B5">
              <w:rPr>
                <w:rStyle w:val="normaltextrun"/>
                <w:rFonts w:cs="Arial"/>
                <w:color w:val="000000"/>
                <w:szCs w:val="21"/>
                <w:shd w:val="clear" w:color="auto" w:fill="FFFFFF"/>
              </w:rPr>
              <w:t>treatment</w:t>
            </w:r>
            <w:r>
              <w:rPr>
                <w:rStyle w:val="normaltextrun"/>
                <w:rFonts w:cs="Arial"/>
                <w:color w:val="000000"/>
                <w:szCs w:val="21"/>
                <w:shd w:val="clear" w:color="auto" w:fill="FFFFFF"/>
              </w:rPr>
              <w:t xml:space="preserve"> clinical risk assessment</w:t>
            </w:r>
            <w:r w:rsidR="00E432B5">
              <w:rPr>
                <w:rStyle w:val="normaltextrun"/>
                <w:rFonts w:cs="Arial"/>
                <w:color w:val="000000"/>
                <w:szCs w:val="21"/>
                <w:shd w:val="clear" w:color="auto" w:fill="FFFFFF"/>
              </w:rPr>
              <w:t xml:space="preserve"> (</w:t>
            </w:r>
            <w:r>
              <w:rPr>
                <w:rStyle w:val="normaltextrun"/>
                <w:rFonts w:cs="Arial"/>
                <w:color w:val="000000"/>
                <w:szCs w:val="21"/>
                <w:shd w:val="clear" w:color="auto" w:fill="FFFFFF"/>
              </w:rPr>
              <w:t>noting that in practice this generally already occurs</w:t>
            </w:r>
            <w:r w:rsidR="00E432B5">
              <w:rPr>
                <w:rStyle w:val="normaltextrun"/>
                <w:rFonts w:cs="Arial"/>
                <w:color w:val="000000"/>
                <w:szCs w:val="21"/>
                <w:shd w:val="clear" w:color="auto" w:fill="FFFFFF"/>
              </w:rPr>
              <w:t xml:space="preserve"> with patients who receive mobile anaesthetic services)?</w:t>
            </w:r>
            <w:r>
              <w:rPr>
                <w:rStyle w:val="normaltextrun"/>
                <w:rFonts w:cs="Arial"/>
                <w:color w:val="000000"/>
                <w:szCs w:val="21"/>
                <w:shd w:val="clear" w:color="auto" w:fill="FFFFFF"/>
              </w:rPr>
              <w:t xml:space="preserve"> If so, why? If not, why not?</w:t>
            </w:r>
            <w:r w:rsidR="00E432B5">
              <w:rPr>
                <w:rStyle w:val="eop"/>
                <w:rFonts w:eastAsia="MS Gothic" w:cs="Arial"/>
                <w:color w:val="000000"/>
                <w:szCs w:val="21"/>
                <w:shd w:val="clear" w:color="auto" w:fill="FFFFFF"/>
              </w:rPr>
              <w:t> </w:t>
            </w:r>
          </w:p>
        </w:tc>
        <w:tc>
          <w:tcPr>
            <w:tcW w:w="4790" w:type="dxa"/>
          </w:tcPr>
          <w:p w14:paraId="67AD9727" w14:textId="77777777" w:rsidR="00604982" w:rsidRPr="006F3563" w:rsidRDefault="00604982" w:rsidP="006F3563">
            <w:pPr>
              <w:pStyle w:val="Tabletext"/>
            </w:pPr>
          </w:p>
        </w:tc>
      </w:tr>
      <w:tr w:rsidR="00604982" w14:paraId="0E790AF3" w14:textId="77777777" w:rsidTr="00044EFB">
        <w:tc>
          <w:tcPr>
            <w:tcW w:w="536" w:type="dxa"/>
          </w:tcPr>
          <w:p w14:paraId="6C7793A8" w14:textId="77777777" w:rsidR="00604982" w:rsidRDefault="00604982" w:rsidP="00C132C8">
            <w:pPr>
              <w:pStyle w:val="Numberdigit"/>
            </w:pPr>
          </w:p>
        </w:tc>
        <w:tc>
          <w:tcPr>
            <w:tcW w:w="3962" w:type="dxa"/>
          </w:tcPr>
          <w:p w14:paraId="426877FC" w14:textId="6BD0DD3C" w:rsidR="00604982" w:rsidRPr="006F3563" w:rsidRDefault="006F3563" w:rsidP="006F3563">
            <w:pPr>
              <w:pStyle w:val="Tabletext"/>
            </w:pPr>
            <w:r w:rsidRPr="006F3563">
              <w:t>Should the Regulations be amended to require a pre-admission clinical risk assessment to be reviewed/assessed/finalised by a clinical staff member? If so, why? If not, why not?</w:t>
            </w:r>
          </w:p>
        </w:tc>
        <w:tc>
          <w:tcPr>
            <w:tcW w:w="4790" w:type="dxa"/>
          </w:tcPr>
          <w:p w14:paraId="3CCFE460" w14:textId="77777777" w:rsidR="00604982" w:rsidRPr="006F3563" w:rsidRDefault="00604982" w:rsidP="006F3563">
            <w:pPr>
              <w:pStyle w:val="Tabletext"/>
            </w:pPr>
          </w:p>
        </w:tc>
      </w:tr>
      <w:tr w:rsidR="00380068" w14:paraId="33CE6207" w14:textId="77777777" w:rsidTr="00490BFF">
        <w:tc>
          <w:tcPr>
            <w:tcW w:w="536" w:type="dxa"/>
          </w:tcPr>
          <w:p w14:paraId="12036B9B" w14:textId="77777777" w:rsidR="00380068" w:rsidRDefault="00380068" w:rsidP="00C132C8">
            <w:pPr>
              <w:pStyle w:val="Numberdigit"/>
            </w:pPr>
          </w:p>
        </w:tc>
        <w:tc>
          <w:tcPr>
            <w:tcW w:w="3962" w:type="dxa"/>
          </w:tcPr>
          <w:p w14:paraId="2843DFBE" w14:textId="6979C959" w:rsidR="00380068" w:rsidRPr="006F3563" w:rsidRDefault="00380068" w:rsidP="006F3563">
            <w:pPr>
              <w:pStyle w:val="Tabletext"/>
            </w:pPr>
            <w:r w:rsidRPr="006F3563">
              <w:t xml:space="preserve">Should the Regulations be amended to require that the proprietor of a registered private facility must ensure the anaesthetist </w:t>
            </w:r>
            <w:r w:rsidR="00C0151D">
              <w:t>reviews</w:t>
            </w:r>
            <w:r w:rsidRPr="006F3563">
              <w:t xml:space="preserve"> the pre-admission clinical risk assessment before a patient commences treatment for planned procedures that involve anaesthesia, noting that the department understands that in practice this generally already occurs? If so, why? If not, why not?</w:t>
            </w:r>
          </w:p>
        </w:tc>
        <w:tc>
          <w:tcPr>
            <w:tcW w:w="4790" w:type="dxa"/>
          </w:tcPr>
          <w:p w14:paraId="4EEB4BF9" w14:textId="77777777" w:rsidR="00380068" w:rsidRPr="006F3563" w:rsidRDefault="00380068" w:rsidP="006F3563">
            <w:pPr>
              <w:pStyle w:val="Tabletext"/>
            </w:pPr>
          </w:p>
        </w:tc>
      </w:tr>
      <w:tr w:rsidR="0049085C" w14:paraId="1FACB6B9" w14:textId="77777777" w:rsidTr="00044EFB">
        <w:tc>
          <w:tcPr>
            <w:tcW w:w="536" w:type="dxa"/>
          </w:tcPr>
          <w:p w14:paraId="59B8C36F" w14:textId="77777777" w:rsidR="0049085C" w:rsidRDefault="0049085C" w:rsidP="00C132C8">
            <w:pPr>
              <w:pStyle w:val="Numberdigit"/>
            </w:pPr>
          </w:p>
        </w:tc>
        <w:tc>
          <w:tcPr>
            <w:tcW w:w="3962" w:type="dxa"/>
          </w:tcPr>
          <w:p w14:paraId="202E6513" w14:textId="5D6864AB" w:rsidR="0049085C" w:rsidRPr="006F3563" w:rsidRDefault="006F3563" w:rsidP="006F3563">
            <w:pPr>
              <w:pStyle w:val="Tabletext"/>
            </w:pPr>
            <w:r w:rsidRPr="006F3563">
              <w:t xml:space="preserve">Should the Regulations be amended to require that the </w:t>
            </w:r>
            <w:r w:rsidR="00380068" w:rsidRPr="006F3563">
              <w:t xml:space="preserve">full </w:t>
            </w:r>
            <w:r w:rsidRPr="006F3563">
              <w:t xml:space="preserve">pre-admission </w:t>
            </w:r>
            <w:r w:rsidRPr="006F3563">
              <w:lastRenderedPageBreak/>
              <w:t xml:space="preserve">clinical risk assessment </w:t>
            </w:r>
            <w:r w:rsidR="00380068" w:rsidRPr="006F3563">
              <w:t>be recorded in writing and retained rather than just the result of the assessment</w:t>
            </w:r>
            <w:r w:rsidRPr="006F3563">
              <w:t>, noting that the department understands that in practice this generally already occurs? If so, why? If not, why not?</w:t>
            </w:r>
          </w:p>
        </w:tc>
        <w:tc>
          <w:tcPr>
            <w:tcW w:w="4790" w:type="dxa"/>
          </w:tcPr>
          <w:p w14:paraId="2EE84506" w14:textId="77777777" w:rsidR="0049085C" w:rsidRPr="006F3563" w:rsidRDefault="0049085C" w:rsidP="006F3563">
            <w:pPr>
              <w:pStyle w:val="Tabletext"/>
            </w:pPr>
          </w:p>
        </w:tc>
      </w:tr>
      <w:tr w:rsidR="0049085C" w14:paraId="5F343432" w14:textId="77777777" w:rsidTr="00044EFB">
        <w:tc>
          <w:tcPr>
            <w:tcW w:w="536" w:type="dxa"/>
          </w:tcPr>
          <w:p w14:paraId="67216A88" w14:textId="77777777" w:rsidR="0049085C" w:rsidRDefault="0049085C" w:rsidP="00C132C8">
            <w:pPr>
              <w:pStyle w:val="Numberdigit"/>
            </w:pPr>
          </w:p>
        </w:tc>
        <w:tc>
          <w:tcPr>
            <w:tcW w:w="3962" w:type="dxa"/>
          </w:tcPr>
          <w:p w14:paraId="0800DCDE" w14:textId="3E9CECD5" w:rsidR="0049085C" w:rsidRPr="006F3563" w:rsidRDefault="006F3563" w:rsidP="006F3563">
            <w:pPr>
              <w:pStyle w:val="Tabletext"/>
            </w:pPr>
            <w:r w:rsidRPr="006F3563">
              <w:t>What impacts has the current requirement (introduced in 2018) to include all medications currently prescribed in a patient’s discharge summary had on private hospitals, day procedure centres, and patients?</w:t>
            </w:r>
          </w:p>
        </w:tc>
        <w:tc>
          <w:tcPr>
            <w:tcW w:w="4790" w:type="dxa"/>
          </w:tcPr>
          <w:p w14:paraId="2425F4FC" w14:textId="77777777" w:rsidR="0049085C" w:rsidRPr="006F3563" w:rsidRDefault="0049085C" w:rsidP="006F3563">
            <w:pPr>
              <w:pStyle w:val="Tabletext"/>
            </w:pPr>
          </w:p>
        </w:tc>
      </w:tr>
      <w:tr w:rsidR="0049085C" w14:paraId="779B5472" w14:textId="77777777" w:rsidTr="00044EFB">
        <w:tc>
          <w:tcPr>
            <w:tcW w:w="536" w:type="dxa"/>
          </w:tcPr>
          <w:p w14:paraId="70C35B65" w14:textId="77777777" w:rsidR="0049085C" w:rsidRDefault="0049085C" w:rsidP="00C132C8">
            <w:pPr>
              <w:pStyle w:val="Numberdigit"/>
            </w:pPr>
          </w:p>
        </w:tc>
        <w:tc>
          <w:tcPr>
            <w:tcW w:w="3962" w:type="dxa"/>
          </w:tcPr>
          <w:p w14:paraId="0C23653C" w14:textId="695EF884" w:rsidR="006F3563" w:rsidRDefault="006F3563" w:rsidP="006F3563">
            <w:pPr>
              <w:pStyle w:val="Tabletext"/>
            </w:pPr>
            <w:r>
              <w:t>Should the Regulations be amended to replace the requirement to include all medications currently prescribed to a patient with the below requirements? If so, why and if not, why not?</w:t>
            </w:r>
          </w:p>
          <w:p w14:paraId="44EF7348" w14:textId="70C5CC0C" w:rsidR="006F3563" w:rsidRDefault="006F3563" w:rsidP="00C132C8">
            <w:pPr>
              <w:pStyle w:val="Tabletext"/>
              <w:numPr>
                <w:ilvl w:val="0"/>
                <w:numId w:val="48"/>
              </w:numPr>
            </w:pPr>
            <w:r>
              <w:t xml:space="preserve">For private hospitals – </w:t>
            </w:r>
            <w:r w:rsidR="007819AE" w:rsidRPr="007819AE">
              <w:t>a full list of prescribed medications, irrespective of whether the medication is in relation to the heath service received at the health service establishment, must be on the patient’s discharge summary if they stay one or more nights in the facility.</w:t>
            </w:r>
          </w:p>
          <w:p w14:paraId="18B19F62" w14:textId="5E1E557F" w:rsidR="0034763C" w:rsidRDefault="0034763C" w:rsidP="00C132C8">
            <w:pPr>
              <w:pStyle w:val="Tabletext"/>
              <w:numPr>
                <w:ilvl w:val="0"/>
                <w:numId w:val="48"/>
              </w:numPr>
            </w:pPr>
            <w:r w:rsidRPr="0034763C">
              <w:t>For private hospitals – any changes or additions to prescribed medications must be on the patient’s discharge summary for patients who are discharged within one day.</w:t>
            </w:r>
          </w:p>
          <w:p w14:paraId="11962DDA" w14:textId="66777DC9" w:rsidR="0049085C" w:rsidRPr="006F3563" w:rsidRDefault="006F3563" w:rsidP="00C132C8">
            <w:pPr>
              <w:pStyle w:val="Tabletext"/>
              <w:numPr>
                <w:ilvl w:val="0"/>
                <w:numId w:val="48"/>
              </w:numPr>
            </w:pPr>
            <w:r>
              <w:t xml:space="preserve">For day procedure centres – any </w:t>
            </w:r>
            <w:r w:rsidR="00D271C1" w:rsidRPr="00D271C1">
              <w:t xml:space="preserve">changes or additions to prescribed medications must be on </w:t>
            </w:r>
            <w:r>
              <w:t xml:space="preserve">the </w:t>
            </w:r>
            <w:r w:rsidR="00D271C1" w:rsidRPr="00D271C1">
              <w:t xml:space="preserve">patient’s </w:t>
            </w:r>
            <w:r>
              <w:t>discharge summary.</w:t>
            </w:r>
          </w:p>
        </w:tc>
        <w:tc>
          <w:tcPr>
            <w:tcW w:w="4790" w:type="dxa"/>
          </w:tcPr>
          <w:p w14:paraId="4969B6EC" w14:textId="77777777" w:rsidR="0049085C" w:rsidRPr="006F3563" w:rsidRDefault="0049085C" w:rsidP="006F3563">
            <w:pPr>
              <w:pStyle w:val="Tabletext"/>
            </w:pPr>
          </w:p>
        </w:tc>
      </w:tr>
      <w:tr w:rsidR="00E85FC2" w:rsidRPr="00E85FC2" w14:paraId="144D1C11" w14:textId="77777777" w:rsidTr="00380068">
        <w:tc>
          <w:tcPr>
            <w:tcW w:w="9288" w:type="dxa"/>
            <w:gridSpan w:val="3"/>
            <w:shd w:val="clear" w:color="auto" w:fill="FBD4B4" w:themeFill="accent6" w:themeFillTint="66"/>
          </w:tcPr>
          <w:p w14:paraId="41C3EC4D" w14:textId="4FED9B71" w:rsidR="003D1F81" w:rsidRPr="00E85FC2" w:rsidRDefault="003D1F81" w:rsidP="00E267DC">
            <w:pPr>
              <w:pStyle w:val="Tablecolhead"/>
              <w:rPr>
                <w:color w:val="auto"/>
              </w:rPr>
            </w:pPr>
            <w:r w:rsidRPr="00E85FC2">
              <w:rPr>
                <w:color w:val="auto"/>
              </w:rPr>
              <w:t>Registers and records</w:t>
            </w:r>
          </w:p>
        </w:tc>
      </w:tr>
      <w:tr w:rsidR="00E85FC2" w:rsidRPr="00E85FC2" w14:paraId="51B0C701" w14:textId="77777777" w:rsidTr="00044EFB">
        <w:tc>
          <w:tcPr>
            <w:tcW w:w="536" w:type="dxa"/>
          </w:tcPr>
          <w:p w14:paraId="6D3A86B3" w14:textId="77777777" w:rsidR="0049085C" w:rsidRPr="00E85FC2" w:rsidRDefault="0049085C" w:rsidP="00C132C8">
            <w:pPr>
              <w:pStyle w:val="Numberdigit"/>
            </w:pPr>
          </w:p>
        </w:tc>
        <w:tc>
          <w:tcPr>
            <w:tcW w:w="3962" w:type="dxa"/>
          </w:tcPr>
          <w:p w14:paraId="794E68A6" w14:textId="12AC98F3" w:rsidR="0049085C" w:rsidRPr="00E85FC2" w:rsidRDefault="003D1F81" w:rsidP="006F3563">
            <w:pPr>
              <w:pStyle w:val="Tabletext"/>
            </w:pPr>
            <w:r w:rsidRPr="00E85FC2">
              <w:t>Should the Regulations be amended to require that the operation theatre register be used to record all surgical health services or speciality health services carried out in operating theatres and procedure rooms? If so, why? If not, why not?</w:t>
            </w:r>
          </w:p>
        </w:tc>
        <w:tc>
          <w:tcPr>
            <w:tcW w:w="4790" w:type="dxa"/>
          </w:tcPr>
          <w:p w14:paraId="5011B099" w14:textId="77777777" w:rsidR="0049085C" w:rsidRPr="00E85FC2" w:rsidRDefault="0049085C" w:rsidP="006F3563">
            <w:pPr>
              <w:pStyle w:val="Tabletext"/>
            </w:pPr>
          </w:p>
        </w:tc>
      </w:tr>
      <w:tr w:rsidR="0049085C" w14:paraId="037A3E36" w14:textId="77777777" w:rsidTr="00044EFB">
        <w:tc>
          <w:tcPr>
            <w:tcW w:w="536" w:type="dxa"/>
          </w:tcPr>
          <w:p w14:paraId="0879ADB1" w14:textId="77777777" w:rsidR="0049085C" w:rsidRDefault="0049085C" w:rsidP="00C132C8">
            <w:pPr>
              <w:pStyle w:val="Numberdigit"/>
            </w:pPr>
          </w:p>
        </w:tc>
        <w:tc>
          <w:tcPr>
            <w:tcW w:w="3962" w:type="dxa"/>
          </w:tcPr>
          <w:p w14:paraId="3F092489" w14:textId="7396277D" w:rsidR="0049085C" w:rsidRPr="006F3563" w:rsidRDefault="003D1F81" w:rsidP="006F3563">
            <w:pPr>
              <w:pStyle w:val="Tabletext"/>
            </w:pPr>
            <w:r w:rsidRPr="003D1F81">
              <w:t>Given advancements and changes in record keeping systems, is the specific requirement to keep an operation theatre register still fit for purpose?</w:t>
            </w:r>
          </w:p>
        </w:tc>
        <w:tc>
          <w:tcPr>
            <w:tcW w:w="4790" w:type="dxa"/>
          </w:tcPr>
          <w:p w14:paraId="5CCB6F50" w14:textId="77777777" w:rsidR="0049085C" w:rsidRPr="006F3563" w:rsidRDefault="0049085C" w:rsidP="006F3563">
            <w:pPr>
              <w:pStyle w:val="Tabletext"/>
            </w:pPr>
          </w:p>
        </w:tc>
      </w:tr>
      <w:tr w:rsidR="00E85FC2" w:rsidRPr="00E85FC2" w14:paraId="7426B3CD" w14:textId="77777777" w:rsidTr="00380068">
        <w:tc>
          <w:tcPr>
            <w:tcW w:w="9288" w:type="dxa"/>
            <w:gridSpan w:val="3"/>
            <w:shd w:val="clear" w:color="auto" w:fill="FBD4B4" w:themeFill="accent6" w:themeFillTint="66"/>
          </w:tcPr>
          <w:p w14:paraId="3DFED463" w14:textId="4DE73384" w:rsidR="003D1F81" w:rsidRPr="00E85FC2" w:rsidRDefault="003D1F81" w:rsidP="00E267DC">
            <w:pPr>
              <w:pStyle w:val="Tablecolhead"/>
              <w:rPr>
                <w:color w:val="auto"/>
              </w:rPr>
            </w:pPr>
            <w:r w:rsidRPr="00E85FC2">
              <w:rPr>
                <w:color w:val="auto"/>
              </w:rPr>
              <w:t>Mandatory reporting to the department and Safer Care Victoria</w:t>
            </w:r>
          </w:p>
        </w:tc>
      </w:tr>
      <w:tr w:rsidR="0049085C" w14:paraId="1391CFA9" w14:textId="77777777" w:rsidTr="00044EFB">
        <w:tc>
          <w:tcPr>
            <w:tcW w:w="536" w:type="dxa"/>
          </w:tcPr>
          <w:p w14:paraId="0BCCB783" w14:textId="77777777" w:rsidR="0049085C" w:rsidRDefault="0049085C" w:rsidP="00C132C8">
            <w:pPr>
              <w:pStyle w:val="Numberdigit"/>
            </w:pPr>
          </w:p>
        </w:tc>
        <w:tc>
          <w:tcPr>
            <w:tcW w:w="3962" w:type="dxa"/>
          </w:tcPr>
          <w:p w14:paraId="47A8CFC4" w14:textId="2059244E" w:rsidR="0049085C" w:rsidRPr="006F3563" w:rsidRDefault="003D1F81" w:rsidP="006F3563">
            <w:pPr>
              <w:pStyle w:val="Tabletext"/>
            </w:pPr>
            <w:r w:rsidRPr="003D1F81">
              <w:t xml:space="preserve">Should the Regulations be amended to require private hospitals and day procedure centres to report to the department </w:t>
            </w:r>
            <w:r w:rsidR="00380068" w:rsidRPr="00380068">
              <w:t>transfers</w:t>
            </w:r>
            <w:r w:rsidRPr="003D1F81">
              <w:t xml:space="preserve"> out of patients</w:t>
            </w:r>
            <w:r w:rsidR="00380068" w:rsidRPr="00380068">
              <w:t>?</w:t>
            </w:r>
            <w:r w:rsidRPr="003D1F81">
              <w:t xml:space="preserve"> If so, why? If not, why not?</w:t>
            </w:r>
            <w:r w:rsidR="00380068" w:rsidRPr="00380068">
              <w:t xml:space="preserve"> What would you consider an appropriate threshold for such a reporting requirement (i.e. which transfers should be reportable)</w:t>
            </w:r>
            <w:r w:rsidR="008D301B">
              <w:t>?</w:t>
            </w:r>
          </w:p>
        </w:tc>
        <w:tc>
          <w:tcPr>
            <w:tcW w:w="4790" w:type="dxa"/>
          </w:tcPr>
          <w:p w14:paraId="32376E5E" w14:textId="77777777" w:rsidR="0049085C" w:rsidRPr="006F3563" w:rsidRDefault="0049085C" w:rsidP="006F3563">
            <w:pPr>
              <w:pStyle w:val="Tabletext"/>
            </w:pPr>
          </w:p>
        </w:tc>
      </w:tr>
      <w:tr w:rsidR="0049085C" w14:paraId="0E902115" w14:textId="77777777" w:rsidTr="00044EFB">
        <w:tc>
          <w:tcPr>
            <w:tcW w:w="536" w:type="dxa"/>
          </w:tcPr>
          <w:p w14:paraId="59D8E0F2" w14:textId="77777777" w:rsidR="0049085C" w:rsidRDefault="0049085C" w:rsidP="00C132C8">
            <w:pPr>
              <w:pStyle w:val="Numberdigit"/>
            </w:pPr>
          </w:p>
        </w:tc>
        <w:tc>
          <w:tcPr>
            <w:tcW w:w="3962" w:type="dxa"/>
          </w:tcPr>
          <w:p w14:paraId="703A9A13" w14:textId="3AB111FE" w:rsidR="0049085C" w:rsidRPr="006F3563" w:rsidRDefault="003D1F81" w:rsidP="006F3563">
            <w:pPr>
              <w:pStyle w:val="Tabletext"/>
            </w:pPr>
            <w:r w:rsidRPr="003D1F81">
              <w:t>If day procedure centres were required to report to the department any transfer out of patients due to significant deterioration, how often or quickly should the reports be made to the department, and what key information should be provided?</w:t>
            </w:r>
          </w:p>
        </w:tc>
        <w:tc>
          <w:tcPr>
            <w:tcW w:w="4790" w:type="dxa"/>
          </w:tcPr>
          <w:p w14:paraId="1335B5E7" w14:textId="77777777" w:rsidR="0049085C" w:rsidRPr="006F3563" w:rsidRDefault="0049085C" w:rsidP="006F3563">
            <w:pPr>
              <w:pStyle w:val="Tabletext"/>
            </w:pPr>
          </w:p>
        </w:tc>
      </w:tr>
      <w:tr w:rsidR="0049085C" w14:paraId="059EDA7B" w14:textId="77777777" w:rsidTr="00044EFB">
        <w:tc>
          <w:tcPr>
            <w:tcW w:w="536" w:type="dxa"/>
          </w:tcPr>
          <w:p w14:paraId="4A51E504" w14:textId="77777777" w:rsidR="0049085C" w:rsidRDefault="0049085C" w:rsidP="00C132C8">
            <w:pPr>
              <w:pStyle w:val="Numberdigit"/>
            </w:pPr>
          </w:p>
        </w:tc>
        <w:tc>
          <w:tcPr>
            <w:tcW w:w="3962" w:type="dxa"/>
          </w:tcPr>
          <w:p w14:paraId="42CBA1BF" w14:textId="41EDFA65" w:rsidR="0049085C" w:rsidRPr="006F3563" w:rsidRDefault="002A5D63" w:rsidP="006F3563">
            <w:pPr>
              <w:pStyle w:val="Tabletext"/>
            </w:pPr>
            <w:r w:rsidRPr="002A5D63">
              <w:t>Do you have any comments regarding the proposal to mandate sentinel event reporting via an approved pathway (currently the Sentinel event portal)?</w:t>
            </w:r>
          </w:p>
        </w:tc>
        <w:tc>
          <w:tcPr>
            <w:tcW w:w="4790" w:type="dxa"/>
          </w:tcPr>
          <w:p w14:paraId="1908E751" w14:textId="77777777" w:rsidR="0049085C" w:rsidRPr="006F3563" w:rsidRDefault="0049085C" w:rsidP="006F3563">
            <w:pPr>
              <w:pStyle w:val="Tabletext"/>
            </w:pPr>
          </w:p>
        </w:tc>
      </w:tr>
      <w:tr w:rsidR="0049085C" w14:paraId="6D687E51" w14:textId="77777777" w:rsidTr="00044EFB">
        <w:tc>
          <w:tcPr>
            <w:tcW w:w="536" w:type="dxa"/>
          </w:tcPr>
          <w:p w14:paraId="3A30622C" w14:textId="77777777" w:rsidR="0049085C" w:rsidRDefault="0049085C" w:rsidP="00C132C8">
            <w:pPr>
              <w:pStyle w:val="Numberdigit"/>
            </w:pPr>
          </w:p>
        </w:tc>
        <w:tc>
          <w:tcPr>
            <w:tcW w:w="3962" w:type="dxa"/>
          </w:tcPr>
          <w:p w14:paraId="6D330261" w14:textId="7598D89B" w:rsidR="0049085C" w:rsidRPr="006F3563" w:rsidRDefault="00D20691" w:rsidP="006F3563">
            <w:pPr>
              <w:pStyle w:val="Tabletext"/>
            </w:pPr>
            <w:r>
              <w:rPr>
                <w:rStyle w:val="normaltextrun"/>
                <w:rFonts w:eastAsia="MS Gothic"/>
                <w:color w:val="000000"/>
                <w:szCs w:val="21"/>
                <w:shd w:val="clear" w:color="auto" w:fill="FFFFFF"/>
              </w:rPr>
              <w:t>Noting that amendments to the Act are beyond scope of this review, but acknowledging that the protections in the Act are relevant to any mandate for SAPSE reviews, do you find the current legislation (the Act) has sufficient protections in place to ensure rigorous and transparent review processes of adverse incidents? If not, why not?</w:t>
            </w:r>
          </w:p>
        </w:tc>
        <w:tc>
          <w:tcPr>
            <w:tcW w:w="4790" w:type="dxa"/>
          </w:tcPr>
          <w:p w14:paraId="58EF3F9E" w14:textId="77777777" w:rsidR="0049085C" w:rsidRPr="006F3563" w:rsidRDefault="0049085C" w:rsidP="006F3563">
            <w:pPr>
              <w:pStyle w:val="Tabletext"/>
            </w:pPr>
          </w:p>
        </w:tc>
      </w:tr>
      <w:tr w:rsidR="0049085C" w14:paraId="605FE02B" w14:textId="77777777" w:rsidTr="00044EFB">
        <w:tc>
          <w:tcPr>
            <w:tcW w:w="536" w:type="dxa"/>
          </w:tcPr>
          <w:p w14:paraId="5CC2D52C" w14:textId="77777777" w:rsidR="0049085C" w:rsidRDefault="0049085C" w:rsidP="00C132C8">
            <w:pPr>
              <w:pStyle w:val="Numberdigit"/>
            </w:pPr>
          </w:p>
        </w:tc>
        <w:tc>
          <w:tcPr>
            <w:tcW w:w="3962" w:type="dxa"/>
          </w:tcPr>
          <w:p w14:paraId="3978DA9E" w14:textId="10C90F29" w:rsidR="0049085C" w:rsidRPr="006F3563" w:rsidRDefault="002A5D63" w:rsidP="006F3563">
            <w:pPr>
              <w:pStyle w:val="Tabletext"/>
            </w:pPr>
            <w:r w:rsidRPr="002A5D63">
              <w:t xml:space="preserve">Do you have any comments regarding the proposal for health service establishments to have protocols that align with Safer Care Victoria’s </w:t>
            </w:r>
            <w:r w:rsidRPr="0072133D">
              <w:rPr>
                <w:i/>
              </w:rPr>
              <w:t>Adverse Patient Safety Event Policy</w:t>
            </w:r>
            <w:r w:rsidRPr="002A5D63">
              <w:t>?</w:t>
            </w:r>
          </w:p>
        </w:tc>
        <w:tc>
          <w:tcPr>
            <w:tcW w:w="4790" w:type="dxa"/>
          </w:tcPr>
          <w:p w14:paraId="6C67ACDF" w14:textId="77777777" w:rsidR="0049085C" w:rsidRPr="006F3563" w:rsidRDefault="0049085C" w:rsidP="006F3563">
            <w:pPr>
              <w:pStyle w:val="Tabletext"/>
            </w:pPr>
          </w:p>
        </w:tc>
      </w:tr>
      <w:tr w:rsidR="006F3563" w14:paraId="47218115" w14:textId="77777777" w:rsidTr="00044EFB">
        <w:tc>
          <w:tcPr>
            <w:tcW w:w="536" w:type="dxa"/>
          </w:tcPr>
          <w:p w14:paraId="6E76946A" w14:textId="77777777" w:rsidR="006F3563" w:rsidRDefault="006F3563" w:rsidP="00C132C8">
            <w:pPr>
              <w:pStyle w:val="Numberdigit"/>
            </w:pPr>
          </w:p>
        </w:tc>
        <w:tc>
          <w:tcPr>
            <w:tcW w:w="3962" w:type="dxa"/>
          </w:tcPr>
          <w:p w14:paraId="5628AB34" w14:textId="025AC342" w:rsidR="006F3563" w:rsidRPr="006F3563" w:rsidRDefault="002A5D63" w:rsidP="006F3563">
            <w:pPr>
              <w:pStyle w:val="Tabletext"/>
            </w:pPr>
            <w:r w:rsidRPr="002A5D63">
              <w:t>Do you foresee any barriers for health services to comply with a requirement to have an independent person on their SAPSE review panel should they choose to conduct a protected review?</w:t>
            </w:r>
          </w:p>
        </w:tc>
        <w:tc>
          <w:tcPr>
            <w:tcW w:w="4790" w:type="dxa"/>
          </w:tcPr>
          <w:p w14:paraId="713CDE1A" w14:textId="77777777" w:rsidR="006F3563" w:rsidRPr="006F3563" w:rsidRDefault="006F3563" w:rsidP="006F3563">
            <w:pPr>
              <w:pStyle w:val="Tabletext"/>
            </w:pPr>
          </w:p>
        </w:tc>
      </w:tr>
      <w:tr w:rsidR="006F3563" w14:paraId="69AEDC56" w14:textId="77777777" w:rsidTr="00044EFB">
        <w:tc>
          <w:tcPr>
            <w:tcW w:w="536" w:type="dxa"/>
          </w:tcPr>
          <w:p w14:paraId="6B61E35C" w14:textId="77777777" w:rsidR="006F3563" w:rsidRDefault="006F3563" w:rsidP="00C132C8">
            <w:pPr>
              <w:pStyle w:val="Numberdigit"/>
            </w:pPr>
          </w:p>
        </w:tc>
        <w:tc>
          <w:tcPr>
            <w:tcW w:w="3962" w:type="dxa"/>
          </w:tcPr>
          <w:p w14:paraId="255C2D5F" w14:textId="5AA48857" w:rsidR="006F3563" w:rsidRPr="006F3563" w:rsidRDefault="002A5D63" w:rsidP="006F3563">
            <w:pPr>
              <w:pStyle w:val="Tabletext"/>
            </w:pPr>
            <w:r w:rsidRPr="002A5D63">
              <w:t>Do you foresee any barriers for health services to conduct a review using an approved methodology (for example, root cause analysis, London Protocol or in-depth case review) for all sentinel events and SAPSEs?</w:t>
            </w:r>
          </w:p>
        </w:tc>
        <w:tc>
          <w:tcPr>
            <w:tcW w:w="4790" w:type="dxa"/>
          </w:tcPr>
          <w:p w14:paraId="5C454D2F" w14:textId="77777777" w:rsidR="006F3563" w:rsidRPr="006F3563" w:rsidRDefault="006F3563" w:rsidP="006F3563">
            <w:pPr>
              <w:pStyle w:val="Tabletext"/>
            </w:pPr>
          </w:p>
        </w:tc>
      </w:tr>
      <w:tr w:rsidR="006F3563" w14:paraId="5A6EF5FD" w14:textId="77777777" w:rsidTr="00044EFB">
        <w:tc>
          <w:tcPr>
            <w:tcW w:w="536" w:type="dxa"/>
          </w:tcPr>
          <w:p w14:paraId="7447CE65" w14:textId="77777777" w:rsidR="006F3563" w:rsidRDefault="006F3563" w:rsidP="00C132C8">
            <w:pPr>
              <w:pStyle w:val="Numberdigit"/>
            </w:pPr>
          </w:p>
        </w:tc>
        <w:tc>
          <w:tcPr>
            <w:tcW w:w="3962" w:type="dxa"/>
          </w:tcPr>
          <w:p w14:paraId="01C5DBE7" w14:textId="184A6BAA" w:rsidR="006F3563" w:rsidRPr="006F3563" w:rsidRDefault="002A5D63" w:rsidP="002A5D63">
            <w:pPr>
              <w:pStyle w:val="Tabletext"/>
            </w:pPr>
            <w:r w:rsidRPr="002A5D63">
              <w:t xml:space="preserve">If data-reporting systems were free and/or integrated do you see any barriers for private health services to report all adverse events through VHIMS? Do you see a value in </w:t>
            </w:r>
            <w:r w:rsidRPr="002A5D63">
              <w:lastRenderedPageBreak/>
              <w:t>receiving tailored performance reports from VAHI?</w:t>
            </w:r>
          </w:p>
        </w:tc>
        <w:tc>
          <w:tcPr>
            <w:tcW w:w="4790" w:type="dxa"/>
          </w:tcPr>
          <w:p w14:paraId="1E91CCEA" w14:textId="77777777" w:rsidR="006F3563" w:rsidRPr="006F3563" w:rsidRDefault="006F3563" w:rsidP="006F3563">
            <w:pPr>
              <w:pStyle w:val="Tabletext"/>
            </w:pPr>
          </w:p>
        </w:tc>
      </w:tr>
      <w:tr w:rsidR="006F3563" w14:paraId="6183F8F4" w14:textId="77777777" w:rsidTr="00044EFB">
        <w:tc>
          <w:tcPr>
            <w:tcW w:w="536" w:type="dxa"/>
          </w:tcPr>
          <w:p w14:paraId="6DDFD89A" w14:textId="77777777" w:rsidR="006F3563" w:rsidRDefault="006F3563" w:rsidP="00C132C8">
            <w:pPr>
              <w:pStyle w:val="Numberdigit"/>
            </w:pPr>
          </w:p>
        </w:tc>
        <w:tc>
          <w:tcPr>
            <w:tcW w:w="3962" w:type="dxa"/>
          </w:tcPr>
          <w:p w14:paraId="3F858927" w14:textId="678A4E4A" w:rsidR="006F3563" w:rsidRPr="006F3563" w:rsidRDefault="003361B7" w:rsidP="006F3563">
            <w:pPr>
              <w:pStyle w:val="Tabletext"/>
            </w:pPr>
            <w:r w:rsidRPr="003361B7">
              <w:t>Do you support the Regulations being amended so that information relating to adverse events re</w:t>
            </w:r>
            <w:r w:rsidR="00FD13E0">
              <w:t>corded</w:t>
            </w:r>
            <w:r w:rsidRPr="003361B7">
              <w:t xml:space="preserve"> and reviewed under r.48 is available to the Secretary upon request?</w:t>
            </w:r>
          </w:p>
        </w:tc>
        <w:tc>
          <w:tcPr>
            <w:tcW w:w="4790" w:type="dxa"/>
          </w:tcPr>
          <w:p w14:paraId="00EB64BB" w14:textId="77777777" w:rsidR="006F3563" w:rsidRPr="006F3563" w:rsidRDefault="006F3563" w:rsidP="006F3563">
            <w:pPr>
              <w:pStyle w:val="Tabletext"/>
            </w:pPr>
          </w:p>
        </w:tc>
      </w:tr>
      <w:tr w:rsidR="003361B7" w14:paraId="7EFCFE44" w14:textId="77777777" w:rsidTr="00044EFB">
        <w:tc>
          <w:tcPr>
            <w:tcW w:w="536" w:type="dxa"/>
          </w:tcPr>
          <w:p w14:paraId="42B47B39" w14:textId="77777777" w:rsidR="003361B7" w:rsidRDefault="003361B7" w:rsidP="00C132C8">
            <w:pPr>
              <w:pStyle w:val="Numberdigit"/>
            </w:pPr>
          </w:p>
        </w:tc>
        <w:tc>
          <w:tcPr>
            <w:tcW w:w="3962" w:type="dxa"/>
          </w:tcPr>
          <w:p w14:paraId="20E81E30" w14:textId="333F0072" w:rsidR="003361B7" w:rsidRPr="003361B7" w:rsidRDefault="00ED73C0" w:rsidP="006F3563">
            <w:pPr>
              <w:pStyle w:val="Tabletext"/>
            </w:pPr>
            <w:r w:rsidRPr="00ED73C0">
              <w:t xml:space="preserve">Do you have any comments regarding the proposal to maintain the existing </w:t>
            </w:r>
            <w:r w:rsidR="003F7395">
              <w:t>r</w:t>
            </w:r>
            <w:r w:rsidRPr="00ED73C0">
              <w:t xml:space="preserve">egulation </w:t>
            </w:r>
            <w:r w:rsidR="003F7395">
              <w:t xml:space="preserve">(r.32A) </w:t>
            </w:r>
            <w:r w:rsidRPr="00ED73C0">
              <w:t>regarding open disclosure?</w:t>
            </w:r>
          </w:p>
        </w:tc>
        <w:tc>
          <w:tcPr>
            <w:tcW w:w="4790" w:type="dxa"/>
          </w:tcPr>
          <w:p w14:paraId="03DAE12C" w14:textId="77777777" w:rsidR="003361B7" w:rsidRPr="006F3563" w:rsidRDefault="003361B7" w:rsidP="006F3563">
            <w:pPr>
              <w:pStyle w:val="Tabletext"/>
            </w:pPr>
          </w:p>
        </w:tc>
      </w:tr>
      <w:tr w:rsidR="00ED73C0" w14:paraId="4282243E" w14:textId="77777777" w:rsidTr="00044EFB">
        <w:tc>
          <w:tcPr>
            <w:tcW w:w="536" w:type="dxa"/>
          </w:tcPr>
          <w:p w14:paraId="795C034C" w14:textId="77777777" w:rsidR="00ED73C0" w:rsidRDefault="00ED73C0" w:rsidP="00C132C8">
            <w:pPr>
              <w:pStyle w:val="Numberdigit"/>
            </w:pPr>
          </w:p>
        </w:tc>
        <w:tc>
          <w:tcPr>
            <w:tcW w:w="3962" w:type="dxa"/>
          </w:tcPr>
          <w:p w14:paraId="59F77950" w14:textId="322F1A43" w:rsidR="00ED73C0" w:rsidRPr="003361B7" w:rsidRDefault="00ED73C0" w:rsidP="006F3563">
            <w:pPr>
              <w:pStyle w:val="Tabletext"/>
            </w:pPr>
            <w:r w:rsidRPr="00ED73C0">
              <w:t xml:space="preserve">Do you support the Regulations being amended to require that a day procedure centre providing mobile services (such as mobile anaesthesia) is required to report annual data to the department? </w:t>
            </w:r>
          </w:p>
        </w:tc>
        <w:tc>
          <w:tcPr>
            <w:tcW w:w="4790" w:type="dxa"/>
          </w:tcPr>
          <w:p w14:paraId="05F5D1E6" w14:textId="77777777" w:rsidR="00ED73C0" w:rsidRPr="006F3563" w:rsidRDefault="00ED73C0" w:rsidP="006F3563">
            <w:pPr>
              <w:pStyle w:val="Tabletext"/>
            </w:pPr>
          </w:p>
        </w:tc>
      </w:tr>
      <w:tr w:rsidR="00ED73C0" w14:paraId="28B6B81E" w14:textId="77777777" w:rsidTr="00044EFB">
        <w:tc>
          <w:tcPr>
            <w:tcW w:w="536" w:type="dxa"/>
          </w:tcPr>
          <w:p w14:paraId="6C1E9F14" w14:textId="77777777" w:rsidR="00ED73C0" w:rsidRDefault="00ED73C0" w:rsidP="00C132C8">
            <w:pPr>
              <w:pStyle w:val="Numberdigit"/>
            </w:pPr>
          </w:p>
        </w:tc>
        <w:tc>
          <w:tcPr>
            <w:tcW w:w="3962" w:type="dxa"/>
          </w:tcPr>
          <w:p w14:paraId="6DC9B6DA" w14:textId="22F570D5" w:rsidR="00ED73C0" w:rsidRPr="003361B7" w:rsidRDefault="00ED73C0" w:rsidP="006F3563">
            <w:pPr>
              <w:pStyle w:val="Tabletext"/>
            </w:pPr>
            <w:r w:rsidRPr="00ED73C0">
              <w:t>Do you think the listed data points are appropriate? Are there other metrics that would support risk-based monitoring of the services provided?</w:t>
            </w:r>
          </w:p>
        </w:tc>
        <w:tc>
          <w:tcPr>
            <w:tcW w:w="4790" w:type="dxa"/>
          </w:tcPr>
          <w:p w14:paraId="6E78BB4F" w14:textId="77777777" w:rsidR="00ED73C0" w:rsidRPr="006F3563" w:rsidRDefault="00ED73C0" w:rsidP="006F3563">
            <w:pPr>
              <w:pStyle w:val="Tabletext"/>
            </w:pPr>
          </w:p>
        </w:tc>
      </w:tr>
      <w:tr w:rsidR="00ED73C0" w14:paraId="7F3D5597" w14:textId="77777777" w:rsidTr="00044EFB">
        <w:tc>
          <w:tcPr>
            <w:tcW w:w="536" w:type="dxa"/>
          </w:tcPr>
          <w:p w14:paraId="04C21877" w14:textId="77777777" w:rsidR="00ED73C0" w:rsidRDefault="00ED73C0" w:rsidP="00C132C8">
            <w:pPr>
              <w:pStyle w:val="Numberdigit"/>
            </w:pPr>
          </w:p>
        </w:tc>
        <w:tc>
          <w:tcPr>
            <w:tcW w:w="3962" w:type="dxa"/>
          </w:tcPr>
          <w:p w14:paraId="25313E3C" w14:textId="4DDB61CC" w:rsidR="00ED73C0" w:rsidRPr="003361B7" w:rsidRDefault="00ED73C0" w:rsidP="006F3563">
            <w:pPr>
              <w:pStyle w:val="Tabletext"/>
            </w:pPr>
            <w:r w:rsidRPr="00ED73C0">
              <w:t>Do you have any comments regarding the burden of reporting this data?</w:t>
            </w:r>
          </w:p>
        </w:tc>
        <w:tc>
          <w:tcPr>
            <w:tcW w:w="4790" w:type="dxa"/>
          </w:tcPr>
          <w:p w14:paraId="6D2D55B1" w14:textId="77777777" w:rsidR="00ED73C0" w:rsidRPr="006F3563" w:rsidRDefault="00ED73C0" w:rsidP="006F3563">
            <w:pPr>
              <w:pStyle w:val="Tabletext"/>
            </w:pPr>
          </w:p>
        </w:tc>
      </w:tr>
      <w:tr w:rsidR="00ED73C0" w14:paraId="0D825EEF" w14:textId="77777777" w:rsidTr="00044EFB">
        <w:tc>
          <w:tcPr>
            <w:tcW w:w="536" w:type="dxa"/>
          </w:tcPr>
          <w:p w14:paraId="53885C93" w14:textId="77777777" w:rsidR="00ED73C0" w:rsidRDefault="00ED73C0" w:rsidP="00C132C8">
            <w:pPr>
              <w:pStyle w:val="Numberdigit"/>
            </w:pPr>
          </w:p>
        </w:tc>
        <w:tc>
          <w:tcPr>
            <w:tcW w:w="3962" w:type="dxa"/>
          </w:tcPr>
          <w:p w14:paraId="315453D6" w14:textId="6FEB563D" w:rsidR="00ED73C0" w:rsidRPr="003361B7" w:rsidRDefault="00ED73C0" w:rsidP="006F3563">
            <w:pPr>
              <w:pStyle w:val="Tabletext"/>
            </w:pPr>
            <w:r w:rsidRPr="00ED73C0">
              <w:t>Do you have any comments regarding the current process of reporting data to VICNISS?</w:t>
            </w:r>
          </w:p>
        </w:tc>
        <w:tc>
          <w:tcPr>
            <w:tcW w:w="4790" w:type="dxa"/>
          </w:tcPr>
          <w:p w14:paraId="0B2109D1" w14:textId="77777777" w:rsidR="00ED73C0" w:rsidRPr="006F3563" w:rsidRDefault="00ED73C0" w:rsidP="006F3563">
            <w:pPr>
              <w:pStyle w:val="Tabletext"/>
            </w:pPr>
          </w:p>
        </w:tc>
      </w:tr>
      <w:tr w:rsidR="00E85FC2" w:rsidRPr="00E85FC2" w14:paraId="542900E4" w14:textId="77777777" w:rsidTr="00380068">
        <w:tc>
          <w:tcPr>
            <w:tcW w:w="9288" w:type="dxa"/>
            <w:gridSpan w:val="3"/>
            <w:shd w:val="clear" w:color="auto" w:fill="FBD4B4" w:themeFill="accent6" w:themeFillTint="66"/>
          </w:tcPr>
          <w:p w14:paraId="126BFF2C" w14:textId="289D5C9B" w:rsidR="00ED73C0" w:rsidRPr="00E85FC2" w:rsidRDefault="00ED73C0" w:rsidP="00E267DC">
            <w:pPr>
              <w:pStyle w:val="Tablecolhead"/>
              <w:rPr>
                <w:color w:val="auto"/>
              </w:rPr>
            </w:pPr>
            <w:r w:rsidRPr="00E85FC2">
              <w:rPr>
                <w:color w:val="auto"/>
              </w:rPr>
              <w:t>The patient experience: rights, informed care and complaints</w:t>
            </w:r>
          </w:p>
        </w:tc>
      </w:tr>
      <w:tr w:rsidR="00ED73C0" w14:paraId="7E326686" w14:textId="77777777" w:rsidTr="00044EFB">
        <w:tc>
          <w:tcPr>
            <w:tcW w:w="536" w:type="dxa"/>
          </w:tcPr>
          <w:p w14:paraId="04B0B9FB" w14:textId="77777777" w:rsidR="00ED73C0" w:rsidRDefault="00ED73C0" w:rsidP="00C132C8">
            <w:pPr>
              <w:pStyle w:val="Numberdigit"/>
            </w:pPr>
          </w:p>
        </w:tc>
        <w:tc>
          <w:tcPr>
            <w:tcW w:w="3962" w:type="dxa"/>
          </w:tcPr>
          <w:p w14:paraId="0ADB75EE" w14:textId="7B45DB26" w:rsidR="00ED73C0" w:rsidRPr="003361B7" w:rsidRDefault="00ED73C0" w:rsidP="006F3563">
            <w:pPr>
              <w:pStyle w:val="Tabletext"/>
            </w:pPr>
            <w:r w:rsidRPr="00ED73C0">
              <w:t xml:space="preserve">Do you have any feedback or suggestions for improvements or additions to any of the </w:t>
            </w:r>
            <w:r w:rsidR="00C104EB">
              <w:t>Regulations</w:t>
            </w:r>
            <w:r w:rsidRPr="00ED73C0">
              <w:t xml:space="preserve"> </w:t>
            </w:r>
            <w:r w:rsidR="008F73E1">
              <w:t>related to patient rights, informed care and complaints</w:t>
            </w:r>
            <w:r w:rsidR="008F73E1" w:rsidRPr="00ED73C0">
              <w:t xml:space="preserve">? </w:t>
            </w:r>
            <w:r w:rsidRPr="00ED73C0">
              <w:t>If yes, please reference the regulation number in your response.</w:t>
            </w:r>
          </w:p>
        </w:tc>
        <w:tc>
          <w:tcPr>
            <w:tcW w:w="4790" w:type="dxa"/>
          </w:tcPr>
          <w:p w14:paraId="2047D13A" w14:textId="77777777" w:rsidR="00ED73C0" w:rsidRPr="006F3563" w:rsidRDefault="00ED73C0" w:rsidP="006F3563">
            <w:pPr>
              <w:pStyle w:val="Tabletext"/>
            </w:pPr>
          </w:p>
        </w:tc>
      </w:tr>
      <w:tr w:rsidR="00C63D64" w14:paraId="52D1B727" w14:textId="77777777" w:rsidTr="00044EFB">
        <w:tc>
          <w:tcPr>
            <w:tcW w:w="536" w:type="dxa"/>
          </w:tcPr>
          <w:p w14:paraId="4723ACE6" w14:textId="77777777" w:rsidR="00C63D64" w:rsidRDefault="00C63D64" w:rsidP="00C132C8">
            <w:pPr>
              <w:pStyle w:val="Numberdigit"/>
            </w:pPr>
          </w:p>
        </w:tc>
        <w:tc>
          <w:tcPr>
            <w:tcW w:w="3962" w:type="dxa"/>
          </w:tcPr>
          <w:p w14:paraId="3EACC321" w14:textId="5BBE5F30" w:rsidR="00C63D64" w:rsidRPr="00C63D64" w:rsidRDefault="00CD226B" w:rsidP="00BF0D82">
            <w:pPr>
              <w:pStyle w:val="Tabletext"/>
              <w:rPr>
                <w:lang w:eastAsia="en-AU"/>
              </w:rPr>
            </w:pPr>
            <w:r>
              <w:rPr>
                <w:rStyle w:val="normaltextrun"/>
                <w:rFonts w:cs="Arial"/>
                <w:color w:val="000000"/>
                <w:szCs w:val="21"/>
                <w:shd w:val="clear" w:color="auto" w:fill="FFFFFF"/>
              </w:rPr>
              <w:t>Would you support a requirement in the Regulations for de-identified data about complaints to be reported, or made available, to the Secretary, to inform risk-based monitoring of service safety? If so, why? If not, why not?</w:t>
            </w:r>
            <w:r>
              <w:rPr>
                <w:rStyle w:val="eop"/>
                <w:rFonts w:cs="Arial"/>
                <w:color w:val="000000"/>
                <w:szCs w:val="21"/>
                <w:shd w:val="clear" w:color="auto" w:fill="FFFFFF"/>
              </w:rPr>
              <w:t> </w:t>
            </w:r>
          </w:p>
        </w:tc>
        <w:tc>
          <w:tcPr>
            <w:tcW w:w="4790" w:type="dxa"/>
          </w:tcPr>
          <w:p w14:paraId="04C69F16" w14:textId="77777777" w:rsidR="00C63D64" w:rsidRPr="006F3563" w:rsidRDefault="00C63D64" w:rsidP="006F3563">
            <w:pPr>
              <w:pStyle w:val="Tabletext"/>
            </w:pPr>
          </w:p>
        </w:tc>
      </w:tr>
      <w:tr w:rsidR="00ED73C0" w14:paraId="295641B7" w14:textId="77777777" w:rsidTr="00044EFB">
        <w:tc>
          <w:tcPr>
            <w:tcW w:w="536" w:type="dxa"/>
          </w:tcPr>
          <w:p w14:paraId="21E0BAC2" w14:textId="77777777" w:rsidR="00ED73C0" w:rsidRDefault="00ED73C0" w:rsidP="00C132C8">
            <w:pPr>
              <w:pStyle w:val="Numberdigit"/>
            </w:pPr>
          </w:p>
        </w:tc>
        <w:tc>
          <w:tcPr>
            <w:tcW w:w="3962" w:type="dxa"/>
          </w:tcPr>
          <w:p w14:paraId="45696C55" w14:textId="0C784AA2" w:rsidR="00ED73C0" w:rsidRPr="003361B7" w:rsidRDefault="00ED73C0" w:rsidP="00BF0D82">
            <w:pPr>
              <w:pStyle w:val="Tabletext"/>
            </w:pPr>
            <w:r w:rsidRPr="00ED73C0">
              <w:t xml:space="preserve">What would be the benefits and/or implications of </w:t>
            </w:r>
            <w:r w:rsidR="00842102">
              <w:rPr>
                <w:rStyle w:val="normaltextrun"/>
                <w:rFonts w:eastAsia="MS Gothic"/>
                <w:color w:val="000000"/>
                <w:szCs w:val="21"/>
                <w:shd w:val="clear" w:color="auto" w:fill="FFFFFF"/>
              </w:rPr>
              <w:t xml:space="preserve">health service establishments </w:t>
            </w:r>
            <w:r w:rsidRPr="00ED73C0">
              <w:t>adopting the Partnering in healthcare framework alongside the existing patient engagement policy? Would that constitute a significant shift from current arrangements?</w:t>
            </w:r>
          </w:p>
        </w:tc>
        <w:tc>
          <w:tcPr>
            <w:tcW w:w="4790" w:type="dxa"/>
          </w:tcPr>
          <w:p w14:paraId="786DDA22" w14:textId="77777777" w:rsidR="00ED73C0" w:rsidRPr="006F3563" w:rsidRDefault="00ED73C0" w:rsidP="006F3563">
            <w:pPr>
              <w:pStyle w:val="Tabletext"/>
            </w:pPr>
          </w:p>
        </w:tc>
      </w:tr>
      <w:tr w:rsidR="00E85FC2" w:rsidRPr="00E85FC2" w14:paraId="776EFC65" w14:textId="77777777" w:rsidTr="00380068">
        <w:tc>
          <w:tcPr>
            <w:tcW w:w="9288" w:type="dxa"/>
            <w:gridSpan w:val="3"/>
            <w:shd w:val="clear" w:color="auto" w:fill="FBD4B4" w:themeFill="accent6" w:themeFillTint="66"/>
          </w:tcPr>
          <w:p w14:paraId="02F47667" w14:textId="324248B8" w:rsidR="00ED73C0" w:rsidRPr="00E85FC2" w:rsidRDefault="00ED73C0" w:rsidP="00E267DC">
            <w:pPr>
              <w:pStyle w:val="Tablecolhead"/>
              <w:rPr>
                <w:color w:val="auto"/>
              </w:rPr>
            </w:pPr>
            <w:r w:rsidRPr="00E85FC2">
              <w:rPr>
                <w:color w:val="auto"/>
              </w:rPr>
              <w:t>Offences, penalties and sanctions</w:t>
            </w:r>
          </w:p>
        </w:tc>
      </w:tr>
      <w:tr w:rsidR="00ED73C0" w14:paraId="7177F8B5" w14:textId="77777777" w:rsidTr="00044EFB">
        <w:tc>
          <w:tcPr>
            <w:tcW w:w="536" w:type="dxa"/>
          </w:tcPr>
          <w:p w14:paraId="77D5AA9F" w14:textId="77777777" w:rsidR="00ED73C0" w:rsidRDefault="00ED73C0" w:rsidP="00C132C8">
            <w:pPr>
              <w:pStyle w:val="Numberdigit"/>
            </w:pPr>
          </w:p>
        </w:tc>
        <w:tc>
          <w:tcPr>
            <w:tcW w:w="3962" w:type="dxa"/>
          </w:tcPr>
          <w:p w14:paraId="5AFF9750" w14:textId="4FD5821D" w:rsidR="00ED73C0" w:rsidRPr="003361B7" w:rsidRDefault="00ED73C0" w:rsidP="006F3563">
            <w:pPr>
              <w:pStyle w:val="Tabletext"/>
            </w:pPr>
            <w:r w:rsidRPr="00ED73C0">
              <w:t>Do you have any feedback on the existing penalty offences and penalty amounts in the Regulations (as summarised in Appendix A – Penalties and offences in the Regulations)? If yes, please reference the regulation number in your response.</w:t>
            </w:r>
          </w:p>
        </w:tc>
        <w:tc>
          <w:tcPr>
            <w:tcW w:w="4790" w:type="dxa"/>
          </w:tcPr>
          <w:p w14:paraId="1A5CB427" w14:textId="77777777" w:rsidR="00ED73C0" w:rsidRPr="006F3563" w:rsidRDefault="00ED73C0" w:rsidP="006F3563">
            <w:pPr>
              <w:pStyle w:val="Tabletext"/>
            </w:pPr>
          </w:p>
        </w:tc>
      </w:tr>
      <w:tr w:rsidR="00ED73C0" w14:paraId="54168CF1" w14:textId="77777777" w:rsidTr="00044EFB">
        <w:tc>
          <w:tcPr>
            <w:tcW w:w="536" w:type="dxa"/>
          </w:tcPr>
          <w:p w14:paraId="228D2EF8" w14:textId="77777777" w:rsidR="00ED73C0" w:rsidRDefault="00ED73C0" w:rsidP="00C132C8">
            <w:pPr>
              <w:pStyle w:val="Numberdigit"/>
            </w:pPr>
          </w:p>
        </w:tc>
        <w:tc>
          <w:tcPr>
            <w:tcW w:w="3962" w:type="dxa"/>
          </w:tcPr>
          <w:p w14:paraId="1D4F9346" w14:textId="1C2F1E24" w:rsidR="00ED73C0" w:rsidRPr="003361B7" w:rsidRDefault="00ED73C0" w:rsidP="006F3563">
            <w:pPr>
              <w:pStyle w:val="Tabletext"/>
            </w:pPr>
            <w:r w:rsidRPr="00ED73C0">
              <w:t>Do you have any suggestions for additional offences and penalties that could be prescribed in the Regulations?</w:t>
            </w:r>
          </w:p>
        </w:tc>
        <w:tc>
          <w:tcPr>
            <w:tcW w:w="4790" w:type="dxa"/>
          </w:tcPr>
          <w:p w14:paraId="10D19A3B" w14:textId="77777777" w:rsidR="00ED73C0" w:rsidRPr="006F3563" w:rsidRDefault="00ED73C0" w:rsidP="006F3563">
            <w:pPr>
              <w:pStyle w:val="Tabletext"/>
            </w:pPr>
          </w:p>
        </w:tc>
      </w:tr>
      <w:tr w:rsidR="00ED73C0" w14:paraId="4415F591" w14:textId="77777777" w:rsidTr="00044EFB">
        <w:tc>
          <w:tcPr>
            <w:tcW w:w="536" w:type="dxa"/>
          </w:tcPr>
          <w:p w14:paraId="27AD1AB8" w14:textId="77777777" w:rsidR="00ED73C0" w:rsidRDefault="00ED73C0" w:rsidP="00C132C8">
            <w:pPr>
              <w:pStyle w:val="Numberdigit"/>
            </w:pPr>
          </w:p>
        </w:tc>
        <w:tc>
          <w:tcPr>
            <w:tcW w:w="3962" w:type="dxa"/>
          </w:tcPr>
          <w:p w14:paraId="36E6D385" w14:textId="66DDC8C2" w:rsidR="00ED73C0" w:rsidRPr="003361B7" w:rsidRDefault="00ED73C0" w:rsidP="006F3563">
            <w:pPr>
              <w:pStyle w:val="Tabletext"/>
            </w:pPr>
            <w:r w:rsidRPr="00ED73C0">
              <w:t xml:space="preserve">Do you support the introduction of infringements to allow the department to deal with less serious breaches in a way that is swift, direct and proportionate to the offence? If yes, why? If not, why not? </w:t>
            </w:r>
          </w:p>
        </w:tc>
        <w:tc>
          <w:tcPr>
            <w:tcW w:w="4790" w:type="dxa"/>
          </w:tcPr>
          <w:p w14:paraId="504D6484" w14:textId="77777777" w:rsidR="00ED73C0" w:rsidRPr="006F3563" w:rsidRDefault="00ED73C0" w:rsidP="006F3563">
            <w:pPr>
              <w:pStyle w:val="Tabletext"/>
            </w:pPr>
          </w:p>
        </w:tc>
      </w:tr>
      <w:tr w:rsidR="00E85FC2" w:rsidRPr="00E85FC2" w14:paraId="1F242053" w14:textId="77777777" w:rsidTr="00380068">
        <w:tc>
          <w:tcPr>
            <w:tcW w:w="9288" w:type="dxa"/>
            <w:gridSpan w:val="3"/>
            <w:shd w:val="clear" w:color="auto" w:fill="FBD4B4" w:themeFill="accent6" w:themeFillTint="66"/>
          </w:tcPr>
          <w:p w14:paraId="630DAFF4" w14:textId="612C189D" w:rsidR="00ED73C0" w:rsidRPr="00E85FC2" w:rsidRDefault="00ED73C0" w:rsidP="00E267DC">
            <w:pPr>
              <w:pStyle w:val="Tablecolhead"/>
              <w:rPr>
                <w:color w:val="auto"/>
              </w:rPr>
            </w:pPr>
            <w:r w:rsidRPr="00E85FC2">
              <w:rPr>
                <w:color w:val="auto"/>
              </w:rPr>
              <w:t>Other issues</w:t>
            </w:r>
          </w:p>
        </w:tc>
      </w:tr>
      <w:tr w:rsidR="00817140" w14:paraId="6B39BA74" w14:textId="77777777" w:rsidTr="00044EFB">
        <w:tc>
          <w:tcPr>
            <w:tcW w:w="536" w:type="dxa"/>
          </w:tcPr>
          <w:p w14:paraId="57CE207C" w14:textId="77777777" w:rsidR="00817140" w:rsidRDefault="00817140" w:rsidP="00C132C8">
            <w:pPr>
              <w:pStyle w:val="Numberdigit"/>
            </w:pPr>
          </w:p>
        </w:tc>
        <w:tc>
          <w:tcPr>
            <w:tcW w:w="3962" w:type="dxa"/>
          </w:tcPr>
          <w:p w14:paraId="19C11DB9" w14:textId="03E7DAF3" w:rsidR="00817140" w:rsidRPr="00B14FB9" w:rsidRDefault="00B14FB9" w:rsidP="006F3563">
            <w:pPr>
              <w:pStyle w:val="Tabletext"/>
              <w:rPr>
                <w:rStyle w:val="normaltextrun"/>
                <w:rFonts w:eastAsia="MS Gothic" w:cs="Arial"/>
                <w:color w:val="000000"/>
                <w:szCs w:val="21"/>
                <w:shd w:val="clear" w:color="auto" w:fill="FFFFFF"/>
              </w:rPr>
            </w:pPr>
            <w:r w:rsidRPr="00B14FB9">
              <w:rPr>
                <w:rStyle w:val="normaltextrun"/>
                <w:rFonts w:cs="Arial"/>
                <w:color w:val="000000"/>
                <w:szCs w:val="21"/>
                <w:shd w:val="clear" w:color="auto" w:fill="FFFFFF"/>
              </w:rPr>
              <w:t>Do you have any preliminary comment on the fees set out in the Regulations? </w:t>
            </w:r>
            <w:r w:rsidRPr="00B14FB9">
              <w:rPr>
                <w:rStyle w:val="eop"/>
                <w:rFonts w:eastAsia="MS Gothic" w:cs="Arial"/>
                <w:color w:val="000000"/>
                <w:szCs w:val="21"/>
                <w:shd w:val="clear" w:color="auto" w:fill="FFFFFF"/>
              </w:rPr>
              <w:t> </w:t>
            </w:r>
          </w:p>
        </w:tc>
        <w:tc>
          <w:tcPr>
            <w:tcW w:w="4790" w:type="dxa"/>
          </w:tcPr>
          <w:p w14:paraId="209E1288" w14:textId="77777777" w:rsidR="00817140" w:rsidRPr="006F3563" w:rsidRDefault="00817140" w:rsidP="006F3563">
            <w:pPr>
              <w:pStyle w:val="Tabletext"/>
            </w:pPr>
          </w:p>
        </w:tc>
      </w:tr>
      <w:tr w:rsidR="00ED73C0" w14:paraId="06B9EFB4" w14:textId="77777777" w:rsidTr="00044EFB">
        <w:tc>
          <w:tcPr>
            <w:tcW w:w="536" w:type="dxa"/>
          </w:tcPr>
          <w:p w14:paraId="47F8CD38" w14:textId="77777777" w:rsidR="00ED73C0" w:rsidRDefault="00ED73C0" w:rsidP="00C132C8">
            <w:pPr>
              <w:pStyle w:val="Numberdigit"/>
            </w:pPr>
          </w:p>
        </w:tc>
        <w:tc>
          <w:tcPr>
            <w:tcW w:w="3962" w:type="dxa"/>
          </w:tcPr>
          <w:p w14:paraId="2EE5B89C" w14:textId="060384E1" w:rsidR="00ED73C0" w:rsidRPr="00B14FB9" w:rsidRDefault="00ED73C0" w:rsidP="006F3563">
            <w:pPr>
              <w:pStyle w:val="Tabletext"/>
              <w:rPr>
                <w:rFonts w:cs="Arial"/>
              </w:rPr>
            </w:pPr>
            <w:r w:rsidRPr="00B14FB9">
              <w:rPr>
                <w:rStyle w:val="normaltextrun"/>
                <w:rFonts w:eastAsia="MS Gothic" w:cs="Arial"/>
                <w:color w:val="000000"/>
                <w:szCs w:val="21"/>
                <w:shd w:val="clear" w:color="auto" w:fill="FFFFFF"/>
              </w:rPr>
              <w:t>Should the Regulations be amended so that health service establishments must ensure treatment agents are available for clinical emergencies that require pharmacological intervention</w:t>
            </w:r>
            <w:r w:rsidR="00CB15E6">
              <w:rPr>
                <w:rStyle w:val="normaltextrun"/>
                <w:rFonts w:eastAsia="MS Gothic" w:cs="Arial"/>
                <w:color w:val="000000"/>
                <w:szCs w:val="21"/>
                <w:shd w:val="clear" w:color="auto" w:fill="FFFFFF"/>
              </w:rPr>
              <w:t xml:space="preserve"> – </w:t>
            </w:r>
            <w:r w:rsidR="00616BFF" w:rsidRPr="00B14FB9">
              <w:rPr>
                <w:rFonts w:eastAsia="MS Gothic" w:cs="Arial"/>
              </w:rPr>
              <w:t>for example, treatments specific to anaesthesia.</w:t>
            </w:r>
            <w:r w:rsidRPr="00B14FB9">
              <w:rPr>
                <w:rStyle w:val="normaltextrun"/>
                <w:rFonts w:eastAsia="MS Gothic" w:cs="Arial"/>
                <w:color w:val="000000"/>
                <w:szCs w:val="21"/>
                <w:shd w:val="clear" w:color="auto" w:fill="FFFFFF"/>
              </w:rPr>
              <w:t xml:space="preserve"> If so, why? If not, why not?</w:t>
            </w:r>
          </w:p>
        </w:tc>
        <w:tc>
          <w:tcPr>
            <w:tcW w:w="4790" w:type="dxa"/>
          </w:tcPr>
          <w:p w14:paraId="3DE7F54A" w14:textId="77777777" w:rsidR="00ED73C0" w:rsidRPr="006F3563" w:rsidRDefault="00ED73C0" w:rsidP="006F3563">
            <w:pPr>
              <w:pStyle w:val="Tabletext"/>
            </w:pPr>
          </w:p>
        </w:tc>
      </w:tr>
      <w:tr w:rsidR="00ED73C0" w14:paraId="5E54AF31" w14:textId="77777777" w:rsidTr="00044EFB">
        <w:tc>
          <w:tcPr>
            <w:tcW w:w="536" w:type="dxa"/>
          </w:tcPr>
          <w:p w14:paraId="01667C60" w14:textId="77777777" w:rsidR="00ED73C0" w:rsidRDefault="00ED73C0" w:rsidP="00C132C8">
            <w:pPr>
              <w:pStyle w:val="Numberdigit"/>
            </w:pPr>
          </w:p>
        </w:tc>
        <w:tc>
          <w:tcPr>
            <w:tcW w:w="3962" w:type="dxa"/>
          </w:tcPr>
          <w:p w14:paraId="53BE2A71" w14:textId="0C5EE8A8" w:rsidR="00ED73C0" w:rsidRPr="003361B7" w:rsidRDefault="00ED73C0" w:rsidP="006F3563">
            <w:pPr>
              <w:pStyle w:val="Tabletext"/>
            </w:pPr>
            <w:r w:rsidRPr="00ED73C0">
              <w:t>Are there any other issues related to the Regulations that have not specifically been raised in this discussion paper that you would like to raise with the department?</w:t>
            </w:r>
          </w:p>
        </w:tc>
        <w:tc>
          <w:tcPr>
            <w:tcW w:w="4790" w:type="dxa"/>
          </w:tcPr>
          <w:p w14:paraId="416F1A67" w14:textId="77777777" w:rsidR="00ED73C0" w:rsidRPr="006F3563" w:rsidRDefault="00ED73C0" w:rsidP="006F3563">
            <w:pPr>
              <w:pStyle w:val="Tabletext"/>
            </w:pPr>
          </w:p>
        </w:tc>
      </w:tr>
      <w:tr w:rsidR="00ED73C0" w14:paraId="48F14B2C" w14:textId="77777777" w:rsidTr="00044EFB">
        <w:tc>
          <w:tcPr>
            <w:tcW w:w="536" w:type="dxa"/>
          </w:tcPr>
          <w:p w14:paraId="71D1D978" w14:textId="77777777" w:rsidR="00ED73C0" w:rsidRDefault="00ED73C0" w:rsidP="00C132C8">
            <w:pPr>
              <w:pStyle w:val="Numberdigit"/>
            </w:pPr>
          </w:p>
        </w:tc>
        <w:tc>
          <w:tcPr>
            <w:tcW w:w="3962" w:type="dxa"/>
          </w:tcPr>
          <w:p w14:paraId="1A90B54D" w14:textId="6DFCF860" w:rsidR="00ED73C0" w:rsidRPr="003361B7" w:rsidRDefault="00ED73C0" w:rsidP="006F3563">
            <w:pPr>
              <w:pStyle w:val="Tabletext"/>
            </w:pPr>
            <w:r w:rsidRPr="00ED73C0">
              <w:t xml:space="preserve">Do you agree that the requirements in the Regulations to prevent scalding of patients (r.41) can be removed from the Regulations without impacting on the delivery of safe health services? </w:t>
            </w:r>
          </w:p>
        </w:tc>
        <w:tc>
          <w:tcPr>
            <w:tcW w:w="4790" w:type="dxa"/>
          </w:tcPr>
          <w:p w14:paraId="3C88033F" w14:textId="77777777" w:rsidR="00ED73C0" w:rsidRPr="006F3563" w:rsidRDefault="00ED73C0" w:rsidP="006F3563">
            <w:pPr>
              <w:pStyle w:val="Tabletext"/>
            </w:pPr>
          </w:p>
        </w:tc>
      </w:tr>
      <w:tr w:rsidR="00ED73C0" w14:paraId="04D9B37C" w14:textId="77777777" w:rsidTr="00044EFB">
        <w:tc>
          <w:tcPr>
            <w:tcW w:w="536" w:type="dxa"/>
          </w:tcPr>
          <w:p w14:paraId="6BDDB52B" w14:textId="77777777" w:rsidR="00ED73C0" w:rsidRDefault="00ED73C0" w:rsidP="00C132C8">
            <w:pPr>
              <w:pStyle w:val="Numberdigit"/>
            </w:pPr>
          </w:p>
        </w:tc>
        <w:tc>
          <w:tcPr>
            <w:tcW w:w="3962" w:type="dxa"/>
          </w:tcPr>
          <w:p w14:paraId="337C18D3" w14:textId="32095322" w:rsidR="00ED73C0" w:rsidRPr="003361B7" w:rsidRDefault="00ED73C0" w:rsidP="006F3563">
            <w:pPr>
              <w:pStyle w:val="Tabletext"/>
            </w:pPr>
            <w:r w:rsidRPr="00ED73C0">
              <w:t>Are there any other specific areas of the Regulations that you would like to raise with the review team as a requirement that may be duplicative, unclear or contain an error?</w:t>
            </w:r>
          </w:p>
        </w:tc>
        <w:tc>
          <w:tcPr>
            <w:tcW w:w="4790" w:type="dxa"/>
          </w:tcPr>
          <w:p w14:paraId="3AD12733" w14:textId="77777777" w:rsidR="00ED73C0" w:rsidRPr="006F3563" w:rsidRDefault="00ED73C0" w:rsidP="006F3563">
            <w:pPr>
              <w:pStyle w:val="Tabletext"/>
            </w:pPr>
          </w:p>
        </w:tc>
      </w:tr>
    </w:tbl>
    <w:p w14:paraId="01FB1C4E" w14:textId="77777777" w:rsidR="00867A20" w:rsidRPr="00EB27B3" w:rsidRDefault="00867A20" w:rsidP="00867A20">
      <w:pPr>
        <w:pStyle w:val="Body"/>
      </w:pPr>
    </w:p>
    <w:sectPr w:rsidR="00867A20" w:rsidRPr="00EB27B3" w:rsidSect="00454A7D">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BE19A" w14:textId="77777777" w:rsidR="00D70116" w:rsidRDefault="00D70116">
      <w:r>
        <w:separator/>
      </w:r>
    </w:p>
    <w:p w14:paraId="6D6ACE13" w14:textId="77777777" w:rsidR="00D70116" w:rsidRDefault="00D70116"/>
  </w:endnote>
  <w:endnote w:type="continuationSeparator" w:id="0">
    <w:p w14:paraId="3B349C02" w14:textId="77777777" w:rsidR="00D70116" w:rsidRDefault="00D70116">
      <w:r>
        <w:continuationSeparator/>
      </w:r>
    </w:p>
    <w:p w14:paraId="6C51DCAE" w14:textId="77777777" w:rsidR="00D70116" w:rsidRDefault="00D70116"/>
  </w:endnote>
  <w:endnote w:type="continuationNotice" w:id="1">
    <w:p w14:paraId="60D8C509" w14:textId="77777777" w:rsidR="00D70116" w:rsidRDefault="00D701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A844" w14:textId="77777777" w:rsidR="00EB4BC7" w:rsidRDefault="00EB4BC7">
    <w:pPr>
      <w:pStyle w:val="Footer"/>
    </w:pPr>
    <w:r>
      <w:rPr>
        <w:noProof/>
      </w:rPr>
      <mc:AlternateContent>
        <mc:Choice Requires="wps">
          <w:drawing>
            <wp:anchor distT="0" distB="0" distL="114300" distR="114300" simplePos="0" relativeHeight="251365376" behindDoc="0" locked="0" layoutInCell="0" allowOverlap="1" wp14:anchorId="1027645D" wp14:editId="52420905">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C90B6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27645D"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3653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C90B6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EDD7" w14:textId="382A5B8B" w:rsidR="00431A70" w:rsidRDefault="00DB04DD">
    <w:pPr>
      <w:pStyle w:val="Footer"/>
    </w:pPr>
    <w:r>
      <w:rPr>
        <w:noProof/>
        <w:lang w:eastAsia="en-AU"/>
      </w:rPr>
      <mc:AlternateContent>
        <mc:Choice Requires="wps">
          <w:drawing>
            <wp:anchor distT="0" distB="0" distL="114300" distR="114300" simplePos="0" relativeHeight="251969536" behindDoc="0" locked="0" layoutInCell="0" allowOverlap="1" wp14:anchorId="4C06C5CD" wp14:editId="223E792B">
              <wp:simplePos x="0" y="0"/>
              <wp:positionH relativeFrom="page">
                <wp:posOffset>0</wp:posOffset>
              </wp:positionH>
              <wp:positionV relativeFrom="page">
                <wp:posOffset>10189210</wp:posOffset>
              </wp:positionV>
              <wp:extent cx="7560310" cy="311785"/>
              <wp:effectExtent l="0" t="0" r="0" b="12065"/>
              <wp:wrapNone/>
              <wp:docPr id="91" name="MSIPCMe5d94081b44c276946a75f0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CB8532" w14:textId="78483793" w:rsidR="00DB04DD" w:rsidRPr="00DB04DD" w:rsidRDefault="00DB04DD" w:rsidP="00DB04DD">
                          <w:pPr>
                            <w:spacing w:after="0"/>
                            <w:jc w:val="center"/>
                            <w:rPr>
                              <w:rFonts w:ascii="Arial Black" w:hAnsi="Arial Black"/>
                              <w:color w:val="000000"/>
                              <w:sz w:val="20"/>
                            </w:rPr>
                          </w:pPr>
                          <w:r w:rsidRPr="00DB04D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06C5CD" id="_x0000_t202" coordsize="21600,21600" o:spt="202" path="m,l,21600r21600,l21600,xe">
              <v:stroke joinstyle="miter"/>
              <v:path gradientshapeok="t" o:connecttype="rect"/>
            </v:shapetype>
            <v:shape id="MSIPCMe5d94081b44c276946a75f0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9695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0CB8532" w14:textId="78483793" w:rsidR="00DB04DD" w:rsidRPr="00DB04DD" w:rsidRDefault="00DB04DD" w:rsidP="00DB04DD">
                    <w:pPr>
                      <w:spacing w:after="0"/>
                      <w:jc w:val="center"/>
                      <w:rPr>
                        <w:rFonts w:ascii="Arial Black" w:hAnsi="Arial Black"/>
                        <w:color w:val="000000"/>
                        <w:sz w:val="20"/>
                      </w:rPr>
                    </w:pPr>
                    <w:r w:rsidRPr="00DB04DD">
                      <w:rPr>
                        <w:rFonts w:ascii="Arial Black" w:hAnsi="Arial Black"/>
                        <w:color w:val="000000"/>
                        <w:sz w:val="20"/>
                      </w:rPr>
                      <w:t>OFFICIAL</w:t>
                    </w:r>
                  </w:p>
                </w:txbxContent>
              </v:textbox>
              <w10:wrap anchorx="page" anchory="page"/>
            </v:shape>
          </w:pict>
        </mc:Fallback>
      </mc:AlternateContent>
    </w:r>
    <w:r w:rsidR="00B40E8D">
      <w:rPr>
        <w:noProof/>
        <w:lang w:eastAsia="en-AU"/>
      </w:rPr>
      <mc:AlternateContent>
        <mc:Choice Requires="wps">
          <w:drawing>
            <wp:anchor distT="0" distB="0" distL="114300" distR="114300" simplePos="0" relativeHeight="251949056" behindDoc="0" locked="0" layoutInCell="0" allowOverlap="1" wp14:anchorId="63194191" wp14:editId="0CCD3FDE">
              <wp:simplePos x="0" y="0"/>
              <wp:positionH relativeFrom="page">
                <wp:posOffset>0</wp:posOffset>
              </wp:positionH>
              <wp:positionV relativeFrom="page">
                <wp:posOffset>10189210</wp:posOffset>
              </wp:positionV>
              <wp:extent cx="7560310" cy="311785"/>
              <wp:effectExtent l="0" t="0" r="0" b="12065"/>
              <wp:wrapNone/>
              <wp:docPr id="88" name="Text Box 8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A94B68" w14:textId="52C83EFC" w:rsidR="00B40E8D" w:rsidRPr="00B40E8D" w:rsidRDefault="00B40E8D" w:rsidP="00B40E8D">
                          <w:pPr>
                            <w:spacing w:after="0"/>
                            <w:jc w:val="center"/>
                            <w:rPr>
                              <w:rFonts w:ascii="Arial Black" w:hAnsi="Arial Black"/>
                              <w:color w:val="000000"/>
                              <w:sz w:val="20"/>
                            </w:rPr>
                          </w:pPr>
                          <w:r w:rsidRPr="00B40E8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3194191" id="Text Box 88"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9490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9A94B68" w14:textId="52C83EFC" w:rsidR="00B40E8D" w:rsidRPr="00B40E8D" w:rsidRDefault="00B40E8D" w:rsidP="00B40E8D">
                    <w:pPr>
                      <w:spacing w:after="0"/>
                      <w:jc w:val="center"/>
                      <w:rPr>
                        <w:rFonts w:ascii="Arial Black" w:hAnsi="Arial Black"/>
                        <w:color w:val="000000"/>
                        <w:sz w:val="20"/>
                      </w:rPr>
                    </w:pPr>
                    <w:r w:rsidRPr="00B40E8D">
                      <w:rPr>
                        <w:rFonts w:ascii="Arial Black" w:hAnsi="Arial Black"/>
                        <w:color w:val="000000"/>
                        <w:sz w:val="20"/>
                      </w:rPr>
                      <w:t>OFFICIAL</w:t>
                    </w:r>
                  </w:p>
                </w:txbxContent>
              </v:textbox>
              <w10:wrap anchorx="page" anchory="page"/>
            </v:shape>
          </w:pict>
        </mc:Fallback>
      </mc:AlternateContent>
    </w:r>
    <w:r w:rsidR="00EE45AE">
      <w:rPr>
        <w:noProof/>
        <w:lang w:eastAsia="en-AU"/>
      </w:rPr>
      <mc:AlternateContent>
        <mc:Choice Requires="wps">
          <w:drawing>
            <wp:anchor distT="0" distB="0" distL="114300" distR="114300" simplePos="0" relativeHeight="251928576" behindDoc="0" locked="0" layoutInCell="0" allowOverlap="1" wp14:anchorId="68244F4D" wp14:editId="29E2B4AF">
              <wp:simplePos x="0" y="0"/>
              <wp:positionH relativeFrom="page">
                <wp:posOffset>0</wp:posOffset>
              </wp:positionH>
              <wp:positionV relativeFrom="page">
                <wp:posOffset>10189210</wp:posOffset>
              </wp:positionV>
              <wp:extent cx="7560310" cy="311785"/>
              <wp:effectExtent l="0" t="0" r="0" b="12065"/>
              <wp:wrapNone/>
              <wp:docPr id="85" name="Text Box 8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DE09A4" w14:textId="54D3F3FD" w:rsidR="00EE45AE" w:rsidRPr="00EE45AE" w:rsidRDefault="00EE45AE" w:rsidP="00EE45AE">
                          <w:pPr>
                            <w:spacing w:after="0"/>
                            <w:jc w:val="center"/>
                            <w:rPr>
                              <w:rFonts w:ascii="Arial Black" w:hAnsi="Arial Black"/>
                              <w:color w:val="000000"/>
                              <w:sz w:val="20"/>
                            </w:rPr>
                          </w:pPr>
                          <w:r w:rsidRPr="00EE45A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8244F4D" id="Text Box 85"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928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3DE09A4" w14:textId="54D3F3FD" w:rsidR="00EE45AE" w:rsidRPr="00EE45AE" w:rsidRDefault="00EE45AE" w:rsidP="00EE45AE">
                    <w:pPr>
                      <w:spacing w:after="0"/>
                      <w:jc w:val="center"/>
                      <w:rPr>
                        <w:rFonts w:ascii="Arial Black" w:hAnsi="Arial Black"/>
                        <w:color w:val="000000"/>
                        <w:sz w:val="20"/>
                      </w:rPr>
                    </w:pPr>
                    <w:r w:rsidRPr="00EE45AE">
                      <w:rPr>
                        <w:rFonts w:ascii="Arial Black" w:hAnsi="Arial Black"/>
                        <w:color w:val="000000"/>
                        <w:sz w:val="20"/>
                      </w:rPr>
                      <w:t>OFFICIAL</w:t>
                    </w:r>
                  </w:p>
                </w:txbxContent>
              </v:textbox>
              <w10:wrap anchorx="page" anchory="page"/>
            </v:shape>
          </w:pict>
        </mc:Fallback>
      </mc:AlternateContent>
    </w:r>
    <w:r w:rsidR="00DA7BDD">
      <w:rPr>
        <w:noProof/>
        <w:lang w:eastAsia="en-AU"/>
      </w:rPr>
      <mc:AlternateContent>
        <mc:Choice Requires="wps">
          <w:drawing>
            <wp:anchor distT="0" distB="0" distL="114300" distR="114300" simplePos="0" relativeHeight="251908096" behindDoc="0" locked="0" layoutInCell="0" allowOverlap="1" wp14:anchorId="185864EC" wp14:editId="25864038">
              <wp:simplePos x="0" y="0"/>
              <wp:positionH relativeFrom="page">
                <wp:posOffset>0</wp:posOffset>
              </wp:positionH>
              <wp:positionV relativeFrom="page">
                <wp:posOffset>10189210</wp:posOffset>
              </wp:positionV>
              <wp:extent cx="7560310" cy="311785"/>
              <wp:effectExtent l="0" t="0" r="0" b="12065"/>
              <wp:wrapNone/>
              <wp:docPr id="82" name="Text Box 8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9117CD" w14:textId="76DB9116" w:rsidR="00DA7BDD" w:rsidRPr="00DA7BDD" w:rsidRDefault="00DA7BDD" w:rsidP="00DA7BDD">
                          <w:pPr>
                            <w:spacing w:after="0"/>
                            <w:jc w:val="center"/>
                            <w:rPr>
                              <w:rFonts w:ascii="Arial Black" w:hAnsi="Arial Black"/>
                              <w:color w:val="000000"/>
                              <w:sz w:val="20"/>
                            </w:rPr>
                          </w:pPr>
                          <w:r w:rsidRPr="00DA7BD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85864EC" id="Text Box 82" o:spid="_x0000_s1030"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9080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7C9117CD" w14:textId="76DB9116" w:rsidR="00DA7BDD" w:rsidRPr="00DA7BDD" w:rsidRDefault="00DA7BDD" w:rsidP="00DA7BDD">
                    <w:pPr>
                      <w:spacing w:after="0"/>
                      <w:jc w:val="center"/>
                      <w:rPr>
                        <w:rFonts w:ascii="Arial Black" w:hAnsi="Arial Black"/>
                        <w:color w:val="000000"/>
                        <w:sz w:val="20"/>
                      </w:rPr>
                    </w:pPr>
                    <w:r w:rsidRPr="00DA7BDD">
                      <w:rPr>
                        <w:rFonts w:ascii="Arial Black" w:hAnsi="Arial Black"/>
                        <w:color w:val="000000"/>
                        <w:sz w:val="20"/>
                      </w:rPr>
                      <w:t>OFFICIAL</w:t>
                    </w:r>
                  </w:p>
                </w:txbxContent>
              </v:textbox>
              <w10:wrap anchorx="page" anchory="page"/>
            </v:shape>
          </w:pict>
        </mc:Fallback>
      </mc:AlternateContent>
    </w:r>
    <w:r w:rsidR="00DA5D0B">
      <w:rPr>
        <w:noProof/>
        <w:lang w:eastAsia="en-AU"/>
      </w:rPr>
      <mc:AlternateContent>
        <mc:Choice Requires="wps">
          <w:drawing>
            <wp:anchor distT="0" distB="0" distL="114300" distR="114300" simplePos="0" relativeHeight="251887616" behindDoc="0" locked="0" layoutInCell="0" allowOverlap="1" wp14:anchorId="0BC8E9DA" wp14:editId="04B1BFC0">
              <wp:simplePos x="0" y="0"/>
              <wp:positionH relativeFrom="page">
                <wp:posOffset>0</wp:posOffset>
              </wp:positionH>
              <wp:positionV relativeFrom="page">
                <wp:posOffset>10189210</wp:posOffset>
              </wp:positionV>
              <wp:extent cx="7560310" cy="311785"/>
              <wp:effectExtent l="0" t="0" r="0" b="12065"/>
              <wp:wrapNone/>
              <wp:docPr id="80" name="Text Box 8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D3A2CB" w14:textId="4ADC5838" w:rsidR="00DA5D0B" w:rsidRPr="00DA5D0B" w:rsidRDefault="00DA5D0B" w:rsidP="00DA5D0B">
                          <w:pPr>
                            <w:spacing w:after="0"/>
                            <w:jc w:val="center"/>
                            <w:rPr>
                              <w:rFonts w:ascii="Arial Black" w:hAnsi="Arial Black"/>
                              <w:color w:val="000000"/>
                              <w:sz w:val="20"/>
                            </w:rPr>
                          </w:pPr>
                          <w:r w:rsidRPr="00DA5D0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BC8E9DA" id="Text Box 80" o:spid="_x0000_s1031"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8876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61D3A2CB" w14:textId="4ADC5838" w:rsidR="00DA5D0B" w:rsidRPr="00DA5D0B" w:rsidRDefault="00DA5D0B" w:rsidP="00DA5D0B">
                    <w:pPr>
                      <w:spacing w:after="0"/>
                      <w:jc w:val="center"/>
                      <w:rPr>
                        <w:rFonts w:ascii="Arial Black" w:hAnsi="Arial Black"/>
                        <w:color w:val="000000"/>
                        <w:sz w:val="20"/>
                      </w:rPr>
                    </w:pPr>
                    <w:r w:rsidRPr="00DA5D0B">
                      <w:rPr>
                        <w:rFonts w:ascii="Arial Black" w:hAnsi="Arial Black"/>
                        <w:color w:val="000000"/>
                        <w:sz w:val="20"/>
                      </w:rPr>
                      <w:t>OFFICIAL</w:t>
                    </w:r>
                  </w:p>
                </w:txbxContent>
              </v:textbox>
              <w10:wrap anchorx="page" anchory="page"/>
            </v:shape>
          </w:pict>
        </mc:Fallback>
      </mc:AlternateContent>
    </w:r>
    <w:r w:rsidR="00546842">
      <w:rPr>
        <w:noProof/>
        <w:lang w:eastAsia="en-AU"/>
      </w:rPr>
      <mc:AlternateContent>
        <mc:Choice Requires="wps">
          <w:drawing>
            <wp:anchor distT="0" distB="0" distL="114300" distR="114300" simplePos="0" relativeHeight="251867136" behindDoc="0" locked="0" layoutInCell="0" allowOverlap="1" wp14:anchorId="0E07DA70" wp14:editId="75926631">
              <wp:simplePos x="0" y="0"/>
              <wp:positionH relativeFrom="page">
                <wp:posOffset>0</wp:posOffset>
              </wp:positionH>
              <wp:positionV relativeFrom="page">
                <wp:posOffset>10189210</wp:posOffset>
              </wp:positionV>
              <wp:extent cx="7560310" cy="311785"/>
              <wp:effectExtent l="0" t="0" r="0" b="12065"/>
              <wp:wrapNone/>
              <wp:docPr id="45" name="Text Box 4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20E19D" w14:textId="1FBE0984" w:rsidR="00546842" w:rsidRPr="00546842" w:rsidRDefault="00546842" w:rsidP="00546842">
                          <w:pPr>
                            <w:spacing w:after="0"/>
                            <w:jc w:val="center"/>
                            <w:rPr>
                              <w:rFonts w:ascii="Arial Black" w:hAnsi="Arial Black"/>
                              <w:color w:val="000000"/>
                              <w:sz w:val="20"/>
                            </w:rPr>
                          </w:pPr>
                          <w:r w:rsidRPr="0054684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E07DA70" id="Text Box 45" o:spid="_x0000_s1032"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867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7E20E19D" w14:textId="1FBE0984" w:rsidR="00546842" w:rsidRPr="00546842" w:rsidRDefault="00546842" w:rsidP="00546842">
                    <w:pPr>
                      <w:spacing w:after="0"/>
                      <w:jc w:val="center"/>
                      <w:rPr>
                        <w:rFonts w:ascii="Arial Black" w:hAnsi="Arial Black"/>
                        <w:color w:val="000000"/>
                        <w:sz w:val="20"/>
                      </w:rPr>
                    </w:pPr>
                    <w:r w:rsidRPr="00546842">
                      <w:rPr>
                        <w:rFonts w:ascii="Arial Black" w:hAnsi="Arial Black"/>
                        <w:color w:val="000000"/>
                        <w:sz w:val="20"/>
                      </w:rPr>
                      <w:t>OFFICIAL</w:t>
                    </w:r>
                  </w:p>
                </w:txbxContent>
              </v:textbox>
              <w10:wrap anchorx="page" anchory="page"/>
            </v:shape>
          </w:pict>
        </mc:Fallback>
      </mc:AlternateContent>
    </w:r>
    <w:r w:rsidR="0075313B">
      <w:rPr>
        <w:noProof/>
        <w:lang w:eastAsia="en-AU"/>
      </w:rPr>
      <mc:AlternateContent>
        <mc:Choice Requires="wps">
          <w:drawing>
            <wp:anchor distT="0" distB="0" distL="114300" distR="114300" simplePos="0" relativeHeight="251846656" behindDoc="0" locked="0" layoutInCell="0" allowOverlap="1" wp14:anchorId="0A333CC7" wp14:editId="34BC8D90">
              <wp:simplePos x="0" y="0"/>
              <wp:positionH relativeFrom="page">
                <wp:posOffset>0</wp:posOffset>
              </wp:positionH>
              <wp:positionV relativeFrom="page">
                <wp:posOffset>10189210</wp:posOffset>
              </wp:positionV>
              <wp:extent cx="7560310" cy="311785"/>
              <wp:effectExtent l="0" t="0" r="0" b="12065"/>
              <wp:wrapNone/>
              <wp:docPr id="77" name="Text Box 7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3FA277" w14:textId="6B6EAD93" w:rsidR="0075313B" w:rsidRPr="0075313B" w:rsidRDefault="0075313B" w:rsidP="0075313B">
                          <w:pPr>
                            <w:spacing w:after="0"/>
                            <w:jc w:val="center"/>
                            <w:rPr>
                              <w:rFonts w:ascii="Arial Black" w:hAnsi="Arial Black"/>
                              <w:color w:val="000000"/>
                              <w:sz w:val="20"/>
                            </w:rPr>
                          </w:pPr>
                          <w:r w:rsidRPr="0075313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A333CC7" id="Text Box 77" o:spid="_x0000_s1033"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846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5E3FA277" w14:textId="6B6EAD93" w:rsidR="0075313B" w:rsidRPr="0075313B" w:rsidRDefault="0075313B" w:rsidP="0075313B">
                    <w:pPr>
                      <w:spacing w:after="0"/>
                      <w:jc w:val="center"/>
                      <w:rPr>
                        <w:rFonts w:ascii="Arial Black" w:hAnsi="Arial Black"/>
                        <w:color w:val="000000"/>
                        <w:sz w:val="20"/>
                      </w:rPr>
                    </w:pPr>
                    <w:r w:rsidRPr="0075313B">
                      <w:rPr>
                        <w:rFonts w:ascii="Arial Black" w:hAnsi="Arial Black"/>
                        <w:color w:val="000000"/>
                        <w:sz w:val="20"/>
                      </w:rPr>
                      <w:t>OFFICIAL</w:t>
                    </w:r>
                  </w:p>
                </w:txbxContent>
              </v:textbox>
              <w10:wrap anchorx="page" anchory="page"/>
            </v:shape>
          </w:pict>
        </mc:Fallback>
      </mc:AlternateContent>
    </w:r>
    <w:r w:rsidR="005B3D19">
      <w:rPr>
        <w:noProof/>
        <w:lang w:eastAsia="en-AU"/>
      </w:rPr>
      <mc:AlternateContent>
        <mc:Choice Requires="wps">
          <w:drawing>
            <wp:anchor distT="0" distB="0" distL="114300" distR="114300" simplePos="0" relativeHeight="251826176" behindDoc="0" locked="0" layoutInCell="0" allowOverlap="1" wp14:anchorId="423A62B1" wp14:editId="46126FD2">
              <wp:simplePos x="0" y="0"/>
              <wp:positionH relativeFrom="page">
                <wp:posOffset>0</wp:posOffset>
              </wp:positionH>
              <wp:positionV relativeFrom="page">
                <wp:posOffset>10189210</wp:posOffset>
              </wp:positionV>
              <wp:extent cx="7560310" cy="311785"/>
              <wp:effectExtent l="0" t="0" r="0" b="12065"/>
              <wp:wrapNone/>
              <wp:docPr id="74" name="Text Box 7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8D36E6" w14:textId="53A2B96D" w:rsidR="005B3D19" w:rsidRPr="005B3D19" w:rsidRDefault="005B3D19" w:rsidP="005B3D19">
                          <w:pPr>
                            <w:spacing w:after="0"/>
                            <w:jc w:val="center"/>
                            <w:rPr>
                              <w:rFonts w:ascii="Arial Black" w:hAnsi="Arial Black"/>
                              <w:color w:val="000000"/>
                              <w:sz w:val="20"/>
                            </w:rPr>
                          </w:pPr>
                          <w:r w:rsidRPr="005B3D1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23A62B1" id="Text Box 74" o:spid="_x0000_s1034"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8261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1D8D36E6" w14:textId="53A2B96D" w:rsidR="005B3D19" w:rsidRPr="005B3D19" w:rsidRDefault="005B3D19" w:rsidP="005B3D19">
                    <w:pPr>
                      <w:spacing w:after="0"/>
                      <w:jc w:val="center"/>
                      <w:rPr>
                        <w:rFonts w:ascii="Arial Black" w:hAnsi="Arial Black"/>
                        <w:color w:val="000000"/>
                        <w:sz w:val="20"/>
                      </w:rPr>
                    </w:pPr>
                    <w:r w:rsidRPr="005B3D19">
                      <w:rPr>
                        <w:rFonts w:ascii="Arial Black" w:hAnsi="Arial Black"/>
                        <w:color w:val="000000"/>
                        <w:sz w:val="20"/>
                      </w:rPr>
                      <w:t>OFFICIAL</w:t>
                    </w:r>
                  </w:p>
                </w:txbxContent>
              </v:textbox>
              <w10:wrap anchorx="page" anchory="page"/>
            </v:shape>
          </w:pict>
        </mc:Fallback>
      </mc:AlternateContent>
    </w:r>
    <w:r w:rsidR="006836A4">
      <w:rPr>
        <w:noProof/>
        <w:lang w:eastAsia="en-AU"/>
      </w:rPr>
      <mc:AlternateContent>
        <mc:Choice Requires="wps">
          <w:drawing>
            <wp:anchor distT="0" distB="0" distL="114300" distR="114300" simplePos="0" relativeHeight="251805696" behindDoc="0" locked="0" layoutInCell="0" allowOverlap="1" wp14:anchorId="767374F7" wp14:editId="1328C558">
              <wp:simplePos x="0" y="0"/>
              <wp:positionH relativeFrom="page">
                <wp:posOffset>0</wp:posOffset>
              </wp:positionH>
              <wp:positionV relativeFrom="page">
                <wp:posOffset>10189210</wp:posOffset>
              </wp:positionV>
              <wp:extent cx="7560310" cy="311785"/>
              <wp:effectExtent l="0" t="0" r="0" b="12065"/>
              <wp:wrapNone/>
              <wp:docPr id="11" name="Text Box 1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90B1D9" w14:textId="396EFBAC" w:rsidR="006836A4" w:rsidRPr="006836A4" w:rsidRDefault="006836A4" w:rsidP="006836A4">
                          <w:pPr>
                            <w:spacing w:after="0"/>
                            <w:jc w:val="center"/>
                            <w:rPr>
                              <w:rFonts w:ascii="Arial Black" w:hAnsi="Arial Black"/>
                              <w:color w:val="000000"/>
                              <w:sz w:val="20"/>
                            </w:rPr>
                          </w:pPr>
                          <w:r w:rsidRPr="006836A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67374F7" id="Text Box 11" o:spid="_x0000_s1035"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805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5690B1D9" w14:textId="396EFBAC" w:rsidR="006836A4" w:rsidRPr="006836A4" w:rsidRDefault="006836A4" w:rsidP="006836A4">
                    <w:pPr>
                      <w:spacing w:after="0"/>
                      <w:jc w:val="center"/>
                      <w:rPr>
                        <w:rFonts w:ascii="Arial Black" w:hAnsi="Arial Black"/>
                        <w:color w:val="000000"/>
                        <w:sz w:val="20"/>
                      </w:rPr>
                    </w:pPr>
                    <w:r w:rsidRPr="006836A4">
                      <w:rPr>
                        <w:rFonts w:ascii="Arial Black" w:hAnsi="Arial Black"/>
                        <w:color w:val="000000"/>
                        <w:sz w:val="20"/>
                      </w:rPr>
                      <w:t>OFFICIAL</w:t>
                    </w:r>
                  </w:p>
                </w:txbxContent>
              </v:textbox>
              <w10:wrap anchorx="page" anchory="page"/>
            </v:shape>
          </w:pict>
        </mc:Fallback>
      </mc:AlternateContent>
    </w:r>
    <w:r w:rsidR="00E5140F">
      <w:rPr>
        <w:noProof/>
        <w:lang w:eastAsia="en-AU"/>
      </w:rPr>
      <mc:AlternateContent>
        <mc:Choice Requires="wps">
          <w:drawing>
            <wp:anchor distT="0" distB="0" distL="114300" distR="114300" simplePos="0" relativeHeight="251785216" behindDoc="0" locked="0" layoutInCell="0" allowOverlap="1" wp14:anchorId="1B2251B8" wp14:editId="48882DDC">
              <wp:simplePos x="0" y="0"/>
              <wp:positionH relativeFrom="page">
                <wp:posOffset>0</wp:posOffset>
              </wp:positionH>
              <wp:positionV relativeFrom="page">
                <wp:posOffset>10189210</wp:posOffset>
              </wp:positionV>
              <wp:extent cx="7560310" cy="311785"/>
              <wp:effectExtent l="0" t="0" r="0" b="12065"/>
              <wp:wrapNone/>
              <wp:docPr id="34" name="Text Box 3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941447" w14:textId="5F5F44A5" w:rsidR="00E5140F" w:rsidRPr="00E5140F" w:rsidRDefault="00E5140F" w:rsidP="00E5140F">
                          <w:pPr>
                            <w:spacing w:after="0"/>
                            <w:jc w:val="center"/>
                            <w:rPr>
                              <w:rFonts w:ascii="Arial Black" w:hAnsi="Arial Black"/>
                              <w:color w:val="000000"/>
                              <w:sz w:val="20"/>
                            </w:rPr>
                          </w:pPr>
                          <w:r w:rsidRPr="00E5140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2251B8" id="Text Box 34" o:spid="_x0000_s103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785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01941447" w14:textId="5F5F44A5" w:rsidR="00E5140F" w:rsidRPr="00E5140F" w:rsidRDefault="00E5140F" w:rsidP="00E5140F">
                    <w:pPr>
                      <w:spacing w:after="0"/>
                      <w:jc w:val="center"/>
                      <w:rPr>
                        <w:rFonts w:ascii="Arial Black" w:hAnsi="Arial Black"/>
                        <w:color w:val="000000"/>
                        <w:sz w:val="20"/>
                      </w:rPr>
                    </w:pPr>
                    <w:r w:rsidRPr="00E5140F">
                      <w:rPr>
                        <w:rFonts w:ascii="Arial Black" w:hAnsi="Arial Black"/>
                        <w:color w:val="000000"/>
                        <w:sz w:val="20"/>
                      </w:rPr>
                      <w:t>OFFICIAL</w:t>
                    </w:r>
                  </w:p>
                </w:txbxContent>
              </v:textbox>
              <w10:wrap anchorx="page" anchory="page"/>
            </v:shape>
          </w:pict>
        </mc:Fallback>
      </mc:AlternateContent>
    </w:r>
    <w:r w:rsidR="00495369">
      <w:rPr>
        <w:noProof/>
        <w:lang w:eastAsia="en-AU"/>
      </w:rPr>
      <mc:AlternateContent>
        <mc:Choice Requires="wps">
          <w:drawing>
            <wp:anchor distT="0" distB="0" distL="114300" distR="114300" simplePos="0" relativeHeight="251764736" behindDoc="0" locked="0" layoutInCell="0" allowOverlap="1" wp14:anchorId="55557449" wp14:editId="2BC2E809">
              <wp:simplePos x="0" y="0"/>
              <wp:positionH relativeFrom="page">
                <wp:posOffset>0</wp:posOffset>
              </wp:positionH>
              <wp:positionV relativeFrom="page">
                <wp:posOffset>10189210</wp:posOffset>
              </wp:positionV>
              <wp:extent cx="7560310" cy="311785"/>
              <wp:effectExtent l="0" t="0" r="0" b="12065"/>
              <wp:wrapNone/>
              <wp:docPr id="18" name="Text Box 1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75E97F" w14:textId="3111AB6C" w:rsidR="00495369" w:rsidRPr="00495369" w:rsidRDefault="00495369" w:rsidP="00495369">
                          <w:pPr>
                            <w:spacing w:after="0"/>
                            <w:jc w:val="center"/>
                            <w:rPr>
                              <w:rFonts w:ascii="Arial Black" w:hAnsi="Arial Black"/>
                              <w:color w:val="000000"/>
                              <w:sz w:val="20"/>
                            </w:rPr>
                          </w:pPr>
                          <w:r w:rsidRPr="0049536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5557449" id="Text Box 18" o:spid="_x0000_s103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7647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2A75E97F" w14:textId="3111AB6C" w:rsidR="00495369" w:rsidRPr="00495369" w:rsidRDefault="00495369" w:rsidP="00495369">
                    <w:pPr>
                      <w:spacing w:after="0"/>
                      <w:jc w:val="center"/>
                      <w:rPr>
                        <w:rFonts w:ascii="Arial Black" w:hAnsi="Arial Black"/>
                        <w:color w:val="000000"/>
                        <w:sz w:val="20"/>
                      </w:rPr>
                    </w:pPr>
                    <w:r w:rsidRPr="00495369">
                      <w:rPr>
                        <w:rFonts w:ascii="Arial Black" w:hAnsi="Arial Black"/>
                        <w:color w:val="000000"/>
                        <w:sz w:val="20"/>
                      </w:rPr>
                      <w:t>OFFICIAL</w:t>
                    </w:r>
                  </w:p>
                </w:txbxContent>
              </v:textbox>
              <w10:wrap anchorx="page" anchory="page"/>
            </v:shape>
          </w:pict>
        </mc:Fallback>
      </mc:AlternateContent>
    </w:r>
    <w:r w:rsidR="00656E4C">
      <w:rPr>
        <w:noProof/>
        <w:lang w:eastAsia="en-AU"/>
      </w:rPr>
      <mc:AlternateContent>
        <mc:Choice Requires="wps">
          <w:drawing>
            <wp:anchor distT="0" distB="0" distL="114300" distR="114300" simplePos="0" relativeHeight="251744256" behindDoc="0" locked="0" layoutInCell="0" allowOverlap="1" wp14:anchorId="3EA053FD" wp14:editId="4959176F">
              <wp:simplePos x="0" y="0"/>
              <wp:positionH relativeFrom="page">
                <wp:posOffset>0</wp:posOffset>
              </wp:positionH>
              <wp:positionV relativeFrom="page">
                <wp:posOffset>10189210</wp:posOffset>
              </wp:positionV>
              <wp:extent cx="7560310" cy="311785"/>
              <wp:effectExtent l="0" t="0" r="0" b="12065"/>
              <wp:wrapNone/>
              <wp:docPr id="22" name="Text Box 2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A28BE2" w14:textId="0B850AA5" w:rsidR="00656E4C" w:rsidRPr="00656E4C" w:rsidRDefault="00656E4C" w:rsidP="00656E4C">
                          <w:pPr>
                            <w:spacing w:after="0"/>
                            <w:jc w:val="center"/>
                            <w:rPr>
                              <w:rFonts w:ascii="Arial Black" w:hAnsi="Arial Black"/>
                              <w:color w:val="000000"/>
                              <w:sz w:val="20"/>
                            </w:rPr>
                          </w:pPr>
                          <w:r w:rsidRPr="00656E4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EA053FD" id="Text Box 22" o:spid="_x0000_s103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744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YxgPGAIAACwEAAAOAAAAAAAAAAAAAAAAAC4CAABkcnMvZTJvRG9jLnhtbFBLAQItABQA&#10;BgAIAAAAIQBIDV6a3wAAAAsBAAAPAAAAAAAAAAAAAAAAAHIEAABkcnMvZG93bnJldi54bWxQSwUG&#10;AAAAAAQABADzAAAAfgUAAAAA&#10;" o:allowincell="f" filled="f" stroked="f" strokeweight=".5pt">
              <v:textbox inset=",0,,0">
                <w:txbxContent>
                  <w:p w14:paraId="70A28BE2" w14:textId="0B850AA5" w:rsidR="00656E4C" w:rsidRPr="00656E4C" w:rsidRDefault="00656E4C" w:rsidP="00656E4C">
                    <w:pPr>
                      <w:spacing w:after="0"/>
                      <w:jc w:val="center"/>
                      <w:rPr>
                        <w:rFonts w:ascii="Arial Black" w:hAnsi="Arial Black"/>
                        <w:color w:val="000000"/>
                        <w:sz w:val="20"/>
                      </w:rPr>
                    </w:pPr>
                    <w:r w:rsidRPr="00656E4C">
                      <w:rPr>
                        <w:rFonts w:ascii="Arial Black" w:hAnsi="Arial Black"/>
                        <w:color w:val="000000"/>
                        <w:sz w:val="20"/>
                      </w:rPr>
                      <w:t>OFFICIAL</w:t>
                    </w:r>
                  </w:p>
                </w:txbxContent>
              </v:textbox>
              <w10:wrap anchorx="page" anchory="page"/>
            </v:shape>
          </w:pict>
        </mc:Fallback>
      </mc:AlternateContent>
    </w:r>
    <w:r w:rsidR="0018744C">
      <w:rPr>
        <w:noProof/>
        <w:lang w:eastAsia="en-AU"/>
      </w:rPr>
      <mc:AlternateContent>
        <mc:Choice Requires="wps">
          <w:drawing>
            <wp:anchor distT="0" distB="0" distL="114300" distR="114300" simplePos="0" relativeHeight="251723776" behindDoc="0" locked="0" layoutInCell="0" allowOverlap="1" wp14:anchorId="4703653E" wp14:editId="0031CC9A">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11AB9D" w14:textId="624F42C5" w:rsidR="0018744C" w:rsidRPr="0018744C" w:rsidRDefault="0018744C" w:rsidP="0018744C">
                          <w:pPr>
                            <w:spacing w:after="0"/>
                            <w:jc w:val="center"/>
                            <w:rPr>
                              <w:rFonts w:ascii="Arial Black" w:hAnsi="Arial Black"/>
                              <w:color w:val="000000"/>
                              <w:sz w:val="20"/>
                            </w:rPr>
                          </w:pPr>
                          <w:r w:rsidRPr="0018744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703653E" id="Text Box 2" o:spid="_x0000_s103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723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O7JmHGAIAACwEAAAOAAAAAAAAAAAAAAAAAC4CAABkcnMvZTJvRG9jLnhtbFBLAQItABQA&#10;BgAIAAAAIQBIDV6a3wAAAAsBAAAPAAAAAAAAAAAAAAAAAHIEAABkcnMvZG93bnJldi54bWxQSwUG&#10;AAAAAAQABADzAAAAfgUAAAAA&#10;" o:allowincell="f" filled="f" stroked="f" strokeweight=".5pt">
              <v:textbox inset=",0,,0">
                <w:txbxContent>
                  <w:p w14:paraId="0911AB9D" w14:textId="624F42C5" w:rsidR="0018744C" w:rsidRPr="0018744C" w:rsidRDefault="0018744C" w:rsidP="0018744C">
                    <w:pPr>
                      <w:spacing w:after="0"/>
                      <w:jc w:val="center"/>
                      <w:rPr>
                        <w:rFonts w:ascii="Arial Black" w:hAnsi="Arial Black"/>
                        <w:color w:val="000000"/>
                        <w:sz w:val="20"/>
                      </w:rPr>
                    </w:pPr>
                    <w:r w:rsidRPr="0018744C">
                      <w:rPr>
                        <w:rFonts w:ascii="Arial Black" w:hAnsi="Arial Black"/>
                        <w:color w:val="000000"/>
                        <w:sz w:val="20"/>
                      </w:rPr>
                      <w:t>OFFICIAL</w:t>
                    </w:r>
                  </w:p>
                </w:txbxContent>
              </v:textbox>
              <w10:wrap anchorx="page" anchory="page"/>
            </v:shape>
          </w:pict>
        </mc:Fallback>
      </mc:AlternateContent>
    </w:r>
    <w:r w:rsidR="00EB3451">
      <w:rPr>
        <w:noProof/>
        <w:lang w:eastAsia="en-AU"/>
      </w:rPr>
      <mc:AlternateContent>
        <mc:Choice Requires="wps">
          <w:drawing>
            <wp:anchor distT="0" distB="0" distL="114300" distR="114300" simplePos="0" relativeHeight="251703296" behindDoc="0" locked="0" layoutInCell="0" allowOverlap="1" wp14:anchorId="2ECF98D2" wp14:editId="3B8BA224">
              <wp:simplePos x="0" y="0"/>
              <wp:positionH relativeFrom="page">
                <wp:posOffset>0</wp:posOffset>
              </wp:positionH>
              <wp:positionV relativeFrom="page">
                <wp:posOffset>10189210</wp:posOffset>
              </wp:positionV>
              <wp:extent cx="7560310" cy="311785"/>
              <wp:effectExtent l="0" t="0" r="0" b="12065"/>
              <wp:wrapNone/>
              <wp:docPr id="64" name="Text Box 6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91A55C" w14:textId="6899719F" w:rsidR="00EB3451" w:rsidRPr="00EB3451" w:rsidRDefault="00EB3451" w:rsidP="00EB3451">
                          <w:pPr>
                            <w:spacing w:after="0"/>
                            <w:jc w:val="center"/>
                            <w:rPr>
                              <w:rFonts w:ascii="Arial Black" w:hAnsi="Arial Black"/>
                              <w:color w:val="000000"/>
                              <w:sz w:val="20"/>
                            </w:rPr>
                          </w:pPr>
                          <w:r w:rsidRPr="00EB345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ECF98D2" id="Text Box 64" o:spid="_x0000_s1040"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7032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GA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Y/JsMgWyiPuZ6Gn3hm+qnGI&#10;NXP+mVnkGudG/fonPKQCbAYni5IK7J//+UM+UoBRSlrUTkHd7z2zghL1UyM5t9lkEs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cT/+KGAIAACwEAAAOAAAAAAAAAAAAAAAAAC4CAABkcnMvZTJvRG9jLnhtbFBLAQItABQA&#10;BgAIAAAAIQBIDV6a3wAAAAsBAAAPAAAAAAAAAAAAAAAAAHIEAABkcnMvZG93bnJldi54bWxQSwUG&#10;AAAAAAQABADzAAAAfgUAAAAA&#10;" o:allowincell="f" filled="f" stroked="f" strokeweight=".5pt">
              <v:textbox inset=",0,,0">
                <w:txbxContent>
                  <w:p w14:paraId="7F91A55C" w14:textId="6899719F" w:rsidR="00EB3451" w:rsidRPr="00EB3451" w:rsidRDefault="00EB3451" w:rsidP="00EB3451">
                    <w:pPr>
                      <w:spacing w:after="0"/>
                      <w:jc w:val="center"/>
                      <w:rPr>
                        <w:rFonts w:ascii="Arial Black" w:hAnsi="Arial Black"/>
                        <w:color w:val="000000"/>
                        <w:sz w:val="20"/>
                      </w:rPr>
                    </w:pPr>
                    <w:r w:rsidRPr="00EB3451">
                      <w:rPr>
                        <w:rFonts w:ascii="Arial Black" w:hAnsi="Arial Black"/>
                        <w:color w:val="000000"/>
                        <w:sz w:val="20"/>
                      </w:rPr>
                      <w:t>OFFICIAL</w:t>
                    </w:r>
                  </w:p>
                </w:txbxContent>
              </v:textbox>
              <w10:wrap anchorx="page" anchory="page"/>
            </v:shape>
          </w:pict>
        </mc:Fallback>
      </mc:AlternateContent>
    </w:r>
    <w:r w:rsidR="003549E9">
      <w:rPr>
        <w:noProof/>
        <w:lang w:eastAsia="en-AU"/>
      </w:rPr>
      <mc:AlternateContent>
        <mc:Choice Requires="wps">
          <w:drawing>
            <wp:anchor distT="0" distB="0" distL="114300" distR="114300" simplePos="0" relativeHeight="251682816" behindDoc="0" locked="0" layoutInCell="0" allowOverlap="1" wp14:anchorId="3DBA7D7D" wp14:editId="20C2C2E5">
              <wp:simplePos x="0" y="0"/>
              <wp:positionH relativeFrom="page">
                <wp:posOffset>0</wp:posOffset>
              </wp:positionH>
              <wp:positionV relativeFrom="page">
                <wp:posOffset>10189210</wp:posOffset>
              </wp:positionV>
              <wp:extent cx="7560310" cy="311785"/>
              <wp:effectExtent l="0" t="0" r="0" b="12065"/>
              <wp:wrapNone/>
              <wp:docPr id="65" name="Text Box 6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7414BD" w14:textId="1397F351" w:rsidR="003549E9" w:rsidRPr="003549E9" w:rsidRDefault="003549E9" w:rsidP="003549E9">
                          <w:pPr>
                            <w:spacing w:after="0"/>
                            <w:jc w:val="center"/>
                            <w:rPr>
                              <w:rFonts w:ascii="Arial Black" w:hAnsi="Arial Black"/>
                              <w:color w:val="000000"/>
                              <w:sz w:val="20"/>
                            </w:rPr>
                          </w:pPr>
                          <w:r w:rsidRPr="003549E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DBA7D7D" id="Text Box 65" o:spid="_x0000_s1041"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828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4C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dIE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zAfgIXAgAALAQAAA4AAAAAAAAAAAAAAAAALgIAAGRycy9lMm9Eb2MueG1sUEsBAi0AFAAG&#10;AAgAAAAhAEgNXprfAAAACwEAAA8AAAAAAAAAAAAAAAAAcQQAAGRycy9kb3ducmV2LnhtbFBLBQYA&#10;AAAABAAEAPMAAAB9BQAAAAA=&#10;" o:allowincell="f" filled="f" stroked="f" strokeweight=".5pt">
              <v:textbox inset=",0,,0">
                <w:txbxContent>
                  <w:p w14:paraId="6F7414BD" w14:textId="1397F351" w:rsidR="003549E9" w:rsidRPr="003549E9" w:rsidRDefault="003549E9" w:rsidP="003549E9">
                    <w:pPr>
                      <w:spacing w:after="0"/>
                      <w:jc w:val="center"/>
                      <w:rPr>
                        <w:rFonts w:ascii="Arial Black" w:hAnsi="Arial Black"/>
                        <w:color w:val="000000"/>
                        <w:sz w:val="20"/>
                      </w:rPr>
                    </w:pPr>
                    <w:r w:rsidRPr="003549E9">
                      <w:rPr>
                        <w:rFonts w:ascii="Arial Black" w:hAnsi="Arial Black"/>
                        <w:color w:val="000000"/>
                        <w:sz w:val="20"/>
                      </w:rPr>
                      <w:t>OFFICIAL</w:t>
                    </w:r>
                  </w:p>
                </w:txbxContent>
              </v:textbox>
              <w10:wrap anchorx="page" anchory="page"/>
            </v:shape>
          </w:pict>
        </mc:Fallback>
      </mc:AlternateContent>
    </w:r>
    <w:r w:rsidR="00AF69B8">
      <w:rPr>
        <w:noProof/>
        <w:lang w:eastAsia="en-AU"/>
      </w:rPr>
      <mc:AlternateContent>
        <mc:Choice Requires="wps">
          <w:drawing>
            <wp:anchor distT="0" distB="0" distL="114300" distR="114300" simplePos="0" relativeHeight="251662336" behindDoc="0" locked="0" layoutInCell="0" allowOverlap="1" wp14:anchorId="548585E9" wp14:editId="6848B552">
              <wp:simplePos x="0" y="0"/>
              <wp:positionH relativeFrom="page">
                <wp:posOffset>0</wp:posOffset>
              </wp:positionH>
              <wp:positionV relativeFrom="page">
                <wp:posOffset>10189210</wp:posOffset>
              </wp:positionV>
              <wp:extent cx="7560310" cy="311785"/>
              <wp:effectExtent l="0" t="0" r="0" b="12065"/>
              <wp:wrapNone/>
              <wp:docPr id="66" name="Text Box 6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EDC8AC" w14:textId="1D8CFB45" w:rsidR="00AF69B8" w:rsidRPr="00AF69B8" w:rsidRDefault="00AF69B8" w:rsidP="00AF69B8">
                          <w:pPr>
                            <w:spacing w:after="0"/>
                            <w:jc w:val="center"/>
                            <w:rPr>
                              <w:rFonts w:ascii="Arial Black" w:hAnsi="Arial Black"/>
                              <w:color w:val="000000"/>
                              <w:sz w:val="20"/>
                            </w:rPr>
                          </w:pPr>
                          <w:r w:rsidRPr="00AF69B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48585E9" id="Text Box 66" o:spid="_x0000_s1042"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1A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z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9Vo1AGAIAACwEAAAOAAAAAAAAAAAAAAAAAC4CAABkcnMvZTJvRG9jLnhtbFBLAQItABQA&#10;BgAIAAAAIQBIDV6a3wAAAAsBAAAPAAAAAAAAAAAAAAAAAHIEAABkcnMvZG93bnJldi54bWxQSwUG&#10;AAAAAAQABADzAAAAfgUAAAAA&#10;" o:allowincell="f" filled="f" stroked="f" strokeweight=".5pt">
              <v:textbox inset=",0,,0">
                <w:txbxContent>
                  <w:p w14:paraId="64EDC8AC" w14:textId="1D8CFB45" w:rsidR="00AF69B8" w:rsidRPr="00AF69B8" w:rsidRDefault="00AF69B8" w:rsidP="00AF69B8">
                    <w:pPr>
                      <w:spacing w:after="0"/>
                      <w:jc w:val="center"/>
                      <w:rPr>
                        <w:rFonts w:ascii="Arial Black" w:hAnsi="Arial Black"/>
                        <w:color w:val="000000"/>
                        <w:sz w:val="20"/>
                      </w:rPr>
                    </w:pPr>
                    <w:r w:rsidRPr="00AF69B8">
                      <w:rPr>
                        <w:rFonts w:ascii="Arial Black" w:hAnsi="Arial Black"/>
                        <w:color w:val="000000"/>
                        <w:sz w:val="20"/>
                      </w:rPr>
                      <w:t>OFFICIAL</w:t>
                    </w:r>
                  </w:p>
                </w:txbxContent>
              </v:textbox>
              <w10:wrap anchorx="page" anchory="page"/>
            </v:shape>
          </w:pict>
        </mc:Fallback>
      </mc:AlternateContent>
    </w:r>
    <w:r w:rsidR="00B96B77">
      <w:rPr>
        <w:noProof/>
        <w:lang w:eastAsia="en-AU"/>
      </w:rPr>
      <mc:AlternateContent>
        <mc:Choice Requires="wps">
          <w:drawing>
            <wp:anchor distT="0" distB="0" distL="114300" distR="114300" simplePos="0" relativeHeight="251641856" behindDoc="0" locked="0" layoutInCell="0" allowOverlap="1" wp14:anchorId="0ACE7B19" wp14:editId="07D67608">
              <wp:simplePos x="0" y="0"/>
              <wp:positionH relativeFrom="page">
                <wp:posOffset>0</wp:posOffset>
              </wp:positionH>
              <wp:positionV relativeFrom="page">
                <wp:posOffset>10189210</wp:posOffset>
              </wp:positionV>
              <wp:extent cx="7560310" cy="311785"/>
              <wp:effectExtent l="0" t="0" r="0" b="12065"/>
              <wp:wrapNone/>
              <wp:docPr id="67" name="Text Box 6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1D1E05" w14:textId="6D15F4A5" w:rsidR="00B96B77" w:rsidRPr="00B96B77" w:rsidRDefault="00B96B77" w:rsidP="00B96B77">
                          <w:pPr>
                            <w:spacing w:after="0"/>
                            <w:jc w:val="center"/>
                            <w:rPr>
                              <w:rFonts w:ascii="Arial Black" w:hAnsi="Arial Black"/>
                              <w:color w:val="000000"/>
                              <w:sz w:val="20"/>
                            </w:rPr>
                          </w:pPr>
                          <w:r w:rsidRPr="00B96B7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ACE7B19" id="Text Box 67" o:spid="_x0000_s1043"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418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N2QzIGAIAACwEAAAOAAAAAAAAAAAAAAAAAC4CAABkcnMvZTJvRG9jLnhtbFBLAQItABQA&#10;BgAIAAAAIQBIDV6a3wAAAAsBAAAPAAAAAAAAAAAAAAAAAHIEAABkcnMvZG93bnJldi54bWxQSwUG&#10;AAAAAAQABADzAAAAfgUAAAAA&#10;" o:allowincell="f" filled="f" stroked="f" strokeweight=".5pt">
              <v:textbox inset=",0,,0">
                <w:txbxContent>
                  <w:p w14:paraId="531D1E05" w14:textId="6D15F4A5" w:rsidR="00B96B77" w:rsidRPr="00B96B77" w:rsidRDefault="00B96B77" w:rsidP="00B96B77">
                    <w:pPr>
                      <w:spacing w:after="0"/>
                      <w:jc w:val="center"/>
                      <w:rPr>
                        <w:rFonts w:ascii="Arial Black" w:hAnsi="Arial Black"/>
                        <w:color w:val="000000"/>
                        <w:sz w:val="20"/>
                      </w:rPr>
                    </w:pPr>
                    <w:r w:rsidRPr="00B96B77">
                      <w:rPr>
                        <w:rFonts w:ascii="Arial Black" w:hAnsi="Arial Black"/>
                        <w:color w:val="000000"/>
                        <w:sz w:val="20"/>
                      </w:rPr>
                      <w:t>OFFICIAL</w:t>
                    </w:r>
                  </w:p>
                </w:txbxContent>
              </v:textbox>
              <w10:wrap anchorx="page" anchory="page"/>
            </v:shape>
          </w:pict>
        </mc:Fallback>
      </mc:AlternateContent>
    </w:r>
    <w:r w:rsidR="009B3B17">
      <w:rPr>
        <w:noProof/>
        <w:lang w:eastAsia="en-AU"/>
      </w:rPr>
      <mc:AlternateContent>
        <mc:Choice Requires="wps">
          <w:drawing>
            <wp:anchor distT="0" distB="0" distL="114300" distR="114300" simplePos="0" relativeHeight="251621376" behindDoc="0" locked="0" layoutInCell="0" allowOverlap="1" wp14:anchorId="25415008" wp14:editId="3913DFF0">
              <wp:simplePos x="0" y="0"/>
              <wp:positionH relativeFrom="page">
                <wp:posOffset>0</wp:posOffset>
              </wp:positionH>
              <wp:positionV relativeFrom="page">
                <wp:posOffset>10189210</wp:posOffset>
              </wp:positionV>
              <wp:extent cx="7560310" cy="311785"/>
              <wp:effectExtent l="0" t="0" r="0" b="12065"/>
              <wp:wrapNone/>
              <wp:docPr id="43" name="Text Box 4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49735D" w14:textId="30AD564D" w:rsidR="009B3B17" w:rsidRPr="009B3B17" w:rsidRDefault="009B3B17" w:rsidP="009B3B17">
                          <w:pPr>
                            <w:spacing w:after="0"/>
                            <w:jc w:val="center"/>
                            <w:rPr>
                              <w:rFonts w:ascii="Arial Black" w:hAnsi="Arial Black"/>
                              <w:color w:val="000000"/>
                              <w:sz w:val="20"/>
                            </w:rPr>
                          </w:pPr>
                          <w:r w:rsidRPr="009B3B1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5415008" id="Text Box 43" o:spid="_x0000_s1044"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213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BaGAIAACw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ZEEBaGAIAACwEAAAOAAAAAAAAAAAAAAAAAC4CAABkcnMvZTJvRG9jLnhtbFBLAQItABQA&#10;BgAIAAAAIQBIDV6a3wAAAAsBAAAPAAAAAAAAAAAAAAAAAHIEAABkcnMvZG93bnJldi54bWxQSwUG&#10;AAAAAAQABADzAAAAfgUAAAAA&#10;" o:allowincell="f" filled="f" stroked="f" strokeweight=".5pt">
              <v:textbox inset=",0,,0">
                <w:txbxContent>
                  <w:p w14:paraId="1349735D" w14:textId="30AD564D" w:rsidR="009B3B17" w:rsidRPr="009B3B17" w:rsidRDefault="009B3B17" w:rsidP="009B3B17">
                    <w:pPr>
                      <w:spacing w:after="0"/>
                      <w:jc w:val="center"/>
                      <w:rPr>
                        <w:rFonts w:ascii="Arial Black" w:hAnsi="Arial Black"/>
                        <w:color w:val="000000"/>
                        <w:sz w:val="20"/>
                      </w:rPr>
                    </w:pPr>
                    <w:r w:rsidRPr="009B3B17">
                      <w:rPr>
                        <w:rFonts w:ascii="Arial Black" w:hAnsi="Arial Black"/>
                        <w:color w:val="000000"/>
                        <w:sz w:val="20"/>
                      </w:rPr>
                      <w:t>OFFICIAL</w:t>
                    </w:r>
                  </w:p>
                </w:txbxContent>
              </v:textbox>
              <w10:wrap anchorx="page" anchory="page"/>
            </v:shape>
          </w:pict>
        </mc:Fallback>
      </mc:AlternateContent>
    </w:r>
    <w:r w:rsidR="00D54F58">
      <w:rPr>
        <w:noProof/>
        <w:lang w:eastAsia="en-AU"/>
      </w:rPr>
      <mc:AlternateContent>
        <mc:Choice Requires="wps">
          <w:drawing>
            <wp:anchor distT="0" distB="0" distL="114300" distR="114300" simplePos="0" relativeHeight="251600896" behindDoc="0" locked="0" layoutInCell="0" allowOverlap="1" wp14:anchorId="2D9881EA" wp14:editId="7C04DD06">
              <wp:simplePos x="0" y="0"/>
              <wp:positionH relativeFrom="page">
                <wp:posOffset>0</wp:posOffset>
              </wp:positionH>
              <wp:positionV relativeFrom="page">
                <wp:posOffset>10189210</wp:posOffset>
              </wp:positionV>
              <wp:extent cx="7560310" cy="311785"/>
              <wp:effectExtent l="0" t="0" r="0" b="12065"/>
              <wp:wrapNone/>
              <wp:docPr id="40" name="Text Box 4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5DD404" w14:textId="686A944A" w:rsidR="00D54F58" w:rsidRPr="00D54F58" w:rsidRDefault="00D54F58" w:rsidP="00D54F58">
                          <w:pPr>
                            <w:spacing w:after="0"/>
                            <w:jc w:val="center"/>
                            <w:rPr>
                              <w:rFonts w:ascii="Arial Black" w:hAnsi="Arial Black"/>
                              <w:color w:val="000000"/>
                              <w:sz w:val="20"/>
                            </w:rPr>
                          </w:pPr>
                          <w:r w:rsidRPr="00D54F5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D9881EA" id="Text Box 40" o:spid="_x0000_s1045"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00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8HSGQ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534yIlVEfcz8JAvTN83eAQ&#10;G+b8C7PINc6N+vXPeEgF2AxOFiU12F9/84d8pACjlHSonYK6n3tmBSXqu0Zy7rLr6yC2eEHDvveW&#10;o1fv2wdAWWb4QgyPZsj1ajSlhfYN5b0K3TDENMeeBS1H88EPSsbnwcVqFZNQVob5jd4aHkoHOAO0&#10;r/0bs+aEv0fmnmBUF8s/0DDkDkSs9h5kEzkKAA9onnBHSUaWT88naP79PWZdHvnyN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KZ/B0hkCAAAsBAAADgAAAAAAAAAAAAAAAAAuAgAAZHJzL2Uyb0RvYy54bWxQSwECLQAU&#10;AAYACAAAACEASA1emt8AAAALAQAADwAAAAAAAAAAAAAAAABzBAAAZHJzL2Rvd25yZXYueG1sUEsF&#10;BgAAAAAEAAQA8wAAAH8FAAAAAA==&#10;" o:allowincell="f" filled="f" stroked="f" strokeweight=".5pt">
              <v:textbox inset=",0,,0">
                <w:txbxContent>
                  <w:p w14:paraId="385DD404" w14:textId="686A944A" w:rsidR="00D54F58" w:rsidRPr="00D54F58" w:rsidRDefault="00D54F58" w:rsidP="00D54F58">
                    <w:pPr>
                      <w:spacing w:after="0"/>
                      <w:jc w:val="center"/>
                      <w:rPr>
                        <w:rFonts w:ascii="Arial Black" w:hAnsi="Arial Black"/>
                        <w:color w:val="000000"/>
                        <w:sz w:val="20"/>
                      </w:rPr>
                    </w:pPr>
                    <w:r w:rsidRPr="00D54F58">
                      <w:rPr>
                        <w:rFonts w:ascii="Arial Black" w:hAnsi="Arial Black"/>
                        <w:color w:val="000000"/>
                        <w:sz w:val="20"/>
                      </w:rPr>
                      <w:t>OFFICIAL</w:t>
                    </w:r>
                  </w:p>
                </w:txbxContent>
              </v:textbox>
              <w10:wrap anchorx="page" anchory="page"/>
            </v:shape>
          </w:pict>
        </mc:Fallback>
      </mc:AlternateContent>
    </w:r>
    <w:r w:rsidR="00A84CEA">
      <w:rPr>
        <w:noProof/>
        <w:lang w:eastAsia="en-AU"/>
      </w:rPr>
      <mc:AlternateContent>
        <mc:Choice Requires="wps">
          <w:drawing>
            <wp:anchor distT="0" distB="0" distL="114300" distR="114300" simplePos="0" relativeHeight="251580416" behindDoc="0" locked="0" layoutInCell="0" allowOverlap="1" wp14:anchorId="14D830F8" wp14:editId="39FA1E2B">
              <wp:simplePos x="0" y="0"/>
              <wp:positionH relativeFrom="page">
                <wp:posOffset>0</wp:posOffset>
              </wp:positionH>
              <wp:positionV relativeFrom="page">
                <wp:posOffset>10189210</wp:posOffset>
              </wp:positionV>
              <wp:extent cx="7560310" cy="311785"/>
              <wp:effectExtent l="0" t="0" r="0" b="12065"/>
              <wp:wrapNone/>
              <wp:docPr id="38" name="Text Box 3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4F4331" w14:textId="6EA35D01" w:rsidR="00A84CEA" w:rsidRPr="00A84CEA" w:rsidRDefault="00A84CEA" w:rsidP="00A84CEA">
                          <w:pPr>
                            <w:spacing w:after="0"/>
                            <w:jc w:val="center"/>
                            <w:rPr>
                              <w:rFonts w:ascii="Arial Black" w:hAnsi="Arial Black"/>
                              <w:color w:val="000000"/>
                              <w:sz w:val="20"/>
                            </w:rPr>
                          </w:pPr>
                          <w:r w:rsidRPr="00A84CE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4D830F8" id="Text Box 38" o:spid="_x0000_s104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5804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r6ETZGAIAACwEAAAOAAAAAAAAAAAAAAAAAC4CAABkcnMvZTJvRG9jLnhtbFBLAQItABQA&#10;BgAIAAAAIQBIDV6a3wAAAAsBAAAPAAAAAAAAAAAAAAAAAHIEAABkcnMvZG93bnJldi54bWxQSwUG&#10;AAAAAAQABADzAAAAfgUAAAAA&#10;" o:allowincell="f" filled="f" stroked="f" strokeweight=".5pt">
              <v:textbox inset=",0,,0">
                <w:txbxContent>
                  <w:p w14:paraId="104F4331" w14:textId="6EA35D01" w:rsidR="00A84CEA" w:rsidRPr="00A84CEA" w:rsidRDefault="00A84CEA" w:rsidP="00A84CEA">
                    <w:pPr>
                      <w:spacing w:after="0"/>
                      <w:jc w:val="center"/>
                      <w:rPr>
                        <w:rFonts w:ascii="Arial Black" w:hAnsi="Arial Black"/>
                        <w:color w:val="000000"/>
                        <w:sz w:val="20"/>
                      </w:rPr>
                    </w:pPr>
                    <w:r w:rsidRPr="00A84CEA">
                      <w:rPr>
                        <w:rFonts w:ascii="Arial Black" w:hAnsi="Arial Black"/>
                        <w:color w:val="000000"/>
                        <w:sz w:val="20"/>
                      </w:rPr>
                      <w:t>OFFICIAL</w:t>
                    </w:r>
                  </w:p>
                </w:txbxContent>
              </v:textbox>
              <w10:wrap anchorx="page" anchory="page"/>
            </v:shape>
          </w:pict>
        </mc:Fallback>
      </mc:AlternateContent>
    </w:r>
    <w:r w:rsidR="0016594B">
      <w:rPr>
        <w:noProof/>
        <w:lang w:eastAsia="en-AU"/>
      </w:rPr>
      <mc:AlternateContent>
        <mc:Choice Requires="wps">
          <w:drawing>
            <wp:anchor distT="0" distB="0" distL="114300" distR="114300" simplePos="0" relativeHeight="251559936" behindDoc="0" locked="0" layoutInCell="0" allowOverlap="1" wp14:anchorId="4E0CD85F" wp14:editId="11E0BD7F">
              <wp:simplePos x="0" y="0"/>
              <wp:positionH relativeFrom="page">
                <wp:posOffset>0</wp:posOffset>
              </wp:positionH>
              <wp:positionV relativeFrom="page">
                <wp:posOffset>10189210</wp:posOffset>
              </wp:positionV>
              <wp:extent cx="7560310" cy="311785"/>
              <wp:effectExtent l="0" t="0" r="0" b="12065"/>
              <wp:wrapNone/>
              <wp:docPr id="35" name="Text Box 3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28904B" w14:textId="61639D08" w:rsidR="0016594B" w:rsidRPr="0016594B" w:rsidRDefault="0016594B" w:rsidP="0016594B">
                          <w:pPr>
                            <w:spacing w:after="0"/>
                            <w:jc w:val="center"/>
                            <w:rPr>
                              <w:rFonts w:ascii="Arial Black" w:hAnsi="Arial Black"/>
                              <w:color w:val="000000"/>
                              <w:sz w:val="20"/>
                            </w:rPr>
                          </w:pPr>
                          <w:r w:rsidRPr="0016594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E0CD85F" id="Text Box 35" o:spid="_x0000_s104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5599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bZ8VRGAIAACwEAAAOAAAAAAAAAAAAAAAAAC4CAABkcnMvZTJvRG9jLnhtbFBLAQItABQA&#10;BgAIAAAAIQBIDV6a3wAAAAsBAAAPAAAAAAAAAAAAAAAAAHIEAABkcnMvZG93bnJldi54bWxQSwUG&#10;AAAAAAQABADzAAAAfgUAAAAA&#10;" o:allowincell="f" filled="f" stroked="f" strokeweight=".5pt">
              <v:textbox inset=",0,,0">
                <w:txbxContent>
                  <w:p w14:paraId="7428904B" w14:textId="61639D08" w:rsidR="0016594B" w:rsidRPr="0016594B" w:rsidRDefault="0016594B" w:rsidP="0016594B">
                    <w:pPr>
                      <w:spacing w:after="0"/>
                      <w:jc w:val="center"/>
                      <w:rPr>
                        <w:rFonts w:ascii="Arial Black" w:hAnsi="Arial Black"/>
                        <w:color w:val="000000"/>
                        <w:sz w:val="20"/>
                      </w:rPr>
                    </w:pPr>
                    <w:r w:rsidRPr="0016594B">
                      <w:rPr>
                        <w:rFonts w:ascii="Arial Black" w:hAnsi="Arial Black"/>
                        <w:color w:val="000000"/>
                        <w:sz w:val="20"/>
                      </w:rPr>
                      <w:t>OFFICIAL</w:t>
                    </w:r>
                  </w:p>
                </w:txbxContent>
              </v:textbox>
              <w10:wrap anchorx="page" anchory="page"/>
            </v:shape>
          </w:pict>
        </mc:Fallback>
      </mc:AlternateContent>
    </w:r>
    <w:r w:rsidR="00C40411">
      <w:rPr>
        <w:noProof/>
        <w:lang w:eastAsia="en-AU"/>
      </w:rPr>
      <mc:AlternateContent>
        <mc:Choice Requires="wps">
          <w:drawing>
            <wp:anchor distT="0" distB="0" distL="114300" distR="114300" simplePos="0" relativeHeight="251539456" behindDoc="0" locked="0" layoutInCell="0" allowOverlap="1" wp14:anchorId="11019A95" wp14:editId="60762102">
              <wp:simplePos x="0" y="0"/>
              <wp:positionH relativeFrom="page">
                <wp:posOffset>0</wp:posOffset>
              </wp:positionH>
              <wp:positionV relativeFrom="page">
                <wp:posOffset>10189210</wp:posOffset>
              </wp:positionV>
              <wp:extent cx="7560310" cy="311785"/>
              <wp:effectExtent l="0" t="0" r="0" b="12065"/>
              <wp:wrapNone/>
              <wp:docPr id="32" name="Text Box 3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678116" w14:textId="1D385AEB" w:rsidR="00C40411" w:rsidRPr="00C40411" w:rsidRDefault="00C40411" w:rsidP="00C40411">
                          <w:pPr>
                            <w:spacing w:after="0"/>
                            <w:jc w:val="center"/>
                            <w:rPr>
                              <w:rFonts w:ascii="Arial Black" w:hAnsi="Arial Black"/>
                              <w:color w:val="000000"/>
                              <w:sz w:val="20"/>
                            </w:rPr>
                          </w:pPr>
                          <w:r w:rsidRPr="00C4041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1019A95" id="Text Box 32" o:spid="_x0000_s104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539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TYTGQ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7HwyJbKI+4n4Weemf4qsYh&#10;1sz5Z2aRa5wb9euf8JAKsBmcLEoqsH/+5w/5SAFGKWlROwV1v/fMCkrUT43k3GZXV0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ivE2ExkCAAAsBAAADgAAAAAAAAAAAAAAAAAuAgAAZHJzL2Uyb0RvYy54bWxQSwECLQAU&#10;AAYACAAAACEASA1emt8AAAALAQAADwAAAAAAAAAAAAAAAABzBAAAZHJzL2Rvd25yZXYueG1sUEsF&#10;BgAAAAAEAAQA8wAAAH8FAAAAAA==&#10;" o:allowincell="f" filled="f" stroked="f" strokeweight=".5pt">
              <v:textbox inset=",0,,0">
                <w:txbxContent>
                  <w:p w14:paraId="2C678116" w14:textId="1D385AEB" w:rsidR="00C40411" w:rsidRPr="00C40411" w:rsidRDefault="00C40411" w:rsidP="00C40411">
                    <w:pPr>
                      <w:spacing w:after="0"/>
                      <w:jc w:val="center"/>
                      <w:rPr>
                        <w:rFonts w:ascii="Arial Black" w:hAnsi="Arial Black"/>
                        <w:color w:val="000000"/>
                        <w:sz w:val="20"/>
                      </w:rPr>
                    </w:pPr>
                    <w:r w:rsidRPr="00C40411">
                      <w:rPr>
                        <w:rFonts w:ascii="Arial Black" w:hAnsi="Arial Black"/>
                        <w:color w:val="000000"/>
                        <w:sz w:val="20"/>
                      </w:rPr>
                      <w:t>OFFICIAL</w:t>
                    </w:r>
                  </w:p>
                </w:txbxContent>
              </v:textbox>
              <w10:wrap anchorx="page" anchory="page"/>
            </v:shape>
          </w:pict>
        </mc:Fallback>
      </mc:AlternateContent>
    </w:r>
    <w:r w:rsidR="00BD3998">
      <w:rPr>
        <w:noProof/>
        <w:lang w:eastAsia="en-AU"/>
      </w:rPr>
      <mc:AlternateContent>
        <mc:Choice Requires="wps">
          <w:drawing>
            <wp:anchor distT="0" distB="0" distL="114300" distR="114300" simplePos="0" relativeHeight="251518976" behindDoc="0" locked="0" layoutInCell="0" allowOverlap="1" wp14:anchorId="6311C5F2" wp14:editId="550451A4">
              <wp:simplePos x="0" y="0"/>
              <wp:positionH relativeFrom="page">
                <wp:posOffset>0</wp:posOffset>
              </wp:positionH>
              <wp:positionV relativeFrom="page">
                <wp:posOffset>10189210</wp:posOffset>
              </wp:positionV>
              <wp:extent cx="7560310" cy="311785"/>
              <wp:effectExtent l="0" t="0" r="0" b="12065"/>
              <wp:wrapNone/>
              <wp:docPr id="29" name="Text Box 2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1B6CB1" w14:textId="7121F2CF" w:rsidR="00BD3998" w:rsidRPr="00BD3998" w:rsidRDefault="00BD3998" w:rsidP="00BD3998">
                          <w:pPr>
                            <w:spacing w:after="0"/>
                            <w:jc w:val="center"/>
                            <w:rPr>
                              <w:rFonts w:ascii="Arial Black" w:hAnsi="Arial Black"/>
                              <w:color w:val="000000"/>
                              <w:sz w:val="20"/>
                            </w:rPr>
                          </w:pPr>
                          <w:r w:rsidRPr="00BD399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311C5F2" id="Text Box 29" o:spid="_x0000_s104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5189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ebGQ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4nwyJbKI+4n4Weemf4qsYh&#10;1sz5Z2aRa5wb9euf8JAKsBmcLEoqsH/+5w/5SAFGKWlROwV1v/fMCkrUT43k3GZXV0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en63mxkCAAAsBAAADgAAAAAAAAAAAAAAAAAuAgAAZHJzL2Uyb0RvYy54bWxQSwECLQAU&#10;AAYACAAAACEASA1emt8AAAALAQAADwAAAAAAAAAAAAAAAABzBAAAZHJzL2Rvd25yZXYueG1sUEsF&#10;BgAAAAAEAAQA8wAAAH8FAAAAAA==&#10;" o:allowincell="f" filled="f" stroked="f" strokeweight=".5pt">
              <v:textbox inset=",0,,0">
                <w:txbxContent>
                  <w:p w14:paraId="491B6CB1" w14:textId="7121F2CF" w:rsidR="00BD3998" w:rsidRPr="00BD3998" w:rsidRDefault="00BD3998" w:rsidP="00BD3998">
                    <w:pPr>
                      <w:spacing w:after="0"/>
                      <w:jc w:val="center"/>
                      <w:rPr>
                        <w:rFonts w:ascii="Arial Black" w:hAnsi="Arial Black"/>
                        <w:color w:val="000000"/>
                        <w:sz w:val="20"/>
                      </w:rPr>
                    </w:pPr>
                    <w:r w:rsidRPr="00BD3998">
                      <w:rPr>
                        <w:rFonts w:ascii="Arial Black" w:hAnsi="Arial Black"/>
                        <w:color w:val="000000"/>
                        <w:sz w:val="20"/>
                      </w:rPr>
                      <w:t>OFFICIAL</w:t>
                    </w:r>
                  </w:p>
                </w:txbxContent>
              </v:textbox>
              <w10:wrap anchorx="page" anchory="page"/>
            </v:shape>
          </w:pict>
        </mc:Fallback>
      </mc:AlternateContent>
    </w:r>
    <w:r w:rsidR="00FB2E82">
      <w:rPr>
        <w:noProof/>
        <w:lang w:eastAsia="en-AU"/>
      </w:rPr>
      <mc:AlternateContent>
        <mc:Choice Requires="wps">
          <w:drawing>
            <wp:anchor distT="0" distB="0" distL="114300" distR="114300" simplePos="0" relativeHeight="251498496" behindDoc="0" locked="0" layoutInCell="0" allowOverlap="1" wp14:anchorId="5568A7AF" wp14:editId="5E451426">
              <wp:simplePos x="0" y="0"/>
              <wp:positionH relativeFrom="page">
                <wp:posOffset>0</wp:posOffset>
              </wp:positionH>
              <wp:positionV relativeFrom="page">
                <wp:posOffset>10189210</wp:posOffset>
              </wp:positionV>
              <wp:extent cx="7560310" cy="311785"/>
              <wp:effectExtent l="0" t="0" r="0" b="12065"/>
              <wp:wrapNone/>
              <wp:docPr id="26" name="Text Box 2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328A42" w14:textId="447F2138" w:rsidR="00FB2E82" w:rsidRPr="00FB2E82" w:rsidRDefault="00FB2E82" w:rsidP="00FB2E82">
                          <w:pPr>
                            <w:spacing w:after="0"/>
                            <w:jc w:val="center"/>
                            <w:rPr>
                              <w:rFonts w:ascii="Arial Black" w:hAnsi="Arial Black"/>
                              <w:color w:val="000000"/>
                              <w:sz w:val="20"/>
                            </w:rPr>
                          </w:pPr>
                          <w:r w:rsidRPr="00FB2E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568A7AF" id="Text Box 26" o:spid="_x0000_s1050"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4984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KN3RlhkCAAAsBAAADgAAAAAAAAAAAAAAAAAuAgAAZHJzL2Uyb0RvYy54bWxQSwECLQAU&#10;AAYACAAAACEASA1emt8AAAALAQAADwAAAAAAAAAAAAAAAABzBAAAZHJzL2Rvd25yZXYueG1sUEsF&#10;BgAAAAAEAAQA8wAAAH8FAAAAAA==&#10;" o:allowincell="f" filled="f" stroked="f" strokeweight=".5pt">
              <v:textbox inset=",0,,0">
                <w:txbxContent>
                  <w:p w14:paraId="66328A42" w14:textId="447F2138" w:rsidR="00FB2E82" w:rsidRPr="00FB2E82" w:rsidRDefault="00FB2E82" w:rsidP="00FB2E82">
                    <w:pPr>
                      <w:spacing w:after="0"/>
                      <w:jc w:val="center"/>
                      <w:rPr>
                        <w:rFonts w:ascii="Arial Black" w:hAnsi="Arial Black"/>
                        <w:color w:val="000000"/>
                        <w:sz w:val="20"/>
                      </w:rPr>
                    </w:pPr>
                    <w:r w:rsidRPr="00FB2E82">
                      <w:rPr>
                        <w:rFonts w:ascii="Arial Black" w:hAnsi="Arial Black"/>
                        <w:color w:val="000000"/>
                        <w:sz w:val="20"/>
                      </w:rPr>
                      <w:t>OFFICIAL</w:t>
                    </w:r>
                  </w:p>
                </w:txbxContent>
              </v:textbox>
              <w10:wrap anchorx="page" anchory="page"/>
            </v:shape>
          </w:pict>
        </mc:Fallback>
      </mc:AlternateContent>
    </w:r>
    <w:r w:rsidR="00183630">
      <w:rPr>
        <w:noProof/>
        <w:lang w:eastAsia="en-AU"/>
      </w:rPr>
      <mc:AlternateContent>
        <mc:Choice Requires="wps">
          <w:drawing>
            <wp:anchor distT="0" distB="0" distL="114300" distR="114300" simplePos="0" relativeHeight="251478016" behindDoc="0" locked="0" layoutInCell="0" allowOverlap="1" wp14:anchorId="48708BF8" wp14:editId="44BD9FF6">
              <wp:simplePos x="0" y="0"/>
              <wp:positionH relativeFrom="page">
                <wp:posOffset>0</wp:posOffset>
              </wp:positionH>
              <wp:positionV relativeFrom="page">
                <wp:posOffset>10189210</wp:posOffset>
              </wp:positionV>
              <wp:extent cx="7560310" cy="311785"/>
              <wp:effectExtent l="0" t="0" r="0" b="12065"/>
              <wp:wrapNone/>
              <wp:docPr id="14" name="Text Box 1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2319E" w14:textId="4B24719D" w:rsidR="00183630" w:rsidRPr="00183630" w:rsidRDefault="00183630" w:rsidP="00183630">
                          <w:pPr>
                            <w:spacing w:after="0"/>
                            <w:jc w:val="center"/>
                            <w:rPr>
                              <w:rFonts w:ascii="Arial Black" w:hAnsi="Arial Black"/>
                              <w:color w:val="000000"/>
                              <w:sz w:val="20"/>
                            </w:rPr>
                          </w:pPr>
                          <w:r w:rsidRPr="0018363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8708BF8" id="Text Box 14" o:spid="_x0000_s1051"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478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YUlAeGAIAACwEAAAOAAAAAAAAAAAAAAAAAC4CAABkcnMvZTJvRG9jLnhtbFBLAQItABQA&#10;BgAIAAAAIQBIDV6a3wAAAAsBAAAPAAAAAAAAAAAAAAAAAHIEAABkcnMvZG93bnJldi54bWxQSwUG&#10;AAAAAAQABADzAAAAfgUAAAAA&#10;" o:allowincell="f" filled="f" stroked="f" strokeweight=".5pt">
              <v:textbox inset=",0,,0">
                <w:txbxContent>
                  <w:p w14:paraId="3EC2319E" w14:textId="4B24719D" w:rsidR="00183630" w:rsidRPr="00183630" w:rsidRDefault="00183630" w:rsidP="00183630">
                    <w:pPr>
                      <w:spacing w:after="0"/>
                      <w:jc w:val="center"/>
                      <w:rPr>
                        <w:rFonts w:ascii="Arial Black" w:hAnsi="Arial Black"/>
                        <w:color w:val="000000"/>
                        <w:sz w:val="20"/>
                      </w:rPr>
                    </w:pPr>
                    <w:r w:rsidRPr="00183630">
                      <w:rPr>
                        <w:rFonts w:ascii="Arial Black" w:hAnsi="Arial Black"/>
                        <w:color w:val="000000"/>
                        <w:sz w:val="20"/>
                      </w:rPr>
                      <w:t>OFFICIAL</w:t>
                    </w:r>
                  </w:p>
                </w:txbxContent>
              </v:textbox>
              <w10:wrap anchorx="page" anchory="page"/>
            </v:shape>
          </w:pict>
        </mc:Fallback>
      </mc:AlternateContent>
    </w:r>
    <w:r w:rsidR="0022302B">
      <w:rPr>
        <w:noProof/>
        <w:lang w:eastAsia="en-AU"/>
      </w:rPr>
      <mc:AlternateContent>
        <mc:Choice Requires="wps">
          <w:drawing>
            <wp:anchor distT="0" distB="0" distL="114300" distR="114300" simplePos="0" relativeHeight="251457536" behindDoc="0" locked="0" layoutInCell="0" allowOverlap="1" wp14:anchorId="2A948636" wp14:editId="52850761">
              <wp:simplePos x="0" y="0"/>
              <wp:positionH relativeFrom="page">
                <wp:posOffset>0</wp:posOffset>
              </wp:positionH>
              <wp:positionV relativeFrom="page">
                <wp:posOffset>10189210</wp:posOffset>
              </wp:positionV>
              <wp:extent cx="7560310" cy="311785"/>
              <wp:effectExtent l="0" t="0" r="0" b="12065"/>
              <wp:wrapNone/>
              <wp:docPr id="23" name="Text Box 2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53A8F5" w14:textId="1354BEB7" w:rsidR="0022302B" w:rsidRPr="0022302B" w:rsidRDefault="0022302B" w:rsidP="0022302B">
                          <w:pPr>
                            <w:spacing w:after="0"/>
                            <w:jc w:val="center"/>
                            <w:rPr>
                              <w:rFonts w:ascii="Arial Black" w:hAnsi="Arial Black"/>
                              <w:color w:val="000000"/>
                              <w:sz w:val="20"/>
                            </w:rPr>
                          </w:pPr>
                          <w:r w:rsidRPr="0022302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A948636" id="Text Box 23" o:spid="_x0000_s1052"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4575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NcGQ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5nwyJbKI+4n4Weemf4qsYh&#10;1sz5Z2aRa5wb9euf8JAKsBmcLEoqsH/+5w/5SAFGKWlROwV1v/fMCkrUT43k3GZXV0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icSjXBkCAAAsBAAADgAAAAAAAAAAAAAAAAAuAgAAZHJzL2Uyb0RvYy54bWxQSwECLQAU&#10;AAYACAAAACEASA1emt8AAAALAQAADwAAAAAAAAAAAAAAAABzBAAAZHJzL2Rvd25yZXYueG1sUEsF&#10;BgAAAAAEAAQA8wAAAH8FAAAAAA==&#10;" o:allowincell="f" filled="f" stroked="f" strokeweight=".5pt">
              <v:textbox inset=",0,,0">
                <w:txbxContent>
                  <w:p w14:paraId="7A53A8F5" w14:textId="1354BEB7" w:rsidR="0022302B" w:rsidRPr="0022302B" w:rsidRDefault="0022302B" w:rsidP="0022302B">
                    <w:pPr>
                      <w:spacing w:after="0"/>
                      <w:jc w:val="center"/>
                      <w:rPr>
                        <w:rFonts w:ascii="Arial Black" w:hAnsi="Arial Black"/>
                        <w:color w:val="000000"/>
                        <w:sz w:val="20"/>
                      </w:rPr>
                    </w:pPr>
                    <w:r w:rsidRPr="0022302B">
                      <w:rPr>
                        <w:rFonts w:ascii="Arial Black" w:hAnsi="Arial Black"/>
                        <w:color w:val="000000"/>
                        <w:sz w:val="20"/>
                      </w:rPr>
                      <w:t>OFFICIAL</w:t>
                    </w:r>
                  </w:p>
                </w:txbxContent>
              </v:textbox>
              <w10:wrap anchorx="page" anchory="page"/>
            </v:shape>
          </w:pict>
        </mc:Fallback>
      </mc:AlternateContent>
    </w:r>
    <w:r w:rsidR="00F64F9A">
      <w:rPr>
        <w:noProof/>
        <w:lang w:eastAsia="en-AU"/>
      </w:rPr>
      <mc:AlternateContent>
        <mc:Choice Requires="wps">
          <w:drawing>
            <wp:anchor distT="0" distB="0" distL="114300" distR="114300" simplePos="0" relativeHeight="251437056" behindDoc="0" locked="0" layoutInCell="0" allowOverlap="1" wp14:anchorId="03FCC8B4" wp14:editId="6D3E4132">
              <wp:simplePos x="0" y="0"/>
              <wp:positionH relativeFrom="page">
                <wp:posOffset>0</wp:posOffset>
              </wp:positionH>
              <wp:positionV relativeFrom="page">
                <wp:posOffset>10189210</wp:posOffset>
              </wp:positionV>
              <wp:extent cx="7560310" cy="311785"/>
              <wp:effectExtent l="0" t="0" r="0" b="12065"/>
              <wp:wrapNone/>
              <wp:docPr id="20" name="Text Box 2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A2ACF1" w14:textId="63F71106" w:rsidR="00F64F9A" w:rsidRPr="00F64F9A" w:rsidRDefault="00F64F9A" w:rsidP="00F64F9A">
                          <w:pPr>
                            <w:spacing w:after="0"/>
                            <w:jc w:val="center"/>
                            <w:rPr>
                              <w:rFonts w:ascii="Arial Black" w:hAnsi="Arial Black"/>
                              <w:color w:val="000000"/>
                              <w:sz w:val="20"/>
                            </w:rPr>
                          </w:pPr>
                          <w:r w:rsidRPr="00F64F9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3FCC8B4" id="Text Box 20" o:spid="_x0000_s1053"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4370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eUsi1BkCAAAsBAAADgAAAAAAAAAAAAAAAAAuAgAAZHJzL2Uyb0RvYy54bWxQSwECLQAU&#10;AAYACAAAACEASA1emt8AAAALAQAADwAAAAAAAAAAAAAAAABzBAAAZHJzL2Rvd25yZXYueG1sUEsF&#10;BgAAAAAEAAQA8wAAAH8FAAAAAA==&#10;" o:allowincell="f" filled="f" stroked="f" strokeweight=".5pt">
              <v:textbox inset=",0,,0">
                <w:txbxContent>
                  <w:p w14:paraId="53A2ACF1" w14:textId="63F71106" w:rsidR="00F64F9A" w:rsidRPr="00F64F9A" w:rsidRDefault="00F64F9A" w:rsidP="00F64F9A">
                    <w:pPr>
                      <w:spacing w:after="0"/>
                      <w:jc w:val="center"/>
                      <w:rPr>
                        <w:rFonts w:ascii="Arial Black" w:hAnsi="Arial Black"/>
                        <w:color w:val="000000"/>
                        <w:sz w:val="20"/>
                      </w:rPr>
                    </w:pPr>
                    <w:r w:rsidRPr="00F64F9A">
                      <w:rPr>
                        <w:rFonts w:ascii="Arial Black" w:hAnsi="Arial Black"/>
                        <w:color w:val="000000"/>
                        <w:sz w:val="20"/>
                      </w:rPr>
                      <w:t>OFFICIAL</w:t>
                    </w:r>
                  </w:p>
                </w:txbxContent>
              </v:textbox>
              <w10:wrap anchorx="page" anchory="page"/>
            </v:shape>
          </w:pict>
        </mc:Fallback>
      </mc:AlternateContent>
    </w:r>
    <w:r w:rsidR="00672AFB">
      <w:rPr>
        <w:noProof/>
        <w:lang w:eastAsia="en-AU"/>
      </w:rPr>
      <mc:AlternateContent>
        <mc:Choice Requires="wps">
          <w:drawing>
            <wp:anchor distT="0" distB="0" distL="114300" distR="114300" simplePos="0" relativeHeight="251416576" behindDoc="0" locked="0" layoutInCell="0" allowOverlap="1" wp14:anchorId="64C5DDF4" wp14:editId="2DC2B280">
              <wp:simplePos x="0" y="0"/>
              <wp:positionH relativeFrom="page">
                <wp:posOffset>0</wp:posOffset>
              </wp:positionH>
              <wp:positionV relativeFrom="page">
                <wp:posOffset>10189210</wp:posOffset>
              </wp:positionV>
              <wp:extent cx="7560310" cy="311785"/>
              <wp:effectExtent l="0" t="0" r="0" b="12065"/>
              <wp:wrapNone/>
              <wp:docPr id="19" name="Text Box 1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6D7A7" w14:textId="2644E485" w:rsidR="00672AFB" w:rsidRPr="00672AFB" w:rsidRDefault="00672AFB" w:rsidP="00672AFB">
                          <w:pPr>
                            <w:spacing w:after="0"/>
                            <w:jc w:val="center"/>
                            <w:rPr>
                              <w:rFonts w:ascii="Arial Black" w:hAnsi="Arial Black"/>
                              <w:color w:val="000000"/>
                              <w:sz w:val="20"/>
                            </w:rPr>
                          </w:pPr>
                          <w:r w:rsidRPr="00672AF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4C5DDF4" id="Text Box 19" o:spid="_x0000_s1054"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416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LYJuRhkCAAAsBAAADgAAAAAAAAAAAAAAAAAuAgAAZHJzL2Uyb0RvYy54bWxQSwECLQAU&#10;AAYACAAAACEASA1emt8AAAALAQAADwAAAAAAAAAAAAAAAABzBAAAZHJzL2Rvd25yZXYueG1sUEsF&#10;BgAAAAAEAAQA8wAAAH8FAAAAAA==&#10;" o:allowincell="f" filled="f" stroked="f" strokeweight=".5pt">
              <v:textbox inset=",0,,0">
                <w:txbxContent>
                  <w:p w14:paraId="03A6D7A7" w14:textId="2644E485" w:rsidR="00672AFB" w:rsidRPr="00672AFB" w:rsidRDefault="00672AFB" w:rsidP="00672AFB">
                    <w:pPr>
                      <w:spacing w:after="0"/>
                      <w:jc w:val="center"/>
                      <w:rPr>
                        <w:rFonts w:ascii="Arial Black" w:hAnsi="Arial Black"/>
                        <w:color w:val="000000"/>
                        <w:sz w:val="20"/>
                      </w:rPr>
                    </w:pPr>
                    <w:r w:rsidRPr="00672AFB">
                      <w:rPr>
                        <w:rFonts w:ascii="Arial Black" w:hAnsi="Arial Black"/>
                        <w:color w:val="000000"/>
                        <w:sz w:val="20"/>
                      </w:rPr>
                      <w:t>OFFICIAL</w:t>
                    </w:r>
                  </w:p>
                </w:txbxContent>
              </v:textbox>
              <w10:wrap anchorx="page" anchory="page"/>
            </v:shape>
          </w:pict>
        </mc:Fallback>
      </mc:AlternateContent>
    </w:r>
    <w:r w:rsidR="00033AB3">
      <w:rPr>
        <w:noProof/>
        <w:lang w:eastAsia="en-AU"/>
      </w:rPr>
      <mc:AlternateContent>
        <mc:Choice Requires="wps">
          <w:drawing>
            <wp:anchor distT="0" distB="0" distL="114300" distR="114300" simplePos="0" relativeHeight="251396096" behindDoc="0" locked="0" layoutInCell="0" allowOverlap="1" wp14:anchorId="33F75026" wp14:editId="55FAFCDD">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25726" w14:textId="077B3402" w:rsidR="00033AB3" w:rsidRPr="00033AB3" w:rsidRDefault="00033AB3" w:rsidP="00033AB3">
                          <w:pPr>
                            <w:spacing w:after="0"/>
                            <w:jc w:val="center"/>
                            <w:rPr>
                              <w:rFonts w:ascii="Arial Black" w:hAnsi="Arial Black"/>
                              <w:color w:val="000000"/>
                              <w:sz w:val="20"/>
                            </w:rPr>
                          </w:pPr>
                          <w:r w:rsidRPr="00033AB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3F75026" id="Text Box 10" o:spid="_x0000_s1055"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3960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3Q3vzhkCAAAsBAAADgAAAAAAAAAAAAAAAAAuAgAAZHJzL2Uyb0RvYy54bWxQSwECLQAU&#10;AAYACAAAACEASA1emt8AAAALAQAADwAAAAAAAAAAAAAAAABzBAAAZHJzL2Rvd25yZXYueG1sUEsF&#10;BgAAAAAEAAQA8wAAAH8FAAAAAA==&#10;" o:allowincell="f" filled="f" stroked="f" strokeweight=".5pt">
              <v:textbox inset=",0,,0">
                <w:txbxContent>
                  <w:p w14:paraId="50A25726" w14:textId="077B3402" w:rsidR="00033AB3" w:rsidRPr="00033AB3" w:rsidRDefault="00033AB3" w:rsidP="00033AB3">
                    <w:pPr>
                      <w:spacing w:after="0"/>
                      <w:jc w:val="center"/>
                      <w:rPr>
                        <w:rFonts w:ascii="Arial Black" w:hAnsi="Arial Black"/>
                        <w:color w:val="000000"/>
                        <w:sz w:val="20"/>
                      </w:rPr>
                    </w:pPr>
                    <w:r w:rsidRPr="00033AB3">
                      <w:rPr>
                        <w:rFonts w:ascii="Arial Black" w:hAnsi="Arial Black"/>
                        <w:color w:val="000000"/>
                        <w:sz w:val="20"/>
                      </w:rPr>
                      <w:t>OFFICIAL</w:t>
                    </w:r>
                  </w:p>
                </w:txbxContent>
              </v:textbox>
              <w10:wrap anchorx="page" anchory="page"/>
            </v:shape>
          </w:pict>
        </mc:Fallback>
      </mc:AlternateContent>
    </w:r>
    <w:r w:rsidR="00894FA6">
      <w:rPr>
        <w:noProof/>
        <w:lang w:eastAsia="en-AU"/>
      </w:rPr>
      <mc:AlternateContent>
        <mc:Choice Requires="wps">
          <w:drawing>
            <wp:anchor distT="0" distB="0" distL="114300" distR="114300" simplePos="0" relativeHeight="251375616" behindDoc="0" locked="0" layoutInCell="0" allowOverlap="1" wp14:anchorId="086E135E" wp14:editId="6118AD3F">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0829A7" w14:textId="231C5C99" w:rsidR="00894FA6" w:rsidRPr="00894FA6" w:rsidRDefault="00894FA6" w:rsidP="00894FA6">
                          <w:pPr>
                            <w:spacing w:after="0"/>
                            <w:jc w:val="center"/>
                            <w:rPr>
                              <w:rFonts w:ascii="Arial Black" w:hAnsi="Arial Black"/>
                              <w:color w:val="000000"/>
                              <w:sz w:val="20"/>
                            </w:rPr>
                          </w:pPr>
                          <w:r w:rsidRPr="00894FA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86E135E" id="Text Box 1" o:spid="_x0000_s105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3756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3Fk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K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LibcWQXAgAALAQAAA4AAAAAAAAAAAAAAAAALgIAAGRycy9lMm9Eb2MueG1sUEsBAi0AFAAG&#10;AAgAAAAhAEgNXprfAAAACwEAAA8AAAAAAAAAAAAAAAAAcQQAAGRycy9kb3ducmV2LnhtbFBLBQYA&#10;AAAABAAEAPMAAAB9BQAAAAA=&#10;" o:allowincell="f" filled="f" stroked="f" strokeweight=".5pt">
              <v:textbox inset=",0,,0">
                <w:txbxContent>
                  <w:p w14:paraId="550829A7" w14:textId="231C5C99" w:rsidR="00894FA6" w:rsidRPr="00894FA6" w:rsidRDefault="00894FA6" w:rsidP="00894FA6">
                    <w:pPr>
                      <w:spacing w:after="0"/>
                      <w:jc w:val="center"/>
                      <w:rPr>
                        <w:rFonts w:ascii="Arial Black" w:hAnsi="Arial Black"/>
                        <w:color w:val="000000"/>
                        <w:sz w:val="20"/>
                      </w:rPr>
                    </w:pPr>
                    <w:r w:rsidRPr="00894FA6">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344896" behindDoc="0" locked="0" layoutInCell="0" allowOverlap="1" wp14:anchorId="4A60D85C" wp14:editId="00592F92">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88878D"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A60D85C" id="Text Box 5" o:spid="_x0000_s105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34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Ds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hSnGRUqojrifhYF6Z/i6wSE2&#10;zPkXZpFrnBv165/xkAqwGZwsSmqwv/7mD/lIAUYp6VA7BXU/98wKStR3jeTcZdfXQWzxgoZ97y1H&#10;r963D4CyzPCFGB7NkOvVaEoL7RvKexW6YYhpjj0LWo7mgx+UjM+Di9UqJqGsDPMbvTU8lA5wBmhf&#10;+zdmzQl/j8w9waguln+gYcgdiFjtPcgmchQAHtA84Y6SjCyfnk/Q/Pt7zLo88uVv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BTw7BgCAAAsBAAADgAAAAAAAAAAAAAAAAAuAgAAZHJzL2Uyb0RvYy54bWxQSwECLQAU&#10;AAYACAAAACEAL5BIl+AAAAALAQAADwAAAAAAAAAAAAAAAAByBAAAZHJzL2Rvd25yZXYueG1sUEsF&#10;BgAAAAAEAAQA8wAAAH8FAAAAAA==&#10;" o:allowincell="f" filled="f" stroked="f" strokeweight=".5pt">
              <v:textbox inset=",0,,0">
                <w:txbxContent>
                  <w:p w14:paraId="2088878D"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E802" w14:textId="16688EC5" w:rsidR="00EB4BC7" w:rsidRDefault="00DB04DD">
    <w:pPr>
      <w:pStyle w:val="Footer"/>
    </w:pPr>
    <w:r>
      <w:rPr>
        <w:noProof/>
      </w:rPr>
      <mc:AlternateContent>
        <mc:Choice Requires="wps">
          <w:drawing>
            <wp:anchor distT="0" distB="0" distL="114300" distR="114300" simplePos="0" relativeHeight="251979776" behindDoc="0" locked="0" layoutInCell="0" allowOverlap="1" wp14:anchorId="4439C78D" wp14:editId="38F40145">
              <wp:simplePos x="0" y="0"/>
              <wp:positionH relativeFrom="page">
                <wp:posOffset>0</wp:posOffset>
              </wp:positionH>
              <wp:positionV relativeFrom="page">
                <wp:posOffset>10189210</wp:posOffset>
              </wp:positionV>
              <wp:extent cx="7560310" cy="311785"/>
              <wp:effectExtent l="0" t="0" r="0" b="12065"/>
              <wp:wrapNone/>
              <wp:docPr id="92" name="MSIPCM6fc04715b52a69375f6f36e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508A9D" w14:textId="050A6708" w:rsidR="00DB04DD" w:rsidRPr="00DB04DD" w:rsidRDefault="00DB04DD" w:rsidP="00DB04DD">
                          <w:pPr>
                            <w:spacing w:after="0"/>
                            <w:jc w:val="center"/>
                            <w:rPr>
                              <w:rFonts w:ascii="Arial Black" w:hAnsi="Arial Black"/>
                              <w:color w:val="000000"/>
                              <w:sz w:val="20"/>
                            </w:rPr>
                          </w:pPr>
                          <w:r w:rsidRPr="00DB04D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39C78D" id="_x0000_t202" coordsize="21600,21600" o:spt="202" path="m,l,21600r21600,l21600,xe">
              <v:stroke joinstyle="miter"/>
              <v:path gradientshapeok="t" o:connecttype="rect"/>
            </v:shapetype>
            <v:shape id="MSIPCM6fc04715b52a69375f6f36e0" o:spid="_x0000_s105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97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Ou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nGI8LLKF8oj7Weipd4avahxi&#10;zZx/Zha5xrlRv/4JD6kAm8HJoqQC++d//pCPFGCUkha1U1D3e8+soET91EjObXZ1F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ggOuGAIAACwEAAAOAAAAAAAAAAAAAAAAAC4CAABkcnMvZTJvRG9jLnhtbFBLAQItABQA&#10;BgAIAAAAIQBIDV6a3wAAAAsBAAAPAAAAAAAAAAAAAAAAAHIEAABkcnMvZG93bnJldi54bWxQSwUG&#10;AAAAAAQABADzAAAAfgUAAAAA&#10;" o:allowincell="f" filled="f" stroked="f" strokeweight=".5pt">
              <v:textbox inset=",0,,0">
                <w:txbxContent>
                  <w:p w14:paraId="35508A9D" w14:textId="050A6708" w:rsidR="00DB04DD" w:rsidRPr="00DB04DD" w:rsidRDefault="00DB04DD" w:rsidP="00DB04DD">
                    <w:pPr>
                      <w:spacing w:after="0"/>
                      <w:jc w:val="center"/>
                      <w:rPr>
                        <w:rFonts w:ascii="Arial Black" w:hAnsi="Arial Black"/>
                        <w:color w:val="000000"/>
                        <w:sz w:val="20"/>
                      </w:rPr>
                    </w:pPr>
                    <w:r w:rsidRPr="00DB04DD">
                      <w:rPr>
                        <w:rFonts w:ascii="Arial Black" w:hAnsi="Arial Black"/>
                        <w:color w:val="000000"/>
                        <w:sz w:val="20"/>
                      </w:rPr>
                      <w:t>OFFICIAL</w:t>
                    </w:r>
                  </w:p>
                </w:txbxContent>
              </v:textbox>
              <w10:wrap anchorx="page" anchory="page"/>
            </v:shape>
          </w:pict>
        </mc:Fallback>
      </mc:AlternateContent>
    </w:r>
    <w:r w:rsidR="00B40E8D">
      <w:rPr>
        <w:noProof/>
      </w:rPr>
      <mc:AlternateContent>
        <mc:Choice Requires="wps">
          <w:drawing>
            <wp:anchor distT="0" distB="0" distL="114300" distR="114300" simplePos="0" relativeHeight="251959296" behindDoc="0" locked="0" layoutInCell="0" allowOverlap="1" wp14:anchorId="45D5104B" wp14:editId="2CE92D83">
              <wp:simplePos x="0" y="0"/>
              <wp:positionH relativeFrom="page">
                <wp:posOffset>0</wp:posOffset>
              </wp:positionH>
              <wp:positionV relativeFrom="page">
                <wp:posOffset>10189210</wp:posOffset>
              </wp:positionV>
              <wp:extent cx="7560310" cy="311785"/>
              <wp:effectExtent l="0" t="0" r="0" b="12065"/>
              <wp:wrapNone/>
              <wp:docPr id="89" name="Text Box 8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291A95" w14:textId="358053FB" w:rsidR="00B40E8D" w:rsidRPr="00B40E8D" w:rsidRDefault="00B40E8D" w:rsidP="00B40E8D">
                          <w:pPr>
                            <w:spacing w:after="0"/>
                            <w:jc w:val="center"/>
                            <w:rPr>
                              <w:rFonts w:ascii="Arial Black" w:hAnsi="Arial Black"/>
                              <w:color w:val="000000"/>
                              <w:sz w:val="20"/>
                            </w:rPr>
                          </w:pPr>
                          <w:r w:rsidRPr="00B40E8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5D5104B" id="Text Box 89" o:spid="_x0000_s105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9592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Im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T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pDYImGAIAACwEAAAOAAAAAAAAAAAAAAAAAC4CAABkcnMvZTJvRG9jLnhtbFBLAQItABQA&#10;BgAIAAAAIQBIDV6a3wAAAAsBAAAPAAAAAAAAAAAAAAAAAHIEAABkcnMvZG93bnJldi54bWxQSwUG&#10;AAAAAAQABADzAAAAfgUAAAAA&#10;" o:allowincell="f" filled="f" stroked="f" strokeweight=".5pt">
              <v:textbox inset=",0,,0">
                <w:txbxContent>
                  <w:p w14:paraId="43291A95" w14:textId="358053FB" w:rsidR="00B40E8D" w:rsidRPr="00B40E8D" w:rsidRDefault="00B40E8D" w:rsidP="00B40E8D">
                    <w:pPr>
                      <w:spacing w:after="0"/>
                      <w:jc w:val="center"/>
                      <w:rPr>
                        <w:rFonts w:ascii="Arial Black" w:hAnsi="Arial Black"/>
                        <w:color w:val="000000"/>
                        <w:sz w:val="20"/>
                      </w:rPr>
                    </w:pPr>
                    <w:r w:rsidRPr="00B40E8D">
                      <w:rPr>
                        <w:rFonts w:ascii="Arial Black" w:hAnsi="Arial Black"/>
                        <w:color w:val="000000"/>
                        <w:sz w:val="20"/>
                      </w:rPr>
                      <w:t>OFFICIAL</w:t>
                    </w:r>
                  </w:p>
                </w:txbxContent>
              </v:textbox>
              <w10:wrap anchorx="page" anchory="page"/>
            </v:shape>
          </w:pict>
        </mc:Fallback>
      </mc:AlternateContent>
    </w:r>
    <w:r w:rsidR="00EE45AE">
      <w:rPr>
        <w:noProof/>
      </w:rPr>
      <mc:AlternateContent>
        <mc:Choice Requires="wps">
          <w:drawing>
            <wp:anchor distT="0" distB="0" distL="114300" distR="114300" simplePos="0" relativeHeight="251938816" behindDoc="0" locked="0" layoutInCell="0" allowOverlap="1" wp14:anchorId="71439F4C" wp14:editId="5A851E23">
              <wp:simplePos x="0" y="0"/>
              <wp:positionH relativeFrom="page">
                <wp:posOffset>0</wp:posOffset>
              </wp:positionH>
              <wp:positionV relativeFrom="page">
                <wp:posOffset>10189210</wp:posOffset>
              </wp:positionV>
              <wp:extent cx="7560310" cy="311785"/>
              <wp:effectExtent l="0" t="0" r="0" b="12065"/>
              <wp:wrapNone/>
              <wp:docPr id="86" name="Text Box 8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D5C6D8" w14:textId="5C146596" w:rsidR="00EE45AE" w:rsidRPr="00EE45AE" w:rsidRDefault="00EE45AE" w:rsidP="00EE45AE">
                          <w:pPr>
                            <w:spacing w:after="0"/>
                            <w:jc w:val="center"/>
                            <w:rPr>
                              <w:rFonts w:ascii="Arial Black" w:hAnsi="Arial Black"/>
                              <w:color w:val="000000"/>
                              <w:sz w:val="20"/>
                            </w:rPr>
                          </w:pPr>
                          <w:r w:rsidRPr="00EE45A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1439F4C" id="Text Box 86" o:spid="_x0000_s1060"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9388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QrGA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YrJsMgWyiPuZ6Gn3hm+qnGI&#10;NXP+mVnkGudG/fonPKQCbAYni5IK7J//+UM+UoBRSlrUTkHd7z2zghL1UyM5t9lkEs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ruQrGAIAACwEAAAOAAAAAAAAAAAAAAAAAC4CAABkcnMvZTJvRG9jLnhtbFBLAQItABQA&#10;BgAIAAAAIQBIDV6a3wAAAAsBAAAPAAAAAAAAAAAAAAAAAHIEAABkcnMvZG93bnJldi54bWxQSwUG&#10;AAAAAAQABADzAAAAfgUAAAAA&#10;" o:allowincell="f" filled="f" stroked="f" strokeweight=".5pt">
              <v:textbox inset=",0,,0">
                <w:txbxContent>
                  <w:p w14:paraId="37D5C6D8" w14:textId="5C146596" w:rsidR="00EE45AE" w:rsidRPr="00EE45AE" w:rsidRDefault="00EE45AE" w:rsidP="00EE45AE">
                    <w:pPr>
                      <w:spacing w:after="0"/>
                      <w:jc w:val="center"/>
                      <w:rPr>
                        <w:rFonts w:ascii="Arial Black" w:hAnsi="Arial Black"/>
                        <w:color w:val="000000"/>
                        <w:sz w:val="20"/>
                      </w:rPr>
                    </w:pPr>
                    <w:r w:rsidRPr="00EE45AE">
                      <w:rPr>
                        <w:rFonts w:ascii="Arial Black" w:hAnsi="Arial Black"/>
                        <w:color w:val="000000"/>
                        <w:sz w:val="20"/>
                      </w:rPr>
                      <w:t>OFFICIAL</w:t>
                    </w:r>
                  </w:p>
                </w:txbxContent>
              </v:textbox>
              <w10:wrap anchorx="page" anchory="page"/>
            </v:shape>
          </w:pict>
        </mc:Fallback>
      </mc:AlternateContent>
    </w:r>
    <w:r w:rsidR="00DA7BDD">
      <w:rPr>
        <w:noProof/>
      </w:rPr>
      <mc:AlternateContent>
        <mc:Choice Requires="wps">
          <w:drawing>
            <wp:anchor distT="0" distB="0" distL="114300" distR="114300" simplePos="0" relativeHeight="251918336" behindDoc="0" locked="0" layoutInCell="0" allowOverlap="1" wp14:anchorId="04263DDE" wp14:editId="2947E9D6">
              <wp:simplePos x="0" y="0"/>
              <wp:positionH relativeFrom="page">
                <wp:posOffset>0</wp:posOffset>
              </wp:positionH>
              <wp:positionV relativeFrom="page">
                <wp:posOffset>10189210</wp:posOffset>
              </wp:positionV>
              <wp:extent cx="7560310" cy="311785"/>
              <wp:effectExtent l="0" t="0" r="0" b="12065"/>
              <wp:wrapNone/>
              <wp:docPr id="83" name="Text Box 8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E5A352" w14:textId="0635C555" w:rsidR="00DA7BDD" w:rsidRPr="00DA7BDD" w:rsidRDefault="00DA7BDD" w:rsidP="00DA7BDD">
                          <w:pPr>
                            <w:spacing w:after="0"/>
                            <w:jc w:val="center"/>
                            <w:rPr>
                              <w:rFonts w:ascii="Arial Black" w:hAnsi="Arial Black"/>
                              <w:color w:val="000000"/>
                              <w:sz w:val="20"/>
                            </w:rPr>
                          </w:pPr>
                          <w:r w:rsidRPr="00DA7BD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4263DDE" id="Text Box 83" o:spid="_x0000_s1061"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918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Wj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KdIE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EshZaMXAgAALAQAAA4AAAAAAAAAAAAAAAAALgIAAGRycy9lMm9Eb2MueG1sUEsBAi0AFAAG&#10;AAgAAAAhAEgNXprfAAAACwEAAA8AAAAAAAAAAAAAAAAAcQQAAGRycy9kb3ducmV2LnhtbFBLBQYA&#10;AAAABAAEAPMAAAB9BQAAAAA=&#10;" o:allowincell="f" filled="f" stroked="f" strokeweight=".5pt">
              <v:textbox inset=",0,,0">
                <w:txbxContent>
                  <w:p w14:paraId="21E5A352" w14:textId="0635C555" w:rsidR="00DA7BDD" w:rsidRPr="00DA7BDD" w:rsidRDefault="00DA7BDD" w:rsidP="00DA7BDD">
                    <w:pPr>
                      <w:spacing w:after="0"/>
                      <w:jc w:val="center"/>
                      <w:rPr>
                        <w:rFonts w:ascii="Arial Black" w:hAnsi="Arial Black"/>
                        <w:color w:val="000000"/>
                        <w:sz w:val="20"/>
                      </w:rPr>
                    </w:pPr>
                    <w:r w:rsidRPr="00DA7BDD">
                      <w:rPr>
                        <w:rFonts w:ascii="Arial Black" w:hAnsi="Arial Black"/>
                        <w:color w:val="000000"/>
                        <w:sz w:val="20"/>
                      </w:rPr>
                      <w:t>OFFICIAL</w:t>
                    </w:r>
                  </w:p>
                </w:txbxContent>
              </v:textbox>
              <w10:wrap anchorx="page" anchory="page"/>
            </v:shape>
          </w:pict>
        </mc:Fallback>
      </mc:AlternateContent>
    </w:r>
    <w:r w:rsidR="00DA5D0B">
      <w:rPr>
        <w:noProof/>
      </w:rPr>
      <mc:AlternateContent>
        <mc:Choice Requires="wps">
          <w:drawing>
            <wp:anchor distT="0" distB="0" distL="114300" distR="114300" simplePos="0" relativeHeight="251897856" behindDoc="0" locked="0" layoutInCell="0" allowOverlap="1" wp14:anchorId="02DABCCA" wp14:editId="519BF3D0">
              <wp:simplePos x="0" y="0"/>
              <wp:positionH relativeFrom="page">
                <wp:posOffset>0</wp:posOffset>
              </wp:positionH>
              <wp:positionV relativeFrom="page">
                <wp:posOffset>10189210</wp:posOffset>
              </wp:positionV>
              <wp:extent cx="7560310" cy="311785"/>
              <wp:effectExtent l="0" t="0" r="0" b="12065"/>
              <wp:wrapNone/>
              <wp:docPr id="81" name="Text Box 8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C51172" w14:textId="36147122" w:rsidR="00DA5D0B" w:rsidRPr="00DA5D0B" w:rsidRDefault="00DA5D0B" w:rsidP="00DA5D0B">
                          <w:pPr>
                            <w:spacing w:after="0"/>
                            <w:jc w:val="center"/>
                            <w:rPr>
                              <w:rFonts w:ascii="Arial Black" w:hAnsi="Arial Black"/>
                              <w:color w:val="000000"/>
                              <w:sz w:val="20"/>
                            </w:rPr>
                          </w:pPr>
                          <w:r w:rsidRPr="00DA5D0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2DABCCA" id="Text Box 81" o:spid="_x0000_s1062"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8978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5b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z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at5bhGAIAACwEAAAOAAAAAAAAAAAAAAAAAC4CAABkcnMvZTJvRG9jLnhtbFBLAQItABQA&#10;BgAIAAAAIQBIDV6a3wAAAAsBAAAPAAAAAAAAAAAAAAAAAHIEAABkcnMvZG93bnJldi54bWxQSwUG&#10;AAAAAAQABADzAAAAfgUAAAAA&#10;" o:allowincell="f" filled="f" stroked="f" strokeweight=".5pt">
              <v:textbox inset=",0,,0">
                <w:txbxContent>
                  <w:p w14:paraId="62C51172" w14:textId="36147122" w:rsidR="00DA5D0B" w:rsidRPr="00DA5D0B" w:rsidRDefault="00DA5D0B" w:rsidP="00DA5D0B">
                    <w:pPr>
                      <w:spacing w:after="0"/>
                      <w:jc w:val="center"/>
                      <w:rPr>
                        <w:rFonts w:ascii="Arial Black" w:hAnsi="Arial Black"/>
                        <w:color w:val="000000"/>
                        <w:sz w:val="20"/>
                      </w:rPr>
                    </w:pPr>
                    <w:r w:rsidRPr="00DA5D0B">
                      <w:rPr>
                        <w:rFonts w:ascii="Arial Black" w:hAnsi="Arial Black"/>
                        <w:color w:val="000000"/>
                        <w:sz w:val="20"/>
                      </w:rPr>
                      <w:t>OFFICIAL</w:t>
                    </w:r>
                  </w:p>
                </w:txbxContent>
              </v:textbox>
              <w10:wrap anchorx="page" anchory="page"/>
            </v:shape>
          </w:pict>
        </mc:Fallback>
      </mc:AlternateContent>
    </w:r>
    <w:r w:rsidR="00546842">
      <w:rPr>
        <w:noProof/>
      </w:rPr>
      <mc:AlternateContent>
        <mc:Choice Requires="wps">
          <w:drawing>
            <wp:anchor distT="0" distB="0" distL="114300" distR="114300" simplePos="0" relativeHeight="251877376" behindDoc="0" locked="0" layoutInCell="0" allowOverlap="1" wp14:anchorId="20DFDA27" wp14:editId="1F3C2705">
              <wp:simplePos x="0" y="0"/>
              <wp:positionH relativeFrom="page">
                <wp:posOffset>0</wp:posOffset>
              </wp:positionH>
              <wp:positionV relativeFrom="page">
                <wp:posOffset>10189210</wp:posOffset>
              </wp:positionV>
              <wp:extent cx="7560310" cy="311785"/>
              <wp:effectExtent l="0" t="0" r="0" b="12065"/>
              <wp:wrapNone/>
              <wp:docPr id="72" name="Text Box 7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2CB50" w14:textId="4C24ACCD" w:rsidR="00546842" w:rsidRPr="00546842" w:rsidRDefault="00546842" w:rsidP="00546842">
                          <w:pPr>
                            <w:spacing w:after="0"/>
                            <w:jc w:val="center"/>
                            <w:rPr>
                              <w:rFonts w:ascii="Arial Black" w:hAnsi="Arial Black"/>
                              <w:color w:val="000000"/>
                              <w:sz w:val="20"/>
                            </w:rPr>
                          </w:pPr>
                          <w:r w:rsidRPr="0054684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0DFDA27" id="Text Box 72" o:spid="_x0000_s1063"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8773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qOBdpGAIAACwEAAAOAAAAAAAAAAAAAAAAAC4CAABkcnMvZTJvRG9jLnhtbFBLAQItABQA&#10;BgAIAAAAIQBIDV6a3wAAAAsBAAAPAAAAAAAAAAAAAAAAAHIEAABkcnMvZG93bnJldi54bWxQSwUG&#10;AAAAAAQABADzAAAAfgUAAAAA&#10;" o:allowincell="f" filled="f" stroked="f" strokeweight=".5pt">
              <v:textbox inset=",0,,0">
                <w:txbxContent>
                  <w:p w14:paraId="5DB2CB50" w14:textId="4C24ACCD" w:rsidR="00546842" w:rsidRPr="00546842" w:rsidRDefault="00546842" w:rsidP="00546842">
                    <w:pPr>
                      <w:spacing w:after="0"/>
                      <w:jc w:val="center"/>
                      <w:rPr>
                        <w:rFonts w:ascii="Arial Black" w:hAnsi="Arial Black"/>
                        <w:color w:val="000000"/>
                        <w:sz w:val="20"/>
                      </w:rPr>
                    </w:pPr>
                    <w:r w:rsidRPr="00546842">
                      <w:rPr>
                        <w:rFonts w:ascii="Arial Black" w:hAnsi="Arial Black"/>
                        <w:color w:val="000000"/>
                        <w:sz w:val="20"/>
                      </w:rPr>
                      <w:t>OFFICIAL</w:t>
                    </w:r>
                  </w:p>
                </w:txbxContent>
              </v:textbox>
              <w10:wrap anchorx="page" anchory="page"/>
            </v:shape>
          </w:pict>
        </mc:Fallback>
      </mc:AlternateContent>
    </w:r>
    <w:r w:rsidR="0075313B">
      <w:rPr>
        <w:noProof/>
      </w:rPr>
      <mc:AlternateContent>
        <mc:Choice Requires="wps">
          <w:drawing>
            <wp:anchor distT="0" distB="0" distL="114300" distR="114300" simplePos="0" relativeHeight="251856896" behindDoc="0" locked="0" layoutInCell="0" allowOverlap="1" wp14:anchorId="3F9DACCD" wp14:editId="57805C71">
              <wp:simplePos x="0" y="0"/>
              <wp:positionH relativeFrom="page">
                <wp:posOffset>0</wp:posOffset>
              </wp:positionH>
              <wp:positionV relativeFrom="page">
                <wp:posOffset>10189210</wp:posOffset>
              </wp:positionV>
              <wp:extent cx="7560310" cy="311785"/>
              <wp:effectExtent l="0" t="0" r="0" b="12065"/>
              <wp:wrapNone/>
              <wp:docPr id="78" name="Text Box 7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AFC136" w14:textId="34BDCE15" w:rsidR="0075313B" w:rsidRPr="0075313B" w:rsidRDefault="0075313B" w:rsidP="0075313B">
                          <w:pPr>
                            <w:spacing w:after="0"/>
                            <w:jc w:val="center"/>
                            <w:rPr>
                              <w:rFonts w:ascii="Arial Black" w:hAnsi="Arial Black"/>
                              <w:color w:val="000000"/>
                              <w:sz w:val="20"/>
                            </w:rPr>
                          </w:pPr>
                          <w:r w:rsidRPr="0075313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F9DACCD" id="Text Box 78" o:spid="_x0000_s1064"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856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v7GAIAACw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lLnGI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8Vv7GAIAACwEAAAOAAAAAAAAAAAAAAAAAC4CAABkcnMvZTJvRG9jLnhtbFBLAQItABQA&#10;BgAIAAAAIQBIDV6a3wAAAAsBAAAPAAAAAAAAAAAAAAAAAHIEAABkcnMvZG93bnJldi54bWxQSwUG&#10;AAAAAAQABADzAAAAfgUAAAAA&#10;" o:allowincell="f" filled="f" stroked="f" strokeweight=".5pt">
              <v:textbox inset=",0,,0">
                <w:txbxContent>
                  <w:p w14:paraId="0CAFC136" w14:textId="34BDCE15" w:rsidR="0075313B" w:rsidRPr="0075313B" w:rsidRDefault="0075313B" w:rsidP="0075313B">
                    <w:pPr>
                      <w:spacing w:after="0"/>
                      <w:jc w:val="center"/>
                      <w:rPr>
                        <w:rFonts w:ascii="Arial Black" w:hAnsi="Arial Black"/>
                        <w:color w:val="000000"/>
                        <w:sz w:val="20"/>
                      </w:rPr>
                    </w:pPr>
                    <w:r w:rsidRPr="0075313B">
                      <w:rPr>
                        <w:rFonts w:ascii="Arial Black" w:hAnsi="Arial Black"/>
                        <w:color w:val="000000"/>
                        <w:sz w:val="20"/>
                      </w:rPr>
                      <w:t>OFFICIAL</w:t>
                    </w:r>
                  </w:p>
                </w:txbxContent>
              </v:textbox>
              <w10:wrap anchorx="page" anchory="page"/>
            </v:shape>
          </w:pict>
        </mc:Fallback>
      </mc:AlternateContent>
    </w:r>
    <w:r w:rsidR="005B3D19">
      <w:rPr>
        <w:noProof/>
      </w:rPr>
      <mc:AlternateContent>
        <mc:Choice Requires="wps">
          <w:drawing>
            <wp:anchor distT="0" distB="0" distL="114300" distR="114300" simplePos="0" relativeHeight="251836416" behindDoc="0" locked="0" layoutInCell="0" allowOverlap="1" wp14:anchorId="78C08786" wp14:editId="19129420">
              <wp:simplePos x="0" y="0"/>
              <wp:positionH relativeFrom="page">
                <wp:posOffset>0</wp:posOffset>
              </wp:positionH>
              <wp:positionV relativeFrom="page">
                <wp:posOffset>10189210</wp:posOffset>
              </wp:positionV>
              <wp:extent cx="7560310" cy="311785"/>
              <wp:effectExtent l="0" t="0" r="0" b="12065"/>
              <wp:wrapNone/>
              <wp:docPr id="75" name="Text Box 7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51FDC7" w14:textId="2A654A03" w:rsidR="005B3D19" w:rsidRPr="005B3D19" w:rsidRDefault="005B3D19" w:rsidP="005B3D19">
                          <w:pPr>
                            <w:spacing w:after="0"/>
                            <w:jc w:val="center"/>
                            <w:rPr>
                              <w:rFonts w:ascii="Arial Black" w:hAnsi="Arial Black"/>
                              <w:color w:val="000000"/>
                              <w:sz w:val="20"/>
                            </w:rPr>
                          </w:pPr>
                          <w:r w:rsidRPr="005B3D1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8C08786" id="Text Box 75" o:spid="_x0000_s1065"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8364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pzGQ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R34yIlVEfcz8JAvTN83eAQ&#10;G+b8C7PINc6N+vXPeEgF2AxOFiU12F9/84d8pACjlHSonYK6n3tmBSXqu0Zy7rLr6yC2eEHDvveW&#10;o1fv2wdAWWb4QgyPZsj1ajSlhfYN5b0K3TDENMeeBS1H88EPSsbnwcVqFZNQVob5jd4aHkoHOAO0&#10;r/0bs+aEv0fmnmBUF8s/0DDkDkSs9h5kEzkKAA9onnBHSUaWT88naP79PWZdHvnyN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Tn7acxkCAAAsBAAADgAAAAAAAAAAAAAAAAAuAgAAZHJzL2Uyb0RvYy54bWxQSwECLQAU&#10;AAYACAAAACEASA1emt8AAAALAQAADwAAAAAAAAAAAAAAAABzBAAAZHJzL2Rvd25yZXYueG1sUEsF&#10;BgAAAAAEAAQA8wAAAH8FAAAAAA==&#10;" o:allowincell="f" filled="f" stroked="f" strokeweight=".5pt">
              <v:textbox inset=",0,,0">
                <w:txbxContent>
                  <w:p w14:paraId="5D51FDC7" w14:textId="2A654A03" w:rsidR="005B3D19" w:rsidRPr="005B3D19" w:rsidRDefault="005B3D19" w:rsidP="005B3D19">
                    <w:pPr>
                      <w:spacing w:after="0"/>
                      <w:jc w:val="center"/>
                      <w:rPr>
                        <w:rFonts w:ascii="Arial Black" w:hAnsi="Arial Black"/>
                        <w:color w:val="000000"/>
                        <w:sz w:val="20"/>
                      </w:rPr>
                    </w:pPr>
                    <w:r w:rsidRPr="005B3D19">
                      <w:rPr>
                        <w:rFonts w:ascii="Arial Black" w:hAnsi="Arial Black"/>
                        <w:color w:val="000000"/>
                        <w:sz w:val="20"/>
                      </w:rPr>
                      <w:t>OFFICIAL</w:t>
                    </w:r>
                  </w:p>
                </w:txbxContent>
              </v:textbox>
              <w10:wrap anchorx="page" anchory="page"/>
            </v:shape>
          </w:pict>
        </mc:Fallback>
      </mc:AlternateContent>
    </w:r>
    <w:r w:rsidR="006836A4">
      <w:rPr>
        <w:noProof/>
      </w:rPr>
      <mc:AlternateContent>
        <mc:Choice Requires="wps">
          <w:drawing>
            <wp:anchor distT="0" distB="0" distL="114300" distR="114300" simplePos="0" relativeHeight="251815936" behindDoc="0" locked="0" layoutInCell="0" allowOverlap="1" wp14:anchorId="4670B4A3" wp14:editId="27E8BD7C">
              <wp:simplePos x="0" y="0"/>
              <wp:positionH relativeFrom="page">
                <wp:posOffset>0</wp:posOffset>
              </wp:positionH>
              <wp:positionV relativeFrom="page">
                <wp:posOffset>10189210</wp:posOffset>
              </wp:positionV>
              <wp:extent cx="7560310" cy="311785"/>
              <wp:effectExtent l="0" t="0" r="0" b="12065"/>
              <wp:wrapNone/>
              <wp:docPr id="13" name="Text Box 1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E86F7" w14:textId="4D3003A4" w:rsidR="006836A4" w:rsidRPr="006836A4" w:rsidRDefault="006836A4" w:rsidP="006836A4">
                          <w:pPr>
                            <w:spacing w:after="0"/>
                            <w:jc w:val="center"/>
                            <w:rPr>
                              <w:rFonts w:ascii="Arial Black" w:hAnsi="Arial Black"/>
                              <w:color w:val="000000"/>
                              <w:sz w:val="20"/>
                            </w:rPr>
                          </w:pPr>
                          <w:r w:rsidRPr="006836A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670B4A3" id="Text Box 13" o:spid="_x0000_s1066"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8159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nhGA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6HViNro2UB9wPwcD9d7ypcIh&#10;VsyHF+aQa5wb9Rue8ZAasBkcLUoacL/+5o/5SAFGKelQOxX1P3fMCUr0d4Pk3BXXOAAJ6YKGe+/d&#10;nLxm1z4AyrLAF2J5MmNu0CdTOmjfUN6L2A1DzHDsWdHNyXwIg5LxeXCxWKQklJVlYWXWlsfSEc4I&#10;7Wv/xpw94h+QuSc4qYuVH2gYcgciFrsAUiWOLmgecUdJJpaPzydq/v09ZV0e+fw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DzRnhGAIAACwEAAAOAAAAAAAAAAAAAAAAAC4CAABkcnMvZTJvRG9jLnhtbFBLAQItABQA&#10;BgAIAAAAIQBIDV6a3wAAAAsBAAAPAAAAAAAAAAAAAAAAAHIEAABkcnMvZG93bnJldi54bWxQSwUG&#10;AAAAAAQABADzAAAAfgUAAAAA&#10;" o:allowincell="f" filled="f" stroked="f" strokeweight=".5pt">
              <v:textbox inset=",0,,0">
                <w:txbxContent>
                  <w:p w14:paraId="00AE86F7" w14:textId="4D3003A4" w:rsidR="006836A4" w:rsidRPr="006836A4" w:rsidRDefault="006836A4" w:rsidP="006836A4">
                    <w:pPr>
                      <w:spacing w:after="0"/>
                      <w:jc w:val="center"/>
                      <w:rPr>
                        <w:rFonts w:ascii="Arial Black" w:hAnsi="Arial Black"/>
                        <w:color w:val="000000"/>
                        <w:sz w:val="20"/>
                      </w:rPr>
                    </w:pPr>
                    <w:r w:rsidRPr="006836A4">
                      <w:rPr>
                        <w:rFonts w:ascii="Arial Black" w:hAnsi="Arial Black"/>
                        <w:color w:val="000000"/>
                        <w:sz w:val="20"/>
                      </w:rPr>
                      <w:t>OFFICIAL</w:t>
                    </w:r>
                  </w:p>
                </w:txbxContent>
              </v:textbox>
              <w10:wrap anchorx="page" anchory="page"/>
            </v:shape>
          </w:pict>
        </mc:Fallback>
      </mc:AlternateContent>
    </w:r>
    <w:r w:rsidR="00E5140F">
      <w:rPr>
        <w:noProof/>
      </w:rPr>
      <mc:AlternateContent>
        <mc:Choice Requires="wps">
          <w:drawing>
            <wp:anchor distT="0" distB="0" distL="114300" distR="114300" simplePos="0" relativeHeight="251795456" behindDoc="0" locked="0" layoutInCell="0" allowOverlap="1" wp14:anchorId="6F9C4B48" wp14:editId="51C9B751">
              <wp:simplePos x="0" y="0"/>
              <wp:positionH relativeFrom="page">
                <wp:posOffset>0</wp:posOffset>
              </wp:positionH>
              <wp:positionV relativeFrom="page">
                <wp:posOffset>10189210</wp:posOffset>
              </wp:positionV>
              <wp:extent cx="7560310" cy="311785"/>
              <wp:effectExtent l="0" t="0" r="0" b="12065"/>
              <wp:wrapNone/>
              <wp:docPr id="37" name="Text Box 3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1B0A6A" w14:textId="2539BACE" w:rsidR="00E5140F" w:rsidRPr="00E5140F" w:rsidRDefault="00E5140F" w:rsidP="00E5140F">
                          <w:pPr>
                            <w:spacing w:after="0"/>
                            <w:jc w:val="center"/>
                            <w:rPr>
                              <w:rFonts w:ascii="Arial Black" w:hAnsi="Arial Black"/>
                              <w:color w:val="000000"/>
                              <w:sz w:val="20"/>
                            </w:rPr>
                          </w:pPr>
                          <w:r w:rsidRPr="00E5140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F9C4B48" id="Text Box 37" o:spid="_x0000_s106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795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QphpGAIAACwEAAAOAAAAAAAAAAAAAAAAAC4CAABkcnMvZTJvRG9jLnhtbFBLAQItABQA&#10;BgAIAAAAIQBIDV6a3wAAAAsBAAAPAAAAAAAAAAAAAAAAAHIEAABkcnMvZG93bnJldi54bWxQSwUG&#10;AAAAAAQABADzAAAAfgUAAAAA&#10;" o:allowincell="f" filled="f" stroked="f" strokeweight=".5pt">
              <v:textbox inset=",0,,0">
                <w:txbxContent>
                  <w:p w14:paraId="531B0A6A" w14:textId="2539BACE" w:rsidR="00E5140F" w:rsidRPr="00E5140F" w:rsidRDefault="00E5140F" w:rsidP="00E5140F">
                    <w:pPr>
                      <w:spacing w:after="0"/>
                      <w:jc w:val="center"/>
                      <w:rPr>
                        <w:rFonts w:ascii="Arial Black" w:hAnsi="Arial Black"/>
                        <w:color w:val="000000"/>
                        <w:sz w:val="20"/>
                      </w:rPr>
                    </w:pPr>
                    <w:r w:rsidRPr="00E5140F">
                      <w:rPr>
                        <w:rFonts w:ascii="Arial Black" w:hAnsi="Arial Black"/>
                        <w:color w:val="000000"/>
                        <w:sz w:val="20"/>
                      </w:rPr>
                      <w:t>OFFICIAL</w:t>
                    </w:r>
                  </w:p>
                </w:txbxContent>
              </v:textbox>
              <w10:wrap anchorx="page" anchory="page"/>
            </v:shape>
          </w:pict>
        </mc:Fallback>
      </mc:AlternateContent>
    </w:r>
    <w:r w:rsidR="00495369">
      <w:rPr>
        <w:noProof/>
      </w:rPr>
      <mc:AlternateContent>
        <mc:Choice Requires="wps">
          <w:drawing>
            <wp:anchor distT="0" distB="0" distL="114300" distR="114300" simplePos="0" relativeHeight="251774976" behindDoc="0" locked="0" layoutInCell="0" allowOverlap="1" wp14:anchorId="27FE0981" wp14:editId="723CB30E">
              <wp:simplePos x="0" y="0"/>
              <wp:positionH relativeFrom="page">
                <wp:posOffset>0</wp:posOffset>
              </wp:positionH>
              <wp:positionV relativeFrom="page">
                <wp:posOffset>10189210</wp:posOffset>
              </wp:positionV>
              <wp:extent cx="7560310" cy="311785"/>
              <wp:effectExtent l="0" t="0" r="0" b="12065"/>
              <wp:wrapNone/>
              <wp:docPr id="25" name="Text Box 2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614A6E" w14:textId="263ED131" w:rsidR="00495369" w:rsidRPr="00495369" w:rsidRDefault="00495369" w:rsidP="00495369">
                          <w:pPr>
                            <w:spacing w:after="0"/>
                            <w:jc w:val="center"/>
                            <w:rPr>
                              <w:rFonts w:ascii="Arial Black" w:hAnsi="Arial Black"/>
                              <w:color w:val="000000"/>
                              <w:sz w:val="20"/>
                            </w:rPr>
                          </w:pPr>
                          <w:r w:rsidRPr="0049536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7FE0981" id="Text Box 25" o:spid="_x0000_s106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7749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YtRrKxkCAAAsBAAADgAAAAAAAAAAAAAAAAAuAgAAZHJzL2Uyb0RvYy54bWxQSwECLQAU&#10;AAYACAAAACEASA1emt8AAAALAQAADwAAAAAAAAAAAAAAAABzBAAAZHJzL2Rvd25yZXYueG1sUEsF&#10;BgAAAAAEAAQA8wAAAH8FAAAAAA==&#10;" o:allowincell="f" filled="f" stroked="f" strokeweight=".5pt">
              <v:textbox inset=",0,,0">
                <w:txbxContent>
                  <w:p w14:paraId="28614A6E" w14:textId="263ED131" w:rsidR="00495369" w:rsidRPr="00495369" w:rsidRDefault="00495369" w:rsidP="00495369">
                    <w:pPr>
                      <w:spacing w:after="0"/>
                      <w:jc w:val="center"/>
                      <w:rPr>
                        <w:rFonts w:ascii="Arial Black" w:hAnsi="Arial Black"/>
                        <w:color w:val="000000"/>
                        <w:sz w:val="20"/>
                      </w:rPr>
                    </w:pPr>
                    <w:r w:rsidRPr="00495369">
                      <w:rPr>
                        <w:rFonts w:ascii="Arial Black" w:hAnsi="Arial Black"/>
                        <w:color w:val="000000"/>
                        <w:sz w:val="20"/>
                      </w:rPr>
                      <w:t>OFFICIAL</w:t>
                    </w:r>
                  </w:p>
                </w:txbxContent>
              </v:textbox>
              <w10:wrap anchorx="page" anchory="page"/>
            </v:shape>
          </w:pict>
        </mc:Fallback>
      </mc:AlternateContent>
    </w:r>
    <w:r w:rsidR="00656E4C">
      <w:rPr>
        <w:noProof/>
      </w:rPr>
      <mc:AlternateContent>
        <mc:Choice Requires="wps">
          <w:drawing>
            <wp:anchor distT="0" distB="0" distL="114300" distR="114300" simplePos="0" relativeHeight="251754496" behindDoc="0" locked="0" layoutInCell="0" allowOverlap="1" wp14:anchorId="240E4945" wp14:editId="62B3E187">
              <wp:simplePos x="0" y="0"/>
              <wp:positionH relativeFrom="page">
                <wp:posOffset>0</wp:posOffset>
              </wp:positionH>
              <wp:positionV relativeFrom="page">
                <wp:posOffset>10189210</wp:posOffset>
              </wp:positionV>
              <wp:extent cx="7560310" cy="311785"/>
              <wp:effectExtent l="0" t="0" r="0" b="12065"/>
              <wp:wrapNone/>
              <wp:docPr id="28" name="Text Box 2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3F26FE" w14:textId="5446C344" w:rsidR="00656E4C" w:rsidRPr="00656E4C" w:rsidRDefault="00656E4C" w:rsidP="00656E4C">
                          <w:pPr>
                            <w:spacing w:after="0"/>
                            <w:jc w:val="center"/>
                            <w:rPr>
                              <w:rFonts w:ascii="Arial Black" w:hAnsi="Arial Black"/>
                              <w:color w:val="000000"/>
                              <w:sz w:val="20"/>
                            </w:rPr>
                          </w:pPr>
                          <w:r w:rsidRPr="00656E4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40E4945" id="Text Box 28" o:spid="_x0000_s106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7544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qjGQ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D4tsoTzifhZ66p3hqxqH&#10;WDPnn5lFrnFu1K9/wkMqwGZwsiipwP75nz/kIwUYpaRF7RTU/d4zKyhRPzWSc5tNJk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klvqoxkCAAAsBAAADgAAAAAAAAAAAAAAAAAuAgAAZHJzL2Uyb0RvYy54bWxQSwECLQAU&#10;AAYACAAAACEASA1emt8AAAALAQAADwAAAAAAAAAAAAAAAABzBAAAZHJzL2Rvd25yZXYueG1sUEsF&#10;BgAAAAAEAAQA8wAAAH8FAAAAAA==&#10;" o:allowincell="f" filled="f" stroked="f" strokeweight=".5pt">
              <v:textbox inset=",0,,0">
                <w:txbxContent>
                  <w:p w14:paraId="5A3F26FE" w14:textId="5446C344" w:rsidR="00656E4C" w:rsidRPr="00656E4C" w:rsidRDefault="00656E4C" w:rsidP="00656E4C">
                    <w:pPr>
                      <w:spacing w:after="0"/>
                      <w:jc w:val="center"/>
                      <w:rPr>
                        <w:rFonts w:ascii="Arial Black" w:hAnsi="Arial Black"/>
                        <w:color w:val="000000"/>
                        <w:sz w:val="20"/>
                      </w:rPr>
                    </w:pPr>
                    <w:r w:rsidRPr="00656E4C">
                      <w:rPr>
                        <w:rFonts w:ascii="Arial Black" w:hAnsi="Arial Black"/>
                        <w:color w:val="000000"/>
                        <w:sz w:val="20"/>
                      </w:rPr>
                      <w:t>OFFICIAL</w:t>
                    </w:r>
                  </w:p>
                </w:txbxContent>
              </v:textbox>
              <w10:wrap anchorx="page" anchory="page"/>
            </v:shape>
          </w:pict>
        </mc:Fallback>
      </mc:AlternateContent>
    </w:r>
    <w:r w:rsidR="0018744C">
      <w:rPr>
        <w:noProof/>
      </w:rPr>
      <mc:AlternateContent>
        <mc:Choice Requires="wps">
          <w:drawing>
            <wp:anchor distT="0" distB="0" distL="114300" distR="114300" simplePos="0" relativeHeight="251734016" behindDoc="0" locked="0" layoutInCell="0" allowOverlap="1" wp14:anchorId="1CAD48CA" wp14:editId="0C9F33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8A4ED7" w14:textId="55357793" w:rsidR="0018744C" w:rsidRPr="0018744C" w:rsidRDefault="0018744C" w:rsidP="0018744C">
                          <w:pPr>
                            <w:spacing w:after="0"/>
                            <w:jc w:val="center"/>
                            <w:rPr>
                              <w:rFonts w:ascii="Arial Black" w:hAnsi="Arial Black"/>
                              <w:color w:val="000000"/>
                              <w:sz w:val="20"/>
                            </w:rPr>
                          </w:pPr>
                          <w:r w:rsidRPr="0018744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CAD48CA" id="Text Box 4" o:spid="_x0000_s1070"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734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uGQ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qZDItsoTzifhZ66p3hqxqH&#10;WDPnn5lFrnFu1K9/wkMqwGZwsiipwP75nz/kIwUYpaRF7RTU/d4zKyhRPzWSc5tNJk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wPiMrhkCAAAsBAAADgAAAAAAAAAAAAAAAAAuAgAAZHJzL2Uyb0RvYy54bWxQSwECLQAU&#10;AAYACAAAACEASA1emt8AAAALAQAADwAAAAAAAAAAAAAAAABzBAAAZHJzL2Rvd25yZXYueG1sUEsF&#10;BgAAAAAEAAQA8wAAAH8FAAAAAA==&#10;" o:allowincell="f" filled="f" stroked="f" strokeweight=".5pt">
              <v:textbox inset=",0,,0">
                <w:txbxContent>
                  <w:p w14:paraId="1F8A4ED7" w14:textId="55357793" w:rsidR="0018744C" w:rsidRPr="0018744C" w:rsidRDefault="0018744C" w:rsidP="0018744C">
                    <w:pPr>
                      <w:spacing w:after="0"/>
                      <w:jc w:val="center"/>
                      <w:rPr>
                        <w:rFonts w:ascii="Arial Black" w:hAnsi="Arial Black"/>
                        <w:color w:val="000000"/>
                        <w:sz w:val="20"/>
                      </w:rPr>
                    </w:pPr>
                    <w:r w:rsidRPr="0018744C">
                      <w:rPr>
                        <w:rFonts w:ascii="Arial Black" w:hAnsi="Arial Black"/>
                        <w:color w:val="000000"/>
                        <w:sz w:val="20"/>
                      </w:rPr>
                      <w:t>OFFICIAL</w:t>
                    </w:r>
                  </w:p>
                </w:txbxContent>
              </v:textbox>
              <w10:wrap anchorx="page" anchory="page"/>
            </v:shape>
          </w:pict>
        </mc:Fallback>
      </mc:AlternateContent>
    </w:r>
    <w:r w:rsidR="00EB3451">
      <w:rPr>
        <w:noProof/>
      </w:rPr>
      <mc:AlternateContent>
        <mc:Choice Requires="wps">
          <w:drawing>
            <wp:anchor distT="0" distB="0" distL="114300" distR="114300" simplePos="0" relativeHeight="251713536" behindDoc="0" locked="0" layoutInCell="0" allowOverlap="1" wp14:anchorId="21340FAA" wp14:editId="760A6CD6">
              <wp:simplePos x="0" y="0"/>
              <wp:positionH relativeFrom="page">
                <wp:posOffset>0</wp:posOffset>
              </wp:positionH>
              <wp:positionV relativeFrom="page">
                <wp:posOffset>10189210</wp:posOffset>
              </wp:positionV>
              <wp:extent cx="7560310" cy="311785"/>
              <wp:effectExtent l="0" t="0" r="0" b="12065"/>
              <wp:wrapNone/>
              <wp:docPr id="68" name="Text Box 6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590ACC" w14:textId="1D3A020A" w:rsidR="00EB3451" w:rsidRPr="00EB3451" w:rsidRDefault="00EB3451" w:rsidP="00EB3451">
                          <w:pPr>
                            <w:spacing w:after="0"/>
                            <w:jc w:val="center"/>
                            <w:rPr>
                              <w:rFonts w:ascii="Arial Black" w:hAnsi="Arial Black"/>
                              <w:color w:val="000000"/>
                              <w:sz w:val="20"/>
                            </w:rPr>
                          </w:pPr>
                          <w:r w:rsidRPr="00EB345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1340FAA" id="Text Box 68" o:spid="_x0000_s1071"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7135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DB3DSYXAgAALAQAAA4AAAAAAAAAAAAAAAAALgIAAGRycy9lMm9Eb2MueG1sUEsBAi0AFAAG&#10;AAgAAAAhAEgNXprfAAAACwEAAA8AAAAAAAAAAAAAAAAAcQQAAGRycy9kb3ducmV2LnhtbFBLBQYA&#10;AAAABAAEAPMAAAB9BQAAAAA=&#10;" o:allowincell="f" filled="f" stroked="f" strokeweight=".5pt">
              <v:textbox inset=",0,,0">
                <w:txbxContent>
                  <w:p w14:paraId="17590ACC" w14:textId="1D3A020A" w:rsidR="00EB3451" w:rsidRPr="00EB3451" w:rsidRDefault="00EB3451" w:rsidP="00EB3451">
                    <w:pPr>
                      <w:spacing w:after="0"/>
                      <w:jc w:val="center"/>
                      <w:rPr>
                        <w:rFonts w:ascii="Arial Black" w:hAnsi="Arial Black"/>
                        <w:color w:val="000000"/>
                        <w:sz w:val="20"/>
                      </w:rPr>
                    </w:pPr>
                    <w:r w:rsidRPr="00EB3451">
                      <w:rPr>
                        <w:rFonts w:ascii="Arial Black" w:hAnsi="Arial Black"/>
                        <w:color w:val="000000"/>
                        <w:sz w:val="20"/>
                      </w:rPr>
                      <w:t>OFFICIAL</w:t>
                    </w:r>
                  </w:p>
                </w:txbxContent>
              </v:textbox>
              <w10:wrap anchorx="page" anchory="page"/>
            </v:shape>
          </w:pict>
        </mc:Fallback>
      </mc:AlternateContent>
    </w:r>
    <w:r w:rsidR="003549E9">
      <w:rPr>
        <w:noProof/>
      </w:rPr>
      <mc:AlternateContent>
        <mc:Choice Requires="wps">
          <w:drawing>
            <wp:anchor distT="0" distB="0" distL="114300" distR="114300" simplePos="0" relativeHeight="251693056" behindDoc="0" locked="0" layoutInCell="0" allowOverlap="1" wp14:anchorId="54266EA4" wp14:editId="071FB087">
              <wp:simplePos x="0" y="0"/>
              <wp:positionH relativeFrom="page">
                <wp:posOffset>0</wp:posOffset>
              </wp:positionH>
              <wp:positionV relativeFrom="page">
                <wp:posOffset>10189210</wp:posOffset>
              </wp:positionV>
              <wp:extent cx="7560310" cy="311785"/>
              <wp:effectExtent l="0" t="0" r="0" b="12065"/>
              <wp:wrapNone/>
              <wp:docPr id="69" name="Text Box 6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199E59" w14:textId="2E93A327" w:rsidR="003549E9" w:rsidRPr="003549E9" w:rsidRDefault="003549E9" w:rsidP="003549E9">
                          <w:pPr>
                            <w:spacing w:after="0"/>
                            <w:jc w:val="center"/>
                            <w:rPr>
                              <w:rFonts w:ascii="Arial Black" w:hAnsi="Arial Black"/>
                              <w:color w:val="000000"/>
                              <w:sz w:val="20"/>
                            </w:rPr>
                          </w:pPr>
                          <w:r w:rsidRPr="003549E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4266EA4" id="Text Box 69" o:spid="_x0000_s1072"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930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f5kGQ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qZDYtsoTzifhZ66p3hqxqH&#10;WDPnn5lFrnFu1K9/wkMqwGZwsiipwP75nz/kIwUYpaRF7RTU/d4zKyhRPzWSc5tNJk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YeH+ZBkCAAAsBAAADgAAAAAAAAAAAAAAAAAuAgAAZHJzL2Uyb0RvYy54bWxQSwECLQAU&#10;AAYACAAAACEASA1emt8AAAALAQAADwAAAAAAAAAAAAAAAABzBAAAZHJzL2Rvd25yZXYueG1sUEsF&#10;BgAAAAAEAAQA8wAAAH8FAAAAAA==&#10;" o:allowincell="f" filled="f" stroked="f" strokeweight=".5pt">
              <v:textbox inset=",0,,0">
                <w:txbxContent>
                  <w:p w14:paraId="21199E59" w14:textId="2E93A327" w:rsidR="003549E9" w:rsidRPr="003549E9" w:rsidRDefault="003549E9" w:rsidP="003549E9">
                    <w:pPr>
                      <w:spacing w:after="0"/>
                      <w:jc w:val="center"/>
                      <w:rPr>
                        <w:rFonts w:ascii="Arial Black" w:hAnsi="Arial Black"/>
                        <w:color w:val="000000"/>
                        <w:sz w:val="20"/>
                      </w:rPr>
                    </w:pPr>
                    <w:r w:rsidRPr="003549E9">
                      <w:rPr>
                        <w:rFonts w:ascii="Arial Black" w:hAnsi="Arial Black"/>
                        <w:color w:val="000000"/>
                        <w:sz w:val="20"/>
                      </w:rPr>
                      <w:t>OFFICIAL</w:t>
                    </w:r>
                  </w:p>
                </w:txbxContent>
              </v:textbox>
              <w10:wrap anchorx="page" anchory="page"/>
            </v:shape>
          </w:pict>
        </mc:Fallback>
      </mc:AlternateContent>
    </w:r>
    <w:r w:rsidR="00AF69B8">
      <w:rPr>
        <w:noProof/>
      </w:rPr>
      <mc:AlternateContent>
        <mc:Choice Requires="wps">
          <w:drawing>
            <wp:anchor distT="0" distB="0" distL="114300" distR="114300" simplePos="0" relativeHeight="251672576" behindDoc="0" locked="0" layoutInCell="0" allowOverlap="1" wp14:anchorId="5B256E7D" wp14:editId="301BBA59">
              <wp:simplePos x="0" y="0"/>
              <wp:positionH relativeFrom="page">
                <wp:posOffset>0</wp:posOffset>
              </wp:positionH>
              <wp:positionV relativeFrom="page">
                <wp:posOffset>10189210</wp:posOffset>
              </wp:positionV>
              <wp:extent cx="7560310" cy="311785"/>
              <wp:effectExtent l="0" t="0" r="0" b="12065"/>
              <wp:wrapNone/>
              <wp:docPr id="70" name="Text Box 7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C7006" w14:textId="3EE45C52" w:rsidR="00AF69B8" w:rsidRPr="00AF69B8" w:rsidRDefault="00AF69B8" w:rsidP="00AF69B8">
                          <w:pPr>
                            <w:spacing w:after="0"/>
                            <w:jc w:val="center"/>
                            <w:rPr>
                              <w:rFonts w:ascii="Arial Black" w:hAnsi="Arial Black"/>
                              <w:color w:val="000000"/>
                              <w:sz w:val="20"/>
                            </w:rPr>
                          </w:pPr>
                          <w:r w:rsidRPr="00AF69B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256E7D" id="Text Box 70" o:spid="_x0000_s1073"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kW5/7BkCAAAsBAAADgAAAAAAAAAAAAAAAAAuAgAAZHJzL2Uyb0RvYy54bWxQSwECLQAU&#10;AAYACAAAACEASA1emt8AAAALAQAADwAAAAAAAAAAAAAAAABzBAAAZHJzL2Rvd25yZXYueG1sUEsF&#10;BgAAAAAEAAQA8wAAAH8FAAAAAA==&#10;" o:allowincell="f" filled="f" stroked="f" strokeweight=".5pt">
              <v:textbox inset=",0,,0">
                <w:txbxContent>
                  <w:p w14:paraId="71EC7006" w14:textId="3EE45C52" w:rsidR="00AF69B8" w:rsidRPr="00AF69B8" w:rsidRDefault="00AF69B8" w:rsidP="00AF69B8">
                    <w:pPr>
                      <w:spacing w:after="0"/>
                      <w:jc w:val="center"/>
                      <w:rPr>
                        <w:rFonts w:ascii="Arial Black" w:hAnsi="Arial Black"/>
                        <w:color w:val="000000"/>
                        <w:sz w:val="20"/>
                      </w:rPr>
                    </w:pPr>
                    <w:r w:rsidRPr="00AF69B8">
                      <w:rPr>
                        <w:rFonts w:ascii="Arial Black" w:hAnsi="Arial Black"/>
                        <w:color w:val="000000"/>
                        <w:sz w:val="20"/>
                      </w:rPr>
                      <w:t>OFFICIAL</w:t>
                    </w:r>
                  </w:p>
                </w:txbxContent>
              </v:textbox>
              <w10:wrap anchorx="page" anchory="page"/>
            </v:shape>
          </w:pict>
        </mc:Fallback>
      </mc:AlternateContent>
    </w:r>
    <w:r w:rsidR="00B96B77">
      <w:rPr>
        <w:noProof/>
      </w:rPr>
      <mc:AlternateContent>
        <mc:Choice Requires="wps">
          <w:drawing>
            <wp:anchor distT="0" distB="0" distL="114300" distR="114300" simplePos="0" relativeHeight="251652096" behindDoc="0" locked="0" layoutInCell="0" allowOverlap="1" wp14:anchorId="09DDBD19" wp14:editId="69CB2634">
              <wp:simplePos x="0" y="0"/>
              <wp:positionH relativeFrom="page">
                <wp:posOffset>0</wp:posOffset>
              </wp:positionH>
              <wp:positionV relativeFrom="page">
                <wp:posOffset>10189210</wp:posOffset>
              </wp:positionV>
              <wp:extent cx="7560310" cy="311785"/>
              <wp:effectExtent l="0" t="0" r="0" b="12065"/>
              <wp:wrapNone/>
              <wp:docPr id="71" name="Text Box 7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BA7084" w14:textId="26BDCB36" w:rsidR="00B96B77" w:rsidRPr="00B96B77" w:rsidRDefault="00B96B77" w:rsidP="00B96B77">
                          <w:pPr>
                            <w:spacing w:after="0"/>
                            <w:jc w:val="center"/>
                            <w:rPr>
                              <w:rFonts w:ascii="Arial Black" w:hAnsi="Arial Black"/>
                              <w:color w:val="000000"/>
                              <w:sz w:val="20"/>
                            </w:rPr>
                          </w:pPr>
                          <w:r w:rsidRPr="00B96B7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9DDBD19" id="Text Box 71" o:spid="_x0000_s1074"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20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xaczfhkCAAAsBAAADgAAAAAAAAAAAAAAAAAuAgAAZHJzL2Uyb0RvYy54bWxQSwECLQAU&#10;AAYACAAAACEASA1emt8AAAALAQAADwAAAAAAAAAAAAAAAABzBAAAZHJzL2Rvd25yZXYueG1sUEsF&#10;BgAAAAAEAAQA8wAAAH8FAAAAAA==&#10;" o:allowincell="f" filled="f" stroked="f" strokeweight=".5pt">
              <v:textbox inset=",0,,0">
                <w:txbxContent>
                  <w:p w14:paraId="39BA7084" w14:textId="26BDCB36" w:rsidR="00B96B77" w:rsidRPr="00B96B77" w:rsidRDefault="00B96B77" w:rsidP="00B96B77">
                    <w:pPr>
                      <w:spacing w:after="0"/>
                      <w:jc w:val="center"/>
                      <w:rPr>
                        <w:rFonts w:ascii="Arial Black" w:hAnsi="Arial Black"/>
                        <w:color w:val="000000"/>
                        <w:sz w:val="20"/>
                      </w:rPr>
                    </w:pPr>
                    <w:r w:rsidRPr="00B96B77">
                      <w:rPr>
                        <w:rFonts w:ascii="Arial Black" w:hAnsi="Arial Black"/>
                        <w:color w:val="000000"/>
                        <w:sz w:val="20"/>
                      </w:rPr>
                      <w:t>OFFICIAL</w:t>
                    </w:r>
                  </w:p>
                </w:txbxContent>
              </v:textbox>
              <w10:wrap anchorx="page" anchory="page"/>
            </v:shape>
          </w:pict>
        </mc:Fallback>
      </mc:AlternateContent>
    </w:r>
    <w:r w:rsidR="009B3B17">
      <w:rPr>
        <w:noProof/>
      </w:rPr>
      <mc:AlternateContent>
        <mc:Choice Requires="wps">
          <w:drawing>
            <wp:anchor distT="0" distB="0" distL="114300" distR="114300" simplePos="0" relativeHeight="251631616" behindDoc="0" locked="0" layoutInCell="0" allowOverlap="1" wp14:anchorId="45996DED" wp14:editId="0C45B673">
              <wp:simplePos x="0" y="0"/>
              <wp:positionH relativeFrom="page">
                <wp:posOffset>0</wp:posOffset>
              </wp:positionH>
              <wp:positionV relativeFrom="page">
                <wp:posOffset>10189210</wp:posOffset>
              </wp:positionV>
              <wp:extent cx="7560310" cy="311785"/>
              <wp:effectExtent l="0" t="0" r="0" b="12065"/>
              <wp:wrapNone/>
              <wp:docPr id="44" name="Text Box 4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D84114" w14:textId="0E41B21D" w:rsidR="009B3B17" w:rsidRPr="009B3B17" w:rsidRDefault="009B3B17" w:rsidP="009B3B17">
                          <w:pPr>
                            <w:spacing w:after="0"/>
                            <w:jc w:val="center"/>
                            <w:rPr>
                              <w:rFonts w:ascii="Arial Black" w:hAnsi="Arial Black"/>
                              <w:color w:val="000000"/>
                              <w:sz w:val="20"/>
                            </w:rPr>
                          </w:pPr>
                          <w:r w:rsidRPr="009B3B1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5996DED" id="Text Box 44" o:spid="_x0000_s1075"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316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NSiy9hkCAAAsBAAADgAAAAAAAAAAAAAAAAAuAgAAZHJzL2Uyb0RvYy54bWxQSwECLQAU&#10;AAYACAAAACEASA1emt8AAAALAQAADwAAAAAAAAAAAAAAAABzBAAAZHJzL2Rvd25yZXYueG1sUEsF&#10;BgAAAAAEAAQA8wAAAH8FAAAAAA==&#10;" o:allowincell="f" filled="f" stroked="f" strokeweight=".5pt">
              <v:textbox inset=",0,,0">
                <w:txbxContent>
                  <w:p w14:paraId="24D84114" w14:textId="0E41B21D" w:rsidR="009B3B17" w:rsidRPr="009B3B17" w:rsidRDefault="009B3B17" w:rsidP="009B3B17">
                    <w:pPr>
                      <w:spacing w:after="0"/>
                      <w:jc w:val="center"/>
                      <w:rPr>
                        <w:rFonts w:ascii="Arial Black" w:hAnsi="Arial Black"/>
                        <w:color w:val="000000"/>
                        <w:sz w:val="20"/>
                      </w:rPr>
                    </w:pPr>
                    <w:r w:rsidRPr="009B3B17">
                      <w:rPr>
                        <w:rFonts w:ascii="Arial Black" w:hAnsi="Arial Black"/>
                        <w:color w:val="000000"/>
                        <w:sz w:val="20"/>
                      </w:rPr>
                      <w:t>OFFICIAL</w:t>
                    </w:r>
                  </w:p>
                </w:txbxContent>
              </v:textbox>
              <w10:wrap anchorx="page" anchory="page"/>
            </v:shape>
          </w:pict>
        </mc:Fallback>
      </mc:AlternateContent>
    </w:r>
    <w:r w:rsidR="00D54F58">
      <w:rPr>
        <w:noProof/>
      </w:rPr>
      <mc:AlternateContent>
        <mc:Choice Requires="wps">
          <w:drawing>
            <wp:anchor distT="0" distB="0" distL="114300" distR="114300" simplePos="0" relativeHeight="251611136" behindDoc="0" locked="0" layoutInCell="0" allowOverlap="1" wp14:anchorId="6A037D01" wp14:editId="78D78E5D">
              <wp:simplePos x="0" y="0"/>
              <wp:positionH relativeFrom="page">
                <wp:posOffset>0</wp:posOffset>
              </wp:positionH>
              <wp:positionV relativeFrom="page">
                <wp:posOffset>10189210</wp:posOffset>
              </wp:positionV>
              <wp:extent cx="7560310" cy="311785"/>
              <wp:effectExtent l="0" t="0" r="0" b="12065"/>
              <wp:wrapNone/>
              <wp:docPr id="41" name="Text Box 4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76393C" w14:textId="57EA42FE" w:rsidR="00D54F58" w:rsidRPr="00D54F58" w:rsidRDefault="00D54F58" w:rsidP="00D54F58">
                          <w:pPr>
                            <w:spacing w:after="0"/>
                            <w:jc w:val="center"/>
                            <w:rPr>
                              <w:rFonts w:ascii="Arial Black" w:hAnsi="Arial Black"/>
                              <w:color w:val="000000"/>
                              <w:sz w:val="20"/>
                            </w:rPr>
                          </w:pPr>
                          <w:r w:rsidRPr="00D54F5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A037D01" id="Text Box 41" o:spid="_x0000_s1076"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11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xcGQIAACw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ElTFRTTx0VKqI64n4WBemf4usEh&#10;Nsz5F2aRa5wb9euf8ZAKsBmMFiU12F9/84d8pACjlHSonYK6n3tmBSXqu0Zy7rLr6yC2eEHDvveW&#10;J6/etw+AsszwhRgezZDr1cmUFto3lPcqdMMQ0xx7FrQ8mQ9+UDI+Dy5Wq5iEsjLMb/TW8FA6wBmg&#10;fe3fmDUj/h6Ze4KTulj+gYYhdyBitfcgm8hRAHhAc8QdJRlZHp9P0Pz7e8y6PPLlb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UL4sXBkCAAAsBAAADgAAAAAAAAAAAAAAAAAuAgAAZHJzL2Uyb0RvYy54bWxQSwECLQAU&#10;AAYACAAAACEASA1emt8AAAALAQAADwAAAAAAAAAAAAAAAABzBAAAZHJzL2Rvd25yZXYueG1sUEsF&#10;BgAAAAAEAAQA8wAAAH8FAAAAAA==&#10;" o:allowincell="f" filled="f" stroked="f" strokeweight=".5pt">
              <v:textbox inset=",0,,0">
                <w:txbxContent>
                  <w:p w14:paraId="3376393C" w14:textId="57EA42FE" w:rsidR="00D54F58" w:rsidRPr="00D54F58" w:rsidRDefault="00D54F58" w:rsidP="00D54F58">
                    <w:pPr>
                      <w:spacing w:after="0"/>
                      <w:jc w:val="center"/>
                      <w:rPr>
                        <w:rFonts w:ascii="Arial Black" w:hAnsi="Arial Black"/>
                        <w:color w:val="000000"/>
                        <w:sz w:val="20"/>
                      </w:rPr>
                    </w:pPr>
                    <w:r w:rsidRPr="00D54F58">
                      <w:rPr>
                        <w:rFonts w:ascii="Arial Black" w:hAnsi="Arial Black"/>
                        <w:color w:val="000000"/>
                        <w:sz w:val="20"/>
                      </w:rPr>
                      <w:t>OFFICIAL</w:t>
                    </w:r>
                  </w:p>
                </w:txbxContent>
              </v:textbox>
              <w10:wrap anchorx="page" anchory="page"/>
            </v:shape>
          </w:pict>
        </mc:Fallback>
      </mc:AlternateContent>
    </w:r>
    <w:r w:rsidR="00A84CEA">
      <w:rPr>
        <w:noProof/>
      </w:rPr>
      <mc:AlternateContent>
        <mc:Choice Requires="wps">
          <w:drawing>
            <wp:anchor distT="0" distB="0" distL="114300" distR="114300" simplePos="0" relativeHeight="251590656" behindDoc="0" locked="0" layoutInCell="0" allowOverlap="1" wp14:anchorId="7E573173" wp14:editId="30EA6BCD">
              <wp:simplePos x="0" y="0"/>
              <wp:positionH relativeFrom="page">
                <wp:posOffset>0</wp:posOffset>
              </wp:positionH>
              <wp:positionV relativeFrom="page">
                <wp:posOffset>10189210</wp:posOffset>
              </wp:positionV>
              <wp:extent cx="7560310" cy="311785"/>
              <wp:effectExtent l="0" t="0" r="0" b="12065"/>
              <wp:wrapNone/>
              <wp:docPr id="39" name="Text Box 3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90D0A7" w14:textId="552FF765" w:rsidR="00A84CEA" w:rsidRPr="00A84CEA" w:rsidRDefault="00A84CEA" w:rsidP="00A84CEA">
                          <w:pPr>
                            <w:spacing w:after="0"/>
                            <w:jc w:val="center"/>
                            <w:rPr>
                              <w:rFonts w:ascii="Arial Black" w:hAnsi="Arial Black"/>
                              <w:color w:val="000000"/>
                              <w:sz w:val="20"/>
                            </w:rPr>
                          </w:pPr>
                          <w:r w:rsidRPr="00A84CE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E573173" id="Text Box 39" o:spid="_x0000_s107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590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a3UGA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6OS8yAbqA+7nYKDeW75UOMSK&#10;+fDCHHKNc6N+wzMeUgM2g6NFSQPu19/8MR8pwCglHWqnov7njjlBif5ukJy74vo6ii1d0HDvvZuT&#10;1+zaB0BZFvhCLE9mzA36ZEoH7RvKexG7YYgZjj0rujmZD2FQMj4PLhaLlISysiyszNryWDrCGaF9&#10;7d+Ys0f8AzL3BCd1sfIDDUPuQMRiF0CqxFEEeEDziDtKMrF8fD5R8+/vKevyyOe/AQ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gMa3UGAIAACwEAAAOAAAAAAAAAAAAAAAAAC4CAABkcnMvZTJvRG9jLnhtbFBLAQItABQA&#10;BgAIAAAAIQBIDV6a3wAAAAsBAAAPAAAAAAAAAAAAAAAAAHIEAABkcnMvZG93bnJldi54bWxQSwUG&#10;AAAAAAQABADzAAAAfgUAAAAA&#10;" o:allowincell="f" filled="f" stroked="f" strokeweight=".5pt">
              <v:textbox inset=",0,,0">
                <w:txbxContent>
                  <w:p w14:paraId="5690D0A7" w14:textId="552FF765" w:rsidR="00A84CEA" w:rsidRPr="00A84CEA" w:rsidRDefault="00A84CEA" w:rsidP="00A84CEA">
                    <w:pPr>
                      <w:spacing w:after="0"/>
                      <w:jc w:val="center"/>
                      <w:rPr>
                        <w:rFonts w:ascii="Arial Black" w:hAnsi="Arial Black"/>
                        <w:color w:val="000000"/>
                        <w:sz w:val="20"/>
                      </w:rPr>
                    </w:pPr>
                    <w:r w:rsidRPr="00A84CEA">
                      <w:rPr>
                        <w:rFonts w:ascii="Arial Black" w:hAnsi="Arial Black"/>
                        <w:color w:val="000000"/>
                        <w:sz w:val="20"/>
                      </w:rPr>
                      <w:t>OFFICIAL</w:t>
                    </w:r>
                  </w:p>
                </w:txbxContent>
              </v:textbox>
              <w10:wrap anchorx="page" anchory="page"/>
            </v:shape>
          </w:pict>
        </mc:Fallback>
      </mc:AlternateContent>
    </w:r>
    <w:r w:rsidR="0016594B">
      <w:rPr>
        <w:noProof/>
      </w:rPr>
      <mc:AlternateContent>
        <mc:Choice Requires="wps">
          <w:drawing>
            <wp:anchor distT="0" distB="0" distL="114300" distR="114300" simplePos="0" relativeHeight="251570176" behindDoc="0" locked="0" layoutInCell="0" allowOverlap="1" wp14:anchorId="7202BE8B" wp14:editId="387C8B24">
              <wp:simplePos x="0" y="0"/>
              <wp:positionH relativeFrom="page">
                <wp:posOffset>0</wp:posOffset>
              </wp:positionH>
              <wp:positionV relativeFrom="page">
                <wp:posOffset>10189210</wp:posOffset>
              </wp:positionV>
              <wp:extent cx="7560310" cy="311785"/>
              <wp:effectExtent l="0" t="0" r="0" b="12065"/>
              <wp:wrapNone/>
              <wp:docPr id="36" name="Text Box 3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4AF3A4" w14:textId="1645C5F0" w:rsidR="0016594B" w:rsidRPr="0016594B" w:rsidRDefault="0016594B" w:rsidP="0016594B">
                          <w:pPr>
                            <w:spacing w:after="0"/>
                            <w:jc w:val="center"/>
                            <w:rPr>
                              <w:rFonts w:ascii="Arial Black" w:hAnsi="Arial Black"/>
                              <w:color w:val="000000"/>
                              <w:sz w:val="20"/>
                            </w:rPr>
                          </w:pPr>
                          <w:r w:rsidRPr="0016594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202BE8B" id="Text Box 36" o:spid="_x0000_s107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5701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16WGQ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k7HwyJbKI+4n4Weemf4qsYh&#10;1sz5Z2aRa5wb9euf8JAKsBmcLEoqsH/+5w/5SAFGKWlROwV1v/fMCkrUT43k3GZXV0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8adelhkCAAAsBAAADgAAAAAAAAAAAAAAAAAuAgAAZHJzL2Uyb0RvYy54bWxQSwECLQAU&#10;AAYACAAAACEASA1emt8AAAALAQAADwAAAAAAAAAAAAAAAABzBAAAZHJzL2Rvd25yZXYueG1sUEsF&#10;BgAAAAAEAAQA8wAAAH8FAAAAAA==&#10;" o:allowincell="f" filled="f" stroked="f" strokeweight=".5pt">
              <v:textbox inset=",0,,0">
                <w:txbxContent>
                  <w:p w14:paraId="434AF3A4" w14:textId="1645C5F0" w:rsidR="0016594B" w:rsidRPr="0016594B" w:rsidRDefault="0016594B" w:rsidP="0016594B">
                    <w:pPr>
                      <w:spacing w:after="0"/>
                      <w:jc w:val="center"/>
                      <w:rPr>
                        <w:rFonts w:ascii="Arial Black" w:hAnsi="Arial Black"/>
                        <w:color w:val="000000"/>
                        <w:sz w:val="20"/>
                      </w:rPr>
                    </w:pPr>
                    <w:r w:rsidRPr="0016594B">
                      <w:rPr>
                        <w:rFonts w:ascii="Arial Black" w:hAnsi="Arial Black"/>
                        <w:color w:val="000000"/>
                        <w:sz w:val="20"/>
                      </w:rPr>
                      <w:t>OFFICIAL</w:t>
                    </w:r>
                  </w:p>
                </w:txbxContent>
              </v:textbox>
              <w10:wrap anchorx="page" anchory="page"/>
            </v:shape>
          </w:pict>
        </mc:Fallback>
      </mc:AlternateContent>
    </w:r>
    <w:r w:rsidR="00C40411">
      <w:rPr>
        <w:noProof/>
      </w:rPr>
      <mc:AlternateContent>
        <mc:Choice Requires="wps">
          <w:drawing>
            <wp:anchor distT="0" distB="0" distL="114300" distR="114300" simplePos="0" relativeHeight="251549696" behindDoc="0" locked="0" layoutInCell="0" allowOverlap="1" wp14:anchorId="6C0E5F21" wp14:editId="6CB4792F">
              <wp:simplePos x="0" y="0"/>
              <wp:positionH relativeFrom="page">
                <wp:posOffset>0</wp:posOffset>
              </wp:positionH>
              <wp:positionV relativeFrom="page">
                <wp:posOffset>10189210</wp:posOffset>
              </wp:positionV>
              <wp:extent cx="7560310" cy="311785"/>
              <wp:effectExtent l="0" t="0" r="0" b="12065"/>
              <wp:wrapNone/>
              <wp:docPr id="33" name="Text Box 3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635C2A" w14:textId="36A4B387" w:rsidR="00C40411" w:rsidRPr="00C40411" w:rsidRDefault="00C40411" w:rsidP="00C40411">
                          <w:pPr>
                            <w:spacing w:after="0"/>
                            <w:jc w:val="center"/>
                            <w:rPr>
                              <w:rFonts w:ascii="Arial Black" w:hAnsi="Arial Black"/>
                              <w:color w:val="000000"/>
                              <w:sz w:val="20"/>
                            </w:rPr>
                          </w:pPr>
                          <w:r w:rsidRPr="00C4041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C0E5F21" id="Text Box 33" o:spid="_x0000_s107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549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8eGQ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XQ2HRcpoTrifhYG6p3h6waH&#10;2DDnX5hFrnFu1K9/xkMqwGZwsiipwf76mz/kIwUYpaRD7RTU/dwzKyhR3zWSc5ddXwexxQsa9r23&#10;HL163z4AyjLDF2J4NEOuV6MpLbRvKO9V6IYhpjn2LGg5mg9+UDI+Dy5Wq5iEsjLMb/TW8FA6wBmg&#10;fe3fmDUn/D0y9wSjulj+gYYhdyBitfcgm8hRAHhA84Q7SjKyfHo+QfPv7zHr8siXv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ASjfHhkCAAAsBAAADgAAAAAAAAAAAAAAAAAuAgAAZHJzL2Uyb0RvYy54bWxQSwECLQAU&#10;AAYACAAAACEASA1emt8AAAALAQAADwAAAAAAAAAAAAAAAABzBAAAZHJzL2Rvd25yZXYueG1sUEsF&#10;BgAAAAAEAAQA8wAAAH8FAAAAAA==&#10;" o:allowincell="f" filled="f" stroked="f" strokeweight=".5pt">
              <v:textbox inset=",0,,0">
                <w:txbxContent>
                  <w:p w14:paraId="0C635C2A" w14:textId="36A4B387" w:rsidR="00C40411" w:rsidRPr="00C40411" w:rsidRDefault="00C40411" w:rsidP="00C40411">
                    <w:pPr>
                      <w:spacing w:after="0"/>
                      <w:jc w:val="center"/>
                      <w:rPr>
                        <w:rFonts w:ascii="Arial Black" w:hAnsi="Arial Black"/>
                        <w:color w:val="000000"/>
                        <w:sz w:val="20"/>
                      </w:rPr>
                    </w:pPr>
                    <w:r w:rsidRPr="00C40411">
                      <w:rPr>
                        <w:rFonts w:ascii="Arial Black" w:hAnsi="Arial Black"/>
                        <w:color w:val="000000"/>
                        <w:sz w:val="20"/>
                      </w:rPr>
                      <w:t>OFFICIAL</w:t>
                    </w:r>
                  </w:p>
                </w:txbxContent>
              </v:textbox>
              <w10:wrap anchorx="page" anchory="page"/>
            </v:shape>
          </w:pict>
        </mc:Fallback>
      </mc:AlternateContent>
    </w:r>
    <w:r w:rsidR="00BD3998">
      <w:rPr>
        <w:noProof/>
      </w:rPr>
      <mc:AlternateContent>
        <mc:Choice Requires="wps">
          <w:drawing>
            <wp:anchor distT="0" distB="0" distL="114300" distR="114300" simplePos="0" relativeHeight="251529216" behindDoc="0" locked="0" layoutInCell="0" allowOverlap="1" wp14:anchorId="4926078B" wp14:editId="6A21CD28">
              <wp:simplePos x="0" y="0"/>
              <wp:positionH relativeFrom="page">
                <wp:posOffset>0</wp:posOffset>
              </wp:positionH>
              <wp:positionV relativeFrom="page">
                <wp:posOffset>10189210</wp:posOffset>
              </wp:positionV>
              <wp:extent cx="7560310" cy="311785"/>
              <wp:effectExtent l="0" t="0" r="0" b="12065"/>
              <wp:wrapNone/>
              <wp:docPr id="30" name="Text Box 3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7DE6A3" w14:textId="7B6F17B7" w:rsidR="00BD3998" w:rsidRPr="00BD3998" w:rsidRDefault="00BD3998" w:rsidP="00BD3998">
                          <w:pPr>
                            <w:spacing w:after="0"/>
                            <w:jc w:val="center"/>
                            <w:rPr>
                              <w:rFonts w:ascii="Arial Black" w:hAnsi="Arial Black"/>
                              <w:color w:val="000000"/>
                              <w:sz w:val="20"/>
                            </w:rPr>
                          </w:pPr>
                          <w:r w:rsidRPr="00BD399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926078B" id="Text Box 30" o:spid="_x0000_s1080"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529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7kTGQ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qdDItsoTzifhZ66p3hqxqH&#10;WDPnn5lFrnFu1K9/wkMqwGZwsiipwP75nz/kIwUYpaRF7RTU/d4zKyhRPzWSc5tNJk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U4u5ExkCAAAsBAAADgAAAAAAAAAAAAAAAAAuAgAAZHJzL2Uyb0RvYy54bWxQSwECLQAU&#10;AAYACAAAACEASA1emt8AAAALAQAADwAAAAAAAAAAAAAAAABzBAAAZHJzL2Rvd25yZXYueG1sUEsF&#10;BgAAAAAEAAQA8wAAAH8FAAAAAA==&#10;" o:allowincell="f" filled="f" stroked="f" strokeweight=".5pt">
              <v:textbox inset=",0,,0">
                <w:txbxContent>
                  <w:p w14:paraId="507DE6A3" w14:textId="7B6F17B7" w:rsidR="00BD3998" w:rsidRPr="00BD3998" w:rsidRDefault="00BD3998" w:rsidP="00BD3998">
                    <w:pPr>
                      <w:spacing w:after="0"/>
                      <w:jc w:val="center"/>
                      <w:rPr>
                        <w:rFonts w:ascii="Arial Black" w:hAnsi="Arial Black"/>
                        <w:color w:val="000000"/>
                        <w:sz w:val="20"/>
                      </w:rPr>
                    </w:pPr>
                    <w:r w:rsidRPr="00BD3998">
                      <w:rPr>
                        <w:rFonts w:ascii="Arial Black" w:hAnsi="Arial Black"/>
                        <w:color w:val="000000"/>
                        <w:sz w:val="20"/>
                      </w:rPr>
                      <w:t>OFFICIAL</w:t>
                    </w:r>
                  </w:p>
                </w:txbxContent>
              </v:textbox>
              <w10:wrap anchorx="page" anchory="page"/>
            </v:shape>
          </w:pict>
        </mc:Fallback>
      </mc:AlternateContent>
    </w:r>
    <w:r w:rsidR="00FB2E82">
      <w:rPr>
        <w:noProof/>
      </w:rPr>
      <mc:AlternateContent>
        <mc:Choice Requires="wps">
          <w:drawing>
            <wp:anchor distT="0" distB="0" distL="114300" distR="114300" simplePos="0" relativeHeight="251508736" behindDoc="0" locked="0" layoutInCell="0" allowOverlap="1" wp14:anchorId="429DF31D" wp14:editId="7E0E864C">
              <wp:simplePos x="0" y="0"/>
              <wp:positionH relativeFrom="page">
                <wp:posOffset>0</wp:posOffset>
              </wp:positionH>
              <wp:positionV relativeFrom="page">
                <wp:posOffset>10189210</wp:posOffset>
              </wp:positionV>
              <wp:extent cx="7560310" cy="311785"/>
              <wp:effectExtent l="0" t="0" r="0" b="12065"/>
              <wp:wrapNone/>
              <wp:docPr id="27" name="Text Box 2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613B91" w14:textId="2CEA8B2A" w:rsidR="00FB2E82" w:rsidRPr="00FB2E82" w:rsidRDefault="00FB2E82" w:rsidP="00FB2E82">
                          <w:pPr>
                            <w:spacing w:after="0"/>
                            <w:jc w:val="center"/>
                            <w:rPr>
                              <w:rFonts w:ascii="Arial Black" w:hAnsi="Arial Black"/>
                              <w:color w:val="000000"/>
                              <w:sz w:val="20"/>
                            </w:rPr>
                          </w:pPr>
                          <w:r w:rsidRPr="00FB2E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29DF31D" id="Text Box 27" o:spid="_x0000_s1081"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5087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ib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6CRNEF0bqA+4n4OBem/5UuEQ&#10;K+bDC3PINc6N+g3PeEgN2AyOFiUNuF9/88d8pACjlHSonYr6nzvmBCX6u0Fy7orr6yi2dEHDvfdu&#10;Tl6zax8AZVngC7E8mTE36JMpHbRvKO9F7IYhZjj2rOjmZD6EQcn4PLhYLFISysqysDJry2PpCGeE&#10;9rV/Y84e8Q/I3BOc1MXKDzQMuQMRi10AqRJHF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KMEOJsXAgAALAQAAA4AAAAAAAAAAAAAAAAALgIAAGRycy9lMm9Eb2MueG1sUEsBAi0AFAAG&#10;AAgAAAAhAEgNXprfAAAACwEAAA8AAAAAAAAAAAAAAAAAcQQAAGRycy9kb3ducmV2LnhtbFBLBQYA&#10;AAAABAAEAPMAAAB9BQAAAAA=&#10;" o:allowincell="f" filled="f" stroked="f" strokeweight=".5pt">
              <v:textbox inset=",0,,0">
                <w:txbxContent>
                  <w:p w14:paraId="20613B91" w14:textId="2CEA8B2A" w:rsidR="00FB2E82" w:rsidRPr="00FB2E82" w:rsidRDefault="00FB2E82" w:rsidP="00FB2E82">
                    <w:pPr>
                      <w:spacing w:after="0"/>
                      <w:jc w:val="center"/>
                      <w:rPr>
                        <w:rFonts w:ascii="Arial Black" w:hAnsi="Arial Black"/>
                        <w:color w:val="000000"/>
                        <w:sz w:val="20"/>
                      </w:rPr>
                    </w:pPr>
                    <w:r w:rsidRPr="00FB2E82">
                      <w:rPr>
                        <w:rFonts w:ascii="Arial Black" w:hAnsi="Arial Black"/>
                        <w:color w:val="000000"/>
                        <w:sz w:val="20"/>
                      </w:rPr>
                      <w:t>OFFICIAL</w:t>
                    </w:r>
                  </w:p>
                </w:txbxContent>
              </v:textbox>
              <w10:wrap anchorx="page" anchory="page"/>
            </v:shape>
          </w:pict>
        </mc:Fallback>
      </mc:AlternateContent>
    </w:r>
    <w:r w:rsidR="00183630">
      <w:rPr>
        <w:noProof/>
      </w:rPr>
      <mc:AlternateContent>
        <mc:Choice Requires="wps">
          <w:drawing>
            <wp:anchor distT="0" distB="0" distL="114300" distR="114300" simplePos="0" relativeHeight="251488256" behindDoc="0" locked="0" layoutInCell="0" allowOverlap="1" wp14:anchorId="0304582A" wp14:editId="7D8D2D11">
              <wp:simplePos x="0" y="0"/>
              <wp:positionH relativeFrom="page">
                <wp:posOffset>0</wp:posOffset>
              </wp:positionH>
              <wp:positionV relativeFrom="page">
                <wp:posOffset>10189210</wp:posOffset>
              </wp:positionV>
              <wp:extent cx="7560310" cy="311785"/>
              <wp:effectExtent l="0" t="0" r="0" b="12065"/>
              <wp:wrapNone/>
              <wp:docPr id="15" name="Text Box 1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6B9DCE" w14:textId="2C12C17A" w:rsidR="00183630" w:rsidRPr="00183630" w:rsidRDefault="00183630" w:rsidP="00183630">
                          <w:pPr>
                            <w:spacing w:after="0"/>
                            <w:jc w:val="center"/>
                            <w:rPr>
                              <w:rFonts w:ascii="Arial Black" w:hAnsi="Arial Black"/>
                              <w:color w:val="000000"/>
                              <w:sz w:val="20"/>
                            </w:rPr>
                          </w:pPr>
                          <w:r w:rsidRPr="0018363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304582A" id="Text Box 15" o:spid="_x0000_s1082"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48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vZGQ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XQ2HxcpoTrifhYG6p3h6waH&#10;2DDnX5hFrnFu1K9/xkMqwGZwsiipwf76mz/kIwUYpaRD7RTU/dwzKyhR3zWSc5ddXwexxQsa9r23&#10;HL163z4AyjLDF2J4NEOuV6MpLbRvKO9V6IYhpjn2LGg5mg9+UDI+Dy5Wq5iEsjLMb/TW8FA6wBmg&#10;fe3fmDUn/D0y9wSjulj+gYYhdyBitfcgm8hRAHhA84Q7SjKyfHo+QfPv7zHr8siXv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8pLL2RkCAAAsBAAADgAAAAAAAAAAAAAAAAAuAgAAZHJzL2Uyb0RvYy54bWxQSwECLQAU&#10;AAYACAAAACEASA1emt8AAAALAQAADwAAAAAAAAAAAAAAAABzBAAAZHJzL2Rvd25yZXYueG1sUEsF&#10;BgAAAAAEAAQA8wAAAH8FAAAAAA==&#10;" o:allowincell="f" filled="f" stroked="f" strokeweight=".5pt">
              <v:textbox inset=",0,,0">
                <w:txbxContent>
                  <w:p w14:paraId="5D6B9DCE" w14:textId="2C12C17A" w:rsidR="00183630" w:rsidRPr="00183630" w:rsidRDefault="00183630" w:rsidP="00183630">
                    <w:pPr>
                      <w:spacing w:after="0"/>
                      <w:jc w:val="center"/>
                      <w:rPr>
                        <w:rFonts w:ascii="Arial Black" w:hAnsi="Arial Black"/>
                        <w:color w:val="000000"/>
                        <w:sz w:val="20"/>
                      </w:rPr>
                    </w:pPr>
                    <w:r w:rsidRPr="00183630">
                      <w:rPr>
                        <w:rFonts w:ascii="Arial Black" w:hAnsi="Arial Black"/>
                        <w:color w:val="000000"/>
                        <w:sz w:val="20"/>
                      </w:rPr>
                      <w:t>OFFICIAL</w:t>
                    </w:r>
                  </w:p>
                </w:txbxContent>
              </v:textbox>
              <w10:wrap anchorx="page" anchory="page"/>
            </v:shape>
          </w:pict>
        </mc:Fallback>
      </mc:AlternateContent>
    </w:r>
    <w:r w:rsidR="0022302B">
      <w:rPr>
        <w:noProof/>
      </w:rPr>
      <mc:AlternateContent>
        <mc:Choice Requires="wps">
          <w:drawing>
            <wp:anchor distT="0" distB="0" distL="114300" distR="114300" simplePos="0" relativeHeight="251467776" behindDoc="0" locked="0" layoutInCell="0" allowOverlap="1" wp14:anchorId="0908BE03" wp14:editId="5CF00084">
              <wp:simplePos x="0" y="0"/>
              <wp:positionH relativeFrom="page">
                <wp:posOffset>0</wp:posOffset>
              </wp:positionH>
              <wp:positionV relativeFrom="page">
                <wp:posOffset>10189210</wp:posOffset>
              </wp:positionV>
              <wp:extent cx="7560310" cy="311785"/>
              <wp:effectExtent l="0" t="0" r="0" b="12065"/>
              <wp:wrapNone/>
              <wp:docPr id="24" name="Text Box 2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828528" w14:textId="6D12A24B" w:rsidR="0022302B" w:rsidRPr="0022302B" w:rsidRDefault="0022302B" w:rsidP="0022302B">
                          <w:pPr>
                            <w:spacing w:after="0"/>
                            <w:jc w:val="center"/>
                            <w:rPr>
                              <w:rFonts w:ascii="Arial Black" w:hAnsi="Arial Black"/>
                              <w:color w:val="000000"/>
                              <w:sz w:val="20"/>
                            </w:rPr>
                          </w:pPr>
                          <w:r w:rsidRPr="0022302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908BE03" id="Text Box 24" o:spid="_x0000_s1083"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467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Ah1KURkCAAAsBAAADgAAAAAAAAAAAAAAAAAuAgAAZHJzL2Uyb0RvYy54bWxQSwECLQAU&#10;AAYACAAAACEASA1emt8AAAALAQAADwAAAAAAAAAAAAAAAABzBAAAZHJzL2Rvd25yZXYueG1sUEsF&#10;BgAAAAAEAAQA8wAAAH8FAAAAAA==&#10;" o:allowincell="f" filled="f" stroked="f" strokeweight=".5pt">
              <v:textbox inset=",0,,0">
                <w:txbxContent>
                  <w:p w14:paraId="11828528" w14:textId="6D12A24B" w:rsidR="0022302B" w:rsidRPr="0022302B" w:rsidRDefault="0022302B" w:rsidP="0022302B">
                    <w:pPr>
                      <w:spacing w:after="0"/>
                      <w:jc w:val="center"/>
                      <w:rPr>
                        <w:rFonts w:ascii="Arial Black" w:hAnsi="Arial Black"/>
                        <w:color w:val="000000"/>
                        <w:sz w:val="20"/>
                      </w:rPr>
                    </w:pPr>
                    <w:r w:rsidRPr="0022302B">
                      <w:rPr>
                        <w:rFonts w:ascii="Arial Black" w:hAnsi="Arial Black"/>
                        <w:color w:val="000000"/>
                        <w:sz w:val="20"/>
                      </w:rPr>
                      <w:t>OFFICIAL</w:t>
                    </w:r>
                  </w:p>
                </w:txbxContent>
              </v:textbox>
              <w10:wrap anchorx="page" anchory="page"/>
            </v:shape>
          </w:pict>
        </mc:Fallback>
      </mc:AlternateContent>
    </w:r>
    <w:r w:rsidR="00F64F9A">
      <w:rPr>
        <w:noProof/>
      </w:rPr>
      <mc:AlternateContent>
        <mc:Choice Requires="wps">
          <w:drawing>
            <wp:anchor distT="0" distB="0" distL="114300" distR="114300" simplePos="0" relativeHeight="251447296" behindDoc="0" locked="0" layoutInCell="0" allowOverlap="1" wp14:anchorId="24977FB8" wp14:editId="3438F70E">
              <wp:simplePos x="0" y="0"/>
              <wp:positionH relativeFrom="page">
                <wp:posOffset>0</wp:posOffset>
              </wp:positionH>
              <wp:positionV relativeFrom="page">
                <wp:posOffset>10189210</wp:posOffset>
              </wp:positionV>
              <wp:extent cx="7560310" cy="311785"/>
              <wp:effectExtent l="0" t="0" r="0" b="12065"/>
              <wp:wrapNone/>
              <wp:docPr id="21" name="Text Box 2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6C6E19" w14:textId="681EB3D3" w:rsidR="00F64F9A" w:rsidRPr="00F64F9A" w:rsidRDefault="00F64F9A" w:rsidP="00F64F9A">
                          <w:pPr>
                            <w:spacing w:after="0"/>
                            <w:jc w:val="center"/>
                            <w:rPr>
                              <w:rFonts w:ascii="Arial Black" w:hAnsi="Arial Black"/>
                              <w:color w:val="000000"/>
                              <w:sz w:val="20"/>
                            </w:rPr>
                          </w:pPr>
                          <w:r w:rsidRPr="00F64F9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4977FB8" id="Text Box 21" o:spid="_x0000_s1084"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4472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AbDGQIAACw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k5mwyJbKI+4n4Weemf4qsYh&#10;1sz5Z2aRa5wb9euf8JAKsBmcLEoqsH/+5w/5SAFGKWlROwV1v/fMCkrUT43k3GbX10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VtQGwxkCAAAsBAAADgAAAAAAAAAAAAAAAAAuAgAAZHJzL2Uyb0RvYy54bWxQSwECLQAU&#10;AAYACAAAACEASA1emt8AAAALAQAADwAAAAAAAAAAAAAAAABzBAAAZHJzL2Rvd25yZXYueG1sUEsF&#10;BgAAAAAEAAQA8wAAAH8FAAAAAA==&#10;" o:allowincell="f" filled="f" stroked="f" strokeweight=".5pt">
              <v:textbox inset=",0,,0">
                <w:txbxContent>
                  <w:p w14:paraId="496C6E19" w14:textId="681EB3D3" w:rsidR="00F64F9A" w:rsidRPr="00F64F9A" w:rsidRDefault="00F64F9A" w:rsidP="00F64F9A">
                    <w:pPr>
                      <w:spacing w:after="0"/>
                      <w:jc w:val="center"/>
                      <w:rPr>
                        <w:rFonts w:ascii="Arial Black" w:hAnsi="Arial Black"/>
                        <w:color w:val="000000"/>
                        <w:sz w:val="20"/>
                      </w:rPr>
                    </w:pPr>
                    <w:r w:rsidRPr="00F64F9A">
                      <w:rPr>
                        <w:rFonts w:ascii="Arial Black" w:hAnsi="Arial Black"/>
                        <w:color w:val="000000"/>
                        <w:sz w:val="20"/>
                      </w:rPr>
                      <w:t>OFFICIAL</w:t>
                    </w:r>
                  </w:p>
                </w:txbxContent>
              </v:textbox>
              <w10:wrap anchorx="page" anchory="page"/>
            </v:shape>
          </w:pict>
        </mc:Fallback>
      </mc:AlternateContent>
    </w:r>
    <w:r w:rsidR="00672AFB">
      <w:rPr>
        <w:noProof/>
      </w:rPr>
      <mc:AlternateContent>
        <mc:Choice Requires="wps">
          <w:drawing>
            <wp:anchor distT="0" distB="0" distL="114300" distR="114300" simplePos="0" relativeHeight="251426816" behindDoc="0" locked="0" layoutInCell="0" allowOverlap="1" wp14:anchorId="07E6886D" wp14:editId="6C9687EF">
              <wp:simplePos x="0" y="0"/>
              <wp:positionH relativeFrom="page">
                <wp:posOffset>0</wp:posOffset>
              </wp:positionH>
              <wp:positionV relativeFrom="page">
                <wp:posOffset>10189210</wp:posOffset>
              </wp:positionV>
              <wp:extent cx="7560310" cy="311785"/>
              <wp:effectExtent l="0" t="0" r="0" b="12065"/>
              <wp:wrapNone/>
              <wp:docPr id="17" name="Text Box 1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0A3A01" w14:textId="40CD6501" w:rsidR="00672AFB" w:rsidRPr="00672AFB" w:rsidRDefault="00672AFB" w:rsidP="00672AFB">
                          <w:pPr>
                            <w:spacing w:after="0"/>
                            <w:jc w:val="center"/>
                            <w:rPr>
                              <w:rFonts w:ascii="Arial Black" w:hAnsi="Arial Black"/>
                              <w:color w:val="000000"/>
                              <w:sz w:val="20"/>
                            </w:rPr>
                          </w:pPr>
                          <w:r w:rsidRPr="00672AF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7E6886D" id="Text Box 17" o:spid="_x0000_s1085"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4268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dLGQ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XR2Ny5SQnXE/SwM1DvD1w0O&#10;sWHOvzCLXOPcqF//jIdUgM3gZFFSg/31N3/IRwowSkmH2imo+7lnVlCivmsk5y67vg5iixc07Htv&#10;OXr1vn0AlGWGL8TwaIZcr0ZTWmjfUN6r0A1DTHPsWdByNB/8oGR8HlysVjEJZWWY3+it4aF0gDNA&#10;+9q/MWtO+Htk7glGdbH8Aw1D7kDEau9BNpGjAPCA5gl3lGRk+fR8gubf32PW5ZEvfwM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pluHSxkCAAAsBAAADgAAAAAAAAAAAAAAAAAuAgAAZHJzL2Uyb0RvYy54bWxQSwECLQAU&#10;AAYACAAAACEASA1emt8AAAALAQAADwAAAAAAAAAAAAAAAABzBAAAZHJzL2Rvd25yZXYueG1sUEsF&#10;BgAAAAAEAAQA8wAAAH8FAAAAAA==&#10;" o:allowincell="f" filled="f" stroked="f" strokeweight=".5pt">
              <v:textbox inset=",0,,0">
                <w:txbxContent>
                  <w:p w14:paraId="050A3A01" w14:textId="40CD6501" w:rsidR="00672AFB" w:rsidRPr="00672AFB" w:rsidRDefault="00672AFB" w:rsidP="00672AFB">
                    <w:pPr>
                      <w:spacing w:after="0"/>
                      <w:jc w:val="center"/>
                      <w:rPr>
                        <w:rFonts w:ascii="Arial Black" w:hAnsi="Arial Black"/>
                        <w:color w:val="000000"/>
                        <w:sz w:val="20"/>
                      </w:rPr>
                    </w:pPr>
                    <w:r w:rsidRPr="00672AFB">
                      <w:rPr>
                        <w:rFonts w:ascii="Arial Black" w:hAnsi="Arial Black"/>
                        <w:color w:val="000000"/>
                        <w:sz w:val="20"/>
                      </w:rPr>
                      <w:t>OFFICIAL</w:t>
                    </w:r>
                  </w:p>
                </w:txbxContent>
              </v:textbox>
              <w10:wrap anchorx="page" anchory="page"/>
            </v:shape>
          </w:pict>
        </mc:Fallback>
      </mc:AlternateContent>
    </w:r>
    <w:r w:rsidR="00033AB3">
      <w:rPr>
        <w:noProof/>
      </w:rPr>
      <mc:AlternateContent>
        <mc:Choice Requires="wps">
          <w:drawing>
            <wp:anchor distT="0" distB="0" distL="114300" distR="114300" simplePos="0" relativeHeight="251406336" behindDoc="0" locked="0" layoutInCell="0" allowOverlap="1" wp14:anchorId="4DB0E67C" wp14:editId="59B6F858">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E5837D" w14:textId="263AF3DF" w:rsidR="00033AB3" w:rsidRPr="00033AB3" w:rsidRDefault="00033AB3" w:rsidP="00033AB3">
                          <w:pPr>
                            <w:spacing w:after="0"/>
                            <w:jc w:val="center"/>
                            <w:rPr>
                              <w:rFonts w:ascii="Arial Black" w:hAnsi="Arial Black"/>
                              <w:color w:val="000000"/>
                              <w:sz w:val="20"/>
                            </w:rPr>
                          </w:pPr>
                          <w:r w:rsidRPr="00033AB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DB0E67C" id="Text Box 12" o:spid="_x0000_s1086"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406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KQsAkAXAgAALAQAAA4AAAAAAAAAAAAAAAAALgIAAGRycy9lMm9Eb2MueG1sUEsBAi0AFAAG&#10;AAgAAAAhAEgNXprfAAAACwEAAA8AAAAAAAAAAAAAAAAAcQQAAGRycy9kb3ducmV2LnhtbFBLBQYA&#10;AAAABAAEAPMAAAB9BQAAAAA=&#10;" o:allowincell="f" filled="f" stroked="f" strokeweight=".5pt">
              <v:textbox inset=",0,,0">
                <w:txbxContent>
                  <w:p w14:paraId="67E5837D" w14:textId="263AF3DF" w:rsidR="00033AB3" w:rsidRPr="00033AB3" w:rsidRDefault="00033AB3" w:rsidP="00033AB3">
                    <w:pPr>
                      <w:spacing w:after="0"/>
                      <w:jc w:val="center"/>
                      <w:rPr>
                        <w:rFonts w:ascii="Arial Black" w:hAnsi="Arial Black"/>
                        <w:color w:val="000000"/>
                        <w:sz w:val="20"/>
                      </w:rPr>
                    </w:pPr>
                    <w:r w:rsidRPr="00033AB3">
                      <w:rPr>
                        <w:rFonts w:ascii="Arial Black" w:hAnsi="Arial Black"/>
                        <w:color w:val="000000"/>
                        <w:sz w:val="20"/>
                      </w:rPr>
                      <w:t>OFFICIAL</w:t>
                    </w:r>
                  </w:p>
                </w:txbxContent>
              </v:textbox>
              <w10:wrap anchorx="page" anchory="page"/>
            </v:shape>
          </w:pict>
        </mc:Fallback>
      </mc:AlternateContent>
    </w:r>
    <w:r w:rsidR="00894FA6">
      <w:rPr>
        <w:noProof/>
      </w:rPr>
      <mc:AlternateContent>
        <mc:Choice Requires="wps">
          <w:drawing>
            <wp:anchor distT="0" distB="0" distL="114300" distR="114300" simplePos="0" relativeHeight="251385856" behindDoc="0" locked="0" layoutInCell="0" allowOverlap="1" wp14:anchorId="0040B529" wp14:editId="6F8800AE">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536AFC" w14:textId="23E7312F" w:rsidR="00894FA6" w:rsidRPr="00894FA6" w:rsidRDefault="00894FA6" w:rsidP="00894FA6">
                          <w:pPr>
                            <w:spacing w:after="0"/>
                            <w:jc w:val="center"/>
                            <w:rPr>
                              <w:rFonts w:ascii="Arial Black" w:hAnsi="Arial Black"/>
                              <w:color w:val="000000"/>
                              <w:sz w:val="20"/>
                            </w:rPr>
                          </w:pPr>
                          <w:r w:rsidRPr="00894FA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040B529" id="Text Box 8" o:spid="_x0000_s108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3858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FSjg8gXAgAALAQAAA4AAAAAAAAAAAAAAAAALgIAAGRycy9lMm9Eb2MueG1sUEsBAi0AFAAG&#10;AAgAAAAhAEgNXprfAAAACwEAAA8AAAAAAAAAAAAAAAAAcQQAAGRycy9kb3ducmV2LnhtbFBLBQYA&#10;AAAABAAEAPMAAAB9BQAAAAA=&#10;" o:allowincell="f" filled="f" stroked="f" strokeweight=".5pt">
              <v:textbox inset=",0,,0">
                <w:txbxContent>
                  <w:p w14:paraId="1E536AFC" w14:textId="23E7312F" w:rsidR="00894FA6" w:rsidRPr="00894FA6" w:rsidRDefault="00894FA6" w:rsidP="00894FA6">
                    <w:pPr>
                      <w:spacing w:after="0"/>
                      <w:jc w:val="center"/>
                      <w:rPr>
                        <w:rFonts w:ascii="Arial Black" w:hAnsi="Arial Black"/>
                        <w:color w:val="000000"/>
                        <w:sz w:val="20"/>
                      </w:rPr>
                    </w:pPr>
                    <w:r w:rsidRPr="00894FA6">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355136" behindDoc="0" locked="0" layoutInCell="0" allowOverlap="1" wp14:anchorId="7882A7F6" wp14:editId="477283DA">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5B33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882A7F6" id="Text Box 6" o:spid="_x0000_s108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35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BTVwihgCAAAsBAAADgAAAAAAAAAAAAAAAAAuAgAAZHJzL2Uyb0RvYy54bWxQSwECLQAU&#10;AAYACAAAACEAL5BIl+AAAAALAQAADwAAAAAAAAAAAAAAAAByBAAAZHJzL2Rvd25yZXYueG1sUEsF&#10;BgAAAAAEAAQA8wAAAH8FAAAAAA==&#10;" o:allowincell="f" filled="f" stroked="f" strokeweight=".5pt">
              <v:textbox inset=",0,,0">
                <w:txbxContent>
                  <w:p w14:paraId="1055B33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5A27" w14:textId="77777777" w:rsidR="00D63636" w:rsidRDefault="002C5B7C">
    <w:pPr>
      <w:pStyle w:val="Footer"/>
    </w:pPr>
    <w:r>
      <w:rPr>
        <w:noProof/>
        <w:lang w:eastAsia="en-AU"/>
      </w:rPr>
      <mc:AlternateContent>
        <mc:Choice Requires="wps">
          <w:drawing>
            <wp:anchor distT="0" distB="0" distL="114300" distR="114300" simplePos="0" relativeHeight="251658260" behindDoc="0" locked="0" layoutInCell="0" allowOverlap="1" wp14:anchorId="0F39113F" wp14:editId="1B576991">
              <wp:simplePos x="0" y="0"/>
              <wp:positionH relativeFrom="page">
                <wp:posOffset>0</wp:posOffset>
              </wp:positionH>
              <wp:positionV relativeFrom="page">
                <wp:posOffset>10189210</wp:posOffset>
              </wp:positionV>
              <wp:extent cx="7560310" cy="311785"/>
              <wp:effectExtent l="0" t="0" r="0" b="12065"/>
              <wp:wrapNone/>
              <wp:docPr id="46" name="Text Box 46"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59A46C"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39113F" id="_x0000_t202" coordsize="21600,21600" o:spt="202" path="m,l,21600r21600,l21600,xe">
              <v:stroke joinstyle="miter"/>
              <v:path gradientshapeok="t" o:connecttype="rect"/>
            </v:shapetype>
            <v:shape id="Text Box 46" o:spid="_x0000_s108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vECGAIAACw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woVxkRKqI+5nYaDeGb5ucIgN&#10;c/6FWeQa50b9+mc8pAJsBieLkhrsr7/5Qz5SgFFKOtROQd3PPbOCEvVdIzl32fV1EFv8QcO+95aj&#10;V+/bB0BZZvhCDI9myPVqNKWF9g3lvQrdMMQ0x54FLUfzwQ9KxufBxWoVk1BWhvmN3hoeSgc4A7Sv&#10;/Ruz5oS/R+aeYFQXyz/QMOQORKz2HmQTOQoAD2iecEdJRpZPzydo/v1/zLo88uVv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1uvECGAIAACwEAAAOAAAAAAAAAAAAAAAAAC4CAABkcnMvZTJvRG9jLnhtbFBLAQItABQA&#10;BgAIAAAAIQBIDV6a3wAAAAsBAAAPAAAAAAAAAAAAAAAAAHIEAABkcnMvZG93bnJldi54bWxQSwUG&#10;AAAAAAQABADzAAAAfgUAAAAA&#10;" o:allowincell="f" filled="f" stroked="f" strokeweight=".5pt">
              <v:textbox inset=",0,,0">
                <w:txbxContent>
                  <w:p w14:paraId="1859A46C"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C337" w14:textId="11402648" w:rsidR="00431A70" w:rsidRDefault="00C04FFC">
    <w:pPr>
      <w:pStyle w:val="Footer"/>
    </w:pPr>
    <w:r>
      <w:rPr>
        <w:noProof/>
        <w:lang w:eastAsia="en-AU"/>
      </w:rPr>
      <mc:AlternateContent>
        <mc:Choice Requires="wps">
          <w:drawing>
            <wp:anchor distT="0" distB="0" distL="114300" distR="114300" simplePos="0" relativeHeight="251658330" behindDoc="0" locked="0" layoutInCell="0" allowOverlap="1" wp14:anchorId="65094E7A" wp14:editId="1CF40241">
              <wp:simplePos x="0" y="0"/>
              <wp:positionH relativeFrom="page">
                <wp:posOffset>0</wp:posOffset>
              </wp:positionH>
              <wp:positionV relativeFrom="page">
                <wp:posOffset>10189210</wp:posOffset>
              </wp:positionV>
              <wp:extent cx="7560310" cy="311785"/>
              <wp:effectExtent l="0" t="0" r="0" b="12065"/>
              <wp:wrapNone/>
              <wp:docPr id="93" name="MSIPCMd6344b6daef0e5755fc5c5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4C2D77" w14:textId="669D0FBB" w:rsidR="00C04FFC" w:rsidRPr="00C04FFC" w:rsidRDefault="00C04FFC" w:rsidP="00C04FFC">
                          <w:pPr>
                            <w:spacing w:after="0"/>
                            <w:jc w:val="center"/>
                            <w:rPr>
                              <w:rFonts w:ascii="Arial Black" w:hAnsi="Arial Black"/>
                              <w:color w:val="000000"/>
                              <w:sz w:val="20"/>
                            </w:rPr>
                          </w:pPr>
                          <w:r w:rsidRPr="00C04FF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094E7A" id="_x0000_t202" coordsize="21600,21600" o:spt="202" path="m,l,21600r21600,l21600,xe">
              <v:stroke joinstyle="miter"/>
              <v:path gradientshapeok="t" o:connecttype="rect"/>
            </v:shapetype>
            <v:shape id="MSIPCMd6344b6daef0e5755fc5c59a" o:spid="_x0000_s109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33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nGZcPGAIAACwEAAAOAAAAAAAAAAAAAAAAAC4CAABkcnMvZTJvRG9jLnhtbFBLAQItABQA&#10;BgAIAAAAIQBIDV6a3wAAAAsBAAAPAAAAAAAAAAAAAAAAAHIEAABkcnMvZG93bnJldi54bWxQSwUG&#10;AAAAAAQABADzAAAAfgUAAAAA&#10;" o:allowincell="f" filled="f" stroked="f" strokeweight=".5pt">
              <v:textbox inset=",0,,0">
                <w:txbxContent>
                  <w:p w14:paraId="7E4C2D77" w14:textId="669D0FBB" w:rsidR="00C04FFC" w:rsidRPr="00C04FFC" w:rsidRDefault="00C04FFC" w:rsidP="00C04FFC">
                    <w:pPr>
                      <w:spacing w:after="0"/>
                      <w:jc w:val="center"/>
                      <w:rPr>
                        <w:rFonts w:ascii="Arial Black" w:hAnsi="Arial Black"/>
                        <w:color w:val="000000"/>
                        <w:sz w:val="20"/>
                      </w:rPr>
                    </w:pPr>
                    <w:r w:rsidRPr="00C04FFC">
                      <w:rPr>
                        <w:rFonts w:ascii="Arial Black" w:hAnsi="Arial Black"/>
                        <w:color w:val="000000"/>
                        <w:sz w:val="20"/>
                      </w:rPr>
                      <w:t>OFFICIAL</w:t>
                    </w:r>
                  </w:p>
                </w:txbxContent>
              </v:textbox>
              <w10:wrap anchorx="page" anchory="page"/>
            </v:shape>
          </w:pict>
        </mc:Fallback>
      </mc:AlternateContent>
    </w:r>
    <w:r w:rsidR="00B40E8D">
      <w:rPr>
        <w:noProof/>
        <w:lang w:eastAsia="en-AU"/>
      </w:rPr>
      <mc:AlternateContent>
        <mc:Choice Requires="wps">
          <w:drawing>
            <wp:anchor distT="0" distB="0" distL="114300" distR="114300" simplePos="0" relativeHeight="251658327" behindDoc="0" locked="0" layoutInCell="0" allowOverlap="1" wp14:anchorId="2AAFA235" wp14:editId="61E2A570">
              <wp:simplePos x="0" y="0"/>
              <wp:positionH relativeFrom="page">
                <wp:posOffset>0</wp:posOffset>
              </wp:positionH>
              <wp:positionV relativeFrom="page">
                <wp:posOffset>10189210</wp:posOffset>
              </wp:positionV>
              <wp:extent cx="7560310" cy="311785"/>
              <wp:effectExtent l="0" t="0" r="0" b="12065"/>
              <wp:wrapNone/>
              <wp:docPr id="90" name="Text Box 9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6AF884" w14:textId="2031DC33" w:rsidR="00B40E8D" w:rsidRPr="00B40E8D" w:rsidRDefault="00B40E8D" w:rsidP="00B40E8D">
                          <w:pPr>
                            <w:spacing w:after="0"/>
                            <w:jc w:val="center"/>
                            <w:rPr>
                              <w:rFonts w:ascii="Arial Black" w:hAnsi="Arial Black"/>
                              <w:color w:val="000000"/>
                              <w:sz w:val="20"/>
                            </w:rPr>
                          </w:pPr>
                          <w:r w:rsidRPr="00B40E8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AAFA235" id="Text Box 90" o:spid="_x0000_s109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32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FeWFocXAgAALAQAAA4AAAAAAAAAAAAAAAAALgIAAGRycy9lMm9Eb2MueG1sUEsBAi0AFAAG&#10;AAgAAAAhAEgNXprfAAAACwEAAA8AAAAAAAAAAAAAAAAAcQQAAGRycy9kb3ducmV2LnhtbFBLBQYA&#10;AAAABAAEAPMAAAB9BQAAAAA=&#10;" o:allowincell="f" filled="f" stroked="f" strokeweight=".5pt">
              <v:textbox inset=",0,,0">
                <w:txbxContent>
                  <w:p w14:paraId="2F6AF884" w14:textId="2031DC33" w:rsidR="00B40E8D" w:rsidRPr="00B40E8D" w:rsidRDefault="00B40E8D" w:rsidP="00B40E8D">
                    <w:pPr>
                      <w:spacing w:after="0"/>
                      <w:jc w:val="center"/>
                      <w:rPr>
                        <w:rFonts w:ascii="Arial Black" w:hAnsi="Arial Black"/>
                        <w:color w:val="000000"/>
                        <w:sz w:val="20"/>
                      </w:rPr>
                    </w:pPr>
                    <w:r w:rsidRPr="00B40E8D">
                      <w:rPr>
                        <w:rFonts w:ascii="Arial Black" w:hAnsi="Arial Black"/>
                        <w:color w:val="000000"/>
                        <w:sz w:val="20"/>
                      </w:rPr>
                      <w:t>OFFICIAL</w:t>
                    </w:r>
                  </w:p>
                </w:txbxContent>
              </v:textbox>
              <w10:wrap anchorx="page" anchory="page"/>
            </v:shape>
          </w:pict>
        </mc:Fallback>
      </mc:AlternateContent>
    </w:r>
    <w:r w:rsidR="00EE45AE">
      <w:rPr>
        <w:noProof/>
        <w:lang w:eastAsia="en-AU"/>
      </w:rPr>
      <mc:AlternateContent>
        <mc:Choice Requires="wps">
          <w:drawing>
            <wp:anchor distT="0" distB="0" distL="114300" distR="114300" simplePos="0" relativeHeight="251658324" behindDoc="0" locked="0" layoutInCell="0" allowOverlap="1" wp14:anchorId="083F18AB" wp14:editId="06FC6C5C">
              <wp:simplePos x="0" y="0"/>
              <wp:positionH relativeFrom="page">
                <wp:posOffset>0</wp:posOffset>
              </wp:positionH>
              <wp:positionV relativeFrom="page">
                <wp:posOffset>10189210</wp:posOffset>
              </wp:positionV>
              <wp:extent cx="7560310" cy="311785"/>
              <wp:effectExtent l="0" t="0" r="0" b="12065"/>
              <wp:wrapNone/>
              <wp:docPr id="87" name="Text Box 8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E38A7A" w14:textId="5612143A" w:rsidR="00EE45AE" w:rsidRPr="00EE45AE" w:rsidRDefault="00EE45AE" w:rsidP="00EE45AE">
                          <w:pPr>
                            <w:spacing w:after="0"/>
                            <w:jc w:val="center"/>
                            <w:rPr>
                              <w:rFonts w:ascii="Arial Black" w:hAnsi="Arial Black"/>
                              <w:color w:val="000000"/>
                              <w:sz w:val="20"/>
                            </w:rPr>
                          </w:pPr>
                          <w:r w:rsidRPr="00EE45A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83F18AB" id="Text Box 87" o:spid="_x0000_s1092"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3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OXFGAIAACw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J8XKSE6oj7WRiod4avGxxi&#10;w5x/YRa5xrlRv/4ZD6kAm8HJoqQG++tv/pCPFGCUkg61U1D3c8+soER910jOXXZ9HcQWf9Cw773l&#10;6NX79gFQlhm+EMOjGXK9Gk1poX1Dea9CNwwxzbFnQcvRfPCDkvF5cLFaxSSUlWF+o7eGh9IBzgDt&#10;a//GrDnh75G5JxjVxfIPNAy5AxGrvQfZRI4CwAOaJ9xRkpHl0/MJmn//H7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GAOXFGAIAACwEAAAOAAAAAAAAAAAAAAAAAC4CAABkcnMvZTJvRG9jLnhtbFBLAQItABQA&#10;BgAIAAAAIQBIDV6a3wAAAAsBAAAPAAAAAAAAAAAAAAAAAHIEAABkcnMvZG93bnJldi54bWxQSwUG&#10;AAAAAAQABADzAAAAfgUAAAAA&#10;" o:allowincell="f" filled="f" stroked="f" strokeweight=".5pt">
              <v:textbox inset=",0,,0">
                <w:txbxContent>
                  <w:p w14:paraId="25E38A7A" w14:textId="5612143A" w:rsidR="00EE45AE" w:rsidRPr="00EE45AE" w:rsidRDefault="00EE45AE" w:rsidP="00EE45AE">
                    <w:pPr>
                      <w:spacing w:after="0"/>
                      <w:jc w:val="center"/>
                      <w:rPr>
                        <w:rFonts w:ascii="Arial Black" w:hAnsi="Arial Black"/>
                        <w:color w:val="000000"/>
                        <w:sz w:val="20"/>
                      </w:rPr>
                    </w:pPr>
                    <w:r w:rsidRPr="00EE45AE">
                      <w:rPr>
                        <w:rFonts w:ascii="Arial Black" w:hAnsi="Arial Black"/>
                        <w:color w:val="000000"/>
                        <w:sz w:val="20"/>
                      </w:rPr>
                      <w:t>OFFICIAL</w:t>
                    </w:r>
                  </w:p>
                </w:txbxContent>
              </v:textbox>
              <w10:wrap anchorx="page" anchory="page"/>
            </v:shape>
          </w:pict>
        </mc:Fallback>
      </mc:AlternateContent>
    </w:r>
    <w:r w:rsidR="005469DF">
      <w:rPr>
        <w:noProof/>
        <w:lang w:eastAsia="en-AU"/>
      </w:rPr>
      <mc:AlternateContent>
        <mc:Choice Requires="wps">
          <w:drawing>
            <wp:anchor distT="0" distB="0" distL="114300" distR="114300" simplePos="0" relativeHeight="251658321" behindDoc="0" locked="0" layoutInCell="0" allowOverlap="1" wp14:anchorId="07032B30" wp14:editId="4A22EBBA">
              <wp:simplePos x="0" y="0"/>
              <wp:positionH relativeFrom="page">
                <wp:posOffset>0</wp:posOffset>
              </wp:positionH>
              <wp:positionV relativeFrom="page">
                <wp:posOffset>10189210</wp:posOffset>
              </wp:positionV>
              <wp:extent cx="7560310" cy="311785"/>
              <wp:effectExtent l="0" t="0" r="0" b="12065"/>
              <wp:wrapNone/>
              <wp:docPr id="84" name="Text Box 8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3DA57C" w14:textId="2BEFC98E" w:rsidR="005469DF" w:rsidRPr="005469DF" w:rsidRDefault="005469DF" w:rsidP="005469DF">
                          <w:pPr>
                            <w:spacing w:after="0"/>
                            <w:jc w:val="center"/>
                            <w:rPr>
                              <w:rFonts w:ascii="Arial Black" w:hAnsi="Arial Black"/>
                              <w:color w:val="000000"/>
                              <w:sz w:val="20"/>
                            </w:rPr>
                          </w:pPr>
                          <w:r w:rsidRPr="005469D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7032B30" id="Text Box 84" o:spid="_x0000_s1093"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32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2j2RNGAIAACwEAAAOAAAAAAAAAAAAAAAAAC4CAABkcnMvZTJvRG9jLnhtbFBLAQItABQA&#10;BgAIAAAAIQBIDV6a3wAAAAsBAAAPAAAAAAAAAAAAAAAAAHIEAABkcnMvZG93bnJldi54bWxQSwUG&#10;AAAAAAQABADzAAAAfgUAAAAA&#10;" o:allowincell="f" filled="f" stroked="f" strokeweight=".5pt">
              <v:textbox inset=",0,,0">
                <w:txbxContent>
                  <w:p w14:paraId="6F3DA57C" w14:textId="2BEFC98E" w:rsidR="005469DF" w:rsidRPr="005469DF" w:rsidRDefault="005469DF" w:rsidP="005469DF">
                    <w:pPr>
                      <w:spacing w:after="0"/>
                      <w:jc w:val="center"/>
                      <w:rPr>
                        <w:rFonts w:ascii="Arial Black" w:hAnsi="Arial Black"/>
                        <w:color w:val="000000"/>
                        <w:sz w:val="20"/>
                      </w:rPr>
                    </w:pPr>
                    <w:r w:rsidRPr="005469DF">
                      <w:rPr>
                        <w:rFonts w:ascii="Arial Black" w:hAnsi="Arial Black"/>
                        <w:color w:val="000000"/>
                        <w:sz w:val="20"/>
                      </w:rPr>
                      <w:t>OFFICIAL</w:t>
                    </w:r>
                  </w:p>
                </w:txbxContent>
              </v:textbox>
              <w10:wrap anchorx="page" anchory="page"/>
            </v:shape>
          </w:pict>
        </mc:Fallback>
      </mc:AlternateContent>
    </w:r>
    <w:r w:rsidR="001F2B55">
      <w:rPr>
        <w:noProof/>
        <w:lang w:eastAsia="en-AU"/>
      </w:rPr>
      <mc:AlternateContent>
        <mc:Choice Requires="wps">
          <w:drawing>
            <wp:anchor distT="0" distB="0" distL="114300" distR="114300" simplePos="0" relativeHeight="251658316" behindDoc="0" locked="0" layoutInCell="0" allowOverlap="1" wp14:anchorId="2620405B" wp14:editId="3478646A">
              <wp:simplePos x="0" y="0"/>
              <wp:positionH relativeFrom="page">
                <wp:posOffset>0</wp:posOffset>
              </wp:positionH>
              <wp:positionV relativeFrom="page">
                <wp:posOffset>10189210</wp:posOffset>
              </wp:positionV>
              <wp:extent cx="7560310" cy="311785"/>
              <wp:effectExtent l="0" t="0" r="0" b="12065"/>
              <wp:wrapNone/>
              <wp:docPr id="73" name="Text Box 7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2F25B0" w14:textId="33574C0E" w:rsidR="001F2B55" w:rsidRPr="001F2B55" w:rsidRDefault="001F2B55" w:rsidP="001F2B55">
                          <w:pPr>
                            <w:spacing w:after="0"/>
                            <w:jc w:val="center"/>
                            <w:rPr>
                              <w:rFonts w:ascii="Arial Black" w:hAnsi="Arial Black"/>
                              <w:color w:val="000000"/>
                              <w:sz w:val="20"/>
                            </w:rPr>
                          </w:pPr>
                          <w:r w:rsidRPr="001F2B5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620405B" id="Text Box 73" o:spid="_x0000_s109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3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iRijfGAIAACwEAAAOAAAAAAAAAAAAAAAAAC4CAABkcnMvZTJvRG9jLnhtbFBLAQItABQA&#10;BgAIAAAAIQBIDV6a3wAAAAsBAAAPAAAAAAAAAAAAAAAAAHIEAABkcnMvZG93bnJldi54bWxQSwUG&#10;AAAAAAQABADzAAAAfgUAAAAA&#10;" o:allowincell="f" filled="f" stroked="f" strokeweight=".5pt">
              <v:textbox inset=",0,,0">
                <w:txbxContent>
                  <w:p w14:paraId="592F25B0" w14:textId="33574C0E" w:rsidR="001F2B55" w:rsidRPr="001F2B55" w:rsidRDefault="001F2B55" w:rsidP="001F2B55">
                    <w:pPr>
                      <w:spacing w:after="0"/>
                      <w:jc w:val="center"/>
                      <w:rPr>
                        <w:rFonts w:ascii="Arial Black" w:hAnsi="Arial Black"/>
                        <w:color w:val="000000"/>
                        <w:sz w:val="20"/>
                      </w:rPr>
                    </w:pPr>
                    <w:r w:rsidRPr="001F2B55">
                      <w:rPr>
                        <w:rFonts w:ascii="Arial Black" w:hAnsi="Arial Black"/>
                        <w:color w:val="000000"/>
                        <w:sz w:val="20"/>
                      </w:rPr>
                      <w:t>OFFICIAL</w:t>
                    </w:r>
                  </w:p>
                </w:txbxContent>
              </v:textbox>
              <w10:wrap anchorx="page" anchory="page"/>
            </v:shape>
          </w:pict>
        </mc:Fallback>
      </mc:AlternateContent>
    </w:r>
    <w:r w:rsidR="00CB0738">
      <w:rPr>
        <w:noProof/>
        <w:lang w:eastAsia="en-AU"/>
      </w:rPr>
      <mc:AlternateContent>
        <mc:Choice Requires="wps">
          <w:drawing>
            <wp:anchor distT="0" distB="0" distL="114300" distR="114300" simplePos="0" relativeHeight="251658313" behindDoc="0" locked="0" layoutInCell="0" allowOverlap="1" wp14:anchorId="35F27B87" wp14:editId="7EBFF587">
              <wp:simplePos x="0" y="0"/>
              <wp:positionH relativeFrom="page">
                <wp:posOffset>0</wp:posOffset>
              </wp:positionH>
              <wp:positionV relativeFrom="page">
                <wp:posOffset>10189210</wp:posOffset>
              </wp:positionV>
              <wp:extent cx="7560310" cy="311785"/>
              <wp:effectExtent l="0" t="0" r="0" b="12065"/>
              <wp:wrapNone/>
              <wp:docPr id="79" name="Text Box 7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9F30FA" w14:textId="5429E77E" w:rsidR="00CB0738" w:rsidRPr="00CB0738" w:rsidRDefault="00CB0738" w:rsidP="00CB0738">
                          <w:pPr>
                            <w:spacing w:after="0"/>
                            <w:jc w:val="center"/>
                            <w:rPr>
                              <w:rFonts w:ascii="Arial Black" w:hAnsi="Arial Black"/>
                              <w:color w:val="000000"/>
                              <w:sz w:val="20"/>
                            </w:rPr>
                          </w:pPr>
                          <w:r w:rsidRPr="00CB073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5F27B87" id="Text Box 79" o:spid="_x0000_s1095"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31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lXGQIAACw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LduEgJ1RH3szBQ7wxfNzjE&#10;hjn/wixyjXOjfv0zHlIBNoOTRUkN9tff/CEfKcAoJR1qp6Du555ZQYn6rpGcu+z6Oogt/qBh33vL&#10;0av37QOgLDN8IYZHM+R6NZrSQvuG8l6FbhhimmPPgpaj+eAHJePz4GK1ikkoK8P8Rm8ND6UDnAHa&#10;1/6NWXPC3yNzTzCqi+UfaBhyByJWew+yiRwFgAc0T7ijJCPLp+cTNP/+P2ZdHvnyN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UsmpVxkCAAAsBAAADgAAAAAAAAAAAAAAAAAuAgAAZHJzL2Uyb0RvYy54bWxQSwECLQAU&#10;AAYACAAAACEASA1emt8AAAALAQAADwAAAAAAAAAAAAAAAABzBAAAZHJzL2Rvd25yZXYueG1sUEsF&#10;BgAAAAAEAAQA8wAAAH8FAAAAAA==&#10;" o:allowincell="f" filled="f" stroked="f" strokeweight=".5pt">
              <v:textbox inset=",0,,0">
                <w:txbxContent>
                  <w:p w14:paraId="689F30FA" w14:textId="5429E77E" w:rsidR="00CB0738" w:rsidRPr="00CB0738" w:rsidRDefault="00CB0738" w:rsidP="00CB0738">
                    <w:pPr>
                      <w:spacing w:after="0"/>
                      <w:jc w:val="center"/>
                      <w:rPr>
                        <w:rFonts w:ascii="Arial Black" w:hAnsi="Arial Black"/>
                        <w:color w:val="000000"/>
                        <w:sz w:val="20"/>
                      </w:rPr>
                    </w:pPr>
                    <w:r w:rsidRPr="00CB0738">
                      <w:rPr>
                        <w:rFonts w:ascii="Arial Black" w:hAnsi="Arial Black"/>
                        <w:color w:val="000000"/>
                        <w:sz w:val="20"/>
                      </w:rPr>
                      <w:t>OFFICIAL</w:t>
                    </w:r>
                  </w:p>
                </w:txbxContent>
              </v:textbox>
              <w10:wrap anchorx="page" anchory="page"/>
            </v:shape>
          </w:pict>
        </mc:Fallback>
      </mc:AlternateContent>
    </w:r>
    <w:r w:rsidR="005B3D19">
      <w:rPr>
        <w:noProof/>
        <w:lang w:eastAsia="en-AU"/>
      </w:rPr>
      <mc:AlternateContent>
        <mc:Choice Requires="wps">
          <w:drawing>
            <wp:anchor distT="0" distB="0" distL="114300" distR="114300" simplePos="0" relativeHeight="251658310" behindDoc="0" locked="0" layoutInCell="0" allowOverlap="1" wp14:anchorId="4535F688" wp14:editId="1E312767">
              <wp:simplePos x="0" y="0"/>
              <wp:positionH relativeFrom="page">
                <wp:posOffset>0</wp:posOffset>
              </wp:positionH>
              <wp:positionV relativeFrom="page">
                <wp:posOffset>10189210</wp:posOffset>
              </wp:positionV>
              <wp:extent cx="7560310" cy="311785"/>
              <wp:effectExtent l="0" t="0" r="0" b="12065"/>
              <wp:wrapNone/>
              <wp:docPr id="76" name="Text Box 7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C82DFA" w14:textId="3C40752D" w:rsidR="005B3D19" w:rsidRPr="005B3D19" w:rsidRDefault="005B3D19" w:rsidP="005B3D19">
                          <w:pPr>
                            <w:spacing w:after="0"/>
                            <w:jc w:val="center"/>
                            <w:rPr>
                              <w:rFonts w:ascii="Arial Black" w:hAnsi="Arial Black"/>
                              <w:color w:val="000000"/>
                              <w:sz w:val="20"/>
                            </w:rPr>
                          </w:pPr>
                          <w:r w:rsidRPr="005B3D1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535F688" id="Text Box 76" o:spid="_x0000_s1096"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31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zf9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k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DdfN/0XAgAALAQAAA4AAAAAAAAAAAAAAAAALgIAAGRycy9lMm9Eb2MueG1sUEsBAi0AFAAG&#10;AAgAAAAhAEgNXprfAAAACwEAAA8AAAAAAAAAAAAAAAAAcQQAAGRycy9kb3ducmV2LnhtbFBLBQYA&#10;AAAABAAEAPMAAAB9BQAAAAA=&#10;" o:allowincell="f" filled="f" stroked="f" strokeweight=".5pt">
              <v:textbox inset=",0,,0">
                <w:txbxContent>
                  <w:p w14:paraId="68C82DFA" w14:textId="3C40752D" w:rsidR="005B3D19" w:rsidRPr="005B3D19" w:rsidRDefault="005B3D19" w:rsidP="005B3D19">
                    <w:pPr>
                      <w:spacing w:after="0"/>
                      <w:jc w:val="center"/>
                      <w:rPr>
                        <w:rFonts w:ascii="Arial Black" w:hAnsi="Arial Black"/>
                        <w:color w:val="000000"/>
                        <w:sz w:val="20"/>
                      </w:rPr>
                    </w:pPr>
                    <w:r w:rsidRPr="005B3D19">
                      <w:rPr>
                        <w:rFonts w:ascii="Arial Black" w:hAnsi="Arial Black"/>
                        <w:color w:val="000000"/>
                        <w:sz w:val="20"/>
                      </w:rPr>
                      <w:t>OFFICIAL</w:t>
                    </w:r>
                  </w:p>
                </w:txbxContent>
              </v:textbox>
              <w10:wrap anchorx="page" anchory="page"/>
            </v:shape>
          </w:pict>
        </mc:Fallback>
      </mc:AlternateContent>
    </w:r>
    <w:r w:rsidR="00312C8F">
      <w:rPr>
        <w:noProof/>
        <w:lang w:eastAsia="en-AU"/>
      </w:rPr>
      <mc:AlternateContent>
        <mc:Choice Requires="wps">
          <w:drawing>
            <wp:anchor distT="0" distB="0" distL="114300" distR="114300" simplePos="0" relativeHeight="251658307" behindDoc="0" locked="0" layoutInCell="0" allowOverlap="1" wp14:anchorId="0D18B2D1" wp14:editId="06D3CED6">
              <wp:simplePos x="0" y="0"/>
              <wp:positionH relativeFrom="page">
                <wp:posOffset>0</wp:posOffset>
              </wp:positionH>
              <wp:positionV relativeFrom="page">
                <wp:posOffset>10189210</wp:posOffset>
              </wp:positionV>
              <wp:extent cx="7560310" cy="311785"/>
              <wp:effectExtent l="0" t="0" r="0" b="12065"/>
              <wp:wrapNone/>
              <wp:docPr id="16" name="Text Box 1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C1F175" w14:textId="2C8424CF" w:rsidR="00312C8F" w:rsidRPr="00312C8F" w:rsidRDefault="00312C8F" w:rsidP="00312C8F">
                          <w:pPr>
                            <w:spacing w:after="0"/>
                            <w:jc w:val="center"/>
                            <w:rPr>
                              <w:rFonts w:ascii="Arial Black" w:hAnsi="Arial Black"/>
                              <w:color w:val="000000"/>
                              <w:sz w:val="20"/>
                            </w:rPr>
                          </w:pPr>
                          <w:r w:rsidRPr="00312C8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D18B2D1" id="Text Box 16" o:spid="_x0000_s1097"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30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Z1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k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MfQtnUXAgAALAQAAA4AAAAAAAAAAAAAAAAALgIAAGRycy9lMm9Eb2MueG1sUEsBAi0AFAAG&#10;AAgAAAAhAEgNXprfAAAACwEAAA8AAAAAAAAAAAAAAAAAcQQAAGRycy9kb3ducmV2LnhtbFBLBQYA&#10;AAAABAAEAPMAAAB9BQAAAAA=&#10;" o:allowincell="f" filled="f" stroked="f" strokeweight=".5pt">
              <v:textbox inset=",0,,0">
                <w:txbxContent>
                  <w:p w14:paraId="27C1F175" w14:textId="2C8424CF" w:rsidR="00312C8F" w:rsidRPr="00312C8F" w:rsidRDefault="00312C8F" w:rsidP="00312C8F">
                    <w:pPr>
                      <w:spacing w:after="0"/>
                      <w:jc w:val="center"/>
                      <w:rPr>
                        <w:rFonts w:ascii="Arial Black" w:hAnsi="Arial Black"/>
                        <w:color w:val="000000"/>
                        <w:sz w:val="20"/>
                      </w:rPr>
                    </w:pPr>
                    <w:r w:rsidRPr="00312C8F">
                      <w:rPr>
                        <w:rFonts w:ascii="Arial Black" w:hAnsi="Arial Black"/>
                        <w:color w:val="000000"/>
                        <w:sz w:val="20"/>
                      </w:rPr>
                      <w:t>OFFICIAL</w:t>
                    </w:r>
                  </w:p>
                </w:txbxContent>
              </v:textbox>
              <w10:wrap anchorx="page" anchory="page"/>
            </v:shape>
          </w:pict>
        </mc:Fallback>
      </mc:AlternateContent>
    </w:r>
    <w:r w:rsidR="00E5140F">
      <w:rPr>
        <w:noProof/>
        <w:lang w:eastAsia="en-AU"/>
      </w:rPr>
      <mc:AlternateContent>
        <mc:Choice Requires="wps">
          <w:drawing>
            <wp:anchor distT="0" distB="0" distL="114300" distR="114300" simplePos="0" relativeHeight="251658304" behindDoc="0" locked="0" layoutInCell="0" allowOverlap="1" wp14:anchorId="4DE324E6" wp14:editId="1D0491B1">
              <wp:simplePos x="0" y="0"/>
              <wp:positionH relativeFrom="page">
                <wp:posOffset>0</wp:posOffset>
              </wp:positionH>
              <wp:positionV relativeFrom="page">
                <wp:posOffset>10189210</wp:posOffset>
              </wp:positionV>
              <wp:extent cx="7560310" cy="311785"/>
              <wp:effectExtent l="0" t="0" r="0" b="12065"/>
              <wp:wrapNone/>
              <wp:docPr id="42" name="Text Box 4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C3DE40" w14:textId="58A9A1F5" w:rsidR="00E5140F" w:rsidRPr="00E5140F" w:rsidRDefault="00E5140F" w:rsidP="00E5140F">
                          <w:pPr>
                            <w:spacing w:after="0"/>
                            <w:jc w:val="center"/>
                            <w:rPr>
                              <w:rFonts w:ascii="Arial Black" w:hAnsi="Arial Black"/>
                              <w:color w:val="000000"/>
                              <w:sz w:val="20"/>
                            </w:rPr>
                          </w:pPr>
                          <w:r w:rsidRPr="00E5140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DE324E6" id="Text Box 42" o:spid="_x0000_s109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3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U3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HGk8LLKF8oj7Weipd4avahxi&#10;zZx/Zha5xrlRv/4JD6kAm8HJoqQC++d//pCPFGCUkha1U1D3e8+soET91EjObXZ1F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WRkU3GAIAACwEAAAOAAAAAAAAAAAAAAAAAC4CAABkcnMvZTJvRG9jLnhtbFBLAQItABQA&#10;BgAIAAAAIQBIDV6a3wAAAAsBAAAPAAAAAAAAAAAAAAAAAHIEAABkcnMvZG93bnJldi54bWxQSwUG&#10;AAAAAAQABADzAAAAfgUAAAAA&#10;" o:allowincell="f" filled="f" stroked="f" strokeweight=".5pt">
              <v:textbox inset=",0,,0">
                <w:txbxContent>
                  <w:p w14:paraId="46C3DE40" w14:textId="58A9A1F5" w:rsidR="00E5140F" w:rsidRPr="00E5140F" w:rsidRDefault="00E5140F" w:rsidP="00E5140F">
                    <w:pPr>
                      <w:spacing w:after="0"/>
                      <w:jc w:val="center"/>
                      <w:rPr>
                        <w:rFonts w:ascii="Arial Black" w:hAnsi="Arial Black"/>
                        <w:color w:val="000000"/>
                        <w:sz w:val="20"/>
                      </w:rPr>
                    </w:pPr>
                    <w:r w:rsidRPr="00E5140F">
                      <w:rPr>
                        <w:rFonts w:ascii="Arial Black" w:hAnsi="Arial Black"/>
                        <w:color w:val="000000"/>
                        <w:sz w:val="20"/>
                      </w:rPr>
                      <w:t>OFFICIAL</w:t>
                    </w:r>
                  </w:p>
                </w:txbxContent>
              </v:textbox>
              <w10:wrap anchorx="page" anchory="page"/>
            </v:shape>
          </w:pict>
        </mc:Fallback>
      </mc:AlternateContent>
    </w:r>
    <w:r w:rsidR="00656E4C">
      <w:rPr>
        <w:noProof/>
        <w:lang w:eastAsia="en-AU"/>
      </w:rPr>
      <mc:AlternateContent>
        <mc:Choice Requires="wps">
          <w:drawing>
            <wp:anchor distT="0" distB="0" distL="114300" distR="114300" simplePos="0" relativeHeight="251658299" behindDoc="0" locked="0" layoutInCell="0" allowOverlap="1" wp14:anchorId="074035E6" wp14:editId="61094275">
              <wp:simplePos x="0" y="0"/>
              <wp:positionH relativeFrom="page">
                <wp:posOffset>0</wp:posOffset>
              </wp:positionH>
              <wp:positionV relativeFrom="page">
                <wp:posOffset>10189210</wp:posOffset>
              </wp:positionV>
              <wp:extent cx="7560310" cy="311785"/>
              <wp:effectExtent l="0" t="0" r="0" b="12065"/>
              <wp:wrapNone/>
              <wp:docPr id="31" name="Text Box 3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BBE8EB" w14:textId="52066F08" w:rsidR="00656E4C" w:rsidRPr="00656E4C" w:rsidRDefault="00656E4C" w:rsidP="00656E4C">
                          <w:pPr>
                            <w:spacing w:after="0"/>
                            <w:jc w:val="center"/>
                            <w:rPr>
                              <w:rFonts w:ascii="Arial Black" w:hAnsi="Arial Black"/>
                              <w:color w:val="000000"/>
                              <w:sz w:val="20"/>
                            </w:rPr>
                          </w:pPr>
                          <w:r w:rsidRPr="00656E4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74035E6" id="Text Box 31" o:spid="_x0000_s109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9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S/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T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mycS/GAIAACwEAAAOAAAAAAAAAAAAAAAAAC4CAABkcnMvZTJvRG9jLnhtbFBLAQItABQA&#10;BgAIAAAAIQBIDV6a3wAAAAsBAAAPAAAAAAAAAAAAAAAAAHIEAABkcnMvZG93bnJldi54bWxQSwUG&#10;AAAAAAQABADzAAAAfgUAAAAA&#10;" o:allowincell="f" filled="f" stroked="f" strokeweight=".5pt">
              <v:textbox inset=",0,,0">
                <w:txbxContent>
                  <w:p w14:paraId="2ABBE8EB" w14:textId="52066F08" w:rsidR="00656E4C" w:rsidRPr="00656E4C" w:rsidRDefault="00656E4C" w:rsidP="00656E4C">
                    <w:pPr>
                      <w:spacing w:after="0"/>
                      <w:jc w:val="center"/>
                      <w:rPr>
                        <w:rFonts w:ascii="Arial Black" w:hAnsi="Arial Black"/>
                        <w:color w:val="000000"/>
                        <w:sz w:val="20"/>
                      </w:rPr>
                    </w:pPr>
                    <w:r w:rsidRPr="00656E4C">
                      <w:rPr>
                        <w:rFonts w:ascii="Arial Black" w:hAnsi="Arial Black"/>
                        <w:color w:val="000000"/>
                        <w:sz w:val="20"/>
                      </w:rPr>
                      <w:t>OFFICIAL</w:t>
                    </w:r>
                  </w:p>
                </w:txbxContent>
              </v:textbox>
              <w10:wrap anchorx="page" anchory="page"/>
            </v:shape>
          </w:pict>
        </mc:Fallback>
      </mc:AlternateContent>
    </w:r>
    <w:r w:rsidR="0018744C">
      <w:rPr>
        <w:noProof/>
        <w:lang w:eastAsia="en-AU"/>
      </w:rPr>
      <mc:AlternateContent>
        <mc:Choice Requires="wps">
          <w:drawing>
            <wp:anchor distT="0" distB="0" distL="114300" distR="114300" simplePos="0" relativeHeight="251658278" behindDoc="0" locked="0" layoutInCell="0" allowOverlap="1" wp14:anchorId="5A64B333" wp14:editId="33386370">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AE63C2" w14:textId="01221B66" w:rsidR="0018744C" w:rsidRPr="0018744C" w:rsidRDefault="0018744C" w:rsidP="0018744C">
                          <w:pPr>
                            <w:spacing w:after="0"/>
                            <w:jc w:val="center"/>
                            <w:rPr>
                              <w:rFonts w:ascii="Arial Black" w:hAnsi="Arial Black"/>
                              <w:color w:val="000000"/>
                              <w:sz w:val="20"/>
                            </w:rPr>
                          </w:pPr>
                          <w:r w:rsidRPr="0018744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A64B333" id="Text Box 9" o:spid="_x0000_s110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7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qKyGA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aTJsMgWyiPuZ6Gn3hm+qnGI&#10;NXP+mVnkGudG/fonPKQCbAYni5IK7J//+UM+UoBRSlrUTkHd7z2zghL1UyM5t9lkEs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0aqKyGAIAACwEAAAOAAAAAAAAAAAAAAAAAC4CAABkcnMvZTJvRG9jLnhtbFBLAQItABQA&#10;BgAIAAAAIQBIDV6a3wAAAAsBAAAPAAAAAAAAAAAAAAAAAHIEAABkcnMvZG93bnJldi54bWxQSwUG&#10;AAAAAAQABADzAAAAfgUAAAAA&#10;" o:allowincell="f" filled="f" stroked="f" strokeweight=".5pt">
              <v:textbox inset=",0,,0">
                <w:txbxContent>
                  <w:p w14:paraId="3CAE63C2" w14:textId="01221B66" w:rsidR="0018744C" w:rsidRPr="0018744C" w:rsidRDefault="0018744C" w:rsidP="0018744C">
                    <w:pPr>
                      <w:spacing w:after="0"/>
                      <w:jc w:val="center"/>
                      <w:rPr>
                        <w:rFonts w:ascii="Arial Black" w:hAnsi="Arial Black"/>
                        <w:color w:val="000000"/>
                        <w:sz w:val="20"/>
                      </w:rPr>
                    </w:pPr>
                    <w:r w:rsidRPr="0018744C">
                      <w:rPr>
                        <w:rFonts w:ascii="Arial Black" w:hAnsi="Arial Black"/>
                        <w:color w:val="000000"/>
                        <w:sz w:val="20"/>
                      </w:rPr>
                      <w:t>OFFICIAL</w:t>
                    </w:r>
                  </w:p>
                </w:txbxContent>
              </v:textbox>
              <w10:wrap anchorx="page" anchory="page"/>
            </v:shape>
          </w:pict>
        </mc:Fallback>
      </mc:AlternateContent>
    </w:r>
    <w:r w:rsidR="00AF69B8">
      <w:rPr>
        <w:noProof/>
        <w:lang w:eastAsia="en-AU"/>
      </w:rPr>
      <mc:AlternateContent>
        <mc:Choice Requires="wps">
          <w:drawing>
            <wp:anchor distT="0" distB="0" distL="114300" distR="114300" simplePos="0" relativeHeight="251658276" behindDoc="0" locked="0" layoutInCell="0" allowOverlap="1" wp14:anchorId="1D35D864" wp14:editId="71119749">
              <wp:simplePos x="0" y="0"/>
              <wp:positionH relativeFrom="page">
                <wp:posOffset>0</wp:posOffset>
              </wp:positionH>
              <wp:positionV relativeFrom="page">
                <wp:posOffset>10189210</wp:posOffset>
              </wp:positionV>
              <wp:extent cx="7560310" cy="311785"/>
              <wp:effectExtent l="0" t="0" r="0" b="12065"/>
              <wp:wrapNone/>
              <wp:docPr id="52" name="Text Box 5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E2706A" w14:textId="02EEDD7F" w:rsidR="00AF69B8" w:rsidRPr="00AF69B8" w:rsidRDefault="00AF69B8" w:rsidP="00AF69B8">
                          <w:pPr>
                            <w:spacing w:after="0"/>
                            <w:jc w:val="center"/>
                            <w:rPr>
                              <w:rFonts w:ascii="Arial Black" w:hAnsi="Arial Black"/>
                              <w:color w:val="000000"/>
                              <w:sz w:val="20"/>
                            </w:rPr>
                          </w:pPr>
                          <w:r w:rsidRPr="00AF69B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D35D864" id="Text Box 52" o:spid="_x0000_s110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SM6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hZHGRUqojrifhYF6Z/i6wSE2&#10;zPkXZpFrnBv165/xkAqwGZwsSmqwv/7mD/lIAUYp6VA7BXU/98wKStR3jeTcZdfXQWzxgoZ97y1H&#10;r963D4CyzPCFGB7NkOvVaEoL7RvKexW6YYhpjj0LWo7mgx+UjM+Di9UqJqGsDPMbvTU8lA5wBmhf&#10;+zdmzQl/j8w9waguln+gYcgdiFjtPcgmchQAHtA84Y6SjCyfnk/Q/Pt7zLo88uVv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E5SM6GAIAACwEAAAOAAAAAAAAAAAAAAAAAC4CAABkcnMvZTJvRG9jLnhtbFBLAQItABQA&#10;BgAIAAAAIQBIDV6a3wAAAAsBAAAPAAAAAAAAAAAAAAAAAHIEAABkcnMvZG93bnJldi54bWxQSwUG&#10;AAAAAAQABADzAAAAfgUAAAAA&#10;" o:allowincell="f" filled="f" stroked="f" strokeweight=".5pt">
              <v:textbox inset=",0,,0">
                <w:txbxContent>
                  <w:p w14:paraId="27E2706A" w14:textId="02EEDD7F" w:rsidR="00AF69B8" w:rsidRPr="00AF69B8" w:rsidRDefault="00AF69B8" w:rsidP="00AF69B8">
                    <w:pPr>
                      <w:spacing w:after="0"/>
                      <w:jc w:val="center"/>
                      <w:rPr>
                        <w:rFonts w:ascii="Arial Black" w:hAnsi="Arial Black"/>
                        <w:color w:val="000000"/>
                        <w:sz w:val="20"/>
                      </w:rPr>
                    </w:pPr>
                    <w:r w:rsidRPr="00AF69B8">
                      <w:rPr>
                        <w:rFonts w:ascii="Arial Black" w:hAnsi="Arial Black"/>
                        <w:color w:val="000000"/>
                        <w:sz w:val="20"/>
                      </w:rPr>
                      <w:t>OFFICIAL</w:t>
                    </w:r>
                  </w:p>
                </w:txbxContent>
              </v:textbox>
              <w10:wrap anchorx="page" anchory="page"/>
            </v:shape>
          </w:pict>
        </mc:Fallback>
      </mc:AlternateContent>
    </w:r>
    <w:r w:rsidR="00B96B77">
      <w:rPr>
        <w:noProof/>
        <w:lang w:eastAsia="en-AU"/>
      </w:rPr>
      <mc:AlternateContent>
        <mc:Choice Requires="wps">
          <w:drawing>
            <wp:anchor distT="0" distB="0" distL="114300" distR="114300" simplePos="0" relativeHeight="251658275" behindDoc="0" locked="0" layoutInCell="0" allowOverlap="1" wp14:anchorId="14A76178" wp14:editId="55F69C99">
              <wp:simplePos x="0" y="0"/>
              <wp:positionH relativeFrom="page">
                <wp:posOffset>0</wp:posOffset>
              </wp:positionH>
              <wp:positionV relativeFrom="page">
                <wp:posOffset>10189210</wp:posOffset>
              </wp:positionV>
              <wp:extent cx="7560310" cy="311785"/>
              <wp:effectExtent l="0" t="0" r="0" b="12065"/>
              <wp:wrapNone/>
              <wp:docPr id="49" name="Text Box 4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19D199" w14:textId="08FCBD80" w:rsidR="00B96B77" w:rsidRPr="00B96B77" w:rsidRDefault="00B96B77" w:rsidP="00B96B77">
                          <w:pPr>
                            <w:spacing w:after="0"/>
                            <w:jc w:val="center"/>
                            <w:rPr>
                              <w:rFonts w:ascii="Arial Black" w:hAnsi="Arial Black"/>
                              <w:color w:val="000000"/>
                              <w:sz w:val="20"/>
                            </w:rPr>
                          </w:pPr>
                          <w:r w:rsidRPr="00B96B7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4A76178" id="Text Box 49" o:spid="_x0000_s1102"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9B4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z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Vc9B4GAIAACwEAAAOAAAAAAAAAAAAAAAAAC4CAABkcnMvZTJvRG9jLnhtbFBLAQItABQA&#10;BgAIAAAAIQBIDV6a3wAAAAsBAAAPAAAAAAAAAAAAAAAAAHIEAABkcnMvZG93bnJldi54bWxQSwUG&#10;AAAAAAQABADzAAAAfgUAAAAA&#10;" o:allowincell="f" filled="f" stroked="f" strokeweight=".5pt">
              <v:textbox inset=",0,,0">
                <w:txbxContent>
                  <w:p w14:paraId="4719D199" w14:textId="08FCBD80" w:rsidR="00B96B77" w:rsidRPr="00B96B77" w:rsidRDefault="00B96B77" w:rsidP="00B96B77">
                    <w:pPr>
                      <w:spacing w:after="0"/>
                      <w:jc w:val="center"/>
                      <w:rPr>
                        <w:rFonts w:ascii="Arial Black" w:hAnsi="Arial Black"/>
                        <w:color w:val="000000"/>
                        <w:sz w:val="20"/>
                      </w:rPr>
                    </w:pPr>
                    <w:r w:rsidRPr="00B96B77">
                      <w:rPr>
                        <w:rFonts w:ascii="Arial Black" w:hAnsi="Arial Black"/>
                        <w:color w:val="000000"/>
                        <w:sz w:val="20"/>
                      </w:rPr>
                      <w:t>OFFICIAL</w:t>
                    </w:r>
                  </w:p>
                </w:txbxContent>
              </v:textbox>
              <w10:wrap anchorx="page" anchory="page"/>
            </v:shape>
          </w:pict>
        </mc:Fallback>
      </mc:AlternateContent>
    </w:r>
    <w:r w:rsidR="009B3B17">
      <w:rPr>
        <w:noProof/>
        <w:lang w:eastAsia="en-AU"/>
      </w:rPr>
      <mc:AlternateContent>
        <mc:Choice Requires="wps">
          <w:drawing>
            <wp:anchor distT="0" distB="0" distL="114300" distR="114300" simplePos="0" relativeHeight="251658261" behindDoc="0" locked="0" layoutInCell="0" allowOverlap="1" wp14:anchorId="184571E2" wp14:editId="4CA1F9BA">
              <wp:simplePos x="0" y="0"/>
              <wp:positionH relativeFrom="page">
                <wp:posOffset>0</wp:posOffset>
              </wp:positionH>
              <wp:positionV relativeFrom="page">
                <wp:posOffset>10189210</wp:posOffset>
              </wp:positionV>
              <wp:extent cx="7560310" cy="311785"/>
              <wp:effectExtent l="0" t="0" r="0" b="12065"/>
              <wp:wrapNone/>
              <wp:docPr id="47" name="Text Box 4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93B5E4" w14:textId="498A22BA" w:rsidR="009B3B17" w:rsidRPr="009B3B17" w:rsidRDefault="009B3B17" w:rsidP="009B3B17">
                          <w:pPr>
                            <w:spacing w:after="0"/>
                            <w:jc w:val="center"/>
                            <w:rPr>
                              <w:rFonts w:ascii="Arial Black" w:hAnsi="Arial Black"/>
                              <w:color w:val="000000"/>
                              <w:sz w:val="20"/>
                            </w:rPr>
                          </w:pPr>
                          <w:r w:rsidRPr="009B3B1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84571E2" id="Text Box 47" o:spid="_x0000_s1103"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FHwGAIAACwEAAAOAAAAAAAAAAAAAAAAAC4CAABkcnMvZTJvRG9jLnhtbFBLAQItABQA&#10;BgAIAAAAIQBIDV6a3wAAAAsBAAAPAAAAAAAAAAAAAAAAAHIEAABkcnMvZG93bnJldi54bWxQSwUG&#10;AAAAAAQABADzAAAAfgUAAAAA&#10;" o:allowincell="f" filled="f" stroked="f" strokeweight=".5pt">
              <v:textbox inset=",0,,0">
                <w:txbxContent>
                  <w:p w14:paraId="1393B5E4" w14:textId="498A22BA" w:rsidR="009B3B17" w:rsidRPr="009B3B17" w:rsidRDefault="009B3B17" w:rsidP="009B3B17">
                    <w:pPr>
                      <w:spacing w:after="0"/>
                      <w:jc w:val="center"/>
                      <w:rPr>
                        <w:rFonts w:ascii="Arial Black" w:hAnsi="Arial Black"/>
                        <w:color w:val="000000"/>
                        <w:sz w:val="20"/>
                      </w:rPr>
                    </w:pPr>
                    <w:r w:rsidRPr="009B3B17">
                      <w:rPr>
                        <w:rFonts w:ascii="Arial Black" w:hAnsi="Arial Black"/>
                        <w:color w:val="000000"/>
                        <w:sz w:val="20"/>
                      </w:rPr>
                      <w:t>OFFICIAL</w:t>
                    </w:r>
                  </w:p>
                </w:txbxContent>
              </v:textbox>
              <w10:wrap anchorx="page" anchory="page"/>
            </v:shape>
          </w:pict>
        </mc:Fallback>
      </mc:AlternateContent>
    </w:r>
    <w:r w:rsidR="00D54F58">
      <w:rPr>
        <w:noProof/>
        <w:lang w:eastAsia="en-AU"/>
      </w:rPr>
      <mc:AlternateContent>
        <mc:Choice Requires="wps">
          <w:drawing>
            <wp:anchor distT="0" distB="0" distL="114300" distR="114300" simplePos="0" relativeHeight="251658262" behindDoc="0" locked="0" layoutInCell="0" allowOverlap="1" wp14:anchorId="2F942394" wp14:editId="650FD9DE">
              <wp:simplePos x="0" y="0"/>
              <wp:positionH relativeFrom="page">
                <wp:posOffset>0</wp:posOffset>
              </wp:positionH>
              <wp:positionV relativeFrom="page">
                <wp:posOffset>10189210</wp:posOffset>
              </wp:positionV>
              <wp:extent cx="7560310" cy="311785"/>
              <wp:effectExtent l="0" t="0" r="0" b="12065"/>
              <wp:wrapNone/>
              <wp:docPr id="48" name="Text Box 4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A5B2BE" w14:textId="30D507B9" w:rsidR="00D54F58" w:rsidRPr="00D54F58" w:rsidRDefault="00D54F58" w:rsidP="00D54F58">
                          <w:pPr>
                            <w:spacing w:after="0"/>
                            <w:jc w:val="center"/>
                            <w:rPr>
                              <w:rFonts w:ascii="Arial Black" w:hAnsi="Arial Black"/>
                              <w:color w:val="000000"/>
                              <w:sz w:val="20"/>
                            </w:rPr>
                          </w:pPr>
                          <w:r w:rsidRPr="00D54F5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F942394" id="Text Box 48" o:spid="_x0000_s110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6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1iGAIAACw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lLHGk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xNR1iGAIAACwEAAAOAAAAAAAAAAAAAAAAAC4CAABkcnMvZTJvRG9jLnhtbFBLAQItABQA&#10;BgAIAAAAIQBIDV6a3wAAAAsBAAAPAAAAAAAAAAAAAAAAAHIEAABkcnMvZG93bnJldi54bWxQSwUG&#10;AAAAAAQABADzAAAAfgUAAAAA&#10;" o:allowincell="f" filled="f" stroked="f" strokeweight=".5pt">
              <v:textbox inset=",0,,0">
                <w:txbxContent>
                  <w:p w14:paraId="15A5B2BE" w14:textId="30D507B9" w:rsidR="00D54F58" w:rsidRPr="00D54F58" w:rsidRDefault="00D54F58" w:rsidP="00D54F58">
                    <w:pPr>
                      <w:spacing w:after="0"/>
                      <w:jc w:val="center"/>
                      <w:rPr>
                        <w:rFonts w:ascii="Arial Black" w:hAnsi="Arial Black"/>
                        <w:color w:val="000000"/>
                        <w:sz w:val="20"/>
                      </w:rPr>
                    </w:pPr>
                    <w:r w:rsidRPr="00D54F58">
                      <w:rPr>
                        <w:rFonts w:ascii="Arial Black" w:hAnsi="Arial Black"/>
                        <w:color w:val="000000"/>
                        <w:sz w:val="20"/>
                      </w:rPr>
                      <w:t>OFFICIAL</w:t>
                    </w:r>
                  </w:p>
                </w:txbxContent>
              </v:textbox>
              <w10:wrap anchorx="page" anchory="page"/>
            </v:shape>
          </w:pict>
        </mc:Fallback>
      </mc:AlternateContent>
    </w:r>
    <w:r w:rsidR="0016594B">
      <w:rPr>
        <w:noProof/>
        <w:lang w:eastAsia="en-AU"/>
      </w:rPr>
      <mc:AlternateContent>
        <mc:Choice Requires="wps">
          <w:drawing>
            <wp:anchor distT="0" distB="0" distL="114300" distR="114300" simplePos="0" relativeHeight="251658263" behindDoc="0" locked="0" layoutInCell="0" allowOverlap="1" wp14:anchorId="5EF58681" wp14:editId="3D48C9AD">
              <wp:simplePos x="0" y="0"/>
              <wp:positionH relativeFrom="page">
                <wp:posOffset>0</wp:posOffset>
              </wp:positionH>
              <wp:positionV relativeFrom="page">
                <wp:posOffset>10189210</wp:posOffset>
              </wp:positionV>
              <wp:extent cx="7560310" cy="311785"/>
              <wp:effectExtent l="0" t="0" r="0" b="12065"/>
              <wp:wrapNone/>
              <wp:docPr id="50" name="Text Box 5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58FECA" w14:textId="679A4CBF" w:rsidR="0016594B" w:rsidRPr="0016594B" w:rsidRDefault="0016594B" w:rsidP="0016594B">
                          <w:pPr>
                            <w:spacing w:after="0"/>
                            <w:jc w:val="center"/>
                            <w:rPr>
                              <w:rFonts w:ascii="Arial Black" w:hAnsi="Arial Black"/>
                              <w:color w:val="000000"/>
                              <w:sz w:val="20"/>
                            </w:rPr>
                          </w:pPr>
                          <w:r w:rsidRPr="0016594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EF58681" id="Text Box 50" o:spid="_x0000_s1105"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6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zqGQ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h34yIlVEfcz8JAvTN83eAQ&#10;G+b8C7PINc6N+vXPeEgF2AxOFiU12F9/84d8pACjlHSonYK6n3tmBSXqu0Zy7rLr6yC2eEHDvveW&#10;o1fv2wdAWWb4QgyPZsj1ajSlhfYN5b0K3TDENMeeBS1H88EPSsbnwcVqFZNQVob5jd4aHkoHOAO0&#10;r/0bs+aEv0fmnmBUF8s/0DDkDkSs9h5kEzkKAA9onnBHSUaWT88naP79PWZdHvnyN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wbqc6hkCAAAsBAAADgAAAAAAAAAAAAAAAAAuAgAAZHJzL2Uyb0RvYy54bWxQSwECLQAU&#10;AAYACAAAACEASA1emt8AAAALAQAADwAAAAAAAAAAAAAAAABzBAAAZHJzL2Rvd25yZXYueG1sUEsF&#10;BgAAAAAEAAQA8wAAAH8FAAAAAA==&#10;" o:allowincell="f" filled="f" stroked="f" strokeweight=".5pt">
              <v:textbox inset=",0,,0">
                <w:txbxContent>
                  <w:p w14:paraId="3E58FECA" w14:textId="679A4CBF" w:rsidR="0016594B" w:rsidRPr="0016594B" w:rsidRDefault="0016594B" w:rsidP="0016594B">
                    <w:pPr>
                      <w:spacing w:after="0"/>
                      <w:jc w:val="center"/>
                      <w:rPr>
                        <w:rFonts w:ascii="Arial Black" w:hAnsi="Arial Black"/>
                        <w:color w:val="000000"/>
                        <w:sz w:val="20"/>
                      </w:rPr>
                    </w:pPr>
                    <w:r w:rsidRPr="0016594B">
                      <w:rPr>
                        <w:rFonts w:ascii="Arial Black" w:hAnsi="Arial Black"/>
                        <w:color w:val="000000"/>
                        <w:sz w:val="20"/>
                      </w:rPr>
                      <w:t>OFFICIAL</w:t>
                    </w:r>
                  </w:p>
                </w:txbxContent>
              </v:textbox>
              <w10:wrap anchorx="page" anchory="page"/>
            </v:shape>
          </w:pict>
        </mc:Fallback>
      </mc:AlternateContent>
    </w:r>
    <w:r w:rsidR="00C40411">
      <w:rPr>
        <w:noProof/>
        <w:lang w:eastAsia="en-AU"/>
      </w:rPr>
      <mc:AlternateContent>
        <mc:Choice Requires="wps">
          <w:drawing>
            <wp:anchor distT="0" distB="0" distL="114300" distR="114300" simplePos="0" relativeHeight="251658264" behindDoc="0" locked="0" layoutInCell="0" allowOverlap="1" wp14:anchorId="28AD8F85" wp14:editId="283F46BE">
              <wp:simplePos x="0" y="0"/>
              <wp:positionH relativeFrom="page">
                <wp:posOffset>0</wp:posOffset>
              </wp:positionH>
              <wp:positionV relativeFrom="page">
                <wp:posOffset>10189210</wp:posOffset>
              </wp:positionV>
              <wp:extent cx="7560310" cy="311785"/>
              <wp:effectExtent l="0" t="0" r="0" b="12065"/>
              <wp:wrapNone/>
              <wp:docPr id="51" name="Text Box 5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147265" w14:textId="1CAE614F" w:rsidR="00C40411" w:rsidRPr="00C40411" w:rsidRDefault="00C40411" w:rsidP="00C40411">
                          <w:pPr>
                            <w:spacing w:after="0"/>
                            <w:jc w:val="center"/>
                            <w:rPr>
                              <w:rFonts w:ascii="Arial Black" w:hAnsi="Arial Black"/>
                              <w:color w:val="000000"/>
                              <w:sz w:val="20"/>
                            </w:rPr>
                          </w:pPr>
                          <w:r w:rsidRPr="00C4041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8AD8F85" id="Text Box 51" o:spid="_x0000_s1106"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ThqORGAIAACwEAAAOAAAAAAAAAAAAAAAAAC4CAABkcnMvZTJvRG9jLnhtbFBLAQItABQA&#10;BgAIAAAAIQBIDV6a3wAAAAsBAAAPAAAAAAAAAAAAAAAAAHIEAABkcnMvZG93bnJldi54bWxQSwUG&#10;AAAAAAQABADzAAAAfgUAAAAA&#10;" o:allowincell="f" filled="f" stroked="f" strokeweight=".5pt">
              <v:textbox inset=",0,,0">
                <w:txbxContent>
                  <w:p w14:paraId="60147265" w14:textId="1CAE614F" w:rsidR="00C40411" w:rsidRPr="00C40411" w:rsidRDefault="00C40411" w:rsidP="00C40411">
                    <w:pPr>
                      <w:spacing w:after="0"/>
                      <w:jc w:val="center"/>
                      <w:rPr>
                        <w:rFonts w:ascii="Arial Black" w:hAnsi="Arial Black"/>
                        <w:color w:val="000000"/>
                        <w:sz w:val="20"/>
                      </w:rPr>
                    </w:pPr>
                    <w:r w:rsidRPr="00C40411">
                      <w:rPr>
                        <w:rFonts w:ascii="Arial Black" w:hAnsi="Arial Black"/>
                        <w:color w:val="000000"/>
                        <w:sz w:val="20"/>
                      </w:rPr>
                      <w:t>OFFICIAL</w:t>
                    </w:r>
                  </w:p>
                </w:txbxContent>
              </v:textbox>
              <w10:wrap anchorx="page" anchory="page"/>
            </v:shape>
          </w:pict>
        </mc:Fallback>
      </mc:AlternateContent>
    </w:r>
    <w:r w:rsidR="00BD3998">
      <w:rPr>
        <w:noProof/>
        <w:lang w:eastAsia="en-AU"/>
      </w:rPr>
      <mc:AlternateContent>
        <mc:Choice Requires="wps">
          <w:drawing>
            <wp:anchor distT="0" distB="0" distL="114300" distR="114300" simplePos="0" relativeHeight="251658265" behindDoc="0" locked="0" layoutInCell="0" allowOverlap="1" wp14:anchorId="5B9DF197" wp14:editId="1A97E4A7">
              <wp:simplePos x="0" y="0"/>
              <wp:positionH relativeFrom="page">
                <wp:posOffset>0</wp:posOffset>
              </wp:positionH>
              <wp:positionV relativeFrom="page">
                <wp:posOffset>10189210</wp:posOffset>
              </wp:positionV>
              <wp:extent cx="7560310" cy="311785"/>
              <wp:effectExtent l="0" t="0" r="0" b="12065"/>
              <wp:wrapNone/>
              <wp:docPr id="53" name="Text Box 5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429B25" w14:textId="5234EDEF" w:rsidR="00BD3998" w:rsidRPr="00BD3998" w:rsidRDefault="00BD3998" w:rsidP="00BD3998">
                          <w:pPr>
                            <w:spacing w:after="0"/>
                            <w:jc w:val="center"/>
                            <w:rPr>
                              <w:rFonts w:ascii="Arial Black" w:hAnsi="Arial Black"/>
                              <w:color w:val="000000"/>
                              <w:sz w:val="20"/>
                            </w:rPr>
                          </w:pPr>
                          <w:r w:rsidRPr="00BD399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9DF197" id="Text Box 53" o:spid="_x0000_s1107"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jCSIZGAIAACwEAAAOAAAAAAAAAAAAAAAAAC4CAABkcnMvZTJvRG9jLnhtbFBLAQItABQA&#10;BgAIAAAAIQBIDV6a3wAAAAsBAAAPAAAAAAAAAAAAAAAAAHIEAABkcnMvZG93bnJldi54bWxQSwUG&#10;AAAAAAQABADzAAAAfgUAAAAA&#10;" o:allowincell="f" filled="f" stroked="f" strokeweight=".5pt">
              <v:textbox inset=",0,,0">
                <w:txbxContent>
                  <w:p w14:paraId="4D429B25" w14:textId="5234EDEF" w:rsidR="00BD3998" w:rsidRPr="00BD3998" w:rsidRDefault="00BD3998" w:rsidP="00BD3998">
                    <w:pPr>
                      <w:spacing w:after="0"/>
                      <w:jc w:val="center"/>
                      <w:rPr>
                        <w:rFonts w:ascii="Arial Black" w:hAnsi="Arial Black"/>
                        <w:color w:val="000000"/>
                        <w:sz w:val="20"/>
                      </w:rPr>
                    </w:pPr>
                    <w:r w:rsidRPr="00BD3998">
                      <w:rPr>
                        <w:rFonts w:ascii="Arial Black" w:hAnsi="Arial Black"/>
                        <w:color w:val="000000"/>
                        <w:sz w:val="20"/>
                      </w:rPr>
                      <w:t>OFFICIAL</w:t>
                    </w:r>
                  </w:p>
                </w:txbxContent>
              </v:textbox>
              <w10:wrap anchorx="page" anchory="page"/>
            </v:shape>
          </w:pict>
        </mc:Fallback>
      </mc:AlternateContent>
    </w:r>
    <w:r w:rsidR="00FB2E82">
      <w:rPr>
        <w:noProof/>
        <w:lang w:eastAsia="en-AU"/>
      </w:rPr>
      <mc:AlternateContent>
        <mc:Choice Requires="wps">
          <w:drawing>
            <wp:anchor distT="0" distB="0" distL="114300" distR="114300" simplePos="0" relativeHeight="251658266" behindDoc="0" locked="0" layoutInCell="0" allowOverlap="1" wp14:anchorId="2275F617" wp14:editId="71D3884D">
              <wp:simplePos x="0" y="0"/>
              <wp:positionH relativeFrom="page">
                <wp:posOffset>0</wp:posOffset>
              </wp:positionH>
              <wp:positionV relativeFrom="page">
                <wp:posOffset>10189210</wp:posOffset>
              </wp:positionV>
              <wp:extent cx="7560310" cy="311785"/>
              <wp:effectExtent l="0" t="0" r="0" b="12065"/>
              <wp:wrapNone/>
              <wp:docPr id="54" name="Text Box 5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5164F9" w14:textId="38A21DE1" w:rsidR="00FB2E82" w:rsidRPr="00FB2E82" w:rsidRDefault="00FB2E82" w:rsidP="00FB2E82">
                          <w:pPr>
                            <w:spacing w:after="0"/>
                            <w:jc w:val="center"/>
                            <w:rPr>
                              <w:rFonts w:ascii="Arial Black" w:hAnsi="Arial Black"/>
                              <w:color w:val="000000"/>
                              <w:sz w:val="20"/>
                            </w:rPr>
                          </w:pPr>
                          <w:r w:rsidRPr="00FB2E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275F617" id="Text Box 54" o:spid="_x0000_s110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sp/RWxkCAAAsBAAADgAAAAAAAAAAAAAAAAAuAgAAZHJzL2Uyb0RvYy54bWxQSwECLQAU&#10;AAYACAAAACEASA1emt8AAAALAQAADwAAAAAAAAAAAAAAAABzBAAAZHJzL2Rvd25yZXYueG1sUEsF&#10;BgAAAAAEAAQA8wAAAH8FAAAAAA==&#10;" o:allowincell="f" filled="f" stroked="f" strokeweight=".5pt">
              <v:textbox inset=",0,,0">
                <w:txbxContent>
                  <w:p w14:paraId="315164F9" w14:textId="38A21DE1" w:rsidR="00FB2E82" w:rsidRPr="00FB2E82" w:rsidRDefault="00FB2E82" w:rsidP="00FB2E82">
                    <w:pPr>
                      <w:spacing w:after="0"/>
                      <w:jc w:val="center"/>
                      <w:rPr>
                        <w:rFonts w:ascii="Arial Black" w:hAnsi="Arial Black"/>
                        <w:color w:val="000000"/>
                        <w:sz w:val="20"/>
                      </w:rPr>
                    </w:pPr>
                    <w:r w:rsidRPr="00FB2E82">
                      <w:rPr>
                        <w:rFonts w:ascii="Arial Black" w:hAnsi="Arial Black"/>
                        <w:color w:val="000000"/>
                        <w:sz w:val="20"/>
                      </w:rPr>
                      <w:t>OFFICIAL</w:t>
                    </w:r>
                  </w:p>
                </w:txbxContent>
              </v:textbox>
              <w10:wrap anchorx="page" anchory="page"/>
            </v:shape>
          </w:pict>
        </mc:Fallback>
      </mc:AlternateContent>
    </w:r>
    <w:r w:rsidR="00183630">
      <w:rPr>
        <w:noProof/>
        <w:lang w:eastAsia="en-AU"/>
      </w:rPr>
      <mc:AlternateContent>
        <mc:Choice Requires="wps">
          <w:drawing>
            <wp:anchor distT="0" distB="0" distL="114300" distR="114300" simplePos="0" relativeHeight="251658267" behindDoc="0" locked="0" layoutInCell="0" allowOverlap="1" wp14:anchorId="344EFAA3" wp14:editId="306A458A">
              <wp:simplePos x="0" y="0"/>
              <wp:positionH relativeFrom="page">
                <wp:posOffset>0</wp:posOffset>
              </wp:positionH>
              <wp:positionV relativeFrom="page">
                <wp:posOffset>10189210</wp:posOffset>
              </wp:positionV>
              <wp:extent cx="7560310" cy="311785"/>
              <wp:effectExtent l="0" t="0" r="0" b="12065"/>
              <wp:wrapNone/>
              <wp:docPr id="55" name="Text Box 5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96C921" w14:textId="743D8F2B" w:rsidR="00183630" w:rsidRPr="00183630" w:rsidRDefault="00183630" w:rsidP="00183630">
                          <w:pPr>
                            <w:spacing w:after="0"/>
                            <w:jc w:val="center"/>
                            <w:rPr>
                              <w:rFonts w:ascii="Arial Black" w:hAnsi="Arial Black"/>
                              <w:color w:val="000000"/>
                              <w:sz w:val="20"/>
                            </w:rPr>
                          </w:pPr>
                          <w:r w:rsidRPr="0018363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44EFAA3" id="Text Box 55" o:spid="_x0000_s110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DTGQIAACw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7GwyJbKI+4n4Weemf4qsYh&#10;1sz5Z2aRa5wb9euf8JAKsBmcLEoqsH/+5w/5SAFGKWlROwV1v/fMCkrUT43k3GbX10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QhBQ0xkCAAAsBAAADgAAAAAAAAAAAAAAAAAuAgAAZHJzL2Uyb0RvYy54bWxQSwECLQAU&#10;AAYACAAAACEASA1emt8AAAALAQAADwAAAAAAAAAAAAAAAABzBAAAZHJzL2Rvd25yZXYueG1sUEsF&#10;BgAAAAAEAAQA8wAAAH8FAAAAAA==&#10;" o:allowincell="f" filled="f" stroked="f" strokeweight=".5pt">
              <v:textbox inset=",0,,0">
                <w:txbxContent>
                  <w:p w14:paraId="7796C921" w14:textId="743D8F2B" w:rsidR="00183630" w:rsidRPr="00183630" w:rsidRDefault="00183630" w:rsidP="00183630">
                    <w:pPr>
                      <w:spacing w:after="0"/>
                      <w:jc w:val="center"/>
                      <w:rPr>
                        <w:rFonts w:ascii="Arial Black" w:hAnsi="Arial Black"/>
                        <w:color w:val="000000"/>
                        <w:sz w:val="20"/>
                      </w:rPr>
                    </w:pPr>
                    <w:r w:rsidRPr="00183630">
                      <w:rPr>
                        <w:rFonts w:ascii="Arial Black" w:hAnsi="Arial Black"/>
                        <w:color w:val="000000"/>
                        <w:sz w:val="20"/>
                      </w:rPr>
                      <w:t>OFFICIAL</w:t>
                    </w:r>
                  </w:p>
                </w:txbxContent>
              </v:textbox>
              <w10:wrap anchorx="page" anchory="page"/>
            </v:shape>
          </w:pict>
        </mc:Fallback>
      </mc:AlternateContent>
    </w:r>
    <w:r w:rsidR="0022302B">
      <w:rPr>
        <w:noProof/>
        <w:lang w:eastAsia="en-AU"/>
      </w:rPr>
      <mc:AlternateContent>
        <mc:Choice Requires="wps">
          <w:drawing>
            <wp:anchor distT="0" distB="0" distL="114300" distR="114300" simplePos="0" relativeHeight="251658268" behindDoc="0" locked="0" layoutInCell="0" allowOverlap="1" wp14:anchorId="5D466782" wp14:editId="3FC19749">
              <wp:simplePos x="0" y="0"/>
              <wp:positionH relativeFrom="page">
                <wp:posOffset>0</wp:posOffset>
              </wp:positionH>
              <wp:positionV relativeFrom="page">
                <wp:posOffset>10189210</wp:posOffset>
              </wp:positionV>
              <wp:extent cx="7560310" cy="311785"/>
              <wp:effectExtent l="0" t="0" r="0" b="12065"/>
              <wp:wrapNone/>
              <wp:docPr id="56" name="Text Box 5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EB6BC4" w14:textId="59250C44" w:rsidR="0022302B" w:rsidRPr="0022302B" w:rsidRDefault="0022302B" w:rsidP="0022302B">
                          <w:pPr>
                            <w:spacing w:after="0"/>
                            <w:jc w:val="center"/>
                            <w:rPr>
                              <w:rFonts w:ascii="Arial Black" w:hAnsi="Arial Black"/>
                              <w:color w:val="000000"/>
                              <w:sz w:val="20"/>
                            </w:rPr>
                          </w:pPr>
                          <w:r w:rsidRPr="0022302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D466782" id="Text Box 56" o:spid="_x0000_s111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ELM23hkCAAAsBAAADgAAAAAAAAAAAAAAAAAuAgAAZHJzL2Uyb0RvYy54bWxQSwECLQAU&#10;AAYACAAAACEASA1emt8AAAALAQAADwAAAAAAAAAAAAAAAABzBAAAZHJzL2Rvd25yZXYueG1sUEsF&#10;BgAAAAAEAAQA8wAAAH8FAAAAAA==&#10;" o:allowincell="f" filled="f" stroked="f" strokeweight=".5pt">
              <v:textbox inset=",0,,0">
                <w:txbxContent>
                  <w:p w14:paraId="78EB6BC4" w14:textId="59250C44" w:rsidR="0022302B" w:rsidRPr="0022302B" w:rsidRDefault="0022302B" w:rsidP="0022302B">
                    <w:pPr>
                      <w:spacing w:after="0"/>
                      <w:jc w:val="center"/>
                      <w:rPr>
                        <w:rFonts w:ascii="Arial Black" w:hAnsi="Arial Black"/>
                        <w:color w:val="000000"/>
                        <w:sz w:val="20"/>
                      </w:rPr>
                    </w:pPr>
                    <w:r w:rsidRPr="0022302B">
                      <w:rPr>
                        <w:rFonts w:ascii="Arial Black" w:hAnsi="Arial Black"/>
                        <w:color w:val="000000"/>
                        <w:sz w:val="20"/>
                      </w:rPr>
                      <w:t>OFFICIAL</w:t>
                    </w:r>
                  </w:p>
                </w:txbxContent>
              </v:textbox>
              <w10:wrap anchorx="page" anchory="page"/>
            </v:shape>
          </w:pict>
        </mc:Fallback>
      </mc:AlternateContent>
    </w:r>
    <w:r w:rsidR="00F64F9A">
      <w:rPr>
        <w:noProof/>
        <w:lang w:eastAsia="en-AU"/>
      </w:rPr>
      <mc:AlternateContent>
        <mc:Choice Requires="wps">
          <w:drawing>
            <wp:anchor distT="0" distB="0" distL="114300" distR="114300" simplePos="0" relativeHeight="251658269" behindDoc="0" locked="0" layoutInCell="0" allowOverlap="1" wp14:anchorId="1CFD3468" wp14:editId="2350B421">
              <wp:simplePos x="0" y="0"/>
              <wp:positionH relativeFrom="page">
                <wp:posOffset>0</wp:posOffset>
              </wp:positionH>
              <wp:positionV relativeFrom="page">
                <wp:posOffset>10189210</wp:posOffset>
              </wp:positionV>
              <wp:extent cx="7560310" cy="311785"/>
              <wp:effectExtent l="0" t="0" r="0" b="12065"/>
              <wp:wrapNone/>
              <wp:docPr id="57" name="Text Box 5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59B3B3" w14:textId="77C6179B" w:rsidR="00F64F9A" w:rsidRPr="00F64F9A" w:rsidRDefault="00F64F9A" w:rsidP="00F64F9A">
                          <w:pPr>
                            <w:spacing w:after="0"/>
                            <w:jc w:val="center"/>
                            <w:rPr>
                              <w:rFonts w:ascii="Arial Black" w:hAnsi="Arial Black"/>
                              <w:color w:val="000000"/>
                              <w:sz w:val="20"/>
                            </w:rPr>
                          </w:pPr>
                          <w:r w:rsidRPr="00F64F9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CFD3468" id="Text Box 57" o:spid="_x0000_s111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6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dW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6DBBdG2gPuB+DgbqveVLhUOs&#10;mA8vzCHXODfqNzzjITVgMzhalDTgfv3NH/ORAoxS0qF2Kup/7pgTlOjvBsm5K66vo9jSBQ333rs5&#10;ec2ufQCUZYEvxPJkxtygT6Z00L6hvBexG4aY4dizopuT+RAGJePz4GKxSEkoK8vCyqwtj6UjnBHa&#10;1/6NOXvEPyBzT3BSFys/0DDkDkQsdgGkShxd0DzijpJMLB+fT9T8+3vKujzy+W8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A8t1YXAgAALAQAAA4AAAAAAAAAAAAAAAAALgIAAGRycy9lMm9Eb2MueG1sUEsBAi0AFAAG&#10;AAgAAAAhAEgNXprfAAAACwEAAA8AAAAAAAAAAAAAAAAAcQQAAGRycy9kb3ducmV2LnhtbFBLBQYA&#10;AAAABAAEAPMAAAB9BQAAAAA=&#10;" o:allowincell="f" filled="f" stroked="f" strokeweight=".5pt">
              <v:textbox inset=",0,,0">
                <w:txbxContent>
                  <w:p w14:paraId="7759B3B3" w14:textId="77C6179B" w:rsidR="00F64F9A" w:rsidRPr="00F64F9A" w:rsidRDefault="00F64F9A" w:rsidP="00F64F9A">
                    <w:pPr>
                      <w:spacing w:after="0"/>
                      <w:jc w:val="center"/>
                      <w:rPr>
                        <w:rFonts w:ascii="Arial Black" w:hAnsi="Arial Black"/>
                        <w:color w:val="000000"/>
                        <w:sz w:val="20"/>
                      </w:rPr>
                    </w:pPr>
                    <w:r w:rsidRPr="00F64F9A">
                      <w:rPr>
                        <w:rFonts w:ascii="Arial Black" w:hAnsi="Arial Black"/>
                        <w:color w:val="000000"/>
                        <w:sz w:val="20"/>
                      </w:rPr>
                      <w:t>OFFICIAL</w:t>
                    </w:r>
                  </w:p>
                </w:txbxContent>
              </v:textbox>
              <w10:wrap anchorx="page" anchory="page"/>
            </v:shape>
          </w:pict>
        </mc:Fallback>
      </mc:AlternateContent>
    </w:r>
    <w:r w:rsidR="00672AFB">
      <w:rPr>
        <w:noProof/>
        <w:lang w:eastAsia="en-AU"/>
      </w:rPr>
      <mc:AlternateContent>
        <mc:Choice Requires="wps">
          <w:drawing>
            <wp:anchor distT="0" distB="0" distL="114300" distR="114300" simplePos="0" relativeHeight="251658270" behindDoc="0" locked="0" layoutInCell="0" allowOverlap="1" wp14:anchorId="17A74463" wp14:editId="0D4B482E">
              <wp:simplePos x="0" y="0"/>
              <wp:positionH relativeFrom="page">
                <wp:posOffset>0</wp:posOffset>
              </wp:positionH>
              <wp:positionV relativeFrom="page">
                <wp:posOffset>10189210</wp:posOffset>
              </wp:positionV>
              <wp:extent cx="7560310" cy="311785"/>
              <wp:effectExtent l="0" t="0" r="0" b="12065"/>
              <wp:wrapNone/>
              <wp:docPr id="58" name="Text Box 5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D3125A" w14:textId="7C23C3AB" w:rsidR="00672AFB" w:rsidRPr="00672AFB" w:rsidRDefault="00672AFB" w:rsidP="00672AFB">
                          <w:pPr>
                            <w:spacing w:after="0"/>
                            <w:jc w:val="center"/>
                            <w:rPr>
                              <w:rFonts w:ascii="Arial Black" w:hAnsi="Arial Black"/>
                              <w:color w:val="000000"/>
                              <w:sz w:val="20"/>
                            </w:rPr>
                          </w:pPr>
                          <w:r w:rsidRPr="00672AF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A74463" id="Text Box 58" o:spid="_x0000_s1112"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7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QUGQIAACw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mwyJbKI+4n4Weemf4qsYh&#10;1sz5Z2aRa5wb9euf8JAKsBmcLEoqsH/+5w/5SAFGKWlROwV1v/fMCkrUT43k3GbX10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sapEFBkCAAAsBAAADgAAAAAAAAAAAAAAAAAuAgAAZHJzL2Uyb0RvYy54bWxQSwECLQAU&#10;AAYACAAAACEASA1emt8AAAALAQAADwAAAAAAAAAAAAAAAABzBAAAZHJzL2Rvd25yZXYueG1sUEsF&#10;BgAAAAAEAAQA8wAAAH8FAAAAAA==&#10;" o:allowincell="f" filled="f" stroked="f" strokeweight=".5pt">
              <v:textbox inset=",0,,0">
                <w:txbxContent>
                  <w:p w14:paraId="0FD3125A" w14:textId="7C23C3AB" w:rsidR="00672AFB" w:rsidRPr="00672AFB" w:rsidRDefault="00672AFB" w:rsidP="00672AFB">
                    <w:pPr>
                      <w:spacing w:after="0"/>
                      <w:jc w:val="center"/>
                      <w:rPr>
                        <w:rFonts w:ascii="Arial Black" w:hAnsi="Arial Black"/>
                        <w:color w:val="000000"/>
                        <w:sz w:val="20"/>
                      </w:rPr>
                    </w:pPr>
                    <w:r w:rsidRPr="00672AFB">
                      <w:rPr>
                        <w:rFonts w:ascii="Arial Black" w:hAnsi="Arial Black"/>
                        <w:color w:val="000000"/>
                        <w:sz w:val="20"/>
                      </w:rPr>
                      <w:t>OFFICIAL</w:t>
                    </w:r>
                  </w:p>
                </w:txbxContent>
              </v:textbox>
              <w10:wrap anchorx="page" anchory="page"/>
            </v:shape>
          </w:pict>
        </mc:Fallback>
      </mc:AlternateContent>
    </w:r>
    <w:r w:rsidR="00033AB3">
      <w:rPr>
        <w:noProof/>
        <w:lang w:eastAsia="en-AU"/>
      </w:rPr>
      <mc:AlternateContent>
        <mc:Choice Requires="wps">
          <w:drawing>
            <wp:anchor distT="0" distB="0" distL="114300" distR="114300" simplePos="0" relativeHeight="251658271" behindDoc="0" locked="0" layoutInCell="0" allowOverlap="1" wp14:anchorId="1F3A44E7" wp14:editId="4327BCED">
              <wp:simplePos x="0" y="0"/>
              <wp:positionH relativeFrom="page">
                <wp:posOffset>0</wp:posOffset>
              </wp:positionH>
              <wp:positionV relativeFrom="page">
                <wp:posOffset>10189210</wp:posOffset>
              </wp:positionV>
              <wp:extent cx="7560310" cy="311785"/>
              <wp:effectExtent l="0" t="0" r="0" b="12065"/>
              <wp:wrapNone/>
              <wp:docPr id="59" name="Text Box 5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4FA490" w14:textId="4170B289" w:rsidR="00033AB3" w:rsidRPr="00033AB3" w:rsidRDefault="00033AB3" w:rsidP="00033AB3">
                          <w:pPr>
                            <w:spacing w:after="0"/>
                            <w:jc w:val="center"/>
                            <w:rPr>
                              <w:rFonts w:ascii="Arial Black" w:hAnsi="Arial Black"/>
                              <w:color w:val="000000"/>
                              <w:sz w:val="20"/>
                            </w:rPr>
                          </w:pPr>
                          <w:r w:rsidRPr="00033AB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F3A44E7" id="Text Box 59" o:spid="_x0000_s1113"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7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QSXFnBkCAAAsBAAADgAAAAAAAAAAAAAAAAAuAgAAZHJzL2Uyb0RvYy54bWxQSwECLQAU&#10;AAYACAAAACEASA1emt8AAAALAQAADwAAAAAAAAAAAAAAAABzBAAAZHJzL2Rvd25yZXYueG1sUEsF&#10;BgAAAAAEAAQA8wAAAH8FAAAAAA==&#10;" o:allowincell="f" filled="f" stroked="f" strokeweight=".5pt">
              <v:textbox inset=",0,,0">
                <w:txbxContent>
                  <w:p w14:paraId="2C4FA490" w14:textId="4170B289" w:rsidR="00033AB3" w:rsidRPr="00033AB3" w:rsidRDefault="00033AB3" w:rsidP="00033AB3">
                    <w:pPr>
                      <w:spacing w:after="0"/>
                      <w:jc w:val="center"/>
                      <w:rPr>
                        <w:rFonts w:ascii="Arial Black" w:hAnsi="Arial Black"/>
                        <w:color w:val="000000"/>
                        <w:sz w:val="20"/>
                      </w:rPr>
                    </w:pPr>
                    <w:r w:rsidRPr="00033AB3">
                      <w:rPr>
                        <w:rFonts w:ascii="Arial Black" w:hAnsi="Arial Black"/>
                        <w:color w:val="000000"/>
                        <w:sz w:val="20"/>
                      </w:rPr>
                      <w:t>OFFICIAL</w:t>
                    </w:r>
                  </w:p>
                </w:txbxContent>
              </v:textbox>
              <w10:wrap anchorx="page" anchory="page"/>
            </v:shape>
          </w:pict>
        </mc:Fallback>
      </mc:AlternateContent>
    </w:r>
    <w:r w:rsidR="00894FA6">
      <w:rPr>
        <w:noProof/>
        <w:lang w:eastAsia="en-AU"/>
      </w:rPr>
      <mc:AlternateContent>
        <mc:Choice Requires="wps">
          <w:drawing>
            <wp:anchor distT="0" distB="0" distL="114300" distR="114300" simplePos="0" relativeHeight="251658272" behindDoc="0" locked="0" layoutInCell="0" allowOverlap="1" wp14:anchorId="3590978F" wp14:editId="6C463829">
              <wp:simplePos x="0" y="0"/>
              <wp:positionH relativeFrom="page">
                <wp:posOffset>0</wp:posOffset>
              </wp:positionH>
              <wp:positionV relativeFrom="page">
                <wp:posOffset>10189210</wp:posOffset>
              </wp:positionV>
              <wp:extent cx="7560310" cy="311785"/>
              <wp:effectExtent l="0" t="0" r="0" b="12065"/>
              <wp:wrapNone/>
              <wp:docPr id="60" name="Text Box 6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AECEAF" w14:textId="4A810BDA" w:rsidR="00894FA6" w:rsidRPr="00894FA6" w:rsidRDefault="00894FA6" w:rsidP="00894FA6">
                          <w:pPr>
                            <w:spacing w:after="0"/>
                            <w:jc w:val="center"/>
                            <w:rPr>
                              <w:rFonts w:ascii="Arial Black" w:hAnsi="Arial Black"/>
                              <w:color w:val="000000"/>
                              <w:sz w:val="20"/>
                            </w:rPr>
                          </w:pPr>
                          <w:r w:rsidRPr="00894FA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590978F" id="Text Box 60" o:spid="_x0000_s111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IkOGQIAACw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5mwyJbKI+4n4Weemf4qsYh&#10;1sz5Z2aRa5wb9euf8JAKsBmcLEoqsH/+5w/5SAFGKWlROwV1v/fMCkrUT43k3GbX10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FeyJDhkCAAAsBAAADgAAAAAAAAAAAAAAAAAuAgAAZHJzL2Uyb0RvYy54bWxQSwECLQAU&#10;AAYACAAAACEASA1emt8AAAALAQAADwAAAAAAAAAAAAAAAABzBAAAZHJzL2Rvd25yZXYueG1sUEsF&#10;BgAAAAAEAAQA8wAAAH8FAAAAAA==&#10;" o:allowincell="f" filled="f" stroked="f" strokeweight=".5pt">
              <v:textbox inset=",0,,0">
                <w:txbxContent>
                  <w:p w14:paraId="36AECEAF" w14:textId="4A810BDA" w:rsidR="00894FA6" w:rsidRPr="00894FA6" w:rsidRDefault="00894FA6" w:rsidP="00894FA6">
                    <w:pPr>
                      <w:spacing w:after="0"/>
                      <w:jc w:val="center"/>
                      <w:rPr>
                        <w:rFonts w:ascii="Arial Black" w:hAnsi="Arial Black"/>
                        <w:color w:val="000000"/>
                        <w:sz w:val="20"/>
                      </w:rPr>
                    </w:pPr>
                    <w:r w:rsidRPr="00894FA6">
                      <w:rPr>
                        <w:rFonts w:ascii="Arial Black" w:hAnsi="Arial Black"/>
                        <w:color w:val="000000"/>
                        <w:sz w:val="20"/>
                      </w:rPr>
                      <w:t>OFFICIAL</w:t>
                    </w:r>
                  </w:p>
                </w:txbxContent>
              </v:textbox>
              <w10:wrap anchorx="page" anchory="page"/>
            </v:shape>
          </w:pict>
        </mc:Fallback>
      </mc:AlternateContent>
    </w:r>
    <w:r w:rsidR="008977D1">
      <w:rPr>
        <w:noProof/>
        <w:lang w:eastAsia="en-AU"/>
      </w:rPr>
      <mc:AlternateContent>
        <mc:Choice Requires="wps">
          <w:drawing>
            <wp:anchor distT="0" distB="0" distL="114300" distR="114300" simplePos="0" relativeHeight="251658273" behindDoc="0" locked="0" layoutInCell="0" allowOverlap="1" wp14:anchorId="0379A4B0" wp14:editId="6CAFB293">
              <wp:simplePos x="0" y="0"/>
              <wp:positionH relativeFrom="page">
                <wp:posOffset>0</wp:posOffset>
              </wp:positionH>
              <wp:positionV relativeFrom="page">
                <wp:posOffset>10189210</wp:posOffset>
              </wp:positionV>
              <wp:extent cx="7560310" cy="311785"/>
              <wp:effectExtent l="0" t="0" r="0" b="12065"/>
              <wp:wrapNone/>
              <wp:docPr id="61" name="Text Box 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E9DBB"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379A4B0" id="Text Box 61" o:spid="_x0000_s1115"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7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5WMIhhkCAAAsBAAADgAAAAAAAAAAAAAAAAAuAgAAZHJzL2Uyb0RvYy54bWxQSwECLQAU&#10;AAYACAAAACEASA1emt8AAAALAQAADwAAAAAAAAAAAAAAAABzBAAAZHJzL2Rvd25yZXYueG1sUEsF&#10;BgAAAAAEAAQA8wAAAH8FAAAAAA==&#10;" o:allowincell="f" filled="f" stroked="f" strokeweight=".5pt">
              <v:textbox inset=",0,,0">
                <w:txbxContent>
                  <w:p w14:paraId="68BE9DBB"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74" behindDoc="0" locked="0" layoutInCell="0" allowOverlap="1" wp14:anchorId="2B62ABE9" wp14:editId="0369E2E3">
              <wp:simplePos x="0" y="0"/>
              <wp:positionH relativeFrom="page">
                <wp:posOffset>0</wp:posOffset>
              </wp:positionH>
              <wp:positionV relativeFrom="page">
                <wp:posOffset>10189845</wp:posOffset>
              </wp:positionV>
              <wp:extent cx="7560310" cy="311785"/>
              <wp:effectExtent l="0" t="0" r="0" b="12065"/>
              <wp:wrapNone/>
              <wp:docPr id="62" name="Text Box 62"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7B02D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B62ABE9" id="Text Box 62" o:spid="_x0000_s1116"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7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ZYsGA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6F1iNro2UB9wPwcD9d7ypcIh&#10;VsyHF+aQa5wb9Rue8ZAasBkcLUoacL/+5o/5SAFGKelQOxX1P3fMCUr0d4Pk3BXX11Fs6YKGe+/d&#10;nLxm1z4AyrLAF2J5MmNu0CdTOmjfUN6L2A1DzHDsWdHNyXwIg5LxeXCxWKQklJVlYWXWlsfSEc4I&#10;7Wv/xpw94h+QuSc4qYuVH2gYcgciFrsAUiWOLmgecUdJJpaPzydq/v09ZV0e+fw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PWWLBgCAAAsBAAADgAAAAAAAAAAAAAAAAAuAgAAZHJzL2Uyb0RvYy54bWxQSwECLQAU&#10;AAYACAAAACEAL5BIl+AAAAALAQAADwAAAAAAAAAAAAAAAAByBAAAZHJzL2Rvd25yZXYueG1sUEsF&#10;BgAAAAAEAAQA8wAAAH8FAAAAAA==&#10;" o:allowincell="f" filled="f" stroked="f" strokeweight=".5pt">
              <v:textbox inset=",0,,0">
                <w:txbxContent>
                  <w:p w14:paraId="2A7B02D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46039" w14:textId="77777777" w:rsidR="00D70116" w:rsidRDefault="00D70116" w:rsidP="00207717">
      <w:pPr>
        <w:spacing w:before="120"/>
      </w:pPr>
      <w:r>
        <w:separator/>
      </w:r>
    </w:p>
  </w:footnote>
  <w:footnote w:type="continuationSeparator" w:id="0">
    <w:p w14:paraId="1EB43C06" w14:textId="77777777" w:rsidR="00D70116" w:rsidRDefault="00D70116">
      <w:r>
        <w:continuationSeparator/>
      </w:r>
    </w:p>
    <w:p w14:paraId="036F753F" w14:textId="77777777" w:rsidR="00D70116" w:rsidRDefault="00D70116"/>
  </w:footnote>
  <w:footnote w:type="continuationNotice" w:id="1">
    <w:p w14:paraId="7FE66F09" w14:textId="77777777" w:rsidR="00D70116" w:rsidRDefault="00D70116">
      <w:pPr>
        <w:spacing w:after="0" w:line="240" w:lineRule="auto"/>
      </w:pPr>
    </w:p>
  </w:footnote>
  <w:footnote w:id="2">
    <w:p w14:paraId="77137D51" w14:textId="1A0A75AF" w:rsidR="00886B80" w:rsidRDefault="00886B80">
      <w:pPr>
        <w:pStyle w:val="FootnoteText"/>
      </w:pPr>
      <w:r>
        <w:rPr>
          <w:rStyle w:val="FootnoteReference"/>
        </w:rPr>
        <w:footnoteRef/>
      </w:r>
      <w:r>
        <w:t xml:space="preserve"> The Regulations and Act are available on the </w:t>
      </w:r>
      <w:hyperlink r:id="rId1" w:history="1">
        <w:r w:rsidR="00275315" w:rsidRPr="00275315">
          <w:rPr>
            <w:rStyle w:val="Hyperlink"/>
          </w:rPr>
          <w:t>Victorian Legislation website</w:t>
        </w:r>
      </w:hyperlink>
      <w:r w:rsidR="00275315">
        <w:t xml:space="preserve"> at </w:t>
      </w:r>
      <w:r w:rsidR="001727FA">
        <w:t>&lt;</w:t>
      </w:r>
      <w:r w:rsidR="00275315" w:rsidRPr="00275315">
        <w:t>https://www.legislation.vic.gov.au/</w:t>
      </w:r>
      <w:r w:rsidR="001727FA">
        <w:t>&gt;</w:t>
      </w:r>
      <w:r w:rsidR="00275315">
        <w:t>.</w:t>
      </w:r>
    </w:p>
  </w:footnote>
  <w:footnote w:id="3">
    <w:p w14:paraId="157B4B74" w14:textId="35FBB82F" w:rsidR="00C81979" w:rsidRDefault="00C81979">
      <w:pPr>
        <w:pStyle w:val="FootnoteText"/>
      </w:pPr>
      <w:r>
        <w:rPr>
          <w:rStyle w:val="FootnoteReference"/>
        </w:rPr>
        <w:footnoteRef/>
      </w:r>
      <w:r>
        <w:t xml:space="preserve"> </w:t>
      </w:r>
      <w:r w:rsidRPr="00C81979">
        <w:t>The</w:t>
      </w:r>
      <w:r w:rsidR="00A429CD">
        <w:t xml:space="preserve"> Act and Regulations collectively refer to these </w:t>
      </w:r>
      <w:r w:rsidRPr="00C81979">
        <w:t>services as ‘health service establishments’.</w:t>
      </w:r>
    </w:p>
  </w:footnote>
  <w:footnote w:id="4">
    <w:p w14:paraId="3CA3C781" w14:textId="255306C1" w:rsidR="00FB3746" w:rsidRDefault="00FB3746">
      <w:pPr>
        <w:pStyle w:val="FootnoteText"/>
      </w:pPr>
      <w:r>
        <w:rPr>
          <w:rStyle w:val="FootnoteReference"/>
        </w:rPr>
        <w:footnoteRef/>
      </w:r>
      <w:r>
        <w:t xml:space="preserve"> Available at </w:t>
      </w:r>
      <w:r w:rsidR="00B6744B">
        <w:t xml:space="preserve">the </w:t>
      </w:r>
      <w:hyperlink r:id="rId2" w:history="1">
        <w:r w:rsidR="00A06148">
          <w:rPr>
            <w:rStyle w:val="Hyperlink"/>
          </w:rPr>
          <w:t>Department of Health website</w:t>
        </w:r>
      </w:hyperlink>
      <w:r w:rsidR="00B6744B">
        <w:t xml:space="preserve"> at &lt;</w:t>
      </w:r>
      <w:r w:rsidR="00B6744B" w:rsidRPr="00B6744B">
        <w:t>https://www.health.vic.gov.au/publications/targeting-zero-the-review-of-hospital-safety-and-quality-assurance-in-victoria</w:t>
      </w:r>
      <w:r w:rsidR="00B6744B">
        <w:t>&gt;.</w:t>
      </w:r>
    </w:p>
  </w:footnote>
  <w:footnote w:id="5">
    <w:p w14:paraId="5684E19D" w14:textId="7CF304D5" w:rsidR="0068045D" w:rsidRDefault="0068045D">
      <w:pPr>
        <w:pStyle w:val="FootnoteText"/>
      </w:pPr>
      <w:r>
        <w:rPr>
          <w:rStyle w:val="FootnoteReference"/>
        </w:rPr>
        <w:footnoteRef/>
      </w:r>
      <w:r>
        <w:t xml:space="preserve"> Australian Institute of Health and Welfare, 2023, </w:t>
      </w:r>
      <w:hyperlink r:id="rId3" w:history="1">
        <w:r w:rsidRPr="00AE30A8">
          <w:rPr>
            <w:rStyle w:val="Hyperlink"/>
          </w:rPr>
          <w:t>Admitted patients data 2022</w:t>
        </w:r>
      </w:hyperlink>
      <w:r>
        <w:t>, Australian Government, viewed 21 July 2023, &lt;</w:t>
      </w:r>
      <w:r w:rsidRPr="00422D98">
        <w:t>https://www.aihw.gov.au/reports-data/myhospitals/sectors/admitted-patients</w:t>
      </w:r>
      <w:r>
        <w:t>&gt;.</w:t>
      </w:r>
    </w:p>
  </w:footnote>
  <w:footnote w:id="6">
    <w:p w14:paraId="43CB5ECF" w14:textId="45276C91" w:rsidR="00390485" w:rsidRDefault="00390485">
      <w:pPr>
        <w:pStyle w:val="FootnoteText"/>
      </w:pPr>
      <w:r>
        <w:rPr>
          <w:rStyle w:val="FootnoteReference"/>
        </w:rPr>
        <w:footnoteRef/>
      </w:r>
      <w:r>
        <w:t xml:space="preserve"> </w:t>
      </w:r>
      <w:r w:rsidR="00162D20">
        <w:t>Australian Institute of Health and Welfare, 202</w:t>
      </w:r>
      <w:r w:rsidR="00AB69A2">
        <w:t xml:space="preserve">2, </w:t>
      </w:r>
      <w:hyperlink r:id="rId4" w:history="1">
        <w:r w:rsidR="00AB69A2" w:rsidRPr="00AB69A2">
          <w:rPr>
            <w:rStyle w:val="Hyperlink"/>
          </w:rPr>
          <w:t>Australia's hospitals at a glance</w:t>
        </w:r>
      </w:hyperlink>
      <w:r>
        <w:t xml:space="preserve">, Australian Government, </w:t>
      </w:r>
      <w:r w:rsidR="00AB69A2">
        <w:t>viewed 21 July 2023, &lt;</w:t>
      </w:r>
      <w:r w:rsidR="00AB69A2" w:rsidRPr="00CB63C5">
        <w:t>https://www.aihw.gov.au/reports/hospitals/australias-hospitals-at-a-glance/contents/summary</w:t>
      </w:r>
      <w:r w:rsidR="000A1908">
        <w:t>&gt;.</w:t>
      </w:r>
    </w:p>
  </w:footnote>
  <w:footnote w:id="7">
    <w:p w14:paraId="4A88DDF3" w14:textId="77777777" w:rsidR="00323E42" w:rsidRDefault="00323E42" w:rsidP="00323E42">
      <w:pPr>
        <w:pStyle w:val="FootnoteText"/>
      </w:pPr>
      <w:r>
        <w:rPr>
          <w:rStyle w:val="FootnoteReference"/>
        </w:rPr>
        <w:footnoteRef/>
      </w:r>
      <w:r>
        <w:t xml:space="preserve"> A list of all registered private hospitals and day procedure centres in Victoria is available on the </w:t>
      </w:r>
      <w:hyperlink r:id="rId5" w:history="1">
        <w:r w:rsidRPr="00F875D6">
          <w:rPr>
            <w:rStyle w:val="Hyperlink"/>
          </w:rPr>
          <w:t>Department of Health’s website</w:t>
        </w:r>
      </w:hyperlink>
      <w:r>
        <w:t xml:space="preserve"> at &lt;</w:t>
      </w:r>
      <w:r w:rsidRPr="00F875D6">
        <w:t>https://www.health.vic.gov.au/private-health-service-establishments/private-hospitals</w:t>
      </w:r>
      <w:r>
        <w:t>&gt;.</w:t>
      </w:r>
    </w:p>
  </w:footnote>
  <w:footnote w:id="8">
    <w:p w14:paraId="6BF9DCA9" w14:textId="2D1C679A" w:rsidR="00AC604D" w:rsidRDefault="00AC604D" w:rsidP="00AC604D">
      <w:pPr>
        <w:pStyle w:val="FootnoteText"/>
      </w:pPr>
      <w:r>
        <w:rPr>
          <w:rStyle w:val="FootnoteReference"/>
        </w:rPr>
        <w:footnoteRef/>
      </w:r>
      <w:r>
        <w:t xml:space="preserve"> Office of the Chief Parliamentary Counsel Victoria, May 2017, </w:t>
      </w:r>
      <w:hyperlink r:id="rId6" w:history="1">
        <w:r w:rsidRPr="00CE712F">
          <w:rPr>
            <w:rStyle w:val="Hyperlink"/>
          </w:rPr>
          <w:t>Notes for guidance on the preparation of statutory rules</w:t>
        </w:r>
      </w:hyperlink>
      <w:r>
        <w:t xml:space="preserve">, </w:t>
      </w:r>
      <w:r w:rsidR="000017A6">
        <w:t xml:space="preserve">State Government of Victoria, </w:t>
      </w:r>
      <w:r w:rsidR="007E1935">
        <w:t xml:space="preserve">viewed 21 July 2023, </w:t>
      </w:r>
      <w:r>
        <w:t>&lt;</w:t>
      </w:r>
      <w:r w:rsidRPr="009A0051">
        <w:t>https://www.vic.gov.au/developing-legislation-chief-parliamentary-counsel</w:t>
      </w:r>
      <w:r>
        <w:t>&gt;.</w:t>
      </w:r>
    </w:p>
  </w:footnote>
  <w:footnote w:id="9">
    <w:p w14:paraId="06F997ED" w14:textId="60117FB0" w:rsidR="005B3D19" w:rsidRDefault="005B3D19">
      <w:pPr>
        <w:pStyle w:val="FootnoteText"/>
      </w:pPr>
      <w:r w:rsidRPr="00AF5DAC">
        <w:rPr>
          <w:rStyle w:val="FootnoteReference"/>
        </w:rPr>
        <w:footnoteRef/>
      </w:r>
      <w:r w:rsidRPr="00AF5DAC">
        <w:t xml:space="preserve"> </w:t>
      </w:r>
      <w:r w:rsidR="00AF5DAC" w:rsidRPr="00AF5DAC">
        <w:t xml:space="preserve">As noted below, the department is considering how this term will be understood in new regulations, in the context of recent changes to specific mental health legislation, being the introduction of the </w:t>
      </w:r>
      <w:r w:rsidR="00AF5DAC" w:rsidRPr="00AF5DAC">
        <w:rPr>
          <w:i/>
          <w:iCs/>
        </w:rPr>
        <w:t>Mental Health and Wellbeing Act 2022</w:t>
      </w:r>
      <w:r w:rsidR="00AF5DAC" w:rsidRPr="00AF5DAC">
        <w:t>, which will come into operation on 1 September 2023.</w:t>
      </w:r>
      <w:r w:rsidR="00AF5DAC">
        <w:t xml:space="preserve">     </w:t>
      </w:r>
    </w:p>
  </w:footnote>
  <w:footnote w:id="10">
    <w:p w14:paraId="7B52D010" w14:textId="67A80623" w:rsidR="006162B8" w:rsidRDefault="006162B8" w:rsidP="006162B8">
      <w:pPr>
        <w:pStyle w:val="FootnoteText"/>
      </w:pPr>
      <w:r>
        <w:rPr>
          <w:rStyle w:val="FootnoteReference"/>
        </w:rPr>
        <w:footnoteRef/>
      </w:r>
      <w:r>
        <w:t xml:space="preserve"> </w:t>
      </w:r>
      <w:r w:rsidR="00A65193">
        <w:t xml:space="preserve">Department of Health and Aged Care, </w:t>
      </w:r>
      <w:hyperlink r:id="rId7" w:anchor=":~:text=Publications-,Health%20Ministers'%20Meeting%20%E2%80%93%20Statement%20on%20cosmetic%20surgery%202%20September%202022,especially%20the%20risks%20to%20consumers." w:history="1">
        <w:r w:rsidR="007F70B5">
          <w:rPr>
            <w:rStyle w:val="Hyperlink"/>
          </w:rPr>
          <w:t>Health Ministers' Meeting - Statement on cosmetic surgery 2 September 2022</w:t>
        </w:r>
      </w:hyperlink>
      <w:r>
        <w:t xml:space="preserve">, </w:t>
      </w:r>
      <w:r w:rsidR="00B2028C">
        <w:t xml:space="preserve">Australian Government, viewed 21 July 2023, </w:t>
      </w:r>
      <w:r>
        <w:t>&lt;</w:t>
      </w:r>
      <w:r w:rsidRPr="003C67B6">
        <w:t>https://www.health.gov.au/resources/publications/health-ministers-meeting-statement-on-cosmetic-surgery-2-september-2022</w:t>
      </w:r>
      <w:r>
        <w:t>&gt;</w:t>
      </w:r>
      <w:r w:rsidR="00AC73A2">
        <w:t>.</w:t>
      </w:r>
      <w:r w:rsidRPr="003C67B6">
        <w:t xml:space="preserve"> </w:t>
      </w:r>
    </w:p>
  </w:footnote>
  <w:footnote w:id="11">
    <w:p w14:paraId="43077E86" w14:textId="357246ED" w:rsidR="000D4EB8" w:rsidRDefault="000D4EB8" w:rsidP="000D4EB8">
      <w:pPr>
        <w:pStyle w:val="FootnoteText"/>
      </w:pPr>
      <w:r>
        <w:rPr>
          <w:rStyle w:val="FootnoteReference"/>
        </w:rPr>
        <w:footnoteRef/>
      </w:r>
      <w:r>
        <w:t xml:space="preserve"> Further information is available on </w:t>
      </w:r>
      <w:hyperlink r:id="rId8" w:history="1">
        <w:r w:rsidRPr="009E6F7D">
          <w:rPr>
            <w:rStyle w:val="Hyperlink"/>
          </w:rPr>
          <w:t>Australian Commission on Safety and Quality in Health Care website</w:t>
        </w:r>
      </w:hyperlink>
      <w:r>
        <w:t xml:space="preserve"> at &lt;</w:t>
      </w:r>
      <w:r w:rsidRPr="002347E0">
        <w:t>https://www.safetyandquality.gov.au/standards/cosmetic-surgery-project</w:t>
      </w:r>
      <w:r>
        <w:t>&gt;</w:t>
      </w:r>
      <w:r w:rsidR="00F94545">
        <w:t>.</w:t>
      </w:r>
    </w:p>
  </w:footnote>
  <w:footnote w:id="12">
    <w:p w14:paraId="4ACC97E3" w14:textId="30B14B4F" w:rsidR="00D806C7" w:rsidRDefault="00D806C7">
      <w:pPr>
        <w:pStyle w:val="FootnoteText"/>
      </w:pPr>
      <w:r>
        <w:rPr>
          <w:rStyle w:val="FootnoteReference"/>
        </w:rPr>
        <w:footnoteRef/>
      </w:r>
      <w:r w:rsidR="00E913D6">
        <w:t xml:space="preserve"> Ahpra</w:t>
      </w:r>
      <w:r w:rsidR="009677DB">
        <w:t>, 2023</w:t>
      </w:r>
      <w:r w:rsidR="00D8720A">
        <w:t>,</w:t>
      </w:r>
      <w:r>
        <w:t xml:space="preserve"> </w:t>
      </w:r>
      <w:hyperlink r:id="rId9" w:history="1">
        <w:r w:rsidR="004211BD">
          <w:rPr>
            <w:rStyle w:val="Hyperlink"/>
          </w:rPr>
          <w:t>Independent review of the regulation of medical practitioners who perform cosmetic surgery 2022</w:t>
        </w:r>
      </w:hyperlink>
      <w:r w:rsidR="00A923D9">
        <w:rPr>
          <w:rStyle w:val="Hyperlink"/>
        </w:rPr>
        <w:t>,</w:t>
      </w:r>
      <w:r w:rsidR="008C5AB1">
        <w:t xml:space="preserve"> </w:t>
      </w:r>
      <w:r w:rsidR="00A923D9">
        <w:t xml:space="preserve">viewed </w:t>
      </w:r>
      <w:r w:rsidR="00894151">
        <w:t xml:space="preserve">21 July 2023, </w:t>
      </w:r>
      <w:r w:rsidR="008C5AB1">
        <w:t>&lt;</w:t>
      </w:r>
      <w:r w:rsidR="00D70FB9" w:rsidRPr="00D70FB9">
        <w:t>https://www.ahpra.gov.au/resources/cosmetic-surgery-hub/cosmetic-surgery-review.aspx</w:t>
      </w:r>
      <w:r w:rsidR="00D70FB9">
        <w:t>&gt;</w:t>
      </w:r>
      <w:r w:rsidR="003810EB">
        <w:t>.</w:t>
      </w:r>
    </w:p>
  </w:footnote>
  <w:footnote w:id="13">
    <w:p w14:paraId="536DBAAC" w14:textId="45F7D36D" w:rsidR="00C32600" w:rsidRDefault="00C32600" w:rsidP="00C32600">
      <w:pPr>
        <w:pStyle w:val="FootnoteText"/>
      </w:pPr>
      <w:r>
        <w:rPr>
          <w:rStyle w:val="FootnoteReference"/>
        </w:rPr>
        <w:footnoteRef/>
      </w:r>
      <w:r>
        <w:t xml:space="preserve"> For more information, see </w:t>
      </w:r>
      <w:hyperlink r:id="rId10" w:history="1">
        <w:r w:rsidRPr="008F0CFF">
          <w:rPr>
            <w:rStyle w:val="Hyperlink"/>
          </w:rPr>
          <w:t>Making cosmetic surgery in Australia safer</w:t>
        </w:r>
      </w:hyperlink>
      <w:r>
        <w:t xml:space="preserve"> &lt;</w:t>
      </w:r>
      <w:r w:rsidRPr="00D2443D">
        <w:t>https://www.ahpra.gov.au/Resources/Cosmetic-surgery-hub.aspx</w:t>
      </w:r>
      <w:r>
        <w:t>&gt;</w:t>
      </w:r>
      <w:r w:rsidR="006E1270">
        <w:t>.</w:t>
      </w:r>
      <w:r>
        <w:t xml:space="preserve"> </w:t>
      </w:r>
    </w:p>
  </w:footnote>
  <w:footnote w:id="14">
    <w:p w14:paraId="7AC6E819" w14:textId="7C9CDD4D" w:rsidR="00976A9D" w:rsidRDefault="00976A9D">
      <w:pPr>
        <w:pStyle w:val="FootnoteText"/>
      </w:pPr>
      <w:r>
        <w:rPr>
          <w:rStyle w:val="FootnoteReference"/>
        </w:rPr>
        <w:footnoteRef/>
      </w:r>
      <w:r>
        <w:t xml:space="preserve"> </w:t>
      </w:r>
      <w:r w:rsidR="00FE7048">
        <w:t>Medical Board of Australia, 2023</w:t>
      </w:r>
      <w:r w:rsidR="00C41B56">
        <w:t xml:space="preserve">, </w:t>
      </w:r>
      <w:hyperlink r:id="rId11" w:history="1">
        <w:r w:rsidRPr="00A855F9">
          <w:rPr>
            <w:rStyle w:val="Hyperlink"/>
          </w:rPr>
          <w:t>Registration standard: endorsement of registration of registered medical practitioners for the approved area of cosmetic surgery</w:t>
        </w:r>
      </w:hyperlink>
      <w:r>
        <w:t xml:space="preserve">, </w:t>
      </w:r>
      <w:r w:rsidR="00197A1D">
        <w:t xml:space="preserve">viewed 21 July 2023, </w:t>
      </w:r>
      <w:r>
        <w:t>&lt;</w:t>
      </w:r>
      <w:r w:rsidRPr="00E64E5D">
        <w:t>https://www.medicalboard.gov.au/Registration-Standards/Reg-Std-Endorsement-of-registration-cosmetic-surgery.aspx</w:t>
      </w:r>
      <w:r>
        <w:t>&gt;</w:t>
      </w:r>
      <w:r w:rsidR="00197A1D">
        <w:t>.</w:t>
      </w:r>
    </w:p>
  </w:footnote>
  <w:footnote w:id="15">
    <w:p w14:paraId="42891AF1" w14:textId="7BB3AC91" w:rsidR="00685AEA" w:rsidRDefault="00685AEA">
      <w:pPr>
        <w:pStyle w:val="FootnoteText"/>
      </w:pPr>
      <w:r>
        <w:rPr>
          <w:rStyle w:val="FootnoteReference"/>
        </w:rPr>
        <w:footnoteRef/>
      </w:r>
      <w:r>
        <w:t xml:space="preserve"> </w:t>
      </w:r>
      <w:r w:rsidR="00C22412">
        <w:t xml:space="preserve">Medical Board of Australia, 2023, </w:t>
      </w:r>
      <w:hyperlink r:id="rId12" w:history="1">
        <w:r w:rsidRPr="000A17D8">
          <w:rPr>
            <w:rStyle w:val="Hyperlink"/>
          </w:rPr>
          <w:t>Guidelines for registered medical practitioners who perform cosmetic surgery and procedures</w:t>
        </w:r>
      </w:hyperlink>
      <w:r w:rsidR="000C3829">
        <w:rPr>
          <w:rStyle w:val="Hyperlink"/>
        </w:rPr>
        <w:t>,</w:t>
      </w:r>
      <w:r>
        <w:t xml:space="preserve"> </w:t>
      </w:r>
      <w:r w:rsidR="000C3829">
        <w:t xml:space="preserve">viewed 21 July 2023, </w:t>
      </w:r>
      <w:r>
        <w:t>&lt;</w:t>
      </w:r>
      <w:r w:rsidRPr="00D04E82">
        <w:t>https://www.medicalboard.gov.au/codes-guidelines-policies/cosmetic-medical-and-surgical-procedures-guidelines.aspx</w:t>
      </w:r>
      <w:r>
        <w:t>&gt;</w:t>
      </w:r>
      <w:r w:rsidR="000C3829">
        <w:t>.</w:t>
      </w:r>
    </w:p>
  </w:footnote>
  <w:footnote w:id="16">
    <w:p w14:paraId="0636B70E" w14:textId="51848A38" w:rsidR="008B6D2B" w:rsidRDefault="008B6D2B" w:rsidP="00C922AA">
      <w:pPr>
        <w:pStyle w:val="FootnoteText"/>
      </w:pPr>
      <w:r>
        <w:rPr>
          <w:rStyle w:val="FootnoteReference"/>
        </w:rPr>
        <w:footnoteRef/>
      </w:r>
      <w:r>
        <w:t xml:space="preserve"> </w:t>
      </w:r>
      <w:r w:rsidR="000931C8">
        <w:t xml:space="preserve">Medical Board of Australia, 2023, </w:t>
      </w:r>
      <w:hyperlink r:id="rId13" w:history="1">
        <w:r w:rsidR="00FF0480" w:rsidRPr="00FF0480">
          <w:rPr>
            <w:rStyle w:val="Hyperlink"/>
          </w:rPr>
          <w:t>Guidelines for registered medical practitioners who advertise cosmetic surgery</w:t>
        </w:r>
      </w:hyperlink>
      <w:r w:rsidR="000931C8">
        <w:rPr>
          <w:rStyle w:val="Hyperlink"/>
        </w:rPr>
        <w:t>,</w:t>
      </w:r>
      <w:r w:rsidR="00FF0480">
        <w:t xml:space="preserve"> </w:t>
      </w:r>
      <w:r w:rsidR="000931C8">
        <w:t xml:space="preserve">viewed 21 July 2023, </w:t>
      </w:r>
      <w:r w:rsidR="00FF0480">
        <w:t>&lt;</w:t>
      </w:r>
      <w:r w:rsidR="00FF0480" w:rsidRPr="00FF0480">
        <w:t>https://www.medicalboard.gov.au/Codes-Guidelines-Policies/Guidelines-for-registered-medical-practitioners-who-advertise-cosmetic-surgery.aspx</w:t>
      </w:r>
      <w:r w:rsidR="00FF0480">
        <w:t>&gt;</w:t>
      </w:r>
      <w:r w:rsidR="00C922AA">
        <w:t>.</w:t>
      </w:r>
    </w:p>
  </w:footnote>
  <w:footnote w:id="17">
    <w:p w14:paraId="3C116E50" w14:textId="70BF9F38" w:rsidR="007F1793" w:rsidRDefault="007F1793" w:rsidP="00DB200E">
      <w:pPr>
        <w:pStyle w:val="FootnoteText"/>
      </w:pPr>
      <w:r>
        <w:rPr>
          <w:rStyle w:val="FootnoteReference"/>
        </w:rPr>
        <w:footnoteRef/>
      </w:r>
      <w:r>
        <w:t xml:space="preserve"> </w:t>
      </w:r>
      <w:r w:rsidR="00093153">
        <w:t xml:space="preserve">Office of the </w:t>
      </w:r>
      <w:r w:rsidR="00B54AB5">
        <w:t>Queensland</w:t>
      </w:r>
      <w:r w:rsidR="00141B48">
        <w:t xml:space="preserve"> </w:t>
      </w:r>
      <w:r w:rsidR="00093153">
        <w:t>Parliamentary Counsel</w:t>
      </w:r>
      <w:r w:rsidR="00141B48">
        <w:t xml:space="preserve">, </w:t>
      </w:r>
      <w:hyperlink r:id="rId14" w:history="1">
        <w:r w:rsidR="008252D6" w:rsidRPr="008252D6">
          <w:rPr>
            <w:rStyle w:val="Hyperlink"/>
          </w:rPr>
          <w:t>Health Practitioner Regulation National Law (Surgeons) Amendment Bill 2023</w:t>
        </w:r>
      </w:hyperlink>
      <w:r w:rsidR="002425C7">
        <w:rPr>
          <w:rStyle w:val="Hyperlink"/>
        </w:rPr>
        <w:t>,</w:t>
      </w:r>
      <w:r w:rsidR="008252D6">
        <w:t xml:space="preserve"> </w:t>
      </w:r>
      <w:r w:rsidR="001B4DAC">
        <w:t xml:space="preserve">Queensland Government, viewed 21 July 2023, </w:t>
      </w:r>
      <w:r w:rsidR="008252D6">
        <w:t>&lt;</w:t>
      </w:r>
      <w:r w:rsidR="008252D6" w:rsidRPr="008252D6">
        <w:t>https://www.legislation.qld.gov.au/view/whole/html/bill.first/bill-2023-008</w:t>
      </w:r>
      <w:r w:rsidR="008252D6">
        <w:t>&gt;</w:t>
      </w:r>
      <w:r w:rsidR="00653ECD">
        <w:t>.</w:t>
      </w:r>
    </w:p>
  </w:footnote>
  <w:footnote w:id="18">
    <w:p w14:paraId="475951E9" w14:textId="05F37657" w:rsidR="00FA01FF" w:rsidRDefault="00FA01FF" w:rsidP="00BA359D">
      <w:pPr>
        <w:pStyle w:val="FootnoteText"/>
        <w:spacing w:before="0" w:after="0" w:line="240" w:lineRule="auto"/>
      </w:pPr>
      <w:r>
        <w:rPr>
          <w:rStyle w:val="FootnoteReference"/>
        </w:rPr>
        <w:footnoteRef/>
      </w:r>
      <w:r>
        <w:t xml:space="preserve"> With the exception of upper eyelid blepharoplasty without sedation and which does not breach the orbital sept</w:t>
      </w:r>
      <w:r w:rsidR="008941C4">
        <w:t>um</w:t>
      </w:r>
      <w:r w:rsidR="00A120F7">
        <w:t>.</w:t>
      </w:r>
    </w:p>
  </w:footnote>
  <w:footnote w:id="19">
    <w:p w14:paraId="2DC88E40" w14:textId="77777777" w:rsidR="00201711" w:rsidRPr="009C519B" w:rsidRDefault="00201711" w:rsidP="00201711">
      <w:pPr>
        <w:pStyle w:val="FootnoteText"/>
      </w:pPr>
      <w:r w:rsidRPr="00BA359D">
        <w:rPr>
          <w:rStyle w:val="FootnoteReference"/>
        </w:rPr>
        <w:footnoteRef/>
      </w:r>
      <w:r w:rsidRPr="00BA359D">
        <w:rPr>
          <w:rStyle w:val="FootnoteReference"/>
        </w:rPr>
        <w:t xml:space="preserve"> </w:t>
      </w:r>
      <w:r>
        <w:t xml:space="preserve">Medical Board of Australia, 2023, </w:t>
      </w:r>
      <w:hyperlink r:id="rId15" w:history="1">
        <w:r w:rsidRPr="000A17D8">
          <w:rPr>
            <w:rStyle w:val="Hyperlink"/>
          </w:rPr>
          <w:t>Guidelines for registered medical practitioners who perform cosmetic surgery and procedures</w:t>
        </w:r>
      </w:hyperlink>
      <w:r>
        <w:rPr>
          <w:rStyle w:val="Hyperlink"/>
        </w:rPr>
        <w:t>,</w:t>
      </w:r>
      <w:r w:rsidRPr="00BA359D">
        <w:rPr>
          <w:szCs w:val="18"/>
        </w:rPr>
        <w:t xml:space="preserve"> </w:t>
      </w:r>
      <w:r>
        <w:t xml:space="preserve">viewed 21 July 2023, </w:t>
      </w:r>
      <w:r>
        <w:rPr>
          <w:szCs w:val="18"/>
        </w:rPr>
        <w:t>&lt;</w:t>
      </w:r>
      <w:r w:rsidRPr="00D04E82">
        <w:t>https</w:t>
      </w:r>
      <w:r w:rsidRPr="00BB14FD">
        <w:rPr>
          <w:szCs w:val="18"/>
        </w:rPr>
        <w:t>://www.medicalboard.gov.au/codes-guidelines-policies/cosmetic-medical-and-surgical-procedures-guidelines</w:t>
      </w:r>
      <w:r w:rsidRPr="00D04E82">
        <w:t>.aspx</w:t>
      </w:r>
      <w:r>
        <w:rPr>
          <w:szCs w:val="18"/>
        </w:rPr>
        <w:t>&gt;.</w:t>
      </w:r>
    </w:p>
  </w:footnote>
  <w:footnote w:id="20">
    <w:p w14:paraId="0858BCAE" w14:textId="0CEB792E" w:rsidR="00D60787" w:rsidRDefault="00D60787" w:rsidP="00BA359D">
      <w:pPr>
        <w:pStyle w:val="FootnoteText"/>
        <w:spacing w:before="0" w:after="0" w:line="240" w:lineRule="auto"/>
      </w:pPr>
      <w:r>
        <w:rPr>
          <w:rStyle w:val="FootnoteReference"/>
        </w:rPr>
        <w:footnoteRef/>
      </w:r>
      <w:r>
        <w:t xml:space="preserve"> </w:t>
      </w:r>
      <w:r w:rsidR="00702C5A">
        <w:t xml:space="preserve">Currently, </w:t>
      </w:r>
      <w:r w:rsidR="004B11D6">
        <w:t xml:space="preserve">the Regulations do not require </w:t>
      </w:r>
      <w:r w:rsidR="00702C5A">
        <w:t xml:space="preserve">low-volume liposuction </w:t>
      </w:r>
      <w:r w:rsidR="004B11D6">
        <w:t xml:space="preserve">to </w:t>
      </w:r>
      <w:r w:rsidR="00261D8F">
        <w:t>be conducted in registered facilities</w:t>
      </w:r>
      <w:r w:rsidR="00CF291F">
        <w:t>.</w:t>
      </w:r>
      <w:r w:rsidR="00261D8F">
        <w:t xml:space="preserve"> </w:t>
      </w:r>
      <w:r w:rsidR="00F45519">
        <w:t xml:space="preserve">The </w:t>
      </w:r>
      <w:r w:rsidR="00967278">
        <w:t>speciality</w:t>
      </w:r>
      <w:r w:rsidR="00F45519">
        <w:t xml:space="preserve"> health services provided by</w:t>
      </w:r>
      <w:r w:rsidR="00F45519" w:rsidRPr="00F45519">
        <w:t xml:space="preserve"> </w:t>
      </w:r>
      <w:r w:rsidR="00F45519">
        <w:t>day procedure centres (r.6(c)</w:t>
      </w:r>
      <w:r w:rsidR="00C231D7">
        <w:t>)</w:t>
      </w:r>
      <w:r w:rsidR="00F45519">
        <w:t xml:space="preserve"> </w:t>
      </w:r>
      <w:r w:rsidR="00C231D7">
        <w:t>and</w:t>
      </w:r>
      <w:r w:rsidR="00C92815">
        <w:t xml:space="preserve"> private hospitals (r.7(c)</w:t>
      </w:r>
      <w:r w:rsidR="00C231D7">
        <w:t>)</w:t>
      </w:r>
      <w:r w:rsidR="00C92815">
        <w:t xml:space="preserve"> </w:t>
      </w:r>
      <w:r w:rsidR="00927099">
        <w:t>include</w:t>
      </w:r>
      <w:r w:rsidR="00F45519">
        <w:t xml:space="preserve"> </w:t>
      </w:r>
      <w:r w:rsidR="003F5E6C">
        <w:t>‘</w:t>
      </w:r>
      <w:r w:rsidR="002A77C6">
        <w:t>Liposuction</w:t>
      </w:r>
      <w:r w:rsidR="003F5E6C" w:rsidRPr="003F5E6C">
        <w:t xml:space="preserve"> </w:t>
      </w:r>
      <w:r w:rsidR="003F5E6C">
        <w:t>(removing in total at least 200ml of lipoaspirate)’</w:t>
      </w:r>
      <w:r w:rsidR="00167219">
        <w:t>.</w:t>
      </w:r>
    </w:p>
  </w:footnote>
  <w:footnote w:id="21">
    <w:p w14:paraId="708D61FD" w14:textId="3A521681" w:rsidR="000D2E1C" w:rsidRDefault="000D2E1C" w:rsidP="000D2E1C">
      <w:pPr>
        <w:pStyle w:val="FootnoteText"/>
      </w:pPr>
      <w:r>
        <w:rPr>
          <w:rStyle w:val="FootnoteReference"/>
        </w:rPr>
        <w:footnoteRef/>
      </w:r>
      <w:r>
        <w:t xml:space="preserve"> </w:t>
      </w:r>
      <w:r w:rsidR="001A70AD">
        <w:t xml:space="preserve">The approved guidelines are </w:t>
      </w:r>
      <w:r w:rsidR="002849AF" w:rsidRPr="002849AF">
        <w:t>the Australasian Health Facilities Guidelines (AusHFG</w:t>
      </w:r>
      <w:r w:rsidR="002849AF">
        <w:t>), which are a</w:t>
      </w:r>
      <w:r>
        <w:t xml:space="preserve">vailable on the </w:t>
      </w:r>
      <w:hyperlink r:id="rId16" w:history="1">
        <w:r w:rsidRPr="00981EDD">
          <w:rPr>
            <w:rStyle w:val="Hyperlink"/>
          </w:rPr>
          <w:t>Australasian Health Facility Guidelines website</w:t>
        </w:r>
      </w:hyperlink>
      <w:r>
        <w:t xml:space="preserve"> at &lt;</w:t>
      </w:r>
      <w:r w:rsidRPr="00121836">
        <w:t>https://healthfacilityguidelines.com.au/</w:t>
      </w:r>
      <w:r>
        <w:t>&gt;</w:t>
      </w:r>
      <w:r w:rsidR="003871BA">
        <w:t>.</w:t>
      </w:r>
    </w:p>
  </w:footnote>
  <w:footnote w:id="22">
    <w:p w14:paraId="494071EC" w14:textId="7C8D8486" w:rsidR="00086BB3" w:rsidRDefault="00086BB3" w:rsidP="00F4272D">
      <w:pPr>
        <w:pStyle w:val="FootnoteText"/>
      </w:pPr>
      <w:r>
        <w:rPr>
          <w:rStyle w:val="FootnoteReference"/>
        </w:rPr>
        <w:footnoteRef/>
      </w:r>
      <w:r>
        <w:t xml:space="preserve"> </w:t>
      </w:r>
      <w:hyperlink r:id="rId17" w:anchor="page=31" w:history="1">
        <w:r w:rsidRPr="00D649A2">
          <w:rPr>
            <w:rStyle w:val="Hyperlink"/>
          </w:rPr>
          <w:t>Gazette Notice G 34 23 August 2018, 1841</w:t>
        </w:r>
      </w:hyperlink>
      <w:r w:rsidRPr="00D649A2">
        <w:t xml:space="preserve"> </w:t>
      </w:r>
      <w:r w:rsidR="00BA2F56">
        <w:t>&lt;</w:t>
      </w:r>
      <w:r w:rsidR="00B46E14" w:rsidRPr="00A347E5">
        <w:t>http://www.gazette.vic.gov.au/gazette/Gazettes2018/GG2018G034.pdf#page=31</w:t>
      </w:r>
      <w:r w:rsidR="00B46E14">
        <w:t xml:space="preserve">&gt; </w:t>
      </w:r>
      <w:r w:rsidRPr="00D649A2">
        <w:t xml:space="preserve">approves the Australian Health Service Safety and Quality Accreditation </w:t>
      </w:r>
      <w:r>
        <w:t>Scheme as an approved accreditation scheme for the purposes of s107(1) of the Act.</w:t>
      </w:r>
    </w:p>
  </w:footnote>
  <w:footnote w:id="23">
    <w:p w14:paraId="4014EEB2" w14:textId="26F9E8A4" w:rsidR="00C13C6E" w:rsidRDefault="00C13C6E">
      <w:pPr>
        <w:pStyle w:val="FootnoteText"/>
      </w:pPr>
      <w:r>
        <w:rPr>
          <w:rStyle w:val="FootnoteReference"/>
        </w:rPr>
        <w:footnoteRef/>
      </w:r>
      <w:r>
        <w:t xml:space="preserve"> </w:t>
      </w:r>
      <w:r w:rsidR="003D6B91">
        <w:t xml:space="preserve">Information can be searched by service or facility </w:t>
      </w:r>
      <w:r w:rsidR="00E1307F">
        <w:t xml:space="preserve">at </w:t>
      </w:r>
      <w:r w:rsidR="007D51FC">
        <w:t>ACSQHC</w:t>
      </w:r>
      <w:r w:rsidR="004D1B88">
        <w:t xml:space="preserve">, </w:t>
      </w:r>
      <w:hyperlink r:id="rId18" w:anchor="find-your-hospital" w:history="1">
        <w:r w:rsidR="004D1B88" w:rsidRPr="004D1B88">
          <w:rPr>
            <w:rStyle w:val="Hyperlink"/>
          </w:rPr>
          <w:t>Public reporting on hospital performance: NSQHS Standards</w:t>
        </w:r>
      </w:hyperlink>
      <w:r w:rsidR="003D6B91">
        <w:t xml:space="preserve"> </w:t>
      </w:r>
      <w:r w:rsidR="00514270">
        <w:t>&lt;</w:t>
      </w:r>
      <w:r w:rsidR="003D6B91" w:rsidRPr="003D6B91">
        <w:t>https://www.safetyandquality.gov.au/consumers/public-reporting-hospital-performance-nsqhs-standards#find-your-hospital</w:t>
      </w:r>
      <w:r w:rsidR="00514270">
        <w:t>&gt;.</w:t>
      </w:r>
    </w:p>
  </w:footnote>
  <w:footnote w:id="24">
    <w:p w14:paraId="135711AE" w14:textId="79A74E07" w:rsidR="00095255" w:rsidRDefault="00095255">
      <w:pPr>
        <w:pStyle w:val="FootnoteText"/>
      </w:pPr>
      <w:r>
        <w:rPr>
          <w:rStyle w:val="FootnoteReference"/>
        </w:rPr>
        <w:footnoteRef/>
      </w:r>
      <w:r w:rsidR="00487B25">
        <w:t xml:space="preserve"> Australasian College for Emergency Medicine,</w:t>
      </w:r>
      <w:r>
        <w:t xml:space="preserve"> </w:t>
      </w:r>
      <w:hyperlink r:id="rId19" w:history="1">
        <w:r w:rsidRPr="00095255">
          <w:rPr>
            <w:rStyle w:val="Hyperlink"/>
          </w:rPr>
          <w:t>Quality Standards for Emergency Departments and Hospital-based Emergency Care Services</w:t>
        </w:r>
      </w:hyperlink>
      <w:r w:rsidR="00487B25">
        <w:t xml:space="preserve"> &lt;</w:t>
      </w:r>
      <w:r w:rsidR="00487B25" w:rsidRPr="00487B25">
        <w:t>https://acem.org.au/Quality-Standards</w:t>
      </w:r>
      <w:r w:rsidR="00487B25">
        <w:t>&gt;.</w:t>
      </w:r>
    </w:p>
  </w:footnote>
  <w:footnote w:id="25">
    <w:p w14:paraId="66EB6749" w14:textId="6F4AA524" w:rsidR="00FF444B" w:rsidRDefault="00FF444B" w:rsidP="00FF444B">
      <w:pPr>
        <w:pStyle w:val="FootnoteText"/>
      </w:pPr>
      <w:r>
        <w:rPr>
          <w:rStyle w:val="FootnoteReference"/>
        </w:rPr>
        <w:footnoteRef/>
      </w:r>
      <w:r>
        <w:t xml:space="preserve"> ACSQHC, </w:t>
      </w:r>
      <w:hyperlink r:id="rId20" w:history="1">
        <w:r w:rsidR="00C06BA0">
          <w:rPr>
            <w:rStyle w:val="Hyperlink"/>
          </w:rPr>
          <w:t>NSQHS Standards - Clinical governance standard</w:t>
        </w:r>
      </w:hyperlink>
      <w:r w:rsidR="00C06BA0">
        <w:rPr>
          <w:rStyle w:val="Hyperlink"/>
        </w:rPr>
        <w:t xml:space="preserve">, </w:t>
      </w:r>
      <w:r w:rsidR="00C06BA0">
        <w:t>ACSQHC,</w:t>
      </w:r>
      <w:r w:rsidR="00C06BA0">
        <w:rPr>
          <w:szCs w:val="18"/>
        </w:rPr>
        <w:t xml:space="preserve"> Sydney, viewed 21 July 2023, </w:t>
      </w:r>
      <w:r>
        <w:t xml:space="preserve"> &lt;</w:t>
      </w:r>
      <w:r w:rsidRPr="00230295">
        <w:t>https://www.safetyandquality.gov.au/standards/nsqhs-standards/clinical-governance/clinical-governance-standard</w:t>
      </w:r>
      <w:r>
        <w:t>&gt;</w:t>
      </w:r>
      <w:r w:rsidR="001A7C0D">
        <w:t>.</w:t>
      </w:r>
    </w:p>
  </w:footnote>
  <w:footnote w:id="26">
    <w:p w14:paraId="1C7112AF" w14:textId="6C39E265" w:rsidR="005A7996" w:rsidRDefault="005A7996">
      <w:pPr>
        <w:pStyle w:val="FootnoteText"/>
      </w:pPr>
      <w:r>
        <w:rPr>
          <w:rStyle w:val="FootnoteReference"/>
        </w:rPr>
        <w:footnoteRef/>
      </w:r>
      <w:r>
        <w:t xml:space="preserve"> </w:t>
      </w:r>
      <w:r w:rsidR="005E30F4">
        <w:t xml:space="preserve">Safer Care Victoria, </w:t>
      </w:r>
      <w:r w:rsidR="00C8497B">
        <w:t xml:space="preserve">2017, </w:t>
      </w:r>
      <w:hyperlink r:id="rId21" w:history="1">
        <w:r w:rsidR="00C8497B" w:rsidRPr="00C8497B">
          <w:rPr>
            <w:rStyle w:val="Hyperlink"/>
          </w:rPr>
          <w:t>Clinical Governance Framework</w:t>
        </w:r>
      </w:hyperlink>
      <w:r w:rsidR="00307531">
        <w:t>, State Government of Victoria, viewed 21 July 2023,</w:t>
      </w:r>
      <w:r w:rsidR="00941C85">
        <w:t xml:space="preserve"> &lt;</w:t>
      </w:r>
      <w:r w:rsidR="00980157" w:rsidRPr="00980157">
        <w:t>https://www.safercare.vic.gov.au/sites/default/files/2018-03/SCV%20Clinical%20Governance%20Framework.pdf</w:t>
      </w:r>
      <w:r w:rsidR="001A1459">
        <w:t>&gt;.</w:t>
      </w:r>
    </w:p>
  </w:footnote>
  <w:footnote w:id="27">
    <w:p w14:paraId="36E8A20D" w14:textId="1536A52B" w:rsidR="00980EDA" w:rsidRDefault="00980EDA">
      <w:pPr>
        <w:pStyle w:val="FootnoteText"/>
      </w:pPr>
      <w:r>
        <w:rPr>
          <w:rStyle w:val="FootnoteReference"/>
        </w:rPr>
        <w:footnoteRef/>
      </w:r>
      <w:r>
        <w:t xml:space="preserve"> Safer Care Victoria, </w:t>
      </w:r>
      <w:r w:rsidR="00164BA1">
        <w:t xml:space="preserve">2023, </w:t>
      </w:r>
      <w:hyperlink r:id="rId22" w:history="1">
        <w:r w:rsidR="002B534F" w:rsidRPr="002B534F">
          <w:rPr>
            <w:rStyle w:val="Hyperlink"/>
          </w:rPr>
          <w:t>Clinical governance</w:t>
        </w:r>
      </w:hyperlink>
      <w:r w:rsidR="002B534F">
        <w:t>, State Government of Victoria, viewed 21 July 2023, &lt;</w:t>
      </w:r>
      <w:r w:rsidR="00604313" w:rsidRPr="00604313">
        <w:t>https://www.safercare.vic.gov.au/support-training/clinical-governance</w:t>
      </w:r>
      <w:r w:rsidR="00604313">
        <w:t>&gt;.</w:t>
      </w:r>
    </w:p>
  </w:footnote>
  <w:footnote w:id="28">
    <w:p w14:paraId="5DE12410" w14:textId="37841E6C" w:rsidR="00FF444B" w:rsidRDefault="00FF444B" w:rsidP="00FF444B">
      <w:pPr>
        <w:pStyle w:val="FootnoteText"/>
      </w:pPr>
      <w:r>
        <w:rPr>
          <w:rStyle w:val="FootnoteReference"/>
        </w:rPr>
        <w:footnoteRef/>
      </w:r>
      <w:r>
        <w:t xml:space="preserve"> </w:t>
      </w:r>
      <w:r w:rsidR="0069403C">
        <w:t xml:space="preserve">Safer Care Victoria, </w:t>
      </w:r>
      <w:r w:rsidR="009F11E1">
        <w:t xml:space="preserve">2020, </w:t>
      </w:r>
      <w:hyperlink r:id="rId23" w:history="1">
        <w:r w:rsidR="00CD56CD" w:rsidRPr="00CD56CD">
          <w:rPr>
            <w:rStyle w:val="Hyperlink"/>
          </w:rPr>
          <w:t>Credentialing and scope of clinical practice for senior medical practitioners policy</w:t>
        </w:r>
      </w:hyperlink>
      <w:r w:rsidR="009E0AB7">
        <w:t xml:space="preserve">, </w:t>
      </w:r>
      <w:r w:rsidR="00435C4D">
        <w:t>State Government of Victoria</w:t>
      </w:r>
      <w:r w:rsidR="007C5324">
        <w:t xml:space="preserve">, viewed 21 July 2023, </w:t>
      </w:r>
      <w:r w:rsidR="006672A0">
        <w:t>&lt;</w:t>
      </w:r>
      <w:r w:rsidRPr="005E1AC5">
        <w:t>https://www.safercare.vic.gov.au/publications/credentialing-and-scope-of-clinical-practice-for-senior-medical-practitioners-policy</w:t>
      </w:r>
      <w:r w:rsidR="006672A0">
        <w:t>&gt;</w:t>
      </w:r>
      <w:r>
        <w:t>.</w:t>
      </w:r>
    </w:p>
  </w:footnote>
  <w:footnote w:id="29">
    <w:p w14:paraId="7B0F1F81" w14:textId="6A75A082" w:rsidR="00A81A08" w:rsidRDefault="00A81A08">
      <w:pPr>
        <w:pStyle w:val="FootnoteText"/>
      </w:pPr>
      <w:r>
        <w:rPr>
          <w:rStyle w:val="FootnoteReference"/>
        </w:rPr>
        <w:footnoteRef/>
      </w:r>
      <w:r>
        <w:t xml:space="preserve"> </w:t>
      </w:r>
      <w:r w:rsidR="008F2154">
        <w:t xml:space="preserve">Department of Health Victoria, 2022, </w:t>
      </w:r>
      <w:hyperlink r:id="rId24" w:history="1">
        <w:r w:rsidR="008F2154" w:rsidRPr="00AE30A8">
          <w:rPr>
            <w:rStyle w:val="Hyperlink"/>
          </w:rPr>
          <w:t>Guideline for providers of liposuction; best practice guideline for clinicians, and those involved in the provision of liposuction</w:t>
        </w:r>
      </w:hyperlink>
      <w:r w:rsidRPr="00A81A08">
        <w:t xml:space="preserve"> (the Guideline)</w:t>
      </w:r>
      <w:r w:rsidR="00E47F11">
        <w:t>,</w:t>
      </w:r>
      <w:r w:rsidR="008F2154">
        <w:t xml:space="preserve"> </w:t>
      </w:r>
      <w:r w:rsidR="0094086E">
        <w:t xml:space="preserve">State Government of Victoria, </w:t>
      </w:r>
      <w:r w:rsidR="008F2154">
        <w:t>viewed 21 July 2023,</w:t>
      </w:r>
      <w:r w:rsidR="00E47F11">
        <w:t xml:space="preserve"> </w:t>
      </w:r>
      <w:r w:rsidR="00EA1A21">
        <w:t>&lt;</w:t>
      </w:r>
      <w:r w:rsidR="004122EC" w:rsidRPr="004122EC">
        <w:t>https://www.health.vic.gov.au/guideline-for-providers-of-liposuction</w:t>
      </w:r>
      <w:r w:rsidR="004122EC">
        <w:t>&gt;</w:t>
      </w:r>
      <w:r w:rsidR="00A6446C">
        <w:t>.</w:t>
      </w:r>
    </w:p>
  </w:footnote>
  <w:footnote w:id="30">
    <w:p w14:paraId="5637A272" w14:textId="1DAE57C8" w:rsidR="0062672C" w:rsidRDefault="0062672C">
      <w:pPr>
        <w:pStyle w:val="FootnoteText"/>
      </w:pPr>
      <w:r>
        <w:rPr>
          <w:rStyle w:val="FootnoteReference"/>
        </w:rPr>
        <w:footnoteRef/>
      </w:r>
      <w:r w:rsidR="00A6446C">
        <w:t xml:space="preserve"> ACSQHC</w:t>
      </w:r>
      <w:r w:rsidR="00000198">
        <w:t>,</w:t>
      </w:r>
      <w:r w:rsidR="009D56A7">
        <w:t xml:space="preserve"> </w:t>
      </w:r>
      <w:hyperlink r:id="rId25" w:history="1">
        <w:r w:rsidR="009D56A7" w:rsidRPr="009D56A7">
          <w:rPr>
            <w:rStyle w:val="Hyperlink"/>
          </w:rPr>
          <w:t>NSQHS Standards - Governance, leadership and culture - Action 1.06</w:t>
        </w:r>
      </w:hyperlink>
      <w:r w:rsidR="0094086E">
        <w:rPr>
          <w:rStyle w:val="Hyperlink"/>
        </w:rPr>
        <w:t>,</w:t>
      </w:r>
      <w:r w:rsidR="009D56A7">
        <w:t xml:space="preserve"> </w:t>
      </w:r>
      <w:r w:rsidR="00DE4CC6">
        <w:t xml:space="preserve">ACSQHC, Sydney, </w:t>
      </w:r>
      <w:r w:rsidR="0094086E">
        <w:t>viewed 21 July 2023,</w:t>
      </w:r>
      <w:r w:rsidR="00000198">
        <w:t xml:space="preserve"> </w:t>
      </w:r>
      <w:r w:rsidR="0094086E">
        <w:t>&lt;</w:t>
      </w:r>
      <w:r w:rsidR="0094086E" w:rsidRPr="0094086E">
        <w:t>https://www.safetyandquality.gov.au/standards/nsqhs-standards/clinical-governance-standard/governance-leadership-and-culture/action-106</w:t>
      </w:r>
      <w:r w:rsidR="0094086E">
        <w:t>&gt;.</w:t>
      </w:r>
      <w:r w:rsidR="00906C21">
        <w:t xml:space="preserve"> </w:t>
      </w:r>
    </w:p>
  </w:footnote>
  <w:footnote w:id="31">
    <w:p w14:paraId="2FEC21E5" w14:textId="2C6370CD" w:rsidR="00A10DC1" w:rsidRDefault="00A10DC1" w:rsidP="00E267DC">
      <w:pPr>
        <w:spacing w:after="0" w:line="240" w:lineRule="auto"/>
      </w:pPr>
    </w:p>
    <w:p w14:paraId="7C864B7B" w14:textId="6DA6B213" w:rsidR="006325A0" w:rsidRDefault="00E621BD">
      <w:pPr>
        <w:pStyle w:val="FootnoteText"/>
      </w:pPr>
      <w:r>
        <w:rPr>
          <w:rStyle w:val="FootnoteReference"/>
        </w:rPr>
        <w:footnoteRef/>
      </w:r>
      <w:r>
        <w:t xml:space="preserve"> </w:t>
      </w:r>
      <w:r w:rsidRPr="00E267DC">
        <w:t>Garrubba M &amp; Joseph C</w:t>
      </w:r>
      <w:r>
        <w:t xml:space="preserve">, </w:t>
      </w:r>
      <w:r w:rsidRPr="00E267DC">
        <w:t>2019</w:t>
      </w:r>
      <w:r>
        <w:t>,</w:t>
      </w:r>
      <w:r w:rsidRPr="00E267DC">
        <w:t xml:space="preserve"> </w:t>
      </w:r>
      <w:r w:rsidRPr="0094086E">
        <w:rPr>
          <w:i/>
          <w:iCs/>
        </w:rPr>
        <w:t>The impact of fatigue in the healthcare setting: A scoping review</w:t>
      </w:r>
      <w:r>
        <w:t xml:space="preserve">, </w:t>
      </w:r>
      <w:r w:rsidRPr="00E267DC">
        <w:t>Centre for Clinical Effectiveness, Monash Health, Melbourne, Australia</w:t>
      </w:r>
      <w:r>
        <w:t>.</w:t>
      </w:r>
    </w:p>
  </w:footnote>
  <w:footnote w:id="32">
    <w:p w14:paraId="6FE64D68" w14:textId="5BFA1A60" w:rsidR="00FF444B" w:rsidRDefault="00FF444B" w:rsidP="00FF444B">
      <w:pPr>
        <w:pStyle w:val="FootnoteText"/>
      </w:pPr>
      <w:r>
        <w:rPr>
          <w:rStyle w:val="FootnoteReference"/>
        </w:rPr>
        <w:footnoteRef/>
      </w:r>
      <w:r>
        <w:t xml:space="preserve"> </w:t>
      </w:r>
      <w:r w:rsidR="0022740D">
        <w:t xml:space="preserve">The </w:t>
      </w:r>
      <w:r w:rsidR="005612FE">
        <w:t>National Institute for Occupational Safety and Health (NIOSH</w:t>
      </w:r>
      <w:r w:rsidR="00575547">
        <w:t>)</w:t>
      </w:r>
      <w:r w:rsidR="005E49D2">
        <w:t xml:space="preserve"> 2020</w:t>
      </w:r>
      <w:r w:rsidR="0022740D">
        <w:t xml:space="preserve"> </w:t>
      </w:r>
      <w:r w:rsidR="0039219E">
        <w:t xml:space="preserve">article </w:t>
      </w:r>
      <w:hyperlink r:id="rId26" w:history="1">
        <w:r w:rsidR="00575547" w:rsidRPr="00575547">
          <w:rPr>
            <w:rStyle w:val="Hyperlink"/>
          </w:rPr>
          <w:t>NIOSH Training for nurses on shift work and long work hours</w:t>
        </w:r>
      </w:hyperlink>
      <w:r w:rsidR="005612FE">
        <w:t xml:space="preserve"> </w:t>
      </w:r>
      <w:r w:rsidR="00337655">
        <w:t>&lt;</w:t>
      </w:r>
      <w:r w:rsidR="00337655" w:rsidRPr="00337655">
        <w:t>https://www.cdc.gov/niosh/work-hour-training-for-nurses/longhours/mod3/08.html</w:t>
      </w:r>
      <w:r w:rsidR="00337655">
        <w:t>&gt;</w:t>
      </w:r>
      <w:r w:rsidR="003626C8">
        <w:t>, viewed 21 July 2023,</w:t>
      </w:r>
      <w:r w:rsidR="00A006D0" w:rsidRPr="00A006D0">
        <w:t xml:space="preserve"> </w:t>
      </w:r>
      <w:r w:rsidR="005907F7">
        <w:t xml:space="preserve">provides </w:t>
      </w:r>
      <w:r w:rsidR="00BF542F">
        <w:t xml:space="preserve">numerous </w:t>
      </w:r>
      <w:r w:rsidR="005907F7">
        <w:t xml:space="preserve">references to </w:t>
      </w:r>
      <w:r w:rsidR="00DA4CC9">
        <w:t xml:space="preserve">studies and articles </w:t>
      </w:r>
      <w:r w:rsidR="003A61E5">
        <w:t>as the source of these statistics</w:t>
      </w:r>
      <w:r w:rsidR="002607E8">
        <w:t>.</w:t>
      </w:r>
    </w:p>
  </w:footnote>
  <w:footnote w:id="33">
    <w:p w14:paraId="54E55AE4" w14:textId="05E43B04" w:rsidR="003A41FF" w:rsidRDefault="003A41FF" w:rsidP="003A41FF">
      <w:pPr>
        <w:pStyle w:val="FootnoteText"/>
      </w:pPr>
      <w:r>
        <w:rPr>
          <w:rStyle w:val="FootnoteReference"/>
        </w:rPr>
        <w:footnoteRef/>
      </w:r>
      <w:r>
        <w:t xml:space="preserve"> </w:t>
      </w:r>
      <w:r w:rsidR="00EA5C04">
        <w:t xml:space="preserve">ACSQHC, </w:t>
      </w:r>
      <w:hyperlink r:id="rId27" w:history="1">
        <w:r w:rsidR="00EA5C04" w:rsidRPr="00EA5C04">
          <w:rPr>
            <w:rStyle w:val="Hyperlink"/>
          </w:rPr>
          <w:t>NSQHS Standards - Clinical governance standard</w:t>
        </w:r>
      </w:hyperlink>
      <w:r w:rsidR="00EA5C04">
        <w:t xml:space="preserve">, ACSQHC, Sydney, viewed 21 July 2023, </w:t>
      </w:r>
      <w:r w:rsidR="00C977D3">
        <w:t>&lt;</w:t>
      </w:r>
      <w:r w:rsidR="003260B8" w:rsidRPr="003260B8">
        <w:t>https://www.safetyandquality.gov.au/standards/nsqhs-standards/clinical-governance/clinical-governance-standard</w:t>
      </w:r>
      <w:r w:rsidR="003260B8">
        <w:t>&gt;.</w:t>
      </w:r>
    </w:p>
  </w:footnote>
  <w:footnote w:id="34">
    <w:p w14:paraId="7DDCC7AC" w14:textId="6F15F231" w:rsidR="003A41FF" w:rsidRDefault="003A41FF" w:rsidP="003A41FF">
      <w:pPr>
        <w:pStyle w:val="FootnoteText"/>
      </w:pPr>
      <w:r>
        <w:rPr>
          <w:rStyle w:val="FootnoteReference"/>
        </w:rPr>
        <w:footnoteRef/>
      </w:r>
      <w:r>
        <w:t xml:space="preserve"> </w:t>
      </w:r>
      <w:r w:rsidRPr="00EA5C04">
        <w:rPr>
          <w:szCs w:val="18"/>
        </w:rPr>
        <w:t>Calculated based on a penalty unit value of $1</w:t>
      </w:r>
      <w:r w:rsidR="00312AD9" w:rsidRPr="00EA5C04">
        <w:rPr>
          <w:szCs w:val="18"/>
        </w:rPr>
        <w:t>92.31</w:t>
      </w:r>
      <w:r w:rsidRPr="00EA5C04">
        <w:rPr>
          <w:szCs w:val="18"/>
        </w:rPr>
        <w:t xml:space="preserve"> (the penalty unit value from 1 July 202</w:t>
      </w:r>
      <w:r w:rsidR="005C4AD1" w:rsidRPr="00EA5C04">
        <w:rPr>
          <w:szCs w:val="18"/>
        </w:rPr>
        <w:t>3</w:t>
      </w:r>
      <w:r w:rsidRPr="00EA5C04">
        <w:rPr>
          <w:szCs w:val="18"/>
        </w:rPr>
        <w:t xml:space="preserve"> to 30 June 202</w:t>
      </w:r>
      <w:r w:rsidR="005C4AD1" w:rsidRPr="00EA5C04">
        <w:rPr>
          <w:szCs w:val="18"/>
        </w:rPr>
        <w:t>4</w:t>
      </w:r>
      <w:r w:rsidRPr="00EA5C04">
        <w:rPr>
          <w:szCs w:val="18"/>
        </w:rPr>
        <w:t>).</w:t>
      </w:r>
    </w:p>
  </w:footnote>
  <w:footnote w:id="35">
    <w:p w14:paraId="19E51270" w14:textId="1014F455" w:rsidR="003A41FF" w:rsidRDefault="003A41FF" w:rsidP="003A41FF">
      <w:pPr>
        <w:pStyle w:val="FootnoteText"/>
      </w:pPr>
      <w:r>
        <w:rPr>
          <w:rStyle w:val="FootnoteReference"/>
        </w:rPr>
        <w:footnoteRef/>
      </w:r>
      <w:r>
        <w:t xml:space="preserve"> </w:t>
      </w:r>
      <w:r w:rsidRPr="00F44DFF">
        <w:rPr>
          <w:sz w:val="16"/>
        </w:rPr>
        <w:t>Calculated based on</w:t>
      </w:r>
      <w:r>
        <w:rPr>
          <w:sz w:val="16"/>
        </w:rPr>
        <w:t xml:space="preserve"> a</w:t>
      </w:r>
      <w:r w:rsidRPr="00F44DFF">
        <w:rPr>
          <w:sz w:val="16"/>
        </w:rPr>
        <w:t xml:space="preserve"> penalty unit value of $</w:t>
      </w:r>
      <w:r w:rsidR="004053A5">
        <w:rPr>
          <w:sz w:val="16"/>
        </w:rPr>
        <w:t>192.31</w:t>
      </w:r>
      <w:r w:rsidRPr="00F44DFF">
        <w:rPr>
          <w:sz w:val="16"/>
        </w:rPr>
        <w:t xml:space="preserve"> (the penalty unit value from 1 July 202</w:t>
      </w:r>
      <w:r w:rsidR="004053A5">
        <w:rPr>
          <w:sz w:val="16"/>
        </w:rPr>
        <w:t>3</w:t>
      </w:r>
      <w:r w:rsidRPr="00F44DFF">
        <w:rPr>
          <w:sz w:val="16"/>
        </w:rPr>
        <w:t xml:space="preserve"> to 30 June 202</w:t>
      </w:r>
      <w:r w:rsidR="004053A5">
        <w:rPr>
          <w:sz w:val="16"/>
        </w:rPr>
        <w:t>4</w:t>
      </w:r>
      <w:r w:rsidRPr="00F44DFF">
        <w:rPr>
          <w:sz w:val="16"/>
        </w:rPr>
        <w:t>).</w:t>
      </w:r>
    </w:p>
  </w:footnote>
  <w:footnote w:id="36">
    <w:p w14:paraId="04011D65" w14:textId="2104810E" w:rsidR="003A41FF" w:rsidRDefault="003A41FF" w:rsidP="003A41FF">
      <w:pPr>
        <w:pStyle w:val="FootnoteText"/>
      </w:pPr>
      <w:r>
        <w:rPr>
          <w:rStyle w:val="FootnoteReference"/>
        </w:rPr>
        <w:footnoteRef/>
      </w:r>
      <w:r>
        <w:t xml:space="preserve"> </w:t>
      </w:r>
      <w:r w:rsidRPr="00F44DFF">
        <w:rPr>
          <w:sz w:val="16"/>
        </w:rPr>
        <w:t>Calculated based on</w:t>
      </w:r>
      <w:r>
        <w:rPr>
          <w:sz w:val="16"/>
        </w:rPr>
        <w:t xml:space="preserve"> a</w:t>
      </w:r>
      <w:r w:rsidRPr="00F44DFF">
        <w:rPr>
          <w:sz w:val="16"/>
        </w:rPr>
        <w:t xml:space="preserve"> penalty unit value of $</w:t>
      </w:r>
      <w:r w:rsidR="003A6412">
        <w:rPr>
          <w:sz w:val="16"/>
        </w:rPr>
        <w:t>192.31</w:t>
      </w:r>
      <w:r w:rsidRPr="00F44DFF">
        <w:rPr>
          <w:sz w:val="16"/>
        </w:rPr>
        <w:t xml:space="preserve"> (the penalty unit value from 1 July 202</w:t>
      </w:r>
      <w:r w:rsidR="003A6412">
        <w:rPr>
          <w:sz w:val="16"/>
        </w:rPr>
        <w:t>3</w:t>
      </w:r>
      <w:r w:rsidRPr="00F44DFF">
        <w:rPr>
          <w:sz w:val="16"/>
        </w:rPr>
        <w:t xml:space="preserve"> to 30 June 202</w:t>
      </w:r>
      <w:r w:rsidR="003A6412">
        <w:rPr>
          <w:sz w:val="16"/>
        </w:rPr>
        <w:t>4</w:t>
      </w:r>
      <w:r w:rsidRPr="00F44DFF">
        <w:rPr>
          <w:sz w:val="16"/>
        </w:rPr>
        <w:t>).</w:t>
      </w:r>
    </w:p>
  </w:footnote>
  <w:footnote w:id="37">
    <w:p w14:paraId="2DE50657" w14:textId="78D31F8E" w:rsidR="00E45E2D" w:rsidRDefault="00E45E2D">
      <w:pPr>
        <w:pStyle w:val="FootnoteText"/>
      </w:pPr>
      <w:r>
        <w:rPr>
          <w:rStyle w:val="FootnoteReference"/>
        </w:rPr>
        <w:footnoteRef/>
      </w:r>
      <w:r>
        <w:t xml:space="preserve"> Additional information about the requirements for public hospitals is available on the </w:t>
      </w:r>
      <w:hyperlink r:id="rId28" w:history="1">
        <w:r w:rsidRPr="00090240">
          <w:rPr>
            <w:rStyle w:val="Hyperlink"/>
          </w:rPr>
          <w:t>Department of Health website</w:t>
        </w:r>
      </w:hyperlink>
      <w:r>
        <w:t xml:space="preserve"> at &lt;</w:t>
      </w:r>
      <w:r w:rsidR="00090240" w:rsidRPr="00090240">
        <w:t>https://www.health.vic.gov.au/nursing-and-midwifery/safe-patient-care-nurse-to-patient-and-midwife-to-patient-ratios-act-2015</w:t>
      </w:r>
      <w:r w:rsidR="00090240">
        <w:t>&gt;</w:t>
      </w:r>
      <w:r w:rsidR="00DE4CC6">
        <w:t>.</w:t>
      </w:r>
    </w:p>
  </w:footnote>
  <w:footnote w:id="38">
    <w:p w14:paraId="72104776" w14:textId="07A3061A" w:rsidR="0066515D" w:rsidRDefault="0066515D">
      <w:pPr>
        <w:pStyle w:val="FootnoteText"/>
      </w:pPr>
      <w:r>
        <w:rPr>
          <w:rStyle w:val="FootnoteReference"/>
        </w:rPr>
        <w:footnoteRef/>
      </w:r>
      <w:r>
        <w:t xml:space="preserve"> </w:t>
      </w:r>
      <w:r w:rsidRPr="00F44DFF">
        <w:rPr>
          <w:sz w:val="16"/>
        </w:rPr>
        <w:t>Calculated based on</w:t>
      </w:r>
      <w:r>
        <w:rPr>
          <w:sz w:val="16"/>
        </w:rPr>
        <w:t xml:space="preserve"> a</w:t>
      </w:r>
      <w:r w:rsidRPr="00F44DFF">
        <w:rPr>
          <w:sz w:val="16"/>
        </w:rPr>
        <w:t xml:space="preserve"> penalty unit value of $192</w:t>
      </w:r>
      <w:r w:rsidR="00CC776C">
        <w:rPr>
          <w:sz w:val="16"/>
        </w:rPr>
        <w:t>.31</w:t>
      </w:r>
      <w:r w:rsidRPr="00F44DFF">
        <w:rPr>
          <w:sz w:val="16"/>
        </w:rPr>
        <w:t xml:space="preserve"> (the penalty unit value from 1 July 202</w:t>
      </w:r>
      <w:r w:rsidR="00CC776C">
        <w:rPr>
          <w:sz w:val="16"/>
        </w:rPr>
        <w:t>3</w:t>
      </w:r>
      <w:r w:rsidRPr="00F44DFF">
        <w:rPr>
          <w:sz w:val="16"/>
        </w:rPr>
        <w:t xml:space="preserve"> to 30 June 202</w:t>
      </w:r>
      <w:r w:rsidR="00CC776C">
        <w:rPr>
          <w:sz w:val="16"/>
        </w:rPr>
        <w:t>4</w:t>
      </w:r>
      <w:r w:rsidRPr="00F44DFF">
        <w:rPr>
          <w:sz w:val="16"/>
        </w:rPr>
        <w:t>).</w:t>
      </w:r>
    </w:p>
  </w:footnote>
  <w:footnote w:id="39">
    <w:p w14:paraId="04F8FAC8" w14:textId="00E97902" w:rsidR="00D143DD" w:rsidRDefault="00D143DD" w:rsidP="00D143DD">
      <w:pPr>
        <w:pStyle w:val="FootnoteText"/>
      </w:pPr>
      <w:r>
        <w:rPr>
          <w:rStyle w:val="FootnoteReference"/>
        </w:rPr>
        <w:footnoteRef/>
      </w:r>
      <w:r>
        <w:t xml:space="preserve"> Safer Care Victoria</w:t>
      </w:r>
      <w:r w:rsidR="008C1F57">
        <w:t>,</w:t>
      </w:r>
      <w:r>
        <w:t xml:space="preserve"> </w:t>
      </w:r>
      <w:r w:rsidR="00546046">
        <w:t xml:space="preserve">2019, </w:t>
      </w:r>
      <w:hyperlink r:id="rId29" w:history="1">
        <w:r w:rsidR="008D1B88" w:rsidRPr="00742713">
          <w:rPr>
            <w:rStyle w:val="Hyperlink"/>
          </w:rPr>
          <w:t>Victorian sentinel events guide</w:t>
        </w:r>
      </w:hyperlink>
      <w:r>
        <w:t xml:space="preserve"> &lt;</w:t>
      </w:r>
      <w:r w:rsidRPr="00D143DD">
        <w:t>https://www.safercare.vic.gov.au/publications/sentinel-events-guide</w:t>
      </w:r>
      <w:r>
        <w:t>&gt;.</w:t>
      </w:r>
    </w:p>
  </w:footnote>
  <w:footnote w:id="40">
    <w:p w14:paraId="16C21115" w14:textId="6F0FEBCC" w:rsidR="00EE54C6" w:rsidRDefault="00EE54C6">
      <w:pPr>
        <w:pStyle w:val="FootnoteText"/>
      </w:pPr>
      <w:r>
        <w:rPr>
          <w:rStyle w:val="FootnoteReference"/>
        </w:rPr>
        <w:footnoteRef/>
      </w:r>
      <w:r>
        <w:t xml:space="preserve"> Australian Commission on Safety and Quality in Health Care</w:t>
      </w:r>
      <w:r w:rsidR="008C1F57">
        <w:t>,</w:t>
      </w:r>
      <w:r>
        <w:t xml:space="preserve"> </w:t>
      </w:r>
      <w:hyperlink r:id="rId30" w:history="1">
        <w:r w:rsidRPr="00EE54C6">
          <w:rPr>
            <w:rStyle w:val="Hyperlink"/>
          </w:rPr>
          <w:t>Australian Open Disclosure Framework</w:t>
        </w:r>
      </w:hyperlink>
      <w:r>
        <w:t xml:space="preserve"> &lt;</w:t>
      </w:r>
      <w:r w:rsidRPr="00EE54C6">
        <w:t>https://www.safetyandquality.gov.au/our-work/open-disclosure/the-open-disclosure-framework</w:t>
      </w:r>
      <w:r w:rsidR="008C1F57">
        <w:t>&gt;.</w:t>
      </w:r>
    </w:p>
  </w:footnote>
  <w:footnote w:id="41">
    <w:p w14:paraId="108DCE87" w14:textId="5117A29B" w:rsidR="00DE4CC6" w:rsidRDefault="00DE4CC6">
      <w:pPr>
        <w:pStyle w:val="FootnoteText"/>
      </w:pPr>
      <w:r>
        <w:rPr>
          <w:rStyle w:val="FootnoteReference"/>
        </w:rPr>
        <w:footnoteRef/>
      </w:r>
      <w:r>
        <w:t xml:space="preserve"> </w:t>
      </w:r>
      <w:r w:rsidR="001349DD" w:rsidRPr="001349DD">
        <w:t>The Health Services (Quality and Safety) Regulations 2020</w:t>
      </w:r>
      <w:r w:rsidR="001349DD">
        <w:t xml:space="preserve"> </w:t>
      </w:r>
      <w:r w:rsidR="001349DD" w:rsidRPr="001349DD">
        <w:t xml:space="preserve">are available on the </w:t>
      </w:r>
      <w:hyperlink r:id="rId31" w:history="1">
        <w:r w:rsidR="001349DD" w:rsidRPr="001349DD">
          <w:rPr>
            <w:rStyle w:val="Hyperlink"/>
          </w:rPr>
          <w:t>Victorian Legislation website</w:t>
        </w:r>
      </w:hyperlink>
      <w:r w:rsidR="001349DD" w:rsidRPr="001349DD">
        <w:t xml:space="preserve"> &lt;https://www.legislation.vic.gov.au/as-made/statutory-rules/health-services-quality-and-safety-regulations-2020</w:t>
      </w:r>
      <w:r w:rsidR="001349DD">
        <w:t>&gt;.</w:t>
      </w:r>
    </w:p>
  </w:footnote>
  <w:footnote w:id="42">
    <w:p w14:paraId="182A7048" w14:textId="66FB8925" w:rsidR="00047743" w:rsidRDefault="00047743">
      <w:pPr>
        <w:pStyle w:val="FootnoteText"/>
      </w:pPr>
      <w:r>
        <w:rPr>
          <w:rStyle w:val="FootnoteReference"/>
        </w:rPr>
        <w:footnoteRef/>
      </w:r>
      <w:r>
        <w:t xml:space="preserve"> </w:t>
      </w:r>
      <w:r>
        <w:rPr>
          <w:szCs w:val="18"/>
        </w:rPr>
        <w:t xml:space="preserve">Safer Care Victoria, 2023, </w:t>
      </w:r>
      <w:hyperlink r:id="rId32" w:history="1">
        <w:r w:rsidR="00EA5D58">
          <w:rPr>
            <w:rStyle w:val="Hyperlink"/>
            <w:szCs w:val="18"/>
          </w:rPr>
          <w:t>Victorian Duty of Candour Guidelines</w:t>
        </w:r>
      </w:hyperlink>
      <w:r>
        <w:rPr>
          <w:szCs w:val="18"/>
        </w:rPr>
        <w:t xml:space="preserve">, </w:t>
      </w:r>
      <w:r w:rsidRPr="00070045">
        <w:rPr>
          <w:szCs w:val="18"/>
        </w:rPr>
        <w:t>State Government of Victoria, viewed 21 July 2023</w:t>
      </w:r>
      <w:r>
        <w:rPr>
          <w:szCs w:val="18"/>
        </w:rPr>
        <w:t>, &lt;</w:t>
      </w:r>
      <w:r w:rsidRPr="001349DD">
        <w:rPr>
          <w:szCs w:val="18"/>
        </w:rPr>
        <w:t>https://www.safercare.vic.gov.au/support-training/adverse-event-review-and-response/duty-of-candour</w:t>
      </w:r>
      <w:r>
        <w:rPr>
          <w:szCs w:val="18"/>
        </w:rPr>
        <w:t>&gt;.</w:t>
      </w:r>
    </w:p>
  </w:footnote>
  <w:footnote w:id="43">
    <w:p w14:paraId="687D92FE" w14:textId="6C35F4A7" w:rsidR="00D51A0E" w:rsidRDefault="00D51A0E">
      <w:pPr>
        <w:pStyle w:val="FootnoteText"/>
      </w:pPr>
      <w:r>
        <w:rPr>
          <w:rStyle w:val="FootnoteReference"/>
        </w:rPr>
        <w:footnoteRef/>
      </w:r>
      <w:r>
        <w:t xml:space="preserve"> </w:t>
      </w:r>
      <w:r w:rsidR="001349DD">
        <w:rPr>
          <w:szCs w:val="18"/>
        </w:rPr>
        <w:t xml:space="preserve">Safer Care Victoria, 2023, </w:t>
      </w:r>
      <w:hyperlink r:id="rId33" w:history="1">
        <w:r w:rsidR="001349DD" w:rsidRPr="00AE30A8">
          <w:rPr>
            <w:rStyle w:val="Hyperlink"/>
            <w:szCs w:val="18"/>
          </w:rPr>
          <w:t>Statutory Duty of Candour and protections for SAPSE reviews</w:t>
        </w:r>
      </w:hyperlink>
      <w:r w:rsidR="001349DD">
        <w:rPr>
          <w:szCs w:val="18"/>
        </w:rPr>
        <w:t xml:space="preserve">  &lt;</w:t>
      </w:r>
      <w:r w:rsidR="001349DD" w:rsidRPr="001349DD">
        <w:rPr>
          <w:szCs w:val="18"/>
        </w:rPr>
        <w:t>https://www.safercare.vic.gov.au/support-training/adverse-event-review-and-response/duty-of-candour</w:t>
      </w:r>
      <w:r w:rsidR="001349DD">
        <w:rPr>
          <w:szCs w:val="18"/>
        </w:rPr>
        <w:t xml:space="preserve">&gt; </w:t>
      </w:r>
      <w:r w:rsidR="00EA78C5">
        <w:t xml:space="preserve">and </w:t>
      </w:r>
      <w:hyperlink r:id="rId34" w:history="1">
        <w:r w:rsidR="00070045" w:rsidRPr="00070045">
          <w:rPr>
            <w:rStyle w:val="Hyperlink"/>
          </w:rPr>
          <w:t>Adverse event review and response</w:t>
        </w:r>
      </w:hyperlink>
      <w:r w:rsidR="00070045">
        <w:t xml:space="preserve"> &lt;</w:t>
      </w:r>
      <w:r w:rsidR="00070045" w:rsidRPr="00070045">
        <w:t>https://www.safercare.vic.gov.au/support-and-training/review-and-response</w:t>
      </w:r>
      <w:r w:rsidR="00070045">
        <w:t>&gt;.</w:t>
      </w:r>
    </w:p>
  </w:footnote>
  <w:footnote w:id="44">
    <w:p w14:paraId="323F1674" w14:textId="46C1CCF6" w:rsidR="001334FB" w:rsidRDefault="001334FB">
      <w:pPr>
        <w:pStyle w:val="FootnoteText"/>
      </w:pPr>
      <w:r>
        <w:rPr>
          <w:rStyle w:val="FootnoteReference"/>
        </w:rPr>
        <w:footnoteRef/>
      </w:r>
      <w:r>
        <w:t xml:space="preserve"> </w:t>
      </w:r>
      <w:r w:rsidR="00070045">
        <w:rPr>
          <w:szCs w:val="18"/>
        </w:rPr>
        <w:t xml:space="preserve">Safer Care Victoria, 2023, </w:t>
      </w:r>
      <w:hyperlink r:id="rId35" w:history="1">
        <w:r w:rsidR="00070045" w:rsidRPr="00AE30A8">
          <w:rPr>
            <w:rStyle w:val="Hyperlink"/>
            <w:szCs w:val="18"/>
          </w:rPr>
          <w:t>Statutory Duty of Candour and protections for SAPSE reviews</w:t>
        </w:r>
      </w:hyperlink>
      <w:r w:rsidR="00070045">
        <w:rPr>
          <w:szCs w:val="18"/>
        </w:rPr>
        <w:t xml:space="preserve">, </w:t>
      </w:r>
      <w:r w:rsidR="00070045" w:rsidRPr="00070045">
        <w:rPr>
          <w:szCs w:val="18"/>
        </w:rPr>
        <w:t>State Government of Victoria, viewed 21 July 2023</w:t>
      </w:r>
      <w:r w:rsidR="00070045">
        <w:rPr>
          <w:szCs w:val="18"/>
        </w:rPr>
        <w:t>, &lt;</w:t>
      </w:r>
      <w:r w:rsidR="00070045" w:rsidRPr="001349DD">
        <w:rPr>
          <w:szCs w:val="18"/>
        </w:rPr>
        <w:t>https://www.safercare.vic.gov.au/support-training/adverse-event-review-and-response/duty-of-candour</w:t>
      </w:r>
      <w:r w:rsidR="00070045">
        <w:rPr>
          <w:szCs w:val="18"/>
        </w:rPr>
        <w:t>&gt;.</w:t>
      </w:r>
    </w:p>
  </w:footnote>
  <w:footnote w:id="45">
    <w:p w14:paraId="7CE6FB07" w14:textId="3EAEC8F5" w:rsidR="00B55C27" w:rsidRDefault="00B55C27">
      <w:pPr>
        <w:pStyle w:val="FootnoteText"/>
      </w:pPr>
      <w:r>
        <w:rPr>
          <w:rStyle w:val="FootnoteReference"/>
        </w:rPr>
        <w:footnoteRef/>
      </w:r>
      <w:r>
        <w:t xml:space="preserve"> Safer Care Victoria, </w:t>
      </w:r>
      <w:r w:rsidR="007B1CB0">
        <w:t>20</w:t>
      </w:r>
      <w:r w:rsidR="00546046">
        <w:t>19</w:t>
      </w:r>
      <w:r w:rsidR="007B1CB0">
        <w:t xml:space="preserve">, </w:t>
      </w:r>
      <w:hyperlink r:id="rId36" w:history="1">
        <w:r w:rsidR="00CE1B06">
          <w:rPr>
            <w:rStyle w:val="Hyperlink"/>
          </w:rPr>
          <w:t>Victorian sentinel events guide</w:t>
        </w:r>
      </w:hyperlink>
      <w:r>
        <w:t xml:space="preserve"> &lt;</w:t>
      </w:r>
      <w:r w:rsidRPr="00D143DD">
        <w:t>https://www.safercare.vic.gov.au/publications/sentinel-events-guide</w:t>
      </w:r>
      <w:r>
        <w:t>&gt;.</w:t>
      </w:r>
    </w:p>
  </w:footnote>
  <w:footnote w:id="46">
    <w:p w14:paraId="5B3B3705" w14:textId="04B685A4" w:rsidR="00522A44" w:rsidRDefault="00522A44">
      <w:pPr>
        <w:pStyle w:val="FootnoteText"/>
      </w:pPr>
      <w:r>
        <w:rPr>
          <w:rStyle w:val="FootnoteReference"/>
        </w:rPr>
        <w:footnoteRef/>
      </w:r>
      <w:r>
        <w:t xml:space="preserve"> </w:t>
      </w:r>
      <w:r>
        <w:rPr>
          <w:szCs w:val="18"/>
        </w:rPr>
        <w:t>Safer Care Victoria, 2023,</w:t>
      </w:r>
      <w:r w:rsidR="00E436B0">
        <w:rPr>
          <w:szCs w:val="18"/>
        </w:rPr>
        <w:t xml:space="preserve"> </w:t>
      </w:r>
      <w:hyperlink r:id="rId37" w:history="1">
        <w:r w:rsidRPr="00522A44">
          <w:rPr>
            <w:rStyle w:val="Hyperlink"/>
            <w:szCs w:val="18"/>
          </w:rPr>
          <w:t>Adverse patient safety event policy</w:t>
        </w:r>
      </w:hyperlink>
      <w:r w:rsidR="00E436B0">
        <w:rPr>
          <w:szCs w:val="18"/>
        </w:rPr>
        <w:t xml:space="preserve">, </w:t>
      </w:r>
      <w:r w:rsidR="00A85C96">
        <w:rPr>
          <w:szCs w:val="18"/>
        </w:rPr>
        <w:t>&lt;</w:t>
      </w:r>
      <w:r w:rsidR="00A85C96" w:rsidRPr="00A85C96">
        <w:rPr>
          <w:szCs w:val="18"/>
        </w:rPr>
        <w:t>https://www.safercare.vic.gov.au/publications/policy-adverse-patient-safety-events</w:t>
      </w:r>
      <w:r w:rsidR="00A85C96">
        <w:rPr>
          <w:szCs w:val="18"/>
        </w:rPr>
        <w:t xml:space="preserve">&gt; </w:t>
      </w:r>
    </w:p>
  </w:footnote>
  <w:footnote w:id="47">
    <w:p w14:paraId="3BFF27C8" w14:textId="7EE1F136" w:rsidR="0054188C" w:rsidRDefault="0054188C">
      <w:pPr>
        <w:pStyle w:val="FootnoteText"/>
      </w:pPr>
      <w:r>
        <w:rPr>
          <w:rStyle w:val="FootnoteReference"/>
        </w:rPr>
        <w:footnoteRef/>
      </w:r>
      <w:r w:rsidR="00070045">
        <w:t xml:space="preserve"> Victorian Agency for Health Information</w:t>
      </w:r>
      <w:r w:rsidR="006C3AFC">
        <w:t>,</w:t>
      </w:r>
      <w:r w:rsidR="00070045">
        <w:t xml:space="preserve"> 2023, </w:t>
      </w:r>
      <w:hyperlink r:id="rId38" w:anchor=":~:text=The%20Victorian%20Health%20Incident%20Management,Human%20Services%20(the%20Department)" w:history="1">
        <w:r w:rsidR="00070045" w:rsidRPr="00070045">
          <w:rPr>
            <w:rStyle w:val="Hyperlink"/>
          </w:rPr>
          <w:t>VHIMS program of reforms</w:t>
        </w:r>
      </w:hyperlink>
      <w:r w:rsidR="003260B8">
        <w:t xml:space="preserve">, </w:t>
      </w:r>
      <w:r w:rsidR="003260B8">
        <w:rPr>
          <w:szCs w:val="18"/>
        </w:rPr>
        <w:t>State Government of Victoria, viewed 21 July 2023, &lt;</w:t>
      </w:r>
      <w:r w:rsidR="00070045" w:rsidRPr="003260B8">
        <w:t>https://vahi.vic.gov.au/ourwork/safety-and-surveillance-reporting/vhims-program-of-reforms#:~:text=The%20Victorian%20Health%20Incident%20Management,Human%20Services%20(the%20Department)</w:t>
      </w:r>
      <w:r w:rsidR="003260B8">
        <w:t>&gt;</w:t>
      </w:r>
      <w:r w:rsidR="006C3AFC" w:rsidRPr="006C3AFC">
        <w:t>.</w:t>
      </w:r>
      <w:r w:rsidR="006C3AFC">
        <w:t xml:space="preserve"> </w:t>
      </w:r>
    </w:p>
  </w:footnote>
  <w:footnote w:id="48">
    <w:p w14:paraId="2FB5CCAB" w14:textId="7DEB3C3D" w:rsidR="00D633BD" w:rsidRPr="000511B3" w:rsidRDefault="00A91363" w:rsidP="000511B3">
      <w:pPr>
        <w:pStyle w:val="FootnoteText"/>
        <w:rPr>
          <w:rStyle w:val="FootnoteTextChar"/>
        </w:rPr>
      </w:pPr>
      <w:r>
        <w:rPr>
          <w:rStyle w:val="FootnoteReference"/>
        </w:rPr>
        <w:footnoteRef/>
      </w:r>
      <w:r>
        <w:t xml:space="preserve"> </w:t>
      </w:r>
      <w:r w:rsidR="00D633BD" w:rsidRPr="000511B3">
        <w:t>The</w:t>
      </w:r>
      <w:r w:rsidR="00D633BD" w:rsidRPr="000511B3">
        <w:rPr>
          <w:rStyle w:val="FootnoteTextChar"/>
        </w:rPr>
        <w:t xml:space="preserve"> American Society of Anesthesiology (ASA) Physical Status Classification of the patient’s present physical condition on a scale from 1-6 as it appears on the anaesthesia record.</w:t>
      </w:r>
    </w:p>
    <w:p w14:paraId="44B35DA4" w14:textId="6C7976CA" w:rsidR="00A91363" w:rsidRDefault="00A91363">
      <w:pPr>
        <w:pStyle w:val="FootnoteText"/>
      </w:pPr>
    </w:p>
  </w:footnote>
  <w:footnote w:id="49">
    <w:p w14:paraId="4F094B20" w14:textId="77777777" w:rsidR="00BE3E2A" w:rsidRDefault="00BE3E2A" w:rsidP="00BE3E2A">
      <w:pPr>
        <w:pStyle w:val="FootnoteText"/>
      </w:pPr>
      <w:r>
        <w:rPr>
          <w:rStyle w:val="FootnoteReference"/>
        </w:rPr>
        <w:footnoteRef/>
      </w:r>
      <w:r>
        <w:t xml:space="preserve"> </w:t>
      </w:r>
      <w:hyperlink r:id="rId39" w:history="1">
        <w:r w:rsidRPr="003253A5">
          <w:rPr>
            <w:rStyle w:val="Hyperlink"/>
          </w:rPr>
          <w:t>Charter of Human Rights and Responsibilities Act 2006</w:t>
        </w:r>
      </w:hyperlink>
      <w:r>
        <w:t>, &lt;</w:t>
      </w:r>
      <w:r w:rsidRPr="003253A5">
        <w:t>https://www.legislation.vic.gov.au/in-force/acts/charter-human-rights-and-responsibilities-act-2006/015</w:t>
      </w:r>
      <w:r>
        <w:t>&gt;.</w:t>
      </w:r>
    </w:p>
  </w:footnote>
  <w:footnote w:id="50">
    <w:p w14:paraId="1D6A5E6C" w14:textId="76353B23" w:rsidR="00C24FC3" w:rsidRPr="00C06BA0" w:rsidRDefault="00C24FC3" w:rsidP="00AE67D8">
      <w:pPr>
        <w:pStyle w:val="FootnoteText"/>
        <w:rPr>
          <w:rFonts w:asciiTheme="minorHAnsi" w:hAnsiTheme="minorHAnsi" w:cstheme="minorHAnsi"/>
          <w:szCs w:val="18"/>
        </w:rPr>
      </w:pPr>
      <w:r>
        <w:rPr>
          <w:rStyle w:val="FootnoteReference"/>
        </w:rPr>
        <w:footnoteRef/>
      </w:r>
      <w:r w:rsidR="00391BC9" w:rsidRPr="00C06BA0" w:rsidDel="00A860F5">
        <w:rPr>
          <w:szCs w:val="18"/>
        </w:rPr>
        <w:t xml:space="preserve"> </w:t>
      </w:r>
      <w:r w:rsidR="00867EEB" w:rsidRPr="00C06BA0" w:rsidDel="00A860F5">
        <w:rPr>
          <w:szCs w:val="18"/>
        </w:rPr>
        <w:t xml:space="preserve">ACSQHC, </w:t>
      </w:r>
      <w:hyperlink r:id="rId40" w:history="1">
        <w:r w:rsidR="003260B8" w:rsidRPr="00C06BA0">
          <w:rPr>
            <w:rStyle w:val="Hyperlink"/>
            <w:szCs w:val="18"/>
          </w:rPr>
          <w:t>NSQHS Standards - Partnering with consumers standard</w:t>
        </w:r>
      </w:hyperlink>
      <w:r w:rsidR="003260B8" w:rsidRPr="00C06BA0">
        <w:rPr>
          <w:szCs w:val="18"/>
        </w:rPr>
        <w:t xml:space="preserve">, </w:t>
      </w:r>
      <w:r w:rsidR="00C06BA0">
        <w:rPr>
          <w:szCs w:val="18"/>
        </w:rPr>
        <w:t>ACSQHC, Sydney, viewed 21 July 2023,</w:t>
      </w:r>
      <w:r w:rsidR="00C06BA0" w:rsidRPr="00C06BA0">
        <w:rPr>
          <w:szCs w:val="18"/>
        </w:rPr>
        <w:t xml:space="preserve"> </w:t>
      </w:r>
      <w:r w:rsidR="00C039B0" w:rsidRPr="00C06BA0">
        <w:rPr>
          <w:szCs w:val="18"/>
        </w:rPr>
        <w:t>&lt;</w:t>
      </w:r>
      <w:r w:rsidR="00391BC9" w:rsidRPr="00C06BA0" w:rsidDel="00A860F5">
        <w:rPr>
          <w:szCs w:val="18"/>
        </w:rPr>
        <w:t>https://www.safetyandquality.gov.au/standards/nsqhs-standards/partnering-consumers-standard</w:t>
      </w:r>
      <w:r w:rsidR="00C039B0" w:rsidRPr="00C06BA0">
        <w:rPr>
          <w:szCs w:val="18"/>
        </w:rPr>
        <w:t>&gt;</w:t>
      </w:r>
      <w:r w:rsidR="00C06BA0">
        <w:rPr>
          <w:szCs w:val="18"/>
        </w:rPr>
        <w:t>.</w:t>
      </w:r>
    </w:p>
  </w:footnote>
  <w:footnote w:id="51">
    <w:p w14:paraId="17E7CEC8" w14:textId="2333EF22" w:rsidR="00F338C3" w:rsidRDefault="00F338C3">
      <w:pPr>
        <w:pStyle w:val="FootnoteText"/>
      </w:pPr>
      <w:r>
        <w:rPr>
          <w:rStyle w:val="FootnoteReference"/>
        </w:rPr>
        <w:footnoteRef/>
      </w:r>
      <w:r>
        <w:t xml:space="preserve"> Safer Care Victoria,</w:t>
      </w:r>
      <w:r w:rsidR="00C21C3F">
        <w:t xml:space="preserve"> 2019,</w:t>
      </w:r>
      <w:r>
        <w:t xml:space="preserve"> </w:t>
      </w:r>
      <w:hyperlink r:id="rId41" w:history="1">
        <w:r w:rsidRPr="00F338C3">
          <w:rPr>
            <w:rStyle w:val="Hyperlink"/>
          </w:rPr>
          <w:t>Partnering in Healthcare Framework</w:t>
        </w:r>
      </w:hyperlink>
      <w:r w:rsidR="00C21C3F">
        <w:t xml:space="preserve"> &lt;</w:t>
      </w:r>
      <w:r w:rsidR="00C21C3F" w:rsidRPr="00C21C3F">
        <w:t>https://www.safercare.vic.gov.au/publications/partnering-in-healthcare</w:t>
      </w:r>
      <w:r w:rsidR="00C21C3F">
        <w:t>&gt;.</w:t>
      </w:r>
    </w:p>
  </w:footnote>
  <w:footnote w:id="52">
    <w:p w14:paraId="2E98C0F4" w14:textId="3F21C21D" w:rsidR="00DA19EF" w:rsidRDefault="00DA19EF">
      <w:pPr>
        <w:pStyle w:val="FootnoteText"/>
      </w:pPr>
      <w:r>
        <w:rPr>
          <w:rStyle w:val="FootnoteReference"/>
        </w:rPr>
        <w:footnoteRef/>
      </w:r>
      <w:r>
        <w:t xml:space="preserve"> </w:t>
      </w:r>
      <w:r w:rsidR="00372F14">
        <w:t xml:space="preserve">Department of Justice and Community Safety Victoria, </w:t>
      </w:r>
      <w:r w:rsidR="002321DD">
        <w:t xml:space="preserve">2022, </w:t>
      </w:r>
      <w:hyperlink r:id="rId42" w:history="1">
        <w:r w:rsidR="00C24D05" w:rsidRPr="00C24D05">
          <w:rPr>
            <w:rStyle w:val="Hyperlink"/>
          </w:rPr>
          <w:t>Attorney-General's guidelines to the Infringements Act 2006</w:t>
        </w:r>
      </w:hyperlink>
      <w:r w:rsidR="00C24D05">
        <w:t>, &lt;</w:t>
      </w:r>
      <w:r w:rsidR="00C24D05" w:rsidRPr="00C24D05">
        <w:t>https://www.justice.vic.gov.au/justice-system/fines-and-penalties/attorney-generals-guidelines-to-the-infringements-act-2006</w:t>
      </w:r>
      <w:r w:rsidR="00C24D05">
        <w:t>&gt;.</w:t>
      </w:r>
    </w:p>
  </w:footnote>
  <w:footnote w:id="53">
    <w:p w14:paraId="67947C3B" w14:textId="610165F8" w:rsidR="000A61E4" w:rsidRPr="00E267DC" w:rsidRDefault="000A61E4">
      <w:pPr>
        <w:pStyle w:val="FootnoteText"/>
        <w:rPr>
          <w:i/>
        </w:rPr>
      </w:pPr>
      <w:r>
        <w:rPr>
          <w:rStyle w:val="FootnoteReference"/>
        </w:rPr>
        <w:footnoteRef/>
      </w:r>
      <w:r>
        <w:t xml:space="preserve"> </w:t>
      </w:r>
      <w:r w:rsidR="000A0752">
        <w:t>Fee units are</w:t>
      </w:r>
      <w:r w:rsidR="006B4FFC">
        <w:t xml:space="preserve"> set according to the </w:t>
      </w:r>
      <w:r w:rsidR="006B4FFC">
        <w:rPr>
          <w:i/>
          <w:iCs/>
        </w:rPr>
        <w:t>Monetary Units Act 2004.</w:t>
      </w:r>
    </w:p>
  </w:footnote>
  <w:footnote w:id="54">
    <w:p w14:paraId="53C254E1" w14:textId="4DAE1B14" w:rsidR="00E1201C" w:rsidRDefault="00E1201C">
      <w:pPr>
        <w:pStyle w:val="FootnoteText"/>
      </w:pPr>
      <w:r>
        <w:rPr>
          <w:rStyle w:val="FootnoteReference"/>
        </w:rPr>
        <w:footnoteRef/>
      </w:r>
      <w:r>
        <w:t xml:space="preserve"> Available on the </w:t>
      </w:r>
      <w:hyperlink r:id="rId43" w:history="1">
        <w:r w:rsidRPr="00C06BA0">
          <w:rPr>
            <w:rStyle w:val="Hyperlink"/>
          </w:rPr>
          <w:t>Department of Treasury and Finance website</w:t>
        </w:r>
      </w:hyperlink>
      <w:r>
        <w:t xml:space="preserve"> at </w:t>
      </w:r>
      <w:r w:rsidR="00C06BA0">
        <w:t>&lt;</w:t>
      </w:r>
      <w:r w:rsidR="00297751" w:rsidRPr="00297751">
        <w:t>https://www.dtf.vic.gov.au/financial-management-government/indexation-fees-and-penalties</w:t>
      </w:r>
      <w:r w:rsidR="00C06BA0">
        <w:t>&gt;.</w:t>
      </w:r>
    </w:p>
  </w:footnote>
  <w:footnote w:id="55">
    <w:p w14:paraId="3C5C7986" w14:textId="77777777" w:rsidR="007F3CC9" w:rsidRDefault="007F3CC9" w:rsidP="007F3CC9">
      <w:pPr>
        <w:pStyle w:val="FootnoteText"/>
      </w:pPr>
      <w:r>
        <w:rPr>
          <w:rStyle w:val="FootnoteReference"/>
        </w:rPr>
        <w:footnoteRef/>
      </w:r>
      <w:r>
        <w:t xml:space="preserve"> </w:t>
      </w:r>
      <w:r w:rsidRPr="0060361F">
        <w:t xml:space="preserve">Australian and New Zealand College of Anaesthetists </w:t>
      </w:r>
      <w:r>
        <w:t>and</w:t>
      </w:r>
      <w:r w:rsidRPr="0060361F">
        <w:t xml:space="preserve"> the Faculty of Pain Medication </w:t>
      </w:r>
      <w:hyperlink r:id="rId44" w:history="1">
        <w:r w:rsidRPr="00C06BA0">
          <w:rPr>
            <w:rStyle w:val="Hyperlink"/>
            <w:i/>
          </w:rPr>
          <w:t>Position Statement on minimum facilities for safe administration of anaesthesia in operating suites and other anaesthetising locations</w:t>
        </w:r>
        <w:r w:rsidRPr="00C06BA0">
          <w:rPr>
            <w:rStyle w:val="Hyperlink"/>
          </w:rPr>
          <w:t xml:space="preserve"> 2021</w:t>
        </w:r>
      </w:hyperlink>
      <w:r w:rsidRPr="000D16F1">
        <w:t xml:space="preserve"> (PS55(A))</w:t>
      </w:r>
      <w:r>
        <w:t>, viewed 21 July 2023, &lt;</w:t>
      </w:r>
      <w:r w:rsidRPr="00C06BA0">
        <w:t>https://www.anzca.edu.au/getattachment/7ee1b267-8c29-414e-86c2-6d0e50933d43/PS55(A)-Position-statement-on-minimum-facilities-for-safe-administration-of-anaesthesia-in-operating-suites-and-other-anaesthetising-locations-(PS55)</w:t>
      </w:r>
      <w:r>
        <w:t>&gt;.</w:t>
      </w:r>
    </w:p>
  </w:footnote>
  <w:footnote w:id="56">
    <w:p w14:paraId="5398EAF3" w14:textId="1049E917" w:rsidR="00DA1680" w:rsidRDefault="00DA1680">
      <w:pPr>
        <w:pStyle w:val="FootnoteText"/>
      </w:pPr>
      <w:r>
        <w:rPr>
          <w:rStyle w:val="FootnoteReference"/>
        </w:rPr>
        <w:footnoteRef/>
      </w:r>
      <w:r>
        <w:t xml:space="preserve"> </w:t>
      </w:r>
      <w:r w:rsidRPr="00DA1680">
        <w:t>Calculated based on a penalty unit value of $192</w:t>
      </w:r>
      <w:r w:rsidR="00D46F4A">
        <w:t>.31</w:t>
      </w:r>
      <w:r w:rsidRPr="00DA1680">
        <w:t xml:space="preserve"> (the penalty unit value from 1 July 202</w:t>
      </w:r>
      <w:r w:rsidR="00D46F4A">
        <w:t>3</w:t>
      </w:r>
      <w:r w:rsidRPr="00DA1680">
        <w:t xml:space="preserve"> to 30 June 202</w:t>
      </w:r>
      <w:r w:rsidR="00D46F4A">
        <w:t>4</w:t>
      </w:r>
      <w:r w:rsidRPr="00DA168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1DA4" w14:textId="77777777" w:rsidR="00460730" w:rsidRDefault="00460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4F7A" w14:textId="77777777" w:rsidR="00460730" w:rsidRDefault="00460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A641" w14:textId="77777777" w:rsidR="00460730" w:rsidRDefault="004607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C06C" w14:textId="52F65D63"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32D1" w14:textId="6BFB42AC" w:rsidR="007D6107" w:rsidRDefault="007D6107" w:rsidP="0017674D">
    <w:pPr>
      <w:pStyle w:val="Header"/>
    </w:pPr>
  </w:p>
  <w:p w14:paraId="66C74B1A" w14:textId="402DD9F4" w:rsidR="00562811" w:rsidRPr="0051568D" w:rsidRDefault="005C19D5" w:rsidP="0017674D">
    <w:pPr>
      <w:pStyle w:val="Header"/>
    </w:pPr>
    <w:r>
      <w:t xml:space="preserve">Review of </w:t>
    </w:r>
    <w:r w:rsidR="009F0B91">
      <w:t xml:space="preserve">the </w:t>
    </w:r>
    <w:r>
      <w:t>Health Service</w:t>
    </w:r>
    <w:r w:rsidR="006B5FAE">
      <w:t>s</w:t>
    </w:r>
    <w:r>
      <w:t xml:space="preserve"> (Health Service Establishments) Regulations 2013</w:t>
    </w:r>
    <w:r w:rsidR="009F0B91">
      <w:t xml:space="preserve"> – </w:t>
    </w:r>
    <w:r>
      <w:t>d</w:t>
    </w:r>
    <w:r w:rsidR="005B6FE7">
      <w:t>iscussion paper</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1F22" w14:textId="71C65585" w:rsidR="00FB7513" w:rsidRDefault="00FB7513">
    <w:pPr>
      <w:pStyle w:val="Header"/>
    </w:pPr>
  </w:p>
</w:hdr>
</file>

<file path=word/intelligence2.xml><?xml version="1.0" encoding="utf-8"?>
<int2:intelligence xmlns:int2="http://schemas.microsoft.com/office/intelligence/2020/intelligence" xmlns:oel="http://schemas.microsoft.com/office/2019/extlst">
  <int2:observations>
    <int2:textHash int2:hashCode="brrSUjNlHpXloe" int2:id="A4Gxp7up">
      <int2:state int2:value="Rejected" int2:type="LegacyProofing"/>
    </int2:textHash>
    <int2:textHash int2:hashCode="j7y8/Qqxz28aFw" int2:id="IFXduoq3">
      <int2:state int2:value="Rejected" int2:type="LegacyProofing"/>
    </int2:textHash>
    <int2:textHash int2:hashCode="AC5zi1KOK5Oo4E" int2:id="PyVkTB88">
      <int2:state int2:value="Rejected" int2:type="LegacyProofing"/>
    </int2:textHash>
    <int2:textHash int2:hashCode="C9BVcTUjVlAGbZ" int2:id="cmsb0Qc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8DD"/>
    <w:multiLevelType w:val="hybridMultilevel"/>
    <w:tmpl w:val="8BE66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A55801"/>
    <w:multiLevelType w:val="hybridMultilevel"/>
    <w:tmpl w:val="8CCE2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F2DEA"/>
    <w:multiLevelType w:val="hybridMultilevel"/>
    <w:tmpl w:val="3524F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A50056"/>
    <w:multiLevelType w:val="multilevel"/>
    <w:tmpl w:val="0AAE1EBA"/>
    <w:numStyleLink w:val="ZZNumbersloweralpha"/>
  </w:abstractNum>
  <w:abstractNum w:abstractNumId="4" w15:restartNumberingAfterBreak="0">
    <w:nsid w:val="042A690F"/>
    <w:multiLevelType w:val="hybridMultilevel"/>
    <w:tmpl w:val="79B2F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A8359A"/>
    <w:multiLevelType w:val="hybridMultilevel"/>
    <w:tmpl w:val="28604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8D43DB"/>
    <w:multiLevelType w:val="multilevel"/>
    <w:tmpl w:val="B33A2DBC"/>
    <w:numStyleLink w:val="ZZNumbersdigit"/>
  </w:abstractNum>
  <w:abstractNum w:abstractNumId="7"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0CF426BA"/>
    <w:multiLevelType w:val="hybridMultilevel"/>
    <w:tmpl w:val="D4AA3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721F1F"/>
    <w:multiLevelType w:val="hybridMultilevel"/>
    <w:tmpl w:val="35043F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5F5D3E"/>
    <w:multiLevelType w:val="hybridMultilevel"/>
    <w:tmpl w:val="CEEA7CC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1CAA4BFF"/>
    <w:multiLevelType w:val="hybridMultilevel"/>
    <w:tmpl w:val="99E69A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8D370F"/>
    <w:multiLevelType w:val="hybridMultilevel"/>
    <w:tmpl w:val="0D90B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CB1362"/>
    <w:multiLevelType w:val="multilevel"/>
    <w:tmpl w:val="1A440C4C"/>
    <w:lvl w:ilvl="0">
      <w:start w:val="1"/>
      <w:numFmt w:val="bullet"/>
      <w:lvlText w:val=""/>
      <w:lvlJc w:val="left"/>
      <w:pPr>
        <w:ind w:left="720" w:hanging="360"/>
      </w:pPr>
      <w:rPr>
        <w:rFonts w:ascii="Symbol" w:hAnsi="Symbol" w:hint="default"/>
      </w:rPr>
    </w:lvl>
    <w:lvl w:ilvl="1">
      <w:start w:val="10"/>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6BB1AC3"/>
    <w:multiLevelType w:val="hybridMultilevel"/>
    <w:tmpl w:val="C5BAE65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E97995"/>
    <w:multiLevelType w:val="hybridMultilevel"/>
    <w:tmpl w:val="535C64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4E5B50"/>
    <w:multiLevelType w:val="hybridMultilevel"/>
    <w:tmpl w:val="D118F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535F31"/>
    <w:multiLevelType w:val="hybridMultilevel"/>
    <w:tmpl w:val="74AEA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391F25"/>
    <w:multiLevelType w:val="hybridMultilevel"/>
    <w:tmpl w:val="F4BC8E4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AC717DC"/>
    <w:multiLevelType w:val="hybridMultilevel"/>
    <w:tmpl w:val="0B6A306A"/>
    <w:lvl w:ilvl="0" w:tplc="0C090001">
      <w:start w:val="1"/>
      <w:numFmt w:val="bullet"/>
      <w:lvlText w:val=""/>
      <w:lvlJc w:val="left"/>
      <w:pPr>
        <w:ind w:left="939" w:hanging="360"/>
      </w:pPr>
      <w:rPr>
        <w:rFonts w:ascii="Symbol" w:hAnsi="Symbol" w:hint="default"/>
      </w:rPr>
    </w:lvl>
    <w:lvl w:ilvl="1" w:tplc="0C090003" w:tentative="1">
      <w:start w:val="1"/>
      <w:numFmt w:val="bullet"/>
      <w:lvlText w:val="o"/>
      <w:lvlJc w:val="left"/>
      <w:pPr>
        <w:ind w:left="1659" w:hanging="360"/>
      </w:pPr>
      <w:rPr>
        <w:rFonts w:ascii="Courier New" w:hAnsi="Courier New" w:cs="Courier New" w:hint="default"/>
      </w:rPr>
    </w:lvl>
    <w:lvl w:ilvl="2" w:tplc="0C090005" w:tentative="1">
      <w:start w:val="1"/>
      <w:numFmt w:val="bullet"/>
      <w:lvlText w:val=""/>
      <w:lvlJc w:val="left"/>
      <w:pPr>
        <w:ind w:left="2379" w:hanging="360"/>
      </w:pPr>
      <w:rPr>
        <w:rFonts w:ascii="Wingdings" w:hAnsi="Wingdings" w:hint="default"/>
      </w:rPr>
    </w:lvl>
    <w:lvl w:ilvl="3" w:tplc="0C090001" w:tentative="1">
      <w:start w:val="1"/>
      <w:numFmt w:val="bullet"/>
      <w:lvlText w:val=""/>
      <w:lvlJc w:val="left"/>
      <w:pPr>
        <w:ind w:left="3099" w:hanging="360"/>
      </w:pPr>
      <w:rPr>
        <w:rFonts w:ascii="Symbol" w:hAnsi="Symbol" w:hint="default"/>
      </w:rPr>
    </w:lvl>
    <w:lvl w:ilvl="4" w:tplc="0C090003" w:tentative="1">
      <w:start w:val="1"/>
      <w:numFmt w:val="bullet"/>
      <w:lvlText w:val="o"/>
      <w:lvlJc w:val="left"/>
      <w:pPr>
        <w:ind w:left="3819" w:hanging="360"/>
      </w:pPr>
      <w:rPr>
        <w:rFonts w:ascii="Courier New" w:hAnsi="Courier New" w:cs="Courier New" w:hint="default"/>
      </w:rPr>
    </w:lvl>
    <w:lvl w:ilvl="5" w:tplc="0C090005" w:tentative="1">
      <w:start w:val="1"/>
      <w:numFmt w:val="bullet"/>
      <w:lvlText w:val=""/>
      <w:lvlJc w:val="left"/>
      <w:pPr>
        <w:ind w:left="4539" w:hanging="360"/>
      </w:pPr>
      <w:rPr>
        <w:rFonts w:ascii="Wingdings" w:hAnsi="Wingdings" w:hint="default"/>
      </w:rPr>
    </w:lvl>
    <w:lvl w:ilvl="6" w:tplc="0C090001" w:tentative="1">
      <w:start w:val="1"/>
      <w:numFmt w:val="bullet"/>
      <w:lvlText w:val=""/>
      <w:lvlJc w:val="left"/>
      <w:pPr>
        <w:ind w:left="5259" w:hanging="360"/>
      </w:pPr>
      <w:rPr>
        <w:rFonts w:ascii="Symbol" w:hAnsi="Symbol" w:hint="default"/>
      </w:rPr>
    </w:lvl>
    <w:lvl w:ilvl="7" w:tplc="0C090003" w:tentative="1">
      <w:start w:val="1"/>
      <w:numFmt w:val="bullet"/>
      <w:lvlText w:val="o"/>
      <w:lvlJc w:val="left"/>
      <w:pPr>
        <w:ind w:left="5979" w:hanging="360"/>
      </w:pPr>
      <w:rPr>
        <w:rFonts w:ascii="Courier New" w:hAnsi="Courier New" w:cs="Courier New" w:hint="default"/>
      </w:rPr>
    </w:lvl>
    <w:lvl w:ilvl="8" w:tplc="0C090005" w:tentative="1">
      <w:start w:val="1"/>
      <w:numFmt w:val="bullet"/>
      <w:lvlText w:val=""/>
      <w:lvlJc w:val="left"/>
      <w:pPr>
        <w:ind w:left="6699" w:hanging="360"/>
      </w:pPr>
      <w:rPr>
        <w:rFonts w:ascii="Wingdings" w:hAnsi="Wingdings" w:hint="default"/>
      </w:rPr>
    </w:lvl>
  </w:abstractNum>
  <w:abstractNum w:abstractNumId="20"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1383AD0"/>
    <w:multiLevelType w:val="hybridMultilevel"/>
    <w:tmpl w:val="FCD89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BE69BC"/>
    <w:multiLevelType w:val="hybridMultilevel"/>
    <w:tmpl w:val="ABD6C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142ACD"/>
    <w:multiLevelType w:val="hybridMultilevel"/>
    <w:tmpl w:val="87728280"/>
    <w:lvl w:ilvl="0" w:tplc="08A28B3A">
      <w:start w:val="1"/>
      <w:numFmt w:val="decimal"/>
      <w:lvlText w:val="%1."/>
      <w:lvlJc w:val="left"/>
      <w:pPr>
        <w:ind w:left="360" w:hanging="360"/>
      </w:pPr>
      <w:rPr>
        <w:rFonts w:ascii="Arial" w:hAnsi="Arial" w:cs="Arial" w:hint="default"/>
        <w:sz w:val="21"/>
        <w:szCs w:val="2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3FC5924"/>
    <w:multiLevelType w:val="hybridMultilevel"/>
    <w:tmpl w:val="D83E4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4508C9"/>
    <w:multiLevelType w:val="multilevel"/>
    <w:tmpl w:val="1A440C4C"/>
    <w:lvl w:ilvl="0">
      <w:start w:val="1"/>
      <w:numFmt w:val="bullet"/>
      <w:lvlText w:val=""/>
      <w:lvlJc w:val="left"/>
      <w:pPr>
        <w:ind w:left="720" w:hanging="360"/>
      </w:pPr>
      <w:rPr>
        <w:rFonts w:ascii="Symbol" w:hAnsi="Symbol" w:hint="default"/>
      </w:rPr>
    </w:lvl>
    <w:lvl w:ilvl="1">
      <w:start w:val="10"/>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76B1E56"/>
    <w:multiLevelType w:val="hybridMultilevel"/>
    <w:tmpl w:val="0AC2F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222194"/>
    <w:multiLevelType w:val="hybridMultilevel"/>
    <w:tmpl w:val="E16EF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4C55F9"/>
    <w:multiLevelType w:val="hybridMultilevel"/>
    <w:tmpl w:val="06A43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FD0E7F"/>
    <w:multiLevelType w:val="hybridMultilevel"/>
    <w:tmpl w:val="C3983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1611C2"/>
    <w:multiLevelType w:val="multilevel"/>
    <w:tmpl w:val="0E9A8178"/>
    <w:styleLink w:val="ZZTablebullets"/>
    <w:lvl w:ilvl="0">
      <w:start w:val="1"/>
      <w:numFmt w:val="lowerLetter"/>
      <w:pStyle w:val="Tablebullet1"/>
      <w:lvlText w:val="(%1)"/>
      <w:lvlJc w:val="left"/>
      <w:pPr>
        <w:ind w:left="227" w:hanging="227"/>
      </w:pPr>
      <w:rPr>
        <w:rFonts w:hint="default"/>
      </w:rPr>
    </w:lvl>
    <w:lvl w:ilvl="1">
      <w:start w:val="1"/>
      <w:numFmt w:val="lowerRoman"/>
      <w:pStyle w:val="Tablebullet2"/>
      <w:lvlText w:val="(%2)"/>
      <w:lvlJc w:val="right"/>
      <w:pPr>
        <w:ind w:left="587" w:hanging="36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57244DF"/>
    <w:multiLevelType w:val="hybridMultilevel"/>
    <w:tmpl w:val="B1F6D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6D3BA0"/>
    <w:multiLevelType w:val="hybridMultilevel"/>
    <w:tmpl w:val="58A8953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7C5B2C"/>
    <w:multiLevelType w:val="hybridMultilevel"/>
    <w:tmpl w:val="BDC23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ED4642"/>
    <w:multiLevelType w:val="hybridMultilevel"/>
    <w:tmpl w:val="AC7E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45038B"/>
    <w:multiLevelType w:val="hybridMultilevel"/>
    <w:tmpl w:val="435C9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996B4A"/>
    <w:multiLevelType w:val="hybridMultilevel"/>
    <w:tmpl w:val="9F563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C970F9"/>
    <w:multiLevelType w:val="hybridMultilevel"/>
    <w:tmpl w:val="895401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67C25A53"/>
    <w:multiLevelType w:val="hybridMultilevel"/>
    <w:tmpl w:val="C5EEB89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8473BFD"/>
    <w:multiLevelType w:val="hybridMultilevel"/>
    <w:tmpl w:val="4CE8B6F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43" w15:restartNumberingAfterBreak="0">
    <w:nsid w:val="69BA45AA"/>
    <w:multiLevelType w:val="hybridMultilevel"/>
    <w:tmpl w:val="9FEE0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2D73F3"/>
    <w:multiLevelType w:val="hybridMultilevel"/>
    <w:tmpl w:val="E85478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6E7D7CE2"/>
    <w:multiLevelType w:val="hybridMultilevel"/>
    <w:tmpl w:val="9AC85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F861E7"/>
    <w:multiLevelType w:val="hybridMultilevel"/>
    <w:tmpl w:val="440CF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4C459E2"/>
    <w:multiLevelType w:val="hybridMultilevel"/>
    <w:tmpl w:val="09624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790D87"/>
    <w:multiLevelType w:val="hybridMultilevel"/>
    <w:tmpl w:val="65201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9477537"/>
    <w:multiLevelType w:val="hybridMultilevel"/>
    <w:tmpl w:val="E85CD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B1B7D7A"/>
    <w:multiLevelType w:val="multilevel"/>
    <w:tmpl w:val="1A440C4C"/>
    <w:lvl w:ilvl="0">
      <w:start w:val="1"/>
      <w:numFmt w:val="bullet"/>
      <w:lvlText w:val=""/>
      <w:lvlJc w:val="left"/>
      <w:pPr>
        <w:ind w:left="720" w:hanging="360"/>
      </w:pPr>
      <w:rPr>
        <w:rFonts w:ascii="Symbol" w:hAnsi="Symbol" w:hint="default"/>
      </w:rPr>
    </w:lvl>
    <w:lvl w:ilvl="1">
      <w:start w:val="10"/>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BF70CA0"/>
    <w:multiLevelType w:val="hybridMultilevel"/>
    <w:tmpl w:val="01F43B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2" w15:restartNumberingAfterBreak="0">
    <w:nsid w:val="7D80706E"/>
    <w:multiLevelType w:val="hybridMultilevel"/>
    <w:tmpl w:val="D38899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7EC52900"/>
    <w:multiLevelType w:val="hybridMultilevel"/>
    <w:tmpl w:val="40267CE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16cid:durableId="1545678010">
    <w:abstractNumId w:val="20"/>
  </w:num>
  <w:num w:numId="2" w16cid:durableId="207225230">
    <w:abstractNumId w:val="32"/>
  </w:num>
  <w:num w:numId="3" w16cid:durableId="567424389">
    <w:abstractNumId w:val="31"/>
    <w:lvlOverride w:ilvl="0">
      <w:lvl w:ilvl="0">
        <w:start w:val="1"/>
        <w:numFmt w:val="lowerLetter"/>
        <w:pStyle w:val="Tablebullet1"/>
        <w:lvlText w:val="(%1)"/>
        <w:lvlJc w:val="left"/>
        <w:pPr>
          <w:ind w:left="227" w:hanging="227"/>
        </w:pPr>
        <w:rPr>
          <w:rFonts w:hint="default"/>
        </w:rPr>
      </w:lvl>
    </w:lvlOverride>
    <w:lvlOverride w:ilvl="1">
      <w:lvl w:ilvl="1">
        <w:start w:val="1"/>
        <w:numFmt w:val="lowerRoman"/>
        <w:pStyle w:val="Tablebullet2"/>
        <w:lvlText w:val="(%2)"/>
        <w:lvlJc w:val="right"/>
        <w:pPr>
          <w:ind w:left="587" w:hanging="360"/>
        </w:p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 w16cid:durableId="905146632">
    <w:abstractNumId w:val="40"/>
  </w:num>
  <w:num w:numId="5" w16cid:durableId="1321810228">
    <w:abstractNumId w:val="21"/>
  </w:num>
  <w:num w:numId="6" w16cid:durableId="2097749070">
    <w:abstractNumId w:val="7"/>
  </w:num>
  <w:num w:numId="7" w16cid:durableId="6073229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0640249">
    <w:abstractNumId w:val="1"/>
  </w:num>
  <w:num w:numId="9" w16cid:durableId="1385105548">
    <w:abstractNumId w:val="50"/>
  </w:num>
  <w:num w:numId="10" w16cid:durableId="183641425">
    <w:abstractNumId w:val="36"/>
  </w:num>
  <w:num w:numId="11" w16cid:durableId="319113317">
    <w:abstractNumId w:val="24"/>
  </w:num>
  <w:num w:numId="12" w16cid:durableId="1597057955">
    <w:abstractNumId w:val="18"/>
  </w:num>
  <w:num w:numId="13" w16cid:durableId="1205174150">
    <w:abstractNumId w:val="11"/>
  </w:num>
  <w:num w:numId="14" w16cid:durableId="1031804307">
    <w:abstractNumId w:val="43"/>
  </w:num>
  <w:num w:numId="15" w16cid:durableId="1881549118">
    <w:abstractNumId w:val="45"/>
  </w:num>
  <w:num w:numId="16" w16cid:durableId="1935279629">
    <w:abstractNumId w:val="38"/>
  </w:num>
  <w:num w:numId="17" w16cid:durableId="1038316153">
    <w:abstractNumId w:val="42"/>
  </w:num>
  <w:num w:numId="18" w16cid:durableId="1399206230">
    <w:abstractNumId w:val="53"/>
  </w:num>
  <w:num w:numId="19" w16cid:durableId="1220020255">
    <w:abstractNumId w:val="16"/>
  </w:num>
  <w:num w:numId="20" w16cid:durableId="2066678613">
    <w:abstractNumId w:val="0"/>
  </w:num>
  <w:num w:numId="21" w16cid:durableId="1446191879">
    <w:abstractNumId w:val="2"/>
  </w:num>
  <w:num w:numId="22" w16cid:durableId="990719118">
    <w:abstractNumId w:val="46"/>
  </w:num>
  <w:num w:numId="23" w16cid:durableId="1321035825">
    <w:abstractNumId w:val="12"/>
  </w:num>
  <w:num w:numId="24" w16cid:durableId="1574392362">
    <w:abstractNumId w:val="51"/>
  </w:num>
  <w:num w:numId="25" w16cid:durableId="864293067">
    <w:abstractNumId w:val="49"/>
  </w:num>
  <w:num w:numId="26" w16cid:durableId="251161721">
    <w:abstractNumId w:val="25"/>
  </w:num>
  <w:num w:numId="27" w16cid:durableId="969825824">
    <w:abstractNumId w:val="41"/>
  </w:num>
  <w:num w:numId="28" w16cid:durableId="685981636">
    <w:abstractNumId w:val="17"/>
  </w:num>
  <w:num w:numId="29" w16cid:durableId="2052655458">
    <w:abstractNumId w:val="5"/>
  </w:num>
  <w:num w:numId="30" w16cid:durableId="597367220">
    <w:abstractNumId w:val="22"/>
  </w:num>
  <w:num w:numId="31" w16cid:durableId="1526745715">
    <w:abstractNumId w:val="29"/>
  </w:num>
  <w:num w:numId="32" w16cid:durableId="445387411">
    <w:abstractNumId w:val="28"/>
  </w:num>
  <w:num w:numId="33" w16cid:durableId="1483816426">
    <w:abstractNumId w:val="9"/>
  </w:num>
  <w:num w:numId="34" w16cid:durableId="1823233137">
    <w:abstractNumId w:val="23"/>
  </w:num>
  <w:num w:numId="35" w16cid:durableId="224804580">
    <w:abstractNumId w:val="10"/>
  </w:num>
  <w:num w:numId="36" w16cid:durableId="1831670731">
    <w:abstractNumId w:val="48"/>
  </w:num>
  <w:num w:numId="37" w16cid:durableId="1718428527">
    <w:abstractNumId w:val="8"/>
  </w:num>
  <w:num w:numId="38" w16cid:durableId="1311670013">
    <w:abstractNumId w:val="4"/>
  </w:num>
  <w:num w:numId="39" w16cid:durableId="747580474">
    <w:abstractNumId w:val="39"/>
  </w:num>
  <w:num w:numId="40" w16cid:durableId="1900287433">
    <w:abstractNumId w:val="52"/>
  </w:num>
  <w:num w:numId="41" w16cid:durableId="1954557970">
    <w:abstractNumId w:val="44"/>
  </w:num>
  <w:num w:numId="42" w16cid:durableId="421411289">
    <w:abstractNumId w:val="6"/>
  </w:num>
  <w:num w:numId="43" w16cid:durableId="181676473">
    <w:abstractNumId w:val="33"/>
  </w:num>
  <w:num w:numId="44" w16cid:durableId="1175146486">
    <w:abstractNumId w:val="35"/>
  </w:num>
  <w:num w:numId="45" w16cid:durableId="1500194367">
    <w:abstractNumId w:val="19"/>
  </w:num>
  <w:num w:numId="46" w16cid:durableId="167673300">
    <w:abstractNumId w:val="14"/>
  </w:num>
  <w:num w:numId="47" w16cid:durableId="82844289">
    <w:abstractNumId w:val="15"/>
  </w:num>
  <w:num w:numId="48" w16cid:durableId="55861590">
    <w:abstractNumId w:val="34"/>
  </w:num>
  <w:num w:numId="49" w16cid:durableId="1612202157">
    <w:abstractNumId w:val="27"/>
  </w:num>
  <w:num w:numId="50" w16cid:durableId="2142839981">
    <w:abstractNumId w:val="47"/>
  </w:num>
  <w:num w:numId="51" w16cid:durableId="867260686">
    <w:abstractNumId w:val="37"/>
  </w:num>
  <w:num w:numId="52" w16cid:durableId="1044020693">
    <w:abstractNumId w:val="13"/>
  </w:num>
  <w:num w:numId="53" w16cid:durableId="618994405">
    <w:abstractNumId w:val="26"/>
  </w:num>
  <w:num w:numId="54" w16cid:durableId="1268805718">
    <w:abstractNumId w:val="30"/>
  </w:num>
  <w:num w:numId="55" w16cid:durableId="268466916">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04"/>
    <w:rsid w:val="00000014"/>
    <w:rsid w:val="000000A9"/>
    <w:rsid w:val="00000198"/>
    <w:rsid w:val="000002F6"/>
    <w:rsid w:val="00000334"/>
    <w:rsid w:val="00000464"/>
    <w:rsid w:val="000004B8"/>
    <w:rsid w:val="0000055A"/>
    <w:rsid w:val="00000695"/>
    <w:rsid w:val="00000719"/>
    <w:rsid w:val="00000975"/>
    <w:rsid w:val="00000C01"/>
    <w:rsid w:val="00000C15"/>
    <w:rsid w:val="00000DDA"/>
    <w:rsid w:val="00000FA8"/>
    <w:rsid w:val="00001032"/>
    <w:rsid w:val="000013D9"/>
    <w:rsid w:val="000017A6"/>
    <w:rsid w:val="00001A00"/>
    <w:rsid w:val="00001CE5"/>
    <w:rsid w:val="0000207F"/>
    <w:rsid w:val="000020DC"/>
    <w:rsid w:val="000020DE"/>
    <w:rsid w:val="00002189"/>
    <w:rsid w:val="0000220C"/>
    <w:rsid w:val="00002634"/>
    <w:rsid w:val="000029AB"/>
    <w:rsid w:val="00002A2E"/>
    <w:rsid w:val="00002A4E"/>
    <w:rsid w:val="00002A55"/>
    <w:rsid w:val="00002A71"/>
    <w:rsid w:val="00002C5A"/>
    <w:rsid w:val="00002D68"/>
    <w:rsid w:val="00002D93"/>
    <w:rsid w:val="00002E0E"/>
    <w:rsid w:val="00002FAA"/>
    <w:rsid w:val="00003113"/>
    <w:rsid w:val="000033E9"/>
    <w:rsid w:val="000033F7"/>
    <w:rsid w:val="00003403"/>
    <w:rsid w:val="0000357B"/>
    <w:rsid w:val="00003791"/>
    <w:rsid w:val="00003ADD"/>
    <w:rsid w:val="00003BE9"/>
    <w:rsid w:val="00003BF6"/>
    <w:rsid w:val="00003DAF"/>
    <w:rsid w:val="000040C1"/>
    <w:rsid w:val="000041F1"/>
    <w:rsid w:val="00004263"/>
    <w:rsid w:val="000044C9"/>
    <w:rsid w:val="00004585"/>
    <w:rsid w:val="000047CE"/>
    <w:rsid w:val="00004832"/>
    <w:rsid w:val="00004972"/>
    <w:rsid w:val="000049B4"/>
    <w:rsid w:val="00004B47"/>
    <w:rsid w:val="00004CC9"/>
    <w:rsid w:val="00004EA2"/>
    <w:rsid w:val="00004EF0"/>
    <w:rsid w:val="00004F3D"/>
    <w:rsid w:val="0000506F"/>
    <w:rsid w:val="00005347"/>
    <w:rsid w:val="000056D8"/>
    <w:rsid w:val="00005E1C"/>
    <w:rsid w:val="00006043"/>
    <w:rsid w:val="00006282"/>
    <w:rsid w:val="00006344"/>
    <w:rsid w:val="00006638"/>
    <w:rsid w:val="0000667B"/>
    <w:rsid w:val="00006691"/>
    <w:rsid w:val="000069F0"/>
    <w:rsid w:val="00006CAF"/>
    <w:rsid w:val="00006D66"/>
    <w:rsid w:val="00006DA7"/>
    <w:rsid w:val="00006E1B"/>
    <w:rsid w:val="00006FED"/>
    <w:rsid w:val="0000700D"/>
    <w:rsid w:val="000070AC"/>
    <w:rsid w:val="000072B6"/>
    <w:rsid w:val="000073F2"/>
    <w:rsid w:val="00007462"/>
    <w:rsid w:val="00007D5D"/>
    <w:rsid w:val="00007F1D"/>
    <w:rsid w:val="00007FA0"/>
    <w:rsid w:val="00010020"/>
    <w:rsid w:val="000100CE"/>
    <w:rsid w:val="0001020C"/>
    <w:rsid w:val="0001021B"/>
    <w:rsid w:val="000106AF"/>
    <w:rsid w:val="00010AEB"/>
    <w:rsid w:val="00010B35"/>
    <w:rsid w:val="00010B45"/>
    <w:rsid w:val="00010BAD"/>
    <w:rsid w:val="00010CC0"/>
    <w:rsid w:val="00010F4B"/>
    <w:rsid w:val="00010F52"/>
    <w:rsid w:val="0001111C"/>
    <w:rsid w:val="000111B6"/>
    <w:rsid w:val="00011497"/>
    <w:rsid w:val="000115DB"/>
    <w:rsid w:val="0001173D"/>
    <w:rsid w:val="00011853"/>
    <w:rsid w:val="000119C0"/>
    <w:rsid w:val="00011BFF"/>
    <w:rsid w:val="00011C90"/>
    <w:rsid w:val="00011D89"/>
    <w:rsid w:val="00011EAF"/>
    <w:rsid w:val="00011F28"/>
    <w:rsid w:val="00011FE1"/>
    <w:rsid w:val="000120B8"/>
    <w:rsid w:val="0001255A"/>
    <w:rsid w:val="00012645"/>
    <w:rsid w:val="00012736"/>
    <w:rsid w:val="000127F0"/>
    <w:rsid w:val="000128AB"/>
    <w:rsid w:val="000128EC"/>
    <w:rsid w:val="0001299B"/>
    <w:rsid w:val="00012A75"/>
    <w:rsid w:val="00012AF0"/>
    <w:rsid w:val="00012E27"/>
    <w:rsid w:val="00012E36"/>
    <w:rsid w:val="00013002"/>
    <w:rsid w:val="000130D1"/>
    <w:rsid w:val="000133FB"/>
    <w:rsid w:val="0001340A"/>
    <w:rsid w:val="0001366C"/>
    <w:rsid w:val="000137DB"/>
    <w:rsid w:val="0001380F"/>
    <w:rsid w:val="00013A1B"/>
    <w:rsid w:val="00013A85"/>
    <w:rsid w:val="00013C14"/>
    <w:rsid w:val="00013C62"/>
    <w:rsid w:val="00013C6F"/>
    <w:rsid w:val="00013D3D"/>
    <w:rsid w:val="00013E28"/>
    <w:rsid w:val="00013E38"/>
    <w:rsid w:val="00013F4D"/>
    <w:rsid w:val="00013FA1"/>
    <w:rsid w:val="00014077"/>
    <w:rsid w:val="000143B3"/>
    <w:rsid w:val="000143C8"/>
    <w:rsid w:val="000147A3"/>
    <w:rsid w:val="0001488D"/>
    <w:rsid w:val="00014B4E"/>
    <w:rsid w:val="00014D0B"/>
    <w:rsid w:val="00014DCF"/>
    <w:rsid w:val="00014E29"/>
    <w:rsid w:val="00014E3C"/>
    <w:rsid w:val="00014E82"/>
    <w:rsid w:val="00014F30"/>
    <w:rsid w:val="0001532E"/>
    <w:rsid w:val="00015354"/>
    <w:rsid w:val="00015362"/>
    <w:rsid w:val="00015488"/>
    <w:rsid w:val="000154FD"/>
    <w:rsid w:val="0001552E"/>
    <w:rsid w:val="000156AB"/>
    <w:rsid w:val="000156B4"/>
    <w:rsid w:val="000159AB"/>
    <w:rsid w:val="00015A16"/>
    <w:rsid w:val="00015A70"/>
    <w:rsid w:val="00015B27"/>
    <w:rsid w:val="0001602D"/>
    <w:rsid w:val="0001617E"/>
    <w:rsid w:val="00016246"/>
    <w:rsid w:val="00016359"/>
    <w:rsid w:val="00016386"/>
    <w:rsid w:val="000164B9"/>
    <w:rsid w:val="00016734"/>
    <w:rsid w:val="00016746"/>
    <w:rsid w:val="00016821"/>
    <w:rsid w:val="0001695E"/>
    <w:rsid w:val="0001698C"/>
    <w:rsid w:val="00016D5A"/>
    <w:rsid w:val="00016DE6"/>
    <w:rsid w:val="00016F63"/>
    <w:rsid w:val="000170F1"/>
    <w:rsid w:val="00017114"/>
    <w:rsid w:val="0001716F"/>
    <w:rsid w:val="00017218"/>
    <w:rsid w:val="00017457"/>
    <w:rsid w:val="000174AC"/>
    <w:rsid w:val="000175D6"/>
    <w:rsid w:val="000175ED"/>
    <w:rsid w:val="00017685"/>
    <w:rsid w:val="0001795F"/>
    <w:rsid w:val="00017C5F"/>
    <w:rsid w:val="00017F71"/>
    <w:rsid w:val="000200D1"/>
    <w:rsid w:val="00020189"/>
    <w:rsid w:val="00020238"/>
    <w:rsid w:val="000206A5"/>
    <w:rsid w:val="00020754"/>
    <w:rsid w:val="000207C4"/>
    <w:rsid w:val="000208DA"/>
    <w:rsid w:val="000209D3"/>
    <w:rsid w:val="000209EE"/>
    <w:rsid w:val="00020BCA"/>
    <w:rsid w:val="00020C84"/>
    <w:rsid w:val="00020DC9"/>
    <w:rsid w:val="000210DC"/>
    <w:rsid w:val="000211F6"/>
    <w:rsid w:val="00021290"/>
    <w:rsid w:val="0002133A"/>
    <w:rsid w:val="000213C6"/>
    <w:rsid w:val="00021539"/>
    <w:rsid w:val="00021560"/>
    <w:rsid w:val="00021714"/>
    <w:rsid w:val="0002173A"/>
    <w:rsid w:val="00021A46"/>
    <w:rsid w:val="00021A71"/>
    <w:rsid w:val="00021BE1"/>
    <w:rsid w:val="00021C01"/>
    <w:rsid w:val="00021D1C"/>
    <w:rsid w:val="00021DB5"/>
    <w:rsid w:val="00021E4E"/>
    <w:rsid w:val="00021FB3"/>
    <w:rsid w:val="0002202C"/>
    <w:rsid w:val="00022271"/>
    <w:rsid w:val="00022400"/>
    <w:rsid w:val="00022570"/>
    <w:rsid w:val="00022577"/>
    <w:rsid w:val="000226E6"/>
    <w:rsid w:val="00022831"/>
    <w:rsid w:val="000228D9"/>
    <w:rsid w:val="00022DA6"/>
    <w:rsid w:val="00022DB3"/>
    <w:rsid w:val="00023199"/>
    <w:rsid w:val="000232CA"/>
    <w:rsid w:val="000233E8"/>
    <w:rsid w:val="000234BB"/>
    <w:rsid w:val="0002350B"/>
    <w:rsid w:val="0002351D"/>
    <w:rsid w:val="000235C1"/>
    <w:rsid w:val="000235E8"/>
    <w:rsid w:val="00023BD9"/>
    <w:rsid w:val="00023F63"/>
    <w:rsid w:val="00023FB8"/>
    <w:rsid w:val="00024146"/>
    <w:rsid w:val="00024555"/>
    <w:rsid w:val="000245EC"/>
    <w:rsid w:val="00024D56"/>
    <w:rsid w:val="00024D89"/>
    <w:rsid w:val="00024FB1"/>
    <w:rsid w:val="00025004"/>
    <w:rsid w:val="000250B6"/>
    <w:rsid w:val="00025164"/>
    <w:rsid w:val="000253EE"/>
    <w:rsid w:val="000255F9"/>
    <w:rsid w:val="000256A5"/>
    <w:rsid w:val="000258C1"/>
    <w:rsid w:val="00025C9B"/>
    <w:rsid w:val="00025E1C"/>
    <w:rsid w:val="00026038"/>
    <w:rsid w:val="00026102"/>
    <w:rsid w:val="000263FF"/>
    <w:rsid w:val="00026502"/>
    <w:rsid w:val="0002657A"/>
    <w:rsid w:val="00026583"/>
    <w:rsid w:val="0002676D"/>
    <w:rsid w:val="000267D5"/>
    <w:rsid w:val="000267E4"/>
    <w:rsid w:val="00026881"/>
    <w:rsid w:val="000268D8"/>
    <w:rsid w:val="000268DA"/>
    <w:rsid w:val="0002696A"/>
    <w:rsid w:val="00026978"/>
    <w:rsid w:val="00026B21"/>
    <w:rsid w:val="00026C8A"/>
    <w:rsid w:val="00026E6E"/>
    <w:rsid w:val="00026F65"/>
    <w:rsid w:val="00027186"/>
    <w:rsid w:val="000271DF"/>
    <w:rsid w:val="0002725F"/>
    <w:rsid w:val="00027320"/>
    <w:rsid w:val="00027405"/>
    <w:rsid w:val="00027462"/>
    <w:rsid w:val="00027497"/>
    <w:rsid w:val="000275B9"/>
    <w:rsid w:val="00027683"/>
    <w:rsid w:val="000276ED"/>
    <w:rsid w:val="000277DD"/>
    <w:rsid w:val="000278FF"/>
    <w:rsid w:val="00027D39"/>
    <w:rsid w:val="00027DE7"/>
    <w:rsid w:val="00027E1A"/>
    <w:rsid w:val="00027E8B"/>
    <w:rsid w:val="000304E2"/>
    <w:rsid w:val="0003064D"/>
    <w:rsid w:val="00030703"/>
    <w:rsid w:val="0003093D"/>
    <w:rsid w:val="00030CA3"/>
    <w:rsid w:val="00030CDD"/>
    <w:rsid w:val="00030D6A"/>
    <w:rsid w:val="00030DD2"/>
    <w:rsid w:val="00030E8C"/>
    <w:rsid w:val="00030EFA"/>
    <w:rsid w:val="000310CB"/>
    <w:rsid w:val="0003111A"/>
    <w:rsid w:val="0003158D"/>
    <w:rsid w:val="0003179A"/>
    <w:rsid w:val="000317DA"/>
    <w:rsid w:val="000318B0"/>
    <w:rsid w:val="000319B7"/>
    <w:rsid w:val="00031B1D"/>
    <w:rsid w:val="00031B7C"/>
    <w:rsid w:val="00031D7F"/>
    <w:rsid w:val="00031F8E"/>
    <w:rsid w:val="00031FC7"/>
    <w:rsid w:val="00032025"/>
    <w:rsid w:val="00032082"/>
    <w:rsid w:val="0003221E"/>
    <w:rsid w:val="00032244"/>
    <w:rsid w:val="00032296"/>
    <w:rsid w:val="00032328"/>
    <w:rsid w:val="0003239D"/>
    <w:rsid w:val="0003253B"/>
    <w:rsid w:val="000325CD"/>
    <w:rsid w:val="00032765"/>
    <w:rsid w:val="00032A81"/>
    <w:rsid w:val="00032A83"/>
    <w:rsid w:val="00032C9E"/>
    <w:rsid w:val="00032E1B"/>
    <w:rsid w:val="000330AE"/>
    <w:rsid w:val="000330F9"/>
    <w:rsid w:val="00033212"/>
    <w:rsid w:val="000332D4"/>
    <w:rsid w:val="0003345A"/>
    <w:rsid w:val="000335A7"/>
    <w:rsid w:val="0003364B"/>
    <w:rsid w:val="0003366C"/>
    <w:rsid w:val="000337EB"/>
    <w:rsid w:val="00033923"/>
    <w:rsid w:val="00033A32"/>
    <w:rsid w:val="00033AB3"/>
    <w:rsid w:val="00033D81"/>
    <w:rsid w:val="00033DC9"/>
    <w:rsid w:val="00033ED4"/>
    <w:rsid w:val="00033F98"/>
    <w:rsid w:val="00034083"/>
    <w:rsid w:val="000343A0"/>
    <w:rsid w:val="000344B4"/>
    <w:rsid w:val="000345E8"/>
    <w:rsid w:val="000346BA"/>
    <w:rsid w:val="000347AE"/>
    <w:rsid w:val="000347E0"/>
    <w:rsid w:val="00034C30"/>
    <w:rsid w:val="00034CEB"/>
    <w:rsid w:val="00034CED"/>
    <w:rsid w:val="00034DDE"/>
    <w:rsid w:val="00034E17"/>
    <w:rsid w:val="00034F13"/>
    <w:rsid w:val="00035071"/>
    <w:rsid w:val="00035096"/>
    <w:rsid w:val="000351AF"/>
    <w:rsid w:val="000351EE"/>
    <w:rsid w:val="0003526B"/>
    <w:rsid w:val="000352D0"/>
    <w:rsid w:val="00035629"/>
    <w:rsid w:val="00035707"/>
    <w:rsid w:val="00035709"/>
    <w:rsid w:val="000357B1"/>
    <w:rsid w:val="00035842"/>
    <w:rsid w:val="000358A0"/>
    <w:rsid w:val="00035A54"/>
    <w:rsid w:val="00035AD1"/>
    <w:rsid w:val="00035B31"/>
    <w:rsid w:val="00035B70"/>
    <w:rsid w:val="00035BC2"/>
    <w:rsid w:val="00035BE6"/>
    <w:rsid w:val="00035D4B"/>
    <w:rsid w:val="00035F03"/>
    <w:rsid w:val="00036098"/>
    <w:rsid w:val="000360E1"/>
    <w:rsid w:val="00036353"/>
    <w:rsid w:val="000365F1"/>
    <w:rsid w:val="000367BA"/>
    <w:rsid w:val="0003687A"/>
    <w:rsid w:val="00036A3A"/>
    <w:rsid w:val="00036A71"/>
    <w:rsid w:val="00036B7E"/>
    <w:rsid w:val="00036BAE"/>
    <w:rsid w:val="00036D04"/>
    <w:rsid w:val="00036DF8"/>
    <w:rsid w:val="00036FD0"/>
    <w:rsid w:val="0003714C"/>
    <w:rsid w:val="00037366"/>
    <w:rsid w:val="000403B1"/>
    <w:rsid w:val="0004050D"/>
    <w:rsid w:val="00040547"/>
    <w:rsid w:val="00040632"/>
    <w:rsid w:val="000408EA"/>
    <w:rsid w:val="000409DB"/>
    <w:rsid w:val="00040AA2"/>
    <w:rsid w:val="00040B8A"/>
    <w:rsid w:val="00040C8C"/>
    <w:rsid w:val="00040CCF"/>
    <w:rsid w:val="00040EC8"/>
    <w:rsid w:val="00040F58"/>
    <w:rsid w:val="00040F6C"/>
    <w:rsid w:val="00041056"/>
    <w:rsid w:val="00041171"/>
    <w:rsid w:val="000413E3"/>
    <w:rsid w:val="00041457"/>
    <w:rsid w:val="00041481"/>
    <w:rsid w:val="000414CB"/>
    <w:rsid w:val="000414D1"/>
    <w:rsid w:val="00041620"/>
    <w:rsid w:val="0004167E"/>
    <w:rsid w:val="0004182B"/>
    <w:rsid w:val="00041856"/>
    <w:rsid w:val="0004187B"/>
    <w:rsid w:val="00041A49"/>
    <w:rsid w:val="00041AEA"/>
    <w:rsid w:val="00041B56"/>
    <w:rsid w:val="00041BF0"/>
    <w:rsid w:val="00041F69"/>
    <w:rsid w:val="00042066"/>
    <w:rsid w:val="0004212E"/>
    <w:rsid w:val="000422DE"/>
    <w:rsid w:val="000423EF"/>
    <w:rsid w:val="00042550"/>
    <w:rsid w:val="0004268C"/>
    <w:rsid w:val="000426A5"/>
    <w:rsid w:val="00042772"/>
    <w:rsid w:val="000428C2"/>
    <w:rsid w:val="000429DC"/>
    <w:rsid w:val="00042C8A"/>
    <w:rsid w:val="00042EEF"/>
    <w:rsid w:val="00042F24"/>
    <w:rsid w:val="000430BE"/>
    <w:rsid w:val="00043A2A"/>
    <w:rsid w:val="00043B32"/>
    <w:rsid w:val="00043D52"/>
    <w:rsid w:val="00043D91"/>
    <w:rsid w:val="00043DD7"/>
    <w:rsid w:val="00043E96"/>
    <w:rsid w:val="00043ECD"/>
    <w:rsid w:val="000441DE"/>
    <w:rsid w:val="000443A5"/>
    <w:rsid w:val="000443C9"/>
    <w:rsid w:val="00044876"/>
    <w:rsid w:val="00044AA5"/>
    <w:rsid w:val="00044D20"/>
    <w:rsid w:val="00044E6D"/>
    <w:rsid w:val="00044EFB"/>
    <w:rsid w:val="000451AC"/>
    <w:rsid w:val="0004536B"/>
    <w:rsid w:val="0004538A"/>
    <w:rsid w:val="000455FC"/>
    <w:rsid w:val="0004575F"/>
    <w:rsid w:val="00045807"/>
    <w:rsid w:val="0004589D"/>
    <w:rsid w:val="00045B5B"/>
    <w:rsid w:val="00045D74"/>
    <w:rsid w:val="00045F03"/>
    <w:rsid w:val="00045F9D"/>
    <w:rsid w:val="00046700"/>
    <w:rsid w:val="000468EB"/>
    <w:rsid w:val="00046A29"/>
    <w:rsid w:val="00046AF0"/>
    <w:rsid w:val="00046B68"/>
    <w:rsid w:val="00046C95"/>
    <w:rsid w:val="00046DF6"/>
    <w:rsid w:val="00046ECB"/>
    <w:rsid w:val="00047053"/>
    <w:rsid w:val="00047206"/>
    <w:rsid w:val="0004740F"/>
    <w:rsid w:val="000474AD"/>
    <w:rsid w:val="00047743"/>
    <w:rsid w:val="00047866"/>
    <w:rsid w:val="000478EA"/>
    <w:rsid w:val="00047953"/>
    <w:rsid w:val="000479A1"/>
    <w:rsid w:val="00047A58"/>
    <w:rsid w:val="00047C40"/>
    <w:rsid w:val="00047C86"/>
    <w:rsid w:val="00047D71"/>
    <w:rsid w:val="00047DA7"/>
    <w:rsid w:val="00047E92"/>
    <w:rsid w:val="00050193"/>
    <w:rsid w:val="00050197"/>
    <w:rsid w:val="0005031C"/>
    <w:rsid w:val="000505A9"/>
    <w:rsid w:val="000505F8"/>
    <w:rsid w:val="000507C9"/>
    <w:rsid w:val="00050A1A"/>
    <w:rsid w:val="00050ABF"/>
    <w:rsid w:val="00050AC1"/>
    <w:rsid w:val="00050C71"/>
    <w:rsid w:val="00050D08"/>
    <w:rsid w:val="00051095"/>
    <w:rsid w:val="000511B3"/>
    <w:rsid w:val="000511E1"/>
    <w:rsid w:val="00051371"/>
    <w:rsid w:val="0005154B"/>
    <w:rsid w:val="000515AC"/>
    <w:rsid w:val="000515F3"/>
    <w:rsid w:val="00051739"/>
    <w:rsid w:val="000517C1"/>
    <w:rsid w:val="0005183D"/>
    <w:rsid w:val="000518AE"/>
    <w:rsid w:val="00051920"/>
    <w:rsid w:val="00051FED"/>
    <w:rsid w:val="0005259A"/>
    <w:rsid w:val="0005276F"/>
    <w:rsid w:val="000527DD"/>
    <w:rsid w:val="0005293A"/>
    <w:rsid w:val="00052AC1"/>
    <w:rsid w:val="00053099"/>
    <w:rsid w:val="00053120"/>
    <w:rsid w:val="00053152"/>
    <w:rsid w:val="00053320"/>
    <w:rsid w:val="00053345"/>
    <w:rsid w:val="0005346B"/>
    <w:rsid w:val="0005354A"/>
    <w:rsid w:val="000535EE"/>
    <w:rsid w:val="00053846"/>
    <w:rsid w:val="000538E6"/>
    <w:rsid w:val="00053933"/>
    <w:rsid w:val="00053CD2"/>
    <w:rsid w:val="00054181"/>
    <w:rsid w:val="0005429A"/>
    <w:rsid w:val="0005431D"/>
    <w:rsid w:val="00054339"/>
    <w:rsid w:val="0005446D"/>
    <w:rsid w:val="00054729"/>
    <w:rsid w:val="00054764"/>
    <w:rsid w:val="00054898"/>
    <w:rsid w:val="00054AC6"/>
    <w:rsid w:val="00054C99"/>
    <w:rsid w:val="00054FAA"/>
    <w:rsid w:val="0005507F"/>
    <w:rsid w:val="0005508B"/>
    <w:rsid w:val="00055221"/>
    <w:rsid w:val="0005529A"/>
    <w:rsid w:val="00055325"/>
    <w:rsid w:val="0005534E"/>
    <w:rsid w:val="000553B3"/>
    <w:rsid w:val="000553B8"/>
    <w:rsid w:val="000553BD"/>
    <w:rsid w:val="0005569A"/>
    <w:rsid w:val="0005579C"/>
    <w:rsid w:val="00055825"/>
    <w:rsid w:val="0005586A"/>
    <w:rsid w:val="00055904"/>
    <w:rsid w:val="00055B0E"/>
    <w:rsid w:val="00055C4C"/>
    <w:rsid w:val="00055D99"/>
    <w:rsid w:val="00055DB0"/>
    <w:rsid w:val="00055DD3"/>
    <w:rsid w:val="00055E9A"/>
    <w:rsid w:val="00055F13"/>
    <w:rsid w:val="00055F21"/>
    <w:rsid w:val="000560AE"/>
    <w:rsid w:val="0005622C"/>
    <w:rsid w:val="000565E8"/>
    <w:rsid w:val="0005668F"/>
    <w:rsid w:val="000567D0"/>
    <w:rsid w:val="00056855"/>
    <w:rsid w:val="00056A24"/>
    <w:rsid w:val="00056C03"/>
    <w:rsid w:val="00056C6A"/>
    <w:rsid w:val="00056D37"/>
    <w:rsid w:val="00056D9E"/>
    <w:rsid w:val="00056E5C"/>
    <w:rsid w:val="00056EC4"/>
    <w:rsid w:val="00056FE8"/>
    <w:rsid w:val="00057213"/>
    <w:rsid w:val="00057393"/>
    <w:rsid w:val="00057556"/>
    <w:rsid w:val="00057733"/>
    <w:rsid w:val="000578B2"/>
    <w:rsid w:val="000579D8"/>
    <w:rsid w:val="00057D5E"/>
    <w:rsid w:val="00057D92"/>
    <w:rsid w:val="00057DED"/>
    <w:rsid w:val="00057E13"/>
    <w:rsid w:val="00057FEE"/>
    <w:rsid w:val="000601F3"/>
    <w:rsid w:val="00060361"/>
    <w:rsid w:val="00060378"/>
    <w:rsid w:val="000603DF"/>
    <w:rsid w:val="000606D4"/>
    <w:rsid w:val="000607A6"/>
    <w:rsid w:val="00060959"/>
    <w:rsid w:val="000609F4"/>
    <w:rsid w:val="00060A7D"/>
    <w:rsid w:val="00060C8F"/>
    <w:rsid w:val="00060FA5"/>
    <w:rsid w:val="00061006"/>
    <w:rsid w:val="000610F5"/>
    <w:rsid w:val="000611F7"/>
    <w:rsid w:val="0006135F"/>
    <w:rsid w:val="000614E7"/>
    <w:rsid w:val="00061530"/>
    <w:rsid w:val="000616AD"/>
    <w:rsid w:val="000616B8"/>
    <w:rsid w:val="000617E5"/>
    <w:rsid w:val="0006184F"/>
    <w:rsid w:val="000619C8"/>
    <w:rsid w:val="00061A91"/>
    <w:rsid w:val="00061AFA"/>
    <w:rsid w:val="00061C37"/>
    <w:rsid w:val="00061C63"/>
    <w:rsid w:val="00061CFC"/>
    <w:rsid w:val="00061DD0"/>
    <w:rsid w:val="00061E04"/>
    <w:rsid w:val="00061E65"/>
    <w:rsid w:val="000624C2"/>
    <w:rsid w:val="000625BC"/>
    <w:rsid w:val="00062601"/>
    <w:rsid w:val="0006298A"/>
    <w:rsid w:val="000629A7"/>
    <w:rsid w:val="00062A35"/>
    <w:rsid w:val="00062B3D"/>
    <w:rsid w:val="00062CB8"/>
    <w:rsid w:val="00062CFD"/>
    <w:rsid w:val="00062D6E"/>
    <w:rsid w:val="00062E81"/>
    <w:rsid w:val="000630F6"/>
    <w:rsid w:val="0006310F"/>
    <w:rsid w:val="00063506"/>
    <w:rsid w:val="000635FE"/>
    <w:rsid w:val="000638DC"/>
    <w:rsid w:val="00063953"/>
    <w:rsid w:val="00063B30"/>
    <w:rsid w:val="00063BA3"/>
    <w:rsid w:val="00063BB2"/>
    <w:rsid w:val="00063C10"/>
    <w:rsid w:val="00063D4F"/>
    <w:rsid w:val="00063F88"/>
    <w:rsid w:val="00064109"/>
    <w:rsid w:val="0006420F"/>
    <w:rsid w:val="00064524"/>
    <w:rsid w:val="00064526"/>
    <w:rsid w:val="00064530"/>
    <w:rsid w:val="0006476C"/>
    <w:rsid w:val="00064950"/>
    <w:rsid w:val="00064E55"/>
    <w:rsid w:val="00065240"/>
    <w:rsid w:val="0006526A"/>
    <w:rsid w:val="0006544E"/>
    <w:rsid w:val="00065744"/>
    <w:rsid w:val="000658A0"/>
    <w:rsid w:val="000658BC"/>
    <w:rsid w:val="00065A7D"/>
    <w:rsid w:val="00065AFA"/>
    <w:rsid w:val="00065B04"/>
    <w:rsid w:val="00065B95"/>
    <w:rsid w:val="00065D29"/>
    <w:rsid w:val="00065FE2"/>
    <w:rsid w:val="00066181"/>
    <w:rsid w:val="000661AB"/>
    <w:rsid w:val="000663CD"/>
    <w:rsid w:val="00066B2E"/>
    <w:rsid w:val="00066D09"/>
    <w:rsid w:val="00067050"/>
    <w:rsid w:val="00067231"/>
    <w:rsid w:val="000672E8"/>
    <w:rsid w:val="000673CE"/>
    <w:rsid w:val="00067543"/>
    <w:rsid w:val="00067569"/>
    <w:rsid w:val="000675F9"/>
    <w:rsid w:val="00067661"/>
    <w:rsid w:val="00067770"/>
    <w:rsid w:val="000678F2"/>
    <w:rsid w:val="00067A13"/>
    <w:rsid w:val="00067A30"/>
    <w:rsid w:val="00067B50"/>
    <w:rsid w:val="00067BBC"/>
    <w:rsid w:val="00067C1A"/>
    <w:rsid w:val="00067C8A"/>
    <w:rsid w:val="00067F00"/>
    <w:rsid w:val="00070045"/>
    <w:rsid w:val="0007012B"/>
    <w:rsid w:val="00070146"/>
    <w:rsid w:val="00070233"/>
    <w:rsid w:val="00070416"/>
    <w:rsid w:val="000706D2"/>
    <w:rsid w:val="00070972"/>
    <w:rsid w:val="00070C00"/>
    <w:rsid w:val="00070C0B"/>
    <w:rsid w:val="0007112A"/>
    <w:rsid w:val="00071257"/>
    <w:rsid w:val="00071501"/>
    <w:rsid w:val="00071502"/>
    <w:rsid w:val="0007151A"/>
    <w:rsid w:val="0007170D"/>
    <w:rsid w:val="00071A4A"/>
    <w:rsid w:val="00071C30"/>
    <w:rsid w:val="00071D02"/>
    <w:rsid w:val="00071D14"/>
    <w:rsid w:val="00071DD4"/>
    <w:rsid w:val="00071EFF"/>
    <w:rsid w:val="00072293"/>
    <w:rsid w:val="0007229D"/>
    <w:rsid w:val="0007253A"/>
    <w:rsid w:val="0007260D"/>
    <w:rsid w:val="00072AE9"/>
    <w:rsid w:val="00072BB4"/>
    <w:rsid w:val="00072CB0"/>
    <w:rsid w:val="00072DDD"/>
    <w:rsid w:val="00072F14"/>
    <w:rsid w:val="00073136"/>
    <w:rsid w:val="00073190"/>
    <w:rsid w:val="0007319B"/>
    <w:rsid w:val="00073309"/>
    <w:rsid w:val="00073347"/>
    <w:rsid w:val="000733FE"/>
    <w:rsid w:val="0007352E"/>
    <w:rsid w:val="000735AD"/>
    <w:rsid w:val="000735F0"/>
    <w:rsid w:val="00073689"/>
    <w:rsid w:val="0007390B"/>
    <w:rsid w:val="00073A61"/>
    <w:rsid w:val="00073EC2"/>
    <w:rsid w:val="00073F3D"/>
    <w:rsid w:val="00073FF8"/>
    <w:rsid w:val="0007410C"/>
    <w:rsid w:val="00074219"/>
    <w:rsid w:val="00074469"/>
    <w:rsid w:val="0007455C"/>
    <w:rsid w:val="0007462C"/>
    <w:rsid w:val="000746A6"/>
    <w:rsid w:val="0007470D"/>
    <w:rsid w:val="000747BD"/>
    <w:rsid w:val="00074993"/>
    <w:rsid w:val="00074A46"/>
    <w:rsid w:val="00074C98"/>
    <w:rsid w:val="00074ED4"/>
    <w:rsid w:val="00074ED5"/>
    <w:rsid w:val="00074FE1"/>
    <w:rsid w:val="00075005"/>
    <w:rsid w:val="000750CF"/>
    <w:rsid w:val="000752A6"/>
    <w:rsid w:val="00075339"/>
    <w:rsid w:val="00075381"/>
    <w:rsid w:val="000753A8"/>
    <w:rsid w:val="000753AE"/>
    <w:rsid w:val="00075499"/>
    <w:rsid w:val="000756E4"/>
    <w:rsid w:val="00075722"/>
    <w:rsid w:val="0007592F"/>
    <w:rsid w:val="00075D5E"/>
    <w:rsid w:val="00075F5E"/>
    <w:rsid w:val="00075FF6"/>
    <w:rsid w:val="000761D3"/>
    <w:rsid w:val="0007628C"/>
    <w:rsid w:val="00076334"/>
    <w:rsid w:val="000764D1"/>
    <w:rsid w:val="00076546"/>
    <w:rsid w:val="0007661C"/>
    <w:rsid w:val="00076919"/>
    <w:rsid w:val="00076A87"/>
    <w:rsid w:val="00076BE5"/>
    <w:rsid w:val="00076E38"/>
    <w:rsid w:val="00077222"/>
    <w:rsid w:val="00077285"/>
    <w:rsid w:val="000772EB"/>
    <w:rsid w:val="0007733F"/>
    <w:rsid w:val="00077448"/>
    <w:rsid w:val="00077464"/>
    <w:rsid w:val="000777E9"/>
    <w:rsid w:val="0007797A"/>
    <w:rsid w:val="00077AD9"/>
    <w:rsid w:val="00077BB2"/>
    <w:rsid w:val="00077BFB"/>
    <w:rsid w:val="00077C31"/>
    <w:rsid w:val="00077C9D"/>
    <w:rsid w:val="00077E85"/>
    <w:rsid w:val="00077ED5"/>
    <w:rsid w:val="00080017"/>
    <w:rsid w:val="000800D0"/>
    <w:rsid w:val="00080154"/>
    <w:rsid w:val="00080206"/>
    <w:rsid w:val="0008038B"/>
    <w:rsid w:val="000803C5"/>
    <w:rsid w:val="0008048B"/>
    <w:rsid w:val="000807BB"/>
    <w:rsid w:val="00080B9B"/>
    <w:rsid w:val="00080BA8"/>
    <w:rsid w:val="00080E4C"/>
    <w:rsid w:val="00080EAE"/>
    <w:rsid w:val="00080F08"/>
    <w:rsid w:val="00081009"/>
    <w:rsid w:val="00081469"/>
    <w:rsid w:val="000817AD"/>
    <w:rsid w:val="000817CF"/>
    <w:rsid w:val="0008185E"/>
    <w:rsid w:val="00081947"/>
    <w:rsid w:val="00081C7A"/>
    <w:rsid w:val="00081D64"/>
    <w:rsid w:val="0008204A"/>
    <w:rsid w:val="00082163"/>
    <w:rsid w:val="000825DD"/>
    <w:rsid w:val="000829E0"/>
    <w:rsid w:val="00082AA7"/>
    <w:rsid w:val="00082E80"/>
    <w:rsid w:val="0008302B"/>
    <w:rsid w:val="000831F1"/>
    <w:rsid w:val="0008344F"/>
    <w:rsid w:val="00083639"/>
    <w:rsid w:val="00083732"/>
    <w:rsid w:val="000838A8"/>
    <w:rsid w:val="00083A5A"/>
    <w:rsid w:val="00083AAA"/>
    <w:rsid w:val="00083BB7"/>
    <w:rsid w:val="00083CF9"/>
    <w:rsid w:val="00083F2F"/>
    <w:rsid w:val="00083F60"/>
    <w:rsid w:val="00084009"/>
    <w:rsid w:val="00084026"/>
    <w:rsid w:val="000840E7"/>
    <w:rsid w:val="000840FA"/>
    <w:rsid w:val="000841E7"/>
    <w:rsid w:val="0008426E"/>
    <w:rsid w:val="000842EB"/>
    <w:rsid w:val="00084355"/>
    <w:rsid w:val="000844D7"/>
    <w:rsid w:val="000844E5"/>
    <w:rsid w:val="000848F7"/>
    <w:rsid w:val="00084939"/>
    <w:rsid w:val="00084984"/>
    <w:rsid w:val="00084A52"/>
    <w:rsid w:val="00084AB3"/>
    <w:rsid w:val="00084C93"/>
    <w:rsid w:val="00084E01"/>
    <w:rsid w:val="00084EDE"/>
    <w:rsid w:val="00084F9C"/>
    <w:rsid w:val="0008508E"/>
    <w:rsid w:val="00085156"/>
    <w:rsid w:val="000852F0"/>
    <w:rsid w:val="0008539F"/>
    <w:rsid w:val="00085424"/>
    <w:rsid w:val="000854B4"/>
    <w:rsid w:val="0008565C"/>
    <w:rsid w:val="00085735"/>
    <w:rsid w:val="00085C26"/>
    <w:rsid w:val="00085D97"/>
    <w:rsid w:val="000862CC"/>
    <w:rsid w:val="000866DF"/>
    <w:rsid w:val="000867CA"/>
    <w:rsid w:val="00086849"/>
    <w:rsid w:val="00086910"/>
    <w:rsid w:val="0008691E"/>
    <w:rsid w:val="0008697D"/>
    <w:rsid w:val="00086BB3"/>
    <w:rsid w:val="00086E65"/>
    <w:rsid w:val="00087050"/>
    <w:rsid w:val="000870CF"/>
    <w:rsid w:val="000873CA"/>
    <w:rsid w:val="0008744D"/>
    <w:rsid w:val="000874B8"/>
    <w:rsid w:val="000874BA"/>
    <w:rsid w:val="00087578"/>
    <w:rsid w:val="00087634"/>
    <w:rsid w:val="000876DA"/>
    <w:rsid w:val="000877F2"/>
    <w:rsid w:val="00087854"/>
    <w:rsid w:val="00087951"/>
    <w:rsid w:val="00087A77"/>
    <w:rsid w:val="00087AE1"/>
    <w:rsid w:val="00087AE3"/>
    <w:rsid w:val="00087CB0"/>
    <w:rsid w:val="00087EE0"/>
    <w:rsid w:val="00090180"/>
    <w:rsid w:val="00090199"/>
    <w:rsid w:val="00090240"/>
    <w:rsid w:val="00090690"/>
    <w:rsid w:val="0009078D"/>
    <w:rsid w:val="000909A0"/>
    <w:rsid w:val="00090A21"/>
    <w:rsid w:val="00090A8C"/>
    <w:rsid w:val="00090AAF"/>
    <w:rsid w:val="00091058"/>
    <w:rsid w:val="00091079"/>
    <w:rsid w:val="0009113B"/>
    <w:rsid w:val="00091620"/>
    <w:rsid w:val="000916BF"/>
    <w:rsid w:val="00091755"/>
    <w:rsid w:val="000918F3"/>
    <w:rsid w:val="0009195A"/>
    <w:rsid w:val="00091A8B"/>
    <w:rsid w:val="00091BB0"/>
    <w:rsid w:val="00091D15"/>
    <w:rsid w:val="00091D52"/>
    <w:rsid w:val="00092070"/>
    <w:rsid w:val="000920D6"/>
    <w:rsid w:val="00092194"/>
    <w:rsid w:val="000924B1"/>
    <w:rsid w:val="0009261E"/>
    <w:rsid w:val="000928E7"/>
    <w:rsid w:val="000929FC"/>
    <w:rsid w:val="00092DEC"/>
    <w:rsid w:val="00092FD1"/>
    <w:rsid w:val="000930AE"/>
    <w:rsid w:val="000930D5"/>
    <w:rsid w:val="00093153"/>
    <w:rsid w:val="000931C8"/>
    <w:rsid w:val="0009338B"/>
    <w:rsid w:val="000933E2"/>
    <w:rsid w:val="00093402"/>
    <w:rsid w:val="000935EF"/>
    <w:rsid w:val="000938DF"/>
    <w:rsid w:val="00093A6B"/>
    <w:rsid w:val="00093C61"/>
    <w:rsid w:val="00093CE5"/>
    <w:rsid w:val="00093EE4"/>
    <w:rsid w:val="00093EFE"/>
    <w:rsid w:val="00094236"/>
    <w:rsid w:val="000947A5"/>
    <w:rsid w:val="0009497F"/>
    <w:rsid w:val="00094D6D"/>
    <w:rsid w:val="00094DA3"/>
    <w:rsid w:val="00095090"/>
    <w:rsid w:val="00095255"/>
    <w:rsid w:val="000952E7"/>
    <w:rsid w:val="00095674"/>
    <w:rsid w:val="000956CE"/>
    <w:rsid w:val="00095718"/>
    <w:rsid w:val="0009588F"/>
    <w:rsid w:val="00095A32"/>
    <w:rsid w:val="00095AD6"/>
    <w:rsid w:val="00095AE6"/>
    <w:rsid w:val="00095B3A"/>
    <w:rsid w:val="00095D2A"/>
    <w:rsid w:val="00095FD8"/>
    <w:rsid w:val="0009633E"/>
    <w:rsid w:val="0009634E"/>
    <w:rsid w:val="00096447"/>
    <w:rsid w:val="0009661A"/>
    <w:rsid w:val="00096757"/>
    <w:rsid w:val="00096CD1"/>
    <w:rsid w:val="00096D21"/>
    <w:rsid w:val="00096DAD"/>
    <w:rsid w:val="00096DC8"/>
    <w:rsid w:val="00096FC0"/>
    <w:rsid w:val="0009704F"/>
    <w:rsid w:val="000970DC"/>
    <w:rsid w:val="0009729D"/>
    <w:rsid w:val="000972F8"/>
    <w:rsid w:val="0009757B"/>
    <w:rsid w:val="000975C7"/>
    <w:rsid w:val="00097634"/>
    <w:rsid w:val="00097661"/>
    <w:rsid w:val="00097703"/>
    <w:rsid w:val="00097B47"/>
    <w:rsid w:val="00097F35"/>
    <w:rsid w:val="00097F71"/>
    <w:rsid w:val="000A012C"/>
    <w:rsid w:val="000A03C9"/>
    <w:rsid w:val="000A0595"/>
    <w:rsid w:val="000A06C6"/>
    <w:rsid w:val="000A0752"/>
    <w:rsid w:val="000A07A9"/>
    <w:rsid w:val="000A0851"/>
    <w:rsid w:val="000A0AFD"/>
    <w:rsid w:val="000A0E07"/>
    <w:rsid w:val="000A0EB9"/>
    <w:rsid w:val="000A0F8D"/>
    <w:rsid w:val="000A1217"/>
    <w:rsid w:val="000A138D"/>
    <w:rsid w:val="000A1442"/>
    <w:rsid w:val="000A17D8"/>
    <w:rsid w:val="000A186C"/>
    <w:rsid w:val="000A1908"/>
    <w:rsid w:val="000A1918"/>
    <w:rsid w:val="000A1AE5"/>
    <w:rsid w:val="000A1BD3"/>
    <w:rsid w:val="000A1C33"/>
    <w:rsid w:val="000A1DEB"/>
    <w:rsid w:val="000A1E44"/>
    <w:rsid w:val="000A1EA4"/>
    <w:rsid w:val="000A214E"/>
    <w:rsid w:val="000A215A"/>
    <w:rsid w:val="000A21A1"/>
    <w:rsid w:val="000A2284"/>
    <w:rsid w:val="000A2476"/>
    <w:rsid w:val="000A2481"/>
    <w:rsid w:val="000A2626"/>
    <w:rsid w:val="000A2A38"/>
    <w:rsid w:val="000A2AF3"/>
    <w:rsid w:val="000A2B87"/>
    <w:rsid w:val="000A2CB7"/>
    <w:rsid w:val="000A3038"/>
    <w:rsid w:val="000A30E0"/>
    <w:rsid w:val="000A335C"/>
    <w:rsid w:val="000A34C9"/>
    <w:rsid w:val="000A34EB"/>
    <w:rsid w:val="000A351A"/>
    <w:rsid w:val="000A354F"/>
    <w:rsid w:val="000A3555"/>
    <w:rsid w:val="000A363C"/>
    <w:rsid w:val="000A36C2"/>
    <w:rsid w:val="000A3957"/>
    <w:rsid w:val="000A3A83"/>
    <w:rsid w:val="000A3B23"/>
    <w:rsid w:val="000A3B65"/>
    <w:rsid w:val="000A3C9C"/>
    <w:rsid w:val="000A3EF9"/>
    <w:rsid w:val="000A402C"/>
    <w:rsid w:val="000A415A"/>
    <w:rsid w:val="000A4162"/>
    <w:rsid w:val="000A41B2"/>
    <w:rsid w:val="000A420C"/>
    <w:rsid w:val="000A4442"/>
    <w:rsid w:val="000A4500"/>
    <w:rsid w:val="000A4529"/>
    <w:rsid w:val="000A48BC"/>
    <w:rsid w:val="000A48E4"/>
    <w:rsid w:val="000A4A68"/>
    <w:rsid w:val="000A4C36"/>
    <w:rsid w:val="000A537B"/>
    <w:rsid w:val="000A5430"/>
    <w:rsid w:val="000A5507"/>
    <w:rsid w:val="000A5553"/>
    <w:rsid w:val="000A56EF"/>
    <w:rsid w:val="000A5887"/>
    <w:rsid w:val="000A5AE1"/>
    <w:rsid w:val="000A5B78"/>
    <w:rsid w:val="000A5C63"/>
    <w:rsid w:val="000A5F4F"/>
    <w:rsid w:val="000A5F9B"/>
    <w:rsid w:val="000A5FC7"/>
    <w:rsid w:val="000A613E"/>
    <w:rsid w:val="000A6173"/>
    <w:rsid w:val="000A61E4"/>
    <w:rsid w:val="000A641A"/>
    <w:rsid w:val="000A66A7"/>
    <w:rsid w:val="000A677E"/>
    <w:rsid w:val="000A6974"/>
    <w:rsid w:val="000A6B21"/>
    <w:rsid w:val="000A6BEC"/>
    <w:rsid w:val="000A703F"/>
    <w:rsid w:val="000A70D6"/>
    <w:rsid w:val="000A71E6"/>
    <w:rsid w:val="000A72E7"/>
    <w:rsid w:val="000A7345"/>
    <w:rsid w:val="000A7424"/>
    <w:rsid w:val="000A7737"/>
    <w:rsid w:val="000A7AFE"/>
    <w:rsid w:val="000A7D06"/>
    <w:rsid w:val="000A7D90"/>
    <w:rsid w:val="000A7FA7"/>
    <w:rsid w:val="000B0285"/>
    <w:rsid w:val="000B0444"/>
    <w:rsid w:val="000B0513"/>
    <w:rsid w:val="000B051C"/>
    <w:rsid w:val="000B05DD"/>
    <w:rsid w:val="000B074D"/>
    <w:rsid w:val="000B0781"/>
    <w:rsid w:val="000B07E8"/>
    <w:rsid w:val="000B0902"/>
    <w:rsid w:val="000B09B4"/>
    <w:rsid w:val="000B09BA"/>
    <w:rsid w:val="000B0AB5"/>
    <w:rsid w:val="000B0AB9"/>
    <w:rsid w:val="000B0BB5"/>
    <w:rsid w:val="000B0E39"/>
    <w:rsid w:val="000B0F74"/>
    <w:rsid w:val="000B111D"/>
    <w:rsid w:val="000B15FE"/>
    <w:rsid w:val="000B173E"/>
    <w:rsid w:val="000B188D"/>
    <w:rsid w:val="000B1AD3"/>
    <w:rsid w:val="000B1D00"/>
    <w:rsid w:val="000B1D43"/>
    <w:rsid w:val="000B1FBC"/>
    <w:rsid w:val="000B20D9"/>
    <w:rsid w:val="000B223E"/>
    <w:rsid w:val="000B2270"/>
    <w:rsid w:val="000B27C1"/>
    <w:rsid w:val="000B285A"/>
    <w:rsid w:val="000B29F1"/>
    <w:rsid w:val="000B2BFF"/>
    <w:rsid w:val="000B2D4B"/>
    <w:rsid w:val="000B2ED9"/>
    <w:rsid w:val="000B2F11"/>
    <w:rsid w:val="000B3073"/>
    <w:rsid w:val="000B30F7"/>
    <w:rsid w:val="000B344D"/>
    <w:rsid w:val="000B3623"/>
    <w:rsid w:val="000B3B73"/>
    <w:rsid w:val="000B3C04"/>
    <w:rsid w:val="000B3C14"/>
    <w:rsid w:val="000B3C55"/>
    <w:rsid w:val="000B3CC0"/>
    <w:rsid w:val="000B3DA3"/>
    <w:rsid w:val="000B3DA4"/>
    <w:rsid w:val="000B3DE4"/>
    <w:rsid w:val="000B3EDB"/>
    <w:rsid w:val="000B4101"/>
    <w:rsid w:val="000B4139"/>
    <w:rsid w:val="000B423E"/>
    <w:rsid w:val="000B47E8"/>
    <w:rsid w:val="000B47F5"/>
    <w:rsid w:val="000B4836"/>
    <w:rsid w:val="000B4857"/>
    <w:rsid w:val="000B4B31"/>
    <w:rsid w:val="000B4B83"/>
    <w:rsid w:val="000B4D1E"/>
    <w:rsid w:val="000B4DD2"/>
    <w:rsid w:val="000B4E04"/>
    <w:rsid w:val="000B4FBA"/>
    <w:rsid w:val="000B4FE2"/>
    <w:rsid w:val="000B50AE"/>
    <w:rsid w:val="000B50E3"/>
    <w:rsid w:val="000B5197"/>
    <w:rsid w:val="000B543D"/>
    <w:rsid w:val="000B55F9"/>
    <w:rsid w:val="000B5669"/>
    <w:rsid w:val="000B57F2"/>
    <w:rsid w:val="000B5813"/>
    <w:rsid w:val="000B583F"/>
    <w:rsid w:val="000B5957"/>
    <w:rsid w:val="000B5A61"/>
    <w:rsid w:val="000B5AA1"/>
    <w:rsid w:val="000B5BF7"/>
    <w:rsid w:val="000B5D04"/>
    <w:rsid w:val="000B6225"/>
    <w:rsid w:val="000B6250"/>
    <w:rsid w:val="000B63D3"/>
    <w:rsid w:val="000B645B"/>
    <w:rsid w:val="000B64E7"/>
    <w:rsid w:val="000B65FA"/>
    <w:rsid w:val="000B66A3"/>
    <w:rsid w:val="000B66B5"/>
    <w:rsid w:val="000B6840"/>
    <w:rsid w:val="000B68DB"/>
    <w:rsid w:val="000B6BC8"/>
    <w:rsid w:val="000B6BDB"/>
    <w:rsid w:val="000B6D4B"/>
    <w:rsid w:val="000B7102"/>
    <w:rsid w:val="000B7574"/>
    <w:rsid w:val="000B7662"/>
    <w:rsid w:val="000B7825"/>
    <w:rsid w:val="000B7A0F"/>
    <w:rsid w:val="000B7A42"/>
    <w:rsid w:val="000B7ECD"/>
    <w:rsid w:val="000B7F90"/>
    <w:rsid w:val="000C02E0"/>
    <w:rsid w:val="000C0303"/>
    <w:rsid w:val="000C044E"/>
    <w:rsid w:val="000C06A2"/>
    <w:rsid w:val="000C0812"/>
    <w:rsid w:val="000C0888"/>
    <w:rsid w:val="000C0DC5"/>
    <w:rsid w:val="000C0ED9"/>
    <w:rsid w:val="000C125B"/>
    <w:rsid w:val="000C142E"/>
    <w:rsid w:val="000C15CF"/>
    <w:rsid w:val="000C163A"/>
    <w:rsid w:val="000C1821"/>
    <w:rsid w:val="000C190A"/>
    <w:rsid w:val="000C1B10"/>
    <w:rsid w:val="000C1BFA"/>
    <w:rsid w:val="000C1C48"/>
    <w:rsid w:val="000C1C6B"/>
    <w:rsid w:val="000C1E47"/>
    <w:rsid w:val="000C1E7B"/>
    <w:rsid w:val="000C1E8B"/>
    <w:rsid w:val="000C1F62"/>
    <w:rsid w:val="000C1FC4"/>
    <w:rsid w:val="000C217A"/>
    <w:rsid w:val="000C21F4"/>
    <w:rsid w:val="000C232F"/>
    <w:rsid w:val="000C239C"/>
    <w:rsid w:val="000C243A"/>
    <w:rsid w:val="000C2528"/>
    <w:rsid w:val="000C280B"/>
    <w:rsid w:val="000C2B38"/>
    <w:rsid w:val="000C2C23"/>
    <w:rsid w:val="000C2D03"/>
    <w:rsid w:val="000C2DBB"/>
    <w:rsid w:val="000C3191"/>
    <w:rsid w:val="000C3446"/>
    <w:rsid w:val="000C35A7"/>
    <w:rsid w:val="000C37B8"/>
    <w:rsid w:val="000C3829"/>
    <w:rsid w:val="000C3C5E"/>
    <w:rsid w:val="000C3C92"/>
    <w:rsid w:val="000C3E9D"/>
    <w:rsid w:val="000C3F04"/>
    <w:rsid w:val="000C3F9E"/>
    <w:rsid w:val="000C415F"/>
    <w:rsid w:val="000C4253"/>
    <w:rsid w:val="000C4269"/>
    <w:rsid w:val="000C42EA"/>
    <w:rsid w:val="000C4387"/>
    <w:rsid w:val="000C4546"/>
    <w:rsid w:val="000C4867"/>
    <w:rsid w:val="000C48A0"/>
    <w:rsid w:val="000C496E"/>
    <w:rsid w:val="000C4D30"/>
    <w:rsid w:val="000C4D8D"/>
    <w:rsid w:val="000C54C3"/>
    <w:rsid w:val="000C56D4"/>
    <w:rsid w:val="000C5793"/>
    <w:rsid w:val="000C587E"/>
    <w:rsid w:val="000C58C8"/>
    <w:rsid w:val="000C5937"/>
    <w:rsid w:val="000C5940"/>
    <w:rsid w:val="000C5AB3"/>
    <w:rsid w:val="000C5B2D"/>
    <w:rsid w:val="000C6136"/>
    <w:rsid w:val="000C65D8"/>
    <w:rsid w:val="000C691B"/>
    <w:rsid w:val="000C6951"/>
    <w:rsid w:val="000C6ABA"/>
    <w:rsid w:val="000C6F17"/>
    <w:rsid w:val="000C6F91"/>
    <w:rsid w:val="000C70D9"/>
    <w:rsid w:val="000C74DD"/>
    <w:rsid w:val="000C7532"/>
    <w:rsid w:val="000C794F"/>
    <w:rsid w:val="000C7ADC"/>
    <w:rsid w:val="000C7B06"/>
    <w:rsid w:val="000C7BA0"/>
    <w:rsid w:val="000C7E14"/>
    <w:rsid w:val="000D0087"/>
    <w:rsid w:val="000D00DC"/>
    <w:rsid w:val="000D0101"/>
    <w:rsid w:val="000D01B3"/>
    <w:rsid w:val="000D04CE"/>
    <w:rsid w:val="000D076A"/>
    <w:rsid w:val="000D0787"/>
    <w:rsid w:val="000D08F2"/>
    <w:rsid w:val="000D097E"/>
    <w:rsid w:val="000D0CCA"/>
    <w:rsid w:val="000D0ECA"/>
    <w:rsid w:val="000D0F3B"/>
    <w:rsid w:val="000D116B"/>
    <w:rsid w:val="000D11FA"/>
    <w:rsid w:val="000D1242"/>
    <w:rsid w:val="000D13B3"/>
    <w:rsid w:val="000D14C6"/>
    <w:rsid w:val="000D16F1"/>
    <w:rsid w:val="000D1711"/>
    <w:rsid w:val="000D17D4"/>
    <w:rsid w:val="000D187B"/>
    <w:rsid w:val="000D1929"/>
    <w:rsid w:val="000D1A00"/>
    <w:rsid w:val="000D1A10"/>
    <w:rsid w:val="000D1D2E"/>
    <w:rsid w:val="000D1F06"/>
    <w:rsid w:val="000D1F88"/>
    <w:rsid w:val="000D2091"/>
    <w:rsid w:val="000D2126"/>
    <w:rsid w:val="000D2281"/>
    <w:rsid w:val="000D2608"/>
    <w:rsid w:val="000D287D"/>
    <w:rsid w:val="000D2ABA"/>
    <w:rsid w:val="000D2BBD"/>
    <w:rsid w:val="000D2C72"/>
    <w:rsid w:val="000D2E1C"/>
    <w:rsid w:val="000D2F4D"/>
    <w:rsid w:val="000D2F5C"/>
    <w:rsid w:val="000D319D"/>
    <w:rsid w:val="000D31C5"/>
    <w:rsid w:val="000D328F"/>
    <w:rsid w:val="000D3422"/>
    <w:rsid w:val="000D345D"/>
    <w:rsid w:val="000D359D"/>
    <w:rsid w:val="000D3674"/>
    <w:rsid w:val="000D3732"/>
    <w:rsid w:val="000D3929"/>
    <w:rsid w:val="000D3B40"/>
    <w:rsid w:val="000D3BAF"/>
    <w:rsid w:val="000D3BF5"/>
    <w:rsid w:val="000D3CCB"/>
    <w:rsid w:val="000D4123"/>
    <w:rsid w:val="000D4265"/>
    <w:rsid w:val="000D434F"/>
    <w:rsid w:val="000D484D"/>
    <w:rsid w:val="000D4CF9"/>
    <w:rsid w:val="000D4D69"/>
    <w:rsid w:val="000D4EB8"/>
    <w:rsid w:val="000D5185"/>
    <w:rsid w:val="000D51C6"/>
    <w:rsid w:val="000D5367"/>
    <w:rsid w:val="000D54D4"/>
    <w:rsid w:val="000D5593"/>
    <w:rsid w:val="000D55C0"/>
    <w:rsid w:val="000D579E"/>
    <w:rsid w:val="000D5B4D"/>
    <w:rsid w:val="000D5D53"/>
    <w:rsid w:val="000D5DD3"/>
    <w:rsid w:val="000D6145"/>
    <w:rsid w:val="000D616E"/>
    <w:rsid w:val="000D6267"/>
    <w:rsid w:val="000D62DB"/>
    <w:rsid w:val="000D64AA"/>
    <w:rsid w:val="000D69AD"/>
    <w:rsid w:val="000D6DFE"/>
    <w:rsid w:val="000D6E99"/>
    <w:rsid w:val="000D709F"/>
    <w:rsid w:val="000D71B4"/>
    <w:rsid w:val="000D7302"/>
    <w:rsid w:val="000D746E"/>
    <w:rsid w:val="000D7582"/>
    <w:rsid w:val="000D75F8"/>
    <w:rsid w:val="000D7C5E"/>
    <w:rsid w:val="000D7CD9"/>
    <w:rsid w:val="000E0055"/>
    <w:rsid w:val="000E02EA"/>
    <w:rsid w:val="000E04AF"/>
    <w:rsid w:val="000E050D"/>
    <w:rsid w:val="000E059A"/>
    <w:rsid w:val="000E090C"/>
    <w:rsid w:val="000E0970"/>
    <w:rsid w:val="000E0A2B"/>
    <w:rsid w:val="000E0C27"/>
    <w:rsid w:val="000E0CE4"/>
    <w:rsid w:val="000E0F1A"/>
    <w:rsid w:val="000E102E"/>
    <w:rsid w:val="000E1073"/>
    <w:rsid w:val="000E11CD"/>
    <w:rsid w:val="000E13E1"/>
    <w:rsid w:val="000E14E6"/>
    <w:rsid w:val="000E17AE"/>
    <w:rsid w:val="000E196B"/>
    <w:rsid w:val="000E1A1C"/>
    <w:rsid w:val="000E1EFC"/>
    <w:rsid w:val="000E1FE9"/>
    <w:rsid w:val="000E21BF"/>
    <w:rsid w:val="000E227D"/>
    <w:rsid w:val="000E2324"/>
    <w:rsid w:val="000E253A"/>
    <w:rsid w:val="000E2575"/>
    <w:rsid w:val="000E25C2"/>
    <w:rsid w:val="000E26B6"/>
    <w:rsid w:val="000E270A"/>
    <w:rsid w:val="000E29DD"/>
    <w:rsid w:val="000E2BB9"/>
    <w:rsid w:val="000E2C80"/>
    <w:rsid w:val="000E2D0C"/>
    <w:rsid w:val="000E318B"/>
    <w:rsid w:val="000E352F"/>
    <w:rsid w:val="000E36B5"/>
    <w:rsid w:val="000E3B90"/>
    <w:rsid w:val="000E3BC3"/>
    <w:rsid w:val="000E3C7A"/>
    <w:rsid w:val="000E3CC7"/>
    <w:rsid w:val="000E3EF4"/>
    <w:rsid w:val="000E3EFC"/>
    <w:rsid w:val="000E3F6E"/>
    <w:rsid w:val="000E3F93"/>
    <w:rsid w:val="000E4076"/>
    <w:rsid w:val="000E40A1"/>
    <w:rsid w:val="000E40AD"/>
    <w:rsid w:val="000E40BC"/>
    <w:rsid w:val="000E40C6"/>
    <w:rsid w:val="000E4232"/>
    <w:rsid w:val="000E48F3"/>
    <w:rsid w:val="000E4B0A"/>
    <w:rsid w:val="000E4B5B"/>
    <w:rsid w:val="000E4C15"/>
    <w:rsid w:val="000E4D1C"/>
    <w:rsid w:val="000E4EA0"/>
    <w:rsid w:val="000E508E"/>
    <w:rsid w:val="000E50DC"/>
    <w:rsid w:val="000E53C7"/>
    <w:rsid w:val="000E566C"/>
    <w:rsid w:val="000E5947"/>
    <w:rsid w:val="000E5973"/>
    <w:rsid w:val="000E5ACB"/>
    <w:rsid w:val="000E5B92"/>
    <w:rsid w:val="000E5D13"/>
    <w:rsid w:val="000E5D57"/>
    <w:rsid w:val="000E5E04"/>
    <w:rsid w:val="000E5E76"/>
    <w:rsid w:val="000E6039"/>
    <w:rsid w:val="000E610A"/>
    <w:rsid w:val="000E615F"/>
    <w:rsid w:val="000E653E"/>
    <w:rsid w:val="000E65A5"/>
    <w:rsid w:val="000E65A7"/>
    <w:rsid w:val="000E65BC"/>
    <w:rsid w:val="000E69BD"/>
    <w:rsid w:val="000E69D2"/>
    <w:rsid w:val="000E6AAF"/>
    <w:rsid w:val="000E6B5C"/>
    <w:rsid w:val="000E6BD4"/>
    <w:rsid w:val="000E6C16"/>
    <w:rsid w:val="000E6C7C"/>
    <w:rsid w:val="000E6D6D"/>
    <w:rsid w:val="000E6E57"/>
    <w:rsid w:val="000E6F42"/>
    <w:rsid w:val="000E6F63"/>
    <w:rsid w:val="000E7065"/>
    <w:rsid w:val="000E71AF"/>
    <w:rsid w:val="000E726B"/>
    <w:rsid w:val="000E7508"/>
    <w:rsid w:val="000E7A49"/>
    <w:rsid w:val="000E7C08"/>
    <w:rsid w:val="000E7CA8"/>
    <w:rsid w:val="000E7DE9"/>
    <w:rsid w:val="000F01C0"/>
    <w:rsid w:val="000F0404"/>
    <w:rsid w:val="000F0652"/>
    <w:rsid w:val="000F0684"/>
    <w:rsid w:val="000F07DB"/>
    <w:rsid w:val="000F0965"/>
    <w:rsid w:val="000F0B50"/>
    <w:rsid w:val="000F0B72"/>
    <w:rsid w:val="000F0E2D"/>
    <w:rsid w:val="000F0E9B"/>
    <w:rsid w:val="000F0F18"/>
    <w:rsid w:val="000F0FFC"/>
    <w:rsid w:val="000F1162"/>
    <w:rsid w:val="000F16AA"/>
    <w:rsid w:val="000F16FC"/>
    <w:rsid w:val="000F1713"/>
    <w:rsid w:val="000F17C2"/>
    <w:rsid w:val="000F1929"/>
    <w:rsid w:val="000F1954"/>
    <w:rsid w:val="000F1F1E"/>
    <w:rsid w:val="000F2160"/>
    <w:rsid w:val="000F21BE"/>
    <w:rsid w:val="000F21C4"/>
    <w:rsid w:val="000F2246"/>
    <w:rsid w:val="000F2259"/>
    <w:rsid w:val="000F2315"/>
    <w:rsid w:val="000F2564"/>
    <w:rsid w:val="000F2678"/>
    <w:rsid w:val="000F2867"/>
    <w:rsid w:val="000F2962"/>
    <w:rsid w:val="000F2CDB"/>
    <w:rsid w:val="000F2D3F"/>
    <w:rsid w:val="000F2DDA"/>
    <w:rsid w:val="000F2EA0"/>
    <w:rsid w:val="000F3375"/>
    <w:rsid w:val="000F3A73"/>
    <w:rsid w:val="000F3C1B"/>
    <w:rsid w:val="000F3F42"/>
    <w:rsid w:val="000F3F58"/>
    <w:rsid w:val="000F3F72"/>
    <w:rsid w:val="000F4257"/>
    <w:rsid w:val="000F441B"/>
    <w:rsid w:val="000F445D"/>
    <w:rsid w:val="000F4BDD"/>
    <w:rsid w:val="000F4E0A"/>
    <w:rsid w:val="000F4EFE"/>
    <w:rsid w:val="000F500A"/>
    <w:rsid w:val="000F519E"/>
    <w:rsid w:val="000F5213"/>
    <w:rsid w:val="000F5261"/>
    <w:rsid w:val="000F5399"/>
    <w:rsid w:val="000F55D5"/>
    <w:rsid w:val="000F56B5"/>
    <w:rsid w:val="000F5837"/>
    <w:rsid w:val="000F5A95"/>
    <w:rsid w:val="000F5D54"/>
    <w:rsid w:val="000F5F8C"/>
    <w:rsid w:val="000F616B"/>
    <w:rsid w:val="000F621B"/>
    <w:rsid w:val="000F62F1"/>
    <w:rsid w:val="000F6596"/>
    <w:rsid w:val="000F65FB"/>
    <w:rsid w:val="000F66A7"/>
    <w:rsid w:val="000F6816"/>
    <w:rsid w:val="000F6A27"/>
    <w:rsid w:val="000F6B2C"/>
    <w:rsid w:val="000F6C9E"/>
    <w:rsid w:val="000F6DBA"/>
    <w:rsid w:val="000F6DD7"/>
    <w:rsid w:val="000F6F72"/>
    <w:rsid w:val="000F7047"/>
    <w:rsid w:val="000F71E6"/>
    <w:rsid w:val="000F7260"/>
    <w:rsid w:val="000F72B8"/>
    <w:rsid w:val="000F72C7"/>
    <w:rsid w:val="000F767B"/>
    <w:rsid w:val="000F7729"/>
    <w:rsid w:val="000F793D"/>
    <w:rsid w:val="001001C1"/>
    <w:rsid w:val="0010028E"/>
    <w:rsid w:val="0010036C"/>
    <w:rsid w:val="0010039E"/>
    <w:rsid w:val="00100466"/>
    <w:rsid w:val="0010062E"/>
    <w:rsid w:val="0010092B"/>
    <w:rsid w:val="0010092F"/>
    <w:rsid w:val="00100A53"/>
    <w:rsid w:val="00100B03"/>
    <w:rsid w:val="00100B6B"/>
    <w:rsid w:val="00100D5B"/>
    <w:rsid w:val="00101001"/>
    <w:rsid w:val="00101074"/>
    <w:rsid w:val="0010107A"/>
    <w:rsid w:val="0010122E"/>
    <w:rsid w:val="00101373"/>
    <w:rsid w:val="00101718"/>
    <w:rsid w:val="0010188E"/>
    <w:rsid w:val="0010197C"/>
    <w:rsid w:val="00101A13"/>
    <w:rsid w:val="00101B13"/>
    <w:rsid w:val="00101BF7"/>
    <w:rsid w:val="00101E3F"/>
    <w:rsid w:val="00102157"/>
    <w:rsid w:val="001025BF"/>
    <w:rsid w:val="00102655"/>
    <w:rsid w:val="001026FD"/>
    <w:rsid w:val="001027B1"/>
    <w:rsid w:val="001027EA"/>
    <w:rsid w:val="00102BE7"/>
    <w:rsid w:val="00102D31"/>
    <w:rsid w:val="001031D8"/>
    <w:rsid w:val="00103276"/>
    <w:rsid w:val="00103357"/>
    <w:rsid w:val="0010358B"/>
    <w:rsid w:val="0010369D"/>
    <w:rsid w:val="001036AA"/>
    <w:rsid w:val="00103707"/>
    <w:rsid w:val="0010392D"/>
    <w:rsid w:val="00103B74"/>
    <w:rsid w:val="00103C2E"/>
    <w:rsid w:val="00103C8C"/>
    <w:rsid w:val="00103CA8"/>
    <w:rsid w:val="00103D50"/>
    <w:rsid w:val="00103D70"/>
    <w:rsid w:val="00103E14"/>
    <w:rsid w:val="00103EB0"/>
    <w:rsid w:val="0010408A"/>
    <w:rsid w:val="0010411C"/>
    <w:rsid w:val="00104219"/>
    <w:rsid w:val="001042EF"/>
    <w:rsid w:val="0010447F"/>
    <w:rsid w:val="001044AB"/>
    <w:rsid w:val="001044B4"/>
    <w:rsid w:val="001047C8"/>
    <w:rsid w:val="00104C32"/>
    <w:rsid w:val="00104FE3"/>
    <w:rsid w:val="00105096"/>
    <w:rsid w:val="00105318"/>
    <w:rsid w:val="00105C2D"/>
    <w:rsid w:val="00105C73"/>
    <w:rsid w:val="00105FB6"/>
    <w:rsid w:val="001061C2"/>
    <w:rsid w:val="001061EC"/>
    <w:rsid w:val="001062D2"/>
    <w:rsid w:val="00106396"/>
    <w:rsid w:val="00106492"/>
    <w:rsid w:val="00106493"/>
    <w:rsid w:val="0010683E"/>
    <w:rsid w:val="00106A5C"/>
    <w:rsid w:val="00106AFF"/>
    <w:rsid w:val="00106C78"/>
    <w:rsid w:val="00106E0E"/>
    <w:rsid w:val="00106F41"/>
    <w:rsid w:val="00106F71"/>
    <w:rsid w:val="00106F7C"/>
    <w:rsid w:val="00106FA2"/>
    <w:rsid w:val="0010714F"/>
    <w:rsid w:val="001072BD"/>
    <w:rsid w:val="0010753F"/>
    <w:rsid w:val="00107712"/>
    <w:rsid w:val="00107AE7"/>
    <w:rsid w:val="00107AF0"/>
    <w:rsid w:val="00107B6A"/>
    <w:rsid w:val="00107C9F"/>
    <w:rsid w:val="00107EF6"/>
    <w:rsid w:val="00110060"/>
    <w:rsid w:val="0011027D"/>
    <w:rsid w:val="001102B0"/>
    <w:rsid w:val="001102F6"/>
    <w:rsid w:val="001103AB"/>
    <w:rsid w:val="00110609"/>
    <w:rsid w:val="00110759"/>
    <w:rsid w:val="00110B22"/>
    <w:rsid w:val="00110DE1"/>
    <w:rsid w:val="00111000"/>
    <w:rsid w:val="00111063"/>
    <w:rsid w:val="0011114E"/>
    <w:rsid w:val="00111190"/>
    <w:rsid w:val="00111274"/>
    <w:rsid w:val="00111554"/>
    <w:rsid w:val="00111569"/>
    <w:rsid w:val="00111815"/>
    <w:rsid w:val="00111ADB"/>
    <w:rsid w:val="00111B25"/>
    <w:rsid w:val="00111E8B"/>
    <w:rsid w:val="00111E9B"/>
    <w:rsid w:val="001120C5"/>
    <w:rsid w:val="0011234D"/>
    <w:rsid w:val="00112618"/>
    <w:rsid w:val="0011271D"/>
    <w:rsid w:val="0011272B"/>
    <w:rsid w:val="001127E0"/>
    <w:rsid w:val="001128D5"/>
    <w:rsid w:val="001129A8"/>
    <w:rsid w:val="00112A25"/>
    <w:rsid w:val="00112CD8"/>
    <w:rsid w:val="00112CF9"/>
    <w:rsid w:val="00112FC6"/>
    <w:rsid w:val="00113322"/>
    <w:rsid w:val="001138EC"/>
    <w:rsid w:val="00113A05"/>
    <w:rsid w:val="00113A25"/>
    <w:rsid w:val="00113CE2"/>
    <w:rsid w:val="00113EC4"/>
    <w:rsid w:val="001140BA"/>
    <w:rsid w:val="0011410A"/>
    <w:rsid w:val="001143F3"/>
    <w:rsid w:val="00114420"/>
    <w:rsid w:val="00114665"/>
    <w:rsid w:val="00114ABA"/>
    <w:rsid w:val="00114B1E"/>
    <w:rsid w:val="00114C8D"/>
    <w:rsid w:val="00114EF9"/>
    <w:rsid w:val="00115056"/>
    <w:rsid w:val="00115266"/>
    <w:rsid w:val="001155AB"/>
    <w:rsid w:val="001158B4"/>
    <w:rsid w:val="00115AAC"/>
    <w:rsid w:val="00116044"/>
    <w:rsid w:val="00116197"/>
    <w:rsid w:val="001161E5"/>
    <w:rsid w:val="0011622F"/>
    <w:rsid w:val="00116480"/>
    <w:rsid w:val="00116662"/>
    <w:rsid w:val="00116831"/>
    <w:rsid w:val="00116960"/>
    <w:rsid w:val="00116A69"/>
    <w:rsid w:val="00116D19"/>
    <w:rsid w:val="00116D43"/>
    <w:rsid w:val="00116D56"/>
    <w:rsid w:val="00116F6F"/>
    <w:rsid w:val="00117270"/>
    <w:rsid w:val="001173D0"/>
    <w:rsid w:val="00117514"/>
    <w:rsid w:val="00117578"/>
    <w:rsid w:val="001175C5"/>
    <w:rsid w:val="001179A5"/>
    <w:rsid w:val="00117CFA"/>
    <w:rsid w:val="00117DE5"/>
    <w:rsid w:val="00117F7C"/>
    <w:rsid w:val="00120163"/>
    <w:rsid w:val="0012033E"/>
    <w:rsid w:val="001203A1"/>
    <w:rsid w:val="0012046F"/>
    <w:rsid w:val="001205AC"/>
    <w:rsid w:val="00120605"/>
    <w:rsid w:val="00120BD3"/>
    <w:rsid w:val="00120C1E"/>
    <w:rsid w:val="00120CCF"/>
    <w:rsid w:val="00120D1D"/>
    <w:rsid w:val="00120D72"/>
    <w:rsid w:val="00120E75"/>
    <w:rsid w:val="00121618"/>
    <w:rsid w:val="00121648"/>
    <w:rsid w:val="001216E6"/>
    <w:rsid w:val="00121763"/>
    <w:rsid w:val="00121836"/>
    <w:rsid w:val="00121DC7"/>
    <w:rsid w:val="00121F06"/>
    <w:rsid w:val="00121FE8"/>
    <w:rsid w:val="00122009"/>
    <w:rsid w:val="001223E8"/>
    <w:rsid w:val="00122461"/>
    <w:rsid w:val="001224E5"/>
    <w:rsid w:val="001227C3"/>
    <w:rsid w:val="00122A03"/>
    <w:rsid w:val="00122B2E"/>
    <w:rsid w:val="00122C5B"/>
    <w:rsid w:val="00122D3A"/>
    <w:rsid w:val="00122DF5"/>
    <w:rsid w:val="00122F15"/>
    <w:rsid w:val="00122FEA"/>
    <w:rsid w:val="00123088"/>
    <w:rsid w:val="00123095"/>
    <w:rsid w:val="001232BD"/>
    <w:rsid w:val="0012358C"/>
    <w:rsid w:val="001236B2"/>
    <w:rsid w:val="001236DC"/>
    <w:rsid w:val="00123927"/>
    <w:rsid w:val="00123964"/>
    <w:rsid w:val="00123A41"/>
    <w:rsid w:val="00123D28"/>
    <w:rsid w:val="00123E08"/>
    <w:rsid w:val="001240E7"/>
    <w:rsid w:val="00124170"/>
    <w:rsid w:val="001241CF"/>
    <w:rsid w:val="00124265"/>
    <w:rsid w:val="001243E8"/>
    <w:rsid w:val="0012468B"/>
    <w:rsid w:val="0012473A"/>
    <w:rsid w:val="0012473B"/>
    <w:rsid w:val="0012497B"/>
    <w:rsid w:val="00124A6A"/>
    <w:rsid w:val="00124BBE"/>
    <w:rsid w:val="00124C4F"/>
    <w:rsid w:val="00124E13"/>
    <w:rsid w:val="00124ED5"/>
    <w:rsid w:val="00124ED9"/>
    <w:rsid w:val="00124EFF"/>
    <w:rsid w:val="00125366"/>
    <w:rsid w:val="0012539B"/>
    <w:rsid w:val="00125450"/>
    <w:rsid w:val="001254AF"/>
    <w:rsid w:val="00125D27"/>
    <w:rsid w:val="00125E6E"/>
    <w:rsid w:val="00125EBC"/>
    <w:rsid w:val="00125FCD"/>
    <w:rsid w:val="00126025"/>
    <w:rsid w:val="00126703"/>
    <w:rsid w:val="00126824"/>
    <w:rsid w:val="00126832"/>
    <w:rsid w:val="00126E59"/>
    <w:rsid w:val="00126EEC"/>
    <w:rsid w:val="00127060"/>
    <w:rsid w:val="001270D5"/>
    <w:rsid w:val="0012717A"/>
    <w:rsid w:val="00127343"/>
    <w:rsid w:val="00127432"/>
    <w:rsid w:val="00127698"/>
    <w:rsid w:val="001276FA"/>
    <w:rsid w:val="001277AF"/>
    <w:rsid w:val="00127851"/>
    <w:rsid w:val="00127B57"/>
    <w:rsid w:val="00127BFB"/>
    <w:rsid w:val="001301D0"/>
    <w:rsid w:val="001302C5"/>
    <w:rsid w:val="001302F0"/>
    <w:rsid w:val="00130435"/>
    <w:rsid w:val="0013067A"/>
    <w:rsid w:val="00130822"/>
    <w:rsid w:val="001308AF"/>
    <w:rsid w:val="00130A2E"/>
    <w:rsid w:val="00131293"/>
    <w:rsid w:val="0013139D"/>
    <w:rsid w:val="001314C0"/>
    <w:rsid w:val="00131672"/>
    <w:rsid w:val="001318B5"/>
    <w:rsid w:val="00131CDB"/>
    <w:rsid w:val="00131F7E"/>
    <w:rsid w:val="0013201D"/>
    <w:rsid w:val="00132249"/>
    <w:rsid w:val="001322B5"/>
    <w:rsid w:val="001326C8"/>
    <w:rsid w:val="0013279D"/>
    <w:rsid w:val="00132CE4"/>
    <w:rsid w:val="00132FD6"/>
    <w:rsid w:val="001334FB"/>
    <w:rsid w:val="00133780"/>
    <w:rsid w:val="001338AD"/>
    <w:rsid w:val="00133924"/>
    <w:rsid w:val="00133C30"/>
    <w:rsid w:val="00133D3C"/>
    <w:rsid w:val="00133D4A"/>
    <w:rsid w:val="00133E11"/>
    <w:rsid w:val="00133E78"/>
    <w:rsid w:val="00134050"/>
    <w:rsid w:val="00134075"/>
    <w:rsid w:val="00134158"/>
    <w:rsid w:val="001347E4"/>
    <w:rsid w:val="00134896"/>
    <w:rsid w:val="001349AD"/>
    <w:rsid w:val="001349DD"/>
    <w:rsid w:val="00134A7A"/>
    <w:rsid w:val="00134B72"/>
    <w:rsid w:val="00134B9E"/>
    <w:rsid w:val="00134DE7"/>
    <w:rsid w:val="00135076"/>
    <w:rsid w:val="00135442"/>
    <w:rsid w:val="001354FE"/>
    <w:rsid w:val="00135553"/>
    <w:rsid w:val="001355D3"/>
    <w:rsid w:val="001356F6"/>
    <w:rsid w:val="00135801"/>
    <w:rsid w:val="001359B3"/>
    <w:rsid w:val="00135A89"/>
    <w:rsid w:val="00135AAA"/>
    <w:rsid w:val="00135B67"/>
    <w:rsid w:val="00135C50"/>
    <w:rsid w:val="00135D16"/>
    <w:rsid w:val="00135E53"/>
    <w:rsid w:val="00135E9B"/>
    <w:rsid w:val="00135F9B"/>
    <w:rsid w:val="00136141"/>
    <w:rsid w:val="0013621C"/>
    <w:rsid w:val="001367B5"/>
    <w:rsid w:val="001367C3"/>
    <w:rsid w:val="00136812"/>
    <w:rsid w:val="00136858"/>
    <w:rsid w:val="001368B7"/>
    <w:rsid w:val="00136AC8"/>
    <w:rsid w:val="00136C7D"/>
    <w:rsid w:val="00136CD7"/>
    <w:rsid w:val="00136D05"/>
    <w:rsid w:val="00136DA2"/>
    <w:rsid w:val="0013713A"/>
    <w:rsid w:val="0013715E"/>
    <w:rsid w:val="0013723E"/>
    <w:rsid w:val="00137240"/>
    <w:rsid w:val="00137279"/>
    <w:rsid w:val="001372D8"/>
    <w:rsid w:val="0013749F"/>
    <w:rsid w:val="001377D8"/>
    <w:rsid w:val="001377E5"/>
    <w:rsid w:val="0013782D"/>
    <w:rsid w:val="00137A42"/>
    <w:rsid w:val="00137A78"/>
    <w:rsid w:val="00137B15"/>
    <w:rsid w:val="00137D4B"/>
    <w:rsid w:val="00137DBE"/>
    <w:rsid w:val="001400C1"/>
    <w:rsid w:val="001400C6"/>
    <w:rsid w:val="001400DE"/>
    <w:rsid w:val="001400F7"/>
    <w:rsid w:val="0014033E"/>
    <w:rsid w:val="001405D1"/>
    <w:rsid w:val="0014092D"/>
    <w:rsid w:val="001409EB"/>
    <w:rsid w:val="00140B78"/>
    <w:rsid w:val="00140DF8"/>
    <w:rsid w:val="00140EA7"/>
    <w:rsid w:val="00140F59"/>
    <w:rsid w:val="00140FF5"/>
    <w:rsid w:val="00141167"/>
    <w:rsid w:val="001411F2"/>
    <w:rsid w:val="0014122A"/>
    <w:rsid w:val="001413AF"/>
    <w:rsid w:val="001414C7"/>
    <w:rsid w:val="0014150D"/>
    <w:rsid w:val="00141748"/>
    <w:rsid w:val="00141952"/>
    <w:rsid w:val="00141B48"/>
    <w:rsid w:val="00141C1B"/>
    <w:rsid w:val="00141CCC"/>
    <w:rsid w:val="00141D1F"/>
    <w:rsid w:val="00141DF6"/>
    <w:rsid w:val="00141F08"/>
    <w:rsid w:val="00142207"/>
    <w:rsid w:val="00142226"/>
    <w:rsid w:val="00142451"/>
    <w:rsid w:val="0014254A"/>
    <w:rsid w:val="00142562"/>
    <w:rsid w:val="001425B2"/>
    <w:rsid w:val="00142670"/>
    <w:rsid w:val="001427CB"/>
    <w:rsid w:val="00142A33"/>
    <w:rsid w:val="00142AE7"/>
    <w:rsid w:val="00142B3C"/>
    <w:rsid w:val="00142BED"/>
    <w:rsid w:val="00142DD2"/>
    <w:rsid w:val="00142E20"/>
    <w:rsid w:val="00142EBF"/>
    <w:rsid w:val="00142F94"/>
    <w:rsid w:val="00142FD3"/>
    <w:rsid w:val="00143315"/>
    <w:rsid w:val="0014337D"/>
    <w:rsid w:val="00143554"/>
    <w:rsid w:val="00143767"/>
    <w:rsid w:val="00143D68"/>
    <w:rsid w:val="001441CC"/>
    <w:rsid w:val="00144430"/>
    <w:rsid w:val="00144592"/>
    <w:rsid w:val="00144647"/>
    <w:rsid w:val="001447B3"/>
    <w:rsid w:val="001448E2"/>
    <w:rsid w:val="001448EE"/>
    <w:rsid w:val="00144C34"/>
    <w:rsid w:val="00144E61"/>
    <w:rsid w:val="00144E72"/>
    <w:rsid w:val="00145129"/>
    <w:rsid w:val="0014519F"/>
    <w:rsid w:val="001451AE"/>
    <w:rsid w:val="001451C3"/>
    <w:rsid w:val="00145288"/>
    <w:rsid w:val="00145678"/>
    <w:rsid w:val="001458E4"/>
    <w:rsid w:val="00145974"/>
    <w:rsid w:val="00145C60"/>
    <w:rsid w:val="00145E51"/>
    <w:rsid w:val="001460E9"/>
    <w:rsid w:val="00146130"/>
    <w:rsid w:val="00146131"/>
    <w:rsid w:val="00146168"/>
    <w:rsid w:val="001461E6"/>
    <w:rsid w:val="001462EF"/>
    <w:rsid w:val="00146372"/>
    <w:rsid w:val="001465B6"/>
    <w:rsid w:val="0014661F"/>
    <w:rsid w:val="00146648"/>
    <w:rsid w:val="001467BF"/>
    <w:rsid w:val="0014697C"/>
    <w:rsid w:val="00146A3E"/>
    <w:rsid w:val="00146B7A"/>
    <w:rsid w:val="00146C9F"/>
    <w:rsid w:val="00146CCB"/>
    <w:rsid w:val="00146EA0"/>
    <w:rsid w:val="001471FF"/>
    <w:rsid w:val="00147283"/>
    <w:rsid w:val="00147416"/>
    <w:rsid w:val="00147440"/>
    <w:rsid w:val="00147558"/>
    <w:rsid w:val="001475B4"/>
    <w:rsid w:val="001475FD"/>
    <w:rsid w:val="00147894"/>
    <w:rsid w:val="0014791A"/>
    <w:rsid w:val="00147ADE"/>
    <w:rsid w:val="00147BFA"/>
    <w:rsid w:val="00147C15"/>
    <w:rsid w:val="00147DEE"/>
    <w:rsid w:val="00150329"/>
    <w:rsid w:val="001503CA"/>
    <w:rsid w:val="00150630"/>
    <w:rsid w:val="001506C4"/>
    <w:rsid w:val="0015088C"/>
    <w:rsid w:val="00150935"/>
    <w:rsid w:val="00150970"/>
    <w:rsid w:val="00150A31"/>
    <w:rsid w:val="00150B45"/>
    <w:rsid w:val="00150C87"/>
    <w:rsid w:val="00150E7C"/>
    <w:rsid w:val="00150E91"/>
    <w:rsid w:val="00150FF5"/>
    <w:rsid w:val="00150FF8"/>
    <w:rsid w:val="00151000"/>
    <w:rsid w:val="001511D9"/>
    <w:rsid w:val="00151264"/>
    <w:rsid w:val="00151293"/>
    <w:rsid w:val="0015193E"/>
    <w:rsid w:val="00151993"/>
    <w:rsid w:val="00151B03"/>
    <w:rsid w:val="00151BCC"/>
    <w:rsid w:val="00151CBC"/>
    <w:rsid w:val="00151EB9"/>
    <w:rsid w:val="00151F33"/>
    <w:rsid w:val="00152073"/>
    <w:rsid w:val="001521CD"/>
    <w:rsid w:val="00152275"/>
    <w:rsid w:val="00152329"/>
    <w:rsid w:val="0015243B"/>
    <w:rsid w:val="00152561"/>
    <w:rsid w:val="001525EE"/>
    <w:rsid w:val="00152631"/>
    <w:rsid w:val="00152704"/>
    <w:rsid w:val="001528E1"/>
    <w:rsid w:val="00152938"/>
    <w:rsid w:val="001529AB"/>
    <w:rsid w:val="001529E8"/>
    <w:rsid w:val="00152A52"/>
    <w:rsid w:val="00152A72"/>
    <w:rsid w:val="00152AFB"/>
    <w:rsid w:val="00152F48"/>
    <w:rsid w:val="001533E4"/>
    <w:rsid w:val="00153476"/>
    <w:rsid w:val="001535A9"/>
    <w:rsid w:val="00153743"/>
    <w:rsid w:val="0015390A"/>
    <w:rsid w:val="00153A10"/>
    <w:rsid w:val="00153ABC"/>
    <w:rsid w:val="00153BAC"/>
    <w:rsid w:val="00153DB6"/>
    <w:rsid w:val="00153DEC"/>
    <w:rsid w:val="00153E05"/>
    <w:rsid w:val="00153EA3"/>
    <w:rsid w:val="00153EC7"/>
    <w:rsid w:val="00153EF1"/>
    <w:rsid w:val="00154074"/>
    <w:rsid w:val="00154089"/>
    <w:rsid w:val="001544E6"/>
    <w:rsid w:val="001545A2"/>
    <w:rsid w:val="00154AF7"/>
    <w:rsid w:val="00154DBD"/>
    <w:rsid w:val="00154EA2"/>
    <w:rsid w:val="00154F94"/>
    <w:rsid w:val="0015510C"/>
    <w:rsid w:val="001552EC"/>
    <w:rsid w:val="00155349"/>
    <w:rsid w:val="001554A4"/>
    <w:rsid w:val="00155509"/>
    <w:rsid w:val="0015553B"/>
    <w:rsid w:val="0015579B"/>
    <w:rsid w:val="00155864"/>
    <w:rsid w:val="0015593E"/>
    <w:rsid w:val="00155E1C"/>
    <w:rsid w:val="00155E3C"/>
    <w:rsid w:val="001560B2"/>
    <w:rsid w:val="00156309"/>
    <w:rsid w:val="0015631F"/>
    <w:rsid w:val="00156323"/>
    <w:rsid w:val="00156393"/>
    <w:rsid w:val="001564A1"/>
    <w:rsid w:val="00156598"/>
    <w:rsid w:val="00156633"/>
    <w:rsid w:val="0015670E"/>
    <w:rsid w:val="00156902"/>
    <w:rsid w:val="00156A05"/>
    <w:rsid w:val="00156AD8"/>
    <w:rsid w:val="00156BB6"/>
    <w:rsid w:val="00156C21"/>
    <w:rsid w:val="00156D36"/>
    <w:rsid w:val="00156EC4"/>
    <w:rsid w:val="00156FA8"/>
    <w:rsid w:val="001571FA"/>
    <w:rsid w:val="001572E2"/>
    <w:rsid w:val="00157319"/>
    <w:rsid w:val="001573C3"/>
    <w:rsid w:val="001574AC"/>
    <w:rsid w:val="00157555"/>
    <w:rsid w:val="001576C4"/>
    <w:rsid w:val="001576D3"/>
    <w:rsid w:val="001578D2"/>
    <w:rsid w:val="00157AFF"/>
    <w:rsid w:val="00157BCE"/>
    <w:rsid w:val="00157DC5"/>
    <w:rsid w:val="00157FD3"/>
    <w:rsid w:val="0015863F"/>
    <w:rsid w:val="001601A2"/>
    <w:rsid w:val="00160202"/>
    <w:rsid w:val="00160509"/>
    <w:rsid w:val="001606D6"/>
    <w:rsid w:val="0016070A"/>
    <w:rsid w:val="00160A2E"/>
    <w:rsid w:val="00160ADA"/>
    <w:rsid w:val="00160D75"/>
    <w:rsid w:val="00160EE6"/>
    <w:rsid w:val="00160F40"/>
    <w:rsid w:val="0016111C"/>
    <w:rsid w:val="0016148A"/>
    <w:rsid w:val="0016162F"/>
    <w:rsid w:val="0016167B"/>
    <w:rsid w:val="00161939"/>
    <w:rsid w:val="001619CE"/>
    <w:rsid w:val="001619D2"/>
    <w:rsid w:val="00161AA0"/>
    <w:rsid w:val="00161CE9"/>
    <w:rsid w:val="00161D1A"/>
    <w:rsid w:val="00161D2E"/>
    <w:rsid w:val="00161DC4"/>
    <w:rsid w:val="00161F3E"/>
    <w:rsid w:val="00162093"/>
    <w:rsid w:val="001623F0"/>
    <w:rsid w:val="0016242C"/>
    <w:rsid w:val="001626E3"/>
    <w:rsid w:val="00162A96"/>
    <w:rsid w:val="00162C62"/>
    <w:rsid w:val="00162CA6"/>
    <w:rsid w:val="00162CA9"/>
    <w:rsid w:val="00162D20"/>
    <w:rsid w:val="00162E96"/>
    <w:rsid w:val="00162F64"/>
    <w:rsid w:val="001630EC"/>
    <w:rsid w:val="0016341F"/>
    <w:rsid w:val="0016350A"/>
    <w:rsid w:val="00163542"/>
    <w:rsid w:val="001636D2"/>
    <w:rsid w:val="0016381F"/>
    <w:rsid w:val="00163B1F"/>
    <w:rsid w:val="00163C02"/>
    <w:rsid w:val="00163C8D"/>
    <w:rsid w:val="00163E32"/>
    <w:rsid w:val="00163E5B"/>
    <w:rsid w:val="00163EB0"/>
    <w:rsid w:val="001641D5"/>
    <w:rsid w:val="00164544"/>
    <w:rsid w:val="001645F0"/>
    <w:rsid w:val="00164648"/>
    <w:rsid w:val="0016467F"/>
    <w:rsid w:val="001646F7"/>
    <w:rsid w:val="00164824"/>
    <w:rsid w:val="001648CC"/>
    <w:rsid w:val="00164917"/>
    <w:rsid w:val="00164990"/>
    <w:rsid w:val="00164A46"/>
    <w:rsid w:val="00164BA1"/>
    <w:rsid w:val="00164F52"/>
    <w:rsid w:val="00164FAB"/>
    <w:rsid w:val="001650F2"/>
    <w:rsid w:val="00165236"/>
    <w:rsid w:val="001652BC"/>
    <w:rsid w:val="001652E5"/>
    <w:rsid w:val="001653B8"/>
    <w:rsid w:val="00165459"/>
    <w:rsid w:val="00165564"/>
    <w:rsid w:val="00165664"/>
    <w:rsid w:val="0016579B"/>
    <w:rsid w:val="001658F4"/>
    <w:rsid w:val="0016594B"/>
    <w:rsid w:val="001659A7"/>
    <w:rsid w:val="001659E3"/>
    <w:rsid w:val="00165A57"/>
    <w:rsid w:val="00165BF6"/>
    <w:rsid w:val="00165F54"/>
    <w:rsid w:val="0016612D"/>
    <w:rsid w:val="0016628D"/>
    <w:rsid w:val="00166532"/>
    <w:rsid w:val="0016666F"/>
    <w:rsid w:val="00166779"/>
    <w:rsid w:val="00166A2C"/>
    <w:rsid w:val="00166A36"/>
    <w:rsid w:val="00166CE9"/>
    <w:rsid w:val="00166DAF"/>
    <w:rsid w:val="00167051"/>
    <w:rsid w:val="0016718B"/>
    <w:rsid w:val="00167219"/>
    <w:rsid w:val="00167332"/>
    <w:rsid w:val="00167413"/>
    <w:rsid w:val="0016749B"/>
    <w:rsid w:val="001674FF"/>
    <w:rsid w:val="0016773F"/>
    <w:rsid w:val="001677E9"/>
    <w:rsid w:val="00167BB7"/>
    <w:rsid w:val="00167D46"/>
    <w:rsid w:val="00170232"/>
    <w:rsid w:val="001703D8"/>
    <w:rsid w:val="001704AF"/>
    <w:rsid w:val="001709E3"/>
    <w:rsid w:val="00170F12"/>
    <w:rsid w:val="00170FAC"/>
    <w:rsid w:val="001711A6"/>
    <w:rsid w:val="00171234"/>
    <w:rsid w:val="001712C2"/>
    <w:rsid w:val="00171347"/>
    <w:rsid w:val="00171542"/>
    <w:rsid w:val="001717BD"/>
    <w:rsid w:val="00171926"/>
    <w:rsid w:val="00171CDC"/>
    <w:rsid w:val="00171D3A"/>
    <w:rsid w:val="00171EBF"/>
    <w:rsid w:val="001720D7"/>
    <w:rsid w:val="001720DF"/>
    <w:rsid w:val="00172195"/>
    <w:rsid w:val="00172388"/>
    <w:rsid w:val="001726FE"/>
    <w:rsid w:val="0017272B"/>
    <w:rsid w:val="001727FA"/>
    <w:rsid w:val="00172871"/>
    <w:rsid w:val="00172877"/>
    <w:rsid w:val="001728E1"/>
    <w:rsid w:val="0017298A"/>
    <w:rsid w:val="00172A6D"/>
    <w:rsid w:val="00172B53"/>
    <w:rsid w:val="00172BA1"/>
    <w:rsid w:val="00172BAF"/>
    <w:rsid w:val="00172F63"/>
    <w:rsid w:val="0017309B"/>
    <w:rsid w:val="001731F8"/>
    <w:rsid w:val="00173C4F"/>
    <w:rsid w:val="00173C6A"/>
    <w:rsid w:val="00173CF3"/>
    <w:rsid w:val="00173DF9"/>
    <w:rsid w:val="00173F6A"/>
    <w:rsid w:val="00174037"/>
    <w:rsid w:val="0017446B"/>
    <w:rsid w:val="001744C4"/>
    <w:rsid w:val="001745B1"/>
    <w:rsid w:val="00174753"/>
    <w:rsid w:val="00174939"/>
    <w:rsid w:val="0017498A"/>
    <w:rsid w:val="00174A50"/>
    <w:rsid w:val="00174B0C"/>
    <w:rsid w:val="00174D31"/>
    <w:rsid w:val="00174D87"/>
    <w:rsid w:val="00175261"/>
    <w:rsid w:val="001752A7"/>
    <w:rsid w:val="0017539F"/>
    <w:rsid w:val="00175401"/>
    <w:rsid w:val="001754BE"/>
    <w:rsid w:val="00175516"/>
    <w:rsid w:val="001755D8"/>
    <w:rsid w:val="001758BB"/>
    <w:rsid w:val="001758EB"/>
    <w:rsid w:val="00175BC7"/>
    <w:rsid w:val="00175C4C"/>
    <w:rsid w:val="00175C5C"/>
    <w:rsid w:val="00175CD3"/>
    <w:rsid w:val="00175D5B"/>
    <w:rsid w:val="00175E22"/>
    <w:rsid w:val="00175ED7"/>
    <w:rsid w:val="001760A3"/>
    <w:rsid w:val="001760C4"/>
    <w:rsid w:val="00176111"/>
    <w:rsid w:val="00176160"/>
    <w:rsid w:val="001761BB"/>
    <w:rsid w:val="001761C9"/>
    <w:rsid w:val="001764AE"/>
    <w:rsid w:val="00176598"/>
    <w:rsid w:val="0017663C"/>
    <w:rsid w:val="0017673E"/>
    <w:rsid w:val="0017674D"/>
    <w:rsid w:val="00176BAF"/>
    <w:rsid w:val="00176BB9"/>
    <w:rsid w:val="00176CD3"/>
    <w:rsid w:val="00176D3F"/>
    <w:rsid w:val="00176DFE"/>
    <w:rsid w:val="00176E7C"/>
    <w:rsid w:val="00176FFF"/>
    <w:rsid w:val="001771DD"/>
    <w:rsid w:val="00177630"/>
    <w:rsid w:val="0017765B"/>
    <w:rsid w:val="00177954"/>
    <w:rsid w:val="0017797C"/>
    <w:rsid w:val="00177995"/>
    <w:rsid w:val="0017799D"/>
    <w:rsid w:val="00177A06"/>
    <w:rsid w:val="00177A79"/>
    <w:rsid w:val="00177A8C"/>
    <w:rsid w:val="00177D2A"/>
    <w:rsid w:val="00177F1D"/>
    <w:rsid w:val="00180283"/>
    <w:rsid w:val="00180290"/>
    <w:rsid w:val="001803EC"/>
    <w:rsid w:val="00180567"/>
    <w:rsid w:val="00180660"/>
    <w:rsid w:val="0018074E"/>
    <w:rsid w:val="00180853"/>
    <w:rsid w:val="00180999"/>
    <w:rsid w:val="00180A6B"/>
    <w:rsid w:val="00180B32"/>
    <w:rsid w:val="00180E73"/>
    <w:rsid w:val="00180F6E"/>
    <w:rsid w:val="0018104F"/>
    <w:rsid w:val="001810F0"/>
    <w:rsid w:val="001811D6"/>
    <w:rsid w:val="00181301"/>
    <w:rsid w:val="00181383"/>
    <w:rsid w:val="001813EC"/>
    <w:rsid w:val="0018152B"/>
    <w:rsid w:val="0018169F"/>
    <w:rsid w:val="001819F6"/>
    <w:rsid w:val="00181A23"/>
    <w:rsid w:val="00181E91"/>
    <w:rsid w:val="00181F0B"/>
    <w:rsid w:val="00181FC6"/>
    <w:rsid w:val="00182095"/>
    <w:rsid w:val="00182377"/>
    <w:rsid w:val="00182387"/>
    <w:rsid w:val="0018244E"/>
    <w:rsid w:val="00182569"/>
    <w:rsid w:val="001826E6"/>
    <w:rsid w:val="0018282A"/>
    <w:rsid w:val="00182A0F"/>
    <w:rsid w:val="00182C0D"/>
    <w:rsid w:val="00182D83"/>
    <w:rsid w:val="00182EA9"/>
    <w:rsid w:val="00182EEB"/>
    <w:rsid w:val="00183073"/>
    <w:rsid w:val="001830A9"/>
    <w:rsid w:val="00183630"/>
    <w:rsid w:val="00183800"/>
    <w:rsid w:val="00183960"/>
    <w:rsid w:val="00183AAE"/>
    <w:rsid w:val="00183BE0"/>
    <w:rsid w:val="00183BFD"/>
    <w:rsid w:val="00183E45"/>
    <w:rsid w:val="00184037"/>
    <w:rsid w:val="001844FD"/>
    <w:rsid w:val="00184523"/>
    <w:rsid w:val="001845DB"/>
    <w:rsid w:val="0018473A"/>
    <w:rsid w:val="00184D05"/>
    <w:rsid w:val="00184EE6"/>
    <w:rsid w:val="00184EFB"/>
    <w:rsid w:val="00184FF6"/>
    <w:rsid w:val="0018516D"/>
    <w:rsid w:val="0018534A"/>
    <w:rsid w:val="00185618"/>
    <w:rsid w:val="00185678"/>
    <w:rsid w:val="001859AA"/>
    <w:rsid w:val="001859F2"/>
    <w:rsid w:val="00185AAA"/>
    <w:rsid w:val="00185BB6"/>
    <w:rsid w:val="00185CA3"/>
    <w:rsid w:val="00185FE0"/>
    <w:rsid w:val="00185FE8"/>
    <w:rsid w:val="00186088"/>
    <w:rsid w:val="0018614F"/>
    <w:rsid w:val="0018620E"/>
    <w:rsid w:val="00186275"/>
    <w:rsid w:val="0018628C"/>
    <w:rsid w:val="00186421"/>
    <w:rsid w:val="001864DD"/>
    <w:rsid w:val="0018651B"/>
    <w:rsid w:val="00186669"/>
    <w:rsid w:val="0018667F"/>
    <w:rsid w:val="00186858"/>
    <w:rsid w:val="00186A4C"/>
    <w:rsid w:val="00186B33"/>
    <w:rsid w:val="00186D2A"/>
    <w:rsid w:val="00186D41"/>
    <w:rsid w:val="0018702E"/>
    <w:rsid w:val="001870AD"/>
    <w:rsid w:val="00187384"/>
    <w:rsid w:val="001873CB"/>
    <w:rsid w:val="001873DA"/>
    <w:rsid w:val="0018744C"/>
    <w:rsid w:val="0018760C"/>
    <w:rsid w:val="0018766C"/>
    <w:rsid w:val="00187683"/>
    <w:rsid w:val="0018776E"/>
    <w:rsid w:val="0018793B"/>
    <w:rsid w:val="0018796C"/>
    <w:rsid w:val="001879B6"/>
    <w:rsid w:val="00187A00"/>
    <w:rsid w:val="00187A68"/>
    <w:rsid w:val="00187C96"/>
    <w:rsid w:val="00187FF6"/>
    <w:rsid w:val="00190072"/>
    <w:rsid w:val="00190080"/>
    <w:rsid w:val="001901FE"/>
    <w:rsid w:val="001904BB"/>
    <w:rsid w:val="00190705"/>
    <w:rsid w:val="00190743"/>
    <w:rsid w:val="0019088C"/>
    <w:rsid w:val="00190B52"/>
    <w:rsid w:val="00190EAF"/>
    <w:rsid w:val="0019100B"/>
    <w:rsid w:val="0019104E"/>
    <w:rsid w:val="00191240"/>
    <w:rsid w:val="0019155B"/>
    <w:rsid w:val="00191CD2"/>
    <w:rsid w:val="00191E11"/>
    <w:rsid w:val="001920D4"/>
    <w:rsid w:val="001922C9"/>
    <w:rsid w:val="0019231B"/>
    <w:rsid w:val="001923B1"/>
    <w:rsid w:val="0019257C"/>
    <w:rsid w:val="001925D1"/>
    <w:rsid w:val="00192660"/>
    <w:rsid w:val="001926CD"/>
    <w:rsid w:val="00192904"/>
    <w:rsid w:val="00192B7C"/>
    <w:rsid w:val="00192B84"/>
    <w:rsid w:val="00192BD9"/>
    <w:rsid w:val="00192C5A"/>
    <w:rsid w:val="00192EDE"/>
    <w:rsid w:val="00192F9D"/>
    <w:rsid w:val="0019324B"/>
    <w:rsid w:val="00193370"/>
    <w:rsid w:val="00193447"/>
    <w:rsid w:val="00193944"/>
    <w:rsid w:val="00193953"/>
    <w:rsid w:val="00193A95"/>
    <w:rsid w:val="00193AA4"/>
    <w:rsid w:val="00193B29"/>
    <w:rsid w:val="00193DC4"/>
    <w:rsid w:val="00193E07"/>
    <w:rsid w:val="00193EB6"/>
    <w:rsid w:val="00194051"/>
    <w:rsid w:val="001940BD"/>
    <w:rsid w:val="001940E9"/>
    <w:rsid w:val="001941EE"/>
    <w:rsid w:val="0019420B"/>
    <w:rsid w:val="00194283"/>
    <w:rsid w:val="001944C2"/>
    <w:rsid w:val="0019450B"/>
    <w:rsid w:val="001946DF"/>
    <w:rsid w:val="001947E4"/>
    <w:rsid w:val="0019485D"/>
    <w:rsid w:val="00194896"/>
    <w:rsid w:val="00194ACB"/>
    <w:rsid w:val="00194CCA"/>
    <w:rsid w:val="00194D11"/>
    <w:rsid w:val="00194E25"/>
    <w:rsid w:val="001951AA"/>
    <w:rsid w:val="001951EB"/>
    <w:rsid w:val="00195236"/>
    <w:rsid w:val="001952D1"/>
    <w:rsid w:val="0019530C"/>
    <w:rsid w:val="00195336"/>
    <w:rsid w:val="001954C9"/>
    <w:rsid w:val="001954D3"/>
    <w:rsid w:val="00195540"/>
    <w:rsid w:val="0019565D"/>
    <w:rsid w:val="001958FC"/>
    <w:rsid w:val="00195B89"/>
    <w:rsid w:val="00195C79"/>
    <w:rsid w:val="00195D43"/>
    <w:rsid w:val="00195D73"/>
    <w:rsid w:val="00195EF0"/>
    <w:rsid w:val="00196053"/>
    <w:rsid w:val="0019607F"/>
    <w:rsid w:val="00196469"/>
    <w:rsid w:val="00196578"/>
    <w:rsid w:val="001966AD"/>
    <w:rsid w:val="001968CF"/>
    <w:rsid w:val="001968ED"/>
    <w:rsid w:val="00196A00"/>
    <w:rsid w:val="00196ABA"/>
    <w:rsid w:val="00196ADD"/>
    <w:rsid w:val="00196C56"/>
    <w:rsid w:val="00196DF1"/>
    <w:rsid w:val="00196EB8"/>
    <w:rsid w:val="00196EFB"/>
    <w:rsid w:val="00196F1C"/>
    <w:rsid w:val="00197355"/>
    <w:rsid w:val="00197451"/>
    <w:rsid w:val="0019751F"/>
    <w:rsid w:val="00197767"/>
    <w:rsid w:val="0019780A"/>
    <w:rsid w:val="0019782D"/>
    <w:rsid w:val="001978D0"/>
    <w:rsid w:val="001979A5"/>
    <w:rsid w:val="001979FF"/>
    <w:rsid w:val="00197A1D"/>
    <w:rsid w:val="00197A76"/>
    <w:rsid w:val="00197B17"/>
    <w:rsid w:val="00197CE1"/>
    <w:rsid w:val="00197CF4"/>
    <w:rsid w:val="001A0263"/>
    <w:rsid w:val="001A02AC"/>
    <w:rsid w:val="001A03CB"/>
    <w:rsid w:val="001A03E0"/>
    <w:rsid w:val="001A061A"/>
    <w:rsid w:val="001A0674"/>
    <w:rsid w:val="001A06B2"/>
    <w:rsid w:val="001A0B4C"/>
    <w:rsid w:val="001A0FE8"/>
    <w:rsid w:val="001A10DE"/>
    <w:rsid w:val="001A1108"/>
    <w:rsid w:val="001A1364"/>
    <w:rsid w:val="001A1452"/>
    <w:rsid w:val="001A1459"/>
    <w:rsid w:val="001A1506"/>
    <w:rsid w:val="001A1665"/>
    <w:rsid w:val="001A175A"/>
    <w:rsid w:val="001A17BC"/>
    <w:rsid w:val="001A1950"/>
    <w:rsid w:val="001A1A12"/>
    <w:rsid w:val="001A1A28"/>
    <w:rsid w:val="001A1A61"/>
    <w:rsid w:val="001A1A78"/>
    <w:rsid w:val="001A1AEF"/>
    <w:rsid w:val="001A1C54"/>
    <w:rsid w:val="001A1C74"/>
    <w:rsid w:val="001A1D96"/>
    <w:rsid w:val="001A1EF0"/>
    <w:rsid w:val="001A1F12"/>
    <w:rsid w:val="001A206F"/>
    <w:rsid w:val="001A2189"/>
    <w:rsid w:val="001A22E7"/>
    <w:rsid w:val="001A238C"/>
    <w:rsid w:val="001A2497"/>
    <w:rsid w:val="001A25AB"/>
    <w:rsid w:val="001A26EC"/>
    <w:rsid w:val="001A2885"/>
    <w:rsid w:val="001A293A"/>
    <w:rsid w:val="001A2E10"/>
    <w:rsid w:val="001A2E76"/>
    <w:rsid w:val="001A3127"/>
    <w:rsid w:val="001A32ED"/>
    <w:rsid w:val="001A32FA"/>
    <w:rsid w:val="001A340A"/>
    <w:rsid w:val="001A3469"/>
    <w:rsid w:val="001A3552"/>
    <w:rsid w:val="001A3645"/>
    <w:rsid w:val="001A3886"/>
    <w:rsid w:val="001A391A"/>
    <w:rsid w:val="001A392E"/>
    <w:rsid w:val="001A3943"/>
    <w:rsid w:val="001A3ACE"/>
    <w:rsid w:val="001A3B9B"/>
    <w:rsid w:val="001A3BBC"/>
    <w:rsid w:val="001A3CA6"/>
    <w:rsid w:val="001A409B"/>
    <w:rsid w:val="001A41A8"/>
    <w:rsid w:val="001A4657"/>
    <w:rsid w:val="001A48DE"/>
    <w:rsid w:val="001A499C"/>
    <w:rsid w:val="001A4ACB"/>
    <w:rsid w:val="001A4EAB"/>
    <w:rsid w:val="001A4F8E"/>
    <w:rsid w:val="001A51B8"/>
    <w:rsid w:val="001A52DF"/>
    <w:rsid w:val="001A54DA"/>
    <w:rsid w:val="001A551A"/>
    <w:rsid w:val="001A551C"/>
    <w:rsid w:val="001A5599"/>
    <w:rsid w:val="001A55A7"/>
    <w:rsid w:val="001A560F"/>
    <w:rsid w:val="001A5714"/>
    <w:rsid w:val="001A575D"/>
    <w:rsid w:val="001A5836"/>
    <w:rsid w:val="001A59B6"/>
    <w:rsid w:val="001A5E1C"/>
    <w:rsid w:val="001A5F33"/>
    <w:rsid w:val="001A5F9F"/>
    <w:rsid w:val="001A6272"/>
    <w:rsid w:val="001A6322"/>
    <w:rsid w:val="001A64CD"/>
    <w:rsid w:val="001A6575"/>
    <w:rsid w:val="001A657A"/>
    <w:rsid w:val="001A6717"/>
    <w:rsid w:val="001A673C"/>
    <w:rsid w:val="001A681C"/>
    <w:rsid w:val="001A6849"/>
    <w:rsid w:val="001A6A86"/>
    <w:rsid w:val="001A6AD8"/>
    <w:rsid w:val="001A6AE7"/>
    <w:rsid w:val="001A6B74"/>
    <w:rsid w:val="001A6C62"/>
    <w:rsid w:val="001A6ECD"/>
    <w:rsid w:val="001A6ED2"/>
    <w:rsid w:val="001A70AD"/>
    <w:rsid w:val="001A72EF"/>
    <w:rsid w:val="001A7454"/>
    <w:rsid w:val="001A74EC"/>
    <w:rsid w:val="001A75E0"/>
    <w:rsid w:val="001A787F"/>
    <w:rsid w:val="001A78FF"/>
    <w:rsid w:val="001A7A0B"/>
    <w:rsid w:val="001A7B35"/>
    <w:rsid w:val="001A7C0D"/>
    <w:rsid w:val="001A7CDF"/>
    <w:rsid w:val="001A7CE5"/>
    <w:rsid w:val="001A7DBB"/>
    <w:rsid w:val="001A7E12"/>
    <w:rsid w:val="001B029D"/>
    <w:rsid w:val="001B0452"/>
    <w:rsid w:val="001B046C"/>
    <w:rsid w:val="001B058F"/>
    <w:rsid w:val="001B0817"/>
    <w:rsid w:val="001B0874"/>
    <w:rsid w:val="001B0D1A"/>
    <w:rsid w:val="001B0F07"/>
    <w:rsid w:val="001B0F0E"/>
    <w:rsid w:val="001B0F86"/>
    <w:rsid w:val="001B14EC"/>
    <w:rsid w:val="001B162C"/>
    <w:rsid w:val="001B1813"/>
    <w:rsid w:val="001B1835"/>
    <w:rsid w:val="001B188A"/>
    <w:rsid w:val="001B18B4"/>
    <w:rsid w:val="001B1901"/>
    <w:rsid w:val="001B1A5A"/>
    <w:rsid w:val="001B2046"/>
    <w:rsid w:val="001B2114"/>
    <w:rsid w:val="001B21EF"/>
    <w:rsid w:val="001B21FC"/>
    <w:rsid w:val="001B22F2"/>
    <w:rsid w:val="001B24AA"/>
    <w:rsid w:val="001B265B"/>
    <w:rsid w:val="001B27B2"/>
    <w:rsid w:val="001B2829"/>
    <w:rsid w:val="001B2EF9"/>
    <w:rsid w:val="001B3064"/>
    <w:rsid w:val="001B3360"/>
    <w:rsid w:val="001B336B"/>
    <w:rsid w:val="001B3378"/>
    <w:rsid w:val="001B36DC"/>
    <w:rsid w:val="001B37DB"/>
    <w:rsid w:val="001B3824"/>
    <w:rsid w:val="001B3899"/>
    <w:rsid w:val="001B38BF"/>
    <w:rsid w:val="001B3A1C"/>
    <w:rsid w:val="001B3A4C"/>
    <w:rsid w:val="001B3CC2"/>
    <w:rsid w:val="001B3D83"/>
    <w:rsid w:val="001B3DDF"/>
    <w:rsid w:val="001B3FFB"/>
    <w:rsid w:val="001B42AF"/>
    <w:rsid w:val="001B4352"/>
    <w:rsid w:val="001B4398"/>
    <w:rsid w:val="001B43BB"/>
    <w:rsid w:val="001B44BE"/>
    <w:rsid w:val="001B460D"/>
    <w:rsid w:val="001B47BA"/>
    <w:rsid w:val="001B490A"/>
    <w:rsid w:val="001B4A91"/>
    <w:rsid w:val="001B4DAC"/>
    <w:rsid w:val="001B4DDA"/>
    <w:rsid w:val="001B4EB4"/>
    <w:rsid w:val="001B4F91"/>
    <w:rsid w:val="001B5264"/>
    <w:rsid w:val="001B5288"/>
    <w:rsid w:val="001B52B5"/>
    <w:rsid w:val="001B5419"/>
    <w:rsid w:val="001B5878"/>
    <w:rsid w:val="001B58EE"/>
    <w:rsid w:val="001B590F"/>
    <w:rsid w:val="001B5AB8"/>
    <w:rsid w:val="001B5B15"/>
    <w:rsid w:val="001B5B4B"/>
    <w:rsid w:val="001B5B95"/>
    <w:rsid w:val="001B5B99"/>
    <w:rsid w:val="001B5CB4"/>
    <w:rsid w:val="001B5DBB"/>
    <w:rsid w:val="001B5FB9"/>
    <w:rsid w:val="001B63E6"/>
    <w:rsid w:val="001B6410"/>
    <w:rsid w:val="001B6532"/>
    <w:rsid w:val="001B6690"/>
    <w:rsid w:val="001B6A52"/>
    <w:rsid w:val="001B6B11"/>
    <w:rsid w:val="001B6B96"/>
    <w:rsid w:val="001B6C17"/>
    <w:rsid w:val="001B6CFB"/>
    <w:rsid w:val="001B6D20"/>
    <w:rsid w:val="001B6D65"/>
    <w:rsid w:val="001B7192"/>
    <w:rsid w:val="001B7238"/>
    <w:rsid w:val="001B7331"/>
    <w:rsid w:val="001B738B"/>
    <w:rsid w:val="001B7847"/>
    <w:rsid w:val="001B7907"/>
    <w:rsid w:val="001B79CE"/>
    <w:rsid w:val="001B7B1F"/>
    <w:rsid w:val="001B7B2B"/>
    <w:rsid w:val="001B7B83"/>
    <w:rsid w:val="001B7C1A"/>
    <w:rsid w:val="001B7E9B"/>
    <w:rsid w:val="001B7F38"/>
    <w:rsid w:val="001C00E8"/>
    <w:rsid w:val="001C01C8"/>
    <w:rsid w:val="001C01DE"/>
    <w:rsid w:val="001C0275"/>
    <w:rsid w:val="001C02F8"/>
    <w:rsid w:val="001C08D6"/>
    <w:rsid w:val="001C08D9"/>
    <w:rsid w:val="001C0959"/>
    <w:rsid w:val="001C09DB"/>
    <w:rsid w:val="001C0A46"/>
    <w:rsid w:val="001C0B39"/>
    <w:rsid w:val="001C0C73"/>
    <w:rsid w:val="001C0C94"/>
    <w:rsid w:val="001C0FD8"/>
    <w:rsid w:val="001C100A"/>
    <w:rsid w:val="001C118B"/>
    <w:rsid w:val="001C123D"/>
    <w:rsid w:val="001C14D5"/>
    <w:rsid w:val="001C1846"/>
    <w:rsid w:val="001C188C"/>
    <w:rsid w:val="001C1915"/>
    <w:rsid w:val="001C195A"/>
    <w:rsid w:val="001C19D3"/>
    <w:rsid w:val="001C1B05"/>
    <w:rsid w:val="001C1BEC"/>
    <w:rsid w:val="001C1F84"/>
    <w:rsid w:val="001C20B6"/>
    <w:rsid w:val="001C2185"/>
    <w:rsid w:val="001C222C"/>
    <w:rsid w:val="001C233E"/>
    <w:rsid w:val="001C2568"/>
    <w:rsid w:val="001C2699"/>
    <w:rsid w:val="001C26DF"/>
    <w:rsid w:val="001C277E"/>
    <w:rsid w:val="001C28A7"/>
    <w:rsid w:val="001C2A22"/>
    <w:rsid w:val="001C2A72"/>
    <w:rsid w:val="001C2A9C"/>
    <w:rsid w:val="001C2B26"/>
    <w:rsid w:val="001C2CDA"/>
    <w:rsid w:val="001C2CED"/>
    <w:rsid w:val="001C2D96"/>
    <w:rsid w:val="001C2F03"/>
    <w:rsid w:val="001C3047"/>
    <w:rsid w:val="001C30BA"/>
    <w:rsid w:val="001C30CC"/>
    <w:rsid w:val="001C31B7"/>
    <w:rsid w:val="001C32B0"/>
    <w:rsid w:val="001C339B"/>
    <w:rsid w:val="001C3531"/>
    <w:rsid w:val="001C363F"/>
    <w:rsid w:val="001C36C0"/>
    <w:rsid w:val="001C36DF"/>
    <w:rsid w:val="001C3746"/>
    <w:rsid w:val="001C3783"/>
    <w:rsid w:val="001C37BC"/>
    <w:rsid w:val="001C37FF"/>
    <w:rsid w:val="001C3AB4"/>
    <w:rsid w:val="001C3FA7"/>
    <w:rsid w:val="001C3FED"/>
    <w:rsid w:val="001C4703"/>
    <w:rsid w:val="001C4907"/>
    <w:rsid w:val="001C4A24"/>
    <w:rsid w:val="001C4B1C"/>
    <w:rsid w:val="001C4B30"/>
    <w:rsid w:val="001C4D64"/>
    <w:rsid w:val="001C4DC2"/>
    <w:rsid w:val="001C4E37"/>
    <w:rsid w:val="001C5082"/>
    <w:rsid w:val="001C50C9"/>
    <w:rsid w:val="001C5378"/>
    <w:rsid w:val="001C5564"/>
    <w:rsid w:val="001C5738"/>
    <w:rsid w:val="001C5849"/>
    <w:rsid w:val="001C5A12"/>
    <w:rsid w:val="001C5A41"/>
    <w:rsid w:val="001C5B06"/>
    <w:rsid w:val="001C5E58"/>
    <w:rsid w:val="001C5F11"/>
    <w:rsid w:val="001C649E"/>
    <w:rsid w:val="001C657F"/>
    <w:rsid w:val="001C6943"/>
    <w:rsid w:val="001C6A0B"/>
    <w:rsid w:val="001C6B87"/>
    <w:rsid w:val="001C6BD7"/>
    <w:rsid w:val="001C6E0D"/>
    <w:rsid w:val="001C6E41"/>
    <w:rsid w:val="001C6E4A"/>
    <w:rsid w:val="001C6EC7"/>
    <w:rsid w:val="001C6FBB"/>
    <w:rsid w:val="001C7075"/>
    <w:rsid w:val="001C7085"/>
    <w:rsid w:val="001C7100"/>
    <w:rsid w:val="001C75C5"/>
    <w:rsid w:val="001C77FF"/>
    <w:rsid w:val="001C7A6A"/>
    <w:rsid w:val="001C7B2B"/>
    <w:rsid w:val="001C7B51"/>
    <w:rsid w:val="001C7C4E"/>
    <w:rsid w:val="001D0007"/>
    <w:rsid w:val="001D045D"/>
    <w:rsid w:val="001D072C"/>
    <w:rsid w:val="001D0A20"/>
    <w:rsid w:val="001D0B23"/>
    <w:rsid w:val="001D0B75"/>
    <w:rsid w:val="001D0B8D"/>
    <w:rsid w:val="001D0E14"/>
    <w:rsid w:val="001D11F0"/>
    <w:rsid w:val="001D1607"/>
    <w:rsid w:val="001D17A8"/>
    <w:rsid w:val="001D1890"/>
    <w:rsid w:val="001D18F0"/>
    <w:rsid w:val="001D195A"/>
    <w:rsid w:val="001D1A35"/>
    <w:rsid w:val="001D1A7C"/>
    <w:rsid w:val="001D1D7C"/>
    <w:rsid w:val="001D1D90"/>
    <w:rsid w:val="001D1DCC"/>
    <w:rsid w:val="001D1E4D"/>
    <w:rsid w:val="001D211F"/>
    <w:rsid w:val="001D29B9"/>
    <w:rsid w:val="001D2A10"/>
    <w:rsid w:val="001D2A70"/>
    <w:rsid w:val="001D2B75"/>
    <w:rsid w:val="001D2C69"/>
    <w:rsid w:val="001D2E25"/>
    <w:rsid w:val="001D3131"/>
    <w:rsid w:val="001D33F2"/>
    <w:rsid w:val="001D340E"/>
    <w:rsid w:val="001D347C"/>
    <w:rsid w:val="001D350E"/>
    <w:rsid w:val="001D3581"/>
    <w:rsid w:val="001D36D7"/>
    <w:rsid w:val="001D38F9"/>
    <w:rsid w:val="001D39A5"/>
    <w:rsid w:val="001D3C09"/>
    <w:rsid w:val="001D3CB7"/>
    <w:rsid w:val="001D3DE1"/>
    <w:rsid w:val="001D403E"/>
    <w:rsid w:val="001D415A"/>
    <w:rsid w:val="001D4290"/>
    <w:rsid w:val="001D4372"/>
    <w:rsid w:val="001D44E8"/>
    <w:rsid w:val="001D4503"/>
    <w:rsid w:val="001D46B4"/>
    <w:rsid w:val="001D4722"/>
    <w:rsid w:val="001D4851"/>
    <w:rsid w:val="001D4B02"/>
    <w:rsid w:val="001D4B42"/>
    <w:rsid w:val="001D4B87"/>
    <w:rsid w:val="001D4C46"/>
    <w:rsid w:val="001D4F24"/>
    <w:rsid w:val="001D513E"/>
    <w:rsid w:val="001D55CB"/>
    <w:rsid w:val="001D57BA"/>
    <w:rsid w:val="001D5947"/>
    <w:rsid w:val="001D59C2"/>
    <w:rsid w:val="001D5D27"/>
    <w:rsid w:val="001D60EC"/>
    <w:rsid w:val="001D6268"/>
    <w:rsid w:val="001D62DF"/>
    <w:rsid w:val="001D64DC"/>
    <w:rsid w:val="001D64EF"/>
    <w:rsid w:val="001D6724"/>
    <w:rsid w:val="001D6953"/>
    <w:rsid w:val="001D6A0A"/>
    <w:rsid w:val="001D6B71"/>
    <w:rsid w:val="001D6DC8"/>
    <w:rsid w:val="001D6F59"/>
    <w:rsid w:val="001D6FC6"/>
    <w:rsid w:val="001D7052"/>
    <w:rsid w:val="001D713D"/>
    <w:rsid w:val="001D7250"/>
    <w:rsid w:val="001D72FB"/>
    <w:rsid w:val="001D75D5"/>
    <w:rsid w:val="001D77E5"/>
    <w:rsid w:val="001D7807"/>
    <w:rsid w:val="001D7949"/>
    <w:rsid w:val="001D7AD6"/>
    <w:rsid w:val="001D7AFA"/>
    <w:rsid w:val="001D7B89"/>
    <w:rsid w:val="001D7E04"/>
    <w:rsid w:val="001D7FA3"/>
    <w:rsid w:val="001E00F9"/>
    <w:rsid w:val="001E0228"/>
    <w:rsid w:val="001E04A5"/>
    <w:rsid w:val="001E0580"/>
    <w:rsid w:val="001E070E"/>
    <w:rsid w:val="001E0846"/>
    <w:rsid w:val="001E08E5"/>
    <w:rsid w:val="001E0A5E"/>
    <w:rsid w:val="001E0B8E"/>
    <w:rsid w:val="001E0BDF"/>
    <w:rsid w:val="001E0F27"/>
    <w:rsid w:val="001E100D"/>
    <w:rsid w:val="001E1074"/>
    <w:rsid w:val="001E118D"/>
    <w:rsid w:val="001E13F9"/>
    <w:rsid w:val="001E1489"/>
    <w:rsid w:val="001E1523"/>
    <w:rsid w:val="001E1693"/>
    <w:rsid w:val="001E16D9"/>
    <w:rsid w:val="001E17E1"/>
    <w:rsid w:val="001E1846"/>
    <w:rsid w:val="001E19C2"/>
    <w:rsid w:val="001E1A98"/>
    <w:rsid w:val="001E1ACE"/>
    <w:rsid w:val="001E1B1E"/>
    <w:rsid w:val="001E1BB7"/>
    <w:rsid w:val="001E1EBB"/>
    <w:rsid w:val="001E210C"/>
    <w:rsid w:val="001E2223"/>
    <w:rsid w:val="001E24BC"/>
    <w:rsid w:val="001E24FA"/>
    <w:rsid w:val="001E25DA"/>
    <w:rsid w:val="001E271E"/>
    <w:rsid w:val="001E2753"/>
    <w:rsid w:val="001E2995"/>
    <w:rsid w:val="001E29BD"/>
    <w:rsid w:val="001E29FF"/>
    <w:rsid w:val="001E2BCF"/>
    <w:rsid w:val="001E2EE8"/>
    <w:rsid w:val="001E2F36"/>
    <w:rsid w:val="001E31CB"/>
    <w:rsid w:val="001E33E3"/>
    <w:rsid w:val="001E3615"/>
    <w:rsid w:val="001E3995"/>
    <w:rsid w:val="001E3A9E"/>
    <w:rsid w:val="001E3AB3"/>
    <w:rsid w:val="001E3B84"/>
    <w:rsid w:val="001E3CDD"/>
    <w:rsid w:val="001E3E0B"/>
    <w:rsid w:val="001E3E6F"/>
    <w:rsid w:val="001E3E97"/>
    <w:rsid w:val="001E4091"/>
    <w:rsid w:val="001E40CC"/>
    <w:rsid w:val="001E4176"/>
    <w:rsid w:val="001E44BD"/>
    <w:rsid w:val="001E44DF"/>
    <w:rsid w:val="001E45CD"/>
    <w:rsid w:val="001E4742"/>
    <w:rsid w:val="001E4930"/>
    <w:rsid w:val="001E4AD8"/>
    <w:rsid w:val="001E4B3A"/>
    <w:rsid w:val="001E4E24"/>
    <w:rsid w:val="001E4E3B"/>
    <w:rsid w:val="001E4EF2"/>
    <w:rsid w:val="001E4F7E"/>
    <w:rsid w:val="001E53D4"/>
    <w:rsid w:val="001E556E"/>
    <w:rsid w:val="001E590B"/>
    <w:rsid w:val="001E5BF4"/>
    <w:rsid w:val="001E5DBD"/>
    <w:rsid w:val="001E5F08"/>
    <w:rsid w:val="001E5F35"/>
    <w:rsid w:val="001E5FAB"/>
    <w:rsid w:val="001E62D5"/>
    <w:rsid w:val="001E63FC"/>
    <w:rsid w:val="001E6417"/>
    <w:rsid w:val="001E64B7"/>
    <w:rsid w:val="001E64C5"/>
    <w:rsid w:val="001E6585"/>
    <w:rsid w:val="001E6608"/>
    <w:rsid w:val="001E68A5"/>
    <w:rsid w:val="001E6B79"/>
    <w:rsid w:val="001E6BB0"/>
    <w:rsid w:val="001E6C0A"/>
    <w:rsid w:val="001E6C2F"/>
    <w:rsid w:val="001E6C83"/>
    <w:rsid w:val="001E6CA0"/>
    <w:rsid w:val="001E6EBC"/>
    <w:rsid w:val="001E6EE9"/>
    <w:rsid w:val="001E6FAA"/>
    <w:rsid w:val="001E70D4"/>
    <w:rsid w:val="001E717A"/>
    <w:rsid w:val="001E719C"/>
    <w:rsid w:val="001E71BD"/>
    <w:rsid w:val="001E7282"/>
    <w:rsid w:val="001E78D0"/>
    <w:rsid w:val="001E7958"/>
    <w:rsid w:val="001E7A5D"/>
    <w:rsid w:val="001E7B38"/>
    <w:rsid w:val="001E7C54"/>
    <w:rsid w:val="001F011C"/>
    <w:rsid w:val="001F014E"/>
    <w:rsid w:val="001F0187"/>
    <w:rsid w:val="001F06E6"/>
    <w:rsid w:val="001F0CFC"/>
    <w:rsid w:val="001F0FC2"/>
    <w:rsid w:val="001F10A3"/>
    <w:rsid w:val="001F11E6"/>
    <w:rsid w:val="001F12C2"/>
    <w:rsid w:val="001F14DB"/>
    <w:rsid w:val="001F15D3"/>
    <w:rsid w:val="001F1A63"/>
    <w:rsid w:val="001F1A95"/>
    <w:rsid w:val="001F1B39"/>
    <w:rsid w:val="001F1CBA"/>
    <w:rsid w:val="001F1DCB"/>
    <w:rsid w:val="001F1E39"/>
    <w:rsid w:val="001F1F6C"/>
    <w:rsid w:val="001F21E1"/>
    <w:rsid w:val="001F23F4"/>
    <w:rsid w:val="001F2462"/>
    <w:rsid w:val="001F26D7"/>
    <w:rsid w:val="001F27D8"/>
    <w:rsid w:val="001F29B3"/>
    <w:rsid w:val="001F2B55"/>
    <w:rsid w:val="001F2CD1"/>
    <w:rsid w:val="001F2D4A"/>
    <w:rsid w:val="001F2D67"/>
    <w:rsid w:val="001F2EFA"/>
    <w:rsid w:val="001F2FD9"/>
    <w:rsid w:val="001F31B6"/>
    <w:rsid w:val="001F332D"/>
    <w:rsid w:val="001F3826"/>
    <w:rsid w:val="001F38A3"/>
    <w:rsid w:val="001F38CC"/>
    <w:rsid w:val="001F3907"/>
    <w:rsid w:val="001F3E09"/>
    <w:rsid w:val="001F3E22"/>
    <w:rsid w:val="001F3F0C"/>
    <w:rsid w:val="001F3FB9"/>
    <w:rsid w:val="001F40B1"/>
    <w:rsid w:val="001F4120"/>
    <w:rsid w:val="001F4238"/>
    <w:rsid w:val="001F4639"/>
    <w:rsid w:val="001F47A4"/>
    <w:rsid w:val="001F47AC"/>
    <w:rsid w:val="001F47FF"/>
    <w:rsid w:val="001F480B"/>
    <w:rsid w:val="001F480F"/>
    <w:rsid w:val="001F496D"/>
    <w:rsid w:val="001F4E6A"/>
    <w:rsid w:val="001F51F9"/>
    <w:rsid w:val="001F531C"/>
    <w:rsid w:val="001F5531"/>
    <w:rsid w:val="001F56C7"/>
    <w:rsid w:val="001F59E2"/>
    <w:rsid w:val="001F5AAF"/>
    <w:rsid w:val="001F5C6F"/>
    <w:rsid w:val="001F5D85"/>
    <w:rsid w:val="001F5EA3"/>
    <w:rsid w:val="001F5F99"/>
    <w:rsid w:val="001F6147"/>
    <w:rsid w:val="001F614B"/>
    <w:rsid w:val="001F6240"/>
    <w:rsid w:val="001F6471"/>
    <w:rsid w:val="001F6861"/>
    <w:rsid w:val="001F6930"/>
    <w:rsid w:val="001F6D3C"/>
    <w:rsid w:val="001F6D8C"/>
    <w:rsid w:val="001F6DD6"/>
    <w:rsid w:val="001F6E46"/>
    <w:rsid w:val="001F6EDD"/>
    <w:rsid w:val="001F6EED"/>
    <w:rsid w:val="001F6F3D"/>
    <w:rsid w:val="001F6FAE"/>
    <w:rsid w:val="001F758B"/>
    <w:rsid w:val="001F75CD"/>
    <w:rsid w:val="001F7611"/>
    <w:rsid w:val="001F76A6"/>
    <w:rsid w:val="001F789E"/>
    <w:rsid w:val="001F7C6E"/>
    <w:rsid w:val="001F7C91"/>
    <w:rsid w:val="001F7D94"/>
    <w:rsid w:val="001F7E00"/>
    <w:rsid w:val="001F7F5B"/>
    <w:rsid w:val="00200024"/>
    <w:rsid w:val="0020012F"/>
    <w:rsid w:val="002001E0"/>
    <w:rsid w:val="002002B8"/>
    <w:rsid w:val="0020047D"/>
    <w:rsid w:val="002004A7"/>
    <w:rsid w:val="002004A8"/>
    <w:rsid w:val="0020055D"/>
    <w:rsid w:val="00200567"/>
    <w:rsid w:val="00200671"/>
    <w:rsid w:val="002009A7"/>
    <w:rsid w:val="00200AB4"/>
    <w:rsid w:val="00200AF6"/>
    <w:rsid w:val="00200CAB"/>
    <w:rsid w:val="00200D4D"/>
    <w:rsid w:val="00200D53"/>
    <w:rsid w:val="00200DF3"/>
    <w:rsid w:val="00200E83"/>
    <w:rsid w:val="00200F3D"/>
    <w:rsid w:val="002012BD"/>
    <w:rsid w:val="0020149B"/>
    <w:rsid w:val="002014B0"/>
    <w:rsid w:val="00201544"/>
    <w:rsid w:val="002016CB"/>
    <w:rsid w:val="002016F1"/>
    <w:rsid w:val="00201711"/>
    <w:rsid w:val="00201D84"/>
    <w:rsid w:val="00201F11"/>
    <w:rsid w:val="00201FD9"/>
    <w:rsid w:val="00202135"/>
    <w:rsid w:val="00202294"/>
    <w:rsid w:val="00202315"/>
    <w:rsid w:val="0020231E"/>
    <w:rsid w:val="002023D3"/>
    <w:rsid w:val="002023F5"/>
    <w:rsid w:val="0020254F"/>
    <w:rsid w:val="00202571"/>
    <w:rsid w:val="002028EF"/>
    <w:rsid w:val="0020296D"/>
    <w:rsid w:val="0020297F"/>
    <w:rsid w:val="00202B0A"/>
    <w:rsid w:val="00202BCF"/>
    <w:rsid w:val="00202D2D"/>
    <w:rsid w:val="00202DCD"/>
    <w:rsid w:val="00202EC3"/>
    <w:rsid w:val="00202F19"/>
    <w:rsid w:val="002033B2"/>
    <w:rsid w:val="002033B7"/>
    <w:rsid w:val="002034E4"/>
    <w:rsid w:val="00203656"/>
    <w:rsid w:val="00203801"/>
    <w:rsid w:val="00203B22"/>
    <w:rsid w:val="00203D67"/>
    <w:rsid w:val="002040AC"/>
    <w:rsid w:val="002040E2"/>
    <w:rsid w:val="002042F0"/>
    <w:rsid w:val="00204417"/>
    <w:rsid w:val="00204617"/>
    <w:rsid w:val="0020470B"/>
    <w:rsid w:val="0020494A"/>
    <w:rsid w:val="00204B59"/>
    <w:rsid w:val="00204B7E"/>
    <w:rsid w:val="00204C8E"/>
    <w:rsid w:val="00204CD5"/>
    <w:rsid w:val="00204D21"/>
    <w:rsid w:val="00204D71"/>
    <w:rsid w:val="00204EBE"/>
    <w:rsid w:val="00204ED1"/>
    <w:rsid w:val="002051D1"/>
    <w:rsid w:val="002053AB"/>
    <w:rsid w:val="00205482"/>
    <w:rsid w:val="00205AB8"/>
    <w:rsid w:val="00205BC9"/>
    <w:rsid w:val="00205C04"/>
    <w:rsid w:val="00205F08"/>
    <w:rsid w:val="00205FE0"/>
    <w:rsid w:val="00206463"/>
    <w:rsid w:val="002064F0"/>
    <w:rsid w:val="0020666C"/>
    <w:rsid w:val="00206683"/>
    <w:rsid w:val="002069F3"/>
    <w:rsid w:val="00206A62"/>
    <w:rsid w:val="00206C12"/>
    <w:rsid w:val="00206D56"/>
    <w:rsid w:val="00206F2F"/>
    <w:rsid w:val="0020702B"/>
    <w:rsid w:val="002070F0"/>
    <w:rsid w:val="002072EC"/>
    <w:rsid w:val="0020753D"/>
    <w:rsid w:val="00207585"/>
    <w:rsid w:val="00207717"/>
    <w:rsid w:val="002077DD"/>
    <w:rsid w:val="00207819"/>
    <w:rsid w:val="00207A00"/>
    <w:rsid w:val="00207A67"/>
    <w:rsid w:val="00207DB2"/>
    <w:rsid w:val="00207DD1"/>
    <w:rsid w:val="00207F09"/>
    <w:rsid w:val="00207FBF"/>
    <w:rsid w:val="00210047"/>
    <w:rsid w:val="002100FA"/>
    <w:rsid w:val="00210194"/>
    <w:rsid w:val="0021053D"/>
    <w:rsid w:val="00210580"/>
    <w:rsid w:val="0021079C"/>
    <w:rsid w:val="00210A92"/>
    <w:rsid w:val="00210B26"/>
    <w:rsid w:val="00210DB0"/>
    <w:rsid w:val="00210E88"/>
    <w:rsid w:val="00210F04"/>
    <w:rsid w:val="002110B8"/>
    <w:rsid w:val="00211168"/>
    <w:rsid w:val="002112C8"/>
    <w:rsid w:val="00211371"/>
    <w:rsid w:val="002118BA"/>
    <w:rsid w:val="00211AB1"/>
    <w:rsid w:val="00211DE3"/>
    <w:rsid w:val="00211DF0"/>
    <w:rsid w:val="00211DF1"/>
    <w:rsid w:val="00211E7C"/>
    <w:rsid w:val="00211FFE"/>
    <w:rsid w:val="00212260"/>
    <w:rsid w:val="002125D6"/>
    <w:rsid w:val="0021286E"/>
    <w:rsid w:val="00212938"/>
    <w:rsid w:val="00212A2B"/>
    <w:rsid w:val="00212B95"/>
    <w:rsid w:val="00212CC5"/>
    <w:rsid w:val="00212E45"/>
    <w:rsid w:val="00212E96"/>
    <w:rsid w:val="00212E99"/>
    <w:rsid w:val="00212EB7"/>
    <w:rsid w:val="00212FCD"/>
    <w:rsid w:val="002131C8"/>
    <w:rsid w:val="002132D0"/>
    <w:rsid w:val="00213367"/>
    <w:rsid w:val="00213489"/>
    <w:rsid w:val="0021366A"/>
    <w:rsid w:val="00213798"/>
    <w:rsid w:val="002138D4"/>
    <w:rsid w:val="00213A33"/>
    <w:rsid w:val="00213B69"/>
    <w:rsid w:val="00213B6A"/>
    <w:rsid w:val="00213C16"/>
    <w:rsid w:val="00213CD1"/>
    <w:rsid w:val="00213E3E"/>
    <w:rsid w:val="00213FBA"/>
    <w:rsid w:val="0021420E"/>
    <w:rsid w:val="00214259"/>
    <w:rsid w:val="00214272"/>
    <w:rsid w:val="002142B7"/>
    <w:rsid w:val="002143C3"/>
    <w:rsid w:val="00214492"/>
    <w:rsid w:val="002144E9"/>
    <w:rsid w:val="002146BD"/>
    <w:rsid w:val="0021496A"/>
    <w:rsid w:val="00214AB9"/>
    <w:rsid w:val="00214C99"/>
    <w:rsid w:val="00214E7A"/>
    <w:rsid w:val="00214EDB"/>
    <w:rsid w:val="00215219"/>
    <w:rsid w:val="002156BD"/>
    <w:rsid w:val="00215892"/>
    <w:rsid w:val="00215A2F"/>
    <w:rsid w:val="00215A67"/>
    <w:rsid w:val="00215CC8"/>
    <w:rsid w:val="00215EB0"/>
    <w:rsid w:val="00215EDD"/>
    <w:rsid w:val="00215EF9"/>
    <w:rsid w:val="00215F1C"/>
    <w:rsid w:val="00215FF3"/>
    <w:rsid w:val="0021653B"/>
    <w:rsid w:val="00216695"/>
    <w:rsid w:val="00216914"/>
    <w:rsid w:val="00216969"/>
    <w:rsid w:val="00216AD9"/>
    <w:rsid w:val="00216C03"/>
    <w:rsid w:val="00216C47"/>
    <w:rsid w:val="00216CE9"/>
    <w:rsid w:val="00216FC5"/>
    <w:rsid w:val="0021752C"/>
    <w:rsid w:val="00217BD4"/>
    <w:rsid w:val="00217D25"/>
    <w:rsid w:val="00217F6B"/>
    <w:rsid w:val="0022061D"/>
    <w:rsid w:val="002206A6"/>
    <w:rsid w:val="00220A1A"/>
    <w:rsid w:val="00220C04"/>
    <w:rsid w:val="00220CEB"/>
    <w:rsid w:val="00220F04"/>
    <w:rsid w:val="00221120"/>
    <w:rsid w:val="00221157"/>
    <w:rsid w:val="00221294"/>
    <w:rsid w:val="002212A1"/>
    <w:rsid w:val="0022171A"/>
    <w:rsid w:val="0022172B"/>
    <w:rsid w:val="002219AE"/>
    <w:rsid w:val="002219B1"/>
    <w:rsid w:val="00221D6A"/>
    <w:rsid w:val="00221D86"/>
    <w:rsid w:val="00221DCA"/>
    <w:rsid w:val="00221E46"/>
    <w:rsid w:val="0022213E"/>
    <w:rsid w:val="00222341"/>
    <w:rsid w:val="00222410"/>
    <w:rsid w:val="00222598"/>
    <w:rsid w:val="0022278D"/>
    <w:rsid w:val="002229E6"/>
    <w:rsid w:val="00222C9E"/>
    <w:rsid w:val="00222D12"/>
    <w:rsid w:val="0022302B"/>
    <w:rsid w:val="002231DD"/>
    <w:rsid w:val="0022355C"/>
    <w:rsid w:val="0022366E"/>
    <w:rsid w:val="00223726"/>
    <w:rsid w:val="002237C3"/>
    <w:rsid w:val="002238D6"/>
    <w:rsid w:val="00223905"/>
    <w:rsid w:val="00223A64"/>
    <w:rsid w:val="00223AEB"/>
    <w:rsid w:val="00223B1A"/>
    <w:rsid w:val="00223C2A"/>
    <w:rsid w:val="00223C89"/>
    <w:rsid w:val="00223E3B"/>
    <w:rsid w:val="00223E6E"/>
    <w:rsid w:val="00223ECD"/>
    <w:rsid w:val="002240FA"/>
    <w:rsid w:val="00224146"/>
    <w:rsid w:val="00224147"/>
    <w:rsid w:val="00224739"/>
    <w:rsid w:val="002247C0"/>
    <w:rsid w:val="00224BE2"/>
    <w:rsid w:val="00224C3A"/>
    <w:rsid w:val="00224CC5"/>
    <w:rsid w:val="00224CF4"/>
    <w:rsid w:val="00224D18"/>
    <w:rsid w:val="00224E72"/>
    <w:rsid w:val="00224EF6"/>
    <w:rsid w:val="00224EF7"/>
    <w:rsid w:val="00225039"/>
    <w:rsid w:val="002251EF"/>
    <w:rsid w:val="00225210"/>
    <w:rsid w:val="002253C8"/>
    <w:rsid w:val="002253DD"/>
    <w:rsid w:val="00225883"/>
    <w:rsid w:val="002258A4"/>
    <w:rsid w:val="00225DFD"/>
    <w:rsid w:val="00226352"/>
    <w:rsid w:val="002264D1"/>
    <w:rsid w:val="0022684D"/>
    <w:rsid w:val="00226970"/>
    <w:rsid w:val="002269F6"/>
    <w:rsid w:val="00226A39"/>
    <w:rsid w:val="00226A79"/>
    <w:rsid w:val="00226C09"/>
    <w:rsid w:val="00226C69"/>
    <w:rsid w:val="0022701F"/>
    <w:rsid w:val="00227096"/>
    <w:rsid w:val="00227106"/>
    <w:rsid w:val="00227115"/>
    <w:rsid w:val="0022717D"/>
    <w:rsid w:val="002271C7"/>
    <w:rsid w:val="002273CE"/>
    <w:rsid w:val="002273D1"/>
    <w:rsid w:val="0022740D"/>
    <w:rsid w:val="00227459"/>
    <w:rsid w:val="00227470"/>
    <w:rsid w:val="002274BB"/>
    <w:rsid w:val="002278E4"/>
    <w:rsid w:val="00227BD0"/>
    <w:rsid w:val="00227C4A"/>
    <w:rsid w:val="00227C68"/>
    <w:rsid w:val="00227CE1"/>
    <w:rsid w:val="002301BC"/>
    <w:rsid w:val="00230274"/>
    <w:rsid w:val="00230295"/>
    <w:rsid w:val="00230307"/>
    <w:rsid w:val="0023040B"/>
    <w:rsid w:val="0023044B"/>
    <w:rsid w:val="00230593"/>
    <w:rsid w:val="0023060A"/>
    <w:rsid w:val="002307A3"/>
    <w:rsid w:val="002307C6"/>
    <w:rsid w:val="0023081D"/>
    <w:rsid w:val="00230920"/>
    <w:rsid w:val="00230A68"/>
    <w:rsid w:val="00230BBD"/>
    <w:rsid w:val="00230D0A"/>
    <w:rsid w:val="00231009"/>
    <w:rsid w:val="00231048"/>
    <w:rsid w:val="002310EF"/>
    <w:rsid w:val="002311BE"/>
    <w:rsid w:val="00231714"/>
    <w:rsid w:val="002317E5"/>
    <w:rsid w:val="002319B9"/>
    <w:rsid w:val="002319D9"/>
    <w:rsid w:val="00231A28"/>
    <w:rsid w:val="00231B6D"/>
    <w:rsid w:val="00231C70"/>
    <w:rsid w:val="00231DBD"/>
    <w:rsid w:val="002321DD"/>
    <w:rsid w:val="00232485"/>
    <w:rsid w:val="0023249E"/>
    <w:rsid w:val="002324F3"/>
    <w:rsid w:val="00232929"/>
    <w:rsid w:val="00232F1E"/>
    <w:rsid w:val="00232FCC"/>
    <w:rsid w:val="002330E6"/>
    <w:rsid w:val="0023312E"/>
    <w:rsid w:val="002332BF"/>
    <w:rsid w:val="002333C8"/>
    <w:rsid w:val="002333F5"/>
    <w:rsid w:val="00233724"/>
    <w:rsid w:val="00233936"/>
    <w:rsid w:val="00233978"/>
    <w:rsid w:val="00233BB7"/>
    <w:rsid w:val="00233C98"/>
    <w:rsid w:val="00233F35"/>
    <w:rsid w:val="002340AB"/>
    <w:rsid w:val="00234208"/>
    <w:rsid w:val="002343A2"/>
    <w:rsid w:val="0023443C"/>
    <w:rsid w:val="002345CB"/>
    <w:rsid w:val="002347E0"/>
    <w:rsid w:val="00234829"/>
    <w:rsid w:val="0023493B"/>
    <w:rsid w:val="00234FEA"/>
    <w:rsid w:val="00235187"/>
    <w:rsid w:val="0023526B"/>
    <w:rsid w:val="00235508"/>
    <w:rsid w:val="002356A9"/>
    <w:rsid w:val="002357EC"/>
    <w:rsid w:val="00235AD1"/>
    <w:rsid w:val="00235C1B"/>
    <w:rsid w:val="00235C9A"/>
    <w:rsid w:val="00235F04"/>
    <w:rsid w:val="00235F35"/>
    <w:rsid w:val="0023612F"/>
    <w:rsid w:val="002365B4"/>
    <w:rsid w:val="002365C0"/>
    <w:rsid w:val="00236727"/>
    <w:rsid w:val="0023684F"/>
    <w:rsid w:val="00236890"/>
    <w:rsid w:val="00236973"/>
    <w:rsid w:val="00236A0C"/>
    <w:rsid w:val="00236A2C"/>
    <w:rsid w:val="00236E52"/>
    <w:rsid w:val="00236ED3"/>
    <w:rsid w:val="00236FC7"/>
    <w:rsid w:val="00237198"/>
    <w:rsid w:val="0023755E"/>
    <w:rsid w:val="002375B7"/>
    <w:rsid w:val="0023775B"/>
    <w:rsid w:val="0023780A"/>
    <w:rsid w:val="002378C1"/>
    <w:rsid w:val="002378F7"/>
    <w:rsid w:val="00237C2B"/>
    <w:rsid w:val="00237C33"/>
    <w:rsid w:val="00237D0E"/>
    <w:rsid w:val="00237D12"/>
    <w:rsid w:val="00237D5A"/>
    <w:rsid w:val="00237E46"/>
    <w:rsid w:val="00237EC5"/>
    <w:rsid w:val="00240030"/>
    <w:rsid w:val="0024016C"/>
    <w:rsid w:val="002401A9"/>
    <w:rsid w:val="0024072B"/>
    <w:rsid w:val="0024074E"/>
    <w:rsid w:val="0024099E"/>
    <w:rsid w:val="002409F4"/>
    <w:rsid w:val="00240BD6"/>
    <w:rsid w:val="00240CF0"/>
    <w:rsid w:val="00241029"/>
    <w:rsid w:val="002410C2"/>
    <w:rsid w:val="002411B5"/>
    <w:rsid w:val="002412BE"/>
    <w:rsid w:val="00241481"/>
    <w:rsid w:val="00241494"/>
    <w:rsid w:val="00241637"/>
    <w:rsid w:val="002418DE"/>
    <w:rsid w:val="00241954"/>
    <w:rsid w:val="00241997"/>
    <w:rsid w:val="00241AA5"/>
    <w:rsid w:val="00241E08"/>
    <w:rsid w:val="00241FB2"/>
    <w:rsid w:val="00241FD6"/>
    <w:rsid w:val="00242135"/>
    <w:rsid w:val="0024213B"/>
    <w:rsid w:val="00242176"/>
    <w:rsid w:val="002422C2"/>
    <w:rsid w:val="0024240A"/>
    <w:rsid w:val="002425C7"/>
    <w:rsid w:val="002425DF"/>
    <w:rsid w:val="002427A1"/>
    <w:rsid w:val="002428A5"/>
    <w:rsid w:val="002428CF"/>
    <w:rsid w:val="002428E4"/>
    <w:rsid w:val="00242906"/>
    <w:rsid w:val="00242BCE"/>
    <w:rsid w:val="00242E74"/>
    <w:rsid w:val="00242E7E"/>
    <w:rsid w:val="00242EAC"/>
    <w:rsid w:val="002431A4"/>
    <w:rsid w:val="002431ED"/>
    <w:rsid w:val="0024320E"/>
    <w:rsid w:val="002432E1"/>
    <w:rsid w:val="00243524"/>
    <w:rsid w:val="002435BD"/>
    <w:rsid w:val="00243744"/>
    <w:rsid w:val="00243765"/>
    <w:rsid w:val="0024377A"/>
    <w:rsid w:val="002439BB"/>
    <w:rsid w:val="00243BDB"/>
    <w:rsid w:val="00243E28"/>
    <w:rsid w:val="00243EED"/>
    <w:rsid w:val="00243FAB"/>
    <w:rsid w:val="00244034"/>
    <w:rsid w:val="002440C2"/>
    <w:rsid w:val="00244142"/>
    <w:rsid w:val="002443A4"/>
    <w:rsid w:val="002443BF"/>
    <w:rsid w:val="002445CC"/>
    <w:rsid w:val="002445D5"/>
    <w:rsid w:val="002447CD"/>
    <w:rsid w:val="00244A11"/>
    <w:rsid w:val="00244AA1"/>
    <w:rsid w:val="00244BBB"/>
    <w:rsid w:val="00244CDD"/>
    <w:rsid w:val="00245047"/>
    <w:rsid w:val="00245229"/>
    <w:rsid w:val="002454AF"/>
    <w:rsid w:val="002456E3"/>
    <w:rsid w:val="002457A3"/>
    <w:rsid w:val="002458A6"/>
    <w:rsid w:val="00245B12"/>
    <w:rsid w:val="00245BC6"/>
    <w:rsid w:val="00245C09"/>
    <w:rsid w:val="00245E1F"/>
    <w:rsid w:val="00245F46"/>
    <w:rsid w:val="002461F7"/>
    <w:rsid w:val="00246207"/>
    <w:rsid w:val="00246414"/>
    <w:rsid w:val="00246448"/>
    <w:rsid w:val="0024652D"/>
    <w:rsid w:val="0024657F"/>
    <w:rsid w:val="0024667F"/>
    <w:rsid w:val="00246C5E"/>
    <w:rsid w:val="00246E17"/>
    <w:rsid w:val="002471A8"/>
    <w:rsid w:val="002472AB"/>
    <w:rsid w:val="002472C7"/>
    <w:rsid w:val="002472F6"/>
    <w:rsid w:val="00247359"/>
    <w:rsid w:val="00247484"/>
    <w:rsid w:val="002476C3"/>
    <w:rsid w:val="00247882"/>
    <w:rsid w:val="002479AC"/>
    <w:rsid w:val="002479C6"/>
    <w:rsid w:val="00247A74"/>
    <w:rsid w:val="00247C11"/>
    <w:rsid w:val="00247E54"/>
    <w:rsid w:val="00247ECA"/>
    <w:rsid w:val="00247F3B"/>
    <w:rsid w:val="0025003F"/>
    <w:rsid w:val="002500ED"/>
    <w:rsid w:val="00250260"/>
    <w:rsid w:val="002502D3"/>
    <w:rsid w:val="00250344"/>
    <w:rsid w:val="00250364"/>
    <w:rsid w:val="00250613"/>
    <w:rsid w:val="0025091D"/>
    <w:rsid w:val="00250960"/>
    <w:rsid w:val="00250A2B"/>
    <w:rsid w:val="00250BB9"/>
    <w:rsid w:val="00250CF7"/>
    <w:rsid w:val="00250E4A"/>
    <w:rsid w:val="00251020"/>
    <w:rsid w:val="002511DA"/>
    <w:rsid w:val="00251237"/>
    <w:rsid w:val="00251275"/>
    <w:rsid w:val="00251343"/>
    <w:rsid w:val="0025145C"/>
    <w:rsid w:val="00251522"/>
    <w:rsid w:val="0025163D"/>
    <w:rsid w:val="0025181D"/>
    <w:rsid w:val="00251A3F"/>
    <w:rsid w:val="00251ADC"/>
    <w:rsid w:val="00251D4E"/>
    <w:rsid w:val="00251F30"/>
    <w:rsid w:val="00251FE1"/>
    <w:rsid w:val="00252233"/>
    <w:rsid w:val="00252575"/>
    <w:rsid w:val="00252665"/>
    <w:rsid w:val="00252A7C"/>
    <w:rsid w:val="002531FB"/>
    <w:rsid w:val="00253201"/>
    <w:rsid w:val="00253216"/>
    <w:rsid w:val="002532A6"/>
    <w:rsid w:val="002536A4"/>
    <w:rsid w:val="002537D5"/>
    <w:rsid w:val="002538EE"/>
    <w:rsid w:val="00253B35"/>
    <w:rsid w:val="00253DFE"/>
    <w:rsid w:val="00253E63"/>
    <w:rsid w:val="00253E80"/>
    <w:rsid w:val="002540B3"/>
    <w:rsid w:val="0025436A"/>
    <w:rsid w:val="002544C5"/>
    <w:rsid w:val="0025478A"/>
    <w:rsid w:val="00254A96"/>
    <w:rsid w:val="00254CDD"/>
    <w:rsid w:val="00254DDB"/>
    <w:rsid w:val="00254E24"/>
    <w:rsid w:val="00254E82"/>
    <w:rsid w:val="00254F58"/>
    <w:rsid w:val="0025509B"/>
    <w:rsid w:val="002550E2"/>
    <w:rsid w:val="00255143"/>
    <w:rsid w:val="002556BD"/>
    <w:rsid w:val="002557E4"/>
    <w:rsid w:val="00255839"/>
    <w:rsid w:val="00255A09"/>
    <w:rsid w:val="00255A6E"/>
    <w:rsid w:val="00255B6D"/>
    <w:rsid w:val="00255C45"/>
    <w:rsid w:val="00255D02"/>
    <w:rsid w:val="00255FBD"/>
    <w:rsid w:val="002560F6"/>
    <w:rsid w:val="002561D2"/>
    <w:rsid w:val="00256341"/>
    <w:rsid w:val="0025637A"/>
    <w:rsid w:val="00256444"/>
    <w:rsid w:val="0025685D"/>
    <w:rsid w:val="0025689E"/>
    <w:rsid w:val="002569B6"/>
    <w:rsid w:val="00256B43"/>
    <w:rsid w:val="00256E5C"/>
    <w:rsid w:val="00256E82"/>
    <w:rsid w:val="00256EC1"/>
    <w:rsid w:val="00256FCE"/>
    <w:rsid w:val="00257250"/>
    <w:rsid w:val="00257398"/>
    <w:rsid w:val="0025743A"/>
    <w:rsid w:val="002576C7"/>
    <w:rsid w:val="00257955"/>
    <w:rsid w:val="00257B1F"/>
    <w:rsid w:val="00257C1D"/>
    <w:rsid w:val="00257E15"/>
    <w:rsid w:val="0026013A"/>
    <w:rsid w:val="002603D6"/>
    <w:rsid w:val="00260645"/>
    <w:rsid w:val="00260734"/>
    <w:rsid w:val="00260755"/>
    <w:rsid w:val="002607B5"/>
    <w:rsid w:val="002607CF"/>
    <w:rsid w:val="002607D7"/>
    <w:rsid w:val="002607E8"/>
    <w:rsid w:val="00260BB1"/>
    <w:rsid w:val="00260D0A"/>
    <w:rsid w:val="00260ECE"/>
    <w:rsid w:val="00260FD8"/>
    <w:rsid w:val="00261022"/>
    <w:rsid w:val="00261049"/>
    <w:rsid w:val="00261181"/>
    <w:rsid w:val="00261999"/>
    <w:rsid w:val="00261CD2"/>
    <w:rsid w:val="00261D8F"/>
    <w:rsid w:val="002620BC"/>
    <w:rsid w:val="0026242B"/>
    <w:rsid w:val="00262439"/>
    <w:rsid w:val="00262456"/>
    <w:rsid w:val="0026251B"/>
    <w:rsid w:val="0026266F"/>
    <w:rsid w:val="002626F4"/>
    <w:rsid w:val="002627D8"/>
    <w:rsid w:val="00262802"/>
    <w:rsid w:val="0026285A"/>
    <w:rsid w:val="00262C88"/>
    <w:rsid w:val="00262D3B"/>
    <w:rsid w:val="00262D68"/>
    <w:rsid w:val="00262D81"/>
    <w:rsid w:val="00262F67"/>
    <w:rsid w:val="00262FF8"/>
    <w:rsid w:val="0026301F"/>
    <w:rsid w:val="0026317A"/>
    <w:rsid w:val="00263275"/>
    <w:rsid w:val="002632FA"/>
    <w:rsid w:val="002633C7"/>
    <w:rsid w:val="0026344A"/>
    <w:rsid w:val="0026356C"/>
    <w:rsid w:val="00263669"/>
    <w:rsid w:val="002636E7"/>
    <w:rsid w:val="002637B0"/>
    <w:rsid w:val="00263A90"/>
    <w:rsid w:val="00263B4B"/>
    <w:rsid w:val="00263DCA"/>
    <w:rsid w:val="00263DE7"/>
    <w:rsid w:val="00263E0D"/>
    <w:rsid w:val="00263E2A"/>
    <w:rsid w:val="00263EA3"/>
    <w:rsid w:val="0026408B"/>
    <w:rsid w:val="002640E4"/>
    <w:rsid w:val="0026420F"/>
    <w:rsid w:val="002643FF"/>
    <w:rsid w:val="002644CA"/>
    <w:rsid w:val="002644E8"/>
    <w:rsid w:val="002645B2"/>
    <w:rsid w:val="0026480F"/>
    <w:rsid w:val="00264863"/>
    <w:rsid w:val="00264A44"/>
    <w:rsid w:val="00264ADA"/>
    <w:rsid w:val="00264BA9"/>
    <w:rsid w:val="00264C3E"/>
    <w:rsid w:val="00264D06"/>
    <w:rsid w:val="00264D0A"/>
    <w:rsid w:val="00264D51"/>
    <w:rsid w:val="00264DFD"/>
    <w:rsid w:val="00264FA1"/>
    <w:rsid w:val="0026548A"/>
    <w:rsid w:val="0026548D"/>
    <w:rsid w:val="0026553F"/>
    <w:rsid w:val="002655FB"/>
    <w:rsid w:val="00265682"/>
    <w:rsid w:val="0026596B"/>
    <w:rsid w:val="00265B1A"/>
    <w:rsid w:val="00265B67"/>
    <w:rsid w:val="00265C13"/>
    <w:rsid w:val="00265C23"/>
    <w:rsid w:val="00265C52"/>
    <w:rsid w:val="00265CF3"/>
    <w:rsid w:val="00265DAB"/>
    <w:rsid w:val="00265E5F"/>
    <w:rsid w:val="00265F2A"/>
    <w:rsid w:val="002661FD"/>
    <w:rsid w:val="0026680F"/>
    <w:rsid w:val="00266A70"/>
    <w:rsid w:val="00266AFC"/>
    <w:rsid w:val="00266B96"/>
    <w:rsid w:val="00266DED"/>
    <w:rsid w:val="00266E10"/>
    <w:rsid w:val="00266E7E"/>
    <w:rsid w:val="0026715D"/>
    <w:rsid w:val="00267243"/>
    <w:rsid w:val="002672EC"/>
    <w:rsid w:val="00267549"/>
    <w:rsid w:val="002675C1"/>
    <w:rsid w:val="002677B1"/>
    <w:rsid w:val="00267A4A"/>
    <w:rsid w:val="00267A92"/>
    <w:rsid w:val="00267AEC"/>
    <w:rsid w:val="00267C3E"/>
    <w:rsid w:val="00267D27"/>
    <w:rsid w:val="00267E25"/>
    <w:rsid w:val="0027004C"/>
    <w:rsid w:val="002701C1"/>
    <w:rsid w:val="002701D5"/>
    <w:rsid w:val="00270655"/>
    <w:rsid w:val="002706EB"/>
    <w:rsid w:val="002706FB"/>
    <w:rsid w:val="0027076C"/>
    <w:rsid w:val="00270943"/>
    <w:rsid w:val="002709BB"/>
    <w:rsid w:val="00270A5C"/>
    <w:rsid w:val="00270DDA"/>
    <w:rsid w:val="00270DFB"/>
    <w:rsid w:val="00270ECB"/>
    <w:rsid w:val="00270F57"/>
    <w:rsid w:val="00270FCC"/>
    <w:rsid w:val="00270FDC"/>
    <w:rsid w:val="00270FDD"/>
    <w:rsid w:val="00270FE9"/>
    <w:rsid w:val="0027103F"/>
    <w:rsid w:val="0027131C"/>
    <w:rsid w:val="002714A1"/>
    <w:rsid w:val="0027167B"/>
    <w:rsid w:val="0027174C"/>
    <w:rsid w:val="0027176F"/>
    <w:rsid w:val="00271934"/>
    <w:rsid w:val="00271A38"/>
    <w:rsid w:val="00271AD2"/>
    <w:rsid w:val="00271D36"/>
    <w:rsid w:val="00271F46"/>
    <w:rsid w:val="00272477"/>
    <w:rsid w:val="0027254C"/>
    <w:rsid w:val="00272596"/>
    <w:rsid w:val="002728FD"/>
    <w:rsid w:val="00272A55"/>
    <w:rsid w:val="00272A7B"/>
    <w:rsid w:val="00272B51"/>
    <w:rsid w:val="00272BDF"/>
    <w:rsid w:val="00272C62"/>
    <w:rsid w:val="00272DE1"/>
    <w:rsid w:val="00272EBE"/>
    <w:rsid w:val="00272EC7"/>
    <w:rsid w:val="00273091"/>
    <w:rsid w:val="002731B5"/>
    <w:rsid w:val="0027332F"/>
    <w:rsid w:val="0027334D"/>
    <w:rsid w:val="00273439"/>
    <w:rsid w:val="0027356F"/>
    <w:rsid w:val="0027357F"/>
    <w:rsid w:val="0027364F"/>
    <w:rsid w:val="002737F4"/>
    <w:rsid w:val="0027386B"/>
    <w:rsid w:val="00273B37"/>
    <w:rsid w:val="00273BAC"/>
    <w:rsid w:val="00273DCE"/>
    <w:rsid w:val="00273F22"/>
    <w:rsid w:val="00273FC4"/>
    <w:rsid w:val="0027410A"/>
    <w:rsid w:val="00274112"/>
    <w:rsid w:val="0027418E"/>
    <w:rsid w:val="002741E9"/>
    <w:rsid w:val="002741ED"/>
    <w:rsid w:val="002741F8"/>
    <w:rsid w:val="002742B0"/>
    <w:rsid w:val="002743AC"/>
    <w:rsid w:val="00274461"/>
    <w:rsid w:val="00274505"/>
    <w:rsid w:val="002746AD"/>
    <w:rsid w:val="00274A14"/>
    <w:rsid w:val="00274D72"/>
    <w:rsid w:val="00274F47"/>
    <w:rsid w:val="00274F7E"/>
    <w:rsid w:val="00274FB0"/>
    <w:rsid w:val="002750CE"/>
    <w:rsid w:val="0027528C"/>
    <w:rsid w:val="002752CC"/>
    <w:rsid w:val="00275315"/>
    <w:rsid w:val="00275421"/>
    <w:rsid w:val="0027572D"/>
    <w:rsid w:val="0027579C"/>
    <w:rsid w:val="0027599C"/>
    <w:rsid w:val="00275A5B"/>
    <w:rsid w:val="00275AEB"/>
    <w:rsid w:val="00275C01"/>
    <w:rsid w:val="00275E15"/>
    <w:rsid w:val="00275ECF"/>
    <w:rsid w:val="00275FF5"/>
    <w:rsid w:val="00276204"/>
    <w:rsid w:val="002763AA"/>
    <w:rsid w:val="002763B3"/>
    <w:rsid w:val="002764C3"/>
    <w:rsid w:val="002767AD"/>
    <w:rsid w:val="0027691F"/>
    <w:rsid w:val="00276A3C"/>
    <w:rsid w:val="00276E4C"/>
    <w:rsid w:val="00276EE6"/>
    <w:rsid w:val="002770C2"/>
    <w:rsid w:val="0027710A"/>
    <w:rsid w:val="00277267"/>
    <w:rsid w:val="0027729B"/>
    <w:rsid w:val="002774C8"/>
    <w:rsid w:val="00277580"/>
    <w:rsid w:val="002776EF"/>
    <w:rsid w:val="0027788A"/>
    <w:rsid w:val="002779D7"/>
    <w:rsid w:val="00277D51"/>
    <w:rsid w:val="00277E20"/>
    <w:rsid w:val="00277F5B"/>
    <w:rsid w:val="002802E3"/>
    <w:rsid w:val="00280433"/>
    <w:rsid w:val="00280533"/>
    <w:rsid w:val="00280628"/>
    <w:rsid w:val="00280CCF"/>
    <w:rsid w:val="00280D95"/>
    <w:rsid w:val="00280F10"/>
    <w:rsid w:val="002810EE"/>
    <w:rsid w:val="0028116A"/>
    <w:rsid w:val="0028124D"/>
    <w:rsid w:val="002813EF"/>
    <w:rsid w:val="0028154C"/>
    <w:rsid w:val="00281679"/>
    <w:rsid w:val="0028168F"/>
    <w:rsid w:val="0028169C"/>
    <w:rsid w:val="002818C4"/>
    <w:rsid w:val="00281A67"/>
    <w:rsid w:val="00281C73"/>
    <w:rsid w:val="00281DFF"/>
    <w:rsid w:val="0028205F"/>
    <w:rsid w:val="0028206F"/>
    <w:rsid w:val="0028213D"/>
    <w:rsid w:val="002821AC"/>
    <w:rsid w:val="00282265"/>
    <w:rsid w:val="002823AE"/>
    <w:rsid w:val="00282590"/>
    <w:rsid w:val="00282B3C"/>
    <w:rsid w:val="00282BE9"/>
    <w:rsid w:val="00282C7B"/>
    <w:rsid w:val="00282D5B"/>
    <w:rsid w:val="00282D94"/>
    <w:rsid w:val="00282E85"/>
    <w:rsid w:val="00282EB3"/>
    <w:rsid w:val="00282FC2"/>
    <w:rsid w:val="002832BA"/>
    <w:rsid w:val="002833C4"/>
    <w:rsid w:val="00283866"/>
    <w:rsid w:val="002838D3"/>
    <w:rsid w:val="002839C1"/>
    <w:rsid w:val="00283A2F"/>
    <w:rsid w:val="00283C90"/>
    <w:rsid w:val="00283D3B"/>
    <w:rsid w:val="002840DE"/>
    <w:rsid w:val="00284252"/>
    <w:rsid w:val="002843BD"/>
    <w:rsid w:val="00284532"/>
    <w:rsid w:val="00284815"/>
    <w:rsid w:val="002849AF"/>
    <w:rsid w:val="00284A6E"/>
    <w:rsid w:val="00284C09"/>
    <w:rsid w:val="00284D8D"/>
    <w:rsid w:val="00284FB8"/>
    <w:rsid w:val="002850DA"/>
    <w:rsid w:val="002854C8"/>
    <w:rsid w:val="002857ED"/>
    <w:rsid w:val="00285A92"/>
    <w:rsid w:val="00285BC9"/>
    <w:rsid w:val="00285C09"/>
    <w:rsid w:val="00285D20"/>
    <w:rsid w:val="00285EFF"/>
    <w:rsid w:val="00285F16"/>
    <w:rsid w:val="00285F1B"/>
    <w:rsid w:val="00286051"/>
    <w:rsid w:val="002862F1"/>
    <w:rsid w:val="00286323"/>
    <w:rsid w:val="00286456"/>
    <w:rsid w:val="002864EE"/>
    <w:rsid w:val="00286559"/>
    <w:rsid w:val="00286575"/>
    <w:rsid w:val="002865E4"/>
    <w:rsid w:val="00286E2B"/>
    <w:rsid w:val="00286F03"/>
    <w:rsid w:val="002870D5"/>
    <w:rsid w:val="002870F2"/>
    <w:rsid w:val="00287179"/>
    <w:rsid w:val="00287258"/>
    <w:rsid w:val="00287530"/>
    <w:rsid w:val="0028758E"/>
    <w:rsid w:val="002875E7"/>
    <w:rsid w:val="002876EE"/>
    <w:rsid w:val="002877FF"/>
    <w:rsid w:val="00287873"/>
    <w:rsid w:val="002878E6"/>
    <w:rsid w:val="00287D39"/>
    <w:rsid w:val="00287D47"/>
    <w:rsid w:val="00287F59"/>
    <w:rsid w:val="00287F87"/>
    <w:rsid w:val="00290052"/>
    <w:rsid w:val="002901A9"/>
    <w:rsid w:val="0029027B"/>
    <w:rsid w:val="002902E4"/>
    <w:rsid w:val="002904E3"/>
    <w:rsid w:val="002907FE"/>
    <w:rsid w:val="0029096D"/>
    <w:rsid w:val="002909DE"/>
    <w:rsid w:val="00290AAA"/>
    <w:rsid w:val="00290CD9"/>
    <w:rsid w:val="00290E91"/>
    <w:rsid w:val="00291151"/>
    <w:rsid w:val="002912F0"/>
    <w:rsid w:val="00291373"/>
    <w:rsid w:val="002914D6"/>
    <w:rsid w:val="0029161D"/>
    <w:rsid w:val="002917D8"/>
    <w:rsid w:val="00291822"/>
    <w:rsid w:val="0029185B"/>
    <w:rsid w:val="00291861"/>
    <w:rsid w:val="00291878"/>
    <w:rsid w:val="00291ACD"/>
    <w:rsid w:val="00291B05"/>
    <w:rsid w:val="00291B81"/>
    <w:rsid w:val="00291C00"/>
    <w:rsid w:val="00291C41"/>
    <w:rsid w:val="00291C98"/>
    <w:rsid w:val="00291E1D"/>
    <w:rsid w:val="00291F68"/>
    <w:rsid w:val="002920AA"/>
    <w:rsid w:val="002922FB"/>
    <w:rsid w:val="0029286F"/>
    <w:rsid w:val="0029289B"/>
    <w:rsid w:val="002928A7"/>
    <w:rsid w:val="002928BC"/>
    <w:rsid w:val="00292955"/>
    <w:rsid w:val="00292AA5"/>
    <w:rsid w:val="00292B2B"/>
    <w:rsid w:val="00292C67"/>
    <w:rsid w:val="00292D37"/>
    <w:rsid w:val="00292DD4"/>
    <w:rsid w:val="00293198"/>
    <w:rsid w:val="002931C3"/>
    <w:rsid w:val="002931EA"/>
    <w:rsid w:val="00293299"/>
    <w:rsid w:val="002936A6"/>
    <w:rsid w:val="00293A16"/>
    <w:rsid w:val="00293D39"/>
    <w:rsid w:val="00293F0F"/>
    <w:rsid w:val="0029432D"/>
    <w:rsid w:val="00294615"/>
    <w:rsid w:val="0029468E"/>
    <w:rsid w:val="00294771"/>
    <w:rsid w:val="00294AE6"/>
    <w:rsid w:val="00294B01"/>
    <w:rsid w:val="00294BC8"/>
    <w:rsid w:val="00294BD5"/>
    <w:rsid w:val="0029510F"/>
    <w:rsid w:val="002951F3"/>
    <w:rsid w:val="002952D2"/>
    <w:rsid w:val="0029532A"/>
    <w:rsid w:val="002955E3"/>
    <w:rsid w:val="0029597D"/>
    <w:rsid w:val="00295AC9"/>
    <w:rsid w:val="00295BDF"/>
    <w:rsid w:val="00295C41"/>
    <w:rsid w:val="00295D11"/>
    <w:rsid w:val="00295F13"/>
    <w:rsid w:val="00295F88"/>
    <w:rsid w:val="00296006"/>
    <w:rsid w:val="0029629E"/>
    <w:rsid w:val="002962C3"/>
    <w:rsid w:val="00296502"/>
    <w:rsid w:val="00296571"/>
    <w:rsid w:val="002965D1"/>
    <w:rsid w:val="0029667F"/>
    <w:rsid w:val="00296928"/>
    <w:rsid w:val="00296A3D"/>
    <w:rsid w:val="00296AF6"/>
    <w:rsid w:val="00296BA5"/>
    <w:rsid w:val="00296E82"/>
    <w:rsid w:val="00296ECA"/>
    <w:rsid w:val="002970BF"/>
    <w:rsid w:val="002970F0"/>
    <w:rsid w:val="002972BA"/>
    <w:rsid w:val="0029733E"/>
    <w:rsid w:val="002973F2"/>
    <w:rsid w:val="00297470"/>
    <w:rsid w:val="0029752B"/>
    <w:rsid w:val="00297530"/>
    <w:rsid w:val="0029753A"/>
    <w:rsid w:val="002975B5"/>
    <w:rsid w:val="00297751"/>
    <w:rsid w:val="00297792"/>
    <w:rsid w:val="0029781B"/>
    <w:rsid w:val="002978FD"/>
    <w:rsid w:val="0029797C"/>
    <w:rsid w:val="00297D31"/>
    <w:rsid w:val="00297EA1"/>
    <w:rsid w:val="002A057E"/>
    <w:rsid w:val="002A069F"/>
    <w:rsid w:val="002A0720"/>
    <w:rsid w:val="002A07B7"/>
    <w:rsid w:val="002A0A9C"/>
    <w:rsid w:val="002A0AD6"/>
    <w:rsid w:val="002A0C8F"/>
    <w:rsid w:val="002A0DDE"/>
    <w:rsid w:val="002A0F27"/>
    <w:rsid w:val="002A12AC"/>
    <w:rsid w:val="002A1323"/>
    <w:rsid w:val="002A17F7"/>
    <w:rsid w:val="002A197F"/>
    <w:rsid w:val="002A1BA1"/>
    <w:rsid w:val="002A1D45"/>
    <w:rsid w:val="002A1DD9"/>
    <w:rsid w:val="002A1EF1"/>
    <w:rsid w:val="002A2137"/>
    <w:rsid w:val="002A27F6"/>
    <w:rsid w:val="002A2828"/>
    <w:rsid w:val="002A2859"/>
    <w:rsid w:val="002A2B0D"/>
    <w:rsid w:val="002A2BCE"/>
    <w:rsid w:val="002A2CF5"/>
    <w:rsid w:val="002A3007"/>
    <w:rsid w:val="002A3209"/>
    <w:rsid w:val="002A331E"/>
    <w:rsid w:val="002A33AA"/>
    <w:rsid w:val="002A34DA"/>
    <w:rsid w:val="002A352F"/>
    <w:rsid w:val="002A35E9"/>
    <w:rsid w:val="002A39DA"/>
    <w:rsid w:val="002A3A5A"/>
    <w:rsid w:val="002A3AC6"/>
    <w:rsid w:val="002A3CD9"/>
    <w:rsid w:val="002A3FB4"/>
    <w:rsid w:val="002A41CF"/>
    <w:rsid w:val="002A4414"/>
    <w:rsid w:val="002A46D7"/>
    <w:rsid w:val="002A46DB"/>
    <w:rsid w:val="002A4725"/>
    <w:rsid w:val="002A47BB"/>
    <w:rsid w:val="002A483C"/>
    <w:rsid w:val="002A4853"/>
    <w:rsid w:val="002A4A39"/>
    <w:rsid w:val="002A4B7C"/>
    <w:rsid w:val="002A4C45"/>
    <w:rsid w:val="002A4C4D"/>
    <w:rsid w:val="002A4C89"/>
    <w:rsid w:val="002A4D1C"/>
    <w:rsid w:val="002A4E58"/>
    <w:rsid w:val="002A4ECE"/>
    <w:rsid w:val="002A4F79"/>
    <w:rsid w:val="002A4FB8"/>
    <w:rsid w:val="002A514B"/>
    <w:rsid w:val="002A515A"/>
    <w:rsid w:val="002A51DB"/>
    <w:rsid w:val="002A547C"/>
    <w:rsid w:val="002A554B"/>
    <w:rsid w:val="002A55F9"/>
    <w:rsid w:val="002A574C"/>
    <w:rsid w:val="002A57E0"/>
    <w:rsid w:val="002A59FA"/>
    <w:rsid w:val="002A5BFA"/>
    <w:rsid w:val="002A5C79"/>
    <w:rsid w:val="002A5D63"/>
    <w:rsid w:val="002A5E43"/>
    <w:rsid w:val="002A5E6D"/>
    <w:rsid w:val="002A5F43"/>
    <w:rsid w:val="002A6058"/>
    <w:rsid w:val="002A6286"/>
    <w:rsid w:val="002A65A8"/>
    <w:rsid w:val="002A6777"/>
    <w:rsid w:val="002A6875"/>
    <w:rsid w:val="002A6A31"/>
    <w:rsid w:val="002A6A66"/>
    <w:rsid w:val="002A6B7E"/>
    <w:rsid w:val="002A6D09"/>
    <w:rsid w:val="002A6D2F"/>
    <w:rsid w:val="002A6D6B"/>
    <w:rsid w:val="002A7107"/>
    <w:rsid w:val="002A73D1"/>
    <w:rsid w:val="002A73DF"/>
    <w:rsid w:val="002A75AC"/>
    <w:rsid w:val="002A7620"/>
    <w:rsid w:val="002A77C6"/>
    <w:rsid w:val="002A77D1"/>
    <w:rsid w:val="002A77EA"/>
    <w:rsid w:val="002A77F8"/>
    <w:rsid w:val="002A78C6"/>
    <w:rsid w:val="002A7985"/>
    <w:rsid w:val="002A79E4"/>
    <w:rsid w:val="002A7B27"/>
    <w:rsid w:val="002A7D0D"/>
    <w:rsid w:val="002A7D32"/>
    <w:rsid w:val="002A7D8F"/>
    <w:rsid w:val="002A7E22"/>
    <w:rsid w:val="002A7F19"/>
    <w:rsid w:val="002B01CB"/>
    <w:rsid w:val="002B050A"/>
    <w:rsid w:val="002B064B"/>
    <w:rsid w:val="002B08F6"/>
    <w:rsid w:val="002B0A3A"/>
    <w:rsid w:val="002B0B64"/>
    <w:rsid w:val="002B0C7C"/>
    <w:rsid w:val="002B0C94"/>
    <w:rsid w:val="002B0DB4"/>
    <w:rsid w:val="002B0DBE"/>
    <w:rsid w:val="002B0DC6"/>
    <w:rsid w:val="002B0E0E"/>
    <w:rsid w:val="002B0EDA"/>
    <w:rsid w:val="002B0FC8"/>
    <w:rsid w:val="002B10DB"/>
    <w:rsid w:val="002B1101"/>
    <w:rsid w:val="002B13A8"/>
    <w:rsid w:val="002B1458"/>
    <w:rsid w:val="002B1522"/>
    <w:rsid w:val="002B1547"/>
    <w:rsid w:val="002B1729"/>
    <w:rsid w:val="002B1897"/>
    <w:rsid w:val="002B19BD"/>
    <w:rsid w:val="002B19E7"/>
    <w:rsid w:val="002B1BF0"/>
    <w:rsid w:val="002B1CEC"/>
    <w:rsid w:val="002B1DF1"/>
    <w:rsid w:val="002B210D"/>
    <w:rsid w:val="002B219F"/>
    <w:rsid w:val="002B221E"/>
    <w:rsid w:val="002B22E8"/>
    <w:rsid w:val="002B23D4"/>
    <w:rsid w:val="002B24B8"/>
    <w:rsid w:val="002B26A9"/>
    <w:rsid w:val="002B2713"/>
    <w:rsid w:val="002B28FF"/>
    <w:rsid w:val="002B2EC1"/>
    <w:rsid w:val="002B2EC9"/>
    <w:rsid w:val="002B305A"/>
    <w:rsid w:val="002B3265"/>
    <w:rsid w:val="002B3390"/>
    <w:rsid w:val="002B349B"/>
    <w:rsid w:val="002B35A4"/>
    <w:rsid w:val="002B3658"/>
    <w:rsid w:val="002B36A9"/>
    <w:rsid w:val="002B36C7"/>
    <w:rsid w:val="002B37E5"/>
    <w:rsid w:val="002B39EB"/>
    <w:rsid w:val="002B3AB0"/>
    <w:rsid w:val="002B3B6C"/>
    <w:rsid w:val="002B3BB0"/>
    <w:rsid w:val="002B3C86"/>
    <w:rsid w:val="002B3D06"/>
    <w:rsid w:val="002B40AF"/>
    <w:rsid w:val="002B4317"/>
    <w:rsid w:val="002B4368"/>
    <w:rsid w:val="002B4423"/>
    <w:rsid w:val="002B4473"/>
    <w:rsid w:val="002B469F"/>
    <w:rsid w:val="002B47A3"/>
    <w:rsid w:val="002B4A3D"/>
    <w:rsid w:val="002B4B21"/>
    <w:rsid w:val="002B4BAE"/>
    <w:rsid w:val="002B4BC8"/>
    <w:rsid w:val="002B4D79"/>
    <w:rsid w:val="002B4DD4"/>
    <w:rsid w:val="002B4E06"/>
    <w:rsid w:val="002B4F95"/>
    <w:rsid w:val="002B51BC"/>
    <w:rsid w:val="002B51BE"/>
    <w:rsid w:val="002B51F3"/>
    <w:rsid w:val="002B5277"/>
    <w:rsid w:val="002B52B9"/>
    <w:rsid w:val="002B534F"/>
    <w:rsid w:val="002B5375"/>
    <w:rsid w:val="002B5429"/>
    <w:rsid w:val="002B5528"/>
    <w:rsid w:val="002B58E8"/>
    <w:rsid w:val="002B5F57"/>
    <w:rsid w:val="002B5FFD"/>
    <w:rsid w:val="002B63DF"/>
    <w:rsid w:val="002B6402"/>
    <w:rsid w:val="002B66A5"/>
    <w:rsid w:val="002B67A3"/>
    <w:rsid w:val="002B6B8F"/>
    <w:rsid w:val="002B6C33"/>
    <w:rsid w:val="002B6D2E"/>
    <w:rsid w:val="002B6DC6"/>
    <w:rsid w:val="002B6ECB"/>
    <w:rsid w:val="002B75F0"/>
    <w:rsid w:val="002B772E"/>
    <w:rsid w:val="002B77B8"/>
    <w:rsid w:val="002B77C1"/>
    <w:rsid w:val="002B7818"/>
    <w:rsid w:val="002B78EA"/>
    <w:rsid w:val="002B7BA1"/>
    <w:rsid w:val="002B7CA4"/>
    <w:rsid w:val="002B7D0E"/>
    <w:rsid w:val="002B7DAA"/>
    <w:rsid w:val="002B7DBD"/>
    <w:rsid w:val="002B7E04"/>
    <w:rsid w:val="002B7F3C"/>
    <w:rsid w:val="002C04A4"/>
    <w:rsid w:val="002C04EA"/>
    <w:rsid w:val="002C06B6"/>
    <w:rsid w:val="002C06CB"/>
    <w:rsid w:val="002C0731"/>
    <w:rsid w:val="002C0828"/>
    <w:rsid w:val="002C0EBD"/>
    <w:rsid w:val="002C0ED7"/>
    <w:rsid w:val="002C0F6D"/>
    <w:rsid w:val="002C0FCF"/>
    <w:rsid w:val="002C12CB"/>
    <w:rsid w:val="002C131F"/>
    <w:rsid w:val="002C1540"/>
    <w:rsid w:val="002C1A28"/>
    <w:rsid w:val="002C1A30"/>
    <w:rsid w:val="002C1A6A"/>
    <w:rsid w:val="002C1B70"/>
    <w:rsid w:val="002C1B72"/>
    <w:rsid w:val="002C1C4B"/>
    <w:rsid w:val="002C1C98"/>
    <w:rsid w:val="002C1F48"/>
    <w:rsid w:val="002C1F7F"/>
    <w:rsid w:val="002C227C"/>
    <w:rsid w:val="002C2388"/>
    <w:rsid w:val="002C246F"/>
    <w:rsid w:val="002C254D"/>
    <w:rsid w:val="002C2728"/>
    <w:rsid w:val="002C27D3"/>
    <w:rsid w:val="002C2909"/>
    <w:rsid w:val="002C2A75"/>
    <w:rsid w:val="002C2BA6"/>
    <w:rsid w:val="002C2CCA"/>
    <w:rsid w:val="002C2E14"/>
    <w:rsid w:val="002C2FC9"/>
    <w:rsid w:val="002C2FEC"/>
    <w:rsid w:val="002C30E6"/>
    <w:rsid w:val="002C32E8"/>
    <w:rsid w:val="002C331D"/>
    <w:rsid w:val="002C34D2"/>
    <w:rsid w:val="002C36CA"/>
    <w:rsid w:val="002C36FC"/>
    <w:rsid w:val="002C3765"/>
    <w:rsid w:val="002C3782"/>
    <w:rsid w:val="002C38E9"/>
    <w:rsid w:val="002C3D04"/>
    <w:rsid w:val="002C3E27"/>
    <w:rsid w:val="002C3E6E"/>
    <w:rsid w:val="002C3FF9"/>
    <w:rsid w:val="002C4117"/>
    <w:rsid w:val="002C416E"/>
    <w:rsid w:val="002C4174"/>
    <w:rsid w:val="002C4229"/>
    <w:rsid w:val="002C436A"/>
    <w:rsid w:val="002C44EB"/>
    <w:rsid w:val="002C4508"/>
    <w:rsid w:val="002C461D"/>
    <w:rsid w:val="002C465E"/>
    <w:rsid w:val="002C4742"/>
    <w:rsid w:val="002C4814"/>
    <w:rsid w:val="002C4974"/>
    <w:rsid w:val="002C4B3F"/>
    <w:rsid w:val="002C4BAE"/>
    <w:rsid w:val="002C4BFD"/>
    <w:rsid w:val="002C4C06"/>
    <w:rsid w:val="002C4D5A"/>
    <w:rsid w:val="002C4D71"/>
    <w:rsid w:val="002C4DEC"/>
    <w:rsid w:val="002C4DFA"/>
    <w:rsid w:val="002C4E9B"/>
    <w:rsid w:val="002C4F37"/>
    <w:rsid w:val="002C4FA3"/>
    <w:rsid w:val="002C4FA7"/>
    <w:rsid w:val="002C516D"/>
    <w:rsid w:val="002C544C"/>
    <w:rsid w:val="002C5657"/>
    <w:rsid w:val="002C56E7"/>
    <w:rsid w:val="002C57C4"/>
    <w:rsid w:val="002C5B7C"/>
    <w:rsid w:val="002C5E91"/>
    <w:rsid w:val="002C5FEE"/>
    <w:rsid w:val="002C60C5"/>
    <w:rsid w:val="002C65C8"/>
    <w:rsid w:val="002C66E9"/>
    <w:rsid w:val="002C6824"/>
    <w:rsid w:val="002C6887"/>
    <w:rsid w:val="002C68F1"/>
    <w:rsid w:val="002C6EC9"/>
    <w:rsid w:val="002C6F19"/>
    <w:rsid w:val="002C6FAC"/>
    <w:rsid w:val="002C71E2"/>
    <w:rsid w:val="002C72C4"/>
    <w:rsid w:val="002C73E5"/>
    <w:rsid w:val="002C7582"/>
    <w:rsid w:val="002C759D"/>
    <w:rsid w:val="002C7773"/>
    <w:rsid w:val="002C78FB"/>
    <w:rsid w:val="002C7932"/>
    <w:rsid w:val="002C7949"/>
    <w:rsid w:val="002C7A0B"/>
    <w:rsid w:val="002C7BCA"/>
    <w:rsid w:val="002C7BFD"/>
    <w:rsid w:val="002C7C59"/>
    <w:rsid w:val="002C7DD6"/>
    <w:rsid w:val="002D01AC"/>
    <w:rsid w:val="002D02F6"/>
    <w:rsid w:val="002D0346"/>
    <w:rsid w:val="002D0494"/>
    <w:rsid w:val="002D05FD"/>
    <w:rsid w:val="002D0756"/>
    <w:rsid w:val="002D0762"/>
    <w:rsid w:val="002D0974"/>
    <w:rsid w:val="002D0A7B"/>
    <w:rsid w:val="002D0AE6"/>
    <w:rsid w:val="002D0D77"/>
    <w:rsid w:val="002D0F32"/>
    <w:rsid w:val="002D0F7D"/>
    <w:rsid w:val="002D104D"/>
    <w:rsid w:val="002D111F"/>
    <w:rsid w:val="002D15FC"/>
    <w:rsid w:val="002D17AE"/>
    <w:rsid w:val="002D1802"/>
    <w:rsid w:val="002D1804"/>
    <w:rsid w:val="002D1891"/>
    <w:rsid w:val="002D1E0D"/>
    <w:rsid w:val="002D1E73"/>
    <w:rsid w:val="002D1F02"/>
    <w:rsid w:val="002D221F"/>
    <w:rsid w:val="002D222C"/>
    <w:rsid w:val="002D23F4"/>
    <w:rsid w:val="002D2459"/>
    <w:rsid w:val="002D2660"/>
    <w:rsid w:val="002D2782"/>
    <w:rsid w:val="002D282C"/>
    <w:rsid w:val="002D287B"/>
    <w:rsid w:val="002D2A9D"/>
    <w:rsid w:val="002D2D4A"/>
    <w:rsid w:val="002D2F6C"/>
    <w:rsid w:val="002D2FAE"/>
    <w:rsid w:val="002D2FE1"/>
    <w:rsid w:val="002D3595"/>
    <w:rsid w:val="002D3620"/>
    <w:rsid w:val="002D36F9"/>
    <w:rsid w:val="002D3B7E"/>
    <w:rsid w:val="002D3D16"/>
    <w:rsid w:val="002D3D48"/>
    <w:rsid w:val="002D434D"/>
    <w:rsid w:val="002D439D"/>
    <w:rsid w:val="002D43EC"/>
    <w:rsid w:val="002D4422"/>
    <w:rsid w:val="002D475F"/>
    <w:rsid w:val="002D47A2"/>
    <w:rsid w:val="002D47DB"/>
    <w:rsid w:val="002D48A6"/>
    <w:rsid w:val="002D48E1"/>
    <w:rsid w:val="002D4925"/>
    <w:rsid w:val="002D4C85"/>
    <w:rsid w:val="002D4D43"/>
    <w:rsid w:val="002D4EC9"/>
    <w:rsid w:val="002D5006"/>
    <w:rsid w:val="002D51F9"/>
    <w:rsid w:val="002D5232"/>
    <w:rsid w:val="002D5451"/>
    <w:rsid w:val="002D549C"/>
    <w:rsid w:val="002D553B"/>
    <w:rsid w:val="002D560C"/>
    <w:rsid w:val="002D5800"/>
    <w:rsid w:val="002D5819"/>
    <w:rsid w:val="002D5A28"/>
    <w:rsid w:val="002D5B57"/>
    <w:rsid w:val="002D60A4"/>
    <w:rsid w:val="002D6455"/>
    <w:rsid w:val="002D64FD"/>
    <w:rsid w:val="002D65F1"/>
    <w:rsid w:val="002D66A0"/>
    <w:rsid w:val="002D6751"/>
    <w:rsid w:val="002D6AC8"/>
    <w:rsid w:val="002D6BD4"/>
    <w:rsid w:val="002D7096"/>
    <w:rsid w:val="002D7119"/>
    <w:rsid w:val="002D71AA"/>
    <w:rsid w:val="002D71DA"/>
    <w:rsid w:val="002D72C4"/>
    <w:rsid w:val="002D7336"/>
    <w:rsid w:val="002D75A9"/>
    <w:rsid w:val="002D75BB"/>
    <w:rsid w:val="002D7631"/>
    <w:rsid w:val="002D7724"/>
    <w:rsid w:val="002D785D"/>
    <w:rsid w:val="002D7922"/>
    <w:rsid w:val="002D7C61"/>
    <w:rsid w:val="002D7E42"/>
    <w:rsid w:val="002D7E5B"/>
    <w:rsid w:val="002D7F68"/>
    <w:rsid w:val="002D7FB6"/>
    <w:rsid w:val="002E0112"/>
    <w:rsid w:val="002E01D0"/>
    <w:rsid w:val="002E01E0"/>
    <w:rsid w:val="002E0340"/>
    <w:rsid w:val="002E0409"/>
    <w:rsid w:val="002E051F"/>
    <w:rsid w:val="002E09B9"/>
    <w:rsid w:val="002E0B88"/>
    <w:rsid w:val="002E0B9A"/>
    <w:rsid w:val="002E0F6C"/>
    <w:rsid w:val="002E1006"/>
    <w:rsid w:val="002E1264"/>
    <w:rsid w:val="002E13DF"/>
    <w:rsid w:val="002E14A8"/>
    <w:rsid w:val="002E161D"/>
    <w:rsid w:val="002E163B"/>
    <w:rsid w:val="002E1747"/>
    <w:rsid w:val="002E1773"/>
    <w:rsid w:val="002E1B7F"/>
    <w:rsid w:val="002E1C61"/>
    <w:rsid w:val="002E1E31"/>
    <w:rsid w:val="002E1F27"/>
    <w:rsid w:val="002E2021"/>
    <w:rsid w:val="002E2215"/>
    <w:rsid w:val="002E2294"/>
    <w:rsid w:val="002E2744"/>
    <w:rsid w:val="002E28A2"/>
    <w:rsid w:val="002E2C86"/>
    <w:rsid w:val="002E2FBB"/>
    <w:rsid w:val="002E3100"/>
    <w:rsid w:val="002E31C4"/>
    <w:rsid w:val="002E31CA"/>
    <w:rsid w:val="002E323B"/>
    <w:rsid w:val="002E3777"/>
    <w:rsid w:val="002E397D"/>
    <w:rsid w:val="002E39A9"/>
    <w:rsid w:val="002E3AA3"/>
    <w:rsid w:val="002E3AC7"/>
    <w:rsid w:val="002E3AEF"/>
    <w:rsid w:val="002E4025"/>
    <w:rsid w:val="002E4197"/>
    <w:rsid w:val="002E467E"/>
    <w:rsid w:val="002E470C"/>
    <w:rsid w:val="002E4828"/>
    <w:rsid w:val="002E485C"/>
    <w:rsid w:val="002E4A08"/>
    <w:rsid w:val="002E4B22"/>
    <w:rsid w:val="002E4B23"/>
    <w:rsid w:val="002E4BCA"/>
    <w:rsid w:val="002E4C01"/>
    <w:rsid w:val="002E4C27"/>
    <w:rsid w:val="002E4D15"/>
    <w:rsid w:val="002E4D41"/>
    <w:rsid w:val="002E4D51"/>
    <w:rsid w:val="002E4E90"/>
    <w:rsid w:val="002E507F"/>
    <w:rsid w:val="002E51F6"/>
    <w:rsid w:val="002E540F"/>
    <w:rsid w:val="002E5424"/>
    <w:rsid w:val="002E5509"/>
    <w:rsid w:val="002E55A2"/>
    <w:rsid w:val="002E579C"/>
    <w:rsid w:val="002E590A"/>
    <w:rsid w:val="002E59B9"/>
    <w:rsid w:val="002E5B29"/>
    <w:rsid w:val="002E5BB1"/>
    <w:rsid w:val="002E5D50"/>
    <w:rsid w:val="002E5F8A"/>
    <w:rsid w:val="002E60BF"/>
    <w:rsid w:val="002E61EF"/>
    <w:rsid w:val="002E6360"/>
    <w:rsid w:val="002E659F"/>
    <w:rsid w:val="002E6856"/>
    <w:rsid w:val="002E69FE"/>
    <w:rsid w:val="002E6A38"/>
    <w:rsid w:val="002E6C95"/>
    <w:rsid w:val="002E6C96"/>
    <w:rsid w:val="002E6D0E"/>
    <w:rsid w:val="002E6D40"/>
    <w:rsid w:val="002E6E67"/>
    <w:rsid w:val="002E6FAE"/>
    <w:rsid w:val="002E70A4"/>
    <w:rsid w:val="002E72A3"/>
    <w:rsid w:val="002E73FE"/>
    <w:rsid w:val="002E7487"/>
    <w:rsid w:val="002E75FD"/>
    <w:rsid w:val="002E7994"/>
    <w:rsid w:val="002E79A9"/>
    <w:rsid w:val="002E7A69"/>
    <w:rsid w:val="002E7C36"/>
    <w:rsid w:val="002E7DCE"/>
    <w:rsid w:val="002F03E7"/>
    <w:rsid w:val="002F06CD"/>
    <w:rsid w:val="002F06E2"/>
    <w:rsid w:val="002F070D"/>
    <w:rsid w:val="002F0822"/>
    <w:rsid w:val="002F08CC"/>
    <w:rsid w:val="002F0965"/>
    <w:rsid w:val="002F0B8E"/>
    <w:rsid w:val="002F0B93"/>
    <w:rsid w:val="002F0C19"/>
    <w:rsid w:val="002F0F66"/>
    <w:rsid w:val="002F14FA"/>
    <w:rsid w:val="002F1B6B"/>
    <w:rsid w:val="002F1C80"/>
    <w:rsid w:val="002F2025"/>
    <w:rsid w:val="002F206E"/>
    <w:rsid w:val="002F209A"/>
    <w:rsid w:val="002F2121"/>
    <w:rsid w:val="002F21B9"/>
    <w:rsid w:val="002F234C"/>
    <w:rsid w:val="002F2397"/>
    <w:rsid w:val="002F25B8"/>
    <w:rsid w:val="002F2AAF"/>
    <w:rsid w:val="002F2AB8"/>
    <w:rsid w:val="002F2CB0"/>
    <w:rsid w:val="002F2CD3"/>
    <w:rsid w:val="002F35C0"/>
    <w:rsid w:val="002F36BB"/>
    <w:rsid w:val="002F374B"/>
    <w:rsid w:val="002F3762"/>
    <w:rsid w:val="002F37E8"/>
    <w:rsid w:val="002F3890"/>
    <w:rsid w:val="002F3986"/>
    <w:rsid w:val="002F3ACB"/>
    <w:rsid w:val="002F3D16"/>
    <w:rsid w:val="002F3D32"/>
    <w:rsid w:val="002F3D39"/>
    <w:rsid w:val="002F400C"/>
    <w:rsid w:val="002F404C"/>
    <w:rsid w:val="002F41A6"/>
    <w:rsid w:val="002F4261"/>
    <w:rsid w:val="002F4326"/>
    <w:rsid w:val="002F4436"/>
    <w:rsid w:val="002F4474"/>
    <w:rsid w:val="002F44E7"/>
    <w:rsid w:val="002F44F3"/>
    <w:rsid w:val="002F46DE"/>
    <w:rsid w:val="002F4E16"/>
    <w:rsid w:val="002F510F"/>
    <w:rsid w:val="002F546F"/>
    <w:rsid w:val="002F56FC"/>
    <w:rsid w:val="002F57A9"/>
    <w:rsid w:val="002F5A49"/>
    <w:rsid w:val="002F5B03"/>
    <w:rsid w:val="002F5BA0"/>
    <w:rsid w:val="002F5C5D"/>
    <w:rsid w:val="002F5E91"/>
    <w:rsid w:val="002F5F31"/>
    <w:rsid w:val="002F5F46"/>
    <w:rsid w:val="002F5FAF"/>
    <w:rsid w:val="002F6479"/>
    <w:rsid w:val="002F6503"/>
    <w:rsid w:val="002F65A1"/>
    <w:rsid w:val="002F65E9"/>
    <w:rsid w:val="002F65F2"/>
    <w:rsid w:val="002F66B2"/>
    <w:rsid w:val="002F6B00"/>
    <w:rsid w:val="002F6BF3"/>
    <w:rsid w:val="002F7120"/>
    <w:rsid w:val="002F7433"/>
    <w:rsid w:val="002F754C"/>
    <w:rsid w:val="002F7824"/>
    <w:rsid w:val="002F7828"/>
    <w:rsid w:val="002F7A58"/>
    <w:rsid w:val="002F7B52"/>
    <w:rsid w:val="002F7C45"/>
    <w:rsid w:val="002F7CAC"/>
    <w:rsid w:val="002F7D62"/>
    <w:rsid w:val="002F7EAF"/>
    <w:rsid w:val="003003C6"/>
    <w:rsid w:val="0030051A"/>
    <w:rsid w:val="00300645"/>
    <w:rsid w:val="003007EC"/>
    <w:rsid w:val="00300933"/>
    <w:rsid w:val="00300990"/>
    <w:rsid w:val="00300999"/>
    <w:rsid w:val="00300A3D"/>
    <w:rsid w:val="00300C6B"/>
    <w:rsid w:val="00301127"/>
    <w:rsid w:val="00301150"/>
    <w:rsid w:val="003014AE"/>
    <w:rsid w:val="0030168F"/>
    <w:rsid w:val="003018CD"/>
    <w:rsid w:val="003018D7"/>
    <w:rsid w:val="003019C4"/>
    <w:rsid w:val="00301B60"/>
    <w:rsid w:val="00301C84"/>
    <w:rsid w:val="00301CA4"/>
    <w:rsid w:val="00301DA1"/>
    <w:rsid w:val="00301ED4"/>
    <w:rsid w:val="00301F22"/>
    <w:rsid w:val="003021DC"/>
    <w:rsid w:val="00302216"/>
    <w:rsid w:val="003022DC"/>
    <w:rsid w:val="003022F1"/>
    <w:rsid w:val="00302403"/>
    <w:rsid w:val="0030247C"/>
    <w:rsid w:val="00302726"/>
    <w:rsid w:val="00302844"/>
    <w:rsid w:val="00302C4F"/>
    <w:rsid w:val="00302CA0"/>
    <w:rsid w:val="00302D5C"/>
    <w:rsid w:val="00302E75"/>
    <w:rsid w:val="00302F55"/>
    <w:rsid w:val="00303126"/>
    <w:rsid w:val="0030322C"/>
    <w:rsid w:val="003032FB"/>
    <w:rsid w:val="003034C4"/>
    <w:rsid w:val="003034CF"/>
    <w:rsid w:val="00303552"/>
    <w:rsid w:val="0030359A"/>
    <w:rsid w:val="003035B6"/>
    <w:rsid w:val="003036A2"/>
    <w:rsid w:val="003038D8"/>
    <w:rsid w:val="00303BEC"/>
    <w:rsid w:val="00303BF7"/>
    <w:rsid w:val="00303DAB"/>
    <w:rsid w:val="00303E53"/>
    <w:rsid w:val="0030413E"/>
    <w:rsid w:val="003043B6"/>
    <w:rsid w:val="0030444F"/>
    <w:rsid w:val="00304606"/>
    <w:rsid w:val="0030477E"/>
    <w:rsid w:val="00304861"/>
    <w:rsid w:val="00304BB3"/>
    <w:rsid w:val="00304BE2"/>
    <w:rsid w:val="00304BEF"/>
    <w:rsid w:val="00304C97"/>
    <w:rsid w:val="00304F48"/>
    <w:rsid w:val="0030514A"/>
    <w:rsid w:val="003052B8"/>
    <w:rsid w:val="0030540D"/>
    <w:rsid w:val="00305493"/>
    <w:rsid w:val="003054FA"/>
    <w:rsid w:val="00305675"/>
    <w:rsid w:val="0030586B"/>
    <w:rsid w:val="00305AA9"/>
    <w:rsid w:val="00305B28"/>
    <w:rsid w:val="00305BDE"/>
    <w:rsid w:val="00305CC1"/>
    <w:rsid w:val="00305F30"/>
    <w:rsid w:val="0030630E"/>
    <w:rsid w:val="0030635E"/>
    <w:rsid w:val="00306462"/>
    <w:rsid w:val="003065B8"/>
    <w:rsid w:val="0030668D"/>
    <w:rsid w:val="003066E1"/>
    <w:rsid w:val="0030674E"/>
    <w:rsid w:val="00306752"/>
    <w:rsid w:val="003067AD"/>
    <w:rsid w:val="003068C7"/>
    <w:rsid w:val="003068F1"/>
    <w:rsid w:val="00306944"/>
    <w:rsid w:val="00306951"/>
    <w:rsid w:val="00306A4D"/>
    <w:rsid w:val="00306AC8"/>
    <w:rsid w:val="00306C15"/>
    <w:rsid w:val="00306E5F"/>
    <w:rsid w:val="00306F96"/>
    <w:rsid w:val="00307147"/>
    <w:rsid w:val="0030721A"/>
    <w:rsid w:val="00307460"/>
    <w:rsid w:val="00307531"/>
    <w:rsid w:val="0030774C"/>
    <w:rsid w:val="003078BF"/>
    <w:rsid w:val="00307E14"/>
    <w:rsid w:val="00310158"/>
    <w:rsid w:val="003101EA"/>
    <w:rsid w:val="0031038C"/>
    <w:rsid w:val="003105A0"/>
    <w:rsid w:val="00310767"/>
    <w:rsid w:val="00310BA2"/>
    <w:rsid w:val="00310CC9"/>
    <w:rsid w:val="00310DEF"/>
    <w:rsid w:val="0031104C"/>
    <w:rsid w:val="0031171F"/>
    <w:rsid w:val="00311759"/>
    <w:rsid w:val="003117CA"/>
    <w:rsid w:val="00311877"/>
    <w:rsid w:val="0031188A"/>
    <w:rsid w:val="003118D0"/>
    <w:rsid w:val="00311B6A"/>
    <w:rsid w:val="00311E76"/>
    <w:rsid w:val="00311EDF"/>
    <w:rsid w:val="00311FE4"/>
    <w:rsid w:val="003120C6"/>
    <w:rsid w:val="0031238A"/>
    <w:rsid w:val="0031239E"/>
    <w:rsid w:val="00312552"/>
    <w:rsid w:val="0031263E"/>
    <w:rsid w:val="003128CF"/>
    <w:rsid w:val="003128DD"/>
    <w:rsid w:val="00312966"/>
    <w:rsid w:val="00312AD9"/>
    <w:rsid w:val="00312C6E"/>
    <w:rsid w:val="00312C8F"/>
    <w:rsid w:val="003130DB"/>
    <w:rsid w:val="003131EE"/>
    <w:rsid w:val="0031368E"/>
    <w:rsid w:val="003137DB"/>
    <w:rsid w:val="00313960"/>
    <w:rsid w:val="00313992"/>
    <w:rsid w:val="00313A66"/>
    <w:rsid w:val="00313B69"/>
    <w:rsid w:val="00313EB0"/>
    <w:rsid w:val="00314054"/>
    <w:rsid w:val="00314230"/>
    <w:rsid w:val="00314393"/>
    <w:rsid w:val="003146DF"/>
    <w:rsid w:val="0031484D"/>
    <w:rsid w:val="0031487E"/>
    <w:rsid w:val="00314910"/>
    <w:rsid w:val="00314947"/>
    <w:rsid w:val="00314983"/>
    <w:rsid w:val="003149E6"/>
    <w:rsid w:val="00314B8A"/>
    <w:rsid w:val="00314BDC"/>
    <w:rsid w:val="00314C85"/>
    <w:rsid w:val="00314FC6"/>
    <w:rsid w:val="0031507D"/>
    <w:rsid w:val="00315270"/>
    <w:rsid w:val="00315329"/>
    <w:rsid w:val="0031539D"/>
    <w:rsid w:val="00315407"/>
    <w:rsid w:val="003154C0"/>
    <w:rsid w:val="003155D5"/>
    <w:rsid w:val="003155F5"/>
    <w:rsid w:val="00315804"/>
    <w:rsid w:val="00315995"/>
    <w:rsid w:val="00315CF9"/>
    <w:rsid w:val="00315F1D"/>
    <w:rsid w:val="003161AE"/>
    <w:rsid w:val="003165B5"/>
    <w:rsid w:val="0031669F"/>
    <w:rsid w:val="0031677C"/>
    <w:rsid w:val="00316815"/>
    <w:rsid w:val="003169D4"/>
    <w:rsid w:val="00316E50"/>
    <w:rsid w:val="00316F27"/>
    <w:rsid w:val="00316F96"/>
    <w:rsid w:val="003172FA"/>
    <w:rsid w:val="00317514"/>
    <w:rsid w:val="003176A9"/>
    <w:rsid w:val="00317969"/>
    <w:rsid w:val="00317A46"/>
    <w:rsid w:val="00317BF3"/>
    <w:rsid w:val="00317ED4"/>
    <w:rsid w:val="00317F8B"/>
    <w:rsid w:val="00320095"/>
    <w:rsid w:val="003202FB"/>
    <w:rsid w:val="00320305"/>
    <w:rsid w:val="0032049F"/>
    <w:rsid w:val="003204ED"/>
    <w:rsid w:val="00320525"/>
    <w:rsid w:val="003205D9"/>
    <w:rsid w:val="00320641"/>
    <w:rsid w:val="00320765"/>
    <w:rsid w:val="003208A0"/>
    <w:rsid w:val="003209C3"/>
    <w:rsid w:val="00320B07"/>
    <w:rsid w:val="00320BD4"/>
    <w:rsid w:val="00320C17"/>
    <w:rsid w:val="00320D4F"/>
    <w:rsid w:val="00320E08"/>
    <w:rsid w:val="00321076"/>
    <w:rsid w:val="0032127B"/>
    <w:rsid w:val="003212C7"/>
    <w:rsid w:val="00321450"/>
    <w:rsid w:val="003214F1"/>
    <w:rsid w:val="00321796"/>
    <w:rsid w:val="00321A3B"/>
    <w:rsid w:val="00321A51"/>
    <w:rsid w:val="00321C13"/>
    <w:rsid w:val="00321DA1"/>
    <w:rsid w:val="00321EF4"/>
    <w:rsid w:val="0032209D"/>
    <w:rsid w:val="00322375"/>
    <w:rsid w:val="0032278C"/>
    <w:rsid w:val="00322832"/>
    <w:rsid w:val="00322B02"/>
    <w:rsid w:val="00322CAA"/>
    <w:rsid w:val="00322E4B"/>
    <w:rsid w:val="0032323D"/>
    <w:rsid w:val="0032349B"/>
    <w:rsid w:val="00323501"/>
    <w:rsid w:val="0032357E"/>
    <w:rsid w:val="0032367D"/>
    <w:rsid w:val="00323748"/>
    <w:rsid w:val="003237CA"/>
    <w:rsid w:val="003239D1"/>
    <w:rsid w:val="00323ADD"/>
    <w:rsid w:val="00323B9A"/>
    <w:rsid w:val="00323C52"/>
    <w:rsid w:val="00323D56"/>
    <w:rsid w:val="00323E36"/>
    <w:rsid w:val="00323E42"/>
    <w:rsid w:val="0032428F"/>
    <w:rsid w:val="003242EA"/>
    <w:rsid w:val="00324359"/>
    <w:rsid w:val="003243EC"/>
    <w:rsid w:val="003244D9"/>
    <w:rsid w:val="00324B1C"/>
    <w:rsid w:val="00324B29"/>
    <w:rsid w:val="00324CC5"/>
    <w:rsid w:val="00324CF1"/>
    <w:rsid w:val="00324F73"/>
    <w:rsid w:val="00324FCE"/>
    <w:rsid w:val="00325148"/>
    <w:rsid w:val="00325187"/>
    <w:rsid w:val="003253A5"/>
    <w:rsid w:val="00325536"/>
    <w:rsid w:val="003257FD"/>
    <w:rsid w:val="0032588D"/>
    <w:rsid w:val="003258C6"/>
    <w:rsid w:val="00325931"/>
    <w:rsid w:val="0032597F"/>
    <w:rsid w:val="00325A49"/>
    <w:rsid w:val="00325BFF"/>
    <w:rsid w:val="00325DFE"/>
    <w:rsid w:val="00325F26"/>
    <w:rsid w:val="00325F7C"/>
    <w:rsid w:val="003260B8"/>
    <w:rsid w:val="003260E7"/>
    <w:rsid w:val="003260EB"/>
    <w:rsid w:val="003265DD"/>
    <w:rsid w:val="00326779"/>
    <w:rsid w:val="003268A7"/>
    <w:rsid w:val="0032696A"/>
    <w:rsid w:val="00326A14"/>
    <w:rsid w:val="00326E09"/>
    <w:rsid w:val="00326F82"/>
    <w:rsid w:val="003272BA"/>
    <w:rsid w:val="00327635"/>
    <w:rsid w:val="00327695"/>
    <w:rsid w:val="00327846"/>
    <w:rsid w:val="00327870"/>
    <w:rsid w:val="003278D0"/>
    <w:rsid w:val="00327A3C"/>
    <w:rsid w:val="00327ABC"/>
    <w:rsid w:val="00327D4F"/>
    <w:rsid w:val="00327D67"/>
    <w:rsid w:val="00327DEC"/>
    <w:rsid w:val="00327ECE"/>
    <w:rsid w:val="00330135"/>
    <w:rsid w:val="00330155"/>
    <w:rsid w:val="00330383"/>
    <w:rsid w:val="00330423"/>
    <w:rsid w:val="0033058B"/>
    <w:rsid w:val="00330742"/>
    <w:rsid w:val="0033093F"/>
    <w:rsid w:val="00330963"/>
    <w:rsid w:val="00330A43"/>
    <w:rsid w:val="00330A75"/>
    <w:rsid w:val="00330B62"/>
    <w:rsid w:val="00330E92"/>
    <w:rsid w:val="00330F07"/>
    <w:rsid w:val="00330F3C"/>
    <w:rsid w:val="00330F71"/>
    <w:rsid w:val="00331107"/>
    <w:rsid w:val="00331173"/>
    <w:rsid w:val="003311B3"/>
    <w:rsid w:val="00331757"/>
    <w:rsid w:val="00331914"/>
    <w:rsid w:val="003319F7"/>
    <w:rsid w:val="00331BE0"/>
    <w:rsid w:val="00331BE1"/>
    <w:rsid w:val="00331C3B"/>
    <w:rsid w:val="00331E15"/>
    <w:rsid w:val="00331EF2"/>
    <w:rsid w:val="00331FD0"/>
    <w:rsid w:val="003320A8"/>
    <w:rsid w:val="003320ED"/>
    <w:rsid w:val="00332184"/>
    <w:rsid w:val="0033219F"/>
    <w:rsid w:val="0033259D"/>
    <w:rsid w:val="0033279D"/>
    <w:rsid w:val="00332801"/>
    <w:rsid w:val="0033296B"/>
    <w:rsid w:val="00332A75"/>
    <w:rsid w:val="00332AA0"/>
    <w:rsid w:val="00332B74"/>
    <w:rsid w:val="00332CBB"/>
    <w:rsid w:val="00332EE2"/>
    <w:rsid w:val="0033327E"/>
    <w:rsid w:val="003333D2"/>
    <w:rsid w:val="003334BF"/>
    <w:rsid w:val="0033365B"/>
    <w:rsid w:val="00333BD0"/>
    <w:rsid w:val="00333CA8"/>
    <w:rsid w:val="00333E25"/>
    <w:rsid w:val="00333E75"/>
    <w:rsid w:val="00333F85"/>
    <w:rsid w:val="00333F9D"/>
    <w:rsid w:val="00334284"/>
    <w:rsid w:val="00334686"/>
    <w:rsid w:val="00334A9E"/>
    <w:rsid w:val="00334F71"/>
    <w:rsid w:val="00334F99"/>
    <w:rsid w:val="0033504B"/>
    <w:rsid w:val="003350CA"/>
    <w:rsid w:val="00335113"/>
    <w:rsid w:val="00335215"/>
    <w:rsid w:val="003352FD"/>
    <w:rsid w:val="003355BB"/>
    <w:rsid w:val="003358BC"/>
    <w:rsid w:val="003359D0"/>
    <w:rsid w:val="003359FD"/>
    <w:rsid w:val="00335AE8"/>
    <w:rsid w:val="00335BBC"/>
    <w:rsid w:val="00335CD9"/>
    <w:rsid w:val="00335D61"/>
    <w:rsid w:val="00335DBC"/>
    <w:rsid w:val="0033617A"/>
    <w:rsid w:val="003361B7"/>
    <w:rsid w:val="00336276"/>
    <w:rsid w:val="0033645C"/>
    <w:rsid w:val="00336716"/>
    <w:rsid w:val="0033684D"/>
    <w:rsid w:val="00336A18"/>
    <w:rsid w:val="00336C0E"/>
    <w:rsid w:val="00336C1F"/>
    <w:rsid w:val="00336DFD"/>
    <w:rsid w:val="0033722F"/>
    <w:rsid w:val="00337339"/>
    <w:rsid w:val="00337573"/>
    <w:rsid w:val="003375C8"/>
    <w:rsid w:val="00337629"/>
    <w:rsid w:val="00337655"/>
    <w:rsid w:val="003376BF"/>
    <w:rsid w:val="00337BCC"/>
    <w:rsid w:val="00337E0C"/>
    <w:rsid w:val="00337E9C"/>
    <w:rsid w:val="00337EFE"/>
    <w:rsid w:val="00337F70"/>
    <w:rsid w:val="00340128"/>
    <w:rsid w:val="0034017B"/>
    <w:rsid w:val="00340345"/>
    <w:rsid w:val="003404CD"/>
    <w:rsid w:val="00340592"/>
    <w:rsid w:val="003406C6"/>
    <w:rsid w:val="00340845"/>
    <w:rsid w:val="00340881"/>
    <w:rsid w:val="0034090D"/>
    <w:rsid w:val="00340BAD"/>
    <w:rsid w:val="00341000"/>
    <w:rsid w:val="003410C0"/>
    <w:rsid w:val="0034128E"/>
    <w:rsid w:val="00341503"/>
    <w:rsid w:val="003415E0"/>
    <w:rsid w:val="003416D8"/>
    <w:rsid w:val="00341834"/>
    <w:rsid w:val="003418BD"/>
    <w:rsid w:val="003418CC"/>
    <w:rsid w:val="00341BAF"/>
    <w:rsid w:val="00341E07"/>
    <w:rsid w:val="00341EBA"/>
    <w:rsid w:val="00341F46"/>
    <w:rsid w:val="0034234F"/>
    <w:rsid w:val="003424EB"/>
    <w:rsid w:val="003426C3"/>
    <w:rsid w:val="00342CEC"/>
    <w:rsid w:val="0034301E"/>
    <w:rsid w:val="00343258"/>
    <w:rsid w:val="0034337A"/>
    <w:rsid w:val="0034341D"/>
    <w:rsid w:val="003434EE"/>
    <w:rsid w:val="003435EE"/>
    <w:rsid w:val="003435F6"/>
    <w:rsid w:val="00343619"/>
    <w:rsid w:val="003436A6"/>
    <w:rsid w:val="00343930"/>
    <w:rsid w:val="00343C0F"/>
    <w:rsid w:val="00343D5B"/>
    <w:rsid w:val="00343F0A"/>
    <w:rsid w:val="00343FFF"/>
    <w:rsid w:val="003443D7"/>
    <w:rsid w:val="00344474"/>
    <w:rsid w:val="00344505"/>
    <w:rsid w:val="003447A2"/>
    <w:rsid w:val="00344835"/>
    <w:rsid w:val="00344A0C"/>
    <w:rsid w:val="00344A74"/>
    <w:rsid w:val="00344B27"/>
    <w:rsid w:val="00344B49"/>
    <w:rsid w:val="00344BE3"/>
    <w:rsid w:val="00344BFA"/>
    <w:rsid w:val="00344CC1"/>
    <w:rsid w:val="00344F2D"/>
    <w:rsid w:val="00344FE5"/>
    <w:rsid w:val="00344FEC"/>
    <w:rsid w:val="00345163"/>
    <w:rsid w:val="003451A2"/>
    <w:rsid w:val="003451C9"/>
    <w:rsid w:val="00345206"/>
    <w:rsid w:val="00345221"/>
    <w:rsid w:val="0034525D"/>
    <w:rsid w:val="00345295"/>
    <w:rsid w:val="0034536A"/>
    <w:rsid w:val="003455DC"/>
    <w:rsid w:val="00345705"/>
    <w:rsid w:val="003457C9"/>
    <w:rsid w:val="00345898"/>
    <w:rsid w:val="0034591A"/>
    <w:rsid w:val="0034595E"/>
    <w:rsid w:val="00345993"/>
    <w:rsid w:val="00345998"/>
    <w:rsid w:val="003459B5"/>
    <w:rsid w:val="003459BD"/>
    <w:rsid w:val="00345C00"/>
    <w:rsid w:val="00346026"/>
    <w:rsid w:val="0034605C"/>
    <w:rsid w:val="003461D9"/>
    <w:rsid w:val="00346291"/>
    <w:rsid w:val="003464A5"/>
    <w:rsid w:val="0034652D"/>
    <w:rsid w:val="00346884"/>
    <w:rsid w:val="00346897"/>
    <w:rsid w:val="003469F6"/>
    <w:rsid w:val="00346A10"/>
    <w:rsid w:val="00346FAB"/>
    <w:rsid w:val="00346FC8"/>
    <w:rsid w:val="00347079"/>
    <w:rsid w:val="003470DA"/>
    <w:rsid w:val="0034729F"/>
    <w:rsid w:val="0034733D"/>
    <w:rsid w:val="00347424"/>
    <w:rsid w:val="0034763C"/>
    <w:rsid w:val="0034764F"/>
    <w:rsid w:val="0034770E"/>
    <w:rsid w:val="00347736"/>
    <w:rsid w:val="00347A5A"/>
    <w:rsid w:val="00347A8C"/>
    <w:rsid w:val="00347AAD"/>
    <w:rsid w:val="00347C78"/>
    <w:rsid w:val="00347F10"/>
    <w:rsid w:val="00350080"/>
    <w:rsid w:val="0035020D"/>
    <w:rsid w:val="00350218"/>
    <w:rsid w:val="00350227"/>
    <w:rsid w:val="00350555"/>
    <w:rsid w:val="00350565"/>
    <w:rsid w:val="00350D38"/>
    <w:rsid w:val="00350D80"/>
    <w:rsid w:val="00350DB8"/>
    <w:rsid w:val="00350EF3"/>
    <w:rsid w:val="00350FBC"/>
    <w:rsid w:val="0035111B"/>
    <w:rsid w:val="00351296"/>
    <w:rsid w:val="00351343"/>
    <w:rsid w:val="003517C5"/>
    <w:rsid w:val="003517E5"/>
    <w:rsid w:val="00351830"/>
    <w:rsid w:val="00351B14"/>
    <w:rsid w:val="00351B36"/>
    <w:rsid w:val="00351B84"/>
    <w:rsid w:val="00351C42"/>
    <w:rsid w:val="00351C8C"/>
    <w:rsid w:val="00351FBC"/>
    <w:rsid w:val="00351FED"/>
    <w:rsid w:val="00352163"/>
    <w:rsid w:val="0035232E"/>
    <w:rsid w:val="0035233C"/>
    <w:rsid w:val="00352475"/>
    <w:rsid w:val="00352774"/>
    <w:rsid w:val="003529EE"/>
    <w:rsid w:val="00352A3B"/>
    <w:rsid w:val="00352D9B"/>
    <w:rsid w:val="00352E50"/>
    <w:rsid w:val="00352EEC"/>
    <w:rsid w:val="00352F87"/>
    <w:rsid w:val="003530C9"/>
    <w:rsid w:val="00353277"/>
    <w:rsid w:val="00353301"/>
    <w:rsid w:val="003536E3"/>
    <w:rsid w:val="003537B8"/>
    <w:rsid w:val="00353817"/>
    <w:rsid w:val="0035381D"/>
    <w:rsid w:val="003538E1"/>
    <w:rsid w:val="0035397E"/>
    <w:rsid w:val="00353A75"/>
    <w:rsid w:val="00353CC9"/>
    <w:rsid w:val="00353D52"/>
    <w:rsid w:val="00353EDC"/>
    <w:rsid w:val="00353F8F"/>
    <w:rsid w:val="00354046"/>
    <w:rsid w:val="003541F0"/>
    <w:rsid w:val="00354215"/>
    <w:rsid w:val="003543BC"/>
    <w:rsid w:val="00354782"/>
    <w:rsid w:val="003549E9"/>
    <w:rsid w:val="00354BBA"/>
    <w:rsid w:val="00354E2E"/>
    <w:rsid w:val="0035503F"/>
    <w:rsid w:val="003550E7"/>
    <w:rsid w:val="00355272"/>
    <w:rsid w:val="003553FA"/>
    <w:rsid w:val="00355439"/>
    <w:rsid w:val="003556A0"/>
    <w:rsid w:val="003557AF"/>
    <w:rsid w:val="0035585D"/>
    <w:rsid w:val="003558A0"/>
    <w:rsid w:val="003558A9"/>
    <w:rsid w:val="0035597F"/>
    <w:rsid w:val="003559FD"/>
    <w:rsid w:val="00355A95"/>
    <w:rsid w:val="00355D9D"/>
    <w:rsid w:val="00355E1F"/>
    <w:rsid w:val="00355F74"/>
    <w:rsid w:val="00355F7E"/>
    <w:rsid w:val="003560F4"/>
    <w:rsid w:val="0035611F"/>
    <w:rsid w:val="00356157"/>
    <w:rsid w:val="003563CD"/>
    <w:rsid w:val="003565BC"/>
    <w:rsid w:val="003565D4"/>
    <w:rsid w:val="00356757"/>
    <w:rsid w:val="00356A17"/>
    <w:rsid w:val="00356A9E"/>
    <w:rsid w:val="00356CF5"/>
    <w:rsid w:val="00356D73"/>
    <w:rsid w:val="00356ECC"/>
    <w:rsid w:val="00356F29"/>
    <w:rsid w:val="00356FE5"/>
    <w:rsid w:val="00357052"/>
    <w:rsid w:val="003571AC"/>
    <w:rsid w:val="003574FD"/>
    <w:rsid w:val="0035759B"/>
    <w:rsid w:val="003575AC"/>
    <w:rsid w:val="00357B1B"/>
    <w:rsid w:val="00357B4E"/>
    <w:rsid w:val="00357DAC"/>
    <w:rsid w:val="00357DF1"/>
    <w:rsid w:val="00360243"/>
    <w:rsid w:val="0036035A"/>
    <w:rsid w:val="00360551"/>
    <w:rsid w:val="0036070A"/>
    <w:rsid w:val="003609AC"/>
    <w:rsid w:val="003609C5"/>
    <w:rsid w:val="00360C7F"/>
    <w:rsid w:val="00360D4A"/>
    <w:rsid w:val="00360D92"/>
    <w:rsid w:val="00360DAB"/>
    <w:rsid w:val="00361156"/>
    <w:rsid w:val="003613E0"/>
    <w:rsid w:val="003614FB"/>
    <w:rsid w:val="003615A0"/>
    <w:rsid w:val="003617A8"/>
    <w:rsid w:val="00361ACB"/>
    <w:rsid w:val="00361C55"/>
    <w:rsid w:val="00361CF2"/>
    <w:rsid w:val="00361E98"/>
    <w:rsid w:val="00361F8D"/>
    <w:rsid w:val="00362042"/>
    <w:rsid w:val="00362638"/>
    <w:rsid w:val="003626C8"/>
    <w:rsid w:val="0036277B"/>
    <w:rsid w:val="003627E1"/>
    <w:rsid w:val="003629BA"/>
    <w:rsid w:val="00362B0E"/>
    <w:rsid w:val="00362BF7"/>
    <w:rsid w:val="00362EE9"/>
    <w:rsid w:val="003632F6"/>
    <w:rsid w:val="003633D3"/>
    <w:rsid w:val="00363410"/>
    <w:rsid w:val="003634FA"/>
    <w:rsid w:val="0036350D"/>
    <w:rsid w:val="00363656"/>
    <w:rsid w:val="003636AD"/>
    <w:rsid w:val="003638E2"/>
    <w:rsid w:val="00363B53"/>
    <w:rsid w:val="00363C51"/>
    <w:rsid w:val="00363F7A"/>
    <w:rsid w:val="003641BC"/>
    <w:rsid w:val="003641F9"/>
    <w:rsid w:val="0036422F"/>
    <w:rsid w:val="00364578"/>
    <w:rsid w:val="00364926"/>
    <w:rsid w:val="0036492C"/>
    <w:rsid w:val="00364A4F"/>
    <w:rsid w:val="00364D55"/>
    <w:rsid w:val="00364FD2"/>
    <w:rsid w:val="00365126"/>
    <w:rsid w:val="003654A5"/>
    <w:rsid w:val="003655BE"/>
    <w:rsid w:val="00365675"/>
    <w:rsid w:val="0036578B"/>
    <w:rsid w:val="003657F7"/>
    <w:rsid w:val="00365976"/>
    <w:rsid w:val="003659E2"/>
    <w:rsid w:val="00365F00"/>
    <w:rsid w:val="00366911"/>
    <w:rsid w:val="003669D2"/>
    <w:rsid w:val="00366A36"/>
    <w:rsid w:val="00366FD3"/>
    <w:rsid w:val="003670A8"/>
    <w:rsid w:val="0036725C"/>
    <w:rsid w:val="00367701"/>
    <w:rsid w:val="00367760"/>
    <w:rsid w:val="00367ABF"/>
    <w:rsid w:val="00367B55"/>
    <w:rsid w:val="00367E39"/>
    <w:rsid w:val="00367E55"/>
    <w:rsid w:val="003702D5"/>
    <w:rsid w:val="00370309"/>
    <w:rsid w:val="00370458"/>
    <w:rsid w:val="003706BC"/>
    <w:rsid w:val="00370762"/>
    <w:rsid w:val="00370C2A"/>
    <w:rsid w:val="00370DEB"/>
    <w:rsid w:val="003711A4"/>
    <w:rsid w:val="00371240"/>
    <w:rsid w:val="00371350"/>
    <w:rsid w:val="00371573"/>
    <w:rsid w:val="003715D3"/>
    <w:rsid w:val="003716AD"/>
    <w:rsid w:val="003716FD"/>
    <w:rsid w:val="003718E6"/>
    <w:rsid w:val="00371B41"/>
    <w:rsid w:val="00371DE7"/>
    <w:rsid w:val="0037204B"/>
    <w:rsid w:val="0037217B"/>
    <w:rsid w:val="00372340"/>
    <w:rsid w:val="003723F7"/>
    <w:rsid w:val="003725D7"/>
    <w:rsid w:val="003726EB"/>
    <w:rsid w:val="003728D2"/>
    <w:rsid w:val="00372CBE"/>
    <w:rsid w:val="00372D72"/>
    <w:rsid w:val="00372F14"/>
    <w:rsid w:val="0037307F"/>
    <w:rsid w:val="003732FF"/>
    <w:rsid w:val="0037333E"/>
    <w:rsid w:val="00373376"/>
    <w:rsid w:val="00373426"/>
    <w:rsid w:val="003735CE"/>
    <w:rsid w:val="00373900"/>
    <w:rsid w:val="00373A5D"/>
    <w:rsid w:val="00373B8B"/>
    <w:rsid w:val="00374027"/>
    <w:rsid w:val="00374049"/>
    <w:rsid w:val="00374067"/>
    <w:rsid w:val="0037408E"/>
    <w:rsid w:val="003741A3"/>
    <w:rsid w:val="003744CF"/>
    <w:rsid w:val="00374617"/>
    <w:rsid w:val="003746DD"/>
    <w:rsid w:val="003746E9"/>
    <w:rsid w:val="00374717"/>
    <w:rsid w:val="0037472D"/>
    <w:rsid w:val="00374803"/>
    <w:rsid w:val="00374A07"/>
    <w:rsid w:val="00374B37"/>
    <w:rsid w:val="00374EE1"/>
    <w:rsid w:val="003752AD"/>
    <w:rsid w:val="00375313"/>
    <w:rsid w:val="0037540C"/>
    <w:rsid w:val="00375482"/>
    <w:rsid w:val="003754B8"/>
    <w:rsid w:val="003754C7"/>
    <w:rsid w:val="003754D4"/>
    <w:rsid w:val="00375661"/>
    <w:rsid w:val="003757C3"/>
    <w:rsid w:val="00375985"/>
    <w:rsid w:val="00375CDE"/>
    <w:rsid w:val="00375DE5"/>
    <w:rsid w:val="0037600F"/>
    <w:rsid w:val="003761A5"/>
    <w:rsid w:val="00376383"/>
    <w:rsid w:val="0037639A"/>
    <w:rsid w:val="00376505"/>
    <w:rsid w:val="00376559"/>
    <w:rsid w:val="00376731"/>
    <w:rsid w:val="0037676C"/>
    <w:rsid w:val="003767B4"/>
    <w:rsid w:val="003767C2"/>
    <w:rsid w:val="0037685C"/>
    <w:rsid w:val="00376864"/>
    <w:rsid w:val="003769DD"/>
    <w:rsid w:val="00376B9B"/>
    <w:rsid w:val="00376D7E"/>
    <w:rsid w:val="00376F04"/>
    <w:rsid w:val="00377168"/>
    <w:rsid w:val="003772BF"/>
    <w:rsid w:val="003774BB"/>
    <w:rsid w:val="0037753E"/>
    <w:rsid w:val="0037759E"/>
    <w:rsid w:val="003775B0"/>
    <w:rsid w:val="0037760C"/>
    <w:rsid w:val="003776A5"/>
    <w:rsid w:val="0037773E"/>
    <w:rsid w:val="00377851"/>
    <w:rsid w:val="00377875"/>
    <w:rsid w:val="00377C61"/>
    <w:rsid w:val="00377D6F"/>
    <w:rsid w:val="00377DAA"/>
    <w:rsid w:val="00377E46"/>
    <w:rsid w:val="00377E91"/>
    <w:rsid w:val="00377EC3"/>
    <w:rsid w:val="00380068"/>
    <w:rsid w:val="003800B8"/>
    <w:rsid w:val="00380210"/>
    <w:rsid w:val="00380317"/>
    <w:rsid w:val="0038035E"/>
    <w:rsid w:val="00380447"/>
    <w:rsid w:val="0038070A"/>
    <w:rsid w:val="00380894"/>
    <w:rsid w:val="003808A0"/>
    <w:rsid w:val="003808A3"/>
    <w:rsid w:val="00380954"/>
    <w:rsid w:val="003809E8"/>
    <w:rsid w:val="00380CEF"/>
    <w:rsid w:val="00380F9D"/>
    <w:rsid w:val="00380FB8"/>
    <w:rsid w:val="00380FF5"/>
    <w:rsid w:val="00381043"/>
    <w:rsid w:val="003810EB"/>
    <w:rsid w:val="003812BF"/>
    <w:rsid w:val="003814EF"/>
    <w:rsid w:val="00381524"/>
    <w:rsid w:val="0038184F"/>
    <w:rsid w:val="00381876"/>
    <w:rsid w:val="00381D1B"/>
    <w:rsid w:val="00381D47"/>
    <w:rsid w:val="003820A0"/>
    <w:rsid w:val="003822D5"/>
    <w:rsid w:val="0038238A"/>
    <w:rsid w:val="00382863"/>
    <w:rsid w:val="00382888"/>
    <w:rsid w:val="003829E5"/>
    <w:rsid w:val="00382B42"/>
    <w:rsid w:val="00382E54"/>
    <w:rsid w:val="00382F8D"/>
    <w:rsid w:val="00383023"/>
    <w:rsid w:val="003831B5"/>
    <w:rsid w:val="00383691"/>
    <w:rsid w:val="003836C8"/>
    <w:rsid w:val="00383875"/>
    <w:rsid w:val="0038389D"/>
    <w:rsid w:val="0038393B"/>
    <w:rsid w:val="00383A5E"/>
    <w:rsid w:val="00383C58"/>
    <w:rsid w:val="00383CDE"/>
    <w:rsid w:val="00383D5B"/>
    <w:rsid w:val="00383E2B"/>
    <w:rsid w:val="00383F2C"/>
    <w:rsid w:val="00384091"/>
    <w:rsid w:val="003841B0"/>
    <w:rsid w:val="00384268"/>
    <w:rsid w:val="003845D5"/>
    <w:rsid w:val="0038473E"/>
    <w:rsid w:val="0038476E"/>
    <w:rsid w:val="00384960"/>
    <w:rsid w:val="0038497C"/>
    <w:rsid w:val="003849C6"/>
    <w:rsid w:val="00384A2F"/>
    <w:rsid w:val="00384B24"/>
    <w:rsid w:val="00384B64"/>
    <w:rsid w:val="00384C0D"/>
    <w:rsid w:val="00384F9B"/>
    <w:rsid w:val="00384FCD"/>
    <w:rsid w:val="00385228"/>
    <w:rsid w:val="00385616"/>
    <w:rsid w:val="00385632"/>
    <w:rsid w:val="00385779"/>
    <w:rsid w:val="00385B9E"/>
    <w:rsid w:val="00386109"/>
    <w:rsid w:val="00386232"/>
    <w:rsid w:val="003862B9"/>
    <w:rsid w:val="003862DE"/>
    <w:rsid w:val="00386331"/>
    <w:rsid w:val="003864D8"/>
    <w:rsid w:val="0038655A"/>
    <w:rsid w:val="0038672F"/>
    <w:rsid w:val="003868BB"/>
    <w:rsid w:val="003868C0"/>
    <w:rsid w:val="003868DF"/>
    <w:rsid w:val="00386944"/>
    <w:rsid w:val="00386977"/>
    <w:rsid w:val="003869D5"/>
    <w:rsid w:val="00386D77"/>
    <w:rsid w:val="00386DDA"/>
    <w:rsid w:val="00386E06"/>
    <w:rsid w:val="00387178"/>
    <w:rsid w:val="003871BA"/>
    <w:rsid w:val="0038738F"/>
    <w:rsid w:val="003876AD"/>
    <w:rsid w:val="00387790"/>
    <w:rsid w:val="0038787B"/>
    <w:rsid w:val="00387957"/>
    <w:rsid w:val="00387AF2"/>
    <w:rsid w:val="00387CF3"/>
    <w:rsid w:val="00387E15"/>
    <w:rsid w:val="00387E6A"/>
    <w:rsid w:val="00387F14"/>
    <w:rsid w:val="00390194"/>
    <w:rsid w:val="00390272"/>
    <w:rsid w:val="0039030B"/>
    <w:rsid w:val="0039046D"/>
    <w:rsid w:val="00390485"/>
    <w:rsid w:val="00390732"/>
    <w:rsid w:val="0039081E"/>
    <w:rsid w:val="00390A15"/>
    <w:rsid w:val="00390B72"/>
    <w:rsid w:val="00390DA8"/>
    <w:rsid w:val="00390DB5"/>
    <w:rsid w:val="00390ECE"/>
    <w:rsid w:val="00391130"/>
    <w:rsid w:val="003913A0"/>
    <w:rsid w:val="003917E5"/>
    <w:rsid w:val="003918E3"/>
    <w:rsid w:val="00391B2D"/>
    <w:rsid w:val="00391BC9"/>
    <w:rsid w:val="00391E5B"/>
    <w:rsid w:val="00391EC0"/>
    <w:rsid w:val="00391F4B"/>
    <w:rsid w:val="0039219E"/>
    <w:rsid w:val="003924B5"/>
    <w:rsid w:val="003924E7"/>
    <w:rsid w:val="00392612"/>
    <w:rsid w:val="0039275A"/>
    <w:rsid w:val="0039277D"/>
    <w:rsid w:val="003929C1"/>
    <w:rsid w:val="00392A59"/>
    <w:rsid w:val="00392D50"/>
    <w:rsid w:val="00392FC7"/>
    <w:rsid w:val="00392FDB"/>
    <w:rsid w:val="00393042"/>
    <w:rsid w:val="003930CB"/>
    <w:rsid w:val="00393245"/>
    <w:rsid w:val="003933E2"/>
    <w:rsid w:val="00393419"/>
    <w:rsid w:val="00393503"/>
    <w:rsid w:val="0039363D"/>
    <w:rsid w:val="00393974"/>
    <w:rsid w:val="0039397B"/>
    <w:rsid w:val="00393CA6"/>
    <w:rsid w:val="00393F0F"/>
    <w:rsid w:val="00393FAF"/>
    <w:rsid w:val="00393FCA"/>
    <w:rsid w:val="0039403D"/>
    <w:rsid w:val="00394176"/>
    <w:rsid w:val="003941FA"/>
    <w:rsid w:val="00394207"/>
    <w:rsid w:val="0039432B"/>
    <w:rsid w:val="0039433D"/>
    <w:rsid w:val="0039492E"/>
    <w:rsid w:val="003949A7"/>
    <w:rsid w:val="00394DF2"/>
    <w:rsid w:val="00394EAA"/>
    <w:rsid w:val="00395099"/>
    <w:rsid w:val="00395195"/>
    <w:rsid w:val="003951A5"/>
    <w:rsid w:val="0039536B"/>
    <w:rsid w:val="003956CC"/>
    <w:rsid w:val="0039575D"/>
    <w:rsid w:val="00395B6F"/>
    <w:rsid w:val="00395C6C"/>
    <w:rsid w:val="00395C9A"/>
    <w:rsid w:val="00396089"/>
    <w:rsid w:val="0039616D"/>
    <w:rsid w:val="003962B6"/>
    <w:rsid w:val="0039634E"/>
    <w:rsid w:val="003963B9"/>
    <w:rsid w:val="003963FF"/>
    <w:rsid w:val="00396602"/>
    <w:rsid w:val="003966F3"/>
    <w:rsid w:val="003966F7"/>
    <w:rsid w:val="00396858"/>
    <w:rsid w:val="00396878"/>
    <w:rsid w:val="00396887"/>
    <w:rsid w:val="00396A6B"/>
    <w:rsid w:val="00396BA3"/>
    <w:rsid w:val="00396C14"/>
    <w:rsid w:val="00396F1D"/>
    <w:rsid w:val="003971D8"/>
    <w:rsid w:val="0039728A"/>
    <w:rsid w:val="003972AB"/>
    <w:rsid w:val="00397314"/>
    <w:rsid w:val="003973A6"/>
    <w:rsid w:val="00397533"/>
    <w:rsid w:val="00397B11"/>
    <w:rsid w:val="00397C46"/>
    <w:rsid w:val="003A0133"/>
    <w:rsid w:val="003A0147"/>
    <w:rsid w:val="003A0289"/>
    <w:rsid w:val="003A04F5"/>
    <w:rsid w:val="003A0503"/>
    <w:rsid w:val="003A0593"/>
    <w:rsid w:val="003A06AE"/>
    <w:rsid w:val="003A07A4"/>
    <w:rsid w:val="003A0853"/>
    <w:rsid w:val="003A0891"/>
    <w:rsid w:val="003A08BF"/>
    <w:rsid w:val="003A0F58"/>
    <w:rsid w:val="003A1195"/>
    <w:rsid w:val="003A1388"/>
    <w:rsid w:val="003A1667"/>
    <w:rsid w:val="003A17B4"/>
    <w:rsid w:val="003A1819"/>
    <w:rsid w:val="003A1CC0"/>
    <w:rsid w:val="003A1D41"/>
    <w:rsid w:val="003A1ECA"/>
    <w:rsid w:val="003A2069"/>
    <w:rsid w:val="003A21AB"/>
    <w:rsid w:val="003A21D1"/>
    <w:rsid w:val="003A21FE"/>
    <w:rsid w:val="003A248D"/>
    <w:rsid w:val="003A26EB"/>
    <w:rsid w:val="003A27BC"/>
    <w:rsid w:val="003A27F1"/>
    <w:rsid w:val="003A2877"/>
    <w:rsid w:val="003A28D4"/>
    <w:rsid w:val="003A2A85"/>
    <w:rsid w:val="003A2AF2"/>
    <w:rsid w:val="003A2BF5"/>
    <w:rsid w:val="003A2DB7"/>
    <w:rsid w:val="003A3125"/>
    <w:rsid w:val="003A3360"/>
    <w:rsid w:val="003A3452"/>
    <w:rsid w:val="003A36E3"/>
    <w:rsid w:val="003A3A41"/>
    <w:rsid w:val="003A3B9C"/>
    <w:rsid w:val="003A3E58"/>
    <w:rsid w:val="003A3EC7"/>
    <w:rsid w:val="003A3F81"/>
    <w:rsid w:val="003A4181"/>
    <w:rsid w:val="003A41FF"/>
    <w:rsid w:val="003A4208"/>
    <w:rsid w:val="003A4239"/>
    <w:rsid w:val="003A4264"/>
    <w:rsid w:val="003A4294"/>
    <w:rsid w:val="003A4437"/>
    <w:rsid w:val="003A459B"/>
    <w:rsid w:val="003A4711"/>
    <w:rsid w:val="003A485A"/>
    <w:rsid w:val="003A4A6B"/>
    <w:rsid w:val="003A4AB9"/>
    <w:rsid w:val="003A4CA3"/>
    <w:rsid w:val="003A4DEF"/>
    <w:rsid w:val="003A4FE8"/>
    <w:rsid w:val="003A52C8"/>
    <w:rsid w:val="003A53D0"/>
    <w:rsid w:val="003A54AD"/>
    <w:rsid w:val="003A54B9"/>
    <w:rsid w:val="003A5564"/>
    <w:rsid w:val="003A59CB"/>
    <w:rsid w:val="003A5AFF"/>
    <w:rsid w:val="003A5EFE"/>
    <w:rsid w:val="003A5F00"/>
    <w:rsid w:val="003A5F07"/>
    <w:rsid w:val="003A61E5"/>
    <w:rsid w:val="003A6323"/>
    <w:rsid w:val="003A63AD"/>
    <w:rsid w:val="003A6412"/>
    <w:rsid w:val="003A64D6"/>
    <w:rsid w:val="003A65ED"/>
    <w:rsid w:val="003A678D"/>
    <w:rsid w:val="003A68D7"/>
    <w:rsid w:val="003A69C9"/>
    <w:rsid w:val="003A6A05"/>
    <w:rsid w:val="003A6B67"/>
    <w:rsid w:val="003A6CF0"/>
    <w:rsid w:val="003A6F77"/>
    <w:rsid w:val="003A73BD"/>
    <w:rsid w:val="003A76A2"/>
    <w:rsid w:val="003A76C3"/>
    <w:rsid w:val="003A7A2D"/>
    <w:rsid w:val="003A7AC6"/>
    <w:rsid w:val="003A7B06"/>
    <w:rsid w:val="003A7DF3"/>
    <w:rsid w:val="003A7E1C"/>
    <w:rsid w:val="003A7F19"/>
    <w:rsid w:val="003A7F68"/>
    <w:rsid w:val="003B0145"/>
    <w:rsid w:val="003B0636"/>
    <w:rsid w:val="003B08A6"/>
    <w:rsid w:val="003B09AB"/>
    <w:rsid w:val="003B0AFA"/>
    <w:rsid w:val="003B0C07"/>
    <w:rsid w:val="003B0C94"/>
    <w:rsid w:val="003B0DB8"/>
    <w:rsid w:val="003B0E50"/>
    <w:rsid w:val="003B0E7B"/>
    <w:rsid w:val="003B0E86"/>
    <w:rsid w:val="003B0F22"/>
    <w:rsid w:val="003B0FBB"/>
    <w:rsid w:val="003B1014"/>
    <w:rsid w:val="003B1080"/>
    <w:rsid w:val="003B1134"/>
    <w:rsid w:val="003B1175"/>
    <w:rsid w:val="003B118A"/>
    <w:rsid w:val="003B12E5"/>
    <w:rsid w:val="003B13B6"/>
    <w:rsid w:val="003B14C3"/>
    <w:rsid w:val="003B15E6"/>
    <w:rsid w:val="003B15EC"/>
    <w:rsid w:val="003B169A"/>
    <w:rsid w:val="003B16CD"/>
    <w:rsid w:val="003B191C"/>
    <w:rsid w:val="003B1B42"/>
    <w:rsid w:val="003B1BD0"/>
    <w:rsid w:val="003B1BD5"/>
    <w:rsid w:val="003B1E3D"/>
    <w:rsid w:val="003B22EF"/>
    <w:rsid w:val="003B2407"/>
    <w:rsid w:val="003B25C6"/>
    <w:rsid w:val="003B26D5"/>
    <w:rsid w:val="003B2923"/>
    <w:rsid w:val="003B292C"/>
    <w:rsid w:val="003B2B72"/>
    <w:rsid w:val="003B2BA7"/>
    <w:rsid w:val="003B2BF7"/>
    <w:rsid w:val="003B2DC2"/>
    <w:rsid w:val="003B3215"/>
    <w:rsid w:val="003B36CC"/>
    <w:rsid w:val="003B3ABC"/>
    <w:rsid w:val="003B3BF8"/>
    <w:rsid w:val="003B3DE9"/>
    <w:rsid w:val="003B3E63"/>
    <w:rsid w:val="003B3F49"/>
    <w:rsid w:val="003B408A"/>
    <w:rsid w:val="003B4124"/>
    <w:rsid w:val="003B448B"/>
    <w:rsid w:val="003B45B4"/>
    <w:rsid w:val="003B46C8"/>
    <w:rsid w:val="003B4919"/>
    <w:rsid w:val="003B4B12"/>
    <w:rsid w:val="003B4C92"/>
    <w:rsid w:val="003B4CE2"/>
    <w:rsid w:val="003B4DE4"/>
    <w:rsid w:val="003B4ED6"/>
    <w:rsid w:val="003B50CA"/>
    <w:rsid w:val="003B5151"/>
    <w:rsid w:val="003B55A0"/>
    <w:rsid w:val="003B55EC"/>
    <w:rsid w:val="003B5AA8"/>
    <w:rsid w:val="003B5BB7"/>
    <w:rsid w:val="003B5EA6"/>
    <w:rsid w:val="003B6128"/>
    <w:rsid w:val="003B6129"/>
    <w:rsid w:val="003B633A"/>
    <w:rsid w:val="003B6633"/>
    <w:rsid w:val="003B6657"/>
    <w:rsid w:val="003B6B41"/>
    <w:rsid w:val="003B7439"/>
    <w:rsid w:val="003B76B4"/>
    <w:rsid w:val="003B77B9"/>
    <w:rsid w:val="003B785F"/>
    <w:rsid w:val="003B7A4C"/>
    <w:rsid w:val="003B7CFA"/>
    <w:rsid w:val="003B7E8B"/>
    <w:rsid w:val="003B7FCB"/>
    <w:rsid w:val="003C0326"/>
    <w:rsid w:val="003C0399"/>
    <w:rsid w:val="003C0466"/>
    <w:rsid w:val="003C05B3"/>
    <w:rsid w:val="003C0643"/>
    <w:rsid w:val="003C0795"/>
    <w:rsid w:val="003C0894"/>
    <w:rsid w:val="003C08A2"/>
    <w:rsid w:val="003C094F"/>
    <w:rsid w:val="003C0A0C"/>
    <w:rsid w:val="003C0B0B"/>
    <w:rsid w:val="003C0C21"/>
    <w:rsid w:val="003C0D84"/>
    <w:rsid w:val="003C0FF6"/>
    <w:rsid w:val="003C113F"/>
    <w:rsid w:val="003C138A"/>
    <w:rsid w:val="003C171D"/>
    <w:rsid w:val="003C18DA"/>
    <w:rsid w:val="003C19CE"/>
    <w:rsid w:val="003C1A1E"/>
    <w:rsid w:val="003C1A6D"/>
    <w:rsid w:val="003C1AEB"/>
    <w:rsid w:val="003C1BE0"/>
    <w:rsid w:val="003C2045"/>
    <w:rsid w:val="003C208B"/>
    <w:rsid w:val="003C2532"/>
    <w:rsid w:val="003C26FF"/>
    <w:rsid w:val="003C270D"/>
    <w:rsid w:val="003C2721"/>
    <w:rsid w:val="003C279F"/>
    <w:rsid w:val="003C289A"/>
    <w:rsid w:val="003C29D9"/>
    <w:rsid w:val="003C29F0"/>
    <w:rsid w:val="003C2A58"/>
    <w:rsid w:val="003C2A6E"/>
    <w:rsid w:val="003C2AF5"/>
    <w:rsid w:val="003C2B3F"/>
    <w:rsid w:val="003C2C1A"/>
    <w:rsid w:val="003C2EAC"/>
    <w:rsid w:val="003C2F52"/>
    <w:rsid w:val="003C3043"/>
    <w:rsid w:val="003C327E"/>
    <w:rsid w:val="003C3348"/>
    <w:rsid w:val="003C3445"/>
    <w:rsid w:val="003C370D"/>
    <w:rsid w:val="003C3725"/>
    <w:rsid w:val="003C3860"/>
    <w:rsid w:val="003C3ACE"/>
    <w:rsid w:val="003C4271"/>
    <w:rsid w:val="003C43A1"/>
    <w:rsid w:val="003C441C"/>
    <w:rsid w:val="003C46A0"/>
    <w:rsid w:val="003C47FC"/>
    <w:rsid w:val="003C4870"/>
    <w:rsid w:val="003C494D"/>
    <w:rsid w:val="003C4BDC"/>
    <w:rsid w:val="003C4E70"/>
    <w:rsid w:val="003C4F1D"/>
    <w:rsid w:val="003C4FC0"/>
    <w:rsid w:val="003C522F"/>
    <w:rsid w:val="003C55F4"/>
    <w:rsid w:val="003C561C"/>
    <w:rsid w:val="003C5A05"/>
    <w:rsid w:val="003C5A5B"/>
    <w:rsid w:val="003C5B6C"/>
    <w:rsid w:val="003C5D49"/>
    <w:rsid w:val="003C5E1B"/>
    <w:rsid w:val="003C6389"/>
    <w:rsid w:val="003C6601"/>
    <w:rsid w:val="003C67B2"/>
    <w:rsid w:val="003C67B6"/>
    <w:rsid w:val="003C68BA"/>
    <w:rsid w:val="003C6911"/>
    <w:rsid w:val="003C6967"/>
    <w:rsid w:val="003C6BFE"/>
    <w:rsid w:val="003C6C1A"/>
    <w:rsid w:val="003C6C2D"/>
    <w:rsid w:val="003C6E80"/>
    <w:rsid w:val="003C6F87"/>
    <w:rsid w:val="003C71A2"/>
    <w:rsid w:val="003C721D"/>
    <w:rsid w:val="003C746C"/>
    <w:rsid w:val="003C758D"/>
    <w:rsid w:val="003C7876"/>
    <w:rsid w:val="003C7897"/>
    <w:rsid w:val="003C7A3F"/>
    <w:rsid w:val="003C7D00"/>
    <w:rsid w:val="003C7D61"/>
    <w:rsid w:val="003D0129"/>
    <w:rsid w:val="003D0339"/>
    <w:rsid w:val="003D0482"/>
    <w:rsid w:val="003D07C9"/>
    <w:rsid w:val="003D0939"/>
    <w:rsid w:val="003D0AF1"/>
    <w:rsid w:val="003D0B75"/>
    <w:rsid w:val="003D0E18"/>
    <w:rsid w:val="003D0F19"/>
    <w:rsid w:val="003D10CC"/>
    <w:rsid w:val="003D11D0"/>
    <w:rsid w:val="003D1386"/>
    <w:rsid w:val="003D1681"/>
    <w:rsid w:val="003D181B"/>
    <w:rsid w:val="003D188F"/>
    <w:rsid w:val="003D1A42"/>
    <w:rsid w:val="003D1B7E"/>
    <w:rsid w:val="003D1D95"/>
    <w:rsid w:val="003D1F81"/>
    <w:rsid w:val="003D1F83"/>
    <w:rsid w:val="003D23A2"/>
    <w:rsid w:val="003D23B6"/>
    <w:rsid w:val="003D2513"/>
    <w:rsid w:val="003D25C2"/>
    <w:rsid w:val="003D2696"/>
    <w:rsid w:val="003D26EB"/>
    <w:rsid w:val="003D2766"/>
    <w:rsid w:val="003D2790"/>
    <w:rsid w:val="003D27C0"/>
    <w:rsid w:val="003D2A74"/>
    <w:rsid w:val="003D2B5B"/>
    <w:rsid w:val="003D2C85"/>
    <w:rsid w:val="003D2CC8"/>
    <w:rsid w:val="003D36A0"/>
    <w:rsid w:val="003D37DD"/>
    <w:rsid w:val="003D37FE"/>
    <w:rsid w:val="003D38EF"/>
    <w:rsid w:val="003D3D88"/>
    <w:rsid w:val="003D3E8F"/>
    <w:rsid w:val="003D3EFF"/>
    <w:rsid w:val="003D3FEF"/>
    <w:rsid w:val="003D41EF"/>
    <w:rsid w:val="003D4430"/>
    <w:rsid w:val="003D4619"/>
    <w:rsid w:val="003D4685"/>
    <w:rsid w:val="003D4743"/>
    <w:rsid w:val="003D4889"/>
    <w:rsid w:val="003D4D44"/>
    <w:rsid w:val="003D4FC1"/>
    <w:rsid w:val="003D5194"/>
    <w:rsid w:val="003D52FE"/>
    <w:rsid w:val="003D5388"/>
    <w:rsid w:val="003D5447"/>
    <w:rsid w:val="003D58DE"/>
    <w:rsid w:val="003D5D52"/>
    <w:rsid w:val="003D604B"/>
    <w:rsid w:val="003D6060"/>
    <w:rsid w:val="003D6082"/>
    <w:rsid w:val="003D613C"/>
    <w:rsid w:val="003D62A8"/>
    <w:rsid w:val="003D63E3"/>
    <w:rsid w:val="003D6475"/>
    <w:rsid w:val="003D67D8"/>
    <w:rsid w:val="003D69FF"/>
    <w:rsid w:val="003D6A52"/>
    <w:rsid w:val="003D6A7F"/>
    <w:rsid w:val="003D6B70"/>
    <w:rsid w:val="003D6B91"/>
    <w:rsid w:val="003D6CA5"/>
    <w:rsid w:val="003D6EE6"/>
    <w:rsid w:val="003D6F7F"/>
    <w:rsid w:val="003D7037"/>
    <w:rsid w:val="003D71B4"/>
    <w:rsid w:val="003D71E9"/>
    <w:rsid w:val="003D72D5"/>
    <w:rsid w:val="003D75C9"/>
    <w:rsid w:val="003D78AC"/>
    <w:rsid w:val="003D79CA"/>
    <w:rsid w:val="003D7CD9"/>
    <w:rsid w:val="003D7DA3"/>
    <w:rsid w:val="003D7F9C"/>
    <w:rsid w:val="003E0157"/>
    <w:rsid w:val="003E0398"/>
    <w:rsid w:val="003E0AC8"/>
    <w:rsid w:val="003E0ACC"/>
    <w:rsid w:val="003E0B53"/>
    <w:rsid w:val="003E0C6D"/>
    <w:rsid w:val="003E11E6"/>
    <w:rsid w:val="003E12D9"/>
    <w:rsid w:val="003E130A"/>
    <w:rsid w:val="003E1419"/>
    <w:rsid w:val="003E14E2"/>
    <w:rsid w:val="003E1579"/>
    <w:rsid w:val="003E17DA"/>
    <w:rsid w:val="003E185B"/>
    <w:rsid w:val="003E1A2E"/>
    <w:rsid w:val="003E1DCC"/>
    <w:rsid w:val="003E215C"/>
    <w:rsid w:val="003E2300"/>
    <w:rsid w:val="003E24C6"/>
    <w:rsid w:val="003E24DA"/>
    <w:rsid w:val="003E28A6"/>
    <w:rsid w:val="003E2981"/>
    <w:rsid w:val="003E29B5"/>
    <w:rsid w:val="003E2AA8"/>
    <w:rsid w:val="003E2BAC"/>
    <w:rsid w:val="003E2F07"/>
    <w:rsid w:val="003E3026"/>
    <w:rsid w:val="003E30F9"/>
    <w:rsid w:val="003E3103"/>
    <w:rsid w:val="003E31F0"/>
    <w:rsid w:val="003E34F8"/>
    <w:rsid w:val="003E35A0"/>
    <w:rsid w:val="003E35C7"/>
    <w:rsid w:val="003E375C"/>
    <w:rsid w:val="003E377F"/>
    <w:rsid w:val="003E38AA"/>
    <w:rsid w:val="003E3971"/>
    <w:rsid w:val="003E39E9"/>
    <w:rsid w:val="003E3A87"/>
    <w:rsid w:val="003E3B9A"/>
    <w:rsid w:val="003E3D3C"/>
    <w:rsid w:val="003E3EE2"/>
    <w:rsid w:val="003E4061"/>
    <w:rsid w:val="003E4086"/>
    <w:rsid w:val="003E4145"/>
    <w:rsid w:val="003E4455"/>
    <w:rsid w:val="003E453B"/>
    <w:rsid w:val="003E484D"/>
    <w:rsid w:val="003E4860"/>
    <w:rsid w:val="003E4A56"/>
    <w:rsid w:val="003E4B84"/>
    <w:rsid w:val="003E4BA6"/>
    <w:rsid w:val="003E4D04"/>
    <w:rsid w:val="003E4DDE"/>
    <w:rsid w:val="003E4DF3"/>
    <w:rsid w:val="003E4E73"/>
    <w:rsid w:val="003E4F24"/>
    <w:rsid w:val="003E501D"/>
    <w:rsid w:val="003E508C"/>
    <w:rsid w:val="003E526A"/>
    <w:rsid w:val="003E5321"/>
    <w:rsid w:val="003E5348"/>
    <w:rsid w:val="003E5578"/>
    <w:rsid w:val="003E5A02"/>
    <w:rsid w:val="003E5C83"/>
    <w:rsid w:val="003E5D69"/>
    <w:rsid w:val="003E5DF1"/>
    <w:rsid w:val="003E6223"/>
    <w:rsid w:val="003E6261"/>
    <w:rsid w:val="003E638E"/>
    <w:rsid w:val="003E639E"/>
    <w:rsid w:val="003E63C0"/>
    <w:rsid w:val="003E6874"/>
    <w:rsid w:val="003E69FD"/>
    <w:rsid w:val="003E6A1F"/>
    <w:rsid w:val="003E6B72"/>
    <w:rsid w:val="003E6D8B"/>
    <w:rsid w:val="003E6F32"/>
    <w:rsid w:val="003E709B"/>
    <w:rsid w:val="003E713F"/>
    <w:rsid w:val="003E71E5"/>
    <w:rsid w:val="003E7238"/>
    <w:rsid w:val="003E7374"/>
    <w:rsid w:val="003E74F6"/>
    <w:rsid w:val="003E77ED"/>
    <w:rsid w:val="003E7896"/>
    <w:rsid w:val="003E796A"/>
    <w:rsid w:val="003E798A"/>
    <w:rsid w:val="003E7A5D"/>
    <w:rsid w:val="003E7C04"/>
    <w:rsid w:val="003F0026"/>
    <w:rsid w:val="003F00CC"/>
    <w:rsid w:val="003F01FE"/>
    <w:rsid w:val="003F03AE"/>
    <w:rsid w:val="003F0445"/>
    <w:rsid w:val="003F0506"/>
    <w:rsid w:val="003F0613"/>
    <w:rsid w:val="003F0656"/>
    <w:rsid w:val="003F0775"/>
    <w:rsid w:val="003F0788"/>
    <w:rsid w:val="003F0792"/>
    <w:rsid w:val="003F07A6"/>
    <w:rsid w:val="003F08D9"/>
    <w:rsid w:val="003F0CF0"/>
    <w:rsid w:val="003F1381"/>
    <w:rsid w:val="003F1393"/>
    <w:rsid w:val="003F13D2"/>
    <w:rsid w:val="003F1413"/>
    <w:rsid w:val="003F142D"/>
    <w:rsid w:val="003F148D"/>
    <w:rsid w:val="003F14B1"/>
    <w:rsid w:val="003F151C"/>
    <w:rsid w:val="003F1573"/>
    <w:rsid w:val="003F1670"/>
    <w:rsid w:val="003F17D1"/>
    <w:rsid w:val="003F17E8"/>
    <w:rsid w:val="003F1822"/>
    <w:rsid w:val="003F18F3"/>
    <w:rsid w:val="003F1A0A"/>
    <w:rsid w:val="003F1B24"/>
    <w:rsid w:val="003F1B37"/>
    <w:rsid w:val="003F1F57"/>
    <w:rsid w:val="003F2149"/>
    <w:rsid w:val="003F22AE"/>
    <w:rsid w:val="003F24D5"/>
    <w:rsid w:val="003F2729"/>
    <w:rsid w:val="003F2933"/>
    <w:rsid w:val="003F2B20"/>
    <w:rsid w:val="003F2D0A"/>
    <w:rsid w:val="003F2DB0"/>
    <w:rsid w:val="003F2F3B"/>
    <w:rsid w:val="003F3122"/>
    <w:rsid w:val="003F3289"/>
    <w:rsid w:val="003F38B0"/>
    <w:rsid w:val="003F398E"/>
    <w:rsid w:val="003F3A32"/>
    <w:rsid w:val="003F3A5F"/>
    <w:rsid w:val="003F3AB5"/>
    <w:rsid w:val="003F3C31"/>
    <w:rsid w:val="003F3C62"/>
    <w:rsid w:val="003F412F"/>
    <w:rsid w:val="003F4385"/>
    <w:rsid w:val="003F4421"/>
    <w:rsid w:val="003F49FD"/>
    <w:rsid w:val="003F4A71"/>
    <w:rsid w:val="003F4D13"/>
    <w:rsid w:val="003F5181"/>
    <w:rsid w:val="003F5651"/>
    <w:rsid w:val="003F58AC"/>
    <w:rsid w:val="003F5BA8"/>
    <w:rsid w:val="003F5CB9"/>
    <w:rsid w:val="003F5E49"/>
    <w:rsid w:val="003F5E6C"/>
    <w:rsid w:val="003F5F9A"/>
    <w:rsid w:val="003F61A8"/>
    <w:rsid w:val="003F6390"/>
    <w:rsid w:val="003F639B"/>
    <w:rsid w:val="003F6575"/>
    <w:rsid w:val="003F6626"/>
    <w:rsid w:val="003F6962"/>
    <w:rsid w:val="003F69C9"/>
    <w:rsid w:val="003F6B48"/>
    <w:rsid w:val="003F6B82"/>
    <w:rsid w:val="003F6BB9"/>
    <w:rsid w:val="003F6DC7"/>
    <w:rsid w:val="003F6FCD"/>
    <w:rsid w:val="003F7395"/>
    <w:rsid w:val="003F747C"/>
    <w:rsid w:val="003F7581"/>
    <w:rsid w:val="003F7990"/>
    <w:rsid w:val="003F7D9F"/>
    <w:rsid w:val="003F7ED6"/>
    <w:rsid w:val="00400000"/>
    <w:rsid w:val="00400354"/>
    <w:rsid w:val="004005D7"/>
    <w:rsid w:val="004005ED"/>
    <w:rsid w:val="004007ED"/>
    <w:rsid w:val="00400DCA"/>
    <w:rsid w:val="00400FDD"/>
    <w:rsid w:val="00401060"/>
    <w:rsid w:val="004010FE"/>
    <w:rsid w:val="004011B1"/>
    <w:rsid w:val="00401274"/>
    <w:rsid w:val="004012DE"/>
    <w:rsid w:val="00401397"/>
    <w:rsid w:val="004013C7"/>
    <w:rsid w:val="004014AC"/>
    <w:rsid w:val="00401C0D"/>
    <w:rsid w:val="00401E72"/>
    <w:rsid w:val="00401EE2"/>
    <w:rsid w:val="00401FCF"/>
    <w:rsid w:val="00402038"/>
    <w:rsid w:val="004021B6"/>
    <w:rsid w:val="004023D7"/>
    <w:rsid w:val="004024F2"/>
    <w:rsid w:val="0040282C"/>
    <w:rsid w:val="004028EE"/>
    <w:rsid w:val="004028F4"/>
    <w:rsid w:val="00402963"/>
    <w:rsid w:val="00402B0A"/>
    <w:rsid w:val="00402C9A"/>
    <w:rsid w:val="00402CB6"/>
    <w:rsid w:val="00402D04"/>
    <w:rsid w:val="00402DA8"/>
    <w:rsid w:val="00402E73"/>
    <w:rsid w:val="00403187"/>
    <w:rsid w:val="0040319A"/>
    <w:rsid w:val="004033B9"/>
    <w:rsid w:val="00403649"/>
    <w:rsid w:val="00403780"/>
    <w:rsid w:val="004037F8"/>
    <w:rsid w:val="004039FD"/>
    <w:rsid w:val="00403A36"/>
    <w:rsid w:val="00403A9C"/>
    <w:rsid w:val="00403AE1"/>
    <w:rsid w:val="00403CBA"/>
    <w:rsid w:val="00403CF1"/>
    <w:rsid w:val="00403EC8"/>
    <w:rsid w:val="00404006"/>
    <w:rsid w:val="0040418D"/>
    <w:rsid w:val="004041B3"/>
    <w:rsid w:val="00404282"/>
    <w:rsid w:val="0040441E"/>
    <w:rsid w:val="00404633"/>
    <w:rsid w:val="00404656"/>
    <w:rsid w:val="00404818"/>
    <w:rsid w:val="0040490E"/>
    <w:rsid w:val="00404ED0"/>
    <w:rsid w:val="00404FED"/>
    <w:rsid w:val="004050DC"/>
    <w:rsid w:val="004050E1"/>
    <w:rsid w:val="0040511C"/>
    <w:rsid w:val="004053A5"/>
    <w:rsid w:val="00405607"/>
    <w:rsid w:val="00405ADF"/>
    <w:rsid w:val="00405B31"/>
    <w:rsid w:val="00405BF9"/>
    <w:rsid w:val="00405C3F"/>
    <w:rsid w:val="00405C5F"/>
    <w:rsid w:val="00405D82"/>
    <w:rsid w:val="00405EBD"/>
    <w:rsid w:val="00405EF8"/>
    <w:rsid w:val="00405F95"/>
    <w:rsid w:val="0040614D"/>
    <w:rsid w:val="00406285"/>
    <w:rsid w:val="00406584"/>
    <w:rsid w:val="0040676E"/>
    <w:rsid w:val="004067F9"/>
    <w:rsid w:val="0040685B"/>
    <w:rsid w:val="00406B3D"/>
    <w:rsid w:val="00406DAD"/>
    <w:rsid w:val="00406DC3"/>
    <w:rsid w:val="00406F3A"/>
    <w:rsid w:val="0040701E"/>
    <w:rsid w:val="004071C9"/>
    <w:rsid w:val="004072D0"/>
    <w:rsid w:val="00407309"/>
    <w:rsid w:val="00407339"/>
    <w:rsid w:val="00407348"/>
    <w:rsid w:val="0040737B"/>
    <w:rsid w:val="004074C8"/>
    <w:rsid w:val="0040779B"/>
    <w:rsid w:val="00407CC2"/>
    <w:rsid w:val="00407E3C"/>
    <w:rsid w:val="00407E50"/>
    <w:rsid w:val="00407EEA"/>
    <w:rsid w:val="00407F34"/>
    <w:rsid w:val="00407F44"/>
    <w:rsid w:val="00410549"/>
    <w:rsid w:val="00410910"/>
    <w:rsid w:val="00410DE6"/>
    <w:rsid w:val="00410F3D"/>
    <w:rsid w:val="0041126F"/>
    <w:rsid w:val="004112A3"/>
    <w:rsid w:val="004115A2"/>
    <w:rsid w:val="0041171C"/>
    <w:rsid w:val="00411894"/>
    <w:rsid w:val="00411CF7"/>
    <w:rsid w:val="00411FFC"/>
    <w:rsid w:val="00412045"/>
    <w:rsid w:val="00412084"/>
    <w:rsid w:val="004121B8"/>
    <w:rsid w:val="004122EC"/>
    <w:rsid w:val="00412499"/>
    <w:rsid w:val="004124B5"/>
    <w:rsid w:val="004125B4"/>
    <w:rsid w:val="004125F7"/>
    <w:rsid w:val="004126B0"/>
    <w:rsid w:val="004127F8"/>
    <w:rsid w:val="00412AF2"/>
    <w:rsid w:val="00412E11"/>
    <w:rsid w:val="00412E69"/>
    <w:rsid w:val="00412F08"/>
    <w:rsid w:val="00412F44"/>
    <w:rsid w:val="0041307C"/>
    <w:rsid w:val="004131BA"/>
    <w:rsid w:val="004132F6"/>
    <w:rsid w:val="004133B1"/>
    <w:rsid w:val="004133DC"/>
    <w:rsid w:val="0041347D"/>
    <w:rsid w:val="0041354C"/>
    <w:rsid w:val="004135CC"/>
    <w:rsid w:val="004137A3"/>
    <w:rsid w:val="004137DB"/>
    <w:rsid w:val="004137F1"/>
    <w:rsid w:val="004138D2"/>
    <w:rsid w:val="00413AD2"/>
    <w:rsid w:val="00413C18"/>
    <w:rsid w:val="00413E2E"/>
    <w:rsid w:val="00413FBD"/>
    <w:rsid w:val="0041407E"/>
    <w:rsid w:val="00414099"/>
    <w:rsid w:val="004140D2"/>
    <w:rsid w:val="0041414D"/>
    <w:rsid w:val="0041437A"/>
    <w:rsid w:val="0041443B"/>
    <w:rsid w:val="00414609"/>
    <w:rsid w:val="0041465E"/>
    <w:rsid w:val="004146BE"/>
    <w:rsid w:val="00414880"/>
    <w:rsid w:val="004148F9"/>
    <w:rsid w:val="00414979"/>
    <w:rsid w:val="00414AB6"/>
    <w:rsid w:val="00414DC3"/>
    <w:rsid w:val="00414FD1"/>
    <w:rsid w:val="004151C0"/>
    <w:rsid w:val="00415251"/>
    <w:rsid w:val="004152A8"/>
    <w:rsid w:val="004152CC"/>
    <w:rsid w:val="004155A0"/>
    <w:rsid w:val="00415618"/>
    <w:rsid w:val="00415678"/>
    <w:rsid w:val="004157E7"/>
    <w:rsid w:val="0041580E"/>
    <w:rsid w:val="0041588A"/>
    <w:rsid w:val="004159DC"/>
    <w:rsid w:val="00415DE2"/>
    <w:rsid w:val="00415F30"/>
    <w:rsid w:val="00416406"/>
    <w:rsid w:val="00416540"/>
    <w:rsid w:val="00416700"/>
    <w:rsid w:val="00416773"/>
    <w:rsid w:val="00416AA7"/>
    <w:rsid w:val="00416AF9"/>
    <w:rsid w:val="00416AFF"/>
    <w:rsid w:val="00416BC5"/>
    <w:rsid w:val="00416C0B"/>
    <w:rsid w:val="00416CAB"/>
    <w:rsid w:val="00416D2C"/>
    <w:rsid w:val="00416EC6"/>
    <w:rsid w:val="00417037"/>
    <w:rsid w:val="00417038"/>
    <w:rsid w:val="00417097"/>
    <w:rsid w:val="0041724D"/>
    <w:rsid w:val="004172B3"/>
    <w:rsid w:val="004172D4"/>
    <w:rsid w:val="00417317"/>
    <w:rsid w:val="00417478"/>
    <w:rsid w:val="00417579"/>
    <w:rsid w:val="004177DC"/>
    <w:rsid w:val="00417816"/>
    <w:rsid w:val="00417A70"/>
    <w:rsid w:val="00417B1D"/>
    <w:rsid w:val="00417B96"/>
    <w:rsid w:val="00417DE6"/>
    <w:rsid w:val="00417EDA"/>
    <w:rsid w:val="00417F55"/>
    <w:rsid w:val="00417F7E"/>
    <w:rsid w:val="004200AE"/>
    <w:rsid w:val="004201DE"/>
    <w:rsid w:val="0042033B"/>
    <w:rsid w:val="0042072C"/>
    <w:rsid w:val="004207F6"/>
    <w:rsid w:val="0042084E"/>
    <w:rsid w:val="004209D4"/>
    <w:rsid w:val="00420ABD"/>
    <w:rsid w:val="00420C4C"/>
    <w:rsid w:val="00420D8C"/>
    <w:rsid w:val="00420E7E"/>
    <w:rsid w:val="004210A4"/>
    <w:rsid w:val="004211BD"/>
    <w:rsid w:val="00421282"/>
    <w:rsid w:val="004212D1"/>
    <w:rsid w:val="004214C8"/>
    <w:rsid w:val="004217FC"/>
    <w:rsid w:val="00421AFF"/>
    <w:rsid w:val="00421EEF"/>
    <w:rsid w:val="00421EF5"/>
    <w:rsid w:val="00422057"/>
    <w:rsid w:val="004220FC"/>
    <w:rsid w:val="004221EC"/>
    <w:rsid w:val="00422211"/>
    <w:rsid w:val="00422237"/>
    <w:rsid w:val="00422341"/>
    <w:rsid w:val="00422500"/>
    <w:rsid w:val="00422557"/>
    <w:rsid w:val="0042256F"/>
    <w:rsid w:val="00422737"/>
    <w:rsid w:val="00422863"/>
    <w:rsid w:val="00422A47"/>
    <w:rsid w:val="00422B64"/>
    <w:rsid w:val="00422C9E"/>
    <w:rsid w:val="00422CA5"/>
    <w:rsid w:val="00422D98"/>
    <w:rsid w:val="00422DAF"/>
    <w:rsid w:val="00422E39"/>
    <w:rsid w:val="00422EA6"/>
    <w:rsid w:val="00422EAF"/>
    <w:rsid w:val="00422EF4"/>
    <w:rsid w:val="00422FDF"/>
    <w:rsid w:val="0042321F"/>
    <w:rsid w:val="004232AB"/>
    <w:rsid w:val="00423394"/>
    <w:rsid w:val="00423819"/>
    <w:rsid w:val="00423AFB"/>
    <w:rsid w:val="00423F03"/>
    <w:rsid w:val="00423F1F"/>
    <w:rsid w:val="00423F8C"/>
    <w:rsid w:val="00423F96"/>
    <w:rsid w:val="0042406A"/>
    <w:rsid w:val="0042412D"/>
    <w:rsid w:val="004241DF"/>
    <w:rsid w:val="004244AC"/>
    <w:rsid w:val="0042465C"/>
    <w:rsid w:val="0042490C"/>
    <w:rsid w:val="00424962"/>
    <w:rsid w:val="00424989"/>
    <w:rsid w:val="004249D1"/>
    <w:rsid w:val="00424C88"/>
    <w:rsid w:val="00424CA1"/>
    <w:rsid w:val="00424CAB"/>
    <w:rsid w:val="00424D3A"/>
    <w:rsid w:val="00424D65"/>
    <w:rsid w:val="00424DC8"/>
    <w:rsid w:val="00425003"/>
    <w:rsid w:val="0042533F"/>
    <w:rsid w:val="00425850"/>
    <w:rsid w:val="00425C02"/>
    <w:rsid w:val="00425CD6"/>
    <w:rsid w:val="0042638D"/>
    <w:rsid w:val="004263A1"/>
    <w:rsid w:val="004264F2"/>
    <w:rsid w:val="0042670C"/>
    <w:rsid w:val="00426C14"/>
    <w:rsid w:val="00426CFF"/>
    <w:rsid w:val="00426E97"/>
    <w:rsid w:val="00426F3E"/>
    <w:rsid w:val="0042709E"/>
    <w:rsid w:val="00427293"/>
    <w:rsid w:val="0042730A"/>
    <w:rsid w:val="00427802"/>
    <w:rsid w:val="004279E8"/>
    <w:rsid w:val="00427C07"/>
    <w:rsid w:val="00427DD8"/>
    <w:rsid w:val="00427F2E"/>
    <w:rsid w:val="00430388"/>
    <w:rsid w:val="00430393"/>
    <w:rsid w:val="00430505"/>
    <w:rsid w:val="0043054F"/>
    <w:rsid w:val="00430722"/>
    <w:rsid w:val="00430A24"/>
    <w:rsid w:val="00430A2A"/>
    <w:rsid w:val="00430A8D"/>
    <w:rsid w:val="00430C7C"/>
    <w:rsid w:val="00431402"/>
    <w:rsid w:val="00431806"/>
    <w:rsid w:val="00431A70"/>
    <w:rsid w:val="00431B9B"/>
    <w:rsid w:val="00431BBB"/>
    <w:rsid w:val="00431E6B"/>
    <w:rsid w:val="00431EDD"/>
    <w:rsid w:val="00431F42"/>
    <w:rsid w:val="00431F46"/>
    <w:rsid w:val="00431F92"/>
    <w:rsid w:val="00432314"/>
    <w:rsid w:val="00432396"/>
    <w:rsid w:val="00432434"/>
    <w:rsid w:val="0043253C"/>
    <w:rsid w:val="004325E8"/>
    <w:rsid w:val="00432722"/>
    <w:rsid w:val="0043280B"/>
    <w:rsid w:val="004328BD"/>
    <w:rsid w:val="004329F6"/>
    <w:rsid w:val="00432D9B"/>
    <w:rsid w:val="0043306B"/>
    <w:rsid w:val="00433384"/>
    <w:rsid w:val="0043363B"/>
    <w:rsid w:val="00433761"/>
    <w:rsid w:val="004338C2"/>
    <w:rsid w:val="00433966"/>
    <w:rsid w:val="00433E87"/>
    <w:rsid w:val="00433EBB"/>
    <w:rsid w:val="00433F2D"/>
    <w:rsid w:val="00433F39"/>
    <w:rsid w:val="00434374"/>
    <w:rsid w:val="004343F3"/>
    <w:rsid w:val="00434440"/>
    <w:rsid w:val="0043445B"/>
    <w:rsid w:val="004344CE"/>
    <w:rsid w:val="00434542"/>
    <w:rsid w:val="00434553"/>
    <w:rsid w:val="004347E4"/>
    <w:rsid w:val="0043486E"/>
    <w:rsid w:val="0043488B"/>
    <w:rsid w:val="0043489C"/>
    <w:rsid w:val="00434B71"/>
    <w:rsid w:val="00434B89"/>
    <w:rsid w:val="00434BA4"/>
    <w:rsid w:val="00434CC2"/>
    <w:rsid w:val="00434CD9"/>
    <w:rsid w:val="00434F13"/>
    <w:rsid w:val="0043505D"/>
    <w:rsid w:val="004351F7"/>
    <w:rsid w:val="0043535E"/>
    <w:rsid w:val="00435A2B"/>
    <w:rsid w:val="00435AB9"/>
    <w:rsid w:val="00435AEA"/>
    <w:rsid w:val="00435C4D"/>
    <w:rsid w:val="00435C68"/>
    <w:rsid w:val="00435D12"/>
    <w:rsid w:val="00435D1A"/>
    <w:rsid w:val="00435D59"/>
    <w:rsid w:val="00435D72"/>
    <w:rsid w:val="00435DFD"/>
    <w:rsid w:val="00435F09"/>
    <w:rsid w:val="00436059"/>
    <w:rsid w:val="0043620C"/>
    <w:rsid w:val="00436574"/>
    <w:rsid w:val="0043664A"/>
    <w:rsid w:val="00436653"/>
    <w:rsid w:val="004367FD"/>
    <w:rsid w:val="004368BE"/>
    <w:rsid w:val="00436ACB"/>
    <w:rsid w:val="00436D77"/>
    <w:rsid w:val="00436E13"/>
    <w:rsid w:val="00437008"/>
    <w:rsid w:val="00437150"/>
    <w:rsid w:val="00437159"/>
    <w:rsid w:val="0043721C"/>
    <w:rsid w:val="0043745F"/>
    <w:rsid w:val="00437565"/>
    <w:rsid w:val="004377A3"/>
    <w:rsid w:val="004377B5"/>
    <w:rsid w:val="0043798E"/>
    <w:rsid w:val="00437D5A"/>
    <w:rsid w:val="00437DB7"/>
    <w:rsid w:val="00437F9D"/>
    <w:rsid w:val="004400EA"/>
    <w:rsid w:val="004405F9"/>
    <w:rsid w:val="00440939"/>
    <w:rsid w:val="004409B3"/>
    <w:rsid w:val="004409C2"/>
    <w:rsid w:val="00440A23"/>
    <w:rsid w:val="00440AEF"/>
    <w:rsid w:val="00440D31"/>
    <w:rsid w:val="00440E6F"/>
    <w:rsid w:val="00440E91"/>
    <w:rsid w:val="00440F26"/>
    <w:rsid w:val="0044140C"/>
    <w:rsid w:val="00441771"/>
    <w:rsid w:val="00441931"/>
    <w:rsid w:val="00441A68"/>
    <w:rsid w:val="00441A6B"/>
    <w:rsid w:val="00441AF2"/>
    <w:rsid w:val="00441B3A"/>
    <w:rsid w:val="00441BF6"/>
    <w:rsid w:val="00441C70"/>
    <w:rsid w:val="00441E61"/>
    <w:rsid w:val="00441EFE"/>
    <w:rsid w:val="00441F08"/>
    <w:rsid w:val="00441F9B"/>
    <w:rsid w:val="0044200C"/>
    <w:rsid w:val="00442032"/>
    <w:rsid w:val="00442289"/>
    <w:rsid w:val="00442318"/>
    <w:rsid w:val="00442415"/>
    <w:rsid w:val="004424D8"/>
    <w:rsid w:val="00442503"/>
    <w:rsid w:val="004426D8"/>
    <w:rsid w:val="004426E0"/>
    <w:rsid w:val="0044284A"/>
    <w:rsid w:val="004428CF"/>
    <w:rsid w:val="004428EF"/>
    <w:rsid w:val="0044297F"/>
    <w:rsid w:val="00442C6C"/>
    <w:rsid w:val="00442DDF"/>
    <w:rsid w:val="00443229"/>
    <w:rsid w:val="004432C7"/>
    <w:rsid w:val="0044330A"/>
    <w:rsid w:val="0044335B"/>
    <w:rsid w:val="00443418"/>
    <w:rsid w:val="004435AA"/>
    <w:rsid w:val="004437F4"/>
    <w:rsid w:val="0044385C"/>
    <w:rsid w:val="00443C11"/>
    <w:rsid w:val="00443C17"/>
    <w:rsid w:val="00443CBE"/>
    <w:rsid w:val="00443CD0"/>
    <w:rsid w:val="00443D81"/>
    <w:rsid w:val="00443E8A"/>
    <w:rsid w:val="00443ED0"/>
    <w:rsid w:val="00444158"/>
    <w:rsid w:val="004441BC"/>
    <w:rsid w:val="0044430B"/>
    <w:rsid w:val="004446F9"/>
    <w:rsid w:val="00444717"/>
    <w:rsid w:val="004447B1"/>
    <w:rsid w:val="0044484E"/>
    <w:rsid w:val="0044489B"/>
    <w:rsid w:val="00444D17"/>
    <w:rsid w:val="00444DF9"/>
    <w:rsid w:val="00444E18"/>
    <w:rsid w:val="00444F50"/>
    <w:rsid w:val="00444F80"/>
    <w:rsid w:val="00444FBD"/>
    <w:rsid w:val="00444FC0"/>
    <w:rsid w:val="00445098"/>
    <w:rsid w:val="00445108"/>
    <w:rsid w:val="0044514F"/>
    <w:rsid w:val="00445166"/>
    <w:rsid w:val="0044522F"/>
    <w:rsid w:val="0044537E"/>
    <w:rsid w:val="00445396"/>
    <w:rsid w:val="00445403"/>
    <w:rsid w:val="004454C6"/>
    <w:rsid w:val="00445565"/>
    <w:rsid w:val="004455AD"/>
    <w:rsid w:val="004457FD"/>
    <w:rsid w:val="00445823"/>
    <w:rsid w:val="004458D2"/>
    <w:rsid w:val="00445BBC"/>
    <w:rsid w:val="00445CCC"/>
    <w:rsid w:val="00446088"/>
    <w:rsid w:val="00446144"/>
    <w:rsid w:val="004463B5"/>
    <w:rsid w:val="00446514"/>
    <w:rsid w:val="0044651D"/>
    <w:rsid w:val="004468B4"/>
    <w:rsid w:val="0044698C"/>
    <w:rsid w:val="00446B1E"/>
    <w:rsid w:val="00446B57"/>
    <w:rsid w:val="00446D11"/>
    <w:rsid w:val="00446D86"/>
    <w:rsid w:val="0044732E"/>
    <w:rsid w:val="0044748B"/>
    <w:rsid w:val="004475BF"/>
    <w:rsid w:val="004477BA"/>
    <w:rsid w:val="004477EE"/>
    <w:rsid w:val="004478DA"/>
    <w:rsid w:val="00447A13"/>
    <w:rsid w:val="00447A33"/>
    <w:rsid w:val="00447B3F"/>
    <w:rsid w:val="00447B64"/>
    <w:rsid w:val="00447C3C"/>
    <w:rsid w:val="00447DE0"/>
    <w:rsid w:val="00450170"/>
    <w:rsid w:val="0045021E"/>
    <w:rsid w:val="00450357"/>
    <w:rsid w:val="004505D8"/>
    <w:rsid w:val="00450606"/>
    <w:rsid w:val="0045061E"/>
    <w:rsid w:val="0045066E"/>
    <w:rsid w:val="004506C6"/>
    <w:rsid w:val="004509D2"/>
    <w:rsid w:val="00450C04"/>
    <w:rsid w:val="00450C98"/>
    <w:rsid w:val="00450D3D"/>
    <w:rsid w:val="00450E93"/>
    <w:rsid w:val="00450F79"/>
    <w:rsid w:val="00450FC7"/>
    <w:rsid w:val="00450FF9"/>
    <w:rsid w:val="0045104A"/>
    <w:rsid w:val="004510AF"/>
    <w:rsid w:val="00451174"/>
    <w:rsid w:val="00451230"/>
    <w:rsid w:val="004512FA"/>
    <w:rsid w:val="0045134E"/>
    <w:rsid w:val="00451474"/>
    <w:rsid w:val="004514B3"/>
    <w:rsid w:val="0045163A"/>
    <w:rsid w:val="00451BF3"/>
    <w:rsid w:val="00451E94"/>
    <w:rsid w:val="00451FC9"/>
    <w:rsid w:val="0045230A"/>
    <w:rsid w:val="00452522"/>
    <w:rsid w:val="004526E7"/>
    <w:rsid w:val="00452807"/>
    <w:rsid w:val="004528E5"/>
    <w:rsid w:val="00452934"/>
    <w:rsid w:val="00452B62"/>
    <w:rsid w:val="00452CA1"/>
    <w:rsid w:val="00452F49"/>
    <w:rsid w:val="0045301F"/>
    <w:rsid w:val="0045309C"/>
    <w:rsid w:val="004534F4"/>
    <w:rsid w:val="00453754"/>
    <w:rsid w:val="004537EA"/>
    <w:rsid w:val="00453860"/>
    <w:rsid w:val="004538CA"/>
    <w:rsid w:val="0045390D"/>
    <w:rsid w:val="00453A8D"/>
    <w:rsid w:val="00454213"/>
    <w:rsid w:val="0045421A"/>
    <w:rsid w:val="00454615"/>
    <w:rsid w:val="004547B5"/>
    <w:rsid w:val="004547EB"/>
    <w:rsid w:val="004549F4"/>
    <w:rsid w:val="00454A7D"/>
    <w:rsid w:val="00454AD0"/>
    <w:rsid w:val="00454C95"/>
    <w:rsid w:val="00454D28"/>
    <w:rsid w:val="00455116"/>
    <w:rsid w:val="00455855"/>
    <w:rsid w:val="004558BE"/>
    <w:rsid w:val="004559BD"/>
    <w:rsid w:val="00455AA6"/>
    <w:rsid w:val="00455D40"/>
    <w:rsid w:val="00455D71"/>
    <w:rsid w:val="00455E3F"/>
    <w:rsid w:val="00455EE1"/>
    <w:rsid w:val="0045600B"/>
    <w:rsid w:val="004561EC"/>
    <w:rsid w:val="00456366"/>
    <w:rsid w:val="004564A4"/>
    <w:rsid w:val="004566CD"/>
    <w:rsid w:val="004566E6"/>
    <w:rsid w:val="004566E9"/>
    <w:rsid w:val="00456765"/>
    <w:rsid w:val="0045681C"/>
    <w:rsid w:val="00456915"/>
    <w:rsid w:val="00456A64"/>
    <w:rsid w:val="00456AB2"/>
    <w:rsid w:val="00456B42"/>
    <w:rsid w:val="00456D2A"/>
    <w:rsid w:val="00456FBA"/>
    <w:rsid w:val="00457037"/>
    <w:rsid w:val="004572FB"/>
    <w:rsid w:val="00457337"/>
    <w:rsid w:val="00457400"/>
    <w:rsid w:val="004579EF"/>
    <w:rsid w:val="00457DA8"/>
    <w:rsid w:val="00457E6A"/>
    <w:rsid w:val="00457EB9"/>
    <w:rsid w:val="004600B3"/>
    <w:rsid w:val="00460120"/>
    <w:rsid w:val="00460197"/>
    <w:rsid w:val="004603DE"/>
    <w:rsid w:val="00460447"/>
    <w:rsid w:val="00460730"/>
    <w:rsid w:val="00460916"/>
    <w:rsid w:val="00460926"/>
    <w:rsid w:val="00460951"/>
    <w:rsid w:val="00460B5B"/>
    <w:rsid w:val="00460F6E"/>
    <w:rsid w:val="004610E6"/>
    <w:rsid w:val="0046123A"/>
    <w:rsid w:val="004613E5"/>
    <w:rsid w:val="004619D9"/>
    <w:rsid w:val="00461A23"/>
    <w:rsid w:val="00461B26"/>
    <w:rsid w:val="00461B82"/>
    <w:rsid w:val="00461C9E"/>
    <w:rsid w:val="00461E9D"/>
    <w:rsid w:val="00461F23"/>
    <w:rsid w:val="00461F7C"/>
    <w:rsid w:val="004621AC"/>
    <w:rsid w:val="0046243C"/>
    <w:rsid w:val="0046262D"/>
    <w:rsid w:val="00462722"/>
    <w:rsid w:val="00462D1E"/>
    <w:rsid w:val="00462DB7"/>
    <w:rsid w:val="00462E1D"/>
    <w:rsid w:val="00462E3D"/>
    <w:rsid w:val="00462E7A"/>
    <w:rsid w:val="00462F40"/>
    <w:rsid w:val="004630D6"/>
    <w:rsid w:val="00463249"/>
    <w:rsid w:val="0046325E"/>
    <w:rsid w:val="0046343A"/>
    <w:rsid w:val="004635DC"/>
    <w:rsid w:val="0046386A"/>
    <w:rsid w:val="00463CB5"/>
    <w:rsid w:val="00463D52"/>
    <w:rsid w:val="00463F7C"/>
    <w:rsid w:val="00463FDB"/>
    <w:rsid w:val="004640CE"/>
    <w:rsid w:val="0046417F"/>
    <w:rsid w:val="0046436A"/>
    <w:rsid w:val="0046443E"/>
    <w:rsid w:val="00464573"/>
    <w:rsid w:val="004647E7"/>
    <w:rsid w:val="00464804"/>
    <w:rsid w:val="004648E2"/>
    <w:rsid w:val="004649D7"/>
    <w:rsid w:val="00464B83"/>
    <w:rsid w:val="00464CAE"/>
    <w:rsid w:val="00464E21"/>
    <w:rsid w:val="00464F33"/>
    <w:rsid w:val="0046529E"/>
    <w:rsid w:val="004652BE"/>
    <w:rsid w:val="004654A7"/>
    <w:rsid w:val="00465775"/>
    <w:rsid w:val="004657D2"/>
    <w:rsid w:val="0046590D"/>
    <w:rsid w:val="004659FB"/>
    <w:rsid w:val="00465A82"/>
    <w:rsid w:val="00465BAB"/>
    <w:rsid w:val="00465C82"/>
    <w:rsid w:val="0046633B"/>
    <w:rsid w:val="004663C4"/>
    <w:rsid w:val="00466505"/>
    <w:rsid w:val="00466527"/>
    <w:rsid w:val="0046687F"/>
    <w:rsid w:val="00466AFA"/>
    <w:rsid w:val="00466CC0"/>
    <w:rsid w:val="00466D8D"/>
    <w:rsid w:val="00466E79"/>
    <w:rsid w:val="0046731C"/>
    <w:rsid w:val="00467774"/>
    <w:rsid w:val="00467828"/>
    <w:rsid w:val="00467840"/>
    <w:rsid w:val="0046785D"/>
    <w:rsid w:val="00467920"/>
    <w:rsid w:val="00467ADF"/>
    <w:rsid w:val="00467B01"/>
    <w:rsid w:val="00467CA8"/>
    <w:rsid w:val="00467D4D"/>
    <w:rsid w:val="00467DC9"/>
    <w:rsid w:val="00467EEF"/>
    <w:rsid w:val="0047014D"/>
    <w:rsid w:val="0047026E"/>
    <w:rsid w:val="004703E7"/>
    <w:rsid w:val="00470571"/>
    <w:rsid w:val="00470788"/>
    <w:rsid w:val="00470858"/>
    <w:rsid w:val="004709A9"/>
    <w:rsid w:val="00470A5B"/>
    <w:rsid w:val="00470ACE"/>
    <w:rsid w:val="00470CB7"/>
    <w:rsid w:val="00470D3C"/>
    <w:rsid w:val="00470D7D"/>
    <w:rsid w:val="00470E70"/>
    <w:rsid w:val="00470F8E"/>
    <w:rsid w:val="004711B5"/>
    <w:rsid w:val="004714FD"/>
    <w:rsid w:val="004716D2"/>
    <w:rsid w:val="0047182C"/>
    <w:rsid w:val="0047184B"/>
    <w:rsid w:val="00471977"/>
    <w:rsid w:val="00471BC2"/>
    <w:rsid w:val="00471DE1"/>
    <w:rsid w:val="00471E71"/>
    <w:rsid w:val="00472393"/>
    <w:rsid w:val="004723CA"/>
    <w:rsid w:val="00472692"/>
    <w:rsid w:val="00472719"/>
    <w:rsid w:val="004727D9"/>
    <w:rsid w:val="004729D0"/>
    <w:rsid w:val="00472A08"/>
    <w:rsid w:val="00472A20"/>
    <w:rsid w:val="00472B34"/>
    <w:rsid w:val="00472BEC"/>
    <w:rsid w:val="00472CE0"/>
    <w:rsid w:val="00472CFC"/>
    <w:rsid w:val="0047313F"/>
    <w:rsid w:val="00473259"/>
    <w:rsid w:val="004732F8"/>
    <w:rsid w:val="004735C8"/>
    <w:rsid w:val="004736D0"/>
    <w:rsid w:val="0047372D"/>
    <w:rsid w:val="0047389C"/>
    <w:rsid w:val="004739E6"/>
    <w:rsid w:val="00473A53"/>
    <w:rsid w:val="00473B17"/>
    <w:rsid w:val="00473BA3"/>
    <w:rsid w:val="00473BC8"/>
    <w:rsid w:val="00473C87"/>
    <w:rsid w:val="00473FEC"/>
    <w:rsid w:val="00474377"/>
    <w:rsid w:val="004743DD"/>
    <w:rsid w:val="00474466"/>
    <w:rsid w:val="00474535"/>
    <w:rsid w:val="00474715"/>
    <w:rsid w:val="00474919"/>
    <w:rsid w:val="00474936"/>
    <w:rsid w:val="004749DA"/>
    <w:rsid w:val="00474CA1"/>
    <w:rsid w:val="00474CEA"/>
    <w:rsid w:val="00474E82"/>
    <w:rsid w:val="00474E97"/>
    <w:rsid w:val="00474EDC"/>
    <w:rsid w:val="00474F52"/>
    <w:rsid w:val="00474FB6"/>
    <w:rsid w:val="0047516E"/>
    <w:rsid w:val="004754C9"/>
    <w:rsid w:val="00475567"/>
    <w:rsid w:val="00475600"/>
    <w:rsid w:val="00475698"/>
    <w:rsid w:val="004756EE"/>
    <w:rsid w:val="0047590D"/>
    <w:rsid w:val="00475C68"/>
    <w:rsid w:val="00475C75"/>
    <w:rsid w:val="00475CCA"/>
    <w:rsid w:val="00475D05"/>
    <w:rsid w:val="00475E10"/>
    <w:rsid w:val="00475E17"/>
    <w:rsid w:val="00475E34"/>
    <w:rsid w:val="00476118"/>
    <w:rsid w:val="00476266"/>
    <w:rsid w:val="004763C7"/>
    <w:rsid w:val="004764A4"/>
    <w:rsid w:val="004768A4"/>
    <w:rsid w:val="0047699A"/>
    <w:rsid w:val="004769AA"/>
    <w:rsid w:val="00476AB7"/>
    <w:rsid w:val="00476AE8"/>
    <w:rsid w:val="00476D1A"/>
    <w:rsid w:val="00476D6B"/>
    <w:rsid w:val="00476F83"/>
    <w:rsid w:val="00477339"/>
    <w:rsid w:val="00477358"/>
    <w:rsid w:val="004773F3"/>
    <w:rsid w:val="004775F3"/>
    <w:rsid w:val="00477706"/>
    <w:rsid w:val="004778D0"/>
    <w:rsid w:val="004779D5"/>
    <w:rsid w:val="00477BD8"/>
    <w:rsid w:val="00477DFA"/>
    <w:rsid w:val="00477E73"/>
    <w:rsid w:val="00477F5E"/>
    <w:rsid w:val="00477FAC"/>
    <w:rsid w:val="004800CF"/>
    <w:rsid w:val="004801E0"/>
    <w:rsid w:val="0048022C"/>
    <w:rsid w:val="004802E5"/>
    <w:rsid w:val="004803DC"/>
    <w:rsid w:val="0048040A"/>
    <w:rsid w:val="00480471"/>
    <w:rsid w:val="00480669"/>
    <w:rsid w:val="0048082C"/>
    <w:rsid w:val="00480982"/>
    <w:rsid w:val="00480999"/>
    <w:rsid w:val="004809EE"/>
    <w:rsid w:val="00480A00"/>
    <w:rsid w:val="00480C2E"/>
    <w:rsid w:val="00480D4D"/>
    <w:rsid w:val="00480FEF"/>
    <w:rsid w:val="004810C1"/>
    <w:rsid w:val="004815A0"/>
    <w:rsid w:val="00481676"/>
    <w:rsid w:val="0048167C"/>
    <w:rsid w:val="00481D67"/>
    <w:rsid w:val="00481EEF"/>
    <w:rsid w:val="00481F49"/>
    <w:rsid w:val="004822A2"/>
    <w:rsid w:val="004822B7"/>
    <w:rsid w:val="004823A7"/>
    <w:rsid w:val="00482490"/>
    <w:rsid w:val="00482608"/>
    <w:rsid w:val="004827CE"/>
    <w:rsid w:val="004828CC"/>
    <w:rsid w:val="00482CA4"/>
    <w:rsid w:val="00482CF0"/>
    <w:rsid w:val="00482EA1"/>
    <w:rsid w:val="00483137"/>
    <w:rsid w:val="00483141"/>
    <w:rsid w:val="004832F7"/>
    <w:rsid w:val="004835DA"/>
    <w:rsid w:val="0048380B"/>
    <w:rsid w:val="00483968"/>
    <w:rsid w:val="00483B6C"/>
    <w:rsid w:val="004841BE"/>
    <w:rsid w:val="004843D1"/>
    <w:rsid w:val="00484594"/>
    <w:rsid w:val="00484664"/>
    <w:rsid w:val="004846F3"/>
    <w:rsid w:val="004847ED"/>
    <w:rsid w:val="004848EB"/>
    <w:rsid w:val="00484A48"/>
    <w:rsid w:val="00484C5F"/>
    <w:rsid w:val="00484D8B"/>
    <w:rsid w:val="00484DC6"/>
    <w:rsid w:val="00484F86"/>
    <w:rsid w:val="004852F2"/>
    <w:rsid w:val="00485353"/>
    <w:rsid w:val="004856CF"/>
    <w:rsid w:val="00485716"/>
    <w:rsid w:val="00485917"/>
    <w:rsid w:val="0048598F"/>
    <w:rsid w:val="00485A0C"/>
    <w:rsid w:val="00485A98"/>
    <w:rsid w:val="00485B01"/>
    <w:rsid w:val="00485DA7"/>
    <w:rsid w:val="00485ECD"/>
    <w:rsid w:val="0048606E"/>
    <w:rsid w:val="00486437"/>
    <w:rsid w:val="0048671D"/>
    <w:rsid w:val="0048690D"/>
    <w:rsid w:val="00486A11"/>
    <w:rsid w:val="00486A9A"/>
    <w:rsid w:val="00486C3E"/>
    <w:rsid w:val="00486C61"/>
    <w:rsid w:val="00486C8D"/>
    <w:rsid w:val="00486DF6"/>
    <w:rsid w:val="00486F28"/>
    <w:rsid w:val="00486F90"/>
    <w:rsid w:val="00487185"/>
    <w:rsid w:val="00487283"/>
    <w:rsid w:val="00487407"/>
    <w:rsid w:val="00487451"/>
    <w:rsid w:val="00487547"/>
    <w:rsid w:val="004879F8"/>
    <w:rsid w:val="00487A1B"/>
    <w:rsid w:val="00487B25"/>
    <w:rsid w:val="00487D54"/>
    <w:rsid w:val="00487DB0"/>
    <w:rsid w:val="00490538"/>
    <w:rsid w:val="0049066B"/>
    <w:rsid w:val="00490746"/>
    <w:rsid w:val="00490852"/>
    <w:rsid w:val="0049085C"/>
    <w:rsid w:val="00490918"/>
    <w:rsid w:val="00490B2C"/>
    <w:rsid w:val="00490BFF"/>
    <w:rsid w:val="00490E09"/>
    <w:rsid w:val="004910DB"/>
    <w:rsid w:val="004916E8"/>
    <w:rsid w:val="004919FC"/>
    <w:rsid w:val="00491AF3"/>
    <w:rsid w:val="00491C9C"/>
    <w:rsid w:val="00491F3D"/>
    <w:rsid w:val="00491FCB"/>
    <w:rsid w:val="004920DA"/>
    <w:rsid w:val="004922A2"/>
    <w:rsid w:val="0049230B"/>
    <w:rsid w:val="004923BB"/>
    <w:rsid w:val="00492673"/>
    <w:rsid w:val="00492698"/>
    <w:rsid w:val="00492840"/>
    <w:rsid w:val="00492BCE"/>
    <w:rsid w:val="00492BEE"/>
    <w:rsid w:val="00492C01"/>
    <w:rsid w:val="00492F30"/>
    <w:rsid w:val="00492F3C"/>
    <w:rsid w:val="00493037"/>
    <w:rsid w:val="0049308F"/>
    <w:rsid w:val="0049318B"/>
    <w:rsid w:val="0049319F"/>
    <w:rsid w:val="0049333F"/>
    <w:rsid w:val="0049378A"/>
    <w:rsid w:val="004939E0"/>
    <w:rsid w:val="00493AD3"/>
    <w:rsid w:val="00493B64"/>
    <w:rsid w:val="00493F2F"/>
    <w:rsid w:val="00493FE0"/>
    <w:rsid w:val="004940F5"/>
    <w:rsid w:val="004940FE"/>
    <w:rsid w:val="0049433E"/>
    <w:rsid w:val="004943AE"/>
    <w:rsid w:val="00494415"/>
    <w:rsid w:val="004945A9"/>
    <w:rsid w:val="004946F4"/>
    <w:rsid w:val="004947ED"/>
    <w:rsid w:val="0049487E"/>
    <w:rsid w:val="0049489A"/>
    <w:rsid w:val="00494A33"/>
    <w:rsid w:val="00494C79"/>
    <w:rsid w:val="00494CC2"/>
    <w:rsid w:val="00494EB8"/>
    <w:rsid w:val="00494F15"/>
    <w:rsid w:val="0049507B"/>
    <w:rsid w:val="00495369"/>
    <w:rsid w:val="00495422"/>
    <w:rsid w:val="00495628"/>
    <w:rsid w:val="004956B1"/>
    <w:rsid w:val="004956B7"/>
    <w:rsid w:val="0049584D"/>
    <w:rsid w:val="004958AB"/>
    <w:rsid w:val="004958AF"/>
    <w:rsid w:val="00495C22"/>
    <w:rsid w:val="00495D2C"/>
    <w:rsid w:val="00495E1B"/>
    <w:rsid w:val="00495F70"/>
    <w:rsid w:val="00495F84"/>
    <w:rsid w:val="00495FDE"/>
    <w:rsid w:val="004960E4"/>
    <w:rsid w:val="00496362"/>
    <w:rsid w:val="004963DA"/>
    <w:rsid w:val="004963E4"/>
    <w:rsid w:val="00496494"/>
    <w:rsid w:val="004965AD"/>
    <w:rsid w:val="0049667A"/>
    <w:rsid w:val="004967FA"/>
    <w:rsid w:val="0049681F"/>
    <w:rsid w:val="00496994"/>
    <w:rsid w:val="00496B5D"/>
    <w:rsid w:val="00496B70"/>
    <w:rsid w:val="00496D39"/>
    <w:rsid w:val="00496D6E"/>
    <w:rsid w:val="00496DB1"/>
    <w:rsid w:val="00496E57"/>
    <w:rsid w:val="00496E95"/>
    <w:rsid w:val="00496EA0"/>
    <w:rsid w:val="0049725C"/>
    <w:rsid w:val="00497292"/>
    <w:rsid w:val="004973AD"/>
    <w:rsid w:val="00497504"/>
    <w:rsid w:val="004975C6"/>
    <w:rsid w:val="004976D0"/>
    <w:rsid w:val="00497743"/>
    <w:rsid w:val="00497950"/>
    <w:rsid w:val="0049799B"/>
    <w:rsid w:val="00497AB1"/>
    <w:rsid w:val="00497B69"/>
    <w:rsid w:val="00497C28"/>
    <w:rsid w:val="00497C3A"/>
    <w:rsid w:val="00497C5C"/>
    <w:rsid w:val="00497CDC"/>
    <w:rsid w:val="00497D28"/>
    <w:rsid w:val="00497EA8"/>
    <w:rsid w:val="00497F24"/>
    <w:rsid w:val="004A0097"/>
    <w:rsid w:val="004A0276"/>
    <w:rsid w:val="004A0334"/>
    <w:rsid w:val="004A0868"/>
    <w:rsid w:val="004A0AE3"/>
    <w:rsid w:val="004A0B66"/>
    <w:rsid w:val="004A0B9A"/>
    <w:rsid w:val="004A0C48"/>
    <w:rsid w:val="004A0CED"/>
    <w:rsid w:val="004A0D73"/>
    <w:rsid w:val="004A1072"/>
    <w:rsid w:val="004A10D8"/>
    <w:rsid w:val="004A12E1"/>
    <w:rsid w:val="004A160D"/>
    <w:rsid w:val="004A166A"/>
    <w:rsid w:val="004A1672"/>
    <w:rsid w:val="004A180E"/>
    <w:rsid w:val="004A1982"/>
    <w:rsid w:val="004A19F5"/>
    <w:rsid w:val="004A1B8A"/>
    <w:rsid w:val="004A1CC9"/>
    <w:rsid w:val="004A1E6A"/>
    <w:rsid w:val="004A20E6"/>
    <w:rsid w:val="004A210B"/>
    <w:rsid w:val="004A2307"/>
    <w:rsid w:val="004A28E3"/>
    <w:rsid w:val="004A2C50"/>
    <w:rsid w:val="004A2CF1"/>
    <w:rsid w:val="004A2D64"/>
    <w:rsid w:val="004A2EC5"/>
    <w:rsid w:val="004A3281"/>
    <w:rsid w:val="004A3402"/>
    <w:rsid w:val="004A34CE"/>
    <w:rsid w:val="004A3570"/>
    <w:rsid w:val="004A36EC"/>
    <w:rsid w:val="004A3870"/>
    <w:rsid w:val="004A3979"/>
    <w:rsid w:val="004A3A01"/>
    <w:rsid w:val="004A3AAC"/>
    <w:rsid w:val="004A3AF7"/>
    <w:rsid w:val="004A3AFF"/>
    <w:rsid w:val="004A3B8D"/>
    <w:rsid w:val="004A3BC4"/>
    <w:rsid w:val="004A3CD5"/>
    <w:rsid w:val="004A3D27"/>
    <w:rsid w:val="004A3E81"/>
    <w:rsid w:val="004A4195"/>
    <w:rsid w:val="004A419A"/>
    <w:rsid w:val="004A4639"/>
    <w:rsid w:val="004A4873"/>
    <w:rsid w:val="004A49C0"/>
    <w:rsid w:val="004A4A7C"/>
    <w:rsid w:val="004A4BDF"/>
    <w:rsid w:val="004A4CBB"/>
    <w:rsid w:val="004A4DD8"/>
    <w:rsid w:val="004A54DF"/>
    <w:rsid w:val="004A560A"/>
    <w:rsid w:val="004A5675"/>
    <w:rsid w:val="004A585B"/>
    <w:rsid w:val="004A59D1"/>
    <w:rsid w:val="004A5B86"/>
    <w:rsid w:val="004A5C62"/>
    <w:rsid w:val="004A5CA9"/>
    <w:rsid w:val="004A5CE5"/>
    <w:rsid w:val="004A6007"/>
    <w:rsid w:val="004A6175"/>
    <w:rsid w:val="004A6177"/>
    <w:rsid w:val="004A61A1"/>
    <w:rsid w:val="004A6231"/>
    <w:rsid w:val="004A62E6"/>
    <w:rsid w:val="004A646A"/>
    <w:rsid w:val="004A64F0"/>
    <w:rsid w:val="004A6771"/>
    <w:rsid w:val="004A68A7"/>
    <w:rsid w:val="004A6ACC"/>
    <w:rsid w:val="004A6F18"/>
    <w:rsid w:val="004A6F3C"/>
    <w:rsid w:val="004A6FC1"/>
    <w:rsid w:val="004A7012"/>
    <w:rsid w:val="004A707D"/>
    <w:rsid w:val="004A70D9"/>
    <w:rsid w:val="004A72A9"/>
    <w:rsid w:val="004A738E"/>
    <w:rsid w:val="004A73B1"/>
    <w:rsid w:val="004A73C8"/>
    <w:rsid w:val="004A7842"/>
    <w:rsid w:val="004A785A"/>
    <w:rsid w:val="004A787C"/>
    <w:rsid w:val="004A7883"/>
    <w:rsid w:val="004A79E2"/>
    <w:rsid w:val="004A7B01"/>
    <w:rsid w:val="004A7B5E"/>
    <w:rsid w:val="004A7BE5"/>
    <w:rsid w:val="004A7C3B"/>
    <w:rsid w:val="004A7CD1"/>
    <w:rsid w:val="004A7CD4"/>
    <w:rsid w:val="004A7E76"/>
    <w:rsid w:val="004A7F3E"/>
    <w:rsid w:val="004B00C1"/>
    <w:rsid w:val="004B00EF"/>
    <w:rsid w:val="004B02CC"/>
    <w:rsid w:val="004B063B"/>
    <w:rsid w:val="004B0781"/>
    <w:rsid w:val="004B0797"/>
    <w:rsid w:val="004B080A"/>
    <w:rsid w:val="004B08F2"/>
    <w:rsid w:val="004B0970"/>
    <w:rsid w:val="004B0974"/>
    <w:rsid w:val="004B0A10"/>
    <w:rsid w:val="004B0BD5"/>
    <w:rsid w:val="004B0C3E"/>
    <w:rsid w:val="004B0D0C"/>
    <w:rsid w:val="004B0D2F"/>
    <w:rsid w:val="004B0D7F"/>
    <w:rsid w:val="004B0FE4"/>
    <w:rsid w:val="004B11D6"/>
    <w:rsid w:val="004B13C3"/>
    <w:rsid w:val="004B143A"/>
    <w:rsid w:val="004B171C"/>
    <w:rsid w:val="004B1CBB"/>
    <w:rsid w:val="004B1DC6"/>
    <w:rsid w:val="004B1E0A"/>
    <w:rsid w:val="004B2288"/>
    <w:rsid w:val="004B2345"/>
    <w:rsid w:val="004B2360"/>
    <w:rsid w:val="004B2372"/>
    <w:rsid w:val="004B2655"/>
    <w:rsid w:val="004B28D8"/>
    <w:rsid w:val="004B2AE3"/>
    <w:rsid w:val="004B2AEF"/>
    <w:rsid w:val="004B2C0A"/>
    <w:rsid w:val="004B2E91"/>
    <w:rsid w:val="004B2F28"/>
    <w:rsid w:val="004B2FC6"/>
    <w:rsid w:val="004B32BD"/>
    <w:rsid w:val="004B3443"/>
    <w:rsid w:val="004B357C"/>
    <w:rsid w:val="004B37B7"/>
    <w:rsid w:val="004B3C57"/>
    <w:rsid w:val="004B3CDB"/>
    <w:rsid w:val="004B3CF2"/>
    <w:rsid w:val="004B3D17"/>
    <w:rsid w:val="004B414D"/>
    <w:rsid w:val="004B4185"/>
    <w:rsid w:val="004B426C"/>
    <w:rsid w:val="004B42AA"/>
    <w:rsid w:val="004B4672"/>
    <w:rsid w:val="004B47B0"/>
    <w:rsid w:val="004B4931"/>
    <w:rsid w:val="004B49CD"/>
    <w:rsid w:val="004B4A62"/>
    <w:rsid w:val="004B4D42"/>
    <w:rsid w:val="004B4D4D"/>
    <w:rsid w:val="004B4F2D"/>
    <w:rsid w:val="004B4F56"/>
    <w:rsid w:val="004B4FDF"/>
    <w:rsid w:val="004B507B"/>
    <w:rsid w:val="004B5295"/>
    <w:rsid w:val="004B56CE"/>
    <w:rsid w:val="004B5867"/>
    <w:rsid w:val="004B5BF4"/>
    <w:rsid w:val="004B5EE1"/>
    <w:rsid w:val="004B5F34"/>
    <w:rsid w:val="004B6069"/>
    <w:rsid w:val="004B639A"/>
    <w:rsid w:val="004B6528"/>
    <w:rsid w:val="004B66A0"/>
    <w:rsid w:val="004B6BAC"/>
    <w:rsid w:val="004B6EB9"/>
    <w:rsid w:val="004B6F73"/>
    <w:rsid w:val="004B7062"/>
    <w:rsid w:val="004B72AF"/>
    <w:rsid w:val="004B72F1"/>
    <w:rsid w:val="004B7740"/>
    <w:rsid w:val="004B77B7"/>
    <w:rsid w:val="004B77EA"/>
    <w:rsid w:val="004B7856"/>
    <w:rsid w:val="004B7A92"/>
    <w:rsid w:val="004B7BA4"/>
    <w:rsid w:val="004C00B2"/>
    <w:rsid w:val="004C00BA"/>
    <w:rsid w:val="004C0226"/>
    <w:rsid w:val="004C02B2"/>
    <w:rsid w:val="004C0489"/>
    <w:rsid w:val="004C063F"/>
    <w:rsid w:val="004C06F4"/>
    <w:rsid w:val="004C0782"/>
    <w:rsid w:val="004C079A"/>
    <w:rsid w:val="004C09CF"/>
    <w:rsid w:val="004C0B69"/>
    <w:rsid w:val="004C0F4C"/>
    <w:rsid w:val="004C12E3"/>
    <w:rsid w:val="004C1485"/>
    <w:rsid w:val="004C158F"/>
    <w:rsid w:val="004C164D"/>
    <w:rsid w:val="004C175B"/>
    <w:rsid w:val="004C17AE"/>
    <w:rsid w:val="004C195D"/>
    <w:rsid w:val="004C1ABB"/>
    <w:rsid w:val="004C1B25"/>
    <w:rsid w:val="004C1D66"/>
    <w:rsid w:val="004C20B2"/>
    <w:rsid w:val="004C214F"/>
    <w:rsid w:val="004C22A6"/>
    <w:rsid w:val="004C25BB"/>
    <w:rsid w:val="004C26BB"/>
    <w:rsid w:val="004C274A"/>
    <w:rsid w:val="004C284C"/>
    <w:rsid w:val="004C29A1"/>
    <w:rsid w:val="004C2FE9"/>
    <w:rsid w:val="004C31EB"/>
    <w:rsid w:val="004C3528"/>
    <w:rsid w:val="004C35CD"/>
    <w:rsid w:val="004C37E5"/>
    <w:rsid w:val="004C3F29"/>
    <w:rsid w:val="004C3F2F"/>
    <w:rsid w:val="004C3F81"/>
    <w:rsid w:val="004C4168"/>
    <w:rsid w:val="004C4487"/>
    <w:rsid w:val="004C44BF"/>
    <w:rsid w:val="004C4548"/>
    <w:rsid w:val="004C46E6"/>
    <w:rsid w:val="004C4705"/>
    <w:rsid w:val="004C4712"/>
    <w:rsid w:val="004C471F"/>
    <w:rsid w:val="004C4736"/>
    <w:rsid w:val="004C497D"/>
    <w:rsid w:val="004C49DC"/>
    <w:rsid w:val="004C4E07"/>
    <w:rsid w:val="004C4EB3"/>
    <w:rsid w:val="004C4F11"/>
    <w:rsid w:val="004C5541"/>
    <w:rsid w:val="004C55AB"/>
    <w:rsid w:val="004C5AE4"/>
    <w:rsid w:val="004C5BE8"/>
    <w:rsid w:val="004C5C99"/>
    <w:rsid w:val="004C5CB9"/>
    <w:rsid w:val="004C5E0E"/>
    <w:rsid w:val="004C5E21"/>
    <w:rsid w:val="004C60E8"/>
    <w:rsid w:val="004C6148"/>
    <w:rsid w:val="004C6187"/>
    <w:rsid w:val="004C625E"/>
    <w:rsid w:val="004C643F"/>
    <w:rsid w:val="004C665D"/>
    <w:rsid w:val="004C6757"/>
    <w:rsid w:val="004C6A2D"/>
    <w:rsid w:val="004C6C2F"/>
    <w:rsid w:val="004C6CA3"/>
    <w:rsid w:val="004C6EEE"/>
    <w:rsid w:val="004C702B"/>
    <w:rsid w:val="004C719D"/>
    <w:rsid w:val="004C7312"/>
    <w:rsid w:val="004C7338"/>
    <w:rsid w:val="004C73B4"/>
    <w:rsid w:val="004C7452"/>
    <w:rsid w:val="004C74B9"/>
    <w:rsid w:val="004C74F3"/>
    <w:rsid w:val="004C7533"/>
    <w:rsid w:val="004C75A2"/>
    <w:rsid w:val="004C75A6"/>
    <w:rsid w:val="004C761A"/>
    <w:rsid w:val="004C7697"/>
    <w:rsid w:val="004C76D8"/>
    <w:rsid w:val="004C78E9"/>
    <w:rsid w:val="004C79B9"/>
    <w:rsid w:val="004C7A07"/>
    <w:rsid w:val="004C7D1C"/>
    <w:rsid w:val="004C7E8A"/>
    <w:rsid w:val="004D0025"/>
    <w:rsid w:val="004D0033"/>
    <w:rsid w:val="004D016B"/>
    <w:rsid w:val="004D01FE"/>
    <w:rsid w:val="004D0550"/>
    <w:rsid w:val="004D0591"/>
    <w:rsid w:val="004D06E6"/>
    <w:rsid w:val="004D079E"/>
    <w:rsid w:val="004D07FC"/>
    <w:rsid w:val="004D0A06"/>
    <w:rsid w:val="004D0C7C"/>
    <w:rsid w:val="004D0E32"/>
    <w:rsid w:val="004D0EF2"/>
    <w:rsid w:val="004D0F21"/>
    <w:rsid w:val="004D10C6"/>
    <w:rsid w:val="004D1151"/>
    <w:rsid w:val="004D120F"/>
    <w:rsid w:val="004D1296"/>
    <w:rsid w:val="004D1547"/>
    <w:rsid w:val="004D15B9"/>
    <w:rsid w:val="004D181F"/>
    <w:rsid w:val="004D1A62"/>
    <w:rsid w:val="004D1B22"/>
    <w:rsid w:val="004D1B88"/>
    <w:rsid w:val="004D1B8C"/>
    <w:rsid w:val="004D1C24"/>
    <w:rsid w:val="004D1C4E"/>
    <w:rsid w:val="004D1FFB"/>
    <w:rsid w:val="004D2075"/>
    <w:rsid w:val="004D23CC"/>
    <w:rsid w:val="004D245A"/>
    <w:rsid w:val="004D245B"/>
    <w:rsid w:val="004D250D"/>
    <w:rsid w:val="004D2600"/>
    <w:rsid w:val="004D2691"/>
    <w:rsid w:val="004D269B"/>
    <w:rsid w:val="004D26C6"/>
    <w:rsid w:val="004D27C3"/>
    <w:rsid w:val="004D2AC4"/>
    <w:rsid w:val="004D2B11"/>
    <w:rsid w:val="004D2E10"/>
    <w:rsid w:val="004D2E11"/>
    <w:rsid w:val="004D3125"/>
    <w:rsid w:val="004D33BD"/>
    <w:rsid w:val="004D340B"/>
    <w:rsid w:val="004D35CA"/>
    <w:rsid w:val="004D36F2"/>
    <w:rsid w:val="004D3924"/>
    <w:rsid w:val="004D3A23"/>
    <w:rsid w:val="004D3BC8"/>
    <w:rsid w:val="004D3F0A"/>
    <w:rsid w:val="004D412C"/>
    <w:rsid w:val="004D4140"/>
    <w:rsid w:val="004D42D8"/>
    <w:rsid w:val="004D44EC"/>
    <w:rsid w:val="004D45D6"/>
    <w:rsid w:val="004D48CB"/>
    <w:rsid w:val="004D4C7B"/>
    <w:rsid w:val="004D4EA5"/>
    <w:rsid w:val="004D506E"/>
    <w:rsid w:val="004D5130"/>
    <w:rsid w:val="004D53FD"/>
    <w:rsid w:val="004D54FD"/>
    <w:rsid w:val="004D56AB"/>
    <w:rsid w:val="004D5766"/>
    <w:rsid w:val="004D5828"/>
    <w:rsid w:val="004D59B3"/>
    <w:rsid w:val="004D5A29"/>
    <w:rsid w:val="004D5AA4"/>
    <w:rsid w:val="004D5D5D"/>
    <w:rsid w:val="004D5F5A"/>
    <w:rsid w:val="004D5FAB"/>
    <w:rsid w:val="004D5FEA"/>
    <w:rsid w:val="004D612C"/>
    <w:rsid w:val="004D623C"/>
    <w:rsid w:val="004D6466"/>
    <w:rsid w:val="004D65AC"/>
    <w:rsid w:val="004D68DF"/>
    <w:rsid w:val="004D6920"/>
    <w:rsid w:val="004D6AD4"/>
    <w:rsid w:val="004D6AE1"/>
    <w:rsid w:val="004D6BC4"/>
    <w:rsid w:val="004D705F"/>
    <w:rsid w:val="004D71A2"/>
    <w:rsid w:val="004D734E"/>
    <w:rsid w:val="004D7399"/>
    <w:rsid w:val="004D73CA"/>
    <w:rsid w:val="004D7505"/>
    <w:rsid w:val="004D7547"/>
    <w:rsid w:val="004D7A27"/>
    <w:rsid w:val="004D7B14"/>
    <w:rsid w:val="004D7B63"/>
    <w:rsid w:val="004E04CB"/>
    <w:rsid w:val="004E07F1"/>
    <w:rsid w:val="004E0848"/>
    <w:rsid w:val="004E0864"/>
    <w:rsid w:val="004E086A"/>
    <w:rsid w:val="004E0B9B"/>
    <w:rsid w:val="004E0C3C"/>
    <w:rsid w:val="004E0C50"/>
    <w:rsid w:val="004E1106"/>
    <w:rsid w:val="004E12C0"/>
    <w:rsid w:val="004E138F"/>
    <w:rsid w:val="004E14D6"/>
    <w:rsid w:val="004E14DB"/>
    <w:rsid w:val="004E1508"/>
    <w:rsid w:val="004E18DE"/>
    <w:rsid w:val="004E1968"/>
    <w:rsid w:val="004E1A8C"/>
    <w:rsid w:val="004E1BEA"/>
    <w:rsid w:val="004E1C38"/>
    <w:rsid w:val="004E1EF0"/>
    <w:rsid w:val="004E1EF8"/>
    <w:rsid w:val="004E2000"/>
    <w:rsid w:val="004E21D8"/>
    <w:rsid w:val="004E22F2"/>
    <w:rsid w:val="004E24E8"/>
    <w:rsid w:val="004E2836"/>
    <w:rsid w:val="004E28DE"/>
    <w:rsid w:val="004E2A15"/>
    <w:rsid w:val="004E2A2F"/>
    <w:rsid w:val="004E2C35"/>
    <w:rsid w:val="004E2CB6"/>
    <w:rsid w:val="004E2F08"/>
    <w:rsid w:val="004E2F0A"/>
    <w:rsid w:val="004E3430"/>
    <w:rsid w:val="004E34BD"/>
    <w:rsid w:val="004E3609"/>
    <w:rsid w:val="004E363E"/>
    <w:rsid w:val="004E3EC9"/>
    <w:rsid w:val="004E40E3"/>
    <w:rsid w:val="004E423A"/>
    <w:rsid w:val="004E4390"/>
    <w:rsid w:val="004E4649"/>
    <w:rsid w:val="004E4759"/>
    <w:rsid w:val="004E481B"/>
    <w:rsid w:val="004E48B8"/>
    <w:rsid w:val="004E48C0"/>
    <w:rsid w:val="004E4927"/>
    <w:rsid w:val="004E4A68"/>
    <w:rsid w:val="004E4AE0"/>
    <w:rsid w:val="004E4D75"/>
    <w:rsid w:val="004E4E56"/>
    <w:rsid w:val="004E4EB7"/>
    <w:rsid w:val="004E4FE5"/>
    <w:rsid w:val="004E50FA"/>
    <w:rsid w:val="004E50FE"/>
    <w:rsid w:val="004E512E"/>
    <w:rsid w:val="004E5348"/>
    <w:rsid w:val="004E5699"/>
    <w:rsid w:val="004E56D9"/>
    <w:rsid w:val="004E56DA"/>
    <w:rsid w:val="004E578E"/>
    <w:rsid w:val="004E5C2B"/>
    <w:rsid w:val="004E5D25"/>
    <w:rsid w:val="004E5E3A"/>
    <w:rsid w:val="004E5ED6"/>
    <w:rsid w:val="004E5F1E"/>
    <w:rsid w:val="004E5F4B"/>
    <w:rsid w:val="004E606B"/>
    <w:rsid w:val="004E608A"/>
    <w:rsid w:val="004E615E"/>
    <w:rsid w:val="004E620D"/>
    <w:rsid w:val="004E65ED"/>
    <w:rsid w:val="004E66BF"/>
    <w:rsid w:val="004E67F2"/>
    <w:rsid w:val="004E69C4"/>
    <w:rsid w:val="004E69E2"/>
    <w:rsid w:val="004E6AB7"/>
    <w:rsid w:val="004E6E3F"/>
    <w:rsid w:val="004E6F6F"/>
    <w:rsid w:val="004E73C7"/>
    <w:rsid w:val="004E73FF"/>
    <w:rsid w:val="004E7606"/>
    <w:rsid w:val="004E7825"/>
    <w:rsid w:val="004E79B3"/>
    <w:rsid w:val="004E79D8"/>
    <w:rsid w:val="004E79EA"/>
    <w:rsid w:val="004E7A02"/>
    <w:rsid w:val="004E7AA7"/>
    <w:rsid w:val="004E7D2D"/>
    <w:rsid w:val="004E7EC8"/>
    <w:rsid w:val="004F0014"/>
    <w:rsid w:val="004F0065"/>
    <w:rsid w:val="004F00DD"/>
    <w:rsid w:val="004F018B"/>
    <w:rsid w:val="004F0245"/>
    <w:rsid w:val="004F0279"/>
    <w:rsid w:val="004F03E4"/>
    <w:rsid w:val="004F0405"/>
    <w:rsid w:val="004F04EF"/>
    <w:rsid w:val="004F06C6"/>
    <w:rsid w:val="004F0778"/>
    <w:rsid w:val="004F082E"/>
    <w:rsid w:val="004F0849"/>
    <w:rsid w:val="004F0A7E"/>
    <w:rsid w:val="004F0AC2"/>
    <w:rsid w:val="004F0B45"/>
    <w:rsid w:val="004F0B6B"/>
    <w:rsid w:val="004F0CAA"/>
    <w:rsid w:val="004F0CE3"/>
    <w:rsid w:val="004F0E1F"/>
    <w:rsid w:val="004F0E49"/>
    <w:rsid w:val="004F0F55"/>
    <w:rsid w:val="004F1144"/>
    <w:rsid w:val="004F12BA"/>
    <w:rsid w:val="004F1348"/>
    <w:rsid w:val="004F13F0"/>
    <w:rsid w:val="004F142D"/>
    <w:rsid w:val="004F15EC"/>
    <w:rsid w:val="004F1BA3"/>
    <w:rsid w:val="004F1CC8"/>
    <w:rsid w:val="004F1D51"/>
    <w:rsid w:val="004F1D8D"/>
    <w:rsid w:val="004F1DFE"/>
    <w:rsid w:val="004F1E1E"/>
    <w:rsid w:val="004F1F66"/>
    <w:rsid w:val="004F211D"/>
    <w:rsid w:val="004F2133"/>
    <w:rsid w:val="004F22D3"/>
    <w:rsid w:val="004F23E5"/>
    <w:rsid w:val="004F23EE"/>
    <w:rsid w:val="004F23F9"/>
    <w:rsid w:val="004F23FF"/>
    <w:rsid w:val="004F25C9"/>
    <w:rsid w:val="004F25F0"/>
    <w:rsid w:val="004F284B"/>
    <w:rsid w:val="004F2AA8"/>
    <w:rsid w:val="004F2B02"/>
    <w:rsid w:val="004F2BE0"/>
    <w:rsid w:val="004F2D6A"/>
    <w:rsid w:val="004F2E39"/>
    <w:rsid w:val="004F2FB9"/>
    <w:rsid w:val="004F31A5"/>
    <w:rsid w:val="004F31D2"/>
    <w:rsid w:val="004F393A"/>
    <w:rsid w:val="004F3B11"/>
    <w:rsid w:val="004F3C65"/>
    <w:rsid w:val="004F3EE4"/>
    <w:rsid w:val="004F4447"/>
    <w:rsid w:val="004F4761"/>
    <w:rsid w:val="004F47A7"/>
    <w:rsid w:val="004F4837"/>
    <w:rsid w:val="004F48BB"/>
    <w:rsid w:val="004F49FB"/>
    <w:rsid w:val="004F4FC1"/>
    <w:rsid w:val="004F5284"/>
    <w:rsid w:val="004F5398"/>
    <w:rsid w:val="004F55F1"/>
    <w:rsid w:val="004F57EC"/>
    <w:rsid w:val="004F57FA"/>
    <w:rsid w:val="004F591F"/>
    <w:rsid w:val="004F5AC1"/>
    <w:rsid w:val="004F5B69"/>
    <w:rsid w:val="004F5CB7"/>
    <w:rsid w:val="004F5D18"/>
    <w:rsid w:val="004F5E73"/>
    <w:rsid w:val="004F5EF2"/>
    <w:rsid w:val="004F63E8"/>
    <w:rsid w:val="004F64DC"/>
    <w:rsid w:val="004F6722"/>
    <w:rsid w:val="004F6936"/>
    <w:rsid w:val="004F6A58"/>
    <w:rsid w:val="004F6A83"/>
    <w:rsid w:val="004F6B20"/>
    <w:rsid w:val="004F6CC3"/>
    <w:rsid w:val="004F6D03"/>
    <w:rsid w:val="004F6EFD"/>
    <w:rsid w:val="004F7018"/>
    <w:rsid w:val="004F7313"/>
    <w:rsid w:val="004F75B7"/>
    <w:rsid w:val="004F77CF"/>
    <w:rsid w:val="004F7845"/>
    <w:rsid w:val="004F7A32"/>
    <w:rsid w:val="004F7A33"/>
    <w:rsid w:val="004F7AC5"/>
    <w:rsid w:val="004F7C67"/>
    <w:rsid w:val="004F7CFF"/>
    <w:rsid w:val="004F7DC6"/>
    <w:rsid w:val="004F7FE9"/>
    <w:rsid w:val="00500041"/>
    <w:rsid w:val="0050011A"/>
    <w:rsid w:val="005001BB"/>
    <w:rsid w:val="005003DD"/>
    <w:rsid w:val="005003EC"/>
    <w:rsid w:val="0050056C"/>
    <w:rsid w:val="00500681"/>
    <w:rsid w:val="0050078B"/>
    <w:rsid w:val="00500814"/>
    <w:rsid w:val="005008A7"/>
    <w:rsid w:val="00500A8C"/>
    <w:rsid w:val="00500CC9"/>
    <w:rsid w:val="00500DA0"/>
    <w:rsid w:val="00500E1C"/>
    <w:rsid w:val="00500F4B"/>
    <w:rsid w:val="00500F78"/>
    <w:rsid w:val="00500FC2"/>
    <w:rsid w:val="005016FA"/>
    <w:rsid w:val="0050178F"/>
    <w:rsid w:val="00501AB9"/>
    <w:rsid w:val="00501B0E"/>
    <w:rsid w:val="00501E5F"/>
    <w:rsid w:val="00501F2F"/>
    <w:rsid w:val="00501FAC"/>
    <w:rsid w:val="005021F1"/>
    <w:rsid w:val="0050270D"/>
    <w:rsid w:val="00502786"/>
    <w:rsid w:val="005028AF"/>
    <w:rsid w:val="00502B15"/>
    <w:rsid w:val="00502CA7"/>
    <w:rsid w:val="00502CCE"/>
    <w:rsid w:val="00502CEF"/>
    <w:rsid w:val="00502D0F"/>
    <w:rsid w:val="00502E59"/>
    <w:rsid w:val="00502FDC"/>
    <w:rsid w:val="0050310D"/>
    <w:rsid w:val="0050313A"/>
    <w:rsid w:val="005033EA"/>
    <w:rsid w:val="005034C5"/>
    <w:rsid w:val="005035E3"/>
    <w:rsid w:val="00503754"/>
    <w:rsid w:val="005037AC"/>
    <w:rsid w:val="0050380B"/>
    <w:rsid w:val="00503865"/>
    <w:rsid w:val="00503A5A"/>
    <w:rsid w:val="00503A9C"/>
    <w:rsid w:val="00503C2F"/>
    <w:rsid w:val="00503D74"/>
    <w:rsid w:val="00503DC6"/>
    <w:rsid w:val="00504005"/>
    <w:rsid w:val="00504251"/>
    <w:rsid w:val="00504265"/>
    <w:rsid w:val="0050483C"/>
    <w:rsid w:val="00504AEA"/>
    <w:rsid w:val="00504B19"/>
    <w:rsid w:val="00504B61"/>
    <w:rsid w:val="00504BBA"/>
    <w:rsid w:val="00504CC7"/>
    <w:rsid w:val="00504DDA"/>
    <w:rsid w:val="00504E5A"/>
    <w:rsid w:val="00504F48"/>
    <w:rsid w:val="0050527E"/>
    <w:rsid w:val="005054A6"/>
    <w:rsid w:val="005054F5"/>
    <w:rsid w:val="00505663"/>
    <w:rsid w:val="005057F4"/>
    <w:rsid w:val="005057F6"/>
    <w:rsid w:val="0050580A"/>
    <w:rsid w:val="00505A29"/>
    <w:rsid w:val="00505A56"/>
    <w:rsid w:val="00505AB8"/>
    <w:rsid w:val="00505B33"/>
    <w:rsid w:val="00505B4A"/>
    <w:rsid w:val="00505C20"/>
    <w:rsid w:val="00505C4B"/>
    <w:rsid w:val="00505D56"/>
    <w:rsid w:val="00505DCD"/>
    <w:rsid w:val="00505F25"/>
    <w:rsid w:val="005062A8"/>
    <w:rsid w:val="0050645D"/>
    <w:rsid w:val="0050645E"/>
    <w:rsid w:val="005067BB"/>
    <w:rsid w:val="005069F6"/>
    <w:rsid w:val="00506A11"/>
    <w:rsid w:val="00506A4F"/>
    <w:rsid w:val="00506A84"/>
    <w:rsid w:val="00506E4D"/>
    <w:rsid w:val="00506F5D"/>
    <w:rsid w:val="00506FF4"/>
    <w:rsid w:val="00507210"/>
    <w:rsid w:val="00507258"/>
    <w:rsid w:val="0050729C"/>
    <w:rsid w:val="0050734C"/>
    <w:rsid w:val="00507384"/>
    <w:rsid w:val="0050739A"/>
    <w:rsid w:val="0050756F"/>
    <w:rsid w:val="005077CA"/>
    <w:rsid w:val="00507FB5"/>
    <w:rsid w:val="0051008A"/>
    <w:rsid w:val="005101E2"/>
    <w:rsid w:val="00510217"/>
    <w:rsid w:val="0051035F"/>
    <w:rsid w:val="005103C8"/>
    <w:rsid w:val="005106A9"/>
    <w:rsid w:val="00510762"/>
    <w:rsid w:val="005108D3"/>
    <w:rsid w:val="005109AD"/>
    <w:rsid w:val="00510BE9"/>
    <w:rsid w:val="00510C37"/>
    <w:rsid w:val="00510D1F"/>
    <w:rsid w:val="00510D67"/>
    <w:rsid w:val="00510FD2"/>
    <w:rsid w:val="00510FFD"/>
    <w:rsid w:val="005111DC"/>
    <w:rsid w:val="005112CE"/>
    <w:rsid w:val="0051139E"/>
    <w:rsid w:val="00511474"/>
    <w:rsid w:val="005114A2"/>
    <w:rsid w:val="00511636"/>
    <w:rsid w:val="00511741"/>
    <w:rsid w:val="005117A1"/>
    <w:rsid w:val="005117F3"/>
    <w:rsid w:val="005118EC"/>
    <w:rsid w:val="00511C5F"/>
    <w:rsid w:val="00511E7A"/>
    <w:rsid w:val="00511EB4"/>
    <w:rsid w:val="00511F5E"/>
    <w:rsid w:val="005120BF"/>
    <w:rsid w:val="00512155"/>
    <w:rsid w:val="0051220D"/>
    <w:rsid w:val="00512373"/>
    <w:rsid w:val="005126D0"/>
    <w:rsid w:val="005126D7"/>
    <w:rsid w:val="0051277B"/>
    <w:rsid w:val="005129B3"/>
    <w:rsid w:val="00512CCE"/>
    <w:rsid w:val="00512E07"/>
    <w:rsid w:val="00512EA1"/>
    <w:rsid w:val="00512EA3"/>
    <w:rsid w:val="005130BC"/>
    <w:rsid w:val="005130E5"/>
    <w:rsid w:val="005134F5"/>
    <w:rsid w:val="005136E2"/>
    <w:rsid w:val="0051370D"/>
    <w:rsid w:val="0051383E"/>
    <w:rsid w:val="0051384A"/>
    <w:rsid w:val="00513B11"/>
    <w:rsid w:val="00513C96"/>
    <w:rsid w:val="00513DD7"/>
    <w:rsid w:val="00513DEE"/>
    <w:rsid w:val="00513DF1"/>
    <w:rsid w:val="00513DFE"/>
    <w:rsid w:val="00513FE8"/>
    <w:rsid w:val="00514085"/>
    <w:rsid w:val="00514245"/>
    <w:rsid w:val="00514270"/>
    <w:rsid w:val="00514363"/>
    <w:rsid w:val="00514410"/>
    <w:rsid w:val="00514625"/>
    <w:rsid w:val="00514633"/>
    <w:rsid w:val="00514667"/>
    <w:rsid w:val="00514A7E"/>
    <w:rsid w:val="00514AF1"/>
    <w:rsid w:val="00514D27"/>
    <w:rsid w:val="00514F8E"/>
    <w:rsid w:val="00514FBC"/>
    <w:rsid w:val="0051517F"/>
    <w:rsid w:val="00515285"/>
    <w:rsid w:val="0051560B"/>
    <w:rsid w:val="0051568D"/>
    <w:rsid w:val="0051571C"/>
    <w:rsid w:val="0051573C"/>
    <w:rsid w:val="00515CC1"/>
    <w:rsid w:val="00515DE1"/>
    <w:rsid w:val="00515F49"/>
    <w:rsid w:val="005166FA"/>
    <w:rsid w:val="00516767"/>
    <w:rsid w:val="00516B6E"/>
    <w:rsid w:val="00516BF9"/>
    <w:rsid w:val="00516CF7"/>
    <w:rsid w:val="00516FDB"/>
    <w:rsid w:val="00517241"/>
    <w:rsid w:val="005176F8"/>
    <w:rsid w:val="00517804"/>
    <w:rsid w:val="0051794D"/>
    <w:rsid w:val="00517961"/>
    <w:rsid w:val="00517EAA"/>
    <w:rsid w:val="0052006D"/>
    <w:rsid w:val="0052036A"/>
    <w:rsid w:val="00520392"/>
    <w:rsid w:val="005203D7"/>
    <w:rsid w:val="00520646"/>
    <w:rsid w:val="0052064A"/>
    <w:rsid w:val="005206D9"/>
    <w:rsid w:val="00520909"/>
    <w:rsid w:val="00520A90"/>
    <w:rsid w:val="00520A94"/>
    <w:rsid w:val="00520AD9"/>
    <w:rsid w:val="00520AFE"/>
    <w:rsid w:val="00520B0D"/>
    <w:rsid w:val="00520B26"/>
    <w:rsid w:val="00520D46"/>
    <w:rsid w:val="00520D66"/>
    <w:rsid w:val="0052118A"/>
    <w:rsid w:val="005215E5"/>
    <w:rsid w:val="005215EE"/>
    <w:rsid w:val="00521836"/>
    <w:rsid w:val="00521BBB"/>
    <w:rsid w:val="00521C10"/>
    <w:rsid w:val="00521C8B"/>
    <w:rsid w:val="00521CAF"/>
    <w:rsid w:val="00522115"/>
    <w:rsid w:val="005221F5"/>
    <w:rsid w:val="00522467"/>
    <w:rsid w:val="005224FF"/>
    <w:rsid w:val="00522512"/>
    <w:rsid w:val="005226B1"/>
    <w:rsid w:val="005226EA"/>
    <w:rsid w:val="00522A44"/>
    <w:rsid w:val="00522D76"/>
    <w:rsid w:val="005231E6"/>
    <w:rsid w:val="00523479"/>
    <w:rsid w:val="00523481"/>
    <w:rsid w:val="00523627"/>
    <w:rsid w:val="00523824"/>
    <w:rsid w:val="00523877"/>
    <w:rsid w:val="0052398E"/>
    <w:rsid w:val="00523C1D"/>
    <w:rsid w:val="00523E77"/>
    <w:rsid w:val="00523E9E"/>
    <w:rsid w:val="00523E9F"/>
    <w:rsid w:val="00523F1A"/>
    <w:rsid w:val="00524174"/>
    <w:rsid w:val="005242D8"/>
    <w:rsid w:val="00524479"/>
    <w:rsid w:val="005244CF"/>
    <w:rsid w:val="0052484A"/>
    <w:rsid w:val="0052488E"/>
    <w:rsid w:val="005248F0"/>
    <w:rsid w:val="005249F4"/>
    <w:rsid w:val="00524A4E"/>
    <w:rsid w:val="00524A76"/>
    <w:rsid w:val="00524B3A"/>
    <w:rsid w:val="00524C84"/>
    <w:rsid w:val="00524D78"/>
    <w:rsid w:val="00524E5E"/>
    <w:rsid w:val="005250A4"/>
    <w:rsid w:val="0052512E"/>
    <w:rsid w:val="005251B2"/>
    <w:rsid w:val="00525434"/>
    <w:rsid w:val="005254F8"/>
    <w:rsid w:val="00525508"/>
    <w:rsid w:val="005255C1"/>
    <w:rsid w:val="0052562D"/>
    <w:rsid w:val="005257C6"/>
    <w:rsid w:val="005257E9"/>
    <w:rsid w:val="005258D1"/>
    <w:rsid w:val="00525998"/>
    <w:rsid w:val="00525B8C"/>
    <w:rsid w:val="00525BAB"/>
    <w:rsid w:val="00525BB3"/>
    <w:rsid w:val="00525C8A"/>
    <w:rsid w:val="00525DAA"/>
    <w:rsid w:val="00525F0B"/>
    <w:rsid w:val="00525F9A"/>
    <w:rsid w:val="00526169"/>
    <w:rsid w:val="00526212"/>
    <w:rsid w:val="005262B3"/>
    <w:rsid w:val="0052636F"/>
    <w:rsid w:val="0052641F"/>
    <w:rsid w:val="0052657C"/>
    <w:rsid w:val="0052661D"/>
    <w:rsid w:val="00526677"/>
    <w:rsid w:val="00526870"/>
    <w:rsid w:val="00526A0E"/>
    <w:rsid w:val="00526AC7"/>
    <w:rsid w:val="00526B4B"/>
    <w:rsid w:val="00526C15"/>
    <w:rsid w:val="00526C1A"/>
    <w:rsid w:val="00526C2E"/>
    <w:rsid w:val="00526E3D"/>
    <w:rsid w:val="00526E9D"/>
    <w:rsid w:val="00526F6D"/>
    <w:rsid w:val="00527367"/>
    <w:rsid w:val="005274AB"/>
    <w:rsid w:val="005274B1"/>
    <w:rsid w:val="005274CB"/>
    <w:rsid w:val="00527587"/>
    <w:rsid w:val="0052763B"/>
    <w:rsid w:val="005276E0"/>
    <w:rsid w:val="00527820"/>
    <w:rsid w:val="00527984"/>
    <w:rsid w:val="00527B57"/>
    <w:rsid w:val="00527BF5"/>
    <w:rsid w:val="00527C60"/>
    <w:rsid w:val="00527DCC"/>
    <w:rsid w:val="00527F36"/>
    <w:rsid w:val="0053034A"/>
    <w:rsid w:val="00530452"/>
    <w:rsid w:val="005305C2"/>
    <w:rsid w:val="005305F2"/>
    <w:rsid w:val="005305F8"/>
    <w:rsid w:val="00530741"/>
    <w:rsid w:val="0053076D"/>
    <w:rsid w:val="00530804"/>
    <w:rsid w:val="00530864"/>
    <w:rsid w:val="00530A75"/>
    <w:rsid w:val="00530AB1"/>
    <w:rsid w:val="00530ABB"/>
    <w:rsid w:val="00530ADE"/>
    <w:rsid w:val="00530B15"/>
    <w:rsid w:val="00530BF3"/>
    <w:rsid w:val="005314A5"/>
    <w:rsid w:val="005319E4"/>
    <w:rsid w:val="00531A0F"/>
    <w:rsid w:val="00531A6F"/>
    <w:rsid w:val="00531ADE"/>
    <w:rsid w:val="00531B09"/>
    <w:rsid w:val="00531BCA"/>
    <w:rsid w:val="00531D1C"/>
    <w:rsid w:val="005320C2"/>
    <w:rsid w:val="0053223C"/>
    <w:rsid w:val="005325C5"/>
    <w:rsid w:val="005327A9"/>
    <w:rsid w:val="00532A6D"/>
    <w:rsid w:val="00532C87"/>
    <w:rsid w:val="00532CF0"/>
    <w:rsid w:val="00532DBA"/>
    <w:rsid w:val="00533155"/>
    <w:rsid w:val="00533410"/>
    <w:rsid w:val="0053341C"/>
    <w:rsid w:val="00533578"/>
    <w:rsid w:val="00533592"/>
    <w:rsid w:val="00533646"/>
    <w:rsid w:val="005339FC"/>
    <w:rsid w:val="00533BCF"/>
    <w:rsid w:val="00533C77"/>
    <w:rsid w:val="00533D4D"/>
    <w:rsid w:val="0053405B"/>
    <w:rsid w:val="005341DD"/>
    <w:rsid w:val="005342D9"/>
    <w:rsid w:val="0053489C"/>
    <w:rsid w:val="005348FC"/>
    <w:rsid w:val="00534A07"/>
    <w:rsid w:val="00534A9C"/>
    <w:rsid w:val="00534FC8"/>
    <w:rsid w:val="005350D5"/>
    <w:rsid w:val="00535177"/>
    <w:rsid w:val="0053532B"/>
    <w:rsid w:val="005355B1"/>
    <w:rsid w:val="00535828"/>
    <w:rsid w:val="005358CB"/>
    <w:rsid w:val="00535A93"/>
    <w:rsid w:val="00535ACC"/>
    <w:rsid w:val="00535CB2"/>
    <w:rsid w:val="00535D54"/>
    <w:rsid w:val="00535F2F"/>
    <w:rsid w:val="00535FCE"/>
    <w:rsid w:val="00536054"/>
    <w:rsid w:val="0053628E"/>
    <w:rsid w:val="00536398"/>
    <w:rsid w:val="00536499"/>
    <w:rsid w:val="00536587"/>
    <w:rsid w:val="005365A7"/>
    <w:rsid w:val="0053666C"/>
    <w:rsid w:val="0053674F"/>
    <w:rsid w:val="005369C4"/>
    <w:rsid w:val="00536C8C"/>
    <w:rsid w:val="00536DB2"/>
    <w:rsid w:val="0053727E"/>
    <w:rsid w:val="00537578"/>
    <w:rsid w:val="005375BA"/>
    <w:rsid w:val="0053766E"/>
    <w:rsid w:val="0053769E"/>
    <w:rsid w:val="00537A92"/>
    <w:rsid w:val="00537D76"/>
    <w:rsid w:val="005401C7"/>
    <w:rsid w:val="00540251"/>
    <w:rsid w:val="0054040E"/>
    <w:rsid w:val="00540656"/>
    <w:rsid w:val="00540A90"/>
    <w:rsid w:val="00540C1B"/>
    <w:rsid w:val="005410F9"/>
    <w:rsid w:val="00541483"/>
    <w:rsid w:val="00541486"/>
    <w:rsid w:val="00541635"/>
    <w:rsid w:val="00541726"/>
    <w:rsid w:val="0054188C"/>
    <w:rsid w:val="005418B3"/>
    <w:rsid w:val="005418C9"/>
    <w:rsid w:val="00541A1E"/>
    <w:rsid w:val="00541AAB"/>
    <w:rsid w:val="00541C71"/>
    <w:rsid w:val="00541F80"/>
    <w:rsid w:val="005422A7"/>
    <w:rsid w:val="00542372"/>
    <w:rsid w:val="00542608"/>
    <w:rsid w:val="00542628"/>
    <w:rsid w:val="00542735"/>
    <w:rsid w:val="00542A03"/>
    <w:rsid w:val="00542A17"/>
    <w:rsid w:val="00542A9C"/>
    <w:rsid w:val="00542BB4"/>
    <w:rsid w:val="00542BEB"/>
    <w:rsid w:val="00542CC1"/>
    <w:rsid w:val="00542D4B"/>
    <w:rsid w:val="00543006"/>
    <w:rsid w:val="005431CD"/>
    <w:rsid w:val="005431CE"/>
    <w:rsid w:val="005432AC"/>
    <w:rsid w:val="005432EE"/>
    <w:rsid w:val="00543438"/>
    <w:rsid w:val="005434B4"/>
    <w:rsid w:val="0054354D"/>
    <w:rsid w:val="00543903"/>
    <w:rsid w:val="005439C3"/>
    <w:rsid w:val="00543BCC"/>
    <w:rsid w:val="00543BEA"/>
    <w:rsid w:val="00543E32"/>
    <w:rsid w:val="00543EE5"/>
    <w:rsid w:val="00543F11"/>
    <w:rsid w:val="00543FFD"/>
    <w:rsid w:val="0054401B"/>
    <w:rsid w:val="00544050"/>
    <w:rsid w:val="00544135"/>
    <w:rsid w:val="00544139"/>
    <w:rsid w:val="00544166"/>
    <w:rsid w:val="00544476"/>
    <w:rsid w:val="005444BF"/>
    <w:rsid w:val="005445E1"/>
    <w:rsid w:val="00544742"/>
    <w:rsid w:val="00544857"/>
    <w:rsid w:val="005448C3"/>
    <w:rsid w:val="00544982"/>
    <w:rsid w:val="00544B60"/>
    <w:rsid w:val="005450CB"/>
    <w:rsid w:val="005453A6"/>
    <w:rsid w:val="00545485"/>
    <w:rsid w:val="0054557D"/>
    <w:rsid w:val="005455B6"/>
    <w:rsid w:val="00545623"/>
    <w:rsid w:val="00545646"/>
    <w:rsid w:val="005459E6"/>
    <w:rsid w:val="005459F9"/>
    <w:rsid w:val="00545AEF"/>
    <w:rsid w:val="00545B7D"/>
    <w:rsid w:val="00545D3B"/>
    <w:rsid w:val="00545D75"/>
    <w:rsid w:val="00545DA1"/>
    <w:rsid w:val="00545E42"/>
    <w:rsid w:val="00545E9F"/>
    <w:rsid w:val="00545FCC"/>
    <w:rsid w:val="00546046"/>
    <w:rsid w:val="0054609C"/>
    <w:rsid w:val="00546261"/>
    <w:rsid w:val="005462D2"/>
    <w:rsid w:val="00546305"/>
    <w:rsid w:val="00546359"/>
    <w:rsid w:val="005466AA"/>
    <w:rsid w:val="00546842"/>
    <w:rsid w:val="005469DF"/>
    <w:rsid w:val="00546A02"/>
    <w:rsid w:val="00546D2B"/>
    <w:rsid w:val="00547378"/>
    <w:rsid w:val="0054738D"/>
    <w:rsid w:val="0054758C"/>
    <w:rsid w:val="00547A1C"/>
    <w:rsid w:val="00547A1E"/>
    <w:rsid w:val="00547A95"/>
    <w:rsid w:val="00547B53"/>
    <w:rsid w:val="00547B6A"/>
    <w:rsid w:val="00547BC0"/>
    <w:rsid w:val="00547CF0"/>
    <w:rsid w:val="00547DA4"/>
    <w:rsid w:val="00547F89"/>
    <w:rsid w:val="00550135"/>
    <w:rsid w:val="0055042A"/>
    <w:rsid w:val="0055059E"/>
    <w:rsid w:val="005506F5"/>
    <w:rsid w:val="00550DA1"/>
    <w:rsid w:val="00550F88"/>
    <w:rsid w:val="00550FA0"/>
    <w:rsid w:val="0055106C"/>
    <w:rsid w:val="0055119B"/>
    <w:rsid w:val="0055140E"/>
    <w:rsid w:val="00551481"/>
    <w:rsid w:val="0055154E"/>
    <w:rsid w:val="00551565"/>
    <w:rsid w:val="0055169D"/>
    <w:rsid w:val="0055179A"/>
    <w:rsid w:val="00551DA4"/>
    <w:rsid w:val="0055220A"/>
    <w:rsid w:val="0055224E"/>
    <w:rsid w:val="0055225E"/>
    <w:rsid w:val="0055257D"/>
    <w:rsid w:val="00552665"/>
    <w:rsid w:val="00552674"/>
    <w:rsid w:val="005527BA"/>
    <w:rsid w:val="00552816"/>
    <w:rsid w:val="00552C49"/>
    <w:rsid w:val="00552DD0"/>
    <w:rsid w:val="00553169"/>
    <w:rsid w:val="005531CC"/>
    <w:rsid w:val="0055353B"/>
    <w:rsid w:val="005535E1"/>
    <w:rsid w:val="00553685"/>
    <w:rsid w:val="005536BD"/>
    <w:rsid w:val="00553773"/>
    <w:rsid w:val="00553958"/>
    <w:rsid w:val="00553A2B"/>
    <w:rsid w:val="00553B11"/>
    <w:rsid w:val="00553B15"/>
    <w:rsid w:val="00553BE9"/>
    <w:rsid w:val="00553E6E"/>
    <w:rsid w:val="00553F0C"/>
    <w:rsid w:val="00554121"/>
    <w:rsid w:val="005541A5"/>
    <w:rsid w:val="005542A2"/>
    <w:rsid w:val="00554326"/>
    <w:rsid w:val="00554697"/>
    <w:rsid w:val="005546A9"/>
    <w:rsid w:val="005546CD"/>
    <w:rsid w:val="005549CC"/>
    <w:rsid w:val="00554C5F"/>
    <w:rsid w:val="00554C62"/>
    <w:rsid w:val="00554C8F"/>
    <w:rsid w:val="00554FC1"/>
    <w:rsid w:val="00555014"/>
    <w:rsid w:val="005550AB"/>
    <w:rsid w:val="00555107"/>
    <w:rsid w:val="00555151"/>
    <w:rsid w:val="005551BE"/>
    <w:rsid w:val="005555FD"/>
    <w:rsid w:val="0055575B"/>
    <w:rsid w:val="005559FE"/>
    <w:rsid w:val="00555ACC"/>
    <w:rsid w:val="00555AD3"/>
    <w:rsid w:val="00555D44"/>
    <w:rsid w:val="00555D72"/>
    <w:rsid w:val="00556330"/>
    <w:rsid w:val="005563D8"/>
    <w:rsid w:val="005564DB"/>
    <w:rsid w:val="00556679"/>
    <w:rsid w:val="00556691"/>
    <w:rsid w:val="005566EA"/>
    <w:rsid w:val="005569EF"/>
    <w:rsid w:val="00556DB6"/>
    <w:rsid w:val="00556DD9"/>
    <w:rsid w:val="00556F4B"/>
    <w:rsid w:val="005572B0"/>
    <w:rsid w:val="005573EE"/>
    <w:rsid w:val="005573F8"/>
    <w:rsid w:val="0055747C"/>
    <w:rsid w:val="00557891"/>
    <w:rsid w:val="00557D3C"/>
    <w:rsid w:val="00557DF9"/>
    <w:rsid w:val="00560405"/>
    <w:rsid w:val="00560686"/>
    <w:rsid w:val="005606DB"/>
    <w:rsid w:val="00560949"/>
    <w:rsid w:val="00560D46"/>
    <w:rsid w:val="00560D47"/>
    <w:rsid w:val="00560D75"/>
    <w:rsid w:val="00560D76"/>
    <w:rsid w:val="0056116C"/>
    <w:rsid w:val="00561202"/>
    <w:rsid w:val="005612FE"/>
    <w:rsid w:val="0056134E"/>
    <w:rsid w:val="005613BE"/>
    <w:rsid w:val="00561617"/>
    <w:rsid w:val="00561727"/>
    <w:rsid w:val="005618A4"/>
    <w:rsid w:val="00561A4C"/>
    <w:rsid w:val="00561A4F"/>
    <w:rsid w:val="00561C39"/>
    <w:rsid w:val="00561F55"/>
    <w:rsid w:val="00562013"/>
    <w:rsid w:val="005620DB"/>
    <w:rsid w:val="005621ED"/>
    <w:rsid w:val="005622DB"/>
    <w:rsid w:val="00562325"/>
    <w:rsid w:val="005624E0"/>
    <w:rsid w:val="00562507"/>
    <w:rsid w:val="0056273F"/>
    <w:rsid w:val="00562811"/>
    <w:rsid w:val="005628C1"/>
    <w:rsid w:val="0056291F"/>
    <w:rsid w:val="0056298A"/>
    <w:rsid w:val="005629F8"/>
    <w:rsid w:val="00562A4C"/>
    <w:rsid w:val="00562BD6"/>
    <w:rsid w:val="00562CA5"/>
    <w:rsid w:val="0056309B"/>
    <w:rsid w:val="00563187"/>
    <w:rsid w:val="0056350A"/>
    <w:rsid w:val="005637A0"/>
    <w:rsid w:val="0056381F"/>
    <w:rsid w:val="005638DD"/>
    <w:rsid w:val="005638FA"/>
    <w:rsid w:val="00563AB2"/>
    <w:rsid w:val="00563C07"/>
    <w:rsid w:val="00563C81"/>
    <w:rsid w:val="00563E02"/>
    <w:rsid w:val="00563E2C"/>
    <w:rsid w:val="00563E41"/>
    <w:rsid w:val="005645F8"/>
    <w:rsid w:val="005648A8"/>
    <w:rsid w:val="00564A9A"/>
    <w:rsid w:val="00564A9D"/>
    <w:rsid w:val="00564D01"/>
    <w:rsid w:val="00564DF9"/>
    <w:rsid w:val="00564FEC"/>
    <w:rsid w:val="0056521D"/>
    <w:rsid w:val="005653D9"/>
    <w:rsid w:val="00565873"/>
    <w:rsid w:val="0056592E"/>
    <w:rsid w:val="005659B3"/>
    <w:rsid w:val="005659EA"/>
    <w:rsid w:val="00565A17"/>
    <w:rsid w:val="00565DE5"/>
    <w:rsid w:val="00565EFE"/>
    <w:rsid w:val="00565F19"/>
    <w:rsid w:val="00566008"/>
    <w:rsid w:val="005660A5"/>
    <w:rsid w:val="005661F8"/>
    <w:rsid w:val="005662C4"/>
    <w:rsid w:val="005663BA"/>
    <w:rsid w:val="0056675D"/>
    <w:rsid w:val="005667A1"/>
    <w:rsid w:val="005667C0"/>
    <w:rsid w:val="00566865"/>
    <w:rsid w:val="00566B71"/>
    <w:rsid w:val="00566BFA"/>
    <w:rsid w:val="00566C26"/>
    <w:rsid w:val="00566CD2"/>
    <w:rsid w:val="00566F26"/>
    <w:rsid w:val="00567033"/>
    <w:rsid w:val="005673E7"/>
    <w:rsid w:val="00567480"/>
    <w:rsid w:val="0056763A"/>
    <w:rsid w:val="005677CB"/>
    <w:rsid w:val="00567963"/>
    <w:rsid w:val="00567AF2"/>
    <w:rsid w:val="00567DBF"/>
    <w:rsid w:val="00567FB6"/>
    <w:rsid w:val="00570100"/>
    <w:rsid w:val="00570310"/>
    <w:rsid w:val="005703F8"/>
    <w:rsid w:val="00570534"/>
    <w:rsid w:val="00570630"/>
    <w:rsid w:val="0057067F"/>
    <w:rsid w:val="00570CE7"/>
    <w:rsid w:val="00570D05"/>
    <w:rsid w:val="00570E71"/>
    <w:rsid w:val="00570EF4"/>
    <w:rsid w:val="00571044"/>
    <w:rsid w:val="005710DA"/>
    <w:rsid w:val="0057113D"/>
    <w:rsid w:val="00571211"/>
    <w:rsid w:val="00571494"/>
    <w:rsid w:val="00571515"/>
    <w:rsid w:val="0057162B"/>
    <w:rsid w:val="0057167B"/>
    <w:rsid w:val="00571688"/>
    <w:rsid w:val="00571AE1"/>
    <w:rsid w:val="00571B1E"/>
    <w:rsid w:val="00571BA0"/>
    <w:rsid w:val="00571D85"/>
    <w:rsid w:val="00571E7A"/>
    <w:rsid w:val="00571F51"/>
    <w:rsid w:val="00572031"/>
    <w:rsid w:val="00572051"/>
    <w:rsid w:val="0057207E"/>
    <w:rsid w:val="00572103"/>
    <w:rsid w:val="00572254"/>
    <w:rsid w:val="00572282"/>
    <w:rsid w:val="00572344"/>
    <w:rsid w:val="005723CF"/>
    <w:rsid w:val="00572708"/>
    <w:rsid w:val="005728D8"/>
    <w:rsid w:val="00572A06"/>
    <w:rsid w:val="00572B75"/>
    <w:rsid w:val="00572EAC"/>
    <w:rsid w:val="00573162"/>
    <w:rsid w:val="005733D5"/>
    <w:rsid w:val="005733E1"/>
    <w:rsid w:val="00573479"/>
    <w:rsid w:val="005734EA"/>
    <w:rsid w:val="005736FD"/>
    <w:rsid w:val="0057377B"/>
    <w:rsid w:val="005738A4"/>
    <w:rsid w:val="00573ACC"/>
    <w:rsid w:val="00573AE4"/>
    <w:rsid w:val="00573C2B"/>
    <w:rsid w:val="00573CC7"/>
    <w:rsid w:val="00573CE3"/>
    <w:rsid w:val="005741C0"/>
    <w:rsid w:val="005743A9"/>
    <w:rsid w:val="00574468"/>
    <w:rsid w:val="00574501"/>
    <w:rsid w:val="005745C3"/>
    <w:rsid w:val="00574CB8"/>
    <w:rsid w:val="0057519D"/>
    <w:rsid w:val="005751D6"/>
    <w:rsid w:val="005752DA"/>
    <w:rsid w:val="0057530F"/>
    <w:rsid w:val="00575547"/>
    <w:rsid w:val="0057565E"/>
    <w:rsid w:val="0057599F"/>
    <w:rsid w:val="00575AA4"/>
    <w:rsid w:val="00575B6D"/>
    <w:rsid w:val="00575FDF"/>
    <w:rsid w:val="0057615C"/>
    <w:rsid w:val="005763AC"/>
    <w:rsid w:val="005763CF"/>
    <w:rsid w:val="00576422"/>
    <w:rsid w:val="0057647B"/>
    <w:rsid w:val="0057667E"/>
    <w:rsid w:val="005766BD"/>
    <w:rsid w:val="00576710"/>
    <w:rsid w:val="00576C01"/>
    <w:rsid w:val="00576E84"/>
    <w:rsid w:val="00576FEA"/>
    <w:rsid w:val="005770F4"/>
    <w:rsid w:val="0057715A"/>
    <w:rsid w:val="00577266"/>
    <w:rsid w:val="0057738A"/>
    <w:rsid w:val="0057745C"/>
    <w:rsid w:val="0057759B"/>
    <w:rsid w:val="0057772E"/>
    <w:rsid w:val="005778B3"/>
    <w:rsid w:val="00577BCA"/>
    <w:rsid w:val="00577BE0"/>
    <w:rsid w:val="0058027C"/>
    <w:rsid w:val="00580338"/>
    <w:rsid w:val="00580394"/>
    <w:rsid w:val="00580671"/>
    <w:rsid w:val="005809CD"/>
    <w:rsid w:val="00580BF0"/>
    <w:rsid w:val="00580C9E"/>
    <w:rsid w:val="00580D44"/>
    <w:rsid w:val="0058124F"/>
    <w:rsid w:val="0058134D"/>
    <w:rsid w:val="00581465"/>
    <w:rsid w:val="00581894"/>
    <w:rsid w:val="00581D18"/>
    <w:rsid w:val="00581D22"/>
    <w:rsid w:val="00581D32"/>
    <w:rsid w:val="00581D99"/>
    <w:rsid w:val="0058209D"/>
    <w:rsid w:val="0058222E"/>
    <w:rsid w:val="005822BF"/>
    <w:rsid w:val="005824C9"/>
    <w:rsid w:val="00582B69"/>
    <w:rsid w:val="00582B8C"/>
    <w:rsid w:val="00582E6D"/>
    <w:rsid w:val="00582F8C"/>
    <w:rsid w:val="00582FDB"/>
    <w:rsid w:val="005830BB"/>
    <w:rsid w:val="00583230"/>
    <w:rsid w:val="0058339E"/>
    <w:rsid w:val="00583435"/>
    <w:rsid w:val="005836B9"/>
    <w:rsid w:val="00583823"/>
    <w:rsid w:val="00583833"/>
    <w:rsid w:val="00583970"/>
    <w:rsid w:val="0058397D"/>
    <w:rsid w:val="00583D0F"/>
    <w:rsid w:val="00583F28"/>
    <w:rsid w:val="00584075"/>
    <w:rsid w:val="005840BB"/>
    <w:rsid w:val="00584399"/>
    <w:rsid w:val="005843C3"/>
    <w:rsid w:val="00584505"/>
    <w:rsid w:val="005847E3"/>
    <w:rsid w:val="005849AC"/>
    <w:rsid w:val="00584E50"/>
    <w:rsid w:val="0058505A"/>
    <w:rsid w:val="0058525D"/>
    <w:rsid w:val="005855AA"/>
    <w:rsid w:val="00585AE5"/>
    <w:rsid w:val="00585D79"/>
    <w:rsid w:val="00585D92"/>
    <w:rsid w:val="00585DD4"/>
    <w:rsid w:val="00586254"/>
    <w:rsid w:val="0058640E"/>
    <w:rsid w:val="005864C0"/>
    <w:rsid w:val="005865A7"/>
    <w:rsid w:val="00586924"/>
    <w:rsid w:val="005869D8"/>
    <w:rsid w:val="00586F30"/>
    <w:rsid w:val="00586F49"/>
    <w:rsid w:val="0058709A"/>
    <w:rsid w:val="00587238"/>
    <w:rsid w:val="0058726D"/>
    <w:rsid w:val="00587288"/>
    <w:rsid w:val="005873CE"/>
    <w:rsid w:val="005874B9"/>
    <w:rsid w:val="0058751B"/>
    <w:rsid w:val="0058757E"/>
    <w:rsid w:val="00587680"/>
    <w:rsid w:val="00587884"/>
    <w:rsid w:val="00587A1E"/>
    <w:rsid w:val="00587A21"/>
    <w:rsid w:val="00587B7D"/>
    <w:rsid w:val="00587E69"/>
    <w:rsid w:val="00587E7B"/>
    <w:rsid w:val="00587F15"/>
    <w:rsid w:val="00587F48"/>
    <w:rsid w:val="00587FE4"/>
    <w:rsid w:val="00590110"/>
    <w:rsid w:val="00590114"/>
    <w:rsid w:val="0059013D"/>
    <w:rsid w:val="0059024C"/>
    <w:rsid w:val="005902AB"/>
    <w:rsid w:val="0059047F"/>
    <w:rsid w:val="0059067D"/>
    <w:rsid w:val="005907F7"/>
    <w:rsid w:val="00590BBC"/>
    <w:rsid w:val="00590CC5"/>
    <w:rsid w:val="0059137D"/>
    <w:rsid w:val="005916DD"/>
    <w:rsid w:val="00591750"/>
    <w:rsid w:val="00591788"/>
    <w:rsid w:val="00591C65"/>
    <w:rsid w:val="00591CE8"/>
    <w:rsid w:val="00591F86"/>
    <w:rsid w:val="0059248D"/>
    <w:rsid w:val="0059252A"/>
    <w:rsid w:val="00592865"/>
    <w:rsid w:val="00592874"/>
    <w:rsid w:val="00592956"/>
    <w:rsid w:val="00592960"/>
    <w:rsid w:val="005929E1"/>
    <w:rsid w:val="005929E3"/>
    <w:rsid w:val="00592BE0"/>
    <w:rsid w:val="00592CFC"/>
    <w:rsid w:val="00592D43"/>
    <w:rsid w:val="00593069"/>
    <w:rsid w:val="00593285"/>
    <w:rsid w:val="005933E1"/>
    <w:rsid w:val="00593468"/>
    <w:rsid w:val="0059349B"/>
    <w:rsid w:val="00593629"/>
    <w:rsid w:val="005938BC"/>
    <w:rsid w:val="00593936"/>
    <w:rsid w:val="00593C44"/>
    <w:rsid w:val="00593CB5"/>
    <w:rsid w:val="00593D06"/>
    <w:rsid w:val="00593F92"/>
    <w:rsid w:val="0059406C"/>
    <w:rsid w:val="0059435F"/>
    <w:rsid w:val="00594413"/>
    <w:rsid w:val="00594557"/>
    <w:rsid w:val="0059465E"/>
    <w:rsid w:val="005948DF"/>
    <w:rsid w:val="005949CB"/>
    <w:rsid w:val="00594A02"/>
    <w:rsid w:val="00594B3F"/>
    <w:rsid w:val="00594B4F"/>
    <w:rsid w:val="00594C9B"/>
    <w:rsid w:val="00594EBD"/>
    <w:rsid w:val="00594FA2"/>
    <w:rsid w:val="005951D1"/>
    <w:rsid w:val="005951D4"/>
    <w:rsid w:val="00595370"/>
    <w:rsid w:val="005955AB"/>
    <w:rsid w:val="0059584F"/>
    <w:rsid w:val="00595B33"/>
    <w:rsid w:val="00595D00"/>
    <w:rsid w:val="00595DB9"/>
    <w:rsid w:val="00595EF8"/>
    <w:rsid w:val="00595FA9"/>
    <w:rsid w:val="005960F7"/>
    <w:rsid w:val="005961EA"/>
    <w:rsid w:val="00596250"/>
    <w:rsid w:val="005963F1"/>
    <w:rsid w:val="00596425"/>
    <w:rsid w:val="00596493"/>
    <w:rsid w:val="005967A9"/>
    <w:rsid w:val="005967EE"/>
    <w:rsid w:val="00596852"/>
    <w:rsid w:val="00596923"/>
    <w:rsid w:val="00596A4B"/>
    <w:rsid w:val="00596B4B"/>
    <w:rsid w:val="00596D0C"/>
    <w:rsid w:val="00596D0E"/>
    <w:rsid w:val="00596DD7"/>
    <w:rsid w:val="0059717A"/>
    <w:rsid w:val="00597378"/>
    <w:rsid w:val="00597507"/>
    <w:rsid w:val="00597621"/>
    <w:rsid w:val="00597637"/>
    <w:rsid w:val="00597AC1"/>
    <w:rsid w:val="00597F8C"/>
    <w:rsid w:val="00597FC5"/>
    <w:rsid w:val="005A0019"/>
    <w:rsid w:val="005A002B"/>
    <w:rsid w:val="005A024E"/>
    <w:rsid w:val="005A037A"/>
    <w:rsid w:val="005A04A2"/>
    <w:rsid w:val="005A0797"/>
    <w:rsid w:val="005A07C9"/>
    <w:rsid w:val="005A09CE"/>
    <w:rsid w:val="005A09F4"/>
    <w:rsid w:val="005A09FD"/>
    <w:rsid w:val="005A09FE"/>
    <w:rsid w:val="005A0B2C"/>
    <w:rsid w:val="005A0B96"/>
    <w:rsid w:val="005A0BA4"/>
    <w:rsid w:val="005A0C70"/>
    <w:rsid w:val="005A0D33"/>
    <w:rsid w:val="005A0F06"/>
    <w:rsid w:val="005A10A4"/>
    <w:rsid w:val="005A112A"/>
    <w:rsid w:val="005A1154"/>
    <w:rsid w:val="005A1374"/>
    <w:rsid w:val="005A137C"/>
    <w:rsid w:val="005A13D0"/>
    <w:rsid w:val="005A13EB"/>
    <w:rsid w:val="005A1422"/>
    <w:rsid w:val="005A14A8"/>
    <w:rsid w:val="005A1515"/>
    <w:rsid w:val="005A19A2"/>
    <w:rsid w:val="005A19AC"/>
    <w:rsid w:val="005A1A2A"/>
    <w:rsid w:val="005A1AD4"/>
    <w:rsid w:val="005A1BD2"/>
    <w:rsid w:val="005A1C2C"/>
    <w:rsid w:val="005A1DF3"/>
    <w:rsid w:val="005A1ECF"/>
    <w:rsid w:val="005A1F9E"/>
    <w:rsid w:val="005A20F9"/>
    <w:rsid w:val="005A2337"/>
    <w:rsid w:val="005A2494"/>
    <w:rsid w:val="005A283F"/>
    <w:rsid w:val="005A2962"/>
    <w:rsid w:val="005A2B76"/>
    <w:rsid w:val="005A2DF6"/>
    <w:rsid w:val="005A2EAA"/>
    <w:rsid w:val="005A30D6"/>
    <w:rsid w:val="005A3118"/>
    <w:rsid w:val="005A33E9"/>
    <w:rsid w:val="005A3460"/>
    <w:rsid w:val="005A365D"/>
    <w:rsid w:val="005A3773"/>
    <w:rsid w:val="005A3814"/>
    <w:rsid w:val="005A3B93"/>
    <w:rsid w:val="005A3BE3"/>
    <w:rsid w:val="005A3BFF"/>
    <w:rsid w:val="005A3F26"/>
    <w:rsid w:val="005A3F36"/>
    <w:rsid w:val="005A3FC1"/>
    <w:rsid w:val="005A408D"/>
    <w:rsid w:val="005A4549"/>
    <w:rsid w:val="005A45B0"/>
    <w:rsid w:val="005A461A"/>
    <w:rsid w:val="005A479D"/>
    <w:rsid w:val="005A47DE"/>
    <w:rsid w:val="005A483F"/>
    <w:rsid w:val="005A4AE0"/>
    <w:rsid w:val="005A4C7B"/>
    <w:rsid w:val="005A4D47"/>
    <w:rsid w:val="005A5034"/>
    <w:rsid w:val="005A50CA"/>
    <w:rsid w:val="005A5104"/>
    <w:rsid w:val="005A54CC"/>
    <w:rsid w:val="005A59AF"/>
    <w:rsid w:val="005A59B5"/>
    <w:rsid w:val="005A5B34"/>
    <w:rsid w:val="005A5DD3"/>
    <w:rsid w:val="005A5E14"/>
    <w:rsid w:val="005A601C"/>
    <w:rsid w:val="005A6135"/>
    <w:rsid w:val="005A62E4"/>
    <w:rsid w:val="005A640E"/>
    <w:rsid w:val="005A651E"/>
    <w:rsid w:val="005A657F"/>
    <w:rsid w:val="005A6691"/>
    <w:rsid w:val="005A67C3"/>
    <w:rsid w:val="005A6A14"/>
    <w:rsid w:val="005A6B56"/>
    <w:rsid w:val="005A6B6C"/>
    <w:rsid w:val="005A6D02"/>
    <w:rsid w:val="005A6EC2"/>
    <w:rsid w:val="005A73DA"/>
    <w:rsid w:val="005A7701"/>
    <w:rsid w:val="005A7753"/>
    <w:rsid w:val="005A7778"/>
    <w:rsid w:val="005A77B9"/>
    <w:rsid w:val="005A7906"/>
    <w:rsid w:val="005A7996"/>
    <w:rsid w:val="005A7BD6"/>
    <w:rsid w:val="005A7E40"/>
    <w:rsid w:val="005A7E5B"/>
    <w:rsid w:val="005A7FA7"/>
    <w:rsid w:val="005B012B"/>
    <w:rsid w:val="005B037C"/>
    <w:rsid w:val="005B03CE"/>
    <w:rsid w:val="005B0450"/>
    <w:rsid w:val="005B0497"/>
    <w:rsid w:val="005B0665"/>
    <w:rsid w:val="005B06AE"/>
    <w:rsid w:val="005B0931"/>
    <w:rsid w:val="005B0963"/>
    <w:rsid w:val="005B09DD"/>
    <w:rsid w:val="005B0A03"/>
    <w:rsid w:val="005B0BCB"/>
    <w:rsid w:val="005B0D8F"/>
    <w:rsid w:val="005B0E8B"/>
    <w:rsid w:val="005B0F09"/>
    <w:rsid w:val="005B0F1B"/>
    <w:rsid w:val="005B11BE"/>
    <w:rsid w:val="005B11DF"/>
    <w:rsid w:val="005B1209"/>
    <w:rsid w:val="005B121C"/>
    <w:rsid w:val="005B135D"/>
    <w:rsid w:val="005B13BC"/>
    <w:rsid w:val="005B16E6"/>
    <w:rsid w:val="005B1773"/>
    <w:rsid w:val="005B1824"/>
    <w:rsid w:val="005B1B15"/>
    <w:rsid w:val="005B1C6D"/>
    <w:rsid w:val="005B1EB6"/>
    <w:rsid w:val="005B219A"/>
    <w:rsid w:val="005B21B6"/>
    <w:rsid w:val="005B2237"/>
    <w:rsid w:val="005B2282"/>
    <w:rsid w:val="005B22BF"/>
    <w:rsid w:val="005B23AA"/>
    <w:rsid w:val="005B243D"/>
    <w:rsid w:val="005B2481"/>
    <w:rsid w:val="005B276B"/>
    <w:rsid w:val="005B2800"/>
    <w:rsid w:val="005B286C"/>
    <w:rsid w:val="005B28FE"/>
    <w:rsid w:val="005B2904"/>
    <w:rsid w:val="005B2941"/>
    <w:rsid w:val="005B2A49"/>
    <w:rsid w:val="005B2B24"/>
    <w:rsid w:val="005B2B39"/>
    <w:rsid w:val="005B2C43"/>
    <w:rsid w:val="005B2D52"/>
    <w:rsid w:val="005B2EC7"/>
    <w:rsid w:val="005B3024"/>
    <w:rsid w:val="005B3372"/>
    <w:rsid w:val="005B3498"/>
    <w:rsid w:val="005B34DD"/>
    <w:rsid w:val="005B3879"/>
    <w:rsid w:val="005B3A08"/>
    <w:rsid w:val="005B3ACF"/>
    <w:rsid w:val="005B3BD7"/>
    <w:rsid w:val="005B3CE4"/>
    <w:rsid w:val="005B3D19"/>
    <w:rsid w:val="005B3E90"/>
    <w:rsid w:val="005B3F74"/>
    <w:rsid w:val="005B4147"/>
    <w:rsid w:val="005B42E7"/>
    <w:rsid w:val="005B4476"/>
    <w:rsid w:val="005B4761"/>
    <w:rsid w:val="005B47B7"/>
    <w:rsid w:val="005B4920"/>
    <w:rsid w:val="005B4C2D"/>
    <w:rsid w:val="005B4CD1"/>
    <w:rsid w:val="005B4D99"/>
    <w:rsid w:val="005B4E6D"/>
    <w:rsid w:val="005B50CD"/>
    <w:rsid w:val="005B5146"/>
    <w:rsid w:val="005B523B"/>
    <w:rsid w:val="005B5261"/>
    <w:rsid w:val="005B555F"/>
    <w:rsid w:val="005B5628"/>
    <w:rsid w:val="005B579B"/>
    <w:rsid w:val="005B58A9"/>
    <w:rsid w:val="005B5D79"/>
    <w:rsid w:val="005B607F"/>
    <w:rsid w:val="005B6144"/>
    <w:rsid w:val="005B615D"/>
    <w:rsid w:val="005B6286"/>
    <w:rsid w:val="005B6362"/>
    <w:rsid w:val="005B6608"/>
    <w:rsid w:val="005B66D4"/>
    <w:rsid w:val="005B6955"/>
    <w:rsid w:val="005B6A1B"/>
    <w:rsid w:val="005B6B47"/>
    <w:rsid w:val="005B6B54"/>
    <w:rsid w:val="005B6DBC"/>
    <w:rsid w:val="005B6F04"/>
    <w:rsid w:val="005B6FE7"/>
    <w:rsid w:val="005B7653"/>
    <w:rsid w:val="005B7747"/>
    <w:rsid w:val="005B7805"/>
    <w:rsid w:val="005B7A63"/>
    <w:rsid w:val="005B7E9F"/>
    <w:rsid w:val="005B7F77"/>
    <w:rsid w:val="005C00A4"/>
    <w:rsid w:val="005C018F"/>
    <w:rsid w:val="005C0345"/>
    <w:rsid w:val="005C054F"/>
    <w:rsid w:val="005C0613"/>
    <w:rsid w:val="005C069D"/>
    <w:rsid w:val="005C080E"/>
    <w:rsid w:val="005C08FF"/>
    <w:rsid w:val="005C094B"/>
    <w:rsid w:val="005C0955"/>
    <w:rsid w:val="005C0993"/>
    <w:rsid w:val="005C1034"/>
    <w:rsid w:val="005C1078"/>
    <w:rsid w:val="005C111D"/>
    <w:rsid w:val="005C1174"/>
    <w:rsid w:val="005C1255"/>
    <w:rsid w:val="005C1264"/>
    <w:rsid w:val="005C131B"/>
    <w:rsid w:val="005C139E"/>
    <w:rsid w:val="005C152F"/>
    <w:rsid w:val="005C1593"/>
    <w:rsid w:val="005C170E"/>
    <w:rsid w:val="005C177A"/>
    <w:rsid w:val="005C1888"/>
    <w:rsid w:val="005C19B8"/>
    <w:rsid w:val="005C19D5"/>
    <w:rsid w:val="005C1C61"/>
    <w:rsid w:val="005C1D4B"/>
    <w:rsid w:val="005C1E7F"/>
    <w:rsid w:val="005C1EE3"/>
    <w:rsid w:val="005C1F95"/>
    <w:rsid w:val="005C20B7"/>
    <w:rsid w:val="005C216E"/>
    <w:rsid w:val="005C22C3"/>
    <w:rsid w:val="005C246A"/>
    <w:rsid w:val="005C26AA"/>
    <w:rsid w:val="005C28D6"/>
    <w:rsid w:val="005C2C21"/>
    <w:rsid w:val="005C2C2B"/>
    <w:rsid w:val="005C2D16"/>
    <w:rsid w:val="005C2E79"/>
    <w:rsid w:val="005C2EF0"/>
    <w:rsid w:val="005C30C1"/>
    <w:rsid w:val="005C3605"/>
    <w:rsid w:val="005C3797"/>
    <w:rsid w:val="005C37F1"/>
    <w:rsid w:val="005C3F9B"/>
    <w:rsid w:val="005C3F9D"/>
    <w:rsid w:val="005C407A"/>
    <w:rsid w:val="005C4199"/>
    <w:rsid w:val="005C429A"/>
    <w:rsid w:val="005C42C9"/>
    <w:rsid w:val="005C4398"/>
    <w:rsid w:val="005C4820"/>
    <w:rsid w:val="005C48FB"/>
    <w:rsid w:val="005C49DA"/>
    <w:rsid w:val="005C4A77"/>
    <w:rsid w:val="005C4AD1"/>
    <w:rsid w:val="005C4E81"/>
    <w:rsid w:val="005C4EA3"/>
    <w:rsid w:val="005C5002"/>
    <w:rsid w:val="005C50F3"/>
    <w:rsid w:val="005C52C1"/>
    <w:rsid w:val="005C52C9"/>
    <w:rsid w:val="005C535F"/>
    <w:rsid w:val="005C54AB"/>
    <w:rsid w:val="005C54B5"/>
    <w:rsid w:val="005C5507"/>
    <w:rsid w:val="005C58E2"/>
    <w:rsid w:val="005C59E8"/>
    <w:rsid w:val="005C5AD7"/>
    <w:rsid w:val="005C5D46"/>
    <w:rsid w:val="005C5D80"/>
    <w:rsid w:val="005C5D91"/>
    <w:rsid w:val="005C5EB3"/>
    <w:rsid w:val="005C6183"/>
    <w:rsid w:val="005C62AE"/>
    <w:rsid w:val="005C62CE"/>
    <w:rsid w:val="005C637B"/>
    <w:rsid w:val="005C64AD"/>
    <w:rsid w:val="005C64D8"/>
    <w:rsid w:val="005C6605"/>
    <w:rsid w:val="005C69B1"/>
    <w:rsid w:val="005C69FE"/>
    <w:rsid w:val="005C701A"/>
    <w:rsid w:val="005C7067"/>
    <w:rsid w:val="005C71B3"/>
    <w:rsid w:val="005C71B4"/>
    <w:rsid w:val="005C71DF"/>
    <w:rsid w:val="005C725A"/>
    <w:rsid w:val="005C740C"/>
    <w:rsid w:val="005C74CC"/>
    <w:rsid w:val="005C75B3"/>
    <w:rsid w:val="005C75FB"/>
    <w:rsid w:val="005C78DF"/>
    <w:rsid w:val="005C7ADC"/>
    <w:rsid w:val="005C7B86"/>
    <w:rsid w:val="005C7D36"/>
    <w:rsid w:val="005C7DA8"/>
    <w:rsid w:val="005C7DEA"/>
    <w:rsid w:val="005C7E96"/>
    <w:rsid w:val="005C7F19"/>
    <w:rsid w:val="005C7FEA"/>
    <w:rsid w:val="005D0265"/>
    <w:rsid w:val="005D0291"/>
    <w:rsid w:val="005D05B4"/>
    <w:rsid w:val="005D07B8"/>
    <w:rsid w:val="005D0825"/>
    <w:rsid w:val="005D08A0"/>
    <w:rsid w:val="005D08CA"/>
    <w:rsid w:val="005D09AA"/>
    <w:rsid w:val="005D0B28"/>
    <w:rsid w:val="005D0E6F"/>
    <w:rsid w:val="005D0F51"/>
    <w:rsid w:val="005D10FC"/>
    <w:rsid w:val="005D1325"/>
    <w:rsid w:val="005D13AC"/>
    <w:rsid w:val="005D1546"/>
    <w:rsid w:val="005D16E9"/>
    <w:rsid w:val="005D179F"/>
    <w:rsid w:val="005D17C0"/>
    <w:rsid w:val="005D1893"/>
    <w:rsid w:val="005D197A"/>
    <w:rsid w:val="005D1BED"/>
    <w:rsid w:val="005D1D71"/>
    <w:rsid w:val="005D1E16"/>
    <w:rsid w:val="005D1E2B"/>
    <w:rsid w:val="005D1E86"/>
    <w:rsid w:val="005D1F03"/>
    <w:rsid w:val="005D2048"/>
    <w:rsid w:val="005D20EE"/>
    <w:rsid w:val="005D24EE"/>
    <w:rsid w:val="005D2536"/>
    <w:rsid w:val="005D2611"/>
    <w:rsid w:val="005D2647"/>
    <w:rsid w:val="005D279E"/>
    <w:rsid w:val="005D2AEF"/>
    <w:rsid w:val="005D2F2F"/>
    <w:rsid w:val="005D303B"/>
    <w:rsid w:val="005D336D"/>
    <w:rsid w:val="005D3463"/>
    <w:rsid w:val="005D36C2"/>
    <w:rsid w:val="005D36F8"/>
    <w:rsid w:val="005D396B"/>
    <w:rsid w:val="005D3C16"/>
    <w:rsid w:val="005D3CB1"/>
    <w:rsid w:val="005D3D39"/>
    <w:rsid w:val="005D3D9A"/>
    <w:rsid w:val="005D3F29"/>
    <w:rsid w:val="005D44EA"/>
    <w:rsid w:val="005D4662"/>
    <w:rsid w:val="005D4667"/>
    <w:rsid w:val="005D47F4"/>
    <w:rsid w:val="005D49A8"/>
    <w:rsid w:val="005D4AA0"/>
    <w:rsid w:val="005D4B6E"/>
    <w:rsid w:val="005D4FA3"/>
    <w:rsid w:val="005D5354"/>
    <w:rsid w:val="005D5FC5"/>
    <w:rsid w:val="005D6597"/>
    <w:rsid w:val="005D65CD"/>
    <w:rsid w:val="005D6746"/>
    <w:rsid w:val="005D6766"/>
    <w:rsid w:val="005D67E2"/>
    <w:rsid w:val="005D69DC"/>
    <w:rsid w:val="005D6A9E"/>
    <w:rsid w:val="005D6AE8"/>
    <w:rsid w:val="005D6CD1"/>
    <w:rsid w:val="005D6FB3"/>
    <w:rsid w:val="005D72E8"/>
    <w:rsid w:val="005D73D2"/>
    <w:rsid w:val="005D74B2"/>
    <w:rsid w:val="005D765C"/>
    <w:rsid w:val="005D782E"/>
    <w:rsid w:val="005D7A6C"/>
    <w:rsid w:val="005D7D55"/>
    <w:rsid w:val="005D7D56"/>
    <w:rsid w:val="005D7EA1"/>
    <w:rsid w:val="005E002D"/>
    <w:rsid w:val="005E0337"/>
    <w:rsid w:val="005E0380"/>
    <w:rsid w:val="005E0480"/>
    <w:rsid w:val="005E0531"/>
    <w:rsid w:val="005E05C6"/>
    <w:rsid w:val="005E063F"/>
    <w:rsid w:val="005E064A"/>
    <w:rsid w:val="005E0751"/>
    <w:rsid w:val="005E092D"/>
    <w:rsid w:val="005E0BEE"/>
    <w:rsid w:val="005E0CB9"/>
    <w:rsid w:val="005E0CCF"/>
    <w:rsid w:val="005E0CD8"/>
    <w:rsid w:val="005E0DBE"/>
    <w:rsid w:val="005E0F47"/>
    <w:rsid w:val="005E0F66"/>
    <w:rsid w:val="005E10F3"/>
    <w:rsid w:val="005E1106"/>
    <w:rsid w:val="005E11BD"/>
    <w:rsid w:val="005E12BA"/>
    <w:rsid w:val="005E13AA"/>
    <w:rsid w:val="005E14E7"/>
    <w:rsid w:val="005E163A"/>
    <w:rsid w:val="005E16EE"/>
    <w:rsid w:val="005E182D"/>
    <w:rsid w:val="005E1AC5"/>
    <w:rsid w:val="005E1BE5"/>
    <w:rsid w:val="005E1CDA"/>
    <w:rsid w:val="005E1D1B"/>
    <w:rsid w:val="005E1E04"/>
    <w:rsid w:val="005E1EE1"/>
    <w:rsid w:val="005E1F09"/>
    <w:rsid w:val="005E22CD"/>
    <w:rsid w:val="005E23AA"/>
    <w:rsid w:val="005E2526"/>
    <w:rsid w:val="005E2586"/>
    <w:rsid w:val="005E2668"/>
    <w:rsid w:val="005E26A3"/>
    <w:rsid w:val="005E27F0"/>
    <w:rsid w:val="005E2ECB"/>
    <w:rsid w:val="005E2EF6"/>
    <w:rsid w:val="005E30F4"/>
    <w:rsid w:val="005E3137"/>
    <w:rsid w:val="005E332F"/>
    <w:rsid w:val="005E3428"/>
    <w:rsid w:val="005E3443"/>
    <w:rsid w:val="005E347D"/>
    <w:rsid w:val="005E36BE"/>
    <w:rsid w:val="005E397A"/>
    <w:rsid w:val="005E3AFA"/>
    <w:rsid w:val="005E3B05"/>
    <w:rsid w:val="005E3CAB"/>
    <w:rsid w:val="005E3E9A"/>
    <w:rsid w:val="005E3EBB"/>
    <w:rsid w:val="005E3EE1"/>
    <w:rsid w:val="005E3F1C"/>
    <w:rsid w:val="005E3F47"/>
    <w:rsid w:val="005E3FE4"/>
    <w:rsid w:val="005E40A2"/>
    <w:rsid w:val="005E447E"/>
    <w:rsid w:val="005E4493"/>
    <w:rsid w:val="005E4756"/>
    <w:rsid w:val="005E475A"/>
    <w:rsid w:val="005E49D2"/>
    <w:rsid w:val="005E49FF"/>
    <w:rsid w:val="005E4B5B"/>
    <w:rsid w:val="005E4D47"/>
    <w:rsid w:val="005E4EE7"/>
    <w:rsid w:val="005E4FD1"/>
    <w:rsid w:val="005E504A"/>
    <w:rsid w:val="005E52A1"/>
    <w:rsid w:val="005E5310"/>
    <w:rsid w:val="005E5671"/>
    <w:rsid w:val="005E580F"/>
    <w:rsid w:val="005E59E7"/>
    <w:rsid w:val="005E5A71"/>
    <w:rsid w:val="005E5A97"/>
    <w:rsid w:val="005E5C63"/>
    <w:rsid w:val="005E5CE1"/>
    <w:rsid w:val="005E5D2D"/>
    <w:rsid w:val="005E5ECE"/>
    <w:rsid w:val="005E6364"/>
    <w:rsid w:val="005E6380"/>
    <w:rsid w:val="005E65B0"/>
    <w:rsid w:val="005E66F9"/>
    <w:rsid w:val="005E67D2"/>
    <w:rsid w:val="005E6937"/>
    <w:rsid w:val="005E6976"/>
    <w:rsid w:val="005E6D33"/>
    <w:rsid w:val="005E6E0E"/>
    <w:rsid w:val="005E6E3C"/>
    <w:rsid w:val="005E6E98"/>
    <w:rsid w:val="005E6F74"/>
    <w:rsid w:val="005E6FAC"/>
    <w:rsid w:val="005E70A7"/>
    <w:rsid w:val="005E742B"/>
    <w:rsid w:val="005E75FB"/>
    <w:rsid w:val="005E773E"/>
    <w:rsid w:val="005E783A"/>
    <w:rsid w:val="005E7887"/>
    <w:rsid w:val="005E7ADC"/>
    <w:rsid w:val="005E7B61"/>
    <w:rsid w:val="005E7C12"/>
    <w:rsid w:val="005E7C73"/>
    <w:rsid w:val="005E7DCE"/>
    <w:rsid w:val="005E7EFF"/>
    <w:rsid w:val="005E7F2B"/>
    <w:rsid w:val="005F01FD"/>
    <w:rsid w:val="005F0214"/>
    <w:rsid w:val="005F0419"/>
    <w:rsid w:val="005F0587"/>
    <w:rsid w:val="005F0775"/>
    <w:rsid w:val="005F080A"/>
    <w:rsid w:val="005F0908"/>
    <w:rsid w:val="005F0A08"/>
    <w:rsid w:val="005F0C07"/>
    <w:rsid w:val="005F0CF5"/>
    <w:rsid w:val="005F0DFC"/>
    <w:rsid w:val="005F0F6F"/>
    <w:rsid w:val="005F11B4"/>
    <w:rsid w:val="005F11EF"/>
    <w:rsid w:val="005F13EC"/>
    <w:rsid w:val="005F1612"/>
    <w:rsid w:val="005F1778"/>
    <w:rsid w:val="005F179A"/>
    <w:rsid w:val="005F1831"/>
    <w:rsid w:val="005F19D2"/>
    <w:rsid w:val="005F1A0D"/>
    <w:rsid w:val="005F1B36"/>
    <w:rsid w:val="005F1BCF"/>
    <w:rsid w:val="005F21EB"/>
    <w:rsid w:val="005F278F"/>
    <w:rsid w:val="005F28F8"/>
    <w:rsid w:val="005F2943"/>
    <w:rsid w:val="005F2C00"/>
    <w:rsid w:val="005F2C51"/>
    <w:rsid w:val="005F2C5A"/>
    <w:rsid w:val="005F2D4F"/>
    <w:rsid w:val="005F2E4D"/>
    <w:rsid w:val="005F2EE1"/>
    <w:rsid w:val="005F2F96"/>
    <w:rsid w:val="005F303C"/>
    <w:rsid w:val="005F3048"/>
    <w:rsid w:val="005F30B5"/>
    <w:rsid w:val="005F3361"/>
    <w:rsid w:val="005F37E3"/>
    <w:rsid w:val="005F3947"/>
    <w:rsid w:val="005F3A72"/>
    <w:rsid w:val="005F3BE9"/>
    <w:rsid w:val="005F4198"/>
    <w:rsid w:val="005F424B"/>
    <w:rsid w:val="005F47D0"/>
    <w:rsid w:val="005F4ABC"/>
    <w:rsid w:val="005F4B08"/>
    <w:rsid w:val="005F4CD5"/>
    <w:rsid w:val="005F4FF6"/>
    <w:rsid w:val="005F51BF"/>
    <w:rsid w:val="005F56DD"/>
    <w:rsid w:val="005F5811"/>
    <w:rsid w:val="005F59CC"/>
    <w:rsid w:val="005F5C0B"/>
    <w:rsid w:val="005F5CE2"/>
    <w:rsid w:val="005F5DFE"/>
    <w:rsid w:val="005F6226"/>
    <w:rsid w:val="005F633F"/>
    <w:rsid w:val="005F64CF"/>
    <w:rsid w:val="005F64DE"/>
    <w:rsid w:val="005F6583"/>
    <w:rsid w:val="005F65BE"/>
    <w:rsid w:val="005F6639"/>
    <w:rsid w:val="005F6663"/>
    <w:rsid w:val="005F677B"/>
    <w:rsid w:val="005F6947"/>
    <w:rsid w:val="005F6B4A"/>
    <w:rsid w:val="005F6E03"/>
    <w:rsid w:val="005F7122"/>
    <w:rsid w:val="005F7270"/>
    <w:rsid w:val="005F7401"/>
    <w:rsid w:val="005F748D"/>
    <w:rsid w:val="005F74D9"/>
    <w:rsid w:val="005F755E"/>
    <w:rsid w:val="005F7A5C"/>
    <w:rsid w:val="005F7EDB"/>
    <w:rsid w:val="0060006F"/>
    <w:rsid w:val="0060032E"/>
    <w:rsid w:val="00600345"/>
    <w:rsid w:val="006004CB"/>
    <w:rsid w:val="006005C0"/>
    <w:rsid w:val="00600621"/>
    <w:rsid w:val="006007BE"/>
    <w:rsid w:val="006007D4"/>
    <w:rsid w:val="00600898"/>
    <w:rsid w:val="00600941"/>
    <w:rsid w:val="00600C8F"/>
    <w:rsid w:val="00600C9B"/>
    <w:rsid w:val="00600CD9"/>
    <w:rsid w:val="00600D71"/>
    <w:rsid w:val="0060122E"/>
    <w:rsid w:val="0060127B"/>
    <w:rsid w:val="00601426"/>
    <w:rsid w:val="006014C8"/>
    <w:rsid w:val="00601A2B"/>
    <w:rsid w:val="00601C37"/>
    <w:rsid w:val="00601CB6"/>
    <w:rsid w:val="00601E34"/>
    <w:rsid w:val="00601ECB"/>
    <w:rsid w:val="0060210A"/>
    <w:rsid w:val="006022CC"/>
    <w:rsid w:val="00602349"/>
    <w:rsid w:val="00602359"/>
    <w:rsid w:val="0060256B"/>
    <w:rsid w:val="006026BF"/>
    <w:rsid w:val="0060291B"/>
    <w:rsid w:val="006029AD"/>
    <w:rsid w:val="00602FAE"/>
    <w:rsid w:val="006031A7"/>
    <w:rsid w:val="006031EA"/>
    <w:rsid w:val="006034DE"/>
    <w:rsid w:val="00603551"/>
    <w:rsid w:val="0060361F"/>
    <w:rsid w:val="0060368A"/>
    <w:rsid w:val="006037CE"/>
    <w:rsid w:val="00603935"/>
    <w:rsid w:val="00603B0D"/>
    <w:rsid w:val="00603C79"/>
    <w:rsid w:val="00603EAB"/>
    <w:rsid w:val="006041AD"/>
    <w:rsid w:val="00604251"/>
    <w:rsid w:val="00604313"/>
    <w:rsid w:val="0060466E"/>
    <w:rsid w:val="006046E5"/>
    <w:rsid w:val="00604982"/>
    <w:rsid w:val="00604A32"/>
    <w:rsid w:val="00604ACE"/>
    <w:rsid w:val="00604DF2"/>
    <w:rsid w:val="006052FE"/>
    <w:rsid w:val="006054FB"/>
    <w:rsid w:val="006056EE"/>
    <w:rsid w:val="00605703"/>
    <w:rsid w:val="00605753"/>
    <w:rsid w:val="00605908"/>
    <w:rsid w:val="006059D7"/>
    <w:rsid w:val="00605B96"/>
    <w:rsid w:val="00605BFF"/>
    <w:rsid w:val="00605CB8"/>
    <w:rsid w:val="00605D23"/>
    <w:rsid w:val="00605D3A"/>
    <w:rsid w:val="00605EFE"/>
    <w:rsid w:val="00606158"/>
    <w:rsid w:val="00606192"/>
    <w:rsid w:val="0060632D"/>
    <w:rsid w:val="00606330"/>
    <w:rsid w:val="00606341"/>
    <w:rsid w:val="00606452"/>
    <w:rsid w:val="00606529"/>
    <w:rsid w:val="006069DC"/>
    <w:rsid w:val="00606CCB"/>
    <w:rsid w:val="0060736F"/>
    <w:rsid w:val="006074A7"/>
    <w:rsid w:val="00607618"/>
    <w:rsid w:val="00607850"/>
    <w:rsid w:val="0060788D"/>
    <w:rsid w:val="00607AAD"/>
    <w:rsid w:val="00607B09"/>
    <w:rsid w:val="00607DE1"/>
    <w:rsid w:val="00607E91"/>
    <w:rsid w:val="00607EF7"/>
    <w:rsid w:val="00607F69"/>
    <w:rsid w:val="00607F6E"/>
    <w:rsid w:val="00607F82"/>
    <w:rsid w:val="006103D3"/>
    <w:rsid w:val="006104D7"/>
    <w:rsid w:val="006109BD"/>
    <w:rsid w:val="006109C3"/>
    <w:rsid w:val="00610A25"/>
    <w:rsid w:val="00610B5D"/>
    <w:rsid w:val="00610CBA"/>
    <w:rsid w:val="00610CDC"/>
    <w:rsid w:val="00610D01"/>
    <w:rsid w:val="00610D7C"/>
    <w:rsid w:val="006110F9"/>
    <w:rsid w:val="00611210"/>
    <w:rsid w:val="00611293"/>
    <w:rsid w:val="0061146C"/>
    <w:rsid w:val="00611531"/>
    <w:rsid w:val="00611650"/>
    <w:rsid w:val="00611663"/>
    <w:rsid w:val="00611666"/>
    <w:rsid w:val="00611716"/>
    <w:rsid w:val="00611877"/>
    <w:rsid w:val="006118EC"/>
    <w:rsid w:val="006118F7"/>
    <w:rsid w:val="00611AA0"/>
    <w:rsid w:val="00611E43"/>
    <w:rsid w:val="0061256E"/>
    <w:rsid w:val="006126FB"/>
    <w:rsid w:val="0061273A"/>
    <w:rsid w:val="0061279C"/>
    <w:rsid w:val="006128A0"/>
    <w:rsid w:val="0061292D"/>
    <w:rsid w:val="00612A67"/>
    <w:rsid w:val="00612B5A"/>
    <w:rsid w:val="00612BED"/>
    <w:rsid w:val="00612CF9"/>
    <w:rsid w:val="00612D03"/>
    <w:rsid w:val="00612D56"/>
    <w:rsid w:val="00612DDA"/>
    <w:rsid w:val="00612F71"/>
    <w:rsid w:val="00613140"/>
    <w:rsid w:val="00613285"/>
    <w:rsid w:val="00613414"/>
    <w:rsid w:val="0061343A"/>
    <w:rsid w:val="0061347B"/>
    <w:rsid w:val="0061364A"/>
    <w:rsid w:val="006136BC"/>
    <w:rsid w:val="00613876"/>
    <w:rsid w:val="006139D7"/>
    <w:rsid w:val="00613BB6"/>
    <w:rsid w:val="00613BD4"/>
    <w:rsid w:val="00613CB2"/>
    <w:rsid w:val="00613CF3"/>
    <w:rsid w:val="00613D39"/>
    <w:rsid w:val="00613DC4"/>
    <w:rsid w:val="0061404F"/>
    <w:rsid w:val="006141BA"/>
    <w:rsid w:val="00614341"/>
    <w:rsid w:val="006143CA"/>
    <w:rsid w:val="00614460"/>
    <w:rsid w:val="006145AA"/>
    <w:rsid w:val="0061476E"/>
    <w:rsid w:val="006147CB"/>
    <w:rsid w:val="006147D4"/>
    <w:rsid w:val="00614AF3"/>
    <w:rsid w:val="00614B34"/>
    <w:rsid w:val="00614BE6"/>
    <w:rsid w:val="00614CFF"/>
    <w:rsid w:val="00615056"/>
    <w:rsid w:val="00615205"/>
    <w:rsid w:val="006152BE"/>
    <w:rsid w:val="006154F4"/>
    <w:rsid w:val="0061573A"/>
    <w:rsid w:val="0061576B"/>
    <w:rsid w:val="00615A27"/>
    <w:rsid w:val="00615A31"/>
    <w:rsid w:val="00615B47"/>
    <w:rsid w:val="00615C0A"/>
    <w:rsid w:val="00615E9E"/>
    <w:rsid w:val="00615EC1"/>
    <w:rsid w:val="00616189"/>
    <w:rsid w:val="006161F8"/>
    <w:rsid w:val="006162B8"/>
    <w:rsid w:val="00616313"/>
    <w:rsid w:val="00616326"/>
    <w:rsid w:val="00616335"/>
    <w:rsid w:val="006165F3"/>
    <w:rsid w:val="0061669C"/>
    <w:rsid w:val="006168A3"/>
    <w:rsid w:val="00616989"/>
    <w:rsid w:val="00616BDF"/>
    <w:rsid w:val="00616BFF"/>
    <w:rsid w:val="00616CED"/>
    <w:rsid w:val="00616EB7"/>
    <w:rsid w:val="00617055"/>
    <w:rsid w:val="00617205"/>
    <w:rsid w:val="0061722D"/>
    <w:rsid w:val="0061725A"/>
    <w:rsid w:val="0061762E"/>
    <w:rsid w:val="00617673"/>
    <w:rsid w:val="006176AA"/>
    <w:rsid w:val="00617820"/>
    <w:rsid w:val="006179D2"/>
    <w:rsid w:val="00617A3C"/>
    <w:rsid w:val="00617C35"/>
    <w:rsid w:val="00620154"/>
    <w:rsid w:val="00620211"/>
    <w:rsid w:val="0062039C"/>
    <w:rsid w:val="00620406"/>
    <w:rsid w:val="00620539"/>
    <w:rsid w:val="0062076E"/>
    <w:rsid w:val="006207CE"/>
    <w:rsid w:val="00620844"/>
    <w:rsid w:val="00620BC8"/>
    <w:rsid w:val="00620C4D"/>
    <w:rsid w:val="00620C63"/>
    <w:rsid w:val="00620D81"/>
    <w:rsid w:val="00620FA6"/>
    <w:rsid w:val="00620FAA"/>
    <w:rsid w:val="0062107E"/>
    <w:rsid w:val="006210B0"/>
    <w:rsid w:val="00621283"/>
    <w:rsid w:val="0062175F"/>
    <w:rsid w:val="006217BD"/>
    <w:rsid w:val="00621BD4"/>
    <w:rsid w:val="00621CCC"/>
    <w:rsid w:val="00621DCC"/>
    <w:rsid w:val="00621DEF"/>
    <w:rsid w:val="00621E4C"/>
    <w:rsid w:val="00622193"/>
    <w:rsid w:val="006223BE"/>
    <w:rsid w:val="00622576"/>
    <w:rsid w:val="00622593"/>
    <w:rsid w:val="006226D2"/>
    <w:rsid w:val="0062273E"/>
    <w:rsid w:val="0062274A"/>
    <w:rsid w:val="00622754"/>
    <w:rsid w:val="0062282E"/>
    <w:rsid w:val="0062288A"/>
    <w:rsid w:val="006228F1"/>
    <w:rsid w:val="00622F28"/>
    <w:rsid w:val="0062306C"/>
    <w:rsid w:val="006232E2"/>
    <w:rsid w:val="00623316"/>
    <w:rsid w:val="00623815"/>
    <w:rsid w:val="00623B96"/>
    <w:rsid w:val="00623C95"/>
    <w:rsid w:val="00623DC5"/>
    <w:rsid w:val="00623DDA"/>
    <w:rsid w:val="00623E14"/>
    <w:rsid w:val="00624075"/>
    <w:rsid w:val="0062407D"/>
    <w:rsid w:val="0062408D"/>
    <w:rsid w:val="006240CC"/>
    <w:rsid w:val="006240F4"/>
    <w:rsid w:val="00624129"/>
    <w:rsid w:val="00624174"/>
    <w:rsid w:val="006241CB"/>
    <w:rsid w:val="0062457D"/>
    <w:rsid w:val="006246FC"/>
    <w:rsid w:val="0062476D"/>
    <w:rsid w:val="006247FA"/>
    <w:rsid w:val="006248D2"/>
    <w:rsid w:val="00624940"/>
    <w:rsid w:val="00624963"/>
    <w:rsid w:val="00624CE5"/>
    <w:rsid w:val="00624FCE"/>
    <w:rsid w:val="006252A6"/>
    <w:rsid w:val="006253B1"/>
    <w:rsid w:val="006253D1"/>
    <w:rsid w:val="006254F8"/>
    <w:rsid w:val="00625664"/>
    <w:rsid w:val="006256A6"/>
    <w:rsid w:val="006256FB"/>
    <w:rsid w:val="00625913"/>
    <w:rsid w:val="00625C0D"/>
    <w:rsid w:val="00625C58"/>
    <w:rsid w:val="00625D70"/>
    <w:rsid w:val="00625EB1"/>
    <w:rsid w:val="00625FB7"/>
    <w:rsid w:val="006261CA"/>
    <w:rsid w:val="006263D9"/>
    <w:rsid w:val="006263F4"/>
    <w:rsid w:val="0062652C"/>
    <w:rsid w:val="00626617"/>
    <w:rsid w:val="0062672C"/>
    <w:rsid w:val="0062680D"/>
    <w:rsid w:val="00626940"/>
    <w:rsid w:val="00626A55"/>
    <w:rsid w:val="00626AE8"/>
    <w:rsid w:val="00626B20"/>
    <w:rsid w:val="00626EAE"/>
    <w:rsid w:val="00626F09"/>
    <w:rsid w:val="00627096"/>
    <w:rsid w:val="006271B7"/>
    <w:rsid w:val="006272C8"/>
    <w:rsid w:val="006275DD"/>
    <w:rsid w:val="0062798F"/>
    <w:rsid w:val="00627BF9"/>
    <w:rsid w:val="00627C2C"/>
    <w:rsid w:val="00627DA7"/>
    <w:rsid w:val="00627E04"/>
    <w:rsid w:val="00627F7C"/>
    <w:rsid w:val="0063005E"/>
    <w:rsid w:val="006301F5"/>
    <w:rsid w:val="00630645"/>
    <w:rsid w:val="00630A26"/>
    <w:rsid w:val="00630BFD"/>
    <w:rsid w:val="00630D55"/>
    <w:rsid w:val="00630D93"/>
    <w:rsid w:val="00630DA4"/>
    <w:rsid w:val="00631161"/>
    <w:rsid w:val="006311ED"/>
    <w:rsid w:val="00631595"/>
    <w:rsid w:val="006317EF"/>
    <w:rsid w:val="00631959"/>
    <w:rsid w:val="0063198D"/>
    <w:rsid w:val="00631C51"/>
    <w:rsid w:val="00631C9C"/>
    <w:rsid w:val="00631CD4"/>
    <w:rsid w:val="00631CFE"/>
    <w:rsid w:val="00631D84"/>
    <w:rsid w:val="00631D94"/>
    <w:rsid w:val="00631F10"/>
    <w:rsid w:val="00631F5B"/>
    <w:rsid w:val="00631F91"/>
    <w:rsid w:val="00632105"/>
    <w:rsid w:val="0063231D"/>
    <w:rsid w:val="0063233A"/>
    <w:rsid w:val="0063258C"/>
    <w:rsid w:val="00632597"/>
    <w:rsid w:val="006325A0"/>
    <w:rsid w:val="0063270A"/>
    <w:rsid w:val="00632936"/>
    <w:rsid w:val="00632A6B"/>
    <w:rsid w:val="00632B47"/>
    <w:rsid w:val="00632C19"/>
    <w:rsid w:val="00632D00"/>
    <w:rsid w:val="00633014"/>
    <w:rsid w:val="0063325D"/>
    <w:rsid w:val="006335D9"/>
    <w:rsid w:val="0063360A"/>
    <w:rsid w:val="006336C9"/>
    <w:rsid w:val="006337BA"/>
    <w:rsid w:val="00633ADE"/>
    <w:rsid w:val="00633BF8"/>
    <w:rsid w:val="00633EF5"/>
    <w:rsid w:val="00634004"/>
    <w:rsid w:val="0063413C"/>
    <w:rsid w:val="0063419E"/>
    <w:rsid w:val="0063426F"/>
    <w:rsid w:val="00634338"/>
    <w:rsid w:val="006345E8"/>
    <w:rsid w:val="00634671"/>
    <w:rsid w:val="0063478B"/>
    <w:rsid w:val="0063485B"/>
    <w:rsid w:val="006349BE"/>
    <w:rsid w:val="00634CCA"/>
    <w:rsid w:val="00634D13"/>
    <w:rsid w:val="00635153"/>
    <w:rsid w:val="006356B6"/>
    <w:rsid w:val="00635808"/>
    <w:rsid w:val="00635844"/>
    <w:rsid w:val="006358B4"/>
    <w:rsid w:val="00635AFC"/>
    <w:rsid w:val="00635C96"/>
    <w:rsid w:val="00636044"/>
    <w:rsid w:val="006360E2"/>
    <w:rsid w:val="00636320"/>
    <w:rsid w:val="006363EA"/>
    <w:rsid w:val="006364A1"/>
    <w:rsid w:val="00636990"/>
    <w:rsid w:val="00636C29"/>
    <w:rsid w:val="00636C73"/>
    <w:rsid w:val="00636E0D"/>
    <w:rsid w:val="00636E75"/>
    <w:rsid w:val="00637288"/>
    <w:rsid w:val="00637297"/>
    <w:rsid w:val="006372CD"/>
    <w:rsid w:val="006373DC"/>
    <w:rsid w:val="006374C2"/>
    <w:rsid w:val="006374FC"/>
    <w:rsid w:val="00637729"/>
    <w:rsid w:val="00637DC2"/>
    <w:rsid w:val="00640281"/>
    <w:rsid w:val="00640363"/>
    <w:rsid w:val="0064046C"/>
    <w:rsid w:val="00640AC3"/>
    <w:rsid w:val="00640ACF"/>
    <w:rsid w:val="00640CAD"/>
    <w:rsid w:val="00640DCD"/>
    <w:rsid w:val="00640E87"/>
    <w:rsid w:val="00640ECA"/>
    <w:rsid w:val="006414A9"/>
    <w:rsid w:val="006414D8"/>
    <w:rsid w:val="0064160D"/>
    <w:rsid w:val="00641724"/>
    <w:rsid w:val="00641855"/>
    <w:rsid w:val="006419AA"/>
    <w:rsid w:val="00641B67"/>
    <w:rsid w:val="00641D16"/>
    <w:rsid w:val="00641E99"/>
    <w:rsid w:val="00642049"/>
    <w:rsid w:val="006421B9"/>
    <w:rsid w:val="006421D4"/>
    <w:rsid w:val="00642316"/>
    <w:rsid w:val="00642392"/>
    <w:rsid w:val="00642774"/>
    <w:rsid w:val="006427BD"/>
    <w:rsid w:val="00642836"/>
    <w:rsid w:val="00642906"/>
    <w:rsid w:val="00642942"/>
    <w:rsid w:val="0064298C"/>
    <w:rsid w:val="006429DE"/>
    <w:rsid w:val="00642C9F"/>
    <w:rsid w:val="0064309C"/>
    <w:rsid w:val="00643117"/>
    <w:rsid w:val="0064317B"/>
    <w:rsid w:val="00643795"/>
    <w:rsid w:val="006439B3"/>
    <w:rsid w:val="00643B44"/>
    <w:rsid w:val="00643E70"/>
    <w:rsid w:val="00643FD6"/>
    <w:rsid w:val="0064408D"/>
    <w:rsid w:val="00644240"/>
    <w:rsid w:val="006442BF"/>
    <w:rsid w:val="00644563"/>
    <w:rsid w:val="00644591"/>
    <w:rsid w:val="006446A6"/>
    <w:rsid w:val="006449CB"/>
    <w:rsid w:val="00644B1F"/>
    <w:rsid w:val="00644B70"/>
    <w:rsid w:val="00644B7E"/>
    <w:rsid w:val="00644C6A"/>
    <w:rsid w:val="00644D1C"/>
    <w:rsid w:val="00645092"/>
    <w:rsid w:val="006451DB"/>
    <w:rsid w:val="006452EE"/>
    <w:rsid w:val="006454E6"/>
    <w:rsid w:val="00645538"/>
    <w:rsid w:val="006455FD"/>
    <w:rsid w:val="00645635"/>
    <w:rsid w:val="006456D5"/>
    <w:rsid w:val="0064571B"/>
    <w:rsid w:val="00645728"/>
    <w:rsid w:val="0064577E"/>
    <w:rsid w:val="006458D5"/>
    <w:rsid w:val="00645AE8"/>
    <w:rsid w:val="00645BB0"/>
    <w:rsid w:val="00645C8C"/>
    <w:rsid w:val="00645D20"/>
    <w:rsid w:val="00645DAA"/>
    <w:rsid w:val="00645E01"/>
    <w:rsid w:val="00645F17"/>
    <w:rsid w:val="00645FFC"/>
    <w:rsid w:val="00646235"/>
    <w:rsid w:val="00646253"/>
    <w:rsid w:val="006463E9"/>
    <w:rsid w:val="006463EC"/>
    <w:rsid w:val="00646480"/>
    <w:rsid w:val="006467E8"/>
    <w:rsid w:val="00646889"/>
    <w:rsid w:val="00646952"/>
    <w:rsid w:val="00646A32"/>
    <w:rsid w:val="00646A68"/>
    <w:rsid w:val="00646A73"/>
    <w:rsid w:val="006472A1"/>
    <w:rsid w:val="00647352"/>
    <w:rsid w:val="006476A2"/>
    <w:rsid w:val="00647700"/>
    <w:rsid w:val="0064782A"/>
    <w:rsid w:val="0064786B"/>
    <w:rsid w:val="0064787B"/>
    <w:rsid w:val="00647A9B"/>
    <w:rsid w:val="00647B70"/>
    <w:rsid w:val="00647D90"/>
    <w:rsid w:val="00647FC4"/>
    <w:rsid w:val="00650069"/>
    <w:rsid w:val="006503A3"/>
    <w:rsid w:val="006503F0"/>
    <w:rsid w:val="006505BD"/>
    <w:rsid w:val="0065063E"/>
    <w:rsid w:val="00650657"/>
    <w:rsid w:val="006508EA"/>
    <w:rsid w:val="00650908"/>
    <w:rsid w:val="0065092D"/>
    <w:rsid w:val="0065092E"/>
    <w:rsid w:val="00650CA5"/>
    <w:rsid w:val="00650CE2"/>
    <w:rsid w:val="00650DF0"/>
    <w:rsid w:val="00650E24"/>
    <w:rsid w:val="00650EB1"/>
    <w:rsid w:val="00650EF8"/>
    <w:rsid w:val="0065117F"/>
    <w:rsid w:val="0065127E"/>
    <w:rsid w:val="006513BF"/>
    <w:rsid w:val="006514D1"/>
    <w:rsid w:val="00651514"/>
    <w:rsid w:val="00651541"/>
    <w:rsid w:val="006517DF"/>
    <w:rsid w:val="0065196D"/>
    <w:rsid w:val="006519BB"/>
    <w:rsid w:val="00651A89"/>
    <w:rsid w:val="00651DC9"/>
    <w:rsid w:val="00651E9A"/>
    <w:rsid w:val="00651F30"/>
    <w:rsid w:val="00651FD5"/>
    <w:rsid w:val="006523FB"/>
    <w:rsid w:val="0065249E"/>
    <w:rsid w:val="006525AA"/>
    <w:rsid w:val="0065276C"/>
    <w:rsid w:val="006527F1"/>
    <w:rsid w:val="006529D3"/>
    <w:rsid w:val="00652D28"/>
    <w:rsid w:val="00652E38"/>
    <w:rsid w:val="00652FFC"/>
    <w:rsid w:val="006532AF"/>
    <w:rsid w:val="006532BC"/>
    <w:rsid w:val="00653383"/>
    <w:rsid w:val="006533C3"/>
    <w:rsid w:val="00653747"/>
    <w:rsid w:val="00653787"/>
    <w:rsid w:val="00653978"/>
    <w:rsid w:val="00653B89"/>
    <w:rsid w:val="00653ECD"/>
    <w:rsid w:val="00654159"/>
    <w:rsid w:val="006541BA"/>
    <w:rsid w:val="0065450A"/>
    <w:rsid w:val="00654542"/>
    <w:rsid w:val="00654624"/>
    <w:rsid w:val="0065469F"/>
    <w:rsid w:val="006547EB"/>
    <w:rsid w:val="00654B0A"/>
    <w:rsid w:val="00654BC8"/>
    <w:rsid w:val="00654C50"/>
    <w:rsid w:val="00654CC2"/>
    <w:rsid w:val="00654D4C"/>
    <w:rsid w:val="00654E58"/>
    <w:rsid w:val="00654E6B"/>
    <w:rsid w:val="00654ECA"/>
    <w:rsid w:val="00654F26"/>
    <w:rsid w:val="00654FD6"/>
    <w:rsid w:val="00655390"/>
    <w:rsid w:val="006554E2"/>
    <w:rsid w:val="00655558"/>
    <w:rsid w:val="006556A2"/>
    <w:rsid w:val="006557A7"/>
    <w:rsid w:val="00655894"/>
    <w:rsid w:val="00655969"/>
    <w:rsid w:val="00655983"/>
    <w:rsid w:val="00655AFF"/>
    <w:rsid w:val="00655B7C"/>
    <w:rsid w:val="00655C4F"/>
    <w:rsid w:val="00655DD4"/>
    <w:rsid w:val="0065608E"/>
    <w:rsid w:val="006561A3"/>
    <w:rsid w:val="00656290"/>
    <w:rsid w:val="006562FF"/>
    <w:rsid w:val="006563F4"/>
    <w:rsid w:val="00656420"/>
    <w:rsid w:val="006564AC"/>
    <w:rsid w:val="006564CC"/>
    <w:rsid w:val="0065661A"/>
    <w:rsid w:val="0065673F"/>
    <w:rsid w:val="00656922"/>
    <w:rsid w:val="00656A3D"/>
    <w:rsid w:val="00656CE5"/>
    <w:rsid w:val="00656D02"/>
    <w:rsid w:val="00656D5E"/>
    <w:rsid w:val="00656DB6"/>
    <w:rsid w:val="00656E4C"/>
    <w:rsid w:val="00657128"/>
    <w:rsid w:val="00657150"/>
    <w:rsid w:val="0065762B"/>
    <w:rsid w:val="00657798"/>
    <w:rsid w:val="006577C3"/>
    <w:rsid w:val="006578B8"/>
    <w:rsid w:val="00657A21"/>
    <w:rsid w:val="00657ADD"/>
    <w:rsid w:val="00657C7D"/>
    <w:rsid w:val="00657DB8"/>
    <w:rsid w:val="00657FDA"/>
    <w:rsid w:val="0066004D"/>
    <w:rsid w:val="0066004E"/>
    <w:rsid w:val="006601C9"/>
    <w:rsid w:val="006603C7"/>
    <w:rsid w:val="00660465"/>
    <w:rsid w:val="00660472"/>
    <w:rsid w:val="0066048D"/>
    <w:rsid w:val="0066051C"/>
    <w:rsid w:val="0066058E"/>
    <w:rsid w:val="0066070F"/>
    <w:rsid w:val="006608D8"/>
    <w:rsid w:val="00660C95"/>
    <w:rsid w:val="00660D79"/>
    <w:rsid w:val="00660FAE"/>
    <w:rsid w:val="00661010"/>
    <w:rsid w:val="006611B3"/>
    <w:rsid w:val="0066122E"/>
    <w:rsid w:val="006612E4"/>
    <w:rsid w:val="0066173E"/>
    <w:rsid w:val="00661827"/>
    <w:rsid w:val="00661896"/>
    <w:rsid w:val="00661B75"/>
    <w:rsid w:val="00661C77"/>
    <w:rsid w:val="00661F12"/>
    <w:rsid w:val="006621D7"/>
    <w:rsid w:val="006622C7"/>
    <w:rsid w:val="00662489"/>
    <w:rsid w:val="0066255C"/>
    <w:rsid w:val="00662615"/>
    <w:rsid w:val="006626EB"/>
    <w:rsid w:val="00662812"/>
    <w:rsid w:val="00662878"/>
    <w:rsid w:val="006629E2"/>
    <w:rsid w:val="00662A56"/>
    <w:rsid w:val="00662B34"/>
    <w:rsid w:val="00662E0B"/>
    <w:rsid w:val="00662E2E"/>
    <w:rsid w:val="00662EEB"/>
    <w:rsid w:val="00662F41"/>
    <w:rsid w:val="00662FE4"/>
    <w:rsid w:val="0066302A"/>
    <w:rsid w:val="006631D2"/>
    <w:rsid w:val="00663221"/>
    <w:rsid w:val="00663245"/>
    <w:rsid w:val="00663307"/>
    <w:rsid w:val="006634B8"/>
    <w:rsid w:val="0066378F"/>
    <w:rsid w:val="0066380C"/>
    <w:rsid w:val="00663A7C"/>
    <w:rsid w:val="00663AEB"/>
    <w:rsid w:val="00663F77"/>
    <w:rsid w:val="00664035"/>
    <w:rsid w:val="006640AC"/>
    <w:rsid w:val="00664171"/>
    <w:rsid w:val="006642D5"/>
    <w:rsid w:val="0066437E"/>
    <w:rsid w:val="00664454"/>
    <w:rsid w:val="0066483F"/>
    <w:rsid w:val="00664849"/>
    <w:rsid w:val="00664F70"/>
    <w:rsid w:val="00665136"/>
    <w:rsid w:val="0066515D"/>
    <w:rsid w:val="006651D0"/>
    <w:rsid w:val="00665212"/>
    <w:rsid w:val="006652EE"/>
    <w:rsid w:val="00665367"/>
    <w:rsid w:val="00665466"/>
    <w:rsid w:val="006654E8"/>
    <w:rsid w:val="00665566"/>
    <w:rsid w:val="00665A1E"/>
    <w:rsid w:val="00665BF8"/>
    <w:rsid w:val="00665C3A"/>
    <w:rsid w:val="00665DFE"/>
    <w:rsid w:val="00665E3B"/>
    <w:rsid w:val="00665FCB"/>
    <w:rsid w:val="00666018"/>
    <w:rsid w:val="0066617B"/>
    <w:rsid w:val="00666225"/>
    <w:rsid w:val="006663B0"/>
    <w:rsid w:val="006663F1"/>
    <w:rsid w:val="00666430"/>
    <w:rsid w:val="00666798"/>
    <w:rsid w:val="006668EC"/>
    <w:rsid w:val="00666948"/>
    <w:rsid w:val="00666BAF"/>
    <w:rsid w:val="00666D47"/>
    <w:rsid w:val="00666FEA"/>
    <w:rsid w:val="00667187"/>
    <w:rsid w:val="006672A0"/>
    <w:rsid w:val="006674F4"/>
    <w:rsid w:val="00667503"/>
    <w:rsid w:val="00667741"/>
    <w:rsid w:val="00667770"/>
    <w:rsid w:val="00667789"/>
    <w:rsid w:val="00667910"/>
    <w:rsid w:val="00667A37"/>
    <w:rsid w:val="00667ABA"/>
    <w:rsid w:val="00667AC8"/>
    <w:rsid w:val="00667B07"/>
    <w:rsid w:val="00667D56"/>
    <w:rsid w:val="00670274"/>
    <w:rsid w:val="006702BB"/>
    <w:rsid w:val="006702F6"/>
    <w:rsid w:val="0067045E"/>
    <w:rsid w:val="00670500"/>
    <w:rsid w:val="00670505"/>
    <w:rsid w:val="00670597"/>
    <w:rsid w:val="006705C1"/>
    <w:rsid w:val="006705EE"/>
    <w:rsid w:val="0067063A"/>
    <w:rsid w:val="00670679"/>
    <w:rsid w:val="006706D0"/>
    <w:rsid w:val="00670815"/>
    <w:rsid w:val="00670831"/>
    <w:rsid w:val="0067089C"/>
    <w:rsid w:val="00670A7B"/>
    <w:rsid w:val="00670AD1"/>
    <w:rsid w:val="00670B1D"/>
    <w:rsid w:val="00670C45"/>
    <w:rsid w:val="00670E59"/>
    <w:rsid w:val="006712EE"/>
    <w:rsid w:val="00671633"/>
    <w:rsid w:val="00671A5D"/>
    <w:rsid w:val="00671A6E"/>
    <w:rsid w:val="00671B2B"/>
    <w:rsid w:val="00671CA0"/>
    <w:rsid w:val="00671D77"/>
    <w:rsid w:val="00671D89"/>
    <w:rsid w:val="00671E3D"/>
    <w:rsid w:val="00671F03"/>
    <w:rsid w:val="00671FD8"/>
    <w:rsid w:val="00672075"/>
    <w:rsid w:val="006722CC"/>
    <w:rsid w:val="00672352"/>
    <w:rsid w:val="00672539"/>
    <w:rsid w:val="006727CD"/>
    <w:rsid w:val="00672AFB"/>
    <w:rsid w:val="00672B43"/>
    <w:rsid w:val="00672C26"/>
    <w:rsid w:val="00672F82"/>
    <w:rsid w:val="00672FAE"/>
    <w:rsid w:val="0067311D"/>
    <w:rsid w:val="00673401"/>
    <w:rsid w:val="00673721"/>
    <w:rsid w:val="00673A67"/>
    <w:rsid w:val="00673AA7"/>
    <w:rsid w:val="00673C1E"/>
    <w:rsid w:val="00673C5C"/>
    <w:rsid w:val="00673CD8"/>
    <w:rsid w:val="00673F41"/>
    <w:rsid w:val="00674162"/>
    <w:rsid w:val="006741FB"/>
    <w:rsid w:val="0067468E"/>
    <w:rsid w:val="006746F9"/>
    <w:rsid w:val="0067479D"/>
    <w:rsid w:val="00674903"/>
    <w:rsid w:val="00674AE5"/>
    <w:rsid w:val="00674B3A"/>
    <w:rsid w:val="00674F78"/>
    <w:rsid w:val="00674FF6"/>
    <w:rsid w:val="00674FF9"/>
    <w:rsid w:val="00675966"/>
    <w:rsid w:val="006759BA"/>
    <w:rsid w:val="00675AE1"/>
    <w:rsid w:val="00675C69"/>
    <w:rsid w:val="00676084"/>
    <w:rsid w:val="006763BC"/>
    <w:rsid w:val="006763FB"/>
    <w:rsid w:val="006767EF"/>
    <w:rsid w:val="00676B47"/>
    <w:rsid w:val="00676B53"/>
    <w:rsid w:val="00676BE6"/>
    <w:rsid w:val="00676C37"/>
    <w:rsid w:val="00676D2A"/>
    <w:rsid w:val="00676D82"/>
    <w:rsid w:val="00676E03"/>
    <w:rsid w:val="00676F64"/>
    <w:rsid w:val="0067703F"/>
    <w:rsid w:val="00677427"/>
    <w:rsid w:val="00677574"/>
    <w:rsid w:val="0067757A"/>
    <w:rsid w:val="006776B1"/>
    <w:rsid w:val="006777F7"/>
    <w:rsid w:val="0067791E"/>
    <w:rsid w:val="00677A50"/>
    <w:rsid w:val="00677B8E"/>
    <w:rsid w:val="00677D2A"/>
    <w:rsid w:val="00680119"/>
    <w:rsid w:val="006802A9"/>
    <w:rsid w:val="0068045D"/>
    <w:rsid w:val="006805E5"/>
    <w:rsid w:val="006805F7"/>
    <w:rsid w:val="006807A0"/>
    <w:rsid w:val="006807C8"/>
    <w:rsid w:val="006808C4"/>
    <w:rsid w:val="00680D5C"/>
    <w:rsid w:val="00680FFC"/>
    <w:rsid w:val="0068106B"/>
    <w:rsid w:val="006812ED"/>
    <w:rsid w:val="006813F3"/>
    <w:rsid w:val="00681576"/>
    <w:rsid w:val="006819F1"/>
    <w:rsid w:val="00681A5A"/>
    <w:rsid w:val="00681B7E"/>
    <w:rsid w:val="00681E47"/>
    <w:rsid w:val="00681FD4"/>
    <w:rsid w:val="00681FF1"/>
    <w:rsid w:val="006821BF"/>
    <w:rsid w:val="00682218"/>
    <w:rsid w:val="0068266D"/>
    <w:rsid w:val="0068275B"/>
    <w:rsid w:val="00682898"/>
    <w:rsid w:val="006829FF"/>
    <w:rsid w:val="00682AB8"/>
    <w:rsid w:val="00682D38"/>
    <w:rsid w:val="00682D3D"/>
    <w:rsid w:val="006830D6"/>
    <w:rsid w:val="006830E4"/>
    <w:rsid w:val="00683223"/>
    <w:rsid w:val="00683402"/>
    <w:rsid w:val="00683475"/>
    <w:rsid w:val="006835A1"/>
    <w:rsid w:val="0068364A"/>
    <w:rsid w:val="006836A4"/>
    <w:rsid w:val="00683754"/>
    <w:rsid w:val="00683878"/>
    <w:rsid w:val="00683AA0"/>
    <w:rsid w:val="00683B2A"/>
    <w:rsid w:val="00683B3F"/>
    <w:rsid w:val="00683BF6"/>
    <w:rsid w:val="00683D35"/>
    <w:rsid w:val="00683E02"/>
    <w:rsid w:val="00683E6D"/>
    <w:rsid w:val="006840F0"/>
    <w:rsid w:val="00684380"/>
    <w:rsid w:val="0068440F"/>
    <w:rsid w:val="00684465"/>
    <w:rsid w:val="0068454C"/>
    <w:rsid w:val="00684690"/>
    <w:rsid w:val="006846A9"/>
    <w:rsid w:val="00684776"/>
    <w:rsid w:val="006847FD"/>
    <w:rsid w:val="00684925"/>
    <w:rsid w:val="00684B5F"/>
    <w:rsid w:val="00684B75"/>
    <w:rsid w:val="00684C72"/>
    <w:rsid w:val="00684C85"/>
    <w:rsid w:val="00684E6E"/>
    <w:rsid w:val="00684F8B"/>
    <w:rsid w:val="00685201"/>
    <w:rsid w:val="006852F5"/>
    <w:rsid w:val="006853B6"/>
    <w:rsid w:val="0068575C"/>
    <w:rsid w:val="006858BC"/>
    <w:rsid w:val="00685AEA"/>
    <w:rsid w:val="00685B83"/>
    <w:rsid w:val="006861E3"/>
    <w:rsid w:val="0068634C"/>
    <w:rsid w:val="00686452"/>
    <w:rsid w:val="0068663A"/>
    <w:rsid w:val="006866C7"/>
    <w:rsid w:val="00686715"/>
    <w:rsid w:val="0068674D"/>
    <w:rsid w:val="00686B4C"/>
    <w:rsid w:val="00686BE7"/>
    <w:rsid w:val="00686C55"/>
    <w:rsid w:val="00686C79"/>
    <w:rsid w:val="00686CDD"/>
    <w:rsid w:val="00686DF4"/>
    <w:rsid w:val="00686DFB"/>
    <w:rsid w:val="00687007"/>
    <w:rsid w:val="0068712F"/>
    <w:rsid w:val="00687175"/>
    <w:rsid w:val="00687176"/>
    <w:rsid w:val="00687302"/>
    <w:rsid w:val="006873F0"/>
    <w:rsid w:val="00687B76"/>
    <w:rsid w:val="00687D2F"/>
    <w:rsid w:val="00687D6B"/>
    <w:rsid w:val="00687FCF"/>
    <w:rsid w:val="006901A3"/>
    <w:rsid w:val="00690359"/>
    <w:rsid w:val="0069070A"/>
    <w:rsid w:val="006908B8"/>
    <w:rsid w:val="006909F7"/>
    <w:rsid w:val="00690B3A"/>
    <w:rsid w:val="00690C7F"/>
    <w:rsid w:val="00690D2B"/>
    <w:rsid w:val="00690D95"/>
    <w:rsid w:val="00691000"/>
    <w:rsid w:val="006913E2"/>
    <w:rsid w:val="00691546"/>
    <w:rsid w:val="0069178E"/>
    <w:rsid w:val="00691936"/>
    <w:rsid w:val="00691A98"/>
    <w:rsid w:val="00691B62"/>
    <w:rsid w:val="00691F80"/>
    <w:rsid w:val="0069248B"/>
    <w:rsid w:val="006924D4"/>
    <w:rsid w:val="00692580"/>
    <w:rsid w:val="00692815"/>
    <w:rsid w:val="00692822"/>
    <w:rsid w:val="00692A53"/>
    <w:rsid w:val="00692A85"/>
    <w:rsid w:val="00692CCF"/>
    <w:rsid w:val="00692D7A"/>
    <w:rsid w:val="00692DDE"/>
    <w:rsid w:val="00692F09"/>
    <w:rsid w:val="00693028"/>
    <w:rsid w:val="006930DD"/>
    <w:rsid w:val="006933B5"/>
    <w:rsid w:val="0069340C"/>
    <w:rsid w:val="00693481"/>
    <w:rsid w:val="006934F1"/>
    <w:rsid w:val="00693829"/>
    <w:rsid w:val="00693852"/>
    <w:rsid w:val="00693A8D"/>
    <w:rsid w:val="00693B3D"/>
    <w:rsid w:val="00693B4D"/>
    <w:rsid w:val="00693D14"/>
    <w:rsid w:val="00693DBA"/>
    <w:rsid w:val="00693E81"/>
    <w:rsid w:val="0069403C"/>
    <w:rsid w:val="0069484B"/>
    <w:rsid w:val="00694A5C"/>
    <w:rsid w:val="00694E9D"/>
    <w:rsid w:val="00694FA7"/>
    <w:rsid w:val="00695050"/>
    <w:rsid w:val="006951A8"/>
    <w:rsid w:val="006952CF"/>
    <w:rsid w:val="00695419"/>
    <w:rsid w:val="006954C8"/>
    <w:rsid w:val="0069572C"/>
    <w:rsid w:val="00695741"/>
    <w:rsid w:val="006957D2"/>
    <w:rsid w:val="006958C7"/>
    <w:rsid w:val="006959B5"/>
    <w:rsid w:val="00695A5A"/>
    <w:rsid w:val="00695AAD"/>
    <w:rsid w:val="00695B33"/>
    <w:rsid w:val="00695C42"/>
    <w:rsid w:val="00695FB2"/>
    <w:rsid w:val="00696085"/>
    <w:rsid w:val="0069611F"/>
    <w:rsid w:val="006962BD"/>
    <w:rsid w:val="006963BA"/>
    <w:rsid w:val="006963CA"/>
    <w:rsid w:val="006963FC"/>
    <w:rsid w:val="0069658B"/>
    <w:rsid w:val="006965AB"/>
    <w:rsid w:val="006965FD"/>
    <w:rsid w:val="00696B93"/>
    <w:rsid w:val="00696C1B"/>
    <w:rsid w:val="00696E7D"/>
    <w:rsid w:val="00696F27"/>
    <w:rsid w:val="006970C5"/>
    <w:rsid w:val="006972FA"/>
    <w:rsid w:val="00697317"/>
    <w:rsid w:val="006973CA"/>
    <w:rsid w:val="006974BB"/>
    <w:rsid w:val="006977C3"/>
    <w:rsid w:val="006979FC"/>
    <w:rsid w:val="00697CCF"/>
    <w:rsid w:val="00697D81"/>
    <w:rsid w:val="00697DC2"/>
    <w:rsid w:val="006A0363"/>
    <w:rsid w:val="006A056E"/>
    <w:rsid w:val="006A05E6"/>
    <w:rsid w:val="006A069F"/>
    <w:rsid w:val="006A07AB"/>
    <w:rsid w:val="006A0C07"/>
    <w:rsid w:val="006A0CAF"/>
    <w:rsid w:val="006A0FB1"/>
    <w:rsid w:val="006A0FF5"/>
    <w:rsid w:val="006A1039"/>
    <w:rsid w:val="006A1044"/>
    <w:rsid w:val="006A1209"/>
    <w:rsid w:val="006A1220"/>
    <w:rsid w:val="006A1270"/>
    <w:rsid w:val="006A1347"/>
    <w:rsid w:val="006A13DD"/>
    <w:rsid w:val="006A14E9"/>
    <w:rsid w:val="006A1619"/>
    <w:rsid w:val="006A16B4"/>
    <w:rsid w:val="006A17F3"/>
    <w:rsid w:val="006A18C2"/>
    <w:rsid w:val="006A1AD1"/>
    <w:rsid w:val="006A1B37"/>
    <w:rsid w:val="006A1CA6"/>
    <w:rsid w:val="006A1CB0"/>
    <w:rsid w:val="006A1DC9"/>
    <w:rsid w:val="006A1E07"/>
    <w:rsid w:val="006A1E30"/>
    <w:rsid w:val="006A1F2B"/>
    <w:rsid w:val="006A1FDF"/>
    <w:rsid w:val="006A203D"/>
    <w:rsid w:val="006A20B1"/>
    <w:rsid w:val="006A2155"/>
    <w:rsid w:val="006A2169"/>
    <w:rsid w:val="006A21C3"/>
    <w:rsid w:val="006A2226"/>
    <w:rsid w:val="006A2346"/>
    <w:rsid w:val="006A238A"/>
    <w:rsid w:val="006A251D"/>
    <w:rsid w:val="006A2A03"/>
    <w:rsid w:val="006A2D3C"/>
    <w:rsid w:val="006A2EDC"/>
    <w:rsid w:val="006A3190"/>
    <w:rsid w:val="006A32B8"/>
    <w:rsid w:val="006A3345"/>
    <w:rsid w:val="006A3376"/>
    <w:rsid w:val="006A3383"/>
    <w:rsid w:val="006A35F5"/>
    <w:rsid w:val="006A36E4"/>
    <w:rsid w:val="006A3939"/>
    <w:rsid w:val="006A3A26"/>
    <w:rsid w:val="006A3B80"/>
    <w:rsid w:val="006A3C40"/>
    <w:rsid w:val="006A3CB0"/>
    <w:rsid w:val="006A3E93"/>
    <w:rsid w:val="006A3EAC"/>
    <w:rsid w:val="006A3FC4"/>
    <w:rsid w:val="006A40FE"/>
    <w:rsid w:val="006A4167"/>
    <w:rsid w:val="006A41FC"/>
    <w:rsid w:val="006A4381"/>
    <w:rsid w:val="006A43F5"/>
    <w:rsid w:val="006A4686"/>
    <w:rsid w:val="006A46A8"/>
    <w:rsid w:val="006A4771"/>
    <w:rsid w:val="006A4910"/>
    <w:rsid w:val="006A4ABF"/>
    <w:rsid w:val="006A4BD4"/>
    <w:rsid w:val="006A4C25"/>
    <w:rsid w:val="006A4DEC"/>
    <w:rsid w:val="006A4E44"/>
    <w:rsid w:val="006A4E6F"/>
    <w:rsid w:val="006A50F8"/>
    <w:rsid w:val="006A5136"/>
    <w:rsid w:val="006A5274"/>
    <w:rsid w:val="006A5426"/>
    <w:rsid w:val="006A542C"/>
    <w:rsid w:val="006A5594"/>
    <w:rsid w:val="006A5664"/>
    <w:rsid w:val="006A58D4"/>
    <w:rsid w:val="006A5A3B"/>
    <w:rsid w:val="006A5BFB"/>
    <w:rsid w:val="006A5C2D"/>
    <w:rsid w:val="006A5E4F"/>
    <w:rsid w:val="006A5FDC"/>
    <w:rsid w:val="006A6170"/>
    <w:rsid w:val="006A6264"/>
    <w:rsid w:val="006A6318"/>
    <w:rsid w:val="006A64B2"/>
    <w:rsid w:val="006A64E6"/>
    <w:rsid w:val="006A6555"/>
    <w:rsid w:val="006A65D5"/>
    <w:rsid w:val="006A664C"/>
    <w:rsid w:val="006A67E3"/>
    <w:rsid w:val="006A6802"/>
    <w:rsid w:val="006A696D"/>
    <w:rsid w:val="006A698D"/>
    <w:rsid w:val="006A6A20"/>
    <w:rsid w:val="006A6A41"/>
    <w:rsid w:val="006A6DA3"/>
    <w:rsid w:val="006A6DA5"/>
    <w:rsid w:val="006A703D"/>
    <w:rsid w:val="006A7093"/>
    <w:rsid w:val="006A70E8"/>
    <w:rsid w:val="006A7382"/>
    <w:rsid w:val="006A7543"/>
    <w:rsid w:val="006A7B1B"/>
    <w:rsid w:val="006A7BB2"/>
    <w:rsid w:val="006A7C94"/>
    <w:rsid w:val="006A7D80"/>
    <w:rsid w:val="006A7F80"/>
    <w:rsid w:val="006B0072"/>
    <w:rsid w:val="006B011B"/>
    <w:rsid w:val="006B018E"/>
    <w:rsid w:val="006B0204"/>
    <w:rsid w:val="006B0211"/>
    <w:rsid w:val="006B0250"/>
    <w:rsid w:val="006B02FC"/>
    <w:rsid w:val="006B03C7"/>
    <w:rsid w:val="006B055D"/>
    <w:rsid w:val="006B0594"/>
    <w:rsid w:val="006B0688"/>
    <w:rsid w:val="006B06B9"/>
    <w:rsid w:val="006B077C"/>
    <w:rsid w:val="006B07A0"/>
    <w:rsid w:val="006B08EF"/>
    <w:rsid w:val="006B0995"/>
    <w:rsid w:val="006B0D7B"/>
    <w:rsid w:val="006B0DAF"/>
    <w:rsid w:val="006B0E5D"/>
    <w:rsid w:val="006B0E98"/>
    <w:rsid w:val="006B1223"/>
    <w:rsid w:val="006B1314"/>
    <w:rsid w:val="006B1692"/>
    <w:rsid w:val="006B18E0"/>
    <w:rsid w:val="006B1A61"/>
    <w:rsid w:val="006B1A9C"/>
    <w:rsid w:val="006B1A9D"/>
    <w:rsid w:val="006B217F"/>
    <w:rsid w:val="006B2410"/>
    <w:rsid w:val="006B2450"/>
    <w:rsid w:val="006B2502"/>
    <w:rsid w:val="006B2989"/>
    <w:rsid w:val="006B2AB2"/>
    <w:rsid w:val="006B2B45"/>
    <w:rsid w:val="006B2E07"/>
    <w:rsid w:val="006B2EAC"/>
    <w:rsid w:val="006B2FCB"/>
    <w:rsid w:val="006B3024"/>
    <w:rsid w:val="006B3036"/>
    <w:rsid w:val="006B313A"/>
    <w:rsid w:val="006B333D"/>
    <w:rsid w:val="006B33DD"/>
    <w:rsid w:val="006B341A"/>
    <w:rsid w:val="006B35F6"/>
    <w:rsid w:val="006B3740"/>
    <w:rsid w:val="006B3AA0"/>
    <w:rsid w:val="006B3BB3"/>
    <w:rsid w:val="006B42CC"/>
    <w:rsid w:val="006B4545"/>
    <w:rsid w:val="006B459B"/>
    <w:rsid w:val="006B4616"/>
    <w:rsid w:val="006B47CC"/>
    <w:rsid w:val="006B48F9"/>
    <w:rsid w:val="006B48FE"/>
    <w:rsid w:val="006B4A37"/>
    <w:rsid w:val="006B4B1C"/>
    <w:rsid w:val="006B4B2C"/>
    <w:rsid w:val="006B4DEE"/>
    <w:rsid w:val="006B4E35"/>
    <w:rsid w:val="006B4EE1"/>
    <w:rsid w:val="006B4FFC"/>
    <w:rsid w:val="006B51DC"/>
    <w:rsid w:val="006B5754"/>
    <w:rsid w:val="006B5876"/>
    <w:rsid w:val="006B5889"/>
    <w:rsid w:val="006B58C4"/>
    <w:rsid w:val="006B597F"/>
    <w:rsid w:val="006B5A6A"/>
    <w:rsid w:val="006B5B41"/>
    <w:rsid w:val="006B5C7B"/>
    <w:rsid w:val="006B5D33"/>
    <w:rsid w:val="006B5FAE"/>
    <w:rsid w:val="006B66FD"/>
    <w:rsid w:val="006B670C"/>
    <w:rsid w:val="006B6723"/>
    <w:rsid w:val="006B6778"/>
    <w:rsid w:val="006B6803"/>
    <w:rsid w:val="006B68B5"/>
    <w:rsid w:val="006B6B0B"/>
    <w:rsid w:val="006B6D21"/>
    <w:rsid w:val="006B6DC3"/>
    <w:rsid w:val="006B703F"/>
    <w:rsid w:val="006B73B2"/>
    <w:rsid w:val="006B78E2"/>
    <w:rsid w:val="006B797A"/>
    <w:rsid w:val="006B7E60"/>
    <w:rsid w:val="006C0282"/>
    <w:rsid w:val="006C028A"/>
    <w:rsid w:val="006C0341"/>
    <w:rsid w:val="006C047E"/>
    <w:rsid w:val="006C080D"/>
    <w:rsid w:val="006C0813"/>
    <w:rsid w:val="006C0D81"/>
    <w:rsid w:val="006C1077"/>
    <w:rsid w:val="006C10E7"/>
    <w:rsid w:val="006C11B6"/>
    <w:rsid w:val="006C125B"/>
    <w:rsid w:val="006C1831"/>
    <w:rsid w:val="006C1912"/>
    <w:rsid w:val="006C1A4C"/>
    <w:rsid w:val="006C1DD8"/>
    <w:rsid w:val="006C1F9A"/>
    <w:rsid w:val="006C20EA"/>
    <w:rsid w:val="006C217D"/>
    <w:rsid w:val="006C2284"/>
    <w:rsid w:val="006C22E7"/>
    <w:rsid w:val="006C23E5"/>
    <w:rsid w:val="006C2415"/>
    <w:rsid w:val="006C2467"/>
    <w:rsid w:val="006C2559"/>
    <w:rsid w:val="006C2794"/>
    <w:rsid w:val="006C2872"/>
    <w:rsid w:val="006C28B4"/>
    <w:rsid w:val="006C29EE"/>
    <w:rsid w:val="006C2BEB"/>
    <w:rsid w:val="006C2F2F"/>
    <w:rsid w:val="006C2F52"/>
    <w:rsid w:val="006C30A5"/>
    <w:rsid w:val="006C30B0"/>
    <w:rsid w:val="006C322E"/>
    <w:rsid w:val="006C328C"/>
    <w:rsid w:val="006C337D"/>
    <w:rsid w:val="006C33E9"/>
    <w:rsid w:val="006C3440"/>
    <w:rsid w:val="006C3598"/>
    <w:rsid w:val="006C35E7"/>
    <w:rsid w:val="006C38DE"/>
    <w:rsid w:val="006C398A"/>
    <w:rsid w:val="006C39E5"/>
    <w:rsid w:val="006C39E7"/>
    <w:rsid w:val="006C3AFC"/>
    <w:rsid w:val="006C3B03"/>
    <w:rsid w:val="006C3C15"/>
    <w:rsid w:val="006C3D2E"/>
    <w:rsid w:val="006C3F14"/>
    <w:rsid w:val="006C3FBB"/>
    <w:rsid w:val="006C4059"/>
    <w:rsid w:val="006C4161"/>
    <w:rsid w:val="006C423C"/>
    <w:rsid w:val="006C45AD"/>
    <w:rsid w:val="006C4C8F"/>
    <w:rsid w:val="006C4E19"/>
    <w:rsid w:val="006C504C"/>
    <w:rsid w:val="006C507C"/>
    <w:rsid w:val="006C5280"/>
    <w:rsid w:val="006C52C3"/>
    <w:rsid w:val="006C54A3"/>
    <w:rsid w:val="006C57BA"/>
    <w:rsid w:val="006C5857"/>
    <w:rsid w:val="006C5A4A"/>
    <w:rsid w:val="006C5C9A"/>
    <w:rsid w:val="006C5EC1"/>
    <w:rsid w:val="006C6095"/>
    <w:rsid w:val="006C6162"/>
    <w:rsid w:val="006C6199"/>
    <w:rsid w:val="006C61CA"/>
    <w:rsid w:val="006C61DF"/>
    <w:rsid w:val="006C629F"/>
    <w:rsid w:val="006C634B"/>
    <w:rsid w:val="006C634F"/>
    <w:rsid w:val="006C654D"/>
    <w:rsid w:val="006C6750"/>
    <w:rsid w:val="006C6B2D"/>
    <w:rsid w:val="006C6D06"/>
    <w:rsid w:val="006C6EF6"/>
    <w:rsid w:val="006C6F65"/>
    <w:rsid w:val="006C6F8A"/>
    <w:rsid w:val="006C704C"/>
    <w:rsid w:val="006C7368"/>
    <w:rsid w:val="006C74C5"/>
    <w:rsid w:val="006C7624"/>
    <w:rsid w:val="006C786C"/>
    <w:rsid w:val="006C7879"/>
    <w:rsid w:val="006C79B4"/>
    <w:rsid w:val="006C7ACA"/>
    <w:rsid w:val="006C7C9E"/>
    <w:rsid w:val="006C7D60"/>
    <w:rsid w:val="006C7D97"/>
    <w:rsid w:val="006C7DDD"/>
    <w:rsid w:val="006C7F00"/>
    <w:rsid w:val="006D00AF"/>
    <w:rsid w:val="006D00E1"/>
    <w:rsid w:val="006D00E8"/>
    <w:rsid w:val="006D014E"/>
    <w:rsid w:val="006D01C4"/>
    <w:rsid w:val="006D064F"/>
    <w:rsid w:val="006D0835"/>
    <w:rsid w:val="006D08B3"/>
    <w:rsid w:val="006D08FF"/>
    <w:rsid w:val="006D0947"/>
    <w:rsid w:val="006D0A33"/>
    <w:rsid w:val="006D0BF5"/>
    <w:rsid w:val="006D0F16"/>
    <w:rsid w:val="006D0F2C"/>
    <w:rsid w:val="006D0F80"/>
    <w:rsid w:val="006D1011"/>
    <w:rsid w:val="006D1188"/>
    <w:rsid w:val="006D1489"/>
    <w:rsid w:val="006D157D"/>
    <w:rsid w:val="006D158B"/>
    <w:rsid w:val="006D17C2"/>
    <w:rsid w:val="006D1884"/>
    <w:rsid w:val="006D18CB"/>
    <w:rsid w:val="006D1C0F"/>
    <w:rsid w:val="006D1CAA"/>
    <w:rsid w:val="006D1D18"/>
    <w:rsid w:val="006D21D8"/>
    <w:rsid w:val="006D24EC"/>
    <w:rsid w:val="006D269C"/>
    <w:rsid w:val="006D2728"/>
    <w:rsid w:val="006D283E"/>
    <w:rsid w:val="006D285E"/>
    <w:rsid w:val="006D28B7"/>
    <w:rsid w:val="006D2A3F"/>
    <w:rsid w:val="006D2A43"/>
    <w:rsid w:val="006D2B61"/>
    <w:rsid w:val="006D2B64"/>
    <w:rsid w:val="006D2C45"/>
    <w:rsid w:val="006D2D20"/>
    <w:rsid w:val="006D2D39"/>
    <w:rsid w:val="006D2ECE"/>
    <w:rsid w:val="006D2FBC"/>
    <w:rsid w:val="006D2FC6"/>
    <w:rsid w:val="006D3144"/>
    <w:rsid w:val="006D31B7"/>
    <w:rsid w:val="006D3601"/>
    <w:rsid w:val="006D3777"/>
    <w:rsid w:val="006D39A9"/>
    <w:rsid w:val="006D3A99"/>
    <w:rsid w:val="006D3DE2"/>
    <w:rsid w:val="006D3F04"/>
    <w:rsid w:val="006D3FE1"/>
    <w:rsid w:val="006D4436"/>
    <w:rsid w:val="006D4480"/>
    <w:rsid w:val="006D450B"/>
    <w:rsid w:val="006D4674"/>
    <w:rsid w:val="006D5123"/>
    <w:rsid w:val="006D5196"/>
    <w:rsid w:val="006D51A2"/>
    <w:rsid w:val="006D526F"/>
    <w:rsid w:val="006D53D6"/>
    <w:rsid w:val="006D5437"/>
    <w:rsid w:val="006D544A"/>
    <w:rsid w:val="006D5850"/>
    <w:rsid w:val="006D5982"/>
    <w:rsid w:val="006D5B2E"/>
    <w:rsid w:val="006D5B3F"/>
    <w:rsid w:val="006D5BF1"/>
    <w:rsid w:val="006D5C04"/>
    <w:rsid w:val="006D5C07"/>
    <w:rsid w:val="006D5CAF"/>
    <w:rsid w:val="006D5EA2"/>
    <w:rsid w:val="006D605E"/>
    <w:rsid w:val="006D654B"/>
    <w:rsid w:val="006D6602"/>
    <w:rsid w:val="006D66F3"/>
    <w:rsid w:val="006D6B73"/>
    <w:rsid w:val="006D6D42"/>
    <w:rsid w:val="006D6DDE"/>
    <w:rsid w:val="006D6E34"/>
    <w:rsid w:val="006D6FC1"/>
    <w:rsid w:val="006D70D3"/>
    <w:rsid w:val="006D70DB"/>
    <w:rsid w:val="006D71FD"/>
    <w:rsid w:val="006D73AB"/>
    <w:rsid w:val="006D7488"/>
    <w:rsid w:val="006D7561"/>
    <w:rsid w:val="006D75BA"/>
    <w:rsid w:val="006D7675"/>
    <w:rsid w:val="006D76C1"/>
    <w:rsid w:val="006D7739"/>
    <w:rsid w:val="006D77DA"/>
    <w:rsid w:val="006D77FD"/>
    <w:rsid w:val="006D786E"/>
    <w:rsid w:val="006D7A00"/>
    <w:rsid w:val="006D7B5D"/>
    <w:rsid w:val="006D7C26"/>
    <w:rsid w:val="006D7C59"/>
    <w:rsid w:val="006D7E7F"/>
    <w:rsid w:val="006E021B"/>
    <w:rsid w:val="006E029A"/>
    <w:rsid w:val="006E032E"/>
    <w:rsid w:val="006E0354"/>
    <w:rsid w:val="006E052F"/>
    <w:rsid w:val="006E05D2"/>
    <w:rsid w:val="006E07DB"/>
    <w:rsid w:val="006E0D44"/>
    <w:rsid w:val="006E0DC1"/>
    <w:rsid w:val="006E0DF7"/>
    <w:rsid w:val="006E0F77"/>
    <w:rsid w:val="006E0FD1"/>
    <w:rsid w:val="006E10B9"/>
    <w:rsid w:val="006E1270"/>
    <w:rsid w:val="006E132C"/>
    <w:rsid w:val="006E138B"/>
    <w:rsid w:val="006E1431"/>
    <w:rsid w:val="006E15A4"/>
    <w:rsid w:val="006E1667"/>
    <w:rsid w:val="006E1723"/>
    <w:rsid w:val="006E17CD"/>
    <w:rsid w:val="006E17E5"/>
    <w:rsid w:val="006E1849"/>
    <w:rsid w:val="006E1867"/>
    <w:rsid w:val="006E1A77"/>
    <w:rsid w:val="006E1E48"/>
    <w:rsid w:val="006E1E62"/>
    <w:rsid w:val="006E1E9B"/>
    <w:rsid w:val="006E249E"/>
    <w:rsid w:val="006E258E"/>
    <w:rsid w:val="006E272A"/>
    <w:rsid w:val="006E276B"/>
    <w:rsid w:val="006E2812"/>
    <w:rsid w:val="006E2837"/>
    <w:rsid w:val="006E28F6"/>
    <w:rsid w:val="006E29C2"/>
    <w:rsid w:val="006E2B09"/>
    <w:rsid w:val="006E2B6C"/>
    <w:rsid w:val="006E2EEA"/>
    <w:rsid w:val="006E3032"/>
    <w:rsid w:val="006E3145"/>
    <w:rsid w:val="006E31F5"/>
    <w:rsid w:val="006E32EA"/>
    <w:rsid w:val="006E3329"/>
    <w:rsid w:val="006E3345"/>
    <w:rsid w:val="006E3483"/>
    <w:rsid w:val="006E3515"/>
    <w:rsid w:val="006E366C"/>
    <w:rsid w:val="006E393B"/>
    <w:rsid w:val="006E3A3F"/>
    <w:rsid w:val="006E3A7A"/>
    <w:rsid w:val="006E3CE6"/>
    <w:rsid w:val="006E3D06"/>
    <w:rsid w:val="006E3F20"/>
    <w:rsid w:val="006E4193"/>
    <w:rsid w:val="006E4329"/>
    <w:rsid w:val="006E454B"/>
    <w:rsid w:val="006E4652"/>
    <w:rsid w:val="006E4842"/>
    <w:rsid w:val="006E489F"/>
    <w:rsid w:val="006E496D"/>
    <w:rsid w:val="006E4A0B"/>
    <w:rsid w:val="006E4CD9"/>
    <w:rsid w:val="006E4F32"/>
    <w:rsid w:val="006E4FB7"/>
    <w:rsid w:val="006E5066"/>
    <w:rsid w:val="006E5120"/>
    <w:rsid w:val="006E52A2"/>
    <w:rsid w:val="006E53AF"/>
    <w:rsid w:val="006E5577"/>
    <w:rsid w:val="006E5629"/>
    <w:rsid w:val="006E56B1"/>
    <w:rsid w:val="006E5899"/>
    <w:rsid w:val="006E59F2"/>
    <w:rsid w:val="006E5C8E"/>
    <w:rsid w:val="006E5E57"/>
    <w:rsid w:val="006E6076"/>
    <w:rsid w:val="006E6266"/>
    <w:rsid w:val="006E68AD"/>
    <w:rsid w:val="006E696E"/>
    <w:rsid w:val="006E6C8E"/>
    <w:rsid w:val="006E6FB2"/>
    <w:rsid w:val="006E6FF2"/>
    <w:rsid w:val="006E73D3"/>
    <w:rsid w:val="006E7400"/>
    <w:rsid w:val="006E764D"/>
    <w:rsid w:val="006E7830"/>
    <w:rsid w:val="006E7954"/>
    <w:rsid w:val="006E7988"/>
    <w:rsid w:val="006E7C64"/>
    <w:rsid w:val="006E7C78"/>
    <w:rsid w:val="006E7C9B"/>
    <w:rsid w:val="006E7D4D"/>
    <w:rsid w:val="006F010F"/>
    <w:rsid w:val="006F0197"/>
    <w:rsid w:val="006F023B"/>
    <w:rsid w:val="006F0266"/>
    <w:rsid w:val="006F0330"/>
    <w:rsid w:val="006F0665"/>
    <w:rsid w:val="006F0782"/>
    <w:rsid w:val="006F07C3"/>
    <w:rsid w:val="006F082A"/>
    <w:rsid w:val="006F0A76"/>
    <w:rsid w:val="006F0BB1"/>
    <w:rsid w:val="006F0DE4"/>
    <w:rsid w:val="006F0E1A"/>
    <w:rsid w:val="006F0F43"/>
    <w:rsid w:val="006F1106"/>
    <w:rsid w:val="006F11B1"/>
    <w:rsid w:val="006F1328"/>
    <w:rsid w:val="006F13B2"/>
    <w:rsid w:val="006F1431"/>
    <w:rsid w:val="006F155D"/>
    <w:rsid w:val="006F1715"/>
    <w:rsid w:val="006F188A"/>
    <w:rsid w:val="006F1A87"/>
    <w:rsid w:val="006F1A9F"/>
    <w:rsid w:val="006F1AD0"/>
    <w:rsid w:val="006F1B85"/>
    <w:rsid w:val="006F1D1E"/>
    <w:rsid w:val="006F1DDF"/>
    <w:rsid w:val="006F1EEE"/>
    <w:rsid w:val="006F1F55"/>
    <w:rsid w:val="006F1FA0"/>
    <w:rsid w:val="006F1FDC"/>
    <w:rsid w:val="006F202A"/>
    <w:rsid w:val="006F2163"/>
    <w:rsid w:val="006F21FB"/>
    <w:rsid w:val="006F244A"/>
    <w:rsid w:val="006F24B4"/>
    <w:rsid w:val="006F2759"/>
    <w:rsid w:val="006F29B9"/>
    <w:rsid w:val="006F2B20"/>
    <w:rsid w:val="006F2CB2"/>
    <w:rsid w:val="006F2CC9"/>
    <w:rsid w:val="006F2CEB"/>
    <w:rsid w:val="006F2EEC"/>
    <w:rsid w:val="006F2F7C"/>
    <w:rsid w:val="006F30C1"/>
    <w:rsid w:val="006F314F"/>
    <w:rsid w:val="006F3173"/>
    <w:rsid w:val="006F3243"/>
    <w:rsid w:val="006F342F"/>
    <w:rsid w:val="006F3563"/>
    <w:rsid w:val="006F3626"/>
    <w:rsid w:val="006F3799"/>
    <w:rsid w:val="006F3C16"/>
    <w:rsid w:val="006F3E0E"/>
    <w:rsid w:val="006F3E38"/>
    <w:rsid w:val="006F3EA7"/>
    <w:rsid w:val="006F3EC0"/>
    <w:rsid w:val="006F3F1F"/>
    <w:rsid w:val="006F422A"/>
    <w:rsid w:val="006F4281"/>
    <w:rsid w:val="006F4675"/>
    <w:rsid w:val="006F4899"/>
    <w:rsid w:val="006F4953"/>
    <w:rsid w:val="006F4CE7"/>
    <w:rsid w:val="006F5178"/>
    <w:rsid w:val="006F51B7"/>
    <w:rsid w:val="006F521C"/>
    <w:rsid w:val="006F53B5"/>
    <w:rsid w:val="006F5477"/>
    <w:rsid w:val="006F55D7"/>
    <w:rsid w:val="006F5A3A"/>
    <w:rsid w:val="006F5CDB"/>
    <w:rsid w:val="006F5D78"/>
    <w:rsid w:val="006F5D99"/>
    <w:rsid w:val="006F5DBE"/>
    <w:rsid w:val="006F5EDD"/>
    <w:rsid w:val="006F5F2A"/>
    <w:rsid w:val="006F5FD3"/>
    <w:rsid w:val="006F606C"/>
    <w:rsid w:val="006F61B7"/>
    <w:rsid w:val="006F63E9"/>
    <w:rsid w:val="006F640B"/>
    <w:rsid w:val="006F673C"/>
    <w:rsid w:val="006F67A8"/>
    <w:rsid w:val="006F6857"/>
    <w:rsid w:val="006F6941"/>
    <w:rsid w:val="006F69FB"/>
    <w:rsid w:val="006F6A30"/>
    <w:rsid w:val="006F6B8C"/>
    <w:rsid w:val="006F6C33"/>
    <w:rsid w:val="006F6FAE"/>
    <w:rsid w:val="006F6FC2"/>
    <w:rsid w:val="006F72A3"/>
    <w:rsid w:val="006F74D7"/>
    <w:rsid w:val="006F77EC"/>
    <w:rsid w:val="006F7BAE"/>
    <w:rsid w:val="006F7C49"/>
    <w:rsid w:val="006F7D73"/>
    <w:rsid w:val="006F7DA6"/>
    <w:rsid w:val="006F7E6F"/>
    <w:rsid w:val="0070011C"/>
    <w:rsid w:val="007002FA"/>
    <w:rsid w:val="00700581"/>
    <w:rsid w:val="007005D4"/>
    <w:rsid w:val="0070069E"/>
    <w:rsid w:val="0070097E"/>
    <w:rsid w:val="00700A1C"/>
    <w:rsid w:val="00700A49"/>
    <w:rsid w:val="00700A4F"/>
    <w:rsid w:val="00700AB8"/>
    <w:rsid w:val="00700C94"/>
    <w:rsid w:val="00700E5B"/>
    <w:rsid w:val="00700E63"/>
    <w:rsid w:val="00700E9E"/>
    <w:rsid w:val="00700F15"/>
    <w:rsid w:val="00701027"/>
    <w:rsid w:val="007011E1"/>
    <w:rsid w:val="007011F4"/>
    <w:rsid w:val="007013EF"/>
    <w:rsid w:val="00701468"/>
    <w:rsid w:val="00701609"/>
    <w:rsid w:val="0070162D"/>
    <w:rsid w:val="0070176F"/>
    <w:rsid w:val="00701777"/>
    <w:rsid w:val="00701A36"/>
    <w:rsid w:val="00701AFC"/>
    <w:rsid w:val="00701D86"/>
    <w:rsid w:val="00701F2B"/>
    <w:rsid w:val="00702020"/>
    <w:rsid w:val="007020DF"/>
    <w:rsid w:val="007024BE"/>
    <w:rsid w:val="00702609"/>
    <w:rsid w:val="00702716"/>
    <w:rsid w:val="00702724"/>
    <w:rsid w:val="00702AC0"/>
    <w:rsid w:val="00702B19"/>
    <w:rsid w:val="00702C00"/>
    <w:rsid w:val="00702C5A"/>
    <w:rsid w:val="00702DFC"/>
    <w:rsid w:val="00702E55"/>
    <w:rsid w:val="00702FF5"/>
    <w:rsid w:val="00703016"/>
    <w:rsid w:val="007032A6"/>
    <w:rsid w:val="007033DF"/>
    <w:rsid w:val="0070346B"/>
    <w:rsid w:val="007034F6"/>
    <w:rsid w:val="007036A8"/>
    <w:rsid w:val="007038D7"/>
    <w:rsid w:val="00703AA5"/>
    <w:rsid w:val="00703C28"/>
    <w:rsid w:val="00703D69"/>
    <w:rsid w:val="00703FB9"/>
    <w:rsid w:val="00703FCA"/>
    <w:rsid w:val="00704241"/>
    <w:rsid w:val="007045CD"/>
    <w:rsid w:val="007047BC"/>
    <w:rsid w:val="007047CC"/>
    <w:rsid w:val="00704A63"/>
    <w:rsid w:val="00704A70"/>
    <w:rsid w:val="00704EA4"/>
    <w:rsid w:val="00705119"/>
    <w:rsid w:val="00705162"/>
    <w:rsid w:val="007052C3"/>
    <w:rsid w:val="0070531D"/>
    <w:rsid w:val="007055BD"/>
    <w:rsid w:val="00705965"/>
    <w:rsid w:val="00705A62"/>
    <w:rsid w:val="00705DB7"/>
    <w:rsid w:val="007061C2"/>
    <w:rsid w:val="00706C1E"/>
    <w:rsid w:val="00706DD8"/>
    <w:rsid w:val="00707047"/>
    <w:rsid w:val="007071E8"/>
    <w:rsid w:val="0070728F"/>
    <w:rsid w:val="00707812"/>
    <w:rsid w:val="00707A35"/>
    <w:rsid w:val="00707AEC"/>
    <w:rsid w:val="00707B89"/>
    <w:rsid w:val="00707BA0"/>
    <w:rsid w:val="00707BE1"/>
    <w:rsid w:val="00707E24"/>
    <w:rsid w:val="00710025"/>
    <w:rsid w:val="00710250"/>
    <w:rsid w:val="007105A2"/>
    <w:rsid w:val="00710A2D"/>
    <w:rsid w:val="00710A80"/>
    <w:rsid w:val="00710BA5"/>
    <w:rsid w:val="00710BBA"/>
    <w:rsid w:val="00710CD0"/>
    <w:rsid w:val="00710D68"/>
    <w:rsid w:val="00710EB4"/>
    <w:rsid w:val="00710FCC"/>
    <w:rsid w:val="0071119E"/>
    <w:rsid w:val="0071129B"/>
    <w:rsid w:val="00711727"/>
    <w:rsid w:val="00711996"/>
    <w:rsid w:val="00711A04"/>
    <w:rsid w:val="00711A54"/>
    <w:rsid w:val="00711CA9"/>
    <w:rsid w:val="00711CD8"/>
    <w:rsid w:val="007120A2"/>
    <w:rsid w:val="007124BA"/>
    <w:rsid w:val="00712631"/>
    <w:rsid w:val="00712763"/>
    <w:rsid w:val="007128EB"/>
    <w:rsid w:val="00712C7A"/>
    <w:rsid w:val="00712E65"/>
    <w:rsid w:val="00712E66"/>
    <w:rsid w:val="00712FE1"/>
    <w:rsid w:val="00713471"/>
    <w:rsid w:val="007135FE"/>
    <w:rsid w:val="00713B4B"/>
    <w:rsid w:val="00713BD0"/>
    <w:rsid w:val="007140C4"/>
    <w:rsid w:val="00714117"/>
    <w:rsid w:val="007141B5"/>
    <w:rsid w:val="007143BE"/>
    <w:rsid w:val="00714404"/>
    <w:rsid w:val="00714556"/>
    <w:rsid w:val="00714827"/>
    <w:rsid w:val="007148F9"/>
    <w:rsid w:val="00714A70"/>
    <w:rsid w:val="00714DEF"/>
    <w:rsid w:val="00714E58"/>
    <w:rsid w:val="00715321"/>
    <w:rsid w:val="0071562D"/>
    <w:rsid w:val="00715652"/>
    <w:rsid w:val="007157F5"/>
    <w:rsid w:val="007159E2"/>
    <w:rsid w:val="00715A46"/>
    <w:rsid w:val="00715C7B"/>
    <w:rsid w:val="00715D6A"/>
    <w:rsid w:val="00715EBF"/>
    <w:rsid w:val="007160E1"/>
    <w:rsid w:val="007162DA"/>
    <w:rsid w:val="007163D9"/>
    <w:rsid w:val="00716436"/>
    <w:rsid w:val="0071676B"/>
    <w:rsid w:val="00716776"/>
    <w:rsid w:val="00716A5E"/>
    <w:rsid w:val="00716A98"/>
    <w:rsid w:val="00716B98"/>
    <w:rsid w:val="00716EC0"/>
    <w:rsid w:val="00716FA5"/>
    <w:rsid w:val="007172DC"/>
    <w:rsid w:val="007173CA"/>
    <w:rsid w:val="00717440"/>
    <w:rsid w:val="007174D9"/>
    <w:rsid w:val="007175BC"/>
    <w:rsid w:val="007175D4"/>
    <w:rsid w:val="0071763D"/>
    <w:rsid w:val="00717905"/>
    <w:rsid w:val="007179B8"/>
    <w:rsid w:val="00717AB7"/>
    <w:rsid w:val="00717AC3"/>
    <w:rsid w:val="00717DC8"/>
    <w:rsid w:val="00717FD9"/>
    <w:rsid w:val="0072010B"/>
    <w:rsid w:val="007201F3"/>
    <w:rsid w:val="007204D3"/>
    <w:rsid w:val="0072069C"/>
    <w:rsid w:val="007207E7"/>
    <w:rsid w:val="00720BAF"/>
    <w:rsid w:val="00720D16"/>
    <w:rsid w:val="00720D91"/>
    <w:rsid w:val="00720E63"/>
    <w:rsid w:val="00720ECF"/>
    <w:rsid w:val="00720FBC"/>
    <w:rsid w:val="0072105C"/>
    <w:rsid w:val="00721158"/>
    <w:rsid w:val="00721272"/>
    <w:rsid w:val="0072133D"/>
    <w:rsid w:val="00721343"/>
    <w:rsid w:val="0072153C"/>
    <w:rsid w:val="007216AA"/>
    <w:rsid w:val="0072174D"/>
    <w:rsid w:val="00721969"/>
    <w:rsid w:val="0072196E"/>
    <w:rsid w:val="00721AB5"/>
    <w:rsid w:val="00721B12"/>
    <w:rsid w:val="00721B8F"/>
    <w:rsid w:val="00721CFB"/>
    <w:rsid w:val="00721DEF"/>
    <w:rsid w:val="00721EEC"/>
    <w:rsid w:val="00721F72"/>
    <w:rsid w:val="00721FB4"/>
    <w:rsid w:val="00722111"/>
    <w:rsid w:val="0072229E"/>
    <w:rsid w:val="007222B7"/>
    <w:rsid w:val="00722322"/>
    <w:rsid w:val="0072235E"/>
    <w:rsid w:val="00722383"/>
    <w:rsid w:val="0072245C"/>
    <w:rsid w:val="007224F6"/>
    <w:rsid w:val="00722803"/>
    <w:rsid w:val="00722B61"/>
    <w:rsid w:val="00722B84"/>
    <w:rsid w:val="00722DCE"/>
    <w:rsid w:val="0072310F"/>
    <w:rsid w:val="00723244"/>
    <w:rsid w:val="007236D6"/>
    <w:rsid w:val="0072370F"/>
    <w:rsid w:val="007238A3"/>
    <w:rsid w:val="00723911"/>
    <w:rsid w:val="00723914"/>
    <w:rsid w:val="00723B72"/>
    <w:rsid w:val="00723BE1"/>
    <w:rsid w:val="00723CDF"/>
    <w:rsid w:val="00723DCF"/>
    <w:rsid w:val="00723E90"/>
    <w:rsid w:val="00723EB5"/>
    <w:rsid w:val="00723FEF"/>
    <w:rsid w:val="00724013"/>
    <w:rsid w:val="0072442E"/>
    <w:rsid w:val="007245C7"/>
    <w:rsid w:val="0072468C"/>
    <w:rsid w:val="007246EA"/>
    <w:rsid w:val="00724701"/>
    <w:rsid w:val="0072478B"/>
    <w:rsid w:val="00724A14"/>
    <w:rsid w:val="00724A43"/>
    <w:rsid w:val="00724E70"/>
    <w:rsid w:val="0072504A"/>
    <w:rsid w:val="00725226"/>
    <w:rsid w:val="0072543B"/>
    <w:rsid w:val="0072552A"/>
    <w:rsid w:val="00725750"/>
    <w:rsid w:val="00725926"/>
    <w:rsid w:val="00725955"/>
    <w:rsid w:val="00725A0F"/>
    <w:rsid w:val="00725C4C"/>
    <w:rsid w:val="007263B3"/>
    <w:rsid w:val="007263DA"/>
    <w:rsid w:val="007264CF"/>
    <w:rsid w:val="00726618"/>
    <w:rsid w:val="00726823"/>
    <w:rsid w:val="00726A5B"/>
    <w:rsid w:val="00726BBE"/>
    <w:rsid w:val="00726C65"/>
    <w:rsid w:val="00726D30"/>
    <w:rsid w:val="007270E0"/>
    <w:rsid w:val="007273AC"/>
    <w:rsid w:val="007273AF"/>
    <w:rsid w:val="00727649"/>
    <w:rsid w:val="007276E7"/>
    <w:rsid w:val="00727897"/>
    <w:rsid w:val="00727A41"/>
    <w:rsid w:val="00727AF2"/>
    <w:rsid w:val="00727C9A"/>
    <w:rsid w:val="00727CA3"/>
    <w:rsid w:val="00727D94"/>
    <w:rsid w:val="00727E36"/>
    <w:rsid w:val="00730013"/>
    <w:rsid w:val="007300A4"/>
    <w:rsid w:val="00730101"/>
    <w:rsid w:val="00730255"/>
    <w:rsid w:val="00730282"/>
    <w:rsid w:val="0073028C"/>
    <w:rsid w:val="00730292"/>
    <w:rsid w:val="00730441"/>
    <w:rsid w:val="00730AA9"/>
    <w:rsid w:val="00730CE0"/>
    <w:rsid w:val="00730D1E"/>
    <w:rsid w:val="00730E00"/>
    <w:rsid w:val="00730E23"/>
    <w:rsid w:val="00730EC7"/>
    <w:rsid w:val="00730F7F"/>
    <w:rsid w:val="00730FB9"/>
    <w:rsid w:val="00731058"/>
    <w:rsid w:val="007310ED"/>
    <w:rsid w:val="0073131C"/>
    <w:rsid w:val="0073157A"/>
    <w:rsid w:val="0073159A"/>
    <w:rsid w:val="00731667"/>
    <w:rsid w:val="007317A4"/>
    <w:rsid w:val="007317E7"/>
    <w:rsid w:val="00731AD4"/>
    <w:rsid w:val="00731CE8"/>
    <w:rsid w:val="0073247A"/>
    <w:rsid w:val="00732949"/>
    <w:rsid w:val="007329E1"/>
    <w:rsid w:val="00732A89"/>
    <w:rsid w:val="00732B2F"/>
    <w:rsid w:val="00732BFF"/>
    <w:rsid w:val="00732C73"/>
    <w:rsid w:val="00732D24"/>
    <w:rsid w:val="00733001"/>
    <w:rsid w:val="007332A6"/>
    <w:rsid w:val="00733320"/>
    <w:rsid w:val="007333C7"/>
    <w:rsid w:val="00733619"/>
    <w:rsid w:val="00733643"/>
    <w:rsid w:val="007337DD"/>
    <w:rsid w:val="00733B70"/>
    <w:rsid w:val="00733BCF"/>
    <w:rsid w:val="00733FDF"/>
    <w:rsid w:val="00734289"/>
    <w:rsid w:val="00734527"/>
    <w:rsid w:val="007346E4"/>
    <w:rsid w:val="007347D1"/>
    <w:rsid w:val="00734860"/>
    <w:rsid w:val="0073487B"/>
    <w:rsid w:val="00734EC6"/>
    <w:rsid w:val="007350F2"/>
    <w:rsid w:val="00735117"/>
    <w:rsid w:val="007353A5"/>
    <w:rsid w:val="007353B2"/>
    <w:rsid w:val="007354AA"/>
    <w:rsid w:val="007354AB"/>
    <w:rsid w:val="00735564"/>
    <w:rsid w:val="007356B0"/>
    <w:rsid w:val="00735712"/>
    <w:rsid w:val="007357B3"/>
    <w:rsid w:val="007357C6"/>
    <w:rsid w:val="00735874"/>
    <w:rsid w:val="00735A79"/>
    <w:rsid w:val="00735CEF"/>
    <w:rsid w:val="00735D49"/>
    <w:rsid w:val="00735E88"/>
    <w:rsid w:val="007360F8"/>
    <w:rsid w:val="00736178"/>
    <w:rsid w:val="007362C2"/>
    <w:rsid w:val="007363C4"/>
    <w:rsid w:val="007363EB"/>
    <w:rsid w:val="00736837"/>
    <w:rsid w:val="00736903"/>
    <w:rsid w:val="00736A3F"/>
    <w:rsid w:val="00736B09"/>
    <w:rsid w:val="00736CB6"/>
    <w:rsid w:val="00736E99"/>
    <w:rsid w:val="00736F1E"/>
    <w:rsid w:val="007374A8"/>
    <w:rsid w:val="007374B7"/>
    <w:rsid w:val="00737512"/>
    <w:rsid w:val="00737553"/>
    <w:rsid w:val="007376AA"/>
    <w:rsid w:val="00737791"/>
    <w:rsid w:val="00737A41"/>
    <w:rsid w:val="00737DCB"/>
    <w:rsid w:val="0074019E"/>
    <w:rsid w:val="007401BD"/>
    <w:rsid w:val="007401C0"/>
    <w:rsid w:val="0074039F"/>
    <w:rsid w:val="007403B6"/>
    <w:rsid w:val="00740435"/>
    <w:rsid w:val="0074044F"/>
    <w:rsid w:val="007404C8"/>
    <w:rsid w:val="007404D3"/>
    <w:rsid w:val="0074059B"/>
    <w:rsid w:val="0074064C"/>
    <w:rsid w:val="0074071B"/>
    <w:rsid w:val="00740770"/>
    <w:rsid w:val="007409FE"/>
    <w:rsid w:val="00740A0E"/>
    <w:rsid w:val="00740CE7"/>
    <w:rsid w:val="00740D18"/>
    <w:rsid w:val="00740D24"/>
    <w:rsid w:val="00740EEA"/>
    <w:rsid w:val="00740F22"/>
    <w:rsid w:val="00740FDD"/>
    <w:rsid w:val="007411B6"/>
    <w:rsid w:val="007415C8"/>
    <w:rsid w:val="00741AB1"/>
    <w:rsid w:val="00741C6E"/>
    <w:rsid w:val="00741CF0"/>
    <w:rsid w:val="00741D98"/>
    <w:rsid w:val="00741F1A"/>
    <w:rsid w:val="0074223B"/>
    <w:rsid w:val="00742271"/>
    <w:rsid w:val="00742339"/>
    <w:rsid w:val="0074239E"/>
    <w:rsid w:val="0074262F"/>
    <w:rsid w:val="007428E4"/>
    <w:rsid w:val="00742B0F"/>
    <w:rsid w:val="00742DC1"/>
    <w:rsid w:val="00742F0E"/>
    <w:rsid w:val="0074307E"/>
    <w:rsid w:val="0074329D"/>
    <w:rsid w:val="007432D1"/>
    <w:rsid w:val="0074353A"/>
    <w:rsid w:val="0074355B"/>
    <w:rsid w:val="007436D8"/>
    <w:rsid w:val="00743728"/>
    <w:rsid w:val="0074379B"/>
    <w:rsid w:val="007438A4"/>
    <w:rsid w:val="007439C9"/>
    <w:rsid w:val="00743A36"/>
    <w:rsid w:val="00743B10"/>
    <w:rsid w:val="00743E7F"/>
    <w:rsid w:val="007440C9"/>
    <w:rsid w:val="007442D6"/>
    <w:rsid w:val="0074462A"/>
    <w:rsid w:val="007446B7"/>
    <w:rsid w:val="007447DA"/>
    <w:rsid w:val="007447DB"/>
    <w:rsid w:val="007447F9"/>
    <w:rsid w:val="007449A5"/>
    <w:rsid w:val="00744A5E"/>
    <w:rsid w:val="00744B2E"/>
    <w:rsid w:val="00744B95"/>
    <w:rsid w:val="00744BD7"/>
    <w:rsid w:val="00744D3C"/>
    <w:rsid w:val="007450D6"/>
    <w:rsid w:val="007450F8"/>
    <w:rsid w:val="007451AE"/>
    <w:rsid w:val="007451C8"/>
    <w:rsid w:val="007453AF"/>
    <w:rsid w:val="007454E3"/>
    <w:rsid w:val="00745604"/>
    <w:rsid w:val="00745671"/>
    <w:rsid w:val="00745695"/>
    <w:rsid w:val="00745751"/>
    <w:rsid w:val="0074575F"/>
    <w:rsid w:val="00745B61"/>
    <w:rsid w:val="00745B94"/>
    <w:rsid w:val="00745C59"/>
    <w:rsid w:val="00745CA5"/>
    <w:rsid w:val="00745CD3"/>
    <w:rsid w:val="0074613F"/>
    <w:rsid w:val="00746178"/>
    <w:rsid w:val="007462EB"/>
    <w:rsid w:val="007463CD"/>
    <w:rsid w:val="007464FA"/>
    <w:rsid w:val="007465A0"/>
    <w:rsid w:val="0074663E"/>
    <w:rsid w:val="00746677"/>
    <w:rsid w:val="007467A7"/>
    <w:rsid w:val="007467E0"/>
    <w:rsid w:val="0074681B"/>
    <w:rsid w:val="0074696E"/>
    <w:rsid w:val="00746995"/>
    <w:rsid w:val="00746B00"/>
    <w:rsid w:val="00746B2B"/>
    <w:rsid w:val="00746B30"/>
    <w:rsid w:val="00746B7B"/>
    <w:rsid w:val="00746D62"/>
    <w:rsid w:val="00746E5F"/>
    <w:rsid w:val="00746F4F"/>
    <w:rsid w:val="00746FC2"/>
    <w:rsid w:val="00746FD4"/>
    <w:rsid w:val="007470C7"/>
    <w:rsid w:val="00747276"/>
    <w:rsid w:val="007472BE"/>
    <w:rsid w:val="00747371"/>
    <w:rsid w:val="0074751D"/>
    <w:rsid w:val="00747525"/>
    <w:rsid w:val="007475EB"/>
    <w:rsid w:val="00747871"/>
    <w:rsid w:val="007479EB"/>
    <w:rsid w:val="007479F0"/>
    <w:rsid w:val="00747B3F"/>
    <w:rsid w:val="00747C2F"/>
    <w:rsid w:val="00747D08"/>
    <w:rsid w:val="00747D6A"/>
    <w:rsid w:val="00747DAC"/>
    <w:rsid w:val="00750085"/>
    <w:rsid w:val="00750135"/>
    <w:rsid w:val="00750291"/>
    <w:rsid w:val="00750405"/>
    <w:rsid w:val="00750458"/>
    <w:rsid w:val="00750478"/>
    <w:rsid w:val="00750545"/>
    <w:rsid w:val="0075067C"/>
    <w:rsid w:val="00750689"/>
    <w:rsid w:val="00750A36"/>
    <w:rsid w:val="00750B8A"/>
    <w:rsid w:val="00750C04"/>
    <w:rsid w:val="00750CD0"/>
    <w:rsid w:val="00750DFE"/>
    <w:rsid w:val="00750E48"/>
    <w:rsid w:val="00750EC2"/>
    <w:rsid w:val="00751032"/>
    <w:rsid w:val="00751186"/>
    <w:rsid w:val="007511C3"/>
    <w:rsid w:val="007513D8"/>
    <w:rsid w:val="0075149A"/>
    <w:rsid w:val="007514F3"/>
    <w:rsid w:val="0075151B"/>
    <w:rsid w:val="00751764"/>
    <w:rsid w:val="00751800"/>
    <w:rsid w:val="00751888"/>
    <w:rsid w:val="00751A0B"/>
    <w:rsid w:val="00751B94"/>
    <w:rsid w:val="00751E17"/>
    <w:rsid w:val="00751E5D"/>
    <w:rsid w:val="00751E61"/>
    <w:rsid w:val="00752035"/>
    <w:rsid w:val="0075218E"/>
    <w:rsid w:val="00752277"/>
    <w:rsid w:val="00752803"/>
    <w:rsid w:val="0075284F"/>
    <w:rsid w:val="007528EB"/>
    <w:rsid w:val="00752954"/>
    <w:rsid w:val="00752B28"/>
    <w:rsid w:val="0075313B"/>
    <w:rsid w:val="00753340"/>
    <w:rsid w:val="0075334C"/>
    <w:rsid w:val="007533AE"/>
    <w:rsid w:val="00753607"/>
    <w:rsid w:val="007536BC"/>
    <w:rsid w:val="0075381C"/>
    <w:rsid w:val="00753938"/>
    <w:rsid w:val="00753B5E"/>
    <w:rsid w:val="00753D7F"/>
    <w:rsid w:val="00753D97"/>
    <w:rsid w:val="00753EB6"/>
    <w:rsid w:val="0075406B"/>
    <w:rsid w:val="0075412F"/>
    <w:rsid w:val="00754169"/>
    <w:rsid w:val="007541A9"/>
    <w:rsid w:val="007542B2"/>
    <w:rsid w:val="007542E6"/>
    <w:rsid w:val="0075447A"/>
    <w:rsid w:val="00754526"/>
    <w:rsid w:val="00754577"/>
    <w:rsid w:val="00754799"/>
    <w:rsid w:val="007549CB"/>
    <w:rsid w:val="00754E29"/>
    <w:rsid w:val="00754E36"/>
    <w:rsid w:val="00754FFE"/>
    <w:rsid w:val="007550B7"/>
    <w:rsid w:val="007553D5"/>
    <w:rsid w:val="00755592"/>
    <w:rsid w:val="0075591C"/>
    <w:rsid w:val="00755DBC"/>
    <w:rsid w:val="00755E5B"/>
    <w:rsid w:val="00755F69"/>
    <w:rsid w:val="00756086"/>
    <w:rsid w:val="007560C3"/>
    <w:rsid w:val="007563D8"/>
    <w:rsid w:val="007564E0"/>
    <w:rsid w:val="00756691"/>
    <w:rsid w:val="00756863"/>
    <w:rsid w:val="0075690C"/>
    <w:rsid w:val="00756F11"/>
    <w:rsid w:val="0075728F"/>
    <w:rsid w:val="0075734D"/>
    <w:rsid w:val="00757432"/>
    <w:rsid w:val="00757759"/>
    <w:rsid w:val="007579E8"/>
    <w:rsid w:val="00757A04"/>
    <w:rsid w:val="00757ABC"/>
    <w:rsid w:val="00757B27"/>
    <w:rsid w:val="00757B35"/>
    <w:rsid w:val="0076003C"/>
    <w:rsid w:val="0076008B"/>
    <w:rsid w:val="0076021E"/>
    <w:rsid w:val="0076048C"/>
    <w:rsid w:val="0076048D"/>
    <w:rsid w:val="00760496"/>
    <w:rsid w:val="0076052E"/>
    <w:rsid w:val="007605B5"/>
    <w:rsid w:val="00760733"/>
    <w:rsid w:val="00760806"/>
    <w:rsid w:val="00760812"/>
    <w:rsid w:val="00760894"/>
    <w:rsid w:val="00760A5B"/>
    <w:rsid w:val="00760D4B"/>
    <w:rsid w:val="00760D95"/>
    <w:rsid w:val="00760D98"/>
    <w:rsid w:val="00761101"/>
    <w:rsid w:val="00761171"/>
    <w:rsid w:val="00761173"/>
    <w:rsid w:val="00761286"/>
    <w:rsid w:val="007612C9"/>
    <w:rsid w:val="007612D9"/>
    <w:rsid w:val="00761402"/>
    <w:rsid w:val="00761722"/>
    <w:rsid w:val="007618E2"/>
    <w:rsid w:val="00761A25"/>
    <w:rsid w:val="00761A44"/>
    <w:rsid w:val="00761A94"/>
    <w:rsid w:val="00761B29"/>
    <w:rsid w:val="00761BC1"/>
    <w:rsid w:val="00761CAE"/>
    <w:rsid w:val="00761CC8"/>
    <w:rsid w:val="00762AEA"/>
    <w:rsid w:val="00762B25"/>
    <w:rsid w:val="00762CBF"/>
    <w:rsid w:val="00762DDE"/>
    <w:rsid w:val="00763061"/>
    <w:rsid w:val="00763139"/>
    <w:rsid w:val="007631E6"/>
    <w:rsid w:val="007632E8"/>
    <w:rsid w:val="007634CA"/>
    <w:rsid w:val="007634F2"/>
    <w:rsid w:val="0076380D"/>
    <w:rsid w:val="007638FA"/>
    <w:rsid w:val="00763A43"/>
    <w:rsid w:val="00763AB8"/>
    <w:rsid w:val="00763CFA"/>
    <w:rsid w:val="00764200"/>
    <w:rsid w:val="00764473"/>
    <w:rsid w:val="007649BD"/>
    <w:rsid w:val="00764B40"/>
    <w:rsid w:val="00764C48"/>
    <w:rsid w:val="00764C8F"/>
    <w:rsid w:val="00764D91"/>
    <w:rsid w:val="00764EAE"/>
    <w:rsid w:val="007653BA"/>
    <w:rsid w:val="0076564B"/>
    <w:rsid w:val="007656C4"/>
    <w:rsid w:val="00765712"/>
    <w:rsid w:val="0076573E"/>
    <w:rsid w:val="007657EC"/>
    <w:rsid w:val="00765C35"/>
    <w:rsid w:val="00765D1D"/>
    <w:rsid w:val="00765DBD"/>
    <w:rsid w:val="00765F12"/>
    <w:rsid w:val="00765F24"/>
    <w:rsid w:val="00765F30"/>
    <w:rsid w:val="00765FB8"/>
    <w:rsid w:val="00766418"/>
    <w:rsid w:val="007666B3"/>
    <w:rsid w:val="00766701"/>
    <w:rsid w:val="00766876"/>
    <w:rsid w:val="00766955"/>
    <w:rsid w:val="00766AA5"/>
    <w:rsid w:val="00766C26"/>
    <w:rsid w:val="00766D0E"/>
    <w:rsid w:val="00766DED"/>
    <w:rsid w:val="00766E37"/>
    <w:rsid w:val="00767023"/>
    <w:rsid w:val="00767163"/>
    <w:rsid w:val="0076729F"/>
    <w:rsid w:val="00767573"/>
    <w:rsid w:val="0076762F"/>
    <w:rsid w:val="007679E1"/>
    <w:rsid w:val="00767A5A"/>
    <w:rsid w:val="00767D81"/>
    <w:rsid w:val="00770002"/>
    <w:rsid w:val="007700D6"/>
    <w:rsid w:val="007701B3"/>
    <w:rsid w:val="00770262"/>
    <w:rsid w:val="00770337"/>
    <w:rsid w:val="0077083B"/>
    <w:rsid w:val="00770885"/>
    <w:rsid w:val="0077097C"/>
    <w:rsid w:val="00770E4B"/>
    <w:rsid w:val="00770E51"/>
    <w:rsid w:val="00770F37"/>
    <w:rsid w:val="00770FDC"/>
    <w:rsid w:val="0077108B"/>
    <w:rsid w:val="00771122"/>
    <w:rsid w:val="007711A0"/>
    <w:rsid w:val="00771218"/>
    <w:rsid w:val="00771438"/>
    <w:rsid w:val="0077172F"/>
    <w:rsid w:val="00771839"/>
    <w:rsid w:val="00771964"/>
    <w:rsid w:val="00771984"/>
    <w:rsid w:val="0077198A"/>
    <w:rsid w:val="007719B4"/>
    <w:rsid w:val="00771E23"/>
    <w:rsid w:val="00772052"/>
    <w:rsid w:val="00772138"/>
    <w:rsid w:val="0077221C"/>
    <w:rsid w:val="00772392"/>
    <w:rsid w:val="007725A1"/>
    <w:rsid w:val="007725B0"/>
    <w:rsid w:val="007727DA"/>
    <w:rsid w:val="007727E3"/>
    <w:rsid w:val="00772A8D"/>
    <w:rsid w:val="00772B4E"/>
    <w:rsid w:val="00772BEA"/>
    <w:rsid w:val="00772D5E"/>
    <w:rsid w:val="00772DCC"/>
    <w:rsid w:val="00772E3E"/>
    <w:rsid w:val="007730CA"/>
    <w:rsid w:val="0077312E"/>
    <w:rsid w:val="00773375"/>
    <w:rsid w:val="007733E3"/>
    <w:rsid w:val="007734B9"/>
    <w:rsid w:val="007736C2"/>
    <w:rsid w:val="007736C4"/>
    <w:rsid w:val="00773857"/>
    <w:rsid w:val="00773942"/>
    <w:rsid w:val="007739E9"/>
    <w:rsid w:val="00773A0A"/>
    <w:rsid w:val="00773A3F"/>
    <w:rsid w:val="00773BDC"/>
    <w:rsid w:val="007742EE"/>
    <w:rsid w:val="007743A0"/>
    <w:rsid w:val="007744B7"/>
    <w:rsid w:val="007744FD"/>
    <w:rsid w:val="0077463E"/>
    <w:rsid w:val="007748EB"/>
    <w:rsid w:val="0077490A"/>
    <w:rsid w:val="00774B13"/>
    <w:rsid w:val="00774C8A"/>
    <w:rsid w:val="00774E68"/>
    <w:rsid w:val="00774E9F"/>
    <w:rsid w:val="00774F0D"/>
    <w:rsid w:val="00774F91"/>
    <w:rsid w:val="007752EC"/>
    <w:rsid w:val="0077557F"/>
    <w:rsid w:val="007756CB"/>
    <w:rsid w:val="00775751"/>
    <w:rsid w:val="00775CE6"/>
    <w:rsid w:val="0077606E"/>
    <w:rsid w:val="00776167"/>
    <w:rsid w:val="00776503"/>
    <w:rsid w:val="007767DD"/>
    <w:rsid w:val="00776928"/>
    <w:rsid w:val="00776A61"/>
    <w:rsid w:val="00776D56"/>
    <w:rsid w:val="00776DB9"/>
    <w:rsid w:val="00776E0F"/>
    <w:rsid w:val="00776E56"/>
    <w:rsid w:val="00776E8D"/>
    <w:rsid w:val="00776E93"/>
    <w:rsid w:val="00777201"/>
    <w:rsid w:val="00777233"/>
    <w:rsid w:val="00777317"/>
    <w:rsid w:val="00777341"/>
    <w:rsid w:val="007773DB"/>
    <w:rsid w:val="00777493"/>
    <w:rsid w:val="007774B1"/>
    <w:rsid w:val="007776F4"/>
    <w:rsid w:val="00777B5C"/>
    <w:rsid w:val="00777BE1"/>
    <w:rsid w:val="0078006B"/>
    <w:rsid w:val="00780191"/>
    <w:rsid w:val="007801FA"/>
    <w:rsid w:val="0078025D"/>
    <w:rsid w:val="007802C5"/>
    <w:rsid w:val="007804F2"/>
    <w:rsid w:val="00780709"/>
    <w:rsid w:val="00780BC7"/>
    <w:rsid w:val="00780BEC"/>
    <w:rsid w:val="00780CA5"/>
    <w:rsid w:val="00780D65"/>
    <w:rsid w:val="00780E8D"/>
    <w:rsid w:val="00780FC3"/>
    <w:rsid w:val="007812A1"/>
    <w:rsid w:val="00781358"/>
    <w:rsid w:val="00781368"/>
    <w:rsid w:val="007813F6"/>
    <w:rsid w:val="00781516"/>
    <w:rsid w:val="007818AE"/>
    <w:rsid w:val="007818EB"/>
    <w:rsid w:val="00781902"/>
    <w:rsid w:val="007819AE"/>
    <w:rsid w:val="00781E6F"/>
    <w:rsid w:val="00781F3F"/>
    <w:rsid w:val="00782222"/>
    <w:rsid w:val="00782321"/>
    <w:rsid w:val="00782405"/>
    <w:rsid w:val="0078250C"/>
    <w:rsid w:val="0078258D"/>
    <w:rsid w:val="00782654"/>
    <w:rsid w:val="007828E6"/>
    <w:rsid w:val="00782EA3"/>
    <w:rsid w:val="00783067"/>
    <w:rsid w:val="007830F3"/>
    <w:rsid w:val="00783149"/>
    <w:rsid w:val="007833D8"/>
    <w:rsid w:val="007834EC"/>
    <w:rsid w:val="007835D5"/>
    <w:rsid w:val="0078380D"/>
    <w:rsid w:val="00783B12"/>
    <w:rsid w:val="00783BBB"/>
    <w:rsid w:val="00783BF5"/>
    <w:rsid w:val="00784001"/>
    <w:rsid w:val="007842E7"/>
    <w:rsid w:val="0078432C"/>
    <w:rsid w:val="007846D3"/>
    <w:rsid w:val="0078488B"/>
    <w:rsid w:val="00784B31"/>
    <w:rsid w:val="00784CCF"/>
    <w:rsid w:val="007850C4"/>
    <w:rsid w:val="00785143"/>
    <w:rsid w:val="007852D3"/>
    <w:rsid w:val="0078532A"/>
    <w:rsid w:val="00785677"/>
    <w:rsid w:val="00785741"/>
    <w:rsid w:val="0078574D"/>
    <w:rsid w:val="007857A0"/>
    <w:rsid w:val="00785DF4"/>
    <w:rsid w:val="00785F34"/>
    <w:rsid w:val="0078604C"/>
    <w:rsid w:val="0078606B"/>
    <w:rsid w:val="00786074"/>
    <w:rsid w:val="00786118"/>
    <w:rsid w:val="00786297"/>
    <w:rsid w:val="007865C2"/>
    <w:rsid w:val="007867BE"/>
    <w:rsid w:val="007867CE"/>
    <w:rsid w:val="00786902"/>
    <w:rsid w:val="007869A9"/>
    <w:rsid w:val="00786B46"/>
    <w:rsid w:val="00786BAC"/>
    <w:rsid w:val="00786BAD"/>
    <w:rsid w:val="00786C3C"/>
    <w:rsid w:val="00786C83"/>
    <w:rsid w:val="00786C92"/>
    <w:rsid w:val="00786F16"/>
    <w:rsid w:val="0078734B"/>
    <w:rsid w:val="0078762F"/>
    <w:rsid w:val="007876AD"/>
    <w:rsid w:val="0078784D"/>
    <w:rsid w:val="007879CA"/>
    <w:rsid w:val="00787CCF"/>
    <w:rsid w:val="00787D4A"/>
    <w:rsid w:val="00787EB1"/>
    <w:rsid w:val="00787F00"/>
    <w:rsid w:val="00787F35"/>
    <w:rsid w:val="007902AF"/>
    <w:rsid w:val="0079041B"/>
    <w:rsid w:val="0079059F"/>
    <w:rsid w:val="00790916"/>
    <w:rsid w:val="00790A6A"/>
    <w:rsid w:val="00790A79"/>
    <w:rsid w:val="00790B2E"/>
    <w:rsid w:val="00790DEF"/>
    <w:rsid w:val="00790EA2"/>
    <w:rsid w:val="00790FD2"/>
    <w:rsid w:val="00791175"/>
    <w:rsid w:val="00791590"/>
    <w:rsid w:val="007915AC"/>
    <w:rsid w:val="00791758"/>
    <w:rsid w:val="00791AA2"/>
    <w:rsid w:val="00791AEC"/>
    <w:rsid w:val="00791B2A"/>
    <w:rsid w:val="00791BD7"/>
    <w:rsid w:val="00791F7D"/>
    <w:rsid w:val="00792058"/>
    <w:rsid w:val="007923E9"/>
    <w:rsid w:val="00792413"/>
    <w:rsid w:val="00792595"/>
    <w:rsid w:val="00792A1D"/>
    <w:rsid w:val="00792DFB"/>
    <w:rsid w:val="00792FB1"/>
    <w:rsid w:val="007932A8"/>
    <w:rsid w:val="007933F7"/>
    <w:rsid w:val="007937CC"/>
    <w:rsid w:val="0079380D"/>
    <w:rsid w:val="00793C99"/>
    <w:rsid w:val="00793CDC"/>
    <w:rsid w:val="00793FC3"/>
    <w:rsid w:val="0079403C"/>
    <w:rsid w:val="00794040"/>
    <w:rsid w:val="0079430B"/>
    <w:rsid w:val="007947BA"/>
    <w:rsid w:val="00794908"/>
    <w:rsid w:val="00794AA9"/>
    <w:rsid w:val="00794EE4"/>
    <w:rsid w:val="0079500F"/>
    <w:rsid w:val="007950B9"/>
    <w:rsid w:val="0079513A"/>
    <w:rsid w:val="00795149"/>
    <w:rsid w:val="007952F7"/>
    <w:rsid w:val="0079536E"/>
    <w:rsid w:val="00795390"/>
    <w:rsid w:val="0079546E"/>
    <w:rsid w:val="00795560"/>
    <w:rsid w:val="007956A3"/>
    <w:rsid w:val="007957E0"/>
    <w:rsid w:val="00795B73"/>
    <w:rsid w:val="00795BE1"/>
    <w:rsid w:val="00795C21"/>
    <w:rsid w:val="00795DE1"/>
    <w:rsid w:val="00795E97"/>
    <w:rsid w:val="00795F01"/>
    <w:rsid w:val="00795F22"/>
    <w:rsid w:val="00795F25"/>
    <w:rsid w:val="0079601F"/>
    <w:rsid w:val="00796176"/>
    <w:rsid w:val="007962A6"/>
    <w:rsid w:val="007964EA"/>
    <w:rsid w:val="007965A0"/>
    <w:rsid w:val="0079664C"/>
    <w:rsid w:val="00796729"/>
    <w:rsid w:val="00796AA0"/>
    <w:rsid w:val="00796BD6"/>
    <w:rsid w:val="00796CFA"/>
    <w:rsid w:val="00796DE4"/>
    <w:rsid w:val="00796E20"/>
    <w:rsid w:val="00796E3A"/>
    <w:rsid w:val="0079722E"/>
    <w:rsid w:val="0079732E"/>
    <w:rsid w:val="0079733C"/>
    <w:rsid w:val="00797358"/>
    <w:rsid w:val="00797391"/>
    <w:rsid w:val="00797400"/>
    <w:rsid w:val="007976B3"/>
    <w:rsid w:val="007976D2"/>
    <w:rsid w:val="00797740"/>
    <w:rsid w:val="0079783B"/>
    <w:rsid w:val="007978D8"/>
    <w:rsid w:val="00797A0A"/>
    <w:rsid w:val="00797BD7"/>
    <w:rsid w:val="00797BE0"/>
    <w:rsid w:val="00797C32"/>
    <w:rsid w:val="00797D23"/>
    <w:rsid w:val="00797EF7"/>
    <w:rsid w:val="007A0055"/>
    <w:rsid w:val="007A0100"/>
    <w:rsid w:val="007A030B"/>
    <w:rsid w:val="007A03F6"/>
    <w:rsid w:val="007A0442"/>
    <w:rsid w:val="007A087C"/>
    <w:rsid w:val="007A088B"/>
    <w:rsid w:val="007A11E8"/>
    <w:rsid w:val="007A1328"/>
    <w:rsid w:val="007A1794"/>
    <w:rsid w:val="007A19A5"/>
    <w:rsid w:val="007A19A6"/>
    <w:rsid w:val="007A1A56"/>
    <w:rsid w:val="007A1AB3"/>
    <w:rsid w:val="007A1CC6"/>
    <w:rsid w:val="007A1D6E"/>
    <w:rsid w:val="007A1FF7"/>
    <w:rsid w:val="007A2059"/>
    <w:rsid w:val="007A24CE"/>
    <w:rsid w:val="007A25E8"/>
    <w:rsid w:val="007A26B7"/>
    <w:rsid w:val="007A2728"/>
    <w:rsid w:val="007A28AD"/>
    <w:rsid w:val="007A2C31"/>
    <w:rsid w:val="007A2C46"/>
    <w:rsid w:val="007A3236"/>
    <w:rsid w:val="007A347C"/>
    <w:rsid w:val="007A347E"/>
    <w:rsid w:val="007A348B"/>
    <w:rsid w:val="007A35F5"/>
    <w:rsid w:val="007A368C"/>
    <w:rsid w:val="007A3786"/>
    <w:rsid w:val="007A3806"/>
    <w:rsid w:val="007A3931"/>
    <w:rsid w:val="007A3996"/>
    <w:rsid w:val="007A3C29"/>
    <w:rsid w:val="007A3D0C"/>
    <w:rsid w:val="007A4051"/>
    <w:rsid w:val="007A438B"/>
    <w:rsid w:val="007A4553"/>
    <w:rsid w:val="007A485A"/>
    <w:rsid w:val="007A49F7"/>
    <w:rsid w:val="007A4AAD"/>
    <w:rsid w:val="007A4AE5"/>
    <w:rsid w:val="007A4D1C"/>
    <w:rsid w:val="007A4DA5"/>
    <w:rsid w:val="007A4E92"/>
    <w:rsid w:val="007A4FC0"/>
    <w:rsid w:val="007A5036"/>
    <w:rsid w:val="007A54CA"/>
    <w:rsid w:val="007A59C2"/>
    <w:rsid w:val="007A5A48"/>
    <w:rsid w:val="007A5BD3"/>
    <w:rsid w:val="007A5D9D"/>
    <w:rsid w:val="007A600B"/>
    <w:rsid w:val="007A6134"/>
    <w:rsid w:val="007A61AB"/>
    <w:rsid w:val="007A66D0"/>
    <w:rsid w:val="007A6761"/>
    <w:rsid w:val="007A691F"/>
    <w:rsid w:val="007A694C"/>
    <w:rsid w:val="007A6A85"/>
    <w:rsid w:val="007A6FF8"/>
    <w:rsid w:val="007A7061"/>
    <w:rsid w:val="007A7363"/>
    <w:rsid w:val="007A7513"/>
    <w:rsid w:val="007A7DB6"/>
    <w:rsid w:val="007B0110"/>
    <w:rsid w:val="007B01FE"/>
    <w:rsid w:val="007B0636"/>
    <w:rsid w:val="007B0754"/>
    <w:rsid w:val="007B07BA"/>
    <w:rsid w:val="007B07DC"/>
    <w:rsid w:val="007B085C"/>
    <w:rsid w:val="007B08FD"/>
    <w:rsid w:val="007B0914"/>
    <w:rsid w:val="007B0ACE"/>
    <w:rsid w:val="007B0B8F"/>
    <w:rsid w:val="007B0BB5"/>
    <w:rsid w:val="007B0D84"/>
    <w:rsid w:val="007B0E0D"/>
    <w:rsid w:val="007B0F60"/>
    <w:rsid w:val="007B0F9E"/>
    <w:rsid w:val="007B101D"/>
    <w:rsid w:val="007B10A3"/>
    <w:rsid w:val="007B10BC"/>
    <w:rsid w:val="007B10DE"/>
    <w:rsid w:val="007B1131"/>
    <w:rsid w:val="007B11A6"/>
    <w:rsid w:val="007B1350"/>
    <w:rsid w:val="007B1374"/>
    <w:rsid w:val="007B1419"/>
    <w:rsid w:val="007B15E5"/>
    <w:rsid w:val="007B1622"/>
    <w:rsid w:val="007B16A1"/>
    <w:rsid w:val="007B16D1"/>
    <w:rsid w:val="007B1718"/>
    <w:rsid w:val="007B1923"/>
    <w:rsid w:val="007B19BA"/>
    <w:rsid w:val="007B19D5"/>
    <w:rsid w:val="007B1A3F"/>
    <w:rsid w:val="007B1C2C"/>
    <w:rsid w:val="007B1CA6"/>
    <w:rsid w:val="007B1CB0"/>
    <w:rsid w:val="007B1CC6"/>
    <w:rsid w:val="007B1D7E"/>
    <w:rsid w:val="007B1DB2"/>
    <w:rsid w:val="007B1DCD"/>
    <w:rsid w:val="007B2043"/>
    <w:rsid w:val="007B21BC"/>
    <w:rsid w:val="007B22C9"/>
    <w:rsid w:val="007B2328"/>
    <w:rsid w:val="007B29EB"/>
    <w:rsid w:val="007B2ACD"/>
    <w:rsid w:val="007B2C55"/>
    <w:rsid w:val="007B2DD6"/>
    <w:rsid w:val="007B2F3C"/>
    <w:rsid w:val="007B3049"/>
    <w:rsid w:val="007B305A"/>
    <w:rsid w:val="007B30C5"/>
    <w:rsid w:val="007B312A"/>
    <w:rsid w:val="007B32A5"/>
    <w:rsid w:val="007B32E5"/>
    <w:rsid w:val="007B34BA"/>
    <w:rsid w:val="007B377B"/>
    <w:rsid w:val="007B37A2"/>
    <w:rsid w:val="007B388B"/>
    <w:rsid w:val="007B3BFD"/>
    <w:rsid w:val="007B3C7A"/>
    <w:rsid w:val="007B3DB9"/>
    <w:rsid w:val="007B3F3F"/>
    <w:rsid w:val="007B3F8A"/>
    <w:rsid w:val="007B400D"/>
    <w:rsid w:val="007B447E"/>
    <w:rsid w:val="007B4958"/>
    <w:rsid w:val="007B4B62"/>
    <w:rsid w:val="007B4BE8"/>
    <w:rsid w:val="007B4D0D"/>
    <w:rsid w:val="007B4DD3"/>
    <w:rsid w:val="007B4F06"/>
    <w:rsid w:val="007B4F42"/>
    <w:rsid w:val="007B4F97"/>
    <w:rsid w:val="007B502C"/>
    <w:rsid w:val="007B508B"/>
    <w:rsid w:val="007B528E"/>
    <w:rsid w:val="007B539B"/>
    <w:rsid w:val="007B5560"/>
    <w:rsid w:val="007B55E2"/>
    <w:rsid w:val="007B56BF"/>
    <w:rsid w:val="007B589F"/>
    <w:rsid w:val="007B5955"/>
    <w:rsid w:val="007B5A34"/>
    <w:rsid w:val="007B5A67"/>
    <w:rsid w:val="007B5A90"/>
    <w:rsid w:val="007B5B4F"/>
    <w:rsid w:val="007B5CA2"/>
    <w:rsid w:val="007B5E29"/>
    <w:rsid w:val="007B5F00"/>
    <w:rsid w:val="007B6186"/>
    <w:rsid w:val="007B6229"/>
    <w:rsid w:val="007B626F"/>
    <w:rsid w:val="007B627A"/>
    <w:rsid w:val="007B6284"/>
    <w:rsid w:val="007B67DB"/>
    <w:rsid w:val="007B68FC"/>
    <w:rsid w:val="007B69A5"/>
    <w:rsid w:val="007B6D22"/>
    <w:rsid w:val="007B6D70"/>
    <w:rsid w:val="007B6F5A"/>
    <w:rsid w:val="007B719D"/>
    <w:rsid w:val="007B723C"/>
    <w:rsid w:val="007B73BC"/>
    <w:rsid w:val="007B747C"/>
    <w:rsid w:val="007B778B"/>
    <w:rsid w:val="007B77B6"/>
    <w:rsid w:val="007B799B"/>
    <w:rsid w:val="007B7B8B"/>
    <w:rsid w:val="007B7C93"/>
    <w:rsid w:val="007B7CA8"/>
    <w:rsid w:val="007B7CC9"/>
    <w:rsid w:val="007B7D13"/>
    <w:rsid w:val="007B7EC5"/>
    <w:rsid w:val="007C00BE"/>
    <w:rsid w:val="007C00D9"/>
    <w:rsid w:val="007C06AF"/>
    <w:rsid w:val="007C087E"/>
    <w:rsid w:val="007C0AF6"/>
    <w:rsid w:val="007C0AFF"/>
    <w:rsid w:val="007C0B68"/>
    <w:rsid w:val="007C0D0A"/>
    <w:rsid w:val="007C0DFD"/>
    <w:rsid w:val="007C1385"/>
    <w:rsid w:val="007C1668"/>
    <w:rsid w:val="007C16D0"/>
    <w:rsid w:val="007C1838"/>
    <w:rsid w:val="007C1B1A"/>
    <w:rsid w:val="007C1BD6"/>
    <w:rsid w:val="007C1DE4"/>
    <w:rsid w:val="007C1E25"/>
    <w:rsid w:val="007C20B9"/>
    <w:rsid w:val="007C20D2"/>
    <w:rsid w:val="007C215A"/>
    <w:rsid w:val="007C2213"/>
    <w:rsid w:val="007C29F2"/>
    <w:rsid w:val="007C2A9D"/>
    <w:rsid w:val="007C2D6B"/>
    <w:rsid w:val="007C2DC1"/>
    <w:rsid w:val="007C328A"/>
    <w:rsid w:val="007C33BE"/>
    <w:rsid w:val="007C3706"/>
    <w:rsid w:val="007C3714"/>
    <w:rsid w:val="007C4259"/>
    <w:rsid w:val="007C42F8"/>
    <w:rsid w:val="007C4536"/>
    <w:rsid w:val="007C4816"/>
    <w:rsid w:val="007C49B3"/>
    <w:rsid w:val="007C4BBF"/>
    <w:rsid w:val="007C4CBF"/>
    <w:rsid w:val="007C4E8E"/>
    <w:rsid w:val="007C4FC5"/>
    <w:rsid w:val="007C50C2"/>
    <w:rsid w:val="007C518F"/>
    <w:rsid w:val="007C5324"/>
    <w:rsid w:val="007C5405"/>
    <w:rsid w:val="007C540A"/>
    <w:rsid w:val="007C54F8"/>
    <w:rsid w:val="007C556D"/>
    <w:rsid w:val="007C55A6"/>
    <w:rsid w:val="007C55D2"/>
    <w:rsid w:val="007C5635"/>
    <w:rsid w:val="007C576E"/>
    <w:rsid w:val="007C58CE"/>
    <w:rsid w:val="007C5A4E"/>
    <w:rsid w:val="007C5B26"/>
    <w:rsid w:val="007C5C51"/>
    <w:rsid w:val="007C60E2"/>
    <w:rsid w:val="007C60E6"/>
    <w:rsid w:val="007C6322"/>
    <w:rsid w:val="007C6386"/>
    <w:rsid w:val="007C6542"/>
    <w:rsid w:val="007C680E"/>
    <w:rsid w:val="007C6816"/>
    <w:rsid w:val="007C6B47"/>
    <w:rsid w:val="007C6C89"/>
    <w:rsid w:val="007C6D8D"/>
    <w:rsid w:val="007C6DBA"/>
    <w:rsid w:val="007C6E41"/>
    <w:rsid w:val="007C701B"/>
    <w:rsid w:val="007C7101"/>
    <w:rsid w:val="007C7247"/>
    <w:rsid w:val="007C7301"/>
    <w:rsid w:val="007C73A8"/>
    <w:rsid w:val="007C755D"/>
    <w:rsid w:val="007C772E"/>
    <w:rsid w:val="007C7859"/>
    <w:rsid w:val="007C79E8"/>
    <w:rsid w:val="007C7C3C"/>
    <w:rsid w:val="007C7C3D"/>
    <w:rsid w:val="007C7CAF"/>
    <w:rsid w:val="007C7E7B"/>
    <w:rsid w:val="007C7F28"/>
    <w:rsid w:val="007D000D"/>
    <w:rsid w:val="007D040A"/>
    <w:rsid w:val="007D04CC"/>
    <w:rsid w:val="007D05FA"/>
    <w:rsid w:val="007D07DE"/>
    <w:rsid w:val="007D0822"/>
    <w:rsid w:val="007D08C1"/>
    <w:rsid w:val="007D09B5"/>
    <w:rsid w:val="007D0A1B"/>
    <w:rsid w:val="007D0C3C"/>
    <w:rsid w:val="007D0C40"/>
    <w:rsid w:val="007D0CFE"/>
    <w:rsid w:val="007D0D49"/>
    <w:rsid w:val="007D0DD0"/>
    <w:rsid w:val="007D0FAC"/>
    <w:rsid w:val="007D10BE"/>
    <w:rsid w:val="007D12C0"/>
    <w:rsid w:val="007D13A7"/>
    <w:rsid w:val="007D13DA"/>
    <w:rsid w:val="007D13E9"/>
    <w:rsid w:val="007D1466"/>
    <w:rsid w:val="007D1514"/>
    <w:rsid w:val="007D1746"/>
    <w:rsid w:val="007D1759"/>
    <w:rsid w:val="007D17F6"/>
    <w:rsid w:val="007D18D4"/>
    <w:rsid w:val="007D195B"/>
    <w:rsid w:val="007D1AB0"/>
    <w:rsid w:val="007D1E52"/>
    <w:rsid w:val="007D1EA5"/>
    <w:rsid w:val="007D1EBC"/>
    <w:rsid w:val="007D1ED2"/>
    <w:rsid w:val="007D22A7"/>
    <w:rsid w:val="007D2492"/>
    <w:rsid w:val="007D2499"/>
    <w:rsid w:val="007D2526"/>
    <w:rsid w:val="007D2565"/>
    <w:rsid w:val="007D2656"/>
    <w:rsid w:val="007D2862"/>
    <w:rsid w:val="007D2A2B"/>
    <w:rsid w:val="007D2BB2"/>
    <w:rsid w:val="007D2BDE"/>
    <w:rsid w:val="007D2CED"/>
    <w:rsid w:val="007D2E95"/>
    <w:rsid w:val="007D2FB6"/>
    <w:rsid w:val="007D30C7"/>
    <w:rsid w:val="007D3173"/>
    <w:rsid w:val="007D31DD"/>
    <w:rsid w:val="007D3259"/>
    <w:rsid w:val="007D349A"/>
    <w:rsid w:val="007D3662"/>
    <w:rsid w:val="007D36B3"/>
    <w:rsid w:val="007D37E6"/>
    <w:rsid w:val="007D3B29"/>
    <w:rsid w:val="007D3B73"/>
    <w:rsid w:val="007D3CF1"/>
    <w:rsid w:val="007D3FF2"/>
    <w:rsid w:val="007D411A"/>
    <w:rsid w:val="007D412F"/>
    <w:rsid w:val="007D4214"/>
    <w:rsid w:val="007D421E"/>
    <w:rsid w:val="007D4275"/>
    <w:rsid w:val="007D4386"/>
    <w:rsid w:val="007D4399"/>
    <w:rsid w:val="007D4814"/>
    <w:rsid w:val="007D49EB"/>
    <w:rsid w:val="007D4A9F"/>
    <w:rsid w:val="007D4AFB"/>
    <w:rsid w:val="007D4B40"/>
    <w:rsid w:val="007D4B9E"/>
    <w:rsid w:val="007D4DE3"/>
    <w:rsid w:val="007D4E98"/>
    <w:rsid w:val="007D50F9"/>
    <w:rsid w:val="007D519F"/>
    <w:rsid w:val="007D51FC"/>
    <w:rsid w:val="007D5220"/>
    <w:rsid w:val="007D53E7"/>
    <w:rsid w:val="007D5468"/>
    <w:rsid w:val="007D577E"/>
    <w:rsid w:val="007D57A8"/>
    <w:rsid w:val="007D580F"/>
    <w:rsid w:val="007D58DE"/>
    <w:rsid w:val="007D5E07"/>
    <w:rsid w:val="007D5E1C"/>
    <w:rsid w:val="007D5F66"/>
    <w:rsid w:val="007D5F86"/>
    <w:rsid w:val="007D6107"/>
    <w:rsid w:val="007D6303"/>
    <w:rsid w:val="007D64BF"/>
    <w:rsid w:val="007D6615"/>
    <w:rsid w:val="007D670E"/>
    <w:rsid w:val="007D67C6"/>
    <w:rsid w:val="007D6829"/>
    <w:rsid w:val="007D68AD"/>
    <w:rsid w:val="007D697A"/>
    <w:rsid w:val="007D6C7B"/>
    <w:rsid w:val="007D6C9A"/>
    <w:rsid w:val="007D6E3F"/>
    <w:rsid w:val="007D6ECC"/>
    <w:rsid w:val="007D707D"/>
    <w:rsid w:val="007D70B4"/>
    <w:rsid w:val="007D710F"/>
    <w:rsid w:val="007D71FB"/>
    <w:rsid w:val="007D72B6"/>
    <w:rsid w:val="007D737F"/>
    <w:rsid w:val="007D7431"/>
    <w:rsid w:val="007D7480"/>
    <w:rsid w:val="007D7485"/>
    <w:rsid w:val="007D759B"/>
    <w:rsid w:val="007D760F"/>
    <w:rsid w:val="007D7611"/>
    <w:rsid w:val="007D7663"/>
    <w:rsid w:val="007D7B93"/>
    <w:rsid w:val="007E0097"/>
    <w:rsid w:val="007E0268"/>
    <w:rsid w:val="007E0492"/>
    <w:rsid w:val="007E0758"/>
    <w:rsid w:val="007E07A1"/>
    <w:rsid w:val="007E0819"/>
    <w:rsid w:val="007E0D61"/>
    <w:rsid w:val="007E0DE2"/>
    <w:rsid w:val="007E0F89"/>
    <w:rsid w:val="007E1028"/>
    <w:rsid w:val="007E113F"/>
    <w:rsid w:val="007E1214"/>
    <w:rsid w:val="007E1430"/>
    <w:rsid w:val="007E1437"/>
    <w:rsid w:val="007E14DD"/>
    <w:rsid w:val="007E153B"/>
    <w:rsid w:val="007E15F3"/>
    <w:rsid w:val="007E1725"/>
    <w:rsid w:val="007E18F0"/>
    <w:rsid w:val="007E192E"/>
    <w:rsid w:val="007E1935"/>
    <w:rsid w:val="007E194E"/>
    <w:rsid w:val="007E1B80"/>
    <w:rsid w:val="007E1C19"/>
    <w:rsid w:val="007E218D"/>
    <w:rsid w:val="007E2297"/>
    <w:rsid w:val="007E2362"/>
    <w:rsid w:val="007E25B9"/>
    <w:rsid w:val="007E2820"/>
    <w:rsid w:val="007E2864"/>
    <w:rsid w:val="007E28A4"/>
    <w:rsid w:val="007E29A7"/>
    <w:rsid w:val="007E29E5"/>
    <w:rsid w:val="007E29F3"/>
    <w:rsid w:val="007E2C3B"/>
    <w:rsid w:val="007E2D3F"/>
    <w:rsid w:val="007E2DFD"/>
    <w:rsid w:val="007E2E65"/>
    <w:rsid w:val="007E3667"/>
    <w:rsid w:val="007E366D"/>
    <w:rsid w:val="007E36BC"/>
    <w:rsid w:val="007E37CF"/>
    <w:rsid w:val="007E3948"/>
    <w:rsid w:val="007E3A66"/>
    <w:rsid w:val="007E3AB6"/>
    <w:rsid w:val="007E3B3B"/>
    <w:rsid w:val="007E3B5F"/>
    <w:rsid w:val="007E3B98"/>
    <w:rsid w:val="007E3C90"/>
    <w:rsid w:val="007E3F2D"/>
    <w:rsid w:val="007E3FB6"/>
    <w:rsid w:val="007E405A"/>
    <w:rsid w:val="007E417A"/>
    <w:rsid w:val="007E417F"/>
    <w:rsid w:val="007E41A3"/>
    <w:rsid w:val="007E42D8"/>
    <w:rsid w:val="007E43BA"/>
    <w:rsid w:val="007E4845"/>
    <w:rsid w:val="007E548D"/>
    <w:rsid w:val="007E5587"/>
    <w:rsid w:val="007E56C8"/>
    <w:rsid w:val="007E577A"/>
    <w:rsid w:val="007E5878"/>
    <w:rsid w:val="007E58A8"/>
    <w:rsid w:val="007E5AEB"/>
    <w:rsid w:val="007E5DC2"/>
    <w:rsid w:val="007E5E2B"/>
    <w:rsid w:val="007E5EE2"/>
    <w:rsid w:val="007E5F2C"/>
    <w:rsid w:val="007E6010"/>
    <w:rsid w:val="007E6184"/>
    <w:rsid w:val="007E653C"/>
    <w:rsid w:val="007E67B4"/>
    <w:rsid w:val="007E6874"/>
    <w:rsid w:val="007E68C5"/>
    <w:rsid w:val="007E6AF6"/>
    <w:rsid w:val="007E6B4A"/>
    <w:rsid w:val="007E6C97"/>
    <w:rsid w:val="007E6CB7"/>
    <w:rsid w:val="007E6CD2"/>
    <w:rsid w:val="007E6E1D"/>
    <w:rsid w:val="007E6F03"/>
    <w:rsid w:val="007E6F29"/>
    <w:rsid w:val="007E7125"/>
    <w:rsid w:val="007E7158"/>
    <w:rsid w:val="007E7461"/>
    <w:rsid w:val="007E7693"/>
    <w:rsid w:val="007E781F"/>
    <w:rsid w:val="007E783A"/>
    <w:rsid w:val="007E7972"/>
    <w:rsid w:val="007E7A2B"/>
    <w:rsid w:val="007E7A99"/>
    <w:rsid w:val="007F000C"/>
    <w:rsid w:val="007F00EE"/>
    <w:rsid w:val="007F017E"/>
    <w:rsid w:val="007F0254"/>
    <w:rsid w:val="007F02C0"/>
    <w:rsid w:val="007F044C"/>
    <w:rsid w:val="007F054B"/>
    <w:rsid w:val="007F05C4"/>
    <w:rsid w:val="007F06B4"/>
    <w:rsid w:val="007F0D31"/>
    <w:rsid w:val="007F0E3F"/>
    <w:rsid w:val="007F0EB1"/>
    <w:rsid w:val="007F11F8"/>
    <w:rsid w:val="007F1222"/>
    <w:rsid w:val="007F14AC"/>
    <w:rsid w:val="007F168C"/>
    <w:rsid w:val="007F178D"/>
    <w:rsid w:val="007F1793"/>
    <w:rsid w:val="007F192F"/>
    <w:rsid w:val="007F1B2C"/>
    <w:rsid w:val="007F1EC5"/>
    <w:rsid w:val="007F20B7"/>
    <w:rsid w:val="007F2450"/>
    <w:rsid w:val="007F25C2"/>
    <w:rsid w:val="007F26D0"/>
    <w:rsid w:val="007F2921"/>
    <w:rsid w:val="007F2963"/>
    <w:rsid w:val="007F2B12"/>
    <w:rsid w:val="007F2CA3"/>
    <w:rsid w:val="007F2F09"/>
    <w:rsid w:val="007F300A"/>
    <w:rsid w:val="007F3075"/>
    <w:rsid w:val="007F3092"/>
    <w:rsid w:val="007F31B6"/>
    <w:rsid w:val="007F330B"/>
    <w:rsid w:val="007F3512"/>
    <w:rsid w:val="007F394A"/>
    <w:rsid w:val="007F395E"/>
    <w:rsid w:val="007F3CC9"/>
    <w:rsid w:val="007F3D16"/>
    <w:rsid w:val="007F3E0F"/>
    <w:rsid w:val="007F3F72"/>
    <w:rsid w:val="007F424B"/>
    <w:rsid w:val="007F477A"/>
    <w:rsid w:val="007F4882"/>
    <w:rsid w:val="007F49FF"/>
    <w:rsid w:val="007F4A4A"/>
    <w:rsid w:val="007F4AAC"/>
    <w:rsid w:val="007F4BE9"/>
    <w:rsid w:val="007F4C04"/>
    <w:rsid w:val="007F4D30"/>
    <w:rsid w:val="007F4E98"/>
    <w:rsid w:val="007F4FFE"/>
    <w:rsid w:val="007F516C"/>
    <w:rsid w:val="007F533D"/>
    <w:rsid w:val="007F546C"/>
    <w:rsid w:val="007F5595"/>
    <w:rsid w:val="007F56BE"/>
    <w:rsid w:val="007F5881"/>
    <w:rsid w:val="007F5900"/>
    <w:rsid w:val="007F5919"/>
    <w:rsid w:val="007F592F"/>
    <w:rsid w:val="007F5CD6"/>
    <w:rsid w:val="007F5DA1"/>
    <w:rsid w:val="007F5FB8"/>
    <w:rsid w:val="007F6223"/>
    <w:rsid w:val="007F625F"/>
    <w:rsid w:val="007F62BF"/>
    <w:rsid w:val="007F62FE"/>
    <w:rsid w:val="007F63AF"/>
    <w:rsid w:val="007F6536"/>
    <w:rsid w:val="007F6574"/>
    <w:rsid w:val="007F665E"/>
    <w:rsid w:val="007F687F"/>
    <w:rsid w:val="007F6968"/>
    <w:rsid w:val="007F6B94"/>
    <w:rsid w:val="007F6BD9"/>
    <w:rsid w:val="007F6C71"/>
    <w:rsid w:val="007F6DD6"/>
    <w:rsid w:val="007F6E01"/>
    <w:rsid w:val="007F6E27"/>
    <w:rsid w:val="007F6F9F"/>
    <w:rsid w:val="007F7006"/>
    <w:rsid w:val="007F702F"/>
    <w:rsid w:val="007F70B5"/>
    <w:rsid w:val="007F72E6"/>
    <w:rsid w:val="007F7598"/>
    <w:rsid w:val="007F75B3"/>
    <w:rsid w:val="007F777F"/>
    <w:rsid w:val="007F7854"/>
    <w:rsid w:val="007F78B4"/>
    <w:rsid w:val="007F797F"/>
    <w:rsid w:val="007F7A33"/>
    <w:rsid w:val="007F7A74"/>
    <w:rsid w:val="007F7C75"/>
    <w:rsid w:val="008002E8"/>
    <w:rsid w:val="00800412"/>
    <w:rsid w:val="00800A80"/>
    <w:rsid w:val="00800AC6"/>
    <w:rsid w:val="00800BEA"/>
    <w:rsid w:val="008010EF"/>
    <w:rsid w:val="0080112F"/>
    <w:rsid w:val="008011F4"/>
    <w:rsid w:val="008015FA"/>
    <w:rsid w:val="00801643"/>
    <w:rsid w:val="00801648"/>
    <w:rsid w:val="008016A3"/>
    <w:rsid w:val="008016EB"/>
    <w:rsid w:val="008019CA"/>
    <w:rsid w:val="008019FA"/>
    <w:rsid w:val="00801B00"/>
    <w:rsid w:val="00801B9E"/>
    <w:rsid w:val="00801C0C"/>
    <w:rsid w:val="00801E52"/>
    <w:rsid w:val="00801E93"/>
    <w:rsid w:val="00801EEC"/>
    <w:rsid w:val="008020AE"/>
    <w:rsid w:val="008020B2"/>
    <w:rsid w:val="008021B7"/>
    <w:rsid w:val="008022A0"/>
    <w:rsid w:val="008024B6"/>
    <w:rsid w:val="00802538"/>
    <w:rsid w:val="008026AB"/>
    <w:rsid w:val="008027A0"/>
    <w:rsid w:val="00802817"/>
    <w:rsid w:val="00802974"/>
    <w:rsid w:val="00802CAD"/>
    <w:rsid w:val="00802EB4"/>
    <w:rsid w:val="008030DA"/>
    <w:rsid w:val="00803157"/>
    <w:rsid w:val="00803270"/>
    <w:rsid w:val="008035C4"/>
    <w:rsid w:val="008036D4"/>
    <w:rsid w:val="008036E8"/>
    <w:rsid w:val="008037D6"/>
    <w:rsid w:val="00803875"/>
    <w:rsid w:val="00803D65"/>
    <w:rsid w:val="00803E05"/>
    <w:rsid w:val="00803F7E"/>
    <w:rsid w:val="0080410F"/>
    <w:rsid w:val="0080415E"/>
    <w:rsid w:val="00804246"/>
    <w:rsid w:val="00804565"/>
    <w:rsid w:val="008049C7"/>
    <w:rsid w:val="00804B43"/>
    <w:rsid w:val="00804BC0"/>
    <w:rsid w:val="00804BF3"/>
    <w:rsid w:val="00804C7B"/>
    <w:rsid w:val="00804F8B"/>
    <w:rsid w:val="00804FF7"/>
    <w:rsid w:val="00805011"/>
    <w:rsid w:val="008050C9"/>
    <w:rsid w:val="008051C9"/>
    <w:rsid w:val="008052B2"/>
    <w:rsid w:val="00805373"/>
    <w:rsid w:val="0080563F"/>
    <w:rsid w:val="00805735"/>
    <w:rsid w:val="0080573D"/>
    <w:rsid w:val="0080587B"/>
    <w:rsid w:val="0080592F"/>
    <w:rsid w:val="0080593A"/>
    <w:rsid w:val="00805BE5"/>
    <w:rsid w:val="00805FA8"/>
    <w:rsid w:val="008060C9"/>
    <w:rsid w:val="008061E2"/>
    <w:rsid w:val="00806336"/>
    <w:rsid w:val="00806468"/>
    <w:rsid w:val="00806682"/>
    <w:rsid w:val="00806725"/>
    <w:rsid w:val="008067D2"/>
    <w:rsid w:val="00806853"/>
    <w:rsid w:val="0080694C"/>
    <w:rsid w:val="00806B29"/>
    <w:rsid w:val="00806B8A"/>
    <w:rsid w:val="00806BAE"/>
    <w:rsid w:val="00806BBB"/>
    <w:rsid w:val="008071FB"/>
    <w:rsid w:val="00807305"/>
    <w:rsid w:val="008076E7"/>
    <w:rsid w:val="0080775E"/>
    <w:rsid w:val="00807944"/>
    <w:rsid w:val="00807C28"/>
    <w:rsid w:val="00807CEA"/>
    <w:rsid w:val="00807E5E"/>
    <w:rsid w:val="00807EC6"/>
    <w:rsid w:val="00807EF2"/>
    <w:rsid w:val="00807F61"/>
    <w:rsid w:val="0081011E"/>
    <w:rsid w:val="00810274"/>
    <w:rsid w:val="008105EE"/>
    <w:rsid w:val="0081073E"/>
    <w:rsid w:val="0081083F"/>
    <w:rsid w:val="0081085C"/>
    <w:rsid w:val="008109D8"/>
    <w:rsid w:val="00810A2D"/>
    <w:rsid w:val="00810D7A"/>
    <w:rsid w:val="00810E27"/>
    <w:rsid w:val="00811012"/>
    <w:rsid w:val="00811054"/>
    <w:rsid w:val="00811060"/>
    <w:rsid w:val="008112A8"/>
    <w:rsid w:val="00811340"/>
    <w:rsid w:val="00811400"/>
    <w:rsid w:val="00811437"/>
    <w:rsid w:val="008114E8"/>
    <w:rsid w:val="00811624"/>
    <w:rsid w:val="00811675"/>
    <w:rsid w:val="008116CB"/>
    <w:rsid w:val="008119A2"/>
    <w:rsid w:val="008119CA"/>
    <w:rsid w:val="00811C65"/>
    <w:rsid w:val="00811E28"/>
    <w:rsid w:val="00811EA7"/>
    <w:rsid w:val="00811EF9"/>
    <w:rsid w:val="00812051"/>
    <w:rsid w:val="008120ED"/>
    <w:rsid w:val="008121E6"/>
    <w:rsid w:val="00812350"/>
    <w:rsid w:val="0081237C"/>
    <w:rsid w:val="008125B4"/>
    <w:rsid w:val="008127F8"/>
    <w:rsid w:val="00812A88"/>
    <w:rsid w:val="00812B02"/>
    <w:rsid w:val="00812CC5"/>
    <w:rsid w:val="00812DCB"/>
    <w:rsid w:val="00812E2D"/>
    <w:rsid w:val="00812EF9"/>
    <w:rsid w:val="00813021"/>
    <w:rsid w:val="0081306F"/>
    <w:rsid w:val="008130C4"/>
    <w:rsid w:val="0081327F"/>
    <w:rsid w:val="00813295"/>
    <w:rsid w:val="0081331F"/>
    <w:rsid w:val="0081336E"/>
    <w:rsid w:val="0081362A"/>
    <w:rsid w:val="00813A32"/>
    <w:rsid w:val="00813C78"/>
    <w:rsid w:val="00813E22"/>
    <w:rsid w:val="00814106"/>
    <w:rsid w:val="00814257"/>
    <w:rsid w:val="008142B1"/>
    <w:rsid w:val="00814471"/>
    <w:rsid w:val="008144D9"/>
    <w:rsid w:val="00814590"/>
    <w:rsid w:val="00814733"/>
    <w:rsid w:val="00814B2D"/>
    <w:rsid w:val="00814B6F"/>
    <w:rsid w:val="00814BB3"/>
    <w:rsid w:val="00814F44"/>
    <w:rsid w:val="00815052"/>
    <w:rsid w:val="0081531E"/>
    <w:rsid w:val="0081537E"/>
    <w:rsid w:val="008154F4"/>
    <w:rsid w:val="008155E8"/>
    <w:rsid w:val="008155F0"/>
    <w:rsid w:val="0081576C"/>
    <w:rsid w:val="008157D3"/>
    <w:rsid w:val="0081595C"/>
    <w:rsid w:val="00815B90"/>
    <w:rsid w:val="008160CD"/>
    <w:rsid w:val="008160EB"/>
    <w:rsid w:val="00816243"/>
    <w:rsid w:val="00816272"/>
    <w:rsid w:val="00816424"/>
    <w:rsid w:val="008165AA"/>
    <w:rsid w:val="008165C6"/>
    <w:rsid w:val="00816735"/>
    <w:rsid w:val="008167F8"/>
    <w:rsid w:val="008169FE"/>
    <w:rsid w:val="00816A0A"/>
    <w:rsid w:val="00816B34"/>
    <w:rsid w:val="00816B7A"/>
    <w:rsid w:val="00816C7A"/>
    <w:rsid w:val="00816CE7"/>
    <w:rsid w:val="00817068"/>
    <w:rsid w:val="008170ED"/>
    <w:rsid w:val="00817140"/>
    <w:rsid w:val="00817326"/>
    <w:rsid w:val="008175AB"/>
    <w:rsid w:val="00817840"/>
    <w:rsid w:val="00817A0D"/>
    <w:rsid w:val="00817C23"/>
    <w:rsid w:val="00817CBE"/>
    <w:rsid w:val="008200EC"/>
    <w:rsid w:val="00820111"/>
    <w:rsid w:val="00820141"/>
    <w:rsid w:val="008202A6"/>
    <w:rsid w:val="0082043F"/>
    <w:rsid w:val="008204B0"/>
    <w:rsid w:val="008206BE"/>
    <w:rsid w:val="0082073E"/>
    <w:rsid w:val="00820BAE"/>
    <w:rsid w:val="00820DE2"/>
    <w:rsid w:val="00820E0B"/>
    <w:rsid w:val="00820E0C"/>
    <w:rsid w:val="00820EA0"/>
    <w:rsid w:val="00820F25"/>
    <w:rsid w:val="008210F4"/>
    <w:rsid w:val="00821514"/>
    <w:rsid w:val="0082165A"/>
    <w:rsid w:val="008217F5"/>
    <w:rsid w:val="00821A57"/>
    <w:rsid w:val="00821D99"/>
    <w:rsid w:val="008222A3"/>
    <w:rsid w:val="008222EE"/>
    <w:rsid w:val="0082254C"/>
    <w:rsid w:val="008227D9"/>
    <w:rsid w:val="00822EF0"/>
    <w:rsid w:val="0082320F"/>
    <w:rsid w:val="00823244"/>
    <w:rsid w:val="00823252"/>
    <w:rsid w:val="00823275"/>
    <w:rsid w:val="00823365"/>
    <w:rsid w:val="00823382"/>
    <w:rsid w:val="0082342E"/>
    <w:rsid w:val="0082366F"/>
    <w:rsid w:val="008236F4"/>
    <w:rsid w:val="0082375D"/>
    <w:rsid w:val="0082389A"/>
    <w:rsid w:val="008238AF"/>
    <w:rsid w:val="00823B2B"/>
    <w:rsid w:val="00823CFB"/>
    <w:rsid w:val="00824224"/>
    <w:rsid w:val="00824475"/>
    <w:rsid w:val="00824502"/>
    <w:rsid w:val="008245B1"/>
    <w:rsid w:val="00824A4C"/>
    <w:rsid w:val="00824AE0"/>
    <w:rsid w:val="00824DD4"/>
    <w:rsid w:val="008252D6"/>
    <w:rsid w:val="008253C1"/>
    <w:rsid w:val="00825404"/>
    <w:rsid w:val="00825554"/>
    <w:rsid w:val="0082571E"/>
    <w:rsid w:val="00825792"/>
    <w:rsid w:val="00825B69"/>
    <w:rsid w:val="00825BE3"/>
    <w:rsid w:val="00825D9F"/>
    <w:rsid w:val="00825DD4"/>
    <w:rsid w:val="00825E7A"/>
    <w:rsid w:val="00825F54"/>
    <w:rsid w:val="00826035"/>
    <w:rsid w:val="0082605E"/>
    <w:rsid w:val="00826138"/>
    <w:rsid w:val="00826225"/>
    <w:rsid w:val="0082627D"/>
    <w:rsid w:val="008263B7"/>
    <w:rsid w:val="00826573"/>
    <w:rsid w:val="008265C4"/>
    <w:rsid w:val="008266F7"/>
    <w:rsid w:val="0082699C"/>
    <w:rsid w:val="00826A4D"/>
    <w:rsid w:val="00826ACF"/>
    <w:rsid w:val="00826B00"/>
    <w:rsid w:val="00826B13"/>
    <w:rsid w:val="00826B16"/>
    <w:rsid w:val="00826C32"/>
    <w:rsid w:val="00826CDD"/>
    <w:rsid w:val="00826DA2"/>
    <w:rsid w:val="00826E2E"/>
    <w:rsid w:val="008272CE"/>
    <w:rsid w:val="00827496"/>
    <w:rsid w:val="008275E9"/>
    <w:rsid w:val="00827A31"/>
    <w:rsid w:val="00827A61"/>
    <w:rsid w:val="00827BD0"/>
    <w:rsid w:val="00827C02"/>
    <w:rsid w:val="00827C23"/>
    <w:rsid w:val="00827D12"/>
    <w:rsid w:val="00827FC9"/>
    <w:rsid w:val="008300DF"/>
    <w:rsid w:val="00830167"/>
    <w:rsid w:val="00830230"/>
    <w:rsid w:val="00830255"/>
    <w:rsid w:val="00830259"/>
    <w:rsid w:val="008304DC"/>
    <w:rsid w:val="0083051D"/>
    <w:rsid w:val="00830711"/>
    <w:rsid w:val="008308DB"/>
    <w:rsid w:val="00830A6D"/>
    <w:rsid w:val="00830C99"/>
    <w:rsid w:val="00830CB0"/>
    <w:rsid w:val="00830FC2"/>
    <w:rsid w:val="008314BB"/>
    <w:rsid w:val="00831624"/>
    <w:rsid w:val="008316BE"/>
    <w:rsid w:val="00831794"/>
    <w:rsid w:val="0083186E"/>
    <w:rsid w:val="008318CD"/>
    <w:rsid w:val="00831B6D"/>
    <w:rsid w:val="00831B9C"/>
    <w:rsid w:val="00831D8C"/>
    <w:rsid w:val="00831F54"/>
    <w:rsid w:val="00832369"/>
    <w:rsid w:val="008324F6"/>
    <w:rsid w:val="00832751"/>
    <w:rsid w:val="0083295A"/>
    <w:rsid w:val="008329B7"/>
    <w:rsid w:val="008329BE"/>
    <w:rsid w:val="008329CD"/>
    <w:rsid w:val="00832AE3"/>
    <w:rsid w:val="00832E42"/>
    <w:rsid w:val="00832FFC"/>
    <w:rsid w:val="008335CB"/>
    <w:rsid w:val="00833717"/>
    <w:rsid w:val="008337F1"/>
    <w:rsid w:val="00833861"/>
    <w:rsid w:val="008338A2"/>
    <w:rsid w:val="008338F9"/>
    <w:rsid w:val="00833B97"/>
    <w:rsid w:val="00833D55"/>
    <w:rsid w:val="00833D85"/>
    <w:rsid w:val="00833DD6"/>
    <w:rsid w:val="00833EA6"/>
    <w:rsid w:val="00833EE0"/>
    <w:rsid w:val="00833FA7"/>
    <w:rsid w:val="00833FE4"/>
    <w:rsid w:val="008341F1"/>
    <w:rsid w:val="008342E8"/>
    <w:rsid w:val="00834324"/>
    <w:rsid w:val="00834330"/>
    <w:rsid w:val="00834946"/>
    <w:rsid w:val="00834A4C"/>
    <w:rsid w:val="00834B3E"/>
    <w:rsid w:val="00834C13"/>
    <w:rsid w:val="00834F56"/>
    <w:rsid w:val="00834FB3"/>
    <w:rsid w:val="0083506E"/>
    <w:rsid w:val="008351C9"/>
    <w:rsid w:val="0083534A"/>
    <w:rsid w:val="00835501"/>
    <w:rsid w:val="008355AD"/>
    <w:rsid w:val="008356BB"/>
    <w:rsid w:val="00835A82"/>
    <w:rsid w:val="00835DF2"/>
    <w:rsid w:val="008361EE"/>
    <w:rsid w:val="008362D9"/>
    <w:rsid w:val="008364F9"/>
    <w:rsid w:val="0083651C"/>
    <w:rsid w:val="00836572"/>
    <w:rsid w:val="00836AFE"/>
    <w:rsid w:val="00836B6F"/>
    <w:rsid w:val="00836BE6"/>
    <w:rsid w:val="00836CC9"/>
    <w:rsid w:val="00836D30"/>
    <w:rsid w:val="00836F45"/>
    <w:rsid w:val="008370E8"/>
    <w:rsid w:val="00837164"/>
    <w:rsid w:val="00837468"/>
    <w:rsid w:val="008374D5"/>
    <w:rsid w:val="00837564"/>
    <w:rsid w:val="00837585"/>
    <w:rsid w:val="00837DE7"/>
    <w:rsid w:val="00837E82"/>
    <w:rsid w:val="0084005F"/>
    <w:rsid w:val="008400D4"/>
    <w:rsid w:val="00840461"/>
    <w:rsid w:val="00840473"/>
    <w:rsid w:val="008405FA"/>
    <w:rsid w:val="008406F6"/>
    <w:rsid w:val="00840A60"/>
    <w:rsid w:val="00840B69"/>
    <w:rsid w:val="00840C31"/>
    <w:rsid w:val="00840C3F"/>
    <w:rsid w:val="00840C49"/>
    <w:rsid w:val="00840DE3"/>
    <w:rsid w:val="00840F31"/>
    <w:rsid w:val="00841181"/>
    <w:rsid w:val="00841281"/>
    <w:rsid w:val="00841301"/>
    <w:rsid w:val="0084146A"/>
    <w:rsid w:val="008415E8"/>
    <w:rsid w:val="008415ED"/>
    <w:rsid w:val="00841AA9"/>
    <w:rsid w:val="00841B48"/>
    <w:rsid w:val="00841BA4"/>
    <w:rsid w:val="00841C40"/>
    <w:rsid w:val="00841CA9"/>
    <w:rsid w:val="00841D78"/>
    <w:rsid w:val="00841EC9"/>
    <w:rsid w:val="00842102"/>
    <w:rsid w:val="0084231E"/>
    <w:rsid w:val="00842781"/>
    <w:rsid w:val="00842B7F"/>
    <w:rsid w:val="00842BBD"/>
    <w:rsid w:val="00842EA1"/>
    <w:rsid w:val="00843085"/>
    <w:rsid w:val="008433C0"/>
    <w:rsid w:val="008433F4"/>
    <w:rsid w:val="008435CE"/>
    <w:rsid w:val="00843927"/>
    <w:rsid w:val="00843D4F"/>
    <w:rsid w:val="00843F17"/>
    <w:rsid w:val="00843F28"/>
    <w:rsid w:val="00843F59"/>
    <w:rsid w:val="00843F82"/>
    <w:rsid w:val="00843FA7"/>
    <w:rsid w:val="00844456"/>
    <w:rsid w:val="00844557"/>
    <w:rsid w:val="0084456D"/>
    <w:rsid w:val="008447EA"/>
    <w:rsid w:val="00844978"/>
    <w:rsid w:val="00844B1B"/>
    <w:rsid w:val="00844C5F"/>
    <w:rsid w:val="00844C69"/>
    <w:rsid w:val="00844CC5"/>
    <w:rsid w:val="0084510E"/>
    <w:rsid w:val="00845157"/>
    <w:rsid w:val="00845395"/>
    <w:rsid w:val="008458DE"/>
    <w:rsid w:val="00845A10"/>
    <w:rsid w:val="00845A19"/>
    <w:rsid w:val="00845C4E"/>
    <w:rsid w:val="00845E13"/>
    <w:rsid w:val="00845EAB"/>
    <w:rsid w:val="008460C4"/>
    <w:rsid w:val="00846226"/>
    <w:rsid w:val="008463CB"/>
    <w:rsid w:val="00846513"/>
    <w:rsid w:val="008467F9"/>
    <w:rsid w:val="00846895"/>
    <w:rsid w:val="008468B5"/>
    <w:rsid w:val="008468EB"/>
    <w:rsid w:val="0084698F"/>
    <w:rsid w:val="00846AAD"/>
    <w:rsid w:val="00846B63"/>
    <w:rsid w:val="00846C6C"/>
    <w:rsid w:val="00846EC0"/>
    <w:rsid w:val="00846F01"/>
    <w:rsid w:val="00847143"/>
    <w:rsid w:val="00847160"/>
    <w:rsid w:val="00847227"/>
    <w:rsid w:val="008473FC"/>
    <w:rsid w:val="008474FE"/>
    <w:rsid w:val="00847811"/>
    <w:rsid w:val="00847AEA"/>
    <w:rsid w:val="00847C0C"/>
    <w:rsid w:val="00847C45"/>
    <w:rsid w:val="00847C95"/>
    <w:rsid w:val="00847D58"/>
    <w:rsid w:val="00847E34"/>
    <w:rsid w:val="00847EC2"/>
    <w:rsid w:val="00847F79"/>
    <w:rsid w:val="00847FC3"/>
    <w:rsid w:val="00850077"/>
    <w:rsid w:val="00850288"/>
    <w:rsid w:val="008502DD"/>
    <w:rsid w:val="0085033A"/>
    <w:rsid w:val="00850783"/>
    <w:rsid w:val="008508FE"/>
    <w:rsid w:val="0085093A"/>
    <w:rsid w:val="00850986"/>
    <w:rsid w:val="008509BF"/>
    <w:rsid w:val="00850B30"/>
    <w:rsid w:val="00850BD4"/>
    <w:rsid w:val="00850DFB"/>
    <w:rsid w:val="00850E52"/>
    <w:rsid w:val="00850EA2"/>
    <w:rsid w:val="00850EE5"/>
    <w:rsid w:val="00850FF0"/>
    <w:rsid w:val="00851623"/>
    <w:rsid w:val="00851863"/>
    <w:rsid w:val="00851889"/>
    <w:rsid w:val="00851921"/>
    <w:rsid w:val="008519D1"/>
    <w:rsid w:val="00851B14"/>
    <w:rsid w:val="00851B29"/>
    <w:rsid w:val="00851B47"/>
    <w:rsid w:val="00851C1C"/>
    <w:rsid w:val="00851DC8"/>
    <w:rsid w:val="00851DFA"/>
    <w:rsid w:val="00851EA6"/>
    <w:rsid w:val="00851ED3"/>
    <w:rsid w:val="0085223A"/>
    <w:rsid w:val="0085241F"/>
    <w:rsid w:val="00852447"/>
    <w:rsid w:val="0085244E"/>
    <w:rsid w:val="00852751"/>
    <w:rsid w:val="008527A4"/>
    <w:rsid w:val="00852885"/>
    <w:rsid w:val="00852C75"/>
    <w:rsid w:val="00852D6B"/>
    <w:rsid w:val="00852DA0"/>
    <w:rsid w:val="00852DE1"/>
    <w:rsid w:val="00853552"/>
    <w:rsid w:val="0085356D"/>
    <w:rsid w:val="00853E83"/>
    <w:rsid w:val="00853EE4"/>
    <w:rsid w:val="00853FAB"/>
    <w:rsid w:val="00854337"/>
    <w:rsid w:val="00854351"/>
    <w:rsid w:val="00854810"/>
    <w:rsid w:val="00854B87"/>
    <w:rsid w:val="00854DB0"/>
    <w:rsid w:val="00854EC1"/>
    <w:rsid w:val="00854EFE"/>
    <w:rsid w:val="00855535"/>
    <w:rsid w:val="00855675"/>
    <w:rsid w:val="00855719"/>
    <w:rsid w:val="00855721"/>
    <w:rsid w:val="00855898"/>
    <w:rsid w:val="008559F3"/>
    <w:rsid w:val="00855B7D"/>
    <w:rsid w:val="00855BEC"/>
    <w:rsid w:val="00855C21"/>
    <w:rsid w:val="00855C46"/>
    <w:rsid w:val="00855FE2"/>
    <w:rsid w:val="00856270"/>
    <w:rsid w:val="008562C8"/>
    <w:rsid w:val="008562ED"/>
    <w:rsid w:val="008564AD"/>
    <w:rsid w:val="008564D2"/>
    <w:rsid w:val="008565E9"/>
    <w:rsid w:val="0085660F"/>
    <w:rsid w:val="00856745"/>
    <w:rsid w:val="00856B9B"/>
    <w:rsid w:val="00856DE2"/>
    <w:rsid w:val="00856FDA"/>
    <w:rsid w:val="00857239"/>
    <w:rsid w:val="008573E9"/>
    <w:rsid w:val="0085750C"/>
    <w:rsid w:val="008575B7"/>
    <w:rsid w:val="0085761D"/>
    <w:rsid w:val="00857631"/>
    <w:rsid w:val="00857705"/>
    <w:rsid w:val="008579E5"/>
    <w:rsid w:val="00857BB0"/>
    <w:rsid w:val="00857C02"/>
    <w:rsid w:val="00857C5A"/>
    <w:rsid w:val="00857E77"/>
    <w:rsid w:val="00857EAB"/>
    <w:rsid w:val="00857F61"/>
    <w:rsid w:val="00860200"/>
    <w:rsid w:val="008604A8"/>
    <w:rsid w:val="00860949"/>
    <w:rsid w:val="00860A84"/>
    <w:rsid w:val="00860BCD"/>
    <w:rsid w:val="00860C34"/>
    <w:rsid w:val="00860C57"/>
    <w:rsid w:val="00860D60"/>
    <w:rsid w:val="00860EFC"/>
    <w:rsid w:val="008613AD"/>
    <w:rsid w:val="00861489"/>
    <w:rsid w:val="00861530"/>
    <w:rsid w:val="008615AC"/>
    <w:rsid w:val="00861660"/>
    <w:rsid w:val="00861699"/>
    <w:rsid w:val="00861840"/>
    <w:rsid w:val="00861FB8"/>
    <w:rsid w:val="00862227"/>
    <w:rsid w:val="0086234C"/>
    <w:rsid w:val="00862514"/>
    <w:rsid w:val="0086255E"/>
    <w:rsid w:val="0086294A"/>
    <w:rsid w:val="00862980"/>
    <w:rsid w:val="0086299A"/>
    <w:rsid w:val="00862B8F"/>
    <w:rsid w:val="00862C0F"/>
    <w:rsid w:val="00862D1A"/>
    <w:rsid w:val="00862EA3"/>
    <w:rsid w:val="00863065"/>
    <w:rsid w:val="008632E5"/>
    <w:rsid w:val="008633F0"/>
    <w:rsid w:val="008634B6"/>
    <w:rsid w:val="008634BC"/>
    <w:rsid w:val="00863599"/>
    <w:rsid w:val="0086360E"/>
    <w:rsid w:val="00863726"/>
    <w:rsid w:val="00863CB7"/>
    <w:rsid w:val="00863EDF"/>
    <w:rsid w:val="00863F13"/>
    <w:rsid w:val="00863F8D"/>
    <w:rsid w:val="00863FA2"/>
    <w:rsid w:val="0086402D"/>
    <w:rsid w:val="00864072"/>
    <w:rsid w:val="0086414E"/>
    <w:rsid w:val="0086454C"/>
    <w:rsid w:val="008645B2"/>
    <w:rsid w:val="008645D7"/>
    <w:rsid w:val="0086484B"/>
    <w:rsid w:val="00864BDE"/>
    <w:rsid w:val="00864DF3"/>
    <w:rsid w:val="00864DF5"/>
    <w:rsid w:val="0086516C"/>
    <w:rsid w:val="008652CA"/>
    <w:rsid w:val="008652CE"/>
    <w:rsid w:val="008653B3"/>
    <w:rsid w:val="0086541A"/>
    <w:rsid w:val="008658AA"/>
    <w:rsid w:val="008658B0"/>
    <w:rsid w:val="00865AF6"/>
    <w:rsid w:val="00865E72"/>
    <w:rsid w:val="0086620E"/>
    <w:rsid w:val="0086647A"/>
    <w:rsid w:val="0086649E"/>
    <w:rsid w:val="008664BC"/>
    <w:rsid w:val="008668DD"/>
    <w:rsid w:val="00866AC7"/>
    <w:rsid w:val="00866AF8"/>
    <w:rsid w:val="00866B90"/>
    <w:rsid w:val="00866DB0"/>
    <w:rsid w:val="00866DFB"/>
    <w:rsid w:val="0086706B"/>
    <w:rsid w:val="0086738E"/>
    <w:rsid w:val="008673EF"/>
    <w:rsid w:val="00867702"/>
    <w:rsid w:val="0086779D"/>
    <w:rsid w:val="00867907"/>
    <w:rsid w:val="00867994"/>
    <w:rsid w:val="008679DA"/>
    <w:rsid w:val="00867A20"/>
    <w:rsid w:val="00867C8A"/>
    <w:rsid w:val="00867D9D"/>
    <w:rsid w:val="00867EEB"/>
    <w:rsid w:val="00867F0B"/>
    <w:rsid w:val="008700C0"/>
    <w:rsid w:val="00870173"/>
    <w:rsid w:val="008701F8"/>
    <w:rsid w:val="008702B8"/>
    <w:rsid w:val="00870522"/>
    <w:rsid w:val="00870547"/>
    <w:rsid w:val="008706BE"/>
    <w:rsid w:val="00870781"/>
    <w:rsid w:val="00870DAA"/>
    <w:rsid w:val="00870EBF"/>
    <w:rsid w:val="0087136F"/>
    <w:rsid w:val="00871515"/>
    <w:rsid w:val="008715E9"/>
    <w:rsid w:val="00871628"/>
    <w:rsid w:val="0087165B"/>
    <w:rsid w:val="00871674"/>
    <w:rsid w:val="008716C5"/>
    <w:rsid w:val="00871A24"/>
    <w:rsid w:val="00871C21"/>
    <w:rsid w:val="00871E62"/>
    <w:rsid w:val="00871E7E"/>
    <w:rsid w:val="00871EE8"/>
    <w:rsid w:val="00871F6A"/>
    <w:rsid w:val="00871F79"/>
    <w:rsid w:val="00872050"/>
    <w:rsid w:val="00872318"/>
    <w:rsid w:val="0087263D"/>
    <w:rsid w:val="008727F3"/>
    <w:rsid w:val="008729A0"/>
    <w:rsid w:val="008729B9"/>
    <w:rsid w:val="00872A9A"/>
    <w:rsid w:val="00872B32"/>
    <w:rsid w:val="00872E0A"/>
    <w:rsid w:val="00872EFD"/>
    <w:rsid w:val="00872F7E"/>
    <w:rsid w:val="00872FFB"/>
    <w:rsid w:val="008731E2"/>
    <w:rsid w:val="00873295"/>
    <w:rsid w:val="00873304"/>
    <w:rsid w:val="0087355B"/>
    <w:rsid w:val="00873594"/>
    <w:rsid w:val="008735EE"/>
    <w:rsid w:val="008736FB"/>
    <w:rsid w:val="0087390D"/>
    <w:rsid w:val="0087391E"/>
    <w:rsid w:val="00873997"/>
    <w:rsid w:val="00873AD4"/>
    <w:rsid w:val="00873BA8"/>
    <w:rsid w:val="00873E01"/>
    <w:rsid w:val="00873E1E"/>
    <w:rsid w:val="00874185"/>
    <w:rsid w:val="008741F2"/>
    <w:rsid w:val="00874307"/>
    <w:rsid w:val="00874371"/>
    <w:rsid w:val="0087455E"/>
    <w:rsid w:val="00874790"/>
    <w:rsid w:val="0087497F"/>
    <w:rsid w:val="008749AD"/>
    <w:rsid w:val="00874AF7"/>
    <w:rsid w:val="00875285"/>
    <w:rsid w:val="008753BC"/>
    <w:rsid w:val="00875438"/>
    <w:rsid w:val="008755AC"/>
    <w:rsid w:val="00875833"/>
    <w:rsid w:val="00875B47"/>
    <w:rsid w:val="00875ED2"/>
    <w:rsid w:val="00875F91"/>
    <w:rsid w:val="008761A6"/>
    <w:rsid w:val="00876262"/>
    <w:rsid w:val="008762BF"/>
    <w:rsid w:val="00876375"/>
    <w:rsid w:val="00876476"/>
    <w:rsid w:val="00876650"/>
    <w:rsid w:val="00876A10"/>
    <w:rsid w:val="00876DD4"/>
    <w:rsid w:val="00876E49"/>
    <w:rsid w:val="00876FD3"/>
    <w:rsid w:val="0087724E"/>
    <w:rsid w:val="00877571"/>
    <w:rsid w:val="0087762B"/>
    <w:rsid w:val="0087770F"/>
    <w:rsid w:val="00877757"/>
    <w:rsid w:val="008777B6"/>
    <w:rsid w:val="0087793E"/>
    <w:rsid w:val="00877A0A"/>
    <w:rsid w:val="00877C2E"/>
    <w:rsid w:val="00877C94"/>
    <w:rsid w:val="00877D78"/>
    <w:rsid w:val="00877DBF"/>
    <w:rsid w:val="00877E76"/>
    <w:rsid w:val="00877F3A"/>
    <w:rsid w:val="00880022"/>
    <w:rsid w:val="0088021A"/>
    <w:rsid w:val="00880245"/>
    <w:rsid w:val="0088049D"/>
    <w:rsid w:val="008805BA"/>
    <w:rsid w:val="008806F3"/>
    <w:rsid w:val="008809FF"/>
    <w:rsid w:val="00880B51"/>
    <w:rsid w:val="00880C84"/>
    <w:rsid w:val="00880D07"/>
    <w:rsid w:val="00880D84"/>
    <w:rsid w:val="00881076"/>
    <w:rsid w:val="008812CA"/>
    <w:rsid w:val="008813DE"/>
    <w:rsid w:val="0088143C"/>
    <w:rsid w:val="0088143E"/>
    <w:rsid w:val="00881444"/>
    <w:rsid w:val="008816FB"/>
    <w:rsid w:val="00881866"/>
    <w:rsid w:val="008818CB"/>
    <w:rsid w:val="008818D4"/>
    <w:rsid w:val="0088197C"/>
    <w:rsid w:val="00881ADB"/>
    <w:rsid w:val="00881B5E"/>
    <w:rsid w:val="00882052"/>
    <w:rsid w:val="00882235"/>
    <w:rsid w:val="0088224B"/>
    <w:rsid w:val="00882342"/>
    <w:rsid w:val="00882371"/>
    <w:rsid w:val="008825DE"/>
    <w:rsid w:val="008826C5"/>
    <w:rsid w:val="008827C9"/>
    <w:rsid w:val="008828BE"/>
    <w:rsid w:val="008828BF"/>
    <w:rsid w:val="00882958"/>
    <w:rsid w:val="00882D7D"/>
    <w:rsid w:val="00882E7E"/>
    <w:rsid w:val="00882F7F"/>
    <w:rsid w:val="00883054"/>
    <w:rsid w:val="0088320F"/>
    <w:rsid w:val="0088323A"/>
    <w:rsid w:val="00883274"/>
    <w:rsid w:val="00883343"/>
    <w:rsid w:val="0088349D"/>
    <w:rsid w:val="00883698"/>
    <w:rsid w:val="0088382D"/>
    <w:rsid w:val="00883ADD"/>
    <w:rsid w:val="00883AF7"/>
    <w:rsid w:val="00883C98"/>
    <w:rsid w:val="00883D0E"/>
    <w:rsid w:val="00883D75"/>
    <w:rsid w:val="00884147"/>
    <w:rsid w:val="008843AC"/>
    <w:rsid w:val="00884439"/>
    <w:rsid w:val="008844E6"/>
    <w:rsid w:val="00884567"/>
    <w:rsid w:val="008846D6"/>
    <w:rsid w:val="00884952"/>
    <w:rsid w:val="00884AB0"/>
    <w:rsid w:val="00884AC3"/>
    <w:rsid w:val="00884B62"/>
    <w:rsid w:val="00885160"/>
    <w:rsid w:val="00885179"/>
    <w:rsid w:val="0088529C"/>
    <w:rsid w:val="008852C1"/>
    <w:rsid w:val="008854E2"/>
    <w:rsid w:val="0088563C"/>
    <w:rsid w:val="0088570C"/>
    <w:rsid w:val="008857F3"/>
    <w:rsid w:val="008858F0"/>
    <w:rsid w:val="00885A78"/>
    <w:rsid w:val="00885CFE"/>
    <w:rsid w:val="00885DF1"/>
    <w:rsid w:val="00885F24"/>
    <w:rsid w:val="008860FB"/>
    <w:rsid w:val="0088662F"/>
    <w:rsid w:val="00886752"/>
    <w:rsid w:val="00886A4E"/>
    <w:rsid w:val="00886B80"/>
    <w:rsid w:val="00886BF3"/>
    <w:rsid w:val="00886C65"/>
    <w:rsid w:val="00886DD1"/>
    <w:rsid w:val="00886E9B"/>
    <w:rsid w:val="00886EAF"/>
    <w:rsid w:val="00886FDA"/>
    <w:rsid w:val="008872BE"/>
    <w:rsid w:val="008875D5"/>
    <w:rsid w:val="00887903"/>
    <w:rsid w:val="00887A7E"/>
    <w:rsid w:val="00887AB3"/>
    <w:rsid w:val="00887AC5"/>
    <w:rsid w:val="00887D1A"/>
    <w:rsid w:val="00887DE9"/>
    <w:rsid w:val="00887F03"/>
    <w:rsid w:val="008901D9"/>
    <w:rsid w:val="008902DF"/>
    <w:rsid w:val="00890467"/>
    <w:rsid w:val="008906F2"/>
    <w:rsid w:val="00890B16"/>
    <w:rsid w:val="00890B34"/>
    <w:rsid w:val="00890CAF"/>
    <w:rsid w:val="00890CC7"/>
    <w:rsid w:val="00890D61"/>
    <w:rsid w:val="00890D93"/>
    <w:rsid w:val="00890F53"/>
    <w:rsid w:val="0089114E"/>
    <w:rsid w:val="008911F9"/>
    <w:rsid w:val="0089121E"/>
    <w:rsid w:val="008912E3"/>
    <w:rsid w:val="00891665"/>
    <w:rsid w:val="008916F8"/>
    <w:rsid w:val="0089186E"/>
    <w:rsid w:val="0089193D"/>
    <w:rsid w:val="00891CC6"/>
    <w:rsid w:val="00891D57"/>
    <w:rsid w:val="00891DF7"/>
    <w:rsid w:val="00891E4A"/>
    <w:rsid w:val="00891EB9"/>
    <w:rsid w:val="00891F1B"/>
    <w:rsid w:val="008920D3"/>
    <w:rsid w:val="00892419"/>
    <w:rsid w:val="008924CF"/>
    <w:rsid w:val="00892581"/>
    <w:rsid w:val="0089259A"/>
    <w:rsid w:val="008926FC"/>
    <w:rsid w:val="0089270A"/>
    <w:rsid w:val="00892776"/>
    <w:rsid w:val="00892798"/>
    <w:rsid w:val="008929D0"/>
    <w:rsid w:val="00892B04"/>
    <w:rsid w:val="00892C8D"/>
    <w:rsid w:val="00892F78"/>
    <w:rsid w:val="00893053"/>
    <w:rsid w:val="00893549"/>
    <w:rsid w:val="0089362A"/>
    <w:rsid w:val="008936B3"/>
    <w:rsid w:val="0089376B"/>
    <w:rsid w:val="008939CB"/>
    <w:rsid w:val="008939D6"/>
    <w:rsid w:val="00893AF6"/>
    <w:rsid w:val="00893B6E"/>
    <w:rsid w:val="00893D09"/>
    <w:rsid w:val="00893D44"/>
    <w:rsid w:val="00893D72"/>
    <w:rsid w:val="00893D95"/>
    <w:rsid w:val="00894151"/>
    <w:rsid w:val="008941C4"/>
    <w:rsid w:val="00894259"/>
    <w:rsid w:val="00894533"/>
    <w:rsid w:val="0089462D"/>
    <w:rsid w:val="008946B7"/>
    <w:rsid w:val="00894790"/>
    <w:rsid w:val="00894AD5"/>
    <w:rsid w:val="00894BC4"/>
    <w:rsid w:val="00894C72"/>
    <w:rsid w:val="00894F9F"/>
    <w:rsid w:val="00894FA6"/>
    <w:rsid w:val="00895091"/>
    <w:rsid w:val="008950EA"/>
    <w:rsid w:val="00895156"/>
    <w:rsid w:val="00895484"/>
    <w:rsid w:val="008956BA"/>
    <w:rsid w:val="00895747"/>
    <w:rsid w:val="0089586C"/>
    <w:rsid w:val="00895CB0"/>
    <w:rsid w:val="00895E38"/>
    <w:rsid w:val="008960C1"/>
    <w:rsid w:val="00896661"/>
    <w:rsid w:val="0089667E"/>
    <w:rsid w:val="00896890"/>
    <w:rsid w:val="008968CC"/>
    <w:rsid w:val="00896B78"/>
    <w:rsid w:val="00896E90"/>
    <w:rsid w:val="00896F39"/>
    <w:rsid w:val="00897190"/>
    <w:rsid w:val="008972CE"/>
    <w:rsid w:val="00897346"/>
    <w:rsid w:val="008974EE"/>
    <w:rsid w:val="008977D1"/>
    <w:rsid w:val="00897BF0"/>
    <w:rsid w:val="00897C1B"/>
    <w:rsid w:val="00897EB1"/>
    <w:rsid w:val="008A0028"/>
    <w:rsid w:val="008A012D"/>
    <w:rsid w:val="008A03D8"/>
    <w:rsid w:val="008A09B1"/>
    <w:rsid w:val="008A09BC"/>
    <w:rsid w:val="008A0B95"/>
    <w:rsid w:val="008A0F42"/>
    <w:rsid w:val="008A0F50"/>
    <w:rsid w:val="008A1047"/>
    <w:rsid w:val="008A141D"/>
    <w:rsid w:val="008A1588"/>
    <w:rsid w:val="008A16A0"/>
    <w:rsid w:val="008A16F6"/>
    <w:rsid w:val="008A1737"/>
    <w:rsid w:val="008A1795"/>
    <w:rsid w:val="008A1905"/>
    <w:rsid w:val="008A19D3"/>
    <w:rsid w:val="008A1BE0"/>
    <w:rsid w:val="008A1C8F"/>
    <w:rsid w:val="008A1E33"/>
    <w:rsid w:val="008A1F6E"/>
    <w:rsid w:val="008A1F85"/>
    <w:rsid w:val="008A1F90"/>
    <w:rsid w:val="008A203D"/>
    <w:rsid w:val="008A25B2"/>
    <w:rsid w:val="008A26A8"/>
    <w:rsid w:val="008A28A8"/>
    <w:rsid w:val="008A28CE"/>
    <w:rsid w:val="008A29A7"/>
    <w:rsid w:val="008A2AAA"/>
    <w:rsid w:val="008A2B36"/>
    <w:rsid w:val="008A2BB9"/>
    <w:rsid w:val="008A2E05"/>
    <w:rsid w:val="008A2ECA"/>
    <w:rsid w:val="008A30DE"/>
    <w:rsid w:val="008A3227"/>
    <w:rsid w:val="008A3752"/>
    <w:rsid w:val="008A377A"/>
    <w:rsid w:val="008A37B7"/>
    <w:rsid w:val="008A3AE2"/>
    <w:rsid w:val="008A3B0D"/>
    <w:rsid w:val="008A3FD9"/>
    <w:rsid w:val="008A41C9"/>
    <w:rsid w:val="008A4215"/>
    <w:rsid w:val="008A4427"/>
    <w:rsid w:val="008A4455"/>
    <w:rsid w:val="008A4508"/>
    <w:rsid w:val="008A453A"/>
    <w:rsid w:val="008A463D"/>
    <w:rsid w:val="008A465C"/>
    <w:rsid w:val="008A4844"/>
    <w:rsid w:val="008A48DB"/>
    <w:rsid w:val="008A499B"/>
    <w:rsid w:val="008A49E2"/>
    <w:rsid w:val="008A4A32"/>
    <w:rsid w:val="008A4AF3"/>
    <w:rsid w:val="008A4AFC"/>
    <w:rsid w:val="008A4B62"/>
    <w:rsid w:val="008A4D6D"/>
    <w:rsid w:val="008A4D77"/>
    <w:rsid w:val="008A4DDA"/>
    <w:rsid w:val="008A4F52"/>
    <w:rsid w:val="008A5044"/>
    <w:rsid w:val="008A504A"/>
    <w:rsid w:val="008A5114"/>
    <w:rsid w:val="008A526B"/>
    <w:rsid w:val="008A53CC"/>
    <w:rsid w:val="008A54AC"/>
    <w:rsid w:val="008A54F4"/>
    <w:rsid w:val="008A56BF"/>
    <w:rsid w:val="008A58D9"/>
    <w:rsid w:val="008A5B32"/>
    <w:rsid w:val="008A5CFD"/>
    <w:rsid w:val="008A5E92"/>
    <w:rsid w:val="008A60BF"/>
    <w:rsid w:val="008A6477"/>
    <w:rsid w:val="008A65D8"/>
    <w:rsid w:val="008A67C1"/>
    <w:rsid w:val="008A67D3"/>
    <w:rsid w:val="008A6ADF"/>
    <w:rsid w:val="008A6C3E"/>
    <w:rsid w:val="008A6D61"/>
    <w:rsid w:val="008A6E5C"/>
    <w:rsid w:val="008A6ECF"/>
    <w:rsid w:val="008A70D8"/>
    <w:rsid w:val="008A7704"/>
    <w:rsid w:val="008A7A17"/>
    <w:rsid w:val="008A7AD5"/>
    <w:rsid w:val="008A7BBA"/>
    <w:rsid w:val="008A7DA0"/>
    <w:rsid w:val="008B0132"/>
    <w:rsid w:val="008B04CF"/>
    <w:rsid w:val="008B05E9"/>
    <w:rsid w:val="008B0629"/>
    <w:rsid w:val="008B0697"/>
    <w:rsid w:val="008B0810"/>
    <w:rsid w:val="008B112D"/>
    <w:rsid w:val="008B1411"/>
    <w:rsid w:val="008B1976"/>
    <w:rsid w:val="008B19B4"/>
    <w:rsid w:val="008B1F07"/>
    <w:rsid w:val="008B1F8D"/>
    <w:rsid w:val="008B2029"/>
    <w:rsid w:val="008B205F"/>
    <w:rsid w:val="008B23A5"/>
    <w:rsid w:val="008B287E"/>
    <w:rsid w:val="008B28F5"/>
    <w:rsid w:val="008B2969"/>
    <w:rsid w:val="008B2AF3"/>
    <w:rsid w:val="008B2EE4"/>
    <w:rsid w:val="008B36C4"/>
    <w:rsid w:val="008B3821"/>
    <w:rsid w:val="008B3917"/>
    <w:rsid w:val="008B3ADA"/>
    <w:rsid w:val="008B3CA1"/>
    <w:rsid w:val="008B3CF1"/>
    <w:rsid w:val="008B3FEC"/>
    <w:rsid w:val="008B4137"/>
    <w:rsid w:val="008B4371"/>
    <w:rsid w:val="008B45AC"/>
    <w:rsid w:val="008B45B5"/>
    <w:rsid w:val="008B472A"/>
    <w:rsid w:val="008B4892"/>
    <w:rsid w:val="008B4B1A"/>
    <w:rsid w:val="008B4C08"/>
    <w:rsid w:val="008B4C0A"/>
    <w:rsid w:val="008B4D3D"/>
    <w:rsid w:val="008B4E35"/>
    <w:rsid w:val="008B4F67"/>
    <w:rsid w:val="008B50F6"/>
    <w:rsid w:val="008B5218"/>
    <w:rsid w:val="008B52B2"/>
    <w:rsid w:val="008B53E1"/>
    <w:rsid w:val="008B5503"/>
    <w:rsid w:val="008B5516"/>
    <w:rsid w:val="008B5581"/>
    <w:rsid w:val="008B568F"/>
    <w:rsid w:val="008B57C7"/>
    <w:rsid w:val="008B57FF"/>
    <w:rsid w:val="008B5BDC"/>
    <w:rsid w:val="008B5E4A"/>
    <w:rsid w:val="008B5E73"/>
    <w:rsid w:val="008B5EDF"/>
    <w:rsid w:val="008B5FD5"/>
    <w:rsid w:val="008B6019"/>
    <w:rsid w:val="008B612C"/>
    <w:rsid w:val="008B6176"/>
    <w:rsid w:val="008B633B"/>
    <w:rsid w:val="008B65A3"/>
    <w:rsid w:val="008B660A"/>
    <w:rsid w:val="008B66DC"/>
    <w:rsid w:val="008B6AF7"/>
    <w:rsid w:val="008B6D2B"/>
    <w:rsid w:val="008B6D66"/>
    <w:rsid w:val="008B7005"/>
    <w:rsid w:val="008B71B7"/>
    <w:rsid w:val="008B74C8"/>
    <w:rsid w:val="008B7610"/>
    <w:rsid w:val="008B7711"/>
    <w:rsid w:val="008B7941"/>
    <w:rsid w:val="008B7E74"/>
    <w:rsid w:val="008B7FC8"/>
    <w:rsid w:val="008C0053"/>
    <w:rsid w:val="008C0079"/>
    <w:rsid w:val="008C0262"/>
    <w:rsid w:val="008C02EE"/>
    <w:rsid w:val="008C04EC"/>
    <w:rsid w:val="008C051B"/>
    <w:rsid w:val="008C075E"/>
    <w:rsid w:val="008C0823"/>
    <w:rsid w:val="008C0B04"/>
    <w:rsid w:val="008C0B2E"/>
    <w:rsid w:val="008C0F76"/>
    <w:rsid w:val="008C0F7E"/>
    <w:rsid w:val="008C10E6"/>
    <w:rsid w:val="008C11BB"/>
    <w:rsid w:val="008C1676"/>
    <w:rsid w:val="008C1696"/>
    <w:rsid w:val="008C1828"/>
    <w:rsid w:val="008C185F"/>
    <w:rsid w:val="008C18CA"/>
    <w:rsid w:val="008C1924"/>
    <w:rsid w:val="008C1A93"/>
    <w:rsid w:val="008C1B86"/>
    <w:rsid w:val="008C1C5E"/>
    <w:rsid w:val="008C1F4A"/>
    <w:rsid w:val="008C1F57"/>
    <w:rsid w:val="008C227C"/>
    <w:rsid w:val="008C266A"/>
    <w:rsid w:val="008C2821"/>
    <w:rsid w:val="008C2B4F"/>
    <w:rsid w:val="008C2DFE"/>
    <w:rsid w:val="008C2EBF"/>
    <w:rsid w:val="008C2EE6"/>
    <w:rsid w:val="008C2F92"/>
    <w:rsid w:val="008C301D"/>
    <w:rsid w:val="008C307B"/>
    <w:rsid w:val="008C3546"/>
    <w:rsid w:val="008C36E4"/>
    <w:rsid w:val="008C3941"/>
    <w:rsid w:val="008C3967"/>
    <w:rsid w:val="008C3D76"/>
    <w:rsid w:val="008C3DA0"/>
    <w:rsid w:val="008C3FE2"/>
    <w:rsid w:val="008C4072"/>
    <w:rsid w:val="008C42E1"/>
    <w:rsid w:val="008C43E0"/>
    <w:rsid w:val="008C4560"/>
    <w:rsid w:val="008C45CA"/>
    <w:rsid w:val="008C4647"/>
    <w:rsid w:val="008C4BC9"/>
    <w:rsid w:val="008C4CE6"/>
    <w:rsid w:val="008C4EC7"/>
    <w:rsid w:val="008C4FF9"/>
    <w:rsid w:val="008C5589"/>
    <w:rsid w:val="008C569F"/>
    <w:rsid w:val="008C589D"/>
    <w:rsid w:val="008C5AA6"/>
    <w:rsid w:val="008C5AB1"/>
    <w:rsid w:val="008C5CCA"/>
    <w:rsid w:val="008C5EDE"/>
    <w:rsid w:val="008C634A"/>
    <w:rsid w:val="008C639A"/>
    <w:rsid w:val="008C63BE"/>
    <w:rsid w:val="008C6A4A"/>
    <w:rsid w:val="008C6B2E"/>
    <w:rsid w:val="008C6B65"/>
    <w:rsid w:val="008C6C75"/>
    <w:rsid w:val="008C6D51"/>
    <w:rsid w:val="008C6D55"/>
    <w:rsid w:val="008C6EFF"/>
    <w:rsid w:val="008C7107"/>
    <w:rsid w:val="008C72B9"/>
    <w:rsid w:val="008C7397"/>
    <w:rsid w:val="008C7447"/>
    <w:rsid w:val="008C7713"/>
    <w:rsid w:val="008C773A"/>
    <w:rsid w:val="008C7919"/>
    <w:rsid w:val="008C7CF9"/>
    <w:rsid w:val="008C7DA4"/>
    <w:rsid w:val="008C7F9B"/>
    <w:rsid w:val="008D04DC"/>
    <w:rsid w:val="008D05B5"/>
    <w:rsid w:val="008D06F2"/>
    <w:rsid w:val="008D0708"/>
    <w:rsid w:val="008D0940"/>
    <w:rsid w:val="008D0AA1"/>
    <w:rsid w:val="008D0AF3"/>
    <w:rsid w:val="008D0C48"/>
    <w:rsid w:val="008D0D3A"/>
    <w:rsid w:val="008D0DC9"/>
    <w:rsid w:val="008D0DDD"/>
    <w:rsid w:val="008D1029"/>
    <w:rsid w:val="008D11B8"/>
    <w:rsid w:val="008D152D"/>
    <w:rsid w:val="008D1744"/>
    <w:rsid w:val="008D17DE"/>
    <w:rsid w:val="008D1920"/>
    <w:rsid w:val="008D1B7B"/>
    <w:rsid w:val="008D1B88"/>
    <w:rsid w:val="008D1F6E"/>
    <w:rsid w:val="008D1F85"/>
    <w:rsid w:val="008D2169"/>
    <w:rsid w:val="008D21C3"/>
    <w:rsid w:val="008D22A1"/>
    <w:rsid w:val="008D2461"/>
    <w:rsid w:val="008D2663"/>
    <w:rsid w:val="008D2668"/>
    <w:rsid w:val="008D2846"/>
    <w:rsid w:val="008D2B25"/>
    <w:rsid w:val="008D2B5E"/>
    <w:rsid w:val="008D2C59"/>
    <w:rsid w:val="008D2E89"/>
    <w:rsid w:val="008D2F12"/>
    <w:rsid w:val="008D301B"/>
    <w:rsid w:val="008D3029"/>
    <w:rsid w:val="008D3156"/>
    <w:rsid w:val="008D3192"/>
    <w:rsid w:val="008D3212"/>
    <w:rsid w:val="008D3456"/>
    <w:rsid w:val="008D34A4"/>
    <w:rsid w:val="008D351E"/>
    <w:rsid w:val="008D3744"/>
    <w:rsid w:val="008D3795"/>
    <w:rsid w:val="008D37B0"/>
    <w:rsid w:val="008D387A"/>
    <w:rsid w:val="008D3AC9"/>
    <w:rsid w:val="008D3AFC"/>
    <w:rsid w:val="008D3BDB"/>
    <w:rsid w:val="008D3BEE"/>
    <w:rsid w:val="008D3C5B"/>
    <w:rsid w:val="008D3E48"/>
    <w:rsid w:val="008D3FAC"/>
    <w:rsid w:val="008D4053"/>
    <w:rsid w:val="008D40C7"/>
    <w:rsid w:val="008D40D0"/>
    <w:rsid w:val="008D414A"/>
    <w:rsid w:val="008D41A5"/>
    <w:rsid w:val="008D4236"/>
    <w:rsid w:val="008D44DD"/>
    <w:rsid w:val="008D4550"/>
    <w:rsid w:val="008D462F"/>
    <w:rsid w:val="008D463B"/>
    <w:rsid w:val="008D46CF"/>
    <w:rsid w:val="008D4867"/>
    <w:rsid w:val="008D4A2B"/>
    <w:rsid w:val="008D4A6C"/>
    <w:rsid w:val="008D4ABA"/>
    <w:rsid w:val="008D4D83"/>
    <w:rsid w:val="008D4F15"/>
    <w:rsid w:val="008D4F3A"/>
    <w:rsid w:val="008D515B"/>
    <w:rsid w:val="008D51BA"/>
    <w:rsid w:val="008D5346"/>
    <w:rsid w:val="008D53D1"/>
    <w:rsid w:val="008D548F"/>
    <w:rsid w:val="008D5491"/>
    <w:rsid w:val="008D549B"/>
    <w:rsid w:val="008D551C"/>
    <w:rsid w:val="008D55FE"/>
    <w:rsid w:val="008D5849"/>
    <w:rsid w:val="008D5D19"/>
    <w:rsid w:val="008D5E19"/>
    <w:rsid w:val="008D5EE1"/>
    <w:rsid w:val="008D5FAB"/>
    <w:rsid w:val="008D6356"/>
    <w:rsid w:val="008D636A"/>
    <w:rsid w:val="008D63D8"/>
    <w:rsid w:val="008D6525"/>
    <w:rsid w:val="008D6544"/>
    <w:rsid w:val="008D678F"/>
    <w:rsid w:val="008D67BD"/>
    <w:rsid w:val="008D689A"/>
    <w:rsid w:val="008D68EB"/>
    <w:rsid w:val="008D694D"/>
    <w:rsid w:val="008D6C65"/>
    <w:rsid w:val="008D6D0F"/>
    <w:rsid w:val="008D6DCF"/>
    <w:rsid w:val="008D6DEF"/>
    <w:rsid w:val="008D6E45"/>
    <w:rsid w:val="008D6FA2"/>
    <w:rsid w:val="008D6FE5"/>
    <w:rsid w:val="008D716A"/>
    <w:rsid w:val="008D71A1"/>
    <w:rsid w:val="008D7269"/>
    <w:rsid w:val="008D72DC"/>
    <w:rsid w:val="008D782C"/>
    <w:rsid w:val="008D783D"/>
    <w:rsid w:val="008D7919"/>
    <w:rsid w:val="008D79F4"/>
    <w:rsid w:val="008D7A12"/>
    <w:rsid w:val="008D7B58"/>
    <w:rsid w:val="008D7D71"/>
    <w:rsid w:val="008D7D80"/>
    <w:rsid w:val="008D7D9E"/>
    <w:rsid w:val="008D7E7F"/>
    <w:rsid w:val="008E02D5"/>
    <w:rsid w:val="008E0501"/>
    <w:rsid w:val="008E061F"/>
    <w:rsid w:val="008E0737"/>
    <w:rsid w:val="008E078B"/>
    <w:rsid w:val="008E07F1"/>
    <w:rsid w:val="008E0AFF"/>
    <w:rsid w:val="008E0B3E"/>
    <w:rsid w:val="008E1034"/>
    <w:rsid w:val="008E116C"/>
    <w:rsid w:val="008E11E7"/>
    <w:rsid w:val="008E1308"/>
    <w:rsid w:val="008E1655"/>
    <w:rsid w:val="008E1B31"/>
    <w:rsid w:val="008E1DB4"/>
    <w:rsid w:val="008E2065"/>
    <w:rsid w:val="008E20E7"/>
    <w:rsid w:val="008E21FA"/>
    <w:rsid w:val="008E2298"/>
    <w:rsid w:val="008E22E0"/>
    <w:rsid w:val="008E23EF"/>
    <w:rsid w:val="008E2545"/>
    <w:rsid w:val="008E26EA"/>
    <w:rsid w:val="008E2A35"/>
    <w:rsid w:val="008E2DE3"/>
    <w:rsid w:val="008E2ED2"/>
    <w:rsid w:val="008E3153"/>
    <w:rsid w:val="008E3318"/>
    <w:rsid w:val="008E3376"/>
    <w:rsid w:val="008E34E8"/>
    <w:rsid w:val="008E3620"/>
    <w:rsid w:val="008E363A"/>
    <w:rsid w:val="008E363C"/>
    <w:rsid w:val="008E36B8"/>
    <w:rsid w:val="008E37A8"/>
    <w:rsid w:val="008E384F"/>
    <w:rsid w:val="008E3974"/>
    <w:rsid w:val="008E3B04"/>
    <w:rsid w:val="008E3B32"/>
    <w:rsid w:val="008E3C18"/>
    <w:rsid w:val="008E3CB7"/>
    <w:rsid w:val="008E3D1A"/>
    <w:rsid w:val="008E3E4E"/>
    <w:rsid w:val="008E3F96"/>
    <w:rsid w:val="008E4234"/>
    <w:rsid w:val="008E428B"/>
    <w:rsid w:val="008E4376"/>
    <w:rsid w:val="008E45C5"/>
    <w:rsid w:val="008E4602"/>
    <w:rsid w:val="008E473A"/>
    <w:rsid w:val="008E478C"/>
    <w:rsid w:val="008E4876"/>
    <w:rsid w:val="008E48CC"/>
    <w:rsid w:val="008E49DC"/>
    <w:rsid w:val="008E4A91"/>
    <w:rsid w:val="008E4ABD"/>
    <w:rsid w:val="008E4C82"/>
    <w:rsid w:val="008E4CFF"/>
    <w:rsid w:val="008E4E95"/>
    <w:rsid w:val="008E505D"/>
    <w:rsid w:val="008E5129"/>
    <w:rsid w:val="008E529B"/>
    <w:rsid w:val="008E5403"/>
    <w:rsid w:val="008E54B9"/>
    <w:rsid w:val="008E570E"/>
    <w:rsid w:val="008E5944"/>
    <w:rsid w:val="008E63D6"/>
    <w:rsid w:val="008E64E8"/>
    <w:rsid w:val="008E65AB"/>
    <w:rsid w:val="008E67C0"/>
    <w:rsid w:val="008E683A"/>
    <w:rsid w:val="008E69C7"/>
    <w:rsid w:val="008E69F5"/>
    <w:rsid w:val="008E6C1E"/>
    <w:rsid w:val="008E6FB1"/>
    <w:rsid w:val="008E7176"/>
    <w:rsid w:val="008E71F4"/>
    <w:rsid w:val="008E72E7"/>
    <w:rsid w:val="008E73AA"/>
    <w:rsid w:val="008E74A4"/>
    <w:rsid w:val="008E76EA"/>
    <w:rsid w:val="008E77CF"/>
    <w:rsid w:val="008E77E4"/>
    <w:rsid w:val="008E7811"/>
    <w:rsid w:val="008E7942"/>
    <w:rsid w:val="008E7A0A"/>
    <w:rsid w:val="008E7AB4"/>
    <w:rsid w:val="008E7B49"/>
    <w:rsid w:val="008E7B67"/>
    <w:rsid w:val="008E7CB2"/>
    <w:rsid w:val="008E7F1F"/>
    <w:rsid w:val="008F018B"/>
    <w:rsid w:val="008F0617"/>
    <w:rsid w:val="008F0661"/>
    <w:rsid w:val="008F0717"/>
    <w:rsid w:val="008F0737"/>
    <w:rsid w:val="008F0841"/>
    <w:rsid w:val="008F08B7"/>
    <w:rsid w:val="008F0999"/>
    <w:rsid w:val="008F09B9"/>
    <w:rsid w:val="008F0B37"/>
    <w:rsid w:val="008F0B86"/>
    <w:rsid w:val="008F0BCD"/>
    <w:rsid w:val="008F0CFF"/>
    <w:rsid w:val="008F1096"/>
    <w:rsid w:val="008F10D4"/>
    <w:rsid w:val="008F1154"/>
    <w:rsid w:val="008F1206"/>
    <w:rsid w:val="008F136B"/>
    <w:rsid w:val="008F158E"/>
    <w:rsid w:val="008F169E"/>
    <w:rsid w:val="008F1730"/>
    <w:rsid w:val="008F1856"/>
    <w:rsid w:val="008F1A1C"/>
    <w:rsid w:val="008F1A9A"/>
    <w:rsid w:val="008F1B5F"/>
    <w:rsid w:val="008F1C65"/>
    <w:rsid w:val="008F2154"/>
    <w:rsid w:val="008F22DE"/>
    <w:rsid w:val="008F22E6"/>
    <w:rsid w:val="008F23FC"/>
    <w:rsid w:val="008F2534"/>
    <w:rsid w:val="008F2811"/>
    <w:rsid w:val="008F2D88"/>
    <w:rsid w:val="008F2E4C"/>
    <w:rsid w:val="008F2ED4"/>
    <w:rsid w:val="008F31EA"/>
    <w:rsid w:val="008F3326"/>
    <w:rsid w:val="008F33B5"/>
    <w:rsid w:val="008F3407"/>
    <w:rsid w:val="008F3555"/>
    <w:rsid w:val="008F3856"/>
    <w:rsid w:val="008F3A93"/>
    <w:rsid w:val="008F3C46"/>
    <w:rsid w:val="008F4226"/>
    <w:rsid w:val="008F487F"/>
    <w:rsid w:val="008F4B3C"/>
    <w:rsid w:val="008F4D26"/>
    <w:rsid w:val="008F5705"/>
    <w:rsid w:val="008F58A6"/>
    <w:rsid w:val="008F59F6"/>
    <w:rsid w:val="008F5E08"/>
    <w:rsid w:val="008F5EBC"/>
    <w:rsid w:val="008F5FEA"/>
    <w:rsid w:val="008F6029"/>
    <w:rsid w:val="008F607A"/>
    <w:rsid w:val="008F6103"/>
    <w:rsid w:val="008F61C8"/>
    <w:rsid w:val="008F6316"/>
    <w:rsid w:val="008F634E"/>
    <w:rsid w:val="008F637B"/>
    <w:rsid w:val="008F68AC"/>
    <w:rsid w:val="008F68D3"/>
    <w:rsid w:val="008F6A97"/>
    <w:rsid w:val="008F6D18"/>
    <w:rsid w:val="008F6DA4"/>
    <w:rsid w:val="008F7236"/>
    <w:rsid w:val="008F734D"/>
    <w:rsid w:val="008F73E1"/>
    <w:rsid w:val="008F73E8"/>
    <w:rsid w:val="008F7567"/>
    <w:rsid w:val="008F757C"/>
    <w:rsid w:val="008F75DF"/>
    <w:rsid w:val="008F7677"/>
    <w:rsid w:val="008F7690"/>
    <w:rsid w:val="008F76C2"/>
    <w:rsid w:val="008F7729"/>
    <w:rsid w:val="008F77A7"/>
    <w:rsid w:val="008F7916"/>
    <w:rsid w:val="008F7A41"/>
    <w:rsid w:val="008F7AF5"/>
    <w:rsid w:val="008F7B0C"/>
    <w:rsid w:val="008F7BF4"/>
    <w:rsid w:val="008F7DE1"/>
    <w:rsid w:val="008F7F04"/>
    <w:rsid w:val="0090004F"/>
    <w:rsid w:val="009000A5"/>
    <w:rsid w:val="00900253"/>
    <w:rsid w:val="0090029B"/>
    <w:rsid w:val="00900719"/>
    <w:rsid w:val="00900C43"/>
    <w:rsid w:val="00900D31"/>
    <w:rsid w:val="00900E97"/>
    <w:rsid w:val="00900F7E"/>
    <w:rsid w:val="0090132C"/>
    <w:rsid w:val="009013EF"/>
    <w:rsid w:val="00901458"/>
    <w:rsid w:val="00901605"/>
    <w:rsid w:val="00901771"/>
    <w:rsid w:val="009017AC"/>
    <w:rsid w:val="009017D1"/>
    <w:rsid w:val="0090198F"/>
    <w:rsid w:val="00901C4F"/>
    <w:rsid w:val="00902091"/>
    <w:rsid w:val="0090223E"/>
    <w:rsid w:val="0090239C"/>
    <w:rsid w:val="009024FE"/>
    <w:rsid w:val="009025E6"/>
    <w:rsid w:val="009027DE"/>
    <w:rsid w:val="009028BB"/>
    <w:rsid w:val="00902A9A"/>
    <w:rsid w:val="00902C8B"/>
    <w:rsid w:val="00902CED"/>
    <w:rsid w:val="00902D50"/>
    <w:rsid w:val="00902D64"/>
    <w:rsid w:val="00902F08"/>
    <w:rsid w:val="0090323B"/>
    <w:rsid w:val="009034E7"/>
    <w:rsid w:val="0090353B"/>
    <w:rsid w:val="009037E9"/>
    <w:rsid w:val="00903809"/>
    <w:rsid w:val="009038CE"/>
    <w:rsid w:val="00903905"/>
    <w:rsid w:val="0090396C"/>
    <w:rsid w:val="009039CD"/>
    <w:rsid w:val="00903BCA"/>
    <w:rsid w:val="00904501"/>
    <w:rsid w:val="00904864"/>
    <w:rsid w:val="0090488B"/>
    <w:rsid w:val="00904A1C"/>
    <w:rsid w:val="00904BC1"/>
    <w:rsid w:val="00904D9E"/>
    <w:rsid w:val="00905030"/>
    <w:rsid w:val="0090511A"/>
    <w:rsid w:val="0090593F"/>
    <w:rsid w:val="00905C83"/>
    <w:rsid w:val="00905CF9"/>
    <w:rsid w:val="00905DC7"/>
    <w:rsid w:val="00906281"/>
    <w:rsid w:val="00906332"/>
    <w:rsid w:val="0090634E"/>
    <w:rsid w:val="00906490"/>
    <w:rsid w:val="009064E8"/>
    <w:rsid w:val="00906619"/>
    <w:rsid w:val="0090666B"/>
    <w:rsid w:val="00906883"/>
    <w:rsid w:val="00906923"/>
    <w:rsid w:val="00906926"/>
    <w:rsid w:val="00906987"/>
    <w:rsid w:val="00906A1D"/>
    <w:rsid w:val="00906A2D"/>
    <w:rsid w:val="00906B6B"/>
    <w:rsid w:val="00906C21"/>
    <w:rsid w:val="00906E05"/>
    <w:rsid w:val="00906F75"/>
    <w:rsid w:val="009071BE"/>
    <w:rsid w:val="0090722C"/>
    <w:rsid w:val="00907346"/>
    <w:rsid w:val="0090739A"/>
    <w:rsid w:val="00907471"/>
    <w:rsid w:val="00907567"/>
    <w:rsid w:val="00907662"/>
    <w:rsid w:val="009076C1"/>
    <w:rsid w:val="009077A1"/>
    <w:rsid w:val="00907800"/>
    <w:rsid w:val="009078DA"/>
    <w:rsid w:val="0090790F"/>
    <w:rsid w:val="00907949"/>
    <w:rsid w:val="0090794F"/>
    <w:rsid w:val="00907952"/>
    <w:rsid w:val="0090798C"/>
    <w:rsid w:val="00907B75"/>
    <w:rsid w:val="0091002D"/>
    <w:rsid w:val="0091004F"/>
    <w:rsid w:val="0091011F"/>
    <w:rsid w:val="00910498"/>
    <w:rsid w:val="009105D7"/>
    <w:rsid w:val="009107A3"/>
    <w:rsid w:val="009109BC"/>
    <w:rsid w:val="009109E8"/>
    <w:rsid w:val="00910D68"/>
    <w:rsid w:val="00910DAA"/>
    <w:rsid w:val="00910EA3"/>
    <w:rsid w:val="00910EB8"/>
    <w:rsid w:val="00910FD7"/>
    <w:rsid w:val="00911085"/>
    <w:rsid w:val="009111B2"/>
    <w:rsid w:val="009111C6"/>
    <w:rsid w:val="0091125F"/>
    <w:rsid w:val="009112E0"/>
    <w:rsid w:val="00911838"/>
    <w:rsid w:val="0091183B"/>
    <w:rsid w:val="00911B9C"/>
    <w:rsid w:val="00911CB0"/>
    <w:rsid w:val="00911E50"/>
    <w:rsid w:val="00911FA7"/>
    <w:rsid w:val="0091200A"/>
    <w:rsid w:val="009120D2"/>
    <w:rsid w:val="009121FC"/>
    <w:rsid w:val="0091225C"/>
    <w:rsid w:val="0091251C"/>
    <w:rsid w:val="0091253F"/>
    <w:rsid w:val="009126B3"/>
    <w:rsid w:val="00912974"/>
    <w:rsid w:val="009129F4"/>
    <w:rsid w:val="00912AF6"/>
    <w:rsid w:val="00912AFB"/>
    <w:rsid w:val="00912B40"/>
    <w:rsid w:val="00912BBC"/>
    <w:rsid w:val="00912CBB"/>
    <w:rsid w:val="00912D0B"/>
    <w:rsid w:val="00912D82"/>
    <w:rsid w:val="00912E00"/>
    <w:rsid w:val="00912F48"/>
    <w:rsid w:val="009131CF"/>
    <w:rsid w:val="0091325E"/>
    <w:rsid w:val="0091349F"/>
    <w:rsid w:val="0091352C"/>
    <w:rsid w:val="009135D8"/>
    <w:rsid w:val="00913811"/>
    <w:rsid w:val="00913948"/>
    <w:rsid w:val="00913A2F"/>
    <w:rsid w:val="00913A49"/>
    <w:rsid w:val="00913C4A"/>
    <w:rsid w:val="00913DBA"/>
    <w:rsid w:val="00913E95"/>
    <w:rsid w:val="00913FBD"/>
    <w:rsid w:val="00914035"/>
    <w:rsid w:val="0091424E"/>
    <w:rsid w:val="00914298"/>
    <w:rsid w:val="00914332"/>
    <w:rsid w:val="00914395"/>
    <w:rsid w:val="009144D6"/>
    <w:rsid w:val="00914852"/>
    <w:rsid w:val="00914954"/>
    <w:rsid w:val="00914A92"/>
    <w:rsid w:val="00914F6E"/>
    <w:rsid w:val="00914FEE"/>
    <w:rsid w:val="0091503F"/>
    <w:rsid w:val="0091515F"/>
    <w:rsid w:val="009151F5"/>
    <w:rsid w:val="009152C4"/>
    <w:rsid w:val="009153F0"/>
    <w:rsid w:val="009155EB"/>
    <w:rsid w:val="00915832"/>
    <w:rsid w:val="00915919"/>
    <w:rsid w:val="00915A78"/>
    <w:rsid w:val="00915A90"/>
    <w:rsid w:val="00915D7E"/>
    <w:rsid w:val="00915E59"/>
    <w:rsid w:val="00915F60"/>
    <w:rsid w:val="009162DF"/>
    <w:rsid w:val="00916606"/>
    <w:rsid w:val="009167CD"/>
    <w:rsid w:val="00916916"/>
    <w:rsid w:val="00916B86"/>
    <w:rsid w:val="00916C97"/>
    <w:rsid w:val="00916F2D"/>
    <w:rsid w:val="00916FF7"/>
    <w:rsid w:val="0091723A"/>
    <w:rsid w:val="0091742B"/>
    <w:rsid w:val="009177BB"/>
    <w:rsid w:val="009177C4"/>
    <w:rsid w:val="00917815"/>
    <w:rsid w:val="009178FF"/>
    <w:rsid w:val="00917A8A"/>
    <w:rsid w:val="00917AE1"/>
    <w:rsid w:val="00917FD3"/>
    <w:rsid w:val="009201FD"/>
    <w:rsid w:val="00920267"/>
    <w:rsid w:val="00920342"/>
    <w:rsid w:val="00920515"/>
    <w:rsid w:val="00920679"/>
    <w:rsid w:val="009206A6"/>
    <w:rsid w:val="00920805"/>
    <w:rsid w:val="009208D1"/>
    <w:rsid w:val="00920AF5"/>
    <w:rsid w:val="00920B44"/>
    <w:rsid w:val="00920DBF"/>
    <w:rsid w:val="00920E6B"/>
    <w:rsid w:val="00920FB0"/>
    <w:rsid w:val="009210B5"/>
    <w:rsid w:val="00921578"/>
    <w:rsid w:val="009217E1"/>
    <w:rsid w:val="00921873"/>
    <w:rsid w:val="009218EE"/>
    <w:rsid w:val="00921B9E"/>
    <w:rsid w:val="00921BD8"/>
    <w:rsid w:val="00921E29"/>
    <w:rsid w:val="00921EEB"/>
    <w:rsid w:val="0092202E"/>
    <w:rsid w:val="009220D6"/>
    <w:rsid w:val="009220FC"/>
    <w:rsid w:val="009223F3"/>
    <w:rsid w:val="00922579"/>
    <w:rsid w:val="00922638"/>
    <w:rsid w:val="00922777"/>
    <w:rsid w:val="00922994"/>
    <w:rsid w:val="00922B06"/>
    <w:rsid w:val="00922BDA"/>
    <w:rsid w:val="00922E9F"/>
    <w:rsid w:val="00922F68"/>
    <w:rsid w:val="00922FFE"/>
    <w:rsid w:val="009230B3"/>
    <w:rsid w:val="009230CE"/>
    <w:rsid w:val="0092320A"/>
    <w:rsid w:val="009233BB"/>
    <w:rsid w:val="00923480"/>
    <w:rsid w:val="0092348E"/>
    <w:rsid w:val="0092349F"/>
    <w:rsid w:val="00923830"/>
    <w:rsid w:val="009238D9"/>
    <w:rsid w:val="00923B23"/>
    <w:rsid w:val="00923B4D"/>
    <w:rsid w:val="00923C4B"/>
    <w:rsid w:val="00923DDB"/>
    <w:rsid w:val="00923EFF"/>
    <w:rsid w:val="009240CD"/>
    <w:rsid w:val="009241F5"/>
    <w:rsid w:val="0092453C"/>
    <w:rsid w:val="0092476A"/>
    <w:rsid w:val="00924830"/>
    <w:rsid w:val="00924936"/>
    <w:rsid w:val="009249C0"/>
    <w:rsid w:val="00924AE1"/>
    <w:rsid w:val="00924EE4"/>
    <w:rsid w:val="00924F45"/>
    <w:rsid w:val="00925148"/>
    <w:rsid w:val="009251B1"/>
    <w:rsid w:val="00925596"/>
    <w:rsid w:val="009255D0"/>
    <w:rsid w:val="009255FD"/>
    <w:rsid w:val="00925686"/>
    <w:rsid w:val="0092570E"/>
    <w:rsid w:val="00925884"/>
    <w:rsid w:val="009258B6"/>
    <w:rsid w:val="009259E8"/>
    <w:rsid w:val="00925A5F"/>
    <w:rsid w:val="00925B38"/>
    <w:rsid w:val="00925B76"/>
    <w:rsid w:val="00925BFB"/>
    <w:rsid w:val="00925D1F"/>
    <w:rsid w:val="00925E3A"/>
    <w:rsid w:val="00925E7F"/>
    <w:rsid w:val="0092600C"/>
    <w:rsid w:val="00926088"/>
    <w:rsid w:val="00926428"/>
    <w:rsid w:val="009264D2"/>
    <w:rsid w:val="009264F0"/>
    <w:rsid w:val="00926576"/>
    <w:rsid w:val="00926799"/>
    <w:rsid w:val="00926857"/>
    <w:rsid w:val="009269B1"/>
    <w:rsid w:val="00926AEA"/>
    <w:rsid w:val="00926C76"/>
    <w:rsid w:val="00926CE0"/>
    <w:rsid w:val="00926F54"/>
    <w:rsid w:val="00927099"/>
    <w:rsid w:val="009270CC"/>
    <w:rsid w:val="00927112"/>
    <w:rsid w:val="009271E2"/>
    <w:rsid w:val="0092722B"/>
    <w:rsid w:val="0092724D"/>
    <w:rsid w:val="00927276"/>
    <w:rsid w:val="009272B3"/>
    <w:rsid w:val="009272D5"/>
    <w:rsid w:val="009272FA"/>
    <w:rsid w:val="0092763B"/>
    <w:rsid w:val="00927CED"/>
    <w:rsid w:val="00927F12"/>
    <w:rsid w:val="00930075"/>
    <w:rsid w:val="009301A4"/>
    <w:rsid w:val="00930397"/>
    <w:rsid w:val="00930683"/>
    <w:rsid w:val="00930787"/>
    <w:rsid w:val="009309BB"/>
    <w:rsid w:val="009309E6"/>
    <w:rsid w:val="00930AFC"/>
    <w:rsid w:val="00930BB4"/>
    <w:rsid w:val="00930C28"/>
    <w:rsid w:val="00930CF0"/>
    <w:rsid w:val="00930E5B"/>
    <w:rsid w:val="00930E77"/>
    <w:rsid w:val="00930EC3"/>
    <w:rsid w:val="009312BB"/>
    <w:rsid w:val="009312DA"/>
    <w:rsid w:val="009315BE"/>
    <w:rsid w:val="00931684"/>
    <w:rsid w:val="009319B9"/>
    <w:rsid w:val="00931A32"/>
    <w:rsid w:val="00931B6D"/>
    <w:rsid w:val="00931BA0"/>
    <w:rsid w:val="00931C02"/>
    <w:rsid w:val="009321E0"/>
    <w:rsid w:val="009322B1"/>
    <w:rsid w:val="009322D1"/>
    <w:rsid w:val="00932484"/>
    <w:rsid w:val="009326DD"/>
    <w:rsid w:val="00932A00"/>
    <w:rsid w:val="00932B98"/>
    <w:rsid w:val="00932D34"/>
    <w:rsid w:val="00932F29"/>
    <w:rsid w:val="00932F2E"/>
    <w:rsid w:val="00933220"/>
    <w:rsid w:val="0093338F"/>
    <w:rsid w:val="009333EF"/>
    <w:rsid w:val="009335D1"/>
    <w:rsid w:val="009335ED"/>
    <w:rsid w:val="0093367D"/>
    <w:rsid w:val="00933DD8"/>
    <w:rsid w:val="00933F90"/>
    <w:rsid w:val="00934128"/>
    <w:rsid w:val="00934286"/>
    <w:rsid w:val="0093428C"/>
    <w:rsid w:val="00934365"/>
    <w:rsid w:val="0093466C"/>
    <w:rsid w:val="009346CA"/>
    <w:rsid w:val="00934862"/>
    <w:rsid w:val="009348C1"/>
    <w:rsid w:val="00934AC0"/>
    <w:rsid w:val="00934B22"/>
    <w:rsid w:val="00934BDF"/>
    <w:rsid w:val="00934DA9"/>
    <w:rsid w:val="009352B5"/>
    <w:rsid w:val="00935339"/>
    <w:rsid w:val="00935560"/>
    <w:rsid w:val="0093567A"/>
    <w:rsid w:val="009359E0"/>
    <w:rsid w:val="00935AAB"/>
    <w:rsid w:val="00935D9F"/>
    <w:rsid w:val="00935FD8"/>
    <w:rsid w:val="0093605D"/>
    <w:rsid w:val="0093606F"/>
    <w:rsid w:val="009360B6"/>
    <w:rsid w:val="00936386"/>
    <w:rsid w:val="00936410"/>
    <w:rsid w:val="00936629"/>
    <w:rsid w:val="0093664B"/>
    <w:rsid w:val="0093678A"/>
    <w:rsid w:val="00936A8C"/>
    <w:rsid w:val="00936C1F"/>
    <w:rsid w:val="00936CCB"/>
    <w:rsid w:val="00936DD4"/>
    <w:rsid w:val="009370F5"/>
    <w:rsid w:val="00937200"/>
    <w:rsid w:val="009372BD"/>
    <w:rsid w:val="009374CA"/>
    <w:rsid w:val="00937B94"/>
    <w:rsid w:val="00937BAE"/>
    <w:rsid w:val="00937BD9"/>
    <w:rsid w:val="00937C86"/>
    <w:rsid w:val="00937D26"/>
    <w:rsid w:val="009401EF"/>
    <w:rsid w:val="0094034E"/>
    <w:rsid w:val="009406B1"/>
    <w:rsid w:val="0094086E"/>
    <w:rsid w:val="0094093E"/>
    <w:rsid w:val="00940FF4"/>
    <w:rsid w:val="00941015"/>
    <w:rsid w:val="00941173"/>
    <w:rsid w:val="00941488"/>
    <w:rsid w:val="009414FD"/>
    <w:rsid w:val="0094151D"/>
    <w:rsid w:val="009415DC"/>
    <w:rsid w:val="0094164D"/>
    <w:rsid w:val="009418B3"/>
    <w:rsid w:val="009419BB"/>
    <w:rsid w:val="00941A5D"/>
    <w:rsid w:val="00941ADD"/>
    <w:rsid w:val="00941BF5"/>
    <w:rsid w:val="00941C85"/>
    <w:rsid w:val="00941E64"/>
    <w:rsid w:val="00942115"/>
    <w:rsid w:val="00942207"/>
    <w:rsid w:val="009423D3"/>
    <w:rsid w:val="00942577"/>
    <w:rsid w:val="00942B25"/>
    <w:rsid w:val="00942CED"/>
    <w:rsid w:val="00942D49"/>
    <w:rsid w:val="00942D82"/>
    <w:rsid w:val="00942E87"/>
    <w:rsid w:val="00942FD1"/>
    <w:rsid w:val="009430BC"/>
    <w:rsid w:val="009432C3"/>
    <w:rsid w:val="0094346B"/>
    <w:rsid w:val="009434B9"/>
    <w:rsid w:val="009436D1"/>
    <w:rsid w:val="00943701"/>
    <w:rsid w:val="009438A7"/>
    <w:rsid w:val="00943965"/>
    <w:rsid w:val="00943990"/>
    <w:rsid w:val="00943A82"/>
    <w:rsid w:val="00943B06"/>
    <w:rsid w:val="00943C57"/>
    <w:rsid w:val="00943C91"/>
    <w:rsid w:val="00943D6F"/>
    <w:rsid w:val="009440A7"/>
    <w:rsid w:val="00944125"/>
    <w:rsid w:val="009444A7"/>
    <w:rsid w:val="009448B7"/>
    <w:rsid w:val="00944AA3"/>
    <w:rsid w:val="00944B94"/>
    <w:rsid w:val="00944BBC"/>
    <w:rsid w:val="00944C1D"/>
    <w:rsid w:val="00944F0B"/>
    <w:rsid w:val="009450DF"/>
    <w:rsid w:val="00945179"/>
    <w:rsid w:val="00945199"/>
    <w:rsid w:val="009451B0"/>
    <w:rsid w:val="00945799"/>
    <w:rsid w:val="00945880"/>
    <w:rsid w:val="009458FA"/>
    <w:rsid w:val="00945A30"/>
    <w:rsid w:val="00945BED"/>
    <w:rsid w:val="00945DE8"/>
    <w:rsid w:val="00945E20"/>
    <w:rsid w:val="00945EAD"/>
    <w:rsid w:val="00945F18"/>
    <w:rsid w:val="00945F4D"/>
    <w:rsid w:val="0094600B"/>
    <w:rsid w:val="00946053"/>
    <w:rsid w:val="00946086"/>
    <w:rsid w:val="009460FD"/>
    <w:rsid w:val="00946169"/>
    <w:rsid w:val="009461E1"/>
    <w:rsid w:val="009462FC"/>
    <w:rsid w:val="0094655F"/>
    <w:rsid w:val="009465B6"/>
    <w:rsid w:val="00946648"/>
    <w:rsid w:val="00946728"/>
    <w:rsid w:val="0094675F"/>
    <w:rsid w:val="009468AF"/>
    <w:rsid w:val="00946947"/>
    <w:rsid w:val="00946A44"/>
    <w:rsid w:val="00946BDB"/>
    <w:rsid w:val="00946D20"/>
    <w:rsid w:val="00946E70"/>
    <w:rsid w:val="00946F3D"/>
    <w:rsid w:val="00947271"/>
    <w:rsid w:val="00947272"/>
    <w:rsid w:val="00947673"/>
    <w:rsid w:val="009477DD"/>
    <w:rsid w:val="00947955"/>
    <w:rsid w:val="00947AA1"/>
    <w:rsid w:val="00947B8B"/>
    <w:rsid w:val="00947BB6"/>
    <w:rsid w:val="00947E82"/>
    <w:rsid w:val="00947F1A"/>
    <w:rsid w:val="00947F32"/>
    <w:rsid w:val="00950075"/>
    <w:rsid w:val="009502E9"/>
    <w:rsid w:val="0095052E"/>
    <w:rsid w:val="00950617"/>
    <w:rsid w:val="00950765"/>
    <w:rsid w:val="0095088B"/>
    <w:rsid w:val="00950969"/>
    <w:rsid w:val="00950A5A"/>
    <w:rsid w:val="00950C6B"/>
    <w:rsid w:val="00950CBC"/>
    <w:rsid w:val="00950D43"/>
    <w:rsid w:val="00950E2C"/>
    <w:rsid w:val="009510FE"/>
    <w:rsid w:val="009513F4"/>
    <w:rsid w:val="009515D8"/>
    <w:rsid w:val="0095163A"/>
    <w:rsid w:val="00951972"/>
    <w:rsid w:val="00951B2A"/>
    <w:rsid w:val="00951C62"/>
    <w:rsid w:val="00951C9A"/>
    <w:rsid w:val="00951D50"/>
    <w:rsid w:val="00952213"/>
    <w:rsid w:val="00952430"/>
    <w:rsid w:val="0095247F"/>
    <w:rsid w:val="009525EB"/>
    <w:rsid w:val="009526E7"/>
    <w:rsid w:val="00952957"/>
    <w:rsid w:val="009529AD"/>
    <w:rsid w:val="00952A5F"/>
    <w:rsid w:val="00952ECA"/>
    <w:rsid w:val="009530EF"/>
    <w:rsid w:val="00953417"/>
    <w:rsid w:val="0095351D"/>
    <w:rsid w:val="00953718"/>
    <w:rsid w:val="009538B6"/>
    <w:rsid w:val="009539BE"/>
    <w:rsid w:val="00953A29"/>
    <w:rsid w:val="00953B2E"/>
    <w:rsid w:val="00953E5B"/>
    <w:rsid w:val="00954265"/>
    <w:rsid w:val="00954604"/>
    <w:rsid w:val="00954666"/>
    <w:rsid w:val="0095470B"/>
    <w:rsid w:val="00954874"/>
    <w:rsid w:val="00954880"/>
    <w:rsid w:val="0095488B"/>
    <w:rsid w:val="009549B1"/>
    <w:rsid w:val="009549C5"/>
    <w:rsid w:val="00954AAF"/>
    <w:rsid w:val="00954AD9"/>
    <w:rsid w:val="00954BE9"/>
    <w:rsid w:val="00954C99"/>
    <w:rsid w:val="00954CE5"/>
    <w:rsid w:val="00954E4A"/>
    <w:rsid w:val="00954F57"/>
    <w:rsid w:val="009550D4"/>
    <w:rsid w:val="00955187"/>
    <w:rsid w:val="00955189"/>
    <w:rsid w:val="00955200"/>
    <w:rsid w:val="009555E3"/>
    <w:rsid w:val="00955718"/>
    <w:rsid w:val="009557F7"/>
    <w:rsid w:val="00955887"/>
    <w:rsid w:val="009559CB"/>
    <w:rsid w:val="0095615A"/>
    <w:rsid w:val="00956182"/>
    <w:rsid w:val="0095619F"/>
    <w:rsid w:val="0095620D"/>
    <w:rsid w:val="00956248"/>
    <w:rsid w:val="0095636B"/>
    <w:rsid w:val="0095651A"/>
    <w:rsid w:val="00956551"/>
    <w:rsid w:val="0095662C"/>
    <w:rsid w:val="009566DA"/>
    <w:rsid w:val="00956CD9"/>
    <w:rsid w:val="0095700D"/>
    <w:rsid w:val="00957059"/>
    <w:rsid w:val="009570B1"/>
    <w:rsid w:val="009570B9"/>
    <w:rsid w:val="009570C6"/>
    <w:rsid w:val="00957790"/>
    <w:rsid w:val="00957986"/>
    <w:rsid w:val="00957C76"/>
    <w:rsid w:val="00957D1A"/>
    <w:rsid w:val="00957E66"/>
    <w:rsid w:val="00957F4F"/>
    <w:rsid w:val="00957FF6"/>
    <w:rsid w:val="009601B2"/>
    <w:rsid w:val="009601EF"/>
    <w:rsid w:val="009603F4"/>
    <w:rsid w:val="00960404"/>
    <w:rsid w:val="0096047D"/>
    <w:rsid w:val="00960495"/>
    <w:rsid w:val="009605D4"/>
    <w:rsid w:val="0096071B"/>
    <w:rsid w:val="009608A9"/>
    <w:rsid w:val="0096091F"/>
    <w:rsid w:val="009609BD"/>
    <w:rsid w:val="00960D11"/>
    <w:rsid w:val="009613E9"/>
    <w:rsid w:val="00961400"/>
    <w:rsid w:val="0096154A"/>
    <w:rsid w:val="00961574"/>
    <w:rsid w:val="0096158D"/>
    <w:rsid w:val="00961770"/>
    <w:rsid w:val="0096178A"/>
    <w:rsid w:val="009617BF"/>
    <w:rsid w:val="00961824"/>
    <w:rsid w:val="009619A2"/>
    <w:rsid w:val="00961BD2"/>
    <w:rsid w:val="00961BEF"/>
    <w:rsid w:val="00961F06"/>
    <w:rsid w:val="00962177"/>
    <w:rsid w:val="00962348"/>
    <w:rsid w:val="00962458"/>
    <w:rsid w:val="00962459"/>
    <w:rsid w:val="0096264C"/>
    <w:rsid w:val="0096283F"/>
    <w:rsid w:val="00962904"/>
    <w:rsid w:val="00962932"/>
    <w:rsid w:val="00962B23"/>
    <w:rsid w:val="00962B6E"/>
    <w:rsid w:val="00962BB6"/>
    <w:rsid w:val="00962C1B"/>
    <w:rsid w:val="00962C33"/>
    <w:rsid w:val="00962E6F"/>
    <w:rsid w:val="00963030"/>
    <w:rsid w:val="00963120"/>
    <w:rsid w:val="00963187"/>
    <w:rsid w:val="009631C6"/>
    <w:rsid w:val="0096321B"/>
    <w:rsid w:val="0096327A"/>
    <w:rsid w:val="00963458"/>
    <w:rsid w:val="009635E7"/>
    <w:rsid w:val="00963631"/>
    <w:rsid w:val="00963646"/>
    <w:rsid w:val="009637F1"/>
    <w:rsid w:val="009639F5"/>
    <w:rsid w:val="00963D28"/>
    <w:rsid w:val="00963DFA"/>
    <w:rsid w:val="00963F39"/>
    <w:rsid w:val="009642B1"/>
    <w:rsid w:val="009644ED"/>
    <w:rsid w:val="009646FD"/>
    <w:rsid w:val="00964810"/>
    <w:rsid w:val="00964A4A"/>
    <w:rsid w:val="00964B7D"/>
    <w:rsid w:val="00964C62"/>
    <w:rsid w:val="00964C80"/>
    <w:rsid w:val="009650AF"/>
    <w:rsid w:val="00965498"/>
    <w:rsid w:val="009656F1"/>
    <w:rsid w:val="0096581F"/>
    <w:rsid w:val="00965835"/>
    <w:rsid w:val="00965942"/>
    <w:rsid w:val="0096598C"/>
    <w:rsid w:val="00965B7B"/>
    <w:rsid w:val="00965B9B"/>
    <w:rsid w:val="00965E9B"/>
    <w:rsid w:val="0096632D"/>
    <w:rsid w:val="0096651C"/>
    <w:rsid w:val="009665F5"/>
    <w:rsid w:val="0096676B"/>
    <w:rsid w:val="00966A5B"/>
    <w:rsid w:val="00966AB1"/>
    <w:rsid w:val="00966CAF"/>
    <w:rsid w:val="00966CE4"/>
    <w:rsid w:val="00966D10"/>
    <w:rsid w:val="00966EE4"/>
    <w:rsid w:val="00967124"/>
    <w:rsid w:val="0096712A"/>
    <w:rsid w:val="00967278"/>
    <w:rsid w:val="009676F0"/>
    <w:rsid w:val="009677DB"/>
    <w:rsid w:val="00967A4C"/>
    <w:rsid w:val="00967AC2"/>
    <w:rsid w:val="00967C78"/>
    <w:rsid w:val="00967C9D"/>
    <w:rsid w:val="00967E87"/>
    <w:rsid w:val="00967F75"/>
    <w:rsid w:val="009703CD"/>
    <w:rsid w:val="009705E5"/>
    <w:rsid w:val="0097089F"/>
    <w:rsid w:val="00970916"/>
    <w:rsid w:val="009709E5"/>
    <w:rsid w:val="00970A37"/>
    <w:rsid w:val="00970B8D"/>
    <w:rsid w:val="00970D5A"/>
    <w:rsid w:val="00970F64"/>
    <w:rsid w:val="00970FE2"/>
    <w:rsid w:val="00971035"/>
    <w:rsid w:val="009712DC"/>
    <w:rsid w:val="009714BA"/>
    <w:rsid w:val="0097150E"/>
    <w:rsid w:val="00971512"/>
    <w:rsid w:val="009715AB"/>
    <w:rsid w:val="0097166C"/>
    <w:rsid w:val="00971773"/>
    <w:rsid w:val="00971820"/>
    <w:rsid w:val="009718C7"/>
    <w:rsid w:val="00971972"/>
    <w:rsid w:val="00971A6F"/>
    <w:rsid w:val="00971B67"/>
    <w:rsid w:val="00971DBD"/>
    <w:rsid w:val="009720EF"/>
    <w:rsid w:val="0097229F"/>
    <w:rsid w:val="0097231F"/>
    <w:rsid w:val="0097236A"/>
    <w:rsid w:val="009723EC"/>
    <w:rsid w:val="00972A31"/>
    <w:rsid w:val="00972A32"/>
    <w:rsid w:val="00972ACA"/>
    <w:rsid w:val="00972E8C"/>
    <w:rsid w:val="009731BF"/>
    <w:rsid w:val="0097371B"/>
    <w:rsid w:val="0097372B"/>
    <w:rsid w:val="009737D3"/>
    <w:rsid w:val="009738DA"/>
    <w:rsid w:val="00973968"/>
    <w:rsid w:val="00973A3E"/>
    <w:rsid w:val="00973BC2"/>
    <w:rsid w:val="00973CF5"/>
    <w:rsid w:val="009740FD"/>
    <w:rsid w:val="0097430E"/>
    <w:rsid w:val="009743B0"/>
    <w:rsid w:val="009745A7"/>
    <w:rsid w:val="00974A92"/>
    <w:rsid w:val="00974B7E"/>
    <w:rsid w:val="00974C30"/>
    <w:rsid w:val="00974DE9"/>
    <w:rsid w:val="00974E8E"/>
    <w:rsid w:val="009751A0"/>
    <w:rsid w:val="0097559F"/>
    <w:rsid w:val="009755D3"/>
    <w:rsid w:val="0097563C"/>
    <w:rsid w:val="009756C1"/>
    <w:rsid w:val="00975893"/>
    <w:rsid w:val="00975C2C"/>
    <w:rsid w:val="00975CC4"/>
    <w:rsid w:val="00975DCC"/>
    <w:rsid w:val="00975E75"/>
    <w:rsid w:val="0097606D"/>
    <w:rsid w:val="00976181"/>
    <w:rsid w:val="009761EA"/>
    <w:rsid w:val="00976274"/>
    <w:rsid w:val="0097636E"/>
    <w:rsid w:val="0097653F"/>
    <w:rsid w:val="00976838"/>
    <w:rsid w:val="00976A9D"/>
    <w:rsid w:val="00976D63"/>
    <w:rsid w:val="00976DAF"/>
    <w:rsid w:val="00976F14"/>
    <w:rsid w:val="00976FD3"/>
    <w:rsid w:val="00977005"/>
    <w:rsid w:val="00977063"/>
    <w:rsid w:val="00977099"/>
    <w:rsid w:val="00977181"/>
    <w:rsid w:val="009771F6"/>
    <w:rsid w:val="009772E8"/>
    <w:rsid w:val="00977365"/>
    <w:rsid w:val="0097749F"/>
    <w:rsid w:val="0097761E"/>
    <w:rsid w:val="0097796E"/>
    <w:rsid w:val="00977976"/>
    <w:rsid w:val="00977E79"/>
    <w:rsid w:val="00977EE7"/>
    <w:rsid w:val="00977F23"/>
    <w:rsid w:val="00977F2D"/>
    <w:rsid w:val="00980010"/>
    <w:rsid w:val="00980157"/>
    <w:rsid w:val="009801A7"/>
    <w:rsid w:val="00980258"/>
    <w:rsid w:val="009805DC"/>
    <w:rsid w:val="00980731"/>
    <w:rsid w:val="00980740"/>
    <w:rsid w:val="0098078B"/>
    <w:rsid w:val="009808EC"/>
    <w:rsid w:val="00980A81"/>
    <w:rsid w:val="00980C28"/>
    <w:rsid w:val="00980DD1"/>
    <w:rsid w:val="00980DF2"/>
    <w:rsid w:val="00980EDA"/>
    <w:rsid w:val="00980F5F"/>
    <w:rsid w:val="00980F68"/>
    <w:rsid w:val="0098129C"/>
    <w:rsid w:val="009813B2"/>
    <w:rsid w:val="009813C4"/>
    <w:rsid w:val="0098141C"/>
    <w:rsid w:val="009815E4"/>
    <w:rsid w:val="00981691"/>
    <w:rsid w:val="0098180E"/>
    <w:rsid w:val="00981878"/>
    <w:rsid w:val="0098191F"/>
    <w:rsid w:val="00981A10"/>
    <w:rsid w:val="00981B27"/>
    <w:rsid w:val="00981BD7"/>
    <w:rsid w:val="00981C93"/>
    <w:rsid w:val="00981EDD"/>
    <w:rsid w:val="009820D7"/>
    <w:rsid w:val="00982173"/>
    <w:rsid w:val="009821FA"/>
    <w:rsid w:val="00982290"/>
    <w:rsid w:val="009822DD"/>
    <w:rsid w:val="009823E0"/>
    <w:rsid w:val="00982418"/>
    <w:rsid w:val="00982454"/>
    <w:rsid w:val="009824C5"/>
    <w:rsid w:val="009827C3"/>
    <w:rsid w:val="00982A0A"/>
    <w:rsid w:val="00982A54"/>
    <w:rsid w:val="00982B2B"/>
    <w:rsid w:val="00982CE9"/>
    <w:rsid w:val="00982CF0"/>
    <w:rsid w:val="00982CFB"/>
    <w:rsid w:val="00982F0F"/>
    <w:rsid w:val="00982FEC"/>
    <w:rsid w:val="00983173"/>
    <w:rsid w:val="009831A9"/>
    <w:rsid w:val="00983820"/>
    <w:rsid w:val="00983926"/>
    <w:rsid w:val="00983941"/>
    <w:rsid w:val="00983AA7"/>
    <w:rsid w:val="00983C78"/>
    <w:rsid w:val="00983E6D"/>
    <w:rsid w:val="00983E87"/>
    <w:rsid w:val="00983E93"/>
    <w:rsid w:val="0098427F"/>
    <w:rsid w:val="00984286"/>
    <w:rsid w:val="009843BB"/>
    <w:rsid w:val="009845C0"/>
    <w:rsid w:val="00984626"/>
    <w:rsid w:val="0098466A"/>
    <w:rsid w:val="00984681"/>
    <w:rsid w:val="00984741"/>
    <w:rsid w:val="00984769"/>
    <w:rsid w:val="009847D5"/>
    <w:rsid w:val="009849CA"/>
    <w:rsid w:val="009849D3"/>
    <w:rsid w:val="00984C4C"/>
    <w:rsid w:val="00984DEB"/>
    <w:rsid w:val="00985023"/>
    <w:rsid w:val="00985090"/>
    <w:rsid w:val="009850FA"/>
    <w:rsid w:val="00985266"/>
    <w:rsid w:val="00985273"/>
    <w:rsid w:val="009853E1"/>
    <w:rsid w:val="0098540E"/>
    <w:rsid w:val="00985784"/>
    <w:rsid w:val="009857E7"/>
    <w:rsid w:val="00985AB0"/>
    <w:rsid w:val="00985AD9"/>
    <w:rsid w:val="00985E59"/>
    <w:rsid w:val="00985F2F"/>
    <w:rsid w:val="00985F46"/>
    <w:rsid w:val="0098606F"/>
    <w:rsid w:val="009860AF"/>
    <w:rsid w:val="009861A2"/>
    <w:rsid w:val="009862D8"/>
    <w:rsid w:val="0098635C"/>
    <w:rsid w:val="009864BC"/>
    <w:rsid w:val="00986636"/>
    <w:rsid w:val="009867A1"/>
    <w:rsid w:val="0098684D"/>
    <w:rsid w:val="00986E6B"/>
    <w:rsid w:val="00987102"/>
    <w:rsid w:val="0098742A"/>
    <w:rsid w:val="009875C0"/>
    <w:rsid w:val="009876E0"/>
    <w:rsid w:val="0098793A"/>
    <w:rsid w:val="00987CF3"/>
    <w:rsid w:val="00990013"/>
    <w:rsid w:val="00990032"/>
    <w:rsid w:val="009900F5"/>
    <w:rsid w:val="0099012C"/>
    <w:rsid w:val="009901B9"/>
    <w:rsid w:val="009901D0"/>
    <w:rsid w:val="0099020F"/>
    <w:rsid w:val="009902DA"/>
    <w:rsid w:val="0099034D"/>
    <w:rsid w:val="009903D5"/>
    <w:rsid w:val="00990465"/>
    <w:rsid w:val="00990557"/>
    <w:rsid w:val="0099065F"/>
    <w:rsid w:val="0099066D"/>
    <w:rsid w:val="009907F6"/>
    <w:rsid w:val="009909E0"/>
    <w:rsid w:val="00990B19"/>
    <w:rsid w:val="00990DCC"/>
    <w:rsid w:val="00990F2E"/>
    <w:rsid w:val="00990F4A"/>
    <w:rsid w:val="00990FA5"/>
    <w:rsid w:val="009914BB"/>
    <w:rsid w:val="009914F0"/>
    <w:rsid w:val="0099153B"/>
    <w:rsid w:val="00991769"/>
    <w:rsid w:val="009917B6"/>
    <w:rsid w:val="009919AF"/>
    <w:rsid w:val="00991C93"/>
    <w:rsid w:val="00991E30"/>
    <w:rsid w:val="00992012"/>
    <w:rsid w:val="009921B0"/>
    <w:rsid w:val="00992242"/>
    <w:rsid w:val="00992314"/>
    <w:rsid w:val="0099231A"/>
    <w:rsid w:val="0099231B"/>
    <w:rsid w:val="0099232C"/>
    <w:rsid w:val="00992345"/>
    <w:rsid w:val="0099289F"/>
    <w:rsid w:val="00992B95"/>
    <w:rsid w:val="00992E25"/>
    <w:rsid w:val="00992EA5"/>
    <w:rsid w:val="00992EB2"/>
    <w:rsid w:val="00992FE0"/>
    <w:rsid w:val="0099314B"/>
    <w:rsid w:val="0099316E"/>
    <w:rsid w:val="0099349B"/>
    <w:rsid w:val="009936C9"/>
    <w:rsid w:val="00993C78"/>
    <w:rsid w:val="00993DE3"/>
    <w:rsid w:val="00993F84"/>
    <w:rsid w:val="0099401D"/>
    <w:rsid w:val="00994084"/>
    <w:rsid w:val="00994386"/>
    <w:rsid w:val="00994505"/>
    <w:rsid w:val="00994512"/>
    <w:rsid w:val="0099451E"/>
    <w:rsid w:val="00994614"/>
    <w:rsid w:val="00994758"/>
    <w:rsid w:val="00994870"/>
    <w:rsid w:val="00994AA1"/>
    <w:rsid w:val="00994CA6"/>
    <w:rsid w:val="00994D24"/>
    <w:rsid w:val="00994D64"/>
    <w:rsid w:val="00994DA2"/>
    <w:rsid w:val="00994E77"/>
    <w:rsid w:val="00994F44"/>
    <w:rsid w:val="00995113"/>
    <w:rsid w:val="009951C7"/>
    <w:rsid w:val="009953DB"/>
    <w:rsid w:val="00995461"/>
    <w:rsid w:val="00995479"/>
    <w:rsid w:val="00995494"/>
    <w:rsid w:val="009958C4"/>
    <w:rsid w:val="00995A75"/>
    <w:rsid w:val="00995A77"/>
    <w:rsid w:val="00995B5E"/>
    <w:rsid w:val="00995D25"/>
    <w:rsid w:val="00996383"/>
    <w:rsid w:val="0099649A"/>
    <w:rsid w:val="009967DE"/>
    <w:rsid w:val="00996809"/>
    <w:rsid w:val="0099686A"/>
    <w:rsid w:val="00996BCD"/>
    <w:rsid w:val="00996FD8"/>
    <w:rsid w:val="009975B4"/>
    <w:rsid w:val="00997690"/>
    <w:rsid w:val="009976A9"/>
    <w:rsid w:val="009976AE"/>
    <w:rsid w:val="009976E0"/>
    <w:rsid w:val="009976F2"/>
    <w:rsid w:val="009977A1"/>
    <w:rsid w:val="00997885"/>
    <w:rsid w:val="00997953"/>
    <w:rsid w:val="00997B7C"/>
    <w:rsid w:val="00997E39"/>
    <w:rsid w:val="00997E66"/>
    <w:rsid w:val="00997EB2"/>
    <w:rsid w:val="009A000A"/>
    <w:rsid w:val="009A030A"/>
    <w:rsid w:val="009A033D"/>
    <w:rsid w:val="009A0414"/>
    <w:rsid w:val="009A069B"/>
    <w:rsid w:val="009A06BC"/>
    <w:rsid w:val="009A08DC"/>
    <w:rsid w:val="009A0977"/>
    <w:rsid w:val="009A0C5E"/>
    <w:rsid w:val="009A0D93"/>
    <w:rsid w:val="009A0E9E"/>
    <w:rsid w:val="009A0EAE"/>
    <w:rsid w:val="009A106F"/>
    <w:rsid w:val="009A13B4"/>
    <w:rsid w:val="009A13D8"/>
    <w:rsid w:val="009A14BC"/>
    <w:rsid w:val="009A156B"/>
    <w:rsid w:val="009A179B"/>
    <w:rsid w:val="009A183A"/>
    <w:rsid w:val="009A18C6"/>
    <w:rsid w:val="009A19A5"/>
    <w:rsid w:val="009A1E1F"/>
    <w:rsid w:val="009A201C"/>
    <w:rsid w:val="009A20A4"/>
    <w:rsid w:val="009A22F1"/>
    <w:rsid w:val="009A2321"/>
    <w:rsid w:val="009A2418"/>
    <w:rsid w:val="009A2696"/>
    <w:rsid w:val="009A270A"/>
    <w:rsid w:val="009A279E"/>
    <w:rsid w:val="009A27BF"/>
    <w:rsid w:val="009A2958"/>
    <w:rsid w:val="009A29BF"/>
    <w:rsid w:val="009A2B1F"/>
    <w:rsid w:val="009A2B2C"/>
    <w:rsid w:val="009A2BD1"/>
    <w:rsid w:val="009A3015"/>
    <w:rsid w:val="009A3168"/>
    <w:rsid w:val="009A32EB"/>
    <w:rsid w:val="009A3490"/>
    <w:rsid w:val="009A3738"/>
    <w:rsid w:val="009A375F"/>
    <w:rsid w:val="009A3CD7"/>
    <w:rsid w:val="009A3CE2"/>
    <w:rsid w:val="009A3E01"/>
    <w:rsid w:val="009A3ECF"/>
    <w:rsid w:val="009A4002"/>
    <w:rsid w:val="009A4392"/>
    <w:rsid w:val="009A44AC"/>
    <w:rsid w:val="009A459C"/>
    <w:rsid w:val="009A479A"/>
    <w:rsid w:val="009A49C9"/>
    <w:rsid w:val="009A4BFB"/>
    <w:rsid w:val="009A4C15"/>
    <w:rsid w:val="009A5067"/>
    <w:rsid w:val="009A51FB"/>
    <w:rsid w:val="009A5263"/>
    <w:rsid w:val="009A543D"/>
    <w:rsid w:val="009A54D6"/>
    <w:rsid w:val="009A5654"/>
    <w:rsid w:val="009A58D6"/>
    <w:rsid w:val="009A5945"/>
    <w:rsid w:val="009A59A4"/>
    <w:rsid w:val="009A5B3B"/>
    <w:rsid w:val="009A5BFE"/>
    <w:rsid w:val="009A5BFF"/>
    <w:rsid w:val="009A5CDD"/>
    <w:rsid w:val="009A5D9B"/>
    <w:rsid w:val="009A5E97"/>
    <w:rsid w:val="009A60AE"/>
    <w:rsid w:val="009A645F"/>
    <w:rsid w:val="009A649B"/>
    <w:rsid w:val="009A651E"/>
    <w:rsid w:val="009A660B"/>
    <w:rsid w:val="009A66DD"/>
    <w:rsid w:val="009A6819"/>
    <w:rsid w:val="009A6BD0"/>
    <w:rsid w:val="009A6E4E"/>
    <w:rsid w:val="009A6EAB"/>
    <w:rsid w:val="009A70DB"/>
    <w:rsid w:val="009A71FA"/>
    <w:rsid w:val="009A74AE"/>
    <w:rsid w:val="009A7612"/>
    <w:rsid w:val="009A77F6"/>
    <w:rsid w:val="009A7933"/>
    <w:rsid w:val="009A7A62"/>
    <w:rsid w:val="009A7C08"/>
    <w:rsid w:val="009A7C1B"/>
    <w:rsid w:val="009A7F92"/>
    <w:rsid w:val="009B0078"/>
    <w:rsid w:val="009B03EC"/>
    <w:rsid w:val="009B05D8"/>
    <w:rsid w:val="009B0A6F"/>
    <w:rsid w:val="009B0A94"/>
    <w:rsid w:val="009B0C62"/>
    <w:rsid w:val="009B0D54"/>
    <w:rsid w:val="009B0E7E"/>
    <w:rsid w:val="009B147B"/>
    <w:rsid w:val="009B1AD4"/>
    <w:rsid w:val="009B1E7A"/>
    <w:rsid w:val="009B1F42"/>
    <w:rsid w:val="009B22D1"/>
    <w:rsid w:val="009B232A"/>
    <w:rsid w:val="009B266C"/>
    <w:rsid w:val="009B2809"/>
    <w:rsid w:val="009B2ABC"/>
    <w:rsid w:val="009B2AE8"/>
    <w:rsid w:val="009B2C06"/>
    <w:rsid w:val="009B2EA0"/>
    <w:rsid w:val="009B2F57"/>
    <w:rsid w:val="009B30FA"/>
    <w:rsid w:val="009B323F"/>
    <w:rsid w:val="009B332B"/>
    <w:rsid w:val="009B3672"/>
    <w:rsid w:val="009B3683"/>
    <w:rsid w:val="009B36FB"/>
    <w:rsid w:val="009B3972"/>
    <w:rsid w:val="009B39E7"/>
    <w:rsid w:val="009B3A05"/>
    <w:rsid w:val="009B3B17"/>
    <w:rsid w:val="009B3B45"/>
    <w:rsid w:val="009B3B49"/>
    <w:rsid w:val="009B3B8C"/>
    <w:rsid w:val="009B3CF8"/>
    <w:rsid w:val="009B3DA8"/>
    <w:rsid w:val="009B4306"/>
    <w:rsid w:val="009B44C8"/>
    <w:rsid w:val="009B4A56"/>
    <w:rsid w:val="009B4A70"/>
    <w:rsid w:val="009B4D20"/>
    <w:rsid w:val="009B4EFD"/>
    <w:rsid w:val="009B4FBE"/>
    <w:rsid w:val="009B5273"/>
    <w:rsid w:val="009B5320"/>
    <w:rsid w:val="009B5622"/>
    <w:rsid w:val="009B57B5"/>
    <w:rsid w:val="009B587F"/>
    <w:rsid w:val="009B59E9"/>
    <w:rsid w:val="009B5E4B"/>
    <w:rsid w:val="009B5EAE"/>
    <w:rsid w:val="009B60DC"/>
    <w:rsid w:val="009B640B"/>
    <w:rsid w:val="009B6439"/>
    <w:rsid w:val="009B65A7"/>
    <w:rsid w:val="009B68ED"/>
    <w:rsid w:val="009B6912"/>
    <w:rsid w:val="009B6B73"/>
    <w:rsid w:val="009B6B8A"/>
    <w:rsid w:val="009B6C82"/>
    <w:rsid w:val="009B6CD1"/>
    <w:rsid w:val="009B6F8E"/>
    <w:rsid w:val="009B70AA"/>
    <w:rsid w:val="009B7264"/>
    <w:rsid w:val="009B72A2"/>
    <w:rsid w:val="009B72A8"/>
    <w:rsid w:val="009B75BD"/>
    <w:rsid w:val="009B7692"/>
    <w:rsid w:val="009B7893"/>
    <w:rsid w:val="009B7C2A"/>
    <w:rsid w:val="009B7DC0"/>
    <w:rsid w:val="009B7FFB"/>
    <w:rsid w:val="009C00B4"/>
    <w:rsid w:val="009C01DC"/>
    <w:rsid w:val="009C0222"/>
    <w:rsid w:val="009C04F2"/>
    <w:rsid w:val="009C0592"/>
    <w:rsid w:val="009C081E"/>
    <w:rsid w:val="009C0943"/>
    <w:rsid w:val="009C0D26"/>
    <w:rsid w:val="009C0ED1"/>
    <w:rsid w:val="009C0ED8"/>
    <w:rsid w:val="009C0F15"/>
    <w:rsid w:val="009C0FE9"/>
    <w:rsid w:val="009C1018"/>
    <w:rsid w:val="009C129F"/>
    <w:rsid w:val="009C12CE"/>
    <w:rsid w:val="009C1325"/>
    <w:rsid w:val="009C135E"/>
    <w:rsid w:val="009C1397"/>
    <w:rsid w:val="009C13D0"/>
    <w:rsid w:val="009C14A6"/>
    <w:rsid w:val="009C14DA"/>
    <w:rsid w:val="009C152E"/>
    <w:rsid w:val="009C1609"/>
    <w:rsid w:val="009C1769"/>
    <w:rsid w:val="009C1893"/>
    <w:rsid w:val="009C1B96"/>
    <w:rsid w:val="009C1C3C"/>
    <w:rsid w:val="009C245E"/>
    <w:rsid w:val="009C2509"/>
    <w:rsid w:val="009C2756"/>
    <w:rsid w:val="009C27EC"/>
    <w:rsid w:val="009C2807"/>
    <w:rsid w:val="009C2B52"/>
    <w:rsid w:val="009C2CB2"/>
    <w:rsid w:val="009C2D9F"/>
    <w:rsid w:val="009C2E9A"/>
    <w:rsid w:val="009C3196"/>
    <w:rsid w:val="009C3227"/>
    <w:rsid w:val="009C3276"/>
    <w:rsid w:val="009C332D"/>
    <w:rsid w:val="009C342E"/>
    <w:rsid w:val="009C349B"/>
    <w:rsid w:val="009C34A9"/>
    <w:rsid w:val="009C34C8"/>
    <w:rsid w:val="009C3759"/>
    <w:rsid w:val="009C3773"/>
    <w:rsid w:val="009C3822"/>
    <w:rsid w:val="009C3846"/>
    <w:rsid w:val="009C39FB"/>
    <w:rsid w:val="009C3CB5"/>
    <w:rsid w:val="009C3CD4"/>
    <w:rsid w:val="009C3E62"/>
    <w:rsid w:val="009C40F4"/>
    <w:rsid w:val="009C4257"/>
    <w:rsid w:val="009C436D"/>
    <w:rsid w:val="009C444F"/>
    <w:rsid w:val="009C470F"/>
    <w:rsid w:val="009C47C9"/>
    <w:rsid w:val="009C4A09"/>
    <w:rsid w:val="009C4A87"/>
    <w:rsid w:val="009C4A8C"/>
    <w:rsid w:val="009C4D61"/>
    <w:rsid w:val="009C5060"/>
    <w:rsid w:val="009C5088"/>
    <w:rsid w:val="009C510E"/>
    <w:rsid w:val="009C5110"/>
    <w:rsid w:val="009C519B"/>
    <w:rsid w:val="009C51BD"/>
    <w:rsid w:val="009C51BE"/>
    <w:rsid w:val="009C53D5"/>
    <w:rsid w:val="009C547E"/>
    <w:rsid w:val="009C5716"/>
    <w:rsid w:val="009C58BA"/>
    <w:rsid w:val="009C5AB6"/>
    <w:rsid w:val="009C5AF5"/>
    <w:rsid w:val="009C5B7F"/>
    <w:rsid w:val="009C5CB8"/>
    <w:rsid w:val="009C5DA4"/>
    <w:rsid w:val="009C5E77"/>
    <w:rsid w:val="009C5ECB"/>
    <w:rsid w:val="009C6014"/>
    <w:rsid w:val="009C6132"/>
    <w:rsid w:val="009C6300"/>
    <w:rsid w:val="009C6332"/>
    <w:rsid w:val="009C6520"/>
    <w:rsid w:val="009C667E"/>
    <w:rsid w:val="009C668E"/>
    <w:rsid w:val="009C668F"/>
    <w:rsid w:val="009C677C"/>
    <w:rsid w:val="009C693D"/>
    <w:rsid w:val="009C69A9"/>
    <w:rsid w:val="009C6B02"/>
    <w:rsid w:val="009C6BDA"/>
    <w:rsid w:val="009C6DA7"/>
    <w:rsid w:val="009C6F2E"/>
    <w:rsid w:val="009C7049"/>
    <w:rsid w:val="009C730C"/>
    <w:rsid w:val="009C732E"/>
    <w:rsid w:val="009C73FB"/>
    <w:rsid w:val="009C746F"/>
    <w:rsid w:val="009C751A"/>
    <w:rsid w:val="009C7580"/>
    <w:rsid w:val="009C764A"/>
    <w:rsid w:val="009C7658"/>
    <w:rsid w:val="009C76EF"/>
    <w:rsid w:val="009C781E"/>
    <w:rsid w:val="009C7837"/>
    <w:rsid w:val="009C7A7E"/>
    <w:rsid w:val="009C7BBD"/>
    <w:rsid w:val="009C7C96"/>
    <w:rsid w:val="009C7D72"/>
    <w:rsid w:val="009C7E61"/>
    <w:rsid w:val="009D00E8"/>
    <w:rsid w:val="009D00ED"/>
    <w:rsid w:val="009D02E8"/>
    <w:rsid w:val="009D0315"/>
    <w:rsid w:val="009D03E1"/>
    <w:rsid w:val="009D095D"/>
    <w:rsid w:val="009D098B"/>
    <w:rsid w:val="009D0FA5"/>
    <w:rsid w:val="009D172B"/>
    <w:rsid w:val="009D1802"/>
    <w:rsid w:val="009D1812"/>
    <w:rsid w:val="009D18F2"/>
    <w:rsid w:val="009D19F3"/>
    <w:rsid w:val="009D19FB"/>
    <w:rsid w:val="009D1A71"/>
    <w:rsid w:val="009D1BDD"/>
    <w:rsid w:val="009D1C8D"/>
    <w:rsid w:val="009D1EB6"/>
    <w:rsid w:val="009D1F6C"/>
    <w:rsid w:val="009D216D"/>
    <w:rsid w:val="009D21B8"/>
    <w:rsid w:val="009D21F7"/>
    <w:rsid w:val="009D2280"/>
    <w:rsid w:val="009D231B"/>
    <w:rsid w:val="009D23FB"/>
    <w:rsid w:val="009D2428"/>
    <w:rsid w:val="009D2451"/>
    <w:rsid w:val="009D24F9"/>
    <w:rsid w:val="009D2685"/>
    <w:rsid w:val="009D286B"/>
    <w:rsid w:val="009D2D07"/>
    <w:rsid w:val="009D2D36"/>
    <w:rsid w:val="009D2F54"/>
    <w:rsid w:val="009D2FA9"/>
    <w:rsid w:val="009D351D"/>
    <w:rsid w:val="009D374D"/>
    <w:rsid w:val="009D380E"/>
    <w:rsid w:val="009D38BD"/>
    <w:rsid w:val="009D3986"/>
    <w:rsid w:val="009D39CD"/>
    <w:rsid w:val="009D3A6C"/>
    <w:rsid w:val="009D3AFF"/>
    <w:rsid w:val="009D3B02"/>
    <w:rsid w:val="009D3BF5"/>
    <w:rsid w:val="009D3C4D"/>
    <w:rsid w:val="009D3EB4"/>
    <w:rsid w:val="009D3F29"/>
    <w:rsid w:val="009D414E"/>
    <w:rsid w:val="009D420C"/>
    <w:rsid w:val="009D4451"/>
    <w:rsid w:val="009D487D"/>
    <w:rsid w:val="009D48BC"/>
    <w:rsid w:val="009D4C10"/>
    <w:rsid w:val="009D4E2B"/>
    <w:rsid w:val="009D5169"/>
    <w:rsid w:val="009D5189"/>
    <w:rsid w:val="009D51D0"/>
    <w:rsid w:val="009D52BC"/>
    <w:rsid w:val="009D5383"/>
    <w:rsid w:val="009D53D5"/>
    <w:rsid w:val="009D542F"/>
    <w:rsid w:val="009D5440"/>
    <w:rsid w:val="009D547F"/>
    <w:rsid w:val="009D5584"/>
    <w:rsid w:val="009D56A7"/>
    <w:rsid w:val="009D56C4"/>
    <w:rsid w:val="009D5A09"/>
    <w:rsid w:val="009D5A15"/>
    <w:rsid w:val="009D5EE7"/>
    <w:rsid w:val="009D5EF1"/>
    <w:rsid w:val="009D612B"/>
    <w:rsid w:val="009D6441"/>
    <w:rsid w:val="009D6526"/>
    <w:rsid w:val="009D6632"/>
    <w:rsid w:val="009D6825"/>
    <w:rsid w:val="009D68DD"/>
    <w:rsid w:val="009D6B1C"/>
    <w:rsid w:val="009D6B4C"/>
    <w:rsid w:val="009D6DBF"/>
    <w:rsid w:val="009D6EE4"/>
    <w:rsid w:val="009D6F9F"/>
    <w:rsid w:val="009D70A4"/>
    <w:rsid w:val="009D7110"/>
    <w:rsid w:val="009D766D"/>
    <w:rsid w:val="009D76DE"/>
    <w:rsid w:val="009D7949"/>
    <w:rsid w:val="009D7AE8"/>
    <w:rsid w:val="009D7B14"/>
    <w:rsid w:val="009E0057"/>
    <w:rsid w:val="009E01E9"/>
    <w:rsid w:val="009E02BB"/>
    <w:rsid w:val="009E050A"/>
    <w:rsid w:val="009E0545"/>
    <w:rsid w:val="009E05DF"/>
    <w:rsid w:val="009E068D"/>
    <w:rsid w:val="009E0696"/>
    <w:rsid w:val="009E07C6"/>
    <w:rsid w:val="009E08D1"/>
    <w:rsid w:val="009E0A85"/>
    <w:rsid w:val="009E0AB7"/>
    <w:rsid w:val="009E0AE6"/>
    <w:rsid w:val="009E0B7B"/>
    <w:rsid w:val="009E0B99"/>
    <w:rsid w:val="009E0BE2"/>
    <w:rsid w:val="009E0C7C"/>
    <w:rsid w:val="009E0D96"/>
    <w:rsid w:val="009E0DE6"/>
    <w:rsid w:val="009E0E74"/>
    <w:rsid w:val="009E102B"/>
    <w:rsid w:val="009E163C"/>
    <w:rsid w:val="009E1680"/>
    <w:rsid w:val="009E169C"/>
    <w:rsid w:val="009E16B1"/>
    <w:rsid w:val="009E1933"/>
    <w:rsid w:val="009E1B0F"/>
    <w:rsid w:val="009E1B95"/>
    <w:rsid w:val="009E1ED2"/>
    <w:rsid w:val="009E1F41"/>
    <w:rsid w:val="009E1F69"/>
    <w:rsid w:val="009E2046"/>
    <w:rsid w:val="009E2259"/>
    <w:rsid w:val="009E2289"/>
    <w:rsid w:val="009E232E"/>
    <w:rsid w:val="009E235C"/>
    <w:rsid w:val="009E2A59"/>
    <w:rsid w:val="009E2DE5"/>
    <w:rsid w:val="009E2F5B"/>
    <w:rsid w:val="009E30BA"/>
    <w:rsid w:val="009E32A8"/>
    <w:rsid w:val="009E32B4"/>
    <w:rsid w:val="009E337E"/>
    <w:rsid w:val="009E3405"/>
    <w:rsid w:val="009E350D"/>
    <w:rsid w:val="009E364E"/>
    <w:rsid w:val="009E3BF2"/>
    <w:rsid w:val="009E3C5E"/>
    <w:rsid w:val="009E3E32"/>
    <w:rsid w:val="009E3E84"/>
    <w:rsid w:val="009E3EBB"/>
    <w:rsid w:val="009E3F23"/>
    <w:rsid w:val="009E4196"/>
    <w:rsid w:val="009E42E7"/>
    <w:rsid w:val="009E42F1"/>
    <w:rsid w:val="009E436E"/>
    <w:rsid w:val="009E4405"/>
    <w:rsid w:val="009E46CD"/>
    <w:rsid w:val="009E481C"/>
    <w:rsid w:val="009E496F"/>
    <w:rsid w:val="009E49CC"/>
    <w:rsid w:val="009E4B0D"/>
    <w:rsid w:val="009E4CE1"/>
    <w:rsid w:val="009E4E2E"/>
    <w:rsid w:val="009E4F69"/>
    <w:rsid w:val="009E5250"/>
    <w:rsid w:val="009E52FF"/>
    <w:rsid w:val="009E5329"/>
    <w:rsid w:val="009E53E7"/>
    <w:rsid w:val="009E5580"/>
    <w:rsid w:val="009E5746"/>
    <w:rsid w:val="009E59C6"/>
    <w:rsid w:val="009E5C7C"/>
    <w:rsid w:val="009E5CEB"/>
    <w:rsid w:val="009E5D12"/>
    <w:rsid w:val="009E60DD"/>
    <w:rsid w:val="009E60F5"/>
    <w:rsid w:val="009E615B"/>
    <w:rsid w:val="009E61BF"/>
    <w:rsid w:val="009E61D7"/>
    <w:rsid w:val="009E61DC"/>
    <w:rsid w:val="009E6253"/>
    <w:rsid w:val="009E6287"/>
    <w:rsid w:val="009E62B2"/>
    <w:rsid w:val="009E62F3"/>
    <w:rsid w:val="009E63A6"/>
    <w:rsid w:val="009E6502"/>
    <w:rsid w:val="009E65D1"/>
    <w:rsid w:val="009E65D4"/>
    <w:rsid w:val="009E67B4"/>
    <w:rsid w:val="009E6856"/>
    <w:rsid w:val="009E690B"/>
    <w:rsid w:val="009E693F"/>
    <w:rsid w:val="009E6C31"/>
    <w:rsid w:val="009E6ED2"/>
    <w:rsid w:val="009E6F7D"/>
    <w:rsid w:val="009E7164"/>
    <w:rsid w:val="009E742B"/>
    <w:rsid w:val="009E74F9"/>
    <w:rsid w:val="009E757F"/>
    <w:rsid w:val="009E7828"/>
    <w:rsid w:val="009E7A69"/>
    <w:rsid w:val="009E7A77"/>
    <w:rsid w:val="009E7C3F"/>
    <w:rsid w:val="009E7C78"/>
    <w:rsid w:val="009E7CB0"/>
    <w:rsid w:val="009E7E34"/>
    <w:rsid w:val="009E7F92"/>
    <w:rsid w:val="009F0076"/>
    <w:rsid w:val="009F020D"/>
    <w:rsid w:val="009F021D"/>
    <w:rsid w:val="009F02A3"/>
    <w:rsid w:val="009F06FB"/>
    <w:rsid w:val="009F0917"/>
    <w:rsid w:val="009F0B91"/>
    <w:rsid w:val="009F0D40"/>
    <w:rsid w:val="009F0E92"/>
    <w:rsid w:val="009F0EE0"/>
    <w:rsid w:val="009F1100"/>
    <w:rsid w:val="009F11E1"/>
    <w:rsid w:val="009F11EE"/>
    <w:rsid w:val="009F13D1"/>
    <w:rsid w:val="009F1414"/>
    <w:rsid w:val="009F1977"/>
    <w:rsid w:val="009F1AF9"/>
    <w:rsid w:val="009F1C31"/>
    <w:rsid w:val="009F2182"/>
    <w:rsid w:val="009F21A9"/>
    <w:rsid w:val="009F274B"/>
    <w:rsid w:val="009F28F5"/>
    <w:rsid w:val="009F291B"/>
    <w:rsid w:val="009F2AFC"/>
    <w:rsid w:val="009F2C37"/>
    <w:rsid w:val="009F2C70"/>
    <w:rsid w:val="009F2D85"/>
    <w:rsid w:val="009F2DE2"/>
    <w:rsid w:val="009F2ECC"/>
    <w:rsid w:val="009F2F27"/>
    <w:rsid w:val="009F2F58"/>
    <w:rsid w:val="009F30CA"/>
    <w:rsid w:val="009F32B6"/>
    <w:rsid w:val="009F33AE"/>
    <w:rsid w:val="009F34AA"/>
    <w:rsid w:val="009F36A7"/>
    <w:rsid w:val="009F399D"/>
    <w:rsid w:val="009F3A9F"/>
    <w:rsid w:val="009F3AAC"/>
    <w:rsid w:val="009F3B40"/>
    <w:rsid w:val="009F3BF9"/>
    <w:rsid w:val="009F3D7A"/>
    <w:rsid w:val="009F40AB"/>
    <w:rsid w:val="009F423F"/>
    <w:rsid w:val="009F427C"/>
    <w:rsid w:val="009F42C6"/>
    <w:rsid w:val="009F42F3"/>
    <w:rsid w:val="009F44BA"/>
    <w:rsid w:val="009F4936"/>
    <w:rsid w:val="009F4BEA"/>
    <w:rsid w:val="009F4C78"/>
    <w:rsid w:val="009F5312"/>
    <w:rsid w:val="009F5378"/>
    <w:rsid w:val="009F53A3"/>
    <w:rsid w:val="009F55F6"/>
    <w:rsid w:val="009F575A"/>
    <w:rsid w:val="009F5977"/>
    <w:rsid w:val="009F5A69"/>
    <w:rsid w:val="009F5B61"/>
    <w:rsid w:val="009F5D40"/>
    <w:rsid w:val="009F610D"/>
    <w:rsid w:val="009F6118"/>
    <w:rsid w:val="009F6194"/>
    <w:rsid w:val="009F61C2"/>
    <w:rsid w:val="009F62C8"/>
    <w:rsid w:val="009F6442"/>
    <w:rsid w:val="009F6545"/>
    <w:rsid w:val="009F66A7"/>
    <w:rsid w:val="009F6917"/>
    <w:rsid w:val="009F6924"/>
    <w:rsid w:val="009F6A6B"/>
    <w:rsid w:val="009F6BCB"/>
    <w:rsid w:val="009F6C1F"/>
    <w:rsid w:val="009F6D46"/>
    <w:rsid w:val="009F6D4A"/>
    <w:rsid w:val="009F6F2F"/>
    <w:rsid w:val="009F6F9E"/>
    <w:rsid w:val="009F6FFC"/>
    <w:rsid w:val="009F70EF"/>
    <w:rsid w:val="009F70FC"/>
    <w:rsid w:val="009F7169"/>
    <w:rsid w:val="009F7212"/>
    <w:rsid w:val="009F752C"/>
    <w:rsid w:val="009F7556"/>
    <w:rsid w:val="009F76DF"/>
    <w:rsid w:val="009F775E"/>
    <w:rsid w:val="009F790F"/>
    <w:rsid w:val="009F79AE"/>
    <w:rsid w:val="009F7B78"/>
    <w:rsid w:val="009F7CAB"/>
    <w:rsid w:val="009F7E1B"/>
    <w:rsid w:val="00A00199"/>
    <w:rsid w:val="00A001BD"/>
    <w:rsid w:val="00A0057A"/>
    <w:rsid w:val="00A006BD"/>
    <w:rsid w:val="00A006D0"/>
    <w:rsid w:val="00A007E8"/>
    <w:rsid w:val="00A008FE"/>
    <w:rsid w:val="00A009BC"/>
    <w:rsid w:val="00A00CD6"/>
    <w:rsid w:val="00A00F02"/>
    <w:rsid w:val="00A00F56"/>
    <w:rsid w:val="00A010F9"/>
    <w:rsid w:val="00A0110E"/>
    <w:rsid w:val="00A012EE"/>
    <w:rsid w:val="00A016DA"/>
    <w:rsid w:val="00A0187A"/>
    <w:rsid w:val="00A019C8"/>
    <w:rsid w:val="00A01A49"/>
    <w:rsid w:val="00A01F91"/>
    <w:rsid w:val="00A02018"/>
    <w:rsid w:val="00A02070"/>
    <w:rsid w:val="00A0219E"/>
    <w:rsid w:val="00A0228A"/>
    <w:rsid w:val="00A022ED"/>
    <w:rsid w:val="00A02543"/>
    <w:rsid w:val="00A029C5"/>
    <w:rsid w:val="00A02F26"/>
    <w:rsid w:val="00A02F7F"/>
    <w:rsid w:val="00A02FA1"/>
    <w:rsid w:val="00A02FBE"/>
    <w:rsid w:val="00A02FBF"/>
    <w:rsid w:val="00A03233"/>
    <w:rsid w:val="00A03426"/>
    <w:rsid w:val="00A0345D"/>
    <w:rsid w:val="00A034A4"/>
    <w:rsid w:val="00A03586"/>
    <w:rsid w:val="00A0374D"/>
    <w:rsid w:val="00A0380C"/>
    <w:rsid w:val="00A0391D"/>
    <w:rsid w:val="00A039FF"/>
    <w:rsid w:val="00A03AD0"/>
    <w:rsid w:val="00A03AD2"/>
    <w:rsid w:val="00A03BA1"/>
    <w:rsid w:val="00A03BF6"/>
    <w:rsid w:val="00A03E0D"/>
    <w:rsid w:val="00A04085"/>
    <w:rsid w:val="00A04494"/>
    <w:rsid w:val="00A04611"/>
    <w:rsid w:val="00A0472E"/>
    <w:rsid w:val="00A04A44"/>
    <w:rsid w:val="00A04B98"/>
    <w:rsid w:val="00A04C7E"/>
    <w:rsid w:val="00A04CCE"/>
    <w:rsid w:val="00A04E27"/>
    <w:rsid w:val="00A04EB5"/>
    <w:rsid w:val="00A052C0"/>
    <w:rsid w:val="00A053DB"/>
    <w:rsid w:val="00A054BB"/>
    <w:rsid w:val="00A054EE"/>
    <w:rsid w:val="00A05BB8"/>
    <w:rsid w:val="00A05D90"/>
    <w:rsid w:val="00A06148"/>
    <w:rsid w:val="00A061AF"/>
    <w:rsid w:val="00A062AE"/>
    <w:rsid w:val="00A062D9"/>
    <w:rsid w:val="00A0631F"/>
    <w:rsid w:val="00A06433"/>
    <w:rsid w:val="00A064F7"/>
    <w:rsid w:val="00A06632"/>
    <w:rsid w:val="00A066BC"/>
    <w:rsid w:val="00A06779"/>
    <w:rsid w:val="00A06879"/>
    <w:rsid w:val="00A06880"/>
    <w:rsid w:val="00A069DE"/>
    <w:rsid w:val="00A06B45"/>
    <w:rsid w:val="00A06BB3"/>
    <w:rsid w:val="00A06E86"/>
    <w:rsid w:val="00A06EA8"/>
    <w:rsid w:val="00A06FB6"/>
    <w:rsid w:val="00A07015"/>
    <w:rsid w:val="00A07421"/>
    <w:rsid w:val="00A075B6"/>
    <w:rsid w:val="00A07766"/>
    <w:rsid w:val="00A0776B"/>
    <w:rsid w:val="00A0788E"/>
    <w:rsid w:val="00A07B48"/>
    <w:rsid w:val="00A07BE6"/>
    <w:rsid w:val="00A07C2D"/>
    <w:rsid w:val="00A07CCB"/>
    <w:rsid w:val="00A07EA3"/>
    <w:rsid w:val="00A07EA4"/>
    <w:rsid w:val="00A07F2D"/>
    <w:rsid w:val="00A1016F"/>
    <w:rsid w:val="00A10A4C"/>
    <w:rsid w:val="00A10ADE"/>
    <w:rsid w:val="00A10BD1"/>
    <w:rsid w:val="00A10C12"/>
    <w:rsid w:val="00A10C2C"/>
    <w:rsid w:val="00A10D74"/>
    <w:rsid w:val="00A10DC1"/>
    <w:rsid w:val="00A10FB9"/>
    <w:rsid w:val="00A11010"/>
    <w:rsid w:val="00A110F6"/>
    <w:rsid w:val="00A111C1"/>
    <w:rsid w:val="00A1126B"/>
    <w:rsid w:val="00A11421"/>
    <w:rsid w:val="00A114BE"/>
    <w:rsid w:val="00A114DD"/>
    <w:rsid w:val="00A114E9"/>
    <w:rsid w:val="00A114F0"/>
    <w:rsid w:val="00A11579"/>
    <w:rsid w:val="00A115B7"/>
    <w:rsid w:val="00A1174D"/>
    <w:rsid w:val="00A11790"/>
    <w:rsid w:val="00A11843"/>
    <w:rsid w:val="00A118F8"/>
    <w:rsid w:val="00A11A3D"/>
    <w:rsid w:val="00A11A9B"/>
    <w:rsid w:val="00A11D01"/>
    <w:rsid w:val="00A11D13"/>
    <w:rsid w:val="00A11DC9"/>
    <w:rsid w:val="00A120F7"/>
    <w:rsid w:val="00A120FD"/>
    <w:rsid w:val="00A1216E"/>
    <w:rsid w:val="00A1218D"/>
    <w:rsid w:val="00A122FE"/>
    <w:rsid w:val="00A125BC"/>
    <w:rsid w:val="00A125C6"/>
    <w:rsid w:val="00A126B7"/>
    <w:rsid w:val="00A126D4"/>
    <w:rsid w:val="00A126F6"/>
    <w:rsid w:val="00A127BB"/>
    <w:rsid w:val="00A1295B"/>
    <w:rsid w:val="00A1296E"/>
    <w:rsid w:val="00A12990"/>
    <w:rsid w:val="00A12A33"/>
    <w:rsid w:val="00A12A5F"/>
    <w:rsid w:val="00A12DBC"/>
    <w:rsid w:val="00A12EE3"/>
    <w:rsid w:val="00A12F8E"/>
    <w:rsid w:val="00A1307E"/>
    <w:rsid w:val="00A1314B"/>
    <w:rsid w:val="00A131AC"/>
    <w:rsid w:val="00A13414"/>
    <w:rsid w:val="00A13455"/>
    <w:rsid w:val="00A136A4"/>
    <w:rsid w:val="00A13750"/>
    <w:rsid w:val="00A13779"/>
    <w:rsid w:val="00A1389F"/>
    <w:rsid w:val="00A138D6"/>
    <w:rsid w:val="00A13967"/>
    <w:rsid w:val="00A13B7A"/>
    <w:rsid w:val="00A13D84"/>
    <w:rsid w:val="00A13F25"/>
    <w:rsid w:val="00A13F31"/>
    <w:rsid w:val="00A13FB7"/>
    <w:rsid w:val="00A141E2"/>
    <w:rsid w:val="00A1421E"/>
    <w:rsid w:val="00A1441F"/>
    <w:rsid w:val="00A1452F"/>
    <w:rsid w:val="00A146B4"/>
    <w:rsid w:val="00A146E1"/>
    <w:rsid w:val="00A148AE"/>
    <w:rsid w:val="00A14AF9"/>
    <w:rsid w:val="00A14C56"/>
    <w:rsid w:val="00A14DA6"/>
    <w:rsid w:val="00A14E72"/>
    <w:rsid w:val="00A14EBE"/>
    <w:rsid w:val="00A14EC9"/>
    <w:rsid w:val="00A14EFE"/>
    <w:rsid w:val="00A15065"/>
    <w:rsid w:val="00A15490"/>
    <w:rsid w:val="00A15491"/>
    <w:rsid w:val="00A1552D"/>
    <w:rsid w:val="00A15684"/>
    <w:rsid w:val="00A156CC"/>
    <w:rsid w:val="00A156EE"/>
    <w:rsid w:val="00A1574C"/>
    <w:rsid w:val="00A157B1"/>
    <w:rsid w:val="00A157B8"/>
    <w:rsid w:val="00A1588C"/>
    <w:rsid w:val="00A1589B"/>
    <w:rsid w:val="00A158EE"/>
    <w:rsid w:val="00A158F9"/>
    <w:rsid w:val="00A15901"/>
    <w:rsid w:val="00A159EA"/>
    <w:rsid w:val="00A15AF7"/>
    <w:rsid w:val="00A15BF7"/>
    <w:rsid w:val="00A15C3B"/>
    <w:rsid w:val="00A15F88"/>
    <w:rsid w:val="00A1605A"/>
    <w:rsid w:val="00A160B8"/>
    <w:rsid w:val="00A165CD"/>
    <w:rsid w:val="00A16606"/>
    <w:rsid w:val="00A1665B"/>
    <w:rsid w:val="00A1681A"/>
    <w:rsid w:val="00A168A5"/>
    <w:rsid w:val="00A16965"/>
    <w:rsid w:val="00A16B93"/>
    <w:rsid w:val="00A16C2C"/>
    <w:rsid w:val="00A16DF4"/>
    <w:rsid w:val="00A16FE7"/>
    <w:rsid w:val="00A17656"/>
    <w:rsid w:val="00A17B24"/>
    <w:rsid w:val="00A17B51"/>
    <w:rsid w:val="00A17B90"/>
    <w:rsid w:val="00A17CB3"/>
    <w:rsid w:val="00A17F9A"/>
    <w:rsid w:val="00A17FCA"/>
    <w:rsid w:val="00A2025B"/>
    <w:rsid w:val="00A206CE"/>
    <w:rsid w:val="00A2082A"/>
    <w:rsid w:val="00A21104"/>
    <w:rsid w:val="00A21483"/>
    <w:rsid w:val="00A21856"/>
    <w:rsid w:val="00A2195F"/>
    <w:rsid w:val="00A21B4A"/>
    <w:rsid w:val="00A21D38"/>
    <w:rsid w:val="00A21FDA"/>
    <w:rsid w:val="00A22229"/>
    <w:rsid w:val="00A229D4"/>
    <w:rsid w:val="00A229DB"/>
    <w:rsid w:val="00A22DE1"/>
    <w:rsid w:val="00A2332B"/>
    <w:rsid w:val="00A23362"/>
    <w:rsid w:val="00A23432"/>
    <w:rsid w:val="00A23469"/>
    <w:rsid w:val="00A2355B"/>
    <w:rsid w:val="00A23631"/>
    <w:rsid w:val="00A23724"/>
    <w:rsid w:val="00A23B58"/>
    <w:rsid w:val="00A23B61"/>
    <w:rsid w:val="00A23C28"/>
    <w:rsid w:val="00A23D26"/>
    <w:rsid w:val="00A24016"/>
    <w:rsid w:val="00A24282"/>
    <w:rsid w:val="00A24442"/>
    <w:rsid w:val="00A24A21"/>
    <w:rsid w:val="00A24A73"/>
    <w:rsid w:val="00A24ADA"/>
    <w:rsid w:val="00A24CFC"/>
    <w:rsid w:val="00A24DB3"/>
    <w:rsid w:val="00A24FD9"/>
    <w:rsid w:val="00A2502A"/>
    <w:rsid w:val="00A250A3"/>
    <w:rsid w:val="00A25181"/>
    <w:rsid w:val="00A2541D"/>
    <w:rsid w:val="00A254A5"/>
    <w:rsid w:val="00A2555B"/>
    <w:rsid w:val="00A255AA"/>
    <w:rsid w:val="00A256A2"/>
    <w:rsid w:val="00A25A3C"/>
    <w:rsid w:val="00A25B3A"/>
    <w:rsid w:val="00A25C6B"/>
    <w:rsid w:val="00A25F31"/>
    <w:rsid w:val="00A264FB"/>
    <w:rsid w:val="00A2679B"/>
    <w:rsid w:val="00A26801"/>
    <w:rsid w:val="00A268DE"/>
    <w:rsid w:val="00A26979"/>
    <w:rsid w:val="00A26AB5"/>
    <w:rsid w:val="00A26AC8"/>
    <w:rsid w:val="00A26BF9"/>
    <w:rsid w:val="00A26C21"/>
    <w:rsid w:val="00A26FCD"/>
    <w:rsid w:val="00A2705D"/>
    <w:rsid w:val="00A270BD"/>
    <w:rsid w:val="00A27114"/>
    <w:rsid w:val="00A2735F"/>
    <w:rsid w:val="00A2755F"/>
    <w:rsid w:val="00A27A8D"/>
    <w:rsid w:val="00A27AAF"/>
    <w:rsid w:val="00A27AEC"/>
    <w:rsid w:val="00A27C8E"/>
    <w:rsid w:val="00A27DC5"/>
    <w:rsid w:val="00A27E2E"/>
    <w:rsid w:val="00A27F50"/>
    <w:rsid w:val="00A30006"/>
    <w:rsid w:val="00A3016E"/>
    <w:rsid w:val="00A302A6"/>
    <w:rsid w:val="00A303A9"/>
    <w:rsid w:val="00A30401"/>
    <w:rsid w:val="00A30440"/>
    <w:rsid w:val="00A30878"/>
    <w:rsid w:val="00A30A01"/>
    <w:rsid w:val="00A30B90"/>
    <w:rsid w:val="00A30C44"/>
    <w:rsid w:val="00A30C53"/>
    <w:rsid w:val="00A30CB9"/>
    <w:rsid w:val="00A30CE4"/>
    <w:rsid w:val="00A30E09"/>
    <w:rsid w:val="00A30E27"/>
    <w:rsid w:val="00A30FEC"/>
    <w:rsid w:val="00A3104C"/>
    <w:rsid w:val="00A31081"/>
    <w:rsid w:val="00A31149"/>
    <w:rsid w:val="00A313DD"/>
    <w:rsid w:val="00A31871"/>
    <w:rsid w:val="00A318DA"/>
    <w:rsid w:val="00A31ACD"/>
    <w:rsid w:val="00A31B09"/>
    <w:rsid w:val="00A31B50"/>
    <w:rsid w:val="00A31C22"/>
    <w:rsid w:val="00A31CBB"/>
    <w:rsid w:val="00A31E17"/>
    <w:rsid w:val="00A32088"/>
    <w:rsid w:val="00A322E3"/>
    <w:rsid w:val="00A32476"/>
    <w:rsid w:val="00A32494"/>
    <w:rsid w:val="00A32577"/>
    <w:rsid w:val="00A326EA"/>
    <w:rsid w:val="00A327D1"/>
    <w:rsid w:val="00A328DF"/>
    <w:rsid w:val="00A328E0"/>
    <w:rsid w:val="00A3291E"/>
    <w:rsid w:val="00A32AFB"/>
    <w:rsid w:val="00A32EE5"/>
    <w:rsid w:val="00A3303F"/>
    <w:rsid w:val="00A330BB"/>
    <w:rsid w:val="00A3315B"/>
    <w:rsid w:val="00A333B9"/>
    <w:rsid w:val="00A33584"/>
    <w:rsid w:val="00A33611"/>
    <w:rsid w:val="00A336EF"/>
    <w:rsid w:val="00A337B2"/>
    <w:rsid w:val="00A337CF"/>
    <w:rsid w:val="00A338DD"/>
    <w:rsid w:val="00A339B8"/>
    <w:rsid w:val="00A33A8A"/>
    <w:rsid w:val="00A33F56"/>
    <w:rsid w:val="00A33F57"/>
    <w:rsid w:val="00A340D5"/>
    <w:rsid w:val="00A34514"/>
    <w:rsid w:val="00A345B8"/>
    <w:rsid w:val="00A347E5"/>
    <w:rsid w:val="00A348B8"/>
    <w:rsid w:val="00A348D3"/>
    <w:rsid w:val="00A34DA7"/>
    <w:rsid w:val="00A34E1D"/>
    <w:rsid w:val="00A34ECE"/>
    <w:rsid w:val="00A34F1E"/>
    <w:rsid w:val="00A350D6"/>
    <w:rsid w:val="00A3530B"/>
    <w:rsid w:val="00A35498"/>
    <w:rsid w:val="00A35637"/>
    <w:rsid w:val="00A356FF"/>
    <w:rsid w:val="00A35722"/>
    <w:rsid w:val="00A35826"/>
    <w:rsid w:val="00A3584B"/>
    <w:rsid w:val="00A35966"/>
    <w:rsid w:val="00A35A01"/>
    <w:rsid w:val="00A35A64"/>
    <w:rsid w:val="00A35ADE"/>
    <w:rsid w:val="00A35D11"/>
    <w:rsid w:val="00A35E20"/>
    <w:rsid w:val="00A35FFF"/>
    <w:rsid w:val="00A360D8"/>
    <w:rsid w:val="00A361B9"/>
    <w:rsid w:val="00A361CC"/>
    <w:rsid w:val="00A36210"/>
    <w:rsid w:val="00A36224"/>
    <w:rsid w:val="00A364F0"/>
    <w:rsid w:val="00A365C9"/>
    <w:rsid w:val="00A365D6"/>
    <w:rsid w:val="00A36619"/>
    <w:rsid w:val="00A36697"/>
    <w:rsid w:val="00A367C0"/>
    <w:rsid w:val="00A369E7"/>
    <w:rsid w:val="00A36AEF"/>
    <w:rsid w:val="00A36B35"/>
    <w:rsid w:val="00A36B8D"/>
    <w:rsid w:val="00A36E4D"/>
    <w:rsid w:val="00A36E71"/>
    <w:rsid w:val="00A36E76"/>
    <w:rsid w:val="00A36F6D"/>
    <w:rsid w:val="00A37036"/>
    <w:rsid w:val="00A370FB"/>
    <w:rsid w:val="00A37121"/>
    <w:rsid w:val="00A3718E"/>
    <w:rsid w:val="00A37196"/>
    <w:rsid w:val="00A3719C"/>
    <w:rsid w:val="00A37203"/>
    <w:rsid w:val="00A3727C"/>
    <w:rsid w:val="00A3738D"/>
    <w:rsid w:val="00A374F8"/>
    <w:rsid w:val="00A375A0"/>
    <w:rsid w:val="00A376BB"/>
    <w:rsid w:val="00A3770F"/>
    <w:rsid w:val="00A37945"/>
    <w:rsid w:val="00A37A90"/>
    <w:rsid w:val="00A37B98"/>
    <w:rsid w:val="00A37D05"/>
    <w:rsid w:val="00A37D0E"/>
    <w:rsid w:val="00A37E90"/>
    <w:rsid w:val="00A40044"/>
    <w:rsid w:val="00A40280"/>
    <w:rsid w:val="00A40425"/>
    <w:rsid w:val="00A404FE"/>
    <w:rsid w:val="00A4078E"/>
    <w:rsid w:val="00A40912"/>
    <w:rsid w:val="00A40AF3"/>
    <w:rsid w:val="00A40B78"/>
    <w:rsid w:val="00A40D3D"/>
    <w:rsid w:val="00A40F68"/>
    <w:rsid w:val="00A41150"/>
    <w:rsid w:val="00A41160"/>
    <w:rsid w:val="00A412AC"/>
    <w:rsid w:val="00A41491"/>
    <w:rsid w:val="00A41708"/>
    <w:rsid w:val="00A41996"/>
    <w:rsid w:val="00A4216A"/>
    <w:rsid w:val="00A424EB"/>
    <w:rsid w:val="00A42833"/>
    <w:rsid w:val="00A429CD"/>
    <w:rsid w:val="00A42E15"/>
    <w:rsid w:val="00A42FAB"/>
    <w:rsid w:val="00A432C8"/>
    <w:rsid w:val="00A43358"/>
    <w:rsid w:val="00A43455"/>
    <w:rsid w:val="00A43526"/>
    <w:rsid w:val="00A43599"/>
    <w:rsid w:val="00A43805"/>
    <w:rsid w:val="00A43A43"/>
    <w:rsid w:val="00A43A4E"/>
    <w:rsid w:val="00A43BA5"/>
    <w:rsid w:val="00A43C31"/>
    <w:rsid w:val="00A43CA6"/>
    <w:rsid w:val="00A43CBD"/>
    <w:rsid w:val="00A43CEF"/>
    <w:rsid w:val="00A43D78"/>
    <w:rsid w:val="00A44066"/>
    <w:rsid w:val="00A44346"/>
    <w:rsid w:val="00A4439C"/>
    <w:rsid w:val="00A443CA"/>
    <w:rsid w:val="00A446E1"/>
    <w:rsid w:val="00A446E7"/>
    <w:rsid w:val="00A446F5"/>
    <w:rsid w:val="00A44882"/>
    <w:rsid w:val="00A44ADA"/>
    <w:rsid w:val="00A44FC2"/>
    <w:rsid w:val="00A4501B"/>
    <w:rsid w:val="00A45095"/>
    <w:rsid w:val="00A45125"/>
    <w:rsid w:val="00A4512E"/>
    <w:rsid w:val="00A4517E"/>
    <w:rsid w:val="00A4522F"/>
    <w:rsid w:val="00A453EA"/>
    <w:rsid w:val="00A455AD"/>
    <w:rsid w:val="00A4562E"/>
    <w:rsid w:val="00A45667"/>
    <w:rsid w:val="00A45979"/>
    <w:rsid w:val="00A459C1"/>
    <w:rsid w:val="00A45A40"/>
    <w:rsid w:val="00A45BBF"/>
    <w:rsid w:val="00A45C3A"/>
    <w:rsid w:val="00A45C47"/>
    <w:rsid w:val="00A45C7A"/>
    <w:rsid w:val="00A45DA8"/>
    <w:rsid w:val="00A45E2B"/>
    <w:rsid w:val="00A460F8"/>
    <w:rsid w:val="00A462B9"/>
    <w:rsid w:val="00A465A8"/>
    <w:rsid w:val="00A46634"/>
    <w:rsid w:val="00A467C9"/>
    <w:rsid w:val="00A467CB"/>
    <w:rsid w:val="00A469B1"/>
    <w:rsid w:val="00A46D22"/>
    <w:rsid w:val="00A46EBA"/>
    <w:rsid w:val="00A4728A"/>
    <w:rsid w:val="00A47338"/>
    <w:rsid w:val="00A4773F"/>
    <w:rsid w:val="00A477A6"/>
    <w:rsid w:val="00A47FEB"/>
    <w:rsid w:val="00A500FD"/>
    <w:rsid w:val="00A50270"/>
    <w:rsid w:val="00A50337"/>
    <w:rsid w:val="00A505EA"/>
    <w:rsid w:val="00A5067F"/>
    <w:rsid w:val="00A5068B"/>
    <w:rsid w:val="00A506C7"/>
    <w:rsid w:val="00A50A46"/>
    <w:rsid w:val="00A50A66"/>
    <w:rsid w:val="00A50A8F"/>
    <w:rsid w:val="00A50A92"/>
    <w:rsid w:val="00A50C5D"/>
    <w:rsid w:val="00A50DBE"/>
    <w:rsid w:val="00A510E0"/>
    <w:rsid w:val="00A511D8"/>
    <w:rsid w:val="00A5140B"/>
    <w:rsid w:val="00A51455"/>
    <w:rsid w:val="00A5158F"/>
    <w:rsid w:val="00A5160E"/>
    <w:rsid w:val="00A5164B"/>
    <w:rsid w:val="00A516E3"/>
    <w:rsid w:val="00A517ED"/>
    <w:rsid w:val="00A519AB"/>
    <w:rsid w:val="00A51ADD"/>
    <w:rsid w:val="00A51AE9"/>
    <w:rsid w:val="00A51E28"/>
    <w:rsid w:val="00A51E54"/>
    <w:rsid w:val="00A51F5A"/>
    <w:rsid w:val="00A51FF0"/>
    <w:rsid w:val="00A521A4"/>
    <w:rsid w:val="00A522CE"/>
    <w:rsid w:val="00A52322"/>
    <w:rsid w:val="00A52359"/>
    <w:rsid w:val="00A52458"/>
    <w:rsid w:val="00A5249F"/>
    <w:rsid w:val="00A524B2"/>
    <w:rsid w:val="00A52615"/>
    <w:rsid w:val="00A52741"/>
    <w:rsid w:val="00A527F8"/>
    <w:rsid w:val="00A52844"/>
    <w:rsid w:val="00A52991"/>
    <w:rsid w:val="00A52FE4"/>
    <w:rsid w:val="00A53075"/>
    <w:rsid w:val="00A5310D"/>
    <w:rsid w:val="00A531FD"/>
    <w:rsid w:val="00A532D3"/>
    <w:rsid w:val="00A53437"/>
    <w:rsid w:val="00A5345A"/>
    <w:rsid w:val="00A534E4"/>
    <w:rsid w:val="00A5363C"/>
    <w:rsid w:val="00A53641"/>
    <w:rsid w:val="00A53781"/>
    <w:rsid w:val="00A53A72"/>
    <w:rsid w:val="00A53AB8"/>
    <w:rsid w:val="00A53D97"/>
    <w:rsid w:val="00A53EE6"/>
    <w:rsid w:val="00A54061"/>
    <w:rsid w:val="00A5407E"/>
    <w:rsid w:val="00A54281"/>
    <w:rsid w:val="00A542B2"/>
    <w:rsid w:val="00A5442A"/>
    <w:rsid w:val="00A5449A"/>
    <w:rsid w:val="00A54625"/>
    <w:rsid w:val="00A54715"/>
    <w:rsid w:val="00A54780"/>
    <w:rsid w:val="00A5478E"/>
    <w:rsid w:val="00A54880"/>
    <w:rsid w:val="00A548C3"/>
    <w:rsid w:val="00A54974"/>
    <w:rsid w:val="00A54982"/>
    <w:rsid w:val="00A54C19"/>
    <w:rsid w:val="00A54C44"/>
    <w:rsid w:val="00A54E32"/>
    <w:rsid w:val="00A54F0C"/>
    <w:rsid w:val="00A550AA"/>
    <w:rsid w:val="00A552FD"/>
    <w:rsid w:val="00A55385"/>
    <w:rsid w:val="00A55483"/>
    <w:rsid w:val="00A554BB"/>
    <w:rsid w:val="00A5578B"/>
    <w:rsid w:val="00A5588C"/>
    <w:rsid w:val="00A55928"/>
    <w:rsid w:val="00A55982"/>
    <w:rsid w:val="00A55A51"/>
    <w:rsid w:val="00A55B61"/>
    <w:rsid w:val="00A55C91"/>
    <w:rsid w:val="00A55E81"/>
    <w:rsid w:val="00A56159"/>
    <w:rsid w:val="00A5622F"/>
    <w:rsid w:val="00A566CB"/>
    <w:rsid w:val="00A56722"/>
    <w:rsid w:val="00A56810"/>
    <w:rsid w:val="00A5693B"/>
    <w:rsid w:val="00A56A34"/>
    <w:rsid w:val="00A56B04"/>
    <w:rsid w:val="00A56B40"/>
    <w:rsid w:val="00A56BF1"/>
    <w:rsid w:val="00A56C3E"/>
    <w:rsid w:val="00A56CCE"/>
    <w:rsid w:val="00A56E24"/>
    <w:rsid w:val="00A56E5A"/>
    <w:rsid w:val="00A57067"/>
    <w:rsid w:val="00A570B9"/>
    <w:rsid w:val="00A5792A"/>
    <w:rsid w:val="00A57B02"/>
    <w:rsid w:val="00A57CD8"/>
    <w:rsid w:val="00A57D74"/>
    <w:rsid w:val="00A57DA4"/>
    <w:rsid w:val="00A6019D"/>
    <w:rsid w:val="00A6024E"/>
    <w:rsid w:val="00A60523"/>
    <w:rsid w:val="00A6052B"/>
    <w:rsid w:val="00A605D1"/>
    <w:rsid w:val="00A605E6"/>
    <w:rsid w:val="00A6061C"/>
    <w:rsid w:val="00A60689"/>
    <w:rsid w:val="00A60770"/>
    <w:rsid w:val="00A608E2"/>
    <w:rsid w:val="00A60A3B"/>
    <w:rsid w:val="00A60AD7"/>
    <w:rsid w:val="00A60B0F"/>
    <w:rsid w:val="00A60CFF"/>
    <w:rsid w:val="00A60D4D"/>
    <w:rsid w:val="00A60F27"/>
    <w:rsid w:val="00A61090"/>
    <w:rsid w:val="00A611BC"/>
    <w:rsid w:val="00A612E5"/>
    <w:rsid w:val="00A61516"/>
    <w:rsid w:val="00A615EE"/>
    <w:rsid w:val="00A61778"/>
    <w:rsid w:val="00A617BA"/>
    <w:rsid w:val="00A618AC"/>
    <w:rsid w:val="00A618C8"/>
    <w:rsid w:val="00A61982"/>
    <w:rsid w:val="00A61AAE"/>
    <w:rsid w:val="00A61B9F"/>
    <w:rsid w:val="00A61BC8"/>
    <w:rsid w:val="00A61CDC"/>
    <w:rsid w:val="00A61D1F"/>
    <w:rsid w:val="00A62140"/>
    <w:rsid w:val="00A62213"/>
    <w:rsid w:val="00A6225B"/>
    <w:rsid w:val="00A6253D"/>
    <w:rsid w:val="00A6284A"/>
    <w:rsid w:val="00A629B8"/>
    <w:rsid w:val="00A62AAB"/>
    <w:rsid w:val="00A62CE4"/>
    <w:rsid w:val="00A62D44"/>
    <w:rsid w:val="00A62EEE"/>
    <w:rsid w:val="00A62F1D"/>
    <w:rsid w:val="00A63083"/>
    <w:rsid w:val="00A632C7"/>
    <w:rsid w:val="00A6336A"/>
    <w:rsid w:val="00A635BD"/>
    <w:rsid w:val="00A63693"/>
    <w:rsid w:val="00A63A9D"/>
    <w:rsid w:val="00A63BDF"/>
    <w:rsid w:val="00A63BEA"/>
    <w:rsid w:val="00A63D84"/>
    <w:rsid w:val="00A63E98"/>
    <w:rsid w:val="00A63F9D"/>
    <w:rsid w:val="00A6405E"/>
    <w:rsid w:val="00A64167"/>
    <w:rsid w:val="00A6432B"/>
    <w:rsid w:val="00A643A6"/>
    <w:rsid w:val="00A6446C"/>
    <w:rsid w:val="00A64533"/>
    <w:rsid w:val="00A6469A"/>
    <w:rsid w:val="00A64D4D"/>
    <w:rsid w:val="00A64DA4"/>
    <w:rsid w:val="00A64DF4"/>
    <w:rsid w:val="00A65132"/>
    <w:rsid w:val="00A65193"/>
    <w:rsid w:val="00A65286"/>
    <w:rsid w:val="00A6576B"/>
    <w:rsid w:val="00A65998"/>
    <w:rsid w:val="00A65D7D"/>
    <w:rsid w:val="00A65E49"/>
    <w:rsid w:val="00A66595"/>
    <w:rsid w:val="00A66652"/>
    <w:rsid w:val="00A666D6"/>
    <w:rsid w:val="00A66929"/>
    <w:rsid w:val="00A66AAE"/>
    <w:rsid w:val="00A66AAF"/>
    <w:rsid w:val="00A66E27"/>
    <w:rsid w:val="00A66F15"/>
    <w:rsid w:val="00A67063"/>
    <w:rsid w:val="00A67263"/>
    <w:rsid w:val="00A67276"/>
    <w:rsid w:val="00A673B8"/>
    <w:rsid w:val="00A673E6"/>
    <w:rsid w:val="00A67405"/>
    <w:rsid w:val="00A674F8"/>
    <w:rsid w:val="00A67622"/>
    <w:rsid w:val="00A6790A"/>
    <w:rsid w:val="00A67C15"/>
    <w:rsid w:val="00A67D5C"/>
    <w:rsid w:val="00A67FBB"/>
    <w:rsid w:val="00A700C6"/>
    <w:rsid w:val="00A700E2"/>
    <w:rsid w:val="00A702B7"/>
    <w:rsid w:val="00A70528"/>
    <w:rsid w:val="00A706D2"/>
    <w:rsid w:val="00A70871"/>
    <w:rsid w:val="00A70951"/>
    <w:rsid w:val="00A70A40"/>
    <w:rsid w:val="00A70C39"/>
    <w:rsid w:val="00A70C7D"/>
    <w:rsid w:val="00A70C86"/>
    <w:rsid w:val="00A70D6F"/>
    <w:rsid w:val="00A70E01"/>
    <w:rsid w:val="00A70EE9"/>
    <w:rsid w:val="00A71212"/>
    <w:rsid w:val="00A71274"/>
    <w:rsid w:val="00A714D5"/>
    <w:rsid w:val="00A7152B"/>
    <w:rsid w:val="00A7158B"/>
    <w:rsid w:val="00A7161C"/>
    <w:rsid w:val="00A7163B"/>
    <w:rsid w:val="00A7166B"/>
    <w:rsid w:val="00A71829"/>
    <w:rsid w:val="00A7184F"/>
    <w:rsid w:val="00A7185C"/>
    <w:rsid w:val="00A718DB"/>
    <w:rsid w:val="00A718F4"/>
    <w:rsid w:val="00A71B69"/>
    <w:rsid w:val="00A71CE4"/>
    <w:rsid w:val="00A7272B"/>
    <w:rsid w:val="00A72A55"/>
    <w:rsid w:val="00A72B01"/>
    <w:rsid w:val="00A72D99"/>
    <w:rsid w:val="00A73008"/>
    <w:rsid w:val="00A7346B"/>
    <w:rsid w:val="00A736CA"/>
    <w:rsid w:val="00A7387A"/>
    <w:rsid w:val="00A7398D"/>
    <w:rsid w:val="00A739EB"/>
    <w:rsid w:val="00A73B05"/>
    <w:rsid w:val="00A73B21"/>
    <w:rsid w:val="00A73B45"/>
    <w:rsid w:val="00A73BDB"/>
    <w:rsid w:val="00A73BDE"/>
    <w:rsid w:val="00A73D9B"/>
    <w:rsid w:val="00A73FCB"/>
    <w:rsid w:val="00A74023"/>
    <w:rsid w:val="00A7403B"/>
    <w:rsid w:val="00A74104"/>
    <w:rsid w:val="00A742F5"/>
    <w:rsid w:val="00A74439"/>
    <w:rsid w:val="00A74473"/>
    <w:rsid w:val="00A74520"/>
    <w:rsid w:val="00A74C5E"/>
    <w:rsid w:val="00A74CDB"/>
    <w:rsid w:val="00A74E58"/>
    <w:rsid w:val="00A74F38"/>
    <w:rsid w:val="00A74F54"/>
    <w:rsid w:val="00A75172"/>
    <w:rsid w:val="00A755EC"/>
    <w:rsid w:val="00A756CF"/>
    <w:rsid w:val="00A75914"/>
    <w:rsid w:val="00A75C51"/>
    <w:rsid w:val="00A75FF3"/>
    <w:rsid w:val="00A7604E"/>
    <w:rsid w:val="00A761B3"/>
    <w:rsid w:val="00A761C8"/>
    <w:rsid w:val="00A7627C"/>
    <w:rsid w:val="00A7662E"/>
    <w:rsid w:val="00A76652"/>
    <w:rsid w:val="00A767F4"/>
    <w:rsid w:val="00A768AB"/>
    <w:rsid w:val="00A76AF2"/>
    <w:rsid w:val="00A77013"/>
    <w:rsid w:val="00A77156"/>
    <w:rsid w:val="00A776DF"/>
    <w:rsid w:val="00A77A5D"/>
    <w:rsid w:val="00A77A6C"/>
    <w:rsid w:val="00A77A9B"/>
    <w:rsid w:val="00A77AA3"/>
    <w:rsid w:val="00A77C94"/>
    <w:rsid w:val="00A77DE9"/>
    <w:rsid w:val="00A77E06"/>
    <w:rsid w:val="00A8013A"/>
    <w:rsid w:val="00A8016C"/>
    <w:rsid w:val="00A802A0"/>
    <w:rsid w:val="00A802A9"/>
    <w:rsid w:val="00A80AE6"/>
    <w:rsid w:val="00A80B18"/>
    <w:rsid w:val="00A80C94"/>
    <w:rsid w:val="00A8102B"/>
    <w:rsid w:val="00A81047"/>
    <w:rsid w:val="00A81094"/>
    <w:rsid w:val="00A810E1"/>
    <w:rsid w:val="00A81105"/>
    <w:rsid w:val="00A81214"/>
    <w:rsid w:val="00A812DE"/>
    <w:rsid w:val="00A815F7"/>
    <w:rsid w:val="00A819F0"/>
    <w:rsid w:val="00A81A08"/>
    <w:rsid w:val="00A81A0A"/>
    <w:rsid w:val="00A81A79"/>
    <w:rsid w:val="00A81B2C"/>
    <w:rsid w:val="00A81BB4"/>
    <w:rsid w:val="00A81C54"/>
    <w:rsid w:val="00A81D04"/>
    <w:rsid w:val="00A81E66"/>
    <w:rsid w:val="00A81EFF"/>
    <w:rsid w:val="00A81F2A"/>
    <w:rsid w:val="00A821BA"/>
    <w:rsid w:val="00A8231B"/>
    <w:rsid w:val="00A8236D"/>
    <w:rsid w:val="00A825A7"/>
    <w:rsid w:val="00A825AA"/>
    <w:rsid w:val="00A8262D"/>
    <w:rsid w:val="00A828E9"/>
    <w:rsid w:val="00A82999"/>
    <w:rsid w:val="00A82B81"/>
    <w:rsid w:val="00A82C09"/>
    <w:rsid w:val="00A82D10"/>
    <w:rsid w:val="00A82E3C"/>
    <w:rsid w:val="00A82F96"/>
    <w:rsid w:val="00A8305B"/>
    <w:rsid w:val="00A83064"/>
    <w:rsid w:val="00A833BF"/>
    <w:rsid w:val="00A83444"/>
    <w:rsid w:val="00A834C1"/>
    <w:rsid w:val="00A8357C"/>
    <w:rsid w:val="00A835D2"/>
    <w:rsid w:val="00A8365E"/>
    <w:rsid w:val="00A8375C"/>
    <w:rsid w:val="00A837BF"/>
    <w:rsid w:val="00A83B14"/>
    <w:rsid w:val="00A83B39"/>
    <w:rsid w:val="00A83D38"/>
    <w:rsid w:val="00A84347"/>
    <w:rsid w:val="00A8444A"/>
    <w:rsid w:val="00A84586"/>
    <w:rsid w:val="00A8477B"/>
    <w:rsid w:val="00A848D3"/>
    <w:rsid w:val="00A84C91"/>
    <w:rsid w:val="00A84CAB"/>
    <w:rsid w:val="00A84CEA"/>
    <w:rsid w:val="00A84D61"/>
    <w:rsid w:val="00A84ED8"/>
    <w:rsid w:val="00A84FD7"/>
    <w:rsid w:val="00A85301"/>
    <w:rsid w:val="00A854EB"/>
    <w:rsid w:val="00A855F9"/>
    <w:rsid w:val="00A857D6"/>
    <w:rsid w:val="00A85887"/>
    <w:rsid w:val="00A85903"/>
    <w:rsid w:val="00A8590D"/>
    <w:rsid w:val="00A85C96"/>
    <w:rsid w:val="00A85E57"/>
    <w:rsid w:val="00A85EC2"/>
    <w:rsid w:val="00A8607F"/>
    <w:rsid w:val="00A860F5"/>
    <w:rsid w:val="00A8611B"/>
    <w:rsid w:val="00A8614F"/>
    <w:rsid w:val="00A86365"/>
    <w:rsid w:val="00A86402"/>
    <w:rsid w:val="00A864C8"/>
    <w:rsid w:val="00A86501"/>
    <w:rsid w:val="00A86526"/>
    <w:rsid w:val="00A865C7"/>
    <w:rsid w:val="00A8674A"/>
    <w:rsid w:val="00A8676D"/>
    <w:rsid w:val="00A86987"/>
    <w:rsid w:val="00A86C97"/>
    <w:rsid w:val="00A86CA8"/>
    <w:rsid w:val="00A86D73"/>
    <w:rsid w:val="00A86E31"/>
    <w:rsid w:val="00A86E84"/>
    <w:rsid w:val="00A86E94"/>
    <w:rsid w:val="00A86FD7"/>
    <w:rsid w:val="00A87042"/>
    <w:rsid w:val="00A871E5"/>
    <w:rsid w:val="00A872E5"/>
    <w:rsid w:val="00A87350"/>
    <w:rsid w:val="00A874EC"/>
    <w:rsid w:val="00A8757B"/>
    <w:rsid w:val="00A87581"/>
    <w:rsid w:val="00A87774"/>
    <w:rsid w:val="00A87958"/>
    <w:rsid w:val="00A87B8B"/>
    <w:rsid w:val="00A87CF3"/>
    <w:rsid w:val="00A87DD3"/>
    <w:rsid w:val="00A87E5D"/>
    <w:rsid w:val="00A87ED0"/>
    <w:rsid w:val="00A9006E"/>
    <w:rsid w:val="00A90100"/>
    <w:rsid w:val="00A90167"/>
    <w:rsid w:val="00A90324"/>
    <w:rsid w:val="00A903A4"/>
    <w:rsid w:val="00A90496"/>
    <w:rsid w:val="00A906D8"/>
    <w:rsid w:val="00A90ADE"/>
    <w:rsid w:val="00A90C2A"/>
    <w:rsid w:val="00A90C62"/>
    <w:rsid w:val="00A90E4E"/>
    <w:rsid w:val="00A91363"/>
    <w:rsid w:val="00A913E7"/>
    <w:rsid w:val="00A913F1"/>
    <w:rsid w:val="00A91406"/>
    <w:rsid w:val="00A91620"/>
    <w:rsid w:val="00A91687"/>
    <w:rsid w:val="00A916F0"/>
    <w:rsid w:val="00A91A2B"/>
    <w:rsid w:val="00A92122"/>
    <w:rsid w:val="00A92160"/>
    <w:rsid w:val="00A923D9"/>
    <w:rsid w:val="00A9263E"/>
    <w:rsid w:val="00A92721"/>
    <w:rsid w:val="00A92837"/>
    <w:rsid w:val="00A92F92"/>
    <w:rsid w:val="00A92FCF"/>
    <w:rsid w:val="00A93033"/>
    <w:rsid w:val="00A930B0"/>
    <w:rsid w:val="00A93373"/>
    <w:rsid w:val="00A934D7"/>
    <w:rsid w:val="00A93596"/>
    <w:rsid w:val="00A936F5"/>
    <w:rsid w:val="00A93783"/>
    <w:rsid w:val="00A939B7"/>
    <w:rsid w:val="00A93B8C"/>
    <w:rsid w:val="00A93BB3"/>
    <w:rsid w:val="00A93CEB"/>
    <w:rsid w:val="00A93D62"/>
    <w:rsid w:val="00A93F11"/>
    <w:rsid w:val="00A93FB7"/>
    <w:rsid w:val="00A93FEA"/>
    <w:rsid w:val="00A9409D"/>
    <w:rsid w:val="00A94173"/>
    <w:rsid w:val="00A941B1"/>
    <w:rsid w:val="00A94343"/>
    <w:rsid w:val="00A94395"/>
    <w:rsid w:val="00A943B6"/>
    <w:rsid w:val="00A9448D"/>
    <w:rsid w:val="00A94703"/>
    <w:rsid w:val="00A94722"/>
    <w:rsid w:val="00A94727"/>
    <w:rsid w:val="00A94F37"/>
    <w:rsid w:val="00A950DF"/>
    <w:rsid w:val="00A950EC"/>
    <w:rsid w:val="00A95153"/>
    <w:rsid w:val="00A9531E"/>
    <w:rsid w:val="00A95397"/>
    <w:rsid w:val="00A95535"/>
    <w:rsid w:val="00A95842"/>
    <w:rsid w:val="00A9586C"/>
    <w:rsid w:val="00A95924"/>
    <w:rsid w:val="00A959C4"/>
    <w:rsid w:val="00A95BAA"/>
    <w:rsid w:val="00A95CE5"/>
    <w:rsid w:val="00A95FB2"/>
    <w:rsid w:val="00A960C2"/>
    <w:rsid w:val="00A960D4"/>
    <w:rsid w:val="00A962AD"/>
    <w:rsid w:val="00A96497"/>
    <w:rsid w:val="00A96504"/>
    <w:rsid w:val="00A9676E"/>
    <w:rsid w:val="00A967A0"/>
    <w:rsid w:val="00A96884"/>
    <w:rsid w:val="00A96931"/>
    <w:rsid w:val="00A96A34"/>
    <w:rsid w:val="00A96B21"/>
    <w:rsid w:val="00A96C72"/>
    <w:rsid w:val="00A96CF8"/>
    <w:rsid w:val="00A96D6D"/>
    <w:rsid w:val="00A96E65"/>
    <w:rsid w:val="00A96ECE"/>
    <w:rsid w:val="00A96F8C"/>
    <w:rsid w:val="00A970B9"/>
    <w:rsid w:val="00A972D0"/>
    <w:rsid w:val="00A973B1"/>
    <w:rsid w:val="00A9750F"/>
    <w:rsid w:val="00A9776A"/>
    <w:rsid w:val="00A97B05"/>
    <w:rsid w:val="00A97BB6"/>
    <w:rsid w:val="00A97C72"/>
    <w:rsid w:val="00A97D88"/>
    <w:rsid w:val="00A97F06"/>
    <w:rsid w:val="00A97F38"/>
    <w:rsid w:val="00AA0019"/>
    <w:rsid w:val="00AA0060"/>
    <w:rsid w:val="00AA0332"/>
    <w:rsid w:val="00AA0395"/>
    <w:rsid w:val="00AA048B"/>
    <w:rsid w:val="00AA052A"/>
    <w:rsid w:val="00AA0729"/>
    <w:rsid w:val="00AA08A3"/>
    <w:rsid w:val="00AA094B"/>
    <w:rsid w:val="00AA0A0F"/>
    <w:rsid w:val="00AA0C8B"/>
    <w:rsid w:val="00AA0F45"/>
    <w:rsid w:val="00AA1080"/>
    <w:rsid w:val="00AA11A0"/>
    <w:rsid w:val="00AA1491"/>
    <w:rsid w:val="00AA14BA"/>
    <w:rsid w:val="00AA14EA"/>
    <w:rsid w:val="00AA172D"/>
    <w:rsid w:val="00AA173F"/>
    <w:rsid w:val="00AA1AB7"/>
    <w:rsid w:val="00AA1AF3"/>
    <w:rsid w:val="00AA1B25"/>
    <w:rsid w:val="00AA1D1D"/>
    <w:rsid w:val="00AA1E10"/>
    <w:rsid w:val="00AA1E77"/>
    <w:rsid w:val="00AA2037"/>
    <w:rsid w:val="00AA20D4"/>
    <w:rsid w:val="00AA21BD"/>
    <w:rsid w:val="00AA2271"/>
    <w:rsid w:val="00AA2343"/>
    <w:rsid w:val="00AA237A"/>
    <w:rsid w:val="00AA247F"/>
    <w:rsid w:val="00AA2525"/>
    <w:rsid w:val="00AA2625"/>
    <w:rsid w:val="00AA2635"/>
    <w:rsid w:val="00AA27F7"/>
    <w:rsid w:val="00AA2803"/>
    <w:rsid w:val="00AA281F"/>
    <w:rsid w:val="00AA290F"/>
    <w:rsid w:val="00AA2DE1"/>
    <w:rsid w:val="00AA2F98"/>
    <w:rsid w:val="00AA2FC8"/>
    <w:rsid w:val="00AA2FE4"/>
    <w:rsid w:val="00AA310B"/>
    <w:rsid w:val="00AA31A9"/>
    <w:rsid w:val="00AA32D2"/>
    <w:rsid w:val="00AA3337"/>
    <w:rsid w:val="00AA33D0"/>
    <w:rsid w:val="00AA34A9"/>
    <w:rsid w:val="00AA34B7"/>
    <w:rsid w:val="00AA35C1"/>
    <w:rsid w:val="00AA36E9"/>
    <w:rsid w:val="00AA3765"/>
    <w:rsid w:val="00AA3819"/>
    <w:rsid w:val="00AA39B4"/>
    <w:rsid w:val="00AA3A86"/>
    <w:rsid w:val="00AA3ACD"/>
    <w:rsid w:val="00AA3DBC"/>
    <w:rsid w:val="00AA3EA7"/>
    <w:rsid w:val="00AA4226"/>
    <w:rsid w:val="00AA43A2"/>
    <w:rsid w:val="00AA447B"/>
    <w:rsid w:val="00AA4644"/>
    <w:rsid w:val="00AA4997"/>
    <w:rsid w:val="00AA4C2A"/>
    <w:rsid w:val="00AA4DE4"/>
    <w:rsid w:val="00AA4EBE"/>
    <w:rsid w:val="00AA4F02"/>
    <w:rsid w:val="00AA5314"/>
    <w:rsid w:val="00AA533E"/>
    <w:rsid w:val="00AA5378"/>
    <w:rsid w:val="00AA548A"/>
    <w:rsid w:val="00AA5560"/>
    <w:rsid w:val="00AA5580"/>
    <w:rsid w:val="00AA55C4"/>
    <w:rsid w:val="00AA56EA"/>
    <w:rsid w:val="00AA5825"/>
    <w:rsid w:val="00AA5855"/>
    <w:rsid w:val="00AA5AEF"/>
    <w:rsid w:val="00AA5BC4"/>
    <w:rsid w:val="00AA5F14"/>
    <w:rsid w:val="00AA6047"/>
    <w:rsid w:val="00AA60BD"/>
    <w:rsid w:val="00AA63D4"/>
    <w:rsid w:val="00AA65A3"/>
    <w:rsid w:val="00AA6674"/>
    <w:rsid w:val="00AA67D5"/>
    <w:rsid w:val="00AA6864"/>
    <w:rsid w:val="00AA6B46"/>
    <w:rsid w:val="00AA6C93"/>
    <w:rsid w:val="00AA6C98"/>
    <w:rsid w:val="00AA6DED"/>
    <w:rsid w:val="00AA6DFA"/>
    <w:rsid w:val="00AA6EFD"/>
    <w:rsid w:val="00AA6F4A"/>
    <w:rsid w:val="00AA7173"/>
    <w:rsid w:val="00AA73A3"/>
    <w:rsid w:val="00AA7406"/>
    <w:rsid w:val="00AA75A0"/>
    <w:rsid w:val="00AA7657"/>
    <w:rsid w:val="00AA774E"/>
    <w:rsid w:val="00AA77C4"/>
    <w:rsid w:val="00AA7875"/>
    <w:rsid w:val="00AA790A"/>
    <w:rsid w:val="00AA7AE2"/>
    <w:rsid w:val="00AA7CB9"/>
    <w:rsid w:val="00AA7DBC"/>
    <w:rsid w:val="00AA7DFB"/>
    <w:rsid w:val="00AB00FB"/>
    <w:rsid w:val="00AB0348"/>
    <w:rsid w:val="00AB049D"/>
    <w:rsid w:val="00AB0523"/>
    <w:rsid w:val="00AB057E"/>
    <w:rsid w:val="00AB0634"/>
    <w:rsid w:val="00AB064B"/>
    <w:rsid w:val="00AB064D"/>
    <w:rsid w:val="00AB0694"/>
    <w:rsid w:val="00AB06CF"/>
    <w:rsid w:val="00AB06E8"/>
    <w:rsid w:val="00AB0938"/>
    <w:rsid w:val="00AB0ACD"/>
    <w:rsid w:val="00AB0B53"/>
    <w:rsid w:val="00AB0FB6"/>
    <w:rsid w:val="00AB10FD"/>
    <w:rsid w:val="00AB116C"/>
    <w:rsid w:val="00AB12F2"/>
    <w:rsid w:val="00AB1300"/>
    <w:rsid w:val="00AB171F"/>
    <w:rsid w:val="00AB18D6"/>
    <w:rsid w:val="00AB18E7"/>
    <w:rsid w:val="00AB190B"/>
    <w:rsid w:val="00AB1985"/>
    <w:rsid w:val="00AB1AE7"/>
    <w:rsid w:val="00AB1CC5"/>
    <w:rsid w:val="00AB1CD3"/>
    <w:rsid w:val="00AB1E81"/>
    <w:rsid w:val="00AB2092"/>
    <w:rsid w:val="00AB2163"/>
    <w:rsid w:val="00AB2272"/>
    <w:rsid w:val="00AB233C"/>
    <w:rsid w:val="00AB26AA"/>
    <w:rsid w:val="00AB26FA"/>
    <w:rsid w:val="00AB28CD"/>
    <w:rsid w:val="00AB2A36"/>
    <w:rsid w:val="00AB2B44"/>
    <w:rsid w:val="00AB2BF1"/>
    <w:rsid w:val="00AB2E0A"/>
    <w:rsid w:val="00AB2E13"/>
    <w:rsid w:val="00AB2E38"/>
    <w:rsid w:val="00AB34EA"/>
    <w:rsid w:val="00AB352F"/>
    <w:rsid w:val="00AB375E"/>
    <w:rsid w:val="00AB37FA"/>
    <w:rsid w:val="00AB3948"/>
    <w:rsid w:val="00AB39A3"/>
    <w:rsid w:val="00AB3A2B"/>
    <w:rsid w:val="00AB3AB5"/>
    <w:rsid w:val="00AB3AD3"/>
    <w:rsid w:val="00AB3B4A"/>
    <w:rsid w:val="00AB3CB9"/>
    <w:rsid w:val="00AB3F42"/>
    <w:rsid w:val="00AB3FE5"/>
    <w:rsid w:val="00AB4232"/>
    <w:rsid w:val="00AB425A"/>
    <w:rsid w:val="00AB431D"/>
    <w:rsid w:val="00AB4389"/>
    <w:rsid w:val="00AB480D"/>
    <w:rsid w:val="00AB49B3"/>
    <w:rsid w:val="00AB4A46"/>
    <w:rsid w:val="00AB4B80"/>
    <w:rsid w:val="00AB4C5A"/>
    <w:rsid w:val="00AB4D2D"/>
    <w:rsid w:val="00AB4E2A"/>
    <w:rsid w:val="00AB5512"/>
    <w:rsid w:val="00AB587B"/>
    <w:rsid w:val="00AB5ADC"/>
    <w:rsid w:val="00AB5B3E"/>
    <w:rsid w:val="00AB5C2B"/>
    <w:rsid w:val="00AB5F09"/>
    <w:rsid w:val="00AB5F13"/>
    <w:rsid w:val="00AB5F98"/>
    <w:rsid w:val="00AB5FD0"/>
    <w:rsid w:val="00AB5FF5"/>
    <w:rsid w:val="00AB6615"/>
    <w:rsid w:val="00AB6932"/>
    <w:rsid w:val="00AB69A2"/>
    <w:rsid w:val="00AB6A44"/>
    <w:rsid w:val="00AB6C34"/>
    <w:rsid w:val="00AB6CAE"/>
    <w:rsid w:val="00AB6D6A"/>
    <w:rsid w:val="00AB6F09"/>
    <w:rsid w:val="00AB7150"/>
    <w:rsid w:val="00AB71CF"/>
    <w:rsid w:val="00AB723C"/>
    <w:rsid w:val="00AB72BC"/>
    <w:rsid w:val="00AB7398"/>
    <w:rsid w:val="00AB76C9"/>
    <w:rsid w:val="00AB7717"/>
    <w:rsid w:val="00AB776F"/>
    <w:rsid w:val="00AB77B5"/>
    <w:rsid w:val="00AB77E3"/>
    <w:rsid w:val="00AB77EF"/>
    <w:rsid w:val="00AB791D"/>
    <w:rsid w:val="00AB7941"/>
    <w:rsid w:val="00AB7949"/>
    <w:rsid w:val="00AB7AA5"/>
    <w:rsid w:val="00AB7B14"/>
    <w:rsid w:val="00AB7C75"/>
    <w:rsid w:val="00AC0269"/>
    <w:rsid w:val="00AC0645"/>
    <w:rsid w:val="00AC08D6"/>
    <w:rsid w:val="00AC091F"/>
    <w:rsid w:val="00AC0A49"/>
    <w:rsid w:val="00AC0BEB"/>
    <w:rsid w:val="00AC0D04"/>
    <w:rsid w:val="00AC0D27"/>
    <w:rsid w:val="00AC106B"/>
    <w:rsid w:val="00AC10EB"/>
    <w:rsid w:val="00AC1157"/>
    <w:rsid w:val="00AC1365"/>
    <w:rsid w:val="00AC17B8"/>
    <w:rsid w:val="00AC18AC"/>
    <w:rsid w:val="00AC1B2F"/>
    <w:rsid w:val="00AC1C45"/>
    <w:rsid w:val="00AC1DBD"/>
    <w:rsid w:val="00AC1E13"/>
    <w:rsid w:val="00AC1E7E"/>
    <w:rsid w:val="00AC20D5"/>
    <w:rsid w:val="00AC2176"/>
    <w:rsid w:val="00AC271B"/>
    <w:rsid w:val="00AC274B"/>
    <w:rsid w:val="00AC2753"/>
    <w:rsid w:val="00AC2A1D"/>
    <w:rsid w:val="00AC2AB0"/>
    <w:rsid w:val="00AC2B12"/>
    <w:rsid w:val="00AC2B57"/>
    <w:rsid w:val="00AC2D5C"/>
    <w:rsid w:val="00AC2E25"/>
    <w:rsid w:val="00AC2EE7"/>
    <w:rsid w:val="00AC3218"/>
    <w:rsid w:val="00AC3248"/>
    <w:rsid w:val="00AC32ED"/>
    <w:rsid w:val="00AC3344"/>
    <w:rsid w:val="00AC3451"/>
    <w:rsid w:val="00AC34E7"/>
    <w:rsid w:val="00AC360A"/>
    <w:rsid w:val="00AC3DF5"/>
    <w:rsid w:val="00AC41DE"/>
    <w:rsid w:val="00AC423F"/>
    <w:rsid w:val="00AC4457"/>
    <w:rsid w:val="00AC450C"/>
    <w:rsid w:val="00AC4556"/>
    <w:rsid w:val="00AC4600"/>
    <w:rsid w:val="00AC4685"/>
    <w:rsid w:val="00AC4689"/>
    <w:rsid w:val="00AC470A"/>
    <w:rsid w:val="00AC4764"/>
    <w:rsid w:val="00AC4AA5"/>
    <w:rsid w:val="00AC4BA0"/>
    <w:rsid w:val="00AC4C89"/>
    <w:rsid w:val="00AC4CC8"/>
    <w:rsid w:val="00AC4EB1"/>
    <w:rsid w:val="00AC4ECF"/>
    <w:rsid w:val="00AC4F8C"/>
    <w:rsid w:val="00AC502C"/>
    <w:rsid w:val="00AC51E4"/>
    <w:rsid w:val="00AC5284"/>
    <w:rsid w:val="00AC5449"/>
    <w:rsid w:val="00AC5886"/>
    <w:rsid w:val="00AC5F9E"/>
    <w:rsid w:val="00AC604D"/>
    <w:rsid w:val="00AC6260"/>
    <w:rsid w:val="00AC627D"/>
    <w:rsid w:val="00AC630D"/>
    <w:rsid w:val="00AC6318"/>
    <w:rsid w:val="00AC6498"/>
    <w:rsid w:val="00AC6669"/>
    <w:rsid w:val="00AC6816"/>
    <w:rsid w:val="00AC69BA"/>
    <w:rsid w:val="00AC6B03"/>
    <w:rsid w:val="00AC6B38"/>
    <w:rsid w:val="00AC6D36"/>
    <w:rsid w:val="00AC6EF4"/>
    <w:rsid w:val="00AC6F7B"/>
    <w:rsid w:val="00AC7213"/>
    <w:rsid w:val="00AC734F"/>
    <w:rsid w:val="00AC73A2"/>
    <w:rsid w:val="00AC74D5"/>
    <w:rsid w:val="00AC78F4"/>
    <w:rsid w:val="00AC7923"/>
    <w:rsid w:val="00AC7A04"/>
    <w:rsid w:val="00AC7A54"/>
    <w:rsid w:val="00AC7FC6"/>
    <w:rsid w:val="00AC7FFC"/>
    <w:rsid w:val="00AD004E"/>
    <w:rsid w:val="00AD0063"/>
    <w:rsid w:val="00AD0131"/>
    <w:rsid w:val="00AD01BD"/>
    <w:rsid w:val="00AD0602"/>
    <w:rsid w:val="00AD0A57"/>
    <w:rsid w:val="00AD0BF3"/>
    <w:rsid w:val="00AD0CBA"/>
    <w:rsid w:val="00AD1354"/>
    <w:rsid w:val="00AD1693"/>
    <w:rsid w:val="00AD186F"/>
    <w:rsid w:val="00AD1AA3"/>
    <w:rsid w:val="00AD1B5A"/>
    <w:rsid w:val="00AD1D43"/>
    <w:rsid w:val="00AD2118"/>
    <w:rsid w:val="00AD2162"/>
    <w:rsid w:val="00AD225F"/>
    <w:rsid w:val="00AD231D"/>
    <w:rsid w:val="00AD26E2"/>
    <w:rsid w:val="00AD2700"/>
    <w:rsid w:val="00AD2990"/>
    <w:rsid w:val="00AD2A2A"/>
    <w:rsid w:val="00AD2B61"/>
    <w:rsid w:val="00AD2C15"/>
    <w:rsid w:val="00AD2F5A"/>
    <w:rsid w:val="00AD3297"/>
    <w:rsid w:val="00AD33F0"/>
    <w:rsid w:val="00AD3509"/>
    <w:rsid w:val="00AD3581"/>
    <w:rsid w:val="00AD37AE"/>
    <w:rsid w:val="00AD37C0"/>
    <w:rsid w:val="00AD3938"/>
    <w:rsid w:val="00AD3BAA"/>
    <w:rsid w:val="00AD3C9C"/>
    <w:rsid w:val="00AD3DC1"/>
    <w:rsid w:val="00AD3E7B"/>
    <w:rsid w:val="00AD3EA1"/>
    <w:rsid w:val="00AD3F12"/>
    <w:rsid w:val="00AD3F8F"/>
    <w:rsid w:val="00AD4057"/>
    <w:rsid w:val="00AD405A"/>
    <w:rsid w:val="00AD4188"/>
    <w:rsid w:val="00AD41F3"/>
    <w:rsid w:val="00AD42AF"/>
    <w:rsid w:val="00AD42E7"/>
    <w:rsid w:val="00AD437C"/>
    <w:rsid w:val="00AD4392"/>
    <w:rsid w:val="00AD4698"/>
    <w:rsid w:val="00AD46C0"/>
    <w:rsid w:val="00AD4B71"/>
    <w:rsid w:val="00AD4D71"/>
    <w:rsid w:val="00AD4EC6"/>
    <w:rsid w:val="00AD4F7E"/>
    <w:rsid w:val="00AD5104"/>
    <w:rsid w:val="00AD511E"/>
    <w:rsid w:val="00AD51C4"/>
    <w:rsid w:val="00AD5332"/>
    <w:rsid w:val="00AD535B"/>
    <w:rsid w:val="00AD5668"/>
    <w:rsid w:val="00AD576D"/>
    <w:rsid w:val="00AD581C"/>
    <w:rsid w:val="00AD5D10"/>
    <w:rsid w:val="00AD5FA0"/>
    <w:rsid w:val="00AD6008"/>
    <w:rsid w:val="00AD615B"/>
    <w:rsid w:val="00AD61C8"/>
    <w:rsid w:val="00AD69E8"/>
    <w:rsid w:val="00AD6A4A"/>
    <w:rsid w:val="00AD6B2B"/>
    <w:rsid w:val="00AD6B61"/>
    <w:rsid w:val="00AD6D9E"/>
    <w:rsid w:val="00AD6E85"/>
    <w:rsid w:val="00AD6EC0"/>
    <w:rsid w:val="00AD6FA6"/>
    <w:rsid w:val="00AD707B"/>
    <w:rsid w:val="00AD72ED"/>
    <w:rsid w:val="00AD75A0"/>
    <w:rsid w:val="00AD764F"/>
    <w:rsid w:val="00AD7727"/>
    <w:rsid w:val="00AD7774"/>
    <w:rsid w:val="00AD77A5"/>
    <w:rsid w:val="00AD784C"/>
    <w:rsid w:val="00AD7A09"/>
    <w:rsid w:val="00AD7A3D"/>
    <w:rsid w:val="00AD7AAF"/>
    <w:rsid w:val="00AD7B3A"/>
    <w:rsid w:val="00AD7C65"/>
    <w:rsid w:val="00AD7E21"/>
    <w:rsid w:val="00AD7F9B"/>
    <w:rsid w:val="00AE0091"/>
    <w:rsid w:val="00AE00CE"/>
    <w:rsid w:val="00AE0158"/>
    <w:rsid w:val="00AE03A3"/>
    <w:rsid w:val="00AE03DD"/>
    <w:rsid w:val="00AE0DEE"/>
    <w:rsid w:val="00AE0E5A"/>
    <w:rsid w:val="00AE11CA"/>
    <w:rsid w:val="00AE126A"/>
    <w:rsid w:val="00AE136B"/>
    <w:rsid w:val="00AE1501"/>
    <w:rsid w:val="00AE1784"/>
    <w:rsid w:val="00AE17A3"/>
    <w:rsid w:val="00AE1A51"/>
    <w:rsid w:val="00AE1AB4"/>
    <w:rsid w:val="00AE1B2E"/>
    <w:rsid w:val="00AE1BAE"/>
    <w:rsid w:val="00AE1C20"/>
    <w:rsid w:val="00AE1F28"/>
    <w:rsid w:val="00AE1FDC"/>
    <w:rsid w:val="00AE2236"/>
    <w:rsid w:val="00AE2331"/>
    <w:rsid w:val="00AE236F"/>
    <w:rsid w:val="00AE2376"/>
    <w:rsid w:val="00AE23C7"/>
    <w:rsid w:val="00AE23DF"/>
    <w:rsid w:val="00AE25E5"/>
    <w:rsid w:val="00AE2A81"/>
    <w:rsid w:val="00AE2B3A"/>
    <w:rsid w:val="00AE2C8B"/>
    <w:rsid w:val="00AE2E46"/>
    <w:rsid w:val="00AE2ED6"/>
    <w:rsid w:val="00AE2F05"/>
    <w:rsid w:val="00AE3005"/>
    <w:rsid w:val="00AE378D"/>
    <w:rsid w:val="00AE3AA8"/>
    <w:rsid w:val="00AE3BD5"/>
    <w:rsid w:val="00AE3E98"/>
    <w:rsid w:val="00AE3EF8"/>
    <w:rsid w:val="00AE4041"/>
    <w:rsid w:val="00AE420F"/>
    <w:rsid w:val="00AE4460"/>
    <w:rsid w:val="00AE4657"/>
    <w:rsid w:val="00AE475E"/>
    <w:rsid w:val="00AE478D"/>
    <w:rsid w:val="00AE4B35"/>
    <w:rsid w:val="00AE4B54"/>
    <w:rsid w:val="00AE4C73"/>
    <w:rsid w:val="00AE4CBF"/>
    <w:rsid w:val="00AE4F50"/>
    <w:rsid w:val="00AE5016"/>
    <w:rsid w:val="00AE50FD"/>
    <w:rsid w:val="00AE5194"/>
    <w:rsid w:val="00AE55D1"/>
    <w:rsid w:val="00AE59A0"/>
    <w:rsid w:val="00AE5BEC"/>
    <w:rsid w:val="00AE5E3E"/>
    <w:rsid w:val="00AE5FE1"/>
    <w:rsid w:val="00AE600F"/>
    <w:rsid w:val="00AE60DF"/>
    <w:rsid w:val="00AE624F"/>
    <w:rsid w:val="00AE62B0"/>
    <w:rsid w:val="00AE637C"/>
    <w:rsid w:val="00AE6430"/>
    <w:rsid w:val="00AE67D8"/>
    <w:rsid w:val="00AE6809"/>
    <w:rsid w:val="00AE6925"/>
    <w:rsid w:val="00AE6ACB"/>
    <w:rsid w:val="00AE6D86"/>
    <w:rsid w:val="00AE7019"/>
    <w:rsid w:val="00AE70C8"/>
    <w:rsid w:val="00AE7122"/>
    <w:rsid w:val="00AE73F0"/>
    <w:rsid w:val="00AE74DD"/>
    <w:rsid w:val="00AE75D4"/>
    <w:rsid w:val="00AE7CA1"/>
    <w:rsid w:val="00AE7CF5"/>
    <w:rsid w:val="00AF01CF"/>
    <w:rsid w:val="00AF03F3"/>
    <w:rsid w:val="00AF048A"/>
    <w:rsid w:val="00AF08A0"/>
    <w:rsid w:val="00AF0C57"/>
    <w:rsid w:val="00AF0C78"/>
    <w:rsid w:val="00AF0EC8"/>
    <w:rsid w:val="00AF0F4F"/>
    <w:rsid w:val="00AF10BC"/>
    <w:rsid w:val="00AF1126"/>
    <w:rsid w:val="00AF11C4"/>
    <w:rsid w:val="00AF145E"/>
    <w:rsid w:val="00AF14DB"/>
    <w:rsid w:val="00AF1608"/>
    <w:rsid w:val="00AF1652"/>
    <w:rsid w:val="00AF1856"/>
    <w:rsid w:val="00AF19D3"/>
    <w:rsid w:val="00AF1A9C"/>
    <w:rsid w:val="00AF1A9E"/>
    <w:rsid w:val="00AF1C3F"/>
    <w:rsid w:val="00AF1E03"/>
    <w:rsid w:val="00AF1E97"/>
    <w:rsid w:val="00AF1EF6"/>
    <w:rsid w:val="00AF20BD"/>
    <w:rsid w:val="00AF237D"/>
    <w:rsid w:val="00AF23C3"/>
    <w:rsid w:val="00AF240F"/>
    <w:rsid w:val="00AF24CB"/>
    <w:rsid w:val="00AF25BE"/>
    <w:rsid w:val="00AF26F3"/>
    <w:rsid w:val="00AF2F0B"/>
    <w:rsid w:val="00AF3097"/>
    <w:rsid w:val="00AF313F"/>
    <w:rsid w:val="00AF31D4"/>
    <w:rsid w:val="00AF332E"/>
    <w:rsid w:val="00AF3500"/>
    <w:rsid w:val="00AF36D6"/>
    <w:rsid w:val="00AF36E1"/>
    <w:rsid w:val="00AF3ABB"/>
    <w:rsid w:val="00AF3B13"/>
    <w:rsid w:val="00AF3CA9"/>
    <w:rsid w:val="00AF3CDA"/>
    <w:rsid w:val="00AF435C"/>
    <w:rsid w:val="00AF4366"/>
    <w:rsid w:val="00AF43B4"/>
    <w:rsid w:val="00AF44B3"/>
    <w:rsid w:val="00AF45C1"/>
    <w:rsid w:val="00AF4698"/>
    <w:rsid w:val="00AF47CD"/>
    <w:rsid w:val="00AF486A"/>
    <w:rsid w:val="00AF56F8"/>
    <w:rsid w:val="00AF5747"/>
    <w:rsid w:val="00AF596A"/>
    <w:rsid w:val="00AF599D"/>
    <w:rsid w:val="00AF59CA"/>
    <w:rsid w:val="00AF5A12"/>
    <w:rsid w:val="00AF5A1D"/>
    <w:rsid w:val="00AF5BA5"/>
    <w:rsid w:val="00AF5C11"/>
    <w:rsid w:val="00AF5DAC"/>
    <w:rsid w:val="00AF5DC8"/>
    <w:rsid w:val="00AF5F04"/>
    <w:rsid w:val="00AF5F3C"/>
    <w:rsid w:val="00AF6402"/>
    <w:rsid w:val="00AF643D"/>
    <w:rsid w:val="00AF69B8"/>
    <w:rsid w:val="00AF6BD6"/>
    <w:rsid w:val="00AF6C53"/>
    <w:rsid w:val="00AF6CAC"/>
    <w:rsid w:val="00AF6F9F"/>
    <w:rsid w:val="00AF7053"/>
    <w:rsid w:val="00AF7198"/>
    <w:rsid w:val="00AF71C3"/>
    <w:rsid w:val="00AF7506"/>
    <w:rsid w:val="00AF78B7"/>
    <w:rsid w:val="00AF794D"/>
    <w:rsid w:val="00AF7AFD"/>
    <w:rsid w:val="00AF7CC0"/>
    <w:rsid w:val="00AF7D56"/>
    <w:rsid w:val="00AF7FA0"/>
    <w:rsid w:val="00AF7FBA"/>
    <w:rsid w:val="00AF7FE6"/>
    <w:rsid w:val="00B001AB"/>
    <w:rsid w:val="00B0024E"/>
    <w:rsid w:val="00B00258"/>
    <w:rsid w:val="00B00672"/>
    <w:rsid w:val="00B00799"/>
    <w:rsid w:val="00B00873"/>
    <w:rsid w:val="00B0089B"/>
    <w:rsid w:val="00B009AA"/>
    <w:rsid w:val="00B00BCF"/>
    <w:rsid w:val="00B00C8F"/>
    <w:rsid w:val="00B00D06"/>
    <w:rsid w:val="00B00E28"/>
    <w:rsid w:val="00B00F14"/>
    <w:rsid w:val="00B0113E"/>
    <w:rsid w:val="00B01588"/>
    <w:rsid w:val="00B0175C"/>
    <w:rsid w:val="00B01870"/>
    <w:rsid w:val="00B01938"/>
    <w:rsid w:val="00B01B4D"/>
    <w:rsid w:val="00B01E40"/>
    <w:rsid w:val="00B01F09"/>
    <w:rsid w:val="00B01F48"/>
    <w:rsid w:val="00B0206B"/>
    <w:rsid w:val="00B02493"/>
    <w:rsid w:val="00B024D4"/>
    <w:rsid w:val="00B02755"/>
    <w:rsid w:val="00B02911"/>
    <w:rsid w:val="00B02920"/>
    <w:rsid w:val="00B02FEA"/>
    <w:rsid w:val="00B03006"/>
    <w:rsid w:val="00B03068"/>
    <w:rsid w:val="00B0357F"/>
    <w:rsid w:val="00B036B1"/>
    <w:rsid w:val="00B038FC"/>
    <w:rsid w:val="00B03A7E"/>
    <w:rsid w:val="00B03BD6"/>
    <w:rsid w:val="00B03D4E"/>
    <w:rsid w:val="00B04400"/>
    <w:rsid w:val="00B04462"/>
    <w:rsid w:val="00B04489"/>
    <w:rsid w:val="00B04571"/>
    <w:rsid w:val="00B0464E"/>
    <w:rsid w:val="00B046B3"/>
    <w:rsid w:val="00B047C8"/>
    <w:rsid w:val="00B04892"/>
    <w:rsid w:val="00B0495A"/>
    <w:rsid w:val="00B0496B"/>
    <w:rsid w:val="00B04A20"/>
    <w:rsid w:val="00B04A9F"/>
    <w:rsid w:val="00B04AC7"/>
    <w:rsid w:val="00B04C9E"/>
    <w:rsid w:val="00B04DF0"/>
    <w:rsid w:val="00B04EF0"/>
    <w:rsid w:val="00B04F6D"/>
    <w:rsid w:val="00B0525E"/>
    <w:rsid w:val="00B052DB"/>
    <w:rsid w:val="00B05592"/>
    <w:rsid w:val="00B05749"/>
    <w:rsid w:val="00B057EE"/>
    <w:rsid w:val="00B05A33"/>
    <w:rsid w:val="00B05A62"/>
    <w:rsid w:val="00B05BA9"/>
    <w:rsid w:val="00B05C52"/>
    <w:rsid w:val="00B05DCB"/>
    <w:rsid w:val="00B05F75"/>
    <w:rsid w:val="00B05FA9"/>
    <w:rsid w:val="00B0616A"/>
    <w:rsid w:val="00B0616D"/>
    <w:rsid w:val="00B06221"/>
    <w:rsid w:val="00B0642B"/>
    <w:rsid w:val="00B06469"/>
    <w:rsid w:val="00B06503"/>
    <w:rsid w:val="00B06571"/>
    <w:rsid w:val="00B065D5"/>
    <w:rsid w:val="00B067E0"/>
    <w:rsid w:val="00B068BA"/>
    <w:rsid w:val="00B06CD9"/>
    <w:rsid w:val="00B06D81"/>
    <w:rsid w:val="00B06E02"/>
    <w:rsid w:val="00B06E37"/>
    <w:rsid w:val="00B07217"/>
    <w:rsid w:val="00B0731E"/>
    <w:rsid w:val="00B074F0"/>
    <w:rsid w:val="00B075AB"/>
    <w:rsid w:val="00B079F5"/>
    <w:rsid w:val="00B07B65"/>
    <w:rsid w:val="00B1011A"/>
    <w:rsid w:val="00B1014B"/>
    <w:rsid w:val="00B10179"/>
    <w:rsid w:val="00B101A3"/>
    <w:rsid w:val="00B1023C"/>
    <w:rsid w:val="00B10267"/>
    <w:rsid w:val="00B10341"/>
    <w:rsid w:val="00B1044F"/>
    <w:rsid w:val="00B104F8"/>
    <w:rsid w:val="00B1068B"/>
    <w:rsid w:val="00B107E7"/>
    <w:rsid w:val="00B107FD"/>
    <w:rsid w:val="00B108A2"/>
    <w:rsid w:val="00B10912"/>
    <w:rsid w:val="00B10D6D"/>
    <w:rsid w:val="00B10DC0"/>
    <w:rsid w:val="00B10ED0"/>
    <w:rsid w:val="00B10F8C"/>
    <w:rsid w:val="00B1135E"/>
    <w:rsid w:val="00B1142B"/>
    <w:rsid w:val="00B115B7"/>
    <w:rsid w:val="00B117C7"/>
    <w:rsid w:val="00B119CA"/>
    <w:rsid w:val="00B11C87"/>
    <w:rsid w:val="00B11E9D"/>
    <w:rsid w:val="00B11F2F"/>
    <w:rsid w:val="00B12117"/>
    <w:rsid w:val="00B12310"/>
    <w:rsid w:val="00B12350"/>
    <w:rsid w:val="00B1254B"/>
    <w:rsid w:val="00B126B3"/>
    <w:rsid w:val="00B1288B"/>
    <w:rsid w:val="00B12899"/>
    <w:rsid w:val="00B1302A"/>
    <w:rsid w:val="00B1314A"/>
    <w:rsid w:val="00B13180"/>
    <w:rsid w:val="00B131CA"/>
    <w:rsid w:val="00B13341"/>
    <w:rsid w:val="00B135AE"/>
    <w:rsid w:val="00B1384F"/>
    <w:rsid w:val="00B13851"/>
    <w:rsid w:val="00B13879"/>
    <w:rsid w:val="00B138F1"/>
    <w:rsid w:val="00B1395F"/>
    <w:rsid w:val="00B13B1C"/>
    <w:rsid w:val="00B13CDC"/>
    <w:rsid w:val="00B13DCB"/>
    <w:rsid w:val="00B13F56"/>
    <w:rsid w:val="00B13F92"/>
    <w:rsid w:val="00B140FC"/>
    <w:rsid w:val="00B142B9"/>
    <w:rsid w:val="00B14372"/>
    <w:rsid w:val="00B145DC"/>
    <w:rsid w:val="00B145DD"/>
    <w:rsid w:val="00B147AD"/>
    <w:rsid w:val="00B14859"/>
    <w:rsid w:val="00B14947"/>
    <w:rsid w:val="00B14B5F"/>
    <w:rsid w:val="00B14C73"/>
    <w:rsid w:val="00B14C81"/>
    <w:rsid w:val="00B14D18"/>
    <w:rsid w:val="00B14D3E"/>
    <w:rsid w:val="00B14FB9"/>
    <w:rsid w:val="00B15046"/>
    <w:rsid w:val="00B1521B"/>
    <w:rsid w:val="00B1521D"/>
    <w:rsid w:val="00B15365"/>
    <w:rsid w:val="00B1548E"/>
    <w:rsid w:val="00B154CE"/>
    <w:rsid w:val="00B1577A"/>
    <w:rsid w:val="00B157A8"/>
    <w:rsid w:val="00B159CE"/>
    <w:rsid w:val="00B15A4B"/>
    <w:rsid w:val="00B15A6D"/>
    <w:rsid w:val="00B15E49"/>
    <w:rsid w:val="00B16077"/>
    <w:rsid w:val="00B16392"/>
    <w:rsid w:val="00B163EE"/>
    <w:rsid w:val="00B16424"/>
    <w:rsid w:val="00B16551"/>
    <w:rsid w:val="00B16556"/>
    <w:rsid w:val="00B165C9"/>
    <w:rsid w:val="00B165E3"/>
    <w:rsid w:val="00B1661E"/>
    <w:rsid w:val="00B169D0"/>
    <w:rsid w:val="00B169E8"/>
    <w:rsid w:val="00B16C63"/>
    <w:rsid w:val="00B17080"/>
    <w:rsid w:val="00B171AE"/>
    <w:rsid w:val="00B1721A"/>
    <w:rsid w:val="00B172CE"/>
    <w:rsid w:val="00B172EB"/>
    <w:rsid w:val="00B172EF"/>
    <w:rsid w:val="00B17404"/>
    <w:rsid w:val="00B17434"/>
    <w:rsid w:val="00B174B5"/>
    <w:rsid w:val="00B17776"/>
    <w:rsid w:val="00B1786A"/>
    <w:rsid w:val="00B17892"/>
    <w:rsid w:val="00B17C12"/>
    <w:rsid w:val="00B2017C"/>
    <w:rsid w:val="00B2028C"/>
    <w:rsid w:val="00B20520"/>
    <w:rsid w:val="00B20662"/>
    <w:rsid w:val="00B206ED"/>
    <w:rsid w:val="00B2075D"/>
    <w:rsid w:val="00B208B1"/>
    <w:rsid w:val="00B209E7"/>
    <w:rsid w:val="00B20E1A"/>
    <w:rsid w:val="00B21206"/>
    <w:rsid w:val="00B21227"/>
    <w:rsid w:val="00B214F5"/>
    <w:rsid w:val="00B2160F"/>
    <w:rsid w:val="00B2167C"/>
    <w:rsid w:val="00B21A76"/>
    <w:rsid w:val="00B21BC4"/>
    <w:rsid w:val="00B21F90"/>
    <w:rsid w:val="00B22117"/>
    <w:rsid w:val="00B22169"/>
    <w:rsid w:val="00B22291"/>
    <w:rsid w:val="00B223CF"/>
    <w:rsid w:val="00B2265C"/>
    <w:rsid w:val="00B226A2"/>
    <w:rsid w:val="00B2272A"/>
    <w:rsid w:val="00B2273D"/>
    <w:rsid w:val="00B2279D"/>
    <w:rsid w:val="00B229A7"/>
    <w:rsid w:val="00B22F26"/>
    <w:rsid w:val="00B22F6B"/>
    <w:rsid w:val="00B23096"/>
    <w:rsid w:val="00B2311E"/>
    <w:rsid w:val="00B23268"/>
    <w:rsid w:val="00B232D0"/>
    <w:rsid w:val="00B233DA"/>
    <w:rsid w:val="00B234F1"/>
    <w:rsid w:val="00B237D2"/>
    <w:rsid w:val="00B23DBB"/>
    <w:rsid w:val="00B23F9A"/>
    <w:rsid w:val="00B240C9"/>
    <w:rsid w:val="00B240E7"/>
    <w:rsid w:val="00B2417B"/>
    <w:rsid w:val="00B2430F"/>
    <w:rsid w:val="00B24349"/>
    <w:rsid w:val="00B245B1"/>
    <w:rsid w:val="00B246FE"/>
    <w:rsid w:val="00B249B2"/>
    <w:rsid w:val="00B24CDC"/>
    <w:rsid w:val="00B24D0B"/>
    <w:rsid w:val="00B24DCE"/>
    <w:rsid w:val="00B24E6F"/>
    <w:rsid w:val="00B250B9"/>
    <w:rsid w:val="00B25115"/>
    <w:rsid w:val="00B2520E"/>
    <w:rsid w:val="00B25263"/>
    <w:rsid w:val="00B2544A"/>
    <w:rsid w:val="00B2569F"/>
    <w:rsid w:val="00B259BD"/>
    <w:rsid w:val="00B25A00"/>
    <w:rsid w:val="00B25EF7"/>
    <w:rsid w:val="00B26025"/>
    <w:rsid w:val="00B260AB"/>
    <w:rsid w:val="00B262ED"/>
    <w:rsid w:val="00B2678E"/>
    <w:rsid w:val="00B267C3"/>
    <w:rsid w:val="00B26955"/>
    <w:rsid w:val="00B269A8"/>
    <w:rsid w:val="00B26BAF"/>
    <w:rsid w:val="00B26CB5"/>
    <w:rsid w:val="00B26DBF"/>
    <w:rsid w:val="00B26EA5"/>
    <w:rsid w:val="00B2752E"/>
    <w:rsid w:val="00B27632"/>
    <w:rsid w:val="00B27656"/>
    <w:rsid w:val="00B277BE"/>
    <w:rsid w:val="00B27859"/>
    <w:rsid w:val="00B27B53"/>
    <w:rsid w:val="00B27B85"/>
    <w:rsid w:val="00B27C2D"/>
    <w:rsid w:val="00B27C6C"/>
    <w:rsid w:val="00B3011A"/>
    <w:rsid w:val="00B30322"/>
    <w:rsid w:val="00B30333"/>
    <w:rsid w:val="00B30430"/>
    <w:rsid w:val="00B30651"/>
    <w:rsid w:val="00B307CC"/>
    <w:rsid w:val="00B3084C"/>
    <w:rsid w:val="00B308B2"/>
    <w:rsid w:val="00B308BC"/>
    <w:rsid w:val="00B3091D"/>
    <w:rsid w:val="00B30A73"/>
    <w:rsid w:val="00B30C8B"/>
    <w:rsid w:val="00B30E4D"/>
    <w:rsid w:val="00B30F2A"/>
    <w:rsid w:val="00B30F41"/>
    <w:rsid w:val="00B30FB3"/>
    <w:rsid w:val="00B31120"/>
    <w:rsid w:val="00B3118D"/>
    <w:rsid w:val="00B3137D"/>
    <w:rsid w:val="00B31589"/>
    <w:rsid w:val="00B315DE"/>
    <w:rsid w:val="00B31687"/>
    <w:rsid w:val="00B31761"/>
    <w:rsid w:val="00B31C2E"/>
    <w:rsid w:val="00B320D8"/>
    <w:rsid w:val="00B32379"/>
    <w:rsid w:val="00B323F3"/>
    <w:rsid w:val="00B326B7"/>
    <w:rsid w:val="00B326FC"/>
    <w:rsid w:val="00B32918"/>
    <w:rsid w:val="00B329FF"/>
    <w:rsid w:val="00B32AC1"/>
    <w:rsid w:val="00B32B6E"/>
    <w:rsid w:val="00B32EDF"/>
    <w:rsid w:val="00B32FE5"/>
    <w:rsid w:val="00B33017"/>
    <w:rsid w:val="00B33101"/>
    <w:rsid w:val="00B334A0"/>
    <w:rsid w:val="00B334DC"/>
    <w:rsid w:val="00B334F5"/>
    <w:rsid w:val="00B33900"/>
    <w:rsid w:val="00B33AF9"/>
    <w:rsid w:val="00B33C8F"/>
    <w:rsid w:val="00B33CC1"/>
    <w:rsid w:val="00B33D8C"/>
    <w:rsid w:val="00B33DE7"/>
    <w:rsid w:val="00B33E07"/>
    <w:rsid w:val="00B33EE5"/>
    <w:rsid w:val="00B33F7F"/>
    <w:rsid w:val="00B3400B"/>
    <w:rsid w:val="00B34032"/>
    <w:rsid w:val="00B340B7"/>
    <w:rsid w:val="00B340FA"/>
    <w:rsid w:val="00B340FC"/>
    <w:rsid w:val="00B34165"/>
    <w:rsid w:val="00B34241"/>
    <w:rsid w:val="00B342FF"/>
    <w:rsid w:val="00B343B9"/>
    <w:rsid w:val="00B34586"/>
    <w:rsid w:val="00B348FB"/>
    <w:rsid w:val="00B34CCE"/>
    <w:rsid w:val="00B34CFA"/>
    <w:rsid w:val="00B351FF"/>
    <w:rsid w:val="00B35227"/>
    <w:rsid w:val="00B353D3"/>
    <w:rsid w:val="00B3588E"/>
    <w:rsid w:val="00B359EA"/>
    <w:rsid w:val="00B35A22"/>
    <w:rsid w:val="00B35AF0"/>
    <w:rsid w:val="00B35B6C"/>
    <w:rsid w:val="00B35D16"/>
    <w:rsid w:val="00B35DFB"/>
    <w:rsid w:val="00B35FDF"/>
    <w:rsid w:val="00B36121"/>
    <w:rsid w:val="00B36298"/>
    <w:rsid w:val="00B36469"/>
    <w:rsid w:val="00B36758"/>
    <w:rsid w:val="00B367DA"/>
    <w:rsid w:val="00B368A9"/>
    <w:rsid w:val="00B36A18"/>
    <w:rsid w:val="00B36BB9"/>
    <w:rsid w:val="00B36C66"/>
    <w:rsid w:val="00B36E81"/>
    <w:rsid w:val="00B370C6"/>
    <w:rsid w:val="00B372CC"/>
    <w:rsid w:val="00B376CD"/>
    <w:rsid w:val="00B37823"/>
    <w:rsid w:val="00B37A19"/>
    <w:rsid w:val="00B37AAE"/>
    <w:rsid w:val="00B37B40"/>
    <w:rsid w:val="00B37C8E"/>
    <w:rsid w:val="00B37EDB"/>
    <w:rsid w:val="00B40053"/>
    <w:rsid w:val="00B40085"/>
    <w:rsid w:val="00B401EB"/>
    <w:rsid w:val="00B40401"/>
    <w:rsid w:val="00B404F1"/>
    <w:rsid w:val="00B40607"/>
    <w:rsid w:val="00B4080D"/>
    <w:rsid w:val="00B40B56"/>
    <w:rsid w:val="00B40C54"/>
    <w:rsid w:val="00B40D35"/>
    <w:rsid w:val="00B40D53"/>
    <w:rsid w:val="00B40DC3"/>
    <w:rsid w:val="00B40E8D"/>
    <w:rsid w:val="00B410C6"/>
    <w:rsid w:val="00B41412"/>
    <w:rsid w:val="00B414F0"/>
    <w:rsid w:val="00B41579"/>
    <w:rsid w:val="00B415FA"/>
    <w:rsid w:val="00B417AD"/>
    <w:rsid w:val="00B41913"/>
    <w:rsid w:val="00B41937"/>
    <w:rsid w:val="00B4198F"/>
    <w:rsid w:val="00B419FE"/>
    <w:rsid w:val="00B41AFF"/>
    <w:rsid w:val="00B41C62"/>
    <w:rsid w:val="00B41D4E"/>
    <w:rsid w:val="00B41E6A"/>
    <w:rsid w:val="00B41F36"/>
    <w:rsid w:val="00B41F3D"/>
    <w:rsid w:val="00B4218C"/>
    <w:rsid w:val="00B42589"/>
    <w:rsid w:val="00B425DA"/>
    <w:rsid w:val="00B42828"/>
    <w:rsid w:val="00B42A23"/>
    <w:rsid w:val="00B42A81"/>
    <w:rsid w:val="00B42D52"/>
    <w:rsid w:val="00B430B3"/>
    <w:rsid w:val="00B430BC"/>
    <w:rsid w:val="00B430DE"/>
    <w:rsid w:val="00B431AE"/>
    <w:rsid w:val="00B431E8"/>
    <w:rsid w:val="00B43234"/>
    <w:rsid w:val="00B4348A"/>
    <w:rsid w:val="00B43554"/>
    <w:rsid w:val="00B4355A"/>
    <w:rsid w:val="00B436F3"/>
    <w:rsid w:val="00B43AF2"/>
    <w:rsid w:val="00B43D50"/>
    <w:rsid w:val="00B43F5A"/>
    <w:rsid w:val="00B444E9"/>
    <w:rsid w:val="00B444ED"/>
    <w:rsid w:val="00B44552"/>
    <w:rsid w:val="00B445D7"/>
    <w:rsid w:val="00B4465B"/>
    <w:rsid w:val="00B44F8E"/>
    <w:rsid w:val="00B45052"/>
    <w:rsid w:val="00B450B8"/>
    <w:rsid w:val="00B45141"/>
    <w:rsid w:val="00B451D4"/>
    <w:rsid w:val="00B45421"/>
    <w:rsid w:val="00B45439"/>
    <w:rsid w:val="00B454B1"/>
    <w:rsid w:val="00B4559F"/>
    <w:rsid w:val="00B455AB"/>
    <w:rsid w:val="00B458B4"/>
    <w:rsid w:val="00B45B3F"/>
    <w:rsid w:val="00B45B9E"/>
    <w:rsid w:val="00B45CEF"/>
    <w:rsid w:val="00B45F7A"/>
    <w:rsid w:val="00B46893"/>
    <w:rsid w:val="00B46ACD"/>
    <w:rsid w:val="00B46CB7"/>
    <w:rsid w:val="00B46E14"/>
    <w:rsid w:val="00B46F82"/>
    <w:rsid w:val="00B470E0"/>
    <w:rsid w:val="00B47116"/>
    <w:rsid w:val="00B47248"/>
    <w:rsid w:val="00B473C3"/>
    <w:rsid w:val="00B4756B"/>
    <w:rsid w:val="00B4764D"/>
    <w:rsid w:val="00B477AF"/>
    <w:rsid w:val="00B479F3"/>
    <w:rsid w:val="00B47BFE"/>
    <w:rsid w:val="00B47EC3"/>
    <w:rsid w:val="00B47FAF"/>
    <w:rsid w:val="00B47FB6"/>
    <w:rsid w:val="00B47FDB"/>
    <w:rsid w:val="00B50076"/>
    <w:rsid w:val="00B500D5"/>
    <w:rsid w:val="00B50491"/>
    <w:rsid w:val="00B50570"/>
    <w:rsid w:val="00B505AD"/>
    <w:rsid w:val="00B50792"/>
    <w:rsid w:val="00B507B4"/>
    <w:rsid w:val="00B50842"/>
    <w:rsid w:val="00B50867"/>
    <w:rsid w:val="00B5088D"/>
    <w:rsid w:val="00B50981"/>
    <w:rsid w:val="00B509BD"/>
    <w:rsid w:val="00B50A37"/>
    <w:rsid w:val="00B50BE9"/>
    <w:rsid w:val="00B50D3B"/>
    <w:rsid w:val="00B50D84"/>
    <w:rsid w:val="00B50E0C"/>
    <w:rsid w:val="00B50FCD"/>
    <w:rsid w:val="00B51294"/>
    <w:rsid w:val="00B513A0"/>
    <w:rsid w:val="00B5155B"/>
    <w:rsid w:val="00B515E2"/>
    <w:rsid w:val="00B516B5"/>
    <w:rsid w:val="00B517DD"/>
    <w:rsid w:val="00B519BF"/>
    <w:rsid w:val="00B519CD"/>
    <w:rsid w:val="00B51A6E"/>
    <w:rsid w:val="00B51D12"/>
    <w:rsid w:val="00B51D9F"/>
    <w:rsid w:val="00B52323"/>
    <w:rsid w:val="00B52348"/>
    <w:rsid w:val="00B5249C"/>
    <w:rsid w:val="00B5273A"/>
    <w:rsid w:val="00B52873"/>
    <w:rsid w:val="00B5294A"/>
    <w:rsid w:val="00B52981"/>
    <w:rsid w:val="00B5309F"/>
    <w:rsid w:val="00B5323D"/>
    <w:rsid w:val="00B5350F"/>
    <w:rsid w:val="00B5362E"/>
    <w:rsid w:val="00B53749"/>
    <w:rsid w:val="00B53896"/>
    <w:rsid w:val="00B53B94"/>
    <w:rsid w:val="00B53D2B"/>
    <w:rsid w:val="00B54155"/>
    <w:rsid w:val="00B542D9"/>
    <w:rsid w:val="00B54376"/>
    <w:rsid w:val="00B54401"/>
    <w:rsid w:val="00B54454"/>
    <w:rsid w:val="00B545D7"/>
    <w:rsid w:val="00B54636"/>
    <w:rsid w:val="00B548F9"/>
    <w:rsid w:val="00B54AB5"/>
    <w:rsid w:val="00B54B1E"/>
    <w:rsid w:val="00B54C67"/>
    <w:rsid w:val="00B54F8C"/>
    <w:rsid w:val="00B54FA4"/>
    <w:rsid w:val="00B550BE"/>
    <w:rsid w:val="00B55112"/>
    <w:rsid w:val="00B552BE"/>
    <w:rsid w:val="00B55387"/>
    <w:rsid w:val="00B553B7"/>
    <w:rsid w:val="00B555A8"/>
    <w:rsid w:val="00B5567B"/>
    <w:rsid w:val="00B5573C"/>
    <w:rsid w:val="00B5573F"/>
    <w:rsid w:val="00B5578A"/>
    <w:rsid w:val="00B557F1"/>
    <w:rsid w:val="00B55837"/>
    <w:rsid w:val="00B558D7"/>
    <w:rsid w:val="00B559F8"/>
    <w:rsid w:val="00B55A02"/>
    <w:rsid w:val="00B55B01"/>
    <w:rsid w:val="00B55C27"/>
    <w:rsid w:val="00B55C2C"/>
    <w:rsid w:val="00B55DAD"/>
    <w:rsid w:val="00B55DB9"/>
    <w:rsid w:val="00B55FBC"/>
    <w:rsid w:val="00B560C8"/>
    <w:rsid w:val="00B5620D"/>
    <w:rsid w:val="00B5657C"/>
    <w:rsid w:val="00B5663E"/>
    <w:rsid w:val="00B566F1"/>
    <w:rsid w:val="00B5685D"/>
    <w:rsid w:val="00B56929"/>
    <w:rsid w:val="00B5696B"/>
    <w:rsid w:val="00B56B3C"/>
    <w:rsid w:val="00B56BCE"/>
    <w:rsid w:val="00B57047"/>
    <w:rsid w:val="00B5712F"/>
    <w:rsid w:val="00B5714A"/>
    <w:rsid w:val="00B57183"/>
    <w:rsid w:val="00B57329"/>
    <w:rsid w:val="00B573CB"/>
    <w:rsid w:val="00B57537"/>
    <w:rsid w:val="00B57568"/>
    <w:rsid w:val="00B57904"/>
    <w:rsid w:val="00B579BE"/>
    <w:rsid w:val="00B57AEC"/>
    <w:rsid w:val="00B57F61"/>
    <w:rsid w:val="00B57FE3"/>
    <w:rsid w:val="00B60051"/>
    <w:rsid w:val="00B6018A"/>
    <w:rsid w:val="00B602F9"/>
    <w:rsid w:val="00B605B5"/>
    <w:rsid w:val="00B60901"/>
    <w:rsid w:val="00B60A27"/>
    <w:rsid w:val="00B60A58"/>
    <w:rsid w:val="00B60B20"/>
    <w:rsid w:val="00B60CA4"/>
    <w:rsid w:val="00B60CC7"/>
    <w:rsid w:val="00B60E61"/>
    <w:rsid w:val="00B60E6A"/>
    <w:rsid w:val="00B60E98"/>
    <w:rsid w:val="00B60FE0"/>
    <w:rsid w:val="00B6114E"/>
    <w:rsid w:val="00B6118F"/>
    <w:rsid w:val="00B612C6"/>
    <w:rsid w:val="00B612D1"/>
    <w:rsid w:val="00B615D9"/>
    <w:rsid w:val="00B616CD"/>
    <w:rsid w:val="00B6185E"/>
    <w:rsid w:val="00B6194E"/>
    <w:rsid w:val="00B619A1"/>
    <w:rsid w:val="00B619FA"/>
    <w:rsid w:val="00B61B80"/>
    <w:rsid w:val="00B61D25"/>
    <w:rsid w:val="00B620CF"/>
    <w:rsid w:val="00B620D3"/>
    <w:rsid w:val="00B62194"/>
    <w:rsid w:val="00B622FE"/>
    <w:rsid w:val="00B6256C"/>
    <w:rsid w:val="00B627A9"/>
    <w:rsid w:val="00B629E4"/>
    <w:rsid w:val="00B62B50"/>
    <w:rsid w:val="00B62BD2"/>
    <w:rsid w:val="00B62DBC"/>
    <w:rsid w:val="00B62EF7"/>
    <w:rsid w:val="00B62F51"/>
    <w:rsid w:val="00B63031"/>
    <w:rsid w:val="00B63083"/>
    <w:rsid w:val="00B632C7"/>
    <w:rsid w:val="00B6331A"/>
    <w:rsid w:val="00B633F7"/>
    <w:rsid w:val="00B63440"/>
    <w:rsid w:val="00B63466"/>
    <w:rsid w:val="00B635B7"/>
    <w:rsid w:val="00B6379C"/>
    <w:rsid w:val="00B638C0"/>
    <w:rsid w:val="00B63AE8"/>
    <w:rsid w:val="00B63C0A"/>
    <w:rsid w:val="00B63C34"/>
    <w:rsid w:val="00B63C8D"/>
    <w:rsid w:val="00B63DB2"/>
    <w:rsid w:val="00B63F0F"/>
    <w:rsid w:val="00B63F34"/>
    <w:rsid w:val="00B63FE8"/>
    <w:rsid w:val="00B64088"/>
    <w:rsid w:val="00B642EE"/>
    <w:rsid w:val="00B64563"/>
    <w:rsid w:val="00B646C2"/>
    <w:rsid w:val="00B64777"/>
    <w:rsid w:val="00B64804"/>
    <w:rsid w:val="00B64894"/>
    <w:rsid w:val="00B64C89"/>
    <w:rsid w:val="00B64CFD"/>
    <w:rsid w:val="00B64D45"/>
    <w:rsid w:val="00B64D65"/>
    <w:rsid w:val="00B64E2C"/>
    <w:rsid w:val="00B6501E"/>
    <w:rsid w:val="00B6504C"/>
    <w:rsid w:val="00B6515C"/>
    <w:rsid w:val="00B651A9"/>
    <w:rsid w:val="00B651AD"/>
    <w:rsid w:val="00B651E8"/>
    <w:rsid w:val="00B65285"/>
    <w:rsid w:val="00B65384"/>
    <w:rsid w:val="00B654BA"/>
    <w:rsid w:val="00B65780"/>
    <w:rsid w:val="00B65950"/>
    <w:rsid w:val="00B659D3"/>
    <w:rsid w:val="00B65C83"/>
    <w:rsid w:val="00B65D00"/>
    <w:rsid w:val="00B6602A"/>
    <w:rsid w:val="00B66176"/>
    <w:rsid w:val="00B66244"/>
    <w:rsid w:val="00B664FE"/>
    <w:rsid w:val="00B66608"/>
    <w:rsid w:val="00B6673A"/>
    <w:rsid w:val="00B66856"/>
    <w:rsid w:val="00B66905"/>
    <w:rsid w:val="00B669AA"/>
    <w:rsid w:val="00B66A73"/>
    <w:rsid w:val="00B66BD4"/>
    <w:rsid w:val="00B66D68"/>
    <w:rsid w:val="00B66D83"/>
    <w:rsid w:val="00B66DAB"/>
    <w:rsid w:val="00B67234"/>
    <w:rsid w:val="00B672C0"/>
    <w:rsid w:val="00B6744B"/>
    <w:rsid w:val="00B675B8"/>
    <w:rsid w:val="00B676FD"/>
    <w:rsid w:val="00B6778B"/>
    <w:rsid w:val="00B678B6"/>
    <w:rsid w:val="00B67D11"/>
    <w:rsid w:val="00B67DAF"/>
    <w:rsid w:val="00B67F0E"/>
    <w:rsid w:val="00B701FD"/>
    <w:rsid w:val="00B7066E"/>
    <w:rsid w:val="00B706C7"/>
    <w:rsid w:val="00B70994"/>
    <w:rsid w:val="00B70AF4"/>
    <w:rsid w:val="00B70C0D"/>
    <w:rsid w:val="00B70ECE"/>
    <w:rsid w:val="00B70F98"/>
    <w:rsid w:val="00B7101B"/>
    <w:rsid w:val="00B71052"/>
    <w:rsid w:val="00B71108"/>
    <w:rsid w:val="00B71180"/>
    <w:rsid w:val="00B71236"/>
    <w:rsid w:val="00B7125B"/>
    <w:rsid w:val="00B71552"/>
    <w:rsid w:val="00B7166C"/>
    <w:rsid w:val="00B7177E"/>
    <w:rsid w:val="00B717D0"/>
    <w:rsid w:val="00B717D8"/>
    <w:rsid w:val="00B7187F"/>
    <w:rsid w:val="00B71969"/>
    <w:rsid w:val="00B719B7"/>
    <w:rsid w:val="00B71A9B"/>
    <w:rsid w:val="00B71B7E"/>
    <w:rsid w:val="00B71C00"/>
    <w:rsid w:val="00B71C56"/>
    <w:rsid w:val="00B71D6F"/>
    <w:rsid w:val="00B71DB5"/>
    <w:rsid w:val="00B71DCA"/>
    <w:rsid w:val="00B72131"/>
    <w:rsid w:val="00B721E8"/>
    <w:rsid w:val="00B72200"/>
    <w:rsid w:val="00B7244C"/>
    <w:rsid w:val="00B7246E"/>
    <w:rsid w:val="00B72559"/>
    <w:rsid w:val="00B726CF"/>
    <w:rsid w:val="00B72856"/>
    <w:rsid w:val="00B72930"/>
    <w:rsid w:val="00B72A33"/>
    <w:rsid w:val="00B72CCC"/>
    <w:rsid w:val="00B72E0E"/>
    <w:rsid w:val="00B72E2E"/>
    <w:rsid w:val="00B72E56"/>
    <w:rsid w:val="00B72F40"/>
    <w:rsid w:val="00B731A6"/>
    <w:rsid w:val="00B73208"/>
    <w:rsid w:val="00B733A6"/>
    <w:rsid w:val="00B7343F"/>
    <w:rsid w:val="00B73732"/>
    <w:rsid w:val="00B7375D"/>
    <w:rsid w:val="00B738FD"/>
    <w:rsid w:val="00B73A5A"/>
    <w:rsid w:val="00B73B74"/>
    <w:rsid w:val="00B73BFF"/>
    <w:rsid w:val="00B73D0E"/>
    <w:rsid w:val="00B7420E"/>
    <w:rsid w:val="00B7433C"/>
    <w:rsid w:val="00B74567"/>
    <w:rsid w:val="00B7467D"/>
    <w:rsid w:val="00B747A1"/>
    <w:rsid w:val="00B74821"/>
    <w:rsid w:val="00B7495E"/>
    <w:rsid w:val="00B74A98"/>
    <w:rsid w:val="00B74B76"/>
    <w:rsid w:val="00B74CE4"/>
    <w:rsid w:val="00B74D78"/>
    <w:rsid w:val="00B74EAE"/>
    <w:rsid w:val="00B74F5B"/>
    <w:rsid w:val="00B74FBF"/>
    <w:rsid w:val="00B750B9"/>
    <w:rsid w:val="00B7522E"/>
    <w:rsid w:val="00B753D2"/>
    <w:rsid w:val="00B75420"/>
    <w:rsid w:val="00B75537"/>
    <w:rsid w:val="00B75646"/>
    <w:rsid w:val="00B7585E"/>
    <w:rsid w:val="00B7589D"/>
    <w:rsid w:val="00B75912"/>
    <w:rsid w:val="00B7609B"/>
    <w:rsid w:val="00B76213"/>
    <w:rsid w:val="00B7629E"/>
    <w:rsid w:val="00B762C9"/>
    <w:rsid w:val="00B76336"/>
    <w:rsid w:val="00B76451"/>
    <w:rsid w:val="00B7655B"/>
    <w:rsid w:val="00B7655D"/>
    <w:rsid w:val="00B7677F"/>
    <w:rsid w:val="00B7696D"/>
    <w:rsid w:val="00B76AB2"/>
    <w:rsid w:val="00B76C92"/>
    <w:rsid w:val="00B76E63"/>
    <w:rsid w:val="00B76EA6"/>
    <w:rsid w:val="00B7705E"/>
    <w:rsid w:val="00B770FE"/>
    <w:rsid w:val="00B77207"/>
    <w:rsid w:val="00B77348"/>
    <w:rsid w:val="00B773BC"/>
    <w:rsid w:val="00B7772D"/>
    <w:rsid w:val="00B77838"/>
    <w:rsid w:val="00B778EB"/>
    <w:rsid w:val="00B77AAD"/>
    <w:rsid w:val="00B77AE7"/>
    <w:rsid w:val="00B77C2B"/>
    <w:rsid w:val="00B77C60"/>
    <w:rsid w:val="00B8014A"/>
    <w:rsid w:val="00B803B3"/>
    <w:rsid w:val="00B803DB"/>
    <w:rsid w:val="00B803DC"/>
    <w:rsid w:val="00B809A7"/>
    <w:rsid w:val="00B80B13"/>
    <w:rsid w:val="00B80E51"/>
    <w:rsid w:val="00B80FAD"/>
    <w:rsid w:val="00B81141"/>
    <w:rsid w:val="00B8118D"/>
    <w:rsid w:val="00B81496"/>
    <w:rsid w:val="00B814AC"/>
    <w:rsid w:val="00B815CC"/>
    <w:rsid w:val="00B81618"/>
    <w:rsid w:val="00B8178D"/>
    <w:rsid w:val="00B817D4"/>
    <w:rsid w:val="00B81873"/>
    <w:rsid w:val="00B81875"/>
    <w:rsid w:val="00B81A38"/>
    <w:rsid w:val="00B81D45"/>
    <w:rsid w:val="00B81D87"/>
    <w:rsid w:val="00B81E11"/>
    <w:rsid w:val="00B81E2B"/>
    <w:rsid w:val="00B81EAB"/>
    <w:rsid w:val="00B81EEC"/>
    <w:rsid w:val="00B81F40"/>
    <w:rsid w:val="00B81F67"/>
    <w:rsid w:val="00B82040"/>
    <w:rsid w:val="00B820AA"/>
    <w:rsid w:val="00B822CA"/>
    <w:rsid w:val="00B823E1"/>
    <w:rsid w:val="00B82573"/>
    <w:rsid w:val="00B828FC"/>
    <w:rsid w:val="00B82952"/>
    <w:rsid w:val="00B8299E"/>
    <w:rsid w:val="00B82B97"/>
    <w:rsid w:val="00B82BAF"/>
    <w:rsid w:val="00B82C7E"/>
    <w:rsid w:val="00B8303E"/>
    <w:rsid w:val="00B830A4"/>
    <w:rsid w:val="00B831F6"/>
    <w:rsid w:val="00B8339D"/>
    <w:rsid w:val="00B8371E"/>
    <w:rsid w:val="00B83824"/>
    <w:rsid w:val="00B83E3C"/>
    <w:rsid w:val="00B84139"/>
    <w:rsid w:val="00B84780"/>
    <w:rsid w:val="00B84838"/>
    <w:rsid w:val="00B84846"/>
    <w:rsid w:val="00B84866"/>
    <w:rsid w:val="00B849C5"/>
    <w:rsid w:val="00B84A8C"/>
    <w:rsid w:val="00B84B5A"/>
    <w:rsid w:val="00B85399"/>
    <w:rsid w:val="00B853E6"/>
    <w:rsid w:val="00B8579E"/>
    <w:rsid w:val="00B85893"/>
    <w:rsid w:val="00B858A3"/>
    <w:rsid w:val="00B85CC5"/>
    <w:rsid w:val="00B85F91"/>
    <w:rsid w:val="00B85FB1"/>
    <w:rsid w:val="00B860A5"/>
    <w:rsid w:val="00B86150"/>
    <w:rsid w:val="00B86449"/>
    <w:rsid w:val="00B86598"/>
    <w:rsid w:val="00B865CD"/>
    <w:rsid w:val="00B868CE"/>
    <w:rsid w:val="00B86B8A"/>
    <w:rsid w:val="00B86DEB"/>
    <w:rsid w:val="00B86E36"/>
    <w:rsid w:val="00B86FD7"/>
    <w:rsid w:val="00B873CF"/>
    <w:rsid w:val="00B875F4"/>
    <w:rsid w:val="00B876C5"/>
    <w:rsid w:val="00B877A7"/>
    <w:rsid w:val="00B87806"/>
    <w:rsid w:val="00B8781B"/>
    <w:rsid w:val="00B878A2"/>
    <w:rsid w:val="00B879BA"/>
    <w:rsid w:val="00B87A48"/>
    <w:rsid w:val="00B87CAC"/>
    <w:rsid w:val="00B87D49"/>
    <w:rsid w:val="00B9009A"/>
    <w:rsid w:val="00B901E9"/>
    <w:rsid w:val="00B90488"/>
    <w:rsid w:val="00B90652"/>
    <w:rsid w:val="00B90729"/>
    <w:rsid w:val="00B907DA"/>
    <w:rsid w:val="00B9084C"/>
    <w:rsid w:val="00B9087E"/>
    <w:rsid w:val="00B90B09"/>
    <w:rsid w:val="00B90BEC"/>
    <w:rsid w:val="00B90F35"/>
    <w:rsid w:val="00B9104B"/>
    <w:rsid w:val="00B91086"/>
    <w:rsid w:val="00B91585"/>
    <w:rsid w:val="00B915A5"/>
    <w:rsid w:val="00B918A0"/>
    <w:rsid w:val="00B91955"/>
    <w:rsid w:val="00B91C82"/>
    <w:rsid w:val="00B91CC4"/>
    <w:rsid w:val="00B91D4B"/>
    <w:rsid w:val="00B91F73"/>
    <w:rsid w:val="00B91FE5"/>
    <w:rsid w:val="00B92090"/>
    <w:rsid w:val="00B920F1"/>
    <w:rsid w:val="00B9233E"/>
    <w:rsid w:val="00B923AA"/>
    <w:rsid w:val="00B9248B"/>
    <w:rsid w:val="00B92546"/>
    <w:rsid w:val="00B9254D"/>
    <w:rsid w:val="00B9280D"/>
    <w:rsid w:val="00B9281E"/>
    <w:rsid w:val="00B928B8"/>
    <w:rsid w:val="00B928D4"/>
    <w:rsid w:val="00B92954"/>
    <w:rsid w:val="00B92A4B"/>
    <w:rsid w:val="00B92B45"/>
    <w:rsid w:val="00B92E25"/>
    <w:rsid w:val="00B92F98"/>
    <w:rsid w:val="00B93189"/>
    <w:rsid w:val="00B93285"/>
    <w:rsid w:val="00B932EE"/>
    <w:rsid w:val="00B93329"/>
    <w:rsid w:val="00B9346C"/>
    <w:rsid w:val="00B9369B"/>
    <w:rsid w:val="00B936CF"/>
    <w:rsid w:val="00B9398E"/>
    <w:rsid w:val="00B939D7"/>
    <w:rsid w:val="00B93A00"/>
    <w:rsid w:val="00B93AEE"/>
    <w:rsid w:val="00B93B05"/>
    <w:rsid w:val="00B93B41"/>
    <w:rsid w:val="00B93C2C"/>
    <w:rsid w:val="00B94004"/>
    <w:rsid w:val="00B940AF"/>
    <w:rsid w:val="00B941B2"/>
    <w:rsid w:val="00B9421C"/>
    <w:rsid w:val="00B94534"/>
    <w:rsid w:val="00B94546"/>
    <w:rsid w:val="00B946E3"/>
    <w:rsid w:val="00B94A17"/>
    <w:rsid w:val="00B94B12"/>
    <w:rsid w:val="00B94BE6"/>
    <w:rsid w:val="00B94C5E"/>
    <w:rsid w:val="00B94FEA"/>
    <w:rsid w:val="00B9507E"/>
    <w:rsid w:val="00B950B4"/>
    <w:rsid w:val="00B950BC"/>
    <w:rsid w:val="00B9528C"/>
    <w:rsid w:val="00B95297"/>
    <w:rsid w:val="00B953A2"/>
    <w:rsid w:val="00B95589"/>
    <w:rsid w:val="00B9559F"/>
    <w:rsid w:val="00B95626"/>
    <w:rsid w:val="00B95635"/>
    <w:rsid w:val="00B95BA8"/>
    <w:rsid w:val="00B95C6F"/>
    <w:rsid w:val="00B95E13"/>
    <w:rsid w:val="00B95F10"/>
    <w:rsid w:val="00B95F9F"/>
    <w:rsid w:val="00B96127"/>
    <w:rsid w:val="00B96220"/>
    <w:rsid w:val="00B96318"/>
    <w:rsid w:val="00B9632A"/>
    <w:rsid w:val="00B968F2"/>
    <w:rsid w:val="00B969D7"/>
    <w:rsid w:val="00B969ED"/>
    <w:rsid w:val="00B96AE6"/>
    <w:rsid w:val="00B96B77"/>
    <w:rsid w:val="00B96DC1"/>
    <w:rsid w:val="00B97024"/>
    <w:rsid w:val="00B9714C"/>
    <w:rsid w:val="00B972C0"/>
    <w:rsid w:val="00B9738C"/>
    <w:rsid w:val="00B973EA"/>
    <w:rsid w:val="00B97410"/>
    <w:rsid w:val="00B974C3"/>
    <w:rsid w:val="00B97503"/>
    <w:rsid w:val="00B979AB"/>
    <w:rsid w:val="00B97A5F"/>
    <w:rsid w:val="00B97B1C"/>
    <w:rsid w:val="00B97C32"/>
    <w:rsid w:val="00B97F8B"/>
    <w:rsid w:val="00B97FF2"/>
    <w:rsid w:val="00BA0187"/>
    <w:rsid w:val="00BA01DC"/>
    <w:rsid w:val="00BA0256"/>
    <w:rsid w:val="00BA0340"/>
    <w:rsid w:val="00BA064B"/>
    <w:rsid w:val="00BA07B7"/>
    <w:rsid w:val="00BA0808"/>
    <w:rsid w:val="00BA0898"/>
    <w:rsid w:val="00BA093B"/>
    <w:rsid w:val="00BA09E1"/>
    <w:rsid w:val="00BA0C07"/>
    <w:rsid w:val="00BA0E84"/>
    <w:rsid w:val="00BA0F88"/>
    <w:rsid w:val="00BA1094"/>
    <w:rsid w:val="00BA1102"/>
    <w:rsid w:val="00BA11EF"/>
    <w:rsid w:val="00BA11F2"/>
    <w:rsid w:val="00BA15A7"/>
    <w:rsid w:val="00BA15C6"/>
    <w:rsid w:val="00BA17D4"/>
    <w:rsid w:val="00BA1885"/>
    <w:rsid w:val="00BA1982"/>
    <w:rsid w:val="00BA1B15"/>
    <w:rsid w:val="00BA202E"/>
    <w:rsid w:val="00BA20CF"/>
    <w:rsid w:val="00BA239A"/>
    <w:rsid w:val="00BA24D0"/>
    <w:rsid w:val="00BA2540"/>
    <w:rsid w:val="00BA2621"/>
    <w:rsid w:val="00BA26F6"/>
    <w:rsid w:val="00BA27C5"/>
    <w:rsid w:val="00BA29AD"/>
    <w:rsid w:val="00BA29EE"/>
    <w:rsid w:val="00BA2CB6"/>
    <w:rsid w:val="00BA2E59"/>
    <w:rsid w:val="00BA2F56"/>
    <w:rsid w:val="00BA2F8C"/>
    <w:rsid w:val="00BA30E3"/>
    <w:rsid w:val="00BA31DC"/>
    <w:rsid w:val="00BA31F3"/>
    <w:rsid w:val="00BA32E6"/>
    <w:rsid w:val="00BA3308"/>
    <w:rsid w:val="00BA3375"/>
    <w:rsid w:val="00BA33B1"/>
    <w:rsid w:val="00BA33CF"/>
    <w:rsid w:val="00BA359D"/>
    <w:rsid w:val="00BA3C53"/>
    <w:rsid w:val="00BA3F8D"/>
    <w:rsid w:val="00BA417F"/>
    <w:rsid w:val="00BA4638"/>
    <w:rsid w:val="00BA4768"/>
    <w:rsid w:val="00BA48E8"/>
    <w:rsid w:val="00BA4906"/>
    <w:rsid w:val="00BA4A1F"/>
    <w:rsid w:val="00BA506E"/>
    <w:rsid w:val="00BA51A1"/>
    <w:rsid w:val="00BA53F4"/>
    <w:rsid w:val="00BA54AA"/>
    <w:rsid w:val="00BA5535"/>
    <w:rsid w:val="00BA55CD"/>
    <w:rsid w:val="00BA5AD0"/>
    <w:rsid w:val="00BA5F58"/>
    <w:rsid w:val="00BA5F6F"/>
    <w:rsid w:val="00BA5FE9"/>
    <w:rsid w:val="00BA61A8"/>
    <w:rsid w:val="00BA621C"/>
    <w:rsid w:val="00BA6368"/>
    <w:rsid w:val="00BA6567"/>
    <w:rsid w:val="00BA67E6"/>
    <w:rsid w:val="00BA6A5A"/>
    <w:rsid w:val="00BA6D0E"/>
    <w:rsid w:val="00BA6D5C"/>
    <w:rsid w:val="00BA6FBD"/>
    <w:rsid w:val="00BA70D5"/>
    <w:rsid w:val="00BA7240"/>
    <w:rsid w:val="00BA72F8"/>
    <w:rsid w:val="00BA7378"/>
    <w:rsid w:val="00BA7420"/>
    <w:rsid w:val="00BA7535"/>
    <w:rsid w:val="00BA7646"/>
    <w:rsid w:val="00BA7859"/>
    <w:rsid w:val="00BA79DA"/>
    <w:rsid w:val="00BA7A0F"/>
    <w:rsid w:val="00BA7A7D"/>
    <w:rsid w:val="00BA7C9F"/>
    <w:rsid w:val="00BA7CC6"/>
    <w:rsid w:val="00BA7DA3"/>
    <w:rsid w:val="00BA7DD5"/>
    <w:rsid w:val="00BA7E14"/>
    <w:rsid w:val="00BA7EBF"/>
    <w:rsid w:val="00BB01CA"/>
    <w:rsid w:val="00BB0411"/>
    <w:rsid w:val="00BB05AF"/>
    <w:rsid w:val="00BB0733"/>
    <w:rsid w:val="00BB075E"/>
    <w:rsid w:val="00BB09F5"/>
    <w:rsid w:val="00BB0E1B"/>
    <w:rsid w:val="00BB0E27"/>
    <w:rsid w:val="00BB1186"/>
    <w:rsid w:val="00BB135A"/>
    <w:rsid w:val="00BB14B4"/>
    <w:rsid w:val="00BB14FD"/>
    <w:rsid w:val="00BB179D"/>
    <w:rsid w:val="00BB17C1"/>
    <w:rsid w:val="00BB186A"/>
    <w:rsid w:val="00BB19A9"/>
    <w:rsid w:val="00BB1A8A"/>
    <w:rsid w:val="00BB1C54"/>
    <w:rsid w:val="00BB1D71"/>
    <w:rsid w:val="00BB1E9C"/>
    <w:rsid w:val="00BB2277"/>
    <w:rsid w:val="00BB231B"/>
    <w:rsid w:val="00BB2326"/>
    <w:rsid w:val="00BB23B2"/>
    <w:rsid w:val="00BB2766"/>
    <w:rsid w:val="00BB295A"/>
    <w:rsid w:val="00BB2B3A"/>
    <w:rsid w:val="00BB2BBB"/>
    <w:rsid w:val="00BB2E01"/>
    <w:rsid w:val="00BB2F20"/>
    <w:rsid w:val="00BB307C"/>
    <w:rsid w:val="00BB30A0"/>
    <w:rsid w:val="00BB30E1"/>
    <w:rsid w:val="00BB31C4"/>
    <w:rsid w:val="00BB31FC"/>
    <w:rsid w:val="00BB3202"/>
    <w:rsid w:val="00BB3255"/>
    <w:rsid w:val="00BB33C3"/>
    <w:rsid w:val="00BB3636"/>
    <w:rsid w:val="00BB3768"/>
    <w:rsid w:val="00BB37D9"/>
    <w:rsid w:val="00BB3960"/>
    <w:rsid w:val="00BB3999"/>
    <w:rsid w:val="00BB3B4A"/>
    <w:rsid w:val="00BB3C9A"/>
    <w:rsid w:val="00BB40FD"/>
    <w:rsid w:val="00BB421F"/>
    <w:rsid w:val="00BB4557"/>
    <w:rsid w:val="00BB45A4"/>
    <w:rsid w:val="00BB45EA"/>
    <w:rsid w:val="00BB49A2"/>
    <w:rsid w:val="00BB4C57"/>
    <w:rsid w:val="00BB4CC0"/>
    <w:rsid w:val="00BB4DAB"/>
    <w:rsid w:val="00BB4F99"/>
    <w:rsid w:val="00BB56F4"/>
    <w:rsid w:val="00BB576C"/>
    <w:rsid w:val="00BB5813"/>
    <w:rsid w:val="00BB5A5B"/>
    <w:rsid w:val="00BB5D39"/>
    <w:rsid w:val="00BB5D41"/>
    <w:rsid w:val="00BB601A"/>
    <w:rsid w:val="00BB61C8"/>
    <w:rsid w:val="00BB6923"/>
    <w:rsid w:val="00BB6ADC"/>
    <w:rsid w:val="00BB6D42"/>
    <w:rsid w:val="00BB6DB9"/>
    <w:rsid w:val="00BB7051"/>
    <w:rsid w:val="00BB733D"/>
    <w:rsid w:val="00BB7487"/>
    <w:rsid w:val="00BB74AC"/>
    <w:rsid w:val="00BB75B8"/>
    <w:rsid w:val="00BB77CF"/>
    <w:rsid w:val="00BB7A09"/>
    <w:rsid w:val="00BB7A10"/>
    <w:rsid w:val="00BB7BCC"/>
    <w:rsid w:val="00BB7D0D"/>
    <w:rsid w:val="00BB7FE6"/>
    <w:rsid w:val="00BC0064"/>
    <w:rsid w:val="00BC0248"/>
    <w:rsid w:val="00BC02EC"/>
    <w:rsid w:val="00BC0447"/>
    <w:rsid w:val="00BC0491"/>
    <w:rsid w:val="00BC07F4"/>
    <w:rsid w:val="00BC0A1A"/>
    <w:rsid w:val="00BC0AA7"/>
    <w:rsid w:val="00BC135D"/>
    <w:rsid w:val="00BC1363"/>
    <w:rsid w:val="00BC13B1"/>
    <w:rsid w:val="00BC13CC"/>
    <w:rsid w:val="00BC14D1"/>
    <w:rsid w:val="00BC1A85"/>
    <w:rsid w:val="00BC1C16"/>
    <w:rsid w:val="00BC1DA5"/>
    <w:rsid w:val="00BC1E80"/>
    <w:rsid w:val="00BC209C"/>
    <w:rsid w:val="00BC20A8"/>
    <w:rsid w:val="00BC20DE"/>
    <w:rsid w:val="00BC2132"/>
    <w:rsid w:val="00BC2393"/>
    <w:rsid w:val="00BC24A4"/>
    <w:rsid w:val="00BC2743"/>
    <w:rsid w:val="00BC275A"/>
    <w:rsid w:val="00BC2768"/>
    <w:rsid w:val="00BC27A5"/>
    <w:rsid w:val="00BC2811"/>
    <w:rsid w:val="00BC293E"/>
    <w:rsid w:val="00BC298B"/>
    <w:rsid w:val="00BC2C50"/>
    <w:rsid w:val="00BC2CFB"/>
    <w:rsid w:val="00BC318E"/>
    <w:rsid w:val="00BC3938"/>
    <w:rsid w:val="00BC3D81"/>
    <w:rsid w:val="00BC3DE7"/>
    <w:rsid w:val="00BC3EFA"/>
    <w:rsid w:val="00BC4024"/>
    <w:rsid w:val="00BC42AD"/>
    <w:rsid w:val="00BC4305"/>
    <w:rsid w:val="00BC4416"/>
    <w:rsid w:val="00BC4508"/>
    <w:rsid w:val="00BC454D"/>
    <w:rsid w:val="00BC45EC"/>
    <w:rsid w:val="00BC4602"/>
    <w:rsid w:val="00BC47D2"/>
    <w:rsid w:val="00BC487B"/>
    <w:rsid w:val="00BC4BEB"/>
    <w:rsid w:val="00BC4C4F"/>
    <w:rsid w:val="00BC4D9C"/>
    <w:rsid w:val="00BC4E24"/>
    <w:rsid w:val="00BC4E3C"/>
    <w:rsid w:val="00BC4E90"/>
    <w:rsid w:val="00BC5067"/>
    <w:rsid w:val="00BC5161"/>
    <w:rsid w:val="00BC51DA"/>
    <w:rsid w:val="00BC53AE"/>
    <w:rsid w:val="00BC5462"/>
    <w:rsid w:val="00BC5508"/>
    <w:rsid w:val="00BC562D"/>
    <w:rsid w:val="00BC56DA"/>
    <w:rsid w:val="00BC5BEA"/>
    <w:rsid w:val="00BC5CF9"/>
    <w:rsid w:val="00BC5D5E"/>
    <w:rsid w:val="00BC5E5E"/>
    <w:rsid w:val="00BC5F94"/>
    <w:rsid w:val="00BC5FB5"/>
    <w:rsid w:val="00BC5FC0"/>
    <w:rsid w:val="00BC60BE"/>
    <w:rsid w:val="00BC6386"/>
    <w:rsid w:val="00BC6453"/>
    <w:rsid w:val="00BC6460"/>
    <w:rsid w:val="00BC670A"/>
    <w:rsid w:val="00BC67D0"/>
    <w:rsid w:val="00BC6EC2"/>
    <w:rsid w:val="00BC71F2"/>
    <w:rsid w:val="00BC72CF"/>
    <w:rsid w:val="00BC72D1"/>
    <w:rsid w:val="00BC7309"/>
    <w:rsid w:val="00BC744C"/>
    <w:rsid w:val="00BC7468"/>
    <w:rsid w:val="00BC74C8"/>
    <w:rsid w:val="00BC758F"/>
    <w:rsid w:val="00BC79F8"/>
    <w:rsid w:val="00BC7BD7"/>
    <w:rsid w:val="00BC7C4E"/>
    <w:rsid w:val="00BC7D4F"/>
    <w:rsid w:val="00BC7ED7"/>
    <w:rsid w:val="00BC7FB5"/>
    <w:rsid w:val="00BD0274"/>
    <w:rsid w:val="00BD02FA"/>
    <w:rsid w:val="00BD0474"/>
    <w:rsid w:val="00BD0622"/>
    <w:rsid w:val="00BD0657"/>
    <w:rsid w:val="00BD093A"/>
    <w:rsid w:val="00BD0A2D"/>
    <w:rsid w:val="00BD0AAC"/>
    <w:rsid w:val="00BD0C58"/>
    <w:rsid w:val="00BD0D5C"/>
    <w:rsid w:val="00BD0E0F"/>
    <w:rsid w:val="00BD0EC3"/>
    <w:rsid w:val="00BD0F8B"/>
    <w:rsid w:val="00BD0FDA"/>
    <w:rsid w:val="00BD102C"/>
    <w:rsid w:val="00BD1087"/>
    <w:rsid w:val="00BD135B"/>
    <w:rsid w:val="00BD165B"/>
    <w:rsid w:val="00BD174F"/>
    <w:rsid w:val="00BD1950"/>
    <w:rsid w:val="00BD1B14"/>
    <w:rsid w:val="00BD1B77"/>
    <w:rsid w:val="00BD1DF1"/>
    <w:rsid w:val="00BD2097"/>
    <w:rsid w:val="00BD217D"/>
    <w:rsid w:val="00BD221E"/>
    <w:rsid w:val="00BD2251"/>
    <w:rsid w:val="00BD2404"/>
    <w:rsid w:val="00BD240C"/>
    <w:rsid w:val="00BD24DB"/>
    <w:rsid w:val="00BD252A"/>
    <w:rsid w:val="00BD259B"/>
    <w:rsid w:val="00BD2850"/>
    <w:rsid w:val="00BD28C6"/>
    <w:rsid w:val="00BD28DB"/>
    <w:rsid w:val="00BD308B"/>
    <w:rsid w:val="00BD3137"/>
    <w:rsid w:val="00BD313D"/>
    <w:rsid w:val="00BD350A"/>
    <w:rsid w:val="00BD3536"/>
    <w:rsid w:val="00BD36FA"/>
    <w:rsid w:val="00BD373F"/>
    <w:rsid w:val="00BD37CF"/>
    <w:rsid w:val="00BD3998"/>
    <w:rsid w:val="00BD3B5B"/>
    <w:rsid w:val="00BD3BFE"/>
    <w:rsid w:val="00BD3D18"/>
    <w:rsid w:val="00BD421D"/>
    <w:rsid w:val="00BD445B"/>
    <w:rsid w:val="00BD460A"/>
    <w:rsid w:val="00BD4710"/>
    <w:rsid w:val="00BD4A62"/>
    <w:rsid w:val="00BD4E4F"/>
    <w:rsid w:val="00BD4EB2"/>
    <w:rsid w:val="00BD500A"/>
    <w:rsid w:val="00BD50F7"/>
    <w:rsid w:val="00BD52BE"/>
    <w:rsid w:val="00BD52F1"/>
    <w:rsid w:val="00BD5449"/>
    <w:rsid w:val="00BD544C"/>
    <w:rsid w:val="00BD563F"/>
    <w:rsid w:val="00BD5741"/>
    <w:rsid w:val="00BD5823"/>
    <w:rsid w:val="00BD584B"/>
    <w:rsid w:val="00BD5998"/>
    <w:rsid w:val="00BD5CAA"/>
    <w:rsid w:val="00BD5D7C"/>
    <w:rsid w:val="00BD5DCE"/>
    <w:rsid w:val="00BD5F48"/>
    <w:rsid w:val="00BD5FD4"/>
    <w:rsid w:val="00BD63B3"/>
    <w:rsid w:val="00BD64A8"/>
    <w:rsid w:val="00BD655F"/>
    <w:rsid w:val="00BD6602"/>
    <w:rsid w:val="00BD6668"/>
    <w:rsid w:val="00BD67C7"/>
    <w:rsid w:val="00BD68AC"/>
    <w:rsid w:val="00BD69DB"/>
    <w:rsid w:val="00BD6FCB"/>
    <w:rsid w:val="00BD71D3"/>
    <w:rsid w:val="00BD7208"/>
    <w:rsid w:val="00BD734B"/>
    <w:rsid w:val="00BD745F"/>
    <w:rsid w:val="00BD754B"/>
    <w:rsid w:val="00BD7693"/>
    <w:rsid w:val="00BD76C3"/>
    <w:rsid w:val="00BD76D8"/>
    <w:rsid w:val="00BD78FF"/>
    <w:rsid w:val="00BD7A0C"/>
    <w:rsid w:val="00BD7B34"/>
    <w:rsid w:val="00BD7CC7"/>
    <w:rsid w:val="00BD7EE9"/>
    <w:rsid w:val="00BD7F8A"/>
    <w:rsid w:val="00BD7FFE"/>
    <w:rsid w:val="00BE0218"/>
    <w:rsid w:val="00BE0284"/>
    <w:rsid w:val="00BE03A2"/>
    <w:rsid w:val="00BE03F3"/>
    <w:rsid w:val="00BE047A"/>
    <w:rsid w:val="00BE059F"/>
    <w:rsid w:val="00BE0631"/>
    <w:rsid w:val="00BE068F"/>
    <w:rsid w:val="00BE08D9"/>
    <w:rsid w:val="00BE08F0"/>
    <w:rsid w:val="00BE0932"/>
    <w:rsid w:val="00BE0B84"/>
    <w:rsid w:val="00BE0B9F"/>
    <w:rsid w:val="00BE0C40"/>
    <w:rsid w:val="00BE0E42"/>
    <w:rsid w:val="00BE158C"/>
    <w:rsid w:val="00BE17FD"/>
    <w:rsid w:val="00BE193E"/>
    <w:rsid w:val="00BE1BEB"/>
    <w:rsid w:val="00BE1C5F"/>
    <w:rsid w:val="00BE1D16"/>
    <w:rsid w:val="00BE1DF4"/>
    <w:rsid w:val="00BE1E9C"/>
    <w:rsid w:val="00BE20B0"/>
    <w:rsid w:val="00BE20B7"/>
    <w:rsid w:val="00BE20BA"/>
    <w:rsid w:val="00BE20D4"/>
    <w:rsid w:val="00BE21CD"/>
    <w:rsid w:val="00BE221D"/>
    <w:rsid w:val="00BE22B5"/>
    <w:rsid w:val="00BE22E1"/>
    <w:rsid w:val="00BE2448"/>
    <w:rsid w:val="00BE2604"/>
    <w:rsid w:val="00BE26CD"/>
    <w:rsid w:val="00BE26E0"/>
    <w:rsid w:val="00BE279C"/>
    <w:rsid w:val="00BE28D2"/>
    <w:rsid w:val="00BE2AB5"/>
    <w:rsid w:val="00BE2C54"/>
    <w:rsid w:val="00BE2CA3"/>
    <w:rsid w:val="00BE2D96"/>
    <w:rsid w:val="00BE2DB1"/>
    <w:rsid w:val="00BE327B"/>
    <w:rsid w:val="00BE32D3"/>
    <w:rsid w:val="00BE32E2"/>
    <w:rsid w:val="00BE35CD"/>
    <w:rsid w:val="00BE36BC"/>
    <w:rsid w:val="00BE36BD"/>
    <w:rsid w:val="00BE3834"/>
    <w:rsid w:val="00BE3A2E"/>
    <w:rsid w:val="00BE3B21"/>
    <w:rsid w:val="00BE3C14"/>
    <w:rsid w:val="00BE3D5B"/>
    <w:rsid w:val="00BE3D60"/>
    <w:rsid w:val="00BE3E2A"/>
    <w:rsid w:val="00BE3E8D"/>
    <w:rsid w:val="00BE402A"/>
    <w:rsid w:val="00BE4188"/>
    <w:rsid w:val="00BE4296"/>
    <w:rsid w:val="00BE43B4"/>
    <w:rsid w:val="00BE43F1"/>
    <w:rsid w:val="00BE4414"/>
    <w:rsid w:val="00BE45B6"/>
    <w:rsid w:val="00BE4628"/>
    <w:rsid w:val="00BE46E9"/>
    <w:rsid w:val="00BE4726"/>
    <w:rsid w:val="00BE48C8"/>
    <w:rsid w:val="00BE48D1"/>
    <w:rsid w:val="00BE4A64"/>
    <w:rsid w:val="00BE4B76"/>
    <w:rsid w:val="00BE4F23"/>
    <w:rsid w:val="00BE4F34"/>
    <w:rsid w:val="00BE4F5D"/>
    <w:rsid w:val="00BE4FBB"/>
    <w:rsid w:val="00BE515D"/>
    <w:rsid w:val="00BE536A"/>
    <w:rsid w:val="00BE55BF"/>
    <w:rsid w:val="00BE58B4"/>
    <w:rsid w:val="00BE591B"/>
    <w:rsid w:val="00BE5AAE"/>
    <w:rsid w:val="00BE5C6F"/>
    <w:rsid w:val="00BE5E43"/>
    <w:rsid w:val="00BE5F59"/>
    <w:rsid w:val="00BE5FF5"/>
    <w:rsid w:val="00BE601E"/>
    <w:rsid w:val="00BE626D"/>
    <w:rsid w:val="00BE63AE"/>
    <w:rsid w:val="00BE643A"/>
    <w:rsid w:val="00BE6578"/>
    <w:rsid w:val="00BE6666"/>
    <w:rsid w:val="00BE6897"/>
    <w:rsid w:val="00BE6908"/>
    <w:rsid w:val="00BE6A16"/>
    <w:rsid w:val="00BE6B4E"/>
    <w:rsid w:val="00BE6CFA"/>
    <w:rsid w:val="00BE6EE6"/>
    <w:rsid w:val="00BE6F6D"/>
    <w:rsid w:val="00BE701C"/>
    <w:rsid w:val="00BE7034"/>
    <w:rsid w:val="00BE7083"/>
    <w:rsid w:val="00BE7107"/>
    <w:rsid w:val="00BE71B4"/>
    <w:rsid w:val="00BE72C1"/>
    <w:rsid w:val="00BE7312"/>
    <w:rsid w:val="00BE73D3"/>
    <w:rsid w:val="00BE7579"/>
    <w:rsid w:val="00BE75A4"/>
    <w:rsid w:val="00BE774E"/>
    <w:rsid w:val="00BE7961"/>
    <w:rsid w:val="00BE7970"/>
    <w:rsid w:val="00BE7ADB"/>
    <w:rsid w:val="00BE7B22"/>
    <w:rsid w:val="00BE7B28"/>
    <w:rsid w:val="00BE7F30"/>
    <w:rsid w:val="00BE7FE0"/>
    <w:rsid w:val="00BF01A5"/>
    <w:rsid w:val="00BF0261"/>
    <w:rsid w:val="00BF0387"/>
    <w:rsid w:val="00BF0388"/>
    <w:rsid w:val="00BF046B"/>
    <w:rsid w:val="00BF0837"/>
    <w:rsid w:val="00BF084F"/>
    <w:rsid w:val="00BF0968"/>
    <w:rsid w:val="00BF0A28"/>
    <w:rsid w:val="00BF0B0D"/>
    <w:rsid w:val="00BF0B9D"/>
    <w:rsid w:val="00BF0C1A"/>
    <w:rsid w:val="00BF0D3B"/>
    <w:rsid w:val="00BF0D66"/>
    <w:rsid w:val="00BF0D82"/>
    <w:rsid w:val="00BF0DF8"/>
    <w:rsid w:val="00BF0E51"/>
    <w:rsid w:val="00BF1243"/>
    <w:rsid w:val="00BF1870"/>
    <w:rsid w:val="00BF1A46"/>
    <w:rsid w:val="00BF1BD1"/>
    <w:rsid w:val="00BF1E16"/>
    <w:rsid w:val="00BF1E64"/>
    <w:rsid w:val="00BF2031"/>
    <w:rsid w:val="00BF2043"/>
    <w:rsid w:val="00BF215D"/>
    <w:rsid w:val="00BF215F"/>
    <w:rsid w:val="00BF249D"/>
    <w:rsid w:val="00BF259A"/>
    <w:rsid w:val="00BF26B1"/>
    <w:rsid w:val="00BF2715"/>
    <w:rsid w:val="00BF2836"/>
    <w:rsid w:val="00BF2B75"/>
    <w:rsid w:val="00BF2EB2"/>
    <w:rsid w:val="00BF2FA7"/>
    <w:rsid w:val="00BF31DB"/>
    <w:rsid w:val="00BF3202"/>
    <w:rsid w:val="00BF35A2"/>
    <w:rsid w:val="00BF35D7"/>
    <w:rsid w:val="00BF381A"/>
    <w:rsid w:val="00BF3A00"/>
    <w:rsid w:val="00BF3B55"/>
    <w:rsid w:val="00BF3D1D"/>
    <w:rsid w:val="00BF3E1F"/>
    <w:rsid w:val="00BF4222"/>
    <w:rsid w:val="00BF42D5"/>
    <w:rsid w:val="00BF445C"/>
    <w:rsid w:val="00BF4683"/>
    <w:rsid w:val="00BF4754"/>
    <w:rsid w:val="00BF4758"/>
    <w:rsid w:val="00BF4808"/>
    <w:rsid w:val="00BF4842"/>
    <w:rsid w:val="00BF488F"/>
    <w:rsid w:val="00BF4989"/>
    <w:rsid w:val="00BF4A50"/>
    <w:rsid w:val="00BF4A86"/>
    <w:rsid w:val="00BF4AD6"/>
    <w:rsid w:val="00BF4C10"/>
    <w:rsid w:val="00BF4C2C"/>
    <w:rsid w:val="00BF4E4A"/>
    <w:rsid w:val="00BF4F9E"/>
    <w:rsid w:val="00BF4FF2"/>
    <w:rsid w:val="00BF511A"/>
    <w:rsid w:val="00BF542C"/>
    <w:rsid w:val="00BF542F"/>
    <w:rsid w:val="00BF54B6"/>
    <w:rsid w:val="00BF54FD"/>
    <w:rsid w:val="00BF557D"/>
    <w:rsid w:val="00BF58B0"/>
    <w:rsid w:val="00BF58EF"/>
    <w:rsid w:val="00BF5C32"/>
    <w:rsid w:val="00BF5C52"/>
    <w:rsid w:val="00BF6163"/>
    <w:rsid w:val="00BF61AA"/>
    <w:rsid w:val="00BF6267"/>
    <w:rsid w:val="00BF658D"/>
    <w:rsid w:val="00BF66CA"/>
    <w:rsid w:val="00BF6741"/>
    <w:rsid w:val="00BF67E9"/>
    <w:rsid w:val="00BF69A0"/>
    <w:rsid w:val="00BF6AD1"/>
    <w:rsid w:val="00BF7112"/>
    <w:rsid w:val="00BF7324"/>
    <w:rsid w:val="00BF734D"/>
    <w:rsid w:val="00BF73C2"/>
    <w:rsid w:val="00BF749E"/>
    <w:rsid w:val="00BF7536"/>
    <w:rsid w:val="00BF764A"/>
    <w:rsid w:val="00BF7895"/>
    <w:rsid w:val="00BF7A3D"/>
    <w:rsid w:val="00BF7AE4"/>
    <w:rsid w:val="00BF7CC3"/>
    <w:rsid w:val="00BF7D27"/>
    <w:rsid w:val="00BF7EB6"/>
    <w:rsid w:val="00BF7ED0"/>
    <w:rsid w:val="00BF7F58"/>
    <w:rsid w:val="00C00133"/>
    <w:rsid w:val="00C003D0"/>
    <w:rsid w:val="00C003EB"/>
    <w:rsid w:val="00C0048A"/>
    <w:rsid w:val="00C00600"/>
    <w:rsid w:val="00C0068B"/>
    <w:rsid w:val="00C009F3"/>
    <w:rsid w:val="00C00A00"/>
    <w:rsid w:val="00C00B49"/>
    <w:rsid w:val="00C01008"/>
    <w:rsid w:val="00C01065"/>
    <w:rsid w:val="00C01381"/>
    <w:rsid w:val="00C0139E"/>
    <w:rsid w:val="00C013B1"/>
    <w:rsid w:val="00C0151D"/>
    <w:rsid w:val="00C0155A"/>
    <w:rsid w:val="00C0159B"/>
    <w:rsid w:val="00C015A5"/>
    <w:rsid w:val="00C01697"/>
    <w:rsid w:val="00C019C6"/>
    <w:rsid w:val="00C01AB1"/>
    <w:rsid w:val="00C01ABF"/>
    <w:rsid w:val="00C01AC0"/>
    <w:rsid w:val="00C01BF6"/>
    <w:rsid w:val="00C01C70"/>
    <w:rsid w:val="00C01DEF"/>
    <w:rsid w:val="00C01E94"/>
    <w:rsid w:val="00C01FE1"/>
    <w:rsid w:val="00C0206E"/>
    <w:rsid w:val="00C02208"/>
    <w:rsid w:val="00C0232C"/>
    <w:rsid w:val="00C02378"/>
    <w:rsid w:val="00C023A1"/>
    <w:rsid w:val="00C023E9"/>
    <w:rsid w:val="00C02459"/>
    <w:rsid w:val="00C02542"/>
    <w:rsid w:val="00C026A0"/>
    <w:rsid w:val="00C028E3"/>
    <w:rsid w:val="00C029CE"/>
    <w:rsid w:val="00C02A8D"/>
    <w:rsid w:val="00C02B66"/>
    <w:rsid w:val="00C02C12"/>
    <w:rsid w:val="00C02C3B"/>
    <w:rsid w:val="00C02DF2"/>
    <w:rsid w:val="00C02F66"/>
    <w:rsid w:val="00C02FE9"/>
    <w:rsid w:val="00C02FF2"/>
    <w:rsid w:val="00C03108"/>
    <w:rsid w:val="00C031B4"/>
    <w:rsid w:val="00C0323C"/>
    <w:rsid w:val="00C03292"/>
    <w:rsid w:val="00C03425"/>
    <w:rsid w:val="00C0397D"/>
    <w:rsid w:val="00C039B0"/>
    <w:rsid w:val="00C03D39"/>
    <w:rsid w:val="00C03E07"/>
    <w:rsid w:val="00C03E16"/>
    <w:rsid w:val="00C03F3D"/>
    <w:rsid w:val="00C0408D"/>
    <w:rsid w:val="00C04231"/>
    <w:rsid w:val="00C045A2"/>
    <w:rsid w:val="00C045E9"/>
    <w:rsid w:val="00C04662"/>
    <w:rsid w:val="00C046CB"/>
    <w:rsid w:val="00C046FA"/>
    <w:rsid w:val="00C04CC1"/>
    <w:rsid w:val="00C04CFC"/>
    <w:rsid w:val="00C04FFC"/>
    <w:rsid w:val="00C052EC"/>
    <w:rsid w:val="00C054A5"/>
    <w:rsid w:val="00C0557A"/>
    <w:rsid w:val="00C055AD"/>
    <w:rsid w:val="00C0569F"/>
    <w:rsid w:val="00C05A1B"/>
    <w:rsid w:val="00C05BB5"/>
    <w:rsid w:val="00C05C0D"/>
    <w:rsid w:val="00C05FFE"/>
    <w:rsid w:val="00C060BE"/>
    <w:rsid w:val="00C06137"/>
    <w:rsid w:val="00C0613A"/>
    <w:rsid w:val="00C06152"/>
    <w:rsid w:val="00C06189"/>
    <w:rsid w:val="00C06319"/>
    <w:rsid w:val="00C06362"/>
    <w:rsid w:val="00C063E7"/>
    <w:rsid w:val="00C06607"/>
    <w:rsid w:val="00C066EF"/>
    <w:rsid w:val="00C06929"/>
    <w:rsid w:val="00C06AA7"/>
    <w:rsid w:val="00C06BA0"/>
    <w:rsid w:val="00C06CAB"/>
    <w:rsid w:val="00C06F10"/>
    <w:rsid w:val="00C07213"/>
    <w:rsid w:val="00C0732E"/>
    <w:rsid w:val="00C07371"/>
    <w:rsid w:val="00C079B8"/>
    <w:rsid w:val="00C07A43"/>
    <w:rsid w:val="00C07B15"/>
    <w:rsid w:val="00C07C6C"/>
    <w:rsid w:val="00C07D5C"/>
    <w:rsid w:val="00C07DB1"/>
    <w:rsid w:val="00C07DF3"/>
    <w:rsid w:val="00C07F25"/>
    <w:rsid w:val="00C07FB5"/>
    <w:rsid w:val="00C10037"/>
    <w:rsid w:val="00C10336"/>
    <w:rsid w:val="00C103A4"/>
    <w:rsid w:val="00C1045D"/>
    <w:rsid w:val="00C104EB"/>
    <w:rsid w:val="00C104F1"/>
    <w:rsid w:val="00C1059E"/>
    <w:rsid w:val="00C10612"/>
    <w:rsid w:val="00C106A8"/>
    <w:rsid w:val="00C10877"/>
    <w:rsid w:val="00C10878"/>
    <w:rsid w:val="00C10D87"/>
    <w:rsid w:val="00C10F14"/>
    <w:rsid w:val="00C1100B"/>
    <w:rsid w:val="00C115E1"/>
    <w:rsid w:val="00C115F2"/>
    <w:rsid w:val="00C116AA"/>
    <w:rsid w:val="00C11712"/>
    <w:rsid w:val="00C1175B"/>
    <w:rsid w:val="00C1179A"/>
    <w:rsid w:val="00C118AE"/>
    <w:rsid w:val="00C118B2"/>
    <w:rsid w:val="00C11A4C"/>
    <w:rsid w:val="00C11E04"/>
    <w:rsid w:val="00C11F52"/>
    <w:rsid w:val="00C11FEB"/>
    <w:rsid w:val="00C121F5"/>
    <w:rsid w:val="00C12211"/>
    <w:rsid w:val="00C12369"/>
    <w:rsid w:val="00C123CB"/>
    <w:rsid w:val="00C123EA"/>
    <w:rsid w:val="00C12576"/>
    <w:rsid w:val="00C125D9"/>
    <w:rsid w:val="00C126BC"/>
    <w:rsid w:val="00C1284B"/>
    <w:rsid w:val="00C129C9"/>
    <w:rsid w:val="00C12A49"/>
    <w:rsid w:val="00C12D03"/>
    <w:rsid w:val="00C12FDC"/>
    <w:rsid w:val="00C130AE"/>
    <w:rsid w:val="00C131F5"/>
    <w:rsid w:val="00C132C8"/>
    <w:rsid w:val="00C1335F"/>
    <w:rsid w:val="00C133EE"/>
    <w:rsid w:val="00C133FB"/>
    <w:rsid w:val="00C1346E"/>
    <w:rsid w:val="00C134E8"/>
    <w:rsid w:val="00C135CA"/>
    <w:rsid w:val="00C13962"/>
    <w:rsid w:val="00C13977"/>
    <w:rsid w:val="00C13A01"/>
    <w:rsid w:val="00C13A26"/>
    <w:rsid w:val="00C13A42"/>
    <w:rsid w:val="00C13B96"/>
    <w:rsid w:val="00C13BF1"/>
    <w:rsid w:val="00C13C6E"/>
    <w:rsid w:val="00C13DB7"/>
    <w:rsid w:val="00C13F51"/>
    <w:rsid w:val="00C13F52"/>
    <w:rsid w:val="00C1401F"/>
    <w:rsid w:val="00C140F6"/>
    <w:rsid w:val="00C145AB"/>
    <w:rsid w:val="00C146BF"/>
    <w:rsid w:val="00C1477D"/>
    <w:rsid w:val="00C148D8"/>
    <w:rsid w:val="00C149D0"/>
    <w:rsid w:val="00C149F1"/>
    <w:rsid w:val="00C14B38"/>
    <w:rsid w:val="00C14DFA"/>
    <w:rsid w:val="00C14F88"/>
    <w:rsid w:val="00C15105"/>
    <w:rsid w:val="00C15197"/>
    <w:rsid w:val="00C151C8"/>
    <w:rsid w:val="00C1527E"/>
    <w:rsid w:val="00C152D0"/>
    <w:rsid w:val="00C1533F"/>
    <w:rsid w:val="00C156E4"/>
    <w:rsid w:val="00C157B3"/>
    <w:rsid w:val="00C15841"/>
    <w:rsid w:val="00C15908"/>
    <w:rsid w:val="00C15A3C"/>
    <w:rsid w:val="00C15A4B"/>
    <w:rsid w:val="00C15B0F"/>
    <w:rsid w:val="00C15B51"/>
    <w:rsid w:val="00C15BDB"/>
    <w:rsid w:val="00C15C10"/>
    <w:rsid w:val="00C15C4B"/>
    <w:rsid w:val="00C15F61"/>
    <w:rsid w:val="00C15FF5"/>
    <w:rsid w:val="00C160CC"/>
    <w:rsid w:val="00C1616E"/>
    <w:rsid w:val="00C16384"/>
    <w:rsid w:val="00C165EC"/>
    <w:rsid w:val="00C1661B"/>
    <w:rsid w:val="00C1679B"/>
    <w:rsid w:val="00C168E9"/>
    <w:rsid w:val="00C16CFD"/>
    <w:rsid w:val="00C16E29"/>
    <w:rsid w:val="00C16F15"/>
    <w:rsid w:val="00C1726F"/>
    <w:rsid w:val="00C173F0"/>
    <w:rsid w:val="00C175EC"/>
    <w:rsid w:val="00C175EF"/>
    <w:rsid w:val="00C1761E"/>
    <w:rsid w:val="00C17774"/>
    <w:rsid w:val="00C1780D"/>
    <w:rsid w:val="00C17B44"/>
    <w:rsid w:val="00C17B94"/>
    <w:rsid w:val="00C17C8F"/>
    <w:rsid w:val="00C17E30"/>
    <w:rsid w:val="00C2024A"/>
    <w:rsid w:val="00C2027A"/>
    <w:rsid w:val="00C2038B"/>
    <w:rsid w:val="00C20666"/>
    <w:rsid w:val="00C2088B"/>
    <w:rsid w:val="00C209B5"/>
    <w:rsid w:val="00C20A79"/>
    <w:rsid w:val="00C20B2A"/>
    <w:rsid w:val="00C20BE7"/>
    <w:rsid w:val="00C20C07"/>
    <w:rsid w:val="00C20CDC"/>
    <w:rsid w:val="00C20DE9"/>
    <w:rsid w:val="00C20EF0"/>
    <w:rsid w:val="00C20F6B"/>
    <w:rsid w:val="00C21115"/>
    <w:rsid w:val="00C2111B"/>
    <w:rsid w:val="00C21462"/>
    <w:rsid w:val="00C2151D"/>
    <w:rsid w:val="00C21716"/>
    <w:rsid w:val="00C2171F"/>
    <w:rsid w:val="00C2181F"/>
    <w:rsid w:val="00C218D8"/>
    <w:rsid w:val="00C21C3F"/>
    <w:rsid w:val="00C21C94"/>
    <w:rsid w:val="00C21EC3"/>
    <w:rsid w:val="00C21F25"/>
    <w:rsid w:val="00C2211E"/>
    <w:rsid w:val="00C22412"/>
    <w:rsid w:val="00C224F2"/>
    <w:rsid w:val="00C22852"/>
    <w:rsid w:val="00C22885"/>
    <w:rsid w:val="00C22B98"/>
    <w:rsid w:val="00C22C67"/>
    <w:rsid w:val="00C22D47"/>
    <w:rsid w:val="00C22FC2"/>
    <w:rsid w:val="00C231D7"/>
    <w:rsid w:val="00C2340B"/>
    <w:rsid w:val="00C234C5"/>
    <w:rsid w:val="00C2363B"/>
    <w:rsid w:val="00C236A0"/>
    <w:rsid w:val="00C23809"/>
    <w:rsid w:val="00C23947"/>
    <w:rsid w:val="00C23A9B"/>
    <w:rsid w:val="00C23B51"/>
    <w:rsid w:val="00C23B60"/>
    <w:rsid w:val="00C23BD9"/>
    <w:rsid w:val="00C23BDC"/>
    <w:rsid w:val="00C23D90"/>
    <w:rsid w:val="00C24060"/>
    <w:rsid w:val="00C24114"/>
    <w:rsid w:val="00C241CB"/>
    <w:rsid w:val="00C241E9"/>
    <w:rsid w:val="00C2421F"/>
    <w:rsid w:val="00C24598"/>
    <w:rsid w:val="00C24699"/>
    <w:rsid w:val="00C248E8"/>
    <w:rsid w:val="00C249B7"/>
    <w:rsid w:val="00C24B6E"/>
    <w:rsid w:val="00C24D05"/>
    <w:rsid w:val="00C24F5B"/>
    <w:rsid w:val="00C24FC3"/>
    <w:rsid w:val="00C25019"/>
    <w:rsid w:val="00C2529B"/>
    <w:rsid w:val="00C252AC"/>
    <w:rsid w:val="00C252F4"/>
    <w:rsid w:val="00C25337"/>
    <w:rsid w:val="00C25376"/>
    <w:rsid w:val="00C25518"/>
    <w:rsid w:val="00C255BD"/>
    <w:rsid w:val="00C255DF"/>
    <w:rsid w:val="00C255ED"/>
    <w:rsid w:val="00C256BF"/>
    <w:rsid w:val="00C257BC"/>
    <w:rsid w:val="00C2586E"/>
    <w:rsid w:val="00C258E7"/>
    <w:rsid w:val="00C25931"/>
    <w:rsid w:val="00C25938"/>
    <w:rsid w:val="00C25C22"/>
    <w:rsid w:val="00C25CD3"/>
    <w:rsid w:val="00C25DB0"/>
    <w:rsid w:val="00C261AE"/>
    <w:rsid w:val="00C2630A"/>
    <w:rsid w:val="00C2646F"/>
    <w:rsid w:val="00C26578"/>
    <w:rsid w:val="00C26588"/>
    <w:rsid w:val="00C2659E"/>
    <w:rsid w:val="00C265BB"/>
    <w:rsid w:val="00C2673A"/>
    <w:rsid w:val="00C268B1"/>
    <w:rsid w:val="00C268D2"/>
    <w:rsid w:val="00C26A6C"/>
    <w:rsid w:val="00C26A72"/>
    <w:rsid w:val="00C26A7B"/>
    <w:rsid w:val="00C26A82"/>
    <w:rsid w:val="00C26B71"/>
    <w:rsid w:val="00C26CCE"/>
    <w:rsid w:val="00C26F5D"/>
    <w:rsid w:val="00C26FD8"/>
    <w:rsid w:val="00C27198"/>
    <w:rsid w:val="00C27234"/>
    <w:rsid w:val="00C272BA"/>
    <w:rsid w:val="00C272DA"/>
    <w:rsid w:val="00C27308"/>
    <w:rsid w:val="00C27465"/>
    <w:rsid w:val="00C27718"/>
    <w:rsid w:val="00C27750"/>
    <w:rsid w:val="00C2779D"/>
    <w:rsid w:val="00C27905"/>
    <w:rsid w:val="00C27966"/>
    <w:rsid w:val="00C27C9C"/>
    <w:rsid w:val="00C27DE9"/>
    <w:rsid w:val="00C3015E"/>
    <w:rsid w:val="00C3032D"/>
    <w:rsid w:val="00C30720"/>
    <w:rsid w:val="00C307C4"/>
    <w:rsid w:val="00C30866"/>
    <w:rsid w:val="00C3089E"/>
    <w:rsid w:val="00C30E3A"/>
    <w:rsid w:val="00C30EF1"/>
    <w:rsid w:val="00C30F71"/>
    <w:rsid w:val="00C30FBD"/>
    <w:rsid w:val="00C311FB"/>
    <w:rsid w:val="00C31271"/>
    <w:rsid w:val="00C3130E"/>
    <w:rsid w:val="00C3173B"/>
    <w:rsid w:val="00C319C0"/>
    <w:rsid w:val="00C31AB5"/>
    <w:rsid w:val="00C31ACA"/>
    <w:rsid w:val="00C31ACC"/>
    <w:rsid w:val="00C31DC5"/>
    <w:rsid w:val="00C31E62"/>
    <w:rsid w:val="00C31EFC"/>
    <w:rsid w:val="00C320F3"/>
    <w:rsid w:val="00C32545"/>
    <w:rsid w:val="00C32600"/>
    <w:rsid w:val="00C32801"/>
    <w:rsid w:val="00C32855"/>
    <w:rsid w:val="00C3285F"/>
    <w:rsid w:val="00C32989"/>
    <w:rsid w:val="00C32A3D"/>
    <w:rsid w:val="00C32C06"/>
    <w:rsid w:val="00C32CD5"/>
    <w:rsid w:val="00C330D8"/>
    <w:rsid w:val="00C331BE"/>
    <w:rsid w:val="00C33388"/>
    <w:rsid w:val="00C33429"/>
    <w:rsid w:val="00C33466"/>
    <w:rsid w:val="00C334F6"/>
    <w:rsid w:val="00C3381B"/>
    <w:rsid w:val="00C33892"/>
    <w:rsid w:val="00C33B11"/>
    <w:rsid w:val="00C33B57"/>
    <w:rsid w:val="00C33BB2"/>
    <w:rsid w:val="00C33E23"/>
    <w:rsid w:val="00C34177"/>
    <w:rsid w:val="00C341F8"/>
    <w:rsid w:val="00C34393"/>
    <w:rsid w:val="00C34401"/>
    <w:rsid w:val="00C34666"/>
    <w:rsid w:val="00C34E68"/>
    <w:rsid w:val="00C34FD8"/>
    <w:rsid w:val="00C35071"/>
    <w:rsid w:val="00C350AD"/>
    <w:rsid w:val="00C350D7"/>
    <w:rsid w:val="00C352B2"/>
    <w:rsid w:val="00C35354"/>
    <w:rsid w:val="00C35484"/>
    <w:rsid w:val="00C35498"/>
    <w:rsid w:val="00C3550B"/>
    <w:rsid w:val="00C355E4"/>
    <w:rsid w:val="00C3565A"/>
    <w:rsid w:val="00C35A0C"/>
    <w:rsid w:val="00C35A47"/>
    <w:rsid w:val="00C35B50"/>
    <w:rsid w:val="00C35D0C"/>
    <w:rsid w:val="00C35E80"/>
    <w:rsid w:val="00C35F15"/>
    <w:rsid w:val="00C3691C"/>
    <w:rsid w:val="00C36982"/>
    <w:rsid w:val="00C36C2F"/>
    <w:rsid w:val="00C36E8F"/>
    <w:rsid w:val="00C36F0D"/>
    <w:rsid w:val="00C36FE7"/>
    <w:rsid w:val="00C3734D"/>
    <w:rsid w:val="00C373BF"/>
    <w:rsid w:val="00C37601"/>
    <w:rsid w:val="00C37747"/>
    <w:rsid w:val="00C3786F"/>
    <w:rsid w:val="00C37984"/>
    <w:rsid w:val="00C379D0"/>
    <w:rsid w:val="00C37A73"/>
    <w:rsid w:val="00C401F4"/>
    <w:rsid w:val="00C40411"/>
    <w:rsid w:val="00C4081D"/>
    <w:rsid w:val="00C40AEF"/>
    <w:rsid w:val="00C40C37"/>
    <w:rsid w:val="00C40CD0"/>
    <w:rsid w:val="00C40DB9"/>
    <w:rsid w:val="00C40DF4"/>
    <w:rsid w:val="00C40E94"/>
    <w:rsid w:val="00C40F99"/>
    <w:rsid w:val="00C41296"/>
    <w:rsid w:val="00C413CA"/>
    <w:rsid w:val="00C415AF"/>
    <w:rsid w:val="00C4173A"/>
    <w:rsid w:val="00C417EE"/>
    <w:rsid w:val="00C41816"/>
    <w:rsid w:val="00C41874"/>
    <w:rsid w:val="00C41B56"/>
    <w:rsid w:val="00C41BBE"/>
    <w:rsid w:val="00C41F67"/>
    <w:rsid w:val="00C4217B"/>
    <w:rsid w:val="00C422AF"/>
    <w:rsid w:val="00C424B4"/>
    <w:rsid w:val="00C424FB"/>
    <w:rsid w:val="00C42519"/>
    <w:rsid w:val="00C42662"/>
    <w:rsid w:val="00C427CD"/>
    <w:rsid w:val="00C42B85"/>
    <w:rsid w:val="00C42B9D"/>
    <w:rsid w:val="00C42BEE"/>
    <w:rsid w:val="00C42C1E"/>
    <w:rsid w:val="00C42C6D"/>
    <w:rsid w:val="00C43252"/>
    <w:rsid w:val="00C4340E"/>
    <w:rsid w:val="00C43410"/>
    <w:rsid w:val="00C43442"/>
    <w:rsid w:val="00C435B0"/>
    <w:rsid w:val="00C435F3"/>
    <w:rsid w:val="00C437BA"/>
    <w:rsid w:val="00C43A40"/>
    <w:rsid w:val="00C43B16"/>
    <w:rsid w:val="00C43D69"/>
    <w:rsid w:val="00C43EA2"/>
    <w:rsid w:val="00C43FB0"/>
    <w:rsid w:val="00C44084"/>
    <w:rsid w:val="00C4416D"/>
    <w:rsid w:val="00C442CA"/>
    <w:rsid w:val="00C4436F"/>
    <w:rsid w:val="00C44409"/>
    <w:rsid w:val="00C44778"/>
    <w:rsid w:val="00C448C4"/>
    <w:rsid w:val="00C44F92"/>
    <w:rsid w:val="00C44FDD"/>
    <w:rsid w:val="00C44FFB"/>
    <w:rsid w:val="00C4502B"/>
    <w:rsid w:val="00C450F2"/>
    <w:rsid w:val="00C4512D"/>
    <w:rsid w:val="00C45278"/>
    <w:rsid w:val="00C452AF"/>
    <w:rsid w:val="00C45328"/>
    <w:rsid w:val="00C45378"/>
    <w:rsid w:val="00C454D4"/>
    <w:rsid w:val="00C457EA"/>
    <w:rsid w:val="00C45A11"/>
    <w:rsid w:val="00C45D58"/>
    <w:rsid w:val="00C45DA6"/>
    <w:rsid w:val="00C45E4C"/>
    <w:rsid w:val="00C46619"/>
    <w:rsid w:val="00C46658"/>
    <w:rsid w:val="00C466A3"/>
    <w:rsid w:val="00C46837"/>
    <w:rsid w:val="00C46A20"/>
    <w:rsid w:val="00C46BD1"/>
    <w:rsid w:val="00C46BD9"/>
    <w:rsid w:val="00C46C73"/>
    <w:rsid w:val="00C46C8E"/>
    <w:rsid w:val="00C46D58"/>
    <w:rsid w:val="00C46D71"/>
    <w:rsid w:val="00C472E2"/>
    <w:rsid w:val="00C473AD"/>
    <w:rsid w:val="00C474AD"/>
    <w:rsid w:val="00C4795B"/>
    <w:rsid w:val="00C47A18"/>
    <w:rsid w:val="00C50149"/>
    <w:rsid w:val="00C50228"/>
    <w:rsid w:val="00C502DA"/>
    <w:rsid w:val="00C505F8"/>
    <w:rsid w:val="00C506CF"/>
    <w:rsid w:val="00C507B2"/>
    <w:rsid w:val="00C50804"/>
    <w:rsid w:val="00C5098D"/>
    <w:rsid w:val="00C50B73"/>
    <w:rsid w:val="00C50BED"/>
    <w:rsid w:val="00C50DED"/>
    <w:rsid w:val="00C50EDC"/>
    <w:rsid w:val="00C50EE7"/>
    <w:rsid w:val="00C510DF"/>
    <w:rsid w:val="00C51195"/>
    <w:rsid w:val="00C5146E"/>
    <w:rsid w:val="00C51649"/>
    <w:rsid w:val="00C516B0"/>
    <w:rsid w:val="00C5183C"/>
    <w:rsid w:val="00C51BB1"/>
    <w:rsid w:val="00C51C00"/>
    <w:rsid w:val="00C51CDE"/>
    <w:rsid w:val="00C51D21"/>
    <w:rsid w:val="00C51D92"/>
    <w:rsid w:val="00C51FEC"/>
    <w:rsid w:val="00C5215B"/>
    <w:rsid w:val="00C52217"/>
    <w:rsid w:val="00C5224A"/>
    <w:rsid w:val="00C523BB"/>
    <w:rsid w:val="00C5248C"/>
    <w:rsid w:val="00C52495"/>
    <w:rsid w:val="00C525E3"/>
    <w:rsid w:val="00C52672"/>
    <w:rsid w:val="00C52A75"/>
    <w:rsid w:val="00C52A80"/>
    <w:rsid w:val="00C52B35"/>
    <w:rsid w:val="00C52BA3"/>
    <w:rsid w:val="00C52E8B"/>
    <w:rsid w:val="00C530FC"/>
    <w:rsid w:val="00C53332"/>
    <w:rsid w:val="00C5366C"/>
    <w:rsid w:val="00C53A17"/>
    <w:rsid w:val="00C53A94"/>
    <w:rsid w:val="00C53D18"/>
    <w:rsid w:val="00C53E68"/>
    <w:rsid w:val="00C53EF5"/>
    <w:rsid w:val="00C53EF9"/>
    <w:rsid w:val="00C54238"/>
    <w:rsid w:val="00C5430C"/>
    <w:rsid w:val="00C543AB"/>
    <w:rsid w:val="00C54514"/>
    <w:rsid w:val="00C54930"/>
    <w:rsid w:val="00C54A43"/>
    <w:rsid w:val="00C54B66"/>
    <w:rsid w:val="00C54D52"/>
    <w:rsid w:val="00C54DE1"/>
    <w:rsid w:val="00C54EAC"/>
    <w:rsid w:val="00C5513C"/>
    <w:rsid w:val="00C552F8"/>
    <w:rsid w:val="00C5559C"/>
    <w:rsid w:val="00C5562B"/>
    <w:rsid w:val="00C55A7B"/>
    <w:rsid w:val="00C55B51"/>
    <w:rsid w:val="00C55B9C"/>
    <w:rsid w:val="00C55DD9"/>
    <w:rsid w:val="00C561B9"/>
    <w:rsid w:val="00C56229"/>
    <w:rsid w:val="00C562E0"/>
    <w:rsid w:val="00C563A5"/>
    <w:rsid w:val="00C56510"/>
    <w:rsid w:val="00C5665C"/>
    <w:rsid w:val="00C566D7"/>
    <w:rsid w:val="00C56861"/>
    <w:rsid w:val="00C5690A"/>
    <w:rsid w:val="00C56A1A"/>
    <w:rsid w:val="00C56A2F"/>
    <w:rsid w:val="00C56B5B"/>
    <w:rsid w:val="00C56BA6"/>
    <w:rsid w:val="00C56C28"/>
    <w:rsid w:val="00C56C54"/>
    <w:rsid w:val="00C56DFB"/>
    <w:rsid w:val="00C56E68"/>
    <w:rsid w:val="00C57225"/>
    <w:rsid w:val="00C5735C"/>
    <w:rsid w:val="00C5740C"/>
    <w:rsid w:val="00C57457"/>
    <w:rsid w:val="00C57782"/>
    <w:rsid w:val="00C57952"/>
    <w:rsid w:val="00C57D94"/>
    <w:rsid w:val="00C57E45"/>
    <w:rsid w:val="00C57E7F"/>
    <w:rsid w:val="00C57EBE"/>
    <w:rsid w:val="00C57EF9"/>
    <w:rsid w:val="00C57F1A"/>
    <w:rsid w:val="00C57FFC"/>
    <w:rsid w:val="00C60083"/>
    <w:rsid w:val="00C6011E"/>
    <w:rsid w:val="00C6020C"/>
    <w:rsid w:val="00C60214"/>
    <w:rsid w:val="00C60279"/>
    <w:rsid w:val="00C602FF"/>
    <w:rsid w:val="00C60348"/>
    <w:rsid w:val="00C60411"/>
    <w:rsid w:val="00C6066C"/>
    <w:rsid w:val="00C60759"/>
    <w:rsid w:val="00C6089F"/>
    <w:rsid w:val="00C60E75"/>
    <w:rsid w:val="00C60EE1"/>
    <w:rsid w:val="00C60F5B"/>
    <w:rsid w:val="00C61056"/>
    <w:rsid w:val="00C61174"/>
    <w:rsid w:val="00C611E0"/>
    <w:rsid w:val="00C6148F"/>
    <w:rsid w:val="00C614F4"/>
    <w:rsid w:val="00C615B3"/>
    <w:rsid w:val="00C618CB"/>
    <w:rsid w:val="00C61ACA"/>
    <w:rsid w:val="00C61BD9"/>
    <w:rsid w:val="00C61DAA"/>
    <w:rsid w:val="00C61DF6"/>
    <w:rsid w:val="00C621B1"/>
    <w:rsid w:val="00C621F4"/>
    <w:rsid w:val="00C622F6"/>
    <w:rsid w:val="00C623E8"/>
    <w:rsid w:val="00C62654"/>
    <w:rsid w:val="00C626A7"/>
    <w:rsid w:val="00C62AAF"/>
    <w:rsid w:val="00C62B8F"/>
    <w:rsid w:val="00C62E51"/>
    <w:rsid w:val="00C62EAA"/>
    <w:rsid w:val="00C62EAE"/>
    <w:rsid w:val="00C62F7A"/>
    <w:rsid w:val="00C6321C"/>
    <w:rsid w:val="00C632D6"/>
    <w:rsid w:val="00C6334B"/>
    <w:rsid w:val="00C6374A"/>
    <w:rsid w:val="00C63954"/>
    <w:rsid w:val="00C63B9C"/>
    <w:rsid w:val="00C63D64"/>
    <w:rsid w:val="00C63F97"/>
    <w:rsid w:val="00C63FE6"/>
    <w:rsid w:val="00C64156"/>
    <w:rsid w:val="00C641D9"/>
    <w:rsid w:val="00C6455D"/>
    <w:rsid w:val="00C64621"/>
    <w:rsid w:val="00C646A8"/>
    <w:rsid w:val="00C646C2"/>
    <w:rsid w:val="00C647A7"/>
    <w:rsid w:val="00C64850"/>
    <w:rsid w:val="00C64B37"/>
    <w:rsid w:val="00C64C24"/>
    <w:rsid w:val="00C64EB0"/>
    <w:rsid w:val="00C6508E"/>
    <w:rsid w:val="00C65248"/>
    <w:rsid w:val="00C653C1"/>
    <w:rsid w:val="00C6540B"/>
    <w:rsid w:val="00C6591F"/>
    <w:rsid w:val="00C65AB5"/>
    <w:rsid w:val="00C65B65"/>
    <w:rsid w:val="00C65C0D"/>
    <w:rsid w:val="00C65C8F"/>
    <w:rsid w:val="00C663CB"/>
    <w:rsid w:val="00C6647A"/>
    <w:rsid w:val="00C667A9"/>
    <w:rsid w:val="00C66820"/>
    <w:rsid w:val="00C6682F"/>
    <w:rsid w:val="00C66921"/>
    <w:rsid w:val="00C66C7B"/>
    <w:rsid w:val="00C66F75"/>
    <w:rsid w:val="00C6715A"/>
    <w:rsid w:val="00C6722D"/>
    <w:rsid w:val="00C673E7"/>
    <w:rsid w:val="00C674E3"/>
    <w:rsid w:val="00C67644"/>
    <w:rsid w:val="00C6766B"/>
    <w:rsid w:val="00C67830"/>
    <w:rsid w:val="00C678F8"/>
    <w:rsid w:val="00C67A71"/>
    <w:rsid w:val="00C67BF4"/>
    <w:rsid w:val="00C67C0E"/>
    <w:rsid w:val="00C67CAB"/>
    <w:rsid w:val="00C67D14"/>
    <w:rsid w:val="00C67D51"/>
    <w:rsid w:val="00C67E83"/>
    <w:rsid w:val="00C67FB5"/>
    <w:rsid w:val="00C67FCA"/>
    <w:rsid w:val="00C701ED"/>
    <w:rsid w:val="00C704F1"/>
    <w:rsid w:val="00C704F9"/>
    <w:rsid w:val="00C70726"/>
    <w:rsid w:val="00C70945"/>
    <w:rsid w:val="00C70D61"/>
    <w:rsid w:val="00C70E31"/>
    <w:rsid w:val="00C70FBD"/>
    <w:rsid w:val="00C711B1"/>
    <w:rsid w:val="00C711DF"/>
    <w:rsid w:val="00C713AA"/>
    <w:rsid w:val="00C713F9"/>
    <w:rsid w:val="00C71676"/>
    <w:rsid w:val="00C71875"/>
    <w:rsid w:val="00C71CFB"/>
    <w:rsid w:val="00C720F8"/>
    <w:rsid w:val="00C72270"/>
    <w:rsid w:val="00C722D2"/>
    <w:rsid w:val="00C724B1"/>
    <w:rsid w:val="00C7275E"/>
    <w:rsid w:val="00C72918"/>
    <w:rsid w:val="00C72C99"/>
    <w:rsid w:val="00C72FD6"/>
    <w:rsid w:val="00C73018"/>
    <w:rsid w:val="00C7303C"/>
    <w:rsid w:val="00C73045"/>
    <w:rsid w:val="00C731AF"/>
    <w:rsid w:val="00C732DB"/>
    <w:rsid w:val="00C736E7"/>
    <w:rsid w:val="00C7379E"/>
    <w:rsid w:val="00C73880"/>
    <w:rsid w:val="00C738DA"/>
    <w:rsid w:val="00C74007"/>
    <w:rsid w:val="00C74181"/>
    <w:rsid w:val="00C7431F"/>
    <w:rsid w:val="00C747CC"/>
    <w:rsid w:val="00C748B3"/>
    <w:rsid w:val="00C749F8"/>
    <w:rsid w:val="00C74C5D"/>
    <w:rsid w:val="00C74C7D"/>
    <w:rsid w:val="00C74DA0"/>
    <w:rsid w:val="00C74E03"/>
    <w:rsid w:val="00C74E7F"/>
    <w:rsid w:val="00C74F78"/>
    <w:rsid w:val="00C74FBC"/>
    <w:rsid w:val="00C7504F"/>
    <w:rsid w:val="00C750CC"/>
    <w:rsid w:val="00C7518A"/>
    <w:rsid w:val="00C75586"/>
    <w:rsid w:val="00C758F7"/>
    <w:rsid w:val="00C759F2"/>
    <w:rsid w:val="00C75D6F"/>
    <w:rsid w:val="00C760B0"/>
    <w:rsid w:val="00C7625A"/>
    <w:rsid w:val="00C762AA"/>
    <w:rsid w:val="00C7630B"/>
    <w:rsid w:val="00C76389"/>
    <w:rsid w:val="00C76599"/>
    <w:rsid w:val="00C76A2B"/>
    <w:rsid w:val="00C76CDF"/>
    <w:rsid w:val="00C76D34"/>
    <w:rsid w:val="00C76D82"/>
    <w:rsid w:val="00C76DF5"/>
    <w:rsid w:val="00C76F06"/>
    <w:rsid w:val="00C771AB"/>
    <w:rsid w:val="00C771C4"/>
    <w:rsid w:val="00C7736D"/>
    <w:rsid w:val="00C77423"/>
    <w:rsid w:val="00C77604"/>
    <w:rsid w:val="00C777CF"/>
    <w:rsid w:val="00C77831"/>
    <w:rsid w:val="00C77966"/>
    <w:rsid w:val="00C77A4F"/>
    <w:rsid w:val="00C77BFE"/>
    <w:rsid w:val="00C77C2E"/>
    <w:rsid w:val="00C77D76"/>
    <w:rsid w:val="00C8023C"/>
    <w:rsid w:val="00C80471"/>
    <w:rsid w:val="00C80581"/>
    <w:rsid w:val="00C805C2"/>
    <w:rsid w:val="00C80649"/>
    <w:rsid w:val="00C80892"/>
    <w:rsid w:val="00C80A3F"/>
    <w:rsid w:val="00C80C63"/>
    <w:rsid w:val="00C80E71"/>
    <w:rsid w:val="00C80E8A"/>
    <w:rsid w:val="00C810D5"/>
    <w:rsid w:val="00C8119C"/>
    <w:rsid w:val="00C81332"/>
    <w:rsid w:val="00C81979"/>
    <w:rsid w:val="00C81BBF"/>
    <w:rsid w:val="00C81C2C"/>
    <w:rsid w:val="00C81DD3"/>
    <w:rsid w:val="00C81DE1"/>
    <w:rsid w:val="00C81DE3"/>
    <w:rsid w:val="00C81EB0"/>
    <w:rsid w:val="00C81FEA"/>
    <w:rsid w:val="00C82029"/>
    <w:rsid w:val="00C820D4"/>
    <w:rsid w:val="00C82257"/>
    <w:rsid w:val="00C825CF"/>
    <w:rsid w:val="00C82773"/>
    <w:rsid w:val="00C82901"/>
    <w:rsid w:val="00C82AD3"/>
    <w:rsid w:val="00C82B27"/>
    <w:rsid w:val="00C82B90"/>
    <w:rsid w:val="00C82C0C"/>
    <w:rsid w:val="00C82C40"/>
    <w:rsid w:val="00C82DB6"/>
    <w:rsid w:val="00C82F30"/>
    <w:rsid w:val="00C82F7E"/>
    <w:rsid w:val="00C830E0"/>
    <w:rsid w:val="00C83190"/>
    <w:rsid w:val="00C83232"/>
    <w:rsid w:val="00C833D6"/>
    <w:rsid w:val="00C8363C"/>
    <w:rsid w:val="00C83948"/>
    <w:rsid w:val="00C83ACF"/>
    <w:rsid w:val="00C83CAF"/>
    <w:rsid w:val="00C83F5B"/>
    <w:rsid w:val="00C842EC"/>
    <w:rsid w:val="00C84361"/>
    <w:rsid w:val="00C844AE"/>
    <w:rsid w:val="00C847DF"/>
    <w:rsid w:val="00C8490C"/>
    <w:rsid w:val="00C8497B"/>
    <w:rsid w:val="00C84C97"/>
    <w:rsid w:val="00C84CB3"/>
    <w:rsid w:val="00C84CD8"/>
    <w:rsid w:val="00C84D85"/>
    <w:rsid w:val="00C84D8E"/>
    <w:rsid w:val="00C84DAA"/>
    <w:rsid w:val="00C84FD2"/>
    <w:rsid w:val="00C851B5"/>
    <w:rsid w:val="00C8526E"/>
    <w:rsid w:val="00C85428"/>
    <w:rsid w:val="00C85443"/>
    <w:rsid w:val="00C855B3"/>
    <w:rsid w:val="00C8562F"/>
    <w:rsid w:val="00C85ABB"/>
    <w:rsid w:val="00C85C07"/>
    <w:rsid w:val="00C85C5D"/>
    <w:rsid w:val="00C85CAB"/>
    <w:rsid w:val="00C85CBC"/>
    <w:rsid w:val="00C85DC4"/>
    <w:rsid w:val="00C85E19"/>
    <w:rsid w:val="00C85ED3"/>
    <w:rsid w:val="00C860AA"/>
    <w:rsid w:val="00C861B2"/>
    <w:rsid w:val="00C86260"/>
    <w:rsid w:val="00C86328"/>
    <w:rsid w:val="00C863C4"/>
    <w:rsid w:val="00C86491"/>
    <w:rsid w:val="00C865F6"/>
    <w:rsid w:val="00C8660E"/>
    <w:rsid w:val="00C8669E"/>
    <w:rsid w:val="00C866F1"/>
    <w:rsid w:val="00C86A1E"/>
    <w:rsid w:val="00C86A4C"/>
    <w:rsid w:val="00C86A6D"/>
    <w:rsid w:val="00C86AD5"/>
    <w:rsid w:val="00C86CE7"/>
    <w:rsid w:val="00C87226"/>
    <w:rsid w:val="00C8724D"/>
    <w:rsid w:val="00C87268"/>
    <w:rsid w:val="00C873C4"/>
    <w:rsid w:val="00C876C6"/>
    <w:rsid w:val="00C87733"/>
    <w:rsid w:val="00C87AB5"/>
    <w:rsid w:val="00C87B00"/>
    <w:rsid w:val="00C87B7E"/>
    <w:rsid w:val="00C87CE3"/>
    <w:rsid w:val="00C87E4A"/>
    <w:rsid w:val="00C87F52"/>
    <w:rsid w:val="00C90155"/>
    <w:rsid w:val="00C901CC"/>
    <w:rsid w:val="00C903B7"/>
    <w:rsid w:val="00C90596"/>
    <w:rsid w:val="00C906E0"/>
    <w:rsid w:val="00C90838"/>
    <w:rsid w:val="00C9087C"/>
    <w:rsid w:val="00C90986"/>
    <w:rsid w:val="00C90AB8"/>
    <w:rsid w:val="00C90CDA"/>
    <w:rsid w:val="00C90DAB"/>
    <w:rsid w:val="00C90E61"/>
    <w:rsid w:val="00C90F35"/>
    <w:rsid w:val="00C91003"/>
    <w:rsid w:val="00C910A8"/>
    <w:rsid w:val="00C912A8"/>
    <w:rsid w:val="00C91545"/>
    <w:rsid w:val="00C916F5"/>
    <w:rsid w:val="00C91AE9"/>
    <w:rsid w:val="00C91EDB"/>
    <w:rsid w:val="00C920EA"/>
    <w:rsid w:val="00C921E5"/>
    <w:rsid w:val="00C922AA"/>
    <w:rsid w:val="00C92414"/>
    <w:rsid w:val="00C92719"/>
    <w:rsid w:val="00C92815"/>
    <w:rsid w:val="00C92B18"/>
    <w:rsid w:val="00C92B47"/>
    <w:rsid w:val="00C92DA5"/>
    <w:rsid w:val="00C93286"/>
    <w:rsid w:val="00C934A4"/>
    <w:rsid w:val="00C9371A"/>
    <w:rsid w:val="00C93744"/>
    <w:rsid w:val="00C9384D"/>
    <w:rsid w:val="00C9386F"/>
    <w:rsid w:val="00C9389A"/>
    <w:rsid w:val="00C93998"/>
    <w:rsid w:val="00C93AD0"/>
    <w:rsid w:val="00C93B4F"/>
    <w:rsid w:val="00C93C3E"/>
    <w:rsid w:val="00C93FAF"/>
    <w:rsid w:val="00C94450"/>
    <w:rsid w:val="00C94468"/>
    <w:rsid w:val="00C945B0"/>
    <w:rsid w:val="00C948A4"/>
    <w:rsid w:val="00C9490B"/>
    <w:rsid w:val="00C94D44"/>
    <w:rsid w:val="00C95484"/>
    <w:rsid w:val="00C957EE"/>
    <w:rsid w:val="00C959FB"/>
    <w:rsid w:val="00C95A0B"/>
    <w:rsid w:val="00C95CFC"/>
    <w:rsid w:val="00C95D18"/>
    <w:rsid w:val="00C95DCA"/>
    <w:rsid w:val="00C95F28"/>
    <w:rsid w:val="00C96055"/>
    <w:rsid w:val="00C96057"/>
    <w:rsid w:val="00C960AD"/>
    <w:rsid w:val="00C96156"/>
    <w:rsid w:val="00C96303"/>
    <w:rsid w:val="00C96317"/>
    <w:rsid w:val="00C964E6"/>
    <w:rsid w:val="00C967EC"/>
    <w:rsid w:val="00C969CB"/>
    <w:rsid w:val="00C96AAF"/>
    <w:rsid w:val="00C96AF3"/>
    <w:rsid w:val="00C96C17"/>
    <w:rsid w:val="00C96FB9"/>
    <w:rsid w:val="00C97355"/>
    <w:rsid w:val="00C973B4"/>
    <w:rsid w:val="00C97519"/>
    <w:rsid w:val="00C977D3"/>
    <w:rsid w:val="00C9792D"/>
    <w:rsid w:val="00C97A0A"/>
    <w:rsid w:val="00C97B29"/>
    <w:rsid w:val="00C97C21"/>
    <w:rsid w:val="00C97DAB"/>
    <w:rsid w:val="00C97DED"/>
    <w:rsid w:val="00C97F50"/>
    <w:rsid w:val="00C97FAC"/>
    <w:rsid w:val="00CA00AA"/>
    <w:rsid w:val="00CA00F8"/>
    <w:rsid w:val="00CA0592"/>
    <w:rsid w:val="00CA05C7"/>
    <w:rsid w:val="00CA06BB"/>
    <w:rsid w:val="00CA0739"/>
    <w:rsid w:val="00CA07F9"/>
    <w:rsid w:val="00CA0919"/>
    <w:rsid w:val="00CA0A11"/>
    <w:rsid w:val="00CA0A41"/>
    <w:rsid w:val="00CA0B49"/>
    <w:rsid w:val="00CA0B95"/>
    <w:rsid w:val="00CA0D98"/>
    <w:rsid w:val="00CA0DAF"/>
    <w:rsid w:val="00CA0EE8"/>
    <w:rsid w:val="00CA0F64"/>
    <w:rsid w:val="00CA100C"/>
    <w:rsid w:val="00CA12E3"/>
    <w:rsid w:val="00CA1476"/>
    <w:rsid w:val="00CA1679"/>
    <w:rsid w:val="00CA16EC"/>
    <w:rsid w:val="00CA1967"/>
    <w:rsid w:val="00CA1A95"/>
    <w:rsid w:val="00CA1CE1"/>
    <w:rsid w:val="00CA1E18"/>
    <w:rsid w:val="00CA1E68"/>
    <w:rsid w:val="00CA2086"/>
    <w:rsid w:val="00CA217C"/>
    <w:rsid w:val="00CA2315"/>
    <w:rsid w:val="00CA25A6"/>
    <w:rsid w:val="00CA262E"/>
    <w:rsid w:val="00CA286B"/>
    <w:rsid w:val="00CA2892"/>
    <w:rsid w:val="00CA29DA"/>
    <w:rsid w:val="00CA2CC6"/>
    <w:rsid w:val="00CA2CEF"/>
    <w:rsid w:val="00CA2D6F"/>
    <w:rsid w:val="00CA2DC9"/>
    <w:rsid w:val="00CA2DF9"/>
    <w:rsid w:val="00CA33B4"/>
    <w:rsid w:val="00CA341B"/>
    <w:rsid w:val="00CA34ED"/>
    <w:rsid w:val="00CA3537"/>
    <w:rsid w:val="00CA37B3"/>
    <w:rsid w:val="00CA3961"/>
    <w:rsid w:val="00CA3B19"/>
    <w:rsid w:val="00CA3B30"/>
    <w:rsid w:val="00CA3B77"/>
    <w:rsid w:val="00CA3D7F"/>
    <w:rsid w:val="00CA3E8D"/>
    <w:rsid w:val="00CA3E92"/>
    <w:rsid w:val="00CA403B"/>
    <w:rsid w:val="00CA4236"/>
    <w:rsid w:val="00CA43F5"/>
    <w:rsid w:val="00CA4535"/>
    <w:rsid w:val="00CA4612"/>
    <w:rsid w:val="00CA4751"/>
    <w:rsid w:val="00CA48CF"/>
    <w:rsid w:val="00CA49CB"/>
    <w:rsid w:val="00CA4AA7"/>
    <w:rsid w:val="00CA4CD0"/>
    <w:rsid w:val="00CA4D26"/>
    <w:rsid w:val="00CA4DD6"/>
    <w:rsid w:val="00CA4E2D"/>
    <w:rsid w:val="00CA4E7E"/>
    <w:rsid w:val="00CA50DE"/>
    <w:rsid w:val="00CA5297"/>
    <w:rsid w:val="00CA52B9"/>
    <w:rsid w:val="00CA52C7"/>
    <w:rsid w:val="00CA52C9"/>
    <w:rsid w:val="00CA545D"/>
    <w:rsid w:val="00CA5580"/>
    <w:rsid w:val="00CA5623"/>
    <w:rsid w:val="00CA56B3"/>
    <w:rsid w:val="00CA5726"/>
    <w:rsid w:val="00CA580E"/>
    <w:rsid w:val="00CA594D"/>
    <w:rsid w:val="00CA5C34"/>
    <w:rsid w:val="00CA5E04"/>
    <w:rsid w:val="00CA5E0E"/>
    <w:rsid w:val="00CA618E"/>
    <w:rsid w:val="00CA64B6"/>
    <w:rsid w:val="00CA653A"/>
    <w:rsid w:val="00CA653F"/>
    <w:rsid w:val="00CA6611"/>
    <w:rsid w:val="00CA67C8"/>
    <w:rsid w:val="00CA682C"/>
    <w:rsid w:val="00CA6A5E"/>
    <w:rsid w:val="00CA6AE6"/>
    <w:rsid w:val="00CA6B8F"/>
    <w:rsid w:val="00CA6F26"/>
    <w:rsid w:val="00CA704B"/>
    <w:rsid w:val="00CA7134"/>
    <w:rsid w:val="00CA7156"/>
    <w:rsid w:val="00CA71F7"/>
    <w:rsid w:val="00CA72AD"/>
    <w:rsid w:val="00CA7454"/>
    <w:rsid w:val="00CA782F"/>
    <w:rsid w:val="00CA7843"/>
    <w:rsid w:val="00CA787D"/>
    <w:rsid w:val="00CA78CB"/>
    <w:rsid w:val="00CA793A"/>
    <w:rsid w:val="00CA79E4"/>
    <w:rsid w:val="00CA7A09"/>
    <w:rsid w:val="00CA7A73"/>
    <w:rsid w:val="00CA7B1A"/>
    <w:rsid w:val="00CA7CC0"/>
    <w:rsid w:val="00CA7E7D"/>
    <w:rsid w:val="00CA7FAF"/>
    <w:rsid w:val="00CA7FBD"/>
    <w:rsid w:val="00CB00C9"/>
    <w:rsid w:val="00CB00FF"/>
    <w:rsid w:val="00CB0518"/>
    <w:rsid w:val="00CB0534"/>
    <w:rsid w:val="00CB06D6"/>
    <w:rsid w:val="00CB06DA"/>
    <w:rsid w:val="00CB0738"/>
    <w:rsid w:val="00CB0849"/>
    <w:rsid w:val="00CB0983"/>
    <w:rsid w:val="00CB0AA8"/>
    <w:rsid w:val="00CB0E43"/>
    <w:rsid w:val="00CB0F82"/>
    <w:rsid w:val="00CB117F"/>
    <w:rsid w:val="00CB128A"/>
    <w:rsid w:val="00CB1336"/>
    <w:rsid w:val="00CB156E"/>
    <w:rsid w:val="00CB15E6"/>
    <w:rsid w:val="00CB164C"/>
    <w:rsid w:val="00CB1686"/>
    <w:rsid w:val="00CB1851"/>
    <w:rsid w:val="00CB187B"/>
    <w:rsid w:val="00CB1A05"/>
    <w:rsid w:val="00CB1A27"/>
    <w:rsid w:val="00CB1BEC"/>
    <w:rsid w:val="00CB1FDA"/>
    <w:rsid w:val="00CB21F5"/>
    <w:rsid w:val="00CB2442"/>
    <w:rsid w:val="00CB253D"/>
    <w:rsid w:val="00CB26CA"/>
    <w:rsid w:val="00CB26EF"/>
    <w:rsid w:val="00CB2764"/>
    <w:rsid w:val="00CB2790"/>
    <w:rsid w:val="00CB2835"/>
    <w:rsid w:val="00CB286C"/>
    <w:rsid w:val="00CB2877"/>
    <w:rsid w:val="00CB2976"/>
    <w:rsid w:val="00CB2A72"/>
    <w:rsid w:val="00CB2AB5"/>
    <w:rsid w:val="00CB2BA6"/>
    <w:rsid w:val="00CB2BB1"/>
    <w:rsid w:val="00CB2CA3"/>
    <w:rsid w:val="00CB2EE7"/>
    <w:rsid w:val="00CB3094"/>
    <w:rsid w:val="00CB310E"/>
    <w:rsid w:val="00CB3216"/>
    <w:rsid w:val="00CB3285"/>
    <w:rsid w:val="00CB3346"/>
    <w:rsid w:val="00CB34AF"/>
    <w:rsid w:val="00CB3550"/>
    <w:rsid w:val="00CB3645"/>
    <w:rsid w:val="00CB37B6"/>
    <w:rsid w:val="00CB3809"/>
    <w:rsid w:val="00CB3B05"/>
    <w:rsid w:val="00CB3C4F"/>
    <w:rsid w:val="00CB40F1"/>
    <w:rsid w:val="00CB4201"/>
    <w:rsid w:val="00CB422E"/>
    <w:rsid w:val="00CB432B"/>
    <w:rsid w:val="00CB4385"/>
    <w:rsid w:val="00CB4500"/>
    <w:rsid w:val="00CB45BA"/>
    <w:rsid w:val="00CB46B6"/>
    <w:rsid w:val="00CB47E9"/>
    <w:rsid w:val="00CB48D4"/>
    <w:rsid w:val="00CB4AA5"/>
    <w:rsid w:val="00CB4B4F"/>
    <w:rsid w:val="00CB500D"/>
    <w:rsid w:val="00CB5558"/>
    <w:rsid w:val="00CB556E"/>
    <w:rsid w:val="00CB59B9"/>
    <w:rsid w:val="00CB59DA"/>
    <w:rsid w:val="00CB59DE"/>
    <w:rsid w:val="00CB5A81"/>
    <w:rsid w:val="00CB5BBA"/>
    <w:rsid w:val="00CB5CDA"/>
    <w:rsid w:val="00CB5E35"/>
    <w:rsid w:val="00CB60BD"/>
    <w:rsid w:val="00CB6131"/>
    <w:rsid w:val="00CB61BA"/>
    <w:rsid w:val="00CB632C"/>
    <w:rsid w:val="00CB6380"/>
    <w:rsid w:val="00CB63B3"/>
    <w:rsid w:val="00CB63C5"/>
    <w:rsid w:val="00CB643B"/>
    <w:rsid w:val="00CB64A6"/>
    <w:rsid w:val="00CB64D3"/>
    <w:rsid w:val="00CB65EA"/>
    <w:rsid w:val="00CB6719"/>
    <w:rsid w:val="00CB6A88"/>
    <w:rsid w:val="00CB6AAD"/>
    <w:rsid w:val="00CB6C93"/>
    <w:rsid w:val="00CB6CDC"/>
    <w:rsid w:val="00CB7007"/>
    <w:rsid w:val="00CB738A"/>
    <w:rsid w:val="00CB744E"/>
    <w:rsid w:val="00CB748E"/>
    <w:rsid w:val="00CB7600"/>
    <w:rsid w:val="00CB7795"/>
    <w:rsid w:val="00CB783A"/>
    <w:rsid w:val="00CB7853"/>
    <w:rsid w:val="00CB7B32"/>
    <w:rsid w:val="00CB7D44"/>
    <w:rsid w:val="00CB7DCB"/>
    <w:rsid w:val="00CB7E3C"/>
    <w:rsid w:val="00CB7E50"/>
    <w:rsid w:val="00CC0039"/>
    <w:rsid w:val="00CC005E"/>
    <w:rsid w:val="00CC0247"/>
    <w:rsid w:val="00CC02E3"/>
    <w:rsid w:val="00CC035F"/>
    <w:rsid w:val="00CC03B9"/>
    <w:rsid w:val="00CC0401"/>
    <w:rsid w:val="00CC0457"/>
    <w:rsid w:val="00CC046B"/>
    <w:rsid w:val="00CC0644"/>
    <w:rsid w:val="00CC0673"/>
    <w:rsid w:val="00CC0843"/>
    <w:rsid w:val="00CC0897"/>
    <w:rsid w:val="00CC0B90"/>
    <w:rsid w:val="00CC0C72"/>
    <w:rsid w:val="00CC0CCB"/>
    <w:rsid w:val="00CC0EC4"/>
    <w:rsid w:val="00CC0F10"/>
    <w:rsid w:val="00CC16A2"/>
    <w:rsid w:val="00CC18D7"/>
    <w:rsid w:val="00CC1B60"/>
    <w:rsid w:val="00CC1C35"/>
    <w:rsid w:val="00CC1E37"/>
    <w:rsid w:val="00CC1EBC"/>
    <w:rsid w:val="00CC208D"/>
    <w:rsid w:val="00CC20F1"/>
    <w:rsid w:val="00CC2182"/>
    <w:rsid w:val="00CC219E"/>
    <w:rsid w:val="00CC24EE"/>
    <w:rsid w:val="00CC2BFD"/>
    <w:rsid w:val="00CC2F00"/>
    <w:rsid w:val="00CC311D"/>
    <w:rsid w:val="00CC347B"/>
    <w:rsid w:val="00CC349D"/>
    <w:rsid w:val="00CC34E9"/>
    <w:rsid w:val="00CC3574"/>
    <w:rsid w:val="00CC3964"/>
    <w:rsid w:val="00CC3B29"/>
    <w:rsid w:val="00CC3B3F"/>
    <w:rsid w:val="00CC3C51"/>
    <w:rsid w:val="00CC3DD8"/>
    <w:rsid w:val="00CC3E4E"/>
    <w:rsid w:val="00CC3EC2"/>
    <w:rsid w:val="00CC40BB"/>
    <w:rsid w:val="00CC42E5"/>
    <w:rsid w:val="00CC4650"/>
    <w:rsid w:val="00CC4678"/>
    <w:rsid w:val="00CC46A6"/>
    <w:rsid w:val="00CC4953"/>
    <w:rsid w:val="00CC496D"/>
    <w:rsid w:val="00CC4A0D"/>
    <w:rsid w:val="00CC4A12"/>
    <w:rsid w:val="00CC4A20"/>
    <w:rsid w:val="00CC4A65"/>
    <w:rsid w:val="00CC4E6A"/>
    <w:rsid w:val="00CC4ECA"/>
    <w:rsid w:val="00CC4FC2"/>
    <w:rsid w:val="00CC50AA"/>
    <w:rsid w:val="00CC5106"/>
    <w:rsid w:val="00CC51D0"/>
    <w:rsid w:val="00CC5216"/>
    <w:rsid w:val="00CC521B"/>
    <w:rsid w:val="00CC5229"/>
    <w:rsid w:val="00CC548C"/>
    <w:rsid w:val="00CC5514"/>
    <w:rsid w:val="00CC5586"/>
    <w:rsid w:val="00CC56FB"/>
    <w:rsid w:val="00CC576C"/>
    <w:rsid w:val="00CC58E3"/>
    <w:rsid w:val="00CC5E5E"/>
    <w:rsid w:val="00CC6109"/>
    <w:rsid w:val="00CC62A1"/>
    <w:rsid w:val="00CC6719"/>
    <w:rsid w:val="00CC69D0"/>
    <w:rsid w:val="00CC6A21"/>
    <w:rsid w:val="00CC6B63"/>
    <w:rsid w:val="00CC6C2B"/>
    <w:rsid w:val="00CC6C80"/>
    <w:rsid w:val="00CC6DE1"/>
    <w:rsid w:val="00CC6E8E"/>
    <w:rsid w:val="00CC6F40"/>
    <w:rsid w:val="00CC7148"/>
    <w:rsid w:val="00CC7164"/>
    <w:rsid w:val="00CC7221"/>
    <w:rsid w:val="00CC7349"/>
    <w:rsid w:val="00CC7491"/>
    <w:rsid w:val="00CC7539"/>
    <w:rsid w:val="00CC75D9"/>
    <w:rsid w:val="00CC776C"/>
    <w:rsid w:val="00CC77C6"/>
    <w:rsid w:val="00CC7871"/>
    <w:rsid w:val="00CC7926"/>
    <w:rsid w:val="00CC796A"/>
    <w:rsid w:val="00CC7B8C"/>
    <w:rsid w:val="00CC7BB5"/>
    <w:rsid w:val="00CC7CCC"/>
    <w:rsid w:val="00CC7E1A"/>
    <w:rsid w:val="00CC7E6D"/>
    <w:rsid w:val="00CC7F62"/>
    <w:rsid w:val="00CC7F95"/>
    <w:rsid w:val="00CD0014"/>
    <w:rsid w:val="00CD01B5"/>
    <w:rsid w:val="00CD030A"/>
    <w:rsid w:val="00CD036D"/>
    <w:rsid w:val="00CD043B"/>
    <w:rsid w:val="00CD05A0"/>
    <w:rsid w:val="00CD06A4"/>
    <w:rsid w:val="00CD07F5"/>
    <w:rsid w:val="00CD08AC"/>
    <w:rsid w:val="00CD09F7"/>
    <w:rsid w:val="00CD0A56"/>
    <w:rsid w:val="00CD0B50"/>
    <w:rsid w:val="00CD0C59"/>
    <w:rsid w:val="00CD0DE1"/>
    <w:rsid w:val="00CD10B7"/>
    <w:rsid w:val="00CD10D6"/>
    <w:rsid w:val="00CD1272"/>
    <w:rsid w:val="00CD12EA"/>
    <w:rsid w:val="00CD14F4"/>
    <w:rsid w:val="00CD17ED"/>
    <w:rsid w:val="00CD1857"/>
    <w:rsid w:val="00CD1BDE"/>
    <w:rsid w:val="00CD210F"/>
    <w:rsid w:val="00CD226B"/>
    <w:rsid w:val="00CD245B"/>
    <w:rsid w:val="00CD28CF"/>
    <w:rsid w:val="00CD2931"/>
    <w:rsid w:val="00CD2978"/>
    <w:rsid w:val="00CD2991"/>
    <w:rsid w:val="00CD2BF7"/>
    <w:rsid w:val="00CD2CEC"/>
    <w:rsid w:val="00CD2D33"/>
    <w:rsid w:val="00CD2E2F"/>
    <w:rsid w:val="00CD2F7D"/>
    <w:rsid w:val="00CD303B"/>
    <w:rsid w:val="00CD30A3"/>
    <w:rsid w:val="00CD3145"/>
    <w:rsid w:val="00CD323F"/>
    <w:rsid w:val="00CD344C"/>
    <w:rsid w:val="00CD3461"/>
    <w:rsid w:val="00CD3476"/>
    <w:rsid w:val="00CD34F8"/>
    <w:rsid w:val="00CD3559"/>
    <w:rsid w:val="00CD3655"/>
    <w:rsid w:val="00CD3721"/>
    <w:rsid w:val="00CD378D"/>
    <w:rsid w:val="00CD3B4C"/>
    <w:rsid w:val="00CD3D45"/>
    <w:rsid w:val="00CD3D64"/>
    <w:rsid w:val="00CD3F90"/>
    <w:rsid w:val="00CD3FC7"/>
    <w:rsid w:val="00CD4480"/>
    <w:rsid w:val="00CD4555"/>
    <w:rsid w:val="00CD45B7"/>
    <w:rsid w:val="00CD46FE"/>
    <w:rsid w:val="00CD4725"/>
    <w:rsid w:val="00CD4FC3"/>
    <w:rsid w:val="00CD5113"/>
    <w:rsid w:val="00CD53F6"/>
    <w:rsid w:val="00CD5544"/>
    <w:rsid w:val="00CD5594"/>
    <w:rsid w:val="00CD5598"/>
    <w:rsid w:val="00CD55D0"/>
    <w:rsid w:val="00CD55D4"/>
    <w:rsid w:val="00CD56C9"/>
    <w:rsid w:val="00CD56CD"/>
    <w:rsid w:val="00CD56F7"/>
    <w:rsid w:val="00CD5866"/>
    <w:rsid w:val="00CD5A45"/>
    <w:rsid w:val="00CD5A98"/>
    <w:rsid w:val="00CD5C6C"/>
    <w:rsid w:val="00CD5CF9"/>
    <w:rsid w:val="00CD5EB2"/>
    <w:rsid w:val="00CD5F26"/>
    <w:rsid w:val="00CD64DF"/>
    <w:rsid w:val="00CD6894"/>
    <w:rsid w:val="00CD68A5"/>
    <w:rsid w:val="00CD69D9"/>
    <w:rsid w:val="00CD6AF2"/>
    <w:rsid w:val="00CD6D00"/>
    <w:rsid w:val="00CD6EFE"/>
    <w:rsid w:val="00CD7098"/>
    <w:rsid w:val="00CD70A9"/>
    <w:rsid w:val="00CD7124"/>
    <w:rsid w:val="00CD71D8"/>
    <w:rsid w:val="00CD732C"/>
    <w:rsid w:val="00CD7385"/>
    <w:rsid w:val="00CD7400"/>
    <w:rsid w:val="00CD74F7"/>
    <w:rsid w:val="00CD7755"/>
    <w:rsid w:val="00CD77A6"/>
    <w:rsid w:val="00CD780B"/>
    <w:rsid w:val="00CD782D"/>
    <w:rsid w:val="00CD7A86"/>
    <w:rsid w:val="00CD7AC3"/>
    <w:rsid w:val="00CD7D19"/>
    <w:rsid w:val="00CD7DF8"/>
    <w:rsid w:val="00CD7F75"/>
    <w:rsid w:val="00CD7F8B"/>
    <w:rsid w:val="00CE02FC"/>
    <w:rsid w:val="00CE0362"/>
    <w:rsid w:val="00CE037A"/>
    <w:rsid w:val="00CE0407"/>
    <w:rsid w:val="00CE060E"/>
    <w:rsid w:val="00CE0628"/>
    <w:rsid w:val="00CE0695"/>
    <w:rsid w:val="00CE08A4"/>
    <w:rsid w:val="00CE0A94"/>
    <w:rsid w:val="00CE1181"/>
    <w:rsid w:val="00CE1409"/>
    <w:rsid w:val="00CE1493"/>
    <w:rsid w:val="00CE14B0"/>
    <w:rsid w:val="00CE1788"/>
    <w:rsid w:val="00CE188C"/>
    <w:rsid w:val="00CE19AA"/>
    <w:rsid w:val="00CE1B06"/>
    <w:rsid w:val="00CE1BCB"/>
    <w:rsid w:val="00CE1C19"/>
    <w:rsid w:val="00CE1C43"/>
    <w:rsid w:val="00CE1D35"/>
    <w:rsid w:val="00CE1E19"/>
    <w:rsid w:val="00CE1E45"/>
    <w:rsid w:val="00CE1E87"/>
    <w:rsid w:val="00CE2076"/>
    <w:rsid w:val="00CE20EB"/>
    <w:rsid w:val="00CE221C"/>
    <w:rsid w:val="00CE225F"/>
    <w:rsid w:val="00CE2434"/>
    <w:rsid w:val="00CE275F"/>
    <w:rsid w:val="00CE277B"/>
    <w:rsid w:val="00CE298B"/>
    <w:rsid w:val="00CE2A1F"/>
    <w:rsid w:val="00CE2AA2"/>
    <w:rsid w:val="00CE2EB0"/>
    <w:rsid w:val="00CE3153"/>
    <w:rsid w:val="00CE34C2"/>
    <w:rsid w:val="00CE353A"/>
    <w:rsid w:val="00CE3540"/>
    <w:rsid w:val="00CE36AE"/>
    <w:rsid w:val="00CE37EC"/>
    <w:rsid w:val="00CE3943"/>
    <w:rsid w:val="00CE3A65"/>
    <w:rsid w:val="00CE3B1D"/>
    <w:rsid w:val="00CE3DC9"/>
    <w:rsid w:val="00CE3E3B"/>
    <w:rsid w:val="00CE431B"/>
    <w:rsid w:val="00CE4824"/>
    <w:rsid w:val="00CE4B71"/>
    <w:rsid w:val="00CE4BC9"/>
    <w:rsid w:val="00CE4DF4"/>
    <w:rsid w:val="00CE4F43"/>
    <w:rsid w:val="00CE4FB8"/>
    <w:rsid w:val="00CE504A"/>
    <w:rsid w:val="00CE5224"/>
    <w:rsid w:val="00CE5388"/>
    <w:rsid w:val="00CE53C8"/>
    <w:rsid w:val="00CE556C"/>
    <w:rsid w:val="00CE55AD"/>
    <w:rsid w:val="00CE55B8"/>
    <w:rsid w:val="00CE568F"/>
    <w:rsid w:val="00CE5A2E"/>
    <w:rsid w:val="00CE5A7A"/>
    <w:rsid w:val="00CE5B27"/>
    <w:rsid w:val="00CE5E14"/>
    <w:rsid w:val="00CE5EC7"/>
    <w:rsid w:val="00CE5F88"/>
    <w:rsid w:val="00CE6108"/>
    <w:rsid w:val="00CE64F8"/>
    <w:rsid w:val="00CE6808"/>
    <w:rsid w:val="00CE6986"/>
    <w:rsid w:val="00CE6A88"/>
    <w:rsid w:val="00CE6E23"/>
    <w:rsid w:val="00CE712F"/>
    <w:rsid w:val="00CE71FB"/>
    <w:rsid w:val="00CE72CC"/>
    <w:rsid w:val="00CE7B59"/>
    <w:rsid w:val="00CE7EF2"/>
    <w:rsid w:val="00CF02AD"/>
    <w:rsid w:val="00CF1031"/>
    <w:rsid w:val="00CF1140"/>
    <w:rsid w:val="00CF1454"/>
    <w:rsid w:val="00CF156F"/>
    <w:rsid w:val="00CF15D0"/>
    <w:rsid w:val="00CF1674"/>
    <w:rsid w:val="00CF191F"/>
    <w:rsid w:val="00CF1970"/>
    <w:rsid w:val="00CF1A9A"/>
    <w:rsid w:val="00CF1AF9"/>
    <w:rsid w:val="00CF1B1D"/>
    <w:rsid w:val="00CF1D3A"/>
    <w:rsid w:val="00CF2199"/>
    <w:rsid w:val="00CF2341"/>
    <w:rsid w:val="00CF24EA"/>
    <w:rsid w:val="00CF276A"/>
    <w:rsid w:val="00CF27DF"/>
    <w:rsid w:val="00CF27EA"/>
    <w:rsid w:val="00CF281D"/>
    <w:rsid w:val="00CF2823"/>
    <w:rsid w:val="00CF291F"/>
    <w:rsid w:val="00CF2A56"/>
    <w:rsid w:val="00CF2C38"/>
    <w:rsid w:val="00CF2CAC"/>
    <w:rsid w:val="00CF2F50"/>
    <w:rsid w:val="00CF2F62"/>
    <w:rsid w:val="00CF3294"/>
    <w:rsid w:val="00CF3298"/>
    <w:rsid w:val="00CF3331"/>
    <w:rsid w:val="00CF339B"/>
    <w:rsid w:val="00CF34DC"/>
    <w:rsid w:val="00CF35BA"/>
    <w:rsid w:val="00CF3627"/>
    <w:rsid w:val="00CF369C"/>
    <w:rsid w:val="00CF3745"/>
    <w:rsid w:val="00CF37C4"/>
    <w:rsid w:val="00CF3A1B"/>
    <w:rsid w:val="00CF3A99"/>
    <w:rsid w:val="00CF3BD6"/>
    <w:rsid w:val="00CF3BF7"/>
    <w:rsid w:val="00CF3BFC"/>
    <w:rsid w:val="00CF3C04"/>
    <w:rsid w:val="00CF3CA4"/>
    <w:rsid w:val="00CF3E6C"/>
    <w:rsid w:val="00CF3EBC"/>
    <w:rsid w:val="00CF3FDD"/>
    <w:rsid w:val="00CF4177"/>
    <w:rsid w:val="00CF453B"/>
    <w:rsid w:val="00CF4627"/>
    <w:rsid w:val="00CF46DD"/>
    <w:rsid w:val="00CF47AD"/>
    <w:rsid w:val="00CF4866"/>
    <w:rsid w:val="00CF4BD4"/>
    <w:rsid w:val="00CF4CF2"/>
    <w:rsid w:val="00CF4D67"/>
    <w:rsid w:val="00CF4E17"/>
    <w:rsid w:val="00CF5052"/>
    <w:rsid w:val="00CF53B2"/>
    <w:rsid w:val="00CF53D2"/>
    <w:rsid w:val="00CF5730"/>
    <w:rsid w:val="00CF57B9"/>
    <w:rsid w:val="00CF58B9"/>
    <w:rsid w:val="00CF5C70"/>
    <w:rsid w:val="00CF5E2B"/>
    <w:rsid w:val="00CF5EC5"/>
    <w:rsid w:val="00CF5F3D"/>
    <w:rsid w:val="00CF6010"/>
    <w:rsid w:val="00CF6165"/>
    <w:rsid w:val="00CF618C"/>
    <w:rsid w:val="00CF6198"/>
    <w:rsid w:val="00CF62A9"/>
    <w:rsid w:val="00CF6536"/>
    <w:rsid w:val="00CF6581"/>
    <w:rsid w:val="00CF6914"/>
    <w:rsid w:val="00CF692D"/>
    <w:rsid w:val="00CF6A1C"/>
    <w:rsid w:val="00CF6A97"/>
    <w:rsid w:val="00CF6C64"/>
    <w:rsid w:val="00CF6CD3"/>
    <w:rsid w:val="00CF6E4A"/>
    <w:rsid w:val="00CF706D"/>
    <w:rsid w:val="00CF7224"/>
    <w:rsid w:val="00CF727D"/>
    <w:rsid w:val="00CF7425"/>
    <w:rsid w:val="00CF7604"/>
    <w:rsid w:val="00CF7732"/>
    <w:rsid w:val="00CF787C"/>
    <w:rsid w:val="00CF78AE"/>
    <w:rsid w:val="00CF79E8"/>
    <w:rsid w:val="00CF7A87"/>
    <w:rsid w:val="00CF7AF7"/>
    <w:rsid w:val="00CF7E5C"/>
    <w:rsid w:val="00D00071"/>
    <w:rsid w:val="00D00118"/>
    <w:rsid w:val="00D00251"/>
    <w:rsid w:val="00D004DE"/>
    <w:rsid w:val="00D005A0"/>
    <w:rsid w:val="00D006E2"/>
    <w:rsid w:val="00D00A53"/>
    <w:rsid w:val="00D00C86"/>
    <w:rsid w:val="00D00D8B"/>
    <w:rsid w:val="00D00DE9"/>
    <w:rsid w:val="00D00F73"/>
    <w:rsid w:val="00D01051"/>
    <w:rsid w:val="00D01191"/>
    <w:rsid w:val="00D01304"/>
    <w:rsid w:val="00D0145F"/>
    <w:rsid w:val="00D01510"/>
    <w:rsid w:val="00D016FD"/>
    <w:rsid w:val="00D01725"/>
    <w:rsid w:val="00D01947"/>
    <w:rsid w:val="00D01B21"/>
    <w:rsid w:val="00D01C4C"/>
    <w:rsid w:val="00D01CF1"/>
    <w:rsid w:val="00D01E48"/>
    <w:rsid w:val="00D01F77"/>
    <w:rsid w:val="00D01F91"/>
    <w:rsid w:val="00D01FF8"/>
    <w:rsid w:val="00D021C7"/>
    <w:rsid w:val="00D02330"/>
    <w:rsid w:val="00D02335"/>
    <w:rsid w:val="00D02340"/>
    <w:rsid w:val="00D02374"/>
    <w:rsid w:val="00D02551"/>
    <w:rsid w:val="00D025BA"/>
    <w:rsid w:val="00D0272C"/>
    <w:rsid w:val="00D02919"/>
    <w:rsid w:val="00D0293B"/>
    <w:rsid w:val="00D02B73"/>
    <w:rsid w:val="00D02CBF"/>
    <w:rsid w:val="00D02D3F"/>
    <w:rsid w:val="00D032C4"/>
    <w:rsid w:val="00D0345D"/>
    <w:rsid w:val="00D034C4"/>
    <w:rsid w:val="00D034DD"/>
    <w:rsid w:val="00D03562"/>
    <w:rsid w:val="00D036E8"/>
    <w:rsid w:val="00D03848"/>
    <w:rsid w:val="00D03C61"/>
    <w:rsid w:val="00D03C7C"/>
    <w:rsid w:val="00D03CE3"/>
    <w:rsid w:val="00D03E22"/>
    <w:rsid w:val="00D03E89"/>
    <w:rsid w:val="00D03EFA"/>
    <w:rsid w:val="00D03FBB"/>
    <w:rsid w:val="00D042BC"/>
    <w:rsid w:val="00D042E9"/>
    <w:rsid w:val="00D04483"/>
    <w:rsid w:val="00D04550"/>
    <w:rsid w:val="00D0488A"/>
    <w:rsid w:val="00D0491F"/>
    <w:rsid w:val="00D049C6"/>
    <w:rsid w:val="00D04B86"/>
    <w:rsid w:val="00D04C14"/>
    <w:rsid w:val="00D04C4A"/>
    <w:rsid w:val="00D04C61"/>
    <w:rsid w:val="00D04E82"/>
    <w:rsid w:val="00D04F59"/>
    <w:rsid w:val="00D04F74"/>
    <w:rsid w:val="00D05066"/>
    <w:rsid w:val="00D0516F"/>
    <w:rsid w:val="00D0552C"/>
    <w:rsid w:val="00D055E2"/>
    <w:rsid w:val="00D05980"/>
    <w:rsid w:val="00D059CB"/>
    <w:rsid w:val="00D05B8D"/>
    <w:rsid w:val="00D05B9B"/>
    <w:rsid w:val="00D05C5C"/>
    <w:rsid w:val="00D05CAC"/>
    <w:rsid w:val="00D05D6B"/>
    <w:rsid w:val="00D05D78"/>
    <w:rsid w:val="00D05DD8"/>
    <w:rsid w:val="00D05F5B"/>
    <w:rsid w:val="00D061DD"/>
    <w:rsid w:val="00D06224"/>
    <w:rsid w:val="00D062C2"/>
    <w:rsid w:val="00D063C4"/>
    <w:rsid w:val="00D06415"/>
    <w:rsid w:val="00D06480"/>
    <w:rsid w:val="00D06542"/>
    <w:rsid w:val="00D065A2"/>
    <w:rsid w:val="00D065BD"/>
    <w:rsid w:val="00D065CB"/>
    <w:rsid w:val="00D0679B"/>
    <w:rsid w:val="00D067B0"/>
    <w:rsid w:val="00D0683E"/>
    <w:rsid w:val="00D06847"/>
    <w:rsid w:val="00D06D6F"/>
    <w:rsid w:val="00D06E46"/>
    <w:rsid w:val="00D06EB5"/>
    <w:rsid w:val="00D07021"/>
    <w:rsid w:val="00D07117"/>
    <w:rsid w:val="00D07796"/>
    <w:rsid w:val="00D07847"/>
    <w:rsid w:val="00D079AA"/>
    <w:rsid w:val="00D07A56"/>
    <w:rsid w:val="00D07AF0"/>
    <w:rsid w:val="00D07B37"/>
    <w:rsid w:val="00D07C75"/>
    <w:rsid w:val="00D07F00"/>
    <w:rsid w:val="00D1000F"/>
    <w:rsid w:val="00D1005D"/>
    <w:rsid w:val="00D100DB"/>
    <w:rsid w:val="00D101F4"/>
    <w:rsid w:val="00D102CF"/>
    <w:rsid w:val="00D102FE"/>
    <w:rsid w:val="00D1030B"/>
    <w:rsid w:val="00D10528"/>
    <w:rsid w:val="00D10757"/>
    <w:rsid w:val="00D10846"/>
    <w:rsid w:val="00D10A09"/>
    <w:rsid w:val="00D10AF5"/>
    <w:rsid w:val="00D10B1D"/>
    <w:rsid w:val="00D10E23"/>
    <w:rsid w:val="00D10FFE"/>
    <w:rsid w:val="00D11074"/>
    <w:rsid w:val="00D11134"/>
    <w:rsid w:val="00D112C7"/>
    <w:rsid w:val="00D112D4"/>
    <w:rsid w:val="00D1130F"/>
    <w:rsid w:val="00D1153B"/>
    <w:rsid w:val="00D115C1"/>
    <w:rsid w:val="00D11656"/>
    <w:rsid w:val="00D11B95"/>
    <w:rsid w:val="00D11E71"/>
    <w:rsid w:val="00D11F06"/>
    <w:rsid w:val="00D1213C"/>
    <w:rsid w:val="00D121F6"/>
    <w:rsid w:val="00D123CA"/>
    <w:rsid w:val="00D124C1"/>
    <w:rsid w:val="00D12533"/>
    <w:rsid w:val="00D1258D"/>
    <w:rsid w:val="00D127C3"/>
    <w:rsid w:val="00D12896"/>
    <w:rsid w:val="00D12A0B"/>
    <w:rsid w:val="00D12D33"/>
    <w:rsid w:val="00D12E4A"/>
    <w:rsid w:val="00D13007"/>
    <w:rsid w:val="00D13090"/>
    <w:rsid w:val="00D134CE"/>
    <w:rsid w:val="00D134D2"/>
    <w:rsid w:val="00D13922"/>
    <w:rsid w:val="00D13A3E"/>
    <w:rsid w:val="00D13BF5"/>
    <w:rsid w:val="00D13C08"/>
    <w:rsid w:val="00D13D75"/>
    <w:rsid w:val="00D14013"/>
    <w:rsid w:val="00D142D9"/>
    <w:rsid w:val="00D143DD"/>
    <w:rsid w:val="00D1450B"/>
    <w:rsid w:val="00D14692"/>
    <w:rsid w:val="00D146F7"/>
    <w:rsid w:val="00D147E9"/>
    <w:rsid w:val="00D14824"/>
    <w:rsid w:val="00D14961"/>
    <w:rsid w:val="00D149AC"/>
    <w:rsid w:val="00D14BB7"/>
    <w:rsid w:val="00D14CA3"/>
    <w:rsid w:val="00D150D5"/>
    <w:rsid w:val="00D1514D"/>
    <w:rsid w:val="00D15500"/>
    <w:rsid w:val="00D156EB"/>
    <w:rsid w:val="00D157AC"/>
    <w:rsid w:val="00D15B55"/>
    <w:rsid w:val="00D15F2C"/>
    <w:rsid w:val="00D161C1"/>
    <w:rsid w:val="00D163E2"/>
    <w:rsid w:val="00D1651E"/>
    <w:rsid w:val="00D166F1"/>
    <w:rsid w:val="00D16792"/>
    <w:rsid w:val="00D167E1"/>
    <w:rsid w:val="00D16C3C"/>
    <w:rsid w:val="00D16C8E"/>
    <w:rsid w:val="00D16DF4"/>
    <w:rsid w:val="00D16E6F"/>
    <w:rsid w:val="00D16F0A"/>
    <w:rsid w:val="00D16F6F"/>
    <w:rsid w:val="00D1700E"/>
    <w:rsid w:val="00D170E1"/>
    <w:rsid w:val="00D17589"/>
    <w:rsid w:val="00D1758D"/>
    <w:rsid w:val="00D175DB"/>
    <w:rsid w:val="00D17B72"/>
    <w:rsid w:val="00D17DBD"/>
    <w:rsid w:val="00D17FB8"/>
    <w:rsid w:val="00D20378"/>
    <w:rsid w:val="00D203BD"/>
    <w:rsid w:val="00D2052A"/>
    <w:rsid w:val="00D20691"/>
    <w:rsid w:val="00D20708"/>
    <w:rsid w:val="00D20798"/>
    <w:rsid w:val="00D209AD"/>
    <w:rsid w:val="00D20F0F"/>
    <w:rsid w:val="00D20FB5"/>
    <w:rsid w:val="00D210A5"/>
    <w:rsid w:val="00D2128A"/>
    <w:rsid w:val="00D212AA"/>
    <w:rsid w:val="00D212D1"/>
    <w:rsid w:val="00D21328"/>
    <w:rsid w:val="00D214BA"/>
    <w:rsid w:val="00D21844"/>
    <w:rsid w:val="00D21943"/>
    <w:rsid w:val="00D21969"/>
    <w:rsid w:val="00D21D06"/>
    <w:rsid w:val="00D21D18"/>
    <w:rsid w:val="00D22108"/>
    <w:rsid w:val="00D224C2"/>
    <w:rsid w:val="00D22615"/>
    <w:rsid w:val="00D227A6"/>
    <w:rsid w:val="00D227D2"/>
    <w:rsid w:val="00D22884"/>
    <w:rsid w:val="00D228A6"/>
    <w:rsid w:val="00D229DC"/>
    <w:rsid w:val="00D22AE3"/>
    <w:rsid w:val="00D22B2A"/>
    <w:rsid w:val="00D22CA9"/>
    <w:rsid w:val="00D22CE1"/>
    <w:rsid w:val="00D22E6E"/>
    <w:rsid w:val="00D2311A"/>
    <w:rsid w:val="00D231D8"/>
    <w:rsid w:val="00D234AB"/>
    <w:rsid w:val="00D234C3"/>
    <w:rsid w:val="00D23868"/>
    <w:rsid w:val="00D2387D"/>
    <w:rsid w:val="00D23A43"/>
    <w:rsid w:val="00D23BD2"/>
    <w:rsid w:val="00D23D64"/>
    <w:rsid w:val="00D23EB1"/>
    <w:rsid w:val="00D2443D"/>
    <w:rsid w:val="00D24628"/>
    <w:rsid w:val="00D24808"/>
    <w:rsid w:val="00D2496F"/>
    <w:rsid w:val="00D24A40"/>
    <w:rsid w:val="00D24AED"/>
    <w:rsid w:val="00D24B7B"/>
    <w:rsid w:val="00D24BD1"/>
    <w:rsid w:val="00D24C7D"/>
    <w:rsid w:val="00D24C81"/>
    <w:rsid w:val="00D24EEE"/>
    <w:rsid w:val="00D25209"/>
    <w:rsid w:val="00D25236"/>
    <w:rsid w:val="00D25271"/>
    <w:rsid w:val="00D2547D"/>
    <w:rsid w:val="00D25499"/>
    <w:rsid w:val="00D255A9"/>
    <w:rsid w:val="00D25C6D"/>
    <w:rsid w:val="00D25D7A"/>
    <w:rsid w:val="00D25E3C"/>
    <w:rsid w:val="00D263FA"/>
    <w:rsid w:val="00D264ED"/>
    <w:rsid w:val="00D26710"/>
    <w:rsid w:val="00D2680A"/>
    <w:rsid w:val="00D2686A"/>
    <w:rsid w:val="00D268BB"/>
    <w:rsid w:val="00D268CE"/>
    <w:rsid w:val="00D26B57"/>
    <w:rsid w:val="00D26DA8"/>
    <w:rsid w:val="00D26F47"/>
    <w:rsid w:val="00D271C1"/>
    <w:rsid w:val="00D272C2"/>
    <w:rsid w:val="00D27454"/>
    <w:rsid w:val="00D275CC"/>
    <w:rsid w:val="00D275FF"/>
    <w:rsid w:val="00D2780F"/>
    <w:rsid w:val="00D27853"/>
    <w:rsid w:val="00D27900"/>
    <w:rsid w:val="00D27F79"/>
    <w:rsid w:val="00D301F6"/>
    <w:rsid w:val="00D30476"/>
    <w:rsid w:val="00D30599"/>
    <w:rsid w:val="00D307CD"/>
    <w:rsid w:val="00D30BBE"/>
    <w:rsid w:val="00D30C09"/>
    <w:rsid w:val="00D30DA8"/>
    <w:rsid w:val="00D31079"/>
    <w:rsid w:val="00D31091"/>
    <w:rsid w:val="00D31154"/>
    <w:rsid w:val="00D31433"/>
    <w:rsid w:val="00D31507"/>
    <w:rsid w:val="00D31677"/>
    <w:rsid w:val="00D31753"/>
    <w:rsid w:val="00D31798"/>
    <w:rsid w:val="00D317BF"/>
    <w:rsid w:val="00D3185C"/>
    <w:rsid w:val="00D31896"/>
    <w:rsid w:val="00D318A1"/>
    <w:rsid w:val="00D31AFE"/>
    <w:rsid w:val="00D31C90"/>
    <w:rsid w:val="00D31CB3"/>
    <w:rsid w:val="00D31DE5"/>
    <w:rsid w:val="00D3205F"/>
    <w:rsid w:val="00D3253F"/>
    <w:rsid w:val="00D32708"/>
    <w:rsid w:val="00D329F7"/>
    <w:rsid w:val="00D32A36"/>
    <w:rsid w:val="00D32A8F"/>
    <w:rsid w:val="00D32B8D"/>
    <w:rsid w:val="00D32D89"/>
    <w:rsid w:val="00D32DC3"/>
    <w:rsid w:val="00D32E52"/>
    <w:rsid w:val="00D32F58"/>
    <w:rsid w:val="00D33116"/>
    <w:rsid w:val="00D3318E"/>
    <w:rsid w:val="00D332F8"/>
    <w:rsid w:val="00D33442"/>
    <w:rsid w:val="00D339B5"/>
    <w:rsid w:val="00D33B56"/>
    <w:rsid w:val="00D33BF0"/>
    <w:rsid w:val="00D33C8D"/>
    <w:rsid w:val="00D33D34"/>
    <w:rsid w:val="00D33D8E"/>
    <w:rsid w:val="00D33E72"/>
    <w:rsid w:val="00D33EFD"/>
    <w:rsid w:val="00D34096"/>
    <w:rsid w:val="00D343C4"/>
    <w:rsid w:val="00D343C5"/>
    <w:rsid w:val="00D34547"/>
    <w:rsid w:val="00D345A4"/>
    <w:rsid w:val="00D345A9"/>
    <w:rsid w:val="00D345E6"/>
    <w:rsid w:val="00D345F0"/>
    <w:rsid w:val="00D34724"/>
    <w:rsid w:val="00D34894"/>
    <w:rsid w:val="00D34943"/>
    <w:rsid w:val="00D34A57"/>
    <w:rsid w:val="00D34B5C"/>
    <w:rsid w:val="00D34B8D"/>
    <w:rsid w:val="00D34F08"/>
    <w:rsid w:val="00D34F0A"/>
    <w:rsid w:val="00D34FAE"/>
    <w:rsid w:val="00D35764"/>
    <w:rsid w:val="00D35969"/>
    <w:rsid w:val="00D359D2"/>
    <w:rsid w:val="00D35A51"/>
    <w:rsid w:val="00D35A79"/>
    <w:rsid w:val="00D35AD9"/>
    <w:rsid w:val="00D35BD6"/>
    <w:rsid w:val="00D35BF2"/>
    <w:rsid w:val="00D35E90"/>
    <w:rsid w:val="00D35EAF"/>
    <w:rsid w:val="00D35FC4"/>
    <w:rsid w:val="00D36072"/>
    <w:rsid w:val="00D36120"/>
    <w:rsid w:val="00D361B5"/>
    <w:rsid w:val="00D361FF"/>
    <w:rsid w:val="00D364EF"/>
    <w:rsid w:val="00D36648"/>
    <w:rsid w:val="00D366E8"/>
    <w:rsid w:val="00D36B0A"/>
    <w:rsid w:val="00D36C16"/>
    <w:rsid w:val="00D36E26"/>
    <w:rsid w:val="00D36E28"/>
    <w:rsid w:val="00D36E6A"/>
    <w:rsid w:val="00D36FFA"/>
    <w:rsid w:val="00D37006"/>
    <w:rsid w:val="00D371B3"/>
    <w:rsid w:val="00D3721A"/>
    <w:rsid w:val="00D37294"/>
    <w:rsid w:val="00D372E1"/>
    <w:rsid w:val="00D373DE"/>
    <w:rsid w:val="00D3770C"/>
    <w:rsid w:val="00D3780F"/>
    <w:rsid w:val="00D3781C"/>
    <w:rsid w:val="00D37869"/>
    <w:rsid w:val="00D3799D"/>
    <w:rsid w:val="00D37ADE"/>
    <w:rsid w:val="00D37CC2"/>
    <w:rsid w:val="00D37EFB"/>
    <w:rsid w:val="00D37FAC"/>
    <w:rsid w:val="00D3F983"/>
    <w:rsid w:val="00D400D2"/>
    <w:rsid w:val="00D4027F"/>
    <w:rsid w:val="00D404E9"/>
    <w:rsid w:val="00D40542"/>
    <w:rsid w:val="00D40591"/>
    <w:rsid w:val="00D4077E"/>
    <w:rsid w:val="00D407C2"/>
    <w:rsid w:val="00D407E8"/>
    <w:rsid w:val="00D408A3"/>
    <w:rsid w:val="00D4091A"/>
    <w:rsid w:val="00D40976"/>
    <w:rsid w:val="00D40A5A"/>
    <w:rsid w:val="00D40AF1"/>
    <w:rsid w:val="00D40EF1"/>
    <w:rsid w:val="00D4107C"/>
    <w:rsid w:val="00D410C9"/>
    <w:rsid w:val="00D411A2"/>
    <w:rsid w:val="00D41220"/>
    <w:rsid w:val="00D41267"/>
    <w:rsid w:val="00D41487"/>
    <w:rsid w:val="00D41992"/>
    <w:rsid w:val="00D41AE4"/>
    <w:rsid w:val="00D41C19"/>
    <w:rsid w:val="00D41C47"/>
    <w:rsid w:val="00D423FD"/>
    <w:rsid w:val="00D424DF"/>
    <w:rsid w:val="00D425DC"/>
    <w:rsid w:val="00D429D0"/>
    <w:rsid w:val="00D42C78"/>
    <w:rsid w:val="00D42D93"/>
    <w:rsid w:val="00D42F50"/>
    <w:rsid w:val="00D430C7"/>
    <w:rsid w:val="00D43211"/>
    <w:rsid w:val="00D432F6"/>
    <w:rsid w:val="00D43319"/>
    <w:rsid w:val="00D433C6"/>
    <w:rsid w:val="00D434A1"/>
    <w:rsid w:val="00D434AB"/>
    <w:rsid w:val="00D435A1"/>
    <w:rsid w:val="00D43847"/>
    <w:rsid w:val="00D43EAF"/>
    <w:rsid w:val="00D43F36"/>
    <w:rsid w:val="00D4419F"/>
    <w:rsid w:val="00D443D8"/>
    <w:rsid w:val="00D44688"/>
    <w:rsid w:val="00D447C8"/>
    <w:rsid w:val="00D44D81"/>
    <w:rsid w:val="00D44FC2"/>
    <w:rsid w:val="00D45049"/>
    <w:rsid w:val="00D450C1"/>
    <w:rsid w:val="00D451A0"/>
    <w:rsid w:val="00D45352"/>
    <w:rsid w:val="00D45572"/>
    <w:rsid w:val="00D45661"/>
    <w:rsid w:val="00D45681"/>
    <w:rsid w:val="00D456D7"/>
    <w:rsid w:val="00D4588C"/>
    <w:rsid w:val="00D4599A"/>
    <w:rsid w:val="00D45A8C"/>
    <w:rsid w:val="00D45AFB"/>
    <w:rsid w:val="00D45CB6"/>
    <w:rsid w:val="00D45CBD"/>
    <w:rsid w:val="00D45DD5"/>
    <w:rsid w:val="00D45E0D"/>
    <w:rsid w:val="00D45E82"/>
    <w:rsid w:val="00D45FFE"/>
    <w:rsid w:val="00D4606D"/>
    <w:rsid w:val="00D461D5"/>
    <w:rsid w:val="00D46233"/>
    <w:rsid w:val="00D46376"/>
    <w:rsid w:val="00D463F6"/>
    <w:rsid w:val="00D468D9"/>
    <w:rsid w:val="00D46942"/>
    <w:rsid w:val="00D46980"/>
    <w:rsid w:val="00D46AC6"/>
    <w:rsid w:val="00D46C54"/>
    <w:rsid w:val="00D46EB7"/>
    <w:rsid w:val="00D46F4A"/>
    <w:rsid w:val="00D4742F"/>
    <w:rsid w:val="00D47719"/>
    <w:rsid w:val="00D477D2"/>
    <w:rsid w:val="00D47849"/>
    <w:rsid w:val="00D47F17"/>
    <w:rsid w:val="00D50103"/>
    <w:rsid w:val="00D501C9"/>
    <w:rsid w:val="00D501F6"/>
    <w:rsid w:val="00D50452"/>
    <w:rsid w:val="00D5051C"/>
    <w:rsid w:val="00D505F4"/>
    <w:rsid w:val="00D5070A"/>
    <w:rsid w:val="00D5074F"/>
    <w:rsid w:val="00D507D6"/>
    <w:rsid w:val="00D50A26"/>
    <w:rsid w:val="00D50B39"/>
    <w:rsid w:val="00D50B9C"/>
    <w:rsid w:val="00D50F95"/>
    <w:rsid w:val="00D512B3"/>
    <w:rsid w:val="00D5133F"/>
    <w:rsid w:val="00D513AF"/>
    <w:rsid w:val="00D513E2"/>
    <w:rsid w:val="00D51914"/>
    <w:rsid w:val="00D51A0E"/>
    <w:rsid w:val="00D51AE5"/>
    <w:rsid w:val="00D51C11"/>
    <w:rsid w:val="00D51DE7"/>
    <w:rsid w:val="00D51F32"/>
    <w:rsid w:val="00D52012"/>
    <w:rsid w:val="00D52418"/>
    <w:rsid w:val="00D52441"/>
    <w:rsid w:val="00D52799"/>
    <w:rsid w:val="00D52833"/>
    <w:rsid w:val="00D5283E"/>
    <w:rsid w:val="00D52C0F"/>
    <w:rsid w:val="00D52C87"/>
    <w:rsid w:val="00D52D73"/>
    <w:rsid w:val="00D52E58"/>
    <w:rsid w:val="00D53037"/>
    <w:rsid w:val="00D5321C"/>
    <w:rsid w:val="00D53401"/>
    <w:rsid w:val="00D5379E"/>
    <w:rsid w:val="00D53AB3"/>
    <w:rsid w:val="00D53B9B"/>
    <w:rsid w:val="00D53BFC"/>
    <w:rsid w:val="00D53F54"/>
    <w:rsid w:val="00D54054"/>
    <w:rsid w:val="00D542C9"/>
    <w:rsid w:val="00D542F2"/>
    <w:rsid w:val="00D5439F"/>
    <w:rsid w:val="00D5440B"/>
    <w:rsid w:val="00D54736"/>
    <w:rsid w:val="00D54891"/>
    <w:rsid w:val="00D548B8"/>
    <w:rsid w:val="00D548CF"/>
    <w:rsid w:val="00D549A8"/>
    <w:rsid w:val="00D54CF5"/>
    <w:rsid w:val="00D54DFD"/>
    <w:rsid w:val="00D54F58"/>
    <w:rsid w:val="00D550AB"/>
    <w:rsid w:val="00D550BD"/>
    <w:rsid w:val="00D55216"/>
    <w:rsid w:val="00D5548B"/>
    <w:rsid w:val="00D554FC"/>
    <w:rsid w:val="00D556CE"/>
    <w:rsid w:val="00D55929"/>
    <w:rsid w:val="00D5598E"/>
    <w:rsid w:val="00D55A6D"/>
    <w:rsid w:val="00D55F52"/>
    <w:rsid w:val="00D56227"/>
    <w:rsid w:val="00D5630D"/>
    <w:rsid w:val="00D5638C"/>
    <w:rsid w:val="00D563E7"/>
    <w:rsid w:val="00D56444"/>
    <w:rsid w:val="00D564B1"/>
    <w:rsid w:val="00D564F3"/>
    <w:rsid w:val="00D56547"/>
    <w:rsid w:val="00D565A7"/>
    <w:rsid w:val="00D5661E"/>
    <w:rsid w:val="00D566D7"/>
    <w:rsid w:val="00D5683B"/>
    <w:rsid w:val="00D5698C"/>
    <w:rsid w:val="00D56A4D"/>
    <w:rsid w:val="00D56A89"/>
    <w:rsid w:val="00D56B08"/>
    <w:rsid w:val="00D56B20"/>
    <w:rsid w:val="00D56B2E"/>
    <w:rsid w:val="00D56E39"/>
    <w:rsid w:val="00D56F2C"/>
    <w:rsid w:val="00D56FAE"/>
    <w:rsid w:val="00D57803"/>
    <w:rsid w:val="00D578B3"/>
    <w:rsid w:val="00D579CD"/>
    <w:rsid w:val="00D57AE8"/>
    <w:rsid w:val="00D57C11"/>
    <w:rsid w:val="00D57D2C"/>
    <w:rsid w:val="00D57D40"/>
    <w:rsid w:val="00D57D64"/>
    <w:rsid w:val="00D57EC7"/>
    <w:rsid w:val="00D601D2"/>
    <w:rsid w:val="00D60265"/>
    <w:rsid w:val="00D60284"/>
    <w:rsid w:val="00D60579"/>
    <w:rsid w:val="00D606AF"/>
    <w:rsid w:val="00D60706"/>
    <w:rsid w:val="00D60737"/>
    <w:rsid w:val="00D60765"/>
    <w:rsid w:val="00D60787"/>
    <w:rsid w:val="00D609D3"/>
    <w:rsid w:val="00D60AA5"/>
    <w:rsid w:val="00D60BBE"/>
    <w:rsid w:val="00D60C2D"/>
    <w:rsid w:val="00D60D29"/>
    <w:rsid w:val="00D60D2F"/>
    <w:rsid w:val="00D60FCD"/>
    <w:rsid w:val="00D6103B"/>
    <w:rsid w:val="00D6137D"/>
    <w:rsid w:val="00D613C8"/>
    <w:rsid w:val="00D6140D"/>
    <w:rsid w:val="00D61415"/>
    <w:rsid w:val="00D6141D"/>
    <w:rsid w:val="00D61458"/>
    <w:rsid w:val="00D61688"/>
    <w:rsid w:val="00D616D6"/>
    <w:rsid w:val="00D618F4"/>
    <w:rsid w:val="00D61A6F"/>
    <w:rsid w:val="00D61AA0"/>
    <w:rsid w:val="00D61ABE"/>
    <w:rsid w:val="00D61C6F"/>
    <w:rsid w:val="00D61D72"/>
    <w:rsid w:val="00D61DC8"/>
    <w:rsid w:val="00D61E58"/>
    <w:rsid w:val="00D6204A"/>
    <w:rsid w:val="00D62173"/>
    <w:rsid w:val="00D622A7"/>
    <w:rsid w:val="00D6251D"/>
    <w:rsid w:val="00D6252E"/>
    <w:rsid w:val="00D6272C"/>
    <w:rsid w:val="00D627DB"/>
    <w:rsid w:val="00D62805"/>
    <w:rsid w:val="00D62841"/>
    <w:rsid w:val="00D62BED"/>
    <w:rsid w:val="00D62BEF"/>
    <w:rsid w:val="00D62C68"/>
    <w:rsid w:val="00D62C88"/>
    <w:rsid w:val="00D62E0E"/>
    <w:rsid w:val="00D62E15"/>
    <w:rsid w:val="00D630C9"/>
    <w:rsid w:val="00D63128"/>
    <w:rsid w:val="00D632BA"/>
    <w:rsid w:val="00D63360"/>
    <w:rsid w:val="00D633BD"/>
    <w:rsid w:val="00D63636"/>
    <w:rsid w:val="00D63668"/>
    <w:rsid w:val="00D63938"/>
    <w:rsid w:val="00D639BF"/>
    <w:rsid w:val="00D639C7"/>
    <w:rsid w:val="00D63DC2"/>
    <w:rsid w:val="00D63E31"/>
    <w:rsid w:val="00D63E56"/>
    <w:rsid w:val="00D63EB2"/>
    <w:rsid w:val="00D63F50"/>
    <w:rsid w:val="00D63F7E"/>
    <w:rsid w:val="00D640BB"/>
    <w:rsid w:val="00D641DD"/>
    <w:rsid w:val="00D64453"/>
    <w:rsid w:val="00D64488"/>
    <w:rsid w:val="00D644C5"/>
    <w:rsid w:val="00D645C7"/>
    <w:rsid w:val="00D648D3"/>
    <w:rsid w:val="00D649A2"/>
    <w:rsid w:val="00D64AE8"/>
    <w:rsid w:val="00D64B1E"/>
    <w:rsid w:val="00D64BEC"/>
    <w:rsid w:val="00D64BF1"/>
    <w:rsid w:val="00D64C29"/>
    <w:rsid w:val="00D65012"/>
    <w:rsid w:val="00D65340"/>
    <w:rsid w:val="00D655CF"/>
    <w:rsid w:val="00D6561C"/>
    <w:rsid w:val="00D65636"/>
    <w:rsid w:val="00D656AC"/>
    <w:rsid w:val="00D65750"/>
    <w:rsid w:val="00D65ADF"/>
    <w:rsid w:val="00D65B00"/>
    <w:rsid w:val="00D65B32"/>
    <w:rsid w:val="00D65B4F"/>
    <w:rsid w:val="00D65D2A"/>
    <w:rsid w:val="00D6603F"/>
    <w:rsid w:val="00D6607E"/>
    <w:rsid w:val="00D660CD"/>
    <w:rsid w:val="00D661D1"/>
    <w:rsid w:val="00D66322"/>
    <w:rsid w:val="00D663F1"/>
    <w:rsid w:val="00D6643D"/>
    <w:rsid w:val="00D6648C"/>
    <w:rsid w:val="00D665F0"/>
    <w:rsid w:val="00D66838"/>
    <w:rsid w:val="00D66887"/>
    <w:rsid w:val="00D668D6"/>
    <w:rsid w:val="00D66A74"/>
    <w:rsid w:val="00D66AE8"/>
    <w:rsid w:val="00D66B8B"/>
    <w:rsid w:val="00D66DE2"/>
    <w:rsid w:val="00D67012"/>
    <w:rsid w:val="00D670DF"/>
    <w:rsid w:val="00D671ED"/>
    <w:rsid w:val="00D672D3"/>
    <w:rsid w:val="00D6733C"/>
    <w:rsid w:val="00D67490"/>
    <w:rsid w:val="00D674DF"/>
    <w:rsid w:val="00D675D1"/>
    <w:rsid w:val="00D67735"/>
    <w:rsid w:val="00D6778D"/>
    <w:rsid w:val="00D67A2B"/>
    <w:rsid w:val="00D67C5F"/>
    <w:rsid w:val="00D67C9E"/>
    <w:rsid w:val="00D67CCF"/>
    <w:rsid w:val="00D67D0F"/>
    <w:rsid w:val="00D67DB9"/>
    <w:rsid w:val="00D67DD8"/>
    <w:rsid w:val="00D67E51"/>
    <w:rsid w:val="00D67EF1"/>
    <w:rsid w:val="00D67F35"/>
    <w:rsid w:val="00D67F3A"/>
    <w:rsid w:val="00D70116"/>
    <w:rsid w:val="00D70148"/>
    <w:rsid w:val="00D7017E"/>
    <w:rsid w:val="00D701F0"/>
    <w:rsid w:val="00D701F8"/>
    <w:rsid w:val="00D703B1"/>
    <w:rsid w:val="00D703FA"/>
    <w:rsid w:val="00D7048C"/>
    <w:rsid w:val="00D705A5"/>
    <w:rsid w:val="00D70704"/>
    <w:rsid w:val="00D7074A"/>
    <w:rsid w:val="00D707CF"/>
    <w:rsid w:val="00D707D1"/>
    <w:rsid w:val="00D707EA"/>
    <w:rsid w:val="00D708D5"/>
    <w:rsid w:val="00D70BF9"/>
    <w:rsid w:val="00D70C0E"/>
    <w:rsid w:val="00D70D35"/>
    <w:rsid w:val="00D70FB9"/>
    <w:rsid w:val="00D713AD"/>
    <w:rsid w:val="00D714CC"/>
    <w:rsid w:val="00D716F7"/>
    <w:rsid w:val="00D71752"/>
    <w:rsid w:val="00D719E2"/>
    <w:rsid w:val="00D71C67"/>
    <w:rsid w:val="00D71E93"/>
    <w:rsid w:val="00D71E97"/>
    <w:rsid w:val="00D72016"/>
    <w:rsid w:val="00D720FC"/>
    <w:rsid w:val="00D72386"/>
    <w:rsid w:val="00D7253C"/>
    <w:rsid w:val="00D72554"/>
    <w:rsid w:val="00D725DA"/>
    <w:rsid w:val="00D72661"/>
    <w:rsid w:val="00D727D9"/>
    <w:rsid w:val="00D72A2A"/>
    <w:rsid w:val="00D72A8B"/>
    <w:rsid w:val="00D72E08"/>
    <w:rsid w:val="00D72FB2"/>
    <w:rsid w:val="00D73217"/>
    <w:rsid w:val="00D7321C"/>
    <w:rsid w:val="00D73275"/>
    <w:rsid w:val="00D733BD"/>
    <w:rsid w:val="00D7355A"/>
    <w:rsid w:val="00D7393D"/>
    <w:rsid w:val="00D7393F"/>
    <w:rsid w:val="00D73A83"/>
    <w:rsid w:val="00D73B84"/>
    <w:rsid w:val="00D73D1A"/>
    <w:rsid w:val="00D73DAB"/>
    <w:rsid w:val="00D73E08"/>
    <w:rsid w:val="00D73E20"/>
    <w:rsid w:val="00D73F5D"/>
    <w:rsid w:val="00D7407D"/>
    <w:rsid w:val="00D74178"/>
    <w:rsid w:val="00D7435D"/>
    <w:rsid w:val="00D7469A"/>
    <w:rsid w:val="00D7477B"/>
    <w:rsid w:val="00D747C2"/>
    <w:rsid w:val="00D7488E"/>
    <w:rsid w:val="00D74A7F"/>
    <w:rsid w:val="00D74A80"/>
    <w:rsid w:val="00D74CF8"/>
    <w:rsid w:val="00D75295"/>
    <w:rsid w:val="00D753E7"/>
    <w:rsid w:val="00D75488"/>
    <w:rsid w:val="00D7561C"/>
    <w:rsid w:val="00D756E2"/>
    <w:rsid w:val="00D75713"/>
    <w:rsid w:val="00D75869"/>
    <w:rsid w:val="00D759C0"/>
    <w:rsid w:val="00D75A60"/>
    <w:rsid w:val="00D75EA7"/>
    <w:rsid w:val="00D75EB1"/>
    <w:rsid w:val="00D762C2"/>
    <w:rsid w:val="00D76300"/>
    <w:rsid w:val="00D766BC"/>
    <w:rsid w:val="00D76715"/>
    <w:rsid w:val="00D76802"/>
    <w:rsid w:val="00D76A45"/>
    <w:rsid w:val="00D76B8D"/>
    <w:rsid w:val="00D76ECC"/>
    <w:rsid w:val="00D77043"/>
    <w:rsid w:val="00D77082"/>
    <w:rsid w:val="00D7716A"/>
    <w:rsid w:val="00D772E7"/>
    <w:rsid w:val="00D7738B"/>
    <w:rsid w:val="00D773C4"/>
    <w:rsid w:val="00D775E6"/>
    <w:rsid w:val="00D778F1"/>
    <w:rsid w:val="00D779F0"/>
    <w:rsid w:val="00D77B87"/>
    <w:rsid w:val="00D77B90"/>
    <w:rsid w:val="00D77BB9"/>
    <w:rsid w:val="00D77D55"/>
    <w:rsid w:val="00D77F9A"/>
    <w:rsid w:val="00D8005B"/>
    <w:rsid w:val="00D801E7"/>
    <w:rsid w:val="00D802F2"/>
    <w:rsid w:val="00D804B5"/>
    <w:rsid w:val="00D806C7"/>
    <w:rsid w:val="00D806CD"/>
    <w:rsid w:val="00D806CF"/>
    <w:rsid w:val="00D80887"/>
    <w:rsid w:val="00D808A4"/>
    <w:rsid w:val="00D80C6C"/>
    <w:rsid w:val="00D80EF2"/>
    <w:rsid w:val="00D814B4"/>
    <w:rsid w:val="00D814D8"/>
    <w:rsid w:val="00D81620"/>
    <w:rsid w:val="00D8163A"/>
    <w:rsid w:val="00D81A63"/>
    <w:rsid w:val="00D81ADF"/>
    <w:rsid w:val="00D81F21"/>
    <w:rsid w:val="00D81F5B"/>
    <w:rsid w:val="00D82121"/>
    <w:rsid w:val="00D82158"/>
    <w:rsid w:val="00D8256E"/>
    <w:rsid w:val="00D8265B"/>
    <w:rsid w:val="00D827DC"/>
    <w:rsid w:val="00D828AD"/>
    <w:rsid w:val="00D829E6"/>
    <w:rsid w:val="00D82A98"/>
    <w:rsid w:val="00D82BF3"/>
    <w:rsid w:val="00D82CB0"/>
    <w:rsid w:val="00D82CBE"/>
    <w:rsid w:val="00D82D90"/>
    <w:rsid w:val="00D82EF0"/>
    <w:rsid w:val="00D82EF1"/>
    <w:rsid w:val="00D82F7B"/>
    <w:rsid w:val="00D83744"/>
    <w:rsid w:val="00D83860"/>
    <w:rsid w:val="00D83948"/>
    <w:rsid w:val="00D839D9"/>
    <w:rsid w:val="00D83B2C"/>
    <w:rsid w:val="00D83C45"/>
    <w:rsid w:val="00D83C7A"/>
    <w:rsid w:val="00D83C7C"/>
    <w:rsid w:val="00D83DB1"/>
    <w:rsid w:val="00D84076"/>
    <w:rsid w:val="00D84438"/>
    <w:rsid w:val="00D84495"/>
    <w:rsid w:val="00D844AA"/>
    <w:rsid w:val="00D844BA"/>
    <w:rsid w:val="00D84666"/>
    <w:rsid w:val="00D8471F"/>
    <w:rsid w:val="00D8474B"/>
    <w:rsid w:val="00D8493D"/>
    <w:rsid w:val="00D84B09"/>
    <w:rsid w:val="00D84BF6"/>
    <w:rsid w:val="00D84C44"/>
    <w:rsid w:val="00D84FC2"/>
    <w:rsid w:val="00D8512B"/>
    <w:rsid w:val="00D85272"/>
    <w:rsid w:val="00D853E9"/>
    <w:rsid w:val="00D85421"/>
    <w:rsid w:val="00D85A45"/>
    <w:rsid w:val="00D85AE4"/>
    <w:rsid w:val="00D85CBE"/>
    <w:rsid w:val="00D85EBF"/>
    <w:rsid w:val="00D85EDB"/>
    <w:rsid w:val="00D85F10"/>
    <w:rsid w:val="00D85F98"/>
    <w:rsid w:val="00D86179"/>
    <w:rsid w:val="00D8631C"/>
    <w:rsid w:val="00D863C3"/>
    <w:rsid w:val="00D864F2"/>
    <w:rsid w:val="00D86D73"/>
    <w:rsid w:val="00D87030"/>
    <w:rsid w:val="00D8715F"/>
    <w:rsid w:val="00D8720A"/>
    <w:rsid w:val="00D87238"/>
    <w:rsid w:val="00D8730B"/>
    <w:rsid w:val="00D87391"/>
    <w:rsid w:val="00D87452"/>
    <w:rsid w:val="00D874D5"/>
    <w:rsid w:val="00D87821"/>
    <w:rsid w:val="00D878C4"/>
    <w:rsid w:val="00D87B0A"/>
    <w:rsid w:val="00D87EF7"/>
    <w:rsid w:val="00D900B6"/>
    <w:rsid w:val="00D9027E"/>
    <w:rsid w:val="00D9054E"/>
    <w:rsid w:val="00D907CC"/>
    <w:rsid w:val="00D90890"/>
    <w:rsid w:val="00D90971"/>
    <w:rsid w:val="00D909A1"/>
    <w:rsid w:val="00D90AC4"/>
    <w:rsid w:val="00D90C2C"/>
    <w:rsid w:val="00D90E8C"/>
    <w:rsid w:val="00D910DF"/>
    <w:rsid w:val="00D9138A"/>
    <w:rsid w:val="00D913A1"/>
    <w:rsid w:val="00D91402"/>
    <w:rsid w:val="00D91692"/>
    <w:rsid w:val="00D917F2"/>
    <w:rsid w:val="00D9197B"/>
    <w:rsid w:val="00D91D72"/>
    <w:rsid w:val="00D91DD6"/>
    <w:rsid w:val="00D9204D"/>
    <w:rsid w:val="00D921AB"/>
    <w:rsid w:val="00D921C9"/>
    <w:rsid w:val="00D92853"/>
    <w:rsid w:val="00D92936"/>
    <w:rsid w:val="00D92989"/>
    <w:rsid w:val="00D92A62"/>
    <w:rsid w:val="00D92B3B"/>
    <w:rsid w:val="00D92DFB"/>
    <w:rsid w:val="00D92EAE"/>
    <w:rsid w:val="00D9315A"/>
    <w:rsid w:val="00D931E6"/>
    <w:rsid w:val="00D932D5"/>
    <w:rsid w:val="00D9355D"/>
    <w:rsid w:val="00D93938"/>
    <w:rsid w:val="00D93E65"/>
    <w:rsid w:val="00D93F4F"/>
    <w:rsid w:val="00D93FC5"/>
    <w:rsid w:val="00D9410E"/>
    <w:rsid w:val="00D94160"/>
    <w:rsid w:val="00D943F8"/>
    <w:rsid w:val="00D943FA"/>
    <w:rsid w:val="00D944F2"/>
    <w:rsid w:val="00D94C5F"/>
    <w:rsid w:val="00D94D10"/>
    <w:rsid w:val="00D94E9D"/>
    <w:rsid w:val="00D94ECD"/>
    <w:rsid w:val="00D94F3C"/>
    <w:rsid w:val="00D9527A"/>
    <w:rsid w:val="00D952B4"/>
    <w:rsid w:val="00D95354"/>
    <w:rsid w:val="00D9538A"/>
    <w:rsid w:val="00D953AD"/>
    <w:rsid w:val="00D9545F"/>
    <w:rsid w:val="00D95470"/>
    <w:rsid w:val="00D957A3"/>
    <w:rsid w:val="00D95A02"/>
    <w:rsid w:val="00D95E38"/>
    <w:rsid w:val="00D95E65"/>
    <w:rsid w:val="00D96439"/>
    <w:rsid w:val="00D96659"/>
    <w:rsid w:val="00D96789"/>
    <w:rsid w:val="00D96A95"/>
    <w:rsid w:val="00D96B55"/>
    <w:rsid w:val="00D96D81"/>
    <w:rsid w:val="00D96F1F"/>
    <w:rsid w:val="00D96F3D"/>
    <w:rsid w:val="00D9711F"/>
    <w:rsid w:val="00D972DE"/>
    <w:rsid w:val="00D973C4"/>
    <w:rsid w:val="00D97537"/>
    <w:rsid w:val="00D97547"/>
    <w:rsid w:val="00D9794F"/>
    <w:rsid w:val="00D97B04"/>
    <w:rsid w:val="00D97C58"/>
    <w:rsid w:val="00D97D64"/>
    <w:rsid w:val="00D97DF1"/>
    <w:rsid w:val="00D97F80"/>
    <w:rsid w:val="00D97FEC"/>
    <w:rsid w:val="00DA0172"/>
    <w:rsid w:val="00DA020E"/>
    <w:rsid w:val="00DA0301"/>
    <w:rsid w:val="00DA034F"/>
    <w:rsid w:val="00DA04F4"/>
    <w:rsid w:val="00DA0592"/>
    <w:rsid w:val="00DA0946"/>
    <w:rsid w:val="00DA09E0"/>
    <w:rsid w:val="00DA0B49"/>
    <w:rsid w:val="00DA0B89"/>
    <w:rsid w:val="00DA0D30"/>
    <w:rsid w:val="00DA0D61"/>
    <w:rsid w:val="00DA0D73"/>
    <w:rsid w:val="00DA0EC3"/>
    <w:rsid w:val="00DA0F13"/>
    <w:rsid w:val="00DA0F15"/>
    <w:rsid w:val="00DA0F3D"/>
    <w:rsid w:val="00DA0F84"/>
    <w:rsid w:val="00DA10CA"/>
    <w:rsid w:val="00DA124E"/>
    <w:rsid w:val="00DA1437"/>
    <w:rsid w:val="00DA145B"/>
    <w:rsid w:val="00DA1483"/>
    <w:rsid w:val="00DA1680"/>
    <w:rsid w:val="00DA168B"/>
    <w:rsid w:val="00DA175E"/>
    <w:rsid w:val="00DA186A"/>
    <w:rsid w:val="00DA1966"/>
    <w:rsid w:val="00DA19EF"/>
    <w:rsid w:val="00DA1BD7"/>
    <w:rsid w:val="00DA1D48"/>
    <w:rsid w:val="00DA1F01"/>
    <w:rsid w:val="00DA21C4"/>
    <w:rsid w:val="00DA2222"/>
    <w:rsid w:val="00DA2329"/>
    <w:rsid w:val="00DA2619"/>
    <w:rsid w:val="00DA26B4"/>
    <w:rsid w:val="00DA26E1"/>
    <w:rsid w:val="00DA274E"/>
    <w:rsid w:val="00DA2834"/>
    <w:rsid w:val="00DA2853"/>
    <w:rsid w:val="00DA29E3"/>
    <w:rsid w:val="00DA2AFC"/>
    <w:rsid w:val="00DA2C57"/>
    <w:rsid w:val="00DA2E24"/>
    <w:rsid w:val="00DA2EFF"/>
    <w:rsid w:val="00DA3120"/>
    <w:rsid w:val="00DA31C7"/>
    <w:rsid w:val="00DA31FE"/>
    <w:rsid w:val="00DA32E2"/>
    <w:rsid w:val="00DA333E"/>
    <w:rsid w:val="00DA35B5"/>
    <w:rsid w:val="00DA3856"/>
    <w:rsid w:val="00DA39D8"/>
    <w:rsid w:val="00DA3E1B"/>
    <w:rsid w:val="00DA3E3C"/>
    <w:rsid w:val="00DA3FE5"/>
    <w:rsid w:val="00DA41AA"/>
    <w:rsid w:val="00DA4239"/>
    <w:rsid w:val="00DA42B8"/>
    <w:rsid w:val="00DA452A"/>
    <w:rsid w:val="00DA45CC"/>
    <w:rsid w:val="00DA46A4"/>
    <w:rsid w:val="00DA47FF"/>
    <w:rsid w:val="00DA49B0"/>
    <w:rsid w:val="00DA4BE6"/>
    <w:rsid w:val="00DA4C9E"/>
    <w:rsid w:val="00DA4CC9"/>
    <w:rsid w:val="00DA4DCC"/>
    <w:rsid w:val="00DA4E39"/>
    <w:rsid w:val="00DA4FFA"/>
    <w:rsid w:val="00DA50E4"/>
    <w:rsid w:val="00DA53A9"/>
    <w:rsid w:val="00DA5418"/>
    <w:rsid w:val="00DA544E"/>
    <w:rsid w:val="00DA5503"/>
    <w:rsid w:val="00DA584E"/>
    <w:rsid w:val="00DA588C"/>
    <w:rsid w:val="00DA58F4"/>
    <w:rsid w:val="00DA59A9"/>
    <w:rsid w:val="00DA5A5A"/>
    <w:rsid w:val="00DA5CBB"/>
    <w:rsid w:val="00DA5D0B"/>
    <w:rsid w:val="00DA5D9B"/>
    <w:rsid w:val="00DA5DAE"/>
    <w:rsid w:val="00DA5F88"/>
    <w:rsid w:val="00DA6008"/>
    <w:rsid w:val="00DA6174"/>
    <w:rsid w:val="00DA622E"/>
    <w:rsid w:val="00DA6231"/>
    <w:rsid w:val="00DA6355"/>
    <w:rsid w:val="00DA65DE"/>
    <w:rsid w:val="00DA6A17"/>
    <w:rsid w:val="00DA6A48"/>
    <w:rsid w:val="00DA6C47"/>
    <w:rsid w:val="00DA6F6C"/>
    <w:rsid w:val="00DA7179"/>
    <w:rsid w:val="00DA7231"/>
    <w:rsid w:val="00DA73C4"/>
    <w:rsid w:val="00DA745B"/>
    <w:rsid w:val="00DA7541"/>
    <w:rsid w:val="00DA77C9"/>
    <w:rsid w:val="00DA7918"/>
    <w:rsid w:val="00DA7953"/>
    <w:rsid w:val="00DA7AB2"/>
    <w:rsid w:val="00DA7BA4"/>
    <w:rsid w:val="00DA7BDD"/>
    <w:rsid w:val="00DA7CBE"/>
    <w:rsid w:val="00DA7F5C"/>
    <w:rsid w:val="00DB01EE"/>
    <w:rsid w:val="00DB032A"/>
    <w:rsid w:val="00DB04DD"/>
    <w:rsid w:val="00DB05AB"/>
    <w:rsid w:val="00DB06AF"/>
    <w:rsid w:val="00DB06BC"/>
    <w:rsid w:val="00DB06C6"/>
    <w:rsid w:val="00DB0957"/>
    <w:rsid w:val="00DB095E"/>
    <w:rsid w:val="00DB09A3"/>
    <w:rsid w:val="00DB0B61"/>
    <w:rsid w:val="00DB0C19"/>
    <w:rsid w:val="00DB0E33"/>
    <w:rsid w:val="00DB0F60"/>
    <w:rsid w:val="00DB1474"/>
    <w:rsid w:val="00DB1560"/>
    <w:rsid w:val="00DB17B7"/>
    <w:rsid w:val="00DB18B7"/>
    <w:rsid w:val="00DB194F"/>
    <w:rsid w:val="00DB1B96"/>
    <w:rsid w:val="00DB1D94"/>
    <w:rsid w:val="00DB1EBA"/>
    <w:rsid w:val="00DB1FE3"/>
    <w:rsid w:val="00DB200E"/>
    <w:rsid w:val="00DB216E"/>
    <w:rsid w:val="00DB22F5"/>
    <w:rsid w:val="00DB2428"/>
    <w:rsid w:val="00DB26D8"/>
    <w:rsid w:val="00DB2710"/>
    <w:rsid w:val="00DB290F"/>
    <w:rsid w:val="00DB2962"/>
    <w:rsid w:val="00DB2A5A"/>
    <w:rsid w:val="00DB2B11"/>
    <w:rsid w:val="00DB2B6A"/>
    <w:rsid w:val="00DB2CD7"/>
    <w:rsid w:val="00DB314E"/>
    <w:rsid w:val="00DB319D"/>
    <w:rsid w:val="00DB36A0"/>
    <w:rsid w:val="00DB389F"/>
    <w:rsid w:val="00DB39FC"/>
    <w:rsid w:val="00DB3A61"/>
    <w:rsid w:val="00DB3C53"/>
    <w:rsid w:val="00DB3EB6"/>
    <w:rsid w:val="00DB3EC6"/>
    <w:rsid w:val="00DB3F98"/>
    <w:rsid w:val="00DB3FD3"/>
    <w:rsid w:val="00DB41BC"/>
    <w:rsid w:val="00DB42AC"/>
    <w:rsid w:val="00DB431E"/>
    <w:rsid w:val="00DB432F"/>
    <w:rsid w:val="00DB4461"/>
    <w:rsid w:val="00DB45CB"/>
    <w:rsid w:val="00DB4635"/>
    <w:rsid w:val="00DB4691"/>
    <w:rsid w:val="00DB46BD"/>
    <w:rsid w:val="00DB46CD"/>
    <w:rsid w:val="00DB46F5"/>
    <w:rsid w:val="00DB49DD"/>
    <w:rsid w:val="00DB4A80"/>
    <w:rsid w:val="00DB4B29"/>
    <w:rsid w:val="00DB4B43"/>
    <w:rsid w:val="00DB4B6A"/>
    <w:rsid w:val="00DB4C87"/>
    <w:rsid w:val="00DB4CFF"/>
    <w:rsid w:val="00DB500C"/>
    <w:rsid w:val="00DB5055"/>
    <w:rsid w:val="00DB52FB"/>
    <w:rsid w:val="00DB5485"/>
    <w:rsid w:val="00DB55D7"/>
    <w:rsid w:val="00DB5696"/>
    <w:rsid w:val="00DB57C5"/>
    <w:rsid w:val="00DB57DF"/>
    <w:rsid w:val="00DB593C"/>
    <w:rsid w:val="00DB59F4"/>
    <w:rsid w:val="00DB5DC4"/>
    <w:rsid w:val="00DB5FFD"/>
    <w:rsid w:val="00DB628C"/>
    <w:rsid w:val="00DB6574"/>
    <w:rsid w:val="00DB6582"/>
    <w:rsid w:val="00DB699E"/>
    <w:rsid w:val="00DB6AAC"/>
    <w:rsid w:val="00DB6AD2"/>
    <w:rsid w:val="00DB6E44"/>
    <w:rsid w:val="00DB6E47"/>
    <w:rsid w:val="00DB6F3B"/>
    <w:rsid w:val="00DB6F3F"/>
    <w:rsid w:val="00DB6F88"/>
    <w:rsid w:val="00DB7017"/>
    <w:rsid w:val="00DB736C"/>
    <w:rsid w:val="00DB74AE"/>
    <w:rsid w:val="00DB7576"/>
    <w:rsid w:val="00DB75BF"/>
    <w:rsid w:val="00DB7708"/>
    <w:rsid w:val="00DB7795"/>
    <w:rsid w:val="00DB7827"/>
    <w:rsid w:val="00DB790F"/>
    <w:rsid w:val="00DB79C8"/>
    <w:rsid w:val="00DB79F4"/>
    <w:rsid w:val="00DB7C56"/>
    <w:rsid w:val="00DB7D58"/>
    <w:rsid w:val="00DB7DBF"/>
    <w:rsid w:val="00DB7E1C"/>
    <w:rsid w:val="00DB7E1E"/>
    <w:rsid w:val="00DC005A"/>
    <w:rsid w:val="00DC013B"/>
    <w:rsid w:val="00DC0610"/>
    <w:rsid w:val="00DC06C8"/>
    <w:rsid w:val="00DC06EC"/>
    <w:rsid w:val="00DC090B"/>
    <w:rsid w:val="00DC09B1"/>
    <w:rsid w:val="00DC09C6"/>
    <w:rsid w:val="00DC0B2C"/>
    <w:rsid w:val="00DC0B9C"/>
    <w:rsid w:val="00DC0BA0"/>
    <w:rsid w:val="00DC0D90"/>
    <w:rsid w:val="00DC10A9"/>
    <w:rsid w:val="00DC112C"/>
    <w:rsid w:val="00DC1235"/>
    <w:rsid w:val="00DC133D"/>
    <w:rsid w:val="00DC1380"/>
    <w:rsid w:val="00DC149C"/>
    <w:rsid w:val="00DC14B9"/>
    <w:rsid w:val="00DC1679"/>
    <w:rsid w:val="00DC16CD"/>
    <w:rsid w:val="00DC174A"/>
    <w:rsid w:val="00DC1C03"/>
    <w:rsid w:val="00DC1CFE"/>
    <w:rsid w:val="00DC1DFD"/>
    <w:rsid w:val="00DC2061"/>
    <w:rsid w:val="00DC2066"/>
    <w:rsid w:val="00DC2197"/>
    <w:rsid w:val="00DC219B"/>
    <w:rsid w:val="00DC2244"/>
    <w:rsid w:val="00DC22D6"/>
    <w:rsid w:val="00DC2513"/>
    <w:rsid w:val="00DC2556"/>
    <w:rsid w:val="00DC2572"/>
    <w:rsid w:val="00DC27B2"/>
    <w:rsid w:val="00DC27F4"/>
    <w:rsid w:val="00DC2A74"/>
    <w:rsid w:val="00DC2CF1"/>
    <w:rsid w:val="00DC2DC7"/>
    <w:rsid w:val="00DC2DD3"/>
    <w:rsid w:val="00DC2E08"/>
    <w:rsid w:val="00DC2E3C"/>
    <w:rsid w:val="00DC2EA0"/>
    <w:rsid w:val="00DC2FBB"/>
    <w:rsid w:val="00DC301E"/>
    <w:rsid w:val="00DC3071"/>
    <w:rsid w:val="00DC3081"/>
    <w:rsid w:val="00DC339D"/>
    <w:rsid w:val="00DC343E"/>
    <w:rsid w:val="00DC36D0"/>
    <w:rsid w:val="00DC36D1"/>
    <w:rsid w:val="00DC36D8"/>
    <w:rsid w:val="00DC37B8"/>
    <w:rsid w:val="00DC380B"/>
    <w:rsid w:val="00DC3882"/>
    <w:rsid w:val="00DC38E1"/>
    <w:rsid w:val="00DC393C"/>
    <w:rsid w:val="00DC3A7C"/>
    <w:rsid w:val="00DC3E5B"/>
    <w:rsid w:val="00DC3E69"/>
    <w:rsid w:val="00DC3ED3"/>
    <w:rsid w:val="00DC3F6D"/>
    <w:rsid w:val="00DC3F82"/>
    <w:rsid w:val="00DC4497"/>
    <w:rsid w:val="00DC4578"/>
    <w:rsid w:val="00DC4628"/>
    <w:rsid w:val="00DC4637"/>
    <w:rsid w:val="00DC466C"/>
    <w:rsid w:val="00DC46F0"/>
    <w:rsid w:val="00DC4743"/>
    <w:rsid w:val="00DC4854"/>
    <w:rsid w:val="00DC4A8C"/>
    <w:rsid w:val="00DC4AC2"/>
    <w:rsid w:val="00DC4AD9"/>
    <w:rsid w:val="00DC4FCA"/>
    <w:rsid w:val="00DC4FCF"/>
    <w:rsid w:val="00DC4FD0"/>
    <w:rsid w:val="00DC5005"/>
    <w:rsid w:val="00DC505D"/>
    <w:rsid w:val="00DC50E0"/>
    <w:rsid w:val="00DC5195"/>
    <w:rsid w:val="00DC52ED"/>
    <w:rsid w:val="00DC5302"/>
    <w:rsid w:val="00DC53B3"/>
    <w:rsid w:val="00DC5464"/>
    <w:rsid w:val="00DC5541"/>
    <w:rsid w:val="00DC555B"/>
    <w:rsid w:val="00DC58AC"/>
    <w:rsid w:val="00DC5A4A"/>
    <w:rsid w:val="00DC5BD5"/>
    <w:rsid w:val="00DC5C63"/>
    <w:rsid w:val="00DC5D91"/>
    <w:rsid w:val="00DC5DF9"/>
    <w:rsid w:val="00DC5E19"/>
    <w:rsid w:val="00DC5EA3"/>
    <w:rsid w:val="00DC5FC2"/>
    <w:rsid w:val="00DC6007"/>
    <w:rsid w:val="00DC60BD"/>
    <w:rsid w:val="00DC62C8"/>
    <w:rsid w:val="00DC62FF"/>
    <w:rsid w:val="00DC6386"/>
    <w:rsid w:val="00DC6395"/>
    <w:rsid w:val="00DC6673"/>
    <w:rsid w:val="00DC6823"/>
    <w:rsid w:val="00DC6A0E"/>
    <w:rsid w:val="00DC6C17"/>
    <w:rsid w:val="00DC6C1A"/>
    <w:rsid w:val="00DC6CEB"/>
    <w:rsid w:val="00DC6DEB"/>
    <w:rsid w:val="00DC6E24"/>
    <w:rsid w:val="00DC6FDF"/>
    <w:rsid w:val="00DC7757"/>
    <w:rsid w:val="00DC7924"/>
    <w:rsid w:val="00DC7B4D"/>
    <w:rsid w:val="00DC7C45"/>
    <w:rsid w:val="00DC7C88"/>
    <w:rsid w:val="00DC7F60"/>
    <w:rsid w:val="00DD000E"/>
    <w:rsid w:val="00DD011F"/>
    <w:rsid w:val="00DD0244"/>
    <w:rsid w:val="00DD024F"/>
    <w:rsid w:val="00DD0636"/>
    <w:rsid w:val="00DD0A37"/>
    <w:rsid w:val="00DD0BDC"/>
    <w:rsid w:val="00DD0C8A"/>
    <w:rsid w:val="00DD0D0E"/>
    <w:rsid w:val="00DD1037"/>
    <w:rsid w:val="00DD112F"/>
    <w:rsid w:val="00DD1130"/>
    <w:rsid w:val="00DD11AA"/>
    <w:rsid w:val="00DD1518"/>
    <w:rsid w:val="00DD1579"/>
    <w:rsid w:val="00DD1665"/>
    <w:rsid w:val="00DD1850"/>
    <w:rsid w:val="00DD190F"/>
    <w:rsid w:val="00DD1951"/>
    <w:rsid w:val="00DD1997"/>
    <w:rsid w:val="00DD1A05"/>
    <w:rsid w:val="00DD1A10"/>
    <w:rsid w:val="00DD1A84"/>
    <w:rsid w:val="00DD1AA0"/>
    <w:rsid w:val="00DD1AA5"/>
    <w:rsid w:val="00DD1C18"/>
    <w:rsid w:val="00DD1E8A"/>
    <w:rsid w:val="00DD1F81"/>
    <w:rsid w:val="00DD1F94"/>
    <w:rsid w:val="00DD1FC0"/>
    <w:rsid w:val="00DD200B"/>
    <w:rsid w:val="00DD20E3"/>
    <w:rsid w:val="00DD2140"/>
    <w:rsid w:val="00DD2322"/>
    <w:rsid w:val="00DD24AC"/>
    <w:rsid w:val="00DD24B1"/>
    <w:rsid w:val="00DD2597"/>
    <w:rsid w:val="00DD25F7"/>
    <w:rsid w:val="00DD26DE"/>
    <w:rsid w:val="00DD2B77"/>
    <w:rsid w:val="00DD2BBF"/>
    <w:rsid w:val="00DD2BCD"/>
    <w:rsid w:val="00DD2E65"/>
    <w:rsid w:val="00DD2EDB"/>
    <w:rsid w:val="00DD3205"/>
    <w:rsid w:val="00DD3221"/>
    <w:rsid w:val="00DD3320"/>
    <w:rsid w:val="00DD333A"/>
    <w:rsid w:val="00DD3375"/>
    <w:rsid w:val="00DD33AC"/>
    <w:rsid w:val="00DD35B9"/>
    <w:rsid w:val="00DD36FC"/>
    <w:rsid w:val="00DD3809"/>
    <w:rsid w:val="00DD39B6"/>
    <w:rsid w:val="00DD3A63"/>
    <w:rsid w:val="00DD3C1D"/>
    <w:rsid w:val="00DD3EDD"/>
    <w:rsid w:val="00DD3F76"/>
    <w:rsid w:val="00DD40C7"/>
    <w:rsid w:val="00DD420A"/>
    <w:rsid w:val="00DD487D"/>
    <w:rsid w:val="00DD4B53"/>
    <w:rsid w:val="00DD4BA3"/>
    <w:rsid w:val="00DD4D92"/>
    <w:rsid w:val="00DD4E83"/>
    <w:rsid w:val="00DD4ED2"/>
    <w:rsid w:val="00DD51E2"/>
    <w:rsid w:val="00DD51EF"/>
    <w:rsid w:val="00DD543D"/>
    <w:rsid w:val="00DD5488"/>
    <w:rsid w:val="00DD5558"/>
    <w:rsid w:val="00DD55C4"/>
    <w:rsid w:val="00DD5785"/>
    <w:rsid w:val="00DD579C"/>
    <w:rsid w:val="00DD594D"/>
    <w:rsid w:val="00DD5A2C"/>
    <w:rsid w:val="00DD5A5F"/>
    <w:rsid w:val="00DD5B1A"/>
    <w:rsid w:val="00DD5B3C"/>
    <w:rsid w:val="00DD5BFE"/>
    <w:rsid w:val="00DD5D1A"/>
    <w:rsid w:val="00DD5D62"/>
    <w:rsid w:val="00DD5F55"/>
    <w:rsid w:val="00DD6222"/>
    <w:rsid w:val="00DD6628"/>
    <w:rsid w:val="00DD673F"/>
    <w:rsid w:val="00DD67F7"/>
    <w:rsid w:val="00DD6945"/>
    <w:rsid w:val="00DD69C9"/>
    <w:rsid w:val="00DD6A00"/>
    <w:rsid w:val="00DD6FF5"/>
    <w:rsid w:val="00DD70B1"/>
    <w:rsid w:val="00DD7497"/>
    <w:rsid w:val="00DD7545"/>
    <w:rsid w:val="00DD7682"/>
    <w:rsid w:val="00DD7711"/>
    <w:rsid w:val="00DD786B"/>
    <w:rsid w:val="00DD7950"/>
    <w:rsid w:val="00DD7AC6"/>
    <w:rsid w:val="00DD7BB3"/>
    <w:rsid w:val="00DD7C06"/>
    <w:rsid w:val="00DD7D61"/>
    <w:rsid w:val="00DE047D"/>
    <w:rsid w:val="00DE04E2"/>
    <w:rsid w:val="00DE08CA"/>
    <w:rsid w:val="00DE090D"/>
    <w:rsid w:val="00DE0A17"/>
    <w:rsid w:val="00DE0ABE"/>
    <w:rsid w:val="00DE0B0A"/>
    <w:rsid w:val="00DE0D80"/>
    <w:rsid w:val="00DE0E86"/>
    <w:rsid w:val="00DE0EC0"/>
    <w:rsid w:val="00DE0FEA"/>
    <w:rsid w:val="00DE1037"/>
    <w:rsid w:val="00DE108B"/>
    <w:rsid w:val="00DE1165"/>
    <w:rsid w:val="00DE11B4"/>
    <w:rsid w:val="00DE11CC"/>
    <w:rsid w:val="00DE12AE"/>
    <w:rsid w:val="00DE13F6"/>
    <w:rsid w:val="00DE1432"/>
    <w:rsid w:val="00DE158E"/>
    <w:rsid w:val="00DE1A2A"/>
    <w:rsid w:val="00DE1A2C"/>
    <w:rsid w:val="00DE1AF6"/>
    <w:rsid w:val="00DE1B73"/>
    <w:rsid w:val="00DE1E99"/>
    <w:rsid w:val="00DE21ED"/>
    <w:rsid w:val="00DE2216"/>
    <w:rsid w:val="00DE2577"/>
    <w:rsid w:val="00DE25A7"/>
    <w:rsid w:val="00DE26D4"/>
    <w:rsid w:val="00DE26D7"/>
    <w:rsid w:val="00DE26E3"/>
    <w:rsid w:val="00DE280B"/>
    <w:rsid w:val="00DE2B55"/>
    <w:rsid w:val="00DE2BC4"/>
    <w:rsid w:val="00DE2C1B"/>
    <w:rsid w:val="00DE2CA8"/>
    <w:rsid w:val="00DE2D04"/>
    <w:rsid w:val="00DE2D25"/>
    <w:rsid w:val="00DE2D7D"/>
    <w:rsid w:val="00DE2DAA"/>
    <w:rsid w:val="00DE3250"/>
    <w:rsid w:val="00DE326C"/>
    <w:rsid w:val="00DE3293"/>
    <w:rsid w:val="00DE32EB"/>
    <w:rsid w:val="00DE3382"/>
    <w:rsid w:val="00DE33A0"/>
    <w:rsid w:val="00DE3423"/>
    <w:rsid w:val="00DE3450"/>
    <w:rsid w:val="00DE3623"/>
    <w:rsid w:val="00DE3634"/>
    <w:rsid w:val="00DE3674"/>
    <w:rsid w:val="00DE39EA"/>
    <w:rsid w:val="00DE3A75"/>
    <w:rsid w:val="00DE3B37"/>
    <w:rsid w:val="00DE3D28"/>
    <w:rsid w:val="00DE3F32"/>
    <w:rsid w:val="00DE4071"/>
    <w:rsid w:val="00DE45FC"/>
    <w:rsid w:val="00DE461C"/>
    <w:rsid w:val="00DE47F5"/>
    <w:rsid w:val="00DE4821"/>
    <w:rsid w:val="00DE495D"/>
    <w:rsid w:val="00DE49E3"/>
    <w:rsid w:val="00DE4C37"/>
    <w:rsid w:val="00DE4CC6"/>
    <w:rsid w:val="00DE4CCB"/>
    <w:rsid w:val="00DE4E51"/>
    <w:rsid w:val="00DE4EE5"/>
    <w:rsid w:val="00DE5334"/>
    <w:rsid w:val="00DE5480"/>
    <w:rsid w:val="00DE56CF"/>
    <w:rsid w:val="00DE572E"/>
    <w:rsid w:val="00DE57D3"/>
    <w:rsid w:val="00DE5C30"/>
    <w:rsid w:val="00DE6028"/>
    <w:rsid w:val="00DE604A"/>
    <w:rsid w:val="00DE60E2"/>
    <w:rsid w:val="00DE612C"/>
    <w:rsid w:val="00DE6147"/>
    <w:rsid w:val="00DE655F"/>
    <w:rsid w:val="00DE65AA"/>
    <w:rsid w:val="00DE6621"/>
    <w:rsid w:val="00DE6641"/>
    <w:rsid w:val="00DE6647"/>
    <w:rsid w:val="00DE68D7"/>
    <w:rsid w:val="00DE6995"/>
    <w:rsid w:val="00DE6A32"/>
    <w:rsid w:val="00DE6C85"/>
    <w:rsid w:val="00DE7022"/>
    <w:rsid w:val="00DE728B"/>
    <w:rsid w:val="00DE72A1"/>
    <w:rsid w:val="00DE7393"/>
    <w:rsid w:val="00DE74D6"/>
    <w:rsid w:val="00DE7570"/>
    <w:rsid w:val="00DE77BD"/>
    <w:rsid w:val="00DE7860"/>
    <w:rsid w:val="00DE78A3"/>
    <w:rsid w:val="00DE79D4"/>
    <w:rsid w:val="00DE7AC6"/>
    <w:rsid w:val="00DE7B31"/>
    <w:rsid w:val="00DE7D9D"/>
    <w:rsid w:val="00DE7FE7"/>
    <w:rsid w:val="00DF005E"/>
    <w:rsid w:val="00DF01A8"/>
    <w:rsid w:val="00DF05D6"/>
    <w:rsid w:val="00DF08B9"/>
    <w:rsid w:val="00DF09AB"/>
    <w:rsid w:val="00DF0A6E"/>
    <w:rsid w:val="00DF0B73"/>
    <w:rsid w:val="00DF0CBE"/>
    <w:rsid w:val="00DF0F40"/>
    <w:rsid w:val="00DF0F69"/>
    <w:rsid w:val="00DF10BD"/>
    <w:rsid w:val="00DF1191"/>
    <w:rsid w:val="00DF11FE"/>
    <w:rsid w:val="00DF1292"/>
    <w:rsid w:val="00DF14F6"/>
    <w:rsid w:val="00DF16EA"/>
    <w:rsid w:val="00DF18C8"/>
    <w:rsid w:val="00DF195C"/>
    <w:rsid w:val="00DF1A71"/>
    <w:rsid w:val="00DF1A83"/>
    <w:rsid w:val="00DF1B4C"/>
    <w:rsid w:val="00DF1C1B"/>
    <w:rsid w:val="00DF1C54"/>
    <w:rsid w:val="00DF21F0"/>
    <w:rsid w:val="00DF2450"/>
    <w:rsid w:val="00DF2638"/>
    <w:rsid w:val="00DF26E0"/>
    <w:rsid w:val="00DF2745"/>
    <w:rsid w:val="00DF2990"/>
    <w:rsid w:val="00DF2A61"/>
    <w:rsid w:val="00DF2AB8"/>
    <w:rsid w:val="00DF2B24"/>
    <w:rsid w:val="00DF2BD0"/>
    <w:rsid w:val="00DF2ED1"/>
    <w:rsid w:val="00DF3179"/>
    <w:rsid w:val="00DF33AB"/>
    <w:rsid w:val="00DF33B6"/>
    <w:rsid w:val="00DF3416"/>
    <w:rsid w:val="00DF34A9"/>
    <w:rsid w:val="00DF355D"/>
    <w:rsid w:val="00DF38CA"/>
    <w:rsid w:val="00DF3A25"/>
    <w:rsid w:val="00DF3A32"/>
    <w:rsid w:val="00DF3A60"/>
    <w:rsid w:val="00DF3A87"/>
    <w:rsid w:val="00DF3B19"/>
    <w:rsid w:val="00DF3C52"/>
    <w:rsid w:val="00DF3E48"/>
    <w:rsid w:val="00DF3FEF"/>
    <w:rsid w:val="00DF4015"/>
    <w:rsid w:val="00DF4328"/>
    <w:rsid w:val="00DF4345"/>
    <w:rsid w:val="00DF49B7"/>
    <w:rsid w:val="00DF49C4"/>
    <w:rsid w:val="00DF4A66"/>
    <w:rsid w:val="00DF4B24"/>
    <w:rsid w:val="00DF4C11"/>
    <w:rsid w:val="00DF4C51"/>
    <w:rsid w:val="00DF4D88"/>
    <w:rsid w:val="00DF50D3"/>
    <w:rsid w:val="00DF50FC"/>
    <w:rsid w:val="00DF5178"/>
    <w:rsid w:val="00DF5306"/>
    <w:rsid w:val="00DF53BC"/>
    <w:rsid w:val="00DF5563"/>
    <w:rsid w:val="00DF5660"/>
    <w:rsid w:val="00DF56D2"/>
    <w:rsid w:val="00DF5713"/>
    <w:rsid w:val="00DF58D6"/>
    <w:rsid w:val="00DF5C7C"/>
    <w:rsid w:val="00DF5D17"/>
    <w:rsid w:val="00DF5EBD"/>
    <w:rsid w:val="00DF5F77"/>
    <w:rsid w:val="00DF606D"/>
    <w:rsid w:val="00DF61B0"/>
    <w:rsid w:val="00DF631B"/>
    <w:rsid w:val="00DF6458"/>
    <w:rsid w:val="00DF64C6"/>
    <w:rsid w:val="00DF669B"/>
    <w:rsid w:val="00DF6824"/>
    <w:rsid w:val="00DF6874"/>
    <w:rsid w:val="00DF68C7"/>
    <w:rsid w:val="00DF6999"/>
    <w:rsid w:val="00DF69E1"/>
    <w:rsid w:val="00DF6ADB"/>
    <w:rsid w:val="00DF6B53"/>
    <w:rsid w:val="00DF6BC0"/>
    <w:rsid w:val="00DF702F"/>
    <w:rsid w:val="00DF7065"/>
    <w:rsid w:val="00DF7146"/>
    <w:rsid w:val="00DF71E6"/>
    <w:rsid w:val="00DF7225"/>
    <w:rsid w:val="00DF731A"/>
    <w:rsid w:val="00DF737E"/>
    <w:rsid w:val="00DF73E5"/>
    <w:rsid w:val="00DF73FE"/>
    <w:rsid w:val="00DF74C5"/>
    <w:rsid w:val="00DF75AC"/>
    <w:rsid w:val="00DF77BE"/>
    <w:rsid w:val="00DF7955"/>
    <w:rsid w:val="00DF7D6A"/>
    <w:rsid w:val="00DF7F1A"/>
    <w:rsid w:val="00E00333"/>
    <w:rsid w:val="00E0036E"/>
    <w:rsid w:val="00E00399"/>
    <w:rsid w:val="00E0039B"/>
    <w:rsid w:val="00E00474"/>
    <w:rsid w:val="00E00484"/>
    <w:rsid w:val="00E00568"/>
    <w:rsid w:val="00E00570"/>
    <w:rsid w:val="00E008B2"/>
    <w:rsid w:val="00E00FD2"/>
    <w:rsid w:val="00E012B5"/>
    <w:rsid w:val="00E013D4"/>
    <w:rsid w:val="00E0143B"/>
    <w:rsid w:val="00E014D7"/>
    <w:rsid w:val="00E01535"/>
    <w:rsid w:val="00E0180C"/>
    <w:rsid w:val="00E01816"/>
    <w:rsid w:val="00E01A4A"/>
    <w:rsid w:val="00E01A56"/>
    <w:rsid w:val="00E01B01"/>
    <w:rsid w:val="00E01E12"/>
    <w:rsid w:val="00E01ECE"/>
    <w:rsid w:val="00E01FBE"/>
    <w:rsid w:val="00E024B3"/>
    <w:rsid w:val="00E025BF"/>
    <w:rsid w:val="00E02606"/>
    <w:rsid w:val="00E026DE"/>
    <w:rsid w:val="00E027A2"/>
    <w:rsid w:val="00E02801"/>
    <w:rsid w:val="00E02EB7"/>
    <w:rsid w:val="00E02FBB"/>
    <w:rsid w:val="00E0338F"/>
    <w:rsid w:val="00E03690"/>
    <w:rsid w:val="00E03851"/>
    <w:rsid w:val="00E038A0"/>
    <w:rsid w:val="00E0393A"/>
    <w:rsid w:val="00E03C45"/>
    <w:rsid w:val="00E03CB5"/>
    <w:rsid w:val="00E03CC4"/>
    <w:rsid w:val="00E03CF0"/>
    <w:rsid w:val="00E04154"/>
    <w:rsid w:val="00E04333"/>
    <w:rsid w:val="00E04385"/>
    <w:rsid w:val="00E0452D"/>
    <w:rsid w:val="00E0455B"/>
    <w:rsid w:val="00E045A0"/>
    <w:rsid w:val="00E04993"/>
    <w:rsid w:val="00E04B8E"/>
    <w:rsid w:val="00E04BE5"/>
    <w:rsid w:val="00E05563"/>
    <w:rsid w:val="00E05595"/>
    <w:rsid w:val="00E05751"/>
    <w:rsid w:val="00E057B0"/>
    <w:rsid w:val="00E058BC"/>
    <w:rsid w:val="00E05A48"/>
    <w:rsid w:val="00E05AFB"/>
    <w:rsid w:val="00E05B70"/>
    <w:rsid w:val="00E05C66"/>
    <w:rsid w:val="00E05C97"/>
    <w:rsid w:val="00E05D8A"/>
    <w:rsid w:val="00E05D93"/>
    <w:rsid w:val="00E05DD9"/>
    <w:rsid w:val="00E05ED6"/>
    <w:rsid w:val="00E0625F"/>
    <w:rsid w:val="00E063B7"/>
    <w:rsid w:val="00E06487"/>
    <w:rsid w:val="00E064B4"/>
    <w:rsid w:val="00E06602"/>
    <w:rsid w:val="00E0663D"/>
    <w:rsid w:val="00E0668F"/>
    <w:rsid w:val="00E06692"/>
    <w:rsid w:val="00E067B1"/>
    <w:rsid w:val="00E06B0E"/>
    <w:rsid w:val="00E06B75"/>
    <w:rsid w:val="00E06D70"/>
    <w:rsid w:val="00E06F82"/>
    <w:rsid w:val="00E07119"/>
    <w:rsid w:val="00E0717F"/>
    <w:rsid w:val="00E071D1"/>
    <w:rsid w:val="00E072A3"/>
    <w:rsid w:val="00E07474"/>
    <w:rsid w:val="00E0760D"/>
    <w:rsid w:val="00E0768F"/>
    <w:rsid w:val="00E07749"/>
    <w:rsid w:val="00E077DB"/>
    <w:rsid w:val="00E078AE"/>
    <w:rsid w:val="00E07905"/>
    <w:rsid w:val="00E07996"/>
    <w:rsid w:val="00E07B12"/>
    <w:rsid w:val="00E07BE0"/>
    <w:rsid w:val="00E07EE1"/>
    <w:rsid w:val="00E100D0"/>
    <w:rsid w:val="00E10171"/>
    <w:rsid w:val="00E105F1"/>
    <w:rsid w:val="00E109F9"/>
    <w:rsid w:val="00E10C1E"/>
    <w:rsid w:val="00E10CD5"/>
    <w:rsid w:val="00E11051"/>
    <w:rsid w:val="00E11332"/>
    <w:rsid w:val="00E11352"/>
    <w:rsid w:val="00E113D1"/>
    <w:rsid w:val="00E1146D"/>
    <w:rsid w:val="00E114FF"/>
    <w:rsid w:val="00E115A3"/>
    <w:rsid w:val="00E11784"/>
    <w:rsid w:val="00E1187F"/>
    <w:rsid w:val="00E1194E"/>
    <w:rsid w:val="00E119CA"/>
    <w:rsid w:val="00E11AEB"/>
    <w:rsid w:val="00E11B0C"/>
    <w:rsid w:val="00E11FAC"/>
    <w:rsid w:val="00E1201C"/>
    <w:rsid w:val="00E1204A"/>
    <w:rsid w:val="00E120C7"/>
    <w:rsid w:val="00E121FC"/>
    <w:rsid w:val="00E124AD"/>
    <w:rsid w:val="00E1254B"/>
    <w:rsid w:val="00E12652"/>
    <w:rsid w:val="00E12663"/>
    <w:rsid w:val="00E12758"/>
    <w:rsid w:val="00E12916"/>
    <w:rsid w:val="00E12A30"/>
    <w:rsid w:val="00E12A7F"/>
    <w:rsid w:val="00E12BFC"/>
    <w:rsid w:val="00E12D4C"/>
    <w:rsid w:val="00E12EE4"/>
    <w:rsid w:val="00E1307F"/>
    <w:rsid w:val="00E13498"/>
    <w:rsid w:val="00E134AA"/>
    <w:rsid w:val="00E1368E"/>
    <w:rsid w:val="00E136B8"/>
    <w:rsid w:val="00E13780"/>
    <w:rsid w:val="00E13988"/>
    <w:rsid w:val="00E13B9E"/>
    <w:rsid w:val="00E140C7"/>
    <w:rsid w:val="00E1412F"/>
    <w:rsid w:val="00E1414B"/>
    <w:rsid w:val="00E142F5"/>
    <w:rsid w:val="00E14480"/>
    <w:rsid w:val="00E144E5"/>
    <w:rsid w:val="00E145C2"/>
    <w:rsid w:val="00E145E3"/>
    <w:rsid w:val="00E14651"/>
    <w:rsid w:val="00E14671"/>
    <w:rsid w:val="00E14748"/>
    <w:rsid w:val="00E14C41"/>
    <w:rsid w:val="00E14C55"/>
    <w:rsid w:val="00E14C6C"/>
    <w:rsid w:val="00E14CBF"/>
    <w:rsid w:val="00E14E4C"/>
    <w:rsid w:val="00E14FD5"/>
    <w:rsid w:val="00E150F8"/>
    <w:rsid w:val="00E15128"/>
    <w:rsid w:val="00E15350"/>
    <w:rsid w:val="00E153A3"/>
    <w:rsid w:val="00E153FD"/>
    <w:rsid w:val="00E15464"/>
    <w:rsid w:val="00E15554"/>
    <w:rsid w:val="00E155A6"/>
    <w:rsid w:val="00E155B1"/>
    <w:rsid w:val="00E155F3"/>
    <w:rsid w:val="00E156E0"/>
    <w:rsid w:val="00E15C0A"/>
    <w:rsid w:val="00E15FCB"/>
    <w:rsid w:val="00E160B5"/>
    <w:rsid w:val="00E16230"/>
    <w:rsid w:val="00E16428"/>
    <w:rsid w:val="00E1645B"/>
    <w:rsid w:val="00E165D9"/>
    <w:rsid w:val="00E16673"/>
    <w:rsid w:val="00E1689A"/>
    <w:rsid w:val="00E168AA"/>
    <w:rsid w:val="00E16B14"/>
    <w:rsid w:val="00E16B7E"/>
    <w:rsid w:val="00E16C3E"/>
    <w:rsid w:val="00E16DAC"/>
    <w:rsid w:val="00E16E07"/>
    <w:rsid w:val="00E16E85"/>
    <w:rsid w:val="00E16F77"/>
    <w:rsid w:val="00E16F93"/>
    <w:rsid w:val="00E17005"/>
    <w:rsid w:val="00E17021"/>
    <w:rsid w:val="00E1705B"/>
    <w:rsid w:val="00E170DC"/>
    <w:rsid w:val="00E17174"/>
    <w:rsid w:val="00E171F2"/>
    <w:rsid w:val="00E172D7"/>
    <w:rsid w:val="00E1745B"/>
    <w:rsid w:val="00E17487"/>
    <w:rsid w:val="00E174E7"/>
    <w:rsid w:val="00E17546"/>
    <w:rsid w:val="00E177F3"/>
    <w:rsid w:val="00E179C3"/>
    <w:rsid w:val="00E179E1"/>
    <w:rsid w:val="00E17AC4"/>
    <w:rsid w:val="00E17D20"/>
    <w:rsid w:val="00E17FE1"/>
    <w:rsid w:val="00E200EE"/>
    <w:rsid w:val="00E203C1"/>
    <w:rsid w:val="00E2045F"/>
    <w:rsid w:val="00E20532"/>
    <w:rsid w:val="00E205FC"/>
    <w:rsid w:val="00E2087B"/>
    <w:rsid w:val="00E2099C"/>
    <w:rsid w:val="00E209BF"/>
    <w:rsid w:val="00E20A47"/>
    <w:rsid w:val="00E20B42"/>
    <w:rsid w:val="00E20B69"/>
    <w:rsid w:val="00E20B7D"/>
    <w:rsid w:val="00E20BA3"/>
    <w:rsid w:val="00E20C4A"/>
    <w:rsid w:val="00E20CC6"/>
    <w:rsid w:val="00E20EC8"/>
    <w:rsid w:val="00E20FC4"/>
    <w:rsid w:val="00E210B5"/>
    <w:rsid w:val="00E210E3"/>
    <w:rsid w:val="00E212B8"/>
    <w:rsid w:val="00E212F9"/>
    <w:rsid w:val="00E21516"/>
    <w:rsid w:val="00E2167B"/>
    <w:rsid w:val="00E216F2"/>
    <w:rsid w:val="00E21739"/>
    <w:rsid w:val="00E219D0"/>
    <w:rsid w:val="00E21AF8"/>
    <w:rsid w:val="00E21BA6"/>
    <w:rsid w:val="00E21D1B"/>
    <w:rsid w:val="00E21DDD"/>
    <w:rsid w:val="00E21FC5"/>
    <w:rsid w:val="00E221BA"/>
    <w:rsid w:val="00E22620"/>
    <w:rsid w:val="00E22752"/>
    <w:rsid w:val="00E227C4"/>
    <w:rsid w:val="00E228C2"/>
    <w:rsid w:val="00E228D6"/>
    <w:rsid w:val="00E23298"/>
    <w:rsid w:val="00E23371"/>
    <w:rsid w:val="00E23C19"/>
    <w:rsid w:val="00E23D16"/>
    <w:rsid w:val="00E23F52"/>
    <w:rsid w:val="00E23F73"/>
    <w:rsid w:val="00E241B6"/>
    <w:rsid w:val="00E24340"/>
    <w:rsid w:val="00E248AC"/>
    <w:rsid w:val="00E24945"/>
    <w:rsid w:val="00E24997"/>
    <w:rsid w:val="00E24A9D"/>
    <w:rsid w:val="00E24CDB"/>
    <w:rsid w:val="00E24E06"/>
    <w:rsid w:val="00E24E90"/>
    <w:rsid w:val="00E24F0B"/>
    <w:rsid w:val="00E251BA"/>
    <w:rsid w:val="00E25329"/>
    <w:rsid w:val="00E2570C"/>
    <w:rsid w:val="00E2577D"/>
    <w:rsid w:val="00E257DA"/>
    <w:rsid w:val="00E2585C"/>
    <w:rsid w:val="00E25951"/>
    <w:rsid w:val="00E25AB6"/>
    <w:rsid w:val="00E25AFA"/>
    <w:rsid w:val="00E25C35"/>
    <w:rsid w:val="00E25D07"/>
    <w:rsid w:val="00E25FF8"/>
    <w:rsid w:val="00E26116"/>
    <w:rsid w:val="00E261B3"/>
    <w:rsid w:val="00E26343"/>
    <w:rsid w:val="00E265A1"/>
    <w:rsid w:val="00E267DC"/>
    <w:rsid w:val="00E26818"/>
    <w:rsid w:val="00E26827"/>
    <w:rsid w:val="00E26AD0"/>
    <w:rsid w:val="00E26B72"/>
    <w:rsid w:val="00E26CBE"/>
    <w:rsid w:val="00E26D0D"/>
    <w:rsid w:val="00E26DDD"/>
    <w:rsid w:val="00E26E7F"/>
    <w:rsid w:val="00E26F33"/>
    <w:rsid w:val="00E26FE0"/>
    <w:rsid w:val="00E27270"/>
    <w:rsid w:val="00E2746E"/>
    <w:rsid w:val="00E2776E"/>
    <w:rsid w:val="00E277E0"/>
    <w:rsid w:val="00E27981"/>
    <w:rsid w:val="00E279D0"/>
    <w:rsid w:val="00E27A77"/>
    <w:rsid w:val="00E27D4A"/>
    <w:rsid w:val="00E27FFC"/>
    <w:rsid w:val="00E30074"/>
    <w:rsid w:val="00E30355"/>
    <w:rsid w:val="00E30476"/>
    <w:rsid w:val="00E304E2"/>
    <w:rsid w:val="00E306AB"/>
    <w:rsid w:val="00E307B2"/>
    <w:rsid w:val="00E30810"/>
    <w:rsid w:val="00E308FF"/>
    <w:rsid w:val="00E30A82"/>
    <w:rsid w:val="00E30B15"/>
    <w:rsid w:val="00E30B6E"/>
    <w:rsid w:val="00E30BD3"/>
    <w:rsid w:val="00E30EF9"/>
    <w:rsid w:val="00E3102D"/>
    <w:rsid w:val="00E3109B"/>
    <w:rsid w:val="00E3112B"/>
    <w:rsid w:val="00E3128B"/>
    <w:rsid w:val="00E3161C"/>
    <w:rsid w:val="00E31791"/>
    <w:rsid w:val="00E317F6"/>
    <w:rsid w:val="00E3185E"/>
    <w:rsid w:val="00E3194C"/>
    <w:rsid w:val="00E31A17"/>
    <w:rsid w:val="00E31D52"/>
    <w:rsid w:val="00E31FE1"/>
    <w:rsid w:val="00E31FF2"/>
    <w:rsid w:val="00E32003"/>
    <w:rsid w:val="00E321FB"/>
    <w:rsid w:val="00E322C9"/>
    <w:rsid w:val="00E32428"/>
    <w:rsid w:val="00E3256A"/>
    <w:rsid w:val="00E3264B"/>
    <w:rsid w:val="00E328FC"/>
    <w:rsid w:val="00E3290E"/>
    <w:rsid w:val="00E3295A"/>
    <w:rsid w:val="00E32C73"/>
    <w:rsid w:val="00E33042"/>
    <w:rsid w:val="00E33090"/>
    <w:rsid w:val="00E33188"/>
    <w:rsid w:val="00E33237"/>
    <w:rsid w:val="00E33322"/>
    <w:rsid w:val="00E334C4"/>
    <w:rsid w:val="00E335F9"/>
    <w:rsid w:val="00E33684"/>
    <w:rsid w:val="00E336BF"/>
    <w:rsid w:val="00E336EA"/>
    <w:rsid w:val="00E337CA"/>
    <w:rsid w:val="00E33999"/>
    <w:rsid w:val="00E33A12"/>
    <w:rsid w:val="00E34018"/>
    <w:rsid w:val="00E344C0"/>
    <w:rsid w:val="00E3458F"/>
    <w:rsid w:val="00E34771"/>
    <w:rsid w:val="00E3482C"/>
    <w:rsid w:val="00E349C2"/>
    <w:rsid w:val="00E34AD6"/>
    <w:rsid w:val="00E34B76"/>
    <w:rsid w:val="00E34C90"/>
    <w:rsid w:val="00E34C9F"/>
    <w:rsid w:val="00E34D25"/>
    <w:rsid w:val="00E34F81"/>
    <w:rsid w:val="00E3526A"/>
    <w:rsid w:val="00E35419"/>
    <w:rsid w:val="00E35552"/>
    <w:rsid w:val="00E35622"/>
    <w:rsid w:val="00E35702"/>
    <w:rsid w:val="00E35749"/>
    <w:rsid w:val="00E35B3F"/>
    <w:rsid w:val="00E35C65"/>
    <w:rsid w:val="00E35D6D"/>
    <w:rsid w:val="00E35DF4"/>
    <w:rsid w:val="00E35F56"/>
    <w:rsid w:val="00E360E2"/>
    <w:rsid w:val="00E3649E"/>
    <w:rsid w:val="00E365B9"/>
    <w:rsid w:val="00E3672A"/>
    <w:rsid w:val="00E36916"/>
    <w:rsid w:val="00E369AF"/>
    <w:rsid w:val="00E36A29"/>
    <w:rsid w:val="00E36A7A"/>
    <w:rsid w:val="00E36C04"/>
    <w:rsid w:val="00E36ECA"/>
    <w:rsid w:val="00E36EED"/>
    <w:rsid w:val="00E37161"/>
    <w:rsid w:val="00E371D0"/>
    <w:rsid w:val="00E372E2"/>
    <w:rsid w:val="00E37385"/>
    <w:rsid w:val="00E373AC"/>
    <w:rsid w:val="00E37647"/>
    <w:rsid w:val="00E3787E"/>
    <w:rsid w:val="00E378A0"/>
    <w:rsid w:val="00E37A9C"/>
    <w:rsid w:val="00E37BF4"/>
    <w:rsid w:val="00E37D59"/>
    <w:rsid w:val="00E37EB8"/>
    <w:rsid w:val="00E37EC2"/>
    <w:rsid w:val="00E40181"/>
    <w:rsid w:val="00E401DB"/>
    <w:rsid w:val="00E401EB"/>
    <w:rsid w:val="00E4032F"/>
    <w:rsid w:val="00E4040D"/>
    <w:rsid w:val="00E4045F"/>
    <w:rsid w:val="00E40520"/>
    <w:rsid w:val="00E406CE"/>
    <w:rsid w:val="00E406ED"/>
    <w:rsid w:val="00E40DAC"/>
    <w:rsid w:val="00E40E56"/>
    <w:rsid w:val="00E41221"/>
    <w:rsid w:val="00E415A1"/>
    <w:rsid w:val="00E41629"/>
    <w:rsid w:val="00E41809"/>
    <w:rsid w:val="00E41942"/>
    <w:rsid w:val="00E41AD4"/>
    <w:rsid w:val="00E41B6C"/>
    <w:rsid w:val="00E41EE4"/>
    <w:rsid w:val="00E41FA7"/>
    <w:rsid w:val="00E421A5"/>
    <w:rsid w:val="00E427DF"/>
    <w:rsid w:val="00E428CB"/>
    <w:rsid w:val="00E42EED"/>
    <w:rsid w:val="00E42F9A"/>
    <w:rsid w:val="00E431CE"/>
    <w:rsid w:val="00E432B5"/>
    <w:rsid w:val="00E432F8"/>
    <w:rsid w:val="00E436B0"/>
    <w:rsid w:val="00E43715"/>
    <w:rsid w:val="00E43836"/>
    <w:rsid w:val="00E43F27"/>
    <w:rsid w:val="00E4435E"/>
    <w:rsid w:val="00E44402"/>
    <w:rsid w:val="00E4469A"/>
    <w:rsid w:val="00E44B05"/>
    <w:rsid w:val="00E44D6F"/>
    <w:rsid w:val="00E44ED9"/>
    <w:rsid w:val="00E44FD6"/>
    <w:rsid w:val="00E44FF3"/>
    <w:rsid w:val="00E4502D"/>
    <w:rsid w:val="00E45219"/>
    <w:rsid w:val="00E45285"/>
    <w:rsid w:val="00E45482"/>
    <w:rsid w:val="00E454C3"/>
    <w:rsid w:val="00E458E7"/>
    <w:rsid w:val="00E459C0"/>
    <w:rsid w:val="00E45B88"/>
    <w:rsid w:val="00E45C21"/>
    <w:rsid w:val="00E45E2D"/>
    <w:rsid w:val="00E461A8"/>
    <w:rsid w:val="00E462A7"/>
    <w:rsid w:val="00E4631D"/>
    <w:rsid w:val="00E46672"/>
    <w:rsid w:val="00E469CC"/>
    <w:rsid w:val="00E46A90"/>
    <w:rsid w:val="00E46C1E"/>
    <w:rsid w:val="00E46CC3"/>
    <w:rsid w:val="00E46D79"/>
    <w:rsid w:val="00E46D85"/>
    <w:rsid w:val="00E4714C"/>
    <w:rsid w:val="00E47293"/>
    <w:rsid w:val="00E47353"/>
    <w:rsid w:val="00E4745B"/>
    <w:rsid w:val="00E474B0"/>
    <w:rsid w:val="00E4750A"/>
    <w:rsid w:val="00E47825"/>
    <w:rsid w:val="00E478EC"/>
    <w:rsid w:val="00E479C3"/>
    <w:rsid w:val="00E47A0F"/>
    <w:rsid w:val="00E47AC3"/>
    <w:rsid w:val="00E47AEB"/>
    <w:rsid w:val="00E47B44"/>
    <w:rsid w:val="00E47BCC"/>
    <w:rsid w:val="00E47C17"/>
    <w:rsid w:val="00E47E97"/>
    <w:rsid w:val="00E47F11"/>
    <w:rsid w:val="00E47F32"/>
    <w:rsid w:val="00E501C8"/>
    <w:rsid w:val="00E50309"/>
    <w:rsid w:val="00E50421"/>
    <w:rsid w:val="00E5066B"/>
    <w:rsid w:val="00E506B1"/>
    <w:rsid w:val="00E5070D"/>
    <w:rsid w:val="00E50A50"/>
    <w:rsid w:val="00E50BEB"/>
    <w:rsid w:val="00E50D9F"/>
    <w:rsid w:val="00E50E2C"/>
    <w:rsid w:val="00E50E4B"/>
    <w:rsid w:val="00E50F48"/>
    <w:rsid w:val="00E510DD"/>
    <w:rsid w:val="00E511FA"/>
    <w:rsid w:val="00E5140F"/>
    <w:rsid w:val="00E51451"/>
    <w:rsid w:val="00E51756"/>
    <w:rsid w:val="00E517B4"/>
    <w:rsid w:val="00E52035"/>
    <w:rsid w:val="00E522C6"/>
    <w:rsid w:val="00E52704"/>
    <w:rsid w:val="00E527F8"/>
    <w:rsid w:val="00E5290C"/>
    <w:rsid w:val="00E5297A"/>
    <w:rsid w:val="00E52C0C"/>
    <w:rsid w:val="00E52D42"/>
    <w:rsid w:val="00E52F30"/>
    <w:rsid w:val="00E53063"/>
    <w:rsid w:val="00E530CF"/>
    <w:rsid w:val="00E5318D"/>
    <w:rsid w:val="00E532B2"/>
    <w:rsid w:val="00E535D4"/>
    <w:rsid w:val="00E53628"/>
    <w:rsid w:val="00E5379E"/>
    <w:rsid w:val="00E538E1"/>
    <w:rsid w:val="00E53906"/>
    <w:rsid w:val="00E53926"/>
    <w:rsid w:val="00E5395C"/>
    <w:rsid w:val="00E53A8E"/>
    <w:rsid w:val="00E53B30"/>
    <w:rsid w:val="00E53D61"/>
    <w:rsid w:val="00E53E01"/>
    <w:rsid w:val="00E54022"/>
    <w:rsid w:val="00E541EE"/>
    <w:rsid w:val="00E5443E"/>
    <w:rsid w:val="00E54586"/>
    <w:rsid w:val="00E54632"/>
    <w:rsid w:val="00E546E0"/>
    <w:rsid w:val="00E5477D"/>
    <w:rsid w:val="00E547EA"/>
    <w:rsid w:val="00E54921"/>
    <w:rsid w:val="00E54950"/>
    <w:rsid w:val="00E54ACC"/>
    <w:rsid w:val="00E54C17"/>
    <w:rsid w:val="00E54DC9"/>
    <w:rsid w:val="00E54EC0"/>
    <w:rsid w:val="00E55069"/>
    <w:rsid w:val="00E5543B"/>
    <w:rsid w:val="00E555C6"/>
    <w:rsid w:val="00E5570E"/>
    <w:rsid w:val="00E55D47"/>
    <w:rsid w:val="00E55FB3"/>
    <w:rsid w:val="00E5613D"/>
    <w:rsid w:val="00E56140"/>
    <w:rsid w:val="00E561D3"/>
    <w:rsid w:val="00E562B4"/>
    <w:rsid w:val="00E563B4"/>
    <w:rsid w:val="00E563DA"/>
    <w:rsid w:val="00E5677C"/>
    <w:rsid w:val="00E567E8"/>
    <w:rsid w:val="00E567FF"/>
    <w:rsid w:val="00E568EC"/>
    <w:rsid w:val="00E56A01"/>
    <w:rsid w:val="00E56A32"/>
    <w:rsid w:val="00E56D6E"/>
    <w:rsid w:val="00E56D7E"/>
    <w:rsid w:val="00E56F09"/>
    <w:rsid w:val="00E56FC7"/>
    <w:rsid w:val="00E57170"/>
    <w:rsid w:val="00E574EF"/>
    <w:rsid w:val="00E57529"/>
    <w:rsid w:val="00E576F5"/>
    <w:rsid w:val="00E5783B"/>
    <w:rsid w:val="00E578D6"/>
    <w:rsid w:val="00E57A3D"/>
    <w:rsid w:val="00E57A67"/>
    <w:rsid w:val="00E57C06"/>
    <w:rsid w:val="00E57CC7"/>
    <w:rsid w:val="00E57D56"/>
    <w:rsid w:val="00E57DEB"/>
    <w:rsid w:val="00E600AA"/>
    <w:rsid w:val="00E60142"/>
    <w:rsid w:val="00E601D1"/>
    <w:rsid w:val="00E6023E"/>
    <w:rsid w:val="00E60254"/>
    <w:rsid w:val="00E60335"/>
    <w:rsid w:val="00E6040D"/>
    <w:rsid w:val="00E60510"/>
    <w:rsid w:val="00E6077B"/>
    <w:rsid w:val="00E60FAB"/>
    <w:rsid w:val="00E61100"/>
    <w:rsid w:val="00E61485"/>
    <w:rsid w:val="00E616CD"/>
    <w:rsid w:val="00E61920"/>
    <w:rsid w:val="00E61A37"/>
    <w:rsid w:val="00E61A76"/>
    <w:rsid w:val="00E61DF2"/>
    <w:rsid w:val="00E61F4E"/>
    <w:rsid w:val="00E61FFA"/>
    <w:rsid w:val="00E620E5"/>
    <w:rsid w:val="00E6217D"/>
    <w:rsid w:val="00E621BD"/>
    <w:rsid w:val="00E622AE"/>
    <w:rsid w:val="00E6249E"/>
    <w:rsid w:val="00E62956"/>
    <w:rsid w:val="00E6295A"/>
    <w:rsid w:val="00E629A1"/>
    <w:rsid w:val="00E62AB0"/>
    <w:rsid w:val="00E62B88"/>
    <w:rsid w:val="00E62D2B"/>
    <w:rsid w:val="00E6314E"/>
    <w:rsid w:val="00E632D9"/>
    <w:rsid w:val="00E63483"/>
    <w:rsid w:val="00E6372D"/>
    <w:rsid w:val="00E63AC7"/>
    <w:rsid w:val="00E63C37"/>
    <w:rsid w:val="00E63C5B"/>
    <w:rsid w:val="00E63DA4"/>
    <w:rsid w:val="00E63E5C"/>
    <w:rsid w:val="00E64062"/>
    <w:rsid w:val="00E640D7"/>
    <w:rsid w:val="00E641F6"/>
    <w:rsid w:val="00E64653"/>
    <w:rsid w:val="00E646A7"/>
    <w:rsid w:val="00E64A42"/>
    <w:rsid w:val="00E64B1D"/>
    <w:rsid w:val="00E64B6D"/>
    <w:rsid w:val="00E64C8B"/>
    <w:rsid w:val="00E64E5D"/>
    <w:rsid w:val="00E64E7C"/>
    <w:rsid w:val="00E65087"/>
    <w:rsid w:val="00E65440"/>
    <w:rsid w:val="00E65575"/>
    <w:rsid w:val="00E655B1"/>
    <w:rsid w:val="00E65975"/>
    <w:rsid w:val="00E659D7"/>
    <w:rsid w:val="00E65B21"/>
    <w:rsid w:val="00E65E25"/>
    <w:rsid w:val="00E65F01"/>
    <w:rsid w:val="00E6601D"/>
    <w:rsid w:val="00E660DF"/>
    <w:rsid w:val="00E66243"/>
    <w:rsid w:val="00E6626E"/>
    <w:rsid w:val="00E662F0"/>
    <w:rsid w:val="00E66510"/>
    <w:rsid w:val="00E6684C"/>
    <w:rsid w:val="00E6696E"/>
    <w:rsid w:val="00E66B08"/>
    <w:rsid w:val="00E66C1B"/>
    <w:rsid w:val="00E66CBF"/>
    <w:rsid w:val="00E67201"/>
    <w:rsid w:val="00E673A9"/>
    <w:rsid w:val="00E674FE"/>
    <w:rsid w:val="00E67707"/>
    <w:rsid w:val="00E6794C"/>
    <w:rsid w:val="00E700EB"/>
    <w:rsid w:val="00E70110"/>
    <w:rsid w:val="00E70171"/>
    <w:rsid w:val="00E70508"/>
    <w:rsid w:val="00E70C08"/>
    <w:rsid w:val="00E70C30"/>
    <w:rsid w:val="00E70CB0"/>
    <w:rsid w:val="00E7138A"/>
    <w:rsid w:val="00E71591"/>
    <w:rsid w:val="00E715E6"/>
    <w:rsid w:val="00E7171E"/>
    <w:rsid w:val="00E71743"/>
    <w:rsid w:val="00E71917"/>
    <w:rsid w:val="00E7198A"/>
    <w:rsid w:val="00E71A23"/>
    <w:rsid w:val="00E71A35"/>
    <w:rsid w:val="00E71BBC"/>
    <w:rsid w:val="00E71C0B"/>
    <w:rsid w:val="00E71CBB"/>
    <w:rsid w:val="00E71CEB"/>
    <w:rsid w:val="00E71D9D"/>
    <w:rsid w:val="00E71E47"/>
    <w:rsid w:val="00E72096"/>
    <w:rsid w:val="00E721C4"/>
    <w:rsid w:val="00E721DD"/>
    <w:rsid w:val="00E72290"/>
    <w:rsid w:val="00E72488"/>
    <w:rsid w:val="00E72654"/>
    <w:rsid w:val="00E726DA"/>
    <w:rsid w:val="00E72772"/>
    <w:rsid w:val="00E727E2"/>
    <w:rsid w:val="00E72823"/>
    <w:rsid w:val="00E72CC2"/>
    <w:rsid w:val="00E72CEC"/>
    <w:rsid w:val="00E72D35"/>
    <w:rsid w:val="00E73029"/>
    <w:rsid w:val="00E730E1"/>
    <w:rsid w:val="00E7320F"/>
    <w:rsid w:val="00E73307"/>
    <w:rsid w:val="00E733A0"/>
    <w:rsid w:val="00E7350A"/>
    <w:rsid w:val="00E737DF"/>
    <w:rsid w:val="00E73806"/>
    <w:rsid w:val="00E73843"/>
    <w:rsid w:val="00E7384C"/>
    <w:rsid w:val="00E739B4"/>
    <w:rsid w:val="00E73A48"/>
    <w:rsid w:val="00E73BB5"/>
    <w:rsid w:val="00E73C83"/>
    <w:rsid w:val="00E73DA9"/>
    <w:rsid w:val="00E73F8B"/>
    <w:rsid w:val="00E74100"/>
    <w:rsid w:val="00E74340"/>
    <w:rsid w:val="00E74458"/>
    <w:rsid w:val="00E74614"/>
    <w:rsid w:val="00E7474F"/>
    <w:rsid w:val="00E74A53"/>
    <w:rsid w:val="00E74DC7"/>
    <w:rsid w:val="00E74E9C"/>
    <w:rsid w:val="00E74F7E"/>
    <w:rsid w:val="00E750C7"/>
    <w:rsid w:val="00E75518"/>
    <w:rsid w:val="00E7565C"/>
    <w:rsid w:val="00E75678"/>
    <w:rsid w:val="00E75A52"/>
    <w:rsid w:val="00E75DD8"/>
    <w:rsid w:val="00E75EB1"/>
    <w:rsid w:val="00E760E9"/>
    <w:rsid w:val="00E76451"/>
    <w:rsid w:val="00E765AC"/>
    <w:rsid w:val="00E766D8"/>
    <w:rsid w:val="00E7691A"/>
    <w:rsid w:val="00E76A3D"/>
    <w:rsid w:val="00E76DBD"/>
    <w:rsid w:val="00E77148"/>
    <w:rsid w:val="00E77149"/>
    <w:rsid w:val="00E7722D"/>
    <w:rsid w:val="00E772AE"/>
    <w:rsid w:val="00E7732D"/>
    <w:rsid w:val="00E7737C"/>
    <w:rsid w:val="00E774F1"/>
    <w:rsid w:val="00E775E6"/>
    <w:rsid w:val="00E776A6"/>
    <w:rsid w:val="00E777AC"/>
    <w:rsid w:val="00E778F6"/>
    <w:rsid w:val="00E77F03"/>
    <w:rsid w:val="00E8004A"/>
    <w:rsid w:val="00E80144"/>
    <w:rsid w:val="00E802F2"/>
    <w:rsid w:val="00E80309"/>
    <w:rsid w:val="00E80578"/>
    <w:rsid w:val="00E805D8"/>
    <w:rsid w:val="00E8073D"/>
    <w:rsid w:val="00E808FD"/>
    <w:rsid w:val="00E808FF"/>
    <w:rsid w:val="00E80A14"/>
    <w:rsid w:val="00E80AA8"/>
    <w:rsid w:val="00E80CC1"/>
    <w:rsid w:val="00E80DE3"/>
    <w:rsid w:val="00E80F06"/>
    <w:rsid w:val="00E80F21"/>
    <w:rsid w:val="00E80F7A"/>
    <w:rsid w:val="00E81611"/>
    <w:rsid w:val="00E81760"/>
    <w:rsid w:val="00E81844"/>
    <w:rsid w:val="00E818C9"/>
    <w:rsid w:val="00E819B0"/>
    <w:rsid w:val="00E819B3"/>
    <w:rsid w:val="00E81AC1"/>
    <w:rsid w:val="00E81E06"/>
    <w:rsid w:val="00E81F9F"/>
    <w:rsid w:val="00E822DB"/>
    <w:rsid w:val="00E82316"/>
    <w:rsid w:val="00E8272F"/>
    <w:rsid w:val="00E828E1"/>
    <w:rsid w:val="00E828F1"/>
    <w:rsid w:val="00E82C55"/>
    <w:rsid w:val="00E82C67"/>
    <w:rsid w:val="00E82D5D"/>
    <w:rsid w:val="00E82DA6"/>
    <w:rsid w:val="00E8303D"/>
    <w:rsid w:val="00E8319D"/>
    <w:rsid w:val="00E831C4"/>
    <w:rsid w:val="00E831EB"/>
    <w:rsid w:val="00E831FF"/>
    <w:rsid w:val="00E8323F"/>
    <w:rsid w:val="00E832F0"/>
    <w:rsid w:val="00E836C8"/>
    <w:rsid w:val="00E83910"/>
    <w:rsid w:val="00E83956"/>
    <w:rsid w:val="00E83A31"/>
    <w:rsid w:val="00E83B9A"/>
    <w:rsid w:val="00E8403E"/>
    <w:rsid w:val="00E8411D"/>
    <w:rsid w:val="00E842A7"/>
    <w:rsid w:val="00E84382"/>
    <w:rsid w:val="00E8447F"/>
    <w:rsid w:val="00E8448D"/>
    <w:rsid w:val="00E84754"/>
    <w:rsid w:val="00E84884"/>
    <w:rsid w:val="00E84897"/>
    <w:rsid w:val="00E84C36"/>
    <w:rsid w:val="00E84CDD"/>
    <w:rsid w:val="00E84D45"/>
    <w:rsid w:val="00E84DE8"/>
    <w:rsid w:val="00E84F9C"/>
    <w:rsid w:val="00E84FC7"/>
    <w:rsid w:val="00E853D9"/>
    <w:rsid w:val="00E853FA"/>
    <w:rsid w:val="00E854F8"/>
    <w:rsid w:val="00E855E8"/>
    <w:rsid w:val="00E856A1"/>
    <w:rsid w:val="00E8578A"/>
    <w:rsid w:val="00E8579D"/>
    <w:rsid w:val="00E858A0"/>
    <w:rsid w:val="00E85A35"/>
    <w:rsid w:val="00E85C56"/>
    <w:rsid w:val="00E85F27"/>
    <w:rsid w:val="00E85FC2"/>
    <w:rsid w:val="00E862B8"/>
    <w:rsid w:val="00E86419"/>
    <w:rsid w:val="00E86479"/>
    <w:rsid w:val="00E864B0"/>
    <w:rsid w:val="00E86660"/>
    <w:rsid w:val="00E86953"/>
    <w:rsid w:val="00E86DA7"/>
    <w:rsid w:val="00E87115"/>
    <w:rsid w:val="00E87149"/>
    <w:rsid w:val="00E87157"/>
    <w:rsid w:val="00E8736A"/>
    <w:rsid w:val="00E87459"/>
    <w:rsid w:val="00E875D5"/>
    <w:rsid w:val="00E87843"/>
    <w:rsid w:val="00E8787E"/>
    <w:rsid w:val="00E87952"/>
    <w:rsid w:val="00E87A44"/>
    <w:rsid w:val="00E87EE3"/>
    <w:rsid w:val="00E902C3"/>
    <w:rsid w:val="00E9042A"/>
    <w:rsid w:val="00E905B1"/>
    <w:rsid w:val="00E906B2"/>
    <w:rsid w:val="00E9080D"/>
    <w:rsid w:val="00E909C1"/>
    <w:rsid w:val="00E90E38"/>
    <w:rsid w:val="00E91160"/>
    <w:rsid w:val="00E91271"/>
    <w:rsid w:val="00E91336"/>
    <w:rsid w:val="00E913BB"/>
    <w:rsid w:val="00E913D6"/>
    <w:rsid w:val="00E91663"/>
    <w:rsid w:val="00E91812"/>
    <w:rsid w:val="00E91830"/>
    <w:rsid w:val="00E91890"/>
    <w:rsid w:val="00E918DE"/>
    <w:rsid w:val="00E918E2"/>
    <w:rsid w:val="00E9190E"/>
    <w:rsid w:val="00E91956"/>
    <w:rsid w:val="00E91D81"/>
    <w:rsid w:val="00E9202D"/>
    <w:rsid w:val="00E9210B"/>
    <w:rsid w:val="00E9212B"/>
    <w:rsid w:val="00E9241F"/>
    <w:rsid w:val="00E9259F"/>
    <w:rsid w:val="00E925F4"/>
    <w:rsid w:val="00E92754"/>
    <w:rsid w:val="00E9278F"/>
    <w:rsid w:val="00E92882"/>
    <w:rsid w:val="00E92A1F"/>
    <w:rsid w:val="00E92AC3"/>
    <w:rsid w:val="00E92DE4"/>
    <w:rsid w:val="00E92FDE"/>
    <w:rsid w:val="00E9310B"/>
    <w:rsid w:val="00E933A5"/>
    <w:rsid w:val="00E934C9"/>
    <w:rsid w:val="00E936F1"/>
    <w:rsid w:val="00E9370E"/>
    <w:rsid w:val="00E93957"/>
    <w:rsid w:val="00E93B98"/>
    <w:rsid w:val="00E93CEE"/>
    <w:rsid w:val="00E93D27"/>
    <w:rsid w:val="00E93EC4"/>
    <w:rsid w:val="00E93F87"/>
    <w:rsid w:val="00E94047"/>
    <w:rsid w:val="00E941C3"/>
    <w:rsid w:val="00E943A5"/>
    <w:rsid w:val="00E9445B"/>
    <w:rsid w:val="00E94471"/>
    <w:rsid w:val="00E944F5"/>
    <w:rsid w:val="00E9463E"/>
    <w:rsid w:val="00E94B2F"/>
    <w:rsid w:val="00E94BB1"/>
    <w:rsid w:val="00E94C53"/>
    <w:rsid w:val="00E94F52"/>
    <w:rsid w:val="00E9501E"/>
    <w:rsid w:val="00E9502C"/>
    <w:rsid w:val="00E95211"/>
    <w:rsid w:val="00E954EB"/>
    <w:rsid w:val="00E95564"/>
    <w:rsid w:val="00E95736"/>
    <w:rsid w:val="00E95988"/>
    <w:rsid w:val="00E95B0D"/>
    <w:rsid w:val="00E95C1C"/>
    <w:rsid w:val="00E95CDF"/>
    <w:rsid w:val="00E95F38"/>
    <w:rsid w:val="00E9601F"/>
    <w:rsid w:val="00E9608E"/>
    <w:rsid w:val="00E960CD"/>
    <w:rsid w:val="00E96468"/>
    <w:rsid w:val="00E96640"/>
    <w:rsid w:val="00E9678F"/>
    <w:rsid w:val="00E9686D"/>
    <w:rsid w:val="00E96BA6"/>
    <w:rsid w:val="00E96C0B"/>
    <w:rsid w:val="00E96FB1"/>
    <w:rsid w:val="00E970E5"/>
    <w:rsid w:val="00E971F1"/>
    <w:rsid w:val="00E97234"/>
    <w:rsid w:val="00E972A2"/>
    <w:rsid w:val="00E9733F"/>
    <w:rsid w:val="00E9768D"/>
    <w:rsid w:val="00E97763"/>
    <w:rsid w:val="00E9794C"/>
    <w:rsid w:val="00E9799C"/>
    <w:rsid w:val="00E97C0A"/>
    <w:rsid w:val="00E97C5C"/>
    <w:rsid w:val="00E97D73"/>
    <w:rsid w:val="00E97EE4"/>
    <w:rsid w:val="00E97F1E"/>
    <w:rsid w:val="00E97F2B"/>
    <w:rsid w:val="00EA0205"/>
    <w:rsid w:val="00EA03EF"/>
    <w:rsid w:val="00EA04FF"/>
    <w:rsid w:val="00EA0847"/>
    <w:rsid w:val="00EA08FF"/>
    <w:rsid w:val="00EA0AA6"/>
    <w:rsid w:val="00EA0E04"/>
    <w:rsid w:val="00EA0E5E"/>
    <w:rsid w:val="00EA0EF9"/>
    <w:rsid w:val="00EA1306"/>
    <w:rsid w:val="00EA1501"/>
    <w:rsid w:val="00EA1547"/>
    <w:rsid w:val="00EA15D2"/>
    <w:rsid w:val="00EA1657"/>
    <w:rsid w:val="00EA16CA"/>
    <w:rsid w:val="00EA1928"/>
    <w:rsid w:val="00EA1A21"/>
    <w:rsid w:val="00EA1A5C"/>
    <w:rsid w:val="00EA1BD4"/>
    <w:rsid w:val="00EA2003"/>
    <w:rsid w:val="00EA2685"/>
    <w:rsid w:val="00EA271A"/>
    <w:rsid w:val="00EA27CE"/>
    <w:rsid w:val="00EA2A16"/>
    <w:rsid w:val="00EA2BD0"/>
    <w:rsid w:val="00EA2CAC"/>
    <w:rsid w:val="00EA2CEF"/>
    <w:rsid w:val="00EA2D6A"/>
    <w:rsid w:val="00EA2E0C"/>
    <w:rsid w:val="00EA2E92"/>
    <w:rsid w:val="00EA2F6A"/>
    <w:rsid w:val="00EA300D"/>
    <w:rsid w:val="00EA3161"/>
    <w:rsid w:val="00EA3352"/>
    <w:rsid w:val="00EA3A7E"/>
    <w:rsid w:val="00EA3B74"/>
    <w:rsid w:val="00EA3C09"/>
    <w:rsid w:val="00EA3C28"/>
    <w:rsid w:val="00EA3C80"/>
    <w:rsid w:val="00EA3EB5"/>
    <w:rsid w:val="00EA408A"/>
    <w:rsid w:val="00EA4196"/>
    <w:rsid w:val="00EA43CE"/>
    <w:rsid w:val="00EA477A"/>
    <w:rsid w:val="00EA47CB"/>
    <w:rsid w:val="00EA491B"/>
    <w:rsid w:val="00EA4958"/>
    <w:rsid w:val="00EA4A28"/>
    <w:rsid w:val="00EA4A92"/>
    <w:rsid w:val="00EA4E40"/>
    <w:rsid w:val="00EA4EE5"/>
    <w:rsid w:val="00EA5062"/>
    <w:rsid w:val="00EA50EF"/>
    <w:rsid w:val="00EA5320"/>
    <w:rsid w:val="00EA549B"/>
    <w:rsid w:val="00EA54AB"/>
    <w:rsid w:val="00EA54EE"/>
    <w:rsid w:val="00EA582C"/>
    <w:rsid w:val="00EA5C04"/>
    <w:rsid w:val="00EA5CAB"/>
    <w:rsid w:val="00EA5D58"/>
    <w:rsid w:val="00EA5D8B"/>
    <w:rsid w:val="00EA5DF2"/>
    <w:rsid w:val="00EA5F09"/>
    <w:rsid w:val="00EA5F1C"/>
    <w:rsid w:val="00EA6116"/>
    <w:rsid w:val="00EA61C0"/>
    <w:rsid w:val="00EA61E1"/>
    <w:rsid w:val="00EA6221"/>
    <w:rsid w:val="00EA62B0"/>
    <w:rsid w:val="00EA6609"/>
    <w:rsid w:val="00EA6680"/>
    <w:rsid w:val="00EA66FC"/>
    <w:rsid w:val="00EA6872"/>
    <w:rsid w:val="00EA68D4"/>
    <w:rsid w:val="00EA6A4F"/>
    <w:rsid w:val="00EA6B8A"/>
    <w:rsid w:val="00EA6E10"/>
    <w:rsid w:val="00EA6F2E"/>
    <w:rsid w:val="00EA70A6"/>
    <w:rsid w:val="00EA7131"/>
    <w:rsid w:val="00EA73F1"/>
    <w:rsid w:val="00EA741A"/>
    <w:rsid w:val="00EA77B5"/>
    <w:rsid w:val="00EA77F7"/>
    <w:rsid w:val="00EA78C5"/>
    <w:rsid w:val="00EA78C8"/>
    <w:rsid w:val="00EA7911"/>
    <w:rsid w:val="00EA7CBE"/>
    <w:rsid w:val="00EB00E0"/>
    <w:rsid w:val="00EB031A"/>
    <w:rsid w:val="00EB0349"/>
    <w:rsid w:val="00EB05D5"/>
    <w:rsid w:val="00EB0689"/>
    <w:rsid w:val="00EB0786"/>
    <w:rsid w:val="00EB0A5A"/>
    <w:rsid w:val="00EB0AD2"/>
    <w:rsid w:val="00EB0DB9"/>
    <w:rsid w:val="00EB0DC0"/>
    <w:rsid w:val="00EB0FAA"/>
    <w:rsid w:val="00EB10DC"/>
    <w:rsid w:val="00EB10F6"/>
    <w:rsid w:val="00EB11DE"/>
    <w:rsid w:val="00EB1419"/>
    <w:rsid w:val="00EB1668"/>
    <w:rsid w:val="00EB18AD"/>
    <w:rsid w:val="00EB1ABB"/>
    <w:rsid w:val="00EB1F71"/>
    <w:rsid w:val="00EB1F88"/>
    <w:rsid w:val="00EB22BD"/>
    <w:rsid w:val="00EB246D"/>
    <w:rsid w:val="00EB2506"/>
    <w:rsid w:val="00EB2675"/>
    <w:rsid w:val="00EB27B3"/>
    <w:rsid w:val="00EB27DF"/>
    <w:rsid w:val="00EB27E0"/>
    <w:rsid w:val="00EB29D6"/>
    <w:rsid w:val="00EB2A77"/>
    <w:rsid w:val="00EB2A7F"/>
    <w:rsid w:val="00EB2B98"/>
    <w:rsid w:val="00EB2BFF"/>
    <w:rsid w:val="00EB2D8B"/>
    <w:rsid w:val="00EB2DBC"/>
    <w:rsid w:val="00EB2DE0"/>
    <w:rsid w:val="00EB2EEC"/>
    <w:rsid w:val="00EB2F6B"/>
    <w:rsid w:val="00EB2F98"/>
    <w:rsid w:val="00EB33A1"/>
    <w:rsid w:val="00EB33A6"/>
    <w:rsid w:val="00EB33E9"/>
    <w:rsid w:val="00EB3451"/>
    <w:rsid w:val="00EB34C4"/>
    <w:rsid w:val="00EB35D9"/>
    <w:rsid w:val="00EB37CA"/>
    <w:rsid w:val="00EB3931"/>
    <w:rsid w:val="00EB394C"/>
    <w:rsid w:val="00EB3B70"/>
    <w:rsid w:val="00EB3BA6"/>
    <w:rsid w:val="00EB3C33"/>
    <w:rsid w:val="00EB404A"/>
    <w:rsid w:val="00EB413C"/>
    <w:rsid w:val="00EB42B9"/>
    <w:rsid w:val="00EB4354"/>
    <w:rsid w:val="00EB438C"/>
    <w:rsid w:val="00EB4393"/>
    <w:rsid w:val="00EB45A4"/>
    <w:rsid w:val="00EB46FF"/>
    <w:rsid w:val="00EB4A35"/>
    <w:rsid w:val="00EB4A58"/>
    <w:rsid w:val="00EB4BC7"/>
    <w:rsid w:val="00EB4D0B"/>
    <w:rsid w:val="00EB5349"/>
    <w:rsid w:val="00EB54F1"/>
    <w:rsid w:val="00EB56B5"/>
    <w:rsid w:val="00EB56B9"/>
    <w:rsid w:val="00EB5811"/>
    <w:rsid w:val="00EB5A95"/>
    <w:rsid w:val="00EB5CC0"/>
    <w:rsid w:val="00EB5CFD"/>
    <w:rsid w:val="00EB5DC6"/>
    <w:rsid w:val="00EB5E87"/>
    <w:rsid w:val="00EB5F71"/>
    <w:rsid w:val="00EB6284"/>
    <w:rsid w:val="00EB628C"/>
    <w:rsid w:val="00EB62EA"/>
    <w:rsid w:val="00EB63DC"/>
    <w:rsid w:val="00EB63FB"/>
    <w:rsid w:val="00EB6690"/>
    <w:rsid w:val="00EB687E"/>
    <w:rsid w:val="00EB6A7A"/>
    <w:rsid w:val="00EB6B69"/>
    <w:rsid w:val="00EB6C0A"/>
    <w:rsid w:val="00EB6D44"/>
    <w:rsid w:val="00EB6F63"/>
    <w:rsid w:val="00EB6F97"/>
    <w:rsid w:val="00EB6FC3"/>
    <w:rsid w:val="00EB7332"/>
    <w:rsid w:val="00EB7556"/>
    <w:rsid w:val="00EB78F9"/>
    <w:rsid w:val="00EB79DE"/>
    <w:rsid w:val="00EB7A0C"/>
    <w:rsid w:val="00EB7B5F"/>
    <w:rsid w:val="00EB7B9E"/>
    <w:rsid w:val="00EC000F"/>
    <w:rsid w:val="00EC02AC"/>
    <w:rsid w:val="00EC036B"/>
    <w:rsid w:val="00EC046E"/>
    <w:rsid w:val="00EC04EF"/>
    <w:rsid w:val="00EC059F"/>
    <w:rsid w:val="00EC097A"/>
    <w:rsid w:val="00EC09E4"/>
    <w:rsid w:val="00EC0BFB"/>
    <w:rsid w:val="00EC0F82"/>
    <w:rsid w:val="00EC0FFE"/>
    <w:rsid w:val="00EC10F2"/>
    <w:rsid w:val="00EC11BC"/>
    <w:rsid w:val="00EC11E5"/>
    <w:rsid w:val="00EC1203"/>
    <w:rsid w:val="00EC1670"/>
    <w:rsid w:val="00EC1D6A"/>
    <w:rsid w:val="00EC1D6E"/>
    <w:rsid w:val="00EC1DDE"/>
    <w:rsid w:val="00EC1F24"/>
    <w:rsid w:val="00EC2156"/>
    <w:rsid w:val="00EC217C"/>
    <w:rsid w:val="00EC22F6"/>
    <w:rsid w:val="00EC262B"/>
    <w:rsid w:val="00EC26A8"/>
    <w:rsid w:val="00EC2767"/>
    <w:rsid w:val="00EC27EC"/>
    <w:rsid w:val="00EC29EA"/>
    <w:rsid w:val="00EC2B3D"/>
    <w:rsid w:val="00EC2BAF"/>
    <w:rsid w:val="00EC2CF3"/>
    <w:rsid w:val="00EC2F0F"/>
    <w:rsid w:val="00EC33A7"/>
    <w:rsid w:val="00EC3478"/>
    <w:rsid w:val="00EC3497"/>
    <w:rsid w:val="00EC34B3"/>
    <w:rsid w:val="00EC35CD"/>
    <w:rsid w:val="00EC35EF"/>
    <w:rsid w:val="00EC3664"/>
    <w:rsid w:val="00EC3680"/>
    <w:rsid w:val="00EC36F7"/>
    <w:rsid w:val="00EC38B7"/>
    <w:rsid w:val="00EC3B2A"/>
    <w:rsid w:val="00EC3BFB"/>
    <w:rsid w:val="00EC3DB9"/>
    <w:rsid w:val="00EC3EB3"/>
    <w:rsid w:val="00EC3F05"/>
    <w:rsid w:val="00EC3F75"/>
    <w:rsid w:val="00EC3FC2"/>
    <w:rsid w:val="00EC41FE"/>
    <w:rsid w:val="00EC4449"/>
    <w:rsid w:val="00EC4655"/>
    <w:rsid w:val="00EC48D9"/>
    <w:rsid w:val="00EC4927"/>
    <w:rsid w:val="00EC49A7"/>
    <w:rsid w:val="00EC4A2B"/>
    <w:rsid w:val="00EC4B35"/>
    <w:rsid w:val="00EC4C2C"/>
    <w:rsid w:val="00EC4DA9"/>
    <w:rsid w:val="00EC4F24"/>
    <w:rsid w:val="00EC504D"/>
    <w:rsid w:val="00EC52D6"/>
    <w:rsid w:val="00EC5341"/>
    <w:rsid w:val="00EC54F2"/>
    <w:rsid w:val="00EC5645"/>
    <w:rsid w:val="00EC5937"/>
    <w:rsid w:val="00EC5A0A"/>
    <w:rsid w:val="00EC5A21"/>
    <w:rsid w:val="00EC5A9B"/>
    <w:rsid w:val="00EC5B5C"/>
    <w:rsid w:val="00EC5C4A"/>
    <w:rsid w:val="00EC5D33"/>
    <w:rsid w:val="00EC5EF0"/>
    <w:rsid w:val="00EC60A9"/>
    <w:rsid w:val="00EC6161"/>
    <w:rsid w:val="00EC61E8"/>
    <w:rsid w:val="00EC6323"/>
    <w:rsid w:val="00EC6465"/>
    <w:rsid w:val="00EC64AE"/>
    <w:rsid w:val="00EC652C"/>
    <w:rsid w:val="00EC671B"/>
    <w:rsid w:val="00EC6AFC"/>
    <w:rsid w:val="00EC6BDA"/>
    <w:rsid w:val="00EC6D16"/>
    <w:rsid w:val="00EC6E42"/>
    <w:rsid w:val="00EC6FA7"/>
    <w:rsid w:val="00EC7094"/>
    <w:rsid w:val="00EC71E7"/>
    <w:rsid w:val="00EC72C8"/>
    <w:rsid w:val="00EC732D"/>
    <w:rsid w:val="00EC73ED"/>
    <w:rsid w:val="00EC74DC"/>
    <w:rsid w:val="00EC75E0"/>
    <w:rsid w:val="00EC78C9"/>
    <w:rsid w:val="00EC7A37"/>
    <w:rsid w:val="00EC7A62"/>
    <w:rsid w:val="00EC7BCB"/>
    <w:rsid w:val="00EC7C32"/>
    <w:rsid w:val="00EC7FDB"/>
    <w:rsid w:val="00ED00E2"/>
    <w:rsid w:val="00ED04BD"/>
    <w:rsid w:val="00ED05E8"/>
    <w:rsid w:val="00ED06BF"/>
    <w:rsid w:val="00ED07D2"/>
    <w:rsid w:val="00ED0948"/>
    <w:rsid w:val="00ED0A21"/>
    <w:rsid w:val="00ED0CB7"/>
    <w:rsid w:val="00ED0D0C"/>
    <w:rsid w:val="00ED0F4C"/>
    <w:rsid w:val="00ED103A"/>
    <w:rsid w:val="00ED141C"/>
    <w:rsid w:val="00ED1600"/>
    <w:rsid w:val="00ED19F0"/>
    <w:rsid w:val="00ED1C1A"/>
    <w:rsid w:val="00ED1E56"/>
    <w:rsid w:val="00ED1EBE"/>
    <w:rsid w:val="00ED1F6F"/>
    <w:rsid w:val="00ED2346"/>
    <w:rsid w:val="00ED25F6"/>
    <w:rsid w:val="00ED2B38"/>
    <w:rsid w:val="00ED2C0E"/>
    <w:rsid w:val="00ED2CA3"/>
    <w:rsid w:val="00ED2EC3"/>
    <w:rsid w:val="00ED32F8"/>
    <w:rsid w:val="00ED35FB"/>
    <w:rsid w:val="00ED3612"/>
    <w:rsid w:val="00ED3784"/>
    <w:rsid w:val="00ED39DF"/>
    <w:rsid w:val="00ED39EB"/>
    <w:rsid w:val="00ED3B17"/>
    <w:rsid w:val="00ED3C63"/>
    <w:rsid w:val="00ED3DAB"/>
    <w:rsid w:val="00ED3F05"/>
    <w:rsid w:val="00ED3F3B"/>
    <w:rsid w:val="00ED3F7C"/>
    <w:rsid w:val="00ED41D6"/>
    <w:rsid w:val="00ED4205"/>
    <w:rsid w:val="00ED444C"/>
    <w:rsid w:val="00ED44B8"/>
    <w:rsid w:val="00ED45E2"/>
    <w:rsid w:val="00ED46F4"/>
    <w:rsid w:val="00ED4DE7"/>
    <w:rsid w:val="00ED4F87"/>
    <w:rsid w:val="00ED5008"/>
    <w:rsid w:val="00ED50F9"/>
    <w:rsid w:val="00ED5125"/>
    <w:rsid w:val="00ED5546"/>
    <w:rsid w:val="00ED5B9B"/>
    <w:rsid w:val="00ED5B9D"/>
    <w:rsid w:val="00ED5C4B"/>
    <w:rsid w:val="00ED5D04"/>
    <w:rsid w:val="00ED5D45"/>
    <w:rsid w:val="00ED5DFA"/>
    <w:rsid w:val="00ED5FA5"/>
    <w:rsid w:val="00ED5FCF"/>
    <w:rsid w:val="00ED60C2"/>
    <w:rsid w:val="00ED6319"/>
    <w:rsid w:val="00ED64F4"/>
    <w:rsid w:val="00ED66A5"/>
    <w:rsid w:val="00ED66D8"/>
    <w:rsid w:val="00ED69F7"/>
    <w:rsid w:val="00ED6A73"/>
    <w:rsid w:val="00ED6B50"/>
    <w:rsid w:val="00ED6BAD"/>
    <w:rsid w:val="00ED6C40"/>
    <w:rsid w:val="00ED6EDE"/>
    <w:rsid w:val="00ED717B"/>
    <w:rsid w:val="00ED73C0"/>
    <w:rsid w:val="00ED7447"/>
    <w:rsid w:val="00ED747B"/>
    <w:rsid w:val="00ED75CC"/>
    <w:rsid w:val="00ED765D"/>
    <w:rsid w:val="00ED7762"/>
    <w:rsid w:val="00ED789B"/>
    <w:rsid w:val="00ED7BE7"/>
    <w:rsid w:val="00ED7DA9"/>
    <w:rsid w:val="00ED7E08"/>
    <w:rsid w:val="00ED7E2D"/>
    <w:rsid w:val="00ED7FDB"/>
    <w:rsid w:val="00EE00D6"/>
    <w:rsid w:val="00EE0335"/>
    <w:rsid w:val="00EE0614"/>
    <w:rsid w:val="00EE0689"/>
    <w:rsid w:val="00EE082A"/>
    <w:rsid w:val="00EE0A1F"/>
    <w:rsid w:val="00EE0B4B"/>
    <w:rsid w:val="00EE0B53"/>
    <w:rsid w:val="00EE0DA9"/>
    <w:rsid w:val="00EE0DCF"/>
    <w:rsid w:val="00EE0F0D"/>
    <w:rsid w:val="00EE0F28"/>
    <w:rsid w:val="00EE0F38"/>
    <w:rsid w:val="00EE0FF5"/>
    <w:rsid w:val="00EE1038"/>
    <w:rsid w:val="00EE1052"/>
    <w:rsid w:val="00EE1056"/>
    <w:rsid w:val="00EE113E"/>
    <w:rsid w:val="00EE11CC"/>
    <w:rsid w:val="00EE11E7"/>
    <w:rsid w:val="00EE1282"/>
    <w:rsid w:val="00EE1336"/>
    <w:rsid w:val="00EE1488"/>
    <w:rsid w:val="00EE14AE"/>
    <w:rsid w:val="00EE198F"/>
    <w:rsid w:val="00EE1BBE"/>
    <w:rsid w:val="00EE1E35"/>
    <w:rsid w:val="00EE1E9C"/>
    <w:rsid w:val="00EE1EC8"/>
    <w:rsid w:val="00EE1F78"/>
    <w:rsid w:val="00EE20A3"/>
    <w:rsid w:val="00EE22C2"/>
    <w:rsid w:val="00EE2556"/>
    <w:rsid w:val="00EE263C"/>
    <w:rsid w:val="00EE26CB"/>
    <w:rsid w:val="00EE26DD"/>
    <w:rsid w:val="00EE27E0"/>
    <w:rsid w:val="00EE29AD"/>
    <w:rsid w:val="00EE2AE3"/>
    <w:rsid w:val="00EE2C48"/>
    <w:rsid w:val="00EE2C99"/>
    <w:rsid w:val="00EE2C9D"/>
    <w:rsid w:val="00EE2F1E"/>
    <w:rsid w:val="00EE310A"/>
    <w:rsid w:val="00EE341E"/>
    <w:rsid w:val="00EE34D0"/>
    <w:rsid w:val="00EE3554"/>
    <w:rsid w:val="00EE3830"/>
    <w:rsid w:val="00EE38C9"/>
    <w:rsid w:val="00EE39C6"/>
    <w:rsid w:val="00EE3A28"/>
    <w:rsid w:val="00EE3C54"/>
    <w:rsid w:val="00EE3C74"/>
    <w:rsid w:val="00EE3DE9"/>
    <w:rsid w:val="00EE3E24"/>
    <w:rsid w:val="00EE3FF6"/>
    <w:rsid w:val="00EE425E"/>
    <w:rsid w:val="00EE42D2"/>
    <w:rsid w:val="00EE4315"/>
    <w:rsid w:val="00EE4319"/>
    <w:rsid w:val="00EE444F"/>
    <w:rsid w:val="00EE45AE"/>
    <w:rsid w:val="00EE4610"/>
    <w:rsid w:val="00EE474B"/>
    <w:rsid w:val="00EE4874"/>
    <w:rsid w:val="00EE4898"/>
    <w:rsid w:val="00EE48DD"/>
    <w:rsid w:val="00EE4AB1"/>
    <w:rsid w:val="00EE4BD0"/>
    <w:rsid w:val="00EE4D5D"/>
    <w:rsid w:val="00EE4E9E"/>
    <w:rsid w:val="00EE4F65"/>
    <w:rsid w:val="00EE4FB9"/>
    <w:rsid w:val="00EE5131"/>
    <w:rsid w:val="00EE51B7"/>
    <w:rsid w:val="00EE5336"/>
    <w:rsid w:val="00EE54C6"/>
    <w:rsid w:val="00EE54E6"/>
    <w:rsid w:val="00EE55DD"/>
    <w:rsid w:val="00EE5A14"/>
    <w:rsid w:val="00EE5AE3"/>
    <w:rsid w:val="00EE5B3E"/>
    <w:rsid w:val="00EE5D29"/>
    <w:rsid w:val="00EE5D90"/>
    <w:rsid w:val="00EE5EF4"/>
    <w:rsid w:val="00EE5F26"/>
    <w:rsid w:val="00EE614F"/>
    <w:rsid w:val="00EE6214"/>
    <w:rsid w:val="00EE6409"/>
    <w:rsid w:val="00EE6476"/>
    <w:rsid w:val="00EE6817"/>
    <w:rsid w:val="00EE6A9E"/>
    <w:rsid w:val="00EE6AAD"/>
    <w:rsid w:val="00EE6CC3"/>
    <w:rsid w:val="00EE6CCD"/>
    <w:rsid w:val="00EE6DD6"/>
    <w:rsid w:val="00EE707A"/>
    <w:rsid w:val="00EE71C2"/>
    <w:rsid w:val="00EE7272"/>
    <w:rsid w:val="00EE72E6"/>
    <w:rsid w:val="00EE736C"/>
    <w:rsid w:val="00EE7932"/>
    <w:rsid w:val="00EE7CA9"/>
    <w:rsid w:val="00EE7DF9"/>
    <w:rsid w:val="00EF01F0"/>
    <w:rsid w:val="00EF021E"/>
    <w:rsid w:val="00EF0297"/>
    <w:rsid w:val="00EF0433"/>
    <w:rsid w:val="00EF045C"/>
    <w:rsid w:val="00EF04A9"/>
    <w:rsid w:val="00EF0717"/>
    <w:rsid w:val="00EF0852"/>
    <w:rsid w:val="00EF0DC2"/>
    <w:rsid w:val="00EF0DE3"/>
    <w:rsid w:val="00EF0E1E"/>
    <w:rsid w:val="00EF109B"/>
    <w:rsid w:val="00EF11A4"/>
    <w:rsid w:val="00EF123C"/>
    <w:rsid w:val="00EF12A0"/>
    <w:rsid w:val="00EF1337"/>
    <w:rsid w:val="00EF13CE"/>
    <w:rsid w:val="00EF16CA"/>
    <w:rsid w:val="00EF1741"/>
    <w:rsid w:val="00EF174C"/>
    <w:rsid w:val="00EF1874"/>
    <w:rsid w:val="00EF1950"/>
    <w:rsid w:val="00EF1A11"/>
    <w:rsid w:val="00EF201C"/>
    <w:rsid w:val="00EF24ED"/>
    <w:rsid w:val="00EF250C"/>
    <w:rsid w:val="00EF2593"/>
    <w:rsid w:val="00EF267B"/>
    <w:rsid w:val="00EF26F5"/>
    <w:rsid w:val="00EF277B"/>
    <w:rsid w:val="00EF27AC"/>
    <w:rsid w:val="00EF2888"/>
    <w:rsid w:val="00EF29BC"/>
    <w:rsid w:val="00EF2AB6"/>
    <w:rsid w:val="00EF2C00"/>
    <w:rsid w:val="00EF2C14"/>
    <w:rsid w:val="00EF2C71"/>
    <w:rsid w:val="00EF2C72"/>
    <w:rsid w:val="00EF2FC0"/>
    <w:rsid w:val="00EF32A3"/>
    <w:rsid w:val="00EF3386"/>
    <w:rsid w:val="00EF358D"/>
    <w:rsid w:val="00EF36AF"/>
    <w:rsid w:val="00EF3771"/>
    <w:rsid w:val="00EF38BD"/>
    <w:rsid w:val="00EF3A1D"/>
    <w:rsid w:val="00EF3CB7"/>
    <w:rsid w:val="00EF3CF0"/>
    <w:rsid w:val="00EF3EEA"/>
    <w:rsid w:val="00EF4078"/>
    <w:rsid w:val="00EF417B"/>
    <w:rsid w:val="00EF440B"/>
    <w:rsid w:val="00EF454E"/>
    <w:rsid w:val="00EF45A5"/>
    <w:rsid w:val="00EF4621"/>
    <w:rsid w:val="00EF46BD"/>
    <w:rsid w:val="00EF48B2"/>
    <w:rsid w:val="00EF4A3D"/>
    <w:rsid w:val="00EF4ADC"/>
    <w:rsid w:val="00EF4AFB"/>
    <w:rsid w:val="00EF4BD9"/>
    <w:rsid w:val="00EF4C40"/>
    <w:rsid w:val="00EF4C49"/>
    <w:rsid w:val="00EF4D01"/>
    <w:rsid w:val="00EF4D12"/>
    <w:rsid w:val="00EF4E75"/>
    <w:rsid w:val="00EF4F22"/>
    <w:rsid w:val="00EF506A"/>
    <w:rsid w:val="00EF51E4"/>
    <w:rsid w:val="00EF5240"/>
    <w:rsid w:val="00EF525A"/>
    <w:rsid w:val="00EF5572"/>
    <w:rsid w:val="00EF55B4"/>
    <w:rsid w:val="00EF573D"/>
    <w:rsid w:val="00EF57AC"/>
    <w:rsid w:val="00EF59A3"/>
    <w:rsid w:val="00EF5BCF"/>
    <w:rsid w:val="00EF60D7"/>
    <w:rsid w:val="00EF6107"/>
    <w:rsid w:val="00EF6214"/>
    <w:rsid w:val="00EF63DF"/>
    <w:rsid w:val="00EF6675"/>
    <w:rsid w:val="00EF6720"/>
    <w:rsid w:val="00EF68B8"/>
    <w:rsid w:val="00EF6A22"/>
    <w:rsid w:val="00EF6A8C"/>
    <w:rsid w:val="00EF6B93"/>
    <w:rsid w:val="00EF6C2D"/>
    <w:rsid w:val="00EF6C57"/>
    <w:rsid w:val="00EF6CD0"/>
    <w:rsid w:val="00EF6D85"/>
    <w:rsid w:val="00EF6E61"/>
    <w:rsid w:val="00EF6F9A"/>
    <w:rsid w:val="00EF70E6"/>
    <w:rsid w:val="00EF7511"/>
    <w:rsid w:val="00EF769A"/>
    <w:rsid w:val="00EF76D2"/>
    <w:rsid w:val="00EF7802"/>
    <w:rsid w:val="00EF78E3"/>
    <w:rsid w:val="00EF7919"/>
    <w:rsid w:val="00EF7933"/>
    <w:rsid w:val="00EF7AB9"/>
    <w:rsid w:val="00EF7C4F"/>
    <w:rsid w:val="00EF7D47"/>
    <w:rsid w:val="00F00064"/>
    <w:rsid w:val="00F0015D"/>
    <w:rsid w:val="00F00486"/>
    <w:rsid w:val="00F0048B"/>
    <w:rsid w:val="00F005ED"/>
    <w:rsid w:val="00F0063D"/>
    <w:rsid w:val="00F007B5"/>
    <w:rsid w:val="00F007D7"/>
    <w:rsid w:val="00F0096A"/>
    <w:rsid w:val="00F00A16"/>
    <w:rsid w:val="00F00A7A"/>
    <w:rsid w:val="00F00BE5"/>
    <w:rsid w:val="00F00CAC"/>
    <w:rsid w:val="00F00DE3"/>
    <w:rsid w:val="00F00F80"/>
    <w:rsid w:val="00F00F9C"/>
    <w:rsid w:val="00F011CA"/>
    <w:rsid w:val="00F013E3"/>
    <w:rsid w:val="00F018F2"/>
    <w:rsid w:val="00F01A61"/>
    <w:rsid w:val="00F01ACC"/>
    <w:rsid w:val="00F01C4D"/>
    <w:rsid w:val="00F01D36"/>
    <w:rsid w:val="00F01E5F"/>
    <w:rsid w:val="00F022A3"/>
    <w:rsid w:val="00F024F3"/>
    <w:rsid w:val="00F02675"/>
    <w:rsid w:val="00F027DD"/>
    <w:rsid w:val="00F02847"/>
    <w:rsid w:val="00F02872"/>
    <w:rsid w:val="00F02927"/>
    <w:rsid w:val="00F02A67"/>
    <w:rsid w:val="00F02AA5"/>
    <w:rsid w:val="00F02ABA"/>
    <w:rsid w:val="00F02AE9"/>
    <w:rsid w:val="00F02AED"/>
    <w:rsid w:val="00F02BF4"/>
    <w:rsid w:val="00F02C02"/>
    <w:rsid w:val="00F02C99"/>
    <w:rsid w:val="00F02EB3"/>
    <w:rsid w:val="00F03137"/>
    <w:rsid w:val="00F03392"/>
    <w:rsid w:val="00F033D2"/>
    <w:rsid w:val="00F0347E"/>
    <w:rsid w:val="00F036AF"/>
    <w:rsid w:val="00F0384E"/>
    <w:rsid w:val="00F03900"/>
    <w:rsid w:val="00F03934"/>
    <w:rsid w:val="00F03A56"/>
    <w:rsid w:val="00F03CC7"/>
    <w:rsid w:val="00F03D8F"/>
    <w:rsid w:val="00F03DAB"/>
    <w:rsid w:val="00F03F31"/>
    <w:rsid w:val="00F03F46"/>
    <w:rsid w:val="00F0401C"/>
    <w:rsid w:val="00F0437A"/>
    <w:rsid w:val="00F043D7"/>
    <w:rsid w:val="00F0441C"/>
    <w:rsid w:val="00F0451C"/>
    <w:rsid w:val="00F04664"/>
    <w:rsid w:val="00F0468F"/>
    <w:rsid w:val="00F046EC"/>
    <w:rsid w:val="00F0483D"/>
    <w:rsid w:val="00F049B5"/>
    <w:rsid w:val="00F04ABC"/>
    <w:rsid w:val="00F04C58"/>
    <w:rsid w:val="00F04D71"/>
    <w:rsid w:val="00F04ECC"/>
    <w:rsid w:val="00F04F63"/>
    <w:rsid w:val="00F050AF"/>
    <w:rsid w:val="00F050B6"/>
    <w:rsid w:val="00F0528B"/>
    <w:rsid w:val="00F053E9"/>
    <w:rsid w:val="00F0549A"/>
    <w:rsid w:val="00F054C9"/>
    <w:rsid w:val="00F057EF"/>
    <w:rsid w:val="00F058E2"/>
    <w:rsid w:val="00F05900"/>
    <w:rsid w:val="00F05A4D"/>
    <w:rsid w:val="00F06054"/>
    <w:rsid w:val="00F06057"/>
    <w:rsid w:val="00F0615D"/>
    <w:rsid w:val="00F061CA"/>
    <w:rsid w:val="00F06255"/>
    <w:rsid w:val="00F062EE"/>
    <w:rsid w:val="00F0639B"/>
    <w:rsid w:val="00F06433"/>
    <w:rsid w:val="00F064E4"/>
    <w:rsid w:val="00F064EC"/>
    <w:rsid w:val="00F06525"/>
    <w:rsid w:val="00F0680E"/>
    <w:rsid w:val="00F06823"/>
    <w:rsid w:val="00F06837"/>
    <w:rsid w:val="00F068B5"/>
    <w:rsid w:val="00F069FA"/>
    <w:rsid w:val="00F06B97"/>
    <w:rsid w:val="00F06D5B"/>
    <w:rsid w:val="00F072D4"/>
    <w:rsid w:val="00F07316"/>
    <w:rsid w:val="00F075B5"/>
    <w:rsid w:val="00F07601"/>
    <w:rsid w:val="00F076E4"/>
    <w:rsid w:val="00F077CF"/>
    <w:rsid w:val="00F078AE"/>
    <w:rsid w:val="00F07C2A"/>
    <w:rsid w:val="00F07E42"/>
    <w:rsid w:val="00F07FC3"/>
    <w:rsid w:val="00F100D7"/>
    <w:rsid w:val="00F101B8"/>
    <w:rsid w:val="00F103DB"/>
    <w:rsid w:val="00F10531"/>
    <w:rsid w:val="00F10585"/>
    <w:rsid w:val="00F105FE"/>
    <w:rsid w:val="00F10813"/>
    <w:rsid w:val="00F1098A"/>
    <w:rsid w:val="00F109E6"/>
    <w:rsid w:val="00F10EFB"/>
    <w:rsid w:val="00F10F73"/>
    <w:rsid w:val="00F10FEB"/>
    <w:rsid w:val="00F11037"/>
    <w:rsid w:val="00F11066"/>
    <w:rsid w:val="00F1110E"/>
    <w:rsid w:val="00F111DF"/>
    <w:rsid w:val="00F1128D"/>
    <w:rsid w:val="00F112C9"/>
    <w:rsid w:val="00F11340"/>
    <w:rsid w:val="00F11509"/>
    <w:rsid w:val="00F116BB"/>
    <w:rsid w:val="00F11743"/>
    <w:rsid w:val="00F117D7"/>
    <w:rsid w:val="00F117E3"/>
    <w:rsid w:val="00F11834"/>
    <w:rsid w:val="00F118FD"/>
    <w:rsid w:val="00F11B60"/>
    <w:rsid w:val="00F11C2A"/>
    <w:rsid w:val="00F11C7A"/>
    <w:rsid w:val="00F11D6C"/>
    <w:rsid w:val="00F11DFB"/>
    <w:rsid w:val="00F11EC7"/>
    <w:rsid w:val="00F11F05"/>
    <w:rsid w:val="00F11F82"/>
    <w:rsid w:val="00F12014"/>
    <w:rsid w:val="00F1219C"/>
    <w:rsid w:val="00F123B7"/>
    <w:rsid w:val="00F1240E"/>
    <w:rsid w:val="00F1257B"/>
    <w:rsid w:val="00F125E0"/>
    <w:rsid w:val="00F125F2"/>
    <w:rsid w:val="00F12618"/>
    <w:rsid w:val="00F12653"/>
    <w:rsid w:val="00F12887"/>
    <w:rsid w:val="00F129C4"/>
    <w:rsid w:val="00F12A0D"/>
    <w:rsid w:val="00F12B2C"/>
    <w:rsid w:val="00F12C1A"/>
    <w:rsid w:val="00F12E41"/>
    <w:rsid w:val="00F13051"/>
    <w:rsid w:val="00F130E8"/>
    <w:rsid w:val="00F13274"/>
    <w:rsid w:val="00F135B1"/>
    <w:rsid w:val="00F1379E"/>
    <w:rsid w:val="00F13927"/>
    <w:rsid w:val="00F139DA"/>
    <w:rsid w:val="00F13CD4"/>
    <w:rsid w:val="00F13D74"/>
    <w:rsid w:val="00F13DBA"/>
    <w:rsid w:val="00F1433E"/>
    <w:rsid w:val="00F1436D"/>
    <w:rsid w:val="00F14457"/>
    <w:rsid w:val="00F14488"/>
    <w:rsid w:val="00F145DF"/>
    <w:rsid w:val="00F14C06"/>
    <w:rsid w:val="00F14C23"/>
    <w:rsid w:val="00F14D22"/>
    <w:rsid w:val="00F14E0C"/>
    <w:rsid w:val="00F14F3E"/>
    <w:rsid w:val="00F14F80"/>
    <w:rsid w:val="00F14FAA"/>
    <w:rsid w:val="00F151C0"/>
    <w:rsid w:val="00F15447"/>
    <w:rsid w:val="00F15701"/>
    <w:rsid w:val="00F157BB"/>
    <w:rsid w:val="00F158AD"/>
    <w:rsid w:val="00F15A64"/>
    <w:rsid w:val="00F15C9D"/>
    <w:rsid w:val="00F15F12"/>
    <w:rsid w:val="00F15FB2"/>
    <w:rsid w:val="00F16084"/>
    <w:rsid w:val="00F1625B"/>
    <w:rsid w:val="00F162B9"/>
    <w:rsid w:val="00F162BA"/>
    <w:rsid w:val="00F164F0"/>
    <w:rsid w:val="00F1652C"/>
    <w:rsid w:val="00F165AB"/>
    <w:rsid w:val="00F1664D"/>
    <w:rsid w:val="00F1665A"/>
    <w:rsid w:val="00F168D0"/>
    <w:rsid w:val="00F1694C"/>
    <w:rsid w:val="00F16B8A"/>
    <w:rsid w:val="00F16CAE"/>
    <w:rsid w:val="00F16CB7"/>
    <w:rsid w:val="00F16D92"/>
    <w:rsid w:val="00F16DA7"/>
    <w:rsid w:val="00F16F1B"/>
    <w:rsid w:val="00F170C6"/>
    <w:rsid w:val="00F1716F"/>
    <w:rsid w:val="00F171AA"/>
    <w:rsid w:val="00F171DC"/>
    <w:rsid w:val="00F1723F"/>
    <w:rsid w:val="00F17240"/>
    <w:rsid w:val="00F172AE"/>
    <w:rsid w:val="00F173F2"/>
    <w:rsid w:val="00F1744F"/>
    <w:rsid w:val="00F174A4"/>
    <w:rsid w:val="00F174FC"/>
    <w:rsid w:val="00F1753F"/>
    <w:rsid w:val="00F17742"/>
    <w:rsid w:val="00F177B1"/>
    <w:rsid w:val="00F179D3"/>
    <w:rsid w:val="00F17A97"/>
    <w:rsid w:val="00F17BE2"/>
    <w:rsid w:val="00F17E65"/>
    <w:rsid w:val="00F17E7B"/>
    <w:rsid w:val="00F17F28"/>
    <w:rsid w:val="00F2038D"/>
    <w:rsid w:val="00F20447"/>
    <w:rsid w:val="00F20607"/>
    <w:rsid w:val="00F20861"/>
    <w:rsid w:val="00F20C04"/>
    <w:rsid w:val="00F20D9D"/>
    <w:rsid w:val="00F20E1E"/>
    <w:rsid w:val="00F20E86"/>
    <w:rsid w:val="00F20F4B"/>
    <w:rsid w:val="00F21024"/>
    <w:rsid w:val="00F21056"/>
    <w:rsid w:val="00F21059"/>
    <w:rsid w:val="00F2111F"/>
    <w:rsid w:val="00F213C7"/>
    <w:rsid w:val="00F21427"/>
    <w:rsid w:val="00F21429"/>
    <w:rsid w:val="00F2142B"/>
    <w:rsid w:val="00F2152C"/>
    <w:rsid w:val="00F2155F"/>
    <w:rsid w:val="00F2159B"/>
    <w:rsid w:val="00F21791"/>
    <w:rsid w:val="00F21960"/>
    <w:rsid w:val="00F21A68"/>
    <w:rsid w:val="00F21B2E"/>
    <w:rsid w:val="00F21E44"/>
    <w:rsid w:val="00F21E56"/>
    <w:rsid w:val="00F21E73"/>
    <w:rsid w:val="00F21F20"/>
    <w:rsid w:val="00F22284"/>
    <w:rsid w:val="00F229AB"/>
    <w:rsid w:val="00F22B2A"/>
    <w:rsid w:val="00F22E5C"/>
    <w:rsid w:val="00F22F4E"/>
    <w:rsid w:val="00F22FCB"/>
    <w:rsid w:val="00F23874"/>
    <w:rsid w:val="00F23978"/>
    <w:rsid w:val="00F23A9B"/>
    <w:rsid w:val="00F23B74"/>
    <w:rsid w:val="00F24517"/>
    <w:rsid w:val="00F24826"/>
    <w:rsid w:val="00F24895"/>
    <w:rsid w:val="00F24AEF"/>
    <w:rsid w:val="00F24E18"/>
    <w:rsid w:val="00F24E86"/>
    <w:rsid w:val="00F24F3D"/>
    <w:rsid w:val="00F24F43"/>
    <w:rsid w:val="00F24FD4"/>
    <w:rsid w:val="00F2505B"/>
    <w:rsid w:val="00F250A9"/>
    <w:rsid w:val="00F25244"/>
    <w:rsid w:val="00F2557F"/>
    <w:rsid w:val="00F258A9"/>
    <w:rsid w:val="00F2590E"/>
    <w:rsid w:val="00F25BBD"/>
    <w:rsid w:val="00F25C39"/>
    <w:rsid w:val="00F25CDC"/>
    <w:rsid w:val="00F25D23"/>
    <w:rsid w:val="00F25D5F"/>
    <w:rsid w:val="00F25E67"/>
    <w:rsid w:val="00F26133"/>
    <w:rsid w:val="00F26218"/>
    <w:rsid w:val="00F26520"/>
    <w:rsid w:val="00F26539"/>
    <w:rsid w:val="00F26677"/>
    <w:rsid w:val="00F2673D"/>
    <w:rsid w:val="00F267AF"/>
    <w:rsid w:val="00F26E93"/>
    <w:rsid w:val="00F26F35"/>
    <w:rsid w:val="00F2719D"/>
    <w:rsid w:val="00F272A9"/>
    <w:rsid w:val="00F273A3"/>
    <w:rsid w:val="00F27687"/>
    <w:rsid w:val="00F27926"/>
    <w:rsid w:val="00F27A6A"/>
    <w:rsid w:val="00F27B31"/>
    <w:rsid w:val="00F27B96"/>
    <w:rsid w:val="00F27C02"/>
    <w:rsid w:val="00F27E1F"/>
    <w:rsid w:val="00F3004F"/>
    <w:rsid w:val="00F3005D"/>
    <w:rsid w:val="00F3009A"/>
    <w:rsid w:val="00F300A9"/>
    <w:rsid w:val="00F30117"/>
    <w:rsid w:val="00F30119"/>
    <w:rsid w:val="00F3016A"/>
    <w:rsid w:val="00F301E8"/>
    <w:rsid w:val="00F30209"/>
    <w:rsid w:val="00F302AE"/>
    <w:rsid w:val="00F30320"/>
    <w:rsid w:val="00F3054E"/>
    <w:rsid w:val="00F30659"/>
    <w:rsid w:val="00F306FE"/>
    <w:rsid w:val="00F3087A"/>
    <w:rsid w:val="00F308B7"/>
    <w:rsid w:val="00F30ADC"/>
    <w:rsid w:val="00F30C1D"/>
    <w:rsid w:val="00F30C4A"/>
    <w:rsid w:val="00F30D30"/>
    <w:rsid w:val="00F30E49"/>
    <w:rsid w:val="00F30E7D"/>
    <w:rsid w:val="00F30F2B"/>
    <w:rsid w:val="00F30F61"/>
    <w:rsid w:val="00F30FD9"/>
    <w:rsid w:val="00F30FF4"/>
    <w:rsid w:val="00F31043"/>
    <w:rsid w:val="00F31115"/>
    <w:rsid w:val="00F311DD"/>
    <w:rsid w:val="00F311F5"/>
    <w:rsid w:val="00F3122E"/>
    <w:rsid w:val="00F31333"/>
    <w:rsid w:val="00F314D9"/>
    <w:rsid w:val="00F314ED"/>
    <w:rsid w:val="00F316F0"/>
    <w:rsid w:val="00F317A3"/>
    <w:rsid w:val="00F3181F"/>
    <w:rsid w:val="00F319A2"/>
    <w:rsid w:val="00F31B68"/>
    <w:rsid w:val="00F31E69"/>
    <w:rsid w:val="00F31F04"/>
    <w:rsid w:val="00F31FCD"/>
    <w:rsid w:val="00F32132"/>
    <w:rsid w:val="00F322C7"/>
    <w:rsid w:val="00F3235A"/>
    <w:rsid w:val="00F32368"/>
    <w:rsid w:val="00F3256C"/>
    <w:rsid w:val="00F3274C"/>
    <w:rsid w:val="00F32894"/>
    <w:rsid w:val="00F32AAA"/>
    <w:rsid w:val="00F32ADA"/>
    <w:rsid w:val="00F32B94"/>
    <w:rsid w:val="00F32CC9"/>
    <w:rsid w:val="00F32DF4"/>
    <w:rsid w:val="00F32F9C"/>
    <w:rsid w:val="00F3314D"/>
    <w:rsid w:val="00F331AD"/>
    <w:rsid w:val="00F3371E"/>
    <w:rsid w:val="00F3385E"/>
    <w:rsid w:val="00F338C3"/>
    <w:rsid w:val="00F338DD"/>
    <w:rsid w:val="00F338FA"/>
    <w:rsid w:val="00F33BD8"/>
    <w:rsid w:val="00F33E16"/>
    <w:rsid w:val="00F33F5A"/>
    <w:rsid w:val="00F345B8"/>
    <w:rsid w:val="00F346BF"/>
    <w:rsid w:val="00F349BD"/>
    <w:rsid w:val="00F34AC4"/>
    <w:rsid w:val="00F351F1"/>
    <w:rsid w:val="00F35287"/>
    <w:rsid w:val="00F3557E"/>
    <w:rsid w:val="00F355D7"/>
    <w:rsid w:val="00F356D9"/>
    <w:rsid w:val="00F35762"/>
    <w:rsid w:val="00F35800"/>
    <w:rsid w:val="00F358FB"/>
    <w:rsid w:val="00F3596A"/>
    <w:rsid w:val="00F35A75"/>
    <w:rsid w:val="00F35C67"/>
    <w:rsid w:val="00F35ED7"/>
    <w:rsid w:val="00F36266"/>
    <w:rsid w:val="00F362C4"/>
    <w:rsid w:val="00F36602"/>
    <w:rsid w:val="00F36654"/>
    <w:rsid w:val="00F367CC"/>
    <w:rsid w:val="00F36A2A"/>
    <w:rsid w:val="00F36A2B"/>
    <w:rsid w:val="00F36C0E"/>
    <w:rsid w:val="00F36C34"/>
    <w:rsid w:val="00F36C3E"/>
    <w:rsid w:val="00F36C75"/>
    <w:rsid w:val="00F36EB8"/>
    <w:rsid w:val="00F36EBD"/>
    <w:rsid w:val="00F36EBE"/>
    <w:rsid w:val="00F36EC0"/>
    <w:rsid w:val="00F37141"/>
    <w:rsid w:val="00F371C7"/>
    <w:rsid w:val="00F371C8"/>
    <w:rsid w:val="00F37309"/>
    <w:rsid w:val="00F373FF"/>
    <w:rsid w:val="00F37470"/>
    <w:rsid w:val="00F37525"/>
    <w:rsid w:val="00F375B7"/>
    <w:rsid w:val="00F37633"/>
    <w:rsid w:val="00F37702"/>
    <w:rsid w:val="00F377B8"/>
    <w:rsid w:val="00F377E5"/>
    <w:rsid w:val="00F3788C"/>
    <w:rsid w:val="00F37B80"/>
    <w:rsid w:val="00F4008D"/>
    <w:rsid w:val="00F403D4"/>
    <w:rsid w:val="00F40455"/>
    <w:rsid w:val="00F40590"/>
    <w:rsid w:val="00F406D1"/>
    <w:rsid w:val="00F4087F"/>
    <w:rsid w:val="00F4098C"/>
    <w:rsid w:val="00F40A70"/>
    <w:rsid w:val="00F40B47"/>
    <w:rsid w:val="00F40C36"/>
    <w:rsid w:val="00F40D99"/>
    <w:rsid w:val="00F40E71"/>
    <w:rsid w:val="00F41050"/>
    <w:rsid w:val="00F41193"/>
    <w:rsid w:val="00F4125B"/>
    <w:rsid w:val="00F4163C"/>
    <w:rsid w:val="00F41651"/>
    <w:rsid w:val="00F41752"/>
    <w:rsid w:val="00F419B8"/>
    <w:rsid w:val="00F41CD2"/>
    <w:rsid w:val="00F41E36"/>
    <w:rsid w:val="00F41EA7"/>
    <w:rsid w:val="00F41F8B"/>
    <w:rsid w:val="00F42131"/>
    <w:rsid w:val="00F4272D"/>
    <w:rsid w:val="00F4279F"/>
    <w:rsid w:val="00F42AE1"/>
    <w:rsid w:val="00F42E1A"/>
    <w:rsid w:val="00F42F58"/>
    <w:rsid w:val="00F4343A"/>
    <w:rsid w:val="00F434B7"/>
    <w:rsid w:val="00F435F1"/>
    <w:rsid w:val="00F43822"/>
    <w:rsid w:val="00F43905"/>
    <w:rsid w:val="00F43A37"/>
    <w:rsid w:val="00F43BCE"/>
    <w:rsid w:val="00F43C23"/>
    <w:rsid w:val="00F43EB7"/>
    <w:rsid w:val="00F4408F"/>
    <w:rsid w:val="00F4409D"/>
    <w:rsid w:val="00F444CF"/>
    <w:rsid w:val="00F447CF"/>
    <w:rsid w:val="00F44925"/>
    <w:rsid w:val="00F44ACE"/>
    <w:rsid w:val="00F44B5A"/>
    <w:rsid w:val="00F44B72"/>
    <w:rsid w:val="00F44BFB"/>
    <w:rsid w:val="00F44DB9"/>
    <w:rsid w:val="00F450F0"/>
    <w:rsid w:val="00F45191"/>
    <w:rsid w:val="00F45204"/>
    <w:rsid w:val="00F45333"/>
    <w:rsid w:val="00F45398"/>
    <w:rsid w:val="00F453B9"/>
    <w:rsid w:val="00F45452"/>
    <w:rsid w:val="00F45471"/>
    <w:rsid w:val="00F454D4"/>
    <w:rsid w:val="00F45519"/>
    <w:rsid w:val="00F45598"/>
    <w:rsid w:val="00F456E7"/>
    <w:rsid w:val="00F457AE"/>
    <w:rsid w:val="00F458CC"/>
    <w:rsid w:val="00F4599F"/>
    <w:rsid w:val="00F459A4"/>
    <w:rsid w:val="00F45A25"/>
    <w:rsid w:val="00F45B36"/>
    <w:rsid w:val="00F45B95"/>
    <w:rsid w:val="00F45CAE"/>
    <w:rsid w:val="00F45E95"/>
    <w:rsid w:val="00F4604C"/>
    <w:rsid w:val="00F460B1"/>
    <w:rsid w:val="00F460BC"/>
    <w:rsid w:val="00F4611B"/>
    <w:rsid w:val="00F4615A"/>
    <w:rsid w:val="00F4641B"/>
    <w:rsid w:val="00F46435"/>
    <w:rsid w:val="00F46516"/>
    <w:rsid w:val="00F46641"/>
    <w:rsid w:val="00F4668C"/>
    <w:rsid w:val="00F467F4"/>
    <w:rsid w:val="00F46B62"/>
    <w:rsid w:val="00F46D42"/>
    <w:rsid w:val="00F46E4F"/>
    <w:rsid w:val="00F46E95"/>
    <w:rsid w:val="00F46EB8"/>
    <w:rsid w:val="00F46FB7"/>
    <w:rsid w:val="00F4706E"/>
    <w:rsid w:val="00F471B2"/>
    <w:rsid w:val="00F47202"/>
    <w:rsid w:val="00F472E5"/>
    <w:rsid w:val="00F4737E"/>
    <w:rsid w:val="00F47630"/>
    <w:rsid w:val="00F47880"/>
    <w:rsid w:val="00F47C35"/>
    <w:rsid w:val="00F47CED"/>
    <w:rsid w:val="00F47FD5"/>
    <w:rsid w:val="00F5010E"/>
    <w:rsid w:val="00F50278"/>
    <w:rsid w:val="00F502C0"/>
    <w:rsid w:val="00F50671"/>
    <w:rsid w:val="00F508E7"/>
    <w:rsid w:val="00F509C5"/>
    <w:rsid w:val="00F509EC"/>
    <w:rsid w:val="00F50C1A"/>
    <w:rsid w:val="00F50C70"/>
    <w:rsid w:val="00F50CAE"/>
    <w:rsid w:val="00F50CD1"/>
    <w:rsid w:val="00F50CD7"/>
    <w:rsid w:val="00F50D80"/>
    <w:rsid w:val="00F51037"/>
    <w:rsid w:val="00F511C7"/>
    <w:rsid w:val="00F511E4"/>
    <w:rsid w:val="00F513BC"/>
    <w:rsid w:val="00F5168C"/>
    <w:rsid w:val="00F5180F"/>
    <w:rsid w:val="00F51873"/>
    <w:rsid w:val="00F5193F"/>
    <w:rsid w:val="00F51B8C"/>
    <w:rsid w:val="00F522A9"/>
    <w:rsid w:val="00F5231A"/>
    <w:rsid w:val="00F523E6"/>
    <w:rsid w:val="00F52785"/>
    <w:rsid w:val="00F527A0"/>
    <w:rsid w:val="00F528DB"/>
    <w:rsid w:val="00F52A1D"/>
    <w:rsid w:val="00F52D09"/>
    <w:rsid w:val="00F52D16"/>
    <w:rsid w:val="00F52E08"/>
    <w:rsid w:val="00F52E6E"/>
    <w:rsid w:val="00F530E3"/>
    <w:rsid w:val="00F53505"/>
    <w:rsid w:val="00F537E9"/>
    <w:rsid w:val="00F538C3"/>
    <w:rsid w:val="00F53A66"/>
    <w:rsid w:val="00F53BAA"/>
    <w:rsid w:val="00F53C4E"/>
    <w:rsid w:val="00F53CB9"/>
    <w:rsid w:val="00F53D25"/>
    <w:rsid w:val="00F53D87"/>
    <w:rsid w:val="00F53F03"/>
    <w:rsid w:val="00F540ED"/>
    <w:rsid w:val="00F5462D"/>
    <w:rsid w:val="00F54912"/>
    <w:rsid w:val="00F54A4B"/>
    <w:rsid w:val="00F54F4F"/>
    <w:rsid w:val="00F55054"/>
    <w:rsid w:val="00F550A1"/>
    <w:rsid w:val="00F5537C"/>
    <w:rsid w:val="00F5549D"/>
    <w:rsid w:val="00F55631"/>
    <w:rsid w:val="00F557E4"/>
    <w:rsid w:val="00F55959"/>
    <w:rsid w:val="00F559E1"/>
    <w:rsid w:val="00F55A98"/>
    <w:rsid w:val="00F55B07"/>
    <w:rsid w:val="00F55B21"/>
    <w:rsid w:val="00F55B7F"/>
    <w:rsid w:val="00F55BE8"/>
    <w:rsid w:val="00F55D72"/>
    <w:rsid w:val="00F55E09"/>
    <w:rsid w:val="00F55E83"/>
    <w:rsid w:val="00F55EEF"/>
    <w:rsid w:val="00F55F2A"/>
    <w:rsid w:val="00F564E8"/>
    <w:rsid w:val="00F566B8"/>
    <w:rsid w:val="00F56727"/>
    <w:rsid w:val="00F56790"/>
    <w:rsid w:val="00F56808"/>
    <w:rsid w:val="00F56AB7"/>
    <w:rsid w:val="00F56BF7"/>
    <w:rsid w:val="00F56C25"/>
    <w:rsid w:val="00F56E99"/>
    <w:rsid w:val="00F56EF6"/>
    <w:rsid w:val="00F56FDE"/>
    <w:rsid w:val="00F57046"/>
    <w:rsid w:val="00F57220"/>
    <w:rsid w:val="00F574FA"/>
    <w:rsid w:val="00F576AC"/>
    <w:rsid w:val="00F576CF"/>
    <w:rsid w:val="00F5782B"/>
    <w:rsid w:val="00F57DB9"/>
    <w:rsid w:val="00F57E1B"/>
    <w:rsid w:val="00F57ECC"/>
    <w:rsid w:val="00F57F8F"/>
    <w:rsid w:val="00F57F91"/>
    <w:rsid w:val="00F6004B"/>
    <w:rsid w:val="00F60082"/>
    <w:rsid w:val="00F60274"/>
    <w:rsid w:val="00F60508"/>
    <w:rsid w:val="00F606C5"/>
    <w:rsid w:val="00F6080E"/>
    <w:rsid w:val="00F60B3C"/>
    <w:rsid w:val="00F60D34"/>
    <w:rsid w:val="00F60F3B"/>
    <w:rsid w:val="00F6129E"/>
    <w:rsid w:val="00F613FF"/>
    <w:rsid w:val="00F61595"/>
    <w:rsid w:val="00F615FE"/>
    <w:rsid w:val="00F617C4"/>
    <w:rsid w:val="00F61829"/>
    <w:rsid w:val="00F61921"/>
    <w:rsid w:val="00F61A2F"/>
    <w:rsid w:val="00F61A9F"/>
    <w:rsid w:val="00F61B5F"/>
    <w:rsid w:val="00F61BA2"/>
    <w:rsid w:val="00F61BDE"/>
    <w:rsid w:val="00F61F65"/>
    <w:rsid w:val="00F6204A"/>
    <w:rsid w:val="00F621A6"/>
    <w:rsid w:val="00F627F2"/>
    <w:rsid w:val="00F62B04"/>
    <w:rsid w:val="00F62B88"/>
    <w:rsid w:val="00F62C32"/>
    <w:rsid w:val="00F62CD4"/>
    <w:rsid w:val="00F62D6B"/>
    <w:rsid w:val="00F630C8"/>
    <w:rsid w:val="00F630FE"/>
    <w:rsid w:val="00F63448"/>
    <w:rsid w:val="00F634CC"/>
    <w:rsid w:val="00F635D1"/>
    <w:rsid w:val="00F6387B"/>
    <w:rsid w:val="00F63A5C"/>
    <w:rsid w:val="00F63F83"/>
    <w:rsid w:val="00F640CD"/>
    <w:rsid w:val="00F64144"/>
    <w:rsid w:val="00F6435E"/>
    <w:rsid w:val="00F645EE"/>
    <w:rsid w:val="00F645F8"/>
    <w:rsid w:val="00F64696"/>
    <w:rsid w:val="00F6490B"/>
    <w:rsid w:val="00F64923"/>
    <w:rsid w:val="00F64C8F"/>
    <w:rsid w:val="00F64DFC"/>
    <w:rsid w:val="00F64E08"/>
    <w:rsid w:val="00F64F9A"/>
    <w:rsid w:val="00F6502D"/>
    <w:rsid w:val="00F650A5"/>
    <w:rsid w:val="00F6512B"/>
    <w:rsid w:val="00F653E6"/>
    <w:rsid w:val="00F653E7"/>
    <w:rsid w:val="00F657F3"/>
    <w:rsid w:val="00F658D8"/>
    <w:rsid w:val="00F65924"/>
    <w:rsid w:val="00F6598C"/>
    <w:rsid w:val="00F659B0"/>
    <w:rsid w:val="00F659E6"/>
    <w:rsid w:val="00F65A15"/>
    <w:rsid w:val="00F65AA9"/>
    <w:rsid w:val="00F65CDA"/>
    <w:rsid w:val="00F65F13"/>
    <w:rsid w:val="00F65F5D"/>
    <w:rsid w:val="00F66475"/>
    <w:rsid w:val="00F6650A"/>
    <w:rsid w:val="00F66536"/>
    <w:rsid w:val="00F66853"/>
    <w:rsid w:val="00F66999"/>
    <w:rsid w:val="00F66E40"/>
    <w:rsid w:val="00F66E73"/>
    <w:rsid w:val="00F66F4D"/>
    <w:rsid w:val="00F67259"/>
    <w:rsid w:val="00F67301"/>
    <w:rsid w:val="00F67322"/>
    <w:rsid w:val="00F67359"/>
    <w:rsid w:val="00F6768F"/>
    <w:rsid w:val="00F677FD"/>
    <w:rsid w:val="00F67B2F"/>
    <w:rsid w:val="00F67B48"/>
    <w:rsid w:val="00F67BE8"/>
    <w:rsid w:val="00F67CE4"/>
    <w:rsid w:val="00F67E18"/>
    <w:rsid w:val="00F67ED9"/>
    <w:rsid w:val="00F67F2A"/>
    <w:rsid w:val="00F70048"/>
    <w:rsid w:val="00F7025C"/>
    <w:rsid w:val="00F70431"/>
    <w:rsid w:val="00F70496"/>
    <w:rsid w:val="00F70635"/>
    <w:rsid w:val="00F706B7"/>
    <w:rsid w:val="00F706FD"/>
    <w:rsid w:val="00F70BD2"/>
    <w:rsid w:val="00F70C57"/>
    <w:rsid w:val="00F70DD8"/>
    <w:rsid w:val="00F70E5A"/>
    <w:rsid w:val="00F70EF8"/>
    <w:rsid w:val="00F70FC7"/>
    <w:rsid w:val="00F7111F"/>
    <w:rsid w:val="00F71187"/>
    <w:rsid w:val="00F712A1"/>
    <w:rsid w:val="00F713D1"/>
    <w:rsid w:val="00F715F3"/>
    <w:rsid w:val="00F71C50"/>
    <w:rsid w:val="00F71C7D"/>
    <w:rsid w:val="00F71CAC"/>
    <w:rsid w:val="00F71EAD"/>
    <w:rsid w:val="00F72150"/>
    <w:rsid w:val="00F723E3"/>
    <w:rsid w:val="00F7243B"/>
    <w:rsid w:val="00F7258F"/>
    <w:rsid w:val="00F72947"/>
    <w:rsid w:val="00F72950"/>
    <w:rsid w:val="00F72BBC"/>
    <w:rsid w:val="00F72C2C"/>
    <w:rsid w:val="00F72CD0"/>
    <w:rsid w:val="00F72FB2"/>
    <w:rsid w:val="00F73028"/>
    <w:rsid w:val="00F73033"/>
    <w:rsid w:val="00F7303C"/>
    <w:rsid w:val="00F7307C"/>
    <w:rsid w:val="00F73172"/>
    <w:rsid w:val="00F733BF"/>
    <w:rsid w:val="00F73474"/>
    <w:rsid w:val="00F73A19"/>
    <w:rsid w:val="00F73B5B"/>
    <w:rsid w:val="00F73BA8"/>
    <w:rsid w:val="00F73BDF"/>
    <w:rsid w:val="00F73C19"/>
    <w:rsid w:val="00F73D75"/>
    <w:rsid w:val="00F73E01"/>
    <w:rsid w:val="00F73E6D"/>
    <w:rsid w:val="00F73E93"/>
    <w:rsid w:val="00F74016"/>
    <w:rsid w:val="00F740A5"/>
    <w:rsid w:val="00F7410D"/>
    <w:rsid w:val="00F741F2"/>
    <w:rsid w:val="00F74218"/>
    <w:rsid w:val="00F742BB"/>
    <w:rsid w:val="00F743D8"/>
    <w:rsid w:val="00F744A3"/>
    <w:rsid w:val="00F744EA"/>
    <w:rsid w:val="00F7453D"/>
    <w:rsid w:val="00F74588"/>
    <w:rsid w:val="00F74657"/>
    <w:rsid w:val="00F74B26"/>
    <w:rsid w:val="00F74BDA"/>
    <w:rsid w:val="00F74D95"/>
    <w:rsid w:val="00F74EDE"/>
    <w:rsid w:val="00F75169"/>
    <w:rsid w:val="00F751E9"/>
    <w:rsid w:val="00F753DB"/>
    <w:rsid w:val="00F755DA"/>
    <w:rsid w:val="00F7567E"/>
    <w:rsid w:val="00F758CF"/>
    <w:rsid w:val="00F758F4"/>
    <w:rsid w:val="00F75CC9"/>
    <w:rsid w:val="00F761A9"/>
    <w:rsid w:val="00F76800"/>
    <w:rsid w:val="00F76932"/>
    <w:rsid w:val="00F76AC4"/>
    <w:rsid w:val="00F76C49"/>
    <w:rsid w:val="00F76CAB"/>
    <w:rsid w:val="00F76DD3"/>
    <w:rsid w:val="00F76F0E"/>
    <w:rsid w:val="00F76FE4"/>
    <w:rsid w:val="00F76FF3"/>
    <w:rsid w:val="00F77030"/>
    <w:rsid w:val="00F771A5"/>
    <w:rsid w:val="00F771CE"/>
    <w:rsid w:val="00F772C6"/>
    <w:rsid w:val="00F77385"/>
    <w:rsid w:val="00F773CD"/>
    <w:rsid w:val="00F774F9"/>
    <w:rsid w:val="00F7750D"/>
    <w:rsid w:val="00F777CF"/>
    <w:rsid w:val="00F77AE5"/>
    <w:rsid w:val="00F77C97"/>
    <w:rsid w:val="00F77CC3"/>
    <w:rsid w:val="00F77ED3"/>
    <w:rsid w:val="00F77FCC"/>
    <w:rsid w:val="00F801B6"/>
    <w:rsid w:val="00F801FF"/>
    <w:rsid w:val="00F80353"/>
    <w:rsid w:val="00F80367"/>
    <w:rsid w:val="00F804C9"/>
    <w:rsid w:val="00F8068C"/>
    <w:rsid w:val="00F80B32"/>
    <w:rsid w:val="00F80BE7"/>
    <w:rsid w:val="00F80DC9"/>
    <w:rsid w:val="00F80F3D"/>
    <w:rsid w:val="00F80F6B"/>
    <w:rsid w:val="00F81084"/>
    <w:rsid w:val="00F81284"/>
    <w:rsid w:val="00F812F8"/>
    <w:rsid w:val="00F8139C"/>
    <w:rsid w:val="00F8140D"/>
    <w:rsid w:val="00F814FD"/>
    <w:rsid w:val="00F8152D"/>
    <w:rsid w:val="00F815B5"/>
    <w:rsid w:val="00F815C5"/>
    <w:rsid w:val="00F817E1"/>
    <w:rsid w:val="00F8183C"/>
    <w:rsid w:val="00F81FA6"/>
    <w:rsid w:val="00F82025"/>
    <w:rsid w:val="00F8206E"/>
    <w:rsid w:val="00F8216E"/>
    <w:rsid w:val="00F821E6"/>
    <w:rsid w:val="00F8252F"/>
    <w:rsid w:val="00F82696"/>
    <w:rsid w:val="00F82B40"/>
    <w:rsid w:val="00F82D20"/>
    <w:rsid w:val="00F82ED1"/>
    <w:rsid w:val="00F82FD0"/>
    <w:rsid w:val="00F83172"/>
    <w:rsid w:val="00F833BF"/>
    <w:rsid w:val="00F835CD"/>
    <w:rsid w:val="00F8363A"/>
    <w:rsid w:val="00F83762"/>
    <w:rsid w:val="00F83A84"/>
    <w:rsid w:val="00F83BA2"/>
    <w:rsid w:val="00F83C94"/>
    <w:rsid w:val="00F83D9D"/>
    <w:rsid w:val="00F83F2C"/>
    <w:rsid w:val="00F840C5"/>
    <w:rsid w:val="00F84115"/>
    <w:rsid w:val="00F844BD"/>
    <w:rsid w:val="00F84504"/>
    <w:rsid w:val="00F84561"/>
    <w:rsid w:val="00F8461B"/>
    <w:rsid w:val="00F84997"/>
    <w:rsid w:val="00F84ABA"/>
    <w:rsid w:val="00F84B49"/>
    <w:rsid w:val="00F84BFE"/>
    <w:rsid w:val="00F84D72"/>
    <w:rsid w:val="00F84DCF"/>
    <w:rsid w:val="00F8508E"/>
    <w:rsid w:val="00F85195"/>
    <w:rsid w:val="00F853ED"/>
    <w:rsid w:val="00F85433"/>
    <w:rsid w:val="00F8547A"/>
    <w:rsid w:val="00F85565"/>
    <w:rsid w:val="00F85690"/>
    <w:rsid w:val="00F85845"/>
    <w:rsid w:val="00F85A54"/>
    <w:rsid w:val="00F85B84"/>
    <w:rsid w:val="00F85E2C"/>
    <w:rsid w:val="00F85E8C"/>
    <w:rsid w:val="00F85FA6"/>
    <w:rsid w:val="00F860FA"/>
    <w:rsid w:val="00F86127"/>
    <w:rsid w:val="00F86283"/>
    <w:rsid w:val="00F862DF"/>
    <w:rsid w:val="00F8658F"/>
    <w:rsid w:val="00F865CD"/>
    <w:rsid w:val="00F86640"/>
    <w:rsid w:val="00F866FF"/>
    <w:rsid w:val="00F8683D"/>
    <w:rsid w:val="00F868E3"/>
    <w:rsid w:val="00F8697F"/>
    <w:rsid w:val="00F86A04"/>
    <w:rsid w:val="00F86A07"/>
    <w:rsid w:val="00F86C4A"/>
    <w:rsid w:val="00F86D8E"/>
    <w:rsid w:val="00F86EF5"/>
    <w:rsid w:val="00F86F4B"/>
    <w:rsid w:val="00F86F4C"/>
    <w:rsid w:val="00F8739B"/>
    <w:rsid w:val="00F87465"/>
    <w:rsid w:val="00F875D6"/>
    <w:rsid w:val="00F87911"/>
    <w:rsid w:val="00F87E39"/>
    <w:rsid w:val="00F87ED7"/>
    <w:rsid w:val="00F87FF5"/>
    <w:rsid w:val="00F90073"/>
    <w:rsid w:val="00F90213"/>
    <w:rsid w:val="00F90363"/>
    <w:rsid w:val="00F90408"/>
    <w:rsid w:val="00F90610"/>
    <w:rsid w:val="00F90A8F"/>
    <w:rsid w:val="00F90D39"/>
    <w:rsid w:val="00F90F2C"/>
    <w:rsid w:val="00F9116A"/>
    <w:rsid w:val="00F91294"/>
    <w:rsid w:val="00F912CA"/>
    <w:rsid w:val="00F913C6"/>
    <w:rsid w:val="00F91426"/>
    <w:rsid w:val="00F914BE"/>
    <w:rsid w:val="00F915EF"/>
    <w:rsid w:val="00F91695"/>
    <w:rsid w:val="00F9196F"/>
    <w:rsid w:val="00F91AC7"/>
    <w:rsid w:val="00F91BAD"/>
    <w:rsid w:val="00F91D8D"/>
    <w:rsid w:val="00F91E0E"/>
    <w:rsid w:val="00F91F46"/>
    <w:rsid w:val="00F91F9C"/>
    <w:rsid w:val="00F91FB2"/>
    <w:rsid w:val="00F920A1"/>
    <w:rsid w:val="00F9235F"/>
    <w:rsid w:val="00F92494"/>
    <w:rsid w:val="00F9255A"/>
    <w:rsid w:val="00F926AA"/>
    <w:rsid w:val="00F928C2"/>
    <w:rsid w:val="00F92B41"/>
    <w:rsid w:val="00F92D36"/>
    <w:rsid w:val="00F92EED"/>
    <w:rsid w:val="00F92FFC"/>
    <w:rsid w:val="00F930D4"/>
    <w:rsid w:val="00F9319E"/>
    <w:rsid w:val="00F932D3"/>
    <w:rsid w:val="00F933E1"/>
    <w:rsid w:val="00F93497"/>
    <w:rsid w:val="00F935D0"/>
    <w:rsid w:val="00F9365A"/>
    <w:rsid w:val="00F938BA"/>
    <w:rsid w:val="00F9398C"/>
    <w:rsid w:val="00F93A83"/>
    <w:rsid w:val="00F93AAB"/>
    <w:rsid w:val="00F93C85"/>
    <w:rsid w:val="00F93E7F"/>
    <w:rsid w:val="00F93EA5"/>
    <w:rsid w:val="00F940A8"/>
    <w:rsid w:val="00F94291"/>
    <w:rsid w:val="00F94410"/>
    <w:rsid w:val="00F94545"/>
    <w:rsid w:val="00F945B5"/>
    <w:rsid w:val="00F945F0"/>
    <w:rsid w:val="00F947A1"/>
    <w:rsid w:val="00F948AD"/>
    <w:rsid w:val="00F94941"/>
    <w:rsid w:val="00F949D6"/>
    <w:rsid w:val="00F94A82"/>
    <w:rsid w:val="00F94ABE"/>
    <w:rsid w:val="00F94BBF"/>
    <w:rsid w:val="00F94C67"/>
    <w:rsid w:val="00F94E31"/>
    <w:rsid w:val="00F94EB7"/>
    <w:rsid w:val="00F94F90"/>
    <w:rsid w:val="00F95105"/>
    <w:rsid w:val="00F9544D"/>
    <w:rsid w:val="00F9549B"/>
    <w:rsid w:val="00F95B15"/>
    <w:rsid w:val="00F95C13"/>
    <w:rsid w:val="00F95C2B"/>
    <w:rsid w:val="00F95D2C"/>
    <w:rsid w:val="00F95E3F"/>
    <w:rsid w:val="00F95F08"/>
    <w:rsid w:val="00F9602C"/>
    <w:rsid w:val="00F96356"/>
    <w:rsid w:val="00F963DC"/>
    <w:rsid w:val="00F9640C"/>
    <w:rsid w:val="00F968CD"/>
    <w:rsid w:val="00F96946"/>
    <w:rsid w:val="00F9698B"/>
    <w:rsid w:val="00F96C8B"/>
    <w:rsid w:val="00F96E8F"/>
    <w:rsid w:val="00F96EB0"/>
    <w:rsid w:val="00F96F73"/>
    <w:rsid w:val="00F96FE4"/>
    <w:rsid w:val="00F970B5"/>
    <w:rsid w:val="00F9719F"/>
    <w:rsid w:val="00F9730C"/>
    <w:rsid w:val="00F973CA"/>
    <w:rsid w:val="00F974A4"/>
    <w:rsid w:val="00F97645"/>
    <w:rsid w:val="00F97670"/>
    <w:rsid w:val="00F976D8"/>
    <w:rsid w:val="00F977DC"/>
    <w:rsid w:val="00F978BD"/>
    <w:rsid w:val="00F97919"/>
    <w:rsid w:val="00F979A4"/>
    <w:rsid w:val="00F97B50"/>
    <w:rsid w:val="00F97BAB"/>
    <w:rsid w:val="00F97BF5"/>
    <w:rsid w:val="00F97C59"/>
    <w:rsid w:val="00F97D38"/>
    <w:rsid w:val="00F97F98"/>
    <w:rsid w:val="00F97FB6"/>
    <w:rsid w:val="00FA00C5"/>
    <w:rsid w:val="00FA01FF"/>
    <w:rsid w:val="00FA029F"/>
    <w:rsid w:val="00FA02E8"/>
    <w:rsid w:val="00FA0323"/>
    <w:rsid w:val="00FA07BF"/>
    <w:rsid w:val="00FA0C41"/>
    <w:rsid w:val="00FA0CCF"/>
    <w:rsid w:val="00FA0D80"/>
    <w:rsid w:val="00FA1039"/>
    <w:rsid w:val="00FA1162"/>
    <w:rsid w:val="00FA11B7"/>
    <w:rsid w:val="00FA128F"/>
    <w:rsid w:val="00FA14C8"/>
    <w:rsid w:val="00FA15E6"/>
    <w:rsid w:val="00FA162B"/>
    <w:rsid w:val="00FA16D1"/>
    <w:rsid w:val="00FA174B"/>
    <w:rsid w:val="00FA1893"/>
    <w:rsid w:val="00FA1B88"/>
    <w:rsid w:val="00FA1C34"/>
    <w:rsid w:val="00FA1D40"/>
    <w:rsid w:val="00FA1D5D"/>
    <w:rsid w:val="00FA2133"/>
    <w:rsid w:val="00FA2218"/>
    <w:rsid w:val="00FA23A5"/>
    <w:rsid w:val="00FA23C2"/>
    <w:rsid w:val="00FA2499"/>
    <w:rsid w:val="00FA2A6E"/>
    <w:rsid w:val="00FA2A84"/>
    <w:rsid w:val="00FA2A9F"/>
    <w:rsid w:val="00FA2AF9"/>
    <w:rsid w:val="00FA2B1E"/>
    <w:rsid w:val="00FA2C46"/>
    <w:rsid w:val="00FA2E2F"/>
    <w:rsid w:val="00FA2EA3"/>
    <w:rsid w:val="00FA2F42"/>
    <w:rsid w:val="00FA3059"/>
    <w:rsid w:val="00FA30A7"/>
    <w:rsid w:val="00FA3254"/>
    <w:rsid w:val="00FA328E"/>
    <w:rsid w:val="00FA32A5"/>
    <w:rsid w:val="00FA334E"/>
    <w:rsid w:val="00FA34D7"/>
    <w:rsid w:val="00FA3525"/>
    <w:rsid w:val="00FA3630"/>
    <w:rsid w:val="00FA3900"/>
    <w:rsid w:val="00FA39A8"/>
    <w:rsid w:val="00FA3A98"/>
    <w:rsid w:val="00FA3AA8"/>
    <w:rsid w:val="00FA3BAA"/>
    <w:rsid w:val="00FA3C94"/>
    <w:rsid w:val="00FA3CCC"/>
    <w:rsid w:val="00FA42CD"/>
    <w:rsid w:val="00FA43F5"/>
    <w:rsid w:val="00FA4415"/>
    <w:rsid w:val="00FA447A"/>
    <w:rsid w:val="00FA4611"/>
    <w:rsid w:val="00FA4616"/>
    <w:rsid w:val="00FA46FC"/>
    <w:rsid w:val="00FA4CEA"/>
    <w:rsid w:val="00FA4D91"/>
    <w:rsid w:val="00FA4DE3"/>
    <w:rsid w:val="00FA4FA7"/>
    <w:rsid w:val="00FA4FE8"/>
    <w:rsid w:val="00FA5009"/>
    <w:rsid w:val="00FA5031"/>
    <w:rsid w:val="00FA5145"/>
    <w:rsid w:val="00FA5275"/>
    <w:rsid w:val="00FA52A5"/>
    <w:rsid w:val="00FA5356"/>
    <w:rsid w:val="00FA5445"/>
    <w:rsid w:val="00FA56D4"/>
    <w:rsid w:val="00FA5998"/>
    <w:rsid w:val="00FA5A53"/>
    <w:rsid w:val="00FA5B1E"/>
    <w:rsid w:val="00FA5B5F"/>
    <w:rsid w:val="00FA5C95"/>
    <w:rsid w:val="00FA5D63"/>
    <w:rsid w:val="00FA5D8B"/>
    <w:rsid w:val="00FA5F8F"/>
    <w:rsid w:val="00FA6030"/>
    <w:rsid w:val="00FA6135"/>
    <w:rsid w:val="00FA61D4"/>
    <w:rsid w:val="00FA6586"/>
    <w:rsid w:val="00FA65C5"/>
    <w:rsid w:val="00FA66C9"/>
    <w:rsid w:val="00FA672F"/>
    <w:rsid w:val="00FA6978"/>
    <w:rsid w:val="00FA69DA"/>
    <w:rsid w:val="00FA6BAC"/>
    <w:rsid w:val="00FA6C05"/>
    <w:rsid w:val="00FA6D21"/>
    <w:rsid w:val="00FA6E11"/>
    <w:rsid w:val="00FA71B3"/>
    <w:rsid w:val="00FA7531"/>
    <w:rsid w:val="00FA754D"/>
    <w:rsid w:val="00FA787C"/>
    <w:rsid w:val="00FA793A"/>
    <w:rsid w:val="00FA797F"/>
    <w:rsid w:val="00FA7A07"/>
    <w:rsid w:val="00FA7A4C"/>
    <w:rsid w:val="00FA7B19"/>
    <w:rsid w:val="00FA7C97"/>
    <w:rsid w:val="00FA7DDE"/>
    <w:rsid w:val="00FA7F04"/>
    <w:rsid w:val="00FB0199"/>
    <w:rsid w:val="00FB019B"/>
    <w:rsid w:val="00FB03CF"/>
    <w:rsid w:val="00FB046E"/>
    <w:rsid w:val="00FB058C"/>
    <w:rsid w:val="00FB05DD"/>
    <w:rsid w:val="00FB076B"/>
    <w:rsid w:val="00FB09A4"/>
    <w:rsid w:val="00FB0D9A"/>
    <w:rsid w:val="00FB0DEB"/>
    <w:rsid w:val="00FB0ED2"/>
    <w:rsid w:val="00FB104A"/>
    <w:rsid w:val="00FB1071"/>
    <w:rsid w:val="00FB1098"/>
    <w:rsid w:val="00FB125F"/>
    <w:rsid w:val="00FB12C3"/>
    <w:rsid w:val="00FB12F1"/>
    <w:rsid w:val="00FB13D1"/>
    <w:rsid w:val="00FB15C4"/>
    <w:rsid w:val="00FB1615"/>
    <w:rsid w:val="00FB161A"/>
    <w:rsid w:val="00FB161E"/>
    <w:rsid w:val="00FB16AB"/>
    <w:rsid w:val="00FB1781"/>
    <w:rsid w:val="00FB17AC"/>
    <w:rsid w:val="00FB17B3"/>
    <w:rsid w:val="00FB17EE"/>
    <w:rsid w:val="00FB1A0E"/>
    <w:rsid w:val="00FB1C3A"/>
    <w:rsid w:val="00FB1EA6"/>
    <w:rsid w:val="00FB1F6E"/>
    <w:rsid w:val="00FB2014"/>
    <w:rsid w:val="00FB2039"/>
    <w:rsid w:val="00FB20DB"/>
    <w:rsid w:val="00FB2214"/>
    <w:rsid w:val="00FB2576"/>
    <w:rsid w:val="00FB25F9"/>
    <w:rsid w:val="00FB2837"/>
    <w:rsid w:val="00FB2986"/>
    <w:rsid w:val="00FB29B4"/>
    <w:rsid w:val="00FB2A3D"/>
    <w:rsid w:val="00FB2B73"/>
    <w:rsid w:val="00FB2B83"/>
    <w:rsid w:val="00FB2E82"/>
    <w:rsid w:val="00FB2EDA"/>
    <w:rsid w:val="00FB2EF3"/>
    <w:rsid w:val="00FB30E2"/>
    <w:rsid w:val="00FB34C8"/>
    <w:rsid w:val="00FB3746"/>
    <w:rsid w:val="00FB399F"/>
    <w:rsid w:val="00FB3A1E"/>
    <w:rsid w:val="00FB3B00"/>
    <w:rsid w:val="00FB3B2C"/>
    <w:rsid w:val="00FB3C85"/>
    <w:rsid w:val="00FB3CB7"/>
    <w:rsid w:val="00FB3D48"/>
    <w:rsid w:val="00FB3E94"/>
    <w:rsid w:val="00FB3EF6"/>
    <w:rsid w:val="00FB40E8"/>
    <w:rsid w:val="00FB41E8"/>
    <w:rsid w:val="00FB43F4"/>
    <w:rsid w:val="00FB4458"/>
    <w:rsid w:val="00FB469A"/>
    <w:rsid w:val="00FB471F"/>
    <w:rsid w:val="00FB4729"/>
    <w:rsid w:val="00FB472B"/>
    <w:rsid w:val="00FB4769"/>
    <w:rsid w:val="00FB4771"/>
    <w:rsid w:val="00FB4A03"/>
    <w:rsid w:val="00FB4AC3"/>
    <w:rsid w:val="00FB4CB1"/>
    <w:rsid w:val="00FB4CDA"/>
    <w:rsid w:val="00FB4E8C"/>
    <w:rsid w:val="00FB54A7"/>
    <w:rsid w:val="00FB58F1"/>
    <w:rsid w:val="00FB5974"/>
    <w:rsid w:val="00FB59BE"/>
    <w:rsid w:val="00FB59C1"/>
    <w:rsid w:val="00FB5A6A"/>
    <w:rsid w:val="00FB5C10"/>
    <w:rsid w:val="00FB5C68"/>
    <w:rsid w:val="00FB5D49"/>
    <w:rsid w:val="00FB5D4D"/>
    <w:rsid w:val="00FB5E0F"/>
    <w:rsid w:val="00FB5EEF"/>
    <w:rsid w:val="00FB6083"/>
    <w:rsid w:val="00FB619B"/>
    <w:rsid w:val="00FB61B9"/>
    <w:rsid w:val="00FB6265"/>
    <w:rsid w:val="00FB6394"/>
    <w:rsid w:val="00FB6481"/>
    <w:rsid w:val="00FB65E2"/>
    <w:rsid w:val="00FB667B"/>
    <w:rsid w:val="00FB6695"/>
    <w:rsid w:val="00FB6825"/>
    <w:rsid w:val="00FB68F5"/>
    <w:rsid w:val="00FB69AB"/>
    <w:rsid w:val="00FB69C5"/>
    <w:rsid w:val="00FB6BA6"/>
    <w:rsid w:val="00FB6C0E"/>
    <w:rsid w:val="00FB6C21"/>
    <w:rsid w:val="00FB6CA0"/>
    <w:rsid w:val="00FB6D36"/>
    <w:rsid w:val="00FB6E39"/>
    <w:rsid w:val="00FB6F13"/>
    <w:rsid w:val="00FB6F8E"/>
    <w:rsid w:val="00FB70A9"/>
    <w:rsid w:val="00FB7235"/>
    <w:rsid w:val="00FB7397"/>
    <w:rsid w:val="00FB747F"/>
    <w:rsid w:val="00FB7513"/>
    <w:rsid w:val="00FB7536"/>
    <w:rsid w:val="00FB75AB"/>
    <w:rsid w:val="00FB767D"/>
    <w:rsid w:val="00FB7860"/>
    <w:rsid w:val="00FB7892"/>
    <w:rsid w:val="00FB78FC"/>
    <w:rsid w:val="00FB7D00"/>
    <w:rsid w:val="00FB7D20"/>
    <w:rsid w:val="00FB7DA6"/>
    <w:rsid w:val="00FC0149"/>
    <w:rsid w:val="00FC025D"/>
    <w:rsid w:val="00FC05AF"/>
    <w:rsid w:val="00FC065B"/>
    <w:rsid w:val="00FC068A"/>
    <w:rsid w:val="00FC07FC"/>
    <w:rsid w:val="00FC0965"/>
    <w:rsid w:val="00FC09AE"/>
    <w:rsid w:val="00FC0BC1"/>
    <w:rsid w:val="00FC0C1F"/>
    <w:rsid w:val="00FC0D14"/>
    <w:rsid w:val="00FC0E27"/>
    <w:rsid w:val="00FC0F53"/>
    <w:rsid w:val="00FC0F81"/>
    <w:rsid w:val="00FC1130"/>
    <w:rsid w:val="00FC12C8"/>
    <w:rsid w:val="00FC13CE"/>
    <w:rsid w:val="00FC17F8"/>
    <w:rsid w:val="00FC196B"/>
    <w:rsid w:val="00FC1BA1"/>
    <w:rsid w:val="00FC1E2A"/>
    <w:rsid w:val="00FC1F73"/>
    <w:rsid w:val="00FC222A"/>
    <w:rsid w:val="00FC22E5"/>
    <w:rsid w:val="00FC23AD"/>
    <w:rsid w:val="00FC248B"/>
    <w:rsid w:val="00FC252F"/>
    <w:rsid w:val="00FC264A"/>
    <w:rsid w:val="00FC26E2"/>
    <w:rsid w:val="00FC27E6"/>
    <w:rsid w:val="00FC2912"/>
    <w:rsid w:val="00FC298F"/>
    <w:rsid w:val="00FC29D1"/>
    <w:rsid w:val="00FC2A59"/>
    <w:rsid w:val="00FC2B4B"/>
    <w:rsid w:val="00FC2BDF"/>
    <w:rsid w:val="00FC2D6B"/>
    <w:rsid w:val="00FC2F7C"/>
    <w:rsid w:val="00FC3212"/>
    <w:rsid w:val="00FC32C3"/>
    <w:rsid w:val="00FC3349"/>
    <w:rsid w:val="00FC33DD"/>
    <w:rsid w:val="00FC33E7"/>
    <w:rsid w:val="00FC342C"/>
    <w:rsid w:val="00FC36FC"/>
    <w:rsid w:val="00FC395C"/>
    <w:rsid w:val="00FC39E1"/>
    <w:rsid w:val="00FC3AA1"/>
    <w:rsid w:val="00FC3CD9"/>
    <w:rsid w:val="00FC3E96"/>
    <w:rsid w:val="00FC3EE9"/>
    <w:rsid w:val="00FC3F49"/>
    <w:rsid w:val="00FC40E3"/>
    <w:rsid w:val="00FC41A9"/>
    <w:rsid w:val="00FC420A"/>
    <w:rsid w:val="00FC43F0"/>
    <w:rsid w:val="00FC4AD9"/>
    <w:rsid w:val="00FC4B01"/>
    <w:rsid w:val="00FC4E81"/>
    <w:rsid w:val="00FC5070"/>
    <w:rsid w:val="00FC52FE"/>
    <w:rsid w:val="00FC53D6"/>
    <w:rsid w:val="00FC5502"/>
    <w:rsid w:val="00FC5513"/>
    <w:rsid w:val="00FC5518"/>
    <w:rsid w:val="00FC5702"/>
    <w:rsid w:val="00FC5A72"/>
    <w:rsid w:val="00FC5A94"/>
    <w:rsid w:val="00FC5AE6"/>
    <w:rsid w:val="00FC5B6E"/>
    <w:rsid w:val="00FC5DE4"/>
    <w:rsid w:val="00FC5DEE"/>
    <w:rsid w:val="00FC5E8E"/>
    <w:rsid w:val="00FC60A4"/>
    <w:rsid w:val="00FC61CD"/>
    <w:rsid w:val="00FC6219"/>
    <w:rsid w:val="00FC6251"/>
    <w:rsid w:val="00FC6329"/>
    <w:rsid w:val="00FC63B0"/>
    <w:rsid w:val="00FC65BB"/>
    <w:rsid w:val="00FC6697"/>
    <w:rsid w:val="00FC6BD5"/>
    <w:rsid w:val="00FC6C22"/>
    <w:rsid w:val="00FC6DCF"/>
    <w:rsid w:val="00FC6EBF"/>
    <w:rsid w:val="00FC7015"/>
    <w:rsid w:val="00FC702A"/>
    <w:rsid w:val="00FC70B7"/>
    <w:rsid w:val="00FC7350"/>
    <w:rsid w:val="00FC750D"/>
    <w:rsid w:val="00FC75E5"/>
    <w:rsid w:val="00FC78A6"/>
    <w:rsid w:val="00FC794E"/>
    <w:rsid w:val="00FC796F"/>
    <w:rsid w:val="00FC7DD4"/>
    <w:rsid w:val="00FC7E08"/>
    <w:rsid w:val="00FC7EA5"/>
    <w:rsid w:val="00FD00A2"/>
    <w:rsid w:val="00FD01D9"/>
    <w:rsid w:val="00FD04CF"/>
    <w:rsid w:val="00FD056D"/>
    <w:rsid w:val="00FD05D6"/>
    <w:rsid w:val="00FD06A0"/>
    <w:rsid w:val="00FD07B0"/>
    <w:rsid w:val="00FD08A9"/>
    <w:rsid w:val="00FD0C24"/>
    <w:rsid w:val="00FD0EB2"/>
    <w:rsid w:val="00FD0FC3"/>
    <w:rsid w:val="00FD1212"/>
    <w:rsid w:val="00FD124B"/>
    <w:rsid w:val="00FD125D"/>
    <w:rsid w:val="00FD13E0"/>
    <w:rsid w:val="00FD14A1"/>
    <w:rsid w:val="00FD173E"/>
    <w:rsid w:val="00FD183D"/>
    <w:rsid w:val="00FD1875"/>
    <w:rsid w:val="00FD19D3"/>
    <w:rsid w:val="00FD1B66"/>
    <w:rsid w:val="00FD1BEE"/>
    <w:rsid w:val="00FD1C31"/>
    <w:rsid w:val="00FD2005"/>
    <w:rsid w:val="00FD200E"/>
    <w:rsid w:val="00FD20B5"/>
    <w:rsid w:val="00FD2110"/>
    <w:rsid w:val="00FD217E"/>
    <w:rsid w:val="00FD259E"/>
    <w:rsid w:val="00FD26CC"/>
    <w:rsid w:val="00FD26EB"/>
    <w:rsid w:val="00FD2747"/>
    <w:rsid w:val="00FD27B6"/>
    <w:rsid w:val="00FD2935"/>
    <w:rsid w:val="00FD2ABF"/>
    <w:rsid w:val="00FD2B01"/>
    <w:rsid w:val="00FD2D20"/>
    <w:rsid w:val="00FD30CB"/>
    <w:rsid w:val="00FD314D"/>
    <w:rsid w:val="00FD31CC"/>
    <w:rsid w:val="00FD35CF"/>
    <w:rsid w:val="00FD3754"/>
    <w:rsid w:val="00FD3766"/>
    <w:rsid w:val="00FD3771"/>
    <w:rsid w:val="00FD37D3"/>
    <w:rsid w:val="00FD37E7"/>
    <w:rsid w:val="00FD3C32"/>
    <w:rsid w:val="00FD3CCD"/>
    <w:rsid w:val="00FD3D05"/>
    <w:rsid w:val="00FD3E77"/>
    <w:rsid w:val="00FD3FE8"/>
    <w:rsid w:val="00FD40C9"/>
    <w:rsid w:val="00FD413B"/>
    <w:rsid w:val="00FD41C8"/>
    <w:rsid w:val="00FD41E3"/>
    <w:rsid w:val="00FD4202"/>
    <w:rsid w:val="00FD4346"/>
    <w:rsid w:val="00FD43A7"/>
    <w:rsid w:val="00FD4561"/>
    <w:rsid w:val="00FD4669"/>
    <w:rsid w:val="00FD47C4"/>
    <w:rsid w:val="00FD48A3"/>
    <w:rsid w:val="00FD49A0"/>
    <w:rsid w:val="00FD49C5"/>
    <w:rsid w:val="00FD49FF"/>
    <w:rsid w:val="00FD4BDA"/>
    <w:rsid w:val="00FD4D3D"/>
    <w:rsid w:val="00FD4D43"/>
    <w:rsid w:val="00FD4FB8"/>
    <w:rsid w:val="00FD529E"/>
    <w:rsid w:val="00FD5321"/>
    <w:rsid w:val="00FD5488"/>
    <w:rsid w:val="00FD569B"/>
    <w:rsid w:val="00FD5715"/>
    <w:rsid w:val="00FD5B83"/>
    <w:rsid w:val="00FD5E8C"/>
    <w:rsid w:val="00FD63B3"/>
    <w:rsid w:val="00FD68F7"/>
    <w:rsid w:val="00FD694D"/>
    <w:rsid w:val="00FD6A73"/>
    <w:rsid w:val="00FD6CAB"/>
    <w:rsid w:val="00FD6CF0"/>
    <w:rsid w:val="00FD6EF4"/>
    <w:rsid w:val="00FD73C3"/>
    <w:rsid w:val="00FD7410"/>
    <w:rsid w:val="00FD7437"/>
    <w:rsid w:val="00FD78AD"/>
    <w:rsid w:val="00FD798E"/>
    <w:rsid w:val="00FD7A5D"/>
    <w:rsid w:val="00FD7B34"/>
    <w:rsid w:val="00FD7FCF"/>
    <w:rsid w:val="00FE0093"/>
    <w:rsid w:val="00FE0145"/>
    <w:rsid w:val="00FE028A"/>
    <w:rsid w:val="00FE0810"/>
    <w:rsid w:val="00FE0AA8"/>
    <w:rsid w:val="00FE0CA2"/>
    <w:rsid w:val="00FE0CB9"/>
    <w:rsid w:val="00FE0CD1"/>
    <w:rsid w:val="00FE0D4E"/>
    <w:rsid w:val="00FE0D69"/>
    <w:rsid w:val="00FE0E8A"/>
    <w:rsid w:val="00FE0E97"/>
    <w:rsid w:val="00FE10A6"/>
    <w:rsid w:val="00FE120F"/>
    <w:rsid w:val="00FE1321"/>
    <w:rsid w:val="00FE1328"/>
    <w:rsid w:val="00FE142A"/>
    <w:rsid w:val="00FE1458"/>
    <w:rsid w:val="00FE1474"/>
    <w:rsid w:val="00FE14C4"/>
    <w:rsid w:val="00FE1661"/>
    <w:rsid w:val="00FE1747"/>
    <w:rsid w:val="00FE1A39"/>
    <w:rsid w:val="00FE1A84"/>
    <w:rsid w:val="00FE1DCC"/>
    <w:rsid w:val="00FE1E06"/>
    <w:rsid w:val="00FE1F01"/>
    <w:rsid w:val="00FE1F36"/>
    <w:rsid w:val="00FE2071"/>
    <w:rsid w:val="00FE210F"/>
    <w:rsid w:val="00FE2815"/>
    <w:rsid w:val="00FE2A5D"/>
    <w:rsid w:val="00FE2C96"/>
    <w:rsid w:val="00FE2CE6"/>
    <w:rsid w:val="00FE2D52"/>
    <w:rsid w:val="00FE2DCF"/>
    <w:rsid w:val="00FE2F85"/>
    <w:rsid w:val="00FE31AF"/>
    <w:rsid w:val="00FE3243"/>
    <w:rsid w:val="00FE36CC"/>
    <w:rsid w:val="00FE3725"/>
    <w:rsid w:val="00FE3745"/>
    <w:rsid w:val="00FE3937"/>
    <w:rsid w:val="00FE3B60"/>
    <w:rsid w:val="00FE3DA6"/>
    <w:rsid w:val="00FE3DAA"/>
    <w:rsid w:val="00FE3E0D"/>
    <w:rsid w:val="00FE3FA7"/>
    <w:rsid w:val="00FE4081"/>
    <w:rsid w:val="00FE42D5"/>
    <w:rsid w:val="00FE42E0"/>
    <w:rsid w:val="00FE4315"/>
    <w:rsid w:val="00FE4477"/>
    <w:rsid w:val="00FE447D"/>
    <w:rsid w:val="00FE46CC"/>
    <w:rsid w:val="00FE476F"/>
    <w:rsid w:val="00FE4835"/>
    <w:rsid w:val="00FE48F1"/>
    <w:rsid w:val="00FE4904"/>
    <w:rsid w:val="00FE49D9"/>
    <w:rsid w:val="00FE4A90"/>
    <w:rsid w:val="00FE4E38"/>
    <w:rsid w:val="00FE4F97"/>
    <w:rsid w:val="00FE5064"/>
    <w:rsid w:val="00FE5129"/>
    <w:rsid w:val="00FE513B"/>
    <w:rsid w:val="00FE5232"/>
    <w:rsid w:val="00FE5437"/>
    <w:rsid w:val="00FE543D"/>
    <w:rsid w:val="00FE54FC"/>
    <w:rsid w:val="00FE5701"/>
    <w:rsid w:val="00FE5AE0"/>
    <w:rsid w:val="00FE5B18"/>
    <w:rsid w:val="00FE5B39"/>
    <w:rsid w:val="00FE5C0C"/>
    <w:rsid w:val="00FE5C3D"/>
    <w:rsid w:val="00FE5D68"/>
    <w:rsid w:val="00FE6165"/>
    <w:rsid w:val="00FE6287"/>
    <w:rsid w:val="00FE664F"/>
    <w:rsid w:val="00FE66D9"/>
    <w:rsid w:val="00FE67F9"/>
    <w:rsid w:val="00FE6801"/>
    <w:rsid w:val="00FE6A95"/>
    <w:rsid w:val="00FE6AB5"/>
    <w:rsid w:val="00FE6C01"/>
    <w:rsid w:val="00FE6D36"/>
    <w:rsid w:val="00FE6DC5"/>
    <w:rsid w:val="00FE6F63"/>
    <w:rsid w:val="00FE7048"/>
    <w:rsid w:val="00FE7051"/>
    <w:rsid w:val="00FE7133"/>
    <w:rsid w:val="00FE758E"/>
    <w:rsid w:val="00FE76B0"/>
    <w:rsid w:val="00FE773A"/>
    <w:rsid w:val="00FE7752"/>
    <w:rsid w:val="00FE7AE4"/>
    <w:rsid w:val="00FE7CAA"/>
    <w:rsid w:val="00FE7D87"/>
    <w:rsid w:val="00FE7DDC"/>
    <w:rsid w:val="00FE7E1C"/>
    <w:rsid w:val="00FE7E2C"/>
    <w:rsid w:val="00FE7F9D"/>
    <w:rsid w:val="00FF027B"/>
    <w:rsid w:val="00FF0480"/>
    <w:rsid w:val="00FF05F6"/>
    <w:rsid w:val="00FF062A"/>
    <w:rsid w:val="00FF07E1"/>
    <w:rsid w:val="00FF0CD4"/>
    <w:rsid w:val="00FF0E90"/>
    <w:rsid w:val="00FF0EDD"/>
    <w:rsid w:val="00FF0FBA"/>
    <w:rsid w:val="00FF0FCC"/>
    <w:rsid w:val="00FF11AC"/>
    <w:rsid w:val="00FF12B1"/>
    <w:rsid w:val="00FF132E"/>
    <w:rsid w:val="00FF15BC"/>
    <w:rsid w:val="00FF1727"/>
    <w:rsid w:val="00FF18B5"/>
    <w:rsid w:val="00FF1ADC"/>
    <w:rsid w:val="00FF1AF6"/>
    <w:rsid w:val="00FF1EDB"/>
    <w:rsid w:val="00FF1F65"/>
    <w:rsid w:val="00FF1FD4"/>
    <w:rsid w:val="00FF205E"/>
    <w:rsid w:val="00FF20B2"/>
    <w:rsid w:val="00FF20CA"/>
    <w:rsid w:val="00FF21C9"/>
    <w:rsid w:val="00FF21FB"/>
    <w:rsid w:val="00FF239D"/>
    <w:rsid w:val="00FF23CA"/>
    <w:rsid w:val="00FF241A"/>
    <w:rsid w:val="00FF266C"/>
    <w:rsid w:val="00FF274F"/>
    <w:rsid w:val="00FF27C8"/>
    <w:rsid w:val="00FF28E3"/>
    <w:rsid w:val="00FF291B"/>
    <w:rsid w:val="00FF29D7"/>
    <w:rsid w:val="00FF2A4E"/>
    <w:rsid w:val="00FF2AF3"/>
    <w:rsid w:val="00FF2B6B"/>
    <w:rsid w:val="00FF2B9D"/>
    <w:rsid w:val="00FF2B9F"/>
    <w:rsid w:val="00FF2BA8"/>
    <w:rsid w:val="00FF2BF2"/>
    <w:rsid w:val="00FF2C40"/>
    <w:rsid w:val="00FF2FCE"/>
    <w:rsid w:val="00FF30E1"/>
    <w:rsid w:val="00FF32ED"/>
    <w:rsid w:val="00FF34B0"/>
    <w:rsid w:val="00FF351D"/>
    <w:rsid w:val="00FF3699"/>
    <w:rsid w:val="00FF3718"/>
    <w:rsid w:val="00FF3835"/>
    <w:rsid w:val="00FF3879"/>
    <w:rsid w:val="00FF3BC5"/>
    <w:rsid w:val="00FF3C16"/>
    <w:rsid w:val="00FF3C46"/>
    <w:rsid w:val="00FF3CAB"/>
    <w:rsid w:val="00FF3E8C"/>
    <w:rsid w:val="00FF3F2B"/>
    <w:rsid w:val="00FF3F39"/>
    <w:rsid w:val="00FF3F4B"/>
    <w:rsid w:val="00FF3F57"/>
    <w:rsid w:val="00FF41AD"/>
    <w:rsid w:val="00FF41CB"/>
    <w:rsid w:val="00FF4281"/>
    <w:rsid w:val="00FF444B"/>
    <w:rsid w:val="00FF444D"/>
    <w:rsid w:val="00FF45B1"/>
    <w:rsid w:val="00FF45F9"/>
    <w:rsid w:val="00FF4639"/>
    <w:rsid w:val="00FF4841"/>
    <w:rsid w:val="00FF485F"/>
    <w:rsid w:val="00FF4A10"/>
    <w:rsid w:val="00FF4BF6"/>
    <w:rsid w:val="00FF4EE9"/>
    <w:rsid w:val="00FF4F7D"/>
    <w:rsid w:val="00FF5000"/>
    <w:rsid w:val="00FF5288"/>
    <w:rsid w:val="00FF5516"/>
    <w:rsid w:val="00FF5547"/>
    <w:rsid w:val="00FF597A"/>
    <w:rsid w:val="00FF59F2"/>
    <w:rsid w:val="00FF5A66"/>
    <w:rsid w:val="00FF5C49"/>
    <w:rsid w:val="00FF5D0B"/>
    <w:rsid w:val="00FF5D12"/>
    <w:rsid w:val="00FF5E14"/>
    <w:rsid w:val="00FF5F51"/>
    <w:rsid w:val="00FF5F59"/>
    <w:rsid w:val="00FF604C"/>
    <w:rsid w:val="00FF6329"/>
    <w:rsid w:val="00FF63FC"/>
    <w:rsid w:val="00FF6413"/>
    <w:rsid w:val="00FF64F0"/>
    <w:rsid w:val="00FF65A9"/>
    <w:rsid w:val="00FF6799"/>
    <w:rsid w:val="00FF67A1"/>
    <w:rsid w:val="00FF6946"/>
    <w:rsid w:val="00FF6D9D"/>
    <w:rsid w:val="00FF6E6F"/>
    <w:rsid w:val="00FF7009"/>
    <w:rsid w:val="00FF7026"/>
    <w:rsid w:val="00FF71A5"/>
    <w:rsid w:val="00FF71E4"/>
    <w:rsid w:val="00FF72A1"/>
    <w:rsid w:val="00FF72C1"/>
    <w:rsid w:val="00FF73D4"/>
    <w:rsid w:val="00FF742A"/>
    <w:rsid w:val="00FF747B"/>
    <w:rsid w:val="00FF7620"/>
    <w:rsid w:val="00FF777A"/>
    <w:rsid w:val="00FF7944"/>
    <w:rsid w:val="00FF7DD5"/>
    <w:rsid w:val="00FF7E9C"/>
    <w:rsid w:val="01533754"/>
    <w:rsid w:val="01BE059E"/>
    <w:rsid w:val="01EC34FA"/>
    <w:rsid w:val="02046138"/>
    <w:rsid w:val="026D6C04"/>
    <w:rsid w:val="029A6986"/>
    <w:rsid w:val="029F9028"/>
    <w:rsid w:val="02F88C96"/>
    <w:rsid w:val="03223991"/>
    <w:rsid w:val="033DEFE2"/>
    <w:rsid w:val="03464FC8"/>
    <w:rsid w:val="0358B29B"/>
    <w:rsid w:val="036015F2"/>
    <w:rsid w:val="03899654"/>
    <w:rsid w:val="038D9F16"/>
    <w:rsid w:val="03918678"/>
    <w:rsid w:val="039F9783"/>
    <w:rsid w:val="03DC3CB1"/>
    <w:rsid w:val="03DE1C2C"/>
    <w:rsid w:val="040D1354"/>
    <w:rsid w:val="042493AE"/>
    <w:rsid w:val="0480783B"/>
    <w:rsid w:val="04AC8FF0"/>
    <w:rsid w:val="04D16679"/>
    <w:rsid w:val="051E2F97"/>
    <w:rsid w:val="052885A9"/>
    <w:rsid w:val="052B5B1B"/>
    <w:rsid w:val="0536CB57"/>
    <w:rsid w:val="053B37B1"/>
    <w:rsid w:val="055F7E5F"/>
    <w:rsid w:val="058FA40A"/>
    <w:rsid w:val="0644B8CF"/>
    <w:rsid w:val="06A9085E"/>
    <w:rsid w:val="06BDE48D"/>
    <w:rsid w:val="06C4560A"/>
    <w:rsid w:val="06DFC2C3"/>
    <w:rsid w:val="06ECE8AB"/>
    <w:rsid w:val="07081E09"/>
    <w:rsid w:val="07215BD6"/>
    <w:rsid w:val="0786D035"/>
    <w:rsid w:val="0805EEF4"/>
    <w:rsid w:val="0813E91E"/>
    <w:rsid w:val="0852B406"/>
    <w:rsid w:val="09114A56"/>
    <w:rsid w:val="0912F6D1"/>
    <w:rsid w:val="093DC92B"/>
    <w:rsid w:val="096BF59D"/>
    <w:rsid w:val="09800113"/>
    <w:rsid w:val="09992C6B"/>
    <w:rsid w:val="09A1AC91"/>
    <w:rsid w:val="09D1E72C"/>
    <w:rsid w:val="09E9D998"/>
    <w:rsid w:val="0A1C3F3B"/>
    <w:rsid w:val="0A34807B"/>
    <w:rsid w:val="0AAD9AC7"/>
    <w:rsid w:val="0AB86B8F"/>
    <w:rsid w:val="0AEE9E45"/>
    <w:rsid w:val="0B42C021"/>
    <w:rsid w:val="0B9A9C9F"/>
    <w:rsid w:val="0C5EEACA"/>
    <w:rsid w:val="0C71AEC7"/>
    <w:rsid w:val="0C9F6B18"/>
    <w:rsid w:val="0D08A8B5"/>
    <w:rsid w:val="0D45E4EF"/>
    <w:rsid w:val="0D5DDE5C"/>
    <w:rsid w:val="0DF4197B"/>
    <w:rsid w:val="0DF6DFDF"/>
    <w:rsid w:val="0E0A25D3"/>
    <w:rsid w:val="0E19E81C"/>
    <w:rsid w:val="0E22F77E"/>
    <w:rsid w:val="0E5109D7"/>
    <w:rsid w:val="0E975EEE"/>
    <w:rsid w:val="0EA53FC6"/>
    <w:rsid w:val="0EAB129A"/>
    <w:rsid w:val="0EE2FF97"/>
    <w:rsid w:val="0F4E77BB"/>
    <w:rsid w:val="0F8F0E27"/>
    <w:rsid w:val="0FD45CBD"/>
    <w:rsid w:val="1027B7C9"/>
    <w:rsid w:val="107E7B15"/>
    <w:rsid w:val="109B0DFB"/>
    <w:rsid w:val="10C99FDD"/>
    <w:rsid w:val="112A654B"/>
    <w:rsid w:val="115188DE"/>
    <w:rsid w:val="11C51C8A"/>
    <w:rsid w:val="11EAA813"/>
    <w:rsid w:val="128BF01F"/>
    <w:rsid w:val="12A9056C"/>
    <w:rsid w:val="12B503F1"/>
    <w:rsid w:val="12C15CC5"/>
    <w:rsid w:val="12C40666"/>
    <w:rsid w:val="1301FD96"/>
    <w:rsid w:val="131BC810"/>
    <w:rsid w:val="1323E0E4"/>
    <w:rsid w:val="1369F1E7"/>
    <w:rsid w:val="13904E88"/>
    <w:rsid w:val="13940EED"/>
    <w:rsid w:val="13A3B8CB"/>
    <w:rsid w:val="13A5AE84"/>
    <w:rsid w:val="13CCEA71"/>
    <w:rsid w:val="14997177"/>
    <w:rsid w:val="14AEAAE2"/>
    <w:rsid w:val="14C6A44F"/>
    <w:rsid w:val="151499D3"/>
    <w:rsid w:val="15978A96"/>
    <w:rsid w:val="15BD641C"/>
    <w:rsid w:val="1608E230"/>
    <w:rsid w:val="16194409"/>
    <w:rsid w:val="16474706"/>
    <w:rsid w:val="16A4F0D9"/>
    <w:rsid w:val="16DD06A3"/>
    <w:rsid w:val="16E256C8"/>
    <w:rsid w:val="16F288B1"/>
    <w:rsid w:val="17AC6969"/>
    <w:rsid w:val="186C3AD5"/>
    <w:rsid w:val="189C0BF1"/>
    <w:rsid w:val="18C4A4E0"/>
    <w:rsid w:val="18CCC19E"/>
    <w:rsid w:val="18E01F4A"/>
    <w:rsid w:val="1918C03F"/>
    <w:rsid w:val="19831824"/>
    <w:rsid w:val="1999188A"/>
    <w:rsid w:val="19B7D05B"/>
    <w:rsid w:val="19EEB3A1"/>
    <w:rsid w:val="1A505DB6"/>
    <w:rsid w:val="1A82E973"/>
    <w:rsid w:val="1A8CA975"/>
    <w:rsid w:val="1AF5755C"/>
    <w:rsid w:val="1B4B4112"/>
    <w:rsid w:val="1B5CEF08"/>
    <w:rsid w:val="1B6161FE"/>
    <w:rsid w:val="1B6507A5"/>
    <w:rsid w:val="1BFBAE2A"/>
    <w:rsid w:val="1C60593B"/>
    <w:rsid w:val="1CA11FCE"/>
    <w:rsid w:val="1CEF0BAD"/>
    <w:rsid w:val="1CFE4F0F"/>
    <w:rsid w:val="1D06835B"/>
    <w:rsid w:val="1D36C5EC"/>
    <w:rsid w:val="1DD5850E"/>
    <w:rsid w:val="1E1FC158"/>
    <w:rsid w:val="1F1C1D2A"/>
    <w:rsid w:val="1F526B96"/>
    <w:rsid w:val="1F61E100"/>
    <w:rsid w:val="1F9386F9"/>
    <w:rsid w:val="1FAB6A7B"/>
    <w:rsid w:val="1FADAC6B"/>
    <w:rsid w:val="1FBD6709"/>
    <w:rsid w:val="1FCE6BFD"/>
    <w:rsid w:val="2046324D"/>
    <w:rsid w:val="2098D1DC"/>
    <w:rsid w:val="210C1237"/>
    <w:rsid w:val="215ECC22"/>
    <w:rsid w:val="21713969"/>
    <w:rsid w:val="2186D258"/>
    <w:rsid w:val="22268D99"/>
    <w:rsid w:val="22545BDF"/>
    <w:rsid w:val="22572812"/>
    <w:rsid w:val="2296F111"/>
    <w:rsid w:val="22A92902"/>
    <w:rsid w:val="22C97103"/>
    <w:rsid w:val="22F2B27D"/>
    <w:rsid w:val="23137C3D"/>
    <w:rsid w:val="23179D72"/>
    <w:rsid w:val="2375C4DF"/>
    <w:rsid w:val="238D49F5"/>
    <w:rsid w:val="240E161D"/>
    <w:rsid w:val="2488B4C3"/>
    <w:rsid w:val="24A4BA2B"/>
    <w:rsid w:val="24B2F9BF"/>
    <w:rsid w:val="24C27D9B"/>
    <w:rsid w:val="25014198"/>
    <w:rsid w:val="2539B875"/>
    <w:rsid w:val="25875A65"/>
    <w:rsid w:val="258AFCA5"/>
    <w:rsid w:val="25B3721A"/>
    <w:rsid w:val="2602C87D"/>
    <w:rsid w:val="26626E94"/>
    <w:rsid w:val="267C5F1A"/>
    <w:rsid w:val="2695B530"/>
    <w:rsid w:val="2696218D"/>
    <w:rsid w:val="26AAF2D1"/>
    <w:rsid w:val="26B3C086"/>
    <w:rsid w:val="279E98DE"/>
    <w:rsid w:val="27F2BBB2"/>
    <w:rsid w:val="28273BC5"/>
    <w:rsid w:val="28273F43"/>
    <w:rsid w:val="284B716E"/>
    <w:rsid w:val="2871D502"/>
    <w:rsid w:val="288D4DB8"/>
    <w:rsid w:val="28CD40D5"/>
    <w:rsid w:val="28F68B55"/>
    <w:rsid w:val="292266B6"/>
    <w:rsid w:val="293A693F"/>
    <w:rsid w:val="29433CF9"/>
    <w:rsid w:val="2964EB3A"/>
    <w:rsid w:val="29762F9A"/>
    <w:rsid w:val="2980AB3B"/>
    <w:rsid w:val="29A4D2A5"/>
    <w:rsid w:val="29E1FC1B"/>
    <w:rsid w:val="29F23AD3"/>
    <w:rsid w:val="29FCDE41"/>
    <w:rsid w:val="2A000F70"/>
    <w:rsid w:val="2A0D8BA1"/>
    <w:rsid w:val="2A1503D5"/>
    <w:rsid w:val="2A34A5E9"/>
    <w:rsid w:val="2A3EEC77"/>
    <w:rsid w:val="2B044D89"/>
    <w:rsid w:val="2B1D13DD"/>
    <w:rsid w:val="2B7F6013"/>
    <w:rsid w:val="2BC4BCA4"/>
    <w:rsid w:val="2BD3CC6C"/>
    <w:rsid w:val="2C07D30B"/>
    <w:rsid w:val="2C7499B7"/>
    <w:rsid w:val="2C7A457A"/>
    <w:rsid w:val="2C923FB0"/>
    <w:rsid w:val="2CA27E68"/>
    <w:rsid w:val="2CB83660"/>
    <w:rsid w:val="2CECC0C0"/>
    <w:rsid w:val="2CF3C298"/>
    <w:rsid w:val="2D55CB8C"/>
    <w:rsid w:val="2D9CDF80"/>
    <w:rsid w:val="2E36B895"/>
    <w:rsid w:val="2E72A15E"/>
    <w:rsid w:val="2EF2DC49"/>
    <w:rsid w:val="2EFE7343"/>
    <w:rsid w:val="2F031B01"/>
    <w:rsid w:val="2F1B146E"/>
    <w:rsid w:val="2F3CA295"/>
    <w:rsid w:val="2F3F5B1C"/>
    <w:rsid w:val="2F6008BF"/>
    <w:rsid w:val="2F995557"/>
    <w:rsid w:val="2F9CB3FC"/>
    <w:rsid w:val="2FBA0661"/>
    <w:rsid w:val="2FD0C53A"/>
    <w:rsid w:val="30517070"/>
    <w:rsid w:val="309DF320"/>
    <w:rsid w:val="30AFF463"/>
    <w:rsid w:val="30CFA82E"/>
    <w:rsid w:val="3116BD29"/>
    <w:rsid w:val="3174EFEC"/>
    <w:rsid w:val="317A4C8B"/>
    <w:rsid w:val="317E4D1C"/>
    <w:rsid w:val="318B887A"/>
    <w:rsid w:val="31DE6041"/>
    <w:rsid w:val="32619322"/>
    <w:rsid w:val="32FB8CE7"/>
    <w:rsid w:val="3413C85E"/>
    <w:rsid w:val="343841DD"/>
    <w:rsid w:val="34535FDA"/>
    <w:rsid w:val="34A4365D"/>
    <w:rsid w:val="34A570F1"/>
    <w:rsid w:val="34F6B521"/>
    <w:rsid w:val="34FE0F0C"/>
    <w:rsid w:val="35173291"/>
    <w:rsid w:val="3571E672"/>
    <w:rsid w:val="35B49725"/>
    <w:rsid w:val="35D07933"/>
    <w:rsid w:val="35D5D8A6"/>
    <w:rsid w:val="36590550"/>
    <w:rsid w:val="36771CB4"/>
    <w:rsid w:val="36AC4557"/>
    <w:rsid w:val="36B71750"/>
    <w:rsid w:val="36CBD0A4"/>
    <w:rsid w:val="36DB6B4A"/>
    <w:rsid w:val="36E631A7"/>
    <w:rsid w:val="37AC404E"/>
    <w:rsid w:val="37BDA743"/>
    <w:rsid w:val="37F3E7AA"/>
    <w:rsid w:val="37FEE2EB"/>
    <w:rsid w:val="388ECF76"/>
    <w:rsid w:val="389235E2"/>
    <w:rsid w:val="38D9D120"/>
    <w:rsid w:val="38DC8E4C"/>
    <w:rsid w:val="3924A88C"/>
    <w:rsid w:val="395960C3"/>
    <w:rsid w:val="395B0A45"/>
    <w:rsid w:val="397DA771"/>
    <w:rsid w:val="39C8BBC4"/>
    <w:rsid w:val="39EA099E"/>
    <w:rsid w:val="3A18F5E8"/>
    <w:rsid w:val="3AF54805"/>
    <w:rsid w:val="3AFE7F70"/>
    <w:rsid w:val="3B23BFB8"/>
    <w:rsid w:val="3B5748E6"/>
    <w:rsid w:val="3B8CFFDA"/>
    <w:rsid w:val="3B98F8A0"/>
    <w:rsid w:val="3BF66CC8"/>
    <w:rsid w:val="3C01DD04"/>
    <w:rsid w:val="3C1677A5"/>
    <w:rsid w:val="3C4B731E"/>
    <w:rsid w:val="3C5AE888"/>
    <w:rsid w:val="3C92AB07"/>
    <w:rsid w:val="3C92CBCA"/>
    <w:rsid w:val="3CC05CE7"/>
    <w:rsid w:val="3CC4EF73"/>
    <w:rsid w:val="3CD5FC38"/>
    <w:rsid w:val="3D299A84"/>
    <w:rsid w:val="3D89563B"/>
    <w:rsid w:val="3D9DAD65"/>
    <w:rsid w:val="3DB6157A"/>
    <w:rsid w:val="3DCB7E36"/>
    <w:rsid w:val="3E0D5095"/>
    <w:rsid w:val="3E3D436F"/>
    <w:rsid w:val="3E67E073"/>
    <w:rsid w:val="3E81DBD9"/>
    <w:rsid w:val="3EBB5250"/>
    <w:rsid w:val="3EDC0291"/>
    <w:rsid w:val="3F1087F7"/>
    <w:rsid w:val="3F33259E"/>
    <w:rsid w:val="3F361EFA"/>
    <w:rsid w:val="3F827C68"/>
    <w:rsid w:val="3F8DB3E4"/>
    <w:rsid w:val="3FD7873D"/>
    <w:rsid w:val="3FDC89A7"/>
    <w:rsid w:val="407D2FC7"/>
    <w:rsid w:val="40D5AE6E"/>
    <w:rsid w:val="40DA2023"/>
    <w:rsid w:val="40E2A426"/>
    <w:rsid w:val="410FA1A8"/>
    <w:rsid w:val="41209D9A"/>
    <w:rsid w:val="414CF3CD"/>
    <w:rsid w:val="415331F4"/>
    <w:rsid w:val="418A7D20"/>
    <w:rsid w:val="4232BFFD"/>
    <w:rsid w:val="42519E03"/>
    <w:rsid w:val="42678B09"/>
    <w:rsid w:val="4271311B"/>
    <w:rsid w:val="42770AF0"/>
    <w:rsid w:val="42A12ECC"/>
    <w:rsid w:val="42FD8082"/>
    <w:rsid w:val="43235A87"/>
    <w:rsid w:val="435A70DE"/>
    <w:rsid w:val="43ECE2BF"/>
    <w:rsid w:val="440473EC"/>
    <w:rsid w:val="44457280"/>
    <w:rsid w:val="445DDB11"/>
    <w:rsid w:val="447B6329"/>
    <w:rsid w:val="44EF33ED"/>
    <w:rsid w:val="45865540"/>
    <w:rsid w:val="46129E60"/>
    <w:rsid w:val="467D7232"/>
    <w:rsid w:val="47137A80"/>
    <w:rsid w:val="4722EFEA"/>
    <w:rsid w:val="47250F26"/>
    <w:rsid w:val="472D90FE"/>
    <w:rsid w:val="47A77D5A"/>
    <w:rsid w:val="47ABEBBE"/>
    <w:rsid w:val="47C07F29"/>
    <w:rsid w:val="47FD6D9A"/>
    <w:rsid w:val="48981BBD"/>
    <w:rsid w:val="48F1DD35"/>
    <w:rsid w:val="48F4D2EB"/>
    <w:rsid w:val="49031D24"/>
    <w:rsid w:val="4921BF50"/>
    <w:rsid w:val="493ADF6E"/>
    <w:rsid w:val="494ED44C"/>
    <w:rsid w:val="496F8AC8"/>
    <w:rsid w:val="49B26658"/>
    <w:rsid w:val="49DEE6AA"/>
    <w:rsid w:val="49E884C1"/>
    <w:rsid w:val="4A32CF69"/>
    <w:rsid w:val="4A4AB69B"/>
    <w:rsid w:val="4A75D845"/>
    <w:rsid w:val="4AA77426"/>
    <w:rsid w:val="4AB08505"/>
    <w:rsid w:val="4AC72848"/>
    <w:rsid w:val="4AD8C51D"/>
    <w:rsid w:val="4AEBEEF4"/>
    <w:rsid w:val="4B0B475B"/>
    <w:rsid w:val="4B0FB4DB"/>
    <w:rsid w:val="4B20F07B"/>
    <w:rsid w:val="4B286927"/>
    <w:rsid w:val="4B5D60C9"/>
    <w:rsid w:val="4B65E76A"/>
    <w:rsid w:val="4B7BB386"/>
    <w:rsid w:val="4BDF63BF"/>
    <w:rsid w:val="4BDFF899"/>
    <w:rsid w:val="4BE50950"/>
    <w:rsid w:val="4BF88049"/>
    <w:rsid w:val="4C542E87"/>
    <w:rsid w:val="4C955300"/>
    <w:rsid w:val="4C9D5576"/>
    <w:rsid w:val="4CC4F772"/>
    <w:rsid w:val="4CDA971C"/>
    <w:rsid w:val="4D19EA2B"/>
    <w:rsid w:val="4D1CB505"/>
    <w:rsid w:val="4D207392"/>
    <w:rsid w:val="4D86DE45"/>
    <w:rsid w:val="4D9450AA"/>
    <w:rsid w:val="4DD765AD"/>
    <w:rsid w:val="4E42FBEB"/>
    <w:rsid w:val="4E45054C"/>
    <w:rsid w:val="4E5FB47A"/>
    <w:rsid w:val="4E9D2749"/>
    <w:rsid w:val="4F091275"/>
    <w:rsid w:val="4F1C3AFA"/>
    <w:rsid w:val="4F41D456"/>
    <w:rsid w:val="4F4CF46B"/>
    <w:rsid w:val="4FA5E9C4"/>
    <w:rsid w:val="4FC74736"/>
    <w:rsid w:val="4FDECC4C"/>
    <w:rsid w:val="4FE455B7"/>
    <w:rsid w:val="4FFE1950"/>
    <w:rsid w:val="50255C11"/>
    <w:rsid w:val="503A1A93"/>
    <w:rsid w:val="50772159"/>
    <w:rsid w:val="50B87A73"/>
    <w:rsid w:val="50D2DA8A"/>
    <w:rsid w:val="514D3449"/>
    <w:rsid w:val="5170C699"/>
    <w:rsid w:val="52474D92"/>
    <w:rsid w:val="524945D0"/>
    <w:rsid w:val="52AEB732"/>
    <w:rsid w:val="52CA1AD1"/>
    <w:rsid w:val="52D0A3F8"/>
    <w:rsid w:val="52DEEC15"/>
    <w:rsid w:val="52EE617F"/>
    <w:rsid w:val="53057AB9"/>
    <w:rsid w:val="532B9DB9"/>
    <w:rsid w:val="532BCD0A"/>
    <w:rsid w:val="53EA10FD"/>
    <w:rsid w:val="54069CF6"/>
    <w:rsid w:val="541F7338"/>
    <w:rsid w:val="54B03EF6"/>
    <w:rsid w:val="54BFE9FA"/>
    <w:rsid w:val="552FB377"/>
    <w:rsid w:val="55A60062"/>
    <w:rsid w:val="55B3A929"/>
    <w:rsid w:val="56242A6D"/>
    <w:rsid w:val="56CAFE5B"/>
    <w:rsid w:val="56DC2358"/>
    <w:rsid w:val="56E5AAB0"/>
    <w:rsid w:val="57115F6A"/>
    <w:rsid w:val="571F14F4"/>
    <w:rsid w:val="5743E5A7"/>
    <w:rsid w:val="574F3FFE"/>
    <w:rsid w:val="575929DF"/>
    <w:rsid w:val="5765DE65"/>
    <w:rsid w:val="57D60192"/>
    <w:rsid w:val="582F6BE5"/>
    <w:rsid w:val="5844CC7B"/>
    <w:rsid w:val="58793E00"/>
    <w:rsid w:val="58A5BB84"/>
    <w:rsid w:val="59017C27"/>
    <w:rsid w:val="5927BBDC"/>
    <w:rsid w:val="5990F979"/>
    <w:rsid w:val="5A08DB7C"/>
    <w:rsid w:val="5A431F7C"/>
    <w:rsid w:val="5A79E3C1"/>
    <w:rsid w:val="5A7AC138"/>
    <w:rsid w:val="5A7B248C"/>
    <w:rsid w:val="5B39F74F"/>
    <w:rsid w:val="5B52D6F0"/>
    <w:rsid w:val="5B5B5AF3"/>
    <w:rsid w:val="5B6315A8"/>
    <w:rsid w:val="5C869606"/>
    <w:rsid w:val="5CAB76CA"/>
    <w:rsid w:val="5CB3AE63"/>
    <w:rsid w:val="5CBF0CE3"/>
    <w:rsid w:val="5CD8417B"/>
    <w:rsid w:val="5CF4F4A1"/>
    <w:rsid w:val="5CFB5846"/>
    <w:rsid w:val="5D23A8A8"/>
    <w:rsid w:val="5D3564A8"/>
    <w:rsid w:val="5D6C7E83"/>
    <w:rsid w:val="5E5CE2B8"/>
    <w:rsid w:val="5EBD8F1C"/>
    <w:rsid w:val="5EDFDD8C"/>
    <w:rsid w:val="5EFBD4AB"/>
    <w:rsid w:val="5F33823A"/>
    <w:rsid w:val="5FA543DA"/>
    <w:rsid w:val="5FBBD8E8"/>
    <w:rsid w:val="5FF032F3"/>
    <w:rsid w:val="6073F5D6"/>
    <w:rsid w:val="6097F2AE"/>
    <w:rsid w:val="60C5B498"/>
    <w:rsid w:val="60D578BE"/>
    <w:rsid w:val="60E4EAA8"/>
    <w:rsid w:val="6132691A"/>
    <w:rsid w:val="613F5FD6"/>
    <w:rsid w:val="618712C3"/>
    <w:rsid w:val="61879EC1"/>
    <w:rsid w:val="61ADC556"/>
    <w:rsid w:val="61E6D2C5"/>
    <w:rsid w:val="61E921A9"/>
    <w:rsid w:val="62EE5DBE"/>
    <w:rsid w:val="62F44691"/>
    <w:rsid w:val="6310D28A"/>
    <w:rsid w:val="63364828"/>
    <w:rsid w:val="635D842E"/>
    <w:rsid w:val="63747DFC"/>
    <w:rsid w:val="639DC03F"/>
    <w:rsid w:val="63BA748A"/>
    <w:rsid w:val="63E07E07"/>
    <w:rsid w:val="63FFFF58"/>
    <w:rsid w:val="6430DEA1"/>
    <w:rsid w:val="644DBB33"/>
    <w:rsid w:val="6464B881"/>
    <w:rsid w:val="64D2B001"/>
    <w:rsid w:val="64D9B2B3"/>
    <w:rsid w:val="65000686"/>
    <w:rsid w:val="652976BA"/>
    <w:rsid w:val="6599A748"/>
    <w:rsid w:val="65E658EC"/>
    <w:rsid w:val="65F697A4"/>
    <w:rsid w:val="665BA4BE"/>
    <w:rsid w:val="66AF3C5D"/>
    <w:rsid w:val="6701BC8C"/>
    <w:rsid w:val="67168DD0"/>
    <w:rsid w:val="671E7B56"/>
    <w:rsid w:val="6734F61C"/>
    <w:rsid w:val="6746CA5C"/>
    <w:rsid w:val="67542C2C"/>
    <w:rsid w:val="67E53FCC"/>
    <w:rsid w:val="67FF51FA"/>
    <w:rsid w:val="68153A2E"/>
    <w:rsid w:val="6819776C"/>
    <w:rsid w:val="6824472D"/>
    <w:rsid w:val="683A36FE"/>
    <w:rsid w:val="6847C496"/>
    <w:rsid w:val="689B2F0D"/>
    <w:rsid w:val="68A3B310"/>
    <w:rsid w:val="68AAF9B4"/>
    <w:rsid w:val="68BA7CC4"/>
    <w:rsid w:val="68D0C67D"/>
    <w:rsid w:val="694D5510"/>
    <w:rsid w:val="696718B2"/>
    <w:rsid w:val="69721BBC"/>
    <w:rsid w:val="6980DD8E"/>
    <w:rsid w:val="6A0BC854"/>
    <w:rsid w:val="6A105AE0"/>
    <w:rsid w:val="6A50BF43"/>
    <w:rsid w:val="6AF571E9"/>
    <w:rsid w:val="6B0F3287"/>
    <w:rsid w:val="6B278DFD"/>
    <w:rsid w:val="6B3B7F3F"/>
    <w:rsid w:val="6B724D6A"/>
    <w:rsid w:val="6C1A3B7F"/>
    <w:rsid w:val="6C3E9F1A"/>
    <w:rsid w:val="6CB2882E"/>
    <w:rsid w:val="6CC4C9BC"/>
    <w:rsid w:val="6CD2C31D"/>
    <w:rsid w:val="6CFF6273"/>
    <w:rsid w:val="6D2D6BC4"/>
    <w:rsid w:val="6D41A010"/>
    <w:rsid w:val="6D4884F4"/>
    <w:rsid w:val="6D4A8C53"/>
    <w:rsid w:val="6D4C900B"/>
    <w:rsid w:val="6D549861"/>
    <w:rsid w:val="6DD6E171"/>
    <w:rsid w:val="6DF2D056"/>
    <w:rsid w:val="6E0144E2"/>
    <w:rsid w:val="6E4141E0"/>
    <w:rsid w:val="6E9558CF"/>
    <w:rsid w:val="6EB77217"/>
    <w:rsid w:val="6EE8606C"/>
    <w:rsid w:val="6F366F56"/>
    <w:rsid w:val="6F6DECB2"/>
    <w:rsid w:val="6F6EC110"/>
    <w:rsid w:val="6F7D223C"/>
    <w:rsid w:val="6F8B74CA"/>
    <w:rsid w:val="6FEFED0A"/>
    <w:rsid w:val="70282208"/>
    <w:rsid w:val="703C9EAE"/>
    <w:rsid w:val="70A6A599"/>
    <w:rsid w:val="71130F23"/>
    <w:rsid w:val="7129D9A0"/>
    <w:rsid w:val="7148064E"/>
    <w:rsid w:val="715C94DA"/>
    <w:rsid w:val="71826F22"/>
    <w:rsid w:val="718A6879"/>
    <w:rsid w:val="71964621"/>
    <w:rsid w:val="71BF5C9D"/>
    <w:rsid w:val="71C3358B"/>
    <w:rsid w:val="72134D69"/>
    <w:rsid w:val="721B081E"/>
    <w:rsid w:val="7233018B"/>
    <w:rsid w:val="72750259"/>
    <w:rsid w:val="7277F87A"/>
    <w:rsid w:val="72883732"/>
    <w:rsid w:val="72B534B4"/>
    <w:rsid w:val="72C5E38D"/>
    <w:rsid w:val="72F2A3BF"/>
    <w:rsid w:val="731E7251"/>
    <w:rsid w:val="733179CB"/>
    <w:rsid w:val="735C2A13"/>
    <w:rsid w:val="7369616A"/>
    <w:rsid w:val="737C5CB4"/>
    <w:rsid w:val="737CE9A5"/>
    <w:rsid w:val="73848205"/>
    <w:rsid w:val="73EA6AE5"/>
    <w:rsid w:val="7400F87F"/>
    <w:rsid w:val="740D586D"/>
    <w:rsid w:val="740DB7A8"/>
    <w:rsid w:val="742229B1"/>
    <w:rsid w:val="74EF9198"/>
    <w:rsid w:val="7518C6A5"/>
    <w:rsid w:val="754CE4C6"/>
    <w:rsid w:val="754D7EDC"/>
    <w:rsid w:val="7557A1F0"/>
    <w:rsid w:val="75A7F568"/>
    <w:rsid w:val="75CB8DBD"/>
    <w:rsid w:val="760D5048"/>
    <w:rsid w:val="76661C5C"/>
    <w:rsid w:val="76BB22CB"/>
    <w:rsid w:val="76C24288"/>
    <w:rsid w:val="7745586A"/>
    <w:rsid w:val="77A84D5A"/>
    <w:rsid w:val="77E2D10E"/>
    <w:rsid w:val="77E4FC1D"/>
    <w:rsid w:val="77FEFEDB"/>
    <w:rsid w:val="781FDD15"/>
    <w:rsid w:val="7825B47C"/>
    <w:rsid w:val="7836D7C5"/>
    <w:rsid w:val="788FD28D"/>
    <w:rsid w:val="78FE047B"/>
    <w:rsid w:val="790B4DDB"/>
    <w:rsid w:val="790E0DDD"/>
    <w:rsid w:val="793844A2"/>
    <w:rsid w:val="793B15F2"/>
    <w:rsid w:val="79AC8634"/>
    <w:rsid w:val="79D3C8D5"/>
    <w:rsid w:val="7A09ED93"/>
    <w:rsid w:val="7A21457F"/>
    <w:rsid w:val="7A4DB812"/>
    <w:rsid w:val="7A4E9AE2"/>
    <w:rsid w:val="7A53AC5F"/>
    <w:rsid w:val="7AB7F46C"/>
    <w:rsid w:val="7AFE82CF"/>
    <w:rsid w:val="7B4118FC"/>
    <w:rsid w:val="7BAB1FE7"/>
    <w:rsid w:val="7C69932B"/>
    <w:rsid w:val="7CA10DE9"/>
    <w:rsid w:val="7D02FBB3"/>
    <w:rsid w:val="7D03F292"/>
    <w:rsid w:val="7D044B66"/>
    <w:rsid w:val="7D308A72"/>
    <w:rsid w:val="7D4722D9"/>
    <w:rsid w:val="7D906DAF"/>
    <w:rsid w:val="7DCE7F7D"/>
    <w:rsid w:val="7E3B43F8"/>
    <w:rsid w:val="7E7FE934"/>
    <w:rsid w:val="7E95344B"/>
    <w:rsid w:val="7EC8A8B9"/>
    <w:rsid w:val="7EFA229E"/>
    <w:rsid w:val="7F29AD38"/>
    <w:rsid w:val="7F47D43E"/>
    <w:rsid w:val="7F4EC708"/>
    <w:rsid w:val="7F5712F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015884"/>
  <w15:docId w15:val="{16281FD4-A0F7-4C3C-89E2-033EC2EE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E9042A"/>
    <w:pPr>
      <w:keepNext/>
      <w:keepLines/>
      <w:spacing w:before="520" w:after="240" w:line="480" w:lineRule="atLeast"/>
      <w:outlineLvl w:val="0"/>
    </w:pPr>
    <w:rPr>
      <w:rFonts w:ascii="Arial" w:eastAsia="MS Gothic" w:hAnsi="Arial" w:cs="Arial"/>
      <w:bCs/>
      <w:color w:val="C5511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9042A"/>
    <w:rPr>
      <w:rFonts w:ascii="Arial" w:eastAsia="MS Gothic" w:hAnsi="Arial" w:cs="Arial"/>
      <w:bCs/>
      <w:color w:val="C5511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05BDE"/>
    <w:pPr>
      <w:spacing w:after="240" w:line="560" w:lineRule="atLeast"/>
    </w:pPr>
    <w:rPr>
      <w:rFonts w:ascii="Arial" w:hAnsi="Arial"/>
      <w:b/>
      <w:color w:val="C5511A"/>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B28F5"/>
    <w:pPr>
      <w:numPr>
        <w:ilvl w:val="1"/>
        <w:numId w:val="3"/>
      </w:numPr>
      <w:ind w:hanging="103"/>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922638"/>
    <w:pPr>
      <w:numPr>
        <w:numId w:val="3"/>
      </w:numPr>
    </w:pPr>
  </w:style>
  <w:style w:type="numbering" w:customStyle="1" w:styleId="ZZTablebullets">
    <w:name w:val="ZZ Table bullets"/>
    <w:basedOn w:val="NoList"/>
    <w:rsid w:val="00C60411"/>
    <w:pPr>
      <w:numPr>
        <w:numId w:val="55"/>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4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42"/>
      </w:numPr>
    </w:pPr>
  </w:style>
  <w:style w:type="paragraph" w:customStyle="1" w:styleId="Numberloweralphaindent">
    <w:name w:val="Number lower alpha indent"/>
    <w:basedOn w:val="Body"/>
    <w:uiPriority w:val="3"/>
    <w:rsid w:val="00C60411"/>
    <w:pPr>
      <w:numPr>
        <w:ilvl w:val="1"/>
        <w:numId w:val="7"/>
      </w:numPr>
    </w:pPr>
  </w:style>
  <w:style w:type="paragraph" w:customStyle="1" w:styleId="Numberdigitindent">
    <w:name w:val="Number digit indent"/>
    <w:basedOn w:val="Numberloweralphaindent"/>
    <w:uiPriority w:val="3"/>
    <w:rsid w:val="00C60411"/>
    <w:pPr>
      <w:numPr>
        <w:numId w:val="42"/>
      </w:numPr>
    </w:pPr>
  </w:style>
  <w:style w:type="paragraph" w:customStyle="1" w:styleId="Numberloweralpha">
    <w:name w:val="Number lower alpha"/>
    <w:basedOn w:val="Body"/>
    <w:uiPriority w:val="3"/>
    <w:rsid w:val="00C60411"/>
    <w:pPr>
      <w:numPr>
        <w:numId w:val="7"/>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42"/>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646253"/>
    <w:pPr>
      <w:spacing w:line="320" w:lineRule="atLeast"/>
    </w:pPr>
    <w:rPr>
      <w:color w:val="C5511A"/>
      <w:sz w:val="24"/>
    </w:rPr>
  </w:style>
  <w:style w:type="paragraph" w:customStyle="1" w:styleId="DHHSbody">
    <w:name w:val="DHHS body"/>
    <w:qFormat/>
    <w:rsid w:val="00C1661B"/>
    <w:pPr>
      <w:spacing w:after="120" w:line="270" w:lineRule="atLeast"/>
    </w:pPr>
    <w:rPr>
      <w:rFonts w:ascii="Arial" w:eastAsia="Times" w:hAnsi="Arial"/>
      <w:lang w:eastAsia="en-US"/>
    </w:rPr>
  </w:style>
  <w:style w:type="paragraph" w:customStyle="1" w:styleId="DHHSbullet1">
    <w:name w:val="DHHS bullet 1"/>
    <w:basedOn w:val="DHHSbody"/>
    <w:qFormat/>
    <w:rsid w:val="00C1661B"/>
    <w:pPr>
      <w:spacing w:after="40"/>
      <w:ind w:left="284" w:hanging="284"/>
    </w:pPr>
  </w:style>
  <w:style w:type="paragraph" w:customStyle="1" w:styleId="DHHSbullet2">
    <w:name w:val="DHHS bullet 2"/>
    <w:basedOn w:val="DHHSbody"/>
    <w:uiPriority w:val="2"/>
    <w:qFormat/>
    <w:rsid w:val="00C1661B"/>
    <w:pPr>
      <w:spacing w:after="40"/>
      <w:ind w:left="567" w:hanging="283"/>
    </w:pPr>
  </w:style>
  <w:style w:type="paragraph" w:customStyle="1" w:styleId="DHHSbullet1lastline">
    <w:name w:val="DHHS bullet 1 last line"/>
    <w:basedOn w:val="DHHSbullet1"/>
    <w:qFormat/>
    <w:rsid w:val="00C1661B"/>
    <w:pPr>
      <w:spacing w:after="120"/>
    </w:pPr>
  </w:style>
  <w:style w:type="paragraph" w:customStyle="1" w:styleId="DHHSbullet2lastline">
    <w:name w:val="DHHS bullet 2 last line"/>
    <w:basedOn w:val="DHHSbullet2"/>
    <w:uiPriority w:val="2"/>
    <w:qFormat/>
    <w:rsid w:val="00C1661B"/>
    <w:pPr>
      <w:spacing w:after="120"/>
    </w:pPr>
  </w:style>
  <w:style w:type="paragraph" w:customStyle="1" w:styleId="DHHStablebullet">
    <w:name w:val="DHHS table bullet"/>
    <w:basedOn w:val="Normal"/>
    <w:uiPriority w:val="3"/>
    <w:qFormat/>
    <w:rsid w:val="00C1661B"/>
    <w:pPr>
      <w:spacing w:before="80" w:after="60" w:line="240" w:lineRule="auto"/>
      <w:ind w:left="227" w:hanging="227"/>
    </w:pPr>
    <w:rPr>
      <w:sz w:val="20"/>
    </w:rPr>
  </w:style>
  <w:style w:type="paragraph" w:customStyle="1" w:styleId="DHHSbulletindent">
    <w:name w:val="DHHS bullet indent"/>
    <w:basedOn w:val="DHHSbody"/>
    <w:uiPriority w:val="4"/>
    <w:rsid w:val="00C1661B"/>
    <w:pPr>
      <w:spacing w:after="40"/>
      <w:ind w:left="680" w:hanging="283"/>
    </w:pPr>
  </w:style>
  <w:style w:type="paragraph" w:customStyle="1" w:styleId="DHHSbulletindentlastline">
    <w:name w:val="DHHS bullet indent last line"/>
    <w:basedOn w:val="DHHSbody"/>
    <w:uiPriority w:val="4"/>
    <w:rsid w:val="00C1661B"/>
    <w:pPr>
      <w:ind w:left="680" w:hanging="283"/>
    </w:pPr>
  </w:style>
  <w:style w:type="paragraph" w:customStyle="1" w:styleId="DraftHeading4">
    <w:name w:val="Draft Heading 4"/>
    <w:basedOn w:val="Normal"/>
    <w:next w:val="Normal"/>
    <w:uiPriority w:val="99"/>
    <w:rsid w:val="00512EA3"/>
    <w:pPr>
      <w:overflowPunct w:val="0"/>
      <w:autoSpaceDE w:val="0"/>
      <w:autoSpaceDN w:val="0"/>
      <w:adjustRightInd w:val="0"/>
      <w:spacing w:before="120" w:after="0" w:line="240" w:lineRule="auto"/>
      <w:textAlignment w:val="baseline"/>
    </w:pPr>
    <w:rPr>
      <w:rFonts w:ascii="Times New Roman" w:hAnsi="Times New Roman"/>
      <w:sz w:val="24"/>
    </w:rPr>
  </w:style>
  <w:style w:type="paragraph" w:customStyle="1" w:styleId="DraftHeading5">
    <w:name w:val="Draft Heading 5"/>
    <w:basedOn w:val="Normal"/>
    <w:next w:val="Normal"/>
    <w:rsid w:val="00512EA3"/>
    <w:pPr>
      <w:overflowPunct w:val="0"/>
      <w:autoSpaceDE w:val="0"/>
      <w:autoSpaceDN w:val="0"/>
      <w:adjustRightInd w:val="0"/>
      <w:spacing w:before="120" w:after="0" w:line="240" w:lineRule="auto"/>
      <w:textAlignment w:val="baseline"/>
    </w:pPr>
    <w:rPr>
      <w:rFonts w:ascii="Times New Roman" w:hAnsi="Times New Roman"/>
      <w:sz w:val="24"/>
    </w:rPr>
  </w:style>
  <w:style w:type="paragraph" w:customStyle="1" w:styleId="DraftDefinition2">
    <w:name w:val="Draft Definition 2"/>
    <w:next w:val="Normal"/>
    <w:rsid w:val="00512EA3"/>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styleId="ListParagraph">
    <w:name w:val="List Paragraph"/>
    <w:basedOn w:val="Normal"/>
    <w:uiPriority w:val="34"/>
    <w:qFormat/>
    <w:rsid w:val="00670B1D"/>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670B1D"/>
    <w:pPr>
      <w:spacing w:before="100" w:beforeAutospacing="1" w:after="100" w:afterAutospacing="1" w:line="240" w:lineRule="auto"/>
    </w:pPr>
    <w:rPr>
      <w:rFonts w:ascii="Times New Roman" w:hAnsi="Times New Roman"/>
      <w:sz w:val="24"/>
      <w:szCs w:val="24"/>
      <w:lang w:eastAsia="en-AU"/>
    </w:rPr>
  </w:style>
  <w:style w:type="character" w:customStyle="1" w:styleId="st1">
    <w:name w:val="st1"/>
    <w:basedOn w:val="DefaultParagraphFont"/>
    <w:rsid w:val="00670B1D"/>
  </w:style>
  <w:style w:type="character" w:customStyle="1" w:styleId="tgc">
    <w:name w:val="_tgc"/>
    <w:basedOn w:val="DefaultParagraphFont"/>
    <w:rsid w:val="00670B1D"/>
  </w:style>
  <w:style w:type="paragraph" w:customStyle="1" w:styleId="Question">
    <w:name w:val="Question"/>
    <w:basedOn w:val="Normal"/>
    <w:autoRedefine/>
    <w:qFormat/>
    <w:rsid w:val="00497F24"/>
    <w:pPr>
      <w:spacing w:line="270" w:lineRule="atLeast"/>
      <w:ind w:left="567" w:hanging="567"/>
    </w:pPr>
    <w:rPr>
      <w:rFonts w:eastAsia="Times"/>
      <w:sz w:val="20"/>
    </w:rPr>
  </w:style>
  <w:style w:type="paragraph" w:customStyle="1" w:styleId="paragraph">
    <w:name w:val="paragraph"/>
    <w:basedOn w:val="Normal"/>
    <w:rsid w:val="00963458"/>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963458"/>
  </w:style>
  <w:style w:type="character" w:styleId="Emphasis">
    <w:name w:val="Emphasis"/>
    <w:basedOn w:val="DefaultParagraphFont"/>
    <w:uiPriority w:val="20"/>
    <w:qFormat/>
    <w:rsid w:val="00E6295A"/>
    <w:rPr>
      <w:i/>
      <w:iCs/>
    </w:rPr>
  </w:style>
  <w:style w:type="character" w:customStyle="1" w:styleId="normaltextrun">
    <w:name w:val="normaltextrun"/>
    <w:basedOn w:val="DefaultParagraphFont"/>
    <w:rsid w:val="004F22D3"/>
  </w:style>
  <w:style w:type="character" w:styleId="HTMLCite">
    <w:name w:val="HTML Cite"/>
    <w:basedOn w:val="DefaultParagraphFont"/>
    <w:uiPriority w:val="99"/>
    <w:semiHidden/>
    <w:unhideWhenUsed/>
    <w:rsid w:val="00260734"/>
    <w:rPr>
      <w:i/>
      <w:iCs/>
    </w:rPr>
  </w:style>
  <w:style w:type="character" w:customStyle="1" w:styleId="rpl-document-linktitle">
    <w:name w:val="rpl-document-link__title"/>
    <w:basedOn w:val="DefaultParagraphFont"/>
    <w:rsid w:val="00C02A8D"/>
  </w:style>
  <w:style w:type="character" w:styleId="Mention">
    <w:name w:val="Mention"/>
    <w:basedOn w:val="DefaultParagraphFont"/>
    <w:uiPriority w:val="99"/>
    <w:unhideWhenUsed/>
    <w:rsid w:val="00AC604D"/>
    <w:rPr>
      <w:color w:val="2B579A"/>
      <w:shd w:val="clear" w:color="auto" w:fill="E1DFDD"/>
    </w:rPr>
  </w:style>
  <w:style w:type="paragraph" w:customStyle="1" w:styleId="DJCSbody">
    <w:name w:val="DJCS body"/>
    <w:link w:val="DJCSbodyChar"/>
    <w:qFormat/>
    <w:rsid w:val="00E1201C"/>
    <w:pPr>
      <w:spacing w:after="120" w:line="250" w:lineRule="atLeast"/>
      <w:ind w:left="851"/>
    </w:pPr>
    <w:rPr>
      <w:rFonts w:ascii="Arial" w:eastAsia="Times" w:hAnsi="Arial"/>
      <w:sz w:val="22"/>
      <w:lang w:eastAsia="en-US"/>
    </w:rPr>
  </w:style>
  <w:style w:type="character" w:customStyle="1" w:styleId="DJCSbodyChar">
    <w:name w:val="DJCS body Char"/>
    <w:basedOn w:val="DefaultParagraphFont"/>
    <w:link w:val="DJCSbody"/>
    <w:rsid w:val="00E1201C"/>
    <w:rPr>
      <w:rFonts w:ascii="Arial" w:eastAsia="Times" w:hAnsi="Arial"/>
      <w:sz w:val="22"/>
      <w:lang w:eastAsia="en-US"/>
    </w:rPr>
  </w:style>
  <w:style w:type="paragraph" w:customStyle="1" w:styleId="DraftHeading3">
    <w:name w:val="Draft Heading 3"/>
    <w:basedOn w:val="Normal"/>
    <w:next w:val="Normal"/>
    <w:rsid w:val="00A11843"/>
    <w:pPr>
      <w:overflowPunct w:val="0"/>
      <w:autoSpaceDE w:val="0"/>
      <w:autoSpaceDN w:val="0"/>
      <w:adjustRightInd w:val="0"/>
      <w:spacing w:before="120" w:after="0" w:line="240" w:lineRule="auto"/>
      <w:textAlignment w:val="baseline"/>
    </w:pPr>
    <w:rPr>
      <w:rFonts w:ascii="Times New Roman" w:hAnsi="Times New Roman"/>
      <w:sz w:val="24"/>
    </w:rPr>
  </w:style>
  <w:style w:type="paragraph" w:customStyle="1" w:styleId="DraftHeading1">
    <w:name w:val="Draft Heading 1"/>
    <w:basedOn w:val="Normal"/>
    <w:next w:val="Normal"/>
    <w:rsid w:val="00A11843"/>
    <w:pPr>
      <w:overflowPunct w:val="0"/>
      <w:autoSpaceDE w:val="0"/>
      <w:autoSpaceDN w:val="0"/>
      <w:adjustRightInd w:val="0"/>
      <w:spacing w:before="120" w:after="0" w:line="240" w:lineRule="auto"/>
      <w:textAlignment w:val="baseline"/>
      <w:outlineLvl w:val="2"/>
    </w:pPr>
    <w:rPr>
      <w:rFonts w:ascii="Times New Roman" w:hAnsi="Times New Roman"/>
      <w:b/>
      <w:sz w:val="24"/>
      <w:szCs w:val="24"/>
    </w:rPr>
  </w:style>
  <w:style w:type="character" w:styleId="PlaceholderText">
    <w:name w:val="Placeholder Text"/>
    <w:basedOn w:val="DefaultParagraphFont"/>
    <w:uiPriority w:val="99"/>
    <w:unhideWhenUsed/>
    <w:rsid w:val="00C132C8"/>
    <w:rPr>
      <w:color w:val="808080"/>
    </w:rPr>
  </w:style>
  <w:style w:type="character" w:customStyle="1" w:styleId="ui-provider">
    <w:name w:val="ui-provider"/>
    <w:basedOn w:val="DefaultParagraphFont"/>
    <w:rsid w:val="009B3B45"/>
  </w:style>
  <w:style w:type="paragraph" w:styleId="TOCHeading">
    <w:name w:val="TOC Heading"/>
    <w:basedOn w:val="Heading1"/>
    <w:next w:val="Normal"/>
    <w:uiPriority w:val="39"/>
    <w:unhideWhenUsed/>
    <w:qFormat/>
    <w:rsid w:val="001D36D7"/>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7088">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0818505">
      <w:bodyDiv w:val="1"/>
      <w:marLeft w:val="0"/>
      <w:marRight w:val="0"/>
      <w:marTop w:val="0"/>
      <w:marBottom w:val="0"/>
      <w:divBdr>
        <w:top w:val="none" w:sz="0" w:space="0" w:color="auto"/>
        <w:left w:val="none" w:sz="0" w:space="0" w:color="auto"/>
        <w:bottom w:val="none" w:sz="0" w:space="0" w:color="auto"/>
        <w:right w:val="none" w:sz="0" w:space="0" w:color="auto"/>
      </w:divBdr>
    </w:div>
    <w:div w:id="343870772">
      <w:bodyDiv w:val="1"/>
      <w:marLeft w:val="0"/>
      <w:marRight w:val="0"/>
      <w:marTop w:val="0"/>
      <w:marBottom w:val="0"/>
      <w:divBdr>
        <w:top w:val="none" w:sz="0" w:space="0" w:color="auto"/>
        <w:left w:val="none" w:sz="0" w:space="0" w:color="auto"/>
        <w:bottom w:val="none" w:sz="0" w:space="0" w:color="auto"/>
        <w:right w:val="none" w:sz="0" w:space="0" w:color="auto"/>
      </w:divBdr>
      <w:divsChild>
        <w:div w:id="734160716">
          <w:marLeft w:val="0"/>
          <w:marRight w:val="0"/>
          <w:marTop w:val="0"/>
          <w:marBottom w:val="0"/>
          <w:divBdr>
            <w:top w:val="none" w:sz="0" w:space="0" w:color="auto"/>
            <w:left w:val="none" w:sz="0" w:space="0" w:color="auto"/>
            <w:bottom w:val="none" w:sz="0" w:space="0" w:color="auto"/>
            <w:right w:val="none" w:sz="0" w:space="0" w:color="auto"/>
          </w:divBdr>
          <w:divsChild>
            <w:div w:id="2031683035">
              <w:marLeft w:val="0"/>
              <w:marRight w:val="0"/>
              <w:marTop w:val="0"/>
              <w:marBottom w:val="0"/>
              <w:divBdr>
                <w:top w:val="none" w:sz="0" w:space="0" w:color="auto"/>
                <w:left w:val="none" w:sz="0" w:space="0" w:color="auto"/>
                <w:bottom w:val="none" w:sz="0" w:space="0" w:color="auto"/>
                <w:right w:val="none" w:sz="0" w:space="0" w:color="auto"/>
              </w:divBdr>
            </w:div>
            <w:div w:id="2087997648">
              <w:marLeft w:val="0"/>
              <w:marRight w:val="0"/>
              <w:marTop w:val="0"/>
              <w:marBottom w:val="0"/>
              <w:divBdr>
                <w:top w:val="none" w:sz="0" w:space="0" w:color="auto"/>
                <w:left w:val="none" w:sz="0" w:space="0" w:color="auto"/>
                <w:bottom w:val="none" w:sz="0" w:space="0" w:color="auto"/>
                <w:right w:val="none" w:sz="0" w:space="0" w:color="auto"/>
              </w:divBdr>
            </w:div>
            <w:div w:id="2147358630">
              <w:marLeft w:val="0"/>
              <w:marRight w:val="0"/>
              <w:marTop w:val="0"/>
              <w:marBottom w:val="0"/>
              <w:divBdr>
                <w:top w:val="none" w:sz="0" w:space="0" w:color="auto"/>
                <w:left w:val="none" w:sz="0" w:space="0" w:color="auto"/>
                <w:bottom w:val="none" w:sz="0" w:space="0" w:color="auto"/>
                <w:right w:val="none" w:sz="0" w:space="0" w:color="auto"/>
              </w:divBdr>
            </w:div>
          </w:divsChild>
        </w:div>
        <w:div w:id="1577788688">
          <w:marLeft w:val="0"/>
          <w:marRight w:val="0"/>
          <w:marTop w:val="0"/>
          <w:marBottom w:val="0"/>
          <w:divBdr>
            <w:top w:val="none" w:sz="0" w:space="0" w:color="auto"/>
            <w:left w:val="none" w:sz="0" w:space="0" w:color="auto"/>
            <w:bottom w:val="none" w:sz="0" w:space="0" w:color="auto"/>
            <w:right w:val="none" w:sz="0" w:space="0" w:color="auto"/>
          </w:divBdr>
          <w:divsChild>
            <w:div w:id="169908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5319">
      <w:bodyDiv w:val="1"/>
      <w:marLeft w:val="0"/>
      <w:marRight w:val="0"/>
      <w:marTop w:val="0"/>
      <w:marBottom w:val="0"/>
      <w:divBdr>
        <w:top w:val="none" w:sz="0" w:space="0" w:color="auto"/>
        <w:left w:val="none" w:sz="0" w:space="0" w:color="auto"/>
        <w:bottom w:val="none" w:sz="0" w:space="0" w:color="auto"/>
        <w:right w:val="none" w:sz="0" w:space="0" w:color="auto"/>
      </w:divBdr>
    </w:div>
    <w:div w:id="639926095">
      <w:bodyDiv w:val="1"/>
      <w:marLeft w:val="0"/>
      <w:marRight w:val="0"/>
      <w:marTop w:val="0"/>
      <w:marBottom w:val="0"/>
      <w:divBdr>
        <w:top w:val="none" w:sz="0" w:space="0" w:color="auto"/>
        <w:left w:val="none" w:sz="0" w:space="0" w:color="auto"/>
        <w:bottom w:val="none" w:sz="0" w:space="0" w:color="auto"/>
        <w:right w:val="none" w:sz="0" w:space="0" w:color="auto"/>
      </w:divBdr>
    </w:div>
    <w:div w:id="720137158">
      <w:bodyDiv w:val="1"/>
      <w:marLeft w:val="0"/>
      <w:marRight w:val="0"/>
      <w:marTop w:val="0"/>
      <w:marBottom w:val="0"/>
      <w:divBdr>
        <w:top w:val="none" w:sz="0" w:space="0" w:color="auto"/>
        <w:left w:val="none" w:sz="0" w:space="0" w:color="auto"/>
        <w:bottom w:val="none" w:sz="0" w:space="0" w:color="auto"/>
        <w:right w:val="none" w:sz="0" w:space="0" w:color="auto"/>
      </w:divBdr>
      <w:divsChild>
        <w:div w:id="88353103">
          <w:marLeft w:val="0"/>
          <w:marRight w:val="0"/>
          <w:marTop w:val="0"/>
          <w:marBottom w:val="0"/>
          <w:divBdr>
            <w:top w:val="none" w:sz="0" w:space="0" w:color="auto"/>
            <w:left w:val="none" w:sz="0" w:space="0" w:color="auto"/>
            <w:bottom w:val="none" w:sz="0" w:space="0" w:color="auto"/>
            <w:right w:val="none" w:sz="0" w:space="0" w:color="auto"/>
          </w:divBdr>
          <w:divsChild>
            <w:div w:id="327708246">
              <w:marLeft w:val="0"/>
              <w:marRight w:val="0"/>
              <w:marTop w:val="0"/>
              <w:marBottom w:val="0"/>
              <w:divBdr>
                <w:top w:val="none" w:sz="0" w:space="0" w:color="auto"/>
                <w:left w:val="none" w:sz="0" w:space="0" w:color="auto"/>
                <w:bottom w:val="none" w:sz="0" w:space="0" w:color="auto"/>
                <w:right w:val="none" w:sz="0" w:space="0" w:color="auto"/>
              </w:divBdr>
            </w:div>
          </w:divsChild>
        </w:div>
        <w:div w:id="1499464824">
          <w:marLeft w:val="0"/>
          <w:marRight w:val="0"/>
          <w:marTop w:val="0"/>
          <w:marBottom w:val="0"/>
          <w:divBdr>
            <w:top w:val="none" w:sz="0" w:space="0" w:color="auto"/>
            <w:left w:val="none" w:sz="0" w:space="0" w:color="auto"/>
            <w:bottom w:val="none" w:sz="0" w:space="0" w:color="auto"/>
            <w:right w:val="none" w:sz="0" w:space="0" w:color="auto"/>
          </w:divBdr>
          <w:divsChild>
            <w:div w:id="82075593">
              <w:marLeft w:val="0"/>
              <w:marRight w:val="0"/>
              <w:marTop w:val="0"/>
              <w:marBottom w:val="0"/>
              <w:divBdr>
                <w:top w:val="none" w:sz="0" w:space="0" w:color="auto"/>
                <w:left w:val="none" w:sz="0" w:space="0" w:color="auto"/>
                <w:bottom w:val="none" w:sz="0" w:space="0" w:color="auto"/>
                <w:right w:val="none" w:sz="0" w:space="0" w:color="auto"/>
              </w:divBdr>
            </w:div>
            <w:div w:id="1020548418">
              <w:marLeft w:val="0"/>
              <w:marRight w:val="0"/>
              <w:marTop w:val="0"/>
              <w:marBottom w:val="0"/>
              <w:divBdr>
                <w:top w:val="none" w:sz="0" w:space="0" w:color="auto"/>
                <w:left w:val="none" w:sz="0" w:space="0" w:color="auto"/>
                <w:bottom w:val="none" w:sz="0" w:space="0" w:color="auto"/>
                <w:right w:val="none" w:sz="0" w:space="0" w:color="auto"/>
              </w:divBdr>
            </w:div>
            <w:div w:id="21274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4604455">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58819266">
      <w:bodyDiv w:val="1"/>
      <w:marLeft w:val="0"/>
      <w:marRight w:val="0"/>
      <w:marTop w:val="0"/>
      <w:marBottom w:val="0"/>
      <w:divBdr>
        <w:top w:val="none" w:sz="0" w:space="0" w:color="auto"/>
        <w:left w:val="none" w:sz="0" w:space="0" w:color="auto"/>
        <w:bottom w:val="none" w:sz="0" w:space="0" w:color="auto"/>
        <w:right w:val="none" w:sz="0" w:space="0" w:color="auto"/>
      </w:divBdr>
    </w:div>
    <w:div w:id="1086807925">
      <w:bodyDiv w:val="1"/>
      <w:marLeft w:val="0"/>
      <w:marRight w:val="0"/>
      <w:marTop w:val="0"/>
      <w:marBottom w:val="0"/>
      <w:divBdr>
        <w:top w:val="none" w:sz="0" w:space="0" w:color="auto"/>
        <w:left w:val="none" w:sz="0" w:space="0" w:color="auto"/>
        <w:bottom w:val="none" w:sz="0" w:space="0" w:color="auto"/>
        <w:right w:val="none" w:sz="0" w:space="0" w:color="auto"/>
      </w:divBdr>
    </w:div>
    <w:div w:id="138340832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2579703">
      <w:bodyDiv w:val="1"/>
      <w:marLeft w:val="0"/>
      <w:marRight w:val="0"/>
      <w:marTop w:val="0"/>
      <w:marBottom w:val="0"/>
      <w:divBdr>
        <w:top w:val="none" w:sz="0" w:space="0" w:color="auto"/>
        <w:left w:val="none" w:sz="0" w:space="0" w:color="auto"/>
        <w:bottom w:val="none" w:sz="0" w:space="0" w:color="auto"/>
        <w:right w:val="none" w:sz="0" w:space="0" w:color="auto"/>
      </w:divBdr>
      <w:divsChild>
        <w:div w:id="1432235737">
          <w:marLeft w:val="0"/>
          <w:marRight w:val="0"/>
          <w:marTop w:val="0"/>
          <w:marBottom w:val="0"/>
          <w:divBdr>
            <w:top w:val="none" w:sz="0" w:space="0" w:color="auto"/>
            <w:left w:val="none" w:sz="0" w:space="0" w:color="auto"/>
            <w:bottom w:val="none" w:sz="0" w:space="0" w:color="auto"/>
            <w:right w:val="none" w:sz="0" w:space="0" w:color="auto"/>
          </w:divBdr>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53038018">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64309364">
      <w:bodyDiv w:val="1"/>
      <w:marLeft w:val="0"/>
      <w:marRight w:val="0"/>
      <w:marTop w:val="0"/>
      <w:marBottom w:val="0"/>
      <w:divBdr>
        <w:top w:val="none" w:sz="0" w:space="0" w:color="auto"/>
        <w:left w:val="none" w:sz="0" w:space="0" w:color="auto"/>
        <w:bottom w:val="none" w:sz="0" w:space="0" w:color="auto"/>
        <w:right w:val="none" w:sz="0" w:space="0" w:color="auto"/>
      </w:divBdr>
      <w:divsChild>
        <w:div w:id="28263952">
          <w:marLeft w:val="0"/>
          <w:marRight w:val="0"/>
          <w:marTop w:val="0"/>
          <w:marBottom w:val="0"/>
          <w:divBdr>
            <w:top w:val="none" w:sz="0" w:space="0" w:color="auto"/>
            <w:left w:val="none" w:sz="0" w:space="0" w:color="auto"/>
            <w:bottom w:val="none" w:sz="0" w:space="0" w:color="auto"/>
            <w:right w:val="none" w:sz="0" w:space="0" w:color="auto"/>
          </w:divBdr>
          <w:divsChild>
            <w:div w:id="494997762">
              <w:marLeft w:val="0"/>
              <w:marRight w:val="0"/>
              <w:marTop w:val="0"/>
              <w:marBottom w:val="0"/>
              <w:divBdr>
                <w:top w:val="none" w:sz="0" w:space="0" w:color="auto"/>
                <w:left w:val="none" w:sz="0" w:space="0" w:color="auto"/>
                <w:bottom w:val="none" w:sz="0" w:space="0" w:color="auto"/>
                <w:right w:val="none" w:sz="0" w:space="0" w:color="auto"/>
              </w:divBdr>
            </w:div>
            <w:div w:id="2017339285">
              <w:marLeft w:val="0"/>
              <w:marRight w:val="0"/>
              <w:marTop w:val="0"/>
              <w:marBottom w:val="0"/>
              <w:divBdr>
                <w:top w:val="none" w:sz="0" w:space="0" w:color="auto"/>
                <w:left w:val="none" w:sz="0" w:space="0" w:color="auto"/>
                <w:bottom w:val="none" w:sz="0" w:space="0" w:color="auto"/>
                <w:right w:val="none" w:sz="0" w:space="0" w:color="auto"/>
              </w:divBdr>
            </w:div>
          </w:divsChild>
        </w:div>
        <w:div w:id="147019004">
          <w:marLeft w:val="0"/>
          <w:marRight w:val="0"/>
          <w:marTop w:val="0"/>
          <w:marBottom w:val="0"/>
          <w:divBdr>
            <w:top w:val="none" w:sz="0" w:space="0" w:color="auto"/>
            <w:left w:val="none" w:sz="0" w:space="0" w:color="auto"/>
            <w:bottom w:val="none" w:sz="0" w:space="0" w:color="auto"/>
            <w:right w:val="none" w:sz="0" w:space="0" w:color="auto"/>
          </w:divBdr>
          <w:divsChild>
            <w:div w:id="1022171321">
              <w:marLeft w:val="0"/>
              <w:marRight w:val="0"/>
              <w:marTop w:val="0"/>
              <w:marBottom w:val="0"/>
              <w:divBdr>
                <w:top w:val="none" w:sz="0" w:space="0" w:color="auto"/>
                <w:left w:val="none" w:sz="0" w:space="0" w:color="auto"/>
                <w:bottom w:val="none" w:sz="0" w:space="0" w:color="auto"/>
                <w:right w:val="none" w:sz="0" w:space="0" w:color="auto"/>
              </w:divBdr>
            </w:div>
            <w:div w:id="1422799610">
              <w:marLeft w:val="0"/>
              <w:marRight w:val="0"/>
              <w:marTop w:val="0"/>
              <w:marBottom w:val="0"/>
              <w:divBdr>
                <w:top w:val="none" w:sz="0" w:space="0" w:color="auto"/>
                <w:left w:val="none" w:sz="0" w:space="0" w:color="auto"/>
                <w:bottom w:val="none" w:sz="0" w:space="0" w:color="auto"/>
                <w:right w:val="none" w:sz="0" w:space="0" w:color="auto"/>
              </w:divBdr>
            </w:div>
            <w:div w:id="1779595192">
              <w:marLeft w:val="0"/>
              <w:marRight w:val="0"/>
              <w:marTop w:val="0"/>
              <w:marBottom w:val="0"/>
              <w:divBdr>
                <w:top w:val="none" w:sz="0" w:space="0" w:color="auto"/>
                <w:left w:val="none" w:sz="0" w:space="0" w:color="auto"/>
                <w:bottom w:val="none" w:sz="0" w:space="0" w:color="auto"/>
                <w:right w:val="none" w:sz="0" w:space="0" w:color="auto"/>
              </w:divBdr>
            </w:div>
            <w:div w:id="1898584682">
              <w:marLeft w:val="0"/>
              <w:marRight w:val="0"/>
              <w:marTop w:val="0"/>
              <w:marBottom w:val="0"/>
              <w:divBdr>
                <w:top w:val="none" w:sz="0" w:space="0" w:color="auto"/>
                <w:left w:val="none" w:sz="0" w:space="0" w:color="auto"/>
                <w:bottom w:val="none" w:sz="0" w:space="0" w:color="auto"/>
                <w:right w:val="none" w:sz="0" w:space="0" w:color="auto"/>
              </w:divBdr>
            </w:div>
          </w:divsChild>
        </w:div>
        <w:div w:id="194392584">
          <w:marLeft w:val="0"/>
          <w:marRight w:val="0"/>
          <w:marTop w:val="0"/>
          <w:marBottom w:val="0"/>
          <w:divBdr>
            <w:top w:val="none" w:sz="0" w:space="0" w:color="auto"/>
            <w:left w:val="none" w:sz="0" w:space="0" w:color="auto"/>
            <w:bottom w:val="none" w:sz="0" w:space="0" w:color="auto"/>
            <w:right w:val="none" w:sz="0" w:space="0" w:color="auto"/>
          </w:divBdr>
        </w:div>
        <w:div w:id="254292736">
          <w:marLeft w:val="0"/>
          <w:marRight w:val="0"/>
          <w:marTop w:val="0"/>
          <w:marBottom w:val="0"/>
          <w:divBdr>
            <w:top w:val="none" w:sz="0" w:space="0" w:color="auto"/>
            <w:left w:val="none" w:sz="0" w:space="0" w:color="auto"/>
            <w:bottom w:val="none" w:sz="0" w:space="0" w:color="auto"/>
            <w:right w:val="none" w:sz="0" w:space="0" w:color="auto"/>
          </w:divBdr>
          <w:divsChild>
            <w:div w:id="686295497">
              <w:marLeft w:val="0"/>
              <w:marRight w:val="0"/>
              <w:marTop w:val="0"/>
              <w:marBottom w:val="0"/>
              <w:divBdr>
                <w:top w:val="none" w:sz="0" w:space="0" w:color="auto"/>
                <w:left w:val="none" w:sz="0" w:space="0" w:color="auto"/>
                <w:bottom w:val="none" w:sz="0" w:space="0" w:color="auto"/>
                <w:right w:val="none" w:sz="0" w:space="0" w:color="auto"/>
              </w:divBdr>
            </w:div>
            <w:div w:id="689140069">
              <w:marLeft w:val="0"/>
              <w:marRight w:val="0"/>
              <w:marTop w:val="0"/>
              <w:marBottom w:val="0"/>
              <w:divBdr>
                <w:top w:val="none" w:sz="0" w:space="0" w:color="auto"/>
                <w:left w:val="none" w:sz="0" w:space="0" w:color="auto"/>
                <w:bottom w:val="none" w:sz="0" w:space="0" w:color="auto"/>
                <w:right w:val="none" w:sz="0" w:space="0" w:color="auto"/>
              </w:divBdr>
            </w:div>
            <w:div w:id="1797093409">
              <w:marLeft w:val="0"/>
              <w:marRight w:val="0"/>
              <w:marTop w:val="0"/>
              <w:marBottom w:val="0"/>
              <w:divBdr>
                <w:top w:val="none" w:sz="0" w:space="0" w:color="auto"/>
                <w:left w:val="none" w:sz="0" w:space="0" w:color="auto"/>
                <w:bottom w:val="none" w:sz="0" w:space="0" w:color="auto"/>
                <w:right w:val="none" w:sz="0" w:space="0" w:color="auto"/>
              </w:divBdr>
            </w:div>
            <w:div w:id="1940598047">
              <w:marLeft w:val="0"/>
              <w:marRight w:val="0"/>
              <w:marTop w:val="0"/>
              <w:marBottom w:val="0"/>
              <w:divBdr>
                <w:top w:val="none" w:sz="0" w:space="0" w:color="auto"/>
                <w:left w:val="none" w:sz="0" w:space="0" w:color="auto"/>
                <w:bottom w:val="none" w:sz="0" w:space="0" w:color="auto"/>
                <w:right w:val="none" w:sz="0" w:space="0" w:color="auto"/>
              </w:divBdr>
            </w:div>
          </w:divsChild>
        </w:div>
        <w:div w:id="318466382">
          <w:marLeft w:val="0"/>
          <w:marRight w:val="0"/>
          <w:marTop w:val="0"/>
          <w:marBottom w:val="0"/>
          <w:divBdr>
            <w:top w:val="none" w:sz="0" w:space="0" w:color="auto"/>
            <w:left w:val="none" w:sz="0" w:space="0" w:color="auto"/>
            <w:bottom w:val="none" w:sz="0" w:space="0" w:color="auto"/>
            <w:right w:val="none" w:sz="0" w:space="0" w:color="auto"/>
          </w:divBdr>
        </w:div>
        <w:div w:id="456752945">
          <w:marLeft w:val="0"/>
          <w:marRight w:val="0"/>
          <w:marTop w:val="0"/>
          <w:marBottom w:val="0"/>
          <w:divBdr>
            <w:top w:val="none" w:sz="0" w:space="0" w:color="auto"/>
            <w:left w:val="none" w:sz="0" w:space="0" w:color="auto"/>
            <w:bottom w:val="none" w:sz="0" w:space="0" w:color="auto"/>
            <w:right w:val="none" w:sz="0" w:space="0" w:color="auto"/>
          </w:divBdr>
        </w:div>
        <w:div w:id="499777870">
          <w:marLeft w:val="0"/>
          <w:marRight w:val="0"/>
          <w:marTop w:val="0"/>
          <w:marBottom w:val="0"/>
          <w:divBdr>
            <w:top w:val="none" w:sz="0" w:space="0" w:color="auto"/>
            <w:left w:val="none" w:sz="0" w:space="0" w:color="auto"/>
            <w:bottom w:val="none" w:sz="0" w:space="0" w:color="auto"/>
            <w:right w:val="none" w:sz="0" w:space="0" w:color="auto"/>
          </w:divBdr>
        </w:div>
        <w:div w:id="591207482">
          <w:marLeft w:val="0"/>
          <w:marRight w:val="0"/>
          <w:marTop w:val="0"/>
          <w:marBottom w:val="0"/>
          <w:divBdr>
            <w:top w:val="none" w:sz="0" w:space="0" w:color="auto"/>
            <w:left w:val="none" w:sz="0" w:space="0" w:color="auto"/>
            <w:bottom w:val="none" w:sz="0" w:space="0" w:color="auto"/>
            <w:right w:val="none" w:sz="0" w:space="0" w:color="auto"/>
          </w:divBdr>
        </w:div>
        <w:div w:id="690567837">
          <w:marLeft w:val="0"/>
          <w:marRight w:val="0"/>
          <w:marTop w:val="0"/>
          <w:marBottom w:val="0"/>
          <w:divBdr>
            <w:top w:val="none" w:sz="0" w:space="0" w:color="auto"/>
            <w:left w:val="none" w:sz="0" w:space="0" w:color="auto"/>
            <w:bottom w:val="none" w:sz="0" w:space="0" w:color="auto"/>
            <w:right w:val="none" w:sz="0" w:space="0" w:color="auto"/>
          </w:divBdr>
          <w:divsChild>
            <w:div w:id="131870664">
              <w:marLeft w:val="0"/>
              <w:marRight w:val="0"/>
              <w:marTop w:val="0"/>
              <w:marBottom w:val="0"/>
              <w:divBdr>
                <w:top w:val="none" w:sz="0" w:space="0" w:color="auto"/>
                <w:left w:val="none" w:sz="0" w:space="0" w:color="auto"/>
                <w:bottom w:val="none" w:sz="0" w:space="0" w:color="auto"/>
                <w:right w:val="none" w:sz="0" w:space="0" w:color="auto"/>
              </w:divBdr>
            </w:div>
            <w:div w:id="975916294">
              <w:marLeft w:val="0"/>
              <w:marRight w:val="0"/>
              <w:marTop w:val="0"/>
              <w:marBottom w:val="0"/>
              <w:divBdr>
                <w:top w:val="none" w:sz="0" w:space="0" w:color="auto"/>
                <w:left w:val="none" w:sz="0" w:space="0" w:color="auto"/>
                <w:bottom w:val="none" w:sz="0" w:space="0" w:color="auto"/>
                <w:right w:val="none" w:sz="0" w:space="0" w:color="auto"/>
              </w:divBdr>
            </w:div>
            <w:div w:id="1885823952">
              <w:marLeft w:val="0"/>
              <w:marRight w:val="0"/>
              <w:marTop w:val="0"/>
              <w:marBottom w:val="0"/>
              <w:divBdr>
                <w:top w:val="none" w:sz="0" w:space="0" w:color="auto"/>
                <w:left w:val="none" w:sz="0" w:space="0" w:color="auto"/>
                <w:bottom w:val="none" w:sz="0" w:space="0" w:color="auto"/>
                <w:right w:val="none" w:sz="0" w:space="0" w:color="auto"/>
              </w:divBdr>
            </w:div>
          </w:divsChild>
        </w:div>
        <w:div w:id="772019726">
          <w:marLeft w:val="0"/>
          <w:marRight w:val="0"/>
          <w:marTop w:val="0"/>
          <w:marBottom w:val="0"/>
          <w:divBdr>
            <w:top w:val="none" w:sz="0" w:space="0" w:color="auto"/>
            <w:left w:val="none" w:sz="0" w:space="0" w:color="auto"/>
            <w:bottom w:val="none" w:sz="0" w:space="0" w:color="auto"/>
            <w:right w:val="none" w:sz="0" w:space="0" w:color="auto"/>
          </w:divBdr>
          <w:divsChild>
            <w:div w:id="1521815080">
              <w:marLeft w:val="-75"/>
              <w:marRight w:val="0"/>
              <w:marTop w:val="30"/>
              <w:marBottom w:val="30"/>
              <w:divBdr>
                <w:top w:val="none" w:sz="0" w:space="0" w:color="auto"/>
                <w:left w:val="none" w:sz="0" w:space="0" w:color="auto"/>
                <w:bottom w:val="none" w:sz="0" w:space="0" w:color="auto"/>
                <w:right w:val="none" w:sz="0" w:space="0" w:color="auto"/>
              </w:divBdr>
              <w:divsChild>
                <w:div w:id="748117461">
                  <w:marLeft w:val="0"/>
                  <w:marRight w:val="0"/>
                  <w:marTop w:val="0"/>
                  <w:marBottom w:val="0"/>
                  <w:divBdr>
                    <w:top w:val="none" w:sz="0" w:space="0" w:color="auto"/>
                    <w:left w:val="none" w:sz="0" w:space="0" w:color="auto"/>
                    <w:bottom w:val="none" w:sz="0" w:space="0" w:color="auto"/>
                    <w:right w:val="none" w:sz="0" w:space="0" w:color="auto"/>
                  </w:divBdr>
                  <w:divsChild>
                    <w:div w:id="325862893">
                      <w:marLeft w:val="0"/>
                      <w:marRight w:val="0"/>
                      <w:marTop w:val="0"/>
                      <w:marBottom w:val="0"/>
                      <w:divBdr>
                        <w:top w:val="none" w:sz="0" w:space="0" w:color="auto"/>
                        <w:left w:val="none" w:sz="0" w:space="0" w:color="auto"/>
                        <w:bottom w:val="none" w:sz="0" w:space="0" w:color="auto"/>
                        <w:right w:val="none" w:sz="0" w:space="0" w:color="auto"/>
                      </w:divBdr>
                    </w:div>
                  </w:divsChild>
                </w:div>
                <w:div w:id="989402072">
                  <w:marLeft w:val="0"/>
                  <w:marRight w:val="0"/>
                  <w:marTop w:val="0"/>
                  <w:marBottom w:val="0"/>
                  <w:divBdr>
                    <w:top w:val="none" w:sz="0" w:space="0" w:color="auto"/>
                    <w:left w:val="none" w:sz="0" w:space="0" w:color="auto"/>
                    <w:bottom w:val="none" w:sz="0" w:space="0" w:color="auto"/>
                    <w:right w:val="none" w:sz="0" w:space="0" w:color="auto"/>
                  </w:divBdr>
                  <w:divsChild>
                    <w:div w:id="180048065">
                      <w:marLeft w:val="0"/>
                      <w:marRight w:val="0"/>
                      <w:marTop w:val="0"/>
                      <w:marBottom w:val="0"/>
                      <w:divBdr>
                        <w:top w:val="none" w:sz="0" w:space="0" w:color="auto"/>
                        <w:left w:val="none" w:sz="0" w:space="0" w:color="auto"/>
                        <w:bottom w:val="none" w:sz="0" w:space="0" w:color="auto"/>
                        <w:right w:val="none" w:sz="0" w:space="0" w:color="auto"/>
                      </w:divBdr>
                    </w:div>
                    <w:div w:id="614795516">
                      <w:marLeft w:val="0"/>
                      <w:marRight w:val="0"/>
                      <w:marTop w:val="0"/>
                      <w:marBottom w:val="0"/>
                      <w:divBdr>
                        <w:top w:val="none" w:sz="0" w:space="0" w:color="auto"/>
                        <w:left w:val="none" w:sz="0" w:space="0" w:color="auto"/>
                        <w:bottom w:val="none" w:sz="0" w:space="0" w:color="auto"/>
                        <w:right w:val="none" w:sz="0" w:space="0" w:color="auto"/>
                      </w:divBdr>
                    </w:div>
                    <w:div w:id="850922360">
                      <w:marLeft w:val="0"/>
                      <w:marRight w:val="0"/>
                      <w:marTop w:val="0"/>
                      <w:marBottom w:val="0"/>
                      <w:divBdr>
                        <w:top w:val="none" w:sz="0" w:space="0" w:color="auto"/>
                        <w:left w:val="none" w:sz="0" w:space="0" w:color="auto"/>
                        <w:bottom w:val="none" w:sz="0" w:space="0" w:color="auto"/>
                        <w:right w:val="none" w:sz="0" w:space="0" w:color="auto"/>
                      </w:divBdr>
                    </w:div>
                    <w:div w:id="995766436">
                      <w:marLeft w:val="0"/>
                      <w:marRight w:val="0"/>
                      <w:marTop w:val="0"/>
                      <w:marBottom w:val="0"/>
                      <w:divBdr>
                        <w:top w:val="none" w:sz="0" w:space="0" w:color="auto"/>
                        <w:left w:val="none" w:sz="0" w:space="0" w:color="auto"/>
                        <w:bottom w:val="none" w:sz="0" w:space="0" w:color="auto"/>
                        <w:right w:val="none" w:sz="0" w:space="0" w:color="auto"/>
                      </w:divBdr>
                    </w:div>
                    <w:div w:id="1451821349">
                      <w:marLeft w:val="0"/>
                      <w:marRight w:val="0"/>
                      <w:marTop w:val="0"/>
                      <w:marBottom w:val="0"/>
                      <w:divBdr>
                        <w:top w:val="none" w:sz="0" w:space="0" w:color="auto"/>
                        <w:left w:val="none" w:sz="0" w:space="0" w:color="auto"/>
                        <w:bottom w:val="none" w:sz="0" w:space="0" w:color="auto"/>
                        <w:right w:val="none" w:sz="0" w:space="0" w:color="auto"/>
                      </w:divBdr>
                    </w:div>
                    <w:div w:id="15483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9463">
          <w:marLeft w:val="0"/>
          <w:marRight w:val="0"/>
          <w:marTop w:val="0"/>
          <w:marBottom w:val="0"/>
          <w:divBdr>
            <w:top w:val="none" w:sz="0" w:space="0" w:color="auto"/>
            <w:left w:val="none" w:sz="0" w:space="0" w:color="auto"/>
            <w:bottom w:val="none" w:sz="0" w:space="0" w:color="auto"/>
            <w:right w:val="none" w:sz="0" w:space="0" w:color="auto"/>
          </w:divBdr>
        </w:div>
        <w:div w:id="1070927176">
          <w:marLeft w:val="0"/>
          <w:marRight w:val="0"/>
          <w:marTop w:val="0"/>
          <w:marBottom w:val="0"/>
          <w:divBdr>
            <w:top w:val="none" w:sz="0" w:space="0" w:color="auto"/>
            <w:left w:val="none" w:sz="0" w:space="0" w:color="auto"/>
            <w:bottom w:val="none" w:sz="0" w:space="0" w:color="auto"/>
            <w:right w:val="none" w:sz="0" w:space="0" w:color="auto"/>
          </w:divBdr>
        </w:div>
        <w:div w:id="1313369249">
          <w:marLeft w:val="0"/>
          <w:marRight w:val="0"/>
          <w:marTop w:val="0"/>
          <w:marBottom w:val="0"/>
          <w:divBdr>
            <w:top w:val="none" w:sz="0" w:space="0" w:color="auto"/>
            <w:left w:val="none" w:sz="0" w:space="0" w:color="auto"/>
            <w:bottom w:val="none" w:sz="0" w:space="0" w:color="auto"/>
            <w:right w:val="none" w:sz="0" w:space="0" w:color="auto"/>
          </w:divBdr>
          <w:divsChild>
            <w:div w:id="393042573">
              <w:marLeft w:val="0"/>
              <w:marRight w:val="0"/>
              <w:marTop w:val="0"/>
              <w:marBottom w:val="0"/>
              <w:divBdr>
                <w:top w:val="none" w:sz="0" w:space="0" w:color="auto"/>
                <w:left w:val="none" w:sz="0" w:space="0" w:color="auto"/>
                <w:bottom w:val="none" w:sz="0" w:space="0" w:color="auto"/>
                <w:right w:val="none" w:sz="0" w:space="0" w:color="auto"/>
              </w:divBdr>
            </w:div>
            <w:div w:id="1747796375">
              <w:marLeft w:val="0"/>
              <w:marRight w:val="0"/>
              <w:marTop w:val="0"/>
              <w:marBottom w:val="0"/>
              <w:divBdr>
                <w:top w:val="none" w:sz="0" w:space="0" w:color="auto"/>
                <w:left w:val="none" w:sz="0" w:space="0" w:color="auto"/>
                <w:bottom w:val="none" w:sz="0" w:space="0" w:color="auto"/>
                <w:right w:val="none" w:sz="0" w:space="0" w:color="auto"/>
              </w:divBdr>
            </w:div>
            <w:div w:id="1829249824">
              <w:marLeft w:val="0"/>
              <w:marRight w:val="0"/>
              <w:marTop w:val="0"/>
              <w:marBottom w:val="0"/>
              <w:divBdr>
                <w:top w:val="none" w:sz="0" w:space="0" w:color="auto"/>
                <w:left w:val="none" w:sz="0" w:space="0" w:color="auto"/>
                <w:bottom w:val="none" w:sz="0" w:space="0" w:color="auto"/>
                <w:right w:val="none" w:sz="0" w:space="0" w:color="auto"/>
              </w:divBdr>
            </w:div>
            <w:div w:id="1872524619">
              <w:marLeft w:val="0"/>
              <w:marRight w:val="0"/>
              <w:marTop w:val="0"/>
              <w:marBottom w:val="0"/>
              <w:divBdr>
                <w:top w:val="none" w:sz="0" w:space="0" w:color="auto"/>
                <w:left w:val="none" w:sz="0" w:space="0" w:color="auto"/>
                <w:bottom w:val="none" w:sz="0" w:space="0" w:color="auto"/>
                <w:right w:val="none" w:sz="0" w:space="0" w:color="auto"/>
              </w:divBdr>
            </w:div>
            <w:div w:id="2036808582">
              <w:marLeft w:val="0"/>
              <w:marRight w:val="0"/>
              <w:marTop w:val="0"/>
              <w:marBottom w:val="0"/>
              <w:divBdr>
                <w:top w:val="none" w:sz="0" w:space="0" w:color="auto"/>
                <w:left w:val="none" w:sz="0" w:space="0" w:color="auto"/>
                <w:bottom w:val="none" w:sz="0" w:space="0" w:color="auto"/>
                <w:right w:val="none" w:sz="0" w:space="0" w:color="auto"/>
              </w:divBdr>
            </w:div>
          </w:divsChild>
        </w:div>
        <w:div w:id="1339887406">
          <w:marLeft w:val="0"/>
          <w:marRight w:val="0"/>
          <w:marTop w:val="0"/>
          <w:marBottom w:val="0"/>
          <w:divBdr>
            <w:top w:val="none" w:sz="0" w:space="0" w:color="auto"/>
            <w:left w:val="none" w:sz="0" w:space="0" w:color="auto"/>
            <w:bottom w:val="none" w:sz="0" w:space="0" w:color="auto"/>
            <w:right w:val="none" w:sz="0" w:space="0" w:color="auto"/>
          </w:divBdr>
          <w:divsChild>
            <w:div w:id="1152214172">
              <w:marLeft w:val="-75"/>
              <w:marRight w:val="0"/>
              <w:marTop w:val="30"/>
              <w:marBottom w:val="30"/>
              <w:divBdr>
                <w:top w:val="none" w:sz="0" w:space="0" w:color="auto"/>
                <w:left w:val="none" w:sz="0" w:space="0" w:color="auto"/>
                <w:bottom w:val="none" w:sz="0" w:space="0" w:color="auto"/>
                <w:right w:val="none" w:sz="0" w:space="0" w:color="auto"/>
              </w:divBdr>
              <w:divsChild>
                <w:div w:id="688481812">
                  <w:marLeft w:val="0"/>
                  <w:marRight w:val="0"/>
                  <w:marTop w:val="0"/>
                  <w:marBottom w:val="0"/>
                  <w:divBdr>
                    <w:top w:val="none" w:sz="0" w:space="0" w:color="auto"/>
                    <w:left w:val="none" w:sz="0" w:space="0" w:color="auto"/>
                    <w:bottom w:val="none" w:sz="0" w:space="0" w:color="auto"/>
                    <w:right w:val="none" w:sz="0" w:space="0" w:color="auto"/>
                  </w:divBdr>
                  <w:divsChild>
                    <w:div w:id="1808475203">
                      <w:marLeft w:val="0"/>
                      <w:marRight w:val="0"/>
                      <w:marTop w:val="0"/>
                      <w:marBottom w:val="0"/>
                      <w:divBdr>
                        <w:top w:val="none" w:sz="0" w:space="0" w:color="auto"/>
                        <w:left w:val="none" w:sz="0" w:space="0" w:color="auto"/>
                        <w:bottom w:val="none" w:sz="0" w:space="0" w:color="auto"/>
                        <w:right w:val="none" w:sz="0" w:space="0" w:color="auto"/>
                      </w:divBdr>
                    </w:div>
                  </w:divsChild>
                </w:div>
                <w:div w:id="831916908">
                  <w:marLeft w:val="0"/>
                  <w:marRight w:val="0"/>
                  <w:marTop w:val="0"/>
                  <w:marBottom w:val="0"/>
                  <w:divBdr>
                    <w:top w:val="none" w:sz="0" w:space="0" w:color="auto"/>
                    <w:left w:val="none" w:sz="0" w:space="0" w:color="auto"/>
                    <w:bottom w:val="none" w:sz="0" w:space="0" w:color="auto"/>
                    <w:right w:val="none" w:sz="0" w:space="0" w:color="auto"/>
                  </w:divBdr>
                  <w:divsChild>
                    <w:div w:id="13625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77379">
          <w:marLeft w:val="0"/>
          <w:marRight w:val="0"/>
          <w:marTop w:val="0"/>
          <w:marBottom w:val="0"/>
          <w:divBdr>
            <w:top w:val="none" w:sz="0" w:space="0" w:color="auto"/>
            <w:left w:val="none" w:sz="0" w:space="0" w:color="auto"/>
            <w:bottom w:val="none" w:sz="0" w:space="0" w:color="auto"/>
            <w:right w:val="none" w:sz="0" w:space="0" w:color="auto"/>
          </w:divBdr>
          <w:divsChild>
            <w:div w:id="66610115">
              <w:marLeft w:val="0"/>
              <w:marRight w:val="0"/>
              <w:marTop w:val="0"/>
              <w:marBottom w:val="0"/>
              <w:divBdr>
                <w:top w:val="none" w:sz="0" w:space="0" w:color="auto"/>
                <w:left w:val="none" w:sz="0" w:space="0" w:color="auto"/>
                <w:bottom w:val="none" w:sz="0" w:space="0" w:color="auto"/>
                <w:right w:val="none" w:sz="0" w:space="0" w:color="auto"/>
              </w:divBdr>
            </w:div>
            <w:div w:id="910192651">
              <w:marLeft w:val="0"/>
              <w:marRight w:val="0"/>
              <w:marTop w:val="0"/>
              <w:marBottom w:val="0"/>
              <w:divBdr>
                <w:top w:val="none" w:sz="0" w:space="0" w:color="auto"/>
                <w:left w:val="none" w:sz="0" w:space="0" w:color="auto"/>
                <w:bottom w:val="none" w:sz="0" w:space="0" w:color="auto"/>
                <w:right w:val="none" w:sz="0" w:space="0" w:color="auto"/>
              </w:divBdr>
            </w:div>
            <w:div w:id="1134831734">
              <w:marLeft w:val="0"/>
              <w:marRight w:val="0"/>
              <w:marTop w:val="0"/>
              <w:marBottom w:val="0"/>
              <w:divBdr>
                <w:top w:val="none" w:sz="0" w:space="0" w:color="auto"/>
                <w:left w:val="none" w:sz="0" w:space="0" w:color="auto"/>
                <w:bottom w:val="none" w:sz="0" w:space="0" w:color="auto"/>
                <w:right w:val="none" w:sz="0" w:space="0" w:color="auto"/>
              </w:divBdr>
            </w:div>
            <w:div w:id="1182207268">
              <w:marLeft w:val="0"/>
              <w:marRight w:val="0"/>
              <w:marTop w:val="0"/>
              <w:marBottom w:val="0"/>
              <w:divBdr>
                <w:top w:val="none" w:sz="0" w:space="0" w:color="auto"/>
                <w:left w:val="none" w:sz="0" w:space="0" w:color="auto"/>
                <w:bottom w:val="none" w:sz="0" w:space="0" w:color="auto"/>
                <w:right w:val="none" w:sz="0" w:space="0" w:color="auto"/>
              </w:divBdr>
            </w:div>
            <w:div w:id="1201820486">
              <w:marLeft w:val="0"/>
              <w:marRight w:val="0"/>
              <w:marTop w:val="0"/>
              <w:marBottom w:val="0"/>
              <w:divBdr>
                <w:top w:val="none" w:sz="0" w:space="0" w:color="auto"/>
                <w:left w:val="none" w:sz="0" w:space="0" w:color="auto"/>
                <w:bottom w:val="none" w:sz="0" w:space="0" w:color="auto"/>
                <w:right w:val="none" w:sz="0" w:space="0" w:color="auto"/>
              </w:divBdr>
            </w:div>
          </w:divsChild>
        </w:div>
        <w:div w:id="1706103673">
          <w:marLeft w:val="0"/>
          <w:marRight w:val="0"/>
          <w:marTop w:val="0"/>
          <w:marBottom w:val="0"/>
          <w:divBdr>
            <w:top w:val="none" w:sz="0" w:space="0" w:color="auto"/>
            <w:left w:val="none" w:sz="0" w:space="0" w:color="auto"/>
            <w:bottom w:val="none" w:sz="0" w:space="0" w:color="auto"/>
            <w:right w:val="none" w:sz="0" w:space="0" w:color="auto"/>
          </w:divBdr>
        </w:div>
        <w:div w:id="1719206528">
          <w:marLeft w:val="0"/>
          <w:marRight w:val="0"/>
          <w:marTop w:val="0"/>
          <w:marBottom w:val="0"/>
          <w:divBdr>
            <w:top w:val="none" w:sz="0" w:space="0" w:color="auto"/>
            <w:left w:val="none" w:sz="0" w:space="0" w:color="auto"/>
            <w:bottom w:val="none" w:sz="0" w:space="0" w:color="auto"/>
            <w:right w:val="none" w:sz="0" w:space="0" w:color="auto"/>
          </w:divBdr>
          <w:divsChild>
            <w:div w:id="182323235">
              <w:marLeft w:val="0"/>
              <w:marRight w:val="0"/>
              <w:marTop w:val="0"/>
              <w:marBottom w:val="0"/>
              <w:divBdr>
                <w:top w:val="none" w:sz="0" w:space="0" w:color="auto"/>
                <w:left w:val="none" w:sz="0" w:space="0" w:color="auto"/>
                <w:bottom w:val="none" w:sz="0" w:space="0" w:color="auto"/>
                <w:right w:val="none" w:sz="0" w:space="0" w:color="auto"/>
              </w:divBdr>
            </w:div>
            <w:div w:id="786388496">
              <w:marLeft w:val="0"/>
              <w:marRight w:val="0"/>
              <w:marTop w:val="0"/>
              <w:marBottom w:val="0"/>
              <w:divBdr>
                <w:top w:val="none" w:sz="0" w:space="0" w:color="auto"/>
                <w:left w:val="none" w:sz="0" w:space="0" w:color="auto"/>
                <w:bottom w:val="none" w:sz="0" w:space="0" w:color="auto"/>
                <w:right w:val="none" w:sz="0" w:space="0" w:color="auto"/>
              </w:divBdr>
            </w:div>
            <w:div w:id="980891014">
              <w:marLeft w:val="0"/>
              <w:marRight w:val="0"/>
              <w:marTop w:val="0"/>
              <w:marBottom w:val="0"/>
              <w:divBdr>
                <w:top w:val="none" w:sz="0" w:space="0" w:color="auto"/>
                <w:left w:val="none" w:sz="0" w:space="0" w:color="auto"/>
                <w:bottom w:val="none" w:sz="0" w:space="0" w:color="auto"/>
                <w:right w:val="none" w:sz="0" w:space="0" w:color="auto"/>
              </w:divBdr>
            </w:div>
            <w:div w:id="1371613016">
              <w:marLeft w:val="0"/>
              <w:marRight w:val="0"/>
              <w:marTop w:val="0"/>
              <w:marBottom w:val="0"/>
              <w:divBdr>
                <w:top w:val="none" w:sz="0" w:space="0" w:color="auto"/>
                <w:left w:val="none" w:sz="0" w:space="0" w:color="auto"/>
                <w:bottom w:val="none" w:sz="0" w:space="0" w:color="auto"/>
                <w:right w:val="none" w:sz="0" w:space="0" w:color="auto"/>
              </w:divBdr>
            </w:div>
            <w:div w:id="1989819556">
              <w:marLeft w:val="0"/>
              <w:marRight w:val="0"/>
              <w:marTop w:val="0"/>
              <w:marBottom w:val="0"/>
              <w:divBdr>
                <w:top w:val="none" w:sz="0" w:space="0" w:color="auto"/>
                <w:left w:val="none" w:sz="0" w:space="0" w:color="auto"/>
                <w:bottom w:val="none" w:sz="0" w:space="0" w:color="auto"/>
                <w:right w:val="none" w:sz="0" w:space="0" w:color="auto"/>
              </w:divBdr>
            </w:div>
          </w:divsChild>
        </w:div>
        <w:div w:id="1843274626">
          <w:marLeft w:val="0"/>
          <w:marRight w:val="0"/>
          <w:marTop w:val="0"/>
          <w:marBottom w:val="0"/>
          <w:divBdr>
            <w:top w:val="none" w:sz="0" w:space="0" w:color="auto"/>
            <w:left w:val="none" w:sz="0" w:space="0" w:color="auto"/>
            <w:bottom w:val="none" w:sz="0" w:space="0" w:color="auto"/>
            <w:right w:val="none" w:sz="0" w:space="0" w:color="auto"/>
          </w:divBdr>
        </w:div>
        <w:div w:id="1849321437">
          <w:marLeft w:val="0"/>
          <w:marRight w:val="0"/>
          <w:marTop w:val="0"/>
          <w:marBottom w:val="0"/>
          <w:divBdr>
            <w:top w:val="none" w:sz="0" w:space="0" w:color="auto"/>
            <w:left w:val="none" w:sz="0" w:space="0" w:color="auto"/>
            <w:bottom w:val="none" w:sz="0" w:space="0" w:color="auto"/>
            <w:right w:val="none" w:sz="0" w:space="0" w:color="auto"/>
          </w:divBdr>
        </w:div>
        <w:div w:id="1850752584">
          <w:marLeft w:val="0"/>
          <w:marRight w:val="0"/>
          <w:marTop w:val="0"/>
          <w:marBottom w:val="0"/>
          <w:divBdr>
            <w:top w:val="none" w:sz="0" w:space="0" w:color="auto"/>
            <w:left w:val="none" w:sz="0" w:space="0" w:color="auto"/>
            <w:bottom w:val="none" w:sz="0" w:space="0" w:color="auto"/>
            <w:right w:val="none" w:sz="0" w:space="0" w:color="auto"/>
          </w:divBdr>
          <w:divsChild>
            <w:div w:id="237249775">
              <w:marLeft w:val="0"/>
              <w:marRight w:val="0"/>
              <w:marTop w:val="0"/>
              <w:marBottom w:val="0"/>
              <w:divBdr>
                <w:top w:val="none" w:sz="0" w:space="0" w:color="auto"/>
                <w:left w:val="none" w:sz="0" w:space="0" w:color="auto"/>
                <w:bottom w:val="none" w:sz="0" w:space="0" w:color="auto"/>
                <w:right w:val="none" w:sz="0" w:space="0" w:color="auto"/>
              </w:divBdr>
            </w:div>
            <w:div w:id="842204599">
              <w:marLeft w:val="0"/>
              <w:marRight w:val="0"/>
              <w:marTop w:val="0"/>
              <w:marBottom w:val="0"/>
              <w:divBdr>
                <w:top w:val="none" w:sz="0" w:space="0" w:color="auto"/>
                <w:left w:val="none" w:sz="0" w:space="0" w:color="auto"/>
                <w:bottom w:val="none" w:sz="0" w:space="0" w:color="auto"/>
                <w:right w:val="none" w:sz="0" w:space="0" w:color="auto"/>
              </w:divBdr>
            </w:div>
            <w:div w:id="1051271630">
              <w:marLeft w:val="0"/>
              <w:marRight w:val="0"/>
              <w:marTop w:val="0"/>
              <w:marBottom w:val="0"/>
              <w:divBdr>
                <w:top w:val="none" w:sz="0" w:space="0" w:color="auto"/>
                <w:left w:val="none" w:sz="0" w:space="0" w:color="auto"/>
                <w:bottom w:val="none" w:sz="0" w:space="0" w:color="auto"/>
                <w:right w:val="none" w:sz="0" w:space="0" w:color="auto"/>
              </w:divBdr>
            </w:div>
            <w:div w:id="2132283333">
              <w:marLeft w:val="0"/>
              <w:marRight w:val="0"/>
              <w:marTop w:val="0"/>
              <w:marBottom w:val="0"/>
              <w:divBdr>
                <w:top w:val="none" w:sz="0" w:space="0" w:color="auto"/>
                <w:left w:val="none" w:sz="0" w:space="0" w:color="auto"/>
                <w:bottom w:val="none" w:sz="0" w:space="0" w:color="auto"/>
                <w:right w:val="none" w:sz="0" w:space="0" w:color="auto"/>
              </w:divBdr>
            </w:div>
          </w:divsChild>
        </w:div>
        <w:div w:id="2080978686">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6516782">
      <w:bodyDiv w:val="1"/>
      <w:marLeft w:val="0"/>
      <w:marRight w:val="0"/>
      <w:marTop w:val="0"/>
      <w:marBottom w:val="0"/>
      <w:divBdr>
        <w:top w:val="none" w:sz="0" w:space="0" w:color="auto"/>
        <w:left w:val="none" w:sz="0" w:space="0" w:color="auto"/>
        <w:bottom w:val="none" w:sz="0" w:space="0" w:color="auto"/>
        <w:right w:val="none" w:sz="0" w:space="0" w:color="auto"/>
      </w:divBdr>
      <w:divsChild>
        <w:div w:id="1124228125">
          <w:marLeft w:val="0"/>
          <w:marRight w:val="0"/>
          <w:marTop w:val="0"/>
          <w:marBottom w:val="0"/>
          <w:divBdr>
            <w:top w:val="none" w:sz="0" w:space="0" w:color="auto"/>
            <w:left w:val="none" w:sz="0" w:space="0" w:color="auto"/>
            <w:bottom w:val="none" w:sz="0" w:space="0" w:color="auto"/>
            <w:right w:val="none" w:sz="0" w:space="0" w:color="auto"/>
          </w:divBdr>
        </w:div>
      </w:divsChild>
    </w:div>
    <w:div w:id="2049405702">
      <w:bodyDiv w:val="1"/>
      <w:marLeft w:val="0"/>
      <w:marRight w:val="0"/>
      <w:marTop w:val="0"/>
      <w:marBottom w:val="0"/>
      <w:divBdr>
        <w:top w:val="none" w:sz="0" w:space="0" w:color="auto"/>
        <w:left w:val="none" w:sz="0" w:space="0" w:color="auto"/>
        <w:bottom w:val="none" w:sz="0" w:space="0" w:color="auto"/>
        <w:right w:val="none" w:sz="0" w:space="0" w:color="auto"/>
      </w:divBdr>
      <w:divsChild>
        <w:div w:id="84541834">
          <w:marLeft w:val="0"/>
          <w:marRight w:val="0"/>
          <w:marTop w:val="0"/>
          <w:marBottom w:val="0"/>
          <w:divBdr>
            <w:top w:val="none" w:sz="0" w:space="0" w:color="auto"/>
            <w:left w:val="none" w:sz="0" w:space="0" w:color="auto"/>
            <w:bottom w:val="none" w:sz="0" w:space="0" w:color="auto"/>
            <w:right w:val="none" w:sz="0" w:space="0" w:color="auto"/>
          </w:divBdr>
        </w:div>
        <w:div w:id="267547008">
          <w:marLeft w:val="0"/>
          <w:marRight w:val="0"/>
          <w:marTop w:val="0"/>
          <w:marBottom w:val="0"/>
          <w:divBdr>
            <w:top w:val="none" w:sz="0" w:space="0" w:color="auto"/>
            <w:left w:val="none" w:sz="0" w:space="0" w:color="auto"/>
            <w:bottom w:val="none" w:sz="0" w:space="0" w:color="auto"/>
            <w:right w:val="none" w:sz="0" w:space="0" w:color="auto"/>
          </w:divBdr>
          <w:divsChild>
            <w:div w:id="416748926">
              <w:marLeft w:val="0"/>
              <w:marRight w:val="0"/>
              <w:marTop w:val="0"/>
              <w:marBottom w:val="0"/>
              <w:divBdr>
                <w:top w:val="none" w:sz="0" w:space="0" w:color="auto"/>
                <w:left w:val="none" w:sz="0" w:space="0" w:color="auto"/>
                <w:bottom w:val="none" w:sz="0" w:space="0" w:color="auto"/>
                <w:right w:val="none" w:sz="0" w:space="0" w:color="auto"/>
              </w:divBdr>
            </w:div>
            <w:div w:id="888807280">
              <w:marLeft w:val="0"/>
              <w:marRight w:val="0"/>
              <w:marTop w:val="0"/>
              <w:marBottom w:val="0"/>
              <w:divBdr>
                <w:top w:val="none" w:sz="0" w:space="0" w:color="auto"/>
                <w:left w:val="none" w:sz="0" w:space="0" w:color="auto"/>
                <w:bottom w:val="none" w:sz="0" w:space="0" w:color="auto"/>
                <w:right w:val="none" w:sz="0" w:space="0" w:color="auto"/>
              </w:divBdr>
            </w:div>
          </w:divsChild>
        </w:div>
        <w:div w:id="475486529">
          <w:marLeft w:val="0"/>
          <w:marRight w:val="0"/>
          <w:marTop w:val="0"/>
          <w:marBottom w:val="0"/>
          <w:divBdr>
            <w:top w:val="none" w:sz="0" w:space="0" w:color="auto"/>
            <w:left w:val="none" w:sz="0" w:space="0" w:color="auto"/>
            <w:bottom w:val="none" w:sz="0" w:space="0" w:color="auto"/>
            <w:right w:val="none" w:sz="0" w:space="0" w:color="auto"/>
          </w:divBdr>
        </w:div>
        <w:div w:id="566845967">
          <w:marLeft w:val="0"/>
          <w:marRight w:val="0"/>
          <w:marTop w:val="0"/>
          <w:marBottom w:val="0"/>
          <w:divBdr>
            <w:top w:val="none" w:sz="0" w:space="0" w:color="auto"/>
            <w:left w:val="none" w:sz="0" w:space="0" w:color="auto"/>
            <w:bottom w:val="none" w:sz="0" w:space="0" w:color="auto"/>
            <w:right w:val="none" w:sz="0" w:space="0" w:color="auto"/>
          </w:divBdr>
        </w:div>
        <w:div w:id="570316946">
          <w:marLeft w:val="0"/>
          <w:marRight w:val="0"/>
          <w:marTop w:val="0"/>
          <w:marBottom w:val="0"/>
          <w:divBdr>
            <w:top w:val="none" w:sz="0" w:space="0" w:color="auto"/>
            <w:left w:val="none" w:sz="0" w:space="0" w:color="auto"/>
            <w:bottom w:val="none" w:sz="0" w:space="0" w:color="auto"/>
            <w:right w:val="none" w:sz="0" w:space="0" w:color="auto"/>
          </w:divBdr>
        </w:div>
        <w:div w:id="586888136">
          <w:marLeft w:val="0"/>
          <w:marRight w:val="0"/>
          <w:marTop w:val="0"/>
          <w:marBottom w:val="0"/>
          <w:divBdr>
            <w:top w:val="none" w:sz="0" w:space="0" w:color="auto"/>
            <w:left w:val="none" w:sz="0" w:space="0" w:color="auto"/>
            <w:bottom w:val="none" w:sz="0" w:space="0" w:color="auto"/>
            <w:right w:val="none" w:sz="0" w:space="0" w:color="auto"/>
          </w:divBdr>
        </w:div>
        <w:div w:id="614141337">
          <w:marLeft w:val="0"/>
          <w:marRight w:val="0"/>
          <w:marTop w:val="0"/>
          <w:marBottom w:val="0"/>
          <w:divBdr>
            <w:top w:val="none" w:sz="0" w:space="0" w:color="auto"/>
            <w:left w:val="none" w:sz="0" w:space="0" w:color="auto"/>
            <w:bottom w:val="none" w:sz="0" w:space="0" w:color="auto"/>
            <w:right w:val="none" w:sz="0" w:space="0" w:color="auto"/>
          </w:divBdr>
        </w:div>
        <w:div w:id="686903876">
          <w:marLeft w:val="0"/>
          <w:marRight w:val="0"/>
          <w:marTop w:val="0"/>
          <w:marBottom w:val="0"/>
          <w:divBdr>
            <w:top w:val="none" w:sz="0" w:space="0" w:color="auto"/>
            <w:left w:val="none" w:sz="0" w:space="0" w:color="auto"/>
            <w:bottom w:val="none" w:sz="0" w:space="0" w:color="auto"/>
            <w:right w:val="none" w:sz="0" w:space="0" w:color="auto"/>
          </w:divBdr>
          <w:divsChild>
            <w:div w:id="625357091">
              <w:marLeft w:val="0"/>
              <w:marRight w:val="0"/>
              <w:marTop w:val="0"/>
              <w:marBottom w:val="0"/>
              <w:divBdr>
                <w:top w:val="none" w:sz="0" w:space="0" w:color="auto"/>
                <w:left w:val="none" w:sz="0" w:space="0" w:color="auto"/>
                <w:bottom w:val="none" w:sz="0" w:space="0" w:color="auto"/>
                <w:right w:val="none" w:sz="0" w:space="0" w:color="auto"/>
              </w:divBdr>
            </w:div>
            <w:div w:id="696395042">
              <w:marLeft w:val="0"/>
              <w:marRight w:val="0"/>
              <w:marTop w:val="0"/>
              <w:marBottom w:val="0"/>
              <w:divBdr>
                <w:top w:val="none" w:sz="0" w:space="0" w:color="auto"/>
                <w:left w:val="none" w:sz="0" w:space="0" w:color="auto"/>
                <w:bottom w:val="none" w:sz="0" w:space="0" w:color="auto"/>
                <w:right w:val="none" w:sz="0" w:space="0" w:color="auto"/>
              </w:divBdr>
            </w:div>
            <w:div w:id="1779524114">
              <w:marLeft w:val="0"/>
              <w:marRight w:val="0"/>
              <w:marTop w:val="0"/>
              <w:marBottom w:val="0"/>
              <w:divBdr>
                <w:top w:val="none" w:sz="0" w:space="0" w:color="auto"/>
                <w:left w:val="none" w:sz="0" w:space="0" w:color="auto"/>
                <w:bottom w:val="none" w:sz="0" w:space="0" w:color="auto"/>
                <w:right w:val="none" w:sz="0" w:space="0" w:color="auto"/>
              </w:divBdr>
            </w:div>
          </w:divsChild>
        </w:div>
        <w:div w:id="718407801">
          <w:marLeft w:val="0"/>
          <w:marRight w:val="0"/>
          <w:marTop w:val="0"/>
          <w:marBottom w:val="0"/>
          <w:divBdr>
            <w:top w:val="none" w:sz="0" w:space="0" w:color="auto"/>
            <w:left w:val="none" w:sz="0" w:space="0" w:color="auto"/>
            <w:bottom w:val="none" w:sz="0" w:space="0" w:color="auto"/>
            <w:right w:val="none" w:sz="0" w:space="0" w:color="auto"/>
          </w:divBdr>
        </w:div>
        <w:div w:id="792484987">
          <w:marLeft w:val="0"/>
          <w:marRight w:val="0"/>
          <w:marTop w:val="0"/>
          <w:marBottom w:val="0"/>
          <w:divBdr>
            <w:top w:val="none" w:sz="0" w:space="0" w:color="auto"/>
            <w:left w:val="none" w:sz="0" w:space="0" w:color="auto"/>
            <w:bottom w:val="none" w:sz="0" w:space="0" w:color="auto"/>
            <w:right w:val="none" w:sz="0" w:space="0" w:color="auto"/>
          </w:divBdr>
          <w:divsChild>
            <w:div w:id="1063721884">
              <w:marLeft w:val="-75"/>
              <w:marRight w:val="0"/>
              <w:marTop w:val="30"/>
              <w:marBottom w:val="30"/>
              <w:divBdr>
                <w:top w:val="none" w:sz="0" w:space="0" w:color="auto"/>
                <w:left w:val="none" w:sz="0" w:space="0" w:color="auto"/>
                <w:bottom w:val="none" w:sz="0" w:space="0" w:color="auto"/>
                <w:right w:val="none" w:sz="0" w:space="0" w:color="auto"/>
              </w:divBdr>
              <w:divsChild>
                <w:div w:id="765460995">
                  <w:marLeft w:val="0"/>
                  <w:marRight w:val="0"/>
                  <w:marTop w:val="0"/>
                  <w:marBottom w:val="0"/>
                  <w:divBdr>
                    <w:top w:val="none" w:sz="0" w:space="0" w:color="auto"/>
                    <w:left w:val="none" w:sz="0" w:space="0" w:color="auto"/>
                    <w:bottom w:val="none" w:sz="0" w:space="0" w:color="auto"/>
                    <w:right w:val="none" w:sz="0" w:space="0" w:color="auto"/>
                  </w:divBdr>
                  <w:divsChild>
                    <w:div w:id="1058477736">
                      <w:marLeft w:val="0"/>
                      <w:marRight w:val="0"/>
                      <w:marTop w:val="0"/>
                      <w:marBottom w:val="0"/>
                      <w:divBdr>
                        <w:top w:val="none" w:sz="0" w:space="0" w:color="auto"/>
                        <w:left w:val="none" w:sz="0" w:space="0" w:color="auto"/>
                        <w:bottom w:val="none" w:sz="0" w:space="0" w:color="auto"/>
                        <w:right w:val="none" w:sz="0" w:space="0" w:color="auto"/>
                      </w:divBdr>
                    </w:div>
                  </w:divsChild>
                </w:div>
                <w:div w:id="881863699">
                  <w:marLeft w:val="0"/>
                  <w:marRight w:val="0"/>
                  <w:marTop w:val="0"/>
                  <w:marBottom w:val="0"/>
                  <w:divBdr>
                    <w:top w:val="none" w:sz="0" w:space="0" w:color="auto"/>
                    <w:left w:val="none" w:sz="0" w:space="0" w:color="auto"/>
                    <w:bottom w:val="none" w:sz="0" w:space="0" w:color="auto"/>
                    <w:right w:val="none" w:sz="0" w:space="0" w:color="auto"/>
                  </w:divBdr>
                  <w:divsChild>
                    <w:div w:id="707074061">
                      <w:marLeft w:val="0"/>
                      <w:marRight w:val="0"/>
                      <w:marTop w:val="0"/>
                      <w:marBottom w:val="0"/>
                      <w:divBdr>
                        <w:top w:val="none" w:sz="0" w:space="0" w:color="auto"/>
                        <w:left w:val="none" w:sz="0" w:space="0" w:color="auto"/>
                        <w:bottom w:val="none" w:sz="0" w:space="0" w:color="auto"/>
                        <w:right w:val="none" w:sz="0" w:space="0" w:color="auto"/>
                      </w:divBdr>
                    </w:div>
                    <w:div w:id="18718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92067">
          <w:marLeft w:val="0"/>
          <w:marRight w:val="0"/>
          <w:marTop w:val="0"/>
          <w:marBottom w:val="0"/>
          <w:divBdr>
            <w:top w:val="none" w:sz="0" w:space="0" w:color="auto"/>
            <w:left w:val="none" w:sz="0" w:space="0" w:color="auto"/>
            <w:bottom w:val="none" w:sz="0" w:space="0" w:color="auto"/>
            <w:right w:val="none" w:sz="0" w:space="0" w:color="auto"/>
          </w:divBdr>
        </w:div>
        <w:div w:id="981428667">
          <w:marLeft w:val="0"/>
          <w:marRight w:val="0"/>
          <w:marTop w:val="0"/>
          <w:marBottom w:val="0"/>
          <w:divBdr>
            <w:top w:val="none" w:sz="0" w:space="0" w:color="auto"/>
            <w:left w:val="none" w:sz="0" w:space="0" w:color="auto"/>
            <w:bottom w:val="none" w:sz="0" w:space="0" w:color="auto"/>
            <w:right w:val="none" w:sz="0" w:space="0" w:color="auto"/>
          </w:divBdr>
        </w:div>
        <w:div w:id="1103381826">
          <w:marLeft w:val="0"/>
          <w:marRight w:val="0"/>
          <w:marTop w:val="0"/>
          <w:marBottom w:val="0"/>
          <w:divBdr>
            <w:top w:val="none" w:sz="0" w:space="0" w:color="auto"/>
            <w:left w:val="none" w:sz="0" w:space="0" w:color="auto"/>
            <w:bottom w:val="none" w:sz="0" w:space="0" w:color="auto"/>
            <w:right w:val="none" w:sz="0" w:space="0" w:color="auto"/>
          </w:divBdr>
        </w:div>
        <w:div w:id="1139955103">
          <w:marLeft w:val="0"/>
          <w:marRight w:val="0"/>
          <w:marTop w:val="0"/>
          <w:marBottom w:val="0"/>
          <w:divBdr>
            <w:top w:val="none" w:sz="0" w:space="0" w:color="auto"/>
            <w:left w:val="none" w:sz="0" w:space="0" w:color="auto"/>
            <w:bottom w:val="none" w:sz="0" w:space="0" w:color="auto"/>
            <w:right w:val="none" w:sz="0" w:space="0" w:color="auto"/>
          </w:divBdr>
        </w:div>
        <w:div w:id="1274248135">
          <w:marLeft w:val="0"/>
          <w:marRight w:val="0"/>
          <w:marTop w:val="0"/>
          <w:marBottom w:val="0"/>
          <w:divBdr>
            <w:top w:val="none" w:sz="0" w:space="0" w:color="auto"/>
            <w:left w:val="none" w:sz="0" w:space="0" w:color="auto"/>
            <w:bottom w:val="none" w:sz="0" w:space="0" w:color="auto"/>
            <w:right w:val="none" w:sz="0" w:space="0" w:color="auto"/>
          </w:divBdr>
        </w:div>
        <w:div w:id="1321690140">
          <w:marLeft w:val="0"/>
          <w:marRight w:val="0"/>
          <w:marTop w:val="0"/>
          <w:marBottom w:val="0"/>
          <w:divBdr>
            <w:top w:val="none" w:sz="0" w:space="0" w:color="auto"/>
            <w:left w:val="none" w:sz="0" w:space="0" w:color="auto"/>
            <w:bottom w:val="none" w:sz="0" w:space="0" w:color="auto"/>
            <w:right w:val="none" w:sz="0" w:space="0" w:color="auto"/>
          </w:divBdr>
        </w:div>
        <w:div w:id="1546940533">
          <w:marLeft w:val="0"/>
          <w:marRight w:val="0"/>
          <w:marTop w:val="0"/>
          <w:marBottom w:val="0"/>
          <w:divBdr>
            <w:top w:val="none" w:sz="0" w:space="0" w:color="auto"/>
            <w:left w:val="none" w:sz="0" w:space="0" w:color="auto"/>
            <w:bottom w:val="none" w:sz="0" w:space="0" w:color="auto"/>
            <w:right w:val="none" w:sz="0" w:space="0" w:color="auto"/>
          </w:divBdr>
          <w:divsChild>
            <w:div w:id="753667768">
              <w:marLeft w:val="0"/>
              <w:marRight w:val="0"/>
              <w:marTop w:val="0"/>
              <w:marBottom w:val="0"/>
              <w:divBdr>
                <w:top w:val="none" w:sz="0" w:space="0" w:color="auto"/>
                <w:left w:val="none" w:sz="0" w:space="0" w:color="auto"/>
                <w:bottom w:val="none" w:sz="0" w:space="0" w:color="auto"/>
                <w:right w:val="none" w:sz="0" w:space="0" w:color="auto"/>
              </w:divBdr>
            </w:div>
            <w:div w:id="991523920">
              <w:marLeft w:val="0"/>
              <w:marRight w:val="0"/>
              <w:marTop w:val="0"/>
              <w:marBottom w:val="0"/>
              <w:divBdr>
                <w:top w:val="none" w:sz="0" w:space="0" w:color="auto"/>
                <w:left w:val="none" w:sz="0" w:space="0" w:color="auto"/>
                <w:bottom w:val="none" w:sz="0" w:space="0" w:color="auto"/>
                <w:right w:val="none" w:sz="0" w:space="0" w:color="auto"/>
              </w:divBdr>
            </w:div>
            <w:div w:id="1160805444">
              <w:marLeft w:val="0"/>
              <w:marRight w:val="0"/>
              <w:marTop w:val="0"/>
              <w:marBottom w:val="0"/>
              <w:divBdr>
                <w:top w:val="none" w:sz="0" w:space="0" w:color="auto"/>
                <w:left w:val="none" w:sz="0" w:space="0" w:color="auto"/>
                <w:bottom w:val="none" w:sz="0" w:space="0" w:color="auto"/>
                <w:right w:val="none" w:sz="0" w:space="0" w:color="auto"/>
              </w:divBdr>
            </w:div>
            <w:div w:id="1355493204">
              <w:marLeft w:val="0"/>
              <w:marRight w:val="0"/>
              <w:marTop w:val="0"/>
              <w:marBottom w:val="0"/>
              <w:divBdr>
                <w:top w:val="none" w:sz="0" w:space="0" w:color="auto"/>
                <w:left w:val="none" w:sz="0" w:space="0" w:color="auto"/>
                <w:bottom w:val="none" w:sz="0" w:space="0" w:color="auto"/>
                <w:right w:val="none" w:sz="0" w:space="0" w:color="auto"/>
              </w:divBdr>
            </w:div>
          </w:divsChild>
        </w:div>
        <w:div w:id="1654867402">
          <w:marLeft w:val="0"/>
          <w:marRight w:val="0"/>
          <w:marTop w:val="0"/>
          <w:marBottom w:val="0"/>
          <w:divBdr>
            <w:top w:val="none" w:sz="0" w:space="0" w:color="auto"/>
            <w:left w:val="none" w:sz="0" w:space="0" w:color="auto"/>
            <w:bottom w:val="none" w:sz="0" w:space="0" w:color="auto"/>
            <w:right w:val="none" w:sz="0" w:space="0" w:color="auto"/>
          </w:divBdr>
        </w:div>
        <w:div w:id="1657371977">
          <w:marLeft w:val="0"/>
          <w:marRight w:val="0"/>
          <w:marTop w:val="0"/>
          <w:marBottom w:val="0"/>
          <w:divBdr>
            <w:top w:val="none" w:sz="0" w:space="0" w:color="auto"/>
            <w:left w:val="none" w:sz="0" w:space="0" w:color="auto"/>
            <w:bottom w:val="none" w:sz="0" w:space="0" w:color="auto"/>
            <w:right w:val="none" w:sz="0" w:space="0" w:color="auto"/>
          </w:divBdr>
          <w:divsChild>
            <w:div w:id="2027094232">
              <w:marLeft w:val="0"/>
              <w:marRight w:val="0"/>
              <w:marTop w:val="0"/>
              <w:marBottom w:val="0"/>
              <w:divBdr>
                <w:top w:val="none" w:sz="0" w:space="0" w:color="auto"/>
                <w:left w:val="none" w:sz="0" w:space="0" w:color="auto"/>
                <w:bottom w:val="none" w:sz="0" w:space="0" w:color="auto"/>
                <w:right w:val="none" w:sz="0" w:space="0" w:color="auto"/>
              </w:divBdr>
            </w:div>
          </w:divsChild>
        </w:div>
        <w:div w:id="1764034655">
          <w:marLeft w:val="0"/>
          <w:marRight w:val="0"/>
          <w:marTop w:val="0"/>
          <w:marBottom w:val="0"/>
          <w:divBdr>
            <w:top w:val="none" w:sz="0" w:space="0" w:color="auto"/>
            <w:left w:val="none" w:sz="0" w:space="0" w:color="auto"/>
            <w:bottom w:val="none" w:sz="0" w:space="0" w:color="auto"/>
            <w:right w:val="none" w:sz="0" w:space="0" w:color="auto"/>
          </w:divBdr>
        </w:div>
        <w:div w:id="1786650466">
          <w:marLeft w:val="0"/>
          <w:marRight w:val="0"/>
          <w:marTop w:val="0"/>
          <w:marBottom w:val="0"/>
          <w:divBdr>
            <w:top w:val="none" w:sz="0" w:space="0" w:color="auto"/>
            <w:left w:val="none" w:sz="0" w:space="0" w:color="auto"/>
            <w:bottom w:val="none" w:sz="0" w:space="0" w:color="auto"/>
            <w:right w:val="none" w:sz="0" w:space="0" w:color="auto"/>
          </w:divBdr>
        </w:div>
        <w:div w:id="2107801494">
          <w:marLeft w:val="0"/>
          <w:marRight w:val="0"/>
          <w:marTop w:val="0"/>
          <w:marBottom w:val="0"/>
          <w:divBdr>
            <w:top w:val="none" w:sz="0" w:space="0" w:color="auto"/>
            <w:left w:val="none" w:sz="0" w:space="0" w:color="auto"/>
            <w:bottom w:val="none" w:sz="0" w:space="0" w:color="auto"/>
            <w:right w:val="none" w:sz="0" w:space="0" w:color="auto"/>
          </w:divBdr>
        </w:div>
        <w:div w:id="2138596882">
          <w:marLeft w:val="0"/>
          <w:marRight w:val="0"/>
          <w:marTop w:val="0"/>
          <w:marBottom w:val="0"/>
          <w:divBdr>
            <w:top w:val="none" w:sz="0" w:space="0" w:color="auto"/>
            <w:left w:val="none" w:sz="0" w:space="0" w:color="auto"/>
            <w:bottom w:val="none" w:sz="0" w:space="0" w:color="auto"/>
            <w:right w:val="none" w:sz="0" w:space="0" w:color="auto"/>
          </w:divBdr>
        </w:div>
      </w:divsChild>
    </w:div>
    <w:div w:id="2053380399">
      <w:bodyDiv w:val="1"/>
      <w:marLeft w:val="0"/>
      <w:marRight w:val="0"/>
      <w:marTop w:val="0"/>
      <w:marBottom w:val="0"/>
      <w:divBdr>
        <w:top w:val="none" w:sz="0" w:space="0" w:color="auto"/>
        <w:left w:val="none" w:sz="0" w:space="0" w:color="auto"/>
        <w:bottom w:val="none" w:sz="0" w:space="0" w:color="auto"/>
        <w:right w:val="none" w:sz="0" w:space="0" w:color="auto"/>
      </w:divBdr>
      <w:divsChild>
        <w:div w:id="115412415">
          <w:marLeft w:val="0"/>
          <w:marRight w:val="0"/>
          <w:marTop w:val="0"/>
          <w:marBottom w:val="0"/>
          <w:divBdr>
            <w:top w:val="none" w:sz="0" w:space="0" w:color="auto"/>
            <w:left w:val="none" w:sz="0" w:space="0" w:color="auto"/>
            <w:bottom w:val="none" w:sz="0" w:space="0" w:color="auto"/>
            <w:right w:val="none" w:sz="0" w:space="0" w:color="auto"/>
          </w:divBdr>
          <w:divsChild>
            <w:div w:id="1441880167">
              <w:marLeft w:val="0"/>
              <w:marRight w:val="0"/>
              <w:marTop w:val="0"/>
              <w:marBottom w:val="0"/>
              <w:divBdr>
                <w:top w:val="none" w:sz="0" w:space="0" w:color="auto"/>
                <w:left w:val="none" w:sz="0" w:space="0" w:color="auto"/>
                <w:bottom w:val="none" w:sz="0" w:space="0" w:color="auto"/>
                <w:right w:val="none" w:sz="0" w:space="0" w:color="auto"/>
              </w:divBdr>
            </w:div>
            <w:div w:id="1752506037">
              <w:marLeft w:val="0"/>
              <w:marRight w:val="0"/>
              <w:marTop w:val="0"/>
              <w:marBottom w:val="0"/>
              <w:divBdr>
                <w:top w:val="none" w:sz="0" w:space="0" w:color="auto"/>
                <w:left w:val="none" w:sz="0" w:space="0" w:color="auto"/>
                <w:bottom w:val="none" w:sz="0" w:space="0" w:color="auto"/>
                <w:right w:val="none" w:sz="0" w:space="0" w:color="auto"/>
              </w:divBdr>
            </w:div>
          </w:divsChild>
        </w:div>
        <w:div w:id="151912815">
          <w:marLeft w:val="0"/>
          <w:marRight w:val="0"/>
          <w:marTop w:val="0"/>
          <w:marBottom w:val="0"/>
          <w:divBdr>
            <w:top w:val="none" w:sz="0" w:space="0" w:color="auto"/>
            <w:left w:val="none" w:sz="0" w:space="0" w:color="auto"/>
            <w:bottom w:val="none" w:sz="0" w:space="0" w:color="auto"/>
            <w:right w:val="none" w:sz="0" w:space="0" w:color="auto"/>
          </w:divBdr>
        </w:div>
        <w:div w:id="397479469">
          <w:marLeft w:val="0"/>
          <w:marRight w:val="0"/>
          <w:marTop w:val="0"/>
          <w:marBottom w:val="0"/>
          <w:divBdr>
            <w:top w:val="none" w:sz="0" w:space="0" w:color="auto"/>
            <w:left w:val="none" w:sz="0" w:space="0" w:color="auto"/>
            <w:bottom w:val="none" w:sz="0" w:space="0" w:color="auto"/>
            <w:right w:val="none" w:sz="0" w:space="0" w:color="auto"/>
          </w:divBdr>
          <w:divsChild>
            <w:div w:id="764307893">
              <w:marLeft w:val="0"/>
              <w:marRight w:val="0"/>
              <w:marTop w:val="0"/>
              <w:marBottom w:val="0"/>
              <w:divBdr>
                <w:top w:val="none" w:sz="0" w:space="0" w:color="auto"/>
                <w:left w:val="none" w:sz="0" w:space="0" w:color="auto"/>
                <w:bottom w:val="none" w:sz="0" w:space="0" w:color="auto"/>
                <w:right w:val="none" w:sz="0" w:space="0" w:color="auto"/>
              </w:divBdr>
            </w:div>
            <w:div w:id="1596204248">
              <w:marLeft w:val="0"/>
              <w:marRight w:val="0"/>
              <w:marTop w:val="0"/>
              <w:marBottom w:val="0"/>
              <w:divBdr>
                <w:top w:val="none" w:sz="0" w:space="0" w:color="auto"/>
                <w:left w:val="none" w:sz="0" w:space="0" w:color="auto"/>
                <w:bottom w:val="none" w:sz="0" w:space="0" w:color="auto"/>
                <w:right w:val="none" w:sz="0" w:space="0" w:color="auto"/>
              </w:divBdr>
            </w:div>
            <w:div w:id="1825705838">
              <w:marLeft w:val="0"/>
              <w:marRight w:val="0"/>
              <w:marTop w:val="0"/>
              <w:marBottom w:val="0"/>
              <w:divBdr>
                <w:top w:val="none" w:sz="0" w:space="0" w:color="auto"/>
                <w:left w:val="none" w:sz="0" w:space="0" w:color="auto"/>
                <w:bottom w:val="none" w:sz="0" w:space="0" w:color="auto"/>
                <w:right w:val="none" w:sz="0" w:space="0" w:color="auto"/>
              </w:divBdr>
            </w:div>
            <w:div w:id="2062900735">
              <w:marLeft w:val="0"/>
              <w:marRight w:val="0"/>
              <w:marTop w:val="0"/>
              <w:marBottom w:val="0"/>
              <w:divBdr>
                <w:top w:val="none" w:sz="0" w:space="0" w:color="auto"/>
                <w:left w:val="none" w:sz="0" w:space="0" w:color="auto"/>
                <w:bottom w:val="none" w:sz="0" w:space="0" w:color="auto"/>
                <w:right w:val="none" w:sz="0" w:space="0" w:color="auto"/>
              </w:divBdr>
            </w:div>
          </w:divsChild>
        </w:div>
        <w:div w:id="435712999">
          <w:marLeft w:val="0"/>
          <w:marRight w:val="0"/>
          <w:marTop w:val="0"/>
          <w:marBottom w:val="0"/>
          <w:divBdr>
            <w:top w:val="none" w:sz="0" w:space="0" w:color="auto"/>
            <w:left w:val="none" w:sz="0" w:space="0" w:color="auto"/>
            <w:bottom w:val="none" w:sz="0" w:space="0" w:color="auto"/>
            <w:right w:val="none" w:sz="0" w:space="0" w:color="auto"/>
          </w:divBdr>
          <w:divsChild>
            <w:div w:id="929972402">
              <w:marLeft w:val="0"/>
              <w:marRight w:val="0"/>
              <w:marTop w:val="0"/>
              <w:marBottom w:val="0"/>
              <w:divBdr>
                <w:top w:val="none" w:sz="0" w:space="0" w:color="auto"/>
                <w:left w:val="none" w:sz="0" w:space="0" w:color="auto"/>
                <w:bottom w:val="none" w:sz="0" w:space="0" w:color="auto"/>
                <w:right w:val="none" w:sz="0" w:space="0" w:color="auto"/>
              </w:divBdr>
            </w:div>
            <w:div w:id="1468477241">
              <w:marLeft w:val="0"/>
              <w:marRight w:val="0"/>
              <w:marTop w:val="0"/>
              <w:marBottom w:val="0"/>
              <w:divBdr>
                <w:top w:val="none" w:sz="0" w:space="0" w:color="auto"/>
                <w:left w:val="none" w:sz="0" w:space="0" w:color="auto"/>
                <w:bottom w:val="none" w:sz="0" w:space="0" w:color="auto"/>
                <w:right w:val="none" w:sz="0" w:space="0" w:color="auto"/>
              </w:divBdr>
            </w:div>
            <w:div w:id="1961299191">
              <w:marLeft w:val="0"/>
              <w:marRight w:val="0"/>
              <w:marTop w:val="0"/>
              <w:marBottom w:val="0"/>
              <w:divBdr>
                <w:top w:val="none" w:sz="0" w:space="0" w:color="auto"/>
                <w:left w:val="none" w:sz="0" w:space="0" w:color="auto"/>
                <w:bottom w:val="none" w:sz="0" w:space="0" w:color="auto"/>
                <w:right w:val="none" w:sz="0" w:space="0" w:color="auto"/>
              </w:divBdr>
            </w:div>
            <w:div w:id="2036953829">
              <w:marLeft w:val="0"/>
              <w:marRight w:val="0"/>
              <w:marTop w:val="0"/>
              <w:marBottom w:val="0"/>
              <w:divBdr>
                <w:top w:val="none" w:sz="0" w:space="0" w:color="auto"/>
                <w:left w:val="none" w:sz="0" w:space="0" w:color="auto"/>
                <w:bottom w:val="none" w:sz="0" w:space="0" w:color="auto"/>
                <w:right w:val="none" w:sz="0" w:space="0" w:color="auto"/>
              </w:divBdr>
            </w:div>
            <w:div w:id="2123919528">
              <w:marLeft w:val="0"/>
              <w:marRight w:val="0"/>
              <w:marTop w:val="0"/>
              <w:marBottom w:val="0"/>
              <w:divBdr>
                <w:top w:val="none" w:sz="0" w:space="0" w:color="auto"/>
                <w:left w:val="none" w:sz="0" w:space="0" w:color="auto"/>
                <w:bottom w:val="none" w:sz="0" w:space="0" w:color="auto"/>
                <w:right w:val="none" w:sz="0" w:space="0" w:color="auto"/>
              </w:divBdr>
            </w:div>
          </w:divsChild>
        </w:div>
        <w:div w:id="842628001">
          <w:marLeft w:val="0"/>
          <w:marRight w:val="0"/>
          <w:marTop w:val="0"/>
          <w:marBottom w:val="0"/>
          <w:divBdr>
            <w:top w:val="none" w:sz="0" w:space="0" w:color="auto"/>
            <w:left w:val="none" w:sz="0" w:space="0" w:color="auto"/>
            <w:bottom w:val="none" w:sz="0" w:space="0" w:color="auto"/>
            <w:right w:val="none" w:sz="0" w:space="0" w:color="auto"/>
          </w:divBdr>
        </w:div>
        <w:div w:id="866676849">
          <w:marLeft w:val="0"/>
          <w:marRight w:val="0"/>
          <w:marTop w:val="0"/>
          <w:marBottom w:val="0"/>
          <w:divBdr>
            <w:top w:val="none" w:sz="0" w:space="0" w:color="auto"/>
            <w:left w:val="none" w:sz="0" w:space="0" w:color="auto"/>
            <w:bottom w:val="none" w:sz="0" w:space="0" w:color="auto"/>
            <w:right w:val="none" w:sz="0" w:space="0" w:color="auto"/>
          </w:divBdr>
        </w:div>
        <w:div w:id="870150595">
          <w:marLeft w:val="0"/>
          <w:marRight w:val="0"/>
          <w:marTop w:val="0"/>
          <w:marBottom w:val="0"/>
          <w:divBdr>
            <w:top w:val="none" w:sz="0" w:space="0" w:color="auto"/>
            <w:left w:val="none" w:sz="0" w:space="0" w:color="auto"/>
            <w:bottom w:val="none" w:sz="0" w:space="0" w:color="auto"/>
            <w:right w:val="none" w:sz="0" w:space="0" w:color="auto"/>
          </w:divBdr>
          <w:divsChild>
            <w:div w:id="207763214">
              <w:marLeft w:val="0"/>
              <w:marRight w:val="0"/>
              <w:marTop w:val="0"/>
              <w:marBottom w:val="0"/>
              <w:divBdr>
                <w:top w:val="none" w:sz="0" w:space="0" w:color="auto"/>
                <w:left w:val="none" w:sz="0" w:space="0" w:color="auto"/>
                <w:bottom w:val="none" w:sz="0" w:space="0" w:color="auto"/>
                <w:right w:val="none" w:sz="0" w:space="0" w:color="auto"/>
              </w:divBdr>
            </w:div>
            <w:div w:id="485172651">
              <w:marLeft w:val="0"/>
              <w:marRight w:val="0"/>
              <w:marTop w:val="0"/>
              <w:marBottom w:val="0"/>
              <w:divBdr>
                <w:top w:val="none" w:sz="0" w:space="0" w:color="auto"/>
                <w:left w:val="none" w:sz="0" w:space="0" w:color="auto"/>
                <w:bottom w:val="none" w:sz="0" w:space="0" w:color="auto"/>
                <w:right w:val="none" w:sz="0" w:space="0" w:color="auto"/>
              </w:divBdr>
            </w:div>
            <w:div w:id="629483742">
              <w:marLeft w:val="0"/>
              <w:marRight w:val="0"/>
              <w:marTop w:val="0"/>
              <w:marBottom w:val="0"/>
              <w:divBdr>
                <w:top w:val="none" w:sz="0" w:space="0" w:color="auto"/>
                <w:left w:val="none" w:sz="0" w:space="0" w:color="auto"/>
                <w:bottom w:val="none" w:sz="0" w:space="0" w:color="auto"/>
                <w:right w:val="none" w:sz="0" w:space="0" w:color="auto"/>
              </w:divBdr>
            </w:div>
            <w:div w:id="1347714221">
              <w:marLeft w:val="0"/>
              <w:marRight w:val="0"/>
              <w:marTop w:val="0"/>
              <w:marBottom w:val="0"/>
              <w:divBdr>
                <w:top w:val="none" w:sz="0" w:space="0" w:color="auto"/>
                <w:left w:val="none" w:sz="0" w:space="0" w:color="auto"/>
                <w:bottom w:val="none" w:sz="0" w:space="0" w:color="auto"/>
                <w:right w:val="none" w:sz="0" w:space="0" w:color="auto"/>
              </w:divBdr>
            </w:div>
          </w:divsChild>
        </w:div>
        <w:div w:id="916944078">
          <w:marLeft w:val="0"/>
          <w:marRight w:val="0"/>
          <w:marTop w:val="0"/>
          <w:marBottom w:val="0"/>
          <w:divBdr>
            <w:top w:val="none" w:sz="0" w:space="0" w:color="auto"/>
            <w:left w:val="none" w:sz="0" w:space="0" w:color="auto"/>
            <w:bottom w:val="none" w:sz="0" w:space="0" w:color="auto"/>
            <w:right w:val="none" w:sz="0" w:space="0" w:color="auto"/>
          </w:divBdr>
          <w:divsChild>
            <w:div w:id="1784836989">
              <w:marLeft w:val="-75"/>
              <w:marRight w:val="0"/>
              <w:marTop w:val="30"/>
              <w:marBottom w:val="30"/>
              <w:divBdr>
                <w:top w:val="none" w:sz="0" w:space="0" w:color="auto"/>
                <w:left w:val="none" w:sz="0" w:space="0" w:color="auto"/>
                <w:bottom w:val="none" w:sz="0" w:space="0" w:color="auto"/>
                <w:right w:val="none" w:sz="0" w:space="0" w:color="auto"/>
              </w:divBdr>
              <w:divsChild>
                <w:div w:id="1094521772">
                  <w:marLeft w:val="0"/>
                  <w:marRight w:val="0"/>
                  <w:marTop w:val="0"/>
                  <w:marBottom w:val="0"/>
                  <w:divBdr>
                    <w:top w:val="none" w:sz="0" w:space="0" w:color="auto"/>
                    <w:left w:val="none" w:sz="0" w:space="0" w:color="auto"/>
                    <w:bottom w:val="none" w:sz="0" w:space="0" w:color="auto"/>
                    <w:right w:val="none" w:sz="0" w:space="0" w:color="auto"/>
                  </w:divBdr>
                  <w:divsChild>
                    <w:div w:id="2042776429">
                      <w:marLeft w:val="0"/>
                      <w:marRight w:val="0"/>
                      <w:marTop w:val="0"/>
                      <w:marBottom w:val="0"/>
                      <w:divBdr>
                        <w:top w:val="none" w:sz="0" w:space="0" w:color="auto"/>
                        <w:left w:val="none" w:sz="0" w:space="0" w:color="auto"/>
                        <w:bottom w:val="none" w:sz="0" w:space="0" w:color="auto"/>
                        <w:right w:val="none" w:sz="0" w:space="0" w:color="auto"/>
                      </w:divBdr>
                    </w:div>
                  </w:divsChild>
                </w:div>
                <w:div w:id="1688368758">
                  <w:marLeft w:val="0"/>
                  <w:marRight w:val="0"/>
                  <w:marTop w:val="0"/>
                  <w:marBottom w:val="0"/>
                  <w:divBdr>
                    <w:top w:val="none" w:sz="0" w:space="0" w:color="auto"/>
                    <w:left w:val="none" w:sz="0" w:space="0" w:color="auto"/>
                    <w:bottom w:val="none" w:sz="0" w:space="0" w:color="auto"/>
                    <w:right w:val="none" w:sz="0" w:space="0" w:color="auto"/>
                  </w:divBdr>
                  <w:divsChild>
                    <w:div w:id="208807780">
                      <w:marLeft w:val="0"/>
                      <w:marRight w:val="0"/>
                      <w:marTop w:val="0"/>
                      <w:marBottom w:val="0"/>
                      <w:divBdr>
                        <w:top w:val="none" w:sz="0" w:space="0" w:color="auto"/>
                        <w:left w:val="none" w:sz="0" w:space="0" w:color="auto"/>
                        <w:bottom w:val="none" w:sz="0" w:space="0" w:color="auto"/>
                        <w:right w:val="none" w:sz="0" w:space="0" w:color="auto"/>
                      </w:divBdr>
                    </w:div>
                    <w:div w:id="341512437">
                      <w:marLeft w:val="0"/>
                      <w:marRight w:val="0"/>
                      <w:marTop w:val="0"/>
                      <w:marBottom w:val="0"/>
                      <w:divBdr>
                        <w:top w:val="none" w:sz="0" w:space="0" w:color="auto"/>
                        <w:left w:val="none" w:sz="0" w:space="0" w:color="auto"/>
                        <w:bottom w:val="none" w:sz="0" w:space="0" w:color="auto"/>
                        <w:right w:val="none" w:sz="0" w:space="0" w:color="auto"/>
                      </w:divBdr>
                    </w:div>
                    <w:div w:id="958990172">
                      <w:marLeft w:val="0"/>
                      <w:marRight w:val="0"/>
                      <w:marTop w:val="0"/>
                      <w:marBottom w:val="0"/>
                      <w:divBdr>
                        <w:top w:val="none" w:sz="0" w:space="0" w:color="auto"/>
                        <w:left w:val="none" w:sz="0" w:space="0" w:color="auto"/>
                        <w:bottom w:val="none" w:sz="0" w:space="0" w:color="auto"/>
                        <w:right w:val="none" w:sz="0" w:space="0" w:color="auto"/>
                      </w:divBdr>
                    </w:div>
                    <w:div w:id="1532381920">
                      <w:marLeft w:val="0"/>
                      <w:marRight w:val="0"/>
                      <w:marTop w:val="0"/>
                      <w:marBottom w:val="0"/>
                      <w:divBdr>
                        <w:top w:val="none" w:sz="0" w:space="0" w:color="auto"/>
                        <w:left w:val="none" w:sz="0" w:space="0" w:color="auto"/>
                        <w:bottom w:val="none" w:sz="0" w:space="0" w:color="auto"/>
                        <w:right w:val="none" w:sz="0" w:space="0" w:color="auto"/>
                      </w:divBdr>
                    </w:div>
                    <w:div w:id="1545479451">
                      <w:marLeft w:val="0"/>
                      <w:marRight w:val="0"/>
                      <w:marTop w:val="0"/>
                      <w:marBottom w:val="0"/>
                      <w:divBdr>
                        <w:top w:val="none" w:sz="0" w:space="0" w:color="auto"/>
                        <w:left w:val="none" w:sz="0" w:space="0" w:color="auto"/>
                        <w:bottom w:val="none" w:sz="0" w:space="0" w:color="auto"/>
                        <w:right w:val="none" w:sz="0" w:space="0" w:color="auto"/>
                      </w:divBdr>
                    </w:div>
                    <w:div w:id="18295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39358">
          <w:marLeft w:val="0"/>
          <w:marRight w:val="0"/>
          <w:marTop w:val="0"/>
          <w:marBottom w:val="0"/>
          <w:divBdr>
            <w:top w:val="none" w:sz="0" w:space="0" w:color="auto"/>
            <w:left w:val="none" w:sz="0" w:space="0" w:color="auto"/>
            <w:bottom w:val="none" w:sz="0" w:space="0" w:color="auto"/>
            <w:right w:val="none" w:sz="0" w:space="0" w:color="auto"/>
          </w:divBdr>
        </w:div>
        <w:div w:id="933780065">
          <w:marLeft w:val="0"/>
          <w:marRight w:val="0"/>
          <w:marTop w:val="0"/>
          <w:marBottom w:val="0"/>
          <w:divBdr>
            <w:top w:val="none" w:sz="0" w:space="0" w:color="auto"/>
            <w:left w:val="none" w:sz="0" w:space="0" w:color="auto"/>
            <w:bottom w:val="none" w:sz="0" w:space="0" w:color="auto"/>
            <w:right w:val="none" w:sz="0" w:space="0" w:color="auto"/>
          </w:divBdr>
          <w:divsChild>
            <w:div w:id="71857142">
              <w:marLeft w:val="0"/>
              <w:marRight w:val="0"/>
              <w:marTop w:val="0"/>
              <w:marBottom w:val="0"/>
              <w:divBdr>
                <w:top w:val="none" w:sz="0" w:space="0" w:color="auto"/>
                <w:left w:val="none" w:sz="0" w:space="0" w:color="auto"/>
                <w:bottom w:val="none" w:sz="0" w:space="0" w:color="auto"/>
                <w:right w:val="none" w:sz="0" w:space="0" w:color="auto"/>
              </w:divBdr>
            </w:div>
            <w:div w:id="200944237">
              <w:marLeft w:val="0"/>
              <w:marRight w:val="0"/>
              <w:marTop w:val="0"/>
              <w:marBottom w:val="0"/>
              <w:divBdr>
                <w:top w:val="none" w:sz="0" w:space="0" w:color="auto"/>
                <w:left w:val="none" w:sz="0" w:space="0" w:color="auto"/>
                <w:bottom w:val="none" w:sz="0" w:space="0" w:color="auto"/>
                <w:right w:val="none" w:sz="0" w:space="0" w:color="auto"/>
              </w:divBdr>
            </w:div>
            <w:div w:id="1038048753">
              <w:marLeft w:val="0"/>
              <w:marRight w:val="0"/>
              <w:marTop w:val="0"/>
              <w:marBottom w:val="0"/>
              <w:divBdr>
                <w:top w:val="none" w:sz="0" w:space="0" w:color="auto"/>
                <w:left w:val="none" w:sz="0" w:space="0" w:color="auto"/>
                <w:bottom w:val="none" w:sz="0" w:space="0" w:color="auto"/>
                <w:right w:val="none" w:sz="0" w:space="0" w:color="auto"/>
              </w:divBdr>
            </w:div>
            <w:div w:id="1306160911">
              <w:marLeft w:val="0"/>
              <w:marRight w:val="0"/>
              <w:marTop w:val="0"/>
              <w:marBottom w:val="0"/>
              <w:divBdr>
                <w:top w:val="none" w:sz="0" w:space="0" w:color="auto"/>
                <w:left w:val="none" w:sz="0" w:space="0" w:color="auto"/>
                <w:bottom w:val="none" w:sz="0" w:space="0" w:color="auto"/>
                <w:right w:val="none" w:sz="0" w:space="0" w:color="auto"/>
              </w:divBdr>
            </w:div>
          </w:divsChild>
        </w:div>
        <w:div w:id="1115095119">
          <w:marLeft w:val="0"/>
          <w:marRight w:val="0"/>
          <w:marTop w:val="0"/>
          <w:marBottom w:val="0"/>
          <w:divBdr>
            <w:top w:val="none" w:sz="0" w:space="0" w:color="auto"/>
            <w:left w:val="none" w:sz="0" w:space="0" w:color="auto"/>
            <w:bottom w:val="none" w:sz="0" w:space="0" w:color="auto"/>
            <w:right w:val="none" w:sz="0" w:space="0" w:color="auto"/>
          </w:divBdr>
        </w:div>
        <w:div w:id="1252736627">
          <w:marLeft w:val="0"/>
          <w:marRight w:val="0"/>
          <w:marTop w:val="0"/>
          <w:marBottom w:val="0"/>
          <w:divBdr>
            <w:top w:val="none" w:sz="0" w:space="0" w:color="auto"/>
            <w:left w:val="none" w:sz="0" w:space="0" w:color="auto"/>
            <w:bottom w:val="none" w:sz="0" w:space="0" w:color="auto"/>
            <w:right w:val="none" w:sz="0" w:space="0" w:color="auto"/>
          </w:divBdr>
        </w:div>
        <w:div w:id="1425564792">
          <w:marLeft w:val="0"/>
          <w:marRight w:val="0"/>
          <w:marTop w:val="0"/>
          <w:marBottom w:val="0"/>
          <w:divBdr>
            <w:top w:val="none" w:sz="0" w:space="0" w:color="auto"/>
            <w:left w:val="none" w:sz="0" w:space="0" w:color="auto"/>
            <w:bottom w:val="none" w:sz="0" w:space="0" w:color="auto"/>
            <w:right w:val="none" w:sz="0" w:space="0" w:color="auto"/>
          </w:divBdr>
        </w:div>
        <w:div w:id="1456288025">
          <w:marLeft w:val="0"/>
          <w:marRight w:val="0"/>
          <w:marTop w:val="0"/>
          <w:marBottom w:val="0"/>
          <w:divBdr>
            <w:top w:val="none" w:sz="0" w:space="0" w:color="auto"/>
            <w:left w:val="none" w:sz="0" w:space="0" w:color="auto"/>
            <w:bottom w:val="none" w:sz="0" w:space="0" w:color="auto"/>
            <w:right w:val="none" w:sz="0" w:space="0" w:color="auto"/>
          </w:divBdr>
        </w:div>
        <w:div w:id="1529179835">
          <w:marLeft w:val="0"/>
          <w:marRight w:val="0"/>
          <w:marTop w:val="0"/>
          <w:marBottom w:val="0"/>
          <w:divBdr>
            <w:top w:val="none" w:sz="0" w:space="0" w:color="auto"/>
            <w:left w:val="none" w:sz="0" w:space="0" w:color="auto"/>
            <w:bottom w:val="none" w:sz="0" w:space="0" w:color="auto"/>
            <w:right w:val="none" w:sz="0" w:space="0" w:color="auto"/>
          </w:divBdr>
        </w:div>
        <w:div w:id="1653294230">
          <w:marLeft w:val="0"/>
          <w:marRight w:val="0"/>
          <w:marTop w:val="0"/>
          <w:marBottom w:val="0"/>
          <w:divBdr>
            <w:top w:val="none" w:sz="0" w:space="0" w:color="auto"/>
            <w:left w:val="none" w:sz="0" w:space="0" w:color="auto"/>
            <w:bottom w:val="none" w:sz="0" w:space="0" w:color="auto"/>
            <w:right w:val="none" w:sz="0" w:space="0" w:color="auto"/>
          </w:divBdr>
          <w:divsChild>
            <w:div w:id="1242910468">
              <w:marLeft w:val="-75"/>
              <w:marRight w:val="0"/>
              <w:marTop w:val="30"/>
              <w:marBottom w:val="30"/>
              <w:divBdr>
                <w:top w:val="none" w:sz="0" w:space="0" w:color="auto"/>
                <w:left w:val="none" w:sz="0" w:space="0" w:color="auto"/>
                <w:bottom w:val="none" w:sz="0" w:space="0" w:color="auto"/>
                <w:right w:val="none" w:sz="0" w:space="0" w:color="auto"/>
              </w:divBdr>
              <w:divsChild>
                <w:div w:id="1096748499">
                  <w:marLeft w:val="0"/>
                  <w:marRight w:val="0"/>
                  <w:marTop w:val="0"/>
                  <w:marBottom w:val="0"/>
                  <w:divBdr>
                    <w:top w:val="none" w:sz="0" w:space="0" w:color="auto"/>
                    <w:left w:val="none" w:sz="0" w:space="0" w:color="auto"/>
                    <w:bottom w:val="none" w:sz="0" w:space="0" w:color="auto"/>
                    <w:right w:val="none" w:sz="0" w:space="0" w:color="auto"/>
                  </w:divBdr>
                  <w:divsChild>
                    <w:div w:id="1093670845">
                      <w:marLeft w:val="0"/>
                      <w:marRight w:val="0"/>
                      <w:marTop w:val="0"/>
                      <w:marBottom w:val="0"/>
                      <w:divBdr>
                        <w:top w:val="none" w:sz="0" w:space="0" w:color="auto"/>
                        <w:left w:val="none" w:sz="0" w:space="0" w:color="auto"/>
                        <w:bottom w:val="none" w:sz="0" w:space="0" w:color="auto"/>
                        <w:right w:val="none" w:sz="0" w:space="0" w:color="auto"/>
                      </w:divBdr>
                    </w:div>
                  </w:divsChild>
                </w:div>
                <w:div w:id="1706171173">
                  <w:marLeft w:val="0"/>
                  <w:marRight w:val="0"/>
                  <w:marTop w:val="0"/>
                  <w:marBottom w:val="0"/>
                  <w:divBdr>
                    <w:top w:val="none" w:sz="0" w:space="0" w:color="auto"/>
                    <w:left w:val="none" w:sz="0" w:space="0" w:color="auto"/>
                    <w:bottom w:val="none" w:sz="0" w:space="0" w:color="auto"/>
                    <w:right w:val="none" w:sz="0" w:space="0" w:color="auto"/>
                  </w:divBdr>
                  <w:divsChild>
                    <w:div w:id="5682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92041">
          <w:marLeft w:val="0"/>
          <w:marRight w:val="0"/>
          <w:marTop w:val="0"/>
          <w:marBottom w:val="0"/>
          <w:divBdr>
            <w:top w:val="none" w:sz="0" w:space="0" w:color="auto"/>
            <w:left w:val="none" w:sz="0" w:space="0" w:color="auto"/>
            <w:bottom w:val="none" w:sz="0" w:space="0" w:color="auto"/>
            <w:right w:val="none" w:sz="0" w:space="0" w:color="auto"/>
          </w:divBdr>
        </w:div>
        <w:div w:id="1860657063">
          <w:marLeft w:val="0"/>
          <w:marRight w:val="0"/>
          <w:marTop w:val="0"/>
          <w:marBottom w:val="0"/>
          <w:divBdr>
            <w:top w:val="none" w:sz="0" w:space="0" w:color="auto"/>
            <w:left w:val="none" w:sz="0" w:space="0" w:color="auto"/>
            <w:bottom w:val="none" w:sz="0" w:space="0" w:color="auto"/>
            <w:right w:val="none" w:sz="0" w:space="0" w:color="auto"/>
          </w:divBdr>
          <w:divsChild>
            <w:div w:id="35979954">
              <w:marLeft w:val="0"/>
              <w:marRight w:val="0"/>
              <w:marTop w:val="0"/>
              <w:marBottom w:val="0"/>
              <w:divBdr>
                <w:top w:val="none" w:sz="0" w:space="0" w:color="auto"/>
                <w:left w:val="none" w:sz="0" w:space="0" w:color="auto"/>
                <w:bottom w:val="none" w:sz="0" w:space="0" w:color="auto"/>
                <w:right w:val="none" w:sz="0" w:space="0" w:color="auto"/>
              </w:divBdr>
            </w:div>
            <w:div w:id="206572433">
              <w:marLeft w:val="0"/>
              <w:marRight w:val="0"/>
              <w:marTop w:val="0"/>
              <w:marBottom w:val="0"/>
              <w:divBdr>
                <w:top w:val="none" w:sz="0" w:space="0" w:color="auto"/>
                <w:left w:val="none" w:sz="0" w:space="0" w:color="auto"/>
                <w:bottom w:val="none" w:sz="0" w:space="0" w:color="auto"/>
                <w:right w:val="none" w:sz="0" w:space="0" w:color="auto"/>
              </w:divBdr>
            </w:div>
            <w:div w:id="1226455711">
              <w:marLeft w:val="0"/>
              <w:marRight w:val="0"/>
              <w:marTop w:val="0"/>
              <w:marBottom w:val="0"/>
              <w:divBdr>
                <w:top w:val="none" w:sz="0" w:space="0" w:color="auto"/>
                <w:left w:val="none" w:sz="0" w:space="0" w:color="auto"/>
                <w:bottom w:val="none" w:sz="0" w:space="0" w:color="auto"/>
                <w:right w:val="none" w:sz="0" w:space="0" w:color="auto"/>
              </w:divBdr>
            </w:div>
          </w:divsChild>
        </w:div>
        <w:div w:id="1924990020">
          <w:marLeft w:val="0"/>
          <w:marRight w:val="0"/>
          <w:marTop w:val="0"/>
          <w:marBottom w:val="0"/>
          <w:divBdr>
            <w:top w:val="none" w:sz="0" w:space="0" w:color="auto"/>
            <w:left w:val="none" w:sz="0" w:space="0" w:color="auto"/>
            <w:bottom w:val="none" w:sz="0" w:space="0" w:color="auto"/>
            <w:right w:val="none" w:sz="0" w:space="0" w:color="auto"/>
          </w:divBdr>
        </w:div>
        <w:div w:id="2101870868">
          <w:marLeft w:val="0"/>
          <w:marRight w:val="0"/>
          <w:marTop w:val="0"/>
          <w:marBottom w:val="0"/>
          <w:divBdr>
            <w:top w:val="none" w:sz="0" w:space="0" w:color="auto"/>
            <w:left w:val="none" w:sz="0" w:space="0" w:color="auto"/>
            <w:bottom w:val="none" w:sz="0" w:space="0" w:color="auto"/>
            <w:right w:val="none" w:sz="0" w:space="0" w:color="auto"/>
          </w:divBdr>
          <w:divsChild>
            <w:div w:id="86199140">
              <w:marLeft w:val="0"/>
              <w:marRight w:val="0"/>
              <w:marTop w:val="0"/>
              <w:marBottom w:val="0"/>
              <w:divBdr>
                <w:top w:val="none" w:sz="0" w:space="0" w:color="auto"/>
                <w:left w:val="none" w:sz="0" w:space="0" w:color="auto"/>
                <w:bottom w:val="none" w:sz="0" w:space="0" w:color="auto"/>
                <w:right w:val="none" w:sz="0" w:space="0" w:color="auto"/>
              </w:divBdr>
            </w:div>
            <w:div w:id="345596027">
              <w:marLeft w:val="0"/>
              <w:marRight w:val="0"/>
              <w:marTop w:val="0"/>
              <w:marBottom w:val="0"/>
              <w:divBdr>
                <w:top w:val="none" w:sz="0" w:space="0" w:color="auto"/>
                <w:left w:val="none" w:sz="0" w:space="0" w:color="auto"/>
                <w:bottom w:val="none" w:sz="0" w:space="0" w:color="auto"/>
                <w:right w:val="none" w:sz="0" w:space="0" w:color="auto"/>
              </w:divBdr>
            </w:div>
            <w:div w:id="1759867705">
              <w:marLeft w:val="0"/>
              <w:marRight w:val="0"/>
              <w:marTop w:val="0"/>
              <w:marBottom w:val="0"/>
              <w:divBdr>
                <w:top w:val="none" w:sz="0" w:space="0" w:color="auto"/>
                <w:left w:val="none" w:sz="0" w:space="0" w:color="auto"/>
                <w:bottom w:val="none" w:sz="0" w:space="0" w:color="auto"/>
                <w:right w:val="none" w:sz="0" w:space="0" w:color="auto"/>
              </w:divBdr>
            </w:div>
            <w:div w:id="1864203429">
              <w:marLeft w:val="0"/>
              <w:marRight w:val="0"/>
              <w:marTop w:val="0"/>
              <w:marBottom w:val="0"/>
              <w:divBdr>
                <w:top w:val="none" w:sz="0" w:space="0" w:color="auto"/>
                <w:left w:val="none" w:sz="0" w:space="0" w:color="auto"/>
                <w:bottom w:val="none" w:sz="0" w:space="0" w:color="auto"/>
                <w:right w:val="none" w:sz="0" w:space="0" w:color="auto"/>
              </w:divBdr>
            </w:div>
            <w:div w:id="2049254872">
              <w:marLeft w:val="0"/>
              <w:marRight w:val="0"/>
              <w:marTop w:val="0"/>
              <w:marBottom w:val="0"/>
              <w:divBdr>
                <w:top w:val="none" w:sz="0" w:space="0" w:color="auto"/>
                <w:left w:val="none" w:sz="0" w:space="0" w:color="auto"/>
                <w:bottom w:val="none" w:sz="0" w:space="0" w:color="auto"/>
                <w:right w:val="none" w:sz="0" w:space="0" w:color="auto"/>
              </w:divBdr>
            </w:div>
          </w:divsChild>
        </w:div>
        <w:div w:id="2110271613">
          <w:marLeft w:val="0"/>
          <w:marRight w:val="0"/>
          <w:marTop w:val="0"/>
          <w:marBottom w:val="0"/>
          <w:divBdr>
            <w:top w:val="none" w:sz="0" w:space="0" w:color="auto"/>
            <w:left w:val="none" w:sz="0" w:space="0" w:color="auto"/>
            <w:bottom w:val="none" w:sz="0" w:space="0" w:color="auto"/>
            <w:right w:val="none" w:sz="0" w:space="0" w:color="auto"/>
          </w:divBdr>
          <w:divsChild>
            <w:div w:id="160195254">
              <w:marLeft w:val="0"/>
              <w:marRight w:val="0"/>
              <w:marTop w:val="0"/>
              <w:marBottom w:val="0"/>
              <w:divBdr>
                <w:top w:val="none" w:sz="0" w:space="0" w:color="auto"/>
                <w:left w:val="none" w:sz="0" w:space="0" w:color="auto"/>
                <w:bottom w:val="none" w:sz="0" w:space="0" w:color="auto"/>
                <w:right w:val="none" w:sz="0" w:space="0" w:color="auto"/>
              </w:divBdr>
            </w:div>
            <w:div w:id="408236978">
              <w:marLeft w:val="0"/>
              <w:marRight w:val="0"/>
              <w:marTop w:val="0"/>
              <w:marBottom w:val="0"/>
              <w:divBdr>
                <w:top w:val="none" w:sz="0" w:space="0" w:color="auto"/>
                <w:left w:val="none" w:sz="0" w:space="0" w:color="auto"/>
                <w:bottom w:val="none" w:sz="0" w:space="0" w:color="auto"/>
                <w:right w:val="none" w:sz="0" w:space="0" w:color="auto"/>
              </w:divBdr>
            </w:div>
            <w:div w:id="483938237">
              <w:marLeft w:val="0"/>
              <w:marRight w:val="0"/>
              <w:marTop w:val="0"/>
              <w:marBottom w:val="0"/>
              <w:divBdr>
                <w:top w:val="none" w:sz="0" w:space="0" w:color="auto"/>
                <w:left w:val="none" w:sz="0" w:space="0" w:color="auto"/>
                <w:bottom w:val="none" w:sz="0" w:space="0" w:color="auto"/>
                <w:right w:val="none" w:sz="0" w:space="0" w:color="auto"/>
              </w:divBdr>
            </w:div>
            <w:div w:id="1293513272">
              <w:marLeft w:val="0"/>
              <w:marRight w:val="0"/>
              <w:marTop w:val="0"/>
              <w:marBottom w:val="0"/>
              <w:divBdr>
                <w:top w:val="none" w:sz="0" w:space="0" w:color="auto"/>
                <w:left w:val="none" w:sz="0" w:space="0" w:color="auto"/>
                <w:bottom w:val="none" w:sz="0" w:space="0" w:color="auto"/>
                <w:right w:val="none" w:sz="0" w:space="0" w:color="auto"/>
              </w:divBdr>
            </w:div>
            <w:div w:id="15707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36886">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legandregreform@health.vic.gov.au" TargetMode="External"/><Relationship Id="rId26" Type="http://schemas.openxmlformats.org/officeDocument/2006/relationships/hyperlink" Target="https://www.safercare.vic.gov.au/sites/default/files/2018-03/SCV%20Clinical%20Governance%20Framework.pdf" TargetMode="External"/><Relationship Id="rId39" Type="http://schemas.openxmlformats.org/officeDocument/2006/relationships/hyperlink" Target="https://www.dtf.vic.gov.au/financial-management-government/indexation-fees-and-penalties" TargetMode="External"/><Relationship Id="rId3" Type="http://schemas.openxmlformats.org/officeDocument/2006/relationships/customXml" Target="../customXml/item3.xml"/><Relationship Id="rId21" Type="http://schemas.openxmlformats.org/officeDocument/2006/relationships/hyperlink" Target="mailto:Legislation%20and%20Regulation%20Reform%20(HEALTH)%20%3clegandregreform@health.vic.gov.au%3e" TargetMode="External"/><Relationship Id="rId34" Type="http://schemas.openxmlformats.org/officeDocument/2006/relationships/hyperlink" Target="https://www.safercare.vic.gov.au/publications/policy-adverse-patient-safety-events" TargetMode="External"/><Relationship Id="rId42" Type="http://schemas.openxmlformats.org/officeDocument/2006/relationships/footer" Target="footer4.xml"/><Relationship Id="rId47" Type="http://schemas.openxmlformats.org/officeDocument/2006/relationships/hyperlink" Target="mailto:Legislation%20and%20Regulation%20Reform%20(HEALTH)%20%3clegandregreform@health.vic.gov.au%3e" TargetMode="External"/><Relationship Id="rId50" Type="http://schemas.openxmlformats.org/officeDocument/2006/relationships/hyperlink" Target="mailto:privacy@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Legislation%20and%20Regulation%20Reform%20(HEALTH)%20%3clegandregreform@health.vic.gov.au%3e" TargetMode="External"/><Relationship Id="rId33" Type="http://schemas.openxmlformats.org/officeDocument/2006/relationships/hyperlink" Target="https://www.safercare.vic.gov.au/publications/sentinel-events-guide" TargetMode="External"/><Relationship Id="rId38" Type="http://schemas.openxmlformats.org/officeDocument/2006/relationships/hyperlink" Target="https://www.justice.vic.gov.au/justice-system/fines-and-penalties/attorney-generals-guidelines-to-the-infringements-act-2006" TargetMode="External"/><Relationship Id="rId46" Type="http://schemas.openxmlformats.org/officeDocument/2006/relationships/hyperlink" Target="mailto:legandregreform@healt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Legislation%20and%20Regulation%20Reform%20(HEALTH)%20%3clegandregreform@health.vic.gov.au%3e" TargetMode="External"/><Relationship Id="rId29" Type="http://schemas.openxmlformats.org/officeDocument/2006/relationships/hyperlink" Target="https://www.health.vic.gov.au/guideline-for-providers-of-liposuction" TargetMode="External"/><Relationship Id="rId41" Type="http://schemas.openxmlformats.org/officeDocument/2006/relationships/header" Target="header5.xml"/><Relationship Id="rId54"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hcc.vic.gov.au/" TargetMode="External"/><Relationship Id="rId32" Type="http://schemas.openxmlformats.org/officeDocument/2006/relationships/hyperlink" Target="https://www.safercare.vic.gov.au/support-training/adverse-event-review-and-response/duty-of-candour" TargetMode="External"/><Relationship Id="rId37" Type="http://schemas.openxmlformats.org/officeDocument/2006/relationships/hyperlink" Target="https://www.safercare.vic.gov.au/publications/partnering-in-healthcare" TargetMode="External"/><Relationship Id="rId40" Type="http://schemas.openxmlformats.org/officeDocument/2006/relationships/header" Target="header4.xml"/><Relationship Id="rId45" Type="http://schemas.openxmlformats.org/officeDocument/2006/relationships/image" Target="media/image2.png"/><Relationship Id="rId53"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hpra.gov.au/about-ahpra/contact-us.aspx" TargetMode="External"/><Relationship Id="rId28" Type="http://schemas.openxmlformats.org/officeDocument/2006/relationships/hyperlink" Target="https://www.safercare.vic.gov.au/publications/credentialing-and-scope-of-clinical-practice-for-senior-medical-practitioners-policy" TargetMode="External"/><Relationship Id="rId36" Type="http://schemas.openxmlformats.org/officeDocument/2006/relationships/hyperlink" Target="https://www.legislation.vic.gov.au/in-force/acts/charter-human-rights-and-responsibilities-act-2006/015" TargetMode="External"/><Relationship Id="rId49" Type="http://schemas.openxmlformats.org/officeDocument/2006/relationships/hyperlink" Target="mailto:Legislation%20and%20Regulation%20Reform%20(HEALTH)%20%3clegandregreform@health.vic.gov.au%3e" TargetMode="External"/><Relationship Id="rId10" Type="http://schemas.openxmlformats.org/officeDocument/2006/relationships/endnotes" Target="endnotes.xml"/><Relationship Id="rId19" Type="http://schemas.openxmlformats.org/officeDocument/2006/relationships/hyperlink" Target="https://www.health.vic.gov.au/hospitals-and-health-services/private-health-service-establishments" TargetMode="External"/><Relationship Id="rId31" Type="http://schemas.openxmlformats.org/officeDocument/2006/relationships/hyperlink" Target="https://www.safetyandquality.gov.au/our-work/open-disclosure/the-open-disclosure-framework" TargetMode="External"/><Relationship Id="rId44" Type="http://schemas.openxmlformats.org/officeDocument/2006/relationships/header" Target="header6.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Legislation%20and%20Regulation%20Reform%20(HEALTH)%20%3clegandregreform@health.vic.gov.au%3e" TargetMode="External"/><Relationship Id="rId27" Type="http://schemas.openxmlformats.org/officeDocument/2006/relationships/hyperlink" Target="https://www.safercare.vic.gov.au/support-training/clinical-governance" TargetMode="External"/><Relationship Id="rId30" Type="http://schemas.openxmlformats.org/officeDocument/2006/relationships/hyperlink" Target="https://www.safercare.vic.gov.au/publications/sentinel-events-guide" TargetMode="External"/><Relationship Id="rId35" Type="http://schemas.openxmlformats.org/officeDocument/2006/relationships/hyperlink" Target="https://vahi.vic.gov.au/ourwork/safety-and-surveillance-reporting/vhims-program-of-reforms" TargetMode="External"/><Relationship Id="rId43" Type="http://schemas.openxmlformats.org/officeDocument/2006/relationships/footer" Target="footer5.xml"/><Relationship Id="rId48" Type="http://schemas.openxmlformats.org/officeDocument/2006/relationships/hyperlink" Target="https://www.health.vic.gov.au/department-of-health-privacy-policy" TargetMode="External"/><Relationship Id="rId8" Type="http://schemas.openxmlformats.org/officeDocument/2006/relationships/webSettings" Target="webSetting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afetyandquality.gov.au/standards/cosmetic-surgery-project" TargetMode="External"/><Relationship Id="rId13" Type="http://schemas.openxmlformats.org/officeDocument/2006/relationships/hyperlink" Target="https://www.medicalboard.gov.au/Codes-Guidelines-Policies/Guidelines-for-registered-medical-practitioners-who-advertise-cosmetic-surgery.aspx" TargetMode="External"/><Relationship Id="rId18" Type="http://schemas.openxmlformats.org/officeDocument/2006/relationships/hyperlink" Target="https://www.safetyandquality.gov.au/consumers/public-reporting-hospital-performance-nsqhs-standards" TargetMode="External"/><Relationship Id="rId26" Type="http://schemas.openxmlformats.org/officeDocument/2006/relationships/hyperlink" Target="https://www.cdc.gov/niosh/work-hour-training-for-nurses/longhours/mod3/08.html" TargetMode="External"/><Relationship Id="rId39" Type="http://schemas.openxmlformats.org/officeDocument/2006/relationships/hyperlink" Target="https://www.legislation.vic.gov.au/in-force/acts/charter-human-rights-and-responsibilities-act-2006/015" TargetMode="External"/><Relationship Id="rId3" Type="http://schemas.openxmlformats.org/officeDocument/2006/relationships/hyperlink" Target="https://www.aihw.gov.au/reports-data/myhospitals/sectors/admitted-patients" TargetMode="External"/><Relationship Id="rId21" Type="http://schemas.openxmlformats.org/officeDocument/2006/relationships/hyperlink" Target="https://www.safercare.vic.gov.au/sites/default/files/2018-03/SCV%20Clinical%20Governance%20Framework.pdf" TargetMode="External"/><Relationship Id="rId34" Type="http://schemas.openxmlformats.org/officeDocument/2006/relationships/hyperlink" Target="https://www.safercare.vic.gov.au/support-and-training/review-and-response" TargetMode="External"/><Relationship Id="rId42" Type="http://schemas.openxmlformats.org/officeDocument/2006/relationships/hyperlink" Target="https://www.justice.vic.gov.au/justice-system/fines-and-penalties/attorney-generals-guidelines-to-the-infringements-act-2006" TargetMode="External"/><Relationship Id="rId7" Type="http://schemas.openxmlformats.org/officeDocument/2006/relationships/hyperlink" Target="https://www.health.gov.au/resources/publications/health-ministers-meeting-statement-on-cosmetic-surgery-2-september-2022" TargetMode="External"/><Relationship Id="rId12" Type="http://schemas.openxmlformats.org/officeDocument/2006/relationships/hyperlink" Target="https://www.medicalboard.gov.au/codes-guidelines-policies/cosmetic-medical-and-surgical-procedures-guidelines.aspx" TargetMode="External"/><Relationship Id="rId17" Type="http://schemas.openxmlformats.org/officeDocument/2006/relationships/hyperlink" Target="http://www.gazette.vic.gov.au/gazette/Gazettes2018/GG2018G034.pdf" TargetMode="External"/><Relationship Id="rId25" Type="http://schemas.openxmlformats.org/officeDocument/2006/relationships/hyperlink" Target="https://www.safetyandquality.gov.au/standards/nsqhs-standards/clinical-governance-standard/governance-leadership-and-culture/action-106" TargetMode="External"/><Relationship Id="rId33" Type="http://schemas.openxmlformats.org/officeDocument/2006/relationships/hyperlink" Target="https://www.safercare.vic.gov.au/support-training/adverse-event-review-and-response/duty-of-candour" TargetMode="External"/><Relationship Id="rId38" Type="http://schemas.openxmlformats.org/officeDocument/2006/relationships/hyperlink" Target="https://vahi.vic.gov.au/ourwork/safety-and-surveillance-reporting/vhims-program-of-reforms" TargetMode="External"/><Relationship Id="rId2" Type="http://schemas.openxmlformats.org/officeDocument/2006/relationships/hyperlink" Target="https://www.health.vic.gov.au/publications/targeting-zero-the-review-of-hospital-safety-and-quality-assurance-in-victoria" TargetMode="External"/><Relationship Id="rId16" Type="http://schemas.openxmlformats.org/officeDocument/2006/relationships/hyperlink" Target="https://healthfacilityguidelines.com.au/" TargetMode="External"/><Relationship Id="rId20" Type="http://schemas.openxmlformats.org/officeDocument/2006/relationships/hyperlink" Target="https://www.safetyandquality.gov.au/standards/nsqhs-standards/clinical-governance/clinical-governance-standard" TargetMode="External"/><Relationship Id="rId29" Type="http://schemas.openxmlformats.org/officeDocument/2006/relationships/hyperlink" Target="Victorian%20sentinel%20events%20guide" TargetMode="External"/><Relationship Id="rId41" Type="http://schemas.openxmlformats.org/officeDocument/2006/relationships/hyperlink" Target="https://www.safercare.vic.gov.au/publications/partnering-in-healthcare" TargetMode="External"/><Relationship Id="rId1" Type="http://schemas.openxmlformats.org/officeDocument/2006/relationships/hyperlink" Target="https://www.legislation.vic.gov.au/" TargetMode="External"/><Relationship Id="rId6" Type="http://schemas.openxmlformats.org/officeDocument/2006/relationships/hyperlink" Target="https://www.vic.gov.au/developing-legislation-chief-parliamentary-counsel" TargetMode="External"/><Relationship Id="rId11" Type="http://schemas.openxmlformats.org/officeDocument/2006/relationships/hyperlink" Target="https://www.medicalboard.gov.au/Registration-Standards/Reg-Std-Endorsement-of-registration-cosmetic-surgery.aspx" TargetMode="External"/><Relationship Id="rId24" Type="http://schemas.openxmlformats.org/officeDocument/2006/relationships/hyperlink" Target="https://www.health.vic.gov.au/guideline-for-providers-of-liposuction" TargetMode="External"/><Relationship Id="rId32" Type="http://schemas.openxmlformats.org/officeDocument/2006/relationships/hyperlink" Target="https://www.safercare.vic.gov.au/support-training/adverse-event-review-and-response/duty-of-candour" TargetMode="External"/><Relationship Id="rId37" Type="http://schemas.openxmlformats.org/officeDocument/2006/relationships/hyperlink" Target="https://www.safercare.vic.gov.au/publications/policy-adverse-patient-safety-events" TargetMode="External"/><Relationship Id="rId40" Type="http://schemas.openxmlformats.org/officeDocument/2006/relationships/hyperlink" Target="https://www.safetyandquality.gov.au/standards/nsqhs-standards/partnering-consumers-standard" TargetMode="External"/><Relationship Id="rId5" Type="http://schemas.openxmlformats.org/officeDocument/2006/relationships/hyperlink" Target="https://www.health.vic.gov.au/private-health-service-establishments/private-hospitals" TargetMode="External"/><Relationship Id="rId15" Type="http://schemas.openxmlformats.org/officeDocument/2006/relationships/hyperlink" Target="https://www.medicalboard.gov.au/codes-guidelines-policies/cosmetic-medical-and-surgical-procedures-guidelines.aspx" TargetMode="External"/><Relationship Id="rId23" Type="http://schemas.openxmlformats.org/officeDocument/2006/relationships/hyperlink" Target="https://www.safercare.vic.gov.au/publications/credentialing-and-scope-of-clinical-practice-for-senior-medical-practitioners-policy" TargetMode="External"/><Relationship Id="rId28" Type="http://schemas.openxmlformats.org/officeDocument/2006/relationships/hyperlink" Target="https://www.health.vic.gov.au/nursing-and-midwifery/safe-patient-care-nurse-to-patient-and-midwife-to-patient-ratios-act-2015" TargetMode="External"/><Relationship Id="rId36" Type="http://schemas.openxmlformats.org/officeDocument/2006/relationships/hyperlink" Target="https://www.safercare.vic.gov.au/publications/sentinel-events-guide" TargetMode="External"/><Relationship Id="rId10" Type="http://schemas.openxmlformats.org/officeDocument/2006/relationships/hyperlink" Target="https://www.ahpra.gov.au/Resources/Cosmetic-surgery-hub.aspx" TargetMode="External"/><Relationship Id="rId19" Type="http://schemas.openxmlformats.org/officeDocument/2006/relationships/hyperlink" Target="https://acem.org.au/Quality-Standards" TargetMode="External"/><Relationship Id="rId31" Type="http://schemas.openxmlformats.org/officeDocument/2006/relationships/hyperlink" Target="https://www.legislation.vic.gov.au/as-made/statutory-rules/health-services-quality-and-safety-regulations-2020" TargetMode="External"/><Relationship Id="rId44" Type="http://schemas.openxmlformats.org/officeDocument/2006/relationships/hyperlink" Target="https://www.anzca.edu.au/getattachment/7ee1b267-8c29-414e-86c2-6d0e50933d43/PS55(A)-Position-statement-on-minimum-facilities-for-safe-administration-of-anaesthesia-in-operating-suites-and-other-anaesthetising-locations-(PS55)" TargetMode="External"/><Relationship Id="rId4" Type="http://schemas.openxmlformats.org/officeDocument/2006/relationships/hyperlink" Target="https://www.aihw.gov.au/reports/hospitals/australias-hospitals-at-a-glance/contents/summary" TargetMode="External"/><Relationship Id="rId9" Type="http://schemas.openxmlformats.org/officeDocument/2006/relationships/hyperlink" Target="https://www.ahpra.gov.au/resources/cosmetic-surgery-hub/cosmetic-surgery-review.aspx" TargetMode="External"/><Relationship Id="rId14" Type="http://schemas.openxmlformats.org/officeDocument/2006/relationships/hyperlink" Target="https://www.legislation.qld.gov.au/view/whole/html/bill.first/bill-2023-008" TargetMode="External"/><Relationship Id="rId22" Type="http://schemas.openxmlformats.org/officeDocument/2006/relationships/hyperlink" Target="https://www.safercare.vic.gov.au/support-training/clinical-governance" TargetMode="External"/><Relationship Id="rId27" Type="http://schemas.openxmlformats.org/officeDocument/2006/relationships/hyperlink" Target="https://www.safetyandquality.gov.au/standards/nsqhs-standards/clinical-governance/clinical-governance-standard" TargetMode="External"/><Relationship Id="rId30" Type="http://schemas.openxmlformats.org/officeDocument/2006/relationships/hyperlink" Target="https://www.safetyandquality.gov.au/our-work/open-disclosure/the-open-disclosure-framework" TargetMode="External"/><Relationship Id="rId35" Type="http://schemas.openxmlformats.org/officeDocument/2006/relationships/hyperlink" Target="https://www.safercare.vic.gov.au/support-training/adverse-event-review-and-response/duty-of-candour" TargetMode="External"/><Relationship Id="rId43" Type="http://schemas.openxmlformats.org/officeDocument/2006/relationships/hyperlink" Target="https://www.dtf.vic.gov.au/financial-management-government/indexation-fees-and-penalties" TargetMode="External"/></Relationships>
</file>

<file path=word/documenttasks/documenttasks1.xml><?xml version="1.0" encoding="utf-8"?>
<t:Tasks xmlns:t="http://schemas.microsoft.com/office/tasks/2019/documenttasks" xmlns:oel="http://schemas.microsoft.com/office/2019/extlst">
  <t:Task id="{7AFFB68F-7166-42E0-85EC-7FB3AF87272F}">
    <t:Anchor>
      <t:Comment id="675652310"/>
    </t:Anchor>
    <t:History>
      <t:Event id="{6D53C1C5-47B5-44B4-A003-56367B32655E}" time="2023-06-29T00:09:58.53Z">
        <t:Attribution userId="S::andy.phillips@safercare.vic.gov.au::f7348173-9c9f-4e6d-8d97-1ce507afebc7" userProvider="AD" userName="Andy Phillips (DHHS)"/>
        <t:Anchor>
          <t:Comment id="631283814"/>
        </t:Anchor>
        <t:Create/>
      </t:Event>
      <t:Event id="{BA6AE56D-8910-406E-A283-930FD0D9E81F}" time="2023-06-29T00:09:58.53Z">
        <t:Attribution userId="S::andy.phillips@safercare.vic.gov.au::f7348173-9c9f-4e6d-8d97-1ce507afebc7" userProvider="AD" userName="Andy Phillips (DHHS)"/>
        <t:Anchor>
          <t:Comment id="631283814"/>
        </t:Anchor>
        <t:Assign userId="S::Lucia.Clarke@health.vic.gov.au::31c26a8f-206e-4f12-9804-760b436a95ef" userProvider="AD" userName="Lucia Clarke (Health)"/>
      </t:Event>
      <t:Event id="{79F97177-4F43-45B8-9879-8710952D204C}" time="2023-06-29T00:09:58.53Z">
        <t:Attribution userId="S::andy.phillips@safercare.vic.gov.au::f7348173-9c9f-4e6d-8d97-1ce507afebc7" userProvider="AD" userName="Andy Phillips (DHHS)"/>
        <t:Anchor>
          <t:Comment id="631283814"/>
        </t:Anchor>
        <t:SetTitle title="@Lucia Clarke (Health)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Value>1</Value>
    </TaxCatchAll>
    <SharedWithUsers xmlns="52aff747-003e-4611-b895-d7c5be62f82a">
      <UserInfo>
        <DisplayName>Regulation Policy and Reform Team Members</DisplayName>
        <AccountId>7</AccountId>
        <AccountType/>
      </UserInfo>
      <UserInfo>
        <DisplayName>Ryan Heath (Health)</DisplayName>
        <AccountId>432</AccountId>
        <AccountType/>
      </UserInfo>
      <UserInfo>
        <DisplayName>Kay S Martin (Health)</DisplayName>
        <AccountId>192</AccountId>
        <AccountType/>
      </UserInfo>
      <UserInfo>
        <DisplayName>Olivia Goodman (Health)</DisplayName>
        <AccountId>77</AccountId>
        <AccountType/>
      </UserInfo>
      <UserInfo>
        <DisplayName>Adam Collins (Health)</DisplayName>
        <AccountId>21</AccountId>
        <AccountType/>
      </UserInfo>
      <UserInfo>
        <DisplayName>Fairlie Dunlop (Health)</DisplayName>
        <AccountId>174</AccountId>
        <AccountType/>
      </UserInfo>
      <UserInfo>
        <DisplayName>Miranda Roberts (Health)</DisplayName>
        <AccountId>256</AccountId>
        <AccountType/>
      </UserInfo>
    </SharedWithUsers>
    <ce509ad5fbeb4bc7bdde1ba401049b88 xmlns="5ce0f2b5-5be5-4508-bce9-d7011ece065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df0ee81d-089c-4707-9ef8-ac9a7d96e4bd</TermId>
        </TermInfo>
      </Terms>
    </ce509ad5fbeb4bc7bdde1ba401049b88>
    <AddedtoMaster xmlns="47f98658-1cbe-4b10-a767-4f9447a207a3">false</AddedtoMaster>
    <lcf76f155ced4ddcb4097134ff3c332f xmlns="47f98658-1cbe-4b10-a767-4f9447a207a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1D80F382B83A49BA2054F60A134852" ma:contentTypeVersion="16" ma:contentTypeDescription="Create a new document." ma:contentTypeScope="" ma:versionID="c83bbf7ff7535d4238ec22719b58e4eb">
  <xsd:schema xmlns:xsd="http://www.w3.org/2001/XMLSchema" xmlns:xs="http://www.w3.org/2001/XMLSchema" xmlns:p="http://schemas.microsoft.com/office/2006/metadata/properties" xmlns:ns2="47f98658-1cbe-4b10-a767-4f9447a207a3" xmlns:ns3="52aff747-003e-4611-b895-d7c5be62f82a" xmlns:ns4="5ce0f2b5-5be5-4508-bce9-d7011ece0659" targetNamespace="http://schemas.microsoft.com/office/2006/metadata/properties" ma:root="true" ma:fieldsID="bcc3f73414c082acec29b2e760a05977" ns2:_="" ns3:_="" ns4:_="">
    <xsd:import namespace="47f98658-1cbe-4b10-a767-4f9447a207a3"/>
    <xsd:import namespace="52aff747-003e-4611-b895-d7c5be62f82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ce509ad5fbeb4bc7bdde1ba401049b88" minOccurs="0"/>
                <xsd:element ref="ns4:TaxCatchAll" minOccurs="0"/>
                <xsd:element ref="ns2:AddedtoMaster"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98658-1cbe-4b10-a767-4f9447a20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ddedtoMaster" ma:index="17" nillable="true" ma:displayName="Added to Master" ma:default="0" ma:description="This section has been added to the Master Discussion paper and is no longer in use" ma:format="Dropdown" ma:internalName="AddedtoMaster">
      <xsd:simpleType>
        <xsd:restriction base="dms:Boolea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aff747-003e-4611-b895-d7c5be62f8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ce509ad5fbeb4bc7bdde1ba401049b88" ma:index="15" nillable="true" ma:taxonomy="true" ma:internalName="ce509ad5fbeb4bc7bdde1ba401049b88" ma:taxonomyFieldName="Sensitivity" ma:displayName="Sensitivity" ma:default="1;#OFFICIAL|df0ee81d-089c-4707-9ef8-ac9a7d96e4bd" ma:fieldId="{ce509ad5-fbeb-4bc7-bdde-1ba401049b88}" ma:sspId="6e24e156-28e6-48ad-9c0f-4171595c9d94" ma:termSetId="7e5c6045-41cb-46b6-8d08-702c034f0027"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9a04787b-b796-45e3-b54e-368ff14c50a0}" ma:internalName="TaxCatchAll" ma:showField="CatchAllData" ma:web="52aff747-003e-4611-b895-d7c5be62f8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5ce0f2b5-5be5-4508-bce9-d7011ece0659"/>
    <ds:schemaRef ds:uri="http://purl.org/dc/elements/1.1/"/>
    <ds:schemaRef ds:uri="http://schemas.microsoft.com/office/2006/metadata/properties"/>
    <ds:schemaRef ds:uri="47f98658-1cbe-4b10-a767-4f9447a207a3"/>
    <ds:schemaRef ds:uri="http://schemas.microsoft.com/office/infopath/2007/PartnerControls"/>
    <ds:schemaRef ds:uri="http://purl.org/dc/terms/"/>
    <ds:schemaRef ds:uri="http://schemas.openxmlformats.org/package/2006/metadata/core-properties"/>
    <ds:schemaRef ds:uri="52aff747-003e-4611-b895-d7c5be62f82a"/>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18C434B4-128E-4692-BCF5-405845058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98658-1cbe-4b10-a767-4f9447a207a3"/>
    <ds:schemaRef ds:uri="52aff747-003e-4611-b895-d7c5be62f82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28484</Words>
  <Characters>162362</Characters>
  <Application>Microsoft Office Word</Application>
  <DocSecurity>0</DocSecurity>
  <Lines>1353</Lines>
  <Paragraphs>380</Paragraphs>
  <ScaleCrop>false</ScaleCrop>
  <HeadingPairs>
    <vt:vector size="2" baseType="variant">
      <vt:variant>
        <vt:lpstr>Title</vt:lpstr>
      </vt:variant>
      <vt:variant>
        <vt:i4>1</vt:i4>
      </vt:variant>
    </vt:vector>
  </HeadingPairs>
  <TitlesOfParts>
    <vt:vector size="1" baseType="lpstr">
      <vt:lpstr>Health Services (Health Service Establishments) Regulations review - consultation paper</vt:lpstr>
    </vt:vector>
  </TitlesOfParts>
  <Manager>Lucia Clarke</Manager>
  <Company>Victoria State Government, Department of Health</Company>
  <LinksUpToDate>false</LinksUpToDate>
  <CharactersWithSpaces>190466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Services (Health Service Establishments) Regulations review - consultation paper</dc:title>
  <dc:subject/>
  <dc:creator>Miranda Roberts</dc:creator>
  <cp:keywords/>
  <dc:description/>
  <cp:lastModifiedBy>Miranda</cp:lastModifiedBy>
  <cp:revision>2</cp:revision>
  <cp:lastPrinted>2023-08-21T04:59:00Z</cp:lastPrinted>
  <dcterms:created xsi:type="dcterms:W3CDTF">2023-08-21T05:00:00Z</dcterms:created>
  <dcterms:modified xsi:type="dcterms:W3CDTF">2023-08-21T05:00:00Z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0x010100B71D80F382B83A49BA2054F60A134852</vt:lpwstr>
  </property>
  <property fmtid="{D5CDD505-2E9C-101B-9397-08002B2CF9AE}" pid="4" name="version">
    <vt:lpwstr>v5 15032021</vt:lpwstr>
  </property>
  <property fmtid="{D5CDD505-2E9C-101B-9397-08002B2CF9AE}" pid="5" name="MediaServiceImageTags">
    <vt:lpwstr/>
  </property>
  <property fmtid="{D5CDD505-2E9C-101B-9397-08002B2CF9AE}" pid="6" name="lcf76f155ced4ddcb4097134ff3c332f">
    <vt:lpwstr/>
  </property>
  <property fmtid="{D5CDD505-2E9C-101B-9397-08002B2CF9AE}" pid="7" name="Order">
    <vt:r8>127900</vt:r8>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MSIP_Label_43e64453-338c-4f93-8a4d-0039a0a41f2a_Enabled">
    <vt:lpwstr>true</vt:lpwstr>
  </property>
  <property fmtid="{D5CDD505-2E9C-101B-9397-08002B2CF9AE}" pid="12" name="MSIP_Label_43e64453-338c-4f93-8a4d-0039a0a41f2a_SetDate">
    <vt:lpwstr>2023-08-21T04:59:52Z</vt:lpwstr>
  </property>
  <property fmtid="{D5CDD505-2E9C-101B-9397-08002B2CF9AE}" pid="13" name="MSIP_Label_43e64453-338c-4f93-8a4d-0039a0a41f2a_Method">
    <vt:lpwstr>Privileged</vt:lpwstr>
  </property>
  <property fmtid="{D5CDD505-2E9C-101B-9397-08002B2CF9AE}" pid="14" name="MSIP_Label_43e64453-338c-4f93-8a4d-0039a0a41f2a_Name">
    <vt:lpwstr>43e64453-338c-4f93-8a4d-0039a0a41f2a</vt:lpwstr>
  </property>
  <property fmtid="{D5CDD505-2E9C-101B-9397-08002B2CF9AE}" pid="15" name="MSIP_Label_43e64453-338c-4f93-8a4d-0039a0a41f2a_SiteId">
    <vt:lpwstr>c0e0601f-0fac-449c-9c88-a104c4eb9f28</vt:lpwstr>
  </property>
  <property fmtid="{D5CDD505-2E9C-101B-9397-08002B2CF9AE}" pid="16" name="MSIP_Label_43e64453-338c-4f93-8a4d-0039a0a41f2a_ActionId">
    <vt:lpwstr>5f9a26ab-dc75-430b-b92d-4f4ee6e2d1b7</vt:lpwstr>
  </property>
  <property fmtid="{D5CDD505-2E9C-101B-9397-08002B2CF9AE}" pid="17" name="MSIP_Label_43e64453-338c-4f93-8a4d-0039a0a41f2a_ContentBits">
    <vt:lpwstr>2</vt:lpwstr>
  </property>
  <property fmtid="{D5CDD505-2E9C-101B-9397-08002B2CF9AE}" pid="18" name="Sensitivity">
    <vt:lpwstr>1;#OFFICIAL|df0ee81d-089c-4707-9ef8-ac9a7d96e4bd</vt:lpwstr>
  </property>
</Properties>
</file>