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7B89" w14:textId="0A726A6B" w:rsidR="007A7C35" w:rsidRPr="00C2659E" w:rsidRDefault="00B32BEC" w:rsidP="00A659D0">
      <w:pPr>
        <w:pStyle w:val="Title"/>
        <w:rPr>
          <w:rStyle w:val="Purple"/>
          <w:color w:val="000000" w:themeColor="text1"/>
        </w:rPr>
      </w:pPr>
      <w:r>
        <w:rPr>
          <w:rStyle w:val="Purple"/>
          <w:color w:val="000000" w:themeColor="text1"/>
        </w:rPr>
        <w:t>Regulatory Impact Statement</w:t>
      </w:r>
      <w:r w:rsidR="00E8044D">
        <w:rPr>
          <w:rStyle w:val="Purple"/>
          <w:color w:val="000000" w:themeColor="text1"/>
        </w:rPr>
        <w:t xml:space="preserve"> for the</w:t>
      </w:r>
      <w:r>
        <w:rPr>
          <w:rStyle w:val="Purple"/>
          <w:color w:val="000000" w:themeColor="text1"/>
        </w:rPr>
        <w:t xml:space="preserve"> Health Records Regulations </w:t>
      </w:r>
      <w:r w:rsidR="001E452B">
        <w:rPr>
          <w:rStyle w:val="Purple"/>
          <w:color w:val="000000" w:themeColor="text1"/>
        </w:rPr>
        <w:t>2023</w:t>
      </w:r>
    </w:p>
    <w:p w14:paraId="2ADBF124" w14:textId="2E8B36E8" w:rsidR="007A7C35" w:rsidRPr="00C2659E" w:rsidRDefault="00B32BEC" w:rsidP="00A659D0">
      <w:pPr>
        <w:pStyle w:val="Subtitle"/>
        <w:rPr>
          <w:rStyle w:val="Purple"/>
          <w:color w:val="404040" w:themeColor="text1" w:themeTint="BF"/>
        </w:rPr>
      </w:pPr>
      <w:r>
        <w:rPr>
          <w:rStyle w:val="Purple"/>
          <w:color w:val="404040" w:themeColor="text1" w:themeTint="BF"/>
        </w:rPr>
        <w:t>Prepared for the Victorian Department of Health</w:t>
      </w:r>
    </w:p>
    <w:p w14:paraId="52BEB8A9" w14:textId="61974E67" w:rsidR="002C727E" w:rsidRPr="00C2659E" w:rsidRDefault="00CE3E14" w:rsidP="00A659D0">
      <w:pPr>
        <w:pStyle w:val="Subtitle"/>
        <w:rPr>
          <w:rStyle w:val="Purple"/>
        </w:rPr>
      </w:pPr>
      <w:r>
        <w:rPr>
          <w:rStyle w:val="Purple"/>
        </w:rPr>
        <w:t>June</w:t>
      </w:r>
      <w:r w:rsidR="00A6140D">
        <w:rPr>
          <w:rStyle w:val="Purple"/>
        </w:rPr>
        <w:t xml:space="preserve"> 2023</w:t>
      </w:r>
    </w:p>
    <w:p w14:paraId="79BF0947" w14:textId="77777777" w:rsidR="0056113C" w:rsidRPr="00C2659E" w:rsidRDefault="0056113C" w:rsidP="00A659D0">
      <w:pPr>
        <w:rPr>
          <w:rStyle w:val="Purple"/>
          <w:color w:val="5B4603" w:themeColor="accent1" w:themeShade="BF"/>
        </w:rPr>
      </w:pPr>
    </w:p>
    <w:p w14:paraId="30D3D97D" w14:textId="77777777" w:rsidR="00CA7777" w:rsidRPr="00C2659E" w:rsidRDefault="00CA7777" w:rsidP="00A659D0">
      <w:pPr>
        <w:rPr>
          <w:rStyle w:val="Purple"/>
          <w:color w:val="5B4603" w:themeColor="accent1" w:themeShade="BF"/>
        </w:rPr>
        <w:sectPr w:rsidR="00CA7777" w:rsidRPr="00C2659E" w:rsidSect="00AE1BD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p>
    <w:p w14:paraId="4A4B4B14" w14:textId="30081635" w:rsidR="00F02428" w:rsidRPr="00C2659E" w:rsidRDefault="002C727E" w:rsidP="00A659D0">
      <w:pPr>
        <w:pStyle w:val="TOCHeading"/>
      </w:pPr>
      <w:r w:rsidRPr="00C2659E">
        <w:rPr>
          <w:rStyle w:val="Purple"/>
          <w:color w:val="7B5E05" w:themeColor="accent1"/>
        </w:rPr>
        <w:lastRenderedPageBreak/>
        <w:t>Contents</w:t>
      </w:r>
    </w:p>
    <w:p w14:paraId="1F74B3FA" w14:textId="7CCE669B" w:rsidR="008A3266" w:rsidRDefault="00EC41D2" w:rsidP="00104538">
      <w:pPr>
        <w:pStyle w:val="TOC1"/>
        <w:rPr>
          <w:rFonts w:eastAsiaTheme="minorEastAsia"/>
          <w:noProof/>
          <w:sz w:val="22"/>
          <w:lang w:val="en-AU" w:eastAsia="en-AU"/>
        </w:rPr>
      </w:pPr>
      <w:r>
        <w:rPr>
          <w:b/>
        </w:rPr>
        <w:fldChar w:fldCharType="begin"/>
      </w:r>
      <w:r>
        <w:rPr>
          <w:b/>
        </w:rPr>
        <w:instrText xml:space="preserve"> TOC \o "1-1" \h \z \u \t "Heading 5,1" </w:instrText>
      </w:r>
      <w:r>
        <w:rPr>
          <w:b/>
        </w:rPr>
        <w:fldChar w:fldCharType="separate"/>
      </w:r>
      <w:hyperlink w:anchor="_Toc136257457" w:history="1">
        <w:r w:rsidR="008A3266" w:rsidRPr="001C3C6C">
          <w:rPr>
            <w:rStyle w:val="Hyperlink"/>
            <w:noProof/>
          </w:rPr>
          <w:t>Glossary</w:t>
        </w:r>
        <w:r w:rsidR="008A3266">
          <w:rPr>
            <w:noProof/>
            <w:webHidden/>
          </w:rPr>
          <w:tab/>
        </w:r>
        <w:r w:rsidR="008A3266">
          <w:rPr>
            <w:noProof/>
            <w:webHidden/>
          </w:rPr>
          <w:fldChar w:fldCharType="begin"/>
        </w:r>
        <w:r w:rsidR="008A3266">
          <w:rPr>
            <w:noProof/>
            <w:webHidden/>
          </w:rPr>
          <w:instrText xml:space="preserve"> PAGEREF _Toc136257457 \h </w:instrText>
        </w:r>
        <w:r w:rsidR="008A3266">
          <w:rPr>
            <w:noProof/>
            <w:webHidden/>
          </w:rPr>
        </w:r>
        <w:r w:rsidR="008A3266">
          <w:rPr>
            <w:noProof/>
            <w:webHidden/>
          </w:rPr>
          <w:fldChar w:fldCharType="separate"/>
        </w:r>
        <w:r w:rsidR="00EB5257">
          <w:rPr>
            <w:noProof/>
            <w:webHidden/>
          </w:rPr>
          <w:t>ii</w:t>
        </w:r>
        <w:r w:rsidR="008A3266">
          <w:rPr>
            <w:noProof/>
            <w:webHidden/>
          </w:rPr>
          <w:fldChar w:fldCharType="end"/>
        </w:r>
      </w:hyperlink>
    </w:p>
    <w:p w14:paraId="5B293CD5" w14:textId="220FA22F" w:rsidR="008A3266" w:rsidRDefault="00AC0DC1" w:rsidP="00104538">
      <w:pPr>
        <w:pStyle w:val="TOC1"/>
        <w:rPr>
          <w:rFonts w:eastAsiaTheme="minorEastAsia"/>
          <w:noProof/>
          <w:sz w:val="22"/>
          <w:lang w:val="en-AU" w:eastAsia="en-AU"/>
        </w:rPr>
      </w:pPr>
      <w:hyperlink w:anchor="_Toc136257458" w:history="1">
        <w:r w:rsidR="008A3266" w:rsidRPr="001C3C6C">
          <w:rPr>
            <w:rStyle w:val="Hyperlink"/>
            <w:noProof/>
          </w:rPr>
          <w:t>Forward</w:t>
        </w:r>
        <w:r w:rsidR="008A3266">
          <w:rPr>
            <w:noProof/>
            <w:webHidden/>
          </w:rPr>
          <w:tab/>
        </w:r>
        <w:r w:rsidR="008A3266">
          <w:rPr>
            <w:noProof/>
            <w:webHidden/>
          </w:rPr>
          <w:fldChar w:fldCharType="begin"/>
        </w:r>
        <w:r w:rsidR="008A3266">
          <w:rPr>
            <w:noProof/>
            <w:webHidden/>
          </w:rPr>
          <w:instrText xml:space="preserve"> PAGEREF _Toc136257458 \h </w:instrText>
        </w:r>
        <w:r w:rsidR="008A3266">
          <w:rPr>
            <w:noProof/>
            <w:webHidden/>
          </w:rPr>
        </w:r>
        <w:r w:rsidR="008A3266">
          <w:rPr>
            <w:noProof/>
            <w:webHidden/>
          </w:rPr>
          <w:fldChar w:fldCharType="separate"/>
        </w:r>
        <w:r w:rsidR="00EB5257">
          <w:rPr>
            <w:noProof/>
            <w:webHidden/>
          </w:rPr>
          <w:t>iii</w:t>
        </w:r>
        <w:r w:rsidR="008A3266">
          <w:rPr>
            <w:noProof/>
            <w:webHidden/>
          </w:rPr>
          <w:fldChar w:fldCharType="end"/>
        </w:r>
      </w:hyperlink>
    </w:p>
    <w:p w14:paraId="580FAE5D" w14:textId="2D3B743C" w:rsidR="008A3266" w:rsidRDefault="00AC0DC1" w:rsidP="00104538">
      <w:pPr>
        <w:pStyle w:val="TOC1"/>
        <w:rPr>
          <w:rFonts w:eastAsiaTheme="minorEastAsia"/>
          <w:noProof/>
          <w:sz w:val="22"/>
          <w:lang w:val="en-AU" w:eastAsia="en-AU"/>
        </w:rPr>
      </w:pPr>
      <w:hyperlink w:anchor="_Toc136257459" w:history="1">
        <w:r w:rsidR="008A3266" w:rsidRPr="001C3C6C">
          <w:rPr>
            <w:rStyle w:val="Hyperlink"/>
            <w:noProof/>
          </w:rPr>
          <w:t>Executive summary</w:t>
        </w:r>
        <w:r w:rsidR="008A3266">
          <w:rPr>
            <w:noProof/>
            <w:webHidden/>
          </w:rPr>
          <w:tab/>
        </w:r>
        <w:r w:rsidR="008A3266">
          <w:rPr>
            <w:noProof/>
            <w:webHidden/>
          </w:rPr>
          <w:fldChar w:fldCharType="begin"/>
        </w:r>
        <w:r w:rsidR="008A3266">
          <w:rPr>
            <w:noProof/>
            <w:webHidden/>
          </w:rPr>
          <w:instrText xml:space="preserve"> PAGEREF _Toc136257459 \h </w:instrText>
        </w:r>
        <w:r w:rsidR="008A3266">
          <w:rPr>
            <w:noProof/>
            <w:webHidden/>
          </w:rPr>
        </w:r>
        <w:r w:rsidR="008A3266">
          <w:rPr>
            <w:noProof/>
            <w:webHidden/>
          </w:rPr>
          <w:fldChar w:fldCharType="separate"/>
        </w:r>
        <w:r w:rsidR="00EB5257">
          <w:rPr>
            <w:noProof/>
            <w:webHidden/>
          </w:rPr>
          <w:t>iv</w:t>
        </w:r>
        <w:r w:rsidR="008A3266">
          <w:rPr>
            <w:noProof/>
            <w:webHidden/>
          </w:rPr>
          <w:fldChar w:fldCharType="end"/>
        </w:r>
      </w:hyperlink>
    </w:p>
    <w:p w14:paraId="6CA110B5" w14:textId="78741AF1" w:rsidR="008A3266" w:rsidRDefault="00AC0DC1" w:rsidP="00104538">
      <w:pPr>
        <w:pStyle w:val="TOC1"/>
        <w:rPr>
          <w:rFonts w:eastAsiaTheme="minorEastAsia"/>
          <w:noProof/>
          <w:sz w:val="22"/>
          <w:lang w:val="en-AU" w:eastAsia="en-AU"/>
        </w:rPr>
      </w:pPr>
      <w:hyperlink w:anchor="_Toc136257460" w:history="1">
        <w:r w:rsidR="008A3266" w:rsidRPr="001C3C6C">
          <w:rPr>
            <w:rStyle w:val="Hyperlink"/>
            <w:noProof/>
          </w:rPr>
          <w:t>1.</w:t>
        </w:r>
        <w:r w:rsidR="008A3266">
          <w:rPr>
            <w:rFonts w:eastAsiaTheme="minorEastAsia"/>
            <w:noProof/>
            <w:sz w:val="22"/>
            <w:lang w:val="en-AU" w:eastAsia="en-AU"/>
          </w:rPr>
          <w:tab/>
        </w:r>
        <w:r w:rsidR="008A3266" w:rsidRPr="001C3C6C">
          <w:rPr>
            <w:rStyle w:val="Hyperlink"/>
            <w:noProof/>
          </w:rPr>
          <w:t>Background</w:t>
        </w:r>
        <w:r w:rsidR="008A3266">
          <w:rPr>
            <w:noProof/>
            <w:webHidden/>
          </w:rPr>
          <w:tab/>
        </w:r>
        <w:r w:rsidR="008A3266">
          <w:rPr>
            <w:noProof/>
            <w:webHidden/>
          </w:rPr>
          <w:fldChar w:fldCharType="begin"/>
        </w:r>
        <w:r w:rsidR="008A3266">
          <w:rPr>
            <w:noProof/>
            <w:webHidden/>
          </w:rPr>
          <w:instrText xml:space="preserve"> PAGEREF _Toc136257460 \h </w:instrText>
        </w:r>
        <w:r w:rsidR="008A3266">
          <w:rPr>
            <w:noProof/>
            <w:webHidden/>
          </w:rPr>
        </w:r>
        <w:r w:rsidR="008A3266">
          <w:rPr>
            <w:noProof/>
            <w:webHidden/>
          </w:rPr>
          <w:fldChar w:fldCharType="separate"/>
        </w:r>
        <w:r w:rsidR="00EB5257">
          <w:rPr>
            <w:noProof/>
            <w:webHidden/>
          </w:rPr>
          <w:t>1</w:t>
        </w:r>
        <w:r w:rsidR="008A3266">
          <w:rPr>
            <w:noProof/>
            <w:webHidden/>
          </w:rPr>
          <w:fldChar w:fldCharType="end"/>
        </w:r>
      </w:hyperlink>
    </w:p>
    <w:p w14:paraId="7A0AD14F" w14:textId="007513C0" w:rsidR="008A3266" w:rsidRDefault="00AC0DC1" w:rsidP="00104538">
      <w:pPr>
        <w:pStyle w:val="TOC1"/>
        <w:rPr>
          <w:rFonts w:eastAsiaTheme="minorEastAsia"/>
          <w:noProof/>
          <w:sz w:val="22"/>
          <w:lang w:val="en-AU" w:eastAsia="en-AU"/>
        </w:rPr>
      </w:pPr>
      <w:hyperlink w:anchor="_Toc136257470" w:history="1">
        <w:r w:rsidR="008A3266" w:rsidRPr="001C3C6C">
          <w:rPr>
            <w:rStyle w:val="Hyperlink"/>
            <w:noProof/>
          </w:rPr>
          <w:t>2.</w:t>
        </w:r>
        <w:r w:rsidR="008A3266">
          <w:rPr>
            <w:rFonts w:eastAsiaTheme="minorEastAsia"/>
            <w:noProof/>
            <w:sz w:val="22"/>
            <w:lang w:val="en-AU" w:eastAsia="en-AU"/>
          </w:rPr>
          <w:tab/>
        </w:r>
        <w:r w:rsidR="008A3266" w:rsidRPr="001C3C6C">
          <w:rPr>
            <w:rStyle w:val="Hyperlink"/>
            <w:noProof/>
          </w:rPr>
          <w:t>Problem analysis</w:t>
        </w:r>
        <w:r w:rsidR="008A3266">
          <w:rPr>
            <w:noProof/>
            <w:webHidden/>
          </w:rPr>
          <w:tab/>
        </w:r>
        <w:r w:rsidR="008A3266">
          <w:rPr>
            <w:noProof/>
            <w:webHidden/>
          </w:rPr>
          <w:fldChar w:fldCharType="begin"/>
        </w:r>
        <w:r w:rsidR="008A3266">
          <w:rPr>
            <w:noProof/>
            <w:webHidden/>
          </w:rPr>
          <w:instrText xml:space="preserve"> PAGEREF _Toc136257470 \h </w:instrText>
        </w:r>
        <w:r w:rsidR="008A3266">
          <w:rPr>
            <w:noProof/>
            <w:webHidden/>
          </w:rPr>
        </w:r>
        <w:r w:rsidR="008A3266">
          <w:rPr>
            <w:noProof/>
            <w:webHidden/>
          </w:rPr>
          <w:fldChar w:fldCharType="separate"/>
        </w:r>
        <w:r w:rsidR="00EB5257">
          <w:rPr>
            <w:noProof/>
            <w:webHidden/>
          </w:rPr>
          <w:t>9</w:t>
        </w:r>
        <w:r w:rsidR="008A3266">
          <w:rPr>
            <w:noProof/>
            <w:webHidden/>
          </w:rPr>
          <w:fldChar w:fldCharType="end"/>
        </w:r>
      </w:hyperlink>
    </w:p>
    <w:p w14:paraId="0C0CB0B9" w14:textId="73D624C5" w:rsidR="008A3266" w:rsidRDefault="00AC0DC1" w:rsidP="00104538">
      <w:pPr>
        <w:pStyle w:val="TOC1"/>
        <w:rPr>
          <w:rFonts w:eastAsiaTheme="minorEastAsia"/>
          <w:noProof/>
          <w:sz w:val="22"/>
          <w:lang w:val="en-AU" w:eastAsia="en-AU"/>
        </w:rPr>
      </w:pPr>
      <w:hyperlink w:anchor="_Toc136257471" w:history="1">
        <w:r w:rsidR="008A3266" w:rsidRPr="001C3C6C">
          <w:rPr>
            <w:rStyle w:val="Hyperlink"/>
            <w:noProof/>
          </w:rPr>
          <w:t>3.</w:t>
        </w:r>
        <w:r w:rsidR="008A3266">
          <w:rPr>
            <w:rFonts w:eastAsiaTheme="minorEastAsia"/>
            <w:noProof/>
            <w:sz w:val="22"/>
            <w:lang w:val="en-AU" w:eastAsia="en-AU"/>
          </w:rPr>
          <w:tab/>
        </w:r>
        <w:r w:rsidR="008A3266" w:rsidRPr="001C3C6C">
          <w:rPr>
            <w:rStyle w:val="Hyperlink"/>
            <w:noProof/>
          </w:rPr>
          <w:t>Identification of options</w:t>
        </w:r>
        <w:r w:rsidR="008A3266">
          <w:rPr>
            <w:noProof/>
            <w:webHidden/>
          </w:rPr>
          <w:tab/>
        </w:r>
        <w:r w:rsidR="008A3266">
          <w:rPr>
            <w:noProof/>
            <w:webHidden/>
          </w:rPr>
          <w:fldChar w:fldCharType="begin"/>
        </w:r>
        <w:r w:rsidR="008A3266">
          <w:rPr>
            <w:noProof/>
            <w:webHidden/>
          </w:rPr>
          <w:instrText xml:space="preserve"> PAGEREF _Toc136257471 \h </w:instrText>
        </w:r>
        <w:r w:rsidR="008A3266">
          <w:rPr>
            <w:noProof/>
            <w:webHidden/>
          </w:rPr>
        </w:r>
        <w:r w:rsidR="008A3266">
          <w:rPr>
            <w:noProof/>
            <w:webHidden/>
          </w:rPr>
          <w:fldChar w:fldCharType="separate"/>
        </w:r>
        <w:r w:rsidR="00EB5257">
          <w:rPr>
            <w:noProof/>
            <w:webHidden/>
          </w:rPr>
          <w:t>17</w:t>
        </w:r>
        <w:r w:rsidR="008A3266">
          <w:rPr>
            <w:noProof/>
            <w:webHidden/>
          </w:rPr>
          <w:fldChar w:fldCharType="end"/>
        </w:r>
      </w:hyperlink>
    </w:p>
    <w:p w14:paraId="5DE467C5" w14:textId="44A68509" w:rsidR="008A3266" w:rsidRDefault="00AC0DC1" w:rsidP="00104538">
      <w:pPr>
        <w:pStyle w:val="TOC1"/>
        <w:rPr>
          <w:rFonts w:eastAsiaTheme="minorEastAsia"/>
          <w:noProof/>
          <w:sz w:val="22"/>
          <w:lang w:val="en-AU" w:eastAsia="en-AU"/>
        </w:rPr>
      </w:pPr>
      <w:hyperlink w:anchor="_Toc136257472" w:history="1">
        <w:r w:rsidR="008A3266" w:rsidRPr="001C3C6C">
          <w:rPr>
            <w:rStyle w:val="Hyperlink"/>
            <w:noProof/>
          </w:rPr>
          <w:t>4.</w:t>
        </w:r>
        <w:r w:rsidR="008A3266">
          <w:rPr>
            <w:rFonts w:eastAsiaTheme="minorEastAsia"/>
            <w:noProof/>
            <w:sz w:val="22"/>
            <w:lang w:val="en-AU" w:eastAsia="en-AU"/>
          </w:rPr>
          <w:tab/>
        </w:r>
        <w:r w:rsidR="008A3266" w:rsidRPr="001C3C6C">
          <w:rPr>
            <w:rStyle w:val="Hyperlink"/>
            <w:noProof/>
          </w:rPr>
          <w:t>Assessment of options</w:t>
        </w:r>
        <w:r w:rsidR="008A3266">
          <w:rPr>
            <w:noProof/>
            <w:webHidden/>
          </w:rPr>
          <w:tab/>
        </w:r>
        <w:r w:rsidR="008A3266">
          <w:rPr>
            <w:noProof/>
            <w:webHidden/>
          </w:rPr>
          <w:fldChar w:fldCharType="begin"/>
        </w:r>
        <w:r w:rsidR="008A3266">
          <w:rPr>
            <w:noProof/>
            <w:webHidden/>
          </w:rPr>
          <w:instrText xml:space="preserve"> PAGEREF _Toc136257472 \h </w:instrText>
        </w:r>
        <w:r w:rsidR="008A3266">
          <w:rPr>
            <w:noProof/>
            <w:webHidden/>
          </w:rPr>
        </w:r>
        <w:r w:rsidR="008A3266">
          <w:rPr>
            <w:noProof/>
            <w:webHidden/>
          </w:rPr>
          <w:fldChar w:fldCharType="separate"/>
        </w:r>
        <w:r w:rsidR="00EB5257">
          <w:rPr>
            <w:noProof/>
            <w:webHidden/>
          </w:rPr>
          <w:t>22</w:t>
        </w:r>
        <w:r w:rsidR="008A3266">
          <w:rPr>
            <w:noProof/>
            <w:webHidden/>
          </w:rPr>
          <w:fldChar w:fldCharType="end"/>
        </w:r>
      </w:hyperlink>
    </w:p>
    <w:p w14:paraId="1E6DE41C" w14:textId="52B6BB8A" w:rsidR="008A3266" w:rsidRDefault="00AC0DC1" w:rsidP="00104538">
      <w:pPr>
        <w:pStyle w:val="TOC1"/>
        <w:rPr>
          <w:rFonts w:eastAsiaTheme="minorEastAsia"/>
          <w:noProof/>
          <w:sz w:val="22"/>
          <w:lang w:val="en-AU" w:eastAsia="en-AU"/>
        </w:rPr>
      </w:pPr>
      <w:hyperlink w:anchor="_Toc136257473" w:history="1">
        <w:r w:rsidR="008A3266" w:rsidRPr="001C3C6C">
          <w:rPr>
            <w:rStyle w:val="Hyperlink"/>
            <w:noProof/>
          </w:rPr>
          <w:t>5.</w:t>
        </w:r>
        <w:r w:rsidR="008A3266">
          <w:rPr>
            <w:rFonts w:eastAsiaTheme="minorEastAsia"/>
            <w:noProof/>
            <w:sz w:val="22"/>
            <w:lang w:val="en-AU" w:eastAsia="en-AU"/>
          </w:rPr>
          <w:tab/>
        </w:r>
        <w:r w:rsidR="008A3266" w:rsidRPr="001C3C6C">
          <w:rPr>
            <w:rStyle w:val="Hyperlink"/>
            <w:noProof/>
          </w:rPr>
          <w:t>Competition and small business impacts</w:t>
        </w:r>
        <w:r w:rsidR="008A3266">
          <w:rPr>
            <w:noProof/>
            <w:webHidden/>
          </w:rPr>
          <w:tab/>
        </w:r>
        <w:r w:rsidR="008A3266">
          <w:rPr>
            <w:noProof/>
            <w:webHidden/>
          </w:rPr>
          <w:fldChar w:fldCharType="begin"/>
        </w:r>
        <w:r w:rsidR="008A3266">
          <w:rPr>
            <w:noProof/>
            <w:webHidden/>
          </w:rPr>
          <w:instrText xml:space="preserve"> PAGEREF _Toc136257473 \h </w:instrText>
        </w:r>
        <w:r w:rsidR="008A3266">
          <w:rPr>
            <w:noProof/>
            <w:webHidden/>
          </w:rPr>
        </w:r>
        <w:r w:rsidR="008A3266">
          <w:rPr>
            <w:noProof/>
            <w:webHidden/>
          </w:rPr>
          <w:fldChar w:fldCharType="separate"/>
        </w:r>
        <w:r w:rsidR="00EB5257">
          <w:rPr>
            <w:noProof/>
            <w:webHidden/>
          </w:rPr>
          <w:t>34</w:t>
        </w:r>
        <w:r w:rsidR="008A3266">
          <w:rPr>
            <w:noProof/>
            <w:webHidden/>
          </w:rPr>
          <w:fldChar w:fldCharType="end"/>
        </w:r>
      </w:hyperlink>
    </w:p>
    <w:p w14:paraId="78D4BD17" w14:textId="2D84D5A7" w:rsidR="008A3266" w:rsidRDefault="00AC0DC1" w:rsidP="00104538">
      <w:pPr>
        <w:pStyle w:val="TOC1"/>
        <w:rPr>
          <w:rFonts w:eastAsiaTheme="minorEastAsia"/>
          <w:noProof/>
          <w:sz w:val="22"/>
          <w:lang w:val="en-AU" w:eastAsia="en-AU"/>
        </w:rPr>
      </w:pPr>
      <w:hyperlink w:anchor="_Toc136257474" w:history="1">
        <w:r w:rsidR="008A3266" w:rsidRPr="001C3C6C">
          <w:rPr>
            <w:rStyle w:val="Hyperlink"/>
            <w:noProof/>
          </w:rPr>
          <w:t>6.</w:t>
        </w:r>
        <w:r w:rsidR="008A3266">
          <w:rPr>
            <w:rFonts w:eastAsiaTheme="minorEastAsia"/>
            <w:noProof/>
            <w:sz w:val="22"/>
            <w:lang w:val="en-AU" w:eastAsia="en-AU"/>
          </w:rPr>
          <w:tab/>
        </w:r>
        <w:r w:rsidR="008A3266" w:rsidRPr="001C3C6C">
          <w:rPr>
            <w:rStyle w:val="Hyperlink"/>
            <w:noProof/>
          </w:rPr>
          <w:t>Implementation and evaluation</w:t>
        </w:r>
        <w:r w:rsidR="008A3266">
          <w:rPr>
            <w:noProof/>
            <w:webHidden/>
          </w:rPr>
          <w:tab/>
        </w:r>
        <w:r w:rsidR="008A3266">
          <w:rPr>
            <w:noProof/>
            <w:webHidden/>
          </w:rPr>
          <w:fldChar w:fldCharType="begin"/>
        </w:r>
        <w:r w:rsidR="008A3266">
          <w:rPr>
            <w:noProof/>
            <w:webHidden/>
          </w:rPr>
          <w:instrText xml:space="preserve"> PAGEREF _Toc136257474 \h </w:instrText>
        </w:r>
        <w:r w:rsidR="008A3266">
          <w:rPr>
            <w:noProof/>
            <w:webHidden/>
          </w:rPr>
        </w:r>
        <w:r w:rsidR="008A3266">
          <w:rPr>
            <w:noProof/>
            <w:webHidden/>
          </w:rPr>
          <w:fldChar w:fldCharType="separate"/>
        </w:r>
        <w:r w:rsidR="00EB5257">
          <w:rPr>
            <w:noProof/>
            <w:webHidden/>
          </w:rPr>
          <w:t>36</w:t>
        </w:r>
        <w:r w:rsidR="008A3266">
          <w:rPr>
            <w:noProof/>
            <w:webHidden/>
          </w:rPr>
          <w:fldChar w:fldCharType="end"/>
        </w:r>
      </w:hyperlink>
    </w:p>
    <w:p w14:paraId="14672108" w14:textId="539B1323" w:rsidR="008A3266" w:rsidRDefault="00AC0DC1" w:rsidP="00104538">
      <w:pPr>
        <w:pStyle w:val="TOC1"/>
        <w:rPr>
          <w:rFonts w:eastAsiaTheme="minorEastAsia"/>
          <w:noProof/>
          <w:sz w:val="22"/>
          <w:lang w:val="en-AU" w:eastAsia="en-AU"/>
        </w:rPr>
      </w:pPr>
      <w:hyperlink w:anchor="_Toc136257475" w:history="1">
        <w:r w:rsidR="008A3266" w:rsidRPr="001C3C6C">
          <w:rPr>
            <w:rStyle w:val="Hyperlink"/>
            <w:noProof/>
          </w:rPr>
          <w:t>About Sapere</w:t>
        </w:r>
        <w:r w:rsidR="008A3266">
          <w:rPr>
            <w:noProof/>
            <w:webHidden/>
          </w:rPr>
          <w:tab/>
        </w:r>
        <w:r w:rsidR="008A3266">
          <w:rPr>
            <w:noProof/>
            <w:webHidden/>
          </w:rPr>
          <w:fldChar w:fldCharType="begin"/>
        </w:r>
        <w:r w:rsidR="008A3266">
          <w:rPr>
            <w:noProof/>
            <w:webHidden/>
          </w:rPr>
          <w:instrText xml:space="preserve"> PAGEREF _Toc136257475 \h </w:instrText>
        </w:r>
        <w:r w:rsidR="008A3266">
          <w:rPr>
            <w:noProof/>
            <w:webHidden/>
          </w:rPr>
        </w:r>
        <w:r w:rsidR="008A3266">
          <w:rPr>
            <w:noProof/>
            <w:webHidden/>
          </w:rPr>
          <w:fldChar w:fldCharType="separate"/>
        </w:r>
        <w:r w:rsidR="00EB5257">
          <w:rPr>
            <w:noProof/>
            <w:webHidden/>
          </w:rPr>
          <w:t>42</w:t>
        </w:r>
        <w:r w:rsidR="008A3266">
          <w:rPr>
            <w:noProof/>
            <w:webHidden/>
          </w:rPr>
          <w:fldChar w:fldCharType="end"/>
        </w:r>
      </w:hyperlink>
    </w:p>
    <w:p w14:paraId="0CB70E8A" w14:textId="342715D4" w:rsidR="00A6140D" w:rsidRDefault="00EC41D2" w:rsidP="00A6140D">
      <w:pPr>
        <w:pStyle w:val="TOCHeading"/>
      </w:pPr>
      <w:r>
        <w:rPr>
          <w:b w:val="0"/>
        </w:rPr>
        <w:fldChar w:fldCharType="end"/>
      </w:r>
      <w:r w:rsidR="00A6140D">
        <w:t xml:space="preserve"> </w:t>
      </w:r>
    </w:p>
    <w:p w14:paraId="48C0D6FF" w14:textId="17B991C7" w:rsidR="009757C5" w:rsidRDefault="009757C5" w:rsidP="00A659D0"/>
    <w:p w14:paraId="2904DDD6" w14:textId="77777777" w:rsidR="00096333" w:rsidRPr="00C2659E" w:rsidRDefault="00096333" w:rsidP="00096333">
      <w:pPr>
        <w:spacing w:before="0" w:line="259" w:lineRule="auto"/>
      </w:pPr>
    </w:p>
    <w:p w14:paraId="3ABF357B" w14:textId="34E2C682" w:rsidR="002C727E" w:rsidRPr="00C2659E" w:rsidRDefault="009757C5" w:rsidP="00A659D0">
      <w:pPr>
        <w:pStyle w:val="Heading1"/>
      </w:pPr>
      <w:bookmarkStart w:id="0" w:name="_Toc135157705"/>
      <w:bookmarkStart w:id="1" w:name="_Toc136257457"/>
      <w:r w:rsidRPr="00C2659E">
        <w:lastRenderedPageBreak/>
        <w:t>Glossary</w:t>
      </w:r>
      <w:bookmarkEnd w:id="0"/>
      <w:bookmarkEnd w:id="1"/>
    </w:p>
    <w:tbl>
      <w:tblPr>
        <w:tblStyle w:val="zGlossaryTable"/>
        <w:tblW w:w="0" w:type="auto"/>
        <w:tblLook w:val="04A0" w:firstRow="1" w:lastRow="0" w:firstColumn="1" w:lastColumn="0" w:noHBand="0" w:noVBand="1"/>
      </w:tblPr>
      <w:tblGrid>
        <w:gridCol w:w="2977"/>
        <w:gridCol w:w="6039"/>
      </w:tblGrid>
      <w:tr w:rsidR="009757C5" w:rsidRPr="00C2659E" w14:paraId="57606CF1" w14:textId="77777777" w:rsidTr="009757C5">
        <w:trPr>
          <w:cnfStyle w:val="100000000000" w:firstRow="1" w:lastRow="0" w:firstColumn="0" w:lastColumn="0" w:oddVBand="0" w:evenVBand="0" w:oddHBand="0" w:evenHBand="0" w:firstRowFirstColumn="0" w:firstRowLastColumn="0" w:lastRowFirstColumn="0" w:lastRowLastColumn="0"/>
        </w:trPr>
        <w:tc>
          <w:tcPr>
            <w:tcW w:w="2977" w:type="dxa"/>
          </w:tcPr>
          <w:p w14:paraId="5473883F" w14:textId="77777777" w:rsidR="009757C5" w:rsidRPr="00C2659E" w:rsidRDefault="009757C5" w:rsidP="00074940">
            <w:pPr>
              <w:spacing w:before="0"/>
            </w:pPr>
            <w:r w:rsidRPr="00C2659E">
              <w:t>Abbreviation</w:t>
            </w:r>
          </w:p>
        </w:tc>
        <w:tc>
          <w:tcPr>
            <w:tcW w:w="6039" w:type="dxa"/>
          </w:tcPr>
          <w:p w14:paraId="6F3ECD8C" w14:textId="77777777" w:rsidR="009757C5" w:rsidRPr="00C2659E" w:rsidRDefault="009757C5" w:rsidP="00074940">
            <w:pPr>
              <w:spacing w:before="0"/>
            </w:pPr>
            <w:r w:rsidRPr="00C2659E">
              <w:t>Stands for</w:t>
            </w:r>
          </w:p>
        </w:tc>
      </w:tr>
      <w:tr w:rsidR="00480682" w:rsidRPr="00C2659E" w14:paraId="375968F3" w14:textId="77777777" w:rsidTr="4341FE1E">
        <w:trPr>
          <w:trHeight w:val="300"/>
        </w:trPr>
        <w:tc>
          <w:tcPr>
            <w:tcW w:w="2977" w:type="dxa"/>
          </w:tcPr>
          <w:p w14:paraId="768DDAAE" w14:textId="22BDF26C" w:rsidR="00480682" w:rsidRDefault="00480682" w:rsidP="00074940">
            <w:pPr>
              <w:spacing w:before="0"/>
            </w:pPr>
            <w:r>
              <w:t>ACT</w:t>
            </w:r>
          </w:p>
        </w:tc>
        <w:tc>
          <w:tcPr>
            <w:tcW w:w="6039" w:type="dxa"/>
          </w:tcPr>
          <w:p w14:paraId="3B0B30BC" w14:textId="249D1F8D" w:rsidR="00480682" w:rsidRDefault="00480682" w:rsidP="00074940">
            <w:pPr>
              <w:spacing w:before="0"/>
            </w:pPr>
            <w:r>
              <w:t>Australian Capital Territory</w:t>
            </w:r>
          </w:p>
        </w:tc>
      </w:tr>
      <w:tr w:rsidR="00E7195B" w:rsidRPr="00C2659E" w14:paraId="5E843B2F" w14:textId="77777777" w:rsidTr="4341FE1E">
        <w:trPr>
          <w:trHeight w:val="300"/>
        </w:trPr>
        <w:tc>
          <w:tcPr>
            <w:tcW w:w="2977" w:type="dxa"/>
          </w:tcPr>
          <w:p w14:paraId="23CD393E" w14:textId="44F16A14" w:rsidR="00E7195B" w:rsidRPr="00E7195B" w:rsidDel="000E493C" w:rsidRDefault="00E7195B" w:rsidP="00074940">
            <w:pPr>
              <w:spacing w:before="0"/>
            </w:pPr>
            <w:r>
              <w:t>BRV</w:t>
            </w:r>
          </w:p>
        </w:tc>
        <w:tc>
          <w:tcPr>
            <w:tcW w:w="6039" w:type="dxa"/>
          </w:tcPr>
          <w:p w14:paraId="1319C416" w14:textId="3EEDEADF" w:rsidR="00E7195B" w:rsidRPr="000E493C" w:rsidRDefault="00E7195B" w:rsidP="00074940">
            <w:pPr>
              <w:spacing w:before="0"/>
            </w:pPr>
            <w:r>
              <w:t>Better Regulation Victoria</w:t>
            </w:r>
          </w:p>
        </w:tc>
      </w:tr>
      <w:tr w:rsidR="00D25F29" w:rsidRPr="00C2659E" w14:paraId="765C0B41" w14:textId="77777777" w:rsidTr="4341FE1E">
        <w:trPr>
          <w:trHeight w:val="300"/>
        </w:trPr>
        <w:tc>
          <w:tcPr>
            <w:tcW w:w="2977" w:type="dxa"/>
          </w:tcPr>
          <w:p w14:paraId="2DBA14C5" w14:textId="62FCFE82" w:rsidR="00D25F29" w:rsidRDefault="00D25F29" w:rsidP="00074940">
            <w:pPr>
              <w:spacing w:before="0"/>
            </w:pPr>
            <w:r>
              <w:t>Privacy Act</w:t>
            </w:r>
          </w:p>
        </w:tc>
        <w:tc>
          <w:tcPr>
            <w:tcW w:w="6039" w:type="dxa"/>
          </w:tcPr>
          <w:p w14:paraId="56BB9BFD" w14:textId="3EA7779A" w:rsidR="00D25F29" w:rsidRDefault="00D25F29" w:rsidP="00074940">
            <w:pPr>
              <w:spacing w:before="0"/>
            </w:pPr>
            <w:r w:rsidRPr="00CD396E">
              <w:rPr>
                <w:i/>
                <w:iCs/>
                <w:lang w:val="en-AU"/>
              </w:rPr>
              <w:t>Commonwealth Privacy Act 1988</w:t>
            </w:r>
          </w:p>
        </w:tc>
      </w:tr>
      <w:tr w:rsidR="00B16A35" w:rsidRPr="00C2659E" w14:paraId="55217010" w14:textId="77777777" w:rsidTr="4341FE1E">
        <w:trPr>
          <w:trHeight w:val="300"/>
        </w:trPr>
        <w:tc>
          <w:tcPr>
            <w:tcW w:w="2977" w:type="dxa"/>
          </w:tcPr>
          <w:p w14:paraId="3CFB658D" w14:textId="772E59DE" w:rsidR="00B16A35" w:rsidRPr="00B16A35" w:rsidDel="000E493C" w:rsidRDefault="00B16A35" w:rsidP="00074940">
            <w:pPr>
              <w:spacing w:before="0"/>
            </w:pPr>
            <w:r>
              <w:t>HPP</w:t>
            </w:r>
          </w:p>
        </w:tc>
        <w:tc>
          <w:tcPr>
            <w:tcW w:w="6039" w:type="dxa"/>
          </w:tcPr>
          <w:p w14:paraId="13739B81" w14:textId="3397E68F" w:rsidR="00B16A35" w:rsidRPr="000E493C" w:rsidRDefault="00B16A35" w:rsidP="00074940">
            <w:pPr>
              <w:spacing w:before="0"/>
            </w:pPr>
            <w:r>
              <w:t>Health Privacy Principles</w:t>
            </w:r>
          </w:p>
        </w:tc>
      </w:tr>
      <w:tr w:rsidR="009757C5" w:rsidRPr="00C2659E" w14:paraId="72280F22" w14:textId="77777777" w:rsidTr="009757C5">
        <w:tc>
          <w:tcPr>
            <w:tcW w:w="2977" w:type="dxa"/>
          </w:tcPr>
          <w:p w14:paraId="591593B4" w14:textId="7127B039" w:rsidR="009757C5" w:rsidRPr="000104D7" w:rsidRDefault="00E7710F" w:rsidP="00074940">
            <w:pPr>
              <w:spacing w:before="0"/>
            </w:pPr>
            <w:r>
              <w:t>Health Records Act, t</w:t>
            </w:r>
            <w:r w:rsidR="000E493C" w:rsidRPr="000104D7">
              <w:t>he Act</w:t>
            </w:r>
          </w:p>
        </w:tc>
        <w:tc>
          <w:tcPr>
            <w:tcW w:w="6039" w:type="dxa"/>
          </w:tcPr>
          <w:p w14:paraId="2BD053B5" w14:textId="1AA07CC9" w:rsidR="009757C5" w:rsidRPr="00A14B03" w:rsidRDefault="000E493C" w:rsidP="00074940">
            <w:pPr>
              <w:spacing w:before="0"/>
              <w:rPr>
                <w:i/>
                <w:iCs/>
              </w:rPr>
            </w:pPr>
            <w:r w:rsidRPr="00A14B03">
              <w:rPr>
                <w:i/>
                <w:iCs/>
              </w:rPr>
              <w:t>Health Records Act 2001</w:t>
            </w:r>
          </w:p>
        </w:tc>
      </w:tr>
      <w:tr w:rsidR="009757C5" w:rsidRPr="00C2659E" w14:paraId="67427F31" w14:textId="77777777" w:rsidTr="009757C5">
        <w:tc>
          <w:tcPr>
            <w:tcW w:w="2977" w:type="dxa"/>
          </w:tcPr>
          <w:p w14:paraId="05D97707" w14:textId="353C5BAC" w:rsidR="009757C5" w:rsidRPr="000104D7" w:rsidRDefault="000E493C" w:rsidP="00074940">
            <w:pPr>
              <w:spacing w:before="0"/>
            </w:pPr>
            <w:r w:rsidRPr="000104D7">
              <w:t>The current Regulations</w:t>
            </w:r>
            <w:r w:rsidR="00BC35E4">
              <w:t>, the Regulations</w:t>
            </w:r>
          </w:p>
        </w:tc>
        <w:tc>
          <w:tcPr>
            <w:tcW w:w="6039" w:type="dxa"/>
          </w:tcPr>
          <w:p w14:paraId="02B7FBC6" w14:textId="71DB7E54" w:rsidR="009757C5" w:rsidRPr="00A14B03" w:rsidRDefault="000E493C" w:rsidP="00074940">
            <w:pPr>
              <w:spacing w:before="0"/>
              <w:rPr>
                <w:i/>
                <w:iCs/>
              </w:rPr>
            </w:pPr>
            <w:r w:rsidRPr="00A14B03">
              <w:rPr>
                <w:i/>
                <w:iCs/>
              </w:rPr>
              <w:t>Health Records Regulations 20</w:t>
            </w:r>
            <w:r w:rsidR="00733A3A" w:rsidRPr="00A14B03">
              <w:rPr>
                <w:i/>
                <w:iCs/>
              </w:rPr>
              <w:t>1</w:t>
            </w:r>
            <w:r w:rsidRPr="00A14B03">
              <w:rPr>
                <w:i/>
                <w:iCs/>
              </w:rPr>
              <w:t>2</w:t>
            </w:r>
          </w:p>
        </w:tc>
      </w:tr>
      <w:tr w:rsidR="009757C5" w:rsidRPr="00C2659E" w14:paraId="7F6222D7" w14:textId="77777777" w:rsidTr="009757C5">
        <w:tc>
          <w:tcPr>
            <w:tcW w:w="2977" w:type="dxa"/>
          </w:tcPr>
          <w:p w14:paraId="7D1677B5" w14:textId="1E303262" w:rsidR="009757C5" w:rsidRPr="000104D7" w:rsidRDefault="00B957E2" w:rsidP="00074940">
            <w:pPr>
              <w:spacing w:before="0"/>
            </w:pPr>
            <w:r w:rsidRPr="000104D7">
              <w:t>FOI Act</w:t>
            </w:r>
          </w:p>
        </w:tc>
        <w:tc>
          <w:tcPr>
            <w:tcW w:w="6039" w:type="dxa"/>
          </w:tcPr>
          <w:p w14:paraId="61FB43BA" w14:textId="204CF233" w:rsidR="009757C5" w:rsidRPr="00883364" w:rsidRDefault="00B957E2" w:rsidP="00074940">
            <w:pPr>
              <w:spacing w:before="0"/>
              <w:rPr>
                <w:highlight w:val="yellow"/>
              </w:rPr>
            </w:pPr>
            <w:r w:rsidRPr="000104D7">
              <w:rPr>
                <w:i/>
                <w:iCs/>
              </w:rPr>
              <w:t>Freedom of Information Act 1982</w:t>
            </w:r>
          </w:p>
        </w:tc>
      </w:tr>
      <w:tr w:rsidR="00280D6B" w:rsidRPr="00C2659E" w14:paraId="3D6DE36A" w14:textId="77777777" w:rsidTr="009757C5">
        <w:tc>
          <w:tcPr>
            <w:tcW w:w="2977" w:type="dxa"/>
          </w:tcPr>
          <w:p w14:paraId="7BFF2266" w14:textId="26C0AA34" w:rsidR="00280D6B" w:rsidRDefault="00280D6B" w:rsidP="00074940">
            <w:pPr>
              <w:spacing w:before="0"/>
            </w:pPr>
            <w:r>
              <w:t>GP</w:t>
            </w:r>
          </w:p>
        </w:tc>
        <w:tc>
          <w:tcPr>
            <w:tcW w:w="6039" w:type="dxa"/>
          </w:tcPr>
          <w:p w14:paraId="05D7A8A8" w14:textId="32D615A4" w:rsidR="00280D6B" w:rsidRDefault="00280D6B" w:rsidP="00074940">
            <w:pPr>
              <w:spacing w:before="0"/>
            </w:pPr>
            <w:r>
              <w:t>General Practitioner</w:t>
            </w:r>
          </w:p>
        </w:tc>
      </w:tr>
      <w:tr w:rsidR="00E7195B" w:rsidRPr="00C2659E" w14:paraId="26FB2E04" w14:textId="77777777" w:rsidTr="009757C5">
        <w:tc>
          <w:tcPr>
            <w:tcW w:w="2977" w:type="dxa"/>
          </w:tcPr>
          <w:p w14:paraId="4021A970" w14:textId="158B1B66" w:rsidR="00E7195B" w:rsidRDefault="00E7195B" w:rsidP="00074940">
            <w:pPr>
              <w:spacing w:before="0"/>
            </w:pPr>
            <w:r>
              <w:t>MCA</w:t>
            </w:r>
          </w:p>
        </w:tc>
        <w:tc>
          <w:tcPr>
            <w:tcW w:w="6039" w:type="dxa"/>
          </w:tcPr>
          <w:p w14:paraId="666E0D25" w14:textId="13FA3974" w:rsidR="00E7195B" w:rsidRDefault="00E7195B" w:rsidP="00074940">
            <w:pPr>
              <w:spacing w:before="0"/>
            </w:pPr>
            <w:r>
              <w:t>Multi criteria analysis</w:t>
            </w:r>
          </w:p>
        </w:tc>
      </w:tr>
      <w:tr w:rsidR="00565936" w:rsidRPr="00C2659E" w14:paraId="1A97075B" w14:textId="77777777" w:rsidTr="009757C5">
        <w:tc>
          <w:tcPr>
            <w:tcW w:w="2977" w:type="dxa"/>
          </w:tcPr>
          <w:p w14:paraId="624526D1" w14:textId="130DDDEC" w:rsidR="00565936" w:rsidRPr="00565936" w:rsidRDefault="00565936" w:rsidP="00074940">
            <w:pPr>
              <w:spacing w:before="0"/>
            </w:pPr>
            <w:r>
              <w:t>RIS</w:t>
            </w:r>
          </w:p>
        </w:tc>
        <w:tc>
          <w:tcPr>
            <w:tcW w:w="6039" w:type="dxa"/>
          </w:tcPr>
          <w:p w14:paraId="11EF0B73" w14:textId="3116CDFF" w:rsidR="00565936" w:rsidRPr="00B957E2" w:rsidRDefault="00565936" w:rsidP="00074940">
            <w:pPr>
              <w:spacing w:before="0"/>
            </w:pPr>
            <w:r>
              <w:t>Regulatory Impact Statement</w:t>
            </w:r>
          </w:p>
        </w:tc>
      </w:tr>
    </w:tbl>
    <w:p w14:paraId="0C2FC812" w14:textId="77777777" w:rsidR="009757C5" w:rsidRPr="00C2659E" w:rsidRDefault="009757C5" w:rsidP="00A659D0"/>
    <w:p w14:paraId="622F3368" w14:textId="77777777" w:rsidR="00512A0D" w:rsidRDefault="00512A0D" w:rsidP="004B0EFF"/>
    <w:p w14:paraId="6F494AD1" w14:textId="0937A03F" w:rsidR="001D545C" w:rsidRDefault="001D545C" w:rsidP="00A659D0">
      <w:pPr>
        <w:pStyle w:val="Heading1"/>
      </w:pPr>
      <w:bookmarkStart w:id="2" w:name="_Toc135157706"/>
      <w:bookmarkStart w:id="3" w:name="_Toc136257458"/>
      <w:r>
        <w:lastRenderedPageBreak/>
        <w:t>Forward</w:t>
      </w:r>
      <w:bookmarkEnd w:id="2"/>
      <w:bookmarkEnd w:id="3"/>
    </w:p>
    <w:p w14:paraId="764A461D" w14:textId="42F45C74" w:rsidR="00BB26BD" w:rsidRPr="00832F1D" w:rsidRDefault="00BB26BD" w:rsidP="00BB26BD">
      <w:r w:rsidRPr="3B11769B">
        <w:t>This Regulatory Impact Statement (RIS) has been prepared with respect to the proposed</w:t>
      </w:r>
      <w:r w:rsidR="00230F52" w:rsidRPr="3B11769B">
        <w:t xml:space="preserve"> Health Records Regulations </w:t>
      </w:r>
      <w:r w:rsidR="6BD316B8" w:rsidRPr="29598E23">
        <w:t>20</w:t>
      </w:r>
      <w:r w:rsidR="4D18A2DC" w:rsidRPr="29598E23">
        <w:t>23</w:t>
      </w:r>
      <w:r w:rsidRPr="3B11769B">
        <w:t xml:space="preserve">. </w:t>
      </w:r>
    </w:p>
    <w:p w14:paraId="1A70AB2B" w14:textId="77777777" w:rsidR="00BB26BD" w:rsidRPr="00832F1D" w:rsidRDefault="00BB26BD" w:rsidP="00BB26BD">
      <w:pPr>
        <w:rPr>
          <w:rFonts w:cstheme="minorHAnsi"/>
        </w:rPr>
      </w:pPr>
      <w:r w:rsidRPr="00832F1D">
        <w:rPr>
          <w:rFonts w:cstheme="minorHAnsi"/>
        </w:rPr>
        <w:t>The RIS should be read in conjunction with the proposed Regulations, which are provided as a separate document.</w:t>
      </w:r>
    </w:p>
    <w:p w14:paraId="6F6341FF" w14:textId="77777777" w:rsidR="00BB26BD" w:rsidRPr="00832F1D" w:rsidRDefault="00BB26BD" w:rsidP="00BB26BD">
      <w:pPr>
        <w:rPr>
          <w:rFonts w:cstheme="minorHAnsi"/>
        </w:rPr>
      </w:pPr>
      <w:r w:rsidRPr="00832F1D">
        <w:rPr>
          <w:rFonts w:cstheme="minorHAnsi"/>
        </w:rPr>
        <w:t>This RIS sets out the objectives of the proposed Regulations, explains their effect and assesses the nature and scope of the problem that the proposed Regulations seek to address. It also sets out the likely impacts (costs and benefits) and discusses alternatives.</w:t>
      </w:r>
    </w:p>
    <w:p w14:paraId="4DE7C860" w14:textId="77777777" w:rsidR="00BB26BD" w:rsidRPr="00B53697" w:rsidRDefault="00BB26BD" w:rsidP="00BB26BD">
      <w:pPr>
        <w:rPr>
          <w:b/>
          <w:bCs/>
        </w:rPr>
      </w:pPr>
      <w:r w:rsidRPr="00B53697">
        <w:rPr>
          <w:b/>
          <w:bCs/>
        </w:rPr>
        <w:t>How to respond to the proposed Regulations</w:t>
      </w:r>
    </w:p>
    <w:p w14:paraId="4FFEE4B7" w14:textId="2E848895" w:rsidR="00BB26BD" w:rsidRPr="00832F1D" w:rsidRDefault="00C91544" w:rsidP="00BB26BD">
      <w:pPr>
        <w:rPr>
          <w:rFonts w:cstheme="minorHAnsi"/>
        </w:rPr>
      </w:pPr>
      <w:r>
        <w:rPr>
          <w:rFonts w:cstheme="minorHAnsi"/>
        </w:rPr>
        <w:t>Individuals</w:t>
      </w:r>
      <w:r w:rsidR="007D1C64">
        <w:rPr>
          <w:rFonts w:cstheme="minorHAnsi"/>
        </w:rPr>
        <w:t xml:space="preserve">, health </w:t>
      </w:r>
      <w:r w:rsidR="005F2C19">
        <w:rPr>
          <w:rFonts w:cstheme="minorHAnsi"/>
        </w:rPr>
        <w:t>service</w:t>
      </w:r>
      <w:r w:rsidR="007D1C64">
        <w:rPr>
          <w:rFonts w:cstheme="minorHAnsi"/>
        </w:rPr>
        <w:t xml:space="preserve"> providers</w:t>
      </w:r>
      <w:r w:rsidR="005F2C19">
        <w:rPr>
          <w:rFonts w:cstheme="minorHAnsi"/>
        </w:rPr>
        <w:t xml:space="preserve">, non-health service </w:t>
      </w:r>
      <w:r w:rsidR="007D1C64">
        <w:rPr>
          <w:rFonts w:cstheme="minorHAnsi"/>
        </w:rPr>
        <w:t xml:space="preserve">providers </w:t>
      </w:r>
      <w:r w:rsidR="00640998">
        <w:rPr>
          <w:rFonts w:cstheme="minorHAnsi"/>
        </w:rPr>
        <w:t>and</w:t>
      </w:r>
      <w:r w:rsidR="007D1C64">
        <w:rPr>
          <w:rFonts w:cstheme="minorHAnsi"/>
        </w:rPr>
        <w:t xml:space="preserve"> </w:t>
      </w:r>
      <w:r w:rsidR="005F2C19">
        <w:rPr>
          <w:rFonts w:cstheme="minorHAnsi"/>
        </w:rPr>
        <w:t>other</w:t>
      </w:r>
      <w:r w:rsidR="007D1C64">
        <w:rPr>
          <w:rFonts w:cstheme="minorHAnsi"/>
        </w:rPr>
        <w:t xml:space="preserve"> interested groups </w:t>
      </w:r>
      <w:r w:rsidR="00BB26BD" w:rsidRPr="00832F1D">
        <w:rPr>
          <w:rFonts w:cstheme="minorHAnsi"/>
        </w:rPr>
        <w:t xml:space="preserve">are invited to make submissions responding to the RIS or the proposed Regulations. </w:t>
      </w:r>
    </w:p>
    <w:p w14:paraId="00991228" w14:textId="76469596" w:rsidR="00BB26BD" w:rsidRPr="008D7D2E" w:rsidRDefault="00BB26BD" w:rsidP="00BB26BD">
      <w:pPr>
        <w:rPr>
          <w:rFonts w:cstheme="minorHAnsi"/>
        </w:rPr>
      </w:pPr>
      <w:r w:rsidRPr="00832F1D">
        <w:rPr>
          <w:rFonts w:cstheme="minorHAnsi"/>
        </w:rPr>
        <w:t xml:space="preserve">The </w:t>
      </w:r>
      <w:r w:rsidRPr="008D7D2E">
        <w:rPr>
          <w:rFonts w:cstheme="minorHAnsi"/>
        </w:rPr>
        <w:t xml:space="preserve">closing date for submissions is </w:t>
      </w:r>
      <w:r w:rsidR="00BE1582" w:rsidRPr="00BE1582">
        <w:rPr>
          <w:rFonts w:cstheme="minorHAnsi"/>
        </w:rPr>
        <w:t>16 July 2023</w:t>
      </w:r>
      <w:r w:rsidRPr="00BE1582">
        <w:rPr>
          <w:rFonts w:cstheme="minorHAnsi"/>
        </w:rPr>
        <w:t>.</w:t>
      </w:r>
      <w:r w:rsidRPr="008D7D2E">
        <w:rPr>
          <w:rFonts w:cstheme="minorHAnsi"/>
        </w:rPr>
        <w:t xml:space="preserve"> </w:t>
      </w:r>
    </w:p>
    <w:p w14:paraId="0B5A3B90" w14:textId="061F7B49" w:rsidR="00BB26BD" w:rsidRPr="008D7D2E" w:rsidRDefault="00BB26BD" w:rsidP="00BB26BD">
      <w:pPr>
        <w:rPr>
          <w:rFonts w:cstheme="minorHAnsi"/>
        </w:rPr>
      </w:pPr>
      <w:r w:rsidRPr="00BD156C">
        <w:rPr>
          <w:rFonts w:cstheme="minorHAnsi"/>
        </w:rPr>
        <w:t xml:space="preserve">Comments may be provided via email to the following email address: </w:t>
      </w:r>
      <w:hyperlink r:id="rId18" w:history="1">
        <w:r w:rsidR="00DD4961" w:rsidRPr="008F3563">
          <w:rPr>
            <w:rStyle w:val="Hyperlink"/>
            <w:rFonts w:cstheme="minorHAnsi"/>
          </w:rPr>
          <w:t>legandregreform@health.vic.gov.au</w:t>
        </w:r>
      </w:hyperlink>
      <w:r w:rsidR="00DD4961">
        <w:rPr>
          <w:rFonts w:cstheme="minorHAnsi"/>
        </w:rPr>
        <w:t xml:space="preserve"> </w:t>
      </w:r>
    </w:p>
    <w:p w14:paraId="40370B27" w14:textId="0FD398D5" w:rsidR="001D545C" w:rsidRPr="001D545C" w:rsidRDefault="00795E8D" w:rsidP="001D545C">
      <w:r w:rsidRPr="00795E8D">
        <w:rPr>
          <w:rFonts w:cstheme="minorHAnsi"/>
        </w:rPr>
        <w:t>For further assistance about the public comment process, or to obtain copies of the RIS and proposed Regulations, please contact the Legislative and Regulatory Reform team at</w:t>
      </w:r>
      <w:r w:rsidR="001F1BDB">
        <w:rPr>
          <w:rFonts w:cstheme="minorHAnsi"/>
        </w:rPr>
        <w:t xml:space="preserve"> </w:t>
      </w:r>
      <w:r w:rsidRPr="00795E8D">
        <w:rPr>
          <w:rFonts w:cstheme="minorHAnsi"/>
        </w:rPr>
        <w:t xml:space="preserve">Department of Health at </w:t>
      </w:r>
      <w:hyperlink r:id="rId19" w:history="1">
        <w:r w:rsidR="005556E7" w:rsidRPr="008F3563">
          <w:rPr>
            <w:rStyle w:val="Hyperlink"/>
            <w:rFonts w:cstheme="minorHAnsi"/>
          </w:rPr>
          <w:t>legandregreform@health.vic.gov.au</w:t>
        </w:r>
      </w:hyperlink>
      <w:r w:rsidRPr="00795E8D">
        <w:rPr>
          <w:rFonts w:cstheme="minorHAnsi"/>
        </w:rPr>
        <w:t>.</w:t>
      </w:r>
      <w:r>
        <w:rPr>
          <w:rFonts w:cstheme="minorHAnsi"/>
        </w:rPr>
        <w:t xml:space="preserve"> </w:t>
      </w:r>
      <w:r w:rsidR="00DD4961">
        <w:rPr>
          <w:rFonts w:cstheme="minorHAnsi"/>
        </w:rPr>
        <w:t xml:space="preserve"> </w:t>
      </w:r>
      <w:r>
        <w:rPr>
          <w:rFonts w:cstheme="minorHAnsi"/>
        </w:rPr>
        <w:t xml:space="preserve"> </w:t>
      </w:r>
    </w:p>
    <w:p w14:paraId="47D4017C" w14:textId="681DA1E1" w:rsidR="000B46A6" w:rsidRPr="00C2659E" w:rsidRDefault="009757C5" w:rsidP="00A659D0">
      <w:pPr>
        <w:pStyle w:val="Heading1"/>
      </w:pPr>
      <w:bookmarkStart w:id="4" w:name="_Toc135157707"/>
      <w:bookmarkStart w:id="5" w:name="_Toc136257459"/>
      <w:r w:rsidRPr="00C2659E">
        <w:lastRenderedPageBreak/>
        <w:t>Executive summary</w:t>
      </w:r>
      <w:bookmarkEnd w:id="4"/>
      <w:bookmarkEnd w:id="5"/>
    </w:p>
    <w:p w14:paraId="4439115D" w14:textId="77777777" w:rsidR="00A9469C" w:rsidRPr="00A818B3" w:rsidRDefault="00A9469C" w:rsidP="000D327A">
      <w:pPr>
        <w:pStyle w:val="Heading3"/>
        <w:spacing w:after="120"/>
      </w:pPr>
      <w:r w:rsidRPr="00A818B3">
        <w:t>Purpose of this RIS</w:t>
      </w:r>
    </w:p>
    <w:p w14:paraId="64212CAC" w14:textId="4CD8A04A" w:rsidR="00340E51" w:rsidRDefault="00C04713" w:rsidP="000D327A">
      <w:pPr>
        <w:spacing w:before="120"/>
      </w:pPr>
      <w:r w:rsidRPr="00367168">
        <w:t xml:space="preserve">The </w:t>
      </w:r>
      <w:r w:rsidRPr="00A14B03">
        <w:rPr>
          <w:i/>
          <w:iCs/>
        </w:rPr>
        <w:t>Health Records Regulations 2012</w:t>
      </w:r>
      <w:r w:rsidR="00BC35E4">
        <w:t xml:space="preserve"> (the Regulations)</w:t>
      </w:r>
      <w:r w:rsidR="00340E51">
        <w:t xml:space="preserve">, </w:t>
      </w:r>
      <w:r w:rsidR="00340E51" w:rsidRPr="00C05799">
        <w:t>which are made under the</w:t>
      </w:r>
      <w:r w:rsidR="00340E51" w:rsidRPr="00340E51">
        <w:rPr>
          <w:i/>
          <w:iCs/>
        </w:rPr>
        <w:t xml:space="preserve"> Health Records Act 2001</w:t>
      </w:r>
      <w:r w:rsidR="0002624B">
        <w:t xml:space="preserve"> (the Act)</w:t>
      </w:r>
      <w:r w:rsidR="00340E51" w:rsidRPr="00340E51">
        <w:t>,</w:t>
      </w:r>
      <w:r w:rsidRPr="00367168">
        <w:t xml:space="preserve"> balance </w:t>
      </w:r>
      <w:r>
        <w:t>facilitating</w:t>
      </w:r>
      <w:r w:rsidRPr="00367168">
        <w:t xml:space="preserve"> access to health information</w:t>
      </w:r>
      <w:r>
        <w:t xml:space="preserve"> for individuals</w:t>
      </w:r>
      <w:r w:rsidRPr="00367168">
        <w:t xml:space="preserve"> with</w:t>
      </w:r>
      <w:r>
        <w:t xml:space="preserve"> allowing private health providers to offset the associated</w:t>
      </w:r>
      <w:r w:rsidRPr="00367168">
        <w:t xml:space="preserve"> cost. </w:t>
      </w:r>
    </w:p>
    <w:p w14:paraId="7D15E538" w14:textId="77777777" w:rsidR="0074287C" w:rsidRDefault="00C04713" w:rsidP="00C04713">
      <w:pPr>
        <w:spacing w:before="240"/>
      </w:pPr>
      <w:r w:rsidRPr="00367168">
        <w:t xml:space="preserve">The Regulations are due to sunset on </w:t>
      </w:r>
      <w:r>
        <w:t xml:space="preserve">19 </w:t>
      </w:r>
      <w:r w:rsidRPr="00367168">
        <w:t>August 2023. This RIS assesses the impact of different options for replacing the current Regulations</w:t>
      </w:r>
      <w:r w:rsidR="0074287C">
        <w:t xml:space="preserve"> or allowing the Regulations to expire and not be replaced</w:t>
      </w:r>
      <w:r w:rsidR="00E758AC">
        <w:t xml:space="preserve">. </w:t>
      </w:r>
    </w:p>
    <w:p w14:paraId="34E041AF" w14:textId="6FAA8DFC" w:rsidR="00A9469C" w:rsidRDefault="00E758AC" w:rsidP="00C04713">
      <w:pPr>
        <w:spacing w:before="240"/>
      </w:pPr>
      <w:r>
        <w:t>The Department of Health (</w:t>
      </w:r>
      <w:r w:rsidR="00A9469C">
        <w:t>DH</w:t>
      </w:r>
      <w:r>
        <w:t>)</w:t>
      </w:r>
      <w:r w:rsidR="00A9469C">
        <w:t xml:space="preserve"> has engaged Sapere Research Group to prepare this RIS in accordance with </w:t>
      </w:r>
      <w:r w:rsidRPr="00367168">
        <w:t xml:space="preserve">Better Regulation Victoria’s Victorian Guide to Regulation and the </w:t>
      </w:r>
      <w:r w:rsidRPr="00BA1FDD">
        <w:rPr>
          <w:i/>
          <w:iCs/>
        </w:rPr>
        <w:t>Subordinate Legislation Act 1994</w:t>
      </w:r>
      <w:r w:rsidRPr="00367168">
        <w:t>.</w:t>
      </w:r>
      <w:r>
        <w:rPr>
          <w:rStyle w:val="FootnoteReference"/>
        </w:rPr>
        <w:footnoteReference w:id="2"/>
      </w:r>
    </w:p>
    <w:p w14:paraId="57506E44" w14:textId="77777777" w:rsidR="00A9469C" w:rsidRDefault="00A9469C" w:rsidP="000D327A">
      <w:pPr>
        <w:pStyle w:val="Heading3"/>
        <w:spacing w:after="120"/>
      </w:pPr>
      <w:r>
        <w:t xml:space="preserve">Problem analysis </w:t>
      </w:r>
    </w:p>
    <w:p w14:paraId="4B345B32" w14:textId="3A92F2BA" w:rsidR="00C40372" w:rsidRPr="00F345D3" w:rsidRDefault="00C40372" w:rsidP="00C40372">
      <w:r>
        <w:t xml:space="preserve">The Act recognises as a fundamental right that people </w:t>
      </w:r>
      <w:r w:rsidR="00583453">
        <w:t xml:space="preserve">can </w:t>
      </w:r>
      <w:r>
        <w:t xml:space="preserve">access health information about themselves. The Act provides a framework that guarantees a right of access regardless of where a person’s health information is collected or held, whether by a public or a private organisation. The Act does not require a person to provide a reason as to why they want to access their information. </w:t>
      </w:r>
    </w:p>
    <w:p w14:paraId="329B7850" w14:textId="399F9612" w:rsidR="00C40372" w:rsidRDefault="00C40372" w:rsidP="00C40372">
      <w:r>
        <w:t xml:space="preserve">To provide reasonable cost recovery for health service providers but avoid ‘unreasonable’ fees being set that would still unfairly preclude access, the Act </w:t>
      </w:r>
      <w:r w:rsidRPr="00303161">
        <w:rPr>
          <w:lang w:val="en-AU"/>
        </w:rPr>
        <w:t xml:space="preserve">allows regulations to be made that set maximum fees that can be charged and </w:t>
      </w:r>
      <w:r>
        <w:t>prohibits the charging of fees under the Health Records Act unless maximum fees have been prescribed in regulations.</w:t>
      </w:r>
    </w:p>
    <w:p w14:paraId="1163652A" w14:textId="749F0D8D" w:rsidR="00C40372" w:rsidRDefault="00C40372" w:rsidP="00C40372">
      <w:r>
        <w:t>By setting maximum fees, the Regulations ensure that fees are not set too high as to preclude people’s right to access their health information. Other legislation that may apply, for example, the Commonwealth Privacy Act, do not set maximum fees, instead relying on a test of excessiveness. By setting maximum fees at a level that</w:t>
      </w:r>
      <w:r w:rsidRPr="001300ED">
        <w:t xml:space="preserve"> </w:t>
      </w:r>
      <w:r w:rsidRPr="00EC710B">
        <w:t>does not unfairly preclude an individual from requesting access to health information</w:t>
      </w:r>
      <w:r>
        <w:t xml:space="preserve">, the Regulations protect the right of individuals to exercise their rights under the Act. </w:t>
      </w:r>
    </w:p>
    <w:p w14:paraId="64E02F7C" w14:textId="170DCE56" w:rsidR="001F11EE" w:rsidRDefault="001F11EE" w:rsidP="000D327A">
      <w:pPr>
        <w:pStyle w:val="Heading3"/>
        <w:spacing w:after="120"/>
      </w:pPr>
      <w:r>
        <w:t>Objectives</w:t>
      </w:r>
    </w:p>
    <w:p w14:paraId="6A078398" w14:textId="78FC618C" w:rsidR="001F11EE" w:rsidRPr="00EC710B" w:rsidRDefault="001F11EE" w:rsidP="008208ED">
      <w:pPr>
        <w:spacing w:before="120"/>
      </w:pPr>
      <w:r w:rsidRPr="00EC710B">
        <w:t xml:space="preserve">The objective of government action </w:t>
      </w:r>
      <w:r w:rsidR="00BC11B4">
        <w:t xml:space="preserve">in this case </w:t>
      </w:r>
      <w:r w:rsidRPr="00EC710B">
        <w:t xml:space="preserve">is to allow individuals to obtain health information related to themselves in an equitable, </w:t>
      </w:r>
      <w:proofErr w:type="gramStart"/>
      <w:r w:rsidRPr="00EC710B">
        <w:t>efficient</w:t>
      </w:r>
      <w:proofErr w:type="gramEnd"/>
      <w:r w:rsidRPr="00EC710B">
        <w:t xml:space="preserve"> and effective manner.  This involves balancing the following:</w:t>
      </w:r>
    </w:p>
    <w:p w14:paraId="3D505C53" w14:textId="3A4D0F53" w:rsidR="001F11EE" w:rsidRPr="00EC710B" w:rsidRDefault="001F11EE" w:rsidP="001F11EE">
      <w:pPr>
        <w:pStyle w:val="ListBullet"/>
      </w:pPr>
      <w:r>
        <w:t>E</w:t>
      </w:r>
      <w:r w:rsidRPr="00EC710B">
        <w:t>nsuring that any fee cha</w:t>
      </w:r>
      <w:r w:rsidR="003F62FC">
        <w:t>r</w:t>
      </w:r>
      <w:r w:rsidRPr="00EC710B">
        <w:t>ged for access to health information does not unfairly preclude an individual from requesting access to health information</w:t>
      </w:r>
      <w:r w:rsidR="009375CF">
        <w:t>; and</w:t>
      </w:r>
    </w:p>
    <w:p w14:paraId="4EF2AA87" w14:textId="1ACDC4E3" w:rsidR="001F11EE" w:rsidRPr="00EC710B" w:rsidRDefault="001F11EE" w:rsidP="001F11EE">
      <w:pPr>
        <w:pStyle w:val="ListBullet"/>
      </w:pPr>
      <w:r>
        <w:lastRenderedPageBreak/>
        <w:t>A</w:t>
      </w:r>
      <w:r w:rsidRPr="00EC710B">
        <w:t>llowing reasonable cost recovery for organisations providing access to health information.</w:t>
      </w:r>
    </w:p>
    <w:p w14:paraId="5E201F0D" w14:textId="4D5979B5" w:rsidR="00A9469C" w:rsidRDefault="007E5BB7" w:rsidP="00F96EF0">
      <w:pPr>
        <w:pStyle w:val="Heading3"/>
        <w:spacing w:after="120"/>
      </w:pPr>
      <w:r>
        <w:t>Options</w:t>
      </w:r>
    </w:p>
    <w:p w14:paraId="596F41D0" w14:textId="77777777" w:rsidR="00096D3E" w:rsidRPr="000104D7" w:rsidRDefault="00096D3E" w:rsidP="008208ED">
      <w:pPr>
        <w:spacing w:before="120"/>
      </w:pPr>
      <w:r>
        <w:t>Three</w:t>
      </w:r>
      <w:r w:rsidRPr="000104D7">
        <w:t xml:space="preserve"> options have been considered as part of this RIS against the </w:t>
      </w:r>
      <w:r>
        <w:t>base case</w:t>
      </w:r>
      <w:r w:rsidRPr="000104D7">
        <w:t>:</w:t>
      </w:r>
    </w:p>
    <w:p w14:paraId="1C3CA9E6" w14:textId="3951B460" w:rsidR="00096D3E" w:rsidRPr="000104D7" w:rsidRDefault="00096D3E" w:rsidP="00096D3E">
      <w:pPr>
        <w:pStyle w:val="ListBullet"/>
        <w:rPr>
          <w:b/>
          <w:bCs/>
        </w:rPr>
      </w:pPr>
      <w:r w:rsidRPr="000104D7">
        <w:rPr>
          <w:b/>
          <w:bCs/>
        </w:rPr>
        <w:t xml:space="preserve">Base </w:t>
      </w:r>
      <w:r w:rsidR="00891471">
        <w:rPr>
          <w:b/>
          <w:bCs/>
        </w:rPr>
        <w:t>c</w:t>
      </w:r>
      <w:r>
        <w:rPr>
          <w:b/>
          <w:bCs/>
        </w:rPr>
        <w:t>ase</w:t>
      </w:r>
      <w:r w:rsidRPr="00B775C0">
        <w:rPr>
          <w:b/>
          <w:bCs/>
        </w:rPr>
        <w:t xml:space="preserve">: regulations </w:t>
      </w:r>
      <w:proofErr w:type="gramStart"/>
      <w:r w:rsidRPr="00B775C0">
        <w:rPr>
          <w:b/>
          <w:bCs/>
        </w:rPr>
        <w:t>expire</w:t>
      </w:r>
      <w:proofErr w:type="gramEnd"/>
      <w:r w:rsidRPr="00B775C0">
        <w:rPr>
          <w:b/>
          <w:bCs/>
        </w:rPr>
        <w:t xml:space="preserve"> and no new regulations are introduced</w:t>
      </w:r>
      <w:r w:rsidRPr="000104D7">
        <w:t xml:space="preserve"> i.e. no maximum fee prescribed</w:t>
      </w:r>
      <w:r w:rsidR="00450CF1">
        <w:t>.</w:t>
      </w:r>
    </w:p>
    <w:p w14:paraId="5E4E8E28" w14:textId="1D69E4E1" w:rsidR="00096D3E" w:rsidRPr="000104D7" w:rsidRDefault="00096D3E" w:rsidP="00096D3E">
      <w:pPr>
        <w:pStyle w:val="ListBullet"/>
        <w:rPr>
          <w:b/>
          <w:bCs/>
        </w:rPr>
      </w:pPr>
      <w:r w:rsidRPr="000104D7">
        <w:rPr>
          <w:b/>
          <w:bCs/>
        </w:rPr>
        <w:t xml:space="preserve">Option 1: </w:t>
      </w:r>
      <w:r w:rsidRPr="00B775C0">
        <w:rPr>
          <w:b/>
          <w:bCs/>
        </w:rPr>
        <w:t>Replication of current regulations</w:t>
      </w:r>
      <w:r w:rsidRPr="000104D7">
        <w:t xml:space="preserve"> with minor clarifying amendment</w:t>
      </w:r>
      <w:r w:rsidR="00845F4E">
        <w:t xml:space="preserve"> </w:t>
      </w:r>
      <w:r w:rsidR="009E7270">
        <w:t xml:space="preserve">to </w:t>
      </w:r>
      <w:r w:rsidR="0020717B">
        <w:t xml:space="preserve">regulation </w:t>
      </w:r>
      <w:r w:rsidR="00B775C0">
        <w:t xml:space="preserve">9 to </w:t>
      </w:r>
      <w:r w:rsidR="00845F4E" w:rsidRPr="00845F4E">
        <w:t>make clear those situations where health information can be collected about a person connected to the individual</w:t>
      </w:r>
      <w:r w:rsidR="00A9475D">
        <w:t>.</w:t>
      </w:r>
      <w:r w:rsidR="009E7270">
        <w:rPr>
          <w:rStyle w:val="FootnoteReference"/>
        </w:rPr>
        <w:footnoteReference w:id="3"/>
      </w:r>
    </w:p>
    <w:p w14:paraId="06B077D1" w14:textId="7E8C92A4" w:rsidR="00096D3E" w:rsidRPr="00CF2102" w:rsidRDefault="00096D3E" w:rsidP="00096D3E">
      <w:pPr>
        <w:pStyle w:val="ListBullet"/>
        <w:rPr>
          <w:b/>
          <w:bCs/>
        </w:rPr>
      </w:pPr>
      <w:r w:rsidRPr="000104D7">
        <w:rPr>
          <w:b/>
          <w:bCs/>
        </w:rPr>
        <w:t xml:space="preserve">Option 2: </w:t>
      </w:r>
      <w:r w:rsidRPr="00B775C0">
        <w:rPr>
          <w:b/>
          <w:bCs/>
        </w:rPr>
        <w:t>Higher level of cost recovery</w:t>
      </w:r>
      <w:r w:rsidR="00C54F65">
        <w:t xml:space="preserve"> than </w:t>
      </w:r>
      <w:r w:rsidR="0018095A">
        <w:t xml:space="preserve">what the </w:t>
      </w:r>
      <w:r w:rsidR="00716877">
        <w:t xml:space="preserve">maximum fees </w:t>
      </w:r>
      <w:r w:rsidR="00F96D12">
        <w:t>prescribed</w:t>
      </w:r>
      <w:r w:rsidR="009F6AEE">
        <w:t xml:space="preserve"> </w:t>
      </w:r>
      <w:r w:rsidR="00F96D12">
        <w:t>in</w:t>
      </w:r>
      <w:r w:rsidR="009F6AEE">
        <w:t xml:space="preserve"> </w:t>
      </w:r>
      <w:r w:rsidR="00F96D12">
        <w:t>th</w:t>
      </w:r>
      <w:r w:rsidR="009F6AEE">
        <w:t>e</w:t>
      </w:r>
      <w:r w:rsidR="00F96D12">
        <w:t xml:space="preserve"> current Regulations allow.</w:t>
      </w:r>
    </w:p>
    <w:p w14:paraId="3AF133E4" w14:textId="409D197E" w:rsidR="00096D3E" w:rsidRPr="00FC7AF9" w:rsidRDefault="00096D3E" w:rsidP="00096D3E">
      <w:pPr>
        <w:pStyle w:val="ListBullet"/>
        <w:rPr>
          <w:b/>
          <w:bCs/>
        </w:rPr>
      </w:pPr>
      <w:r>
        <w:rPr>
          <w:b/>
          <w:bCs/>
        </w:rPr>
        <w:t xml:space="preserve">Option 3: </w:t>
      </w:r>
      <w:r w:rsidRPr="000104D7">
        <w:rPr>
          <w:b/>
          <w:bCs/>
        </w:rPr>
        <w:t>Option 1</w:t>
      </w:r>
      <w:r>
        <w:rPr>
          <w:b/>
          <w:bCs/>
        </w:rPr>
        <w:t xml:space="preserve"> </w:t>
      </w:r>
      <w:r w:rsidRPr="00F87BE7">
        <w:rPr>
          <w:i/>
          <w:iCs/>
        </w:rPr>
        <w:t>plus</w:t>
      </w:r>
      <w:r>
        <w:rPr>
          <w:b/>
          <w:bCs/>
        </w:rPr>
        <w:t xml:space="preserve"> </w:t>
      </w:r>
      <w:r>
        <w:t>Concession discount.</w:t>
      </w:r>
    </w:p>
    <w:p w14:paraId="25953D49" w14:textId="313A50A0" w:rsidR="00A9469C" w:rsidRDefault="00A9469C" w:rsidP="00A9469C">
      <w:r>
        <w:t>The impacts of Options 1</w:t>
      </w:r>
      <w:r w:rsidR="00446D35">
        <w:t>,</w:t>
      </w:r>
      <w:r>
        <w:t xml:space="preserve"> 2 </w:t>
      </w:r>
      <w:r w:rsidR="00446D35">
        <w:t xml:space="preserve">and 3 </w:t>
      </w:r>
      <w:r>
        <w:t xml:space="preserve">are assessed against the base case. </w:t>
      </w:r>
    </w:p>
    <w:p w14:paraId="582191CC" w14:textId="0E7219D5" w:rsidR="005667F1" w:rsidRDefault="005667F1" w:rsidP="005667F1">
      <w:r>
        <w:t>It is noted that, under the base case:</w:t>
      </w:r>
    </w:p>
    <w:p w14:paraId="1AE31DF9" w14:textId="43990CA1" w:rsidR="005667F1" w:rsidRDefault="005667F1" w:rsidP="005667F1">
      <w:pPr>
        <w:pStyle w:val="ListParagraph"/>
        <w:numPr>
          <w:ilvl w:val="0"/>
          <w:numId w:val="46"/>
        </w:numPr>
      </w:pPr>
      <w:r>
        <w:t>Organisations will no longer be able to charge for providing access to information under the Act</w:t>
      </w:r>
      <w:r w:rsidR="00EF25DE">
        <w:t>,</w:t>
      </w:r>
      <w:r>
        <w:t xml:space="preserve"> as under the Act a fee cannot be charged unless a maximum fee is </w:t>
      </w:r>
      <w:r w:rsidR="00A77275">
        <w:t xml:space="preserve">prescribed in </w:t>
      </w:r>
      <w:r>
        <w:t>regulat</w:t>
      </w:r>
      <w:r w:rsidR="00A348CD">
        <w:t>ions</w:t>
      </w:r>
      <w:r>
        <w:t>. However, most private organisations would be able to charge a fee to a person accessing health information under the Commonwealth Privacy Act, so long as the fee is not excessive</w:t>
      </w:r>
      <w:r>
        <w:rPr>
          <w:rStyle w:val="FootnoteReference"/>
        </w:rPr>
        <w:footnoteReference w:id="4"/>
      </w:r>
      <w:r>
        <w:t>.</w:t>
      </w:r>
    </w:p>
    <w:p w14:paraId="54494157" w14:textId="618665EA" w:rsidR="005667F1" w:rsidRDefault="005667F1" w:rsidP="005667F1">
      <w:pPr>
        <w:pStyle w:val="ListParagraph"/>
        <w:numPr>
          <w:ilvl w:val="0"/>
          <w:numId w:val="46"/>
        </w:numPr>
      </w:pPr>
      <w:r>
        <w:t>In terms of transferring information between providers, public and private health service providers would be able to charge any amount, as under the Act</w:t>
      </w:r>
      <w:r w:rsidR="00EF25DE">
        <w:t>,</w:t>
      </w:r>
      <w:r>
        <w:t xml:space="preserve"> the absence of maximum fees does not preclude them from charging a fee.</w:t>
      </w:r>
    </w:p>
    <w:p w14:paraId="195C8DEF" w14:textId="7C00A24A" w:rsidR="00A14B03" w:rsidRDefault="005667F1" w:rsidP="005667F1">
      <w:pPr>
        <w:pStyle w:val="ListParagraph"/>
        <w:numPr>
          <w:ilvl w:val="0"/>
          <w:numId w:val="46"/>
        </w:numPr>
      </w:pPr>
      <w:r>
        <w:t>Nominated health service providers would also be able to charge any amount for performing services under section 42</w:t>
      </w:r>
      <w:r w:rsidR="001A67E2">
        <w:t xml:space="preserve"> (see section 2.1.3 for explanation of this function)</w:t>
      </w:r>
      <w:r>
        <w:t>, as under the Act the absence of maximum fees does not preclude them from charging a fee.</w:t>
      </w:r>
    </w:p>
    <w:p w14:paraId="40754BB9" w14:textId="77777777" w:rsidR="00A14B03" w:rsidRDefault="00A14B03">
      <w:pPr>
        <w:spacing w:before="0" w:line="259" w:lineRule="auto"/>
      </w:pPr>
      <w:r>
        <w:br w:type="page"/>
      </w:r>
    </w:p>
    <w:p w14:paraId="2CBA7010" w14:textId="77777777" w:rsidR="00A9469C" w:rsidRDefault="00A9469C" w:rsidP="008208ED">
      <w:pPr>
        <w:pStyle w:val="Heading3"/>
        <w:spacing w:after="0"/>
      </w:pPr>
      <w:r>
        <w:lastRenderedPageBreak/>
        <w:t>Options analysis</w:t>
      </w:r>
    </w:p>
    <w:p w14:paraId="1FAB7BB2" w14:textId="15303398" w:rsidR="00EA595C" w:rsidRDefault="00EA595C" w:rsidP="008208ED">
      <w:pPr>
        <w:spacing w:before="120"/>
        <w:rPr>
          <w:rFonts w:cstheme="minorHAnsi"/>
        </w:rPr>
      </w:pPr>
      <w:r w:rsidRPr="001B60F7">
        <w:rPr>
          <w:rFonts w:cstheme="minorHAnsi"/>
        </w:rPr>
        <w:t xml:space="preserve">The options in this RIS have been assessed using Multi-Criteria Analysis (MCA). This approach provides a structured and transparent way of evaluating the options given the </w:t>
      </w:r>
      <w:r w:rsidR="00741737">
        <w:rPr>
          <w:rFonts w:cstheme="minorHAnsi"/>
        </w:rPr>
        <w:t xml:space="preserve">very </w:t>
      </w:r>
      <w:r w:rsidRPr="001B60F7">
        <w:rPr>
          <w:rFonts w:cstheme="minorHAnsi"/>
        </w:rPr>
        <w:t xml:space="preserve">limited quantitative data that is available to assess the </w:t>
      </w:r>
      <w:r w:rsidR="00F47489">
        <w:rPr>
          <w:rFonts w:cstheme="minorHAnsi"/>
        </w:rPr>
        <w:t xml:space="preserve">costs and </w:t>
      </w:r>
      <w:r w:rsidRPr="001B60F7">
        <w:rPr>
          <w:rFonts w:cstheme="minorHAnsi"/>
        </w:rPr>
        <w:t>benefits of the options.</w:t>
      </w:r>
    </w:p>
    <w:p w14:paraId="0DC3498A" w14:textId="2384B44F" w:rsidR="00152D5E" w:rsidRPr="00152D5E" w:rsidRDefault="00152D5E" w:rsidP="000F1B1A">
      <w:pPr>
        <w:tabs>
          <w:tab w:val="left" w:pos="4172"/>
        </w:tabs>
        <w:rPr>
          <w:rFonts w:cstheme="minorHAnsi"/>
        </w:rPr>
      </w:pPr>
      <w:r w:rsidRPr="001B60F7">
        <w:rPr>
          <w:rFonts w:cstheme="minorHAnsi"/>
        </w:rPr>
        <w:t>The criteria and weightings used to assess options for this RIS are shown in</w:t>
      </w:r>
      <w:r w:rsidR="006B1307">
        <w:rPr>
          <w:rFonts w:cstheme="minorHAnsi"/>
        </w:rPr>
        <w:t xml:space="preserve"> the</w:t>
      </w:r>
      <w:r w:rsidRPr="001B60F7">
        <w:rPr>
          <w:rFonts w:cstheme="minorHAnsi"/>
        </w:rPr>
        <w:t xml:space="preserve"> </w:t>
      </w:r>
      <w:r>
        <w:rPr>
          <w:rFonts w:cstheme="minorHAnsi"/>
        </w:rPr>
        <w:t>following table</w:t>
      </w:r>
      <w:r w:rsidRPr="001B60F7">
        <w:rPr>
          <w:rFonts w:cstheme="minorHAnsi"/>
        </w:rPr>
        <w:t xml:space="preserve">. These draw on the objectives for the Regulations </w:t>
      </w:r>
      <w:r>
        <w:rPr>
          <w:rFonts w:cstheme="minorHAnsi"/>
        </w:rPr>
        <w:t>outlined above.</w:t>
      </w:r>
      <w:r w:rsidR="000F1B1A">
        <w:rPr>
          <w:rFonts w:cstheme="minorHAnsi"/>
        </w:rPr>
        <w:t xml:space="preserve"> Each option is given a score from -10 to +10 against each </w:t>
      </w:r>
      <w:r w:rsidR="0032016A">
        <w:rPr>
          <w:rFonts w:cstheme="minorHAnsi"/>
        </w:rPr>
        <w:t>criterion</w:t>
      </w:r>
      <w:r w:rsidR="000F1B1A">
        <w:rPr>
          <w:rFonts w:cstheme="minorHAnsi"/>
        </w:rPr>
        <w:t>.</w:t>
      </w:r>
    </w:p>
    <w:p w14:paraId="27AC4142" w14:textId="22248229" w:rsidR="00E028D9" w:rsidRDefault="00E028D9" w:rsidP="008208ED">
      <w:pPr>
        <w:pStyle w:val="Caption"/>
        <w:spacing w:before="0"/>
      </w:pPr>
      <w:r>
        <w:t xml:space="preserve">Table </w:t>
      </w:r>
      <w:r>
        <w:fldChar w:fldCharType="begin"/>
      </w:r>
      <w:r>
        <w:instrText>SEQ Table \* ARABIC</w:instrText>
      </w:r>
      <w:r>
        <w:fldChar w:fldCharType="separate"/>
      </w:r>
      <w:r w:rsidR="00605BD1">
        <w:rPr>
          <w:noProof/>
        </w:rPr>
        <w:t>1</w:t>
      </w:r>
      <w:r>
        <w:fldChar w:fldCharType="end"/>
      </w:r>
      <w:r>
        <w:t xml:space="preserve"> </w:t>
      </w:r>
      <w:r w:rsidR="00D32DB7">
        <w:t>MCA criteria and weightings</w:t>
      </w:r>
    </w:p>
    <w:tbl>
      <w:tblPr>
        <w:tblStyle w:val="SapereTable"/>
        <w:tblW w:w="0" w:type="auto"/>
        <w:tblLayout w:type="fixed"/>
        <w:tblLook w:val="04A0" w:firstRow="1" w:lastRow="0" w:firstColumn="1" w:lastColumn="0" w:noHBand="0" w:noVBand="1"/>
      </w:tblPr>
      <w:tblGrid>
        <w:gridCol w:w="1560"/>
        <w:gridCol w:w="6237"/>
        <w:gridCol w:w="1229"/>
      </w:tblGrid>
      <w:tr w:rsidR="00152D5E" w:rsidRPr="008F47BA" w14:paraId="1D138BAC" w14:textId="77777777" w:rsidTr="004919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7E8F213" w14:textId="77777777" w:rsidR="00152D5E" w:rsidRPr="00846EC0" w:rsidRDefault="00152D5E">
            <w:pPr>
              <w:tabs>
                <w:tab w:val="left" w:pos="4172"/>
              </w:tabs>
              <w:spacing w:before="0"/>
              <w:rPr>
                <w:rFonts w:cstheme="minorHAnsi"/>
                <w:b w:val="0"/>
                <w:bCs/>
                <w:szCs w:val="20"/>
              </w:rPr>
            </w:pPr>
            <w:r w:rsidRPr="00846EC0">
              <w:rPr>
                <w:rFonts w:cstheme="minorHAnsi"/>
                <w:bCs/>
                <w:szCs w:val="20"/>
              </w:rPr>
              <w:t>Criteria</w:t>
            </w:r>
          </w:p>
        </w:tc>
        <w:tc>
          <w:tcPr>
            <w:tcW w:w="0" w:type="dxa"/>
          </w:tcPr>
          <w:p w14:paraId="5E9B8C8E" w14:textId="77777777" w:rsidR="00152D5E" w:rsidRPr="00846EC0" w:rsidRDefault="00152D5E">
            <w:pPr>
              <w:tabs>
                <w:tab w:val="left" w:pos="4172"/>
              </w:tabs>
              <w:spacing w:before="0"/>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sidRPr="00846EC0">
              <w:rPr>
                <w:rFonts w:cstheme="minorHAnsi"/>
                <w:bCs/>
                <w:szCs w:val="20"/>
              </w:rPr>
              <w:t>Description</w:t>
            </w:r>
          </w:p>
        </w:tc>
        <w:tc>
          <w:tcPr>
            <w:tcW w:w="0" w:type="dxa"/>
          </w:tcPr>
          <w:p w14:paraId="106C12A2" w14:textId="77777777" w:rsidR="00152D5E" w:rsidRPr="00846EC0" w:rsidRDefault="00152D5E">
            <w:pPr>
              <w:tabs>
                <w:tab w:val="left" w:pos="4172"/>
              </w:tabs>
              <w:spacing w:before="0"/>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sidRPr="00846EC0">
              <w:rPr>
                <w:rFonts w:cstheme="minorHAnsi"/>
                <w:bCs/>
                <w:szCs w:val="20"/>
              </w:rPr>
              <w:t>Weighting</w:t>
            </w:r>
          </w:p>
        </w:tc>
      </w:tr>
      <w:tr w:rsidR="00152D5E" w:rsidRPr="008F47BA" w14:paraId="19D8C3AE" w14:textId="77777777" w:rsidTr="00B0110D">
        <w:tc>
          <w:tcPr>
            <w:cnfStyle w:val="001000000000" w:firstRow="0" w:lastRow="0" w:firstColumn="1" w:lastColumn="0" w:oddVBand="0" w:evenVBand="0" w:oddHBand="0" w:evenHBand="0" w:firstRowFirstColumn="0" w:firstRowLastColumn="0" w:lastRowFirstColumn="0" w:lastRowLastColumn="0"/>
            <w:tcW w:w="1560" w:type="dxa"/>
          </w:tcPr>
          <w:p w14:paraId="11E20F84" w14:textId="77777777" w:rsidR="00152D5E" w:rsidRPr="00846EC0" w:rsidRDefault="00152D5E">
            <w:pPr>
              <w:tabs>
                <w:tab w:val="left" w:pos="4172"/>
              </w:tabs>
              <w:spacing w:before="0"/>
              <w:rPr>
                <w:rFonts w:cstheme="minorHAnsi"/>
                <w:szCs w:val="20"/>
                <w:highlight w:val="yellow"/>
              </w:rPr>
            </w:pPr>
            <w:r w:rsidRPr="00846EC0">
              <w:rPr>
                <w:rFonts w:cstheme="minorHAnsi"/>
                <w:szCs w:val="20"/>
                <w:lang w:val="en-AU"/>
              </w:rPr>
              <w:t>Facilitate access to health information</w:t>
            </w:r>
          </w:p>
        </w:tc>
        <w:tc>
          <w:tcPr>
            <w:tcW w:w="6237" w:type="dxa"/>
          </w:tcPr>
          <w:p w14:paraId="287A001D" w14:textId="317A6180" w:rsidR="00152D5E" w:rsidRPr="00846EC0" w:rsidRDefault="00152D5E">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846EC0">
              <w:rPr>
                <w:rFonts w:cstheme="minorHAnsi"/>
                <w:szCs w:val="20"/>
                <w:lang w:val="en-AU"/>
              </w:rPr>
              <w:t>The extent to which the option ensures that any fee charged for access to health information does not unfairly preclude an individual from requesting access to health information, requesting transfer, or seeking review of decision to refuse access.</w:t>
            </w:r>
            <w:r>
              <w:rPr>
                <w:rFonts w:cstheme="minorHAnsi"/>
                <w:szCs w:val="20"/>
                <w:lang w:val="en-AU"/>
              </w:rPr>
              <w:t xml:space="preserve"> The approach adopted in this analysis is that the lower the maximum fee that is set, the less likely it will unfairly preclude access to health information.</w:t>
            </w:r>
          </w:p>
        </w:tc>
        <w:tc>
          <w:tcPr>
            <w:tcW w:w="1229" w:type="dxa"/>
          </w:tcPr>
          <w:p w14:paraId="6B63251C" w14:textId="323DBCE7" w:rsidR="00152D5E" w:rsidRPr="00846EC0" w:rsidRDefault="00E14169">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Pr>
                <w:rFonts w:cstheme="minorHAnsi"/>
                <w:szCs w:val="20"/>
                <w:lang w:val="en-AU"/>
              </w:rPr>
              <w:t>4</w:t>
            </w:r>
            <w:r w:rsidR="00152D5E" w:rsidRPr="00846EC0">
              <w:rPr>
                <w:rFonts w:cstheme="minorHAnsi"/>
                <w:szCs w:val="20"/>
                <w:lang w:val="en-AU"/>
              </w:rPr>
              <w:t>0%</w:t>
            </w:r>
          </w:p>
          <w:p w14:paraId="55939570" w14:textId="77777777" w:rsidR="00152D5E" w:rsidRPr="00846EC0" w:rsidRDefault="00152D5E">
            <w:pPr>
              <w:tabs>
                <w:tab w:val="left" w:pos="4172"/>
              </w:tabs>
              <w:spacing w:before="0" w:after="120"/>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p>
        </w:tc>
      </w:tr>
      <w:tr w:rsidR="00152D5E" w:rsidRPr="008F47BA" w14:paraId="382EA2CC" w14:textId="77777777" w:rsidTr="00B0110D">
        <w:trPr>
          <w:trHeight w:val="1094"/>
        </w:trPr>
        <w:tc>
          <w:tcPr>
            <w:cnfStyle w:val="001000000000" w:firstRow="0" w:lastRow="0" w:firstColumn="1" w:lastColumn="0" w:oddVBand="0" w:evenVBand="0" w:oddHBand="0" w:evenHBand="0" w:firstRowFirstColumn="0" w:firstRowLastColumn="0" w:lastRowFirstColumn="0" w:lastRowLastColumn="0"/>
            <w:tcW w:w="1560" w:type="dxa"/>
          </w:tcPr>
          <w:p w14:paraId="2BD7A375" w14:textId="38E63A4D" w:rsidR="00152D5E" w:rsidRPr="00846EC0" w:rsidRDefault="00152D5E">
            <w:pPr>
              <w:tabs>
                <w:tab w:val="left" w:pos="4172"/>
              </w:tabs>
              <w:spacing w:before="0"/>
              <w:rPr>
                <w:rFonts w:cstheme="minorHAnsi"/>
                <w:szCs w:val="20"/>
                <w:highlight w:val="yellow"/>
              </w:rPr>
            </w:pPr>
            <w:r w:rsidRPr="00846EC0">
              <w:rPr>
                <w:rFonts w:cstheme="minorHAnsi"/>
                <w:szCs w:val="20"/>
                <w:lang w:val="en-AU"/>
              </w:rPr>
              <w:t xml:space="preserve">Reasonable cost recovery for </w:t>
            </w:r>
            <w:r w:rsidR="00C01836">
              <w:rPr>
                <w:rFonts w:cstheme="minorHAnsi"/>
                <w:szCs w:val="20"/>
                <w:lang w:val="en-AU"/>
              </w:rPr>
              <w:t>organisations</w:t>
            </w:r>
          </w:p>
        </w:tc>
        <w:tc>
          <w:tcPr>
            <w:tcW w:w="6237" w:type="dxa"/>
          </w:tcPr>
          <w:p w14:paraId="0AA690A8" w14:textId="77777777" w:rsidR="00152D5E" w:rsidRPr="00846EC0" w:rsidRDefault="00152D5E">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846EC0">
              <w:rPr>
                <w:rFonts w:cstheme="minorHAnsi"/>
                <w:szCs w:val="20"/>
                <w:lang w:val="en-AU"/>
              </w:rPr>
              <w:t>The extent to which the option allows recovery of reasonable costs in providing access to health information, or other functions under the Act.</w:t>
            </w:r>
          </w:p>
          <w:p w14:paraId="330825A5" w14:textId="0612DCFB" w:rsidR="00152D5E" w:rsidRPr="00846EC0" w:rsidRDefault="00152D5E">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846EC0">
              <w:rPr>
                <w:rFonts w:cstheme="minorHAnsi"/>
                <w:szCs w:val="20"/>
                <w:lang w:val="en-AU"/>
              </w:rPr>
              <w:t xml:space="preserve">Not allowing reasonable cost recovery may have adverse impacts on services provided by the organisation, for example, </w:t>
            </w:r>
            <w:r w:rsidR="00B710BA">
              <w:rPr>
                <w:rFonts w:cstheme="minorHAnsi"/>
                <w:szCs w:val="20"/>
                <w:lang w:val="en-AU"/>
              </w:rPr>
              <w:t xml:space="preserve">they may </w:t>
            </w:r>
            <w:r w:rsidRPr="00846EC0">
              <w:rPr>
                <w:rFonts w:cstheme="minorHAnsi"/>
                <w:szCs w:val="20"/>
                <w:lang w:val="en-AU"/>
              </w:rPr>
              <w:t>charg</w:t>
            </w:r>
            <w:r w:rsidR="00B710BA">
              <w:rPr>
                <w:rFonts w:cstheme="minorHAnsi"/>
                <w:szCs w:val="20"/>
                <w:lang w:val="en-AU"/>
              </w:rPr>
              <w:t>e</w:t>
            </w:r>
            <w:r w:rsidRPr="00846EC0">
              <w:rPr>
                <w:rFonts w:cstheme="minorHAnsi"/>
                <w:szCs w:val="20"/>
                <w:lang w:val="en-AU"/>
              </w:rPr>
              <w:t xml:space="preserve"> more for other health services to subsidise the provision of access to health records. It is in the interests of individuals and the whole community that health providers operate sustainably.</w:t>
            </w:r>
          </w:p>
        </w:tc>
        <w:tc>
          <w:tcPr>
            <w:tcW w:w="1229" w:type="dxa"/>
          </w:tcPr>
          <w:p w14:paraId="5A98EFA6" w14:textId="6EE1943D" w:rsidR="00152D5E" w:rsidRPr="00846EC0" w:rsidRDefault="00E14169">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Pr>
                <w:rFonts w:cstheme="minorHAnsi"/>
                <w:szCs w:val="20"/>
                <w:lang w:val="en-AU"/>
              </w:rPr>
              <w:t>4</w:t>
            </w:r>
            <w:r w:rsidR="00152D5E" w:rsidRPr="00846EC0">
              <w:rPr>
                <w:rFonts w:cstheme="minorHAnsi"/>
                <w:szCs w:val="20"/>
                <w:lang w:val="en-AU"/>
              </w:rPr>
              <w:t>0%</w:t>
            </w:r>
          </w:p>
        </w:tc>
      </w:tr>
      <w:tr w:rsidR="00C96B13" w:rsidRPr="008F47BA" w14:paraId="74F70205" w14:textId="77777777" w:rsidTr="00B0110D">
        <w:trPr>
          <w:trHeight w:val="816"/>
        </w:trPr>
        <w:tc>
          <w:tcPr>
            <w:cnfStyle w:val="001000000000" w:firstRow="0" w:lastRow="0" w:firstColumn="1" w:lastColumn="0" w:oddVBand="0" w:evenVBand="0" w:oddHBand="0" w:evenHBand="0" w:firstRowFirstColumn="0" w:firstRowLastColumn="0" w:lastRowFirstColumn="0" w:lastRowLastColumn="0"/>
            <w:tcW w:w="1560" w:type="dxa"/>
          </w:tcPr>
          <w:p w14:paraId="2EB1FF8D" w14:textId="14341E2C" w:rsidR="00C96B13" w:rsidRPr="00846EC0" w:rsidRDefault="00C96B13">
            <w:pPr>
              <w:tabs>
                <w:tab w:val="left" w:pos="4172"/>
              </w:tabs>
              <w:spacing w:before="0"/>
              <w:rPr>
                <w:rFonts w:cstheme="minorHAnsi"/>
                <w:szCs w:val="20"/>
                <w:lang w:val="en-AU"/>
              </w:rPr>
            </w:pPr>
            <w:r>
              <w:rPr>
                <w:sz w:val="18"/>
              </w:rPr>
              <w:t>Easy and simple to understand and administer</w:t>
            </w:r>
          </w:p>
        </w:tc>
        <w:tc>
          <w:tcPr>
            <w:tcW w:w="6237" w:type="dxa"/>
          </w:tcPr>
          <w:p w14:paraId="7DA592BE" w14:textId="0EBFE87D" w:rsidR="00C96B13" w:rsidRPr="00491910" w:rsidRDefault="00C96B13" w:rsidP="00491910">
            <w:pPr>
              <w:spacing w:before="0" w:line="259" w:lineRule="auto"/>
              <w:cnfStyle w:val="000000000000" w:firstRow="0" w:lastRow="0" w:firstColumn="0" w:lastColumn="0" w:oddVBand="0" w:evenVBand="0" w:oddHBand="0" w:evenHBand="0" w:firstRowFirstColumn="0" w:firstRowLastColumn="0" w:lastRowFirstColumn="0" w:lastRowLastColumn="0"/>
            </w:pPr>
            <w:r>
              <w:t>The ability to easily determine what fee applies, including the ability for organisations to communicate, calculate and collect the fee, and for individuals to understand the fees to be applied in advance. This also includes consideration of the level of administrative costs associated with calculating and levying fees.</w:t>
            </w:r>
          </w:p>
        </w:tc>
        <w:tc>
          <w:tcPr>
            <w:tcW w:w="1229" w:type="dxa"/>
          </w:tcPr>
          <w:p w14:paraId="53FB9103" w14:textId="61D2F774" w:rsidR="00C96B13" w:rsidRPr="00846EC0" w:rsidRDefault="00C96B13">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Pr>
                <w:rFonts w:cstheme="minorHAnsi"/>
                <w:szCs w:val="20"/>
                <w:lang w:val="en-AU"/>
              </w:rPr>
              <w:t>20%</w:t>
            </w:r>
          </w:p>
        </w:tc>
      </w:tr>
    </w:tbl>
    <w:p w14:paraId="1CC411F5" w14:textId="77777777" w:rsidR="00152D5E" w:rsidRDefault="00152D5E" w:rsidP="00152D5E">
      <w:pPr>
        <w:pStyle w:val="ListBullet"/>
        <w:numPr>
          <w:ilvl w:val="0"/>
          <w:numId w:val="0"/>
        </w:numPr>
        <w:tabs>
          <w:tab w:val="left" w:pos="4172"/>
        </w:tabs>
        <w:rPr>
          <w:b/>
          <w:bCs/>
        </w:rPr>
      </w:pPr>
    </w:p>
    <w:p w14:paraId="49E1A0A7" w14:textId="77777777" w:rsidR="006410A5" w:rsidRDefault="00E14169" w:rsidP="006410A5">
      <w:pPr>
        <w:rPr>
          <w:rFonts w:cstheme="minorHAnsi"/>
          <w:szCs w:val="20"/>
          <w:lang w:val="en-AU"/>
        </w:rPr>
      </w:pPr>
      <w:r>
        <w:rPr>
          <w:rFonts w:cstheme="minorHAnsi"/>
          <w:szCs w:val="20"/>
          <w:lang w:val="en-AU"/>
        </w:rPr>
        <w:t xml:space="preserve">A summary of MCA scores is provided in Table </w:t>
      </w:r>
      <w:r w:rsidR="00D32DB7">
        <w:rPr>
          <w:rFonts w:cstheme="minorHAnsi"/>
          <w:szCs w:val="20"/>
          <w:lang w:val="en-AU"/>
        </w:rPr>
        <w:t>2</w:t>
      </w:r>
      <w:r>
        <w:rPr>
          <w:rFonts w:cstheme="minorHAnsi"/>
          <w:szCs w:val="20"/>
          <w:lang w:val="en-AU"/>
        </w:rPr>
        <w:t xml:space="preserve">. </w:t>
      </w:r>
    </w:p>
    <w:p w14:paraId="08154147" w14:textId="247FFA1E" w:rsidR="00966C74" w:rsidRDefault="0091552F" w:rsidP="006410A5">
      <w:pPr>
        <w:rPr>
          <w:rFonts w:cstheme="minorHAnsi"/>
          <w:szCs w:val="20"/>
          <w:lang w:val="en-AU"/>
        </w:rPr>
      </w:pPr>
      <w:r>
        <w:rPr>
          <w:rFonts w:cstheme="minorHAnsi"/>
          <w:szCs w:val="20"/>
          <w:lang w:val="en-AU"/>
        </w:rPr>
        <w:t>The three options analysed</w:t>
      </w:r>
      <w:r w:rsidR="003A6065">
        <w:rPr>
          <w:rFonts w:cstheme="minorHAnsi"/>
          <w:szCs w:val="20"/>
          <w:lang w:val="en-AU"/>
        </w:rPr>
        <w:t xml:space="preserve"> are likely to deliver a net benefit compared to the base case. </w:t>
      </w:r>
    </w:p>
    <w:p w14:paraId="065717C1" w14:textId="0F06FA44" w:rsidR="00E86BF7" w:rsidRPr="00F763F8" w:rsidRDefault="00E86BF7" w:rsidP="00474C8B">
      <w:pPr>
        <w:pStyle w:val="ListParagraph"/>
        <w:numPr>
          <w:ilvl w:val="0"/>
          <w:numId w:val="59"/>
        </w:numPr>
        <w:rPr>
          <w:rFonts w:cstheme="minorHAnsi"/>
          <w:szCs w:val="20"/>
          <w:lang w:val="en-AU"/>
        </w:rPr>
      </w:pPr>
      <w:r w:rsidRPr="00F763F8">
        <w:rPr>
          <w:rFonts w:cstheme="minorHAnsi"/>
          <w:szCs w:val="20"/>
          <w:lang w:val="en-AU"/>
        </w:rPr>
        <w:t xml:space="preserve">Each option will facilitate access to health information because </w:t>
      </w:r>
      <w:r w:rsidR="00FD63DA" w:rsidRPr="00F763F8">
        <w:rPr>
          <w:rFonts w:cstheme="minorHAnsi"/>
          <w:szCs w:val="20"/>
          <w:lang w:val="en-AU"/>
        </w:rPr>
        <w:t xml:space="preserve">it is </w:t>
      </w:r>
      <w:r w:rsidR="006527AC" w:rsidRPr="00F763F8">
        <w:rPr>
          <w:rFonts w:cstheme="minorHAnsi"/>
          <w:szCs w:val="20"/>
          <w:lang w:val="en-AU"/>
        </w:rPr>
        <w:t>expected that most providers would charge lower fees tha</w:t>
      </w:r>
      <w:r w:rsidR="00520F8D" w:rsidRPr="00F763F8">
        <w:rPr>
          <w:rFonts w:cstheme="minorHAnsi"/>
          <w:szCs w:val="20"/>
          <w:lang w:val="en-AU"/>
        </w:rPr>
        <w:t>n</w:t>
      </w:r>
      <w:r w:rsidR="006527AC" w:rsidRPr="00F763F8">
        <w:rPr>
          <w:rFonts w:cstheme="minorHAnsi"/>
          <w:szCs w:val="20"/>
          <w:lang w:val="en-AU"/>
        </w:rPr>
        <w:t xml:space="preserve"> under the base case. Under each option </w:t>
      </w:r>
      <w:r w:rsidR="00063432" w:rsidRPr="00F763F8">
        <w:rPr>
          <w:rFonts w:cstheme="minorHAnsi"/>
          <w:szCs w:val="20"/>
          <w:lang w:val="en-AU"/>
        </w:rPr>
        <w:t>maximum fees would be prescribed</w:t>
      </w:r>
      <w:r w:rsidR="00C80B38">
        <w:rPr>
          <w:rFonts w:cstheme="minorHAnsi"/>
          <w:szCs w:val="20"/>
          <w:lang w:val="en-AU"/>
        </w:rPr>
        <w:t>,</w:t>
      </w:r>
      <w:r w:rsidR="00063432" w:rsidRPr="00F763F8">
        <w:rPr>
          <w:rFonts w:cstheme="minorHAnsi"/>
          <w:szCs w:val="20"/>
          <w:lang w:val="en-AU"/>
        </w:rPr>
        <w:t xml:space="preserve"> whereas under the base case most organisation</w:t>
      </w:r>
      <w:r w:rsidR="00B46B15" w:rsidRPr="00F763F8">
        <w:rPr>
          <w:rFonts w:cstheme="minorHAnsi"/>
          <w:szCs w:val="20"/>
          <w:lang w:val="en-AU"/>
        </w:rPr>
        <w:t>s</w:t>
      </w:r>
      <w:r w:rsidR="00063432" w:rsidRPr="00F763F8">
        <w:rPr>
          <w:rFonts w:cstheme="minorHAnsi"/>
          <w:szCs w:val="20"/>
          <w:lang w:val="en-AU"/>
        </w:rPr>
        <w:t xml:space="preserve"> would be able to charge fees </w:t>
      </w:r>
      <w:r w:rsidR="00A31664" w:rsidRPr="00F763F8">
        <w:rPr>
          <w:rFonts w:cstheme="minorHAnsi"/>
          <w:szCs w:val="20"/>
          <w:lang w:val="en-AU"/>
        </w:rPr>
        <w:t xml:space="preserve">and be less constrained (being allowed to charge fees that </w:t>
      </w:r>
      <w:r w:rsidR="00B46B15" w:rsidRPr="00F763F8">
        <w:rPr>
          <w:rFonts w:cstheme="minorHAnsi"/>
          <w:szCs w:val="20"/>
          <w:lang w:val="en-AU"/>
        </w:rPr>
        <w:t xml:space="preserve">are not </w:t>
      </w:r>
      <w:r w:rsidR="00A04C6A" w:rsidRPr="00F763F8">
        <w:rPr>
          <w:rFonts w:cstheme="minorHAnsi"/>
          <w:szCs w:val="20"/>
          <w:lang w:val="en-AU"/>
        </w:rPr>
        <w:t>‘</w:t>
      </w:r>
      <w:r w:rsidR="00B46B15" w:rsidRPr="00F763F8">
        <w:rPr>
          <w:rFonts w:cstheme="minorHAnsi"/>
          <w:szCs w:val="20"/>
          <w:lang w:val="en-AU"/>
        </w:rPr>
        <w:t>excessive</w:t>
      </w:r>
      <w:r w:rsidR="00A04C6A" w:rsidRPr="00F763F8">
        <w:rPr>
          <w:rFonts w:cstheme="minorHAnsi"/>
          <w:szCs w:val="20"/>
          <w:lang w:val="en-AU"/>
        </w:rPr>
        <w:t>’</w:t>
      </w:r>
      <w:r w:rsidR="00A31664" w:rsidRPr="00F763F8">
        <w:rPr>
          <w:rFonts w:cstheme="minorHAnsi"/>
          <w:szCs w:val="20"/>
          <w:lang w:val="en-AU"/>
        </w:rPr>
        <w:t>)</w:t>
      </w:r>
      <w:r w:rsidR="00A04C6A" w:rsidRPr="00F763F8">
        <w:rPr>
          <w:rFonts w:cstheme="minorHAnsi"/>
          <w:szCs w:val="20"/>
          <w:lang w:val="en-AU"/>
        </w:rPr>
        <w:t>.</w:t>
      </w:r>
      <w:r w:rsidR="00A31664" w:rsidRPr="00F763F8">
        <w:rPr>
          <w:rFonts w:cstheme="minorHAnsi"/>
          <w:szCs w:val="20"/>
          <w:lang w:val="en-AU"/>
        </w:rPr>
        <w:t xml:space="preserve"> Each option receives a positive score against </w:t>
      </w:r>
      <w:r w:rsidR="00A61410" w:rsidRPr="00F763F8">
        <w:rPr>
          <w:rFonts w:cstheme="minorHAnsi"/>
          <w:szCs w:val="20"/>
          <w:lang w:val="en-AU"/>
        </w:rPr>
        <w:t xml:space="preserve">the facilitate access to health information criterion. </w:t>
      </w:r>
      <w:r w:rsidR="00A04C6A" w:rsidRPr="00F763F8">
        <w:rPr>
          <w:rFonts w:cstheme="minorHAnsi"/>
          <w:szCs w:val="20"/>
          <w:lang w:val="en-AU"/>
        </w:rPr>
        <w:t xml:space="preserve"> </w:t>
      </w:r>
    </w:p>
    <w:p w14:paraId="7F3BE819" w14:textId="16F288A9" w:rsidR="00A04C6A" w:rsidRPr="00F763F8" w:rsidRDefault="00F8715E" w:rsidP="00474C8B">
      <w:pPr>
        <w:pStyle w:val="ListParagraph"/>
        <w:numPr>
          <w:ilvl w:val="0"/>
          <w:numId w:val="59"/>
        </w:numPr>
        <w:rPr>
          <w:rFonts w:cstheme="minorHAnsi"/>
          <w:szCs w:val="20"/>
          <w:lang w:val="en-AU"/>
        </w:rPr>
      </w:pPr>
      <w:r w:rsidRPr="00F763F8">
        <w:rPr>
          <w:rFonts w:cstheme="minorHAnsi"/>
          <w:szCs w:val="20"/>
          <w:lang w:val="en-AU"/>
        </w:rPr>
        <w:t xml:space="preserve">As noted above, </w:t>
      </w:r>
      <w:r w:rsidR="006352F9" w:rsidRPr="00F763F8">
        <w:rPr>
          <w:rFonts w:cstheme="minorHAnsi"/>
          <w:szCs w:val="20"/>
          <w:lang w:val="en-AU"/>
        </w:rPr>
        <w:t>most organisation</w:t>
      </w:r>
      <w:r w:rsidR="00FA6C5C" w:rsidRPr="00F763F8">
        <w:rPr>
          <w:rFonts w:cstheme="minorHAnsi"/>
          <w:szCs w:val="20"/>
          <w:lang w:val="en-AU"/>
        </w:rPr>
        <w:t>s</w:t>
      </w:r>
      <w:r w:rsidR="006352F9" w:rsidRPr="00F763F8">
        <w:rPr>
          <w:rFonts w:cstheme="minorHAnsi"/>
          <w:szCs w:val="20"/>
          <w:lang w:val="en-AU"/>
        </w:rPr>
        <w:t xml:space="preserve"> would charge lower fees </w:t>
      </w:r>
      <w:r w:rsidR="00520F8D" w:rsidRPr="00F763F8">
        <w:rPr>
          <w:rFonts w:cstheme="minorHAnsi"/>
          <w:szCs w:val="20"/>
          <w:lang w:val="en-AU"/>
        </w:rPr>
        <w:t xml:space="preserve">under each option than under the base cost, so </w:t>
      </w:r>
      <w:r w:rsidR="00A31664" w:rsidRPr="00F763F8">
        <w:rPr>
          <w:rFonts w:cstheme="minorHAnsi"/>
          <w:szCs w:val="20"/>
          <w:lang w:val="en-AU"/>
        </w:rPr>
        <w:t xml:space="preserve">each </w:t>
      </w:r>
      <w:r w:rsidR="00FA6C5C" w:rsidRPr="00F763F8">
        <w:rPr>
          <w:rFonts w:cstheme="minorHAnsi"/>
          <w:szCs w:val="20"/>
          <w:lang w:val="en-AU"/>
        </w:rPr>
        <w:t xml:space="preserve">option </w:t>
      </w:r>
      <w:r w:rsidR="00B440E3" w:rsidRPr="00F763F8">
        <w:rPr>
          <w:rFonts w:cstheme="minorHAnsi"/>
          <w:szCs w:val="20"/>
          <w:lang w:val="en-AU"/>
        </w:rPr>
        <w:t>receive</w:t>
      </w:r>
      <w:r w:rsidR="00A31664" w:rsidRPr="00F763F8">
        <w:rPr>
          <w:rFonts w:cstheme="minorHAnsi"/>
          <w:szCs w:val="20"/>
          <w:lang w:val="en-AU"/>
        </w:rPr>
        <w:t>s</w:t>
      </w:r>
      <w:r w:rsidR="00B440E3" w:rsidRPr="00F763F8">
        <w:rPr>
          <w:rFonts w:cstheme="minorHAnsi"/>
          <w:szCs w:val="20"/>
          <w:lang w:val="en-AU"/>
        </w:rPr>
        <w:t xml:space="preserve"> a negative score for the cost recovery criterion. </w:t>
      </w:r>
    </w:p>
    <w:p w14:paraId="6FAAF680" w14:textId="736F4979" w:rsidR="009B09D4" w:rsidRPr="00F763F8" w:rsidRDefault="00A61410" w:rsidP="00474C8B">
      <w:pPr>
        <w:pStyle w:val="ListParagraph"/>
        <w:numPr>
          <w:ilvl w:val="0"/>
          <w:numId w:val="59"/>
        </w:numPr>
        <w:rPr>
          <w:rFonts w:cstheme="minorHAnsi"/>
          <w:szCs w:val="20"/>
          <w:lang w:val="en-AU"/>
        </w:rPr>
      </w:pPr>
      <w:r w:rsidRPr="00F763F8">
        <w:rPr>
          <w:rFonts w:cstheme="minorHAnsi"/>
          <w:szCs w:val="20"/>
          <w:lang w:val="en-AU"/>
        </w:rPr>
        <w:lastRenderedPageBreak/>
        <w:t xml:space="preserve">Each option </w:t>
      </w:r>
      <w:r w:rsidR="009B09D4" w:rsidRPr="00F763F8">
        <w:rPr>
          <w:rFonts w:cstheme="minorHAnsi"/>
          <w:szCs w:val="20"/>
          <w:lang w:val="en-AU"/>
        </w:rPr>
        <w:t>is simpler to understand and administer than the base case</w:t>
      </w:r>
      <w:r w:rsidR="00C62750">
        <w:rPr>
          <w:rFonts w:cstheme="minorHAnsi"/>
          <w:szCs w:val="20"/>
          <w:lang w:val="en-AU"/>
        </w:rPr>
        <w:t>, wh</w:t>
      </w:r>
      <w:r w:rsidR="00677A34">
        <w:rPr>
          <w:rFonts w:cstheme="minorHAnsi"/>
          <w:szCs w:val="20"/>
          <w:lang w:val="en-AU"/>
        </w:rPr>
        <w:t>ere</w:t>
      </w:r>
      <w:r w:rsidR="00C62750">
        <w:rPr>
          <w:rFonts w:cstheme="minorHAnsi"/>
          <w:szCs w:val="20"/>
          <w:lang w:val="en-AU"/>
        </w:rPr>
        <w:t xml:space="preserve"> most </w:t>
      </w:r>
      <w:r w:rsidR="00B30580">
        <w:rPr>
          <w:rFonts w:cstheme="minorHAnsi"/>
          <w:szCs w:val="20"/>
          <w:lang w:val="en-AU"/>
        </w:rPr>
        <w:t xml:space="preserve">private </w:t>
      </w:r>
      <w:r w:rsidR="00C62750">
        <w:rPr>
          <w:rFonts w:cstheme="minorHAnsi"/>
          <w:szCs w:val="20"/>
          <w:lang w:val="en-AU"/>
        </w:rPr>
        <w:t xml:space="preserve">organisations </w:t>
      </w:r>
      <w:r w:rsidR="00B30580">
        <w:rPr>
          <w:rFonts w:cstheme="minorHAnsi"/>
          <w:szCs w:val="20"/>
          <w:lang w:val="en-AU"/>
        </w:rPr>
        <w:t xml:space="preserve">would </w:t>
      </w:r>
      <w:r w:rsidR="00677A34">
        <w:rPr>
          <w:rFonts w:cstheme="minorHAnsi"/>
          <w:szCs w:val="20"/>
          <w:lang w:val="en-AU"/>
        </w:rPr>
        <w:t>rely on the Commonwealth Privacy Act</w:t>
      </w:r>
      <w:r w:rsidR="00760932">
        <w:rPr>
          <w:rFonts w:cstheme="minorHAnsi"/>
          <w:szCs w:val="20"/>
          <w:lang w:val="en-AU"/>
        </w:rPr>
        <w:t>. T</w:t>
      </w:r>
      <w:r w:rsidR="00760932">
        <w:rPr>
          <w:rFonts w:ascii="Segoe UI" w:hAnsi="Segoe UI" w:cs="Segoe UI"/>
          <w:szCs w:val="20"/>
        </w:rPr>
        <w:t xml:space="preserve">he Commonwealth Privacy Act is a more extensive and complex piece of legislation which would be more difficult and burdensome for private organisations to navigate to understand their obligations and rights. By comparison, the maximum fees able to be set under the Regulations are clearly specified in the Regulations </w:t>
      </w:r>
      <w:r w:rsidR="00475EA5">
        <w:rPr>
          <w:rFonts w:ascii="Segoe UI" w:hAnsi="Segoe UI" w:cs="Segoe UI"/>
          <w:szCs w:val="20"/>
        </w:rPr>
        <w:t>providing</w:t>
      </w:r>
      <w:r w:rsidR="00C8375F">
        <w:rPr>
          <w:rFonts w:ascii="Segoe UI" w:hAnsi="Segoe UI" w:cs="Segoe UI"/>
          <w:szCs w:val="20"/>
        </w:rPr>
        <w:t xml:space="preserve"> more </w:t>
      </w:r>
      <w:r w:rsidR="004B2F99">
        <w:rPr>
          <w:rFonts w:ascii="Segoe UI" w:hAnsi="Segoe UI" w:cs="Segoe UI"/>
          <w:szCs w:val="20"/>
        </w:rPr>
        <w:t>clarity and certainty.</w:t>
      </w:r>
      <w:r w:rsidR="0048115D">
        <w:rPr>
          <w:rFonts w:cstheme="minorHAnsi"/>
          <w:szCs w:val="20"/>
          <w:lang w:val="en-AU"/>
        </w:rPr>
        <w:t xml:space="preserve"> </w:t>
      </w:r>
      <w:r w:rsidR="009B09D4" w:rsidRPr="00F763F8">
        <w:rPr>
          <w:rFonts w:cstheme="minorHAnsi"/>
          <w:szCs w:val="20"/>
          <w:lang w:val="en-AU"/>
        </w:rPr>
        <w:t>Hence, each option receives a positive score fo</w:t>
      </w:r>
      <w:r w:rsidR="00F763F8" w:rsidRPr="00F763F8">
        <w:rPr>
          <w:rFonts w:cstheme="minorHAnsi"/>
          <w:szCs w:val="20"/>
          <w:lang w:val="en-AU"/>
        </w:rPr>
        <w:t xml:space="preserve">r the simplicity criterion. </w:t>
      </w:r>
    </w:p>
    <w:p w14:paraId="6D38A5C1" w14:textId="7F75309F" w:rsidR="005E2180" w:rsidRDefault="00E14169" w:rsidP="006410A5">
      <w:pPr>
        <w:rPr>
          <w:rFonts w:cstheme="minorHAnsi"/>
          <w:szCs w:val="20"/>
          <w:lang w:val="en-AU"/>
        </w:rPr>
      </w:pPr>
      <w:r>
        <w:rPr>
          <w:rFonts w:cstheme="minorHAnsi"/>
          <w:szCs w:val="20"/>
          <w:lang w:val="en-AU"/>
        </w:rPr>
        <w:t xml:space="preserve">The </w:t>
      </w:r>
      <w:r w:rsidR="00732726">
        <w:rPr>
          <w:rFonts w:cstheme="minorHAnsi"/>
          <w:szCs w:val="20"/>
          <w:lang w:val="en-AU"/>
        </w:rPr>
        <w:t>o</w:t>
      </w:r>
      <w:r>
        <w:rPr>
          <w:rFonts w:cstheme="minorHAnsi"/>
          <w:szCs w:val="20"/>
          <w:lang w:val="en-AU"/>
        </w:rPr>
        <w:t>ption with the highest score, and the</w:t>
      </w:r>
      <w:r w:rsidR="007A42B4">
        <w:rPr>
          <w:rFonts w:cstheme="minorHAnsi"/>
          <w:szCs w:val="20"/>
          <w:lang w:val="en-AU"/>
        </w:rPr>
        <w:t>refore the</w:t>
      </w:r>
      <w:r>
        <w:rPr>
          <w:rFonts w:cstheme="minorHAnsi"/>
          <w:szCs w:val="20"/>
          <w:lang w:val="en-AU"/>
        </w:rPr>
        <w:t xml:space="preserve"> preferred option, is </w:t>
      </w:r>
      <w:r w:rsidRPr="00491910">
        <w:rPr>
          <w:rFonts w:cstheme="minorHAnsi"/>
          <w:b/>
          <w:bCs/>
          <w:szCs w:val="20"/>
          <w:lang w:val="en-AU"/>
        </w:rPr>
        <w:t>Option 1: Replication of current Regulations with minor clarifying amendment</w:t>
      </w:r>
      <w:r w:rsidR="00894C1A">
        <w:rPr>
          <w:rFonts w:cstheme="minorHAnsi"/>
          <w:b/>
          <w:bCs/>
          <w:szCs w:val="20"/>
          <w:lang w:val="en-AU"/>
        </w:rPr>
        <w:t>s</w:t>
      </w:r>
      <w:r>
        <w:rPr>
          <w:rFonts w:cstheme="minorHAnsi"/>
          <w:szCs w:val="20"/>
          <w:lang w:val="en-AU"/>
        </w:rPr>
        <w:t xml:space="preserve">. </w:t>
      </w:r>
      <w:r w:rsidR="006410A5">
        <w:rPr>
          <w:rFonts w:cstheme="minorHAnsi"/>
          <w:szCs w:val="20"/>
          <w:lang w:val="en-AU"/>
        </w:rPr>
        <w:t>O</w:t>
      </w:r>
      <w:r w:rsidR="006410A5" w:rsidRPr="0029784F">
        <w:rPr>
          <w:rFonts w:cstheme="minorHAnsi"/>
          <w:szCs w:val="20"/>
          <w:lang w:val="en-AU"/>
        </w:rPr>
        <w:t>ption</w:t>
      </w:r>
      <w:r w:rsidR="006410A5">
        <w:rPr>
          <w:rFonts w:cstheme="minorHAnsi"/>
          <w:szCs w:val="20"/>
          <w:lang w:val="en-AU"/>
        </w:rPr>
        <w:t xml:space="preserve"> 1</w:t>
      </w:r>
      <w:r w:rsidR="006410A5" w:rsidRPr="0029784F">
        <w:rPr>
          <w:rFonts w:cstheme="minorHAnsi"/>
          <w:szCs w:val="20"/>
          <w:lang w:val="en-AU"/>
        </w:rPr>
        <w:t xml:space="preserve"> is expected to best achieve the balance between facilitating access to health information with allowing reasonable cost recovery for organisations. Option 2 – higher cost recovery – will increase the level of cost recovery but </w:t>
      </w:r>
      <w:r w:rsidR="00746150">
        <w:rPr>
          <w:rFonts w:cstheme="minorHAnsi"/>
          <w:szCs w:val="20"/>
          <w:lang w:val="en-AU"/>
        </w:rPr>
        <w:t xml:space="preserve">will </w:t>
      </w:r>
      <w:r w:rsidR="006410A5" w:rsidRPr="0029784F">
        <w:rPr>
          <w:rFonts w:cstheme="minorHAnsi"/>
          <w:szCs w:val="20"/>
          <w:lang w:val="en-AU"/>
        </w:rPr>
        <w:t>have too large an impact on facilitation of access to health information.</w:t>
      </w:r>
      <w:r w:rsidR="006410A5">
        <w:rPr>
          <w:rFonts w:cstheme="minorHAnsi"/>
          <w:szCs w:val="20"/>
          <w:lang w:val="en-AU"/>
        </w:rPr>
        <w:t xml:space="preserve"> </w:t>
      </w:r>
      <w:r w:rsidR="006410A5" w:rsidRPr="0029784F">
        <w:rPr>
          <w:rFonts w:cstheme="minorHAnsi"/>
          <w:szCs w:val="20"/>
          <w:lang w:val="en-AU"/>
        </w:rPr>
        <w:t>Providing a concession discount under Option 3 will provide slightly improve</w:t>
      </w:r>
      <w:r w:rsidR="00700C7E">
        <w:rPr>
          <w:rFonts w:cstheme="minorHAnsi"/>
          <w:szCs w:val="20"/>
          <w:lang w:val="en-AU"/>
        </w:rPr>
        <w:t>d</w:t>
      </w:r>
      <w:r w:rsidR="006410A5" w:rsidRPr="0029784F">
        <w:rPr>
          <w:rFonts w:cstheme="minorHAnsi"/>
          <w:szCs w:val="20"/>
          <w:lang w:val="en-AU"/>
        </w:rPr>
        <w:t xml:space="preserve"> facilitation of access to health information but will reduce cost recovery and add to administrative costs of organisations. </w:t>
      </w:r>
      <w:r w:rsidR="006410A5">
        <w:rPr>
          <w:rFonts w:cstheme="minorHAnsi"/>
          <w:szCs w:val="20"/>
          <w:lang w:val="en-AU"/>
        </w:rPr>
        <w:t>Option 3 would also introduce an inconsistency in approach</w:t>
      </w:r>
      <w:r w:rsidR="00B00B59">
        <w:rPr>
          <w:rFonts w:cstheme="minorHAnsi"/>
          <w:szCs w:val="20"/>
          <w:lang w:val="en-AU"/>
        </w:rPr>
        <w:t>es</w:t>
      </w:r>
      <w:r w:rsidR="006410A5">
        <w:rPr>
          <w:rFonts w:cstheme="minorHAnsi"/>
          <w:szCs w:val="20"/>
          <w:lang w:val="en-AU"/>
        </w:rPr>
        <w:t xml:space="preserve"> to charging whereby private organisations would be required to offer a concession discount for providing health information but not for other fees charged (</w:t>
      </w:r>
      <w:proofErr w:type="gramStart"/>
      <w:r w:rsidR="006410A5">
        <w:rPr>
          <w:rFonts w:cstheme="minorHAnsi"/>
          <w:szCs w:val="20"/>
          <w:lang w:val="en-AU"/>
        </w:rPr>
        <w:t>e.g.</w:t>
      </w:r>
      <w:proofErr w:type="gramEnd"/>
      <w:r w:rsidR="006410A5">
        <w:rPr>
          <w:rFonts w:cstheme="minorHAnsi"/>
          <w:szCs w:val="20"/>
          <w:lang w:val="en-AU"/>
        </w:rPr>
        <w:t xml:space="preserve"> standard GP consult fees).  </w:t>
      </w:r>
    </w:p>
    <w:p w14:paraId="6FB2CB81" w14:textId="28D50DA7" w:rsidR="00D32DB7" w:rsidRDefault="00D32DB7" w:rsidP="00491910">
      <w:pPr>
        <w:spacing w:before="0"/>
      </w:pPr>
      <w:r>
        <w:t xml:space="preserve">Table </w:t>
      </w:r>
      <w:r>
        <w:fldChar w:fldCharType="begin"/>
      </w:r>
      <w:r>
        <w:instrText>SEQ Table \* ARABIC</w:instrText>
      </w:r>
      <w:r>
        <w:fldChar w:fldCharType="separate"/>
      </w:r>
      <w:r w:rsidR="00605BD1">
        <w:rPr>
          <w:noProof/>
        </w:rPr>
        <w:t>2</w:t>
      </w:r>
      <w:r>
        <w:fldChar w:fldCharType="end"/>
      </w:r>
      <w:r>
        <w:t xml:space="preserve"> Summary of MCA scores </w:t>
      </w:r>
    </w:p>
    <w:tbl>
      <w:tblPr>
        <w:tblStyle w:val="SapereTable"/>
        <w:tblW w:w="5000" w:type="pct"/>
        <w:tblLook w:val="04A0" w:firstRow="1" w:lastRow="0" w:firstColumn="1" w:lastColumn="0" w:noHBand="0" w:noVBand="1"/>
      </w:tblPr>
      <w:tblGrid>
        <w:gridCol w:w="3329"/>
        <w:gridCol w:w="2105"/>
        <w:gridCol w:w="1330"/>
        <w:gridCol w:w="1026"/>
        <w:gridCol w:w="1236"/>
      </w:tblGrid>
      <w:tr w:rsidR="00E14169" w14:paraId="6B13D9BE" w14:textId="77777777" w:rsidTr="00375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pct"/>
          </w:tcPr>
          <w:p w14:paraId="2D942509" w14:textId="77777777" w:rsidR="00E14169" w:rsidRPr="006254DF" w:rsidRDefault="00E14169" w:rsidP="00B0110D">
            <w:pPr>
              <w:spacing w:before="0"/>
              <w:rPr>
                <w:b w:val="0"/>
                <w:bCs/>
              </w:rPr>
            </w:pPr>
            <w:r w:rsidRPr="006254DF">
              <w:rPr>
                <w:bCs/>
              </w:rPr>
              <w:t>Criteria</w:t>
            </w:r>
          </w:p>
        </w:tc>
        <w:tc>
          <w:tcPr>
            <w:tcW w:w="1965" w:type="pct"/>
          </w:tcPr>
          <w:p w14:paraId="275D8DC8" w14:textId="77777777" w:rsidR="00E14169" w:rsidRPr="00D2469A" w:rsidRDefault="00E14169" w:rsidP="00B0110D">
            <w:pPr>
              <w:spacing w:before="0"/>
              <w:jc w:val="center"/>
              <w:cnfStyle w:val="100000000000" w:firstRow="1" w:lastRow="0" w:firstColumn="0" w:lastColumn="0" w:oddVBand="0" w:evenVBand="0" w:oddHBand="0" w:evenHBand="0" w:firstRowFirstColumn="0" w:firstRowLastColumn="0" w:lastRowFirstColumn="0" w:lastRowLastColumn="0"/>
              <w:rPr>
                <w:b w:val="0"/>
                <w:bCs/>
              </w:rPr>
            </w:pPr>
            <w:r>
              <w:rPr>
                <w:bCs/>
              </w:rPr>
              <w:t>Base Case – no Regulations</w:t>
            </w:r>
          </w:p>
        </w:tc>
        <w:tc>
          <w:tcPr>
            <w:tcW w:w="131" w:type="pct"/>
            <w:shd w:val="clear" w:color="auto" w:fill="F2F2F2" w:themeFill="background1" w:themeFillShade="F2"/>
          </w:tcPr>
          <w:p w14:paraId="4B14FE62" w14:textId="77777777" w:rsidR="00E14169" w:rsidRPr="00D2469A" w:rsidRDefault="00E14169" w:rsidP="00B0110D">
            <w:pPr>
              <w:spacing w:before="0"/>
              <w:jc w:val="center"/>
              <w:cnfStyle w:val="100000000000" w:firstRow="1" w:lastRow="0" w:firstColumn="0" w:lastColumn="0" w:oddVBand="0" w:evenVBand="0" w:oddHBand="0" w:evenHBand="0" w:firstRowFirstColumn="0" w:firstRowLastColumn="0" w:lastRowFirstColumn="0" w:lastRowLastColumn="0"/>
              <w:rPr>
                <w:b w:val="0"/>
                <w:bCs/>
              </w:rPr>
            </w:pPr>
            <w:r>
              <w:rPr>
                <w:bCs/>
              </w:rPr>
              <w:t>Option 1 – replication of current Regulations</w:t>
            </w:r>
          </w:p>
        </w:tc>
        <w:tc>
          <w:tcPr>
            <w:tcW w:w="131" w:type="pct"/>
          </w:tcPr>
          <w:p w14:paraId="7F6FCF70" w14:textId="77777777" w:rsidR="00E14169" w:rsidRDefault="00E14169" w:rsidP="00B0110D">
            <w:pPr>
              <w:spacing w:before="0"/>
              <w:jc w:val="center"/>
              <w:cnfStyle w:val="100000000000" w:firstRow="1" w:lastRow="0" w:firstColumn="0" w:lastColumn="0" w:oddVBand="0" w:evenVBand="0" w:oddHBand="0" w:evenHBand="0" w:firstRowFirstColumn="0" w:firstRowLastColumn="0" w:lastRowFirstColumn="0" w:lastRowLastColumn="0"/>
              <w:rPr>
                <w:b w:val="0"/>
                <w:bCs/>
              </w:rPr>
            </w:pPr>
            <w:r>
              <w:rPr>
                <w:bCs/>
              </w:rPr>
              <w:t>Option 2 – higher level of cost recovery</w:t>
            </w:r>
          </w:p>
        </w:tc>
        <w:tc>
          <w:tcPr>
            <w:tcW w:w="131" w:type="pct"/>
          </w:tcPr>
          <w:p w14:paraId="7F75F3B8" w14:textId="77777777" w:rsidR="00E14169" w:rsidRDefault="00E14169" w:rsidP="00B0110D">
            <w:pPr>
              <w:spacing w:before="0"/>
              <w:jc w:val="center"/>
              <w:cnfStyle w:val="100000000000" w:firstRow="1" w:lastRow="0" w:firstColumn="0" w:lastColumn="0" w:oddVBand="0" w:evenVBand="0" w:oddHBand="0" w:evenHBand="0" w:firstRowFirstColumn="0" w:firstRowLastColumn="0" w:lastRowFirstColumn="0" w:lastRowLastColumn="0"/>
              <w:rPr>
                <w:b w:val="0"/>
                <w:bCs/>
              </w:rPr>
            </w:pPr>
            <w:r>
              <w:rPr>
                <w:bCs/>
              </w:rPr>
              <w:t>Option 3 – concession discount</w:t>
            </w:r>
          </w:p>
        </w:tc>
      </w:tr>
      <w:tr w:rsidR="001A2867" w14:paraId="00297D48" w14:textId="77777777" w:rsidTr="0037549D">
        <w:tc>
          <w:tcPr>
            <w:cnfStyle w:val="001000000000" w:firstRow="0" w:lastRow="0" w:firstColumn="1" w:lastColumn="0" w:oddVBand="0" w:evenVBand="0" w:oddHBand="0" w:evenHBand="0" w:firstRowFirstColumn="0" w:firstRowLastColumn="0" w:lastRowFirstColumn="0" w:lastRowLastColumn="0"/>
            <w:tcW w:w="2643" w:type="pct"/>
          </w:tcPr>
          <w:p w14:paraId="7395509F" w14:textId="3EAAB724" w:rsidR="001A2867" w:rsidRPr="003F18AA" w:rsidRDefault="001A2867" w:rsidP="001A2867">
            <w:pPr>
              <w:spacing w:before="0"/>
              <w:rPr>
                <w:b w:val="0"/>
                <w:bCs/>
                <w:color w:val="auto"/>
              </w:rPr>
            </w:pPr>
            <w:r w:rsidRPr="00DD5CC5">
              <w:t>Facilitate access to health information (40</w:t>
            </w:r>
            <w:proofErr w:type="gramStart"/>
            <w:r w:rsidRPr="00DD5CC5">
              <w:t>% )</w:t>
            </w:r>
            <w:proofErr w:type="gramEnd"/>
          </w:p>
        </w:tc>
        <w:tc>
          <w:tcPr>
            <w:tcW w:w="1965" w:type="pct"/>
          </w:tcPr>
          <w:p w14:paraId="4242D4AE" w14:textId="3640B460"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E3142C">
              <w:t>0</w:t>
            </w:r>
          </w:p>
        </w:tc>
        <w:tc>
          <w:tcPr>
            <w:tcW w:w="131" w:type="pct"/>
            <w:shd w:val="clear" w:color="auto" w:fill="F2F2F2" w:themeFill="background1" w:themeFillShade="F2"/>
          </w:tcPr>
          <w:p w14:paraId="18E5E6DD" w14:textId="6B54879C"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+7.0</w:t>
            </w:r>
          </w:p>
        </w:tc>
        <w:tc>
          <w:tcPr>
            <w:tcW w:w="131" w:type="pct"/>
          </w:tcPr>
          <w:p w14:paraId="46D662FC" w14:textId="43524643"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+3.5</w:t>
            </w:r>
          </w:p>
        </w:tc>
        <w:tc>
          <w:tcPr>
            <w:tcW w:w="131" w:type="pct"/>
          </w:tcPr>
          <w:p w14:paraId="29A027F4" w14:textId="465E431E"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+8.0</w:t>
            </w:r>
          </w:p>
        </w:tc>
      </w:tr>
      <w:tr w:rsidR="001A2867" w14:paraId="4291B031" w14:textId="77777777" w:rsidTr="0037549D">
        <w:tc>
          <w:tcPr>
            <w:cnfStyle w:val="001000000000" w:firstRow="0" w:lastRow="0" w:firstColumn="1" w:lastColumn="0" w:oddVBand="0" w:evenVBand="0" w:oddHBand="0" w:evenHBand="0" w:firstRowFirstColumn="0" w:firstRowLastColumn="0" w:lastRowFirstColumn="0" w:lastRowLastColumn="0"/>
            <w:tcW w:w="2643" w:type="pct"/>
          </w:tcPr>
          <w:p w14:paraId="52B7EB20" w14:textId="7EDCCF15" w:rsidR="001A2867" w:rsidRPr="003F18AA" w:rsidRDefault="001A2867" w:rsidP="001A2867">
            <w:pPr>
              <w:spacing w:before="0"/>
              <w:ind w:right="89"/>
              <w:rPr>
                <w:b w:val="0"/>
                <w:bCs/>
                <w:color w:val="auto"/>
              </w:rPr>
            </w:pPr>
            <w:r w:rsidRPr="00DD5CC5">
              <w:t>Reasonable cost recovery for organisations (40%)</w:t>
            </w:r>
          </w:p>
        </w:tc>
        <w:tc>
          <w:tcPr>
            <w:tcW w:w="1965" w:type="pct"/>
          </w:tcPr>
          <w:p w14:paraId="74C41EC3" w14:textId="78014965"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E3142C">
              <w:t>0</w:t>
            </w:r>
          </w:p>
        </w:tc>
        <w:tc>
          <w:tcPr>
            <w:tcW w:w="131" w:type="pct"/>
            <w:shd w:val="clear" w:color="auto" w:fill="F2F2F2" w:themeFill="background1" w:themeFillShade="F2"/>
          </w:tcPr>
          <w:p w14:paraId="22DD1BE6" w14:textId="64698FC4"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-5.0</w:t>
            </w:r>
          </w:p>
        </w:tc>
        <w:tc>
          <w:tcPr>
            <w:tcW w:w="131" w:type="pct"/>
          </w:tcPr>
          <w:p w14:paraId="1784002D" w14:textId="40BD3795"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-2.5</w:t>
            </w:r>
          </w:p>
        </w:tc>
        <w:tc>
          <w:tcPr>
            <w:tcW w:w="131" w:type="pct"/>
          </w:tcPr>
          <w:p w14:paraId="3E078BF9" w14:textId="360A1FC1"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-6.0</w:t>
            </w:r>
          </w:p>
        </w:tc>
      </w:tr>
      <w:tr w:rsidR="001A2867" w14:paraId="458B5EE1" w14:textId="77777777" w:rsidTr="0037549D">
        <w:tc>
          <w:tcPr>
            <w:cnfStyle w:val="001000000000" w:firstRow="0" w:lastRow="0" w:firstColumn="1" w:lastColumn="0" w:oddVBand="0" w:evenVBand="0" w:oddHBand="0" w:evenHBand="0" w:firstRowFirstColumn="0" w:firstRowLastColumn="0" w:lastRowFirstColumn="0" w:lastRowLastColumn="0"/>
            <w:tcW w:w="2643" w:type="pct"/>
          </w:tcPr>
          <w:p w14:paraId="6A210E62" w14:textId="3140EF0B" w:rsidR="001A2867" w:rsidRPr="003F18AA" w:rsidRDefault="001A2867" w:rsidP="001A2867">
            <w:pPr>
              <w:spacing w:before="0"/>
              <w:ind w:right="89"/>
              <w:rPr>
                <w:b w:val="0"/>
                <w:bCs/>
                <w:color w:val="auto"/>
              </w:rPr>
            </w:pPr>
            <w:r w:rsidRPr="00DD5CC5">
              <w:t>Simple to understand and administer (20%)</w:t>
            </w:r>
          </w:p>
        </w:tc>
        <w:tc>
          <w:tcPr>
            <w:tcW w:w="1965" w:type="pct"/>
          </w:tcPr>
          <w:p w14:paraId="1131A37D" w14:textId="231F3F81"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E3142C">
              <w:t>0</w:t>
            </w:r>
          </w:p>
        </w:tc>
        <w:tc>
          <w:tcPr>
            <w:tcW w:w="131" w:type="pct"/>
            <w:shd w:val="clear" w:color="auto" w:fill="F2F2F2" w:themeFill="background1" w:themeFillShade="F2"/>
          </w:tcPr>
          <w:p w14:paraId="3859BCBD" w14:textId="00D40EC9"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+5.0</w:t>
            </w:r>
          </w:p>
        </w:tc>
        <w:tc>
          <w:tcPr>
            <w:tcW w:w="131" w:type="pct"/>
          </w:tcPr>
          <w:p w14:paraId="65AA7FB1" w14:textId="6247DD1B"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+5.0</w:t>
            </w:r>
          </w:p>
        </w:tc>
        <w:tc>
          <w:tcPr>
            <w:tcW w:w="131" w:type="pct"/>
          </w:tcPr>
          <w:p w14:paraId="58F18BC1" w14:textId="79FA3577" w:rsid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pPr>
            <w:r w:rsidRPr="0007681C">
              <w:t>+3.0</w:t>
            </w:r>
          </w:p>
        </w:tc>
      </w:tr>
      <w:tr w:rsidR="001A2867" w14:paraId="37C650CE" w14:textId="77777777" w:rsidTr="0037549D">
        <w:trPr>
          <w:trHeight w:val="495"/>
        </w:trPr>
        <w:tc>
          <w:tcPr>
            <w:cnfStyle w:val="001000000000" w:firstRow="0" w:lastRow="0" w:firstColumn="1" w:lastColumn="0" w:oddVBand="0" w:evenVBand="0" w:oddHBand="0" w:evenHBand="0" w:firstRowFirstColumn="0" w:firstRowLastColumn="0" w:lastRowFirstColumn="0" w:lastRowLastColumn="0"/>
            <w:tcW w:w="2643" w:type="pct"/>
          </w:tcPr>
          <w:p w14:paraId="4844D540" w14:textId="7B8F604E" w:rsidR="001A2867" w:rsidRPr="00A51567" w:rsidRDefault="001A2867" w:rsidP="001A2867">
            <w:pPr>
              <w:spacing w:before="0"/>
              <w:ind w:right="89"/>
              <w:rPr>
                <w:color w:val="auto"/>
              </w:rPr>
            </w:pPr>
            <w:r w:rsidRPr="00DD5CC5">
              <w:t>Total weighted score</w:t>
            </w:r>
          </w:p>
        </w:tc>
        <w:tc>
          <w:tcPr>
            <w:tcW w:w="1965" w:type="pct"/>
          </w:tcPr>
          <w:p w14:paraId="13B5C62E" w14:textId="466E7F9B" w:rsidR="001A2867" w:rsidRPr="002F2A06"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rPr>
                <w:b/>
                <w:bCs/>
              </w:rPr>
            </w:pPr>
            <w:r>
              <w:rPr>
                <w:b/>
                <w:bCs/>
              </w:rPr>
              <w:t>0</w:t>
            </w:r>
          </w:p>
        </w:tc>
        <w:tc>
          <w:tcPr>
            <w:tcW w:w="131" w:type="pct"/>
            <w:shd w:val="clear" w:color="auto" w:fill="F2F2F2" w:themeFill="background1" w:themeFillShade="F2"/>
          </w:tcPr>
          <w:p w14:paraId="3F808297" w14:textId="18222D1C" w:rsidR="001A2867" w:rsidRP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rPr>
                <w:b/>
                <w:bCs/>
              </w:rPr>
            </w:pPr>
            <w:r w:rsidRPr="00702AB8">
              <w:rPr>
                <w:b/>
                <w:bCs/>
              </w:rPr>
              <w:t>+1.8</w:t>
            </w:r>
          </w:p>
        </w:tc>
        <w:tc>
          <w:tcPr>
            <w:tcW w:w="131" w:type="pct"/>
          </w:tcPr>
          <w:p w14:paraId="401EB751" w14:textId="35E77A5D" w:rsidR="001A2867" w:rsidRP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rPr>
                <w:b/>
                <w:bCs/>
              </w:rPr>
            </w:pPr>
            <w:r w:rsidRPr="00702AB8">
              <w:rPr>
                <w:b/>
                <w:bCs/>
              </w:rPr>
              <w:t>+1.4</w:t>
            </w:r>
          </w:p>
        </w:tc>
        <w:tc>
          <w:tcPr>
            <w:tcW w:w="131" w:type="pct"/>
          </w:tcPr>
          <w:p w14:paraId="756B7DCE" w14:textId="0C4E0440" w:rsidR="001A2867" w:rsidRPr="001A2867" w:rsidRDefault="001A2867" w:rsidP="001A2867">
            <w:pPr>
              <w:spacing w:before="0"/>
              <w:jc w:val="center"/>
              <w:cnfStyle w:val="000000000000" w:firstRow="0" w:lastRow="0" w:firstColumn="0" w:lastColumn="0" w:oddVBand="0" w:evenVBand="0" w:oddHBand="0" w:evenHBand="0" w:firstRowFirstColumn="0" w:firstRowLastColumn="0" w:lastRowFirstColumn="0" w:lastRowLastColumn="0"/>
              <w:rPr>
                <w:b/>
                <w:bCs/>
              </w:rPr>
            </w:pPr>
            <w:r w:rsidRPr="00702AB8">
              <w:rPr>
                <w:b/>
                <w:bCs/>
              </w:rPr>
              <w:t>+1.4</w:t>
            </w:r>
          </w:p>
        </w:tc>
      </w:tr>
    </w:tbl>
    <w:p w14:paraId="14460231" w14:textId="77777777" w:rsidR="00D50BD6" w:rsidRPr="00FF2DC4" w:rsidRDefault="00D50BD6" w:rsidP="00D50BD6">
      <w:pPr>
        <w:spacing w:after="120"/>
        <w:rPr>
          <w:rFonts w:cstheme="minorHAnsi"/>
          <w:szCs w:val="20"/>
          <w:lang w:val="en-AU"/>
        </w:rPr>
      </w:pPr>
      <w:r>
        <w:rPr>
          <w:rFonts w:cstheme="minorHAnsi"/>
          <w:szCs w:val="20"/>
          <w:lang w:val="en-AU"/>
        </w:rPr>
        <w:t xml:space="preserve">The preferred option of replicating the current Regulations reflects the Department’s view that there </w:t>
      </w:r>
      <w:r w:rsidRPr="00FF2DC4">
        <w:rPr>
          <w:rFonts w:cstheme="minorHAnsi"/>
          <w:szCs w:val="20"/>
          <w:lang w:val="en-AU"/>
        </w:rPr>
        <w:t>is no significant case to be made for changing the current fee structure and fee levels:</w:t>
      </w:r>
    </w:p>
    <w:p w14:paraId="5CCEBCF5" w14:textId="187712B5" w:rsidR="00D50BD6" w:rsidRPr="005E6B1E" w:rsidRDefault="00D50BD6" w:rsidP="00D50BD6">
      <w:pPr>
        <w:pStyle w:val="ListParagraph"/>
        <w:numPr>
          <w:ilvl w:val="0"/>
          <w:numId w:val="55"/>
        </w:numPr>
        <w:spacing w:before="120" w:after="120"/>
        <w:rPr>
          <w:rFonts w:cstheme="minorHAnsi"/>
          <w:szCs w:val="20"/>
          <w:lang w:val="en-AU"/>
        </w:rPr>
      </w:pPr>
      <w:r w:rsidRPr="005E6B1E">
        <w:rPr>
          <w:rFonts w:cstheme="minorHAnsi"/>
          <w:szCs w:val="20"/>
          <w:lang w:val="en-AU"/>
        </w:rPr>
        <w:t>There is a low level of complaints about access to health information in relation to fees</w:t>
      </w:r>
      <w:r w:rsidR="00BB6E2C">
        <w:rPr>
          <w:rFonts w:cstheme="minorHAnsi"/>
          <w:szCs w:val="20"/>
          <w:lang w:val="en-AU"/>
        </w:rPr>
        <w:t>.</w:t>
      </w:r>
    </w:p>
    <w:p w14:paraId="55B42A73" w14:textId="19181289" w:rsidR="006638EE" w:rsidRPr="006638EE" w:rsidRDefault="00D50BD6" w:rsidP="006638EE">
      <w:pPr>
        <w:pStyle w:val="ListParagraph"/>
        <w:numPr>
          <w:ilvl w:val="0"/>
          <w:numId w:val="55"/>
        </w:numPr>
        <w:rPr>
          <w:rFonts w:cstheme="minorHAnsi"/>
          <w:szCs w:val="20"/>
          <w:lang w:val="en-AU"/>
        </w:rPr>
      </w:pPr>
      <w:r w:rsidRPr="005E6B1E">
        <w:rPr>
          <w:rFonts w:cstheme="minorHAnsi"/>
          <w:szCs w:val="20"/>
          <w:lang w:val="en-AU"/>
        </w:rPr>
        <w:t xml:space="preserve">Many </w:t>
      </w:r>
      <w:r>
        <w:rPr>
          <w:rFonts w:cstheme="minorHAnsi"/>
          <w:szCs w:val="20"/>
          <w:lang w:val="en-AU"/>
        </w:rPr>
        <w:t xml:space="preserve">health </w:t>
      </w:r>
      <w:r w:rsidR="00B40B19">
        <w:rPr>
          <w:rFonts w:cstheme="minorHAnsi"/>
          <w:szCs w:val="20"/>
          <w:lang w:val="en-AU"/>
        </w:rPr>
        <w:t xml:space="preserve">service </w:t>
      </w:r>
      <w:r>
        <w:rPr>
          <w:rFonts w:cstheme="minorHAnsi"/>
          <w:szCs w:val="20"/>
          <w:lang w:val="en-AU"/>
        </w:rPr>
        <w:t xml:space="preserve">providers </w:t>
      </w:r>
      <w:r w:rsidRPr="005E6B1E">
        <w:rPr>
          <w:rFonts w:cstheme="minorHAnsi"/>
          <w:szCs w:val="20"/>
          <w:lang w:val="en-AU"/>
        </w:rPr>
        <w:t>provide access for no charge, or a charge below the maximum fees, which facilitates access to health information.</w:t>
      </w:r>
      <w:r w:rsidR="00E55E55">
        <w:rPr>
          <w:rFonts w:cstheme="minorHAnsi"/>
          <w:szCs w:val="20"/>
          <w:lang w:val="en-AU"/>
        </w:rPr>
        <w:t xml:space="preserve"> </w:t>
      </w:r>
    </w:p>
    <w:p w14:paraId="1E43F2C2" w14:textId="77777777" w:rsidR="00D50BD6" w:rsidRPr="005E6B1E" w:rsidRDefault="00D50BD6" w:rsidP="00D50BD6">
      <w:pPr>
        <w:pStyle w:val="ListParagraph"/>
        <w:numPr>
          <w:ilvl w:val="0"/>
          <w:numId w:val="55"/>
        </w:numPr>
        <w:rPr>
          <w:rFonts w:cstheme="minorHAnsi"/>
          <w:szCs w:val="20"/>
          <w:lang w:val="en-AU"/>
        </w:rPr>
      </w:pPr>
      <w:r w:rsidRPr="005E6B1E">
        <w:rPr>
          <w:rFonts w:cstheme="minorHAnsi"/>
          <w:szCs w:val="20"/>
          <w:lang w:val="en-AU"/>
        </w:rPr>
        <w:t>The current Regulations are well understood by industry.</w:t>
      </w:r>
    </w:p>
    <w:p w14:paraId="7729B934" w14:textId="59270676" w:rsidR="00077038" w:rsidRDefault="00BB6E2C" w:rsidP="00D50BD6">
      <w:pPr>
        <w:pStyle w:val="ListParagraph"/>
        <w:numPr>
          <w:ilvl w:val="0"/>
          <w:numId w:val="55"/>
        </w:numPr>
        <w:rPr>
          <w:rFonts w:cstheme="minorHAnsi"/>
          <w:szCs w:val="20"/>
          <w:lang w:val="en-AU"/>
        </w:rPr>
      </w:pPr>
      <w:r>
        <w:rPr>
          <w:rFonts w:cstheme="minorHAnsi"/>
          <w:szCs w:val="20"/>
          <w:lang w:val="en-AU"/>
        </w:rPr>
        <w:t>The burden</w:t>
      </w:r>
      <w:r w:rsidR="007C2B55">
        <w:rPr>
          <w:rFonts w:cstheme="minorHAnsi"/>
          <w:szCs w:val="20"/>
          <w:lang w:val="en-AU"/>
        </w:rPr>
        <w:t xml:space="preserve"> and impact</w:t>
      </w:r>
      <w:r>
        <w:rPr>
          <w:rFonts w:cstheme="minorHAnsi"/>
          <w:szCs w:val="20"/>
          <w:lang w:val="en-AU"/>
        </w:rPr>
        <w:t xml:space="preserve"> of the current Regulations is</w:t>
      </w:r>
      <w:r w:rsidR="006E2658">
        <w:rPr>
          <w:rFonts w:cstheme="minorHAnsi"/>
          <w:szCs w:val="20"/>
          <w:lang w:val="en-AU"/>
        </w:rPr>
        <w:t xml:space="preserve"> low</w:t>
      </w:r>
      <w:r w:rsidR="006A125E">
        <w:rPr>
          <w:rFonts w:cstheme="minorHAnsi"/>
          <w:szCs w:val="20"/>
          <w:lang w:val="en-AU"/>
        </w:rPr>
        <w:t>, particularly when</w:t>
      </w:r>
      <w:r>
        <w:rPr>
          <w:rFonts w:cstheme="minorHAnsi"/>
          <w:szCs w:val="20"/>
          <w:lang w:val="en-AU"/>
        </w:rPr>
        <w:t xml:space="preserve"> </w:t>
      </w:r>
      <w:r w:rsidR="00472E5D" w:rsidRPr="00472E5D">
        <w:rPr>
          <w:rFonts w:cstheme="minorHAnsi"/>
          <w:szCs w:val="20"/>
          <w:lang w:val="en-AU"/>
        </w:rPr>
        <w:t>compared with overall health costs</w:t>
      </w:r>
      <w:r w:rsidR="007C2B55">
        <w:rPr>
          <w:rFonts w:cstheme="minorHAnsi"/>
          <w:szCs w:val="20"/>
          <w:lang w:val="en-AU"/>
        </w:rPr>
        <w:t>.</w:t>
      </w:r>
      <w:r w:rsidR="00472E5D" w:rsidRPr="00472E5D">
        <w:rPr>
          <w:rFonts w:cstheme="minorHAnsi"/>
          <w:szCs w:val="20"/>
          <w:lang w:val="en-AU"/>
        </w:rPr>
        <w:t xml:space="preserve"> </w:t>
      </w:r>
      <w:r w:rsidR="006E2658">
        <w:rPr>
          <w:rFonts w:cstheme="minorHAnsi"/>
          <w:szCs w:val="20"/>
          <w:lang w:val="en-AU"/>
        </w:rPr>
        <w:t>I</w:t>
      </w:r>
      <w:r w:rsidR="00472E5D" w:rsidRPr="00472E5D">
        <w:rPr>
          <w:rFonts w:cstheme="minorHAnsi"/>
          <w:szCs w:val="20"/>
          <w:lang w:val="en-AU"/>
        </w:rPr>
        <w:t>n its ongoing engagement with organisations</w:t>
      </w:r>
      <w:r w:rsidR="001C3C61">
        <w:rPr>
          <w:rFonts w:cstheme="minorHAnsi"/>
          <w:szCs w:val="20"/>
          <w:lang w:val="en-AU"/>
        </w:rPr>
        <w:t>,</w:t>
      </w:r>
      <w:r w:rsidR="00472E5D" w:rsidRPr="00472E5D">
        <w:rPr>
          <w:rFonts w:cstheme="minorHAnsi"/>
          <w:szCs w:val="20"/>
          <w:lang w:val="en-AU"/>
        </w:rPr>
        <w:t xml:space="preserve"> </w:t>
      </w:r>
    </w:p>
    <w:p w14:paraId="02158591" w14:textId="73C8BDE4" w:rsidR="00BB6E2C" w:rsidRDefault="006E2658" w:rsidP="00D50BD6">
      <w:pPr>
        <w:pStyle w:val="ListParagraph"/>
        <w:numPr>
          <w:ilvl w:val="0"/>
          <w:numId w:val="55"/>
        </w:numPr>
        <w:rPr>
          <w:rFonts w:cstheme="minorHAnsi"/>
          <w:szCs w:val="20"/>
          <w:lang w:val="en-AU"/>
        </w:rPr>
      </w:pPr>
      <w:r>
        <w:rPr>
          <w:rFonts w:cstheme="minorHAnsi"/>
          <w:szCs w:val="20"/>
          <w:lang w:val="en-AU"/>
        </w:rPr>
        <w:lastRenderedPageBreak/>
        <w:t>DH</w:t>
      </w:r>
      <w:r w:rsidR="00472E5D" w:rsidRPr="00472E5D">
        <w:rPr>
          <w:rFonts w:cstheme="minorHAnsi"/>
          <w:szCs w:val="20"/>
          <w:lang w:val="en-AU"/>
        </w:rPr>
        <w:t xml:space="preserve"> has received very limited feedback on these </w:t>
      </w:r>
      <w:proofErr w:type="gramStart"/>
      <w:r w:rsidR="00472E5D" w:rsidRPr="00472E5D">
        <w:rPr>
          <w:rFonts w:cstheme="minorHAnsi"/>
          <w:szCs w:val="20"/>
          <w:lang w:val="en-AU"/>
        </w:rPr>
        <w:t>Regulations</w:t>
      </w:r>
      <w:proofErr w:type="gramEnd"/>
      <w:r>
        <w:rPr>
          <w:rFonts w:cstheme="minorHAnsi"/>
          <w:szCs w:val="20"/>
          <w:lang w:val="en-AU"/>
        </w:rPr>
        <w:t xml:space="preserve"> and it </w:t>
      </w:r>
      <w:r w:rsidR="00472E5D" w:rsidRPr="00472E5D">
        <w:rPr>
          <w:rFonts w:cstheme="minorHAnsi"/>
          <w:szCs w:val="20"/>
          <w:lang w:val="en-AU"/>
        </w:rPr>
        <w:t>is not aware of significant problems with the Regulations.</w:t>
      </w:r>
    </w:p>
    <w:p w14:paraId="4E16CA2C" w14:textId="77777777" w:rsidR="00E14169" w:rsidRDefault="00E14169" w:rsidP="00E14169">
      <w:pPr>
        <w:rPr>
          <w:b/>
          <w:bCs/>
          <w:color w:val="403151" w:themeColor="accent2"/>
          <w:szCs w:val="20"/>
        </w:rPr>
      </w:pPr>
      <w:r w:rsidRPr="00AA48C7">
        <w:rPr>
          <w:b/>
          <w:bCs/>
          <w:color w:val="403151" w:themeColor="accent2"/>
          <w:szCs w:val="20"/>
        </w:rPr>
        <w:t>Sensitivity of findings</w:t>
      </w:r>
    </w:p>
    <w:p w14:paraId="5661B4DC" w14:textId="7750933B" w:rsidR="00A9469C" w:rsidRDefault="006745E7" w:rsidP="00702AB8">
      <w:r w:rsidRPr="00702AB8">
        <w:t xml:space="preserve">It is noted that the scores for the options are close </w:t>
      </w:r>
      <w:proofErr w:type="gramStart"/>
      <w:r w:rsidRPr="00702AB8">
        <w:t>e.g.</w:t>
      </w:r>
      <w:proofErr w:type="gramEnd"/>
      <w:r w:rsidRPr="00702AB8">
        <w:t xml:space="preserve"> an increase in the score of Option 3 from +8 to +9 for facilitating access to health information would be sufficient to equalise the weighted total. While the scores are subjective, they are transparent assessments of how each option will contribute to the criteria and reflect the discussion outlined for each option.</w:t>
      </w:r>
      <w:r w:rsidR="009A2FEE">
        <w:t xml:space="preserve"> </w:t>
      </w:r>
      <w:r w:rsidR="00A9469C">
        <w:t xml:space="preserve">Small business and competition impacts </w:t>
      </w:r>
    </w:p>
    <w:p w14:paraId="071CC804" w14:textId="77777777" w:rsidR="009F3957" w:rsidRPr="009F3957" w:rsidRDefault="009F3957" w:rsidP="002078CD">
      <w:pPr>
        <w:rPr>
          <w:b/>
        </w:rPr>
      </w:pPr>
      <w:r w:rsidRPr="009F3957">
        <w:t xml:space="preserve">The Victorian Guide to Regulation requires a RIS to assess the impact of regulations on competition. Regulations can affect competition by preventing or limiting the ability of businesses and individuals to enter and compete within </w:t>
      </w:r>
      <w:proofErr w:type="gramStart"/>
      <w:r w:rsidRPr="009F3957">
        <w:t>particular markets</w:t>
      </w:r>
      <w:proofErr w:type="gramEnd"/>
      <w:r w:rsidRPr="009F3957">
        <w:t xml:space="preserve">. </w:t>
      </w:r>
    </w:p>
    <w:p w14:paraId="72E601C0" w14:textId="1202F0E4" w:rsidR="00A76204" w:rsidRDefault="00481D86" w:rsidP="002078CD">
      <w:r>
        <w:t>The proposed Regulations are not expected to materially impact competition.</w:t>
      </w:r>
      <w:r w:rsidR="00006E92">
        <w:t xml:space="preserve"> There will be a small positive impact on small</w:t>
      </w:r>
      <w:r w:rsidR="00114B96">
        <w:t xml:space="preserve"> private</w:t>
      </w:r>
      <w:r w:rsidR="00006E92">
        <w:t xml:space="preserve"> non-health provider organisations with a turnover not greater than $3 million as, in the absence of the proposed Regulations, they would not be allowed to charge a fee for access to health information</w:t>
      </w:r>
      <w:r w:rsidR="00A97785">
        <w:t xml:space="preserve"> under the Commonwealth Privacy Act</w:t>
      </w:r>
      <w:r w:rsidR="00006E92">
        <w:t>.</w:t>
      </w:r>
    </w:p>
    <w:p w14:paraId="55D0A6D3" w14:textId="77777777" w:rsidR="00307A35" w:rsidRPr="00DF30B5" w:rsidRDefault="00307A35" w:rsidP="00307A35">
      <w:pPr>
        <w:spacing w:before="120"/>
        <w:rPr>
          <w:rStyle w:val="Strong"/>
        </w:rPr>
      </w:pPr>
      <w:r w:rsidRPr="00DF30B5">
        <w:rPr>
          <w:rStyle w:val="Strong"/>
        </w:rPr>
        <w:t>Data limitations</w:t>
      </w:r>
    </w:p>
    <w:p w14:paraId="409CCA17" w14:textId="77777777" w:rsidR="00307A35" w:rsidRPr="00D83111" w:rsidRDefault="00307A35" w:rsidP="00307A35">
      <w:r>
        <w:t xml:space="preserve">There are significant limitations on what quantitative data is available to inform this analysis. </w:t>
      </w:r>
    </w:p>
    <w:p w14:paraId="5A019B3D" w14:textId="77777777" w:rsidR="00307A35" w:rsidRPr="00D83111" w:rsidRDefault="00307A35" w:rsidP="00307A35">
      <w:pPr>
        <w:pStyle w:val="ListParagraph"/>
        <w:numPr>
          <w:ilvl w:val="0"/>
          <w:numId w:val="33"/>
        </w:numPr>
        <w:rPr>
          <w:szCs w:val="20"/>
        </w:rPr>
      </w:pPr>
      <w:r>
        <w:rPr>
          <w:lang w:val="en-US"/>
        </w:rPr>
        <w:t xml:space="preserve">Importantly, it is noted that fees are charged directly by organisations to the individual and DH does not administer the cost recovery process. </w:t>
      </w:r>
      <w:r>
        <w:t xml:space="preserve">Under the Act and Regulations, organisations are not required to collate and provide this information. </w:t>
      </w:r>
    </w:p>
    <w:p w14:paraId="0C0D36A1" w14:textId="5D492452" w:rsidR="00307A35" w:rsidRPr="00702AB8" w:rsidRDefault="00307A35" w:rsidP="00702AB8">
      <w:pPr>
        <w:pStyle w:val="ListParagraph"/>
        <w:numPr>
          <w:ilvl w:val="0"/>
          <w:numId w:val="33"/>
        </w:numPr>
        <w:rPr>
          <w:b/>
        </w:rPr>
      </w:pPr>
      <w:r>
        <w:t>The Act has wide application</w:t>
      </w:r>
      <w:r w:rsidRPr="00D83111">
        <w:t xml:space="preserve">, encompassing all private organisations that hold health information. Requiring organisations to </w:t>
      </w:r>
      <w:r>
        <w:t>provide information</w:t>
      </w:r>
      <w:r w:rsidRPr="00D83111">
        <w:t xml:space="preserve"> to </w:t>
      </w:r>
      <w:r>
        <w:t>DH</w:t>
      </w:r>
      <w:r w:rsidRPr="00D83111">
        <w:t xml:space="preserve"> would represent a substantial</w:t>
      </w:r>
      <w:r>
        <w:t xml:space="preserve"> and unjustifiable</w:t>
      </w:r>
      <w:r w:rsidRPr="00D83111">
        <w:t xml:space="preserve"> regulatory burden on organisations covered by the Act</w:t>
      </w:r>
      <w:r w:rsidR="003D48DC">
        <w:rPr>
          <w:rStyle w:val="FootnoteReference"/>
        </w:rPr>
        <w:footnoteReference w:id="5"/>
      </w:r>
      <w:r w:rsidRPr="00D83111">
        <w:t xml:space="preserve">. </w:t>
      </w:r>
    </w:p>
    <w:p w14:paraId="5802D0E1" w14:textId="779D918F" w:rsidR="00A9469C" w:rsidRDefault="00A9469C" w:rsidP="000D327A">
      <w:pPr>
        <w:pStyle w:val="Heading3"/>
        <w:spacing w:after="120"/>
      </w:pPr>
      <w:r>
        <w:t>Implementation</w:t>
      </w:r>
    </w:p>
    <w:p w14:paraId="1DA6E666" w14:textId="283B480D" w:rsidR="000C1751" w:rsidRDefault="000C1751" w:rsidP="000C1751">
      <w:pPr>
        <w:rPr>
          <w:rFonts w:cstheme="minorHAnsi"/>
          <w:szCs w:val="20"/>
        </w:rPr>
      </w:pPr>
      <w:r>
        <w:t xml:space="preserve">The proposed remade Regulations largely continue the substance and form of the current Regulations. </w:t>
      </w:r>
      <w:r w:rsidR="006654D9">
        <w:t>DH</w:t>
      </w:r>
      <w:r>
        <w:t xml:space="preserve"> will communicate the making of the new Regulations to key stakeholders. This will provide an opportunity for </w:t>
      </w:r>
      <w:r w:rsidR="006654D9">
        <w:t>DH</w:t>
      </w:r>
      <w:r>
        <w:t xml:space="preserve"> to provide education and guidance about key matters set out in the Regulations. </w:t>
      </w:r>
      <w:r w:rsidR="006654D9">
        <w:t>DH</w:t>
      </w:r>
      <w:r>
        <w:t xml:space="preserve"> will review feedback received through the public comment period to determine how to tailor any education and guidance to be provided.</w:t>
      </w:r>
    </w:p>
    <w:p w14:paraId="02B0B4F3" w14:textId="6F1E08F5" w:rsidR="00A9469C" w:rsidRDefault="00A9469C" w:rsidP="000D327A">
      <w:pPr>
        <w:pStyle w:val="Heading3"/>
        <w:spacing w:after="120"/>
      </w:pPr>
      <w:r>
        <w:t>Evaluation</w:t>
      </w:r>
    </w:p>
    <w:p w14:paraId="2F503537" w14:textId="3D690369" w:rsidR="00206593" w:rsidRDefault="00A70D68" w:rsidP="00A7633A">
      <w:r>
        <w:t xml:space="preserve">The proposed Regulations </w:t>
      </w:r>
      <w:proofErr w:type="gramStart"/>
      <w:r>
        <w:t>will</w:t>
      </w:r>
      <w:proofErr w:type="gramEnd"/>
      <w:r>
        <w:t xml:space="preserve"> sunset in 2033. This will be the next time the Regulations are due for a full formal evaluation, undertaken via preparation of a future RIS. </w:t>
      </w:r>
      <w:proofErr w:type="gramStart"/>
      <w:r>
        <w:t>In light of</w:t>
      </w:r>
      <w:proofErr w:type="gramEnd"/>
      <w:r>
        <w:t xml:space="preserve"> the current data limitations relating to the operation of the Regulations, </w:t>
      </w:r>
      <w:r w:rsidR="006654D9">
        <w:t>DH</w:t>
      </w:r>
      <w:r>
        <w:t xml:space="preserve"> proposes to</w:t>
      </w:r>
      <w:r w:rsidR="00A7633A">
        <w:t xml:space="preserve"> </w:t>
      </w:r>
      <w:r>
        <w:t xml:space="preserve">consult with stakeholders on how the Regulations are working and if they remain fit for purpose and enable the gathering and </w:t>
      </w:r>
      <w:r>
        <w:lastRenderedPageBreak/>
        <w:t>provision of information that is required in a cost-effective manner.</w:t>
      </w:r>
      <w:r w:rsidR="00A7633A" w:rsidRPr="00A7633A">
        <w:t xml:space="preserve"> </w:t>
      </w:r>
      <w:r w:rsidR="006654D9">
        <w:t>DH</w:t>
      </w:r>
      <w:r w:rsidR="00805B90">
        <w:t xml:space="preserve"> will </w:t>
      </w:r>
      <w:r w:rsidR="00F45BC1">
        <w:t>undertake targeted engagement with</w:t>
      </w:r>
      <w:r w:rsidR="00206593">
        <w:t xml:space="preserve"> organisations to estimate:</w:t>
      </w:r>
    </w:p>
    <w:p w14:paraId="193B2568" w14:textId="77777777" w:rsidR="00E72E05" w:rsidRDefault="00206593" w:rsidP="0053333E">
      <w:pPr>
        <w:pStyle w:val="ListParagraph"/>
        <w:numPr>
          <w:ilvl w:val="0"/>
          <w:numId w:val="60"/>
        </w:numPr>
      </w:pPr>
      <w:r>
        <w:t>the number and types of requests for health information</w:t>
      </w:r>
    </w:p>
    <w:p w14:paraId="5623974D" w14:textId="77777777" w:rsidR="00E72E05" w:rsidRDefault="00206593" w:rsidP="0053333E">
      <w:pPr>
        <w:pStyle w:val="ListParagraph"/>
        <w:numPr>
          <w:ilvl w:val="0"/>
          <w:numId w:val="60"/>
        </w:numPr>
      </w:pPr>
      <w:r>
        <w:t xml:space="preserve">the level of fees that are charged for requests </w:t>
      </w:r>
      <w:r w:rsidR="00E72E05">
        <w:t>(including</w:t>
      </w:r>
      <w:r>
        <w:t xml:space="preserve"> whether organisations are charging the maximum prescribed amount, a lower </w:t>
      </w:r>
      <w:proofErr w:type="gramStart"/>
      <w:r>
        <w:t>fee</w:t>
      </w:r>
      <w:proofErr w:type="gramEnd"/>
      <w:r>
        <w:t xml:space="preserve"> or no fee)</w:t>
      </w:r>
    </w:p>
    <w:p w14:paraId="459602CB" w14:textId="77777777" w:rsidR="00E72E05" w:rsidRDefault="00206593" w:rsidP="0053333E">
      <w:pPr>
        <w:pStyle w:val="ListParagraph"/>
        <w:numPr>
          <w:ilvl w:val="0"/>
          <w:numId w:val="60"/>
        </w:numPr>
      </w:pPr>
      <w:r>
        <w:t>the costs to organisations of responding to requests</w:t>
      </w:r>
    </w:p>
    <w:p w14:paraId="0E065114" w14:textId="55C8659E" w:rsidR="00F60328" w:rsidRDefault="00E72E05" w:rsidP="0053333E">
      <w:pPr>
        <w:pStyle w:val="ListParagraph"/>
        <w:numPr>
          <w:ilvl w:val="0"/>
          <w:numId w:val="60"/>
        </w:numPr>
      </w:pPr>
      <w:r>
        <w:t>t</w:t>
      </w:r>
      <w:r w:rsidR="00206593">
        <w:t xml:space="preserve">he overall level of cost recovery achieved by organisations.  </w:t>
      </w:r>
    </w:p>
    <w:p w14:paraId="6D071EBA" w14:textId="52F9A540" w:rsidR="00A70D68" w:rsidRDefault="00455BF5" w:rsidP="00A7633A">
      <w:r>
        <w:t xml:space="preserve">This will help </w:t>
      </w:r>
      <w:r w:rsidR="009455E1">
        <w:t>DH</w:t>
      </w:r>
      <w:r>
        <w:t xml:space="preserve"> understand the burden of the regulations and any </w:t>
      </w:r>
      <w:r w:rsidR="00174E8D">
        <w:t>problems</w:t>
      </w:r>
      <w:r w:rsidR="00845324">
        <w:t xml:space="preserve">. </w:t>
      </w:r>
      <w:r w:rsidR="008C50EF">
        <w:t xml:space="preserve">Engagement undertaken will be proportionate to the significance of the problem and the effect of likely potential options to address it. Reflecting this, </w:t>
      </w:r>
      <w:r w:rsidR="009455E1">
        <w:t xml:space="preserve">DH </w:t>
      </w:r>
      <w:r w:rsidR="00F2615F">
        <w:t xml:space="preserve">will </w:t>
      </w:r>
      <w:r w:rsidR="000F0AB4">
        <w:t xml:space="preserve">aim to minimise </w:t>
      </w:r>
      <w:r w:rsidR="00EF45DE">
        <w:t xml:space="preserve">the </w:t>
      </w:r>
      <w:r w:rsidR="00A06FCD" w:rsidRPr="00A06FCD">
        <w:t>burden</w:t>
      </w:r>
      <w:r w:rsidR="00EE3A39">
        <w:t xml:space="preserve"> </w:t>
      </w:r>
      <w:r w:rsidR="00A06FCD" w:rsidRPr="00A06FCD">
        <w:t xml:space="preserve">of </w:t>
      </w:r>
      <w:r w:rsidR="00EF45DE">
        <w:t xml:space="preserve">information </w:t>
      </w:r>
      <w:r w:rsidR="00A06FCD" w:rsidRPr="00A06FCD">
        <w:t>request</w:t>
      </w:r>
      <w:r w:rsidR="00C175E2">
        <w:t>s</w:t>
      </w:r>
      <w:r w:rsidR="00A06FCD" w:rsidRPr="00A06FCD">
        <w:t xml:space="preserve"> </w:t>
      </w:r>
      <w:r w:rsidR="00F60328">
        <w:t xml:space="preserve">to estimate </w:t>
      </w:r>
      <w:r w:rsidR="00D93D98">
        <w:t>the numbers of requests and how fees are charged</w:t>
      </w:r>
      <w:r w:rsidR="00A06FCD" w:rsidRPr="00A06FCD">
        <w:t>.</w:t>
      </w:r>
      <w:r w:rsidR="00590128">
        <w:t xml:space="preserve"> </w:t>
      </w:r>
      <w:r w:rsidR="009455E1">
        <w:t>DH</w:t>
      </w:r>
      <w:r w:rsidR="00590128">
        <w:t xml:space="preserve"> will undertake targeted engagement </w:t>
      </w:r>
      <w:r w:rsidR="00334B19">
        <w:t xml:space="preserve">to collect information </w:t>
      </w:r>
      <w:r w:rsidR="00590128">
        <w:t>rather than</w:t>
      </w:r>
      <w:r w:rsidR="00334B19">
        <w:t xml:space="preserve"> seek information from </w:t>
      </w:r>
      <w:r w:rsidR="00DD545D">
        <w:t xml:space="preserve">most/all organisations in scope. </w:t>
      </w:r>
      <w:r w:rsidR="00590128">
        <w:t xml:space="preserve"> </w:t>
      </w:r>
    </w:p>
    <w:p w14:paraId="06B1EFA4" w14:textId="77777777" w:rsidR="00651311" w:rsidRPr="00C2659E" w:rsidRDefault="00651311" w:rsidP="00A659D0">
      <w:pPr>
        <w:sectPr w:rsidR="00651311" w:rsidRPr="00C2659E" w:rsidSect="00233D1A">
          <w:headerReference w:type="even" r:id="rId20"/>
          <w:headerReference w:type="default" r:id="rId21"/>
          <w:footerReference w:type="even" r:id="rId22"/>
          <w:footerReference w:type="default" r:id="rId23"/>
          <w:headerReference w:type="first" r:id="rId24"/>
          <w:pgSz w:w="11906" w:h="16838"/>
          <w:pgMar w:top="1440" w:right="1440" w:bottom="1440" w:left="1440" w:header="708" w:footer="708" w:gutter="0"/>
          <w:pgNumType w:fmt="lowerRoman" w:start="1"/>
          <w:cols w:space="708"/>
          <w:docGrid w:linePitch="360"/>
        </w:sectPr>
      </w:pPr>
    </w:p>
    <w:p w14:paraId="7343242B" w14:textId="59896264" w:rsidR="000B46A6" w:rsidRDefault="006720BE" w:rsidP="005676A0">
      <w:pPr>
        <w:pStyle w:val="Heading5"/>
        <w:ind w:right="-472"/>
      </w:pPr>
      <w:bookmarkStart w:id="6" w:name="_Toc135157708"/>
      <w:bookmarkStart w:id="7" w:name="_Toc136257460"/>
      <w:r>
        <w:lastRenderedPageBreak/>
        <w:t>Background</w:t>
      </w:r>
      <w:bookmarkEnd w:id="6"/>
      <w:bookmarkEnd w:id="7"/>
    </w:p>
    <w:p w14:paraId="52733938" w14:textId="6566430C" w:rsidR="006442B6" w:rsidRPr="00131C46" w:rsidRDefault="006442B6" w:rsidP="005676A0">
      <w:pPr>
        <w:rPr>
          <w:bCs/>
        </w:rPr>
      </w:pPr>
      <w:r w:rsidRPr="00DF316C">
        <w:rPr>
          <w:noProof/>
          <w:sz w:val="24"/>
          <w:szCs w:val="24"/>
        </w:rPr>
        <mc:AlternateContent>
          <mc:Choice Requires="wps">
            <w:drawing>
              <wp:anchor distT="45720" distB="45720" distL="114300" distR="114300" simplePos="0" relativeHeight="251658240" behindDoc="0" locked="0" layoutInCell="1" allowOverlap="1" wp14:anchorId="00CEEE3E" wp14:editId="612044A4">
                <wp:simplePos x="0" y="0"/>
                <wp:positionH relativeFrom="column">
                  <wp:posOffset>13335</wp:posOffset>
                </wp:positionH>
                <wp:positionV relativeFrom="paragraph">
                  <wp:posOffset>268605</wp:posOffset>
                </wp:positionV>
                <wp:extent cx="5748020" cy="1404620"/>
                <wp:effectExtent l="0" t="0" r="24130"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1404620"/>
                        </a:xfrm>
                        <a:prstGeom prst="rect">
                          <a:avLst/>
                        </a:prstGeom>
                        <a:solidFill>
                          <a:schemeClr val="bg2"/>
                        </a:solidFill>
                        <a:ln w="9525">
                          <a:solidFill>
                            <a:srgbClr val="000000"/>
                          </a:solidFill>
                          <a:miter lim="800000"/>
                          <a:headEnd/>
                          <a:tailEnd/>
                        </a:ln>
                      </wps:spPr>
                      <wps:txbx>
                        <w:txbxContent>
                          <w:p w14:paraId="761A45A9" w14:textId="161ACB98" w:rsidR="00367168" w:rsidRDefault="00367168" w:rsidP="005676A0">
                            <w:pPr>
                              <w:spacing w:before="0" w:after="0"/>
                            </w:pPr>
                            <w:r w:rsidRPr="00367168">
                              <w:t>The Health Records Regulations 20</w:t>
                            </w:r>
                            <w:r w:rsidR="00865E6F">
                              <w:t>1</w:t>
                            </w:r>
                            <w:r w:rsidRPr="00367168">
                              <w:t xml:space="preserve">2 balance </w:t>
                            </w:r>
                            <w:r w:rsidR="00BF5A1F">
                              <w:t>facilitating</w:t>
                            </w:r>
                            <w:r w:rsidRPr="00367168">
                              <w:t xml:space="preserve"> access to health information</w:t>
                            </w:r>
                            <w:r w:rsidR="00A17D81">
                              <w:t xml:space="preserve"> for individuals</w:t>
                            </w:r>
                            <w:r w:rsidRPr="00367168">
                              <w:t xml:space="preserve"> with</w:t>
                            </w:r>
                            <w:r w:rsidR="00BF5A1F">
                              <w:t xml:space="preserve"> allowing private health providers to offset the associated</w:t>
                            </w:r>
                            <w:r w:rsidRPr="00367168">
                              <w:t xml:space="preserve"> cost. The Regulations are due to sunset on </w:t>
                            </w:r>
                            <w:r w:rsidR="001E452B">
                              <w:t xml:space="preserve">19 </w:t>
                            </w:r>
                            <w:r w:rsidRPr="00367168">
                              <w:t>August 2023. This RIS assesses the impact of different options for replacing the current Regulations in accordance with Better Regulation Victoria’s Victorian Guide to Regulation and the Subordinate Legislation Act 1994.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EEE3E" id="_x0000_t202" coordsize="21600,21600" o:spt="202" path="m,l,21600r21600,l21600,xe">
                <v:stroke joinstyle="miter"/>
                <v:path gradientshapeok="t" o:connecttype="rect"/>
              </v:shapetype>
              <v:shape id="Text Box 217" o:spid="_x0000_s1026" type="#_x0000_t202" style="position:absolute;margin-left:1.05pt;margin-top:21.15pt;width:452.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" fillcolor="#eeece1 [3214]">
                <v:textbox style="mso-fit-shape-to-text:t">
                  <w:txbxContent>
                    <w:p w14:paraId="761A45A9" w14:textId="161ACB98" w:rsidR="00367168" w:rsidRDefault="00367168" w:rsidP="005676A0">
                      <w:pPr>
                        <w:spacing w:before="0" w:after="0"/>
                      </w:pPr>
                      <w:r w:rsidRPr="00367168">
                        <w:t>The Health Records Regulations 20</w:t>
                      </w:r>
                      <w:r w:rsidR="00865E6F">
                        <w:t>1</w:t>
                      </w:r>
                      <w:r w:rsidRPr="00367168">
                        <w:t xml:space="preserve">2 balance </w:t>
                      </w:r>
                      <w:r w:rsidR="00BF5A1F">
                        <w:t>facilitating</w:t>
                      </w:r>
                      <w:r w:rsidRPr="00367168">
                        <w:t xml:space="preserve"> access to health information</w:t>
                      </w:r>
                      <w:r w:rsidR="00A17D81">
                        <w:t xml:space="preserve"> for individuals</w:t>
                      </w:r>
                      <w:r w:rsidRPr="00367168">
                        <w:t xml:space="preserve"> with</w:t>
                      </w:r>
                      <w:r w:rsidR="00BF5A1F">
                        <w:t xml:space="preserve"> allowing private health providers to offset the associated</w:t>
                      </w:r>
                      <w:r w:rsidRPr="00367168">
                        <w:t xml:space="preserve"> cost. The Regulations are due to sunset on </w:t>
                      </w:r>
                      <w:r w:rsidR="001E452B">
                        <w:t xml:space="preserve">19 </w:t>
                      </w:r>
                      <w:r w:rsidRPr="00367168">
                        <w:t>August 2023. This RIS assesses the impact of different options for replacing the current Regulations in accordance with Better Regulation Victoria’s Victorian Guide to Regulation and the Subordinate Legislation Act 1994.</w:t>
                      </w:r>
                    </w:p>
                  </w:txbxContent>
                </v:textbox>
                <w10:wrap type="square"/>
              </v:shape>
            </w:pict>
          </mc:Fallback>
        </mc:AlternateContent>
      </w:r>
      <w:r w:rsidRPr="00DF316C">
        <w:rPr>
          <w:sz w:val="24"/>
          <w:szCs w:val="28"/>
        </w:rPr>
        <w:t xml:space="preserve">This chapter provides background to the </w:t>
      </w:r>
      <w:r w:rsidR="004E3DBE" w:rsidRPr="00DF316C">
        <w:rPr>
          <w:sz w:val="24"/>
          <w:szCs w:val="28"/>
        </w:rPr>
        <w:t>RIS</w:t>
      </w:r>
      <w:r w:rsidRPr="00DF316C">
        <w:rPr>
          <w:sz w:val="24"/>
          <w:szCs w:val="28"/>
        </w:rPr>
        <w:t xml:space="preserve"> that is being </w:t>
      </w:r>
      <w:r w:rsidR="004E3DBE" w:rsidRPr="00DF316C">
        <w:rPr>
          <w:sz w:val="24"/>
          <w:szCs w:val="28"/>
        </w:rPr>
        <w:t>u</w:t>
      </w:r>
      <w:r w:rsidRPr="00DF316C">
        <w:rPr>
          <w:sz w:val="24"/>
          <w:szCs w:val="28"/>
        </w:rPr>
        <w:t>ndertake</w:t>
      </w:r>
      <w:r w:rsidR="00DF316C">
        <w:rPr>
          <w:sz w:val="24"/>
          <w:szCs w:val="28"/>
        </w:rPr>
        <w:t>n.</w:t>
      </w:r>
    </w:p>
    <w:p w14:paraId="24107634" w14:textId="3C58BF3B" w:rsidR="007E691D" w:rsidRDefault="00FF1CA3" w:rsidP="00157EB0">
      <w:pPr>
        <w:spacing w:before="240"/>
      </w:pPr>
      <w:r>
        <w:t xml:space="preserve">Health information </w:t>
      </w:r>
      <w:r w:rsidR="00A84895">
        <w:t xml:space="preserve">about Victorians is held by a wide range of </w:t>
      </w:r>
      <w:r w:rsidR="005F2C19">
        <w:t>organisations</w:t>
      </w:r>
      <w:r w:rsidR="00A84895">
        <w:t>, from public hospitals, doctors, dentists</w:t>
      </w:r>
      <w:r w:rsidR="008D6017">
        <w:t>, through to private health service providers (</w:t>
      </w:r>
      <w:proofErr w:type="gramStart"/>
      <w:r w:rsidR="008D6017">
        <w:t>e.g.</w:t>
      </w:r>
      <w:proofErr w:type="gramEnd"/>
      <w:r w:rsidR="008D6017">
        <w:t xml:space="preserve"> aged care providers) and other organisations (e.g. insurance companies and schools)</w:t>
      </w:r>
      <w:r w:rsidR="008E65B3">
        <w:t xml:space="preserve">. </w:t>
      </w:r>
    </w:p>
    <w:p w14:paraId="11104F45" w14:textId="33349B8D" w:rsidR="00412A9E" w:rsidRDefault="00412A9E" w:rsidP="00C67CEA">
      <w:r>
        <w:t xml:space="preserve">The community expects that they </w:t>
      </w:r>
      <w:r w:rsidR="4992D968">
        <w:t>can</w:t>
      </w:r>
      <w:r>
        <w:t xml:space="preserve"> access health information held about themselves when they wish. However, </w:t>
      </w:r>
      <w:r w:rsidR="00A828D5">
        <w:t xml:space="preserve">providing access </w:t>
      </w:r>
      <w:r w:rsidR="15AD0EB9">
        <w:t xml:space="preserve">requires </w:t>
      </w:r>
      <w:r w:rsidR="5EF64D6C">
        <w:t>time and effort by</w:t>
      </w:r>
      <w:r w:rsidR="00A828D5">
        <w:t xml:space="preserve"> the organisation holding that information. For this reason, legislative arrangements </w:t>
      </w:r>
      <w:r w:rsidR="00C25F15">
        <w:t>were put in place to facilitate access</w:t>
      </w:r>
      <w:r w:rsidR="00444A97">
        <w:t>, balanc</w:t>
      </w:r>
      <w:r w:rsidR="008F1885">
        <w:t>ing</w:t>
      </w:r>
      <w:r w:rsidR="00444A97">
        <w:t xml:space="preserve"> the provision of access </w:t>
      </w:r>
      <w:r w:rsidR="005D5F18">
        <w:t xml:space="preserve">to individuals </w:t>
      </w:r>
      <w:r w:rsidR="00444A97">
        <w:t xml:space="preserve">and the </w:t>
      </w:r>
      <w:r w:rsidR="005D5F18">
        <w:t xml:space="preserve">recovery by </w:t>
      </w:r>
      <w:r w:rsidR="006177F7">
        <w:t>organisations</w:t>
      </w:r>
      <w:r w:rsidR="005D5F18">
        <w:t xml:space="preserve"> of the reasonable costs of providing that access.</w:t>
      </w:r>
    </w:p>
    <w:p w14:paraId="7F59772C" w14:textId="7E6BB563" w:rsidR="00C25F15" w:rsidRDefault="00210FE5" w:rsidP="00C25F15">
      <w:pPr>
        <w:pStyle w:val="Heading6"/>
      </w:pPr>
      <w:bookmarkStart w:id="8" w:name="_Toc135157709"/>
      <w:r>
        <w:t>C</w:t>
      </w:r>
      <w:r w:rsidR="00C25F15">
        <w:t>urrent legislative framework</w:t>
      </w:r>
      <w:bookmarkEnd w:id="8"/>
    </w:p>
    <w:p w14:paraId="1AC966D7" w14:textId="219D3252" w:rsidR="00265A32" w:rsidRPr="00FE17E7" w:rsidRDefault="00265A32" w:rsidP="008750E4">
      <w:pPr>
        <w:rPr>
          <w:i/>
          <w:iCs/>
          <w:color w:val="7B5E05" w:themeColor="accent1"/>
          <w:sz w:val="22"/>
        </w:rPr>
      </w:pPr>
      <w:r w:rsidRPr="00FE17E7">
        <w:rPr>
          <w:i/>
          <w:iCs/>
          <w:color w:val="7B5E05" w:themeColor="accent1"/>
          <w:sz w:val="22"/>
        </w:rPr>
        <w:t>The Victorian Health Records Act 2001</w:t>
      </w:r>
    </w:p>
    <w:p w14:paraId="649C8BE1" w14:textId="41C09DE6" w:rsidR="00D9530A" w:rsidRDefault="008750E4" w:rsidP="008750E4">
      <w:r>
        <w:t>The</w:t>
      </w:r>
      <w:r w:rsidR="00F75247">
        <w:t xml:space="preserve"> Victorian</w:t>
      </w:r>
      <w:r>
        <w:t xml:space="preserve"> </w:t>
      </w:r>
      <w:r>
        <w:rPr>
          <w:i/>
          <w:iCs/>
        </w:rPr>
        <w:t>Health Records Act 2001</w:t>
      </w:r>
      <w:r>
        <w:t xml:space="preserve"> </w:t>
      </w:r>
      <w:r w:rsidR="000E493C">
        <w:t>(the Act)</w:t>
      </w:r>
      <w:r>
        <w:t xml:space="preserve"> provides the framework for controlling the collection and handling of individuals’ personal health information. The Act sets out Health Privacy Principles (HPPs), based on international standards, designed to protect privacy, promote patient autonomy, and ensure the safe and effective delivery of health services</w:t>
      </w:r>
      <w:r w:rsidR="00B270B0">
        <w:t xml:space="preserve"> (see Appendix </w:t>
      </w:r>
      <w:r w:rsidR="00920B50">
        <w:t>A</w:t>
      </w:r>
      <w:r w:rsidR="00B270B0">
        <w:t xml:space="preserve"> for high level description of the HPPs)</w:t>
      </w:r>
      <w:r>
        <w:t>.</w:t>
      </w:r>
      <w:r w:rsidRPr="00EB3164">
        <w:t xml:space="preserve"> </w:t>
      </w:r>
      <w:r>
        <w:t>The Act provides people with a legal right to access health information about them</w:t>
      </w:r>
      <w:r w:rsidR="000E614D">
        <w:t>.</w:t>
      </w:r>
      <w:r>
        <w:t xml:space="preserve"> </w:t>
      </w:r>
    </w:p>
    <w:p w14:paraId="69BC4A9E" w14:textId="3229A7B2" w:rsidR="00597382" w:rsidRDefault="00380285" w:rsidP="003E36F7">
      <w:r>
        <w:t xml:space="preserve">The Act </w:t>
      </w:r>
      <w:r w:rsidR="00ED28B9">
        <w:t>specifies</w:t>
      </w:r>
      <w:r w:rsidR="00FD5E61">
        <w:t xml:space="preserve"> fees</w:t>
      </w:r>
      <w:r w:rsidR="00D9530A">
        <w:t xml:space="preserve"> that may be charged</w:t>
      </w:r>
      <w:r w:rsidR="003A0F23">
        <w:t xml:space="preserve"> by </w:t>
      </w:r>
      <w:r w:rsidR="00702660">
        <w:t>organisations</w:t>
      </w:r>
      <w:r w:rsidR="00D9530A">
        <w:t xml:space="preserve"> for providing access to information</w:t>
      </w:r>
      <w:r w:rsidR="00597382">
        <w:t xml:space="preserve"> in relation to:</w:t>
      </w:r>
    </w:p>
    <w:p w14:paraId="08D453DE" w14:textId="5874E750" w:rsidR="00597382" w:rsidRDefault="00597382" w:rsidP="00265A32">
      <w:pPr>
        <w:pStyle w:val="ListBullet"/>
      </w:pPr>
      <w:r>
        <w:t>Providing access to</w:t>
      </w:r>
      <w:r w:rsidR="0072193E">
        <w:t xml:space="preserve"> information to</w:t>
      </w:r>
      <w:r>
        <w:t xml:space="preserve"> individuals</w:t>
      </w:r>
    </w:p>
    <w:p w14:paraId="6B1DB9F5" w14:textId="3EE57B45" w:rsidR="00597382" w:rsidRDefault="00597382" w:rsidP="00265A32">
      <w:pPr>
        <w:pStyle w:val="ListBullet"/>
      </w:pPr>
      <w:r>
        <w:t xml:space="preserve">Transferring </w:t>
      </w:r>
      <w:r w:rsidR="0072193E">
        <w:t>information between health providers</w:t>
      </w:r>
    </w:p>
    <w:p w14:paraId="1B6C08FA" w14:textId="64BD0482" w:rsidR="00597382" w:rsidRDefault="00597382" w:rsidP="00265A32">
      <w:pPr>
        <w:pStyle w:val="ListBullet"/>
      </w:pPr>
      <w:r>
        <w:t>Reviewing refused access</w:t>
      </w:r>
      <w:r w:rsidR="0072193E">
        <w:t>.</w:t>
      </w:r>
    </w:p>
    <w:p w14:paraId="0BA930C3" w14:textId="219FECBF" w:rsidR="003E36F7" w:rsidRPr="00DA5D90" w:rsidRDefault="003479F1" w:rsidP="003E36F7">
      <w:r>
        <w:t xml:space="preserve">The key requirements relating to access to health information by individuals are provided in </w:t>
      </w:r>
      <w:r w:rsidR="006A7351">
        <w:t xml:space="preserve">section </w:t>
      </w:r>
      <w:r w:rsidR="00E1113F">
        <w:t>32 of</w:t>
      </w:r>
      <w:r w:rsidR="006A7351">
        <w:t xml:space="preserve"> </w:t>
      </w:r>
      <w:r w:rsidR="00C97D08">
        <w:t>the</w:t>
      </w:r>
      <w:r w:rsidR="002107DC">
        <w:t xml:space="preserve"> </w:t>
      </w:r>
      <w:r w:rsidR="00C179BE">
        <w:t>Act</w:t>
      </w:r>
      <w:r w:rsidR="003E36F7">
        <w:rPr>
          <w:rFonts w:ascii="Arial" w:hAnsi="Arial" w:cs="Arial"/>
          <w:sz w:val="22"/>
          <w:lang w:val="en-AU"/>
        </w:rPr>
        <w:t>:</w:t>
      </w:r>
    </w:p>
    <w:p w14:paraId="4E303FA8" w14:textId="5348EFA0" w:rsidR="00C97D08" w:rsidRPr="00DA5D90" w:rsidRDefault="00C97D08" w:rsidP="00DA5D90">
      <w:pPr>
        <w:pStyle w:val="ListBullet"/>
      </w:pPr>
      <w:r w:rsidRPr="00DA5D90">
        <w:t>A fee may not be charged for providing a manner of access to health information unless a maximum fee has been prescribed for that manner of access.</w:t>
      </w:r>
      <w:r w:rsidR="00FB07A7">
        <w:rPr>
          <w:rStyle w:val="FootnoteReference"/>
        </w:rPr>
        <w:footnoteReference w:id="6"/>
      </w:r>
    </w:p>
    <w:p w14:paraId="5A1F82C3" w14:textId="77777777" w:rsidR="00FB07A7" w:rsidRDefault="00C97D08" w:rsidP="00C97D08">
      <w:pPr>
        <w:pStyle w:val="ListBullet"/>
      </w:pPr>
      <w:r w:rsidRPr="00DA5D90">
        <w:t>An organisation must not charge a fee exceeding the prescribed maximum fee.</w:t>
      </w:r>
    </w:p>
    <w:p w14:paraId="5D20CE79" w14:textId="0F4A12FD" w:rsidR="00D30AB1" w:rsidRDefault="00FA208C" w:rsidP="00E500F3">
      <w:r>
        <w:lastRenderedPageBreak/>
        <w:t>HPP</w:t>
      </w:r>
      <w:r w:rsidR="0056732F">
        <w:t xml:space="preserve"> </w:t>
      </w:r>
      <w:r>
        <w:t>11.1 of the</w:t>
      </w:r>
      <w:r w:rsidR="00D30AB1" w:rsidRPr="00DA5D90">
        <w:t xml:space="preserve"> Act</w:t>
      </w:r>
      <w:r w:rsidR="003479F1">
        <w:t xml:space="preserve"> </w:t>
      </w:r>
      <w:r w:rsidR="00D30AB1" w:rsidRPr="00DA5D90">
        <w:t xml:space="preserve">provides that a person may direct health service providers to provide health information about them to another health service provider. Fees may be charged not exceeding a </w:t>
      </w:r>
      <w:r w:rsidR="00430D38">
        <w:t>prescribed maximum fee</w:t>
      </w:r>
      <w:r>
        <w:t xml:space="preserve">. </w:t>
      </w:r>
      <w:r w:rsidR="00C67629">
        <w:t xml:space="preserve">Unlike for </w:t>
      </w:r>
      <w:r w:rsidR="002C44BF">
        <w:t>access to health information by individuals, the Act does not prevent a fee being charged if no maximum fee has been prescribed.</w:t>
      </w:r>
      <w:r w:rsidR="00456DB3">
        <w:t xml:space="preserve"> </w:t>
      </w:r>
    </w:p>
    <w:p w14:paraId="63F3DE35" w14:textId="0EDF5ED2" w:rsidR="001346A0" w:rsidRDefault="004F7150" w:rsidP="002A009A">
      <w:r>
        <w:t>Division 3</w:t>
      </w:r>
      <w:r w:rsidR="00B12AEC">
        <w:t xml:space="preserve"> of the Act sets out </w:t>
      </w:r>
      <w:r w:rsidR="00ED28B9">
        <w:t>requirements relating to the review of r</w:t>
      </w:r>
      <w:r w:rsidR="00ED28B9" w:rsidRPr="00ED28B9">
        <w:t xml:space="preserve">efusal of access </w:t>
      </w:r>
      <w:r w:rsidR="00ED28B9">
        <w:t xml:space="preserve">to information </w:t>
      </w:r>
      <w:r w:rsidR="00ED28B9" w:rsidRPr="00ED28B9">
        <w:t xml:space="preserve">on </w:t>
      </w:r>
      <w:r w:rsidR="00EE2832">
        <w:t xml:space="preserve">the </w:t>
      </w:r>
      <w:r w:rsidR="00ED28B9" w:rsidRPr="00ED28B9">
        <w:t>ground</w:t>
      </w:r>
      <w:r w:rsidR="00EE2832">
        <w:t>s</w:t>
      </w:r>
      <w:r w:rsidR="00ED28B9" w:rsidRPr="00ED28B9">
        <w:t xml:space="preserve"> of </w:t>
      </w:r>
      <w:r w:rsidR="00883E2F">
        <w:t xml:space="preserve">a serious </w:t>
      </w:r>
      <w:r w:rsidR="00ED28B9" w:rsidRPr="00ED28B9">
        <w:t>threat to life or health of the individual requesting access</w:t>
      </w:r>
      <w:r w:rsidR="00ED28B9">
        <w:t>.</w:t>
      </w:r>
      <w:r w:rsidR="00B12AEC" w:rsidRPr="00811A9C">
        <w:t xml:space="preserve"> </w:t>
      </w:r>
      <w:r w:rsidR="00BA643F">
        <w:t>For example,</w:t>
      </w:r>
      <w:r w:rsidR="00AF1C8D">
        <w:t xml:space="preserve"> </w:t>
      </w:r>
      <w:r w:rsidR="00936081">
        <w:t>an organisation</w:t>
      </w:r>
      <w:r w:rsidR="00AF1C8D">
        <w:t xml:space="preserve"> </w:t>
      </w:r>
      <w:r w:rsidR="00FA1773">
        <w:t xml:space="preserve">could </w:t>
      </w:r>
      <w:r w:rsidR="00AF1C8D">
        <w:t>refuse access to information</w:t>
      </w:r>
      <w:r w:rsidR="00AF484A">
        <w:t xml:space="preserve"> they hold</w:t>
      </w:r>
      <w:r w:rsidR="00AF1C8D">
        <w:t xml:space="preserve"> </w:t>
      </w:r>
      <w:r w:rsidR="00A25128">
        <w:t>if</w:t>
      </w:r>
      <w:r w:rsidR="004B3D1F">
        <w:t xml:space="preserve"> they </w:t>
      </w:r>
      <w:r w:rsidR="00562B83">
        <w:t xml:space="preserve">reasonably </w:t>
      </w:r>
      <w:r w:rsidR="004B3D1F">
        <w:t xml:space="preserve">believe giving access </w:t>
      </w:r>
      <w:r w:rsidR="00562B83">
        <w:t>w</w:t>
      </w:r>
      <w:r w:rsidR="004B3D1F">
        <w:t>ould cause significant distress</w:t>
      </w:r>
      <w:r w:rsidR="005A371B">
        <w:t xml:space="preserve"> </w:t>
      </w:r>
      <w:r w:rsidR="00562B83">
        <w:t xml:space="preserve">to the individual </w:t>
      </w:r>
      <w:r w:rsidR="005A371B">
        <w:t xml:space="preserve">and deterioration of </w:t>
      </w:r>
      <w:proofErr w:type="gramStart"/>
      <w:r w:rsidR="005A371B">
        <w:t>the</w:t>
      </w:r>
      <w:r w:rsidR="0040316A">
        <w:t xml:space="preserve">ir </w:t>
      </w:r>
      <w:r w:rsidR="00AF484A">
        <w:t xml:space="preserve"> </w:t>
      </w:r>
      <w:r w:rsidR="005A371B">
        <w:t>mental</w:t>
      </w:r>
      <w:proofErr w:type="gramEnd"/>
      <w:r w:rsidR="005A371B">
        <w:t xml:space="preserve"> health </w:t>
      </w:r>
      <w:r w:rsidR="00560711">
        <w:t>condition such that</w:t>
      </w:r>
      <w:r w:rsidR="005A371B">
        <w:t xml:space="preserve"> it would pose a serious threat to the</w:t>
      </w:r>
      <w:r w:rsidR="00560711">
        <w:t>ir</w:t>
      </w:r>
      <w:r w:rsidR="005A371B">
        <w:t xml:space="preserve"> life or health</w:t>
      </w:r>
      <w:r w:rsidR="000669E3">
        <w:t xml:space="preserve">. The individual </w:t>
      </w:r>
      <w:r w:rsidR="00353271">
        <w:t>being refused</w:t>
      </w:r>
      <w:r w:rsidR="000669E3">
        <w:t xml:space="preserve"> access could then ask for a review</w:t>
      </w:r>
      <w:r w:rsidR="00BB40E8">
        <w:t xml:space="preserve"> of that decision</w:t>
      </w:r>
      <w:r w:rsidR="000669E3">
        <w:t xml:space="preserve"> by a nominate</w:t>
      </w:r>
      <w:r w:rsidR="00BB40E8">
        <w:t>d</w:t>
      </w:r>
      <w:r w:rsidR="000669E3">
        <w:t xml:space="preserve"> </w:t>
      </w:r>
      <w:r w:rsidR="00E07D23">
        <w:t xml:space="preserve">health </w:t>
      </w:r>
      <w:r w:rsidR="000669E3">
        <w:t>service provider</w:t>
      </w:r>
      <w:r w:rsidR="00BC23D4">
        <w:t>.</w:t>
      </w:r>
      <w:r w:rsidR="00453895">
        <w:rPr>
          <w:rStyle w:val="FootnoteReference"/>
        </w:rPr>
        <w:footnoteReference w:id="7"/>
      </w:r>
      <w:r w:rsidR="00BB40E8">
        <w:t xml:space="preserve"> Section 42(3) of the Act states that a</w:t>
      </w:r>
      <w:r w:rsidR="00936081">
        <w:t xml:space="preserve"> nominated health service provider </w:t>
      </w:r>
      <w:r w:rsidR="00BB40E8">
        <w:t xml:space="preserve">may charge a fee </w:t>
      </w:r>
      <w:r w:rsidR="00BB40E8" w:rsidRPr="009215D7">
        <w:t xml:space="preserve">not exceeding a </w:t>
      </w:r>
      <w:r w:rsidR="00BB40E8">
        <w:t>prescribed maximum fee for performing a review of a refusal of access to health information</w:t>
      </w:r>
      <w:r w:rsidR="00BB40E8" w:rsidRPr="00811A9C">
        <w:t xml:space="preserve"> </w:t>
      </w:r>
      <w:r w:rsidR="00BB40E8">
        <w:t xml:space="preserve">that has been refused based on a serious threat to the individual. </w:t>
      </w:r>
      <w:r w:rsidR="002A009A">
        <w:t>As per the fee for transfer of information between health providers,</w:t>
      </w:r>
      <w:r w:rsidR="004C514A">
        <w:t xml:space="preserve"> </w:t>
      </w:r>
      <w:r w:rsidR="002A009A">
        <w:t xml:space="preserve">the Act does not prevent a fee being charged if no maximum fee has been prescribed. </w:t>
      </w:r>
    </w:p>
    <w:p w14:paraId="2B1D74A9" w14:textId="35039DCB" w:rsidR="00265A32" w:rsidRPr="00FE17E7" w:rsidRDefault="00265A32" w:rsidP="00265A32">
      <w:pPr>
        <w:rPr>
          <w:i/>
          <w:iCs/>
          <w:color w:val="7B5E05" w:themeColor="accent1"/>
          <w:sz w:val="22"/>
        </w:rPr>
      </w:pPr>
      <w:r w:rsidRPr="00FE17E7">
        <w:rPr>
          <w:i/>
          <w:iCs/>
          <w:color w:val="7B5E05" w:themeColor="accent1"/>
          <w:sz w:val="22"/>
        </w:rPr>
        <w:t xml:space="preserve">Other relevant legislation </w:t>
      </w:r>
    </w:p>
    <w:p w14:paraId="41A9A423" w14:textId="61E68F37" w:rsidR="001F0EE4" w:rsidRPr="001F0EE4" w:rsidRDefault="001F0EE4" w:rsidP="001F0EE4">
      <w:r w:rsidRPr="001F0EE4">
        <w:t>There are two other key pieces of legislation that apply to the access of health information by the Victorian community. These are relevant to the analysis undertaken in this RIS because they provide some rights for individuals to access health records</w:t>
      </w:r>
      <w:r w:rsidR="007B34AF">
        <w:t>.</w:t>
      </w:r>
    </w:p>
    <w:p w14:paraId="489BD47B" w14:textId="06D1D681" w:rsidR="001F0EE4" w:rsidRPr="001F0EE4" w:rsidRDefault="001F0EE4" w:rsidP="001F0EE4">
      <w:pPr>
        <w:rPr>
          <w:rFonts w:cstheme="minorHAnsi"/>
          <w:szCs w:val="20"/>
          <w:lang w:val="en-AU"/>
        </w:rPr>
      </w:pPr>
      <w:r w:rsidRPr="001F0EE4">
        <w:t xml:space="preserve">The Victorian </w:t>
      </w:r>
      <w:r w:rsidRPr="001F0EE4">
        <w:rPr>
          <w:i/>
          <w:iCs/>
        </w:rPr>
        <w:t xml:space="preserve">Freedom of Information Act 1982 </w:t>
      </w:r>
      <w:r w:rsidRPr="001F0EE4">
        <w:t xml:space="preserve">(the FOI Act) gives people the right to access information </w:t>
      </w:r>
      <w:r w:rsidR="002018A4">
        <w:t xml:space="preserve">held </w:t>
      </w:r>
      <w:r w:rsidRPr="001F0EE4">
        <w:t xml:space="preserve">by public sector </w:t>
      </w:r>
      <w:r w:rsidR="00A03592">
        <w:t>organisations</w:t>
      </w:r>
      <w:r w:rsidRPr="001F0EE4">
        <w:t>. It outlines the process for requesting access to information and provides for reasonable costs to be charged by the agency to meet the costs associated with access.</w:t>
      </w:r>
      <w:r w:rsidR="00922686" w:rsidRPr="00922686">
        <w:t xml:space="preserve"> </w:t>
      </w:r>
      <w:r w:rsidR="00120931">
        <w:t>The FOI Act applies to health information held by public providers (e.g. public hospitals</w:t>
      </w:r>
      <w:proofErr w:type="gramStart"/>
      <w:r w:rsidR="00120931">
        <w:t>).</w:t>
      </w:r>
      <w:r w:rsidRPr="001F0EE4">
        <w:t>The</w:t>
      </w:r>
      <w:proofErr w:type="gramEnd"/>
      <w:r w:rsidRPr="001F0EE4">
        <w:rPr>
          <w:i/>
        </w:rPr>
        <w:t xml:space="preserve"> </w:t>
      </w:r>
      <w:r w:rsidRPr="001F0EE4">
        <w:rPr>
          <w:i/>
          <w:iCs/>
        </w:rPr>
        <w:t>Commonwealth Privacy Act</w:t>
      </w:r>
      <w:r w:rsidRPr="001F0EE4">
        <w:rPr>
          <w:i/>
        </w:rPr>
        <w:t xml:space="preserve"> 1988</w:t>
      </w:r>
      <w:r w:rsidRPr="001F0EE4">
        <w:t xml:space="preserve"> is</w:t>
      </w:r>
      <w:r w:rsidRPr="001F0EE4">
        <w:rPr>
          <w:i/>
        </w:rPr>
        <w:t xml:space="preserve"> </w:t>
      </w:r>
      <w:r w:rsidRPr="001F0EE4">
        <w:t>the principal piece of Australian legislation protecting the handling of personal information about individuals. This includes the collection, use, storage and disclosure of personal information in the federal public sector and in the private sector.</w:t>
      </w:r>
      <w:r w:rsidR="00E32867">
        <w:rPr>
          <w:rStyle w:val="FootnoteReference"/>
        </w:rPr>
        <w:footnoteReference w:id="8"/>
      </w:r>
      <w:r w:rsidRPr="001F0EE4">
        <w:t xml:space="preserve"> The Privacy Act is applicable to all</w:t>
      </w:r>
      <w:r w:rsidR="007252CF">
        <w:t xml:space="preserve"> private</w:t>
      </w:r>
      <w:r w:rsidRPr="001F0EE4">
        <w:t xml:space="preserve"> health </w:t>
      </w:r>
      <w:proofErr w:type="gramStart"/>
      <w:r w:rsidRPr="001F0EE4">
        <w:t>service, and</w:t>
      </w:r>
      <w:proofErr w:type="gramEnd"/>
      <w:r w:rsidRPr="001F0EE4">
        <w:t xml:space="preserve"> applies to non-health service providers that hold health information</w:t>
      </w:r>
      <w:r w:rsidR="005D675A">
        <w:t>, for example, gyms</w:t>
      </w:r>
      <w:r w:rsidRPr="001F0EE4">
        <w:t xml:space="preserve"> (both private </w:t>
      </w:r>
      <w:r w:rsidR="00F82F02">
        <w:t>and federal</w:t>
      </w:r>
      <w:r w:rsidR="00560AF4">
        <w:t xml:space="preserve"> public sector providers </w:t>
      </w:r>
      <w:r w:rsidRPr="001F0EE4">
        <w:t xml:space="preserve">with a turnover of more than $3 million a year). The Privacy Act allows for an </w:t>
      </w:r>
      <w:r w:rsidR="00506CEC">
        <w:t>organisation</w:t>
      </w:r>
      <w:r w:rsidRPr="001F0EE4">
        <w:t xml:space="preserve"> that is covered under the Act to charge the individual for giving access to health </w:t>
      </w:r>
      <w:r w:rsidRPr="001F0EE4">
        <w:rPr>
          <w:rFonts w:cstheme="minorHAnsi"/>
          <w:szCs w:val="20"/>
        </w:rPr>
        <w:t>information; the charge “must not be excessive and must not apply to the making of the request”.</w:t>
      </w:r>
      <w:r w:rsidRPr="001F0EE4">
        <w:rPr>
          <w:rFonts w:cstheme="minorHAnsi"/>
          <w:szCs w:val="20"/>
          <w:vertAlign w:val="superscript"/>
        </w:rPr>
        <w:footnoteReference w:id="9"/>
      </w:r>
      <w:r w:rsidRPr="001F0EE4">
        <w:rPr>
          <w:rFonts w:cstheme="minorHAnsi"/>
          <w:szCs w:val="20"/>
          <w:lang w:val="en-AU"/>
        </w:rPr>
        <w:t xml:space="preserve"> </w:t>
      </w:r>
      <w:r w:rsidR="00092BC9">
        <w:rPr>
          <w:rFonts w:cstheme="minorHAnsi"/>
          <w:szCs w:val="20"/>
          <w:lang w:val="en-AU"/>
        </w:rPr>
        <w:t>In the explanatory memo</w:t>
      </w:r>
      <w:r w:rsidR="00CA2758">
        <w:rPr>
          <w:rFonts w:cstheme="minorHAnsi"/>
          <w:szCs w:val="20"/>
          <w:lang w:val="en-AU"/>
        </w:rPr>
        <w:t>r</w:t>
      </w:r>
      <w:r w:rsidR="00972FE5">
        <w:rPr>
          <w:rFonts w:cstheme="minorHAnsi"/>
          <w:szCs w:val="20"/>
          <w:lang w:val="en-AU"/>
        </w:rPr>
        <w:t>andum</w:t>
      </w:r>
      <w:r w:rsidR="00092BC9">
        <w:rPr>
          <w:rFonts w:cstheme="minorHAnsi"/>
          <w:szCs w:val="20"/>
          <w:lang w:val="en-AU"/>
        </w:rPr>
        <w:t xml:space="preserve"> of </w:t>
      </w:r>
      <w:r w:rsidR="00092BC9">
        <w:rPr>
          <w:rFonts w:cstheme="minorHAnsi"/>
          <w:szCs w:val="20"/>
          <w:lang w:val="en-AU"/>
        </w:rPr>
        <w:lastRenderedPageBreak/>
        <w:t xml:space="preserve">the </w:t>
      </w:r>
      <w:r w:rsidR="00364771">
        <w:rPr>
          <w:rFonts w:cstheme="minorHAnsi"/>
          <w:szCs w:val="20"/>
          <w:lang w:val="en-AU"/>
        </w:rPr>
        <w:t>2012</w:t>
      </w:r>
      <w:r w:rsidR="003E7A03">
        <w:rPr>
          <w:rFonts w:cstheme="minorHAnsi"/>
          <w:szCs w:val="20"/>
          <w:lang w:val="en-AU"/>
        </w:rPr>
        <w:t xml:space="preserve"> amendments to the Privacy Act</w:t>
      </w:r>
      <w:r w:rsidR="00364771">
        <w:rPr>
          <w:rFonts w:cstheme="minorHAnsi"/>
          <w:szCs w:val="20"/>
          <w:lang w:val="en-AU"/>
        </w:rPr>
        <w:t>, “</w:t>
      </w:r>
      <w:r w:rsidR="003E7A03">
        <w:rPr>
          <w:rFonts w:cstheme="minorHAnsi"/>
          <w:szCs w:val="20"/>
          <w:lang w:val="en-AU"/>
        </w:rPr>
        <w:t>a</w:t>
      </w:r>
      <w:r w:rsidR="00364771" w:rsidRPr="00364771">
        <w:rPr>
          <w:rFonts w:cstheme="minorHAnsi"/>
          <w:szCs w:val="20"/>
          <w:lang w:val="en-AU"/>
        </w:rPr>
        <w:t>n excessive charge amount would include recouping costs above the actual amount incurred by the organisation</w:t>
      </w:r>
      <w:r w:rsidR="00364771">
        <w:rPr>
          <w:rFonts w:cstheme="minorHAnsi"/>
          <w:szCs w:val="20"/>
          <w:lang w:val="en-AU"/>
        </w:rPr>
        <w:t>”</w:t>
      </w:r>
      <w:r w:rsidR="00EA2E6D">
        <w:rPr>
          <w:rFonts w:cstheme="minorHAnsi"/>
          <w:szCs w:val="20"/>
          <w:lang w:val="en-AU"/>
        </w:rPr>
        <w:t>.</w:t>
      </w:r>
      <w:r w:rsidR="00D070D8">
        <w:rPr>
          <w:rStyle w:val="FootnoteReference"/>
          <w:rFonts w:cstheme="minorHAnsi"/>
          <w:szCs w:val="20"/>
          <w:lang w:val="en-AU"/>
        </w:rPr>
        <w:footnoteReference w:id="10"/>
      </w:r>
      <w:r w:rsidR="00EA2E6D">
        <w:rPr>
          <w:rFonts w:cstheme="minorHAnsi"/>
          <w:szCs w:val="20"/>
          <w:lang w:val="en-AU"/>
        </w:rPr>
        <w:t xml:space="preserve"> This indicates that full cost recovery </w:t>
      </w:r>
      <w:r w:rsidR="00E10DCA">
        <w:rPr>
          <w:rFonts w:cstheme="minorHAnsi"/>
          <w:szCs w:val="20"/>
          <w:lang w:val="en-AU"/>
        </w:rPr>
        <w:t xml:space="preserve">of actual costs </w:t>
      </w:r>
      <w:r w:rsidR="00EA2E6D">
        <w:rPr>
          <w:rFonts w:cstheme="minorHAnsi"/>
          <w:szCs w:val="20"/>
          <w:lang w:val="en-AU"/>
        </w:rPr>
        <w:t>would be allowed under the Commonwealth Privacy Act.</w:t>
      </w:r>
    </w:p>
    <w:p w14:paraId="1D3359B6" w14:textId="00BEA683" w:rsidR="001F0EE4" w:rsidRPr="001F0EE4" w:rsidRDefault="001F0EE4" w:rsidP="001F0EE4">
      <w:pPr>
        <w:rPr>
          <w:rFonts w:cstheme="minorHAnsi"/>
          <w:szCs w:val="20"/>
        </w:rPr>
      </w:pPr>
      <w:r w:rsidRPr="001F0EE4">
        <w:rPr>
          <w:rFonts w:cstheme="minorHAnsi"/>
          <w:szCs w:val="20"/>
        </w:rPr>
        <w:t>The Commonwealth arrangements are complementary to any state-based regulations setting maximum fees; service providers must comply with both. As the Commonwealth arrangements do not prescribe a maximum fee, there is no inconsistency created between the Commonwealth and Victorian regulations.</w:t>
      </w:r>
    </w:p>
    <w:p w14:paraId="56056B97" w14:textId="37574968" w:rsidR="001F0EE4" w:rsidRPr="001F0EE4" w:rsidRDefault="00A63B05" w:rsidP="001F0EE4">
      <w:r>
        <w:rPr>
          <w:rFonts w:cstheme="minorHAnsi"/>
          <w:szCs w:val="20"/>
        </w:rPr>
        <w:t>Table 3</w:t>
      </w:r>
      <w:r w:rsidR="001F0EE4" w:rsidRPr="001F0EE4">
        <w:rPr>
          <w:rFonts w:cstheme="minorHAnsi"/>
          <w:szCs w:val="20"/>
        </w:rPr>
        <w:t xml:space="preserve"> sets out the coverage and applicability of the three different Acts relating to access to health information to different types</w:t>
      </w:r>
      <w:r w:rsidR="001F0EE4" w:rsidRPr="001F0EE4">
        <w:t xml:space="preserve"> of organisations. The Act is the only legislation providing for access to health information for private non-health service providers with turnover less than or equal to $3 million</w:t>
      </w:r>
      <w:r w:rsidR="00C01836">
        <w:t xml:space="preserve">, which means it is the only </w:t>
      </w:r>
      <w:r w:rsidR="0036488C">
        <w:t>applicable</w:t>
      </w:r>
      <w:r w:rsidR="00C01836">
        <w:t xml:space="preserve"> legislation enabling cost recovery for the provision of health information for these organisations (by regulation maximum fees)</w:t>
      </w:r>
      <w:r w:rsidR="001F0EE4" w:rsidRPr="001F0EE4">
        <w:t>.</w:t>
      </w:r>
    </w:p>
    <w:p w14:paraId="312FA190" w14:textId="292E0E06" w:rsidR="00D32DB7" w:rsidRDefault="00D32DB7" w:rsidP="00D32DB7">
      <w:pPr>
        <w:pStyle w:val="Caption"/>
      </w:pPr>
      <w:r>
        <w:t xml:space="preserve">Table </w:t>
      </w:r>
      <w:r>
        <w:fldChar w:fldCharType="begin"/>
      </w:r>
      <w:r>
        <w:instrText>SEQ Table \* ARABIC</w:instrText>
      </w:r>
      <w:r>
        <w:fldChar w:fldCharType="separate"/>
      </w:r>
      <w:r w:rsidR="00605BD1">
        <w:rPr>
          <w:noProof/>
        </w:rPr>
        <w:t>3</w:t>
      </w:r>
      <w:r>
        <w:fldChar w:fldCharType="end"/>
      </w:r>
      <w:r w:rsidR="00DD26C5">
        <w:t xml:space="preserve"> Application of Acts relating to access to health information</w:t>
      </w:r>
    </w:p>
    <w:tbl>
      <w:tblPr>
        <w:tblStyle w:val="SapereTable"/>
        <w:tblW w:w="9214" w:type="dxa"/>
        <w:tblLayout w:type="fixed"/>
        <w:tblLook w:val="04A0" w:firstRow="1" w:lastRow="0" w:firstColumn="1" w:lastColumn="0" w:noHBand="0" w:noVBand="1"/>
      </w:tblPr>
      <w:tblGrid>
        <w:gridCol w:w="2127"/>
        <w:gridCol w:w="1842"/>
        <w:gridCol w:w="1843"/>
        <w:gridCol w:w="1701"/>
        <w:gridCol w:w="1701"/>
      </w:tblGrid>
      <w:tr w:rsidR="00836B38" w14:paraId="4C30657D" w14:textId="77777777" w:rsidTr="00A14B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0FF72A4E" w14:textId="1D2D5938" w:rsidR="00C5782E" w:rsidRDefault="00BE58C7" w:rsidP="0088074D">
            <w:pPr>
              <w:spacing w:before="0"/>
            </w:pPr>
            <w:r>
              <w:t>Type of organisation</w:t>
            </w:r>
          </w:p>
        </w:tc>
        <w:tc>
          <w:tcPr>
            <w:tcW w:w="0" w:type="dxa"/>
            <w:vAlign w:val="center"/>
          </w:tcPr>
          <w:p w14:paraId="181EA2F8" w14:textId="46081A9D" w:rsidR="00C5782E" w:rsidRDefault="00C5782E" w:rsidP="0088074D">
            <w:pPr>
              <w:spacing w:before="0"/>
              <w:cnfStyle w:val="100000000000" w:firstRow="1" w:lastRow="0" w:firstColumn="0" w:lastColumn="0" w:oddVBand="0" w:evenVBand="0" w:oddHBand="0" w:evenHBand="0" w:firstRowFirstColumn="0" w:firstRowLastColumn="0" w:lastRowFirstColumn="0" w:lastRowLastColumn="0"/>
            </w:pPr>
            <w:r>
              <w:t>Commonwealth Privacy Act</w:t>
            </w:r>
            <w:r w:rsidR="004F5DBA">
              <w:rPr>
                <w:rStyle w:val="FootnoteReference"/>
              </w:rPr>
              <w:footnoteReference w:id="11"/>
            </w:r>
          </w:p>
        </w:tc>
        <w:tc>
          <w:tcPr>
            <w:tcW w:w="0" w:type="dxa"/>
            <w:vAlign w:val="center"/>
          </w:tcPr>
          <w:p w14:paraId="6A5EB325" w14:textId="61C3651B" w:rsidR="00C5782E" w:rsidRDefault="00C5782E" w:rsidP="0088074D">
            <w:pPr>
              <w:spacing w:before="0"/>
              <w:cnfStyle w:val="100000000000" w:firstRow="1" w:lastRow="0" w:firstColumn="0" w:lastColumn="0" w:oddVBand="0" w:evenVBand="0" w:oddHBand="0" w:evenHBand="0" w:firstRowFirstColumn="0" w:firstRowLastColumn="0" w:lastRowFirstColumn="0" w:lastRowLastColumn="0"/>
            </w:pPr>
            <w:r>
              <w:t>Victorian Health Records Act</w:t>
            </w:r>
            <w:r w:rsidR="0016749C">
              <w:t>*</w:t>
            </w:r>
          </w:p>
        </w:tc>
        <w:tc>
          <w:tcPr>
            <w:tcW w:w="0" w:type="dxa"/>
            <w:vAlign w:val="center"/>
          </w:tcPr>
          <w:p w14:paraId="1A7A61FF" w14:textId="77777777" w:rsidR="008B6AA9" w:rsidRDefault="00C5782E" w:rsidP="0088074D">
            <w:pPr>
              <w:spacing w:before="0"/>
              <w:cnfStyle w:val="100000000000" w:firstRow="1" w:lastRow="0" w:firstColumn="0" w:lastColumn="0" w:oddVBand="0" w:evenVBand="0" w:oddHBand="0" w:evenHBand="0" w:firstRowFirstColumn="0" w:firstRowLastColumn="0" w:lastRowFirstColumn="0" w:lastRowLastColumn="0"/>
              <w:rPr>
                <w:b w:val="0"/>
              </w:rPr>
            </w:pPr>
            <w:r>
              <w:t>Victorian</w:t>
            </w:r>
            <w:r w:rsidR="00EB3164">
              <w:t xml:space="preserve"> </w:t>
            </w:r>
          </w:p>
          <w:p w14:paraId="4E0B9557" w14:textId="67A7CEBE" w:rsidR="00C5782E" w:rsidRDefault="00031AA6" w:rsidP="0088074D">
            <w:pPr>
              <w:spacing w:before="0"/>
              <w:cnfStyle w:val="100000000000" w:firstRow="1" w:lastRow="0" w:firstColumn="0" w:lastColumn="0" w:oddVBand="0" w:evenVBand="0" w:oddHBand="0" w:evenHBand="0" w:firstRowFirstColumn="0" w:firstRowLastColumn="0" w:lastRowFirstColumn="0" w:lastRowLastColumn="0"/>
            </w:pPr>
            <w:r>
              <w:t>FOI</w:t>
            </w:r>
            <w:r w:rsidR="00C5782E">
              <w:t xml:space="preserve"> Act</w:t>
            </w:r>
          </w:p>
        </w:tc>
      </w:tr>
      <w:tr w:rsidR="00494616" w14:paraId="40377FBA" w14:textId="77777777" w:rsidTr="005676A0">
        <w:trPr>
          <w:trHeight w:val="155"/>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tcPr>
          <w:p w14:paraId="77B2481F" w14:textId="6141C5A3" w:rsidR="00494616" w:rsidRDefault="00494616" w:rsidP="0088074D">
            <w:pPr>
              <w:spacing w:before="0"/>
            </w:pPr>
            <w:r>
              <w:t>Health service providers (defined under s6FB of the Privacy Act)</w:t>
            </w:r>
          </w:p>
        </w:tc>
        <w:tc>
          <w:tcPr>
            <w:tcW w:w="1842" w:type="dxa"/>
            <w:vMerge w:val="restart"/>
            <w:vAlign w:val="center"/>
          </w:tcPr>
          <w:p w14:paraId="0D85B3B1" w14:textId="77E09072" w:rsidR="00494616" w:rsidRDefault="00494616" w:rsidP="0088074D">
            <w:pPr>
              <w:spacing w:before="0"/>
              <w:cnfStyle w:val="000000000000" w:firstRow="0" w:lastRow="0" w:firstColumn="0" w:lastColumn="0" w:oddVBand="0" w:evenVBand="0" w:oddHBand="0" w:evenHBand="0" w:firstRowFirstColumn="0" w:firstRowLastColumn="0" w:lastRowFirstColumn="0" w:lastRowLastColumn="0"/>
            </w:pPr>
            <w:r>
              <w:t>Public</w:t>
            </w:r>
          </w:p>
        </w:tc>
        <w:tc>
          <w:tcPr>
            <w:tcW w:w="1843" w:type="dxa"/>
            <w:vMerge w:val="restart"/>
            <w:vAlign w:val="center"/>
          </w:tcPr>
          <w:p w14:paraId="5D4B4C77" w14:textId="4B1AA304" w:rsidR="00494616"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Align w:val="center"/>
          </w:tcPr>
          <w:p w14:paraId="0A35F968" w14:textId="77777777" w:rsidR="00494616" w:rsidRPr="00B364BC"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rPr>
                <w:i/>
                <w:iCs/>
              </w:rPr>
            </w:pPr>
            <w:r w:rsidRPr="00B364BC">
              <w:rPr>
                <w:i/>
                <w:iCs/>
              </w:rPr>
              <w:t>Providing access</w:t>
            </w:r>
          </w:p>
          <w:p w14:paraId="2CC14FCB" w14:textId="338BA462" w:rsidR="00494616" w:rsidRDefault="00A77894"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eastAsia="Wingdings" w:cstheme="minorHAnsi"/>
              </w:rPr>
              <w:t>x</w:t>
            </w:r>
          </w:p>
        </w:tc>
        <w:tc>
          <w:tcPr>
            <w:tcW w:w="1701" w:type="dxa"/>
            <w:vMerge w:val="restart"/>
            <w:vAlign w:val="center"/>
          </w:tcPr>
          <w:p w14:paraId="0F1EDB11" w14:textId="5783FE9D" w:rsidR="00494616"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r>
      <w:tr w:rsidR="00494616" w14:paraId="427EC1B4" w14:textId="77777777" w:rsidTr="005676A0">
        <w:trPr>
          <w:trHeight w:val="155"/>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64E5230C" w14:textId="77777777" w:rsidR="00494616" w:rsidRDefault="00494616" w:rsidP="0088074D">
            <w:pPr>
              <w:spacing w:before="0"/>
            </w:pPr>
          </w:p>
        </w:tc>
        <w:tc>
          <w:tcPr>
            <w:tcW w:w="1842" w:type="dxa"/>
            <w:vMerge/>
            <w:vAlign w:val="center"/>
          </w:tcPr>
          <w:p w14:paraId="457E5D46" w14:textId="77777777" w:rsidR="00494616" w:rsidRDefault="00494616" w:rsidP="0088074D">
            <w:pPr>
              <w:spacing w:before="0"/>
              <w:cnfStyle w:val="000000000000" w:firstRow="0" w:lastRow="0" w:firstColumn="0" w:lastColumn="0" w:oddVBand="0" w:evenVBand="0" w:oddHBand="0" w:evenHBand="0" w:firstRowFirstColumn="0" w:firstRowLastColumn="0" w:lastRowFirstColumn="0" w:lastRowLastColumn="0"/>
            </w:pPr>
          </w:p>
        </w:tc>
        <w:tc>
          <w:tcPr>
            <w:tcW w:w="1843" w:type="dxa"/>
            <w:vMerge/>
            <w:vAlign w:val="center"/>
          </w:tcPr>
          <w:p w14:paraId="1BCD1F13" w14:textId="77777777" w:rsidR="00494616"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1E677124" w14:textId="77777777" w:rsidR="00494616"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rPr>
                <w:i/>
                <w:iCs/>
              </w:rPr>
            </w:pPr>
            <w:r w:rsidRPr="00817CCD">
              <w:rPr>
                <w:i/>
                <w:iCs/>
              </w:rPr>
              <w:t>Transferring to another provider</w:t>
            </w:r>
          </w:p>
          <w:p w14:paraId="272DCACF" w14:textId="52F3F7BC" w:rsidR="00817CCD" w:rsidRPr="00817CCD" w:rsidRDefault="00817CCD" w:rsidP="0088074D">
            <w:pPr>
              <w:spacing w:before="0"/>
              <w:jc w:val="center"/>
              <w:cnfStyle w:val="000000000000" w:firstRow="0" w:lastRow="0" w:firstColumn="0" w:lastColumn="0" w:oddVBand="0" w:evenVBand="0" w:oddHBand="0" w:evenHBand="0" w:firstRowFirstColumn="0" w:firstRowLastColumn="0" w:lastRowFirstColumn="0" w:lastRowLastColumn="0"/>
              <w:rPr>
                <w:i/>
                <w:iCs/>
              </w:rPr>
            </w:pPr>
            <w:r>
              <w:rPr>
                <w:rFonts w:ascii="Wingdings" w:eastAsia="Wingdings" w:hAnsi="Wingdings" w:cs="Wingdings"/>
              </w:rPr>
              <w:t>ü</w:t>
            </w:r>
          </w:p>
        </w:tc>
        <w:tc>
          <w:tcPr>
            <w:tcW w:w="1701" w:type="dxa"/>
            <w:vMerge/>
            <w:vAlign w:val="center"/>
          </w:tcPr>
          <w:p w14:paraId="22CA35CD" w14:textId="77777777" w:rsidR="00494616"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pPr>
          </w:p>
        </w:tc>
      </w:tr>
      <w:tr w:rsidR="00494616" w14:paraId="426A46D6" w14:textId="77777777" w:rsidTr="005676A0">
        <w:trPr>
          <w:trHeight w:val="155"/>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3D9F421" w14:textId="77777777" w:rsidR="00494616" w:rsidRDefault="00494616" w:rsidP="0088074D">
            <w:pPr>
              <w:spacing w:before="0"/>
            </w:pPr>
          </w:p>
        </w:tc>
        <w:tc>
          <w:tcPr>
            <w:tcW w:w="1842" w:type="dxa"/>
            <w:vMerge/>
            <w:vAlign w:val="center"/>
          </w:tcPr>
          <w:p w14:paraId="2B775262" w14:textId="77777777" w:rsidR="00494616" w:rsidRDefault="00494616" w:rsidP="0088074D">
            <w:pPr>
              <w:spacing w:before="0"/>
              <w:cnfStyle w:val="000000000000" w:firstRow="0" w:lastRow="0" w:firstColumn="0" w:lastColumn="0" w:oddVBand="0" w:evenVBand="0" w:oddHBand="0" w:evenHBand="0" w:firstRowFirstColumn="0" w:firstRowLastColumn="0" w:lastRowFirstColumn="0" w:lastRowLastColumn="0"/>
            </w:pPr>
          </w:p>
        </w:tc>
        <w:tc>
          <w:tcPr>
            <w:tcW w:w="1843" w:type="dxa"/>
            <w:vMerge/>
            <w:vAlign w:val="center"/>
          </w:tcPr>
          <w:p w14:paraId="1BA03C84" w14:textId="77777777" w:rsidR="00494616"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5105EC1B" w14:textId="50273BA8" w:rsidR="00494616" w:rsidRPr="00817CCD" w:rsidRDefault="00817CCD" w:rsidP="0088074D">
            <w:pPr>
              <w:spacing w:before="0"/>
              <w:jc w:val="center"/>
              <w:cnfStyle w:val="000000000000" w:firstRow="0" w:lastRow="0" w:firstColumn="0" w:lastColumn="0" w:oddVBand="0" w:evenVBand="0" w:oddHBand="0" w:evenHBand="0" w:firstRowFirstColumn="0" w:firstRowLastColumn="0" w:lastRowFirstColumn="0" w:lastRowLastColumn="0"/>
              <w:rPr>
                <w:i/>
                <w:iCs/>
              </w:rPr>
            </w:pPr>
            <w:r w:rsidRPr="00817CCD">
              <w:rPr>
                <w:i/>
                <w:iCs/>
              </w:rPr>
              <w:t>Reviewing refused access</w:t>
            </w:r>
          </w:p>
          <w:p w14:paraId="6D3E4F4B" w14:textId="11530E6C" w:rsidR="00817CCD" w:rsidRDefault="00817CCD"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Merge/>
            <w:vAlign w:val="center"/>
          </w:tcPr>
          <w:p w14:paraId="0A74EB0F" w14:textId="77777777" w:rsidR="00494616" w:rsidRDefault="00494616" w:rsidP="0088074D">
            <w:pPr>
              <w:spacing w:before="0"/>
              <w:jc w:val="center"/>
              <w:cnfStyle w:val="000000000000" w:firstRow="0" w:lastRow="0" w:firstColumn="0" w:lastColumn="0" w:oddVBand="0" w:evenVBand="0" w:oddHBand="0" w:evenHBand="0" w:firstRowFirstColumn="0" w:firstRowLastColumn="0" w:lastRowFirstColumn="0" w:lastRowLastColumn="0"/>
            </w:pPr>
          </w:p>
        </w:tc>
      </w:tr>
      <w:tr w:rsidR="00817CCD" w14:paraId="488012AE" w14:textId="77777777" w:rsidTr="005676A0">
        <w:trPr>
          <w:trHeight w:val="714"/>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2C2BD6A4" w14:textId="77777777" w:rsidR="00817CCD" w:rsidRDefault="00817CCD" w:rsidP="0088074D">
            <w:pPr>
              <w:spacing w:before="0"/>
            </w:pPr>
          </w:p>
        </w:tc>
        <w:tc>
          <w:tcPr>
            <w:tcW w:w="1842" w:type="dxa"/>
            <w:vAlign w:val="center"/>
          </w:tcPr>
          <w:p w14:paraId="28D623C7" w14:textId="089B514C" w:rsidR="00817CCD" w:rsidRDefault="00817CCD" w:rsidP="0088074D">
            <w:pPr>
              <w:spacing w:before="0"/>
              <w:cnfStyle w:val="000000000000" w:firstRow="0" w:lastRow="0" w:firstColumn="0" w:lastColumn="0" w:oddVBand="0" w:evenVBand="0" w:oddHBand="0" w:evenHBand="0" w:firstRowFirstColumn="0" w:firstRowLastColumn="0" w:lastRowFirstColumn="0" w:lastRowLastColumn="0"/>
            </w:pPr>
            <w:r>
              <w:t>Private</w:t>
            </w:r>
          </w:p>
        </w:tc>
        <w:tc>
          <w:tcPr>
            <w:tcW w:w="1843" w:type="dxa"/>
            <w:vAlign w:val="center"/>
          </w:tcPr>
          <w:p w14:paraId="3A2746BC" w14:textId="3A0C5C92" w:rsidR="00817CCD" w:rsidRDefault="00817CCD"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Align w:val="center"/>
          </w:tcPr>
          <w:p w14:paraId="0FD1720B" w14:textId="46DE7678" w:rsidR="00817CCD" w:rsidRDefault="00817CCD"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Align w:val="center"/>
          </w:tcPr>
          <w:p w14:paraId="7110B801" w14:textId="51DD33FC" w:rsidR="00817CCD" w:rsidRDefault="00817CCD"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û</w:t>
            </w:r>
          </w:p>
        </w:tc>
      </w:tr>
      <w:tr w:rsidR="008B4DF8" w14:paraId="2CA3EE50" w14:textId="77777777" w:rsidTr="005676A0">
        <w:trPr>
          <w:trHeight w:val="499"/>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tcPr>
          <w:p w14:paraId="745985CF" w14:textId="11E11AB3" w:rsidR="008B4DF8" w:rsidRDefault="008B4DF8" w:rsidP="0088074D">
            <w:pPr>
              <w:spacing w:before="0"/>
            </w:pPr>
            <w:r>
              <w:t>Non-health service providers that hold health information (</w:t>
            </w:r>
            <w:proofErr w:type="gramStart"/>
            <w:r>
              <w:t>e.g.</w:t>
            </w:r>
            <w:proofErr w:type="gramEnd"/>
            <w:r>
              <w:t xml:space="preserve"> gyms)</w:t>
            </w:r>
          </w:p>
        </w:tc>
        <w:tc>
          <w:tcPr>
            <w:tcW w:w="1842" w:type="dxa"/>
            <w:vMerge w:val="restart"/>
            <w:vAlign w:val="center"/>
          </w:tcPr>
          <w:p w14:paraId="296F45EB" w14:textId="412506E6" w:rsidR="008B4DF8" w:rsidRDefault="008B4DF8" w:rsidP="0088074D">
            <w:pPr>
              <w:spacing w:before="0"/>
              <w:cnfStyle w:val="000000000000" w:firstRow="0" w:lastRow="0" w:firstColumn="0" w:lastColumn="0" w:oddVBand="0" w:evenVBand="0" w:oddHBand="0" w:evenHBand="0" w:firstRowFirstColumn="0" w:firstRowLastColumn="0" w:lastRowFirstColumn="0" w:lastRowLastColumn="0"/>
            </w:pPr>
            <w:r>
              <w:t>Public</w:t>
            </w:r>
          </w:p>
        </w:tc>
        <w:tc>
          <w:tcPr>
            <w:tcW w:w="1843" w:type="dxa"/>
            <w:vMerge w:val="restart"/>
            <w:vAlign w:val="center"/>
          </w:tcPr>
          <w:p w14:paraId="2CDA1B9E" w14:textId="56DA0493"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Align w:val="center"/>
          </w:tcPr>
          <w:p w14:paraId="6E7E28EA" w14:textId="77777777" w:rsidR="008B4DF8" w:rsidRPr="00B364BC"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rPr>
                <w:i/>
                <w:iCs/>
              </w:rPr>
            </w:pPr>
            <w:r w:rsidRPr="00B364BC">
              <w:rPr>
                <w:i/>
                <w:iCs/>
              </w:rPr>
              <w:t>Providing access</w:t>
            </w:r>
          </w:p>
          <w:p w14:paraId="46624EAB" w14:textId="0F2E2011" w:rsidR="008B4DF8" w:rsidRDefault="00A77894"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eastAsia="Wingdings" w:cstheme="minorHAnsi"/>
              </w:rPr>
              <w:t>x</w:t>
            </w:r>
          </w:p>
        </w:tc>
        <w:tc>
          <w:tcPr>
            <w:tcW w:w="1701" w:type="dxa"/>
            <w:vMerge w:val="restart"/>
            <w:vAlign w:val="center"/>
          </w:tcPr>
          <w:p w14:paraId="4470E0E5" w14:textId="7DCBA346"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r>
      <w:tr w:rsidR="008B4DF8" w14:paraId="7848D94E" w14:textId="77777777" w:rsidTr="005676A0">
        <w:trPr>
          <w:trHeight w:val="155"/>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73E6A0B4" w14:textId="77777777" w:rsidR="008B4DF8" w:rsidRDefault="008B4DF8" w:rsidP="0088074D">
            <w:pPr>
              <w:spacing w:before="0"/>
            </w:pPr>
          </w:p>
        </w:tc>
        <w:tc>
          <w:tcPr>
            <w:tcW w:w="1842" w:type="dxa"/>
            <w:vMerge/>
            <w:vAlign w:val="center"/>
          </w:tcPr>
          <w:p w14:paraId="71B020C9" w14:textId="77777777" w:rsidR="008B4DF8" w:rsidRDefault="008B4DF8" w:rsidP="0088074D">
            <w:pPr>
              <w:spacing w:before="0"/>
              <w:cnfStyle w:val="000000000000" w:firstRow="0" w:lastRow="0" w:firstColumn="0" w:lastColumn="0" w:oddVBand="0" w:evenVBand="0" w:oddHBand="0" w:evenHBand="0" w:firstRowFirstColumn="0" w:firstRowLastColumn="0" w:lastRowFirstColumn="0" w:lastRowLastColumn="0"/>
            </w:pPr>
          </w:p>
        </w:tc>
        <w:tc>
          <w:tcPr>
            <w:tcW w:w="1843" w:type="dxa"/>
            <w:vMerge/>
            <w:vAlign w:val="center"/>
          </w:tcPr>
          <w:p w14:paraId="0CE6A18E" w14:textId="77777777"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56792E79" w14:textId="77777777"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rPr>
                <w:i/>
                <w:iCs/>
              </w:rPr>
            </w:pPr>
            <w:r w:rsidRPr="00817CCD">
              <w:rPr>
                <w:i/>
                <w:iCs/>
              </w:rPr>
              <w:t>Transferring to another provider</w:t>
            </w:r>
          </w:p>
          <w:p w14:paraId="06D072AC" w14:textId="0CB591C6" w:rsidR="008B4DF8" w:rsidRDefault="00A77894" w:rsidP="0088074D">
            <w:pPr>
              <w:spacing w:before="0"/>
              <w:jc w:val="center"/>
              <w:cnfStyle w:val="000000000000" w:firstRow="0" w:lastRow="0" w:firstColumn="0" w:lastColumn="0" w:oddVBand="0" w:evenVBand="0" w:oddHBand="0" w:evenHBand="0" w:firstRowFirstColumn="0" w:firstRowLastColumn="0" w:lastRowFirstColumn="0" w:lastRowLastColumn="0"/>
            </w:pPr>
            <w:r>
              <w:t>x</w:t>
            </w:r>
          </w:p>
        </w:tc>
        <w:tc>
          <w:tcPr>
            <w:tcW w:w="1701" w:type="dxa"/>
            <w:vMerge/>
            <w:vAlign w:val="center"/>
          </w:tcPr>
          <w:p w14:paraId="05CBD8CD" w14:textId="77777777"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p>
        </w:tc>
      </w:tr>
      <w:tr w:rsidR="008B4DF8" w14:paraId="6FE3250A" w14:textId="77777777" w:rsidTr="005676A0">
        <w:trPr>
          <w:trHeight w:val="155"/>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DC58551" w14:textId="77777777" w:rsidR="008B4DF8" w:rsidRDefault="008B4DF8" w:rsidP="0088074D">
            <w:pPr>
              <w:spacing w:before="0"/>
            </w:pPr>
          </w:p>
        </w:tc>
        <w:tc>
          <w:tcPr>
            <w:tcW w:w="1842" w:type="dxa"/>
            <w:vMerge/>
            <w:vAlign w:val="center"/>
          </w:tcPr>
          <w:p w14:paraId="3D983131" w14:textId="77777777" w:rsidR="008B4DF8" w:rsidRDefault="008B4DF8" w:rsidP="0088074D">
            <w:pPr>
              <w:spacing w:before="0"/>
              <w:cnfStyle w:val="000000000000" w:firstRow="0" w:lastRow="0" w:firstColumn="0" w:lastColumn="0" w:oddVBand="0" w:evenVBand="0" w:oddHBand="0" w:evenHBand="0" w:firstRowFirstColumn="0" w:firstRowLastColumn="0" w:lastRowFirstColumn="0" w:lastRowLastColumn="0"/>
            </w:pPr>
          </w:p>
        </w:tc>
        <w:tc>
          <w:tcPr>
            <w:tcW w:w="1843" w:type="dxa"/>
            <w:vMerge/>
            <w:vAlign w:val="center"/>
          </w:tcPr>
          <w:p w14:paraId="12A40A8E" w14:textId="77777777"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3D8D27FD" w14:textId="77777777" w:rsidR="008B4DF8" w:rsidRPr="00817CCD"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rPr>
                <w:i/>
                <w:iCs/>
              </w:rPr>
            </w:pPr>
            <w:r w:rsidRPr="00817CCD">
              <w:rPr>
                <w:i/>
                <w:iCs/>
              </w:rPr>
              <w:t>Reviewing refused access</w:t>
            </w:r>
          </w:p>
          <w:p w14:paraId="3A35B6B0" w14:textId="2CA60DE8" w:rsidR="008B4DF8" w:rsidRDefault="00A77894" w:rsidP="0088074D">
            <w:pPr>
              <w:spacing w:before="0"/>
              <w:jc w:val="center"/>
              <w:cnfStyle w:val="000000000000" w:firstRow="0" w:lastRow="0" w:firstColumn="0" w:lastColumn="0" w:oddVBand="0" w:evenVBand="0" w:oddHBand="0" w:evenHBand="0" w:firstRowFirstColumn="0" w:firstRowLastColumn="0" w:lastRowFirstColumn="0" w:lastRowLastColumn="0"/>
            </w:pPr>
            <w:r>
              <w:t>x</w:t>
            </w:r>
          </w:p>
        </w:tc>
        <w:tc>
          <w:tcPr>
            <w:tcW w:w="1701" w:type="dxa"/>
            <w:vMerge/>
            <w:vAlign w:val="center"/>
          </w:tcPr>
          <w:p w14:paraId="39AE5441" w14:textId="77777777"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p>
        </w:tc>
      </w:tr>
      <w:tr w:rsidR="008B4DF8" w14:paraId="6ACA734F" w14:textId="77777777" w:rsidTr="005676A0">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27FA493B" w14:textId="77777777" w:rsidR="008B4DF8" w:rsidRDefault="008B4DF8" w:rsidP="0088074D">
            <w:pPr>
              <w:spacing w:before="0"/>
            </w:pPr>
          </w:p>
        </w:tc>
        <w:tc>
          <w:tcPr>
            <w:tcW w:w="1842" w:type="dxa"/>
            <w:vAlign w:val="center"/>
          </w:tcPr>
          <w:p w14:paraId="75E03377" w14:textId="77777777" w:rsidR="00261C6F" w:rsidRDefault="008B4DF8" w:rsidP="0088074D">
            <w:pPr>
              <w:spacing w:before="0"/>
              <w:cnfStyle w:val="000000000000" w:firstRow="0" w:lastRow="0" w:firstColumn="0" w:lastColumn="0" w:oddVBand="0" w:evenVBand="0" w:oddHBand="0" w:evenHBand="0" w:firstRowFirstColumn="0" w:firstRowLastColumn="0" w:lastRowFirstColumn="0" w:lastRowLastColumn="0"/>
            </w:pPr>
            <w:r>
              <w:t xml:space="preserve">Private with turnover </w:t>
            </w:r>
          </w:p>
          <w:p w14:paraId="47D831ED" w14:textId="07417989" w:rsidR="008B4DF8" w:rsidRDefault="008B4DF8" w:rsidP="0088074D">
            <w:pPr>
              <w:spacing w:before="0"/>
              <w:cnfStyle w:val="000000000000" w:firstRow="0" w:lastRow="0" w:firstColumn="0" w:lastColumn="0" w:oddVBand="0" w:evenVBand="0" w:oddHBand="0" w:evenHBand="0" w:firstRowFirstColumn="0" w:firstRowLastColumn="0" w:lastRowFirstColumn="0" w:lastRowLastColumn="0"/>
            </w:pPr>
            <w:r>
              <w:t>&gt;$3 million</w:t>
            </w:r>
          </w:p>
        </w:tc>
        <w:tc>
          <w:tcPr>
            <w:tcW w:w="1843" w:type="dxa"/>
            <w:vAlign w:val="center"/>
          </w:tcPr>
          <w:p w14:paraId="4C00349A" w14:textId="04D6A88A"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Align w:val="center"/>
          </w:tcPr>
          <w:p w14:paraId="3EEEDA2D" w14:textId="7707A05A"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Align w:val="center"/>
          </w:tcPr>
          <w:p w14:paraId="6C34CF34" w14:textId="2E201DA5"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û</w:t>
            </w:r>
          </w:p>
        </w:tc>
      </w:tr>
      <w:tr w:rsidR="008B4DF8" w14:paraId="14389643" w14:textId="77777777" w:rsidTr="005676A0">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73B68BFE" w14:textId="77777777" w:rsidR="008B4DF8" w:rsidRDefault="008B4DF8" w:rsidP="0088074D">
            <w:pPr>
              <w:spacing w:before="0"/>
            </w:pPr>
          </w:p>
        </w:tc>
        <w:tc>
          <w:tcPr>
            <w:tcW w:w="1842" w:type="dxa"/>
            <w:vAlign w:val="center"/>
          </w:tcPr>
          <w:p w14:paraId="4EC4BBFD" w14:textId="77777777" w:rsidR="00261C6F" w:rsidRDefault="008B4DF8" w:rsidP="0088074D">
            <w:pPr>
              <w:spacing w:before="0"/>
              <w:cnfStyle w:val="000000000000" w:firstRow="0" w:lastRow="0" w:firstColumn="0" w:lastColumn="0" w:oddVBand="0" w:evenVBand="0" w:oddHBand="0" w:evenHBand="0" w:firstRowFirstColumn="0" w:firstRowLastColumn="0" w:lastRowFirstColumn="0" w:lastRowLastColumn="0"/>
            </w:pPr>
            <w:r>
              <w:t xml:space="preserve">Private with turnover </w:t>
            </w:r>
          </w:p>
          <w:p w14:paraId="3D257780" w14:textId="581F95DA" w:rsidR="008B4DF8" w:rsidRDefault="008B4DF8" w:rsidP="0088074D">
            <w:pPr>
              <w:spacing w:before="0"/>
              <w:cnfStyle w:val="000000000000" w:firstRow="0" w:lastRow="0" w:firstColumn="0" w:lastColumn="0" w:oddVBand="0" w:evenVBand="0" w:oddHBand="0" w:evenHBand="0" w:firstRowFirstColumn="0" w:firstRowLastColumn="0" w:lastRowFirstColumn="0" w:lastRowLastColumn="0"/>
            </w:pPr>
            <w:r>
              <w:rPr>
                <w:rFonts w:cstheme="minorHAnsi"/>
              </w:rPr>
              <w:t>≤</w:t>
            </w:r>
            <w:r>
              <w:t>$3 million</w:t>
            </w:r>
          </w:p>
        </w:tc>
        <w:tc>
          <w:tcPr>
            <w:tcW w:w="1843" w:type="dxa"/>
            <w:vAlign w:val="center"/>
          </w:tcPr>
          <w:p w14:paraId="61663673" w14:textId="04C803C5"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û</w:t>
            </w:r>
          </w:p>
        </w:tc>
        <w:tc>
          <w:tcPr>
            <w:tcW w:w="1701" w:type="dxa"/>
            <w:vAlign w:val="center"/>
          </w:tcPr>
          <w:p w14:paraId="2943C886" w14:textId="7A9F9780"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701" w:type="dxa"/>
            <w:vAlign w:val="center"/>
          </w:tcPr>
          <w:p w14:paraId="287081FD" w14:textId="211E0747" w:rsidR="008B4DF8" w:rsidRDefault="008B4DF8" w:rsidP="0088074D">
            <w:pPr>
              <w:spacing w:before="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û</w:t>
            </w:r>
          </w:p>
        </w:tc>
      </w:tr>
    </w:tbl>
    <w:p w14:paraId="43CCA78E" w14:textId="0202876A" w:rsidR="00EF0896" w:rsidRPr="004D6074" w:rsidRDefault="5740B9BD" w:rsidP="00EF0896">
      <w:pPr>
        <w:rPr>
          <w:sz w:val="18"/>
          <w:szCs w:val="18"/>
        </w:rPr>
      </w:pPr>
      <w:r w:rsidRPr="74496885">
        <w:rPr>
          <w:sz w:val="18"/>
          <w:szCs w:val="18"/>
        </w:rPr>
        <w:t>Note to Tab</w:t>
      </w:r>
      <w:r w:rsidR="530C9F34" w:rsidRPr="74496885">
        <w:rPr>
          <w:sz w:val="18"/>
          <w:szCs w:val="18"/>
        </w:rPr>
        <w:t>le:</w:t>
      </w:r>
      <w:r w:rsidR="530C9F34">
        <w:br/>
      </w:r>
      <w:r w:rsidR="00EF0896" w:rsidRPr="74496885">
        <w:rPr>
          <w:sz w:val="18"/>
          <w:szCs w:val="18"/>
        </w:rPr>
        <w:t>* Section 16(1)(i) of Health Records Act states that Part 5 of the Act (access</w:t>
      </w:r>
      <w:r w:rsidR="00253C0D" w:rsidRPr="74496885">
        <w:rPr>
          <w:sz w:val="18"/>
          <w:szCs w:val="18"/>
        </w:rPr>
        <w:t xml:space="preserve"> to health information</w:t>
      </w:r>
      <w:r w:rsidR="00EF0896" w:rsidRPr="74496885">
        <w:rPr>
          <w:sz w:val="18"/>
          <w:szCs w:val="18"/>
        </w:rPr>
        <w:t>) does not apply to a document containing health information that is a document of an agency within the meaning of the FOI Act.</w:t>
      </w:r>
      <w:r w:rsidR="00D27CCF" w:rsidRPr="74496885">
        <w:rPr>
          <w:sz w:val="18"/>
          <w:szCs w:val="18"/>
        </w:rPr>
        <w:t xml:space="preserve"> However, the circumstances of nominating a health service provider</w:t>
      </w:r>
      <w:r w:rsidR="00893C8D" w:rsidRPr="74496885">
        <w:rPr>
          <w:sz w:val="18"/>
          <w:szCs w:val="18"/>
        </w:rPr>
        <w:t xml:space="preserve"> to review refused access in the Health Records Act applies to both public and private health service providers</w:t>
      </w:r>
      <w:r w:rsidR="00E72A4F" w:rsidRPr="74496885">
        <w:rPr>
          <w:sz w:val="18"/>
          <w:szCs w:val="18"/>
        </w:rPr>
        <w:t xml:space="preserve"> (s</w:t>
      </w:r>
      <w:r w:rsidR="005471AC" w:rsidRPr="74496885">
        <w:rPr>
          <w:sz w:val="18"/>
          <w:szCs w:val="18"/>
        </w:rPr>
        <w:t>.33(4) of the Victorian Freedom of Information Act</w:t>
      </w:r>
      <w:r w:rsidR="000D23A8">
        <w:rPr>
          <w:sz w:val="18"/>
          <w:szCs w:val="18"/>
        </w:rPr>
        <w:t xml:space="preserve"> specifically states that the procedure set out in the Health Records Act applies</w:t>
      </w:r>
      <w:r w:rsidR="006F1CB5">
        <w:rPr>
          <w:sz w:val="18"/>
          <w:szCs w:val="18"/>
        </w:rPr>
        <w:t xml:space="preserve">, and the document is considered exempt </w:t>
      </w:r>
      <w:r w:rsidR="00EA5CBE">
        <w:rPr>
          <w:sz w:val="18"/>
          <w:szCs w:val="18"/>
        </w:rPr>
        <w:t>document under</w:t>
      </w:r>
      <w:r w:rsidR="006F1CB5">
        <w:rPr>
          <w:sz w:val="18"/>
          <w:szCs w:val="18"/>
        </w:rPr>
        <w:t xml:space="preserve"> the FOI Act</w:t>
      </w:r>
      <w:r w:rsidR="005471AC" w:rsidRPr="74496885">
        <w:rPr>
          <w:sz w:val="18"/>
          <w:szCs w:val="18"/>
        </w:rPr>
        <w:t>)</w:t>
      </w:r>
      <w:r w:rsidR="00893C8D" w:rsidRPr="74496885">
        <w:rPr>
          <w:sz w:val="18"/>
          <w:szCs w:val="18"/>
        </w:rPr>
        <w:t xml:space="preserve">. </w:t>
      </w:r>
      <w:r w:rsidR="00982793" w:rsidRPr="74496885">
        <w:rPr>
          <w:sz w:val="18"/>
          <w:szCs w:val="18"/>
        </w:rPr>
        <w:t>In addition</w:t>
      </w:r>
      <w:r w:rsidR="74ADF224" w:rsidRPr="4E336C95">
        <w:rPr>
          <w:sz w:val="18"/>
          <w:szCs w:val="18"/>
        </w:rPr>
        <w:t>,</w:t>
      </w:r>
      <w:r w:rsidR="00982793" w:rsidRPr="74496885">
        <w:rPr>
          <w:sz w:val="18"/>
          <w:szCs w:val="18"/>
        </w:rPr>
        <w:t xml:space="preserve"> the provisions relating to transferring information between health service providers</w:t>
      </w:r>
      <w:r w:rsidR="00DF0811" w:rsidRPr="74496885">
        <w:rPr>
          <w:sz w:val="18"/>
          <w:szCs w:val="18"/>
        </w:rPr>
        <w:t xml:space="preserve"> </w:t>
      </w:r>
      <w:r w:rsidR="00B364BC" w:rsidRPr="74496885">
        <w:rPr>
          <w:sz w:val="18"/>
          <w:szCs w:val="18"/>
        </w:rPr>
        <w:t xml:space="preserve">under HPP 11 </w:t>
      </w:r>
      <w:r w:rsidR="00DF0811" w:rsidRPr="74496885">
        <w:rPr>
          <w:sz w:val="18"/>
          <w:szCs w:val="18"/>
        </w:rPr>
        <w:t xml:space="preserve">applies to both public and private health service providers. </w:t>
      </w:r>
    </w:p>
    <w:p w14:paraId="34B67417" w14:textId="20BB23C3" w:rsidR="006143AD" w:rsidRDefault="006143AD" w:rsidP="006143AD">
      <w:pPr>
        <w:pStyle w:val="Heading6"/>
      </w:pPr>
      <w:bookmarkStart w:id="9" w:name="_Toc135157710"/>
      <w:r>
        <w:t>Current regulations</w:t>
      </w:r>
      <w:bookmarkEnd w:id="9"/>
    </w:p>
    <w:p w14:paraId="75DF1F05" w14:textId="50273651" w:rsidR="00D364C5" w:rsidRDefault="007F0742" w:rsidP="00D364C5">
      <w:r>
        <w:t>The</w:t>
      </w:r>
      <w:r w:rsidR="0001681A">
        <w:t xml:space="preserve"> </w:t>
      </w:r>
      <w:r w:rsidR="00B77488">
        <w:t xml:space="preserve">Health Records </w:t>
      </w:r>
      <w:r w:rsidR="0001681A">
        <w:t>Regulations</w:t>
      </w:r>
      <w:r w:rsidR="00B77488">
        <w:t xml:space="preserve"> 2012</w:t>
      </w:r>
      <w:r w:rsidR="00C500EE">
        <w:t xml:space="preserve"> (the Regulations)</w:t>
      </w:r>
      <w:r w:rsidR="00D364C5">
        <w:t>:</w:t>
      </w:r>
    </w:p>
    <w:p w14:paraId="0BB606EB" w14:textId="6D666694" w:rsidR="00D364C5" w:rsidRDefault="00D364C5" w:rsidP="00D364C5">
      <w:pPr>
        <w:pStyle w:val="ListBullet"/>
      </w:pPr>
      <w:r>
        <w:t>Set a maximum fee a</w:t>
      </w:r>
      <w:r w:rsidR="000A6469">
        <w:t>n</w:t>
      </w:r>
      <w:r>
        <w:t xml:space="preserve"> organisation may charge for granting an individual access to health information</w:t>
      </w:r>
      <w:r w:rsidR="00BD7AA5">
        <w:t>.</w:t>
      </w:r>
    </w:p>
    <w:p w14:paraId="2802FEFD" w14:textId="31BF882D" w:rsidR="00D364C5" w:rsidRDefault="00D364C5" w:rsidP="00D364C5">
      <w:pPr>
        <w:pStyle w:val="ListBullet"/>
      </w:pPr>
      <w:r>
        <w:t>Set a maximum fee a health service provider may charge for making health information available to another health service provider</w:t>
      </w:r>
      <w:r w:rsidR="00BD7AA5">
        <w:t>.</w:t>
      </w:r>
    </w:p>
    <w:p w14:paraId="73A7B032" w14:textId="3A03625D" w:rsidR="001C47C4" w:rsidRDefault="001C47C4" w:rsidP="001C47C4">
      <w:pPr>
        <w:pStyle w:val="ListBullet"/>
      </w:pPr>
      <w:r>
        <w:t>Set a maximum fee a health service provider may charge for providing a second opinion where access to health information has been refused</w:t>
      </w:r>
      <w:r w:rsidR="007B4016">
        <w:t xml:space="preserve"> by </w:t>
      </w:r>
      <w:r w:rsidR="00F8179A">
        <w:t>an organisation</w:t>
      </w:r>
      <w:r>
        <w:t xml:space="preserve"> </w:t>
      </w:r>
      <w:r w:rsidR="406946F9">
        <w:t>based on</w:t>
      </w:r>
      <w:r w:rsidR="296B6072">
        <w:t xml:space="preserve"> </w:t>
      </w:r>
      <w:r>
        <w:t>a serious threat to the individual</w:t>
      </w:r>
      <w:r w:rsidR="00BD7AA5">
        <w:t>.</w:t>
      </w:r>
    </w:p>
    <w:p w14:paraId="6A8A84AA" w14:textId="1542EA4E" w:rsidR="00DB0568" w:rsidRDefault="00DB0568" w:rsidP="00C179BE">
      <w:r>
        <w:t>Under the Regulations, fees must be set in a way that:</w:t>
      </w:r>
    </w:p>
    <w:p w14:paraId="5B2DA69B" w14:textId="58426B53" w:rsidR="00DB0568" w:rsidRDefault="00A05604" w:rsidP="00DD5B53">
      <w:pPr>
        <w:pStyle w:val="ListBullet"/>
      </w:pPr>
      <w:r>
        <w:t>E</w:t>
      </w:r>
      <w:r w:rsidR="00DB0568">
        <w:t>nsures that any fee charged does not unfairly preclude an individual from requesting access to health information</w:t>
      </w:r>
      <w:r w:rsidR="006535EC">
        <w:t>.</w:t>
      </w:r>
    </w:p>
    <w:p w14:paraId="40FC180A" w14:textId="0A4069E9" w:rsidR="00DB0568" w:rsidRDefault="00A05604" w:rsidP="00E910CF">
      <w:pPr>
        <w:pStyle w:val="ListBullet"/>
      </w:pPr>
      <w:r>
        <w:t>A</w:t>
      </w:r>
      <w:r w:rsidR="00DB0568">
        <w:t>llows reasonable cost recovery for organisations</w:t>
      </w:r>
      <w:r w:rsidR="006535EC">
        <w:t>.</w:t>
      </w:r>
    </w:p>
    <w:p w14:paraId="61AF9355" w14:textId="2537B333" w:rsidR="00DB0568" w:rsidRDefault="00A05604" w:rsidP="00E910CF">
      <w:pPr>
        <w:pStyle w:val="ListBullet"/>
      </w:pPr>
      <w:r>
        <w:t>R</w:t>
      </w:r>
      <w:r w:rsidR="00DB0568">
        <w:t>ecognises current practice regarding the transfer of health information between health service providers at the request of an individual for the purpose of continuity of care</w:t>
      </w:r>
      <w:r w:rsidR="00E910CF">
        <w:t>.</w:t>
      </w:r>
    </w:p>
    <w:p w14:paraId="6A4275AD" w14:textId="414E1258" w:rsidR="00984BEE" w:rsidRDefault="005F40EF" w:rsidP="00CD396E">
      <w:bookmarkStart w:id="10" w:name="_Toc135157711"/>
      <w:r>
        <w:t>Essentially, t</w:t>
      </w:r>
      <w:r w:rsidRPr="005F40EF">
        <w:t xml:space="preserve">he Regulations balance the facilitation of access to health information for individuals with </w:t>
      </w:r>
      <w:r w:rsidR="002F5E18">
        <w:t xml:space="preserve">reasonable </w:t>
      </w:r>
      <w:r w:rsidRPr="005F40EF">
        <w:t xml:space="preserve">cost recovery by private </w:t>
      </w:r>
      <w:r w:rsidR="00C64D60">
        <w:t>organisations</w:t>
      </w:r>
      <w:r w:rsidRPr="005F40EF">
        <w:t xml:space="preserve"> of the cost of providing access</w:t>
      </w:r>
      <w:r w:rsidR="0092455F">
        <w:t xml:space="preserve"> </w:t>
      </w:r>
      <w:proofErr w:type="gramStart"/>
      <w:r w:rsidR="0092455F">
        <w:t>i.e.</w:t>
      </w:r>
      <w:proofErr w:type="gramEnd"/>
      <w:r w:rsidR="0092455F">
        <w:t xml:space="preserve"> maximum fees should only be set to a level </w:t>
      </w:r>
      <w:r w:rsidR="00B16A46">
        <w:t>that does</w:t>
      </w:r>
      <w:r w:rsidR="00F8179A">
        <w:t xml:space="preserve"> </w:t>
      </w:r>
      <w:r w:rsidR="00B16A46">
        <w:t>n</w:t>
      </w:r>
      <w:r w:rsidR="00F8179A">
        <w:t>o</w:t>
      </w:r>
      <w:r w:rsidR="00B16A46">
        <w:t>t preclude access, even if it means maximum fees are set below a level of full cost recovery for a provider.</w:t>
      </w:r>
    </w:p>
    <w:p w14:paraId="1B7FA5C7" w14:textId="0B0E6EB4" w:rsidR="003A4482" w:rsidRDefault="00CE4547" w:rsidP="003A4482">
      <w:pPr>
        <w:pStyle w:val="ListParagraph"/>
        <w:numPr>
          <w:ilvl w:val="0"/>
          <w:numId w:val="49"/>
        </w:numPr>
      </w:pPr>
      <w:r>
        <w:t>The fee schedules prescribed in the Regulations are set out in Appendix B of this RIS</w:t>
      </w:r>
      <w:r w:rsidR="00E544E3">
        <w:t xml:space="preserve">, ranging from 20 cents </w:t>
      </w:r>
      <w:r w:rsidR="00DB2348">
        <w:t>per page</w:t>
      </w:r>
      <w:r w:rsidR="00E544E3">
        <w:t xml:space="preserve"> for a black and white photocopy up to </w:t>
      </w:r>
      <w:r w:rsidR="00DF39A9">
        <w:t>$143.73 (9.4 fee units) for an accurate summary of health records</w:t>
      </w:r>
      <w:r>
        <w:t xml:space="preserve">. </w:t>
      </w:r>
      <w:r w:rsidR="00437DFC">
        <w:t xml:space="preserve">When considering the level of fees, the fee for providing </w:t>
      </w:r>
      <w:r w:rsidR="00437DFC">
        <w:lastRenderedPageBreak/>
        <w:t xml:space="preserve">a copy of records </w:t>
      </w:r>
      <w:r w:rsidR="00A27233">
        <w:t>is most relevant, as most individuals who are seeking access request a copy of their records</w:t>
      </w:r>
      <w:r w:rsidR="00DF39A9">
        <w:t>:</w:t>
      </w:r>
      <w:r w:rsidR="0059439E">
        <w:t xml:space="preserve"> </w:t>
      </w:r>
      <w:r w:rsidR="006C7701">
        <w:t xml:space="preserve">A fee of $38.23 (2.5 fee units) for </w:t>
      </w:r>
      <w:r w:rsidR="00F82FCA">
        <w:t>‘assessing and collating</w:t>
      </w:r>
      <w:r w:rsidR="000770FE">
        <w:t>’ health information</w:t>
      </w:r>
      <w:r w:rsidR="006C7701">
        <w:t>.</w:t>
      </w:r>
    </w:p>
    <w:p w14:paraId="156C0F8D" w14:textId="43B9B406" w:rsidR="00F535C8" w:rsidRDefault="006C7701" w:rsidP="003A4482">
      <w:pPr>
        <w:pStyle w:val="ListParagraph"/>
        <w:numPr>
          <w:ilvl w:val="0"/>
          <w:numId w:val="49"/>
        </w:numPr>
      </w:pPr>
      <w:r>
        <w:t xml:space="preserve">A fee for </w:t>
      </w:r>
      <w:r w:rsidR="00F535C8">
        <w:t>providing</w:t>
      </w:r>
      <w:r w:rsidR="00F535C8" w:rsidRPr="00F535C8">
        <w:t xml:space="preserve"> a copy of the health records to the person</w:t>
      </w:r>
      <w:r w:rsidR="00DD3DFC">
        <w:t xml:space="preserve"> of </w:t>
      </w:r>
      <w:r w:rsidR="00F535C8" w:rsidRPr="00F535C8">
        <w:t>20 cents per page for A4 black and white.</w:t>
      </w:r>
    </w:p>
    <w:p w14:paraId="42992C7D" w14:textId="0E720C25" w:rsidR="00B97AA3" w:rsidRDefault="00D405AB" w:rsidP="00B52D7D">
      <w:r>
        <w:t>The creation of</w:t>
      </w:r>
      <w:r w:rsidR="00FC620A">
        <w:t xml:space="preserve"> an accurate summary of health information</w:t>
      </w:r>
      <w:r>
        <w:t xml:space="preserve"> would require significantly more work by the provider</w:t>
      </w:r>
      <w:r w:rsidR="00795778">
        <w:t xml:space="preserve"> and so the maximum fee is set higher:</w:t>
      </w:r>
      <w:r w:rsidR="00BC6C05">
        <w:t xml:space="preserve"> </w:t>
      </w:r>
      <w:r w:rsidR="00795778">
        <w:t xml:space="preserve">including the </w:t>
      </w:r>
      <w:r w:rsidR="00BC6C05">
        <w:t>usual consultation fee (if a health service provider)</w:t>
      </w:r>
      <w:r w:rsidR="005418A0">
        <w:t xml:space="preserve"> </w:t>
      </w:r>
      <w:r w:rsidR="00BC6C05">
        <w:t>or $4</w:t>
      </w:r>
      <w:r w:rsidR="00533801">
        <w:t>4.30</w:t>
      </w:r>
      <w:r w:rsidR="00BC6C05">
        <w:t xml:space="preserve"> (2.9 fee units) per quarter hour up to $</w:t>
      </w:r>
      <w:r w:rsidR="00EF3257">
        <w:t>143.73</w:t>
      </w:r>
      <w:r w:rsidR="005418A0">
        <w:t xml:space="preserve"> </w:t>
      </w:r>
      <w:r w:rsidR="00BC6C05">
        <w:t xml:space="preserve">(9.4 fee units), whichever is </w:t>
      </w:r>
      <w:r w:rsidR="00DD3DFC">
        <w:t>greater</w:t>
      </w:r>
      <w:r w:rsidR="00BC6C05">
        <w:t>.</w:t>
      </w:r>
      <w:r w:rsidR="00DD717E">
        <w:rPr>
          <w:rStyle w:val="FootnoteReference"/>
        </w:rPr>
        <w:footnoteReference w:id="12"/>
      </w:r>
      <w:r w:rsidR="00FC620A">
        <w:t xml:space="preserve"> </w:t>
      </w:r>
      <w:r w:rsidR="471C4F79">
        <w:t>T</w:t>
      </w:r>
      <w:r w:rsidR="00B52D7D">
        <w:t xml:space="preserve">he </w:t>
      </w:r>
      <w:r w:rsidR="0066319B">
        <w:t xml:space="preserve">Regulations </w:t>
      </w:r>
      <w:r w:rsidR="004D3DC1">
        <w:t>also</w:t>
      </w:r>
      <w:r w:rsidR="00B52D7D">
        <w:t xml:space="preserve"> </w:t>
      </w:r>
      <w:r w:rsidR="00C21B8E">
        <w:t>set out the prescribed circumstances for collection of health</w:t>
      </w:r>
      <w:r w:rsidR="00FE3C12">
        <w:t xml:space="preserve"> </w:t>
      </w:r>
      <w:r w:rsidR="00C21B8E">
        <w:t xml:space="preserve">information under </w:t>
      </w:r>
      <w:r w:rsidR="00340C0E">
        <w:t xml:space="preserve">regulation 9. </w:t>
      </w:r>
      <w:r w:rsidR="00772164">
        <w:t>Under the Act, HPP</w:t>
      </w:r>
      <w:r w:rsidR="00046AAE">
        <w:t xml:space="preserve"> </w:t>
      </w:r>
      <w:r w:rsidR="00772164">
        <w:t xml:space="preserve">1 </w:t>
      </w:r>
      <w:r w:rsidR="00046AAE">
        <w:t>limits</w:t>
      </w:r>
      <w:r w:rsidR="001529B2">
        <w:t xml:space="preserve"> the health information that may be colle</w:t>
      </w:r>
      <w:r w:rsidR="00E3762B">
        <w:t>c</w:t>
      </w:r>
      <w:r w:rsidR="001529B2">
        <w:t>ted to a list o</w:t>
      </w:r>
      <w:r w:rsidR="00E3762B">
        <w:t>f</w:t>
      </w:r>
      <w:r w:rsidR="001529B2">
        <w:t xml:space="preserve"> circumstances </w:t>
      </w:r>
      <w:r w:rsidR="00EF5B1B">
        <w:t xml:space="preserve">to ensure that </w:t>
      </w:r>
      <w:r w:rsidR="00E3762B">
        <w:t>information is only collected about a person in appropriate circumstances. The Act permits the making of regulations to set out any additional circumstances where health information ma</w:t>
      </w:r>
      <w:r w:rsidR="00422733">
        <w:t>y</w:t>
      </w:r>
      <w:r w:rsidR="00E3762B">
        <w:t xml:space="preserve"> be collected. Currently, </w:t>
      </w:r>
      <w:r w:rsidR="00BA04C3">
        <w:t xml:space="preserve">regulation 9 sets out </w:t>
      </w:r>
      <w:r w:rsidR="00640C68">
        <w:t xml:space="preserve">these additional circumstances, </w:t>
      </w:r>
      <w:r w:rsidR="00B52D7D">
        <w:t xml:space="preserve">namely, </w:t>
      </w:r>
      <w:r w:rsidR="008E09D6">
        <w:t xml:space="preserve">allowing health information to be collected </w:t>
      </w:r>
      <w:r w:rsidR="00B52D7D">
        <w:t>about</w:t>
      </w:r>
      <w:r w:rsidR="009530AB">
        <w:t xml:space="preserve"> </w:t>
      </w:r>
      <w:r w:rsidR="00C908CC">
        <w:t>a person</w:t>
      </w:r>
      <w:r w:rsidR="00565E39">
        <w:t xml:space="preserve"> </w:t>
      </w:r>
      <w:r w:rsidR="00457D95">
        <w:t>connected</w:t>
      </w:r>
      <w:r w:rsidR="00296CCE">
        <w:t xml:space="preserve"> to the </w:t>
      </w:r>
      <w:r w:rsidR="00C908CC">
        <w:t>individual</w:t>
      </w:r>
      <w:r w:rsidR="00B81045">
        <w:t xml:space="preserve"> (</w:t>
      </w:r>
      <w:proofErr w:type="gramStart"/>
      <w:r w:rsidR="00B81045">
        <w:t>e.g.</w:t>
      </w:r>
      <w:proofErr w:type="gramEnd"/>
      <w:r w:rsidR="00B81045">
        <w:t xml:space="preserve"> </w:t>
      </w:r>
      <w:r w:rsidR="004154FB">
        <w:t>for the purposes of preparing a family history of a patient)</w:t>
      </w:r>
      <w:r w:rsidR="00B52D7D">
        <w:t>.</w:t>
      </w:r>
    </w:p>
    <w:p w14:paraId="79F931D8" w14:textId="39396773" w:rsidR="00AC406E" w:rsidRDefault="003E0A5F" w:rsidP="00602E3E">
      <w:pPr>
        <w:pStyle w:val="Heading6"/>
      </w:pPr>
      <w:r>
        <w:t>Proposed regulations</w:t>
      </w:r>
      <w:bookmarkEnd w:id="10"/>
    </w:p>
    <w:p w14:paraId="57C220D7" w14:textId="0B62FC00" w:rsidR="00080F67" w:rsidRDefault="00AF19E7" w:rsidP="00080F67">
      <w:r w:rsidRPr="00AF2E89">
        <w:t xml:space="preserve">The </w:t>
      </w:r>
      <w:r w:rsidR="00B97CF9" w:rsidRPr="00AF2E89">
        <w:t xml:space="preserve">Health Records Regulations 2012 will be automatically repealed (sunset) on 19 August 2023. </w:t>
      </w:r>
      <w:r w:rsidR="00080F67" w:rsidRPr="00AF2E89">
        <w:t xml:space="preserve">They are proposed to be </w:t>
      </w:r>
      <w:r w:rsidR="00283181" w:rsidRPr="00AF2E89">
        <w:t>r</w:t>
      </w:r>
      <w:r w:rsidR="00567518" w:rsidRPr="00AF2E89">
        <w:t xml:space="preserve">emade </w:t>
      </w:r>
      <w:r w:rsidR="00AF2E89" w:rsidRPr="00AF2E89">
        <w:t>in their current form</w:t>
      </w:r>
      <w:r w:rsidR="00422733">
        <w:t xml:space="preserve"> with minor clarifying amendments</w:t>
      </w:r>
      <w:r w:rsidR="00650281" w:rsidRPr="00650281">
        <w:t xml:space="preserve"> </w:t>
      </w:r>
      <w:r w:rsidR="00650281">
        <w:t>relating to the prescribed circumstances for collection of health information</w:t>
      </w:r>
      <w:r w:rsidR="00080F67" w:rsidRPr="00AF2E89">
        <w:t>, subject to the outcomes of consultation on this Regulatory Impact Statement.</w:t>
      </w:r>
      <w:r w:rsidR="00080F67">
        <w:t xml:space="preserve"> </w:t>
      </w:r>
    </w:p>
    <w:p w14:paraId="407EBC3D" w14:textId="489C183D" w:rsidR="00737646" w:rsidRDefault="009D648B" w:rsidP="00737646">
      <w:pPr>
        <w:pStyle w:val="Heading6"/>
      </w:pPr>
      <w:bookmarkStart w:id="11" w:name="_Toc135157712"/>
      <w:r>
        <w:t>Regulatory Impact Statement</w:t>
      </w:r>
      <w:bookmarkEnd w:id="11"/>
    </w:p>
    <w:p w14:paraId="0411E130" w14:textId="77777777" w:rsidR="001968D3" w:rsidRPr="00AF05DD" w:rsidRDefault="001968D3" w:rsidP="001968D3">
      <w:pPr>
        <w:rPr>
          <w:lang w:eastAsia="en-AU"/>
        </w:rPr>
      </w:pPr>
      <w:r w:rsidRPr="00AF05DD">
        <w:t xml:space="preserve">Under the </w:t>
      </w:r>
      <w:r w:rsidRPr="00AF05DD">
        <w:rPr>
          <w:i/>
          <w:iCs/>
        </w:rPr>
        <w:t>Subordinate Legislation Act 1994</w:t>
      </w:r>
      <w:r w:rsidRPr="00B21B75">
        <w:t xml:space="preserve"> (SL Act), a RIS is required to be prepared for proposed regulations that are expected to have a significant impact. The responsible Minister must ensure a </w:t>
      </w:r>
      <w:r w:rsidRPr="00AF05DD">
        <w:t>RIS is prepared for public consultation.</w:t>
      </w:r>
      <w:r w:rsidRPr="00AF05DD">
        <w:rPr>
          <w:lang w:eastAsia="en-AU"/>
        </w:rPr>
        <w:t xml:space="preserve"> </w:t>
      </w:r>
    </w:p>
    <w:p w14:paraId="3CF8B1B9" w14:textId="16D60CA5" w:rsidR="00EA66DF" w:rsidRDefault="00B11F5A" w:rsidP="001968D3">
      <w:r>
        <w:t>DH</w:t>
      </w:r>
      <w:r w:rsidR="001968D3" w:rsidRPr="00AF05DD">
        <w:t xml:space="preserve"> has engaged Sapere Research Group to prepare this</w:t>
      </w:r>
      <w:r w:rsidR="001968D3" w:rsidRPr="009C369D">
        <w:t xml:space="preserve"> RIS in accordance with BRV’s Victorian Guide to Regulation</w:t>
      </w:r>
      <w:r w:rsidR="001968D3">
        <w:rPr>
          <w:rStyle w:val="FootnoteReference"/>
        </w:rPr>
        <w:footnoteReference w:id="13"/>
      </w:r>
      <w:r w:rsidR="001968D3">
        <w:t xml:space="preserve"> </w:t>
      </w:r>
      <w:r w:rsidR="001968D3" w:rsidRPr="009C369D">
        <w:t xml:space="preserve">and the </w:t>
      </w:r>
      <w:r w:rsidR="001968D3" w:rsidRPr="009C369D">
        <w:rPr>
          <w:i/>
        </w:rPr>
        <w:t>Subordinate Legislation Act 1994</w:t>
      </w:r>
      <w:r w:rsidR="001968D3" w:rsidRPr="009C369D">
        <w:t xml:space="preserve">. </w:t>
      </w:r>
    </w:p>
    <w:p w14:paraId="76B2D92E" w14:textId="77777777" w:rsidR="00EA66DF" w:rsidRDefault="00EA66DF">
      <w:pPr>
        <w:spacing w:before="0" w:line="259" w:lineRule="auto"/>
      </w:pPr>
      <w:r>
        <w:br w:type="page"/>
      </w:r>
    </w:p>
    <w:p w14:paraId="2C653BB1" w14:textId="77777777" w:rsidR="007716B9" w:rsidRDefault="007716B9" w:rsidP="007716B9">
      <w:pPr>
        <w:pStyle w:val="Heading7"/>
        <w:numPr>
          <w:ilvl w:val="2"/>
          <w:numId w:val="1"/>
        </w:numPr>
        <w:rPr>
          <w:rFonts w:eastAsia="Times New Roman"/>
          <w:lang w:eastAsia="en-AU"/>
        </w:rPr>
      </w:pPr>
      <w:r>
        <w:rPr>
          <w:rFonts w:eastAsia="Times New Roman"/>
          <w:lang w:eastAsia="en-AU"/>
        </w:rPr>
        <w:lastRenderedPageBreak/>
        <w:t>RIS process</w:t>
      </w:r>
    </w:p>
    <w:p w14:paraId="42AFB404" w14:textId="69B6EE5B" w:rsidR="008A3266" w:rsidRDefault="007716B9" w:rsidP="007716B9">
      <w:r w:rsidRPr="009C369D">
        <w:t xml:space="preserve">The key purpose of this RIS is to assess the impact of different options for replacing the </w:t>
      </w:r>
      <w:r>
        <w:t>current</w:t>
      </w:r>
      <w:r w:rsidRPr="009C369D">
        <w:t xml:space="preserve"> Regulations. The rigorous assessment of regulatory proposals within a RIS ensures that regulation best serves the Victorian community.</w:t>
      </w:r>
      <w:r>
        <w:t xml:space="preserve"> </w:t>
      </w:r>
      <w:r w:rsidRPr="009C369D">
        <w:t xml:space="preserve">The general approach to the assessment </w:t>
      </w:r>
      <w:r>
        <w:t>was</w:t>
      </w:r>
      <w:r w:rsidRPr="009C369D">
        <w:t xml:space="preserve"> as follows:</w:t>
      </w:r>
    </w:p>
    <w:p w14:paraId="6999D890" w14:textId="77777777" w:rsidR="007716B9" w:rsidRPr="00CD396E" w:rsidRDefault="007716B9" w:rsidP="00BD6214">
      <w:pPr>
        <w:pStyle w:val="ListParagraph"/>
        <w:numPr>
          <w:ilvl w:val="0"/>
          <w:numId w:val="9"/>
        </w:numPr>
        <w:spacing w:after="60"/>
        <w:rPr>
          <w:i/>
          <w:color w:val="7B5E05" w:themeColor="accent1"/>
        </w:rPr>
      </w:pPr>
      <w:r w:rsidRPr="00CD396E">
        <w:rPr>
          <w:i/>
          <w:color w:val="7B5E05" w:themeColor="accent1"/>
        </w:rPr>
        <w:t>Identification of the problem</w:t>
      </w:r>
    </w:p>
    <w:p w14:paraId="4E1607B8" w14:textId="77777777" w:rsidR="007716B9" w:rsidRPr="009C369D" w:rsidRDefault="007716B9" w:rsidP="007716B9">
      <w:r w:rsidRPr="009C369D">
        <w:t xml:space="preserve">This involved consideration of the nature and extent of the problem that the </w:t>
      </w:r>
      <w:r>
        <w:t>p</w:t>
      </w:r>
      <w:r w:rsidRPr="009C369D">
        <w:t xml:space="preserve">roposed Regulations aim to address, including the need for government intervention, the risks of non-intervention and the objectives of such intervention. </w:t>
      </w:r>
    </w:p>
    <w:p w14:paraId="3E32FDE7" w14:textId="77777777" w:rsidR="007716B9" w:rsidRPr="00CD396E" w:rsidRDefault="007716B9" w:rsidP="00CD396E">
      <w:pPr>
        <w:pStyle w:val="ListParagraph"/>
        <w:numPr>
          <w:ilvl w:val="0"/>
          <w:numId w:val="9"/>
        </w:numPr>
        <w:spacing w:after="60"/>
        <w:rPr>
          <w:i/>
          <w:color w:val="7B5E05" w:themeColor="accent1"/>
        </w:rPr>
      </w:pPr>
      <w:r w:rsidRPr="00CD396E">
        <w:rPr>
          <w:i/>
          <w:color w:val="7B5E05" w:themeColor="accent1"/>
        </w:rPr>
        <w:t>Identification of the options to achieve the objectives of the proposed Regulations</w:t>
      </w:r>
    </w:p>
    <w:p w14:paraId="45435B83" w14:textId="77777777" w:rsidR="007716B9" w:rsidRDefault="007716B9" w:rsidP="007716B9">
      <w:r w:rsidRPr="009C369D">
        <w:t xml:space="preserve">Options that could address the defined problems were identified. Options which were deemed less feasible or less relevant were </w:t>
      </w:r>
      <w:r>
        <w:t xml:space="preserve">identified but </w:t>
      </w:r>
      <w:r w:rsidRPr="009C369D">
        <w:t>not pursued any further</w:t>
      </w:r>
      <w:r>
        <w:t>.</w:t>
      </w:r>
    </w:p>
    <w:p w14:paraId="4F7C8188" w14:textId="77777777" w:rsidR="007716B9" w:rsidRPr="00CD396E" w:rsidRDefault="007716B9" w:rsidP="00BD6214">
      <w:pPr>
        <w:pStyle w:val="ListParagraph"/>
        <w:numPr>
          <w:ilvl w:val="0"/>
          <w:numId w:val="9"/>
        </w:numPr>
        <w:spacing w:after="60"/>
        <w:rPr>
          <w:i/>
          <w:color w:val="7B5E05" w:themeColor="accent1"/>
        </w:rPr>
      </w:pPr>
      <w:r w:rsidRPr="00CD396E">
        <w:rPr>
          <w:i/>
          <w:color w:val="7B5E05" w:themeColor="accent1"/>
        </w:rPr>
        <w:t>Assessment of the costs and benefits, and identification of preferred option</w:t>
      </w:r>
    </w:p>
    <w:p w14:paraId="76822461" w14:textId="2CAFDAA7" w:rsidR="007716B9" w:rsidRPr="001B1ADA" w:rsidRDefault="007716B9" w:rsidP="007716B9">
      <w:r w:rsidRPr="009C369D">
        <w:t xml:space="preserve">Assessment of the costs and benefits under all options, relative to a Base Case of no regulations, was undertaken consistent with the requirements of the Victorian Guide to Regulation. </w:t>
      </w:r>
      <w:r>
        <w:t xml:space="preserve">Fees options are also assessed against </w:t>
      </w:r>
      <w:r w:rsidRPr="004B1FD0">
        <w:t xml:space="preserve">the Department of Treasury and Finance’s </w:t>
      </w:r>
      <w:r w:rsidR="00A247FB" w:rsidRPr="006F2742">
        <w:rPr>
          <w:i/>
          <w:iCs/>
        </w:rPr>
        <w:t xml:space="preserve">Pricing for </w:t>
      </w:r>
      <w:r w:rsidR="00D66F94">
        <w:rPr>
          <w:i/>
          <w:iCs/>
        </w:rPr>
        <w:t>V</w:t>
      </w:r>
      <w:r w:rsidR="00A247FB" w:rsidRPr="00CD396E">
        <w:rPr>
          <w:i/>
          <w:iCs/>
        </w:rPr>
        <w:t>alue</w:t>
      </w:r>
      <w:r w:rsidR="00182046" w:rsidRPr="00CD396E">
        <w:rPr>
          <w:i/>
          <w:iCs/>
        </w:rPr>
        <w:t xml:space="preserve"> </w:t>
      </w:r>
      <w:r w:rsidR="00D66F94" w:rsidRPr="00CD396E">
        <w:rPr>
          <w:i/>
          <w:iCs/>
        </w:rPr>
        <w:t>G</w:t>
      </w:r>
      <w:r w:rsidR="00182046" w:rsidRPr="00CD396E">
        <w:rPr>
          <w:i/>
          <w:iCs/>
        </w:rPr>
        <w:t>uide</w:t>
      </w:r>
      <w:r w:rsidRPr="004B1FD0">
        <w:t>.</w:t>
      </w:r>
      <w:r w:rsidRPr="004B1FD0">
        <w:rPr>
          <w:rStyle w:val="FootnoteReference"/>
        </w:rPr>
        <w:footnoteReference w:id="14"/>
      </w:r>
      <w:r w:rsidRPr="004B1FD0">
        <w:t xml:space="preserve"> The analysis uses data sourced from</w:t>
      </w:r>
      <w:r w:rsidR="008A7A5A" w:rsidRPr="004B1FD0">
        <w:t xml:space="preserve"> </w:t>
      </w:r>
      <w:r w:rsidR="008D4A3D">
        <w:t>DH</w:t>
      </w:r>
      <w:r w:rsidR="008A7A5A" w:rsidRPr="004B1FD0">
        <w:t xml:space="preserve"> and the Health Complaints Commissioner</w:t>
      </w:r>
      <w:r w:rsidRPr="004B1FD0">
        <w:t>, and data gathered through independent research.</w:t>
      </w:r>
    </w:p>
    <w:p w14:paraId="79BAA59B" w14:textId="1ACB4624" w:rsidR="00FE17E7" w:rsidRDefault="007716B9" w:rsidP="007716B9">
      <w:r w:rsidRPr="001B1ADA">
        <w:t>Based on the analysis undertaken, a preferred option was identified</w:t>
      </w:r>
      <w:r>
        <w:t>.</w:t>
      </w:r>
    </w:p>
    <w:p w14:paraId="08701BA1" w14:textId="77777777" w:rsidR="007716B9" w:rsidRPr="00CD396E" w:rsidRDefault="007716B9" w:rsidP="00BD6214">
      <w:pPr>
        <w:pStyle w:val="ListParagraph"/>
        <w:numPr>
          <w:ilvl w:val="0"/>
          <w:numId w:val="9"/>
        </w:numPr>
        <w:spacing w:after="60"/>
        <w:rPr>
          <w:i/>
          <w:color w:val="7B5E05" w:themeColor="accent1"/>
        </w:rPr>
      </w:pPr>
      <w:r w:rsidRPr="00CD396E">
        <w:rPr>
          <w:i/>
          <w:color w:val="7B5E05" w:themeColor="accent1"/>
        </w:rPr>
        <w:t>Assessment of other impacts</w:t>
      </w:r>
    </w:p>
    <w:p w14:paraId="09217C58" w14:textId="066A53BD" w:rsidR="00FE437B" w:rsidRDefault="00FE437B" w:rsidP="00FE437B">
      <w:pPr>
        <w:spacing w:after="60"/>
      </w:pPr>
      <w:r w:rsidRPr="00FE437B">
        <w:t>We have considered the likely small business and competition impacts of the preferred option</w:t>
      </w:r>
      <w:r>
        <w:t>.</w:t>
      </w:r>
    </w:p>
    <w:p w14:paraId="79769CC7" w14:textId="334F6D51" w:rsidR="007716B9" w:rsidRPr="00CD396E" w:rsidRDefault="007716B9" w:rsidP="00BD6214">
      <w:pPr>
        <w:pStyle w:val="ListParagraph"/>
        <w:numPr>
          <w:ilvl w:val="0"/>
          <w:numId w:val="9"/>
        </w:numPr>
        <w:spacing w:after="60"/>
        <w:rPr>
          <w:i/>
          <w:color w:val="7B5E05" w:themeColor="accent1"/>
        </w:rPr>
      </w:pPr>
      <w:r w:rsidRPr="00CD396E">
        <w:rPr>
          <w:i/>
          <w:color w:val="7B5E05" w:themeColor="accent1"/>
        </w:rPr>
        <w:t>Implementation and evaluation</w:t>
      </w:r>
    </w:p>
    <w:p w14:paraId="56696C10" w14:textId="77777777" w:rsidR="007716B9" w:rsidRPr="00156DA8" w:rsidRDefault="007716B9" w:rsidP="007716B9">
      <w:r>
        <w:t>Th</w:t>
      </w:r>
      <w:r w:rsidRPr="009C369D">
        <w:t>e arrangements for implementation</w:t>
      </w:r>
      <w:r>
        <w:t xml:space="preserve"> </w:t>
      </w:r>
      <w:r w:rsidRPr="009C369D">
        <w:t>and evaluation of the preferred option</w:t>
      </w:r>
      <w:r>
        <w:t xml:space="preserve"> are described.</w:t>
      </w:r>
    </w:p>
    <w:p w14:paraId="3087E486" w14:textId="4D48F7AD" w:rsidR="0025497F" w:rsidRDefault="0025497F" w:rsidP="007716B9">
      <w:pPr>
        <w:pStyle w:val="Heading7"/>
        <w:numPr>
          <w:ilvl w:val="2"/>
          <w:numId w:val="1"/>
        </w:numPr>
      </w:pPr>
      <w:bookmarkStart w:id="12" w:name="_Ref67565741"/>
      <w:r>
        <w:t>Sta</w:t>
      </w:r>
      <w:r w:rsidR="006F584B">
        <w:t xml:space="preserve">keholder consultation </w:t>
      </w:r>
    </w:p>
    <w:p w14:paraId="2F319FA7" w14:textId="5D2C976C" w:rsidR="003F760F" w:rsidRPr="009220F1" w:rsidRDefault="00BE19F2" w:rsidP="00593C09">
      <w:r>
        <w:t>DH</w:t>
      </w:r>
      <w:r w:rsidR="003F760F" w:rsidRPr="00203B0E">
        <w:t xml:space="preserve"> regularly engages with health providers (at a board and senior </w:t>
      </w:r>
      <w:r w:rsidR="51CD2E3C">
        <w:t xml:space="preserve">executive </w:t>
      </w:r>
      <w:r w:rsidR="204DE931">
        <w:t>level</w:t>
      </w:r>
      <w:r w:rsidR="003F760F" w:rsidRPr="00203B0E">
        <w:t xml:space="preserve">) and other </w:t>
      </w:r>
      <w:r w:rsidR="003F760F" w:rsidRPr="009220F1">
        <w:t xml:space="preserve">relevant </w:t>
      </w:r>
      <w:r w:rsidR="64722E23">
        <w:t xml:space="preserve">sector </w:t>
      </w:r>
      <w:r w:rsidR="003F760F" w:rsidRPr="009220F1">
        <w:t xml:space="preserve">stakeholders including about issues arising with the operation of health </w:t>
      </w:r>
      <w:r w:rsidR="1E27FFF6">
        <w:t xml:space="preserve">legislation </w:t>
      </w:r>
      <w:r w:rsidR="204DE931">
        <w:t>and</w:t>
      </w:r>
      <w:r w:rsidR="003F760F" w:rsidRPr="009220F1">
        <w:t xml:space="preserve"> regulations</w:t>
      </w:r>
      <w:r w:rsidR="003F760F" w:rsidRPr="00593C09">
        <w:t>.</w:t>
      </w:r>
      <w:r w:rsidR="003F760F" w:rsidRPr="009220F1">
        <w:t xml:space="preserve"> This helps to inform if there are any issues with the </w:t>
      </w:r>
      <w:r w:rsidR="748491E0">
        <w:t xml:space="preserve">operation of </w:t>
      </w:r>
      <w:r w:rsidR="460779E4">
        <w:t xml:space="preserve">this </w:t>
      </w:r>
      <w:r w:rsidR="003F760F" w:rsidRPr="009220F1">
        <w:t xml:space="preserve">legislation. While the matters prescribed in the Regulations are not of a sufficiently material nature to require specific engagement, the engagement that does take place gives an opportunity for any feedback </w:t>
      </w:r>
      <w:r w:rsidR="60DA297E">
        <w:t xml:space="preserve">(such as material difficulties) </w:t>
      </w:r>
      <w:r w:rsidR="204DE931">
        <w:t>to</w:t>
      </w:r>
      <w:r w:rsidR="003F760F" w:rsidRPr="009220F1">
        <w:t xml:space="preserve"> be provided.</w:t>
      </w:r>
    </w:p>
    <w:p w14:paraId="1DC69AAB" w14:textId="7A207902" w:rsidR="003F760F" w:rsidRPr="009220F1" w:rsidRDefault="003F760F" w:rsidP="00593C09">
      <w:r w:rsidRPr="009220F1">
        <w:t>Under the Act, complaints about access to health information, including complaints about fees</w:t>
      </w:r>
      <w:r w:rsidR="00DE2863">
        <w:t xml:space="preserve"> for access</w:t>
      </w:r>
      <w:r w:rsidRPr="009220F1">
        <w:t xml:space="preserve">, are made to the </w:t>
      </w:r>
      <w:r w:rsidR="3263888A">
        <w:t xml:space="preserve">independent </w:t>
      </w:r>
      <w:r w:rsidRPr="009220F1">
        <w:t xml:space="preserve">Health Complaints Commissioner. </w:t>
      </w:r>
      <w:r w:rsidR="204DE931">
        <w:t>T</w:t>
      </w:r>
      <w:r w:rsidR="5DF5D830">
        <w:t>he Commissioner’s published data and any sp</w:t>
      </w:r>
      <w:r w:rsidR="48CB56E7">
        <w:t>e</w:t>
      </w:r>
      <w:r w:rsidR="5DF5D830">
        <w:t xml:space="preserve">cific engagement by them </w:t>
      </w:r>
      <w:r w:rsidR="5C6DCFAA">
        <w:t xml:space="preserve">with </w:t>
      </w:r>
      <w:r w:rsidR="00127447">
        <w:t>DH</w:t>
      </w:r>
      <w:r w:rsidR="5C6DCFAA">
        <w:t xml:space="preserve"> </w:t>
      </w:r>
      <w:r w:rsidR="286A3AA2">
        <w:t>are</w:t>
      </w:r>
      <w:r w:rsidRPr="009220F1">
        <w:t xml:space="preserve"> key </w:t>
      </w:r>
      <w:r w:rsidR="204DE931">
        <w:t>source</w:t>
      </w:r>
      <w:r w:rsidR="321A45AF">
        <w:t>s</w:t>
      </w:r>
      <w:r w:rsidRPr="009220F1">
        <w:t xml:space="preserve"> of information about whether </w:t>
      </w:r>
      <w:r w:rsidRPr="009220F1">
        <w:lastRenderedPageBreak/>
        <w:t>individuals are experiencing problems with access to health information, including fees</w:t>
      </w:r>
      <w:r w:rsidR="1318A4F2">
        <w:t xml:space="preserve"> (with the usual limitations of complaints-related data reflecting complaints not resolved at agency level)</w:t>
      </w:r>
      <w:r w:rsidR="667D3478">
        <w:t>.</w:t>
      </w:r>
      <w:r w:rsidR="009403CC">
        <w:t xml:space="preserve"> </w:t>
      </w:r>
      <w:r w:rsidR="00AB168C">
        <w:t>C</w:t>
      </w:r>
      <w:r w:rsidR="00CD4300">
        <w:t>omplaints data is discussed further in section 2 of this RIS.</w:t>
      </w:r>
      <w:r w:rsidRPr="009220F1">
        <w:t xml:space="preserve"> </w:t>
      </w:r>
    </w:p>
    <w:p w14:paraId="67285328" w14:textId="0DB0A74F" w:rsidR="003F760F" w:rsidRPr="009220F1" w:rsidRDefault="00127447" w:rsidP="00593C09">
      <w:r>
        <w:t>DH</w:t>
      </w:r>
      <w:r w:rsidR="003F760F" w:rsidRPr="009220F1">
        <w:t xml:space="preserve"> has undertaken targeted consultation with some health service providers to inform its review of the sunsetting Regulations and this RIS. </w:t>
      </w:r>
      <w:r w:rsidR="004812E4">
        <w:t xml:space="preserve">No consultation has been undertaken with non-health service providers </w:t>
      </w:r>
      <w:r w:rsidR="0079164C">
        <w:t>who are regulated</w:t>
      </w:r>
      <w:r w:rsidR="00D91423">
        <w:t xml:space="preserve"> (</w:t>
      </w:r>
      <w:proofErr w:type="gramStart"/>
      <w:r w:rsidR="00D91423">
        <w:t>e.g.</w:t>
      </w:r>
      <w:proofErr w:type="gramEnd"/>
      <w:r w:rsidR="00D91423">
        <w:t xml:space="preserve"> gyms, schools)</w:t>
      </w:r>
      <w:r w:rsidR="0079164C">
        <w:t xml:space="preserve">, noting they are </w:t>
      </w:r>
      <w:r w:rsidR="006623F9">
        <w:t xml:space="preserve">too disparate and dispersed to consult, with relatively small </w:t>
      </w:r>
      <w:r w:rsidR="00D91423">
        <w:t>impacts under the proposed Regulations, to warrant specific consultation.</w:t>
      </w:r>
    </w:p>
    <w:p w14:paraId="110B18D9" w14:textId="77777777" w:rsidR="003F760F" w:rsidRPr="00593C09" w:rsidRDefault="003F760F" w:rsidP="00593C09">
      <w:r w:rsidRPr="009220F1">
        <w:t>Further feedback on the proposed Regulations and RIS will be sought through a public comment process.</w:t>
      </w:r>
    </w:p>
    <w:p w14:paraId="25637FB3" w14:textId="492521A0" w:rsidR="007716B9" w:rsidRPr="009C369D" w:rsidRDefault="007716B9" w:rsidP="00D53593">
      <w:pPr>
        <w:pStyle w:val="Heading7"/>
      </w:pPr>
      <w:r>
        <w:t>Public comment</w:t>
      </w:r>
      <w:bookmarkEnd w:id="12"/>
    </w:p>
    <w:p w14:paraId="7526C05A" w14:textId="5D06A451" w:rsidR="007716B9" w:rsidRPr="00426FA0" w:rsidRDefault="007716B9" w:rsidP="007716B9">
      <w:r w:rsidRPr="007A6F46">
        <w:t xml:space="preserve">The proposed Regulations and this RIS will be released for </w:t>
      </w:r>
      <w:r w:rsidRPr="003917C4">
        <w:t>28</w:t>
      </w:r>
      <w:r w:rsidRPr="007A6F46">
        <w:t xml:space="preserve"> days</w:t>
      </w:r>
      <w:r w:rsidR="00DE2863">
        <w:t xml:space="preserve"> (the minimum required)</w:t>
      </w:r>
      <w:r w:rsidRPr="007A6F46">
        <w:t xml:space="preserve"> to provide </w:t>
      </w:r>
      <w:r w:rsidR="008F0BE8">
        <w:t xml:space="preserve">individuals, </w:t>
      </w:r>
      <w:r w:rsidR="00D91423">
        <w:t>organisation</w:t>
      </w:r>
      <w:r w:rsidR="0098581F">
        <w:t>s regulated under the proposed Regulations</w:t>
      </w:r>
      <w:r w:rsidR="008F0BE8">
        <w:t xml:space="preserve"> </w:t>
      </w:r>
      <w:r w:rsidRPr="007A6F46">
        <w:t xml:space="preserve">and other </w:t>
      </w:r>
      <w:r w:rsidR="008F0BE8">
        <w:t>key stakeholders</w:t>
      </w:r>
      <w:r w:rsidRPr="003917C4">
        <w:t xml:space="preserve"> the opportunity to provide feedback</w:t>
      </w:r>
      <w:r>
        <w:t xml:space="preserve">. </w:t>
      </w:r>
      <w:r w:rsidRPr="00BB054D">
        <w:t>The process for</w:t>
      </w:r>
      <w:r>
        <w:t xml:space="preserve"> responding to the RIS </w:t>
      </w:r>
      <w:r w:rsidRPr="00BB054D">
        <w:t xml:space="preserve">is outlined in the </w:t>
      </w:r>
      <w:r>
        <w:t>f</w:t>
      </w:r>
      <w:r w:rsidRPr="00BB054D">
        <w:t xml:space="preserve">oreword to this report. </w:t>
      </w:r>
    </w:p>
    <w:p w14:paraId="6AAE4417" w14:textId="35868E15" w:rsidR="007716B9" w:rsidRDefault="006B06D3" w:rsidP="007716B9">
      <w:r>
        <w:t>DH</w:t>
      </w:r>
      <w:r w:rsidR="007716B9" w:rsidRPr="00C07963">
        <w:t xml:space="preserve"> </w:t>
      </w:r>
      <w:r w:rsidR="007716B9">
        <w:t xml:space="preserve">welcomes and </w:t>
      </w:r>
      <w:r w:rsidR="007716B9" w:rsidRPr="00C07963">
        <w:t xml:space="preserve">will consider all submissions received during the period of public </w:t>
      </w:r>
      <w:r w:rsidR="007716B9">
        <w:t>comment</w:t>
      </w:r>
      <w:r w:rsidR="007716B9" w:rsidRPr="00C07963">
        <w:t xml:space="preserve">. </w:t>
      </w:r>
      <w:r>
        <w:t>DH</w:t>
      </w:r>
      <w:r w:rsidR="00B95D10">
        <w:t xml:space="preserve"> </w:t>
      </w:r>
      <w:r w:rsidR="007716B9" w:rsidRPr="00C07963">
        <w:t xml:space="preserve">will prepare a Response to Public Comment summarising the submissions received and </w:t>
      </w:r>
      <w:r w:rsidR="007716B9">
        <w:t xml:space="preserve">its </w:t>
      </w:r>
      <w:r w:rsidR="007716B9" w:rsidRPr="00C07963">
        <w:t>response</w:t>
      </w:r>
      <w:r w:rsidR="007716B9">
        <w:t>, including a decision on whether any amendments to the proposed Regulations are needed</w:t>
      </w:r>
      <w:r w:rsidR="007716B9" w:rsidRPr="00C07963">
        <w:t xml:space="preserve">. </w:t>
      </w:r>
      <w:r w:rsidR="007716B9">
        <w:t xml:space="preserve">Submissions to the review, and the </w:t>
      </w:r>
      <w:r w:rsidR="007716B9" w:rsidRPr="00C07963">
        <w:t>Response to Public Comment document</w:t>
      </w:r>
      <w:r w:rsidR="007716B9">
        <w:t>,</w:t>
      </w:r>
      <w:r w:rsidR="007716B9" w:rsidRPr="00C07963">
        <w:t xml:space="preserve"> will also be made available on</w:t>
      </w:r>
      <w:r w:rsidR="007716B9">
        <w:t xml:space="preserve"> </w:t>
      </w:r>
      <w:r>
        <w:t>DH</w:t>
      </w:r>
      <w:r w:rsidR="00CE1FA8">
        <w:t>’s website</w:t>
      </w:r>
      <w:r w:rsidR="007716B9">
        <w:t>.</w:t>
      </w:r>
    </w:p>
    <w:p w14:paraId="3A7708E3" w14:textId="2100B475" w:rsidR="007716B9" w:rsidRDefault="007716B9" w:rsidP="007716B9">
      <w:r>
        <w:t>Interested parties are encouraged to provide any views on the proposed Regulations. In providing feedback, interested parties may wish to comment on the following:</w:t>
      </w:r>
    </w:p>
    <w:p w14:paraId="4DA71840" w14:textId="77777777" w:rsidR="005629E8" w:rsidRPr="007656EA" w:rsidRDefault="005629E8" w:rsidP="005629E8">
      <w:pPr>
        <w:pStyle w:val="ListBullet"/>
      </w:pPr>
      <w:r w:rsidRPr="007656EA">
        <w:t>Problem being addressed</w:t>
      </w:r>
    </w:p>
    <w:p w14:paraId="1E5A3408" w14:textId="77777777" w:rsidR="005629E8" w:rsidRPr="007656EA" w:rsidRDefault="005629E8" w:rsidP="005629E8">
      <w:pPr>
        <w:pStyle w:val="ListBullet2"/>
        <w:ind w:left="1560" w:hanging="426"/>
      </w:pPr>
      <w:r>
        <w:t>In what ways, if any, do</w:t>
      </w:r>
      <w:r w:rsidRPr="007656EA">
        <w:t xml:space="preserve"> you think the underlying problem addressed by the Regulations has changed since the remaking of the Regulations in 2012? </w:t>
      </w:r>
    </w:p>
    <w:p w14:paraId="058AE19D" w14:textId="77777777" w:rsidR="005629E8" w:rsidRDefault="005629E8" w:rsidP="005629E8">
      <w:pPr>
        <w:pStyle w:val="ListBullet2"/>
        <w:ind w:left="1560" w:hanging="426"/>
      </w:pPr>
      <w:r>
        <w:t>What is the case for continuing to set</w:t>
      </w:r>
      <w:r w:rsidRPr="007656EA">
        <w:t xml:space="preserve"> maximum fees </w:t>
      </w:r>
      <w:r>
        <w:t>as</w:t>
      </w:r>
      <w:r w:rsidRPr="007656EA">
        <w:t xml:space="preserve"> prescribed in the Regulations</w:t>
      </w:r>
      <w:r>
        <w:t>, noting this enables fees for providing information to be charged</w:t>
      </w:r>
      <w:r w:rsidRPr="007656EA">
        <w:t>?</w:t>
      </w:r>
    </w:p>
    <w:p w14:paraId="3BFDFB2F" w14:textId="77777777" w:rsidR="005629E8" w:rsidRPr="007656EA" w:rsidRDefault="005629E8" w:rsidP="005629E8">
      <w:pPr>
        <w:pStyle w:val="ListBullet2"/>
        <w:ind w:left="1560" w:hanging="426"/>
      </w:pPr>
      <w:r>
        <w:t>What is the case for allowing the Regulations to lapse and not be replaced so that no maximum fees for the provision of health information are set?</w:t>
      </w:r>
    </w:p>
    <w:p w14:paraId="5283B77A" w14:textId="3E3D6975" w:rsidR="009B77D4" w:rsidRPr="007656EA" w:rsidRDefault="009B77D4" w:rsidP="005629E8">
      <w:pPr>
        <w:pStyle w:val="ListBullet2"/>
        <w:ind w:left="1560" w:hanging="426"/>
      </w:pPr>
      <w:r>
        <w:t>How many requests per year do you receive for health information</w:t>
      </w:r>
      <w:r w:rsidR="00B77FA7">
        <w:t xml:space="preserve"> (please indicate the type of organisation you represent)</w:t>
      </w:r>
      <w:r>
        <w:t>? How many requests have you received in the past five years?</w:t>
      </w:r>
    </w:p>
    <w:p w14:paraId="199A07ED" w14:textId="77777777" w:rsidR="005629E8" w:rsidRDefault="005629E8" w:rsidP="005629E8">
      <w:pPr>
        <w:pStyle w:val="ListBullet"/>
      </w:pPr>
      <w:r>
        <w:t>Fees charged by organisations</w:t>
      </w:r>
    </w:p>
    <w:p w14:paraId="452EDE5F" w14:textId="35EB7CA6" w:rsidR="005629E8" w:rsidRPr="007656EA" w:rsidRDefault="005629E8" w:rsidP="005629E8">
      <w:pPr>
        <w:pStyle w:val="ListBullet2"/>
        <w:ind w:left="1560" w:hanging="426"/>
      </w:pPr>
      <w:r>
        <w:t xml:space="preserve">What fees do you </w:t>
      </w:r>
      <w:r w:rsidR="006E26E2">
        <w:t xml:space="preserve">(or would you) </w:t>
      </w:r>
      <w:r>
        <w:t>charge for providing health information, and how does this vary with the nature of request, source of request or nature of your information systems, or other reason?</w:t>
      </w:r>
    </w:p>
    <w:p w14:paraId="3215C318" w14:textId="146EBEFE" w:rsidR="005629E8" w:rsidRDefault="00453895" w:rsidP="005629E8">
      <w:pPr>
        <w:pStyle w:val="ListBullet2"/>
        <w:ind w:left="1560" w:hanging="426"/>
      </w:pPr>
      <w:r w:rsidRPr="00453895">
        <w:t>Do you charge a fee for requests for access to information? If you charge a fee, do you charge for some, most or all requests</w:t>
      </w:r>
      <w:r w:rsidR="005629E8">
        <w:t>?</w:t>
      </w:r>
    </w:p>
    <w:p w14:paraId="07EA4EBB" w14:textId="77777777" w:rsidR="005629E8" w:rsidRDefault="005629E8" w:rsidP="005629E8">
      <w:pPr>
        <w:pStyle w:val="ListBullet2"/>
        <w:ind w:left="1560" w:hanging="426"/>
      </w:pPr>
      <w:r>
        <w:t xml:space="preserve">What are the cases when you don’t you charge? In such cases why don’t you charge a fee? </w:t>
      </w:r>
    </w:p>
    <w:p w14:paraId="42DB1BB3" w14:textId="77777777" w:rsidR="005629E8" w:rsidRPr="007656EA" w:rsidRDefault="005629E8" w:rsidP="005629E8">
      <w:pPr>
        <w:pStyle w:val="ListBullet"/>
      </w:pPr>
      <w:r w:rsidRPr="007656EA">
        <w:lastRenderedPageBreak/>
        <w:t xml:space="preserve">Current costs </w:t>
      </w:r>
      <w:r>
        <w:t>and charges</w:t>
      </w:r>
      <w:r w:rsidRPr="007656EA">
        <w:t xml:space="preserve"> of providing health information</w:t>
      </w:r>
    </w:p>
    <w:p w14:paraId="6AC26B9B" w14:textId="77777777" w:rsidR="005629E8" w:rsidRDefault="005629E8" w:rsidP="005629E8">
      <w:pPr>
        <w:pStyle w:val="ListBullet2"/>
        <w:ind w:left="1560" w:hanging="426"/>
      </w:pPr>
      <w:r>
        <w:t>What are</w:t>
      </w:r>
      <w:r w:rsidRPr="007656EA">
        <w:t xml:space="preserve"> the </w:t>
      </w:r>
      <w:r>
        <w:t>costs</w:t>
      </w:r>
      <w:r w:rsidRPr="007656EA">
        <w:t xml:space="preserve"> of providing health information</w:t>
      </w:r>
      <w:r>
        <w:t>, and how does this vary with the nature of request, source of request or nature of your information systems, or other reason</w:t>
      </w:r>
      <w:r w:rsidRPr="007656EA">
        <w:t>?</w:t>
      </w:r>
    </w:p>
    <w:p w14:paraId="3FA70162" w14:textId="77777777" w:rsidR="005629E8" w:rsidRDefault="005629E8" w:rsidP="005629E8">
      <w:pPr>
        <w:pStyle w:val="ListBullet2"/>
        <w:ind w:left="1560" w:hanging="426"/>
      </w:pPr>
      <w:r>
        <w:t xml:space="preserve">Are you able to provide cost estimates (on average) for a typical health information request? For example, </w:t>
      </w:r>
      <w:r w:rsidRPr="004E6ECD">
        <w:t>for</w:t>
      </w:r>
      <w:r>
        <w:t xml:space="preserve"> </w:t>
      </w:r>
      <w:r w:rsidRPr="004E6ECD">
        <w:t>provision of a typical health record to an individual, or cost of photocopy etc, or typical transfer of health information to another provider</w:t>
      </w:r>
      <w:r>
        <w:t>.</w:t>
      </w:r>
    </w:p>
    <w:p w14:paraId="04ECF1E9" w14:textId="77A1D50F" w:rsidR="005629E8" w:rsidRDefault="00453895" w:rsidP="005629E8">
      <w:pPr>
        <w:pStyle w:val="ListBullet2"/>
        <w:ind w:left="1560" w:hanging="426"/>
      </w:pPr>
      <w:r w:rsidRPr="00A14B03">
        <w:t>Are you able to estimate the extent to which the prescribed maximum fees enable service providers to recover costs</w:t>
      </w:r>
      <w:r w:rsidR="005629E8">
        <w:t xml:space="preserve"> </w:t>
      </w:r>
      <w:proofErr w:type="gramStart"/>
      <w:r w:rsidR="005629E8">
        <w:t>e.g.</w:t>
      </w:r>
      <w:proofErr w:type="gramEnd"/>
      <w:r w:rsidR="005629E8">
        <w:t xml:space="preserve"> 25%, 50%, 100%?  </w:t>
      </w:r>
    </w:p>
    <w:p w14:paraId="11091AF0" w14:textId="77777777" w:rsidR="005629E8" w:rsidRPr="007656EA" w:rsidRDefault="005629E8" w:rsidP="005629E8">
      <w:pPr>
        <w:pStyle w:val="ListBullet"/>
      </w:pPr>
      <w:r>
        <w:t>Effectiveness in meeting objectives of the Regulations</w:t>
      </w:r>
    </w:p>
    <w:p w14:paraId="255B31DF" w14:textId="1B45404E" w:rsidR="005629E8" w:rsidRPr="007656EA" w:rsidRDefault="005629E8" w:rsidP="005629E8">
      <w:pPr>
        <w:pStyle w:val="ListBullet2"/>
        <w:ind w:left="1560" w:hanging="426"/>
      </w:pPr>
      <w:r w:rsidRPr="007656EA">
        <w:t xml:space="preserve">Do you believe that the proposed Regulations appropriately balance the facilitation of access to health information with reasonable cost recovery for </w:t>
      </w:r>
      <w:r w:rsidR="00C01836">
        <w:t>organisations</w:t>
      </w:r>
      <w:r>
        <w:t>, and why</w:t>
      </w:r>
      <w:r w:rsidRPr="007656EA">
        <w:t>?</w:t>
      </w:r>
    </w:p>
    <w:p w14:paraId="3694F2D5" w14:textId="1677A8E6" w:rsidR="005629E8" w:rsidRPr="007656EA" w:rsidRDefault="005629E8" w:rsidP="005629E8">
      <w:pPr>
        <w:pStyle w:val="ListBullet2"/>
        <w:ind w:left="1560" w:hanging="426"/>
      </w:pPr>
      <w:r>
        <w:t>Please provide</w:t>
      </w:r>
      <w:r w:rsidRPr="0088158F">
        <w:t xml:space="preserve"> any </w:t>
      </w:r>
      <w:r>
        <w:t xml:space="preserve">other </w:t>
      </w:r>
      <w:r w:rsidRPr="0088158F">
        <w:t xml:space="preserve">feedback on the </w:t>
      </w:r>
      <w:r>
        <w:t xml:space="preserve">likely </w:t>
      </w:r>
      <w:r w:rsidRPr="0088158F">
        <w:t>effectiveness of the Regulations</w:t>
      </w:r>
      <w:r w:rsidR="00001682">
        <w:t>.</w:t>
      </w:r>
    </w:p>
    <w:p w14:paraId="6681E46D" w14:textId="5942A688" w:rsidR="008754C3" w:rsidRPr="00267A46" w:rsidRDefault="008754C3" w:rsidP="008754C3">
      <w:pPr>
        <w:pStyle w:val="Heading5"/>
        <w:numPr>
          <w:ilvl w:val="0"/>
          <w:numId w:val="1"/>
        </w:numPr>
      </w:pPr>
      <w:bookmarkStart w:id="13" w:name="_Toc136257461"/>
      <w:bookmarkStart w:id="14" w:name="_Toc136257462"/>
      <w:bookmarkStart w:id="15" w:name="_Toc136257463"/>
      <w:bookmarkStart w:id="16" w:name="_Toc136257464"/>
      <w:bookmarkStart w:id="17" w:name="_Toc136257465"/>
      <w:bookmarkStart w:id="18" w:name="_Toc136257466"/>
      <w:bookmarkStart w:id="19" w:name="_Toc136257467"/>
      <w:bookmarkStart w:id="20" w:name="_Toc136257468"/>
      <w:bookmarkStart w:id="21" w:name="_Toc136257469"/>
      <w:bookmarkStart w:id="22" w:name="_Toc64902276"/>
      <w:bookmarkStart w:id="23" w:name="_Toc135157713"/>
      <w:bookmarkStart w:id="24" w:name="_Toc136257470"/>
      <w:bookmarkEnd w:id="13"/>
      <w:bookmarkEnd w:id="14"/>
      <w:bookmarkEnd w:id="15"/>
      <w:bookmarkEnd w:id="16"/>
      <w:bookmarkEnd w:id="17"/>
      <w:bookmarkEnd w:id="18"/>
      <w:bookmarkEnd w:id="19"/>
      <w:bookmarkEnd w:id="20"/>
      <w:bookmarkEnd w:id="21"/>
      <w:r w:rsidRPr="00267A46">
        <w:lastRenderedPageBreak/>
        <w:t>Problem analysis</w:t>
      </w:r>
      <w:bookmarkEnd w:id="22"/>
      <w:bookmarkEnd w:id="23"/>
      <w:bookmarkEnd w:id="24"/>
    </w:p>
    <w:p w14:paraId="20251AF7" w14:textId="6776E4C6" w:rsidR="008754C3" w:rsidRPr="007656EA" w:rsidRDefault="008754C3" w:rsidP="007656EA">
      <w:pPr>
        <w:rPr>
          <w:b/>
        </w:rPr>
      </w:pPr>
      <w:r w:rsidRPr="00D90809">
        <w:rPr>
          <w:bCs/>
          <w:sz w:val="28"/>
          <w:szCs w:val="32"/>
        </w:rPr>
        <w:t>This chapter discusses the underlying problem that is being addressed by the proposed Regulation</w:t>
      </w:r>
      <w:r w:rsidR="00D90809">
        <w:rPr>
          <w:bCs/>
          <w:sz w:val="28"/>
          <w:szCs w:val="32"/>
        </w:rPr>
        <w:t>s.</w:t>
      </w:r>
      <w:r w:rsidR="00D90809" w:rsidRPr="00D90809">
        <w:rPr>
          <w:bCs/>
          <w:noProof/>
          <w:sz w:val="28"/>
          <w:szCs w:val="32"/>
        </w:rPr>
        <w:t xml:space="preserve"> </w:t>
      </w:r>
      <w:r w:rsidR="00D90809" w:rsidRPr="00D90809">
        <w:rPr>
          <w:bCs/>
          <w:noProof/>
          <w:sz w:val="28"/>
          <w:szCs w:val="32"/>
        </w:rPr>
        <mc:AlternateContent>
          <mc:Choice Requires="wps">
            <w:drawing>
              <wp:inline distT="0" distB="0" distL="0" distR="0" wp14:anchorId="7CAA7595" wp14:editId="21162C53">
                <wp:extent cx="5731510" cy="487546"/>
                <wp:effectExtent l="0" t="0" r="21590"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7546"/>
                        </a:xfrm>
                        <a:prstGeom prst="rect">
                          <a:avLst/>
                        </a:prstGeom>
                        <a:solidFill>
                          <a:schemeClr val="bg2"/>
                        </a:solidFill>
                        <a:ln w="9525">
                          <a:solidFill>
                            <a:srgbClr val="000000"/>
                          </a:solidFill>
                          <a:miter lim="800000"/>
                          <a:headEnd/>
                          <a:tailEnd/>
                        </a:ln>
                      </wps:spPr>
                      <wps:txbx>
                        <w:txbxContent>
                          <w:p w14:paraId="23BDA870" w14:textId="77777777" w:rsidR="00D90809" w:rsidRPr="007656EA" w:rsidRDefault="00D90809" w:rsidP="00D90809">
                            <w:pPr>
                              <w:spacing w:before="0" w:after="0"/>
                              <w:rPr>
                                <w:lang w:val="en-AU"/>
                              </w:rPr>
                            </w:pPr>
                            <w:r>
                              <w:rPr>
                                <w:lang w:val="en-AU"/>
                              </w:rPr>
                              <w:t>If the current Regulations are allowed to sunset, there will not be sufficient protections to ensure fees are not charged at a higher level that unfairly preclude access to information.</w:t>
                            </w:r>
                          </w:p>
                        </w:txbxContent>
                      </wps:txbx>
                      <wps:bodyPr rot="0" vert="horz" wrap="square" lIns="91440" tIns="45720" rIns="91440" bIns="45720" anchor="t" anchorCtr="0">
                        <a:spAutoFit/>
                      </wps:bodyPr>
                    </wps:wsp>
                  </a:graphicData>
                </a:graphic>
              </wp:inline>
            </w:drawing>
          </mc:Choice>
          <mc:Fallback>
            <w:pict>
              <v:shape w14:anchorId="7CAA7595" id="Text Box 10" o:spid="_x0000_s1027" type="#_x0000_t202" style="width:451.3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" fillcolor="#eeece1 [3214]">
                <v:textbox style="mso-fit-shape-to-text:t">
                  <w:txbxContent>
                    <w:p w14:paraId="23BDA870" w14:textId="77777777" w:rsidR="00D90809" w:rsidRPr="007656EA" w:rsidRDefault="00D90809" w:rsidP="00D90809">
                      <w:pPr>
                        <w:spacing w:before="0" w:after="0"/>
                        <w:rPr>
                          <w:lang w:val="en-AU"/>
                        </w:rPr>
                      </w:pPr>
                      <w:r>
                        <w:rPr>
                          <w:lang w:val="en-AU"/>
                        </w:rPr>
                        <w:t>If the current Regulations are allowed to sunset, there will not be sufficient protections to ensure fees are not charged at a higher level that unfairly preclude access to information.</w:t>
                      </w:r>
                    </w:p>
                  </w:txbxContent>
                </v:textbox>
                <w10:anchorlock/>
              </v:shape>
            </w:pict>
          </mc:Fallback>
        </mc:AlternateContent>
      </w:r>
    </w:p>
    <w:p w14:paraId="4A8848C0" w14:textId="6FA396F0" w:rsidR="008754C3" w:rsidRDefault="008754C3" w:rsidP="008754C3">
      <w:pPr>
        <w:pStyle w:val="Heading6"/>
        <w:numPr>
          <w:ilvl w:val="1"/>
          <w:numId w:val="1"/>
        </w:numPr>
      </w:pPr>
      <w:bookmarkStart w:id="25" w:name="_Toc63377823"/>
      <w:bookmarkStart w:id="26" w:name="_Toc63377977"/>
      <w:bookmarkStart w:id="27" w:name="_Toc63381563"/>
      <w:bookmarkStart w:id="28" w:name="_Toc64642644"/>
      <w:bookmarkStart w:id="29" w:name="_Toc64902277"/>
      <w:bookmarkStart w:id="30" w:name="_Toc135157714"/>
      <w:r w:rsidRPr="00267A46">
        <w:t>The problems addressed by the Regulations</w:t>
      </w:r>
      <w:bookmarkEnd w:id="25"/>
      <w:bookmarkEnd w:id="26"/>
      <w:bookmarkEnd w:id="27"/>
      <w:bookmarkEnd w:id="28"/>
      <w:bookmarkEnd w:id="29"/>
      <w:bookmarkEnd w:id="30"/>
    </w:p>
    <w:p w14:paraId="0AEB547A" w14:textId="4D3A5AD7" w:rsidR="003F6F3F" w:rsidRPr="00F345D3" w:rsidRDefault="00350C8B" w:rsidP="007C10BA">
      <w:r>
        <w:t xml:space="preserve">The Act recognises as a fundamental right that people access health information about themselves. </w:t>
      </w:r>
      <w:r w:rsidR="00E7710F">
        <w:t xml:space="preserve">The </w:t>
      </w:r>
      <w:r>
        <w:t>Act provides a framework that guarantees a right of access regardless of where a person’s health information is collected or held</w:t>
      </w:r>
      <w:r w:rsidR="000D09C9">
        <w:t xml:space="preserve">, </w:t>
      </w:r>
      <w:r w:rsidR="00BA49F7">
        <w:t xml:space="preserve">whether by a public or a private </w:t>
      </w:r>
      <w:r w:rsidR="007F56E8">
        <w:t>organisation</w:t>
      </w:r>
      <w:r>
        <w:t xml:space="preserve">. </w:t>
      </w:r>
      <w:r w:rsidR="00922686">
        <w:t xml:space="preserve">The </w:t>
      </w:r>
      <w:r w:rsidR="0082317D">
        <w:t>Act</w:t>
      </w:r>
      <w:r w:rsidR="00041A88">
        <w:t xml:space="preserve"> does not</w:t>
      </w:r>
      <w:r w:rsidR="0082317D">
        <w:t xml:space="preserve"> require a person to provide a reason </w:t>
      </w:r>
      <w:r w:rsidR="00D85787">
        <w:t xml:space="preserve">as to </w:t>
      </w:r>
      <w:r w:rsidR="0082317D">
        <w:t xml:space="preserve">why they want to access their information. </w:t>
      </w:r>
    </w:p>
    <w:p w14:paraId="590FC3B8" w14:textId="461D3C73" w:rsidR="00FF44CC" w:rsidRDefault="00A4201B" w:rsidP="00303161">
      <w:r>
        <w:t xml:space="preserve">To </w:t>
      </w:r>
      <w:r w:rsidR="00802FC7">
        <w:t>pr</w:t>
      </w:r>
      <w:r w:rsidR="00EE61A0">
        <w:t xml:space="preserve">ovide reasonable cost recovery for </w:t>
      </w:r>
      <w:r w:rsidR="002F19CC">
        <w:t>health</w:t>
      </w:r>
      <w:r w:rsidR="00D74047">
        <w:t xml:space="preserve"> service </w:t>
      </w:r>
      <w:r w:rsidR="00EE61A0">
        <w:t xml:space="preserve">providers but </w:t>
      </w:r>
      <w:r>
        <w:t xml:space="preserve">avoid </w:t>
      </w:r>
      <w:r w:rsidR="74B145BC">
        <w:t>‘</w:t>
      </w:r>
      <w:r w:rsidR="00922686">
        <w:t>un</w:t>
      </w:r>
      <w:r w:rsidR="74B145BC">
        <w:t xml:space="preserve">reasonable’ </w:t>
      </w:r>
      <w:r w:rsidR="00052EF6">
        <w:t xml:space="preserve">fees being set that would </w:t>
      </w:r>
      <w:r w:rsidR="44AB452D">
        <w:t xml:space="preserve">still </w:t>
      </w:r>
      <w:r w:rsidR="00932A00">
        <w:t xml:space="preserve">unfairly </w:t>
      </w:r>
      <w:r w:rsidR="00052EF6">
        <w:t>preclude access</w:t>
      </w:r>
      <w:r w:rsidR="00D9208D">
        <w:t xml:space="preserve">, the Act </w:t>
      </w:r>
      <w:r w:rsidR="00FF44CC" w:rsidRPr="00303161">
        <w:rPr>
          <w:lang w:val="en-AU"/>
        </w:rPr>
        <w:t xml:space="preserve">allows regulations to be made that </w:t>
      </w:r>
      <w:r w:rsidR="00D46A9C" w:rsidRPr="00303161">
        <w:rPr>
          <w:lang w:val="en-AU"/>
        </w:rPr>
        <w:t>set maximum</w:t>
      </w:r>
      <w:r w:rsidR="00FF44CC" w:rsidRPr="00303161">
        <w:rPr>
          <w:lang w:val="en-AU"/>
        </w:rPr>
        <w:t xml:space="preserve"> fees that can be charged</w:t>
      </w:r>
      <w:r w:rsidR="00303161" w:rsidRPr="00303161">
        <w:rPr>
          <w:lang w:val="en-AU"/>
        </w:rPr>
        <w:t xml:space="preserve"> and </w:t>
      </w:r>
      <w:r w:rsidR="00303161">
        <w:t>prohibits the charging of fees under the Act unless maximum fees have been prescribed in regulations.</w:t>
      </w:r>
    </w:p>
    <w:p w14:paraId="6686E690" w14:textId="77777777" w:rsidR="00025BBF" w:rsidRDefault="00025BBF" w:rsidP="00025BBF">
      <w:r>
        <w:t>By setting maximum fees, the Regulations ensure that fees are not set too high as to preclude people’s right to access their health information. Other legislation that may apply, for example, the Commonwealth Privacy Act, do not set maximum fees, instead relying on a test of excessiveness (discussed in section 1.1 of this RIS). By setting maximum fees at a level that</w:t>
      </w:r>
      <w:r w:rsidRPr="001300ED">
        <w:t xml:space="preserve"> </w:t>
      </w:r>
      <w:r w:rsidRPr="00EC710B">
        <w:t>does not unfairly preclude an individual from requesting access to health information</w:t>
      </w:r>
      <w:r>
        <w:t xml:space="preserve">, the Regulations protect the right of individuals to exercise their rights under the Act. </w:t>
      </w:r>
    </w:p>
    <w:p w14:paraId="39D4C74C" w14:textId="25BA23BE" w:rsidR="008234B4" w:rsidRDefault="00882654" w:rsidP="008234B4">
      <w:pPr>
        <w:pStyle w:val="Heading7"/>
        <w:numPr>
          <w:ilvl w:val="2"/>
          <w:numId w:val="1"/>
        </w:numPr>
      </w:pPr>
      <w:r>
        <w:t>Providing access to individuals</w:t>
      </w:r>
    </w:p>
    <w:p w14:paraId="7C8EE3F7" w14:textId="6DACD522" w:rsidR="0056305A" w:rsidRDefault="00334FE3" w:rsidP="00DA3D30">
      <w:r>
        <w:t xml:space="preserve">Providing access to individuals </w:t>
      </w:r>
      <w:r w:rsidR="00671E0D">
        <w:t>can include</w:t>
      </w:r>
      <w:r w:rsidR="00455FAA">
        <w:t>:</w:t>
      </w:r>
    </w:p>
    <w:p w14:paraId="74933BB7" w14:textId="3A14C669" w:rsidR="00455FAA" w:rsidRDefault="00BC4F6C" w:rsidP="00455FAA">
      <w:pPr>
        <w:pStyle w:val="ListBullet"/>
      </w:pPr>
      <w:r>
        <w:t>a</w:t>
      </w:r>
      <w:r w:rsidR="00455FAA">
        <w:t>llowing inspection of documents</w:t>
      </w:r>
    </w:p>
    <w:p w14:paraId="3EE0ED94" w14:textId="5D4CEAED" w:rsidR="00455FAA" w:rsidRDefault="00BC4F6C" w:rsidP="00455FAA">
      <w:pPr>
        <w:pStyle w:val="ListBullet"/>
      </w:pPr>
      <w:r>
        <w:t>p</w:t>
      </w:r>
      <w:r w:rsidR="00455FAA">
        <w:t>roviding copies of documents</w:t>
      </w:r>
    </w:p>
    <w:p w14:paraId="02E28BFB" w14:textId="4937D18D" w:rsidR="00455FAA" w:rsidRDefault="00BC4F6C" w:rsidP="00455FAA">
      <w:pPr>
        <w:pStyle w:val="ListBullet"/>
      </w:pPr>
      <w:r>
        <w:t>p</w:t>
      </w:r>
      <w:r w:rsidR="00455FAA">
        <w:t>roviding a summary of information</w:t>
      </w:r>
    </w:p>
    <w:p w14:paraId="06BFC41A" w14:textId="212B921C" w:rsidR="00455FAA" w:rsidRDefault="00BC4F6C" w:rsidP="00455FAA">
      <w:pPr>
        <w:pStyle w:val="ListBullet"/>
      </w:pPr>
      <w:r>
        <w:t>p</w:t>
      </w:r>
      <w:r w:rsidR="00455FAA">
        <w:t>roviding an explanation of information</w:t>
      </w:r>
      <w:r>
        <w:t>.</w:t>
      </w:r>
    </w:p>
    <w:p w14:paraId="7850320F" w14:textId="7203FBD5" w:rsidR="001D25D7" w:rsidRDefault="004D6A11" w:rsidP="001D25D7">
      <w:r>
        <w:t xml:space="preserve">These activities </w:t>
      </w:r>
      <w:r w:rsidR="00E63D84">
        <w:t xml:space="preserve">place a cost on the </w:t>
      </w:r>
      <w:r w:rsidR="00506CEC">
        <w:t xml:space="preserve">organisation </w:t>
      </w:r>
      <w:r w:rsidR="00E63D84">
        <w:t>providing access to the information. Dependent on the nature of the request</w:t>
      </w:r>
      <w:r w:rsidR="003731FE">
        <w:t>, and the volume of records kept on an individual, t</w:t>
      </w:r>
      <w:r w:rsidR="00E63D84">
        <w:t>hese costs can be substantial</w:t>
      </w:r>
      <w:r w:rsidR="003731FE">
        <w:t xml:space="preserve">. </w:t>
      </w:r>
    </w:p>
    <w:p w14:paraId="10B2980E" w14:textId="3B5D5012" w:rsidR="006961EC" w:rsidRPr="00334FE3" w:rsidRDefault="00926FE3" w:rsidP="001D25D7">
      <w:r>
        <w:t xml:space="preserve">As the Act prohibit the charging of fees under that Act unless maximum fees </w:t>
      </w:r>
      <w:r w:rsidR="007035D4">
        <w:t xml:space="preserve">are set in regulations, </w:t>
      </w:r>
      <w:r w:rsidR="00E12E42">
        <w:t xml:space="preserve">in the absence of </w:t>
      </w:r>
      <w:r w:rsidR="004064CF">
        <w:t xml:space="preserve">the </w:t>
      </w:r>
      <w:r w:rsidR="00413195">
        <w:t>R</w:t>
      </w:r>
      <w:r w:rsidR="00E12E42">
        <w:t xml:space="preserve">egulations, </w:t>
      </w:r>
      <w:r w:rsidR="004B0E16">
        <w:t xml:space="preserve">relevant </w:t>
      </w:r>
      <w:r w:rsidR="00E12E42">
        <w:t xml:space="preserve">private </w:t>
      </w:r>
      <w:r w:rsidR="00CB1F98">
        <w:t>organisations</w:t>
      </w:r>
      <w:r w:rsidR="00186611">
        <w:t xml:space="preserve"> </w:t>
      </w:r>
      <w:r w:rsidR="00E12E42">
        <w:t>would need to rely on the Commonwealth Privacy Act</w:t>
      </w:r>
      <w:r w:rsidR="00322DBD">
        <w:t xml:space="preserve"> to rec</w:t>
      </w:r>
      <w:r w:rsidR="006961EC">
        <w:t>oup costs</w:t>
      </w:r>
      <w:r w:rsidR="001C20C2">
        <w:t xml:space="preserve"> for providing access to health information</w:t>
      </w:r>
      <w:r w:rsidR="006961EC">
        <w:t xml:space="preserve">. Under the </w:t>
      </w:r>
      <w:r w:rsidR="008D57AB">
        <w:t xml:space="preserve">Commonwealth </w:t>
      </w:r>
      <w:r w:rsidR="006961EC">
        <w:t>Privacy Act, a private sector organisation</w:t>
      </w:r>
      <w:r w:rsidR="007C0DE9">
        <w:t xml:space="preserve"> may charge a fee for access</w:t>
      </w:r>
      <w:r w:rsidR="0045470E">
        <w:t>, but this charge “must not be excessive”</w:t>
      </w:r>
      <w:r w:rsidR="001D25D7">
        <w:t xml:space="preserve">. There is no maximum fee </w:t>
      </w:r>
      <w:r w:rsidR="004064CF">
        <w:t>c</w:t>
      </w:r>
      <w:r w:rsidR="001D25D7">
        <w:t>ap in Commonwealth arrangements</w:t>
      </w:r>
      <w:r w:rsidR="00CA1DB2">
        <w:t xml:space="preserve"> and as set out in section 1 of this RIS, </w:t>
      </w:r>
      <w:r w:rsidR="00E74946">
        <w:t xml:space="preserve">this is likely to allow full cost recovery being allowed (see section 1.1 for </w:t>
      </w:r>
      <w:r w:rsidR="00E74946">
        <w:lastRenderedPageBreak/>
        <w:t>discussion). The impacts of the option of not having Regulations are discussed in detail in section 4, Options Assessment.</w:t>
      </w:r>
    </w:p>
    <w:p w14:paraId="3CB35880" w14:textId="05D59231" w:rsidR="00AB10BB" w:rsidRPr="000104D7" w:rsidRDefault="00AB10BB" w:rsidP="00C25D46">
      <w:r w:rsidRPr="000104D7">
        <w:t xml:space="preserve">The Office of the Australian Information Commissioner has released guidance material on fees for access to health information under the </w:t>
      </w:r>
      <w:r w:rsidR="002E7F70">
        <w:t xml:space="preserve">Commonwealth </w:t>
      </w:r>
      <w:r w:rsidRPr="000104D7">
        <w:t xml:space="preserve">Privacy Act. It outlines that fees may include reasonable costs of resources and time, noting the objective that the cost of giving access should not create an unreasonable burden on </w:t>
      </w:r>
      <w:r w:rsidR="007A7086">
        <w:t>relevant</w:t>
      </w:r>
      <w:r w:rsidR="007A7086" w:rsidRPr="000104D7">
        <w:t xml:space="preserve"> </w:t>
      </w:r>
      <w:r w:rsidRPr="000104D7">
        <w:t>service providers.</w:t>
      </w:r>
      <w:r w:rsidR="00C25D46" w:rsidRPr="000104D7">
        <w:t xml:space="preserve"> The</w:t>
      </w:r>
      <w:r w:rsidRPr="000104D7">
        <w:t xml:space="preserve"> guidance material recommends that providers:</w:t>
      </w:r>
    </w:p>
    <w:p w14:paraId="4756ED75" w14:textId="0B473521" w:rsidR="00AB10BB" w:rsidRPr="000104D7" w:rsidRDefault="00AB10BB" w:rsidP="000104D7">
      <w:pPr>
        <w:pStyle w:val="ListBullet"/>
      </w:pPr>
      <w:r w:rsidRPr="000104D7">
        <w:t>discuss likely fees with patients before processing a request</w:t>
      </w:r>
      <w:r w:rsidR="008432DF">
        <w:t>; and</w:t>
      </w:r>
    </w:p>
    <w:p w14:paraId="6CE07BDD" w14:textId="77777777" w:rsidR="00AB10BB" w:rsidRPr="000104D7" w:rsidRDefault="00AB10BB" w:rsidP="000104D7">
      <w:pPr>
        <w:pStyle w:val="ListBullet"/>
      </w:pPr>
      <w:r w:rsidRPr="000104D7">
        <w:t>consider the individual’s capacity to pay.</w:t>
      </w:r>
    </w:p>
    <w:p w14:paraId="271C8003" w14:textId="5D55FFB6" w:rsidR="003653E2" w:rsidRDefault="00DD48C4" w:rsidP="000104D7">
      <w:r>
        <w:t>T</w:t>
      </w:r>
      <w:r w:rsidR="009B6885">
        <w:t>here are</w:t>
      </w:r>
      <w:r w:rsidR="000F3B7A">
        <w:t xml:space="preserve"> limitations to th</w:t>
      </w:r>
      <w:r>
        <w:t>e reliance on the Commonwealth Privacy Act</w:t>
      </w:r>
      <w:r w:rsidR="00727BCF">
        <w:t xml:space="preserve"> if the current Regulations were allowed to lapse</w:t>
      </w:r>
      <w:r w:rsidR="000F3B7A">
        <w:t>:</w:t>
      </w:r>
    </w:p>
    <w:p w14:paraId="04509F79" w14:textId="6D56187F" w:rsidR="00ED2FB8" w:rsidRDefault="00741AB5" w:rsidP="000F3B7A">
      <w:pPr>
        <w:pStyle w:val="ListBullet"/>
      </w:pPr>
      <w:r w:rsidRPr="007656EA">
        <w:t>Compared to the Act, the Common</w:t>
      </w:r>
      <w:r w:rsidR="007C3DAD">
        <w:t>w</w:t>
      </w:r>
      <w:r w:rsidRPr="007656EA">
        <w:t xml:space="preserve">ealth Privacy Act is a </w:t>
      </w:r>
      <w:r w:rsidR="007C3DAD" w:rsidRPr="007656EA">
        <w:t>more extensive and complex piece of legislation (</w:t>
      </w:r>
      <w:r w:rsidR="009A0CCB">
        <w:t>over 400</w:t>
      </w:r>
      <w:r w:rsidR="009A0CCB" w:rsidRPr="007656EA">
        <w:t xml:space="preserve"> </w:t>
      </w:r>
      <w:r w:rsidR="007C3DAD" w:rsidRPr="007656EA">
        <w:t xml:space="preserve">pages) which would be more difficult </w:t>
      </w:r>
      <w:r w:rsidR="00371240">
        <w:t>and bu</w:t>
      </w:r>
      <w:r w:rsidR="008D3718">
        <w:t xml:space="preserve">rdensome </w:t>
      </w:r>
      <w:r w:rsidR="007C3DAD" w:rsidRPr="007656EA">
        <w:t xml:space="preserve">for </w:t>
      </w:r>
      <w:r w:rsidR="00186611">
        <w:t xml:space="preserve">private </w:t>
      </w:r>
      <w:r w:rsidR="00B578AD">
        <w:t>organisations</w:t>
      </w:r>
      <w:r w:rsidR="007C3DAD" w:rsidRPr="007656EA">
        <w:t xml:space="preserve"> to navigate to understand their obligations and rights</w:t>
      </w:r>
      <w:r w:rsidR="007C3DAD">
        <w:t>.</w:t>
      </w:r>
      <w:r w:rsidR="00136808">
        <w:t xml:space="preserve"> </w:t>
      </w:r>
    </w:p>
    <w:p w14:paraId="32C41A45" w14:textId="1AF6B0E8" w:rsidR="00117CC2" w:rsidRDefault="00117CC2" w:rsidP="00117CC2">
      <w:pPr>
        <w:pStyle w:val="ListBullet"/>
      </w:pPr>
      <w:r>
        <w:t xml:space="preserve">Related to this, there may be uncertainty for </w:t>
      </w:r>
      <w:r w:rsidR="0042359A">
        <w:t xml:space="preserve">private </w:t>
      </w:r>
      <w:r w:rsidR="00B578AD">
        <w:t>organisations</w:t>
      </w:r>
      <w:r>
        <w:t xml:space="preserve"> in determining whether the fee they propose to charge is ‘excessive’ and what to consider </w:t>
      </w:r>
      <w:r w:rsidR="00D22C1C">
        <w:t>in determining</w:t>
      </w:r>
      <w:r>
        <w:t xml:space="preserve"> whether a fee is excessive, for example</w:t>
      </w:r>
      <w:r w:rsidR="00D861CC">
        <w:t>,</w:t>
      </w:r>
      <w:r>
        <w:t xml:space="preserve"> level of cost recovery and equity of access factors. </w:t>
      </w:r>
    </w:p>
    <w:p w14:paraId="12C7B56E" w14:textId="24D47694" w:rsidR="000848E8" w:rsidRDefault="000F3B7A" w:rsidP="000F3B7A">
      <w:pPr>
        <w:pStyle w:val="ListBullet"/>
      </w:pPr>
      <w:r>
        <w:t>As there are no maximum fee caps</w:t>
      </w:r>
      <w:r w:rsidR="00AF7AD9">
        <w:t xml:space="preserve"> under the Commonwealth Privacy Act</w:t>
      </w:r>
      <w:r>
        <w:t xml:space="preserve">, </w:t>
      </w:r>
      <w:r w:rsidR="004B2B08">
        <w:t xml:space="preserve">organisations may set </w:t>
      </w:r>
      <w:r w:rsidR="00A03854">
        <w:t xml:space="preserve">fees as they wish so long as fees are not </w:t>
      </w:r>
      <w:r w:rsidR="00AE710B">
        <w:t>‘</w:t>
      </w:r>
      <w:r w:rsidR="00A03854">
        <w:t>excessive</w:t>
      </w:r>
      <w:r w:rsidR="00AE710B">
        <w:t>’</w:t>
      </w:r>
      <w:r w:rsidR="001003EF">
        <w:t xml:space="preserve"> (</w:t>
      </w:r>
      <w:r w:rsidR="005824BA">
        <w:t>a term</w:t>
      </w:r>
      <w:r w:rsidR="001003EF">
        <w:t xml:space="preserve"> not defined under the Privacy Act</w:t>
      </w:r>
      <w:r w:rsidR="00757E46">
        <w:t>, but the explanatory memorand</w:t>
      </w:r>
      <w:r w:rsidR="00CA2758">
        <w:t>um</w:t>
      </w:r>
      <w:r w:rsidR="00757E46">
        <w:t xml:space="preserve"> of the 2012 Privacy Act amendments suggest t</w:t>
      </w:r>
      <w:r w:rsidR="004D4903">
        <w:t xml:space="preserve">hat </w:t>
      </w:r>
      <w:r w:rsidR="00F10215">
        <w:t xml:space="preserve">full cost recovery of actual costs is allowed, as discussed in section 1.1. of this RIS). </w:t>
      </w:r>
      <w:r w:rsidR="00A03854">
        <w:t>This increases the risk that</w:t>
      </w:r>
      <w:r w:rsidR="00727BCF">
        <w:t xml:space="preserve"> fees are set too high to enable individuals to fairly access their health information or request a transfer of information</w:t>
      </w:r>
      <w:r w:rsidR="008D3718">
        <w:t xml:space="preserve">, which would undermine </w:t>
      </w:r>
      <w:r w:rsidR="002249C5">
        <w:t>the objective of facilitating access to information.</w:t>
      </w:r>
    </w:p>
    <w:p w14:paraId="2E7E4E54" w14:textId="05D5D56D" w:rsidR="00352D32" w:rsidRDefault="00CF7D83" w:rsidP="000F3B7A">
      <w:pPr>
        <w:pStyle w:val="ListBullet"/>
      </w:pPr>
      <w:r w:rsidRPr="00CF7D83">
        <w:t xml:space="preserve">Access to information is only regulated by the Commonwealth’s legislation for </w:t>
      </w:r>
      <w:proofErr w:type="gramStart"/>
      <w:r w:rsidR="005A254E">
        <w:t xml:space="preserve">private </w:t>
      </w:r>
      <w:r w:rsidR="00CB1F98">
        <w:t xml:space="preserve"> </w:t>
      </w:r>
      <w:r w:rsidR="00167E30">
        <w:t>non</w:t>
      </w:r>
      <w:proofErr w:type="gramEnd"/>
      <w:r w:rsidR="00167E30">
        <w:t>-</w:t>
      </w:r>
      <w:r w:rsidRPr="00CF7D83">
        <w:t xml:space="preserve">health service providers, with an annual turnover of </w:t>
      </w:r>
      <w:r w:rsidR="00ED6C2C">
        <w:t>over</w:t>
      </w:r>
      <w:r w:rsidRPr="00CF7D83">
        <w:t xml:space="preserve"> $3 million.</w:t>
      </w:r>
      <w:r w:rsidR="008C72A6">
        <w:t xml:space="preserve"> </w:t>
      </w:r>
      <w:r w:rsidR="00212B8D">
        <w:rPr>
          <w:lang w:val="en-AU"/>
        </w:rPr>
        <w:t xml:space="preserve">This means smaller organisations that collect and hold health information are not required to comply with the Commonwealth legislation. </w:t>
      </w:r>
      <w:r w:rsidR="00BB4448">
        <w:rPr>
          <w:lang w:val="en-AU"/>
        </w:rPr>
        <w:t>As these organisations do have to provide access under the Act, in the absence of regulations setting a maximum fee, they would not be able to charge any fee for providing access to individuals</w:t>
      </w:r>
      <w:r w:rsidR="00001B3B">
        <w:rPr>
          <w:lang w:val="en-AU"/>
        </w:rPr>
        <w:t>.</w:t>
      </w:r>
      <w:r w:rsidR="008552F4">
        <w:rPr>
          <w:rStyle w:val="FootnoteReference"/>
        </w:rPr>
        <w:footnoteReference w:id="15"/>
      </w:r>
    </w:p>
    <w:p w14:paraId="6AC95A57" w14:textId="2F9AC764" w:rsidR="000145CF" w:rsidRDefault="00D51090" w:rsidP="000F3B7A">
      <w:pPr>
        <w:pStyle w:val="ListBullet"/>
      </w:pPr>
      <w:r>
        <w:t xml:space="preserve">As the </w:t>
      </w:r>
      <w:r w:rsidR="00C7104F">
        <w:t>C</w:t>
      </w:r>
      <w:r>
        <w:t xml:space="preserve">ommonwealth and Victorian arrangements have some differences in terms of when access must be provided (through exceptions and criteria for refusing access), it is possible that there are situations where </w:t>
      </w:r>
      <w:r w:rsidR="451742CF">
        <w:t>practical access</w:t>
      </w:r>
      <w:r>
        <w:t xml:space="preserve"> to health information exists only under the Victorian Health Records Act and not the Commonwealth Privacy Act. In such cases, in the absence of regulations setting a maximum fee, </w:t>
      </w:r>
      <w:r w:rsidR="00F853CE">
        <w:t>Vict</w:t>
      </w:r>
      <w:r w:rsidR="00634E11">
        <w:t>orian health providers</w:t>
      </w:r>
      <w:r w:rsidR="00F853CE">
        <w:t xml:space="preserve"> </w:t>
      </w:r>
      <w:r>
        <w:t>would be unable to charge any fee for providing access to individuals</w:t>
      </w:r>
      <w:r w:rsidR="00312775">
        <w:t xml:space="preserve"> (</w:t>
      </w:r>
      <w:proofErr w:type="gramStart"/>
      <w:r w:rsidR="00312775">
        <w:t>i.e.</w:t>
      </w:r>
      <w:proofErr w:type="gramEnd"/>
      <w:r w:rsidR="00312775">
        <w:t xml:space="preserve"> because the </w:t>
      </w:r>
      <w:r w:rsidR="00312775">
        <w:lastRenderedPageBreak/>
        <w:t>Commonwealth legislation would not apply in such cases)</w:t>
      </w:r>
      <w:r w:rsidR="00FD7CB7">
        <w:t>.</w:t>
      </w:r>
      <w:r w:rsidR="00312775">
        <w:t xml:space="preserve">  This is a very minor issue likely to impact very </w:t>
      </w:r>
      <w:r w:rsidR="00DF074B">
        <w:t>few cases.</w:t>
      </w:r>
    </w:p>
    <w:p w14:paraId="20F36A09" w14:textId="7982D88E" w:rsidR="00AA195B" w:rsidRDefault="00AA195B" w:rsidP="00AA195B">
      <w:pPr>
        <w:pStyle w:val="Heading7"/>
      </w:pPr>
      <w:r>
        <w:t xml:space="preserve">Transfer </w:t>
      </w:r>
      <w:r w:rsidR="007350EF">
        <w:t>of information between health service providers</w:t>
      </w:r>
    </w:p>
    <w:p w14:paraId="2BBAA856" w14:textId="7C481ADF" w:rsidR="007350EF" w:rsidRDefault="000A3154" w:rsidP="007350EF">
      <w:r>
        <w:t xml:space="preserve">HPP 11 </w:t>
      </w:r>
      <w:r w:rsidR="005D69AE">
        <w:t xml:space="preserve">of the Act </w:t>
      </w:r>
      <w:r w:rsidR="00016005">
        <w:t>enables an individual to request that health service information hel</w:t>
      </w:r>
      <w:r w:rsidR="008C665C">
        <w:t>d</w:t>
      </w:r>
      <w:r w:rsidR="00016005">
        <w:t xml:space="preserve"> by one health service provider</w:t>
      </w:r>
      <w:r w:rsidR="00E03DA9">
        <w:t xml:space="preserve"> be made available to another health service provider</w:t>
      </w:r>
      <w:r>
        <w:t>. This applies to</w:t>
      </w:r>
      <w:r w:rsidR="00FD5CCD">
        <w:t xml:space="preserve"> both public and private sector health providers (but not non-health service providers holding health information).</w:t>
      </w:r>
      <w:r w:rsidR="003934DB">
        <w:t xml:space="preserve"> This </w:t>
      </w:r>
      <w:r w:rsidR="0029439B">
        <w:t xml:space="preserve">provision is relevant where an individual does not want to personally access their health </w:t>
      </w:r>
      <w:r w:rsidR="006A6FAB">
        <w:t>information but</w:t>
      </w:r>
      <w:r w:rsidR="0029439B">
        <w:t xml:space="preserve"> requires </w:t>
      </w:r>
      <w:r w:rsidR="00BC33B2">
        <w:t>it</w:t>
      </w:r>
      <w:r w:rsidR="0029439B">
        <w:t xml:space="preserve"> to be made available to another provider.</w:t>
      </w:r>
    </w:p>
    <w:p w14:paraId="02CCE1D1" w14:textId="0C0FA884" w:rsidR="00790637" w:rsidRDefault="001641B5" w:rsidP="007350EF">
      <w:r>
        <w:t xml:space="preserve">Under </w:t>
      </w:r>
      <w:r w:rsidR="00704BEC">
        <w:t>HPP 11</w:t>
      </w:r>
      <w:r>
        <w:t>, f</w:t>
      </w:r>
      <w:r w:rsidRPr="001641B5">
        <w:t>ees may be charged</w:t>
      </w:r>
      <w:r>
        <w:t xml:space="preserve"> for</w:t>
      </w:r>
      <w:r w:rsidRPr="001641B5">
        <w:t xml:space="preserve"> </w:t>
      </w:r>
      <w:r>
        <w:t xml:space="preserve">transferring health information </w:t>
      </w:r>
      <w:r w:rsidRPr="001641B5">
        <w:t xml:space="preserve">not exceeding a prescribed maximum fee. </w:t>
      </w:r>
      <w:r w:rsidR="00704BEC">
        <w:t>In the absence of regulations,</w:t>
      </w:r>
      <w:r w:rsidR="000479C4">
        <w:t xml:space="preserve"> </w:t>
      </w:r>
      <w:r w:rsidR="008D6201">
        <w:t>there would be no cap on the fee that public or private health service providers could charge for this service</w:t>
      </w:r>
      <w:r w:rsidR="00704BEC">
        <w:t xml:space="preserve">. </w:t>
      </w:r>
      <w:r w:rsidR="00E604D9">
        <w:t xml:space="preserve">There is potential for </w:t>
      </w:r>
      <w:r w:rsidR="00A06D3B">
        <w:t xml:space="preserve">health service providers to charge high fees for transferring this information, either </w:t>
      </w:r>
      <w:r w:rsidR="76ED3F9D">
        <w:t xml:space="preserve">because it would reflect </w:t>
      </w:r>
      <w:r w:rsidR="00A06D3B">
        <w:t>actual high</w:t>
      </w:r>
      <w:r w:rsidR="6DA257EB">
        <w:t>-</w:t>
      </w:r>
      <w:r w:rsidR="00A06D3B">
        <w:t xml:space="preserve">cost structures in </w:t>
      </w:r>
      <w:r w:rsidR="345C893C">
        <w:t>the</w:t>
      </w:r>
      <w:r w:rsidR="6C8A90A6">
        <w:t>ir</w:t>
      </w:r>
      <w:r w:rsidR="00A06D3B">
        <w:t xml:space="preserve"> management of health information, or as a strategy to prevent individuals from </w:t>
      </w:r>
      <w:r w:rsidR="00AA0E74">
        <w:t xml:space="preserve">moving to another health service provider. </w:t>
      </w:r>
      <w:r w:rsidR="00425EB2">
        <w:t xml:space="preserve">This may make it prohibitive </w:t>
      </w:r>
      <w:r w:rsidR="007B5B3F">
        <w:t>for an individual seeking to have their personal health records transferred, therefore unfairly affecting an individual’s rights under the Act</w:t>
      </w:r>
      <w:r w:rsidR="00781401">
        <w:t xml:space="preserve">. In addition, </w:t>
      </w:r>
      <w:r w:rsidR="0095408C">
        <w:t>there is a risk that not transferring health records may affect the choice</w:t>
      </w:r>
      <w:r w:rsidR="3D625B35">
        <w:t xml:space="preserve">, </w:t>
      </w:r>
      <w:proofErr w:type="gramStart"/>
      <w:r w:rsidR="3D625B35">
        <w:t>consistency</w:t>
      </w:r>
      <w:proofErr w:type="gramEnd"/>
      <w:r w:rsidR="0095408C">
        <w:t xml:space="preserve"> and quality of care a patient receives. </w:t>
      </w:r>
    </w:p>
    <w:p w14:paraId="6B50986B" w14:textId="303EA527" w:rsidR="00B5137E" w:rsidRDefault="00437B23" w:rsidP="00B5137E">
      <w:pPr>
        <w:pStyle w:val="Heading7"/>
      </w:pPr>
      <w:r>
        <w:t>Nominated health service providers reviewing refused access</w:t>
      </w:r>
    </w:p>
    <w:p w14:paraId="615CF05E" w14:textId="776958E9" w:rsidR="00753B5D" w:rsidRDefault="0054667B" w:rsidP="00437B23">
      <w:r>
        <w:t xml:space="preserve">The Act </w:t>
      </w:r>
      <w:r w:rsidR="001C0A38">
        <w:t>states that an organisation must refuse a request to access health information if the organisation</w:t>
      </w:r>
      <w:r w:rsidR="00E9510D">
        <w:t>, on reasonable grounds, believes that providing access would pose a serious threat to the life or health of that individual</w:t>
      </w:r>
      <w:r w:rsidR="006B1B66">
        <w:t xml:space="preserve"> (s.26)</w:t>
      </w:r>
      <w:r w:rsidR="00E9510D">
        <w:t xml:space="preserve">. </w:t>
      </w:r>
      <w:r w:rsidR="00753B5D">
        <w:t>In these situations, there are two possible options:</w:t>
      </w:r>
    </w:p>
    <w:p w14:paraId="5C5B2424" w14:textId="6339589A" w:rsidR="00753B5D" w:rsidRDefault="00E9510D" w:rsidP="00753B5D">
      <w:pPr>
        <w:pStyle w:val="ListBullet"/>
      </w:pPr>
      <w:r>
        <w:t>An organisation may offer</w:t>
      </w:r>
      <w:r w:rsidR="001C0A38">
        <w:t xml:space="preserve"> </w:t>
      </w:r>
      <w:r w:rsidR="00533434">
        <w:t>to discuss the information with the requesting individual</w:t>
      </w:r>
      <w:r w:rsidR="00871DD5">
        <w:t>;</w:t>
      </w:r>
      <w:r w:rsidR="00533434">
        <w:t xml:space="preserve"> or </w:t>
      </w:r>
    </w:p>
    <w:p w14:paraId="725B7FDF" w14:textId="0C786802" w:rsidR="00437B23" w:rsidRDefault="00753B5D" w:rsidP="00753B5D">
      <w:pPr>
        <w:pStyle w:val="ListBullet"/>
      </w:pPr>
      <w:r>
        <w:t>T</w:t>
      </w:r>
      <w:r w:rsidR="00533434">
        <w:t xml:space="preserve">he individual may choose to nominate a health service provider to view the information and, at the decision of that nominee, explain the health information or explain the grounds for refusal. </w:t>
      </w:r>
    </w:p>
    <w:p w14:paraId="2B7F0EE9" w14:textId="1F84EA31" w:rsidR="00357431" w:rsidRDefault="00615E2E" w:rsidP="00357431">
      <w:r>
        <w:t xml:space="preserve">The ability </w:t>
      </w:r>
      <w:r w:rsidR="00806561">
        <w:t xml:space="preserve">to seek review by a nominated health service provider </w:t>
      </w:r>
      <w:r w:rsidR="006118E0">
        <w:t xml:space="preserve">is a safeguard in the Act </w:t>
      </w:r>
      <w:r w:rsidR="00287F70">
        <w:t>which</w:t>
      </w:r>
      <w:r w:rsidR="006118E0">
        <w:t xml:space="preserve"> </w:t>
      </w:r>
      <w:r w:rsidR="00806561">
        <w:t>recognises t</w:t>
      </w:r>
      <w:r w:rsidR="00F71AD0">
        <w:t xml:space="preserve">hat </w:t>
      </w:r>
      <w:r w:rsidR="008E0BB3">
        <w:t>refusing access affects a person’s rights</w:t>
      </w:r>
      <w:r w:rsidR="00287F70">
        <w:t xml:space="preserve">. Section 42(3) of the </w:t>
      </w:r>
      <w:r w:rsidR="001D17E0">
        <w:t>Act allows for a fee to be charged by the nominated health service provider</w:t>
      </w:r>
      <w:r w:rsidR="00237FAB">
        <w:t xml:space="preserve">. </w:t>
      </w:r>
      <w:r w:rsidR="007F6D97">
        <w:t xml:space="preserve">There is no corresponding function in the </w:t>
      </w:r>
      <w:r w:rsidR="00E946E4">
        <w:t>FOI</w:t>
      </w:r>
      <w:r w:rsidR="007F6D97">
        <w:t xml:space="preserve"> Act</w:t>
      </w:r>
      <w:r w:rsidR="00181199">
        <w:t xml:space="preserve">, </w:t>
      </w:r>
      <w:r w:rsidR="410D2694">
        <w:t>but</w:t>
      </w:r>
      <w:r w:rsidR="00181199">
        <w:t xml:space="preserve"> s</w:t>
      </w:r>
      <w:r w:rsidR="0031633E">
        <w:t xml:space="preserve">ection </w:t>
      </w:r>
      <w:r w:rsidR="00181199">
        <w:t>33(4)</w:t>
      </w:r>
      <w:r w:rsidR="00EE5EBB">
        <w:t xml:space="preserve"> of that Act states that the procedure in the Health Records Act detailed above applies in such situations.</w:t>
      </w:r>
      <w:r w:rsidR="00B4112B">
        <w:t xml:space="preserve"> </w:t>
      </w:r>
    </w:p>
    <w:p w14:paraId="449F8CC4" w14:textId="5BE90872" w:rsidR="00871DD5" w:rsidRPr="00437B23" w:rsidRDefault="0056732F" w:rsidP="00357431">
      <w:r>
        <w:t>Under section 42(3) of the Act, a</w:t>
      </w:r>
      <w:r w:rsidR="00EA0837">
        <w:t xml:space="preserve"> nominated</w:t>
      </w:r>
      <w:r>
        <w:t xml:space="preserve"> health </w:t>
      </w:r>
      <w:r w:rsidR="00F32086">
        <w:t xml:space="preserve">service </w:t>
      </w:r>
      <w:r>
        <w:t>provider</w:t>
      </w:r>
      <w:r w:rsidRPr="00060E70">
        <w:t xml:space="preserve"> may charge the individual a fee not exceeding the prescribed maximum fee for performing </w:t>
      </w:r>
      <w:r>
        <w:t xml:space="preserve">a review. </w:t>
      </w:r>
      <w:r w:rsidR="00237FAB">
        <w:t xml:space="preserve">In the absence of regulations, there would be no cap on the fee that </w:t>
      </w:r>
      <w:r w:rsidR="00B4112B">
        <w:t xml:space="preserve">public or </w:t>
      </w:r>
      <w:r w:rsidR="00D27CCF">
        <w:t>private</w:t>
      </w:r>
      <w:r w:rsidR="00B4112B">
        <w:t xml:space="preserve"> health service providers</w:t>
      </w:r>
      <w:r w:rsidR="00237FAB">
        <w:t xml:space="preserve"> could charge for this service</w:t>
      </w:r>
      <w:r w:rsidR="00B41D85">
        <w:t>.</w:t>
      </w:r>
      <w:r w:rsidR="00150978">
        <w:t xml:space="preserve"> </w:t>
      </w:r>
      <w:r w:rsidR="00237FAB">
        <w:t>This may make it prohibitive for an individual to seek timely and reasonable review of a decision to refuse access, therefore unfairly affecting</w:t>
      </w:r>
      <w:r w:rsidR="00357431">
        <w:t xml:space="preserve"> an individual’s rights under the Act.</w:t>
      </w:r>
    </w:p>
    <w:p w14:paraId="2CB29225" w14:textId="03E04EEA" w:rsidR="00BD6214" w:rsidRDefault="00BD6214" w:rsidP="0017628D">
      <w:pPr>
        <w:pStyle w:val="Heading6"/>
      </w:pPr>
      <w:bookmarkStart w:id="31" w:name="_Toc135157715"/>
      <w:r>
        <w:lastRenderedPageBreak/>
        <w:t>Extent of the problem</w:t>
      </w:r>
      <w:bookmarkEnd w:id="31"/>
    </w:p>
    <w:p w14:paraId="4B0C3DBD" w14:textId="0CAC31E5" w:rsidR="0011724B" w:rsidRPr="00053162" w:rsidRDefault="00053162" w:rsidP="00686E3B">
      <w:pPr>
        <w:pStyle w:val="Heading7"/>
      </w:pPr>
      <w:r>
        <w:t>Data an</w:t>
      </w:r>
      <w:r w:rsidR="00686E3B">
        <w:t>a</w:t>
      </w:r>
      <w:r>
        <w:t>lysis</w:t>
      </w:r>
    </w:p>
    <w:p w14:paraId="63E96F78" w14:textId="007211F0" w:rsidR="00C9550A" w:rsidRPr="00D83111" w:rsidRDefault="00C9550A" w:rsidP="00C9550A">
      <w:r>
        <w:t xml:space="preserve">There are significant limitations on what quantitative data is available to inform this analysis. </w:t>
      </w:r>
    </w:p>
    <w:p w14:paraId="0D66298F" w14:textId="77777777" w:rsidR="00C9550A" w:rsidRPr="00D83111" w:rsidRDefault="00C9550A" w:rsidP="00C9550A">
      <w:pPr>
        <w:pStyle w:val="ListParagraph"/>
        <w:numPr>
          <w:ilvl w:val="0"/>
          <w:numId w:val="33"/>
        </w:numPr>
        <w:rPr>
          <w:szCs w:val="20"/>
        </w:rPr>
      </w:pPr>
      <w:r>
        <w:rPr>
          <w:lang w:val="en-US"/>
        </w:rPr>
        <w:t xml:space="preserve">Importantly, it is noted that fees are charged directly by organisations to the individual and DH does not administer the cost recovery process. </w:t>
      </w:r>
      <w:r>
        <w:t xml:space="preserve">Under the Act and Regulations, organisations are not required to collate and provide this information. </w:t>
      </w:r>
    </w:p>
    <w:p w14:paraId="2FECFD27" w14:textId="23551A0F" w:rsidR="00C9550A" w:rsidRPr="00D83111" w:rsidRDefault="00C9550A" w:rsidP="00C9550A">
      <w:pPr>
        <w:pStyle w:val="ListParagraph"/>
        <w:numPr>
          <w:ilvl w:val="0"/>
          <w:numId w:val="33"/>
        </w:numPr>
        <w:rPr>
          <w:szCs w:val="20"/>
        </w:rPr>
      </w:pPr>
      <w:r>
        <w:t>The Act has wide application</w:t>
      </w:r>
      <w:r w:rsidRPr="00D83111">
        <w:t xml:space="preserve">, encompassing all private organisations that hold health information. Requiring organisations to </w:t>
      </w:r>
      <w:r>
        <w:t>provide information</w:t>
      </w:r>
      <w:r w:rsidRPr="00D83111">
        <w:t xml:space="preserve"> to </w:t>
      </w:r>
      <w:r>
        <w:t>DH</w:t>
      </w:r>
      <w:r w:rsidRPr="00D83111">
        <w:t xml:space="preserve"> would represent a substantial</w:t>
      </w:r>
      <w:r>
        <w:t xml:space="preserve"> and unjustifiable</w:t>
      </w:r>
      <w:r w:rsidRPr="00D83111">
        <w:t xml:space="preserve"> regulatory burden on organisations covered by the Act</w:t>
      </w:r>
      <w:r>
        <w:rPr>
          <w:rStyle w:val="FootnoteReference"/>
        </w:rPr>
        <w:footnoteReference w:id="16"/>
      </w:r>
      <w:r w:rsidRPr="00D83111">
        <w:t>.</w:t>
      </w:r>
    </w:p>
    <w:p w14:paraId="51A0C5E1" w14:textId="3326C8E7" w:rsidR="003B161F" w:rsidRPr="00D83111" w:rsidRDefault="000E0833" w:rsidP="003B161F">
      <w:r>
        <w:t>I</w:t>
      </w:r>
      <w:r w:rsidRPr="00D83111">
        <w:t>n the absence of</w:t>
      </w:r>
      <w:r w:rsidR="00E829D6">
        <w:t xml:space="preserve"> such</w:t>
      </w:r>
      <w:r w:rsidRPr="00D83111" w:rsidDel="00E829D6">
        <w:t xml:space="preserve"> data</w:t>
      </w:r>
      <w:r w:rsidRPr="00D83111">
        <w:t>, complaints data</w:t>
      </w:r>
      <w:r w:rsidR="00423A80">
        <w:t xml:space="preserve"> about access to health information, including complaints about fees,</w:t>
      </w:r>
      <w:r w:rsidRPr="00D83111">
        <w:t xml:space="preserve"> provides some reflection of the consumer experience of the </w:t>
      </w:r>
      <w:r w:rsidR="00222F3E">
        <w:t>current R</w:t>
      </w:r>
      <w:r w:rsidRPr="00D83111">
        <w:t xml:space="preserve">egulations. </w:t>
      </w:r>
      <w:r w:rsidR="003B161F" w:rsidRPr="00D83111">
        <w:t xml:space="preserve">It should be noted that this data represents </w:t>
      </w:r>
      <w:r w:rsidR="007E109C">
        <w:t>a group who chose to make a complaint, a</w:t>
      </w:r>
      <w:r w:rsidR="00460D83">
        <w:t xml:space="preserve">s such, they may not be representative of all individuals that make a request for health information under the </w:t>
      </w:r>
      <w:r w:rsidR="009B2E44">
        <w:t>Act.</w:t>
      </w:r>
      <w:r w:rsidR="003B161F" w:rsidRPr="00D83111">
        <w:t xml:space="preserve"> There may be requesters who were unaware</w:t>
      </w:r>
      <w:r w:rsidR="00795FE1">
        <w:t xml:space="preserve"> of the complaints mechanism</w:t>
      </w:r>
      <w:r w:rsidR="003B161F" w:rsidRPr="00D83111">
        <w:t xml:space="preserve"> or </w:t>
      </w:r>
      <w:r w:rsidR="00795FE1">
        <w:t xml:space="preserve">were </w:t>
      </w:r>
      <w:r w:rsidR="003B161F" w:rsidRPr="00D83111">
        <w:t xml:space="preserve">unwilling to make a complaint about fees charged. </w:t>
      </w:r>
    </w:p>
    <w:p w14:paraId="55E58462" w14:textId="39D97D18" w:rsidR="00C03BE3" w:rsidRPr="00D83111" w:rsidRDefault="19701492" w:rsidP="001B05B6">
      <w:r>
        <w:t>If c</w:t>
      </w:r>
      <w:r w:rsidR="634D444B">
        <w:t xml:space="preserve">omplaints </w:t>
      </w:r>
      <w:r w:rsidR="7E463F19">
        <w:t xml:space="preserve">cannot be resolved by the </w:t>
      </w:r>
      <w:r w:rsidR="000C2846">
        <w:t>organisation</w:t>
      </w:r>
      <w:r w:rsidR="7E463F19">
        <w:t>, they</w:t>
      </w:r>
      <w:r w:rsidR="00063A54" w:rsidRPr="00D83111">
        <w:t xml:space="preserve"> are made to the Office of the Health </w:t>
      </w:r>
      <w:r w:rsidR="00372227">
        <w:t xml:space="preserve">Complaints </w:t>
      </w:r>
      <w:r w:rsidR="00063A54" w:rsidRPr="00D83111">
        <w:t xml:space="preserve">Commissioner. </w:t>
      </w:r>
      <w:r w:rsidR="009655CA" w:rsidRPr="00D83111">
        <w:t xml:space="preserve">From 2012 to 2022, fees complaints </w:t>
      </w:r>
      <w:r w:rsidR="00FD5597" w:rsidRPr="00D83111">
        <w:t>represent</w:t>
      </w:r>
      <w:r w:rsidR="00292D59">
        <w:t>ed</w:t>
      </w:r>
      <w:r w:rsidR="00FD5597" w:rsidRPr="00D83111">
        <w:t xml:space="preserve"> between 3% and 11% of total complaints made under the Act (see </w:t>
      </w:r>
      <w:r w:rsidR="00883364" w:rsidRPr="00D83111">
        <w:fldChar w:fldCharType="begin"/>
      </w:r>
      <w:r w:rsidR="00883364" w:rsidRPr="00D83111">
        <w:instrText xml:space="preserve"> REF _Ref134800229 \h </w:instrText>
      </w:r>
      <w:r w:rsidR="00D83111">
        <w:instrText xml:space="preserve"> \* MERGEFORMAT </w:instrText>
      </w:r>
      <w:r w:rsidR="00883364" w:rsidRPr="00D83111">
        <w:fldChar w:fldCharType="separate"/>
      </w:r>
      <w:r w:rsidR="00605BD1">
        <w:t>Figure 1</w:t>
      </w:r>
      <w:r w:rsidR="00883364" w:rsidRPr="00D83111">
        <w:fldChar w:fldCharType="end"/>
      </w:r>
      <w:r w:rsidR="00FD5597" w:rsidRPr="00D83111">
        <w:t xml:space="preserve">). </w:t>
      </w:r>
      <w:r w:rsidR="00C97670" w:rsidRPr="00D83111">
        <w:t xml:space="preserve">Overall numbers of fees complaints are low, totalling between 5 and </w:t>
      </w:r>
      <w:r w:rsidR="00201B3F" w:rsidRPr="00D83111">
        <w:t>41</w:t>
      </w:r>
      <w:r w:rsidR="0037423B">
        <w:t xml:space="preserve"> per year</w:t>
      </w:r>
      <w:r w:rsidR="00201B3F" w:rsidRPr="00D83111">
        <w:t xml:space="preserve"> between 2012 and 2022</w:t>
      </w:r>
      <w:r w:rsidR="005A303F">
        <w:t>. While</w:t>
      </w:r>
      <w:r w:rsidR="00292D59">
        <w:t xml:space="preserve"> data on the total number of </w:t>
      </w:r>
      <w:r w:rsidR="005A303F">
        <w:t>requests for health records information is not collected, it is reasonable to</w:t>
      </w:r>
      <w:r w:rsidR="00201B3F" w:rsidRPr="00D83111">
        <w:t xml:space="preserve"> </w:t>
      </w:r>
      <w:r w:rsidR="005A303F">
        <w:t xml:space="preserve">assume that the number of complaints represents a </w:t>
      </w:r>
      <w:r w:rsidR="00534D4E">
        <w:t>very small proportion of the total number of requests for health records by individuals.</w:t>
      </w:r>
    </w:p>
    <w:p w14:paraId="5C519E2A" w14:textId="2D06D5A9" w:rsidR="00883364" w:rsidRDefault="00883364" w:rsidP="00883364">
      <w:pPr>
        <w:pStyle w:val="Caption"/>
        <w:rPr>
          <w:rFonts w:ascii="Calibri" w:hAnsi="Calibri" w:cs="Calibri"/>
          <w:sz w:val="22"/>
        </w:rPr>
      </w:pPr>
      <w:bookmarkStart w:id="32" w:name="_Ref134800229"/>
      <w:bookmarkStart w:id="33" w:name="_Toc135201179"/>
      <w:r>
        <w:lastRenderedPageBreak/>
        <w:t xml:space="preserve">Figure </w:t>
      </w:r>
      <w:r>
        <w:fldChar w:fldCharType="begin"/>
      </w:r>
      <w:r>
        <w:instrText>SEQ Figure \* ARABIC</w:instrText>
      </w:r>
      <w:r>
        <w:fldChar w:fldCharType="separate"/>
      </w:r>
      <w:r w:rsidR="00605BD1">
        <w:rPr>
          <w:noProof/>
        </w:rPr>
        <w:t>1</w:t>
      </w:r>
      <w:r>
        <w:fldChar w:fldCharType="end"/>
      </w:r>
      <w:bookmarkEnd w:id="32"/>
      <w:r>
        <w:t>: C</w:t>
      </w:r>
      <w:r w:rsidRPr="002A6FCA">
        <w:t>omplaints about fees under the He</w:t>
      </w:r>
      <w:r>
        <w:t>al</w:t>
      </w:r>
      <w:r w:rsidRPr="002A6FCA">
        <w:t>th Records Act</w:t>
      </w:r>
      <w:bookmarkEnd w:id="33"/>
      <w:r w:rsidR="002B493E">
        <w:rPr>
          <w:rStyle w:val="FootnoteReference"/>
        </w:rPr>
        <w:footnoteReference w:id="17"/>
      </w:r>
    </w:p>
    <w:p w14:paraId="4E76B0EC" w14:textId="288FE4C1" w:rsidR="00A65424" w:rsidRDefault="00A65424" w:rsidP="00883364">
      <w:r>
        <w:rPr>
          <w:noProof/>
        </w:rPr>
        <w:drawing>
          <wp:inline distT="0" distB="0" distL="0" distR="0" wp14:anchorId="4BADC048" wp14:editId="56D30CBE">
            <wp:extent cx="5049931" cy="3000673"/>
            <wp:effectExtent l="0" t="0" r="0" b="0"/>
            <wp:docPr id="4" name="Chart 4">
              <a:extLst xmlns:a="http://schemas.openxmlformats.org/drawingml/2006/main">
                <a:ext uri="{FF2B5EF4-FFF2-40B4-BE49-F238E27FC236}">
                  <a16:creationId xmlns:a16="http://schemas.microsoft.com/office/drawing/2014/main" id="{B24FAA4B-4651-4C17-6A22-C19B55DDA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1EEF65" w14:textId="3EF2F88D" w:rsidR="006F01E0" w:rsidRDefault="006F01E0" w:rsidP="00883364">
      <w:pPr>
        <w:spacing w:before="0"/>
        <w:rPr>
          <w:i/>
          <w:iCs/>
        </w:rPr>
      </w:pPr>
      <w:r w:rsidRPr="00883364">
        <w:rPr>
          <w:i/>
          <w:iCs/>
        </w:rPr>
        <w:t xml:space="preserve">Source: </w:t>
      </w:r>
      <w:r w:rsidR="00372227">
        <w:rPr>
          <w:i/>
          <w:iCs/>
        </w:rPr>
        <w:t>Health Complaints Commissioner</w:t>
      </w:r>
      <w:r w:rsidRPr="00883364">
        <w:rPr>
          <w:i/>
          <w:iCs/>
        </w:rPr>
        <w:t xml:space="preserve"> </w:t>
      </w:r>
    </w:p>
    <w:p w14:paraId="5C9A7A0E" w14:textId="5F89C629" w:rsidR="006E099A" w:rsidRDefault="00EC5B49" w:rsidP="006E099A">
      <w:r>
        <w:t>The</w:t>
      </w:r>
      <w:r w:rsidR="004B78F4">
        <w:t xml:space="preserve"> number of</w:t>
      </w:r>
      <w:r w:rsidR="00491FEB">
        <w:t xml:space="preserve"> </w:t>
      </w:r>
      <w:r w:rsidR="004B78F4">
        <w:t>fees complaints as a percentage of all complaints under the Act spiked in 2020,</w:t>
      </w:r>
      <w:r w:rsidR="00CD535C">
        <w:t xml:space="preserve"> </w:t>
      </w:r>
      <w:r w:rsidR="00E535CC">
        <w:t>which is</w:t>
      </w:r>
      <w:r w:rsidR="004B78F4">
        <w:t xml:space="preserve"> </w:t>
      </w:r>
      <w:r w:rsidR="00CD535C">
        <w:t>lik</w:t>
      </w:r>
      <w:r w:rsidR="004B78F4">
        <w:t>ely to be a result of a</w:t>
      </w:r>
      <w:r w:rsidR="002C4A18">
        <w:t xml:space="preserve"> </w:t>
      </w:r>
      <w:r w:rsidR="004B78F4">
        <w:t xml:space="preserve">drop </w:t>
      </w:r>
      <w:r w:rsidR="002C4A18">
        <w:t xml:space="preserve">in the total number of complaints due to the COVID-19 pandemic resulting in </w:t>
      </w:r>
      <w:r w:rsidR="007739E9">
        <w:t>an overall reduction in instances of health care provision</w:t>
      </w:r>
      <w:r w:rsidR="003128CE">
        <w:t xml:space="preserve"> and therefore fewer</w:t>
      </w:r>
      <w:r w:rsidR="00F0658F">
        <w:t xml:space="preserve"> total complaints</w:t>
      </w:r>
      <w:r w:rsidR="007D2D68">
        <w:t>.</w:t>
      </w:r>
    </w:p>
    <w:p w14:paraId="4BCA0A67" w14:textId="22638856" w:rsidR="00E268F4" w:rsidRDefault="00E268F4" w:rsidP="00892481">
      <w:pPr>
        <w:pStyle w:val="Heading7"/>
      </w:pPr>
      <w:r>
        <w:t xml:space="preserve">Conclusion </w:t>
      </w:r>
      <w:r w:rsidR="001648C7">
        <w:t>on the extent of the problem</w:t>
      </w:r>
    </w:p>
    <w:p w14:paraId="09F2AB39" w14:textId="4383F8F2" w:rsidR="00195F5B" w:rsidRDefault="005C2C78" w:rsidP="00396BB8">
      <w:r>
        <w:t xml:space="preserve">While there is a lack of specific data </w:t>
      </w:r>
      <w:r w:rsidR="52234CFA">
        <w:t>on</w:t>
      </w:r>
      <w:r>
        <w:t xml:space="preserve"> </w:t>
      </w:r>
      <w:r w:rsidR="00E17D59" w:rsidDel="00C23EE7">
        <w:t xml:space="preserve">the </w:t>
      </w:r>
      <w:r w:rsidR="00C23EE7">
        <w:t>nature and extent of the problem</w:t>
      </w:r>
      <w:r w:rsidR="00E17D59">
        <w:t xml:space="preserve">, </w:t>
      </w:r>
      <w:r w:rsidR="0044110E">
        <w:t xml:space="preserve">the existing data </w:t>
      </w:r>
      <w:r w:rsidR="000D63EF">
        <w:t xml:space="preserve">discussed </w:t>
      </w:r>
      <w:r w:rsidR="0044110E">
        <w:t>above</w:t>
      </w:r>
      <w:r w:rsidR="00897A3E">
        <w:t xml:space="preserve">, combined with </w:t>
      </w:r>
      <w:r w:rsidR="00F765FC">
        <w:t xml:space="preserve">feedback </w:t>
      </w:r>
      <w:r w:rsidR="004F1784">
        <w:t xml:space="preserve">from health </w:t>
      </w:r>
      <w:r w:rsidR="001C00F3">
        <w:t xml:space="preserve">service </w:t>
      </w:r>
      <w:r w:rsidR="004F1784">
        <w:t xml:space="preserve">providers </w:t>
      </w:r>
      <w:r w:rsidR="00F765FC">
        <w:t xml:space="preserve">received by </w:t>
      </w:r>
      <w:r w:rsidR="00FA6669">
        <w:t>DH</w:t>
      </w:r>
      <w:r w:rsidR="00F765FC">
        <w:t xml:space="preserve"> through the life of the Regulations,</w:t>
      </w:r>
      <w:r w:rsidR="0044110E">
        <w:t xml:space="preserve"> </w:t>
      </w:r>
      <w:r w:rsidR="00D568D9">
        <w:t>indicate the</w:t>
      </w:r>
      <w:r w:rsidR="00C56626">
        <w:t xml:space="preserve"> Regulations </w:t>
      </w:r>
      <w:r w:rsidR="3C371ADD">
        <w:t>have been</w:t>
      </w:r>
      <w:r w:rsidR="00DA1834">
        <w:t xml:space="preserve"> effective in </w:t>
      </w:r>
      <w:r w:rsidR="00F977A0">
        <w:t xml:space="preserve">balancing facilitation of access and </w:t>
      </w:r>
      <w:r w:rsidR="004F1784">
        <w:t>reasonable cost recovery. It is important to note that</w:t>
      </w:r>
      <w:r w:rsidR="00195F5B">
        <w:t>:</w:t>
      </w:r>
    </w:p>
    <w:p w14:paraId="0C04FD49" w14:textId="304C01E8" w:rsidR="00396BB8" w:rsidRPr="00396BB8" w:rsidRDefault="006E42E4" w:rsidP="00195F5B">
      <w:pPr>
        <w:pStyle w:val="ListBullet"/>
      </w:pPr>
      <w:r>
        <w:t>T</w:t>
      </w:r>
      <w:r w:rsidR="004F1784">
        <w:t>here is no evidence to indicate that individuals are being precluded from accessing health information because fees charged are too high.</w:t>
      </w:r>
    </w:p>
    <w:p w14:paraId="06FC7A9E" w14:textId="6279EE74" w:rsidR="00EA66DF" w:rsidRDefault="006E42E4" w:rsidP="00892481">
      <w:pPr>
        <w:pStyle w:val="ListBullet"/>
      </w:pPr>
      <w:r>
        <w:t xml:space="preserve">The maximum fees set are relatively low compared to the </w:t>
      </w:r>
      <w:r w:rsidR="00E52D72">
        <w:t xml:space="preserve">overall </w:t>
      </w:r>
      <w:r>
        <w:t xml:space="preserve">costs of </w:t>
      </w:r>
      <w:r w:rsidR="00E52D72">
        <w:t>healthcare provision.</w:t>
      </w:r>
      <w:r>
        <w:t xml:space="preserve"> </w:t>
      </w:r>
    </w:p>
    <w:p w14:paraId="7ABDB739" w14:textId="77777777" w:rsidR="00EA66DF" w:rsidRDefault="00EA66DF">
      <w:pPr>
        <w:spacing w:before="0" w:line="259" w:lineRule="auto"/>
      </w:pPr>
      <w:r>
        <w:br w:type="page"/>
      </w:r>
    </w:p>
    <w:p w14:paraId="52E13BF5" w14:textId="53B99F71" w:rsidR="0087334F" w:rsidRPr="00243637" w:rsidRDefault="0087334F" w:rsidP="0087334F">
      <w:pPr>
        <w:pStyle w:val="Heading6"/>
        <w:numPr>
          <w:ilvl w:val="1"/>
          <w:numId w:val="1"/>
        </w:numPr>
      </w:pPr>
      <w:bookmarkStart w:id="34" w:name="_Toc63377824"/>
      <w:bookmarkStart w:id="35" w:name="_Toc63377978"/>
      <w:bookmarkStart w:id="36" w:name="_Toc63381564"/>
      <w:bookmarkStart w:id="37" w:name="_Toc64642645"/>
      <w:bookmarkStart w:id="38" w:name="_Toc64902278"/>
      <w:bookmarkStart w:id="39" w:name="_Toc135157716"/>
      <w:r w:rsidRPr="00243637">
        <w:lastRenderedPageBreak/>
        <w:t>Are the Regulations still needed and are they fit for purpose?</w:t>
      </w:r>
      <w:bookmarkEnd w:id="34"/>
      <w:bookmarkEnd w:id="35"/>
      <w:bookmarkEnd w:id="36"/>
      <w:bookmarkEnd w:id="37"/>
      <w:bookmarkEnd w:id="38"/>
      <w:bookmarkEnd w:id="39"/>
    </w:p>
    <w:p w14:paraId="512FB2E6" w14:textId="4C7882D5" w:rsidR="00324EE3" w:rsidRDefault="00C55887" w:rsidP="0087334F">
      <w:r>
        <w:t xml:space="preserve">In this section we consider whether </w:t>
      </w:r>
      <w:r w:rsidR="00A11145">
        <w:t>the fee indexation has kept pa</w:t>
      </w:r>
      <w:r w:rsidR="00763EDD">
        <w:t>c</w:t>
      </w:r>
      <w:r w:rsidR="00A11145">
        <w:t xml:space="preserve">e with </w:t>
      </w:r>
      <w:r w:rsidR="008B346A">
        <w:t>organisational</w:t>
      </w:r>
      <w:r w:rsidR="00A11145">
        <w:t xml:space="preserve"> costs</w:t>
      </w:r>
      <w:r w:rsidR="00763EDD">
        <w:t xml:space="preserve">. We then consider whether structural changes in the </w:t>
      </w:r>
      <w:r w:rsidR="00CD5DBB">
        <w:t xml:space="preserve">operating environment, </w:t>
      </w:r>
      <w:r w:rsidR="0071252F">
        <w:t xml:space="preserve">namely digitisation trends and </w:t>
      </w:r>
      <w:r w:rsidR="5B7E4B72">
        <w:t xml:space="preserve">improvements in records management mechanisms through patient identifiers and </w:t>
      </w:r>
      <w:r w:rsidR="5B7E4B72" w:rsidRPr="00733A3A">
        <w:rPr>
          <w:i/>
          <w:iCs/>
        </w:rPr>
        <w:t>My Health Record</w:t>
      </w:r>
      <w:r w:rsidR="5B7E4B72">
        <w:t xml:space="preserve"> use</w:t>
      </w:r>
      <w:r w:rsidR="0071252F">
        <w:t xml:space="preserve"> </w:t>
      </w:r>
      <w:r w:rsidR="001F7B1D">
        <w:t xml:space="preserve">impacts the need for the regulations or </w:t>
      </w:r>
      <w:r w:rsidR="00777B20">
        <w:t>whether they remain fit for purpose.</w:t>
      </w:r>
    </w:p>
    <w:p w14:paraId="60833227" w14:textId="13AFB140" w:rsidR="00DB0EFB" w:rsidRDefault="00DB0EFB" w:rsidP="00DB0EFB">
      <w:pPr>
        <w:pStyle w:val="Heading7"/>
      </w:pPr>
      <w:r>
        <w:t>Ha</w:t>
      </w:r>
      <w:r w:rsidR="00D11823">
        <w:t>s</w:t>
      </w:r>
      <w:r>
        <w:t xml:space="preserve"> the fee indexation kept pace with costs</w:t>
      </w:r>
      <w:r w:rsidR="00CE7230">
        <w:t xml:space="preserve"> of providing information</w:t>
      </w:r>
      <w:r>
        <w:t>?</w:t>
      </w:r>
    </w:p>
    <w:p w14:paraId="62F38029" w14:textId="38F244E4" w:rsidR="00570A89" w:rsidRDefault="00570A89" w:rsidP="00570A89">
      <w:r>
        <w:t>The maximum fees that can be charged in the Regulations are expressed in fee units</w:t>
      </w:r>
      <w:r w:rsidR="00DF2FC2">
        <w:t>.</w:t>
      </w:r>
      <w:r w:rsidR="00950286">
        <w:rPr>
          <w:rStyle w:val="FootnoteReference"/>
        </w:rPr>
        <w:footnoteReference w:id="18"/>
      </w:r>
      <w:r>
        <w:t xml:space="preserve"> The value of a fee unit for the financial year commencing 1 July 2022 is $15.29, compared with $12.53 for the financial year commencing 1 July 2012 – a total increase of 22%</w:t>
      </w:r>
      <w:r w:rsidR="006E3334">
        <w:t xml:space="preserve"> or 2.01% per annum.</w:t>
      </w:r>
    </w:p>
    <w:p w14:paraId="667B0D01" w14:textId="22943645" w:rsidR="00126DC5" w:rsidRDefault="00305B07" w:rsidP="0087334F">
      <w:r>
        <w:t xml:space="preserve">To inform the assessment of whether </w:t>
      </w:r>
      <w:r w:rsidR="00EC330F">
        <w:t xml:space="preserve">the current Regulations allow for </w:t>
      </w:r>
      <w:r w:rsidR="00E4229A">
        <w:t>reasonable cost recovery</w:t>
      </w:r>
      <w:r w:rsidR="0098272B">
        <w:t xml:space="preserve">, we consider whether the annual fee indexation of the maximum </w:t>
      </w:r>
      <w:r w:rsidR="009A0D10">
        <w:t xml:space="preserve">fee </w:t>
      </w:r>
      <w:r w:rsidR="0098272B">
        <w:t xml:space="preserve">has kept pace with health </w:t>
      </w:r>
      <w:r w:rsidR="008B346A">
        <w:t xml:space="preserve">service </w:t>
      </w:r>
      <w:r w:rsidR="0098272B">
        <w:t>provider costs.</w:t>
      </w:r>
      <w:r w:rsidR="00372227">
        <w:rPr>
          <w:rStyle w:val="FootnoteReference"/>
        </w:rPr>
        <w:footnoteReference w:id="19"/>
      </w:r>
      <w:r w:rsidR="00FC4CE6">
        <w:t xml:space="preserve"> We can </w:t>
      </w:r>
      <w:r w:rsidR="008E3EE6">
        <w:t xml:space="preserve">compare to different benchmarks, each of which </w:t>
      </w:r>
      <w:r w:rsidR="00730432">
        <w:t xml:space="preserve">is a useful but not perfect </w:t>
      </w:r>
      <w:r w:rsidR="00910B12">
        <w:t xml:space="preserve">representation of the costs to a health </w:t>
      </w:r>
      <w:r w:rsidR="008B346A">
        <w:t xml:space="preserve">service </w:t>
      </w:r>
      <w:r w:rsidR="00962ED4">
        <w:t>provider of providing health information:</w:t>
      </w:r>
    </w:p>
    <w:p w14:paraId="4AC58EB5" w14:textId="62C82C9E" w:rsidR="00962ED4" w:rsidRDefault="00962ED4" w:rsidP="00593C09">
      <w:pPr>
        <w:pStyle w:val="ListBullet"/>
      </w:pPr>
      <w:r>
        <w:t>Schedule</w:t>
      </w:r>
      <w:r w:rsidR="0050605F">
        <w:t>d</w:t>
      </w:r>
      <w:r>
        <w:t xml:space="preserve"> fee for a standard </w:t>
      </w:r>
      <w:r w:rsidR="00AF3C10">
        <w:t>General Practitioner (</w:t>
      </w:r>
      <w:r>
        <w:t>GP</w:t>
      </w:r>
      <w:r w:rsidR="00AF3C10">
        <w:t>)</w:t>
      </w:r>
      <w:r>
        <w:t xml:space="preserve"> consultation: used as a proxy for </w:t>
      </w:r>
      <w:r w:rsidR="003D1A69">
        <w:t xml:space="preserve">medical </w:t>
      </w:r>
      <w:r>
        <w:t>practitioner costs.</w:t>
      </w:r>
    </w:p>
    <w:p w14:paraId="298115C2" w14:textId="1AF7147D" w:rsidR="00845385" w:rsidRDefault="00845385" w:rsidP="00C01ADA">
      <w:pPr>
        <w:pStyle w:val="ListBullet"/>
      </w:pPr>
      <w:r>
        <w:t>Health</w:t>
      </w:r>
      <w:r w:rsidR="00771120">
        <w:t xml:space="preserve"> CPI: used as a proxy for </w:t>
      </w:r>
      <w:r w:rsidR="3C70DE34">
        <w:t>broad</w:t>
      </w:r>
      <w:r w:rsidR="29282CCC">
        <w:t>er</w:t>
      </w:r>
      <w:r w:rsidR="00771120">
        <w:t xml:space="preserve"> health costs.</w:t>
      </w:r>
    </w:p>
    <w:p w14:paraId="166BDC51" w14:textId="364AB4BC" w:rsidR="003A09AD" w:rsidRDefault="003A09AD" w:rsidP="00593C09">
      <w:pPr>
        <w:pStyle w:val="ListBullet"/>
      </w:pPr>
      <w:r>
        <w:t xml:space="preserve">Average adult full-time ordinary time weekly earnings: used as a general proxy for </w:t>
      </w:r>
      <w:r w:rsidR="00E429E6">
        <w:t>the staff costs of a provider</w:t>
      </w:r>
      <w:r w:rsidR="003050ED">
        <w:t>.</w:t>
      </w:r>
    </w:p>
    <w:p w14:paraId="71A742AE" w14:textId="4149A4A9" w:rsidR="008D4154" w:rsidRDefault="008D4154" w:rsidP="0087334F">
      <w:r>
        <w:t>In practice</w:t>
      </w:r>
      <w:r w:rsidR="00AD1C21">
        <w:t>,</w:t>
      </w:r>
      <w:r>
        <w:t xml:space="preserve"> the </w:t>
      </w:r>
      <w:r w:rsidR="002732EF">
        <w:t xml:space="preserve">costs of the health </w:t>
      </w:r>
      <w:r w:rsidR="00880D09">
        <w:t xml:space="preserve">service </w:t>
      </w:r>
      <w:r w:rsidR="002732EF">
        <w:t xml:space="preserve">provider would vary significantly across the </w:t>
      </w:r>
      <w:r w:rsidR="003D1A69">
        <w:t>spec</w:t>
      </w:r>
      <w:r w:rsidR="002732EF">
        <w:t xml:space="preserve">trum of health </w:t>
      </w:r>
      <w:r w:rsidR="00880D09">
        <w:t xml:space="preserve">service </w:t>
      </w:r>
      <w:r w:rsidR="002732EF">
        <w:t>providers but would likely be made of</w:t>
      </w:r>
      <w:r w:rsidR="008A5578">
        <w:t xml:space="preserve">, to varying extents, the costs of </w:t>
      </w:r>
      <w:r w:rsidR="003D1A69">
        <w:t xml:space="preserve">medical practitioners, </w:t>
      </w:r>
      <w:r w:rsidR="001671EF">
        <w:t xml:space="preserve">administrative </w:t>
      </w:r>
      <w:proofErr w:type="gramStart"/>
      <w:r w:rsidR="001671EF">
        <w:t>staff</w:t>
      </w:r>
      <w:proofErr w:type="gramEnd"/>
      <w:r w:rsidR="001671EF">
        <w:t xml:space="preserve"> and </w:t>
      </w:r>
      <w:r w:rsidR="009972F7">
        <w:t xml:space="preserve">other costs such as file </w:t>
      </w:r>
      <w:r w:rsidR="00626AE4">
        <w:t xml:space="preserve">storage and </w:t>
      </w:r>
      <w:r w:rsidR="00FB1C19">
        <w:t xml:space="preserve">retrieval </w:t>
      </w:r>
      <w:r w:rsidR="00594357">
        <w:t>(which would</w:t>
      </w:r>
      <w:r w:rsidR="00634EA8">
        <w:t>,</w:t>
      </w:r>
      <w:r w:rsidR="00594357">
        <w:t xml:space="preserve"> </w:t>
      </w:r>
      <w:r w:rsidR="00B95F4C">
        <w:t>in some cases</w:t>
      </w:r>
      <w:r w:rsidR="00634EA8">
        <w:t>,</w:t>
      </w:r>
      <w:r w:rsidR="00594357">
        <w:t xml:space="preserve"> be outsourced</w:t>
      </w:r>
      <w:r w:rsidR="00B95F4C">
        <w:t>).</w:t>
      </w:r>
    </w:p>
    <w:p w14:paraId="451AD3EC" w14:textId="21315955" w:rsidR="00F76FDB" w:rsidRDefault="0099293C" w:rsidP="0087334F">
      <w:r>
        <w:t>The scheduled fee for a standard GP consultation under the Medicare scheme is $39.75</w:t>
      </w:r>
      <w:r w:rsidR="002D6947">
        <w:t>.</w:t>
      </w:r>
      <w:r w:rsidR="00BC155C" w:rsidRPr="00E05B2C">
        <w:rPr>
          <w:vertAlign w:val="superscript"/>
        </w:rPr>
        <w:footnoteReference w:id="20"/>
      </w:r>
      <w:r w:rsidR="001F49DB">
        <w:t xml:space="preserve"> The current schedule</w:t>
      </w:r>
      <w:r w:rsidR="00244D7B">
        <w:t>d</w:t>
      </w:r>
      <w:r w:rsidR="001F49DB">
        <w:t xml:space="preserve"> fee compares to the same fee of $35.60 that was prevailing at the time</w:t>
      </w:r>
      <w:r w:rsidR="0039590D">
        <w:t xml:space="preserve"> the current Regulations were last updated in 2012. This represents an increase of around </w:t>
      </w:r>
      <w:r w:rsidR="00060AD6">
        <w:t>12%</w:t>
      </w:r>
      <w:r w:rsidR="00943209">
        <w:t xml:space="preserve"> over the past 11 years</w:t>
      </w:r>
      <w:r w:rsidR="00750AEF">
        <w:t xml:space="preserve"> or </w:t>
      </w:r>
      <w:r w:rsidR="003B1A18">
        <w:t xml:space="preserve">1.01% per </w:t>
      </w:r>
      <w:r w:rsidR="008F6BF8">
        <w:t>annum.</w:t>
      </w:r>
      <w:r w:rsidR="00A832BD">
        <w:t xml:space="preserve"> This</w:t>
      </w:r>
      <w:r w:rsidR="0070302F">
        <w:t xml:space="preserve"> rate of increase</w:t>
      </w:r>
      <w:r w:rsidR="00A832BD">
        <w:t xml:space="preserve"> is</w:t>
      </w:r>
      <w:r w:rsidR="007A60CC">
        <w:t xml:space="preserve"> less than </w:t>
      </w:r>
      <w:r w:rsidR="00A832BD">
        <w:t>the fee unit indexation that has been applied to maximum fees</w:t>
      </w:r>
      <w:r w:rsidR="00AC78B9">
        <w:t>.</w:t>
      </w:r>
      <w:r w:rsidR="00A55679" w:rsidRPr="00CD49F5">
        <w:rPr>
          <w:vertAlign w:val="superscript"/>
        </w:rPr>
        <w:footnoteReference w:id="21"/>
      </w:r>
      <w:r w:rsidR="00121C5E" w:rsidRPr="00CD49F5">
        <w:rPr>
          <w:vertAlign w:val="superscript"/>
        </w:rPr>
        <w:t xml:space="preserve"> </w:t>
      </w:r>
      <w:r w:rsidR="00D43964">
        <w:t xml:space="preserve">For the </w:t>
      </w:r>
      <w:r w:rsidR="00F76FDB">
        <w:t>Health CPI</w:t>
      </w:r>
      <w:r w:rsidR="00031644">
        <w:t xml:space="preserve"> benchmark,</w:t>
      </w:r>
      <w:r w:rsidR="00A469BF" w:rsidDel="00031644">
        <w:t xml:space="preserve"> </w:t>
      </w:r>
      <w:r w:rsidR="00031644">
        <w:t>f</w:t>
      </w:r>
      <w:r w:rsidR="006E15A0">
        <w:t xml:space="preserve">rom March 2012 to March 2023, the CPI </w:t>
      </w:r>
      <w:r w:rsidR="00E237A3">
        <w:t>–</w:t>
      </w:r>
      <w:r w:rsidR="006E15A0">
        <w:t xml:space="preserve"> </w:t>
      </w:r>
      <w:r w:rsidR="006E15A0">
        <w:lastRenderedPageBreak/>
        <w:t>Health</w:t>
      </w:r>
      <w:r w:rsidR="009372E5">
        <w:t xml:space="preserve"> group</w:t>
      </w:r>
      <w:r w:rsidR="00E237A3">
        <w:t xml:space="preserve"> has increased from 101.5 to 157.6 – an increase of </w:t>
      </w:r>
      <w:r w:rsidR="005C6475">
        <w:t xml:space="preserve">55%. This is compared to a </w:t>
      </w:r>
      <w:r w:rsidR="00BD7F41">
        <w:t>33% increase in the overall CPI over the same time period</w:t>
      </w:r>
      <w:r w:rsidR="00D966F0">
        <w:t xml:space="preserve"> (ABS 6401.0</w:t>
      </w:r>
      <w:r w:rsidR="008F37C4">
        <w:t xml:space="preserve">, released </w:t>
      </w:r>
      <w:r w:rsidR="002F562C">
        <w:t>26</w:t>
      </w:r>
      <w:r w:rsidR="00703CC4">
        <w:t xml:space="preserve"> April 2023</w:t>
      </w:r>
      <w:r w:rsidR="00C72B50">
        <w:t>)</w:t>
      </w:r>
      <w:r w:rsidR="001654FC">
        <w:t>.</w:t>
      </w:r>
      <w:r w:rsidR="009841DA">
        <w:rPr>
          <w:rStyle w:val="FootnoteReference"/>
        </w:rPr>
        <w:footnoteReference w:id="22"/>
      </w:r>
      <w:r w:rsidR="00BD7F41">
        <w:t xml:space="preserve"> </w:t>
      </w:r>
      <w:r w:rsidR="00366AED">
        <w:t>The CPI – Health group includes all expenditure relating to health goods and services, including pharmaceuticals,</w:t>
      </w:r>
      <w:r w:rsidR="00611AC6">
        <w:t xml:space="preserve"> therapeutic </w:t>
      </w:r>
      <w:r w:rsidR="00E43E61">
        <w:t>appliances/equipment</w:t>
      </w:r>
      <w:r w:rsidR="00390A58">
        <w:t>, and medical/hospital/dental services</w:t>
      </w:r>
      <w:r w:rsidR="009372E5">
        <w:t>.</w:t>
      </w:r>
      <w:r w:rsidR="00390A58">
        <w:rPr>
          <w:rStyle w:val="FootnoteReference"/>
        </w:rPr>
        <w:footnoteReference w:id="23"/>
      </w:r>
      <w:r w:rsidR="0058199B">
        <w:t xml:space="preserve"> Th</w:t>
      </w:r>
      <w:r w:rsidR="000C6121">
        <w:t xml:space="preserve">e </w:t>
      </w:r>
      <w:r w:rsidR="0070302F">
        <w:t xml:space="preserve">increase in the </w:t>
      </w:r>
      <w:r w:rsidR="000C6121">
        <w:t>Health CPI is therefore higher than the fee unit indexation that has been applied to maximum fees</w:t>
      </w:r>
      <w:r w:rsidR="00672548">
        <w:t xml:space="preserve">, although the bucket of goods and services covered by this index is </w:t>
      </w:r>
      <w:r w:rsidR="00355408">
        <w:t xml:space="preserve">considered a less relevant </w:t>
      </w:r>
      <w:r w:rsidR="00F2768A">
        <w:t xml:space="preserve">benchmark for the cost of providing health information because </w:t>
      </w:r>
      <w:r w:rsidR="00831A4C">
        <w:t xml:space="preserve">it covers </w:t>
      </w:r>
      <w:r w:rsidR="00D349FE">
        <w:t xml:space="preserve">such a wide spectrum of </w:t>
      </w:r>
      <w:r w:rsidR="7E0CE296">
        <w:t xml:space="preserve">specialised </w:t>
      </w:r>
      <w:r w:rsidR="603B68BC">
        <w:t>goods</w:t>
      </w:r>
      <w:r w:rsidR="00D349FE">
        <w:t xml:space="preserve"> and services not related to staff time.</w:t>
      </w:r>
    </w:p>
    <w:p w14:paraId="1010713E" w14:textId="1FF03FC9" w:rsidR="00C408AA" w:rsidRDefault="00C408AA" w:rsidP="0087334F">
      <w:r>
        <w:t xml:space="preserve">From November </w:t>
      </w:r>
      <w:r w:rsidR="00A46ADB">
        <w:t xml:space="preserve">2012 to November 2022, the </w:t>
      </w:r>
      <w:bookmarkStart w:id="40" w:name="_Hlk135225732"/>
      <w:r w:rsidR="00690AC0">
        <w:t>average adult full-time ordinary time weekly</w:t>
      </w:r>
      <w:r w:rsidR="00B07D48">
        <w:t xml:space="preserve"> earnings</w:t>
      </w:r>
      <w:r w:rsidR="005938ED">
        <w:t xml:space="preserve"> </w:t>
      </w:r>
      <w:bookmarkEnd w:id="40"/>
      <w:r w:rsidR="005938ED">
        <w:t>for Victoria increased from</w:t>
      </w:r>
      <w:r w:rsidR="00E258E9">
        <w:t xml:space="preserve"> </w:t>
      </w:r>
      <w:r w:rsidR="003925DB">
        <w:t>$1</w:t>
      </w:r>
      <w:r w:rsidR="00867DD7">
        <w:t>,</w:t>
      </w:r>
      <w:r w:rsidR="003925DB">
        <w:t>324.90 to $</w:t>
      </w:r>
      <w:r w:rsidR="00775E52">
        <w:t>1</w:t>
      </w:r>
      <w:r w:rsidR="00867DD7">
        <w:t>,</w:t>
      </w:r>
      <w:r w:rsidR="00775E52">
        <w:t xml:space="preserve">790.70 – an increase of </w:t>
      </w:r>
      <w:r w:rsidR="003571D5">
        <w:t>35%</w:t>
      </w:r>
      <w:r w:rsidR="00BC0BC2">
        <w:t xml:space="preserve"> (ABS</w:t>
      </w:r>
      <w:r w:rsidR="00776B6A">
        <w:t xml:space="preserve"> 63</w:t>
      </w:r>
      <w:r w:rsidR="00DD7D20">
        <w:t>02.0</w:t>
      </w:r>
      <w:r w:rsidR="009C1526">
        <w:t>, released 23 February 2023, trend data)</w:t>
      </w:r>
      <w:r w:rsidR="00820AE6">
        <w:t xml:space="preserve"> or </w:t>
      </w:r>
      <w:r w:rsidR="000147A6">
        <w:t>3.06</w:t>
      </w:r>
      <w:r w:rsidR="00691C73">
        <w:t>%</w:t>
      </w:r>
      <w:r w:rsidR="00AC2965">
        <w:t>over 10 years</w:t>
      </w:r>
      <w:r w:rsidR="00A77B34" w:rsidDel="00820AE6">
        <w:t>.</w:t>
      </w:r>
      <w:r w:rsidR="00A77B34">
        <w:rPr>
          <w:rStyle w:val="FootnoteReference"/>
        </w:rPr>
        <w:footnoteReference w:id="24"/>
      </w:r>
      <w:r w:rsidR="009438FD">
        <w:t xml:space="preserve"> This </w:t>
      </w:r>
      <w:r w:rsidR="0070302F">
        <w:t xml:space="preserve">rate of increase is </w:t>
      </w:r>
      <w:r w:rsidR="006A4A04">
        <w:t xml:space="preserve">slightly </w:t>
      </w:r>
      <w:r w:rsidR="0070302F">
        <w:t xml:space="preserve">higher than </w:t>
      </w:r>
      <w:r w:rsidR="00FA7B41">
        <w:t xml:space="preserve">the </w:t>
      </w:r>
      <w:r w:rsidR="00CD351F">
        <w:t xml:space="preserve">indexation of the </w:t>
      </w:r>
      <w:r w:rsidR="00FA7B41">
        <w:t>maximum fees</w:t>
      </w:r>
      <w:r w:rsidR="003D2906">
        <w:t>.</w:t>
      </w:r>
    </w:p>
    <w:p w14:paraId="4A8D2476" w14:textId="40A1B3A0" w:rsidR="00AC2965" w:rsidRDefault="00C93B44" w:rsidP="0087334F">
      <w:r>
        <w:t>Overall</w:t>
      </w:r>
      <w:r w:rsidR="00AF2696">
        <w:t>, the</w:t>
      </w:r>
      <w:r w:rsidR="007652F0">
        <w:t xml:space="preserve"> </w:t>
      </w:r>
      <w:r w:rsidR="00532137">
        <w:t>rate</w:t>
      </w:r>
      <w:r>
        <w:t>s</w:t>
      </w:r>
      <w:r w:rsidR="00532137">
        <w:t xml:space="preserve"> of increase have not been consistent</w:t>
      </w:r>
      <w:r w:rsidR="00E77145">
        <w:t>,</w:t>
      </w:r>
      <w:r w:rsidR="00532137">
        <w:t xml:space="preserve"> and it is difficult to </w:t>
      </w:r>
      <w:r w:rsidR="007209DA">
        <w:t xml:space="preserve">conclude with a strong level of confidence about </w:t>
      </w:r>
      <w:r w:rsidR="00975F2B">
        <w:t xml:space="preserve">the extent to which </w:t>
      </w:r>
      <w:r w:rsidR="00FE2EA3">
        <w:t>fee indexation has</w:t>
      </w:r>
      <w:r w:rsidR="00090300">
        <w:t xml:space="preserve"> kept pace.</w:t>
      </w:r>
      <w:r>
        <w:t xml:space="preserve"> However, </w:t>
      </w:r>
      <w:r w:rsidR="00823DE2">
        <w:t xml:space="preserve">given the increase in average weekly earnings and the </w:t>
      </w:r>
      <w:r w:rsidR="00364DE2">
        <w:t xml:space="preserve">likelihood that the </w:t>
      </w:r>
      <w:r w:rsidR="004344DA">
        <w:t xml:space="preserve">increase in the </w:t>
      </w:r>
      <w:r w:rsidR="00247570">
        <w:t xml:space="preserve">scheduled GP fee </w:t>
      </w:r>
      <w:r w:rsidR="657BE138">
        <w:t xml:space="preserve">has not itself kept pace with </w:t>
      </w:r>
      <w:r w:rsidR="7B9C7B35">
        <w:t>actual costs</w:t>
      </w:r>
      <w:r w:rsidR="004344DA">
        <w:t>,</w:t>
      </w:r>
      <w:r w:rsidR="00247570">
        <w:t xml:space="preserve"> </w:t>
      </w:r>
      <w:r w:rsidR="00B13C4E">
        <w:t xml:space="preserve">it seems reasonable to say that </w:t>
      </w:r>
      <w:r w:rsidR="00E27584">
        <w:t xml:space="preserve">the fee indexation is most likely at the lower end of </w:t>
      </w:r>
      <w:r w:rsidR="3C60D29A">
        <w:t xml:space="preserve">actual </w:t>
      </w:r>
      <w:r w:rsidR="05EEB138">
        <w:t>cost in</w:t>
      </w:r>
      <w:r w:rsidR="39C6D394">
        <w:t>creases</w:t>
      </w:r>
      <w:r w:rsidR="4F6D93E4">
        <w:t xml:space="preserve">. </w:t>
      </w:r>
    </w:p>
    <w:p w14:paraId="0D5FF9A9" w14:textId="600416B9" w:rsidR="00AC2965" w:rsidRDefault="00732580" w:rsidP="0087334F">
      <w:r>
        <w:t xml:space="preserve">Having said that, the fee indexation </w:t>
      </w:r>
      <w:r w:rsidR="00DC6C27">
        <w:t xml:space="preserve">that was introduced in 2012 appears to have </w:t>
      </w:r>
      <w:r w:rsidR="00444F01">
        <w:t>su</w:t>
      </w:r>
      <w:r w:rsidR="0012049C">
        <w:t xml:space="preserve">bstantially </w:t>
      </w:r>
      <w:r w:rsidR="00AC2AD1">
        <w:t xml:space="preserve">achieved its purpose in ensuring </w:t>
      </w:r>
      <w:r w:rsidR="00606717">
        <w:t xml:space="preserve">that </w:t>
      </w:r>
      <w:r w:rsidR="00695DF4">
        <w:t xml:space="preserve">the proportion of costs recovered has </w:t>
      </w:r>
      <w:r w:rsidR="00BC64B9">
        <w:t>not declined significantly over time.</w:t>
      </w:r>
      <w:r w:rsidR="0012049C">
        <w:t xml:space="preserve"> </w:t>
      </w:r>
      <w:r w:rsidR="009A3810">
        <w:t>What is a reasonable level of cost recovery, balanced against the objective of facilitating access to health information, is discussed further in the options analysis section of this RIS.</w:t>
      </w:r>
    </w:p>
    <w:p w14:paraId="3B093C8F" w14:textId="2893E202" w:rsidR="00C45366" w:rsidRPr="006B7881" w:rsidRDefault="002C0174" w:rsidP="00DA3D30">
      <w:pPr>
        <w:pStyle w:val="Heading7"/>
      </w:pPr>
      <w:r w:rsidRPr="006B7881">
        <w:t>Increasing digitisation of health records</w:t>
      </w:r>
    </w:p>
    <w:p w14:paraId="7B1F6890" w14:textId="24C25C66" w:rsidR="00F4339C" w:rsidRDefault="0C76EC55" w:rsidP="00BB40C0">
      <w:r>
        <w:t>Generally, t</w:t>
      </w:r>
      <w:r w:rsidR="00D06C01">
        <w:t>here has been a strong t</w:t>
      </w:r>
      <w:r w:rsidR="005D1A61">
        <w:t>r</w:t>
      </w:r>
      <w:r w:rsidR="00D06C01">
        <w:t>end to digit</w:t>
      </w:r>
      <w:r w:rsidR="001945F2">
        <w:t>is</w:t>
      </w:r>
      <w:r w:rsidR="00D06C01">
        <w:t xml:space="preserve">ation in </w:t>
      </w:r>
      <w:r w:rsidR="3DB835F2">
        <w:t xml:space="preserve">health </w:t>
      </w:r>
      <w:r w:rsidR="001945F2">
        <w:t>organisations</w:t>
      </w:r>
      <w:r w:rsidR="0003240A">
        <w:rPr>
          <w:rStyle w:val="FootnoteReference"/>
        </w:rPr>
        <w:footnoteReference w:id="25"/>
      </w:r>
      <w:r w:rsidR="00EB45D8" w:rsidRPr="006B7881">
        <w:t xml:space="preserve">, </w:t>
      </w:r>
      <w:r w:rsidR="001945F2">
        <w:t xml:space="preserve">reflecting technological advances, </w:t>
      </w:r>
      <w:r w:rsidR="00EB45D8" w:rsidRPr="006B7881">
        <w:t xml:space="preserve">which </w:t>
      </w:r>
      <w:r w:rsidR="008A2713" w:rsidRPr="006B7881">
        <w:t>could</w:t>
      </w:r>
      <w:r w:rsidR="00F4339C" w:rsidRPr="006B7881">
        <w:t xml:space="preserve"> </w:t>
      </w:r>
      <w:r w:rsidR="00B11C2A">
        <w:t xml:space="preserve">potentially </w:t>
      </w:r>
      <w:r w:rsidR="00F4339C" w:rsidRPr="006B7881">
        <w:t xml:space="preserve">affect </w:t>
      </w:r>
      <w:r w:rsidR="006B7881">
        <w:t xml:space="preserve">ease of </w:t>
      </w:r>
      <w:r w:rsidR="00F4339C" w:rsidRPr="006B7881">
        <w:t>access to health information</w:t>
      </w:r>
      <w:r w:rsidR="0016193D">
        <w:t xml:space="preserve"> </w:t>
      </w:r>
      <w:r w:rsidR="00BB40C0">
        <w:t>and</w:t>
      </w:r>
      <w:r w:rsidR="00F4339C" w:rsidRPr="006B7881">
        <w:t xml:space="preserve"> reduc</w:t>
      </w:r>
      <w:r w:rsidR="00BB40C0">
        <w:t>ed</w:t>
      </w:r>
      <w:r w:rsidR="00EB45D8" w:rsidRPr="006B7881">
        <w:t xml:space="preserve"> labour costs for</w:t>
      </w:r>
      <w:r w:rsidR="00D07576" w:rsidRPr="006B7881">
        <w:t xml:space="preserve"> information requests</w:t>
      </w:r>
      <w:r w:rsidR="008A2713" w:rsidRPr="006B7881">
        <w:t xml:space="preserve"> due to </w:t>
      </w:r>
      <w:r w:rsidR="00841899">
        <w:t xml:space="preserve">more efficient </w:t>
      </w:r>
      <w:r w:rsidR="005E2C95">
        <w:t xml:space="preserve">storage and </w:t>
      </w:r>
      <w:r w:rsidR="008A2713" w:rsidRPr="006B7881">
        <w:t xml:space="preserve">easier gathering </w:t>
      </w:r>
      <w:r w:rsidR="00841899">
        <w:t xml:space="preserve">of </w:t>
      </w:r>
      <w:r w:rsidR="005E2C95">
        <w:t xml:space="preserve">information </w:t>
      </w:r>
      <w:r w:rsidR="008A2713" w:rsidRPr="006B7881">
        <w:t xml:space="preserve">by </w:t>
      </w:r>
      <w:r w:rsidR="00506CEC">
        <w:t>organisations</w:t>
      </w:r>
      <w:r w:rsidR="005E2C95">
        <w:t xml:space="preserve">, for example a shift to digital from </w:t>
      </w:r>
      <w:proofErr w:type="gramStart"/>
      <w:r w:rsidR="005E2C95">
        <w:t>paper-based</w:t>
      </w:r>
      <w:proofErr w:type="gramEnd"/>
      <w:r w:rsidR="00BB40C0">
        <w:t>.</w:t>
      </w:r>
      <w:r w:rsidR="00D74A87">
        <w:t xml:space="preserve"> The Health Complaints Commissioner has raised </w:t>
      </w:r>
      <w:r w:rsidR="0027225E">
        <w:t xml:space="preserve">the issue </w:t>
      </w:r>
      <w:r w:rsidR="002A6BD7">
        <w:t>digitisation of records and</w:t>
      </w:r>
      <w:r w:rsidR="0027225E">
        <w:t xml:space="preserve"> whether consideration of what is reasonable to charge for digital records</w:t>
      </w:r>
      <w:r w:rsidR="00BF5C19">
        <w:t xml:space="preserve"> is needed.</w:t>
      </w:r>
    </w:p>
    <w:p w14:paraId="0B887B7C" w14:textId="5ECBB74B" w:rsidR="00BB40C0" w:rsidRDefault="00BB40C0" w:rsidP="00BB40C0">
      <w:r w:rsidRPr="006B7881">
        <w:lastRenderedPageBreak/>
        <w:t>Consultation with health</w:t>
      </w:r>
      <w:r w:rsidR="00534D14">
        <w:t xml:space="preserve"> service</w:t>
      </w:r>
      <w:r w:rsidRPr="006B7881">
        <w:t xml:space="preserve"> providers indicates that digitisation amongst individual </w:t>
      </w:r>
      <w:r w:rsidR="00956D02">
        <w:t>organisations</w:t>
      </w:r>
      <w:r w:rsidRPr="006B7881">
        <w:t xml:space="preserve"> varies widely, with some hospitals still being mainly paper based. </w:t>
      </w:r>
      <w:r w:rsidR="00D53517">
        <w:t>A heavy reliance on paper-based</w:t>
      </w:r>
      <w:r w:rsidR="007C3D6D">
        <w:t xml:space="preserve"> approaches </w:t>
      </w:r>
      <w:r w:rsidR="008F2A13">
        <w:t xml:space="preserve">remains a common feature in the health industry, </w:t>
      </w:r>
      <w:r w:rsidR="00552D31">
        <w:t>for example many records are still paper-</w:t>
      </w:r>
      <w:proofErr w:type="gramStart"/>
      <w:r w:rsidR="00552D31">
        <w:t>based</w:t>
      </w:r>
      <w:proofErr w:type="gramEnd"/>
      <w:r w:rsidR="00552D31">
        <w:t xml:space="preserve"> and </w:t>
      </w:r>
      <w:r w:rsidR="002D66C6">
        <w:t xml:space="preserve">faxes are still in use. </w:t>
      </w:r>
      <w:r w:rsidRPr="006B7881">
        <w:t>Therefore, while there have been advances in t</w:t>
      </w:r>
      <w:r w:rsidR="008C3495">
        <w:t xml:space="preserve">echnology </w:t>
      </w:r>
      <w:r w:rsidRPr="006B7881">
        <w:t xml:space="preserve">since 2012, indications are that digitisation is not widespread enough to reduce the costs to </w:t>
      </w:r>
      <w:r w:rsidR="00506CEC">
        <w:t>organisations</w:t>
      </w:r>
      <w:r w:rsidR="00506CEC" w:rsidRPr="006B7881">
        <w:t xml:space="preserve"> </w:t>
      </w:r>
      <w:r w:rsidRPr="006B7881">
        <w:t xml:space="preserve">of providing health information to individuals. </w:t>
      </w:r>
    </w:p>
    <w:p w14:paraId="0DB85A65" w14:textId="54849360" w:rsidR="00263A40" w:rsidRDefault="00DE573B" w:rsidP="00B5075C">
      <w:r>
        <w:t>Direct access to information</w:t>
      </w:r>
      <w:r w:rsidR="00A93170">
        <w:t xml:space="preserve"> </w:t>
      </w:r>
      <w:r>
        <w:t>could also be facilitated</w:t>
      </w:r>
      <w:r w:rsidR="008A2713" w:rsidRPr="006B7881">
        <w:t xml:space="preserve"> </w:t>
      </w:r>
      <w:r w:rsidR="00BE4672">
        <w:t>as more</w:t>
      </w:r>
      <w:r w:rsidR="008A2713" w:rsidRPr="006B7881">
        <w:t xml:space="preserve"> individuals </w:t>
      </w:r>
      <w:r w:rsidR="00A93170">
        <w:t>can access their</w:t>
      </w:r>
      <w:r w:rsidR="00F4339C" w:rsidRPr="006B7881">
        <w:t xml:space="preserve"> health information </w:t>
      </w:r>
      <w:r w:rsidR="000E7F72">
        <w:t xml:space="preserve">via the </w:t>
      </w:r>
      <w:r w:rsidR="009A4F63">
        <w:t>‘</w:t>
      </w:r>
      <w:r w:rsidR="00F02579">
        <w:t>My</w:t>
      </w:r>
      <w:r w:rsidR="009A4F63">
        <w:t xml:space="preserve"> </w:t>
      </w:r>
      <w:r w:rsidR="00F02579">
        <w:t>Health Record</w:t>
      </w:r>
      <w:r w:rsidR="009A4F63">
        <w:t>’</w:t>
      </w:r>
      <w:r w:rsidR="00F02579">
        <w:t xml:space="preserve"> </w:t>
      </w:r>
      <w:r w:rsidR="009A4F63">
        <w:t xml:space="preserve">system </w:t>
      </w:r>
      <w:r w:rsidR="000E5A17">
        <w:t>estab</w:t>
      </w:r>
      <w:r w:rsidR="00E31718">
        <w:t xml:space="preserve">lished </w:t>
      </w:r>
      <w:r w:rsidR="38E6CD4F">
        <w:t>a decade ago</w:t>
      </w:r>
      <w:r w:rsidR="00D07576" w:rsidRPr="006B7881">
        <w:t>.</w:t>
      </w:r>
      <w:r w:rsidR="00B43304">
        <w:rPr>
          <w:rStyle w:val="FootnoteReference"/>
        </w:rPr>
        <w:footnoteReference w:id="26"/>
      </w:r>
      <w:r w:rsidR="00D07576" w:rsidRPr="006B7881" w:rsidDel="00B43304">
        <w:t xml:space="preserve"> </w:t>
      </w:r>
      <w:r w:rsidR="009A4F63" w:rsidRPr="006B7881">
        <w:t xml:space="preserve">‘My Health Record’ is an Australian-wide initiative aimed at providing a secure platform for accessing health information, by both the person and their healthcare provider. </w:t>
      </w:r>
      <w:r w:rsidR="004D5631">
        <w:t xml:space="preserve">5.86 million Victorians (about 90%) </w:t>
      </w:r>
      <w:r w:rsidR="000C59B8">
        <w:t>currently have a My Health Record</w:t>
      </w:r>
      <w:r w:rsidR="00CB27B3">
        <w:rPr>
          <w:rStyle w:val="FootnoteReference"/>
        </w:rPr>
        <w:footnoteReference w:id="27"/>
      </w:r>
      <w:r w:rsidR="000C59B8">
        <w:t xml:space="preserve">, however </w:t>
      </w:r>
      <w:r w:rsidR="004D5631">
        <w:t>there is evidence of gaps in information uploaded and usage by health practitioners. For example, only 36% of specialists are registered while only 17% have used My Health Record</w:t>
      </w:r>
      <w:r w:rsidR="00DF70EE">
        <w:t>.</w:t>
      </w:r>
      <w:r w:rsidR="004D5631">
        <w:rPr>
          <w:rStyle w:val="FootnoteReference"/>
        </w:rPr>
        <w:footnoteReference w:id="28"/>
      </w:r>
      <w:r w:rsidR="00411BE1">
        <w:t xml:space="preserve"> O</w:t>
      </w:r>
      <w:r w:rsidR="004D5631" w:rsidRPr="004D5631">
        <w:t>nly about 20% of diagnostic imaging are uploaded to My Health Record</w:t>
      </w:r>
      <w:r w:rsidR="00823876">
        <w:t>.</w:t>
      </w:r>
      <w:r w:rsidR="004D5631">
        <w:rPr>
          <w:rStyle w:val="FootnoteReference"/>
        </w:rPr>
        <w:footnoteReference w:id="29"/>
      </w:r>
      <w:r w:rsidR="004D5631" w:rsidRPr="004D5631">
        <w:t xml:space="preserve"> </w:t>
      </w:r>
      <w:r w:rsidR="004D5631">
        <w:t xml:space="preserve">As at April 2023, 945 million documents had been uploaded in the system by consumers or healthcare providers, but this represents a very small proportion of all the documents produced in the health care system, </w:t>
      </w:r>
      <w:r w:rsidR="00411BE1">
        <w:t>At this stage</w:t>
      </w:r>
      <w:r w:rsidR="00485253">
        <w:t>,</w:t>
      </w:r>
      <w:r w:rsidR="00411BE1">
        <w:t xml:space="preserve"> there is insufficient evidence to demonstrate that My Health Record could</w:t>
      </w:r>
      <w:r w:rsidR="009C4A00">
        <w:t xml:space="preserve"> substitute for the health information access provided in the Act and Regulations.</w:t>
      </w:r>
    </w:p>
    <w:p w14:paraId="42672A21" w14:textId="6F115375" w:rsidR="009A4F63" w:rsidRPr="006B7881" w:rsidRDefault="00D00283" w:rsidP="00C01ADA">
      <w:r>
        <w:t xml:space="preserve">More importantly, given </w:t>
      </w:r>
      <w:r w:rsidR="00263A40">
        <w:t xml:space="preserve">that the Act </w:t>
      </w:r>
      <w:r w:rsidR="004A718C">
        <w:t>establishes the objectives and framework for facilitating access to health information, it is not within</w:t>
      </w:r>
      <w:r w:rsidR="0012331F">
        <w:t xml:space="preserve"> the primary</w:t>
      </w:r>
      <w:r w:rsidR="004A718C">
        <w:t xml:space="preserve"> scope of this RIS to</w:t>
      </w:r>
      <w:r w:rsidR="0012331F">
        <w:t xml:space="preserve"> assess whether </w:t>
      </w:r>
      <w:r w:rsidR="00C87B87">
        <w:t xml:space="preserve">requirements </w:t>
      </w:r>
      <w:r w:rsidR="002E5164">
        <w:t xml:space="preserve">for provision of </w:t>
      </w:r>
      <w:r w:rsidR="00C97787">
        <w:t xml:space="preserve">access to information </w:t>
      </w:r>
      <w:r w:rsidR="002E5164">
        <w:t>are still required.</w:t>
      </w:r>
    </w:p>
    <w:p w14:paraId="7B245079" w14:textId="5C1676F5" w:rsidR="0087334F" w:rsidRDefault="00997DF4" w:rsidP="00A865C9">
      <w:pPr>
        <w:pStyle w:val="Heading5"/>
      </w:pPr>
      <w:bookmarkStart w:id="41" w:name="_Toc135157717"/>
      <w:bookmarkStart w:id="42" w:name="_Toc136257471"/>
      <w:r>
        <w:lastRenderedPageBreak/>
        <w:t>Identification of o</w:t>
      </w:r>
      <w:r w:rsidR="00A865C9">
        <w:t>ptions</w:t>
      </w:r>
      <w:bookmarkEnd w:id="41"/>
      <w:bookmarkEnd w:id="42"/>
      <w:r w:rsidR="00A865C9">
        <w:t xml:space="preserve"> </w:t>
      </w:r>
    </w:p>
    <w:p w14:paraId="3071F993" w14:textId="7FBAE9B5" w:rsidR="00EF78C6" w:rsidRPr="00CA286C" w:rsidRDefault="00EF78C6" w:rsidP="00EF78C6">
      <w:pPr>
        <w:spacing w:before="0" w:line="259" w:lineRule="auto"/>
        <w:rPr>
          <w:sz w:val="28"/>
          <w:szCs w:val="28"/>
        </w:rPr>
      </w:pPr>
      <w:r w:rsidRPr="00CA286C">
        <w:rPr>
          <w:sz w:val="28"/>
          <w:szCs w:val="28"/>
        </w:rPr>
        <w:t xml:space="preserve">This chapter identifies the set of options considered for the proposed Regulations. </w:t>
      </w:r>
    </w:p>
    <w:p w14:paraId="19DDF5AC" w14:textId="77777777" w:rsidR="00EF78C6" w:rsidRDefault="00EF78C6" w:rsidP="00EF78C6">
      <w:r>
        <w:t xml:space="preserve">As part of the RIS process, it is important to consider different options that could achieve the Victorian </w:t>
      </w:r>
      <w:r w:rsidRPr="003817D3">
        <w:t xml:space="preserve">Government’s objectives. The </w:t>
      </w:r>
      <w:r w:rsidRPr="003817D3">
        <w:rPr>
          <w:i/>
          <w:iCs/>
        </w:rPr>
        <w:t>Subordinate Legislation Act 1994</w:t>
      </w:r>
      <w:r w:rsidRPr="003817D3">
        <w:t xml:space="preserve">, the Subordinate Legislation Act Guidelines, and the Victorian Guide to Regulation recommend that this includes considering a range of approaches, </w:t>
      </w:r>
      <w:r w:rsidRPr="00F57694">
        <w:t>including non-regulatory options, approaches in other jurisdictions, and improvements to existing regulatory regimes and regulatory practice.</w:t>
      </w:r>
      <w:r w:rsidRPr="003817D3" w:rsidDel="00FC4E88">
        <w:t xml:space="preserve"> </w:t>
      </w:r>
    </w:p>
    <w:p w14:paraId="3A052C6E" w14:textId="5FB83B71" w:rsidR="00EC710B" w:rsidRDefault="00EC710B" w:rsidP="00EC710B">
      <w:pPr>
        <w:pStyle w:val="Heading6"/>
      </w:pPr>
      <w:r>
        <w:t>Objective</w:t>
      </w:r>
      <w:r w:rsidR="001F11EE">
        <w:t>s</w:t>
      </w:r>
    </w:p>
    <w:p w14:paraId="7A124ED7" w14:textId="7D16B385" w:rsidR="00EC710B" w:rsidRPr="00EC710B" w:rsidRDefault="00EC710B" w:rsidP="00EC710B">
      <w:r w:rsidRPr="00EC710B">
        <w:t xml:space="preserve">The objective of government action is to allow individuals to obtain health information related to themselves in an equitable, </w:t>
      </w:r>
      <w:proofErr w:type="gramStart"/>
      <w:r w:rsidRPr="00EC710B">
        <w:t>efficient</w:t>
      </w:r>
      <w:proofErr w:type="gramEnd"/>
      <w:r w:rsidRPr="00EC710B">
        <w:t xml:space="preserve"> and effective manner. This involves balancing the following:</w:t>
      </w:r>
    </w:p>
    <w:p w14:paraId="2B679368" w14:textId="6AF1F9DD" w:rsidR="00EC710B" w:rsidRPr="00EC710B" w:rsidRDefault="00EC710B" w:rsidP="00EC710B">
      <w:pPr>
        <w:pStyle w:val="ListBullet"/>
      </w:pPr>
      <w:r>
        <w:t>E</w:t>
      </w:r>
      <w:r w:rsidRPr="00EC710B">
        <w:t>nsuring that any fee cha</w:t>
      </w:r>
      <w:r w:rsidR="00FB253E">
        <w:t>r</w:t>
      </w:r>
      <w:r w:rsidRPr="00EC710B">
        <w:t>ged for access to health information does not unfairly preclude an individual from requesting access to health information</w:t>
      </w:r>
      <w:r w:rsidR="00F864F7">
        <w:t>.</w:t>
      </w:r>
    </w:p>
    <w:p w14:paraId="3F8EB5A7" w14:textId="7DEED68E" w:rsidR="00EC710B" w:rsidRPr="00EC710B" w:rsidRDefault="00EC710B" w:rsidP="00EC710B">
      <w:pPr>
        <w:pStyle w:val="ListBullet"/>
      </w:pPr>
      <w:r>
        <w:t>A</w:t>
      </w:r>
      <w:r w:rsidRPr="00EC710B">
        <w:t>llowing reasonable cost recovery for organisations providing access to health information.</w:t>
      </w:r>
    </w:p>
    <w:p w14:paraId="317F1A3B" w14:textId="292F236F" w:rsidR="004623D0" w:rsidRDefault="004623D0" w:rsidP="00AD1C25">
      <w:pPr>
        <w:pStyle w:val="Heading6"/>
      </w:pPr>
      <w:bookmarkStart w:id="43" w:name="_Toc91149770"/>
      <w:bookmarkStart w:id="44" w:name="_Toc95486994"/>
      <w:bookmarkStart w:id="45" w:name="_Toc99985076"/>
      <w:bookmarkStart w:id="46" w:name="_Toc135157719"/>
      <w:r w:rsidRPr="00F124E7">
        <w:t>Feasible options</w:t>
      </w:r>
      <w:bookmarkEnd w:id="43"/>
      <w:bookmarkEnd w:id="44"/>
      <w:bookmarkEnd w:id="45"/>
      <w:bookmarkEnd w:id="46"/>
    </w:p>
    <w:p w14:paraId="741E1A6E" w14:textId="1151B634" w:rsidR="004623D0" w:rsidRPr="000104D7" w:rsidRDefault="00EB5E8D" w:rsidP="004623D0">
      <w:r>
        <w:t>T</w:t>
      </w:r>
      <w:r w:rsidR="001E31F7">
        <w:t>hree</w:t>
      </w:r>
      <w:r w:rsidR="000104D7" w:rsidRPr="000104D7">
        <w:t xml:space="preserve"> options</w:t>
      </w:r>
      <w:r w:rsidR="004623D0" w:rsidRPr="000104D7">
        <w:t xml:space="preserve"> ha</w:t>
      </w:r>
      <w:r w:rsidR="000104D7" w:rsidRPr="000104D7">
        <w:t>ve</w:t>
      </w:r>
      <w:r w:rsidR="004623D0" w:rsidRPr="000104D7">
        <w:t xml:space="preserve"> been considered as part of this RIS against the </w:t>
      </w:r>
      <w:r w:rsidR="00096D3E">
        <w:t>b</w:t>
      </w:r>
      <w:r>
        <w:t xml:space="preserve">ase </w:t>
      </w:r>
      <w:r w:rsidR="00096D3E">
        <w:t>c</w:t>
      </w:r>
      <w:r>
        <w:t>ase</w:t>
      </w:r>
      <w:r w:rsidR="004623D0" w:rsidRPr="000104D7">
        <w:t>:</w:t>
      </w:r>
    </w:p>
    <w:p w14:paraId="727A24C3" w14:textId="08B48C33" w:rsidR="0087334F" w:rsidRPr="000104D7" w:rsidRDefault="004623D0" w:rsidP="003547CA">
      <w:pPr>
        <w:pStyle w:val="ListBullet"/>
        <w:rPr>
          <w:b/>
          <w:bCs/>
        </w:rPr>
      </w:pPr>
      <w:r w:rsidRPr="000104D7">
        <w:rPr>
          <w:b/>
          <w:bCs/>
        </w:rPr>
        <w:t xml:space="preserve">Base </w:t>
      </w:r>
      <w:r w:rsidR="00F96D12">
        <w:rPr>
          <w:b/>
          <w:bCs/>
        </w:rPr>
        <w:t>c</w:t>
      </w:r>
      <w:r w:rsidR="00EB5E8D">
        <w:rPr>
          <w:b/>
          <w:bCs/>
        </w:rPr>
        <w:t>ase</w:t>
      </w:r>
      <w:r w:rsidRPr="000104D7">
        <w:rPr>
          <w:b/>
          <w:bCs/>
        </w:rPr>
        <w:t>:</w:t>
      </w:r>
      <w:r w:rsidR="00D14562" w:rsidRPr="000104D7">
        <w:rPr>
          <w:b/>
          <w:bCs/>
        </w:rPr>
        <w:t xml:space="preserve"> </w:t>
      </w:r>
      <w:r w:rsidR="00B23678" w:rsidRPr="000104D7">
        <w:t xml:space="preserve">regulations </w:t>
      </w:r>
      <w:proofErr w:type="gramStart"/>
      <w:r w:rsidR="00B23678" w:rsidRPr="000104D7">
        <w:t>expire</w:t>
      </w:r>
      <w:proofErr w:type="gramEnd"/>
      <w:r w:rsidR="00B23678" w:rsidRPr="000104D7">
        <w:t xml:space="preserve"> and no new regulations are introduced i.e. no maximum fee prescribed</w:t>
      </w:r>
      <w:r w:rsidR="00856CDF">
        <w:t>.</w:t>
      </w:r>
    </w:p>
    <w:p w14:paraId="7B6F4D0D" w14:textId="58BA0288" w:rsidR="009E432C" w:rsidRPr="000104D7" w:rsidRDefault="009E432C" w:rsidP="003547CA">
      <w:pPr>
        <w:pStyle w:val="ListBullet"/>
        <w:rPr>
          <w:b/>
          <w:bCs/>
        </w:rPr>
      </w:pPr>
      <w:r w:rsidRPr="000104D7">
        <w:rPr>
          <w:b/>
          <w:bCs/>
        </w:rPr>
        <w:t>Option 1</w:t>
      </w:r>
      <w:r w:rsidR="00770999" w:rsidRPr="000104D7">
        <w:rPr>
          <w:b/>
          <w:bCs/>
        </w:rPr>
        <w:t>:</w:t>
      </w:r>
      <w:r w:rsidRPr="000104D7">
        <w:rPr>
          <w:b/>
          <w:bCs/>
        </w:rPr>
        <w:t xml:space="preserve"> </w:t>
      </w:r>
      <w:r w:rsidR="00A070C6" w:rsidRPr="000104D7">
        <w:t>Replication of current regulations</w:t>
      </w:r>
      <w:r w:rsidR="008F1729" w:rsidRPr="000104D7">
        <w:t xml:space="preserve"> with minor clarifying amendment</w:t>
      </w:r>
      <w:r w:rsidR="00856CDF">
        <w:t>s.</w:t>
      </w:r>
    </w:p>
    <w:p w14:paraId="41FE75E6" w14:textId="7B276EBD" w:rsidR="00F96D12" w:rsidRPr="00CF2102" w:rsidRDefault="00F96D12" w:rsidP="00F96D12">
      <w:pPr>
        <w:pStyle w:val="ListBullet"/>
        <w:rPr>
          <w:b/>
          <w:bCs/>
        </w:rPr>
      </w:pPr>
      <w:r w:rsidRPr="000104D7">
        <w:rPr>
          <w:b/>
          <w:bCs/>
        </w:rPr>
        <w:t xml:space="preserve">Option 2: </w:t>
      </w:r>
      <w:r w:rsidRPr="00B775C0">
        <w:rPr>
          <w:b/>
          <w:bCs/>
        </w:rPr>
        <w:t>Higher level of cost recovery</w:t>
      </w:r>
      <w:r>
        <w:t xml:space="preserve"> than what the maximum fees prescribed</w:t>
      </w:r>
      <w:r w:rsidR="009F6AEE">
        <w:t xml:space="preserve"> </w:t>
      </w:r>
      <w:r>
        <w:t>in</w:t>
      </w:r>
      <w:r w:rsidR="009F6AEE">
        <w:t xml:space="preserve"> </w:t>
      </w:r>
      <w:r>
        <w:t>th</w:t>
      </w:r>
      <w:r w:rsidR="009F6AEE">
        <w:t>e</w:t>
      </w:r>
      <w:r>
        <w:t xml:space="preserve"> current Regulations allow.</w:t>
      </w:r>
    </w:p>
    <w:p w14:paraId="59FDC175" w14:textId="77777777" w:rsidR="00F96D12" w:rsidRPr="00FC7AF9" w:rsidRDefault="00F96D12" w:rsidP="00F96D12">
      <w:pPr>
        <w:pStyle w:val="ListBullet"/>
        <w:rPr>
          <w:b/>
          <w:bCs/>
        </w:rPr>
      </w:pPr>
      <w:r>
        <w:rPr>
          <w:b/>
          <w:bCs/>
        </w:rPr>
        <w:t xml:space="preserve">Option 3: </w:t>
      </w:r>
      <w:r w:rsidRPr="000104D7">
        <w:rPr>
          <w:b/>
          <w:bCs/>
        </w:rPr>
        <w:t>Option 1</w:t>
      </w:r>
      <w:r>
        <w:rPr>
          <w:b/>
          <w:bCs/>
        </w:rPr>
        <w:t xml:space="preserve"> </w:t>
      </w:r>
      <w:r w:rsidRPr="00F87BE7">
        <w:rPr>
          <w:i/>
          <w:iCs/>
        </w:rPr>
        <w:t>plus</w:t>
      </w:r>
      <w:r>
        <w:rPr>
          <w:b/>
          <w:bCs/>
        </w:rPr>
        <w:t xml:space="preserve"> </w:t>
      </w:r>
      <w:r>
        <w:t>Concession discount.</w:t>
      </w:r>
    </w:p>
    <w:p w14:paraId="25FD8ABE" w14:textId="1E5307AE" w:rsidR="003547CA" w:rsidRDefault="00E71D0C" w:rsidP="00E141B7">
      <w:pPr>
        <w:pStyle w:val="Heading6"/>
      </w:pPr>
      <w:r>
        <w:t xml:space="preserve"> </w:t>
      </w:r>
      <w:bookmarkStart w:id="47" w:name="_Toc135157720"/>
      <w:r w:rsidR="00E141B7">
        <w:t>Base case</w:t>
      </w:r>
      <w:bookmarkEnd w:id="47"/>
    </w:p>
    <w:p w14:paraId="7FE7031B" w14:textId="208A6B37" w:rsidR="00E141B7" w:rsidRDefault="00FF68B0" w:rsidP="00E141B7">
      <w:r>
        <w:t>The base case is a ‘do nothing’ scenario, against which other</w:t>
      </w:r>
      <w:r w:rsidR="001E3A8A">
        <w:t xml:space="preserve"> options</w:t>
      </w:r>
      <w:r w:rsidR="00D26770">
        <w:t xml:space="preserve"> can be assessed. It reflects the likely outcomes over the next 10 years if the current Regulations are allowed to lapse, and all other activities continue</w:t>
      </w:r>
      <w:r w:rsidR="00601858">
        <w:t>.</w:t>
      </w:r>
    </w:p>
    <w:p w14:paraId="4DB47C42" w14:textId="600B7990" w:rsidR="00CD58F4" w:rsidRDefault="00CD58F4" w:rsidP="00CD58F4">
      <w:r>
        <w:t>Under the base case there will be two types of organisations: those that can charge any amount for providing access to health information (subject to other laws such as the Commonwealth Privacy Act), and those that are unable to cha</w:t>
      </w:r>
      <w:r w:rsidR="00082DB2">
        <w:t>r</w:t>
      </w:r>
      <w:r>
        <w:t>ge any fee for providing access.</w:t>
      </w:r>
    </w:p>
    <w:p w14:paraId="32AA42AA" w14:textId="540FF075" w:rsidR="003A3BE0" w:rsidRDefault="00CD58F4" w:rsidP="00CD58F4">
      <w:r>
        <w:t>In the absence of regulations,</w:t>
      </w:r>
      <w:r w:rsidR="00B253C6">
        <w:t xml:space="preserve"> </w:t>
      </w:r>
      <w:r w:rsidR="003A3BE0">
        <w:t xml:space="preserve">many private </w:t>
      </w:r>
      <w:r w:rsidR="00B253C6">
        <w:t xml:space="preserve">organisations will not be able to charge for access under the </w:t>
      </w:r>
      <w:r w:rsidR="003A3BE0">
        <w:t xml:space="preserve">Health Records </w:t>
      </w:r>
      <w:r w:rsidR="00B253C6">
        <w:t>Act.</w:t>
      </w:r>
      <w:r w:rsidR="003A3BE0">
        <w:t xml:space="preserve"> However, under the Commonwealth Privacy Act they </w:t>
      </w:r>
      <w:proofErr w:type="gramStart"/>
      <w:r w:rsidR="003A3BE0">
        <w:t xml:space="preserve">are </w:t>
      </w:r>
      <w:r>
        <w:t>able to</w:t>
      </w:r>
      <w:proofErr w:type="gramEnd"/>
      <w:r>
        <w:t xml:space="preserve"> charge any </w:t>
      </w:r>
      <w:r w:rsidR="00A06B50">
        <w:t xml:space="preserve">‘non-excessive’ </w:t>
      </w:r>
      <w:r>
        <w:t xml:space="preserve">amount for a person accessing health information. </w:t>
      </w:r>
    </w:p>
    <w:p w14:paraId="3071617D" w14:textId="77777777" w:rsidR="00FB7145" w:rsidRDefault="00FB7145" w:rsidP="00FB7145">
      <w:r>
        <w:lastRenderedPageBreak/>
        <w:t>There are a small number of private organisations that, in the absence of regulations, would not be able to recover any of the cost of providing access to health information. This could arise in two cases:</w:t>
      </w:r>
    </w:p>
    <w:p w14:paraId="08B5BD6C" w14:textId="77777777" w:rsidR="00FB7145" w:rsidRDefault="00FB7145" w:rsidP="00FB7145">
      <w:pPr>
        <w:pStyle w:val="ListBullet"/>
      </w:pPr>
      <w:r>
        <w:t xml:space="preserve">Due to minor differences in the arrangements under the Victorian Health Records Act and the Commonwealth Privacy Act, there may be cases where an individual may only be able to request access under the Victorian Act and not the Commonwealth Act (for example, different exceptions and reasons for refusal). </w:t>
      </w:r>
    </w:p>
    <w:p w14:paraId="3F3096E0" w14:textId="4B889578" w:rsidR="00FB7145" w:rsidRDefault="00FB7145" w:rsidP="00FB7145">
      <w:pPr>
        <w:pStyle w:val="ListBullet"/>
      </w:pPr>
      <w:r>
        <w:t>While the Commonwealth Privacy Act applies to all health service providers, it only applies to other (non-health service) organisations with an annual turnover of over $3 million. These are all likely to be small businesses.</w:t>
      </w:r>
    </w:p>
    <w:p w14:paraId="00D77230" w14:textId="1A1EA4CE" w:rsidR="00FB7145" w:rsidRDefault="00FB7145" w:rsidP="00CD58F4">
      <w:r>
        <w:t>No data is available on the proportion of private organisations that fall into these categories.</w:t>
      </w:r>
      <w:r w:rsidR="00621D7A">
        <w:t xml:space="preserve"> </w:t>
      </w:r>
      <w:r>
        <w:t>However, it is considered</w:t>
      </w:r>
      <w:r w:rsidR="00621D7A">
        <w:t xml:space="preserve"> likely to represent a small </w:t>
      </w:r>
      <w:r w:rsidR="003C61D5">
        <w:t xml:space="preserve">proportion of organisations </w:t>
      </w:r>
      <w:r>
        <w:t>for the purpose of this RIS</w:t>
      </w:r>
      <w:r w:rsidR="00621D7A">
        <w:t>. First, it is only smaller non-health providers that the Commonwealth Privacy Act does</w:t>
      </w:r>
      <w:r w:rsidR="00063AE1">
        <w:t xml:space="preserve"> </w:t>
      </w:r>
      <w:r w:rsidR="00621D7A">
        <w:t>n</w:t>
      </w:r>
      <w:r w:rsidR="00063AE1">
        <w:t>o</w:t>
      </w:r>
      <w:r w:rsidR="00621D7A">
        <w:t>t apply to, which are likely to comprise a small proportion of the overall number of organisation</w:t>
      </w:r>
      <w:r w:rsidR="003C61D5">
        <w:t>s</w:t>
      </w:r>
      <w:r w:rsidR="00621D7A">
        <w:t xml:space="preserve"> covered by the </w:t>
      </w:r>
      <w:r w:rsidR="003909DE">
        <w:t>H</w:t>
      </w:r>
      <w:r w:rsidR="00621D7A">
        <w:t>ealth Records Act (turnover</w:t>
      </w:r>
      <w:r w:rsidR="00D81F31">
        <w:t xml:space="preserve"> equal to or</w:t>
      </w:r>
      <w:r w:rsidR="00621D7A">
        <w:t xml:space="preserve"> less than $3 million). C</w:t>
      </w:r>
      <w:r>
        <w:t xml:space="preserve">ompared to health providers where it is standard practice to hold health information about individuals, far fewer non-health provider organisations (such as </w:t>
      </w:r>
      <w:r w:rsidRPr="00FB7145">
        <w:t>gyms</w:t>
      </w:r>
      <w:r>
        <w:t xml:space="preserve">, </w:t>
      </w:r>
      <w:r w:rsidRPr="00FB7145">
        <w:t xml:space="preserve">personal </w:t>
      </w:r>
      <w:proofErr w:type="gramStart"/>
      <w:r w:rsidRPr="00FB7145">
        <w:t>trainers</w:t>
      </w:r>
      <w:proofErr w:type="gramEnd"/>
      <w:r>
        <w:t xml:space="preserve"> and schools) do so. It is also less likely that requests for health information will be made to these organisations.</w:t>
      </w:r>
      <w:r w:rsidR="00621D7A">
        <w:t xml:space="preserve"> </w:t>
      </w:r>
    </w:p>
    <w:p w14:paraId="1B0B6E17" w14:textId="24A535C0" w:rsidR="00CD58F4" w:rsidRDefault="00102BCA" w:rsidP="00CD58F4">
      <w:r>
        <w:t>In</w:t>
      </w:r>
      <w:r w:rsidR="00E92209">
        <w:t xml:space="preserve"> terms of transferring information</w:t>
      </w:r>
      <w:r w:rsidR="00222573">
        <w:t xml:space="preserve"> between </w:t>
      </w:r>
      <w:r w:rsidR="003C177C">
        <w:t xml:space="preserve">health service </w:t>
      </w:r>
      <w:r w:rsidR="00222573">
        <w:t>providers</w:t>
      </w:r>
      <w:r w:rsidR="00E92209">
        <w:t>, public and private health service providers would be able to charge any amount</w:t>
      </w:r>
      <w:r w:rsidR="003C177C">
        <w:t xml:space="preserve"> under the Act</w:t>
      </w:r>
      <w:r w:rsidR="00222573">
        <w:t>.</w:t>
      </w:r>
      <w:r w:rsidR="00CD58F4">
        <w:t xml:space="preserve"> Nominated health service providers would also be able to charge any amount for performing services under section 42 of the Act. </w:t>
      </w:r>
    </w:p>
    <w:p w14:paraId="264C3A56" w14:textId="4E6405FA" w:rsidR="00FA27D9" w:rsidRPr="00E141B7" w:rsidRDefault="00CD58F4" w:rsidP="00CD58F4">
      <w:r>
        <w:t>It is therefore possible that cases will arise where access to information relies solely on the Health Records Act</w:t>
      </w:r>
      <w:r w:rsidR="00C03BA3">
        <w:t>. I</w:t>
      </w:r>
      <w:r w:rsidR="00F522A6">
        <w:t xml:space="preserve">n the absence of </w:t>
      </w:r>
      <w:r w:rsidR="000E508F">
        <w:t xml:space="preserve">regulations, </w:t>
      </w:r>
      <w:r w:rsidR="00222AE8">
        <w:t>specific</w:t>
      </w:r>
      <w:r w:rsidR="000E508F">
        <w:t xml:space="preserve"> </w:t>
      </w:r>
      <w:r w:rsidR="001D7C38">
        <w:t xml:space="preserve">private </w:t>
      </w:r>
      <w:r w:rsidR="000E508F">
        <w:t>organisation</w:t>
      </w:r>
      <w:r w:rsidR="00222AE8">
        <w:t>s</w:t>
      </w:r>
      <w:r w:rsidR="000E508F">
        <w:t xml:space="preserve"> would be unable to charge any fees </w:t>
      </w:r>
      <w:r w:rsidR="00A00C36">
        <w:t xml:space="preserve">for providing access to information </w:t>
      </w:r>
      <w:r w:rsidR="000E508F">
        <w:t>due to the wording of section</w:t>
      </w:r>
      <w:r w:rsidR="00A00C36">
        <w:t xml:space="preserve"> 32</w:t>
      </w:r>
      <w:r w:rsidR="000E508F">
        <w:t xml:space="preserve"> </w:t>
      </w:r>
      <w:r w:rsidR="00A00C36">
        <w:t xml:space="preserve">of </w:t>
      </w:r>
      <w:r w:rsidR="000E508F">
        <w:t>the Act</w:t>
      </w:r>
      <w:r w:rsidR="00503800">
        <w:t xml:space="preserve"> no</w:t>
      </w:r>
      <w:r w:rsidR="0093274B">
        <w:t>t</w:t>
      </w:r>
      <w:r w:rsidR="00503800">
        <w:t xml:space="preserve"> allowing</w:t>
      </w:r>
      <w:r w:rsidR="00C56AE2">
        <w:t xml:space="preserve"> a fee to be charged unless a maximum fee has been set in regulations</w:t>
      </w:r>
      <w:r w:rsidR="00A00C36">
        <w:t xml:space="preserve">. </w:t>
      </w:r>
    </w:p>
    <w:p w14:paraId="3390846E" w14:textId="34CF002C" w:rsidR="00770999" w:rsidRDefault="00770999" w:rsidP="000104D7">
      <w:pPr>
        <w:pStyle w:val="Heading6"/>
      </w:pPr>
      <w:bookmarkStart w:id="48" w:name="_Toc135157721"/>
      <w:bookmarkStart w:id="49" w:name="_Toc91149771"/>
      <w:bookmarkStart w:id="50" w:name="_Toc95486995"/>
      <w:bookmarkStart w:id="51" w:name="_Toc99985077"/>
      <w:r>
        <w:t xml:space="preserve">Option 1: </w:t>
      </w:r>
      <w:bookmarkEnd w:id="48"/>
      <w:r w:rsidR="005B7FF1">
        <w:t>Replication of current regulations</w:t>
      </w:r>
      <w:r w:rsidR="00085961">
        <w:t xml:space="preserve"> with minor</w:t>
      </w:r>
      <w:r w:rsidR="006F5762">
        <w:t xml:space="preserve"> clarifying amendment</w:t>
      </w:r>
      <w:r w:rsidR="00B671B3">
        <w:t>s</w:t>
      </w:r>
    </w:p>
    <w:p w14:paraId="29F1A58E" w14:textId="376F91C1" w:rsidR="00627ECF" w:rsidRDefault="00A26A2B" w:rsidP="00627ECF">
      <w:r>
        <w:t xml:space="preserve">The current regulations would be </w:t>
      </w:r>
      <w:r w:rsidR="00C31A08">
        <w:t xml:space="preserve">almost entirely </w:t>
      </w:r>
      <w:r>
        <w:t>replicated in the propose</w:t>
      </w:r>
      <w:r w:rsidR="005B7FF1">
        <w:t>d regulations</w:t>
      </w:r>
      <w:r w:rsidR="001F6F01">
        <w:t xml:space="preserve">, including indexation and </w:t>
      </w:r>
      <w:r w:rsidR="00A070C6">
        <w:t xml:space="preserve">the current </w:t>
      </w:r>
      <w:r w:rsidR="00DB6B98">
        <w:t>maximum fee</w:t>
      </w:r>
      <w:r w:rsidR="00A070C6">
        <w:t xml:space="preserve"> units</w:t>
      </w:r>
      <w:r w:rsidR="005B7FF1">
        <w:t>.</w:t>
      </w:r>
    </w:p>
    <w:p w14:paraId="407C3DFA" w14:textId="55883A21" w:rsidR="00D907C8" w:rsidRDefault="00D94FBA" w:rsidP="00D907C8">
      <w:r>
        <w:t xml:space="preserve">Additionally, </w:t>
      </w:r>
      <w:r w:rsidR="00605BD1">
        <w:t xml:space="preserve">a </w:t>
      </w:r>
      <w:r w:rsidR="006F5762">
        <w:t xml:space="preserve">clarifying amendment to regulation 9 would be made to make </w:t>
      </w:r>
      <w:r w:rsidR="00F15A9C">
        <w:t>clear</w:t>
      </w:r>
      <w:r w:rsidR="007C2CC8">
        <w:t xml:space="preserve"> those situations where health information</w:t>
      </w:r>
      <w:r w:rsidR="00303A22">
        <w:t xml:space="preserve"> can be collected </w:t>
      </w:r>
      <w:r w:rsidR="00FE4AD8">
        <w:t>about</w:t>
      </w:r>
      <w:r w:rsidR="00303A22">
        <w:t xml:space="preserve"> a </w:t>
      </w:r>
      <w:r w:rsidR="00B7131C">
        <w:t>person</w:t>
      </w:r>
      <w:r w:rsidR="003F64BC">
        <w:t xml:space="preserve"> connected to the </w:t>
      </w:r>
      <w:r w:rsidR="00C908CC">
        <w:t>individual</w:t>
      </w:r>
      <w:r w:rsidR="000C4DBE">
        <w:t xml:space="preserve">, such as </w:t>
      </w:r>
      <w:r w:rsidR="009C2E09">
        <w:t>for the purposes of preparing a family history of a patient</w:t>
      </w:r>
      <w:r w:rsidR="008F26E9">
        <w:t>.</w:t>
      </w:r>
      <w:r w:rsidR="00D907C8">
        <w:t xml:space="preserve"> Regulation 9 sets out the prescribed circumstances for collection of health information. Under the Act, HPP 1 limits the health information that may be collected </w:t>
      </w:r>
      <w:r w:rsidR="00A30571">
        <w:t>by an organisation to where</w:t>
      </w:r>
      <w:r w:rsidR="00A30571" w:rsidRPr="00A30571">
        <w:t xml:space="preserve"> the information is necessary for one or more of its functions</w:t>
      </w:r>
      <w:r w:rsidR="00A30571">
        <w:t xml:space="preserve"> and where at least one of a set of conditions applies (</w:t>
      </w:r>
      <w:proofErr w:type="gramStart"/>
      <w:r w:rsidR="00A30571">
        <w:t>e.g.</w:t>
      </w:r>
      <w:proofErr w:type="gramEnd"/>
      <w:r w:rsidR="00A30571">
        <w:t xml:space="preserve"> the individual has consented)</w:t>
      </w:r>
      <w:r w:rsidR="00D907C8">
        <w:t xml:space="preserve"> </w:t>
      </w:r>
      <w:r w:rsidR="004C6303">
        <w:t>and</w:t>
      </w:r>
      <w:r w:rsidR="00D907C8">
        <w:t xml:space="preserve"> permits the making of regulations to set out any additional circumstances.</w:t>
      </w:r>
    </w:p>
    <w:p w14:paraId="49E0991B" w14:textId="662AD6DB" w:rsidR="006F5762" w:rsidRPr="00627ECF" w:rsidRDefault="001D23F5" w:rsidP="00627ECF">
      <w:r>
        <w:t xml:space="preserve">Essentially, the wording is changed from “the individual to whom the information relates” to “a person to whom a health service is being provided” </w:t>
      </w:r>
      <w:r w:rsidR="007511A6">
        <w:t xml:space="preserve">– to make it </w:t>
      </w:r>
      <w:r w:rsidR="00946CFE">
        <w:t>clearer</w:t>
      </w:r>
      <w:r w:rsidR="00A22641">
        <w:t xml:space="preserve"> </w:t>
      </w:r>
      <w:r w:rsidR="00567E6D">
        <w:t>who the regulations are referring to</w:t>
      </w:r>
      <w:r w:rsidR="005A291A">
        <w:t xml:space="preserve"> </w:t>
      </w:r>
      <w:r w:rsidR="003E2A17">
        <w:t>in these situations</w:t>
      </w:r>
      <w:r w:rsidR="00567E6D">
        <w:t>.</w:t>
      </w:r>
      <w:r w:rsidR="00A22641">
        <w:t xml:space="preserve"> </w:t>
      </w:r>
      <w:r w:rsidR="00B7131C">
        <w:t>It is anticipated that t</w:t>
      </w:r>
      <w:r w:rsidR="005F5F32">
        <w:t>he wording of regulation 9(1)(c)</w:t>
      </w:r>
      <w:r w:rsidR="003A426C">
        <w:t xml:space="preserve"> and (d)</w:t>
      </w:r>
      <w:r w:rsidR="005F5F32">
        <w:t xml:space="preserve"> would be changed from</w:t>
      </w:r>
      <w:r w:rsidR="006F0675">
        <w:t>:</w:t>
      </w:r>
    </w:p>
    <w:p w14:paraId="5CDA44B0" w14:textId="77777777" w:rsidR="006F0675" w:rsidRDefault="006F0675" w:rsidP="00393B99">
      <w:pPr>
        <w:ind w:left="720"/>
      </w:pPr>
      <w:r>
        <w:lastRenderedPageBreak/>
        <w:t>(c) the information is collected from</w:t>
      </w:r>
    </w:p>
    <w:p w14:paraId="7BD9B995" w14:textId="77777777" w:rsidR="006F0675" w:rsidRDefault="006F0675" w:rsidP="00393B99">
      <w:pPr>
        <w:ind w:left="720" w:firstLine="720"/>
      </w:pPr>
      <w:r>
        <w:t xml:space="preserve">(i) the individual to whom the information relates; or </w:t>
      </w:r>
    </w:p>
    <w:p w14:paraId="30727C3A" w14:textId="0545A7EB" w:rsidR="005F5F32" w:rsidRDefault="006F0675" w:rsidP="00BF0CD3">
      <w:pPr>
        <w:spacing w:after="0"/>
        <w:ind w:left="1440"/>
      </w:pPr>
      <w:r>
        <w:t>(ii) if the individual to whom the information relates is incapable of providing the information, from an authorised representative, immediate family member, or the primary carer of the individual</w:t>
      </w:r>
    </w:p>
    <w:p w14:paraId="646BB249" w14:textId="2A58F183" w:rsidR="001713A0" w:rsidRDefault="0040760F" w:rsidP="00EA66DF">
      <w:pPr>
        <w:spacing w:before="120"/>
        <w:ind w:left="709"/>
      </w:pPr>
      <w:r>
        <w:t>(d) the information does not contain any more identifying information about the individual referred to in paragraph (b) than is reasonably necessary to ensure that health services are provided safely and effectively to the individual.</w:t>
      </w:r>
    </w:p>
    <w:p w14:paraId="4FBFF51E" w14:textId="401F759F" w:rsidR="006F0675" w:rsidRDefault="006F0675" w:rsidP="00750FA7">
      <w:pPr>
        <w:spacing w:before="120"/>
      </w:pPr>
      <w:r>
        <w:t>To:</w:t>
      </w:r>
    </w:p>
    <w:p w14:paraId="7120286D" w14:textId="77777777" w:rsidR="006F0675" w:rsidRDefault="006F0675" w:rsidP="00393B99">
      <w:pPr>
        <w:ind w:left="720"/>
      </w:pPr>
      <w:r>
        <w:t>(c) the information is collected from</w:t>
      </w:r>
    </w:p>
    <w:p w14:paraId="400EC223" w14:textId="77777777" w:rsidR="00811E6A" w:rsidRDefault="00811E6A" w:rsidP="00811E6A">
      <w:pPr>
        <w:ind w:firstLine="720"/>
      </w:pPr>
      <w:r>
        <w:t>(i)</w:t>
      </w:r>
      <w:r>
        <w:tab/>
        <w:t>a person to whom a health service is being provided; or</w:t>
      </w:r>
    </w:p>
    <w:p w14:paraId="7454574F" w14:textId="0E641A3D" w:rsidR="00811E6A" w:rsidRDefault="00811E6A" w:rsidP="00811E6A">
      <w:pPr>
        <w:ind w:left="1440" w:hanging="720"/>
      </w:pPr>
      <w:r>
        <w:t>(ii)</w:t>
      </w:r>
      <w:r>
        <w:tab/>
        <w:t>an authorised representative, an immediate family member, or the primary carer of a person to whom a health service is being provided, if the person is incapable of providing the information</w:t>
      </w:r>
      <w:r w:rsidR="00F37D4F">
        <w:t>.</w:t>
      </w:r>
    </w:p>
    <w:p w14:paraId="6435372A" w14:textId="446EE046" w:rsidR="001713A0" w:rsidRDefault="001713A0" w:rsidP="00A14B03">
      <w:pPr>
        <w:spacing w:after="0"/>
        <w:ind w:left="720"/>
      </w:pPr>
      <w:r w:rsidRPr="001713A0">
        <w:t>(d)</w:t>
      </w:r>
      <w:r w:rsidR="0040760F">
        <w:t xml:space="preserve"> </w:t>
      </w:r>
      <w:r w:rsidRPr="001713A0">
        <w:t>the information does not contain any more identifying information about the individual</w:t>
      </w:r>
      <w:r w:rsidR="0040760F">
        <w:t xml:space="preserve"> </w:t>
      </w:r>
      <w:r w:rsidRPr="001713A0">
        <w:t>referred to in paragraph (b) than is reasonably necessary to ensure that health services are provided safely and effectively to the person referred to in paragraph (c)(i) or (c)(ii).</w:t>
      </w:r>
    </w:p>
    <w:p w14:paraId="7C2192DD" w14:textId="3AE4B3F9" w:rsidR="005D78B2" w:rsidRDefault="005D78B2" w:rsidP="00811E6A">
      <w:r>
        <w:t>Additionally, minor clarifying amendments to</w:t>
      </w:r>
      <w:r w:rsidR="00A30571">
        <w:t xml:space="preserve"> the wording of</w:t>
      </w:r>
      <w:r>
        <w:t xml:space="preserve"> regulations 6 and 7 would be made but these are </w:t>
      </w:r>
      <w:r w:rsidR="00A60F4E">
        <w:t xml:space="preserve">extremely </w:t>
      </w:r>
      <w:r>
        <w:t>minor.</w:t>
      </w:r>
      <w:r w:rsidR="002C2750">
        <w:rPr>
          <w:rStyle w:val="FootnoteReference"/>
        </w:rPr>
        <w:footnoteReference w:id="30"/>
      </w:r>
      <w:r w:rsidR="00FB1C71" w:rsidRPr="00FB1C71">
        <w:rPr>
          <w:vertAlign w:val="superscript"/>
        </w:rPr>
        <w:t>,</w:t>
      </w:r>
      <w:r w:rsidR="002C2750">
        <w:rPr>
          <w:rStyle w:val="FootnoteReference"/>
        </w:rPr>
        <w:footnoteReference w:id="31"/>
      </w:r>
      <w:r>
        <w:t xml:space="preserve"> </w:t>
      </w:r>
    </w:p>
    <w:p w14:paraId="382D4ACE" w14:textId="4B1FABA1" w:rsidR="007262A6" w:rsidRPr="00285A62" w:rsidRDefault="007262A6" w:rsidP="00811E6A">
      <w:r>
        <w:t xml:space="preserve">These </w:t>
      </w:r>
      <w:r w:rsidR="003475EB">
        <w:t xml:space="preserve">proposed amendments represent drafting clarifications and do not indicate a change in policy. These amendments </w:t>
      </w:r>
      <w:r w:rsidR="00B836F3">
        <w:t>ar</w:t>
      </w:r>
      <w:r w:rsidR="002604F4">
        <w:t xml:space="preserve">e </w:t>
      </w:r>
      <w:r w:rsidR="002604F4" w:rsidRPr="00285A62">
        <w:t>not anticipated to create any impact on the sector or the public</w:t>
      </w:r>
      <w:r w:rsidR="00D10181" w:rsidRPr="00285A62">
        <w:t xml:space="preserve"> and do not impose any additional costs. Th</w:t>
      </w:r>
      <w:r w:rsidR="00CC4EB8">
        <w:t>ese</w:t>
      </w:r>
      <w:r w:rsidR="00D10181" w:rsidRPr="00285A62">
        <w:t xml:space="preserve"> </w:t>
      </w:r>
      <w:r w:rsidR="00F06166" w:rsidRPr="00285A62">
        <w:t>clarifying amendment</w:t>
      </w:r>
      <w:r w:rsidR="00CC4EB8">
        <w:t>s are</w:t>
      </w:r>
      <w:r w:rsidR="00D10181" w:rsidRPr="00285A62">
        <w:t xml:space="preserve"> not considered further in this RIS.</w:t>
      </w:r>
    </w:p>
    <w:p w14:paraId="28FAC23B" w14:textId="0A5765F4" w:rsidR="007B3282" w:rsidRPr="00285A62" w:rsidRDefault="007B3282" w:rsidP="007B3282">
      <w:pPr>
        <w:pStyle w:val="Heading6"/>
      </w:pPr>
      <w:bookmarkStart w:id="52" w:name="_Toc135157722"/>
      <w:r w:rsidRPr="00285A62">
        <w:t xml:space="preserve">Option 2: </w:t>
      </w:r>
      <w:r w:rsidR="00C908CC" w:rsidRPr="00285A62">
        <w:t xml:space="preserve">Higher level of </w:t>
      </w:r>
      <w:r w:rsidRPr="00285A62">
        <w:t>cost recovery</w:t>
      </w:r>
      <w:bookmarkEnd w:id="52"/>
    </w:p>
    <w:p w14:paraId="36FA1180" w14:textId="125E13C6" w:rsidR="007B3282" w:rsidRDefault="009004A6" w:rsidP="007B3282">
      <w:r w:rsidRPr="00285A62">
        <w:t xml:space="preserve">This option would </w:t>
      </w:r>
      <w:r w:rsidR="00AB4CD5" w:rsidRPr="00285A62">
        <w:t xml:space="preserve">adjust the </w:t>
      </w:r>
      <w:r w:rsidR="00A15D9A" w:rsidRPr="00285A62">
        <w:t>maximum fees</w:t>
      </w:r>
      <w:r w:rsidR="001C1581" w:rsidRPr="00285A62">
        <w:t xml:space="preserve"> to allow for </w:t>
      </w:r>
      <w:r w:rsidR="00A15D9A" w:rsidRPr="00285A62">
        <w:t xml:space="preserve">a </w:t>
      </w:r>
      <w:r w:rsidR="001C1581" w:rsidRPr="00285A62">
        <w:t>higher level of cost recovery</w:t>
      </w:r>
      <w:r w:rsidR="00A02160" w:rsidRPr="00285A62">
        <w:t>.</w:t>
      </w:r>
      <w:r w:rsidR="00064FBE" w:rsidRPr="00285A62">
        <w:t xml:space="preserve"> </w:t>
      </w:r>
      <w:r w:rsidR="00A15D9A" w:rsidRPr="00285A62">
        <w:t>The purpose of assessing this option is to</w:t>
      </w:r>
      <w:r w:rsidR="00FF46F3" w:rsidRPr="00285A62">
        <w:t xml:space="preserve"> </w:t>
      </w:r>
      <w:r w:rsidR="00206EC9" w:rsidRPr="00285A62">
        <w:t xml:space="preserve">provide </w:t>
      </w:r>
      <w:r w:rsidR="00FF46F3" w:rsidRPr="00285A62">
        <w:t>consider</w:t>
      </w:r>
      <w:r w:rsidR="00206EC9" w:rsidRPr="00285A62">
        <w:t>ation of what is a</w:t>
      </w:r>
      <w:r w:rsidR="00FF46F3" w:rsidRPr="00285A62">
        <w:t xml:space="preserve"> reasonable level of cost recovery, balanced against the objective of facilitating access to health information</w:t>
      </w:r>
      <w:r w:rsidR="00206EC9" w:rsidRPr="00285A62">
        <w:t xml:space="preserve">. A higher level of cost recovery is chosen as the option rather than a </w:t>
      </w:r>
      <w:proofErr w:type="gramStart"/>
      <w:r w:rsidR="00206EC9" w:rsidRPr="00285A62">
        <w:t>lower level</w:t>
      </w:r>
      <w:proofErr w:type="gramEnd"/>
      <w:r w:rsidR="00206EC9" w:rsidRPr="00285A62">
        <w:t xml:space="preserve"> </w:t>
      </w:r>
      <w:r w:rsidR="00A30571">
        <w:t>reflecting cost increases for</w:t>
      </w:r>
      <w:r w:rsidR="003A5094">
        <w:t xml:space="preserve"> health providers </w:t>
      </w:r>
      <w:r w:rsidR="003A5094">
        <w:lastRenderedPageBreak/>
        <w:t>providing access to information</w:t>
      </w:r>
      <w:r w:rsidR="00A30571">
        <w:t xml:space="preserve"> that are likely to have slightly outpaced fee indexation</w:t>
      </w:r>
      <w:r w:rsidR="003A5094">
        <w:t xml:space="preserve"> (see discussion in section </w:t>
      </w:r>
      <w:r w:rsidR="00285A62">
        <w:t>2.3.1)</w:t>
      </w:r>
      <w:r w:rsidR="003A5094">
        <w:t xml:space="preserve">. </w:t>
      </w:r>
    </w:p>
    <w:p w14:paraId="7B4A3C8A" w14:textId="14F142F0" w:rsidR="002325AD" w:rsidRDefault="002325AD" w:rsidP="002325AD">
      <w:pPr>
        <w:pStyle w:val="Heading6"/>
      </w:pPr>
      <w:r>
        <w:t>Option 3: Concession discount</w:t>
      </w:r>
    </w:p>
    <w:p w14:paraId="54876692" w14:textId="63A508B5" w:rsidR="002325AD" w:rsidRDefault="002325AD" w:rsidP="002325AD">
      <w:r>
        <w:t xml:space="preserve">This option </w:t>
      </w:r>
      <w:r w:rsidR="00D144CE">
        <w:t>would</w:t>
      </w:r>
      <w:r w:rsidRPr="005625AE">
        <w:t xml:space="preserve"> amend the fee structure to allow for a lower fee for lower income groups</w:t>
      </w:r>
      <w:r w:rsidR="0084267F">
        <w:t xml:space="preserve"> holding </w:t>
      </w:r>
      <w:proofErr w:type="gramStart"/>
      <w:r w:rsidR="0084267F">
        <w:t>a</w:t>
      </w:r>
      <w:r w:rsidR="00296443">
        <w:t xml:space="preserve"> </w:t>
      </w:r>
      <w:r w:rsidR="0084267F">
        <w:t xml:space="preserve"> recognised</w:t>
      </w:r>
      <w:proofErr w:type="gramEnd"/>
      <w:r w:rsidR="0084267F">
        <w:t xml:space="preserve"> concession card</w:t>
      </w:r>
      <w:r w:rsidRPr="005625AE">
        <w:t xml:space="preserve">, for example, those with a </w:t>
      </w:r>
      <w:r w:rsidR="0091574B">
        <w:t xml:space="preserve">Pensioner or </w:t>
      </w:r>
      <w:r w:rsidR="00296443">
        <w:t>h</w:t>
      </w:r>
      <w:r w:rsidRPr="005625AE">
        <w:t xml:space="preserve">ealth </w:t>
      </w:r>
      <w:r w:rsidR="00296443">
        <w:t>c</w:t>
      </w:r>
      <w:r w:rsidRPr="005625AE">
        <w:t xml:space="preserve">are </w:t>
      </w:r>
      <w:r w:rsidR="00296443">
        <w:t>c</w:t>
      </w:r>
      <w:r w:rsidRPr="005625AE">
        <w:t>ard</w:t>
      </w:r>
      <w:r w:rsidR="008E65DA">
        <w:t xml:space="preserve"> (noting this eligibility criteria is used for the purpose of this RIS and would need further consideration if the option was preferred)</w:t>
      </w:r>
      <w:r w:rsidRPr="005625AE">
        <w:t xml:space="preserve">. </w:t>
      </w:r>
      <w:r>
        <w:t xml:space="preserve">The mechanism </w:t>
      </w:r>
      <w:r w:rsidR="009D5286">
        <w:t>would be</w:t>
      </w:r>
      <w:r>
        <w:t xml:space="preserve"> a flat discount on any fees charged.</w:t>
      </w:r>
      <w:r w:rsidRPr="005625AE">
        <w:t xml:space="preserve"> Lowering the </w:t>
      </w:r>
      <w:r>
        <w:t>potential</w:t>
      </w:r>
      <w:r w:rsidRPr="005625AE">
        <w:t xml:space="preserve"> fee could make it more likely that those with a lower income would feel comfortable with exercising their rights under the Act. </w:t>
      </w:r>
    </w:p>
    <w:p w14:paraId="4B3D8C65" w14:textId="69088CAC" w:rsidR="00F85673" w:rsidRPr="005625AE" w:rsidRDefault="00F85673" w:rsidP="002325AD">
      <w:r>
        <w:t xml:space="preserve">As described in section 3.8, which outlines approach in other jurisdictions, </w:t>
      </w:r>
      <w:r w:rsidR="00FA5EE9">
        <w:t>the Australian Capital Territory (ACT)</w:t>
      </w:r>
      <w:r w:rsidRPr="00F85673">
        <w:t xml:space="preserve"> allow</w:t>
      </w:r>
      <w:r w:rsidR="00FA5EE9">
        <w:t>s</w:t>
      </w:r>
      <w:r w:rsidRPr="00F85673">
        <w:t xml:space="preserve"> for a 50% discount for health card holders. </w:t>
      </w:r>
    </w:p>
    <w:p w14:paraId="4F22BAFE" w14:textId="1E7FA747" w:rsidR="00690528" w:rsidRDefault="00690528" w:rsidP="00AD1C25">
      <w:pPr>
        <w:pStyle w:val="Heading6"/>
      </w:pPr>
      <w:bookmarkStart w:id="53" w:name="_Toc135157723"/>
      <w:r>
        <w:t>Options considered but not progressed</w:t>
      </w:r>
      <w:bookmarkEnd w:id="49"/>
      <w:bookmarkEnd w:id="50"/>
      <w:bookmarkEnd w:id="51"/>
      <w:bookmarkEnd w:id="53"/>
    </w:p>
    <w:p w14:paraId="1B5FBD4A" w14:textId="2420CD01" w:rsidR="003547CA" w:rsidRPr="006F70C4" w:rsidRDefault="006F70C4" w:rsidP="000C4451">
      <w:pPr>
        <w:pStyle w:val="Heading7"/>
      </w:pPr>
      <w:r w:rsidRPr="006F70C4">
        <w:t>A separate</w:t>
      </w:r>
      <w:r w:rsidR="00661C34" w:rsidRPr="006F70C4">
        <w:t xml:space="preserve"> fee structure for </w:t>
      </w:r>
      <w:r w:rsidRPr="006F70C4">
        <w:t xml:space="preserve">accessing and providing </w:t>
      </w:r>
      <w:r w:rsidR="00661C34" w:rsidRPr="006F70C4">
        <w:t>digital</w:t>
      </w:r>
      <w:r w:rsidRPr="006F70C4">
        <w:t xml:space="preserve"> health information</w:t>
      </w:r>
    </w:p>
    <w:p w14:paraId="4FDFCF32" w14:textId="6C957A77" w:rsidR="001B0D33" w:rsidRPr="006F70C4" w:rsidRDefault="000C4451" w:rsidP="001B0D33">
      <w:r w:rsidRPr="006F70C4">
        <w:t xml:space="preserve">The </w:t>
      </w:r>
      <w:r w:rsidR="00864B78" w:rsidRPr="006F70C4">
        <w:t>possibility of introducing a fee structure that recognises the differing costs associated with accessing and providing</w:t>
      </w:r>
      <w:r w:rsidR="00B537FF">
        <w:rPr>
          <w:rStyle w:val="FootnoteReference"/>
        </w:rPr>
        <w:footnoteReference w:id="32"/>
      </w:r>
      <w:r w:rsidR="00864B78" w:rsidRPr="006F70C4">
        <w:t xml:space="preserve"> health records electronically was considered. </w:t>
      </w:r>
      <w:r w:rsidR="001B0D33" w:rsidRPr="006F70C4">
        <w:t>However, while there is an increasing use of digital records, informal consultation identified that not all organisations have shifted to a digital record</w:t>
      </w:r>
      <w:r w:rsidR="0019526D">
        <w:t>,</w:t>
      </w:r>
      <w:r w:rsidR="001B0D33" w:rsidRPr="006F70C4">
        <w:t xml:space="preserve"> and</w:t>
      </w:r>
      <w:r w:rsidR="00892438">
        <w:t xml:space="preserve"> some</w:t>
      </w:r>
      <w:r w:rsidR="001B0D33" w:rsidRPr="006F70C4">
        <w:t xml:space="preserve"> are still heavily paper-based. </w:t>
      </w:r>
      <w:r w:rsidR="00EF46D0">
        <w:t xml:space="preserve">The </w:t>
      </w:r>
      <w:r w:rsidR="001F3C35">
        <w:t xml:space="preserve">Regulations apply to a wide range of organisations, meaning the adoption of digitisation will vary. </w:t>
      </w:r>
    </w:p>
    <w:p w14:paraId="5C545411" w14:textId="4DF87748" w:rsidR="006F70C4" w:rsidRDefault="00934834" w:rsidP="001B0D33">
      <w:r w:rsidRPr="006F70C4">
        <w:t>A</w:t>
      </w:r>
      <w:r w:rsidR="006F4A37" w:rsidRPr="006F70C4">
        <w:t>ctivities relating to sourcing and providing digital records are</w:t>
      </w:r>
      <w:r w:rsidR="006F70C4">
        <w:t xml:space="preserve"> already</w:t>
      </w:r>
      <w:r w:rsidR="006F4A37" w:rsidRPr="006F70C4">
        <w:t xml:space="preserve"> provided for </w:t>
      </w:r>
      <w:r w:rsidRPr="006F70C4">
        <w:t>in the schedule of fees i</w:t>
      </w:r>
      <w:r w:rsidR="00DE56B8" w:rsidRPr="006F70C4">
        <w:t>n</w:t>
      </w:r>
      <w:r w:rsidRPr="006F70C4">
        <w:t xml:space="preserve"> the regulations.</w:t>
      </w:r>
      <w:r w:rsidR="006F4A37" w:rsidRPr="006F70C4">
        <w:t xml:space="preserve"> </w:t>
      </w:r>
    </w:p>
    <w:p w14:paraId="1FFB0424" w14:textId="7F5A2FC2" w:rsidR="001B0D33" w:rsidRDefault="00A94551" w:rsidP="000C4451">
      <w:r>
        <w:t>W</w:t>
      </w:r>
      <w:r w:rsidRPr="00A94551">
        <w:t>here electronic records make the locating, collating and assembling of records faster, this will be reflected in lower costs to</w:t>
      </w:r>
      <w:r w:rsidR="009978E8">
        <w:t xml:space="preserve"> providers (which will potentially flow through to</w:t>
      </w:r>
      <w:r w:rsidRPr="00A94551">
        <w:t xml:space="preserve"> consumers</w:t>
      </w:r>
      <w:r w:rsidR="009978E8">
        <w:t>)</w:t>
      </w:r>
      <w:r w:rsidRPr="00A94551">
        <w:t xml:space="preserve"> through less time needed to be</w:t>
      </w:r>
      <w:r w:rsidR="00E605E4">
        <w:t xml:space="preserve"> able to compile and share information to consumers</w:t>
      </w:r>
      <w:r w:rsidRPr="00A94551">
        <w:t xml:space="preserve"> (</w:t>
      </w:r>
      <w:proofErr w:type="gramStart"/>
      <w:r w:rsidRPr="00A94551">
        <w:t>e.g.</w:t>
      </w:r>
      <w:proofErr w:type="gramEnd"/>
      <w:r w:rsidRPr="00A94551">
        <w:t xml:space="preserve"> 1 hour’s work could be reduced to 15 minutes). While this may mean that the time needed to locate and compile some records may be well below the impact of the fee cap (possibly </w:t>
      </w:r>
      <w:r w:rsidR="00953E77">
        <w:t xml:space="preserve">by only by a small amount but this is </w:t>
      </w:r>
      <w:r w:rsidR="00B37036">
        <w:t>uncertain</w:t>
      </w:r>
      <w:r w:rsidRPr="00A94551">
        <w:t xml:space="preserve">), the proposed Regulations continue the requirement for charges to represent only costs reasonably incurred where below the prescribed </w:t>
      </w:r>
      <w:r w:rsidR="00A60804">
        <w:t>maximum fee</w:t>
      </w:r>
      <w:r w:rsidRPr="00A94551">
        <w:t xml:space="preserve">. </w:t>
      </w:r>
      <w:r w:rsidR="000D69F2">
        <w:t xml:space="preserve">The </w:t>
      </w:r>
      <w:r w:rsidR="00B17706">
        <w:t>maximum fee provides a</w:t>
      </w:r>
      <w:r w:rsidR="00B17706" w:rsidRPr="00A94551">
        <w:t xml:space="preserve"> safety net for consumers</w:t>
      </w:r>
      <w:r w:rsidR="00B17706">
        <w:t xml:space="preserve"> while</w:t>
      </w:r>
      <w:r w:rsidR="000D69F2">
        <w:t xml:space="preserve"> provid</w:t>
      </w:r>
      <w:r w:rsidR="00B17706">
        <w:t>ing</w:t>
      </w:r>
      <w:r w:rsidR="000D69F2">
        <w:t xml:space="preserve"> flexibility for health providers to set a fee below </w:t>
      </w:r>
      <w:proofErr w:type="gramStart"/>
      <w:r w:rsidR="000D69F2">
        <w:t>this</w:t>
      </w:r>
      <w:r w:rsidR="00B17706">
        <w:t>, if</w:t>
      </w:r>
      <w:proofErr w:type="gramEnd"/>
      <w:r w:rsidR="00B17706">
        <w:t xml:space="preserve"> costs have decreased</w:t>
      </w:r>
      <w:r w:rsidRPr="00A94551">
        <w:t>.</w:t>
      </w:r>
      <w:r w:rsidR="00FD4C0B">
        <w:t xml:space="preserve"> </w:t>
      </w:r>
      <w:r w:rsidR="00DA6C44" w:rsidRPr="006F70C4">
        <w:t>An additional fee structure strictly relating to access and provision of digital health information may introduce uncertainty</w:t>
      </w:r>
      <w:r w:rsidR="00146282">
        <w:t>, for example</w:t>
      </w:r>
      <w:r w:rsidR="00010CFD">
        <w:t xml:space="preserve">, </w:t>
      </w:r>
      <w:r w:rsidR="001E70FE">
        <w:t xml:space="preserve">during </w:t>
      </w:r>
      <w:r w:rsidR="00964ABC">
        <w:t>the initial</w:t>
      </w:r>
      <w:r w:rsidR="00E65F7A">
        <w:t xml:space="preserve"> transition to an additional fee </w:t>
      </w:r>
      <w:r w:rsidR="00E65F7A">
        <w:lastRenderedPageBreak/>
        <w:t>structure</w:t>
      </w:r>
      <w:r w:rsidR="006A3A1F">
        <w:t>. Additionally,</w:t>
      </w:r>
      <w:r w:rsidR="001E70FE">
        <w:t xml:space="preserve"> </w:t>
      </w:r>
      <w:r w:rsidR="00027022">
        <w:t>as record</w:t>
      </w:r>
      <w:r w:rsidR="001E70FE">
        <w:t>-</w:t>
      </w:r>
      <w:r w:rsidR="00027022">
        <w:t xml:space="preserve">keeping practices evolve, there will be </w:t>
      </w:r>
      <w:r w:rsidR="00BE5D1E">
        <w:t>future</w:t>
      </w:r>
      <w:r w:rsidR="00027022">
        <w:t xml:space="preserve"> </w:t>
      </w:r>
      <w:r w:rsidR="001E70FE">
        <w:t>t</w:t>
      </w:r>
      <w:r w:rsidR="00027022">
        <w:t>ransition costs to accommodate</w:t>
      </w:r>
      <w:r w:rsidR="001E70FE">
        <w:t xml:space="preserve"> changes relating to</w:t>
      </w:r>
      <w:r w:rsidR="00027022">
        <w:t xml:space="preserve"> increasing digitisation</w:t>
      </w:r>
      <w:r w:rsidR="00DA6C44" w:rsidRPr="006F70C4">
        <w:t>.</w:t>
      </w:r>
    </w:p>
    <w:p w14:paraId="4BF8C083" w14:textId="3D4F02B7" w:rsidR="00C41690" w:rsidRDefault="000729B0" w:rsidP="00AD1C25">
      <w:pPr>
        <w:pStyle w:val="Heading6"/>
      </w:pPr>
      <w:bookmarkStart w:id="54" w:name="_Toc135157724"/>
      <w:r>
        <w:t>Other jurisdictions</w:t>
      </w:r>
      <w:bookmarkEnd w:id="54"/>
    </w:p>
    <w:p w14:paraId="5B4A0D9E" w14:textId="41E715CB" w:rsidR="009555AC" w:rsidRDefault="007C0E3A" w:rsidP="000729B0">
      <w:r>
        <w:t>Statutory rights to health information held by private organisations also exist in New South Wales</w:t>
      </w:r>
      <w:r w:rsidR="001C1479">
        <w:t xml:space="preserve"> (NSW)</w:t>
      </w:r>
      <w:r>
        <w:t xml:space="preserve"> and the Australian Capital Territory</w:t>
      </w:r>
      <w:r w:rsidR="001C1479">
        <w:t xml:space="preserve"> (ACT)</w:t>
      </w:r>
      <w:r>
        <w:t xml:space="preserve">. Other Australian jurisdictions do not have a legislative framework for </w:t>
      </w:r>
      <w:r w:rsidR="0086416A">
        <w:t>ac</w:t>
      </w:r>
      <w:r>
        <w:t>cess to health information held by private organis</w:t>
      </w:r>
      <w:r w:rsidR="0033571B">
        <w:t xml:space="preserve">ations, instead relying on the Commonwealth Privacy Act. </w:t>
      </w:r>
      <w:r w:rsidR="007A5BC3">
        <w:t>It is noted that, when considering approaches in other jurisd</w:t>
      </w:r>
      <w:r w:rsidR="006B5C0B">
        <w:t>i</w:t>
      </w:r>
      <w:r w:rsidR="007A5BC3">
        <w:t xml:space="preserve">ctions, careful consideration </w:t>
      </w:r>
      <w:r w:rsidR="006B5C0B">
        <w:t xml:space="preserve">to the full architecture of </w:t>
      </w:r>
      <w:r w:rsidR="006E4A8E">
        <w:t xml:space="preserve">acts and regulations </w:t>
      </w:r>
      <w:r w:rsidR="003858D9">
        <w:t xml:space="preserve">is needed </w:t>
      </w:r>
      <w:r w:rsidR="006E4A8E">
        <w:t>as there may be material differences that mean approaches to fees are not direct</w:t>
      </w:r>
      <w:r w:rsidR="00472227">
        <w:t xml:space="preserve">ly </w:t>
      </w:r>
      <w:r w:rsidR="006E4A8E">
        <w:t xml:space="preserve">comparable. </w:t>
      </w:r>
      <w:proofErr w:type="gramStart"/>
      <w:r w:rsidR="006E4A8E">
        <w:t>For the purpose of</w:t>
      </w:r>
      <w:proofErr w:type="gramEnd"/>
      <w:r w:rsidR="006E4A8E">
        <w:t xml:space="preserve"> this RIS</w:t>
      </w:r>
      <w:r w:rsidR="00B933A0">
        <w:t>,</w:t>
      </w:r>
      <w:r w:rsidR="006E4A8E">
        <w:t xml:space="preserve"> it is disproportionate to undertake a detailed review of the</w:t>
      </w:r>
      <w:r w:rsidR="007E3CDC">
        <w:t xml:space="preserve"> different approaches.</w:t>
      </w:r>
    </w:p>
    <w:p w14:paraId="69D12429" w14:textId="00365A0F" w:rsidR="00094326" w:rsidRDefault="00352370" w:rsidP="000729B0">
      <w:r>
        <w:t xml:space="preserve">The </w:t>
      </w:r>
      <w:r w:rsidR="0016028B" w:rsidRPr="00A14B03">
        <w:rPr>
          <w:i/>
          <w:iCs/>
        </w:rPr>
        <w:t>New South Wales</w:t>
      </w:r>
      <w:r w:rsidRPr="00A14B03">
        <w:rPr>
          <w:i/>
          <w:iCs/>
        </w:rPr>
        <w:t xml:space="preserve"> Health Records and Information Privacy Act 2002</w:t>
      </w:r>
      <w:r w:rsidR="00CE2406">
        <w:t xml:space="preserve"> </w:t>
      </w:r>
      <w:r w:rsidR="00EB2879">
        <w:t>states the any fee charged must no</w:t>
      </w:r>
      <w:r w:rsidR="00080FF9">
        <w:t>t</w:t>
      </w:r>
      <w:r w:rsidR="00EB2879">
        <w:t xml:space="preserve"> exceed a fee prescribed in regulations but does not</w:t>
      </w:r>
      <w:r w:rsidR="00D75B49">
        <w:t xml:space="preserve"> have the </w:t>
      </w:r>
      <w:r w:rsidR="0095384D">
        <w:t xml:space="preserve">same provision as the Victorian Act </w:t>
      </w:r>
      <w:r w:rsidR="00036070">
        <w:t>prohibiting the charging of fees unless a maximum fee has been set in regulations.</w:t>
      </w:r>
      <w:r w:rsidR="001270F0">
        <w:t xml:space="preserve"> To date, </w:t>
      </w:r>
      <w:r w:rsidR="00E44213">
        <w:t xml:space="preserve">NSW has not </w:t>
      </w:r>
      <w:r w:rsidR="00B85853">
        <w:t xml:space="preserve">set any fees in </w:t>
      </w:r>
      <w:r w:rsidR="001270F0">
        <w:t>regulations</w:t>
      </w:r>
      <w:r w:rsidR="00094326">
        <w:t xml:space="preserve"> relating to the access of health records. </w:t>
      </w:r>
    </w:p>
    <w:p w14:paraId="4C6A8EA3" w14:textId="593BF160" w:rsidR="008C3639" w:rsidRPr="000729B0" w:rsidRDefault="00094326" w:rsidP="00080B60">
      <w:r w:rsidRPr="008C3639">
        <w:t>T</w:t>
      </w:r>
      <w:r w:rsidR="001C1479" w:rsidRPr="008C3639">
        <w:t xml:space="preserve">he </w:t>
      </w:r>
      <w:r w:rsidR="001C1479" w:rsidRPr="00A14B03">
        <w:rPr>
          <w:i/>
          <w:iCs/>
        </w:rPr>
        <w:t>ACT Health Records (Privacy and Access) Act 1997</w:t>
      </w:r>
      <w:r w:rsidR="001270F0" w:rsidRPr="008C3639">
        <w:t xml:space="preserve"> </w:t>
      </w:r>
      <w:r w:rsidR="00E65A15" w:rsidRPr="008C3639">
        <w:t xml:space="preserve">allows for fees to be set as a disallowable instrument. </w:t>
      </w:r>
      <w:r w:rsidR="007A22F1" w:rsidRPr="008C3639">
        <w:t xml:space="preserve">Like NSW, the </w:t>
      </w:r>
      <w:r w:rsidR="00631548">
        <w:t xml:space="preserve">ACT </w:t>
      </w:r>
      <w:r w:rsidR="00631548" w:rsidRPr="008D08EF">
        <w:rPr>
          <w:i/>
          <w:iCs/>
        </w:rPr>
        <w:t>Health Records (Privacy and Access) Act 1997</w:t>
      </w:r>
      <w:r w:rsidR="00631548">
        <w:rPr>
          <w:i/>
          <w:iCs/>
        </w:rPr>
        <w:t xml:space="preserve"> </w:t>
      </w:r>
      <w:r w:rsidR="007A22F1" w:rsidRPr="008C3639">
        <w:t xml:space="preserve">does not </w:t>
      </w:r>
      <w:r w:rsidR="005E58D7" w:rsidRPr="008C3639">
        <w:t xml:space="preserve">prohibit the charging of fees </w:t>
      </w:r>
      <w:r w:rsidR="00922B9B" w:rsidRPr="008C3639">
        <w:t xml:space="preserve">unless </w:t>
      </w:r>
      <w:r w:rsidR="00B54F85" w:rsidRPr="008C3639">
        <w:t>a maximum fee has been set</w:t>
      </w:r>
      <w:r w:rsidR="00922B9B" w:rsidRPr="008C3639">
        <w:t xml:space="preserve">. The current fees for access are set out in the </w:t>
      </w:r>
      <w:r w:rsidR="00BF6F1B" w:rsidRPr="00A14B03">
        <w:rPr>
          <w:i/>
          <w:iCs/>
        </w:rPr>
        <w:t>Health Records (Privacy and Access) (Fees) Determination 2023</w:t>
      </w:r>
      <w:r w:rsidR="009A7730" w:rsidRPr="008C3639">
        <w:t xml:space="preserve"> and allow for a 50%</w:t>
      </w:r>
      <w:r w:rsidR="0032251A" w:rsidRPr="008C3639">
        <w:t xml:space="preserve"> discount</w:t>
      </w:r>
      <w:r w:rsidR="00652768" w:rsidRPr="008C3639">
        <w:t xml:space="preserve"> for health card holders.</w:t>
      </w:r>
      <w:r w:rsidR="00652768">
        <w:t xml:space="preserve"> </w:t>
      </w:r>
      <w:r w:rsidR="00D24234">
        <w:t xml:space="preserve">The fees are not set as maximums, </w:t>
      </w:r>
      <w:r w:rsidR="005208BA">
        <w:t xml:space="preserve">rather are set as actual </w:t>
      </w:r>
      <w:r w:rsidR="00032195">
        <w:t>fees</w:t>
      </w:r>
      <w:r w:rsidR="00C91964">
        <w:t xml:space="preserve"> that can be charged</w:t>
      </w:r>
      <w:r w:rsidR="00032195">
        <w:t xml:space="preserve"> (although </w:t>
      </w:r>
      <w:r w:rsidR="00C91964">
        <w:t xml:space="preserve">organisations have the discretion to </w:t>
      </w:r>
      <w:r w:rsidR="00C93A63">
        <w:t>waive the fees in part or in full</w:t>
      </w:r>
      <w:r w:rsidR="001453A9">
        <w:t xml:space="preserve"> if they are satisfied the fee would result in hardship or would otherwise be unreasonable to charge</w:t>
      </w:r>
      <w:r w:rsidR="00C91964">
        <w:t>)</w:t>
      </w:r>
      <w:r w:rsidR="002B3220">
        <w:t>.</w:t>
      </w:r>
    </w:p>
    <w:p w14:paraId="784C47B2" w14:textId="36101CDF" w:rsidR="00F26AEB" w:rsidRDefault="00F26AEB" w:rsidP="005B5586">
      <w:pPr>
        <w:pStyle w:val="Heading5"/>
      </w:pPr>
      <w:bookmarkStart w:id="55" w:name="_Toc135157725"/>
      <w:bookmarkStart w:id="56" w:name="_Toc136257472"/>
      <w:r>
        <w:lastRenderedPageBreak/>
        <w:t>Assessment of options</w:t>
      </w:r>
      <w:bookmarkEnd w:id="55"/>
      <w:bookmarkEnd w:id="56"/>
      <w:r>
        <w:t xml:space="preserve"> </w:t>
      </w:r>
    </w:p>
    <w:p w14:paraId="21676609" w14:textId="6E0440A8" w:rsidR="00F26AEB" w:rsidRPr="00CA286C" w:rsidRDefault="00F26AEB" w:rsidP="00F26AEB">
      <w:pPr>
        <w:spacing w:before="0" w:line="259" w:lineRule="auto"/>
        <w:rPr>
          <w:sz w:val="28"/>
          <w:szCs w:val="28"/>
        </w:rPr>
      </w:pPr>
      <w:r w:rsidRPr="00CA286C">
        <w:rPr>
          <w:sz w:val="28"/>
          <w:szCs w:val="28"/>
        </w:rPr>
        <w:t xml:space="preserve">This chapter </w:t>
      </w:r>
      <w:r>
        <w:rPr>
          <w:sz w:val="28"/>
          <w:szCs w:val="28"/>
        </w:rPr>
        <w:t>assess the</w:t>
      </w:r>
      <w:r w:rsidRPr="00CA286C">
        <w:rPr>
          <w:sz w:val="28"/>
          <w:szCs w:val="28"/>
        </w:rPr>
        <w:t xml:space="preserve"> options considered for the proposed Regulations. </w:t>
      </w:r>
    </w:p>
    <w:p w14:paraId="2FF8A298" w14:textId="1EBC7C0A" w:rsidR="00506D93" w:rsidRDefault="00506D93" w:rsidP="00506D93">
      <w:pPr>
        <w:pStyle w:val="Heading6"/>
        <w:numPr>
          <w:ilvl w:val="1"/>
          <w:numId w:val="1"/>
        </w:numPr>
      </w:pPr>
      <w:bookmarkStart w:id="57" w:name="_Toc63377828"/>
      <w:bookmarkStart w:id="58" w:name="_Toc63377982"/>
      <w:bookmarkStart w:id="59" w:name="_Toc63381568"/>
      <w:bookmarkStart w:id="60" w:name="_Toc64642649"/>
      <w:bookmarkStart w:id="61" w:name="_Toc64902282"/>
      <w:bookmarkStart w:id="62" w:name="_Ref67584326"/>
      <w:bookmarkStart w:id="63" w:name="_Toc135157726"/>
      <w:r>
        <w:t>Methodology</w:t>
      </w:r>
      <w:bookmarkEnd w:id="57"/>
      <w:bookmarkEnd w:id="58"/>
      <w:bookmarkEnd w:id="59"/>
      <w:bookmarkEnd w:id="60"/>
      <w:bookmarkEnd w:id="61"/>
      <w:bookmarkEnd w:id="62"/>
      <w:bookmarkEnd w:id="63"/>
    </w:p>
    <w:p w14:paraId="70826361" w14:textId="77777777" w:rsidR="00506D93" w:rsidRPr="001B60F7" w:rsidRDefault="00506D93" w:rsidP="00506D93">
      <w:pPr>
        <w:rPr>
          <w:rFonts w:cstheme="minorHAnsi"/>
        </w:rPr>
      </w:pPr>
      <w:r w:rsidRPr="001B60F7">
        <w:rPr>
          <w:rFonts w:cstheme="minorHAnsi"/>
        </w:rPr>
        <w:t>The options in this RIS have been assessed using Multi-Criteria Analysis (MCA) supported by quantitative information where available. This approach provides a structured and transparent way of evaluating the options given the limited quantitative data that is available to assess the benefits of the options.</w:t>
      </w:r>
    </w:p>
    <w:p w14:paraId="20DC687A" w14:textId="77777777" w:rsidR="00A55A03" w:rsidRPr="001B60F7" w:rsidRDefault="00506D93" w:rsidP="00A55A03">
      <w:pPr>
        <w:spacing w:after="100" w:afterAutospacing="1"/>
        <w:ind w:right="262"/>
        <w:rPr>
          <w:rFonts w:cstheme="minorHAnsi"/>
        </w:rPr>
      </w:pPr>
      <w:r w:rsidRPr="001B60F7">
        <w:rPr>
          <w:rFonts w:cstheme="minorHAnsi"/>
        </w:rPr>
        <w:t xml:space="preserve">MCA requires judgement of how the proposed options will contribute to a series of criteria that are chosen to reflect the benefits and costs associated with each option. </w:t>
      </w:r>
      <w:r w:rsidR="00A55A03" w:rsidRPr="001B60F7">
        <w:rPr>
          <w:rFonts w:cstheme="minorHAnsi"/>
        </w:rPr>
        <w:t>Each criterion is assigned a weight reflecting its importance to the policy decision, and a weighted score is then derived for each option. The option with the highest weighted score is the preferred option.</w:t>
      </w:r>
    </w:p>
    <w:p w14:paraId="55AB483F" w14:textId="0CB0A33C" w:rsidR="005E272B" w:rsidRPr="001B60F7" w:rsidRDefault="00095FEF" w:rsidP="00F96EF0">
      <w:pPr>
        <w:spacing w:after="100" w:afterAutospacing="1"/>
        <w:ind w:right="262"/>
        <w:rPr>
          <w:rFonts w:cstheme="minorHAnsi"/>
          <w:szCs w:val="20"/>
        </w:rPr>
      </w:pPr>
      <w:bookmarkStart w:id="64" w:name="_Toc343800661"/>
      <w:bookmarkStart w:id="65" w:name="_Toc463522724"/>
      <w:bookmarkStart w:id="66" w:name="_Toc466973118"/>
      <w:r w:rsidRPr="001B60F7">
        <w:rPr>
          <w:rFonts w:cstheme="minorHAnsi"/>
          <w:szCs w:val="20"/>
        </w:rPr>
        <w:t>MCA enables options to be compared in a way that utilises quantitative and qualitative evidence fully. The approach enables the inclusion of a wider range of criteria — including social and environmental considerations for example — than used in a typical financial analysis. In addition, the approach is transparent — necessarily subjective judgements and assumptions made to determine options and criteria, and to assign scores and weights are made explicitly. The preferences of the decision maker reflected in these judgements and assumptions can be readily changed in a sensitivity analysis or to incorporate alternative indicators of community preference.</w:t>
      </w:r>
      <w:bookmarkEnd w:id="64"/>
      <w:bookmarkEnd w:id="65"/>
      <w:bookmarkEnd w:id="66"/>
    </w:p>
    <w:p w14:paraId="26FF7F64" w14:textId="477AE1C2" w:rsidR="005E272B" w:rsidRPr="000B4040" w:rsidRDefault="007E12F2" w:rsidP="007E12F2">
      <w:pPr>
        <w:pStyle w:val="Heading7"/>
      </w:pPr>
      <w:r>
        <w:t xml:space="preserve">MCA framework </w:t>
      </w:r>
    </w:p>
    <w:p w14:paraId="080D1A90" w14:textId="13B506EE" w:rsidR="00506D93" w:rsidRPr="001B60F7" w:rsidRDefault="00506D93" w:rsidP="00257170">
      <w:pPr>
        <w:tabs>
          <w:tab w:val="left" w:pos="4172"/>
        </w:tabs>
        <w:rPr>
          <w:rFonts w:cstheme="minorHAnsi"/>
        </w:rPr>
      </w:pPr>
      <w:r w:rsidRPr="001B60F7">
        <w:rPr>
          <w:rFonts w:cstheme="minorHAnsi"/>
        </w:rPr>
        <w:t xml:space="preserve">The criteria </w:t>
      </w:r>
      <w:r w:rsidR="00296413" w:rsidRPr="001B60F7">
        <w:rPr>
          <w:rFonts w:cstheme="minorHAnsi"/>
        </w:rPr>
        <w:t xml:space="preserve">and weightings used </w:t>
      </w:r>
      <w:r w:rsidRPr="001B60F7">
        <w:rPr>
          <w:rFonts w:cstheme="minorHAnsi"/>
        </w:rPr>
        <w:t>to assess options for this RIS are shown in</w:t>
      </w:r>
      <w:r w:rsidR="00F723F3" w:rsidRPr="001B60F7">
        <w:rPr>
          <w:rFonts w:cstheme="minorHAnsi"/>
        </w:rPr>
        <w:t xml:space="preserve"> </w:t>
      </w:r>
      <w:r w:rsidR="00A63B05">
        <w:rPr>
          <w:rFonts w:cstheme="minorHAnsi"/>
        </w:rPr>
        <w:t>Table 4</w:t>
      </w:r>
      <w:r w:rsidRPr="001B60F7">
        <w:rPr>
          <w:rFonts w:cstheme="minorHAnsi"/>
        </w:rPr>
        <w:t xml:space="preserve">. </w:t>
      </w:r>
      <w:r w:rsidR="00A06F28" w:rsidRPr="001B60F7">
        <w:rPr>
          <w:rFonts w:cstheme="minorHAnsi"/>
        </w:rPr>
        <w:t>These draw on the objectiv</w:t>
      </w:r>
      <w:r w:rsidR="00A05942" w:rsidRPr="001B60F7">
        <w:rPr>
          <w:rFonts w:cstheme="minorHAnsi"/>
        </w:rPr>
        <w:t>es for the Regulations identified in Chapter 3.</w:t>
      </w:r>
    </w:p>
    <w:p w14:paraId="7044F426" w14:textId="0523B7BC" w:rsidR="002C050A" w:rsidRPr="001B60F7" w:rsidRDefault="00CB0626" w:rsidP="00257170">
      <w:pPr>
        <w:tabs>
          <w:tab w:val="left" w:pos="4172"/>
        </w:tabs>
        <w:rPr>
          <w:rFonts w:cstheme="minorHAnsi"/>
        </w:rPr>
      </w:pPr>
      <w:r w:rsidRPr="001B60F7">
        <w:rPr>
          <w:rFonts w:cstheme="minorHAnsi"/>
          <w:i/>
          <w:iCs/>
        </w:rPr>
        <w:t>Facilitating access to health information</w:t>
      </w:r>
      <w:r w:rsidRPr="001B60F7">
        <w:rPr>
          <w:rFonts w:cstheme="minorHAnsi"/>
        </w:rPr>
        <w:t xml:space="preserve"> </w:t>
      </w:r>
      <w:r w:rsidR="009C2F9D" w:rsidRPr="001B60F7">
        <w:rPr>
          <w:rFonts w:cstheme="minorHAnsi"/>
        </w:rPr>
        <w:t xml:space="preserve">(criterion </w:t>
      </w:r>
      <w:r w:rsidR="00697D10">
        <w:rPr>
          <w:rFonts w:cstheme="minorHAnsi"/>
        </w:rPr>
        <w:t>one</w:t>
      </w:r>
      <w:r w:rsidR="009C2F9D" w:rsidRPr="001B60F7">
        <w:rPr>
          <w:rFonts w:cstheme="minorHAnsi"/>
        </w:rPr>
        <w:t>)</w:t>
      </w:r>
      <w:r w:rsidRPr="001B60F7">
        <w:rPr>
          <w:rFonts w:cstheme="minorHAnsi"/>
        </w:rPr>
        <w:t xml:space="preserve"> </w:t>
      </w:r>
      <w:r w:rsidR="00DB6C43" w:rsidRPr="001B60F7">
        <w:rPr>
          <w:rFonts w:cstheme="minorHAnsi"/>
        </w:rPr>
        <w:t xml:space="preserve">is central to </w:t>
      </w:r>
      <w:r w:rsidR="00C941BE" w:rsidRPr="001B60F7">
        <w:rPr>
          <w:rFonts w:cstheme="minorHAnsi"/>
        </w:rPr>
        <w:t>support</w:t>
      </w:r>
      <w:r w:rsidR="00DB6C43" w:rsidRPr="001B60F7">
        <w:rPr>
          <w:rFonts w:cstheme="minorHAnsi"/>
        </w:rPr>
        <w:t>ing</w:t>
      </w:r>
      <w:r w:rsidR="00A23C9F">
        <w:rPr>
          <w:rFonts w:cstheme="minorHAnsi"/>
        </w:rPr>
        <w:t xml:space="preserve"> one of</w:t>
      </w:r>
      <w:r w:rsidR="00C941BE" w:rsidRPr="001B60F7">
        <w:rPr>
          <w:rFonts w:cstheme="minorHAnsi"/>
        </w:rPr>
        <w:t xml:space="preserve"> </w:t>
      </w:r>
      <w:r w:rsidR="00FB2D37" w:rsidRPr="001B60F7">
        <w:rPr>
          <w:rFonts w:cstheme="minorHAnsi"/>
        </w:rPr>
        <w:t xml:space="preserve">the </w:t>
      </w:r>
      <w:r w:rsidR="00A23C9F">
        <w:rPr>
          <w:rFonts w:cstheme="minorHAnsi"/>
        </w:rPr>
        <w:t xml:space="preserve">main </w:t>
      </w:r>
      <w:r w:rsidR="00FB2D37" w:rsidRPr="001B60F7">
        <w:rPr>
          <w:rFonts w:cstheme="minorHAnsi"/>
        </w:rPr>
        <w:t>purpose</w:t>
      </w:r>
      <w:r w:rsidR="00A23C9F">
        <w:rPr>
          <w:rFonts w:cstheme="minorHAnsi"/>
        </w:rPr>
        <w:t>s</w:t>
      </w:r>
      <w:r w:rsidR="00FB2D37" w:rsidRPr="001B60F7">
        <w:rPr>
          <w:rFonts w:cstheme="minorHAnsi"/>
        </w:rPr>
        <w:t xml:space="preserve"> of the Act </w:t>
      </w:r>
      <w:r w:rsidR="009C2F9D" w:rsidRPr="001B60F7">
        <w:rPr>
          <w:rFonts w:cstheme="minorHAnsi"/>
        </w:rPr>
        <w:t xml:space="preserve">and </w:t>
      </w:r>
      <w:r w:rsidR="00BC2DF2" w:rsidRPr="001B60F7">
        <w:rPr>
          <w:rFonts w:cstheme="minorHAnsi"/>
        </w:rPr>
        <w:t>weighted</w:t>
      </w:r>
      <w:r w:rsidR="00801E7C">
        <w:rPr>
          <w:rFonts w:cstheme="minorHAnsi"/>
        </w:rPr>
        <w:t xml:space="preserve"> </w:t>
      </w:r>
      <w:r w:rsidR="00A237C9" w:rsidRPr="001B60F7">
        <w:rPr>
          <w:rFonts w:cstheme="minorHAnsi"/>
        </w:rPr>
        <w:t xml:space="preserve">at </w:t>
      </w:r>
      <w:r w:rsidR="00801E7C">
        <w:rPr>
          <w:rFonts w:cstheme="minorHAnsi"/>
        </w:rPr>
        <w:t>4</w:t>
      </w:r>
      <w:r w:rsidR="00A237C9" w:rsidRPr="001B60F7">
        <w:rPr>
          <w:rFonts w:cstheme="minorHAnsi"/>
        </w:rPr>
        <w:t>0%. T</w:t>
      </w:r>
      <w:r w:rsidR="009C2F9D" w:rsidRPr="001B60F7">
        <w:rPr>
          <w:rFonts w:cstheme="minorHAnsi"/>
        </w:rPr>
        <w:t>hrough the Regulations</w:t>
      </w:r>
      <w:r w:rsidR="00B26138">
        <w:rPr>
          <w:rFonts w:cstheme="minorHAnsi"/>
        </w:rPr>
        <w:t>,</w:t>
      </w:r>
      <w:r w:rsidR="009C2F9D" w:rsidRPr="001B60F7">
        <w:rPr>
          <w:rFonts w:cstheme="minorHAnsi"/>
        </w:rPr>
        <w:t xml:space="preserve"> </w:t>
      </w:r>
      <w:r w:rsidR="00207474" w:rsidRPr="001B60F7">
        <w:rPr>
          <w:rFonts w:cstheme="minorHAnsi"/>
        </w:rPr>
        <w:t xml:space="preserve">this criterion </w:t>
      </w:r>
      <w:r w:rsidR="009C2F9D" w:rsidRPr="001B60F7">
        <w:rPr>
          <w:rFonts w:cstheme="minorHAnsi"/>
        </w:rPr>
        <w:t xml:space="preserve">is balanced against providing reasonable cost recovery for </w:t>
      </w:r>
      <w:r w:rsidR="00C01836">
        <w:rPr>
          <w:rFonts w:cstheme="minorHAnsi"/>
        </w:rPr>
        <w:t>organisations providing health information</w:t>
      </w:r>
      <w:r w:rsidR="00697D10">
        <w:rPr>
          <w:rFonts w:cstheme="minorHAnsi"/>
        </w:rPr>
        <w:t xml:space="preserve"> (criterion two)</w:t>
      </w:r>
      <w:r w:rsidR="00B842D4">
        <w:rPr>
          <w:rFonts w:cstheme="minorHAnsi"/>
        </w:rPr>
        <w:t xml:space="preserve">. </w:t>
      </w:r>
      <w:r w:rsidR="00B842D4" w:rsidRPr="001B60F7">
        <w:rPr>
          <w:rFonts w:cstheme="minorHAnsi"/>
          <w:szCs w:val="20"/>
          <w:lang w:val="en-AU"/>
        </w:rPr>
        <w:t>Not allowing reasonable cost recovery may have adverse impacts on the other services provided by the organisation, for example, charging more for other core health services. It is in the interests of individuals and the whole community that these organisations operate sustainably.</w:t>
      </w:r>
      <w:r w:rsidR="00697D10">
        <w:rPr>
          <w:rFonts w:cstheme="minorHAnsi"/>
        </w:rPr>
        <w:t xml:space="preserve"> Criterion </w:t>
      </w:r>
      <w:r w:rsidR="00C54F2D">
        <w:rPr>
          <w:rFonts w:cstheme="minorHAnsi"/>
        </w:rPr>
        <w:t>two</w:t>
      </w:r>
      <w:r w:rsidR="00697D10">
        <w:rPr>
          <w:rFonts w:cstheme="minorHAnsi"/>
        </w:rPr>
        <w:t xml:space="preserve"> is</w:t>
      </w:r>
      <w:r w:rsidR="00CF7C91">
        <w:rPr>
          <w:rFonts w:cstheme="minorHAnsi"/>
        </w:rPr>
        <w:t xml:space="preserve"> therefore</w:t>
      </w:r>
      <w:r w:rsidR="004C3209">
        <w:rPr>
          <w:rFonts w:cstheme="minorHAnsi"/>
        </w:rPr>
        <w:t xml:space="preserve"> </w:t>
      </w:r>
      <w:r w:rsidR="00FB6D60" w:rsidRPr="001B60F7">
        <w:rPr>
          <w:rFonts w:cstheme="minorHAnsi"/>
        </w:rPr>
        <w:t>given a</w:t>
      </w:r>
      <w:r w:rsidR="00257170">
        <w:rPr>
          <w:rFonts w:cstheme="minorHAnsi"/>
        </w:rPr>
        <w:t>n equal</w:t>
      </w:r>
      <w:r w:rsidR="00FB6D60" w:rsidRPr="001B60F7">
        <w:rPr>
          <w:rFonts w:cstheme="minorHAnsi"/>
        </w:rPr>
        <w:t xml:space="preserve"> weighting</w:t>
      </w:r>
      <w:r w:rsidR="00257170">
        <w:rPr>
          <w:rFonts w:cstheme="minorHAnsi"/>
        </w:rPr>
        <w:t xml:space="preserve"> t</w:t>
      </w:r>
      <w:r w:rsidR="00CF7C91">
        <w:rPr>
          <w:rFonts w:cstheme="minorHAnsi"/>
        </w:rPr>
        <w:t>o criterion one</w:t>
      </w:r>
      <w:r w:rsidR="00FB6D60" w:rsidRPr="001B60F7">
        <w:rPr>
          <w:rFonts w:cstheme="minorHAnsi"/>
        </w:rPr>
        <w:t xml:space="preserve"> of</w:t>
      </w:r>
      <w:r w:rsidR="00956CAC">
        <w:rPr>
          <w:rFonts w:cstheme="minorHAnsi"/>
        </w:rPr>
        <w:t xml:space="preserve"> </w:t>
      </w:r>
      <w:r w:rsidR="004C3209">
        <w:rPr>
          <w:rFonts w:cstheme="minorHAnsi"/>
        </w:rPr>
        <w:t>4</w:t>
      </w:r>
      <w:r w:rsidR="00956CAC">
        <w:rPr>
          <w:rFonts w:cstheme="minorHAnsi"/>
        </w:rPr>
        <w:t>0%.</w:t>
      </w:r>
      <w:r w:rsidR="00FB6D60" w:rsidRPr="001B60F7">
        <w:rPr>
          <w:rFonts w:cstheme="minorHAnsi"/>
        </w:rPr>
        <w:t xml:space="preserve"> </w:t>
      </w:r>
    </w:p>
    <w:p w14:paraId="4E88FF22" w14:textId="1E9EE6E8" w:rsidR="002C050A" w:rsidRPr="001B60F7" w:rsidRDefault="002C050A" w:rsidP="00257170">
      <w:pPr>
        <w:tabs>
          <w:tab w:val="left" w:pos="4172"/>
        </w:tabs>
        <w:rPr>
          <w:rFonts w:cstheme="minorHAnsi"/>
        </w:rPr>
      </w:pPr>
      <w:r w:rsidRPr="001B60F7">
        <w:rPr>
          <w:rFonts w:cstheme="minorHAnsi"/>
        </w:rPr>
        <w:t xml:space="preserve">The </w:t>
      </w:r>
      <w:r w:rsidR="00697D10">
        <w:rPr>
          <w:rFonts w:cstheme="minorHAnsi"/>
        </w:rPr>
        <w:t>third</w:t>
      </w:r>
      <w:r w:rsidRPr="001B60F7">
        <w:rPr>
          <w:rFonts w:cstheme="minorHAnsi"/>
        </w:rPr>
        <w:t xml:space="preserve"> criterion</w:t>
      </w:r>
      <w:r w:rsidR="00D94591">
        <w:rPr>
          <w:rFonts w:cstheme="minorHAnsi"/>
        </w:rPr>
        <w:t xml:space="preserve">, </w:t>
      </w:r>
      <w:r w:rsidR="00472DC8" w:rsidRPr="00491910">
        <w:rPr>
          <w:rFonts w:cstheme="minorHAnsi"/>
          <w:i/>
          <w:iCs/>
        </w:rPr>
        <w:t>Easy and simple to understand and administer</w:t>
      </w:r>
      <w:r w:rsidR="00D94591">
        <w:rPr>
          <w:rFonts w:cstheme="minorHAnsi"/>
        </w:rPr>
        <w:t>,</w:t>
      </w:r>
      <w:r w:rsidRPr="001B60F7">
        <w:rPr>
          <w:rFonts w:cstheme="minorHAnsi"/>
        </w:rPr>
        <w:t xml:space="preserve"> is important and should be </w:t>
      </w:r>
      <w:proofErr w:type="gramStart"/>
      <w:r w:rsidRPr="001B60F7">
        <w:rPr>
          <w:rFonts w:cstheme="minorHAnsi"/>
        </w:rPr>
        <w:t>taken into account</w:t>
      </w:r>
      <w:proofErr w:type="gramEnd"/>
      <w:r w:rsidRPr="001B60F7">
        <w:rPr>
          <w:rFonts w:cstheme="minorHAnsi"/>
        </w:rPr>
        <w:t xml:space="preserve">, but should not of itself be the dominant driver of setting fees. It therefore has a smaller weighting </w:t>
      </w:r>
      <w:r w:rsidR="00D94591">
        <w:rPr>
          <w:rFonts w:cstheme="minorHAnsi"/>
        </w:rPr>
        <w:t>(20%)</w:t>
      </w:r>
      <w:r w:rsidR="00472DC8">
        <w:rPr>
          <w:rFonts w:cstheme="minorHAnsi"/>
        </w:rPr>
        <w:t>.</w:t>
      </w:r>
    </w:p>
    <w:p w14:paraId="2F560A71" w14:textId="14909F0E" w:rsidR="00DD26C5" w:rsidRDefault="00DD26C5" w:rsidP="00DD535C">
      <w:pPr>
        <w:pStyle w:val="Caption"/>
      </w:pPr>
      <w:r>
        <w:lastRenderedPageBreak/>
        <w:t xml:space="preserve">Table </w:t>
      </w:r>
      <w:r>
        <w:fldChar w:fldCharType="begin"/>
      </w:r>
      <w:r>
        <w:instrText>SEQ Table \* ARABIC</w:instrText>
      </w:r>
      <w:r>
        <w:fldChar w:fldCharType="separate"/>
      </w:r>
      <w:r w:rsidR="00605BD1">
        <w:rPr>
          <w:noProof/>
        </w:rPr>
        <w:t>4</w:t>
      </w:r>
      <w:r>
        <w:fldChar w:fldCharType="end"/>
      </w:r>
      <w:r>
        <w:t xml:space="preserve"> Criteria and weightings</w:t>
      </w:r>
    </w:p>
    <w:tbl>
      <w:tblPr>
        <w:tblStyle w:val="SapereTable"/>
        <w:tblW w:w="0" w:type="auto"/>
        <w:tblLayout w:type="fixed"/>
        <w:tblLook w:val="04A0" w:firstRow="1" w:lastRow="0" w:firstColumn="1" w:lastColumn="0" w:noHBand="0" w:noVBand="1"/>
      </w:tblPr>
      <w:tblGrid>
        <w:gridCol w:w="1985"/>
        <w:gridCol w:w="5670"/>
        <w:gridCol w:w="1371"/>
      </w:tblGrid>
      <w:tr w:rsidR="00AB6FBD" w:rsidRPr="008F47BA" w14:paraId="65DF34C4" w14:textId="77777777" w:rsidTr="00144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250F75F" w14:textId="77777777" w:rsidR="00AB6FBD" w:rsidRPr="00846EC0" w:rsidRDefault="00AB6FBD" w:rsidP="00A14B03">
            <w:pPr>
              <w:keepNext/>
              <w:tabs>
                <w:tab w:val="left" w:pos="4172"/>
              </w:tabs>
              <w:spacing w:before="0"/>
              <w:rPr>
                <w:rFonts w:cstheme="minorHAnsi"/>
                <w:b w:val="0"/>
                <w:bCs/>
                <w:szCs w:val="20"/>
              </w:rPr>
            </w:pPr>
            <w:r w:rsidRPr="00846EC0">
              <w:rPr>
                <w:rFonts w:cstheme="minorHAnsi"/>
                <w:bCs/>
                <w:szCs w:val="20"/>
              </w:rPr>
              <w:t>Criteria</w:t>
            </w:r>
          </w:p>
        </w:tc>
        <w:tc>
          <w:tcPr>
            <w:tcW w:w="5670" w:type="dxa"/>
          </w:tcPr>
          <w:p w14:paraId="172EAC30" w14:textId="77777777" w:rsidR="00AB6FBD" w:rsidRPr="00846EC0" w:rsidRDefault="00AB6FBD" w:rsidP="00A14B03">
            <w:pPr>
              <w:keepNext/>
              <w:tabs>
                <w:tab w:val="left" w:pos="4172"/>
              </w:tabs>
              <w:spacing w:before="0"/>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sidRPr="00846EC0">
              <w:rPr>
                <w:rFonts w:cstheme="minorHAnsi"/>
                <w:bCs/>
                <w:szCs w:val="20"/>
              </w:rPr>
              <w:t>Description</w:t>
            </w:r>
          </w:p>
        </w:tc>
        <w:tc>
          <w:tcPr>
            <w:tcW w:w="1371" w:type="dxa"/>
          </w:tcPr>
          <w:p w14:paraId="74907B83" w14:textId="77777777" w:rsidR="00AB6FBD" w:rsidRPr="00846EC0" w:rsidRDefault="00AB6FBD" w:rsidP="00A14B03">
            <w:pPr>
              <w:keepNext/>
              <w:tabs>
                <w:tab w:val="left" w:pos="4172"/>
              </w:tabs>
              <w:spacing w:before="0"/>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sidRPr="00846EC0">
              <w:rPr>
                <w:rFonts w:cstheme="minorHAnsi"/>
                <w:bCs/>
                <w:szCs w:val="20"/>
              </w:rPr>
              <w:t>Weighting</w:t>
            </w:r>
          </w:p>
        </w:tc>
      </w:tr>
      <w:tr w:rsidR="00FB42AA" w:rsidRPr="008F47BA" w14:paraId="00589DA2" w14:textId="77777777" w:rsidTr="00144088">
        <w:tc>
          <w:tcPr>
            <w:cnfStyle w:val="001000000000" w:firstRow="0" w:lastRow="0" w:firstColumn="1" w:lastColumn="0" w:oddVBand="0" w:evenVBand="0" w:oddHBand="0" w:evenHBand="0" w:firstRowFirstColumn="0" w:firstRowLastColumn="0" w:lastRowFirstColumn="0" w:lastRowLastColumn="0"/>
            <w:tcW w:w="1985" w:type="dxa"/>
          </w:tcPr>
          <w:p w14:paraId="3EF83DDC" w14:textId="7D98CAF3" w:rsidR="00FB42AA" w:rsidRPr="00846EC0" w:rsidRDefault="002B1D20" w:rsidP="00257170">
            <w:pPr>
              <w:tabs>
                <w:tab w:val="left" w:pos="4172"/>
              </w:tabs>
              <w:spacing w:before="0"/>
              <w:rPr>
                <w:rFonts w:cstheme="minorHAnsi"/>
                <w:szCs w:val="20"/>
                <w:highlight w:val="yellow"/>
              </w:rPr>
            </w:pPr>
            <w:r w:rsidRPr="00846EC0">
              <w:rPr>
                <w:rFonts w:cstheme="minorHAnsi"/>
                <w:szCs w:val="20"/>
                <w:lang w:val="en-AU"/>
              </w:rPr>
              <w:t>Facilitate a</w:t>
            </w:r>
            <w:r w:rsidR="00FB42AA" w:rsidRPr="00846EC0">
              <w:rPr>
                <w:rFonts w:cstheme="minorHAnsi"/>
                <w:szCs w:val="20"/>
                <w:lang w:val="en-AU"/>
              </w:rPr>
              <w:t>ccess to health information</w:t>
            </w:r>
          </w:p>
        </w:tc>
        <w:tc>
          <w:tcPr>
            <w:tcW w:w="5670" w:type="dxa"/>
          </w:tcPr>
          <w:p w14:paraId="546A0806" w14:textId="3C934867" w:rsidR="00FB42AA" w:rsidRPr="00846EC0" w:rsidRDefault="00FB42AA" w:rsidP="00257170">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846EC0">
              <w:rPr>
                <w:rFonts w:cstheme="minorHAnsi"/>
                <w:szCs w:val="20"/>
                <w:lang w:val="en-AU"/>
              </w:rPr>
              <w:t>The extent to which the option ensures that any fee charged for access to health information does not unfairly preclude an individual from requesting access to health information, requesting transfer, or seeking review of decision to refuse access.</w:t>
            </w:r>
            <w:r w:rsidR="003F2A99">
              <w:rPr>
                <w:rFonts w:cstheme="minorHAnsi"/>
                <w:szCs w:val="20"/>
                <w:lang w:val="en-AU"/>
              </w:rPr>
              <w:t xml:space="preserve"> The approach adopted in this analysis </w:t>
            </w:r>
            <w:r w:rsidR="00CB22E6">
              <w:rPr>
                <w:rFonts w:cstheme="minorHAnsi"/>
                <w:szCs w:val="20"/>
                <w:lang w:val="en-AU"/>
              </w:rPr>
              <w:t xml:space="preserve">is </w:t>
            </w:r>
            <w:r w:rsidR="003F2A99">
              <w:rPr>
                <w:rFonts w:cstheme="minorHAnsi"/>
                <w:szCs w:val="20"/>
                <w:lang w:val="en-AU"/>
              </w:rPr>
              <w:t xml:space="preserve">that the lower the </w:t>
            </w:r>
            <w:r w:rsidR="00FB6D13">
              <w:rPr>
                <w:rFonts w:cstheme="minorHAnsi"/>
                <w:szCs w:val="20"/>
                <w:lang w:val="en-AU"/>
              </w:rPr>
              <w:t xml:space="preserve">maximum fee that is set, the less likely it will </w:t>
            </w:r>
            <w:r w:rsidR="00CB22E6">
              <w:rPr>
                <w:rFonts w:cstheme="minorHAnsi"/>
                <w:szCs w:val="20"/>
                <w:lang w:val="en-AU"/>
              </w:rPr>
              <w:t xml:space="preserve">unfairly </w:t>
            </w:r>
            <w:r w:rsidR="00FB6D13">
              <w:rPr>
                <w:rFonts w:cstheme="minorHAnsi"/>
                <w:szCs w:val="20"/>
                <w:lang w:val="en-AU"/>
              </w:rPr>
              <w:t>preclude access to health information.</w:t>
            </w:r>
          </w:p>
        </w:tc>
        <w:tc>
          <w:tcPr>
            <w:tcW w:w="1371" w:type="dxa"/>
          </w:tcPr>
          <w:p w14:paraId="091F47D5" w14:textId="6B422659" w:rsidR="00FB42AA" w:rsidRPr="00846EC0" w:rsidRDefault="00801E7C" w:rsidP="00257170">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Pr>
                <w:rFonts w:cstheme="minorHAnsi"/>
                <w:szCs w:val="20"/>
                <w:lang w:val="en-AU"/>
              </w:rPr>
              <w:t>4</w:t>
            </w:r>
            <w:r w:rsidR="00A62A51" w:rsidRPr="00846EC0">
              <w:rPr>
                <w:rFonts w:cstheme="minorHAnsi"/>
                <w:szCs w:val="20"/>
                <w:lang w:val="en-AU"/>
              </w:rPr>
              <w:t>0</w:t>
            </w:r>
            <w:r w:rsidR="00FB42AA" w:rsidRPr="00846EC0">
              <w:rPr>
                <w:rFonts w:cstheme="minorHAnsi"/>
                <w:szCs w:val="20"/>
                <w:lang w:val="en-AU"/>
              </w:rPr>
              <w:t>%</w:t>
            </w:r>
          </w:p>
          <w:p w14:paraId="02C2A5A0" w14:textId="5E2CB84F" w:rsidR="00FB42AA" w:rsidRPr="00846EC0" w:rsidRDefault="00FB42AA" w:rsidP="00257170">
            <w:pPr>
              <w:tabs>
                <w:tab w:val="left" w:pos="4172"/>
              </w:tabs>
              <w:spacing w:before="0" w:after="120"/>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p>
        </w:tc>
      </w:tr>
      <w:tr w:rsidR="00FB42AA" w:rsidRPr="008F47BA" w14:paraId="00D44B58" w14:textId="77777777" w:rsidTr="00144088">
        <w:trPr>
          <w:trHeight w:val="1094"/>
        </w:trPr>
        <w:tc>
          <w:tcPr>
            <w:cnfStyle w:val="001000000000" w:firstRow="0" w:lastRow="0" w:firstColumn="1" w:lastColumn="0" w:oddVBand="0" w:evenVBand="0" w:oddHBand="0" w:evenHBand="0" w:firstRowFirstColumn="0" w:firstRowLastColumn="0" w:lastRowFirstColumn="0" w:lastRowLastColumn="0"/>
            <w:tcW w:w="1985" w:type="dxa"/>
          </w:tcPr>
          <w:p w14:paraId="62A3ED4D" w14:textId="7C3DEE29" w:rsidR="00FB42AA" w:rsidRPr="00846EC0" w:rsidRDefault="00321D5A" w:rsidP="00257170">
            <w:pPr>
              <w:tabs>
                <w:tab w:val="left" w:pos="4172"/>
              </w:tabs>
              <w:spacing w:before="0"/>
              <w:rPr>
                <w:rFonts w:cstheme="minorHAnsi"/>
                <w:szCs w:val="20"/>
                <w:highlight w:val="yellow"/>
              </w:rPr>
            </w:pPr>
            <w:r w:rsidRPr="00846EC0">
              <w:rPr>
                <w:rFonts w:cstheme="minorHAnsi"/>
                <w:szCs w:val="20"/>
                <w:lang w:val="en-AU"/>
              </w:rPr>
              <w:t>Reas</w:t>
            </w:r>
            <w:r w:rsidR="00000804" w:rsidRPr="00846EC0">
              <w:rPr>
                <w:rFonts w:cstheme="minorHAnsi"/>
                <w:szCs w:val="20"/>
                <w:lang w:val="en-AU"/>
              </w:rPr>
              <w:t xml:space="preserve">onable cost recovery for </w:t>
            </w:r>
            <w:r w:rsidR="00C01836">
              <w:rPr>
                <w:rFonts w:cstheme="minorHAnsi"/>
                <w:szCs w:val="20"/>
                <w:lang w:val="en-AU"/>
              </w:rPr>
              <w:t>organisations</w:t>
            </w:r>
          </w:p>
        </w:tc>
        <w:tc>
          <w:tcPr>
            <w:tcW w:w="5670" w:type="dxa"/>
          </w:tcPr>
          <w:p w14:paraId="45D37C35" w14:textId="1B832750" w:rsidR="009767D1" w:rsidRPr="00846EC0" w:rsidRDefault="00FB42AA" w:rsidP="00257170">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846EC0">
              <w:rPr>
                <w:rFonts w:cstheme="minorHAnsi"/>
                <w:szCs w:val="20"/>
                <w:lang w:val="en-AU"/>
              </w:rPr>
              <w:t>The extent to which the option allows recovery of reasonable costs in providing access to health information, or other functions under the Act</w:t>
            </w:r>
            <w:r w:rsidR="00663D10" w:rsidRPr="00846EC0">
              <w:rPr>
                <w:rFonts w:cstheme="minorHAnsi"/>
                <w:szCs w:val="20"/>
                <w:lang w:val="en-AU"/>
              </w:rPr>
              <w:t>.</w:t>
            </w:r>
            <w:r w:rsidR="00527FC5">
              <w:rPr>
                <w:rFonts w:cstheme="minorHAnsi"/>
                <w:szCs w:val="20"/>
                <w:lang w:val="en-AU"/>
              </w:rPr>
              <w:t xml:space="preserve"> </w:t>
            </w:r>
            <w:r w:rsidR="009767D1" w:rsidRPr="00846EC0">
              <w:rPr>
                <w:rFonts w:cstheme="minorHAnsi"/>
                <w:szCs w:val="20"/>
                <w:lang w:val="en-AU"/>
              </w:rPr>
              <w:t>Not allowing reasonable cost recovery may have adverse impacts on other services provided by the organisation, for example, charging more for other core health services</w:t>
            </w:r>
            <w:r w:rsidR="004719D9" w:rsidRPr="00846EC0">
              <w:rPr>
                <w:rFonts w:cstheme="minorHAnsi"/>
                <w:szCs w:val="20"/>
                <w:lang w:val="en-AU"/>
              </w:rPr>
              <w:t xml:space="preserve"> </w:t>
            </w:r>
            <w:proofErr w:type="gramStart"/>
            <w:r w:rsidR="004719D9" w:rsidRPr="00846EC0">
              <w:rPr>
                <w:rFonts w:cstheme="minorHAnsi"/>
                <w:szCs w:val="20"/>
                <w:lang w:val="en-AU"/>
              </w:rPr>
              <w:t>i.e.</w:t>
            </w:r>
            <w:proofErr w:type="gramEnd"/>
            <w:r w:rsidR="004719D9" w:rsidRPr="00846EC0">
              <w:rPr>
                <w:rFonts w:cstheme="minorHAnsi"/>
                <w:szCs w:val="20"/>
                <w:lang w:val="en-AU"/>
              </w:rPr>
              <w:t xml:space="preserve"> to subsidise the provision of access to health records</w:t>
            </w:r>
            <w:r w:rsidR="009767D1" w:rsidRPr="00846EC0">
              <w:rPr>
                <w:rFonts w:cstheme="minorHAnsi"/>
                <w:szCs w:val="20"/>
                <w:lang w:val="en-AU"/>
              </w:rPr>
              <w:t xml:space="preserve">. It is in the interests of individuals and the whole community that </w:t>
            </w:r>
            <w:r w:rsidR="004719D9" w:rsidRPr="00846EC0">
              <w:rPr>
                <w:rFonts w:cstheme="minorHAnsi"/>
                <w:szCs w:val="20"/>
                <w:lang w:val="en-AU"/>
              </w:rPr>
              <w:t>health providers</w:t>
            </w:r>
            <w:r w:rsidR="009767D1" w:rsidRPr="00846EC0">
              <w:rPr>
                <w:rFonts w:cstheme="minorHAnsi"/>
                <w:szCs w:val="20"/>
                <w:lang w:val="en-AU"/>
              </w:rPr>
              <w:t xml:space="preserve"> operate sustainably.</w:t>
            </w:r>
          </w:p>
        </w:tc>
        <w:tc>
          <w:tcPr>
            <w:tcW w:w="1371" w:type="dxa"/>
          </w:tcPr>
          <w:p w14:paraId="5D50D3A5" w14:textId="359BAAAC" w:rsidR="00FB42AA" w:rsidRPr="00846EC0" w:rsidRDefault="00801E7C" w:rsidP="00257170">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Pr>
                <w:rFonts w:cstheme="minorHAnsi"/>
                <w:szCs w:val="20"/>
                <w:lang w:val="en-AU"/>
              </w:rPr>
              <w:t>4</w:t>
            </w:r>
            <w:r w:rsidR="00BF40AB" w:rsidRPr="00846EC0">
              <w:rPr>
                <w:rFonts w:cstheme="minorHAnsi"/>
                <w:szCs w:val="20"/>
                <w:lang w:val="en-AU"/>
              </w:rPr>
              <w:t>0</w:t>
            </w:r>
            <w:r w:rsidR="00FB42AA" w:rsidRPr="00846EC0">
              <w:rPr>
                <w:rFonts w:cstheme="minorHAnsi"/>
                <w:szCs w:val="20"/>
                <w:lang w:val="en-AU"/>
              </w:rPr>
              <w:t>%</w:t>
            </w:r>
          </w:p>
        </w:tc>
      </w:tr>
      <w:tr w:rsidR="00C96B13" w:rsidRPr="008F47BA" w14:paraId="68D35C9C" w14:textId="77777777" w:rsidTr="00144088">
        <w:trPr>
          <w:trHeight w:val="816"/>
        </w:trPr>
        <w:tc>
          <w:tcPr>
            <w:cnfStyle w:val="001000000000" w:firstRow="0" w:lastRow="0" w:firstColumn="1" w:lastColumn="0" w:oddVBand="0" w:evenVBand="0" w:oddHBand="0" w:evenHBand="0" w:firstRowFirstColumn="0" w:firstRowLastColumn="0" w:lastRowFirstColumn="0" w:lastRowLastColumn="0"/>
            <w:tcW w:w="1985" w:type="dxa"/>
          </w:tcPr>
          <w:p w14:paraId="6B5B1FBF" w14:textId="6EE6A24A" w:rsidR="00C96B13" w:rsidRPr="00846EC0" w:rsidRDefault="00C96B13" w:rsidP="00C96B13">
            <w:pPr>
              <w:tabs>
                <w:tab w:val="left" w:pos="4172"/>
              </w:tabs>
              <w:spacing w:before="0"/>
              <w:rPr>
                <w:rFonts w:cstheme="minorHAnsi"/>
                <w:szCs w:val="20"/>
                <w:highlight w:val="yellow"/>
              </w:rPr>
            </w:pPr>
            <w:r w:rsidRPr="00B11700">
              <w:t>Easy and simple to understand and administer</w:t>
            </w:r>
          </w:p>
        </w:tc>
        <w:tc>
          <w:tcPr>
            <w:tcW w:w="5670" w:type="dxa"/>
          </w:tcPr>
          <w:p w14:paraId="21DDC5BF" w14:textId="669CD93C" w:rsidR="00C96B13" w:rsidRPr="00846EC0" w:rsidRDefault="00C96B13" w:rsidP="00C96B13">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B11700">
              <w:t>The ability to easily determine what fee applies, including the ability for organisations to communicate, calculate and collect the fee, and for individuals to understand the fees to be applied in advance. This also includes consideration of the level of administrative costs associated with calculating and levying fees.</w:t>
            </w:r>
          </w:p>
        </w:tc>
        <w:tc>
          <w:tcPr>
            <w:tcW w:w="1371" w:type="dxa"/>
          </w:tcPr>
          <w:p w14:paraId="53F7E9DB" w14:textId="3512E189" w:rsidR="00C96B13" w:rsidRPr="00846EC0" w:rsidRDefault="00C96B13" w:rsidP="00C96B13">
            <w:pPr>
              <w:tabs>
                <w:tab w:val="left" w:pos="4172"/>
              </w:tabs>
              <w:spacing w:before="0"/>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B11700">
              <w:t>20%</w:t>
            </w:r>
          </w:p>
        </w:tc>
      </w:tr>
    </w:tbl>
    <w:p w14:paraId="27ACEC79" w14:textId="04E3A8A7" w:rsidR="00506D93" w:rsidRDefault="00506D93" w:rsidP="00257170">
      <w:pPr>
        <w:pStyle w:val="ListBullet"/>
        <w:numPr>
          <w:ilvl w:val="0"/>
          <w:numId w:val="0"/>
        </w:numPr>
        <w:tabs>
          <w:tab w:val="left" w:pos="4172"/>
        </w:tabs>
        <w:rPr>
          <w:b/>
          <w:bCs/>
        </w:rPr>
      </w:pPr>
    </w:p>
    <w:p w14:paraId="7E8BA2F0" w14:textId="0E8597B2" w:rsidR="00846EC0" w:rsidRDefault="00101926" w:rsidP="00257170">
      <w:pPr>
        <w:tabs>
          <w:tab w:val="left" w:pos="4172"/>
        </w:tabs>
      </w:pPr>
      <w:r>
        <w:t>Each of the three feasible options has been scored against each criterion above. The score can range from -10 to +10, with the scores then weighted by the above weightings. The scores reflect how well the option improves (a positive score) or worsens (a negative score) each criterion objective relative to the base case.</w:t>
      </w:r>
    </w:p>
    <w:p w14:paraId="38F19756" w14:textId="6E7DF5FB" w:rsidR="002169A5" w:rsidRDefault="002F347F" w:rsidP="00257170">
      <w:pPr>
        <w:pStyle w:val="Caption"/>
        <w:tabs>
          <w:tab w:val="left" w:pos="4172"/>
        </w:tabs>
      </w:pPr>
      <w:r>
        <w:t xml:space="preserve">Table </w:t>
      </w:r>
      <w:r>
        <w:fldChar w:fldCharType="begin"/>
      </w:r>
      <w:r>
        <w:instrText>SEQ Table \* ARABIC</w:instrText>
      </w:r>
      <w:r>
        <w:fldChar w:fldCharType="separate"/>
      </w:r>
      <w:r w:rsidR="00605BD1">
        <w:rPr>
          <w:noProof/>
        </w:rPr>
        <w:t>5</w:t>
      </w:r>
      <w:r>
        <w:fldChar w:fldCharType="end"/>
      </w:r>
      <w:r>
        <w:t>: MCA scale</w:t>
      </w:r>
    </w:p>
    <w:tbl>
      <w:tblPr>
        <w:tblStyle w:val="SapereTable"/>
        <w:tblW w:w="4536" w:type="dxa"/>
        <w:tblLayout w:type="fixed"/>
        <w:tblLook w:val="04A0" w:firstRow="1" w:lastRow="0" w:firstColumn="1" w:lastColumn="0" w:noHBand="0" w:noVBand="1"/>
      </w:tblPr>
      <w:tblGrid>
        <w:gridCol w:w="1134"/>
        <w:gridCol w:w="3402"/>
      </w:tblGrid>
      <w:tr w:rsidR="002169A5" w:rsidRPr="00846EC0" w14:paraId="14A7C460" w14:textId="77777777" w:rsidTr="00846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7478A5F" w14:textId="77777777" w:rsidR="002169A5" w:rsidRPr="00846EC0" w:rsidRDefault="002169A5" w:rsidP="00257170">
            <w:pPr>
              <w:tabs>
                <w:tab w:val="left" w:pos="4172"/>
              </w:tabs>
              <w:spacing w:before="0" w:line="240" w:lineRule="auto"/>
              <w:rPr>
                <w:rFonts w:eastAsia="Times New Roman" w:cs="Segoe UI Light"/>
                <w:b w:val="0"/>
                <w:szCs w:val="20"/>
                <w:lang w:val="en-US"/>
              </w:rPr>
            </w:pPr>
            <w:r w:rsidRPr="00846EC0">
              <w:rPr>
                <w:rFonts w:eastAsia="Times New Roman" w:cs="Segoe UI Light"/>
                <w:szCs w:val="20"/>
                <w:lang w:val="en-US"/>
              </w:rPr>
              <w:t>Score</w:t>
            </w:r>
          </w:p>
        </w:tc>
        <w:tc>
          <w:tcPr>
            <w:tcW w:w="3402" w:type="dxa"/>
          </w:tcPr>
          <w:p w14:paraId="7E9426F7" w14:textId="77777777" w:rsidR="002169A5" w:rsidRPr="00846EC0" w:rsidRDefault="002169A5" w:rsidP="00257170">
            <w:pPr>
              <w:tabs>
                <w:tab w:val="left" w:pos="4172"/>
              </w:tabs>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Segoe UI Light"/>
                <w:b w:val="0"/>
                <w:szCs w:val="20"/>
                <w:lang w:val="en-US"/>
              </w:rPr>
            </w:pPr>
            <w:r w:rsidRPr="00846EC0">
              <w:rPr>
                <w:rFonts w:cs="Segoe UI Light"/>
                <w:szCs w:val="20"/>
              </w:rPr>
              <w:t>Description</w:t>
            </w:r>
          </w:p>
        </w:tc>
      </w:tr>
      <w:tr w:rsidR="002169A5" w:rsidRPr="00846EC0" w14:paraId="1D0C2C5A" w14:textId="77777777" w:rsidTr="00846EC0">
        <w:tc>
          <w:tcPr>
            <w:cnfStyle w:val="001000000000" w:firstRow="0" w:lastRow="0" w:firstColumn="1" w:lastColumn="0" w:oddVBand="0" w:evenVBand="0" w:oddHBand="0" w:evenHBand="0" w:firstRowFirstColumn="0" w:firstRowLastColumn="0" w:lastRowFirstColumn="0" w:lastRowLastColumn="0"/>
            <w:tcW w:w="1134" w:type="dxa"/>
          </w:tcPr>
          <w:p w14:paraId="0325470F" w14:textId="77777777" w:rsidR="002169A5" w:rsidRPr="00846EC0" w:rsidRDefault="002169A5" w:rsidP="00257170">
            <w:pPr>
              <w:tabs>
                <w:tab w:val="left" w:pos="3011"/>
                <w:tab w:val="left" w:pos="4172"/>
              </w:tabs>
              <w:spacing w:before="0" w:line="240" w:lineRule="auto"/>
              <w:ind w:right="-249"/>
              <w:jc w:val="both"/>
              <w:rPr>
                <w:rFonts w:cs="Segoe UI Light"/>
                <w:szCs w:val="20"/>
              </w:rPr>
            </w:pPr>
            <w:r w:rsidRPr="00846EC0">
              <w:rPr>
                <w:rFonts w:cs="Segoe UI Light"/>
                <w:szCs w:val="20"/>
              </w:rPr>
              <w:t>-10</w:t>
            </w:r>
          </w:p>
        </w:tc>
        <w:tc>
          <w:tcPr>
            <w:tcW w:w="3402" w:type="dxa"/>
          </w:tcPr>
          <w:p w14:paraId="4823B60F" w14:textId="30630FB3" w:rsidR="002169A5" w:rsidRPr="00846EC0" w:rsidRDefault="002169A5" w:rsidP="00257170">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szCs w:val="20"/>
              </w:rPr>
            </w:pPr>
            <w:r w:rsidRPr="00846EC0">
              <w:rPr>
                <w:rFonts w:cs="Segoe UI Light"/>
                <w:szCs w:val="20"/>
              </w:rPr>
              <w:t xml:space="preserve">Much worse than the </w:t>
            </w:r>
            <w:r w:rsidR="0004288A">
              <w:rPr>
                <w:rFonts w:cs="Segoe UI Light"/>
                <w:szCs w:val="20"/>
              </w:rPr>
              <w:t>base case</w:t>
            </w:r>
          </w:p>
        </w:tc>
      </w:tr>
      <w:tr w:rsidR="002169A5" w:rsidRPr="00846EC0" w14:paraId="59855F06" w14:textId="77777777" w:rsidTr="00846EC0">
        <w:tc>
          <w:tcPr>
            <w:cnfStyle w:val="001000000000" w:firstRow="0" w:lastRow="0" w:firstColumn="1" w:lastColumn="0" w:oddVBand="0" w:evenVBand="0" w:oddHBand="0" w:evenHBand="0" w:firstRowFirstColumn="0" w:firstRowLastColumn="0" w:lastRowFirstColumn="0" w:lastRowLastColumn="0"/>
            <w:tcW w:w="1134" w:type="dxa"/>
          </w:tcPr>
          <w:p w14:paraId="770E4D70" w14:textId="77777777" w:rsidR="002169A5" w:rsidRPr="00846EC0" w:rsidRDefault="002169A5" w:rsidP="00257170">
            <w:pPr>
              <w:tabs>
                <w:tab w:val="left" w:pos="3011"/>
                <w:tab w:val="left" w:pos="4172"/>
              </w:tabs>
              <w:spacing w:before="0" w:line="240" w:lineRule="auto"/>
              <w:ind w:right="-249"/>
              <w:jc w:val="both"/>
              <w:rPr>
                <w:rFonts w:cs="Segoe UI Light"/>
                <w:szCs w:val="20"/>
              </w:rPr>
            </w:pPr>
            <w:r w:rsidRPr="00846EC0">
              <w:rPr>
                <w:rFonts w:cs="Segoe UI Light"/>
                <w:szCs w:val="20"/>
              </w:rPr>
              <w:t>-5</w:t>
            </w:r>
          </w:p>
        </w:tc>
        <w:tc>
          <w:tcPr>
            <w:tcW w:w="3402" w:type="dxa"/>
          </w:tcPr>
          <w:p w14:paraId="7ABDAC3B" w14:textId="635E1214" w:rsidR="002169A5" w:rsidRPr="00846EC0" w:rsidRDefault="002169A5" w:rsidP="00257170">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szCs w:val="20"/>
              </w:rPr>
            </w:pPr>
            <w:r w:rsidRPr="00846EC0">
              <w:rPr>
                <w:rFonts w:cs="Segoe UI Light"/>
                <w:szCs w:val="20"/>
              </w:rPr>
              <w:t xml:space="preserve">Somewhat worse than the </w:t>
            </w:r>
            <w:r w:rsidR="0004288A">
              <w:rPr>
                <w:rFonts w:cs="Segoe UI Light"/>
                <w:szCs w:val="20"/>
              </w:rPr>
              <w:t>base case</w:t>
            </w:r>
          </w:p>
        </w:tc>
      </w:tr>
      <w:tr w:rsidR="002169A5" w:rsidRPr="00846EC0" w14:paraId="360E3EA5" w14:textId="77777777" w:rsidTr="00846EC0">
        <w:tc>
          <w:tcPr>
            <w:cnfStyle w:val="001000000000" w:firstRow="0" w:lastRow="0" w:firstColumn="1" w:lastColumn="0" w:oddVBand="0" w:evenVBand="0" w:oddHBand="0" w:evenHBand="0" w:firstRowFirstColumn="0" w:firstRowLastColumn="0" w:lastRowFirstColumn="0" w:lastRowLastColumn="0"/>
            <w:tcW w:w="1134" w:type="dxa"/>
          </w:tcPr>
          <w:p w14:paraId="6C9B524D" w14:textId="77777777" w:rsidR="002169A5" w:rsidRPr="00846EC0" w:rsidRDefault="002169A5" w:rsidP="00257170">
            <w:pPr>
              <w:tabs>
                <w:tab w:val="left" w:pos="3011"/>
                <w:tab w:val="left" w:pos="4172"/>
              </w:tabs>
              <w:spacing w:before="0" w:line="240" w:lineRule="auto"/>
              <w:ind w:right="-249"/>
              <w:jc w:val="both"/>
              <w:rPr>
                <w:rFonts w:cs="Segoe UI Light"/>
                <w:szCs w:val="20"/>
              </w:rPr>
            </w:pPr>
            <w:r w:rsidRPr="00846EC0">
              <w:rPr>
                <w:rFonts w:cs="Segoe UI Light"/>
                <w:szCs w:val="20"/>
              </w:rPr>
              <w:t>0</w:t>
            </w:r>
          </w:p>
        </w:tc>
        <w:tc>
          <w:tcPr>
            <w:tcW w:w="3402" w:type="dxa"/>
          </w:tcPr>
          <w:p w14:paraId="1DB14E1C" w14:textId="2AE8711E" w:rsidR="002169A5" w:rsidRPr="00846EC0" w:rsidRDefault="002169A5" w:rsidP="00257170">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szCs w:val="20"/>
              </w:rPr>
            </w:pPr>
            <w:r w:rsidRPr="00846EC0">
              <w:rPr>
                <w:rFonts w:cs="Segoe UI Light"/>
                <w:szCs w:val="20"/>
              </w:rPr>
              <w:t xml:space="preserve">No change from the </w:t>
            </w:r>
            <w:r w:rsidR="0004288A">
              <w:rPr>
                <w:rFonts w:cs="Segoe UI Light"/>
                <w:szCs w:val="20"/>
              </w:rPr>
              <w:t>base case</w:t>
            </w:r>
          </w:p>
        </w:tc>
      </w:tr>
      <w:tr w:rsidR="002169A5" w:rsidRPr="00846EC0" w14:paraId="78CC9DF3" w14:textId="77777777" w:rsidTr="00846EC0">
        <w:tc>
          <w:tcPr>
            <w:cnfStyle w:val="001000000000" w:firstRow="0" w:lastRow="0" w:firstColumn="1" w:lastColumn="0" w:oddVBand="0" w:evenVBand="0" w:oddHBand="0" w:evenHBand="0" w:firstRowFirstColumn="0" w:firstRowLastColumn="0" w:lastRowFirstColumn="0" w:lastRowLastColumn="0"/>
            <w:tcW w:w="1134" w:type="dxa"/>
          </w:tcPr>
          <w:p w14:paraId="5B861BCD" w14:textId="77777777" w:rsidR="002169A5" w:rsidRPr="00846EC0" w:rsidRDefault="002169A5" w:rsidP="00257170">
            <w:pPr>
              <w:tabs>
                <w:tab w:val="left" w:pos="3011"/>
                <w:tab w:val="left" w:pos="4172"/>
              </w:tabs>
              <w:spacing w:before="0" w:line="240" w:lineRule="auto"/>
              <w:ind w:right="-249"/>
              <w:jc w:val="both"/>
              <w:rPr>
                <w:rFonts w:cs="Segoe UI Light"/>
                <w:szCs w:val="20"/>
              </w:rPr>
            </w:pPr>
            <w:r w:rsidRPr="00846EC0">
              <w:rPr>
                <w:rFonts w:cs="Segoe UI Light"/>
                <w:szCs w:val="20"/>
              </w:rPr>
              <w:t>+5</w:t>
            </w:r>
          </w:p>
        </w:tc>
        <w:tc>
          <w:tcPr>
            <w:tcW w:w="3402" w:type="dxa"/>
          </w:tcPr>
          <w:p w14:paraId="42E57BD6" w14:textId="32485C4C" w:rsidR="002169A5" w:rsidRPr="00846EC0" w:rsidRDefault="002169A5" w:rsidP="00257170">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szCs w:val="20"/>
              </w:rPr>
            </w:pPr>
            <w:r w:rsidRPr="00846EC0">
              <w:rPr>
                <w:rFonts w:cs="Segoe UI Light"/>
                <w:szCs w:val="20"/>
              </w:rPr>
              <w:t xml:space="preserve">Somewhat better than the </w:t>
            </w:r>
            <w:r w:rsidR="0004288A">
              <w:rPr>
                <w:rFonts w:cs="Segoe UI Light"/>
                <w:szCs w:val="20"/>
              </w:rPr>
              <w:t>base case</w:t>
            </w:r>
          </w:p>
        </w:tc>
      </w:tr>
      <w:tr w:rsidR="002169A5" w:rsidRPr="00846EC0" w14:paraId="042CA182" w14:textId="77777777" w:rsidTr="00846EC0">
        <w:tc>
          <w:tcPr>
            <w:cnfStyle w:val="001000000000" w:firstRow="0" w:lastRow="0" w:firstColumn="1" w:lastColumn="0" w:oddVBand="0" w:evenVBand="0" w:oddHBand="0" w:evenHBand="0" w:firstRowFirstColumn="0" w:firstRowLastColumn="0" w:lastRowFirstColumn="0" w:lastRowLastColumn="0"/>
            <w:tcW w:w="1134" w:type="dxa"/>
          </w:tcPr>
          <w:p w14:paraId="5CD471FB" w14:textId="77777777" w:rsidR="002169A5" w:rsidRPr="00846EC0" w:rsidRDefault="002169A5" w:rsidP="00257170">
            <w:pPr>
              <w:tabs>
                <w:tab w:val="left" w:pos="3011"/>
                <w:tab w:val="left" w:pos="4172"/>
              </w:tabs>
              <w:spacing w:before="0" w:line="240" w:lineRule="auto"/>
              <w:ind w:right="-249"/>
              <w:jc w:val="both"/>
              <w:rPr>
                <w:rFonts w:cs="Segoe UI Light"/>
                <w:szCs w:val="20"/>
              </w:rPr>
            </w:pPr>
            <w:r w:rsidRPr="00846EC0">
              <w:rPr>
                <w:rFonts w:cs="Segoe UI Light"/>
                <w:szCs w:val="20"/>
              </w:rPr>
              <w:t>+10</w:t>
            </w:r>
          </w:p>
        </w:tc>
        <w:tc>
          <w:tcPr>
            <w:tcW w:w="3402" w:type="dxa"/>
          </w:tcPr>
          <w:p w14:paraId="5D258A04" w14:textId="1D09A5A1" w:rsidR="002169A5" w:rsidRPr="00846EC0" w:rsidRDefault="002169A5" w:rsidP="00257170">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szCs w:val="20"/>
              </w:rPr>
            </w:pPr>
            <w:r w:rsidRPr="00846EC0">
              <w:rPr>
                <w:rFonts w:cs="Segoe UI Light"/>
                <w:szCs w:val="20"/>
              </w:rPr>
              <w:t xml:space="preserve">Much better than the </w:t>
            </w:r>
            <w:r w:rsidR="0004288A">
              <w:rPr>
                <w:rFonts w:cs="Segoe UI Light"/>
                <w:szCs w:val="20"/>
              </w:rPr>
              <w:t>base case</w:t>
            </w:r>
          </w:p>
        </w:tc>
      </w:tr>
    </w:tbl>
    <w:p w14:paraId="5F70E77E" w14:textId="3AFC1524" w:rsidR="00542936" w:rsidRPr="00B64D27" w:rsidRDefault="002B07C0" w:rsidP="00816B24">
      <w:pPr>
        <w:pStyle w:val="Heading6"/>
      </w:pPr>
      <w:r>
        <w:lastRenderedPageBreak/>
        <w:t xml:space="preserve">Analysis </w:t>
      </w:r>
      <w:r w:rsidR="00846EC0">
        <w:t>using the MCA</w:t>
      </w:r>
    </w:p>
    <w:p w14:paraId="331CEB9E" w14:textId="0120720A" w:rsidR="00846EC0" w:rsidRDefault="00846EC0" w:rsidP="00846EC0">
      <w:pPr>
        <w:pStyle w:val="Heading7"/>
      </w:pPr>
      <w:r w:rsidRPr="000104D7">
        <w:rPr>
          <w:bCs/>
        </w:rPr>
        <w:t xml:space="preserve">Base </w:t>
      </w:r>
      <w:r>
        <w:rPr>
          <w:bCs/>
        </w:rPr>
        <w:t>case</w:t>
      </w:r>
      <w:r w:rsidR="00913EE1">
        <w:rPr>
          <w:bCs/>
        </w:rPr>
        <w:t>:</w:t>
      </w:r>
      <w:r>
        <w:rPr>
          <w:bCs/>
        </w:rPr>
        <w:t xml:space="preserve"> </w:t>
      </w:r>
      <w:r w:rsidRPr="000104D7">
        <w:t xml:space="preserve">regulations </w:t>
      </w:r>
      <w:proofErr w:type="gramStart"/>
      <w:r w:rsidRPr="000104D7">
        <w:t>expire</w:t>
      </w:r>
      <w:proofErr w:type="gramEnd"/>
      <w:r w:rsidRPr="000104D7">
        <w:t xml:space="preserve"> and no new regulations are introduced</w:t>
      </w:r>
    </w:p>
    <w:p w14:paraId="276915C8" w14:textId="39A634F7" w:rsidR="00777BB0" w:rsidRDefault="008C0EDA" w:rsidP="00846EC0">
      <w:r>
        <w:t xml:space="preserve">If no </w:t>
      </w:r>
      <w:r w:rsidR="00777BB0">
        <w:t>new regulations are introduced:</w:t>
      </w:r>
    </w:p>
    <w:p w14:paraId="789F7573" w14:textId="1623D90C" w:rsidR="00AE726E" w:rsidRDefault="0063501C" w:rsidP="00777BB0">
      <w:pPr>
        <w:pStyle w:val="ListParagraph"/>
        <w:numPr>
          <w:ilvl w:val="0"/>
          <w:numId w:val="46"/>
        </w:numPr>
      </w:pPr>
      <w:r>
        <w:t>Organisations will no longer be able to charge for providing access to information under the Act</w:t>
      </w:r>
      <w:r w:rsidR="005667F1" w:rsidRPr="005667F1">
        <w:t xml:space="preserve"> </w:t>
      </w:r>
      <w:r w:rsidR="005667F1">
        <w:t>as under the Act</w:t>
      </w:r>
      <w:r w:rsidR="005667F1" w:rsidRPr="005667F1">
        <w:t xml:space="preserve"> </w:t>
      </w:r>
      <w:r w:rsidR="005667F1">
        <w:t>a fee cannot be charged unless a maximum fee is regulated</w:t>
      </w:r>
      <w:r>
        <w:t xml:space="preserve">. </w:t>
      </w:r>
      <w:r w:rsidR="001270A7">
        <w:t>M</w:t>
      </w:r>
      <w:r w:rsidR="00B76F74">
        <w:t>ost private organisations would be able to charge a</w:t>
      </w:r>
      <w:r w:rsidR="0028327B">
        <w:t xml:space="preserve"> fee</w:t>
      </w:r>
      <w:r w:rsidR="00B76F74">
        <w:t xml:space="preserve"> </w:t>
      </w:r>
      <w:r w:rsidR="0028327B">
        <w:t>to</w:t>
      </w:r>
      <w:r w:rsidR="00B76F74">
        <w:t xml:space="preserve"> a person accessing health information </w:t>
      </w:r>
      <w:r w:rsidR="00B253C6">
        <w:t>under</w:t>
      </w:r>
      <w:r w:rsidR="00EA3EA2">
        <w:t xml:space="preserve"> the</w:t>
      </w:r>
      <w:r w:rsidR="00B76F74">
        <w:t xml:space="preserve"> Commonwealth Privacy Act</w:t>
      </w:r>
      <w:r w:rsidR="00EC7E97">
        <w:t xml:space="preserve">, </w:t>
      </w:r>
      <w:r w:rsidR="00902AD9">
        <w:t>so long as the fee is not excessive</w:t>
      </w:r>
      <w:r w:rsidR="00EA3EA2">
        <w:t>.</w:t>
      </w:r>
    </w:p>
    <w:p w14:paraId="3921DE85" w14:textId="43D01292" w:rsidR="00B77E10" w:rsidRDefault="00B77E10" w:rsidP="00B77E10">
      <w:pPr>
        <w:pStyle w:val="ListParagraph"/>
        <w:numPr>
          <w:ilvl w:val="1"/>
          <w:numId w:val="46"/>
        </w:numPr>
      </w:pPr>
      <w:r>
        <w:t>However, there will be a small number of private organisations that will not be able to charge any fees -</w:t>
      </w:r>
      <w:r w:rsidR="002B4F87">
        <w:t xml:space="preserve"> non-health service organisations with an annual turnover of over $3 million are not subject to the Commonwealth Privacy Act, so rely solely on the Health Records Act</w:t>
      </w:r>
      <w:r w:rsidR="00470A2D">
        <w:t xml:space="preserve"> for charging a fee</w:t>
      </w:r>
      <w:r w:rsidR="002B4F87">
        <w:t xml:space="preserve">. </w:t>
      </w:r>
      <w:r w:rsidR="00067ED0">
        <w:t>See section 3.3 for discussion of this cohort.</w:t>
      </w:r>
    </w:p>
    <w:p w14:paraId="2D037049" w14:textId="784A66BD" w:rsidR="00AE726E" w:rsidRDefault="00AE726E" w:rsidP="00777BB0">
      <w:pPr>
        <w:pStyle w:val="ListParagraph"/>
        <w:numPr>
          <w:ilvl w:val="0"/>
          <w:numId w:val="46"/>
        </w:numPr>
      </w:pPr>
      <w:r>
        <w:t>In terms of transferring information between providers, public and private health service providers would be able to charge any amount</w:t>
      </w:r>
      <w:r w:rsidR="005667F1">
        <w:t>, as under the Act the absence of maximum fees does not preclude them from charging a fee</w:t>
      </w:r>
      <w:r w:rsidR="00223289">
        <w:t>.</w:t>
      </w:r>
    </w:p>
    <w:p w14:paraId="2FCF78BF" w14:textId="59546881" w:rsidR="005667F1" w:rsidRDefault="00223289" w:rsidP="005667F1">
      <w:pPr>
        <w:pStyle w:val="ListParagraph"/>
        <w:numPr>
          <w:ilvl w:val="0"/>
          <w:numId w:val="46"/>
        </w:numPr>
      </w:pPr>
      <w:r>
        <w:t>Nominated health service providers would also be able to charge any amount for performing services under section 42</w:t>
      </w:r>
      <w:r w:rsidR="005667F1">
        <w:t>, as under the Act the absence of maximum fees does not preclude them from charging a fee</w:t>
      </w:r>
      <w:r>
        <w:t>.</w:t>
      </w:r>
    </w:p>
    <w:p w14:paraId="5AD813FE" w14:textId="163A02D8" w:rsidR="00DB1C3D" w:rsidRDefault="001816BC" w:rsidP="00846EC0">
      <w:r>
        <w:t xml:space="preserve">Under the MCA scoring scale, the </w:t>
      </w:r>
      <w:r w:rsidR="0004288A">
        <w:t>base case</w:t>
      </w:r>
      <w:r>
        <w:t xml:space="preserve"> is given a score of 0 on all criteria. </w:t>
      </w:r>
    </w:p>
    <w:p w14:paraId="40C13B62" w14:textId="59B894C3" w:rsidR="009F3FA4" w:rsidRPr="00816B24" w:rsidRDefault="009F3FA4" w:rsidP="00816B24">
      <w:pPr>
        <w:spacing w:after="0"/>
        <w:rPr>
          <w:rFonts w:cstheme="minorHAnsi"/>
          <w:b/>
          <w:color w:val="7B5E05" w:themeColor="accent1"/>
          <w:szCs w:val="20"/>
          <w:lang w:val="en-AU"/>
        </w:rPr>
      </w:pPr>
      <w:r>
        <w:rPr>
          <w:rFonts w:cstheme="minorHAnsi"/>
          <w:b/>
          <w:color w:val="7B5E05" w:themeColor="accent1"/>
          <w:szCs w:val="20"/>
          <w:lang w:val="en-AU"/>
        </w:rPr>
        <w:t xml:space="preserve">Criteria 1: </w:t>
      </w:r>
      <w:r w:rsidRPr="00816B24">
        <w:rPr>
          <w:rFonts w:cstheme="minorHAnsi"/>
          <w:b/>
          <w:color w:val="7B5E05" w:themeColor="accent1"/>
          <w:szCs w:val="20"/>
          <w:lang w:val="en-AU"/>
        </w:rPr>
        <w:t>Facilitate access to health information</w:t>
      </w:r>
    </w:p>
    <w:p w14:paraId="43E29B6B" w14:textId="77777777" w:rsidR="007E255E" w:rsidRPr="00D1550C" w:rsidRDefault="007E255E" w:rsidP="007E255E">
      <w:pPr>
        <w:spacing w:after="0"/>
        <w:rPr>
          <w:i/>
          <w:iCs/>
        </w:rPr>
      </w:pPr>
      <w:r w:rsidRPr="00D1550C">
        <w:rPr>
          <w:i/>
          <w:iCs/>
        </w:rPr>
        <w:t>Access for individuals</w:t>
      </w:r>
    </w:p>
    <w:p w14:paraId="56F8E156" w14:textId="7155267D" w:rsidR="00942DBD" w:rsidRDefault="007E255E" w:rsidP="009334EF">
      <w:r w:rsidRPr="00A25B32">
        <w:t>In the absence of Regulations</w:t>
      </w:r>
      <w:r w:rsidR="00185A97">
        <w:t xml:space="preserve"> </w:t>
      </w:r>
      <w:r>
        <w:t>i</w:t>
      </w:r>
      <w:r w:rsidRPr="00A25B32">
        <w:t xml:space="preserve">ndividuals would still have a right of access </w:t>
      </w:r>
      <w:r w:rsidR="00185A97">
        <w:t xml:space="preserve">under the Act </w:t>
      </w:r>
      <w:r w:rsidRPr="00A25B32">
        <w:t xml:space="preserve">but it is possible that </w:t>
      </w:r>
      <w:r w:rsidR="00BB73B3">
        <w:t xml:space="preserve">in the absence of a maximum fee </w:t>
      </w:r>
      <w:r w:rsidRPr="00A25B32">
        <w:t xml:space="preserve">some </w:t>
      </w:r>
      <w:r w:rsidR="00744B33">
        <w:t xml:space="preserve">private </w:t>
      </w:r>
      <w:r w:rsidRPr="00A25B32">
        <w:t xml:space="preserve">providers would charge </w:t>
      </w:r>
      <w:r w:rsidR="00A84FBC">
        <w:t xml:space="preserve">a </w:t>
      </w:r>
      <w:r w:rsidRPr="00A25B32">
        <w:t xml:space="preserve">higher </w:t>
      </w:r>
      <w:r w:rsidR="00A84FBC">
        <w:t>fee</w:t>
      </w:r>
      <w:r w:rsidR="00185A97">
        <w:t xml:space="preserve"> for providing that access</w:t>
      </w:r>
      <w:r w:rsidRPr="00A25B32">
        <w:t xml:space="preserve">. The Commonwealth Privacy Act allows a fee to be charged for accessing health </w:t>
      </w:r>
      <w:proofErr w:type="gramStart"/>
      <w:r w:rsidRPr="00A25B32">
        <w:t>information</w:t>
      </w:r>
      <w:proofErr w:type="gramEnd"/>
      <w:r w:rsidRPr="00A25B32">
        <w:t xml:space="preserve"> </w:t>
      </w:r>
      <w:r>
        <w:t xml:space="preserve">but </w:t>
      </w:r>
      <w:r w:rsidR="00DD535C">
        <w:t xml:space="preserve">it </w:t>
      </w:r>
      <w:r>
        <w:t>must not be</w:t>
      </w:r>
      <w:r w:rsidRPr="00A25B32">
        <w:t xml:space="preserve"> excessive</w:t>
      </w:r>
      <w:r w:rsidR="00DC5AAB">
        <w:t xml:space="preserve">. </w:t>
      </w:r>
      <w:r w:rsidR="00BA486D">
        <w:t>A</w:t>
      </w:r>
      <w:r w:rsidR="00DE149F">
        <w:t>n excessive fee is likely to be</w:t>
      </w:r>
      <w:r w:rsidR="00BA486D">
        <w:t xml:space="preserve"> a fee that is set </w:t>
      </w:r>
      <w:r w:rsidR="00DE149F">
        <w:t xml:space="preserve">above </w:t>
      </w:r>
      <w:r w:rsidR="00EA58AF">
        <w:t>the level of full cost recovery</w:t>
      </w:r>
      <w:r w:rsidR="0039014F">
        <w:t xml:space="preserve"> (see discussion in section 1.1, suggesting </w:t>
      </w:r>
      <w:r w:rsidR="0039014F" w:rsidRPr="0039014F">
        <w:t>full cost recovery of actual costs would be allowed under the Commonwealth Privacy Act</w:t>
      </w:r>
      <w:r w:rsidR="0026697C">
        <w:t>)</w:t>
      </w:r>
      <w:r w:rsidR="0039014F" w:rsidRPr="0039014F">
        <w:t>.</w:t>
      </w:r>
      <w:r w:rsidR="00EA58AF">
        <w:t xml:space="preserve"> </w:t>
      </w:r>
      <w:r w:rsidR="00672F5E">
        <w:t>T</w:t>
      </w:r>
      <w:r w:rsidR="00EA58AF">
        <w:t xml:space="preserve">here is a lack of clarity under the Privacy Act </w:t>
      </w:r>
      <w:r w:rsidR="00073B0D">
        <w:t>about what constitutes an excessive fee</w:t>
      </w:r>
      <w:r w:rsidR="00D21762">
        <w:t>,</w:t>
      </w:r>
      <w:r w:rsidR="00F0527E">
        <w:t xml:space="preserve"> </w:t>
      </w:r>
      <w:r w:rsidR="00902B80">
        <w:t xml:space="preserve">as the guidance on what is an excessive fee resides in an explanatory memo </w:t>
      </w:r>
      <w:r w:rsidR="00C40B23">
        <w:t>to amendments made to the Act in 2012</w:t>
      </w:r>
      <w:r w:rsidR="00D21762">
        <w:t xml:space="preserve">. Additionally, </w:t>
      </w:r>
      <w:r w:rsidR="00C40B23">
        <w:t xml:space="preserve">the Act itself is long and </w:t>
      </w:r>
      <w:r w:rsidR="004675D4">
        <w:t>difficult to navigate</w:t>
      </w:r>
      <w:r w:rsidR="003C49B2">
        <w:t>. This</w:t>
      </w:r>
      <w:r w:rsidR="00B92533">
        <w:t xml:space="preserve"> increases the potential for providers to charge a</w:t>
      </w:r>
      <w:r w:rsidR="008A3783">
        <w:t xml:space="preserve"> fee that is even higher than the level of full cost recovery</w:t>
      </w:r>
      <w:r w:rsidR="00F34140">
        <w:t xml:space="preserve">, if they do not understand </w:t>
      </w:r>
      <w:r w:rsidR="007D315F">
        <w:t>what “excessive” means.</w:t>
      </w:r>
      <w:r w:rsidR="00E574F5">
        <w:t xml:space="preserve"> </w:t>
      </w:r>
      <w:r w:rsidR="007D315F">
        <w:t xml:space="preserve">It is likely that there would be some guidance provided to organisations by </w:t>
      </w:r>
      <w:r w:rsidR="00942DBD">
        <w:t>industry bodies, but this is uncertain.</w:t>
      </w:r>
    </w:p>
    <w:p w14:paraId="67713E98" w14:textId="5945E59D" w:rsidR="007E255E" w:rsidRPr="00A25B32" w:rsidRDefault="0065184F" w:rsidP="007E255E">
      <w:pPr>
        <w:spacing w:after="0"/>
      </w:pPr>
      <w:r>
        <w:t>For the purposes of the RIS</w:t>
      </w:r>
      <w:r w:rsidR="007C00AB">
        <w:t>,</w:t>
      </w:r>
      <w:r>
        <w:t xml:space="preserve"> </w:t>
      </w:r>
      <w:r w:rsidR="00F02CEB">
        <w:t>it is</w:t>
      </w:r>
      <w:r>
        <w:t xml:space="preserve"> assumed that </w:t>
      </w:r>
      <w:r w:rsidR="00A9307D">
        <w:t>health providers are currently setting fees at a level that recovers around half o</w:t>
      </w:r>
      <w:r w:rsidR="006704C9">
        <w:t>f the costs</w:t>
      </w:r>
      <w:r w:rsidR="00D719A1">
        <w:t xml:space="preserve"> involved in fulfilling requests for information</w:t>
      </w:r>
      <w:r w:rsidR="006704C9">
        <w:t xml:space="preserve">. </w:t>
      </w:r>
      <w:r w:rsidR="00C22C8E">
        <w:t xml:space="preserve">This assumption </w:t>
      </w:r>
      <w:r w:rsidR="00146206">
        <w:t xml:space="preserve">has </w:t>
      </w:r>
      <w:r w:rsidR="002038B9">
        <w:t xml:space="preserve">been tested with some </w:t>
      </w:r>
      <w:r w:rsidR="00BA34F1">
        <w:t>large health</w:t>
      </w:r>
      <w:r w:rsidR="00A61CC7">
        <w:t xml:space="preserve"> service</w:t>
      </w:r>
      <w:r w:rsidR="00BA34F1">
        <w:t xml:space="preserve"> providers</w:t>
      </w:r>
      <w:r w:rsidR="00637724">
        <w:t>.</w:t>
      </w:r>
      <w:r w:rsidR="0090646C">
        <w:t xml:space="preserve"> </w:t>
      </w:r>
      <w:r w:rsidR="003A3BE0">
        <w:t xml:space="preserve">Using this as a basis for comparison, </w:t>
      </w:r>
      <w:r w:rsidR="00E574F5">
        <w:t xml:space="preserve">the fee for providing a copy </w:t>
      </w:r>
      <w:r w:rsidR="00DA1DD7">
        <w:t xml:space="preserve">of health information could </w:t>
      </w:r>
      <w:r w:rsidR="00E4325E">
        <w:t xml:space="preserve">potentially </w:t>
      </w:r>
      <w:r w:rsidR="00DA1DD7">
        <w:t>increase from</w:t>
      </w:r>
      <w:r w:rsidR="002A6B65">
        <w:t xml:space="preserve"> $38.23 to </w:t>
      </w:r>
      <w:r w:rsidR="00013935">
        <w:t xml:space="preserve">$76.47 (100% cost </w:t>
      </w:r>
      <w:r w:rsidR="00013935">
        <w:lastRenderedPageBreak/>
        <w:t>recovery).</w:t>
      </w:r>
      <w:r w:rsidR="003A3BE0">
        <w:rPr>
          <w:rStyle w:val="FootnoteReference"/>
        </w:rPr>
        <w:footnoteReference w:id="33"/>
      </w:r>
      <w:r w:rsidR="00013935">
        <w:t xml:space="preserve"> The fee for</w:t>
      </w:r>
      <w:r w:rsidR="002A6B65">
        <w:t xml:space="preserve"> creation of an accurate summary of health information </w:t>
      </w:r>
      <w:r w:rsidR="008F7143">
        <w:t xml:space="preserve">could increase from </w:t>
      </w:r>
      <w:r w:rsidR="002A6B65">
        <w:t xml:space="preserve">$143.73 </w:t>
      </w:r>
      <w:r w:rsidR="008F7143">
        <w:t>to $</w:t>
      </w:r>
      <w:r w:rsidR="008F7143" w:rsidRPr="008F7143">
        <w:rPr>
          <w:rFonts w:ascii="Calibri" w:eastAsia="Times New Roman" w:hAnsi="Calibri" w:cs="Calibri"/>
          <w:color w:val="000000"/>
          <w:sz w:val="22"/>
          <w:lang w:val="en-AU" w:eastAsia="en-AU"/>
        </w:rPr>
        <w:t>287.46</w:t>
      </w:r>
      <w:r w:rsidR="004F011D">
        <w:rPr>
          <w:rFonts w:ascii="Calibri" w:eastAsia="Times New Roman" w:hAnsi="Calibri" w:cs="Calibri"/>
          <w:color w:val="000000"/>
          <w:sz w:val="22"/>
          <w:lang w:val="en-AU" w:eastAsia="en-AU"/>
        </w:rPr>
        <w:t>. These are estimates only (due to lack of information about costs</w:t>
      </w:r>
      <w:r w:rsidR="00D6461F">
        <w:rPr>
          <w:rFonts w:ascii="Calibri" w:eastAsia="Times New Roman" w:hAnsi="Calibri" w:cs="Calibri"/>
          <w:color w:val="000000"/>
          <w:sz w:val="22"/>
          <w:lang w:val="en-AU" w:eastAsia="en-AU"/>
        </w:rPr>
        <w:t xml:space="preserve"> of health providers) </w:t>
      </w:r>
      <w:r w:rsidR="00CE13CF">
        <w:rPr>
          <w:rFonts w:ascii="Calibri" w:eastAsia="Times New Roman" w:hAnsi="Calibri" w:cs="Calibri"/>
          <w:color w:val="000000"/>
          <w:sz w:val="22"/>
          <w:lang w:val="en-AU" w:eastAsia="en-AU"/>
        </w:rPr>
        <w:t>but indicate the potential for fees to increase substantially</w:t>
      </w:r>
      <w:r w:rsidR="00700A36">
        <w:rPr>
          <w:rFonts w:ascii="Calibri" w:eastAsia="Times New Roman" w:hAnsi="Calibri" w:cs="Calibri"/>
          <w:color w:val="000000"/>
          <w:sz w:val="22"/>
          <w:lang w:val="en-AU" w:eastAsia="en-AU"/>
        </w:rPr>
        <w:t>.</w:t>
      </w:r>
      <w:r w:rsidR="00CE13CF">
        <w:rPr>
          <w:rFonts w:ascii="Calibri" w:eastAsia="Times New Roman" w:hAnsi="Calibri" w:cs="Calibri"/>
          <w:color w:val="000000"/>
          <w:sz w:val="22"/>
          <w:lang w:val="en-AU" w:eastAsia="en-AU"/>
        </w:rPr>
        <w:t xml:space="preserve"> </w:t>
      </w:r>
      <w:r w:rsidR="003C49B2">
        <w:t>In practice, i</w:t>
      </w:r>
      <w:r w:rsidR="003C49B2" w:rsidRPr="00D1550C">
        <w:t xml:space="preserve">t is difficult to </w:t>
      </w:r>
      <w:r w:rsidR="003C49B2">
        <w:t>predict</w:t>
      </w:r>
      <w:r w:rsidR="003C49B2" w:rsidRPr="00D1550C">
        <w:t xml:space="preserve"> what organisations may charge in the absence of regulations setting maximum fees. </w:t>
      </w:r>
      <w:r w:rsidR="007E255E" w:rsidRPr="00D1550C">
        <w:t xml:space="preserve">Maximum fees have been in place since the commencement of the legislative right of access to health information </w:t>
      </w:r>
      <w:r w:rsidR="00917E7C">
        <w:t>since 2002, which means no data exists on the case where there are no maximum fees</w:t>
      </w:r>
      <w:r w:rsidR="007E255E" w:rsidRPr="00D1550C">
        <w:t xml:space="preserve">. </w:t>
      </w:r>
      <w:r w:rsidR="007E255E">
        <w:t xml:space="preserve">On the one hand, some providers currently charge no fee and would continue to do so. On the other hand, it is likely that some providers who are currently charging </w:t>
      </w:r>
      <w:r w:rsidR="00AA172C">
        <w:t xml:space="preserve">at </w:t>
      </w:r>
      <w:r w:rsidR="007E255E">
        <w:t>the maximum fee level and are not recovering all their costs will increase the fee charged</w:t>
      </w:r>
      <w:r w:rsidR="00ED5D6E">
        <w:t xml:space="preserve"> (up to full cost recovery or even greater)</w:t>
      </w:r>
      <w:r w:rsidR="005E23F8">
        <w:t xml:space="preserve">. </w:t>
      </w:r>
      <w:r w:rsidR="00ED1EEF">
        <w:t>This significantly increases the likelihood of unfairly precluding access to health information for individuals.</w:t>
      </w:r>
    </w:p>
    <w:p w14:paraId="7E7B4E8B" w14:textId="69869565" w:rsidR="007E255E" w:rsidRDefault="00CF6666" w:rsidP="007E255E">
      <w:r>
        <w:t>Because s</w:t>
      </w:r>
      <w:r w:rsidR="007E255E">
        <w:t>mall</w:t>
      </w:r>
      <w:r w:rsidR="004D25A7">
        <w:t xml:space="preserve"> private</w:t>
      </w:r>
      <w:r w:rsidR="007E255E">
        <w:t xml:space="preserve"> non-health service providers with turnover of $3</w:t>
      </w:r>
      <w:r w:rsidR="00D451D8">
        <w:t xml:space="preserve"> </w:t>
      </w:r>
      <w:r w:rsidR="007E255E">
        <w:t>m</w:t>
      </w:r>
      <w:r w:rsidR="00D451D8">
        <w:t>illion</w:t>
      </w:r>
      <w:r w:rsidR="007E255E">
        <w:t xml:space="preserve"> or less </w:t>
      </w:r>
      <w:r w:rsidR="004941A6">
        <w:t>cannot</w:t>
      </w:r>
      <w:r w:rsidR="007E255E">
        <w:t xml:space="preserve"> charge </w:t>
      </w:r>
      <w:r>
        <w:t>a fee</w:t>
      </w:r>
      <w:r w:rsidR="007E255E">
        <w:t xml:space="preserve"> for access under</w:t>
      </w:r>
      <w:r w:rsidR="00C825DB">
        <w:t xml:space="preserve"> either</w:t>
      </w:r>
      <w:r w:rsidR="007E255E">
        <w:t xml:space="preserve"> the </w:t>
      </w:r>
      <w:r w:rsidR="00E34843">
        <w:t xml:space="preserve">Health Records </w:t>
      </w:r>
      <w:r w:rsidR="007E255E">
        <w:t>Act</w:t>
      </w:r>
      <w:r>
        <w:t xml:space="preserve"> if maximum fees are</w:t>
      </w:r>
      <w:r w:rsidR="004941A6">
        <w:t xml:space="preserve"> </w:t>
      </w:r>
      <w:r>
        <w:t>n</w:t>
      </w:r>
      <w:r w:rsidR="004941A6">
        <w:t>o</w:t>
      </w:r>
      <w:r>
        <w:t>t prescribed or under the Commonwealth Privacy Act</w:t>
      </w:r>
      <w:r w:rsidR="007E255E">
        <w:t>, access would be increased in this case (but likely to be a small number).</w:t>
      </w:r>
    </w:p>
    <w:p w14:paraId="0281471C" w14:textId="6B1E29F7" w:rsidR="007E255E" w:rsidRPr="006354C9" w:rsidRDefault="007E255E" w:rsidP="006354C9">
      <w:r w:rsidRPr="00D1550C">
        <w:t xml:space="preserve">While there is uncertainty about the extent to which </w:t>
      </w:r>
      <w:r w:rsidR="00212577">
        <w:t>organisations</w:t>
      </w:r>
      <w:r w:rsidRPr="00D1550C">
        <w:t xml:space="preserve"> would charge higher fees, without maximum fees there would be no protection from higher fees being charged</w:t>
      </w:r>
      <w:r w:rsidR="00700A36">
        <w:t>.</w:t>
      </w:r>
    </w:p>
    <w:p w14:paraId="0D08F7C4" w14:textId="331AA9DB" w:rsidR="009F3FA4" w:rsidRDefault="007442EC" w:rsidP="007E255E">
      <w:r>
        <w:t>Under</w:t>
      </w:r>
      <w:r w:rsidR="0050613F">
        <w:t xml:space="preserve"> the</w:t>
      </w:r>
      <w:r>
        <w:t xml:space="preserve"> base case, </w:t>
      </w:r>
      <w:r w:rsidR="007E255E">
        <w:t xml:space="preserve">no maximum fees </w:t>
      </w:r>
      <w:r>
        <w:t xml:space="preserve">are </w:t>
      </w:r>
      <w:r w:rsidR="007E255E">
        <w:t>set for transferring information</w:t>
      </w:r>
      <w:r w:rsidR="004941A6">
        <w:t>,</w:t>
      </w:r>
      <w:r w:rsidR="007E255E">
        <w:t xml:space="preserve"> or for being a nominated health service provider</w:t>
      </w:r>
      <w:r w:rsidR="004941A6">
        <w:t>,</w:t>
      </w:r>
      <w:r w:rsidR="00045901">
        <w:t xml:space="preserve"> and</w:t>
      </w:r>
      <w:r w:rsidR="007E255E">
        <w:t xml:space="preserve"> there is no legislative limit on what fees could be charged</w:t>
      </w:r>
      <w:r w:rsidR="00A72875">
        <w:t xml:space="preserve"> </w:t>
      </w:r>
      <w:r w:rsidR="0029096B">
        <w:t>as under the Act the absence of maximum fees does not preclude them from charging a fee</w:t>
      </w:r>
      <w:r w:rsidR="007E255E">
        <w:t xml:space="preserve">. It is likely that in some cases </w:t>
      </w:r>
      <w:r w:rsidR="007E255E" w:rsidRPr="00C94656">
        <w:t>higher fees would be charged</w:t>
      </w:r>
      <w:r w:rsidR="002D4A6E">
        <w:t xml:space="preserve"> in comparison to the case under the current Regulations</w:t>
      </w:r>
      <w:r w:rsidR="007E255E" w:rsidRPr="00C94656">
        <w:t>, which in some cases could present a barrier to access</w:t>
      </w:r>
      <w:r w:rsidR="00C94656">
        <w:t>.</w:t>
      </w:r>
    </w:p>
    <w:p w14:paraId="0D702E00" w14:textId="242B545F" w:rsidR="009F3FA4" w:rsidRPr="00816B24" w:rsidRDefault="009E6039" w:rsidP="00816B24">
      <w:pPr>
        <w:spacing w:after="0"/>
        <w:rPr>
          <w:rFonts w:cstheme="minorHAnsi"/>
          <w:b/>
          <w:color w:val="7B5E05" w:themeColor="accent1"/>
          <w:szCs w:val="20"/>
          <w:lang w:val="en-AU"/>
        </w:rPr>
      </w:pPr>
      <w:r>
        <w:rPr>
          <w:rFonts w:cstheme="minorHAnsi"/>
          <w:b/>
          <w:color w:val="7B5E05" w:themeColor="accent1"/>
          <w:szCs w:val="20"/>
          <w:lang w:val="en-AU"/>
        </w:rPr>
        <w:t xml:space="preserve">Criteria 2: </w:t>
      </w:r>
      <w:r w:rsidR="007E255E" w:rsidRPr="00816B24">
        <w:rPr>
          <w:rFonts w:cstheme="minorHAnsi"/>
          <w:b/>
          <w:color w:val="7B5E05" w:themeColor="accent1"/>
          <w:szCs w:val="20"/>
          <w:lang w:val="en-AU"/>
        </w:rPr>
        <w:t xml:space="preserve">Reasonable cost recovery for </w:t>
      </w:r>
      <w:r w:rsidR="00C01836">
        <w:rPr>
          <w:rFonts w:cstheme="minorHAnsi"/>
          <w:b/>
          <w:color w:val="7B5E05" w:themeColor="accent1"/>
          <w:szCs w:val="20"/>
          <w:lang w:val="en-AU"/>
        </w:rPr>
        <w:t>organisations</w:t>
      </w:r>
    </w:p>
    <w:p w14:paraId="5871CDAA" w14:textId="4BCED727" w:rsidR="007C10C9" w:rsidRPr="002974E0" w:rsidRDefault="007C10C9" w:rsidP="007C10C9">
      <w:r>
        <w:t>As discussed for the previous criteri</w:t>
      </w:r>
      <w:r w:rsidR="00017FEF">
        <w:t>on</w:t>
      </w:r>
      <w:r>
        <w:t xml:space="preserve">, it is likely that some </w:t>
      </w:r>
      <w:r w:rsidR="00D60063">
        <w:t xml:space="preserve">organisations </w:t>
      </w:r>
      <w:r>
        <w:t xml:space="preserve">would charge higher fees, potentially up to full cost recovery for access to information for individuals (or possibly higher for transfer of information and nominated health providers depending on commercial decisions). Health providers are likely to recover more costs under the </w:t>
      </w:r>
      <w:r w:rsidR="0004288A">
        <w:t>base case</w:t>
      </w:r>
      <w:r>
        <w:t xml:space="preserve"> than if the current Regulations are remade.   </w:t>
      </w:r>
    </w:p>
    <w:p w14:paraId="600F7E1A" w14:textId="5920E38F" w:rsidR="007C10C9" w:rsidRDefault="009E6039" w:rsidP="009E6039">
      <w:pPr>
        <w:rPr>
          <w:rFonts w:cstheme="minorHAnsi"/>
          <w:b/>
          <w:color w:val="7B5E05" w:themeColor="accent1"/>
          <w:szCs w:val="20"/>
          <w:lang w:val="en-AU"/>
        </w:rPr>
      </w:pPr>
      <w:r>
        <w:rPr>
          <w:rFonts w:cstheme="minorHAnsi"/>
          <w:b/>
          <w:color w:val="7B5E05" w:themeColor="accent1"/>
          <w:szCs w:val="20"/>
          <w:lang w:val="en-AU"/>
        </w:rPr>
        <w:t>Criter</w:t>
      </w:r>
      <w:r w:rsidR="00F523FE">
        <w:rPr>
          <w:rFonts w:cstheme="minorHAnsi"/>
          <w:b/>
          <w:color w:val="7B5E05" w:themeColor="accent1"/>
          <w:szCs w:val="20"/>
          <w:lang w:val="en-AU"/>
        </w:rPr>
        <w:t xml:space="preserve">ia 3: </w:t>
      </w:r>
      <w:r w:rsidR="00472DC8" w:rsidRPr="00491910">
        <w:rPr>
          <w:rFonts w:cstheme="minorHAnsi"/>
          <w:b/>
          <w:color w:val="7B5E05" w:themeColor="accent1"/>
          <w:szCs w:val="20"/>
          <w:lang w:val="en-AU"/>
        </w:rPr>
        <w:t>Simple to understand and administer</w:t>
      </w:r>
      <w:r w:rsidR="00472DC8" w:rsidRPr="00816B24" w:rsidDel="00472DC8">
        <w:rPr>
          <w:rFonts w:cstheme="minorHAnsi"/>
          <w:b/>
          <w:color w:val="7B5E05" w:themeColor="accent1"/>
          <w:szCs w:val="20"/>
          <w:lang w:val="en-AU"/>
        </w:rPr>
        <w:t xml:space="preserve"> </w:t>
      </w:r>
    </w:p>
    <w:p w14:paraId="4776CB2B" w14:textId="1E7AB449" w:rsidR="00336DEC" w:rsidRDefault="00336DEC" w:rsidP="00336DEC">
      <w:pPr>
        <w:spacing w:after="0"/>
        <w:rPr>
          <w:rFonts w:cstheme="minorHAnsi"/>
          <w:szCs w:val="20"/>
          <w:lang w:val="en-AU"/>
        </w:rPr>
      </w:pPr>
      <w:r>
        <w:rPr>
          <w:rFonts w:cstheme="minorHAnsi"/>
          <w:szCs w:val="20"/>
          <w:lang w:val="en-AU"/>
        </w:rPr>
        <w:t xml:space="preserve">It is reasonable to assume that organisations that are allowed to set fees under the Commonwealth Privacy Act would </w:t>
      </w:r>
      <w:r w:rsidR="009424B6">
        <w:rPr>
          <w:rFonts w:cstheme="minorHAnsi"/>
          <w:szCs w:val="20"/>
          <w:lang w:val="en-AU"/>
        </w:rPr>
        <w:t xml:space="preserve">not </w:t>
      </w:r>
      <w:r>
        <w:rPr>
          <w:rFonts w:cstheme="minorHAnsi"/>
          <w:szCs w:val="20"/>
          <w:lang w:val="en-AU"/>
        </w:rPr>
        <w:t xml:space="preserve">set fees in a way that imposes high administration costs on their business; it is unlikely they would design and implement a fee structure that is difficult to understand for their staff or adds unnecessary administrative burden. </w:t>
      </w:r>
    </w:p>
    <w:p w14:paraId="335D183F" w14:textId="5DC6D078" w:rsidR="00336DEC" w:rsidRDefault="00336DEC" w:rsidP="00336DEC">
      <w:pPr>
        <w:spacing w:after="0"/>
        <w:rPr>
          <w:rFonts w:cstheme="minorHAnsi"/>
          <w:szCs w:val="20"/>
          <w:lang w:val="en-AU"/>
        </w:rPr>
      </w:pPr>
      <w:r>
        <w:rPr>
          <w:rFonts w:cstheme="minorHAnsi"/>
          <w:szCs w:val="20"/>
          <w:lang w:val="en-AU"/>
        </w:rPr>
        <w:t xml:space="preserve">On the other hand, as noted in discussion of Criteria 1, </w:t>
      </w:r>
      <w:r w:rsidRPr="007656EA">
        <w:t>the Common</w:t>
      </w:r>
      <w:r>
        <w:t>w</w:t>
      </w:r>
      <w:r w:rsidRPr="007656EA">
        <w:t>ealth Privacy Act is a more extensive and complex piece of legislation</w:t>
      </w:r>
      <w:r>
        <w:t xml:space="preserve"> </w:t>
      </w:r>
      <w:r w:rsidRPr="007656EA">
        <w:t xml:space="preserve">which would be more difficult </w:t>
      </w:r>
      <w:r>
        <w:t xml:space="preserve">and burdensome </w:t>
      </w:r>
      <w:r w:rsidRPr="007656EA">
        <w:t xml:space="preserve">for </w:t>
      </w:r>
      <w:r>
        <w:t>private organisations</w:t>
      </w:r>
      <w:r w:rsidRPr="007656EA">
        <w:t xml:space="preserve"> to navigate to understand their obligations and rights</w:t>
      </w:r>
      <w:r>
        <w:t xml:space="preserve">. </w:t>
      </w:r>
      <w:r>
        <w:rPr>
          <w:rFonts w:cstheme="minorHAnsi"/>
          <w:szCs w:val="20"/>
          <w:lang w:val="en-AU"/>
        </w:rPr>
        <w:t xml:space="preserve">By comparison, the maximum fees able to be set under the Regulations are clearly specified in the Regulations </w:t>
      </w:r>
      <w:proofErr w:type="gramStart"/>
      <w:r>
        <w:rPr>
          <w:rFonts w:cstheme="minorHAnsi"/>
          <w:szCs w:val="20"/>
          <w:lang w:val="en-AU"/>
        </w:rPr>
        <w:t>and also</w:t>
      </w:r>
      <w:proofErr w:type="gramEnd"/>
      <w:r>
        <w:rPr>
          <w:rFonts w:cstheme="minorHAnsi"/>
          <w:szCs w:val="20"/>
          <w:lang w:val="en-AU"/>
        </w:rPr>
        <w:t xml:space="preserve"> set out on </w:t>
      </w:r>
      <w:r w:rsidR="0000093E">
        <w:rPr>
          <w:rFonts w:cstheme="minorHAnsi"/>
          <w:szCs w:val="20"/>
          <w:lang w:val="en-AU"/>
        </w:rPr>
        <w:lastRenderedPageBreak/>
        <w:t>DH</w:t>
      </w:r>
      <w:r>
        <w:rPr>
          <w:rFonts w:cstheme="minorHAnsi"/>
          <w:szCs w:val="20"/>
          <w:lang w:val="en-AU"/>
        </w:rPr>
        <w:t xml:space="preserve">’s website. </w:t>
      </w:r>
      <w:proofErr w:type="gramStart"/>
      <w:r>
        <w:t>Therefore</w:t>
      </w:r>
      <w:proofErr w:type="gramEnd"/>
      <w:r>
        <w:t xml:space="preserve"> this is a potentially negative impact in terms of simplicity to understand and administer.</w:t>
      </w:r>
    </w:p>
    <w:p w14:paraId="15780ABF" w14:textId="2F387E89" w:rsidR="00336DEC" w:rsidRDefault="00336DEC" w:rsidP="00336DEC">
      <w:pPr>
        <w:spacing w:after="0"/>
        <w:rPr>
          <w:rFonts w:cstheme="minorHAnsi"/>
          <w:szCs w:val="20"/>
          <w:lang w:val="en-AU"/>
        </w:rPr>
      </w:pPr>
      <w:r>
        <w:rPr>
          <w:rFonts w:cstheme="minorHAnsi"/>
          <w:szCs w:val="20"/>
          <w:lang w:val="en-AU"/>
        </w:rPr>
        <w:t xml:space="preserve">For individuals requesting access to information, in the absence of maximum fees, there may be less clarity and certainty around what fees can be charged as they are unlikely to be able to understand what an “excessive fee” </w:t>
      </w:r>
      <w:r w:rsidR="006E0492">
        <w:rPr>
          <w:rFonts w:cstheme="minorHAnsi"/>
          <w:szCs w:val="20"/>
          <w:lang w:val="en-AU"/>
        </w:rPr>
        <w:t xml:space="preserve">is </w:t>
      </w:r>
      <w:r>
        <w:rPr>
          <w:rFonts w:cstheme="minorHAnsi"/>
          <w:szCs w:val="20"/>
          <w:lang w:val="en-AU"/>
        </w:rPr>
        <w:t xml:space="preserve">under the Commonwealth Privacy Act. In the event of being charged what they perceive as an unnecessarily high fee and seeking to question such a fee, it could be difficult for an individual to be able to navigate and interpret the Commonwealth Privacy Act or find supporting guidance. </w:t>
      </w:r>
    </w:p>
    <w:p w14:paraId="7787DE84" w14:textId="7971FFD3" w:rsidR="00846EC0" w:rsidRDefault="00846EC0" w:rsidP="00846EC0">
      <w:pPr>
        <w:pStyle w:val="Heading7"/>
      </w:pPr>
      <w:r w:rsidRPr="000104D7">
        <w:rPr>
          <w:bCs/>
        </w:rPr>
        <w:t xml:space="preserve">Option 1: </w:t>
      </w:r>
      <w:r w:rsidRPr="000104D7">
        <w:t xml:space="preserve">Replication of current </w:t>
      </w:r>
      <w:r w:rsidR="00473F32">
        <w:t>R</w:t>
      </w:r>
      <w:r w:rsidRPr="000104D7">
        <w:t>egulations with minor clarifying amendment</w:t>
      </w:r>
      <w:r w:rsidR="007350F8">
        <w:t>s</w:t>
      </w:r>
    </w:p>
    <w:p w14:paraId="6EF25B6B" w14:textId="28F0941B" w:rsidR="00BF0CD3" w:rsidRPr="000E3F91" w:rsidRDefault="00BF0CD3" w:rsidP="00BF0CD3">
      <w:pPr>
        <w:rPr>
          <w:rFonts w:cstheme="minorHAnsi"/>
          <w:szCs w:val="20"/>
        </w:rPr>
      </w:pPr>
      <w:r w:rsidRPr="000E3F91">
        <w:rPr>
          <w:rFonts w:cstheme="minorHAnsi"/>
          <w:szCs w:val="20"/>
        </w:rPr>
        <w:t xml:space="preserve">Under this option, </w:t>
      </w:r>
      <w:r w:rsidR="002D58D1" w:rsidRPr="000E3F91">
        <w:rPr>
          <w:rFonts w:cstheme="minorHAnsi"/>
          <w:szCs w:val="20"/>
        </w:rPr>
        <w:t xml:space="preserve">the proposed Regulations would remain the same </w:t>
      </w:r>
      <w:r w:rsidR="003B37AB" w:rsidRPr="000E3F91">
        <w:rPr>
          <w:rFonts w:cstheme="minorHAnsi"/>
          <w:szCs w:val="20"/>
        </w:rPr>
        <w:t xml:space="preserve">as prescribed in the current Regulations. Specifically, there would be no change to the objectives of the </w:t>
      </w:r>
      <w:proofErr w:type="gramStart"/>
      <w:r w:rsidR="003B37AB" w:rsidRPr="000E3F91">
        <w:rPr>
          <w:rFonts w:cstheme="minorHAnsi"/>
          <w:szCs w:val="20"/>
        </w:rPr>
        <w:t>Regulations</w:t>
      </w:r>
      <w:proofErr w:type="gramEnd"/>
      <w:r w:rsidR="003B37AB" w:rsidRPr="000E3F91">
        <w:rPr>
          <w:rFonts w:cstheme="minorHAnsi"/>
          <w:szCs w:val="20"/>
        </w:rPr>
        <w:t xml:space="preserve"> or the </w:t>
      </w:r>
      <w:r w:rsidR="00347504" w:rsidRPr="000E3F91">
        <w:rPr>
          <w:rFonts w:cstheme="minorHAnsi"/>
          <w:szCs w:val="20"/>
        </w:rPr>
        <w:t xml:space="preserve">fees prescribed in Schedules 1 and 2 of the Regulations. </w:t>
      </w:r>
    </w:p>
    <w:p w14:paraId="15A216A3" w14:textId="610B5DAA" w:rsidR="00124A64" w:rsidRPr="000E3F91" w:rsidRDefault="00DE7651" w:rsidP="00124A64">
      <w:pPr>
        <w:rPr>
          <w:rFonts w:cstheme="minorHAnsi"/>
          <w:szCs w:val="20"/>
        </w:rPr>
      </w:pPr>
      <w:r w:rsidRPr="000E3F91">
        <w:rPr>
          <w:rFonts w:cstheme="minorHAnsi"/>
          <w:szCs w:val="20"/>
          <w:lang w:val="en-AU"/>
        </w:rPr>
        <w:t xml:space="preserve">As the </w:t>
      </w:r>
      <w:r w:rsidR="007429AF" w:rsidRPr="000E3F91">
        <w:rPr>
          <w:rFonts w:cstheme="minorHAnsi"/>
          <w:szCs w:val="20"/>
          <w:lang w:val="en-AU"/>
        </w:rPr>
        <w:t xml:space="preserve">fees are expressed in fee units </w:t>
      </w:r>
      <w:r w:rsidR="007461AB" w:rsidRPr="000E3F91">
        <w:rPr>
          <w:rFonts w:cstheme="minorHAnsi"/>
          <w:szCs w:val="20"/>
          <w:lang w:val="en-AU"/>
        </w:rPr>
        <w:t xml:space="preserve">provided in the </w:t>
      </w:r>
      <w:r w:rsidR="007429AF" w:rsidRPr="000E3F91">
        <w:rPr>
          <w:rFonts w:cstheme="minorHAnsi"/>
          <w:i/>
          <w:iCs/>
          <w:szCs w:val="20"/>
        </w:rPr>
        <w:t>Monetary Units Act 2004</w:t>
      </w:r>
      <w:r w:rsidR="007461AB" w:rsidRPr="000E3F91">
        <w:rPr>
          <w:rFonts w:cstheme="minorHAnsi"/>
          <w:szCs w:val="20"/>
        </w:rPr>
        <w:t xml:space="preserve"> </w:t>
      </w:r>
      <w:r w:rsidR="007461AB" w:rsidRPr="000E3F91">
        <w:rPr>
          <w:rFonts w:cstheme="minorHAnsi"/>
          <w:szCs w:val="20"/>
          <w:lang w:val="en-AU"/>
        </w:rPr>
        <w:t xml:space="preserve">which are indexed each year, </w:t>
      </w:r>
      <w:r w:rsidR="00964B37" w:rsidRPr="000E3F91">
        <w:rPr>
          <w:rFonts w:cstheme="minorHAnsi"/>
          <w:szCs w:val="20"/>
          <w:lang w:val="en-AU"/>
        </w:rPr>
        <w:t>there would be</w:t>
      </w:r>
      <w:r w:rsidR="00124A64" w:rsidRPr="000E3F91">
        <w:rPr>
          <w:rFonts w:cstheme="minorHAnsi"/>
          <w:szCs w:val="20"/>
          <w:lang w:val="en-AU"/>
        </w:rPr>
        <w:t xml:space="preserve"> annual</w:t>
      </w:r>
      <w:r w:rsidR="00964B37" w:rsidRPr="000E3F91">
        <w:rPr>
          <w:rFonts w:cstheme="minorHAnsi"/>
          <w:szCs w:val="20"/>
          <w:lang w:val="en-AU"/>
        </w:rPr>
        <w:t xml:space="preserve"> </w:t>
      </w:r>
      <w:r w:rsidR="00124A64" w:rsidRPr="000E3F91">
        <w:rPr>
          <w:rFonts w:cstheme="minorHAnsi"/>
          <w:szCs w:val="20"/>
          <w:lang w:val="en-AU"/>
        </w:rPr>
        <w:t>indexation to ensure maximum fees reflect current costs. As noted in section</w:t>
      </w:r>
      <w:r w:rsidR="000E3F91" w:rsidRPr="000E3F91">
        <w:rPr>
          <w:rFonts w:cstheme="minorHAnsi"/>
          <w:szCs w:val="20"/>
          <w:lang w:val="en-AU"/>
        </w:rPr>
        <w:t xml:space="preserve"> 2.3.1 of this RIS, </w:t>
      </w:r>
      <w:r w:rsidR="000E3F91" w:rsidRPr="000E3F91">
        <w:rPr>
          <w:rFonts w:cstheme="minorHAnsi"/>
          <w:szCs w:val="20"/>
        </w:rPr>
        <w:t>t</w:t>
      </w:r>
      <w:r w:rsidR="00124A64" w:rsidRPr="000E3F91">
        <w:rPr>
          <w:rFonts w:cstheme="minorHAnsi"/>
          <w:szCs w:val="20"/>
        </w:rPr>
        <w:t>he value of a fee unit for the financial year commencing 1 July 2022 is $15.29, compared with $12.53 for the financial year commencing 1 July 2012 – a total increase of 22% or 2.01% per annum.</w:t>
      </w:r>
    </w:p>
    <w:p w14:paraId="73953EB0" w14:textId="3DEADDE9" w:rsidR="00005DB2" w:rsidRPr="00D1550C" w:rsidRDefault="00005DB2" w:rsidP="00005DB2">
      <w:pPr>
        <w:spacing w:after="0"/>
        <w:rPr>
          <w:rFonts w:cstheme="minorHAnsi"/>
          <w:b/>
          <w:color w:val="7B5E05" w:themeColor="accent1"/>
          <w:szCs w:val="20"/>
          <w:lang w:val="en-AU"/>
        </w:rPr>
      </w:pPr>
      <w:r>
        <w:rPr>
          <w:rFonts w:cstheme="minorHAnsi"/>
          <w:b/>
          <w:color w:val="7B5E05" w:themeColor="accent1"/>
          <w:szCs w:val="20"/>
          <w:lang w:val="en-AU"/>
        </w:rPr>
        <w:t xml:space="preserve">Criteria 1: </w:t>
      </w:r>
      <w:r w:rsidRPr="00D1550C">
        <w:rPr>
          <w:rFonts w:cstheme="minorHAnsi"/>
          <w:b/>
          <w:color w:val="7B5E05" w:themeColor="accent1"/>
          <w:szCs w:val="20"/>
          <w:lang w:val="en-AU"/>
        </w:rPr>
        <w:t>Facilitate access to health information</w:t>
      </w:r>
    </w:p>
    <w:p w14:paraId="484CA79E" w14:textId="6234B073" w:rsidR="00292640" w:rsidRDefault="00645B69" w:rsidP="009C137F">
      <w:r>
        <w:t>Under</w:t>
      </w:r>
      <w:r w:rsidR="00782B7F">
        <w:t xml:space="preserve"> Option 1</w:t>
      </w:r>
      <w:r>
        <w:t xml:space="preserve">, </w:t>
      </w:r>
      <w:r w:rsidR="00C73734">
        <w:t xml:space="preserve">maximum fees under the Regulations will be less than </w:t>
      </w:r>
      <w:r w:rsidR="009728E9">
        <w:t>what could be set under the Commonwealth Privacy Act</w:t>
      </w:r>
      <w:r w:rsidR="00652883">
        <w:t>,</w:t>
      </w:r>
      <w:r w:rsidR="009728E9">
        <w:t xml:space="preserve"> </w:t>
      </w:r>
      <w:r w:rsidR="0035525C">
        <w:t xml:space="preserve">where fees </w:t>
      </w:r>
      <w:r w:rsidR="008C3677">
        <w:t>can be set up to a level that is not excessive</w:t>
      </w:r>
      <w:r w:rsidR="008F0CB2">
        <w:t>,</w:t>
      </w:r>
      <w:r w:rsidR="00AE4AED">
        <w:t xml:space="preserve"> </w:t>
      </w:r>
      <w:proofErr w:type="gramStart"/>
      <w:r w:rsidR="000A3D92">
        <w:t>It</w:t>
      </w:r>
      <w:proofErr w:type="gramEnd"/>
      <w:r w:rsidR="000A3D92">
        <w:t xml:space="preserve"> is assumed that</w:t>
      </w:r>
      <w:r w:rsidR="0074325F">
        <w:t xml:space="preserve"> </w:t>
      </w:r>
      <w:r w:rsidR="00BE00D2">
        <w:t xml:space="preserve">health providers </w:t>
      </w:r>
      <w:r w:rsidR="00AA68AD">
        <w:t xml:space="preserve">are </w:t>
      </w:r>
      <w:r w:rsidR="00B3034B">
        <w:t xml:space="preserve">currently </w:t>
      </w:r>
      <w:r w:rsidR="00AA68AD">
        <w:t>setting fees at the maximum fee level</w:t>
      </w:r>
      <w:r w:rsidR="00CB19FD">
        <w:t xml:space="preserve"> allowed under the Regulations</w:t>
      </w:r>
      <w:r w:rsidR="003A3BE0">
        <w:t>,</w:t>
      </w:r>
      <w:r w:rsidR="00AA68AD">
        <w:t xml:space="preserve"> which </w:t>
      </w:r>
      <w:r w:rsidR="00783BDF">
        <w:t>some large health providers</w:t>
      </w:r>
      <w:r w:rsidR="00B3034B">
        <w:t xml:space="preserve"> report </w:t>
      </w:r>
      <w:r w:rsidR="00AA68AD">
        <w:t>re</w:t>
      </w:r>
      <w:r w:rsidR="00783BDF">
        <w:t>covers</w:t>
      </w:r>
      <w:r w:rsidR="00AA68AD">
        <w:t xml:space="preserve"> </w:t>
      </w:r>
      <w:r w:rsidR="00B3034B">
        <w:t>about</w:t>
      </w:r>
      <w:r w:rsidR="00B04422">
        <w:t xml:space="preserve"> half</w:t>
      </w:r>
      <w:r w:rsidR="00B3034B">
        <w:t xml:space="preserve"> </w:t>
      </w:r>
      <w:r w:rsidR="008872B0">
        <w:t>of their</w:t>
      </w:r>
      <w:r w:rsidR="00AA68AD">
        <w:t xml:space="preserve"> cost</w:t>
      </w:r>
      <w:r w:rsidR="004F60BC">
        <w:t>s</w:t>
      </w:r>
      <w:r w:rsidR="00067ED0">
        <w:rPr>
          <w:rStyle w:val="FootnoteReference"/>
        </w:rPr>
        <w:footnoteReference w:id="34"/>
      </w:r>
      <w:r w:rsidR="00987C3B">
        <w:t>.</w:t>
      </w:r>
      <w:r w:rsidR="00AA68AD">
        <w:t xml:space="preserve"> </w:t>
      </w:r>
    </w:p>
    <w:p w14:paraId="36FEBC56" w14:textId="0B91D2B7" w:rsidR="00782B7F" w:rsidRDefault="008F0CB2" w:rsidP="009C137F">
      <w:r>
        <w:t xml:space="preserve">Compared to the base case, where they could </w:t>
      </w:r>
      <w:r w:rsidR="005A262A">
        <w:t xml:space="preserve">potentially </w:t>
      </w:r>
      <w:r>
        <w:t xml:space="preserve">charge up to double this, </w:t>
      </w:r>
      <w:r w:rsidR="00B319F8">
        <w:t xml:space="preserve">prescribing maximum fees at the current level, </w:t>
      </w:r>
      <w:r w:rsidR="00896FE0">
        <w:t>will reduce the likelihood that individuals are unfairly precluded from accessing health information.</w:t>
      </w:r>
      <w:r w:rsidR="00FC608C">
        <w:t xml:space="preserve"> </w:t>
      </w:r>
    </w:p>
    <w:p w14:paraId="56E34801" w14:textId="6B9BC4EC" w:rsidR="0021678E" w:rsidRPr="007203F6" w:rsidRDefault="00A5361D" w:rsidP="0021678E">
      <w:pPr>
        <w:rPr>
          <w:szCs w:val="20"/>
        </w:rPr>
      </w:pPr>
      <w:r>
        <w:t xml:space="preserve">It is difficult to </w:t>
      </w:r>
      <w:r w:rsidR="00907E5F">
        <w:t>judge the level of fee at which some individuals would be unfairly precluded from accessing their health information</w:t>
      </w:r>
      <w:r w:rsidR="0021678E">
        <w:t xml:space="preserve">, however the small number of complaints received by the Health Complaints Commissioner about fees, combined with feedback from health service </w:t>
      </w:r>
      <w:r w:rsidR="0021678E" w:rsidRPr="007203F6">
        <w:rPr>
          <w:szCs w:val="20"/>
        </w:rPr>
        <w:t xml:space="preserve">providers received by </w:t>
      </w:r>
      <w:r w:rsidR="000D4EC7">
        <w:rPr>
          <w:szCs w:val="20"/>
        </w:rPr>
        <w:t>DH</w:t>
      </w:r>
      <w:r w:rsidR="0021678E" w:rsidRPr="007203F6">
        <w:rPr>
          <w:szCs w:val="20"/>
        </w:rPr>
        <w:t xml:space="preserve"> through the life of the Regulations,</w:t>
      </w:r>
      <w:r w:rsidR="00EE58DC" w:rsidRPr="007203F6">
        <w:rPr>
          <w:szCs w:val="20"/>
        </w:rPr>
        <w:t xml:space="preserve"> suggest that maximum fees are currently set at an appropriate level to facilitate access.</w:t>
      </w:r>
    </w:p>
    <w:p w14:paraId="15BAC856" w14:textId="28729BE7" w:rsidR="005A6FAC" w:rsidRPr="007203F6" w:rsidRDefault="004035B4" w:rsidP="00E93E6C">
      <w:pPr>
        <w:rPr>
          <w:szCs w:val="20"/>
        </w:rPr>
      </w:pPr>
      <w:r w:rsidRPr="007203F6">
        <w:rPr>
          <w:szCs w:val="20"/>
        </w:rPr>
        <w:t xml:space="preserve">In assessing whether maximum fees are too high or too level, it is </w:t>
      </w:r>
      <w:r w:rsidR="00E93D89" w:rsidRPr="007203F6">
        <w:rPr>
          <w:szCs w:val="20"/>
        </w:rPr>
        <w:t xml:space="preserve">also </w:t>
      </w:r>
      <w:r w:rsidRPr="007203F6">
        <w:rPr>
          <w:szCs w:val="20"/>
        </w:rPr>
        <w:t xml:space="preserve">important to </w:t>
      </w:r>
      <w:r w:rsidR="005A6FAC" w:rsidRPr="007203F6">
        <w:rPr>
          <w:szCs w:val="20"/>
        </w:rPr>
        <w:t xml:space="preserve">consider the overall context of healthcare costs </w:t>
      </w:r>
      <w:proofErr w:type="gramStart"/>
      <w:r w:rsidR="005A6FAC" w:rsidRPr="007203F6">
        <w:rPr>
          <w:szCs w:val="20"/>
        </w:rPr>
        <w:t>and also</w:t>
      </w:r>
      <w:proofErr w:type="gramEnd"/>
      <w:r w:rsidR="005A6FAC" w:rsidRPr="007203F6">
        <w:rPr>
          <w:szCs w:val="20"/>
        </w:rPr>
        <w:t xml:space="preserve"> what happens in practice in relation to fees charged by organisations. </w:t>
      </w:r>
    </w:p>
    <w:p w14:paraId="587357D6" w14:textId="04240221" w:rsidR="007203F6" w:rsidRDefault="00890A43" w:rsidP="00A14B03">
      <w:r w:rsidRPr="00CA32A4">
        <w:lastRenderedPageBreak/>
        <w:t>It is noted that t</w:t>
      </w:r>
      <w:r w:rsidR="00D06D3F" w:rsidRPr="00CA32A4">
        <w:t>he maximum fees set are</w:t>
      </w:r>
      <w:r w:rsidR="00522A2F" w:rsidRPr="00CA32A4">
        <w:t xml:space="preserve"> low</w:t>
      </w:r>
      <w:r w:rsidR="00D06D3F" w:rsidRPr="00CA32A4">
        <w:t xml:space="preserve"> compared to the overall costs of healthcare provision</w:t>
      </w:r>
      <w:r w:rsidRPr="00CA32A4">
        <w:t xml:space="preserve">, for example </w:t>
      </w:r>
      <w:r w:rsidR="00E93E6C" w:rsidRPr="00CA32A4">
        <w:t>the fee for the most standard request for a copy of health information is</w:t>
      </w:r>
      <w:r w:rsidR="008E2D67" w:rsidRPr="00CA32A4">
        <w:t xml:space="preserve"> $38.23 (2.5 fee units) for ‘assessing and collating’ health information</w:t>
      </w:r>
      <w:r w:rsidR="00E93E6C" w:rsidRPr="00CA32A4">
        <w:t xml:space="preserve"> plus </w:t>
      </w:r>
      <w:r w:rsidR="008E2D67" w:rsidRPr="00CA32A4">
        <w:t>20 cents per page for A4 black and white</w:t>
      </w:r>
      <w:r w:rsidR="00F71648">
        <w:t xml:space="preserve"> copies</w:t>
      </w:r>
      <w:r w:rsidR="008E2D67" w:rsidRPr="00CA32A4">
        <w:t>.</w:t>
      </w:r>
      <w:r w:rsidR="00186096" w:rsidRPr="00CA32A4">
        <w:t xml:space="preserve"> I</w:t>
      </w:r>
      <w:r w:rsidR="0061450B" w:rsidRPr="00CA32A4">
        <w:t>n</w:t>
      </w:r>
      <w:r w:rsidR="00186096" w:rsidRPr="00CA32A4">
        <w:t xml:space="preserve"> the context of the whole cost of healthcare and fees charged by private health providers, this fee </w:t>
      </w:r>
      <w:r w:rsidR="001D7888" w:rsidRPr="00CA32A4">
        <w:t>does not comprise a material component of health care costs in most cases</w:t>
      </w:r>
      <w:r w:rsidR="00186096" w:rsidRPr="00CA32A4">
        <w:t>.</w:t>
      </w:r>
      <w:r w:rsidR="007203F6" w:rsidRPr="00CA32A4">
        <w:t xml:space="preserve"> To illustrate, an emergency attendance fee at a major private hospital in Melbourne is $400 for a Medicare card holder, with no rebate by Medicare or refund through private health insurance available. Capped out of pocket costs for a pathology fee are $150 and medical imaging $245. At another major private </w:t>
      </w:r>
      <w:proofErr w:type="gramStart"/>
      <w:r w:rsidR="007203F6" w:rsidRPr="00CA32A4">
        <w:t>hospital</w:t>
      </w:r>
      <w:proofErr w:type="gramEnd"/>
      <w:r w:rsidR="007203F6" w:rsidRPr="00CA32A4">
        <w:t xml:space="preserve"> the fees</w:t>
      </w:r>
      <w:r w:rsidR="00631778">
        <w:t xml:space="preserve"> for these services</w:t>
      </w:r>
      <w:r w:rsidR="007203F6" w:rsidRPr="00CA32A4">
        <w:t xml:space="preserve"> are $485, $110 and $420 respectively. For GP visits, the average out of pocket fee </w:t>
      </w:r>
      <w:r w:rsidR="005C68E4">
        <w:t>in 2023 is</w:t>
      </w:r>
      <w:r w:rsidR="007203F6" w:rsidRPr="00CA32A4">
        <w:t xml:space="preserve"> $42.44 for a </w:t>
      </w:r>
      <w:r w:rsidR="005F677D" w:rsidRPr="00CA32A4">
        <w:t>15-minute</w:t>
      </w:r>
      <w:r w:rsidR="007203F6" w:rsidRPr="00CA32A4">
        <w:t xml:space="preserve"> visit</w:t>
      </w:r>
      <w:r w:rsidR="005C68E4">
        <w:t>,</w:t>
      </w:r>
      <w:r w:rsidR="007203F6" w:rsidRPr="00CA32A4">
        <w:t xml:space="preserve"> as shown by Australian Governmen</w:t>
      </w:r>
      <w:r w:rsidR="005C68E4">
        <w:t>t data</w:t>
      </w:r>
      <w:r w:rsidR="007203F6" w:rsidRPr="00CA32A4">
        <w:t>.</w:t>
      </w:r>
    </w:p>
    <w:p w14:paraId="7CE85F3B" w14:textId="1FDBC7F8" w:rsidR="00E456D7" w:rsidRDefault="009F0769" w:rsidP="00E456D7">
      <w:r>
        <w:t>In addition, t</w:t>
      </w:r>
      <w:r w:rsidR="00C34612">
        <w:t xml:space="preserve">ypical </w:t>
      </w:r>
      <w:r w:rsidR="005214D4">
        <w:t xml:space="preserve">minor </w:t>
      </w:r>
      <w:r w:rsidR="00C34612">
        <w:t>requests by an individual for a health record at a small provider</w:t>
      </w:r>
      <w:r w:rsidR="00334AD5">
        <w:t xml:space="preserve"> </w:t>
      </w:r>
      <w:r w:rsidR="005214D4">
        <w:t xml:space="preserve">such a local general practice </w:t>
      </w:r>
      <w:r w:rsidR="00334AD5">
        <w:t xml:space="preserve">or a discharge summary at a private hospital </w:t>
      </w:r>
      <w:r w:rsidR="00C34612">
        <w:t>would often not be charged at all</w:t>
      </w:r>
      <w:r w:rsidR="005214D4">
        <w:t>.</w:t>
      </w:r>
      <w:r w:rsidR="00E456D7">
        <w:t xml:space="preserve"> </w:t>
      </w:r>
    </w:p>
    <w:p w14:paraId="470A68A4" w14:textId="7218E172" w:rsidR="00945C83" w:rsidRDefault="0096080C" w:rsidP="0096080C">
      <w:r>
        <w:t xml:space="preserve">As an example of a task that commands a higher fee, the maximum fee for creating an accurate summary of health information is $143.73. </w:t>
      </w:r>
      <w:r w:rsidR="00945C83">
        <w:t xml:space="preserve">Larger requests are often in the context of litigation, </w:t>
      </w:r>
      <w:r w:rsidR="00D86A75">
        <w:t xml:space="preserve">for which </w:t>
      </w:r>
      <w:r w:rsidR="00E87780">
        <w:t>larger providers typically charge a fee at the maximum fee level allowed</w:t>
      </w:r>
      <w:r w:rsidR="00275F95">
        <w:t>.</w:t>
      </w:r>
      <w:r w:rsidR="007834CC">
        <w:t xml:space="preserve"> It is noted that this</w:t>
      </w:r>
      <w:r w:rsidR="00D86A75">
        <w:t xml:space="preserve"> fee for access would be </w:t>
      </w:r>
      <w:r w:rsidR="0066699A">
        <w:t>a negligible cost compared to the total cost of litigation.</w:t>
      </w:r>
      <w:r w:rsidR="00945C83">
        <w:t xml:space="preserve"> </w:t>
      </w:r>
    </w:p>
    <w:p w14:paraId="38209CD5" w14:textId="229C0F82" w:rsidR="008922FE" w:rsidRDefault="008922FE" w:rsidP="009C137F">
      <w:r>
        <w:t xml:space="preserve">Setting a maximum fee </w:t>
      </w:r>
      <w:r w:rsidR="009C137F">
        <w:t>will reduce the likel</w:t>
      </w:r>
      <w:r w:rsidR="007126DF">
        <w:t>y</w:t>
      </w:r>
      <w:r>
        <w:t xml:space="preserve"> barrier for some people in accessing their health information, requesting it to be transferred, or requesting a review of refusal by a nominated health service provider where the fee set in the absence of maximum fees would unfairly preclude access. </w:t>
      </w:r>
    </w:p>
    <w:p w14:paraId="064FD1C6" w14:textId="2B782D65" w:rsidR="00005DB2" w:rsidRPr="00F61842" w:rsidRDefault="00F61842" w:rsidP="00F61842">
      <w:r>
        <w:t>Small</w:t>
      </w:r>
      <w:r w:rsidR="003600EE">
        <w:t xml:space="preserve"> private</w:t>
      </w:r>
      <w:r>
        <w:t xml:space="preserve"> non-health service providers with turnover of $3</w:t>
      </w:r>
      <w:r w:rsidR="00ED084B">
        <w:t xml:space="preserve"> </w:t>
      </w:r>
      <w:r>
        <w:t>m</w:t>
      </w:r>
      <w:r w:rsidR="00ED084B">
        <w:t>illion</w:t>
      </w:r>
      <w:r>
        <w:t xml:space="preserve"> or less would be able to charge a fee up to the maximum fee level under Option 1, compared to no fee under the base case, which means facilitation of access is reduced for this cohort (but likely to be a small number).</w:t>
      </w:r>
    </w:p>
    <w:p w14:paraId="216F2328" w14:textId="4D932F50" w:rsidR="00182C3C" w:rsidRDefault="00182C3C" w:rsidP="00005DB2">
      <w:r w:rsidRPr="00182C3C">
        <w:t xml:space="preserve">Overall, </w:t>
      </w:r>
      <w:r>
        <w:t>Option 1</w:t>
      </w:r>
      <w:r w:rsidRPr="00182C3C">
        <w:t xml:space="preserve"> is given a </w:t>
      </w:r>
      <w:r w:rsidRPr="00816B24">
        <w:rPr>
          <w:b/>
          <w:bCs/>
        </w:rPr>
        <w:t xml:space="preserve">score of </w:t>
      </w:r>
      <w:r w:rsidR="002B10E0">
        <w:rPr>
          <w:b/>
          <w:bCs/>
        </w:rPr>
        <w:t>+</w:t>
      </w:r>
      <w:r w:rsidR="00917290">
        <w:rPr>
          <w:b/>
          <w:bCs/>
        </w:rPr>
        <w:t>7</w:t>
      </w:r>
      <w:r w:rsidRPr="00182C3C">
        <w:t xml:space="preserve"> </w:t>
      </w:r>
      <w:r w:rsidR="00DD1E1E">
        <w:t xml:space="preserve">for </w:t>
      </w:r>
      <w:r w:rsidR="00631768">
        <w:t>this criterion</w:t>
      </w:r>
      <w:r w:rsidR="00DD1E1E">
        <w:t xml:space="preserve"> </w:t>
      </w:r>
      <w:r w:rsidRPr="00182C3C">
        <w:t>ref</w:t>
      </w:r>
      <w:r>
        <w:t xml:space="preserve">lecting </w:t>
      </w:r>
      <w:r w:rsidR="00917290">
        <w:t>that health providers will be prevented from increasing their fees (</w:t>
      </w:r>
      <w:proofErr w:type="gramStart"/>
      <w:r w:rsidR="00917290">
        <w:t>e.g.</w:t>
      </w:r>
      <w:proofErr w:type="gramEnd"/>
      <w:r w:rsidR="00917290">
        <w:t xml:space="preserve"> up to a level of full cost recovery</w:t>
      </w:r>
      <w:r w:rsidR="00822CE8">
        <w:t>, as some would be expected to do</w:t>
      </w:r>
      <w:r w:rsidR="00917290">
        <w:t>), but moderated by the fact that providers will</w:t>
      </w:r>
      <w:r w:rsidR="00F77A37">
        <w:t xml:space="preserve"> continue to charge no fees</w:t>
      </w:r>
      <w:r w:rsidR="007E3DB7">
        <w:t xml:space="preserve"> in many cases</w:t>
      </w:r>
      <w:r w:rsidR="00F77A37">
        <w:t xml:space="preserve"> (whether Regulations are prescribed or not).</w:t>
      </w:r>
    </w:p>
    <w:p w14:paraId="16F2F81A" w14:textId="228AEF13" w:rsidR="00005DB2" w:rsidRPr="00D1550C" w:rsidRDefault="00005DB2" w:rsidP="00005DB2">
      <w:pPr>
        <w:spacing w:after="0"/>
        <w:rPr>
          <w:rFonts w:cstheme="minorHAnsi"/>
          <w:b/>
          <w:color w:val="7B5E05" w:themeColor="accent1"/>
          <w:szCs w:val="20"/>
          <w:lang w:val="en-AU"/>
        </w:rPr>
      </w:pPr>
      <w:r>
        <w:rPr>
          <w:rFonts w:cstheme="minorHAnsi"/>
          <w:b/>
          <w:color w:val="7B5E05" w:themeColor="accent1"/>
          <w:szCs w:val="20"/>
          <w:lang w:val="en-AU"/>
        </w:rPr>
        <w:t xml:space="preserve">Criteria 2: </w:t>
      </w:r>
      <w:r w:rsidRPr="00D1550C">
        <w:rPr>
          <w:rFonts w:cstheme="minorHAnsi"/>
          <w:b/>
          <w:color w:val="7B5E05" w:themeColor="accent1"/>
          <w:szCs w:val="20"/>
          <w:lang w:val="en-AU"/>
        </w:rPr>
        <w:t xml:space="preserve">Reasonable cost recovery for </w:t>
      </w:r>
      <w:r w:rsidR="00C01836">
        <w:rPr>
          <w:rFonts w:cstheme="minorHAnsi"/>
          <w:b/>
          <w:color w:val="7B5E05" w:themeColor="accent1"/>
          <w:szCs w:val="20"/>
          <w:lang w:val="en-AU"/>
        </w:rPr>
        <w:t>organisations</w:t>
      </w:r>
    </w:p>
    <w:p w14:paraId="45105CC0" w14:textId="014E2C69" w:rsidR="00AE6B82" w:rsidRDefault="00AE6B82" w:rsidP="00C90366">
      <w:r>
        <w:t xml:space="preserve">Setting a maximum fee </w:t>
      </w:r>
      <w:r w:rsidR="00D11768">
        <w:t xml:space="preserve">at the current </w:t>
      </w:r>
      <w:r w:rsidR="00C17F6C">
        <w:t xml:space="preserve">level </w:t>
      </w:r>
      <w:r>
        <w:t>means that health providers may not be able to recover a share of the actual costs that they incur in providing access to health information</w:t>
      </w:r>
      <w:r w:rsidR="004315D0">
        <w:t>. T</w:t>
      </w:r>
      <w:r>
        <w:t>his will vary across providers and depend on their individual cost structures</w:t>
      </w:r>
      <w:r w:rsidR="00087F4D">
        <w:t>, with s</w:t>
      </w:r>
      <w:r w:rsidR="004315D0">
        <w:rPr>
          <w:lang w:val="en-US"/>
        </w:rPr>
        <w:t>ome hav</w:t>
      </w:r>
      <w:r w:rsidR="00087F4D">
        <w:rPr>
          <w:lang w:val="en-US"/>
        </w:rPr>
        <w:t>ing</w:t>
      </w:r>
      <w:r w:rsidR="004315D0">
        <w:rPr>
          <w:lang w:val="en-US"/>
        </w:rPr>
        <w:t xml:space="preserve"> higher cost levels than the maximum fees set and some hav</w:t>
      </w:r>
      <w:r w:rsidR="00087F4D">
        <w:rPr>
          <w:lang w:val="en-US"/>
        </w:rPr>
        <w:t>ing</w:t>
      </w:r>
      <w:r w:rsidR="004315D0">
        <w:rPr>
          <w:lang w:val="en-US"/>
        </w:rPr>
        <w:t xml:space="preserve"> lower cost levels</w:t>
      </w:r>
      <w:r w:rsidR="00C33AC2">
        <w:rPr>
          <w:lang w:val="en-US"/>
        </w:rPr>
        <w:t xml:space="preserve"> (</w:t>
      </w:r>
      <w:proofErr w:type="gramStart"/>
      <w:r w:rsidR="00005AD7">
        <w:rPr>
          <w:lang w:val="en-US"/>
        </w:rPr>
        <w:t>e.g.</w:t>
      </w:r>
      <w:proofErr w:type="gramEnd"/>
      <w:r w:rsidR="00005AD7">
        <w:rPr>
          <w:lang w:val="en-US"/>
        </w:rPr>
        <w:t xml:space="preserve"> </w:t>
      </w:r>
      <w:r w:rsidR="00C33AC2">
        <w:rPr>
          <w:lang w:val="en-US"/>
        </w:rPr>
        <w:t xml:space="preserve">the extent of file digitisation could </w:t>
      </w:r>
      <w:r w:rsidR="00005AD7">
        <w:rPr>
          <w:lang w:val="en-US"/>
        </w:rPr>
        <w:t>drive different cost levels)</w:t>
      </w:r>
      <w:r w:rsidR="00087F4D">
        <w:rPr>
          <w:lang w:val="en-US"/>
        </w:rPr>
        <w:t xml:space="preserve">. </w:t>
      </w:r>
      <w:r w:rsidR="001C1A1B">
        <w:rPr>
          <w:lang w:val="en-US"/>
        </w:rPr>
        <w:t xml:space="preserve">In engagement </w:t>
      </w:r>
      <w:r w:rsidR="004B6181">
        <w:rPr>
          <w:lang w:val="en-US"/>
        </w:rPr>
        <w:t xml:space="preserve">with large health providers, one health provider </w:t>
      </w:r>
      <w:r w:rsidR="00E807DC">
        <w:rPr>
          <w:lang w:val="en-US"/>
        </w:rPr>
        <w:t xml:space="preserve">said they </w:t>
      </w:r>
      <w:r w:rsidR="00A72108">
        <w:rPr>
          <w:lang w:val="en-US"/>
        </w:rPr>
        <w:t xml:space="preserve">outsource the delivery of health information </w:t>
      </w:r>
      <w:r w:rsidR="00A53F5D">
        <w:rPr>
          <w:lang w:val="en-US"/>
        </w:rPr>
        <w:t xml:space="preserve">in response to requests </w:t>
      </w:r>
      <w:r w:rsidR="005F6333">
        <w:rPr>
          <w:lang w:val="en-US"/>
        </w:rPr>
        <w:t xml:space="preserve">to an external provider </w:t>
      </w:r>
      <w:r w:rsidR="00A72108">
        <w:rPr>
          <w:lang w:val="en-US"/>
        </w:rPr>
        <w:t xml:space="preserve">and estimate </w:t>
      </w:r>
      <w:r w:rsidR="00A923D2">
        <w:rPr>
          <w:lang w:val="en-US"/>
        </w:rPr>
        <w:t xml:space="preserve">the level of </w:t>
      </w:r>
      <w:r w:rsidR="00A72108">
        <w:rPr>
          <w:lang w:val="en-US"/>
        </w:rPr>
        <w:t>cost recovery to be about 50%.</w:t>
      </w:r>
      <w:r w:rsidR="00F46292">
        <w:rPr>
          <w:rStyle w:val="FootnoteReference"/>
          <w:lang w:val="en-US"/>
        </w:rPr>
        <w:footnoteReference w:id="35"/>
      </w:r>
      <w:r w:rsidR="00E807DC">
        <w:rPr>
          <w:lang w:val="en-US"/>
        </w:rPr>
        <w:t xml:space="preserve"> </w:t>
      </w:r>
      <w:r w:rsidR="009143CF">
        <w:rPr>
          <w:lang w:val="en-US"/>
        </w:rPr>
        <w:t xml:space="preserve">In the absence of better data this RIS assumes </w:t>
      </w:r>
      <w:r w:rsidR="00790845">
        <w:rPr>
          <w:lang w:val="en-US"/>
        </w:rPr>
        <w:t>an</w:t>
      </w:r>
      <w:r w:rsidR="00D505A9">
        <w:rPr>
          <w:lang w:val="en-US"/>
        </w:rPr>
        <w:t xml:space="preserve"> average cost recovery under the current Regulations of 50%, </w:t>
      </w:r>
      <w:r w:rsidR="006955E2">
        <w:rPr>
          <w:lang w:val="en-US"/>
        </w:rPr>
        <w:t xml:space="preserve">noting </w:t>
      </w:r>
      <w:r w:rsidR="00D505A9">
        <w:rPr>
          <w:lang w:val="en-US"/>
        </w:rPr>
        <w:t xml:space="preserve">however </w:t>
      </w:r>
      <w:r w:rsidR="006955E2">
        <w:rPr>
          <w:lang w:val="en-US"/>
        </w:rPr>
        <w:t xml:space="preserve">the high level of </w:t>
      </w:r>
      <w:r w:rsidR="006955E2">
        <w:rPr>
          <w:lang w:val="en-US"/>
        </w:rPr>
        <w:lastRenderedPageBreak/>
        <w:t xml:space="preserve">uncertainty with this assumption </w:t>
      </w:r>
      <w:r w:rsidR="00D505A9">
        <w:rPr>
          <w:lang w:val="en-US"/>
        </w:rPr>
        <w:t xml:space="preserve">and </w:t>
      </w:r>
      <w:r w:rsidR="006955E2">
        <w:rPr>
          <w:lang w:val="en-US"/>
        </w:rPr>
        <w:t>also that different</w:t>
      </w:r>
      <w:r w:rsidR="00D505A9">
        <w:rPr>
          <w:lang w:val="en-US"/>
        </w:rPr>
        <w:t xml:space="preserve"> businesses </w:t>
      </w:r>
      <w:r w:rsidR="00E276A8">
        <w:rPr>
          <w:lang w:val="en-US"/>
        </w:rPr>
        <w:t>will have higher and lower cost recovery levels depending on their cost structures.</w:t>
      </w:r>
    </w:p>
    <w:p w14:paraId="7FA91CF7" w14:textId="7DA2DF8B" w:rsidR="0007045B" w:rsidRDefault="003E0FBD" w:rsidP="00F839B5">
      <w:r>
        <w:t xml:space="preserve">While the </w:t>
      </w:r>
      <w:r w:rsidR="00B9664D">
        <w:t xml:space="preserve">Regulations do not define what a “reasonable” level of cost recovery is, </w:t>
      </w:r>
      <w:r w:rsidR="00367EB8">
        <w:t xml:space="preserve">to </w:t>
      </w:r>
      <w:r w:rsidR="00B9664D">
        <w:t xml:space="preserve">support this </w:t>
      </w:r>
      <w:r w:rsidR="004B4C53">
        <w:t>analysis against the MCA criteria</w:t>
      </w:r>
      <w:r w:rsidR="00367EB8">
        <w:t xml:space="preserve"> we note</w:t>
      </w:r>
      <w:r w:rsidR="004B4C53">
        <w:t>:</w:t>
      </w:r>
    </w:p>
    <w:p w14:paraId="4AEB5352" w14:textId="43BDDCE3" w:rsidR="004B4C53" w:rsidRDefault="00C91DF5" w:rsidP="004B4C53">
      <w:pPr>
        <w:pStyle w:val="ListParagraph"/>
        <w:numPr>
          <w:ilvl w:val="0"/>
          <w:numId w:val="51"/>
        </w:numPr>
      </w:pPr>
      <w:r>
        <w:t xml:space="preserve">A reasonable level of </w:t>
      </w:r>
      <w:r w:rsidR="004B4C53">
        <w:t xml:space="preserve">cost recovery </w:t>
      </w:r>
      <w:r>
        <w:t>could be up to the</w:t>
      </w:r>
      <w:r w:rsidR="00885B01">
        <w:t xml:space="preserve"> efficient costs </w:t>
      </w:r>
      <w:r>
        <w:t xml:space="preserve">of providing the service </w:t>
      </w:r>
      <w:r w:rsidR="00885B01" w:rsidRPr="00774FB2">
        <w:t xml:space="preserve">(consistent with principles in DTF’s Pricing for Value Guidelines which state </w:t>
      </w:r>
      <w:r w:rsidR="00F85806" w:rsidRPr="00774FB2">
        <w:t>organisations should aim to the full costs of service provision</w:t>
      </w:r>
      <w:r w:rsidR="00885B01" w:rsidRPr="00774FB2">
        <w:t>)</w:t>
      </w:r>
      <w:r w:rsidR="0068626A" w:rsidRPr="00774FB2">
        <w:t>.</w:t>
      </w:r>
    </w:p>
    <w:p w14:paraId="4EA0E85C" w14:textId="2F0A5A77" w:rsidR="00885B01" w:rsidRDefault="000F527A" w:rsidP="004B4C53">
      <w:pPr>
        <w:pStyle w:val="ListParagraph"/>
        <w:numPr>
          <w:ilvl w:val="0"/>
          <w:numId w:val="51"/>
        </w:numPr>
      </w:pPr>
      <w:r>
        <w:t xml:space="preserve">Cost recovery </w:t>
      </w:r>
      <w:r w:rsidR="00C94757">
        <w:t>approaching</w:t>
      </w:r>
      <w:r>
        <w:t xml:space="preserve"> zero </w:t>
      </w:r>
      <w:r w:rsidR="00C94757">
        <w:t>is not</w:t>
      </w:r>
      <w:r>
        <w:t xml:space="preserve"> reasonable, as</w:t>
      </w:r>
      <w:r w:rsidR="00213933">
        <w:t xml:space="preserve"> fees would be so low as to not even recover the administrative costs of charging</w:t>
      </w:r>
      <w:r w:rsidR="009623DE">
        <w:t>. Given</w:t>
      </w:r>
      <w:r w:rsidR="00AB6729">
        <w:t xml:space="preserve"> the typical fee of $38.23 for an information request, a fee half this level at $19</w:t>
      </w:r>
      <w:r w:rsidR="003854AD">
        <w:t>.</w:t>
      </w:r>
      <w:r w:rsidR="00AB6729">
        <w:t xml:space="preserve">11 </w:t>
      </w:r>
      <w:r w:rsidR="003854AD">
        <w:t xml:space="preserve">is approaching the low end of what could be considered reasonable as below this </w:t>
      </w:r>
      <w:r w:rsidR="00007B21">
        <w:t>the costs of administering the fee could begin to outweigh the fee charged</w:t>
      </w:r>
      <w:r w:rsidR="00CB6315">
        <w:t xml:space="preserve">. </w:t>
      </w:r>
    </w:p>
    <w:p w14:paraId="0993B1C7" w14:textId="381BC241" w:rsidR="00F85364" w:rsidRDefault="00F85364" w:rsidP="00F85364">
      <w:r w:rsidRPr="00BA5489">
        <w:t>It is noted that organisations that are only subject to the Act and not the FOI Act or the Privacy Act (</w:t>
      </w:r>
      <w:r w:rsidR="00B64B18" w:rsidRPr="00BA5489">
        <w:t>non-health</w:t>
      </w:r>
      <w:r w:rsidRPr="00BA5489">
        <w:t xml:space="preserve"> service </w:t>
      </w:r>
      <w:r w:rsidR="00447675" w:rsidRPr="00BA5489">
        <w:t>pr</w:t>
      </w:r>
      <w:r w:rsidR="00405A07" w:rsidRPr="00BA5489">
        <w:t xml:space="preserve">ivate </w:t>
      </w:r>
      <w:r w:rsidRPr="00BA5489">
        <w:t>providers with turnover of $3 million or less)</w:t>
      </w:r>
      <w:r w:rsidR="001D0C31" w:rsidRPr="00BA5489">
        <w:t xml:space="preserve"> </w:t>
      </w:r>
      <w:r w:rsidRPr="00BA5489">
        <w:t xml:space="preserve">cannot charge any fee unless there are regulations under the Act specifying a maximum. </w:t>
      </w:r>
      <w:r w:rsidR="00B64B18" w:rsidRPr="00BA5489">
        <w:t>Therefore,</w:t>
      </w:r>
      <w:r w:rsidRPr="00BA5489">
        <w:t xml:space="preserve"> there is</w:t>
      </w:r>
      <w:r>
        <w:t xml:space="preserve"> a small benefit for these organisations compared to the base case – offsetting the initial negative score, albeit only by a small amount</w:t>
      </w:r>
      <w:r w:rsidR="00FE6999">
        <w:rPr>
          <w:rStyle w:val="FootnoteReference"/>
        </w:rPr>
        <w:footnoteReference w:id="36"/>
      </w:r>
      <w:r>
        <w:t>.</w:t>
      </w:r>
    </w:p>
    <w:p w14:paraId="6EACE61A" w14:textId="747C1582" w:rsidR="002B10E0" w:rsidRPr="00D27900" w:rsidRDefault="00240B2D" w:rsidP="00816B24">
      <w:r>
        <w:t>To score this option</w:t>
      </w:r>
      <w:r w:rsidR="003D1DA2">
        <w:t xml:space="preserve"> against the base case</w:t>
      </w:r>
      <w:r>
        <w:t xml:space="preserve">, we </w:t>
      </w:r>
      <w:r w:rsidR="00B639EE">
        <w:t xml:space="preserve">define full cost recovery as a </w:t>
      </w:r>
      <w:r w:rsidR="00384BD2">
        <w:t xml:space="preserve">score of 0 (same as the base case), -5 as 50% cost recovery and -10 as </w:t>
      </w:r>
      <w:r w:rsidR="008E74CB">
        <w:t>zero cost recovery</w:t>
      </w:r>
      <w:r w:rsidR="003D1DA2">
        <w:t xml:space="preserve"> (essentially establishing a scoring scale)</w:t>
      </w:r>
      <w:r w:rsidR="008E74CB">
        <w:t>.</w:t>
      </w:r>
      <w:r w:rsidR="00B820FE">
        <w:t xml:space="preserve"> Th</w:t>
      </w:r>
      <w:r w:rsidR="00EE4FCD">
        <w:t xml:space="preserve">e option of replicating the current Regulations is given </w:t>
      </w:r>
      <w:r w:rsidR="00EE4FCD" w:rsidRPr="00DF252B">
        <w:rPr>
          <w:b/>
          <w:bCs/>
        </w:rPr>
        <w:t>a score of -5</w:t>
      </w:r>
      <w:r w:rsidR="00EE4FCD">
        <w:t xml:space="preserve">, reflecting </w:t>
      </w:r>
      <w:r w:rsidR="002D0099">
        <w:t xml:space="preserve">an assumption that </w:t>
      </w:r>
      <w:r w:rsidR="00C83FBF">
        <w:t xml:space="preserve">cost recovery of 50% </w:t>
      </w:r>
      <w:r w:rsidR="009143CF">
        <w:t xml:space="preserve">is </w:t>
      </w:r>
      <w:r w:rsidR="00C83FBF">
        <w:t xml:space="preserve">allowed by the maximum fees, although </w:t>
      </w:r>
      <w:r w:rsidR="00C83FBF" w:rsidRPr="00D27900">
        <w:t xml:space="preserve">given data availability this </w:t>
      </w:r>
      <w:r w:rsidR="00F80D06" w:rsidRPr="00D27900">
        <w:t xml:space="preserve">estimate is </w:t>
      </w:r>
      <w:r w:rsidR="00714C47">
        <w:t xml:space="preserve">highly </w:t>
      </w:r>
      <w:r w:rsidR="00F80D06" w:rsidRPr="00D27900">
        <w:t>uncertain</w:t>
      </w:r>
      <w:r w:rsidR="00C83FBF" w:rsidRPr="00D27900">
        <w:t>.</w:t>
      </w:r>
      <w:r w:rsidR="008E74CB" w:rsidRPr="00D27900">
        <w:t xml:space="preserve"> </w:t>
      </w:r>
    </w:p>
    <w:p w14:paraId="590DCC94" w14:textId="04F3EFE2" w:rsidR="00005DB2" w:rsidRPr="00D27900" w:rsidRDefault="00005DB2" w:rsidP="00005DB2">
      <w:pPr>
        <w:rPr>
          <w:rFonts w:cstheme="minorHAnsi"/>
          <w:b/>
          <w:color w:val="7B5E05" w:themeColor="accent1"/>
          <w:szCs w:val="20"/>
          <w:lang w:val="en-AU"/>
        </w:rPr>
      </w:pPr>
      <w:r w:rsidRPr="00D27900">
        <w:rPr>
          <w:rFonts w:cstheme="minorHAnsi"/>
          <w:b/>
          <w:color w:val="7B5E05" w:themeColor="accent1"/>
          <w:szCs w:val="20"/>
          <w:lang w:val="en-AU"/>
        </w:rPr>
        <w:t>Criteria 3:</w:t>
      </w:r>
      <w:r w:rsidR="00472DC8" w:rsidRPr="00D27900">
        <w:rPr>
          <w:rFonts w:cstheme="minorHAnsi"/>
          <w:b/>
          <w:color w:val="7B5E05" w:themeColor="accent1"/>
          <w:szCs w:val="20"/>
          <w:lang w:val="en-AU"/>
        </w:rPr>
        <w:t xml:space="preserve"> Simple to understand and administer</w:t>
      </w:r>
    </w:p>
    <w:p w14:paraId="46A36591" w14:textId="77777777" w:rsidR="003B0370" w:rsidRDefault="003B0370" w:rsidP="003B0370">
      <w:pPr>
        <w:spacing w:after="0"/>
      </w:pPr>
      <w:r w:rsidRPr="00D27900">
        <w:t xml:space="preserve">Setting maximum fees imposes some administration costs on organisations as they need to understand and ensure they are complying with the Regulations. The fee structure </w:t>
      </w:r>
      <w:r>
        <w:t xml:space="preserve">that </w:t>
      </w:r>
      <w:r w:rsidRPr="00D27900">
        <w:t>organisations choose to use themselves in the absence of maximum fees might be different to what is prescribed in the Regulations, so there may be implementation costs for businesses to understand and implement the required fee arrangement</w:t>
      </w:r>
      <w:r>
        <w:t xml:space="preserve">. </w:t>
      </w:r>
    </w:p>
    <w:p w14:paraId="057C37BB" w14:textId="29A67DA2" w:rsidR="003B0370" w:rsidRDefault="003B0370" w:rsidP="003B0370">
      <w:pPr>
        <w:spacing w:after="0"/>
      </w:pPr>
      <w:r>
        <w:t>On the other hand, there is likely to be a lack of clarity for organisations on what fees may be charged under the Commonwealth Privacy Act for those organisations allowed to do so (see discussion</w:t>
      </w:r>
      <w:r w:rsidR="007156D0">
        <w:t xml:space="preserve"> regarding the base case</w:t>
      </w:r>
      <w:r>
        <w:t xml:space="preserve"> in section </w:t>
      </w:r>
      <w:proofErr w:type="gramStart"/>
      <w:r>
        <w:t>4.2.1  about</w:t>
      </w:r>
      <w:proofErr w:type="gramEnd"/>
      <w:r>
        <w:t xml:space="preserve"> potential difficult</w:t>
      </w:r>
      <w:r w:rsidR="00F25A65">
        <w:t>ies</w:t>
      </w:r>
      <w:r>
        <w:t xml:space="preserve"> </w:t>
      </w:r>
      <w:r w:rsidR="007156D0">
        <w:t>in</w:t>
      </w:r>
      <w:r w:rsidR="00C92E36">
        <w:t>volved in</w:t>
      </w:r>
      <w:r>
        <w:t xml:space="preserve"> navigat</w:t>
      </w:r>
      <w:r w:rsidR="007156D0">
        <w:t>ing</w:t>
      </w:r>
      <w:r>
        <w:t xml:space="preserve"> and understand</w:t>
      </w:r>
      <w:r w:rsidR="007156D0">
        <w:t>ing</w:t>
      </w:r>
      <w:r>
        <w:t xml:space="preserve"> the Commonwealth Privacy Act). The regulation of maximum fees may provide more clarity and certainty for organisations.</w:t>
      </w:r>
    </w:p>
    <w:p w14:paraId="0972C26D" w14:textId="2825C148" w:rsidR="003B0370" w:rsidRDefault="003B0370" w:rsidP="003B0370">
      <w:pPr>
        <w:spacing w:after="0"/>
      </w:pPr>
      <w:r>
        <w:t xml:space="preserve">It is noted that many organisations do not charge fees for </w:t>
      </w:r>
      <w:r w:rsidR="00F310EA">
        <w:t xml:space="preserve">providing access to </w:t>
      </w:r>
      <w:r>
        <w:t>health information. These organisations will not be impacted by the Regulations.</w:t>
      </w:r>
    </w:p>
    <w:p w14:paraId="129979A3" w14:textId="5B8D5B29" w:rsidR="003B0370" w:rsidRDefault="003B0370" w:rsidP="003B0370">
      <w:pPr>
        <w:spacing w:after="0"/>
        <w:rPr>
          <w:rFonts w:cstheme="minorHAnsi"/>
          <w:szCs w:val="20"/>
          <w:lang w:val="en-AU"/>
        </w:rPr>
      </w:pPr>
      <w:r>
        <w:t>It is difficult to assess the overall impact of the offsetting impacts on organisations discussed above. Conservatively</w:t>
      </w:r>
      <w:r w:rsidR="00342BAF">
        <w:t>,</w:t>
      </w:r>
      <w:r>
        <w:t xml:space="preserve"> it is judged that there will be a small overall negative impact on organisations for </w:t>
      </w:r>
      <w:r w:rsidR="002D6638">
        <w:t xml:space="preserve">this </w:t>
      </w:r>
      <w:r w:rsidR="002D6638">
        <w:lastRenderedPageBreak/>
        <w:t>criterion</w:t>
      </w:r>
      <w:r>
        <w:t xml:space="preserve"> </w:t>
      </w:r>
      <w:r w:rsidR="00903B3D">
        <w:t>(</w:t>
      </w:r>
      <w:proofErr w:type="gramStart"/>
      <w:r>
        <w:t>i.e.</w:t>
      </w:r>
      <w:proofErr w:type="gramEnd"/>
      <w:r>
        <w:t xml:space="preserve"> the avoided costs from not having to comply with the Regulations outweigh the potential benefits of clarity provided by the Regulations</w:t>
      </w:r>
      <w:r w:rsidR="00903B3D">
        <w:t>)</w:t>
      </w:r>
      <w:r>
        <w:t>.</w:t>
      </w:r>
    </w:p>
    <w:p w14:paraId="24DC11DF" w14:textId="58EF2051" w:rsidR="003B0370" w:rsidRDefault="003B0370" w:rsidP="003B0370">
      <w:pPr>
        <w:spacing w:after="0"/>
        <w:rPr>
          <w:rFonts w:cstheme="minorHAnsi"/>
          <w:szCs w:val="20"/>
          <w:lang w:val="en-AU"/>
        </w:rPr>
      </w:pPr>
      <w:r>
        <w:rPr>
          <w:rFonts w:cstheme="minorHAnsi"/>
          <w:szCs w:val="20"/>
          <w:lang w:val="en-AU"/>
        </w:rPr>
        <w:t xml:space="preserve">For individuals requesting information, there is likely to be a positive impact in terms of having more clarity and certainty around what fees can be charged. In the event of being charged what they perceive as an unnecessarily high fee and seeking to question such a fee, an individual could find information on the maximum fees able to be set on either </w:t>
      </w:r>
      <w:r w:rsidR="00C946E6">
        <w:rPr>
          <w:rFonts w:cstheme="minorHAnsi"/>
          <w:szCs w:val="20"/>
          <w:lang w:val="en-AU"/>
        </w:rPr>
        <w:t>DH’s</w:t>
      </w:r>
      <w:r>
        <w:rPr>
          <w:rFonts w:cstheme="minorHAnsi"/>
          <w:szCs w:val="20"/>
          <w:lang w:val="en-AU"/>
        </w:rPr>
        <w:t xml:space="preserve"> website or the Health Complaints Commissioner website, unlike under the Commonwealth Privacy Act which is more difficult to navigate and understand. </w:t>
      </w:r>
      <w:proofErr w:type="gramStart"/>
      <w:r>
        <w:rPr>
          <w:rFonts w:cstheme="minorHAnsi"/>
          <w:szCs w:val="20"/>
          <w:lang w:val="en-AU"/>
        </w:rPr>
        <w:t>Therefore</w:t>
      </w:r>
      <w:proofErr w:type="gramEnd"/>
      <w:r>
        <w:rPr>
          <w:rFonts w:cstheme="minorHAnsi"/>
          <w:szCs w:val="20"/>
          <w:lang w:val="en-AU"/>
        </w:rPr>
        <w:t xml:space="preserve"> the regulation of maximum fees significantly increases simplicity and ease of understanding for individuals.</w:t>
      </w:r>
    </w:p>
    <w:p w14:paraId="29A65F92" w14:textId="77777777" w:rsidR="003B0370" w:rsidRPr="00485EAB" w:rsidRDefault="003B0370" w:rsidP="003B0370">
      <w:pPr>
        <w:rPr>
          <w:rFonts w:cstheme="minorHAnsi"/>
          <w:szCs w:val="20"/>
          <w:lang w:val="en-AU"/>
        </w:rPr>
      </w:pPr>
      <w:r>
        <w:t>Option 1</w:t>
      </w:r>
      <w:r w:rsidRPr="00182C3C">
        <w:t xml:space="preserve"> is given a </w:t>
      </w:r>
      <w:r w:rsidRPr="00D1550C">
        <w:rPr>
          <w:b/>
          <w:bCs/>
        </w:rPr>
        <w:t xml:space="preserve">score of </w:t>
      </w:r>
      <w:r>
        <w:rPr>
          <w:b/>
          <w:bCs/>
        </w:rPr>
        <w:t>+5</w:t>
      </w:r>
      <w:r w:rsidRPr="00491910">
        <w:t xml:space="preserve">, </w:t>
      </w:r>
      <w:proofErr w:type="gramStart"/>
      <w:r w:rsidRPr="00491910">
        <w:t>taking into account</w:t>
      </w:r>
      <w:proofErr w:type="gramEnd"/>
      <w:r w:rsidRPr="00491910">
        <w:t xml:space="preserve"> the impacts on both organisations and individuals</w:t>
      </w:r>
      <w:r w:rsidRPr="00485EAB">
        <w:t>.</w:t>
      </w:r>
    </w:p>
    <w:p w14:paraId="17DB2FB2" w14:textId="34A83264" w:rsidR="005A7811" w:rsidRPr="005D7D7B" w:rsidRDefault="005D7D7B" w:rsidP="005A7811">
      <w:pPr>
        <w:rPr>
          <w:rFonts w:cstheme="minorHAnsi"/>
          <w:b/>
          <w:color w:val="7B5E05" w:themeColor="accent1"/>
          <w:szCs w:val="20"/>
          <w:lang w:val="en-AU"/>
        </w:rPr>
      </w:pPr>
      <w:r w:rsidRPr="005D7D7B">
        <w:rPr>
          <w:rFonts w:cstheme="minorHAnsi"/>
          <w:b/>
          <w:color w:val="7B5E05" w:themeColor="accent1"/>
          <w:szCs w:val="20"/>
          <w:lang w:val="en-AU"/>
        </w:rPr>
        <w:t>Summary</w:t>
      </w:r>
    </w:p>
    <w:p w14:paraId="42D4761B" w14:textId="6F562AEC" w:rsidR="005A7811" w:rsidRPr="00FF2DC4" w:rsidRDefault="00B051C8" w:rsidP="00B051C8">
      <w:pPr>
        <w:rPr>
          <w:rFonts w:cstheme="minorHAnsi"/>
          <w:szCs w:val="20"/>
          <w:lang w:val="en-AU"/>
        </w:rPr>
      </w:pPr>
      <w:r>
        <w:rPr>
          <w:rFonts w:cstheme="minorHAnsi"/>
          <w:szCs w:val="20"/>
          <w:lang w:val="en-AU"/>
        </w:rPr>
        <w:t xml:space="preserve">Overall, Option 1 receives a </w:t>
      </w:r>
      <w:r w:rsidR="007064EB" w:rsidRPr="002F40A4">
        <w:rPr>
          <w:rFonts w:cstheme="minorHAnsi"/>
          <w:b/>
          <w:bCs/>
          <w:szCs w:val="20"/>
          <w:lang w:val="en-AU"/>
        </w:rPr>
        <w:t>total w</w:t>
      </w:r>
      <w:r w:rsidR="007064EB" w:rsidRPr="008261C8">
        <w:rPr>
          <w:rFonts w:cstheme="minorHAnsi"/>
          <w:b/>
          <w:bCs/>
          <w:szCs w:val="20"/>
          <w:lang w:val="en-AU"/>
        </w:rPr>
        <w:t>eighted score of +1.8</w:t>
      </w:r>
      <w:r>
        <w:rPr>
          <w:rFonts w:cstheme="minorHAnsi"/>
          <w:szCs w:val="20"/>
          <w:lang w:val="en-AU"/>
        </w:rPr>
        <w:t xml:space="preserve">, as shown </w:t>
      </w:r>
      <w:r w:rsidR="00D011DE">
        <w:rPr>
          <w:rFonts w:cstheme="minorHAnsi"/>
          <w:szCs w:val="20"/>
          <w:lang w:val="en-AU"/>
        </w:rPr>
        <w:t xml:space="preserve">in </w:t>
      </w:r>
      <w:r w:rsidR="00507231">
        <w:rPr>
          <w:rFonts w:cstheme="minorHAnsi"/>
          <w:szCs w:val="20"/>
          <w:lang w:val="en-AU"/>
        </w:rPr>
        <w:t>Table 6</w:t>
      </w:r>
      <w:r>
        <w:rPr>
          <w:rFonts w:cstheme="minorHAnsi"/>
          <w:szCs w:val="20"/>
          <w:lang w:val="en-AU"/>
        </w:rPr>
        <w:t xml:space="preserve">. </w:t>
      </w:r>
    </w:p>
    <w:p w14:paraId="69613600" w14:textId="53788F36" w:rsidR="00DD26C5" w:rsidRDefault="00DD26C5" w:rsidP="00DD26C5">
      <w:pPr>
        <w:pStyle w:val="Caption"/>
      </w:pPr>
      <w:r>
        <w:t xml:space="preserve">Table </w:t>
      </w:r>
      <w:r>
        <w:fldChar w:fldCharType="begin"/>
      </w:r>
      <w:r>
        <w:instrText>SEQ Table \* ARABIC</w:instrText>
      </w:r>
      <w:r>
        <w:fldChar w:fldCharType="separate"/>
      </w:r>
      <w:r w:rsidR="00605BD1">
        <w:rPr>
          <w:noProof/>
        </w:rPr>
        <w:t>6</w:t>
      </w:r>
      <w:r>
        <w:fldChar w:fldCharType="end"/>
      </w:r>
      <w:r>
        <w:t xml:space="preserve"> MCA summary – Option 1</w:t>
      </w:r>
    </w:p>
    <w:tbl>
      <w:tblPr>
        <w:tblStyle w:val="SapereTable"/>
        <w:tblW w:w="4567" w:type="pct"/>
        <w:tblLook w:val="04A0" w:firstRow="1" w:lastRow="0" w:firstColumn="1" w:lastColumn="0" w:noHBand="0" w:noVBand="1"/>
      </w:tblPr>
      <w:tblGrid>
        <w:gridCol w:w="4110"/>
        <w:gridCol w:w="993"/>
        <w:gridCol w:w="1418"/>
        <w:gridCol w:w="1723"/>
      </w:tblGrid>
      <w:tr w:rsidR="005B1A5E" w:rsidRPr="008F47BA" w14:paraId="4B6CC9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pct"/>
          </w:tcPr>
          <w:p w14:paraId="2EE8280C" w14:textId="77777777" w:rsidR="005B1A5E" w:rsidRPr="00846EC0" w:rsidRDefault="005B1A5E">
            <w:pPr>
              <w:spacing w:before="0"/>
              <w:rPr>
                <w:rFonts w:cstheme="minorHAnsi"/>
                <w:b w:val="0"/>
                <w:bCs/>
                <w:szCs w:val="20"/>
              </w:rPr>
            </w:pPr>
            <w:r w:rsidRPr="00846EC0">
              <w:rPr>
                <w:rFonts w:cstheme="minorHAnsi"/>
                <w:bCs/>
                <w:szCs w:val="20"/>
              </w:rPr>
              <w:t>Criteria</w:t>
            </w:r>
          </w:p>
        </w:tc>
        <w:tc>
          <w:tcPr>
            <w:tcW w:w="602" w:type="pct"/>
          </w:tcPr>
          <w:p w14:paraId="1B551C38" w14:textId="77777777" w:rsidR="005B1A5E" w:rsidRPr="00846EC0"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Pr>
                <w:rFonts w:cstheme="minorHAnsi"/>
                <w:bCs/>
                <w:szCs w:val="20"/>
              </w:rPr>
              <w:t>Score</w:t>
            </w:r>
          </w:p>
        </w:tc>
        <w:tc>
          <w:tcPr>
            <w:tcW w:w="860" w:type="pct"/>
          </w:tcPr>
          <w:p w14:paraId="2B284B3D" w14:textId="77777777" w:rsidR="005B1A5E"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Weighting</w:t>
            </w:r>
          </w:p>
        </w:tc>
        <w:tc>
          <w:tcPr>
            <w:tcW w:w="1045" w:type="pct"/>
          </w:tcPr>
          <w:p w14:paraId="43DB3428" w14:textId="77777777" w:rsidR="005B1A5E" w:rsidDel="00991D97"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Weighted score</w:t>
            </w:r>
          </w:p>
        </w:tc>
      </w:tr>
      <w:tr w:rsidR="00421537" w:rsidRPr="008F47BA" w14:paraId="633B6B05" w14:textId="77777777">
        <w:trPr>
          <w:trHeight w:val="22"/>
        </w:trPr>
        <w:tc>
          <w:tcPr>
            <w:cnfStyle w:val="001000000000" w:firstRow="0" w:lastRow="0" w:firstColumn="1" w:lastColumn="0" w:oddVBand="0" w:evenVBand="0" w:oddHBand="0" w:evenHBand="0" w:firstRowFirstColumn="0" w:firstRowLastColumn="0" w:lastRowFirstColumn="0" w:lastRowLastColumn="0"/>
            <w:tcW w:w="2493" w:type="pct"/>
          </w:tcPr>
          <w:p w14:paraId="278BA2C7" w14:textId="77777777" w:rsidR="00421537" w:rsidRPr="0041265D" w:rsidRDefault="00421537" w:rsidP="00421537">
            <w:pPr>
              <w:spacing w:before="0"/>
              <w:rPr>
                <w:b w:val="0"/>
                <w:bCs/>
                <w:color w:val="auto"/>
              </w:rPr>
            </w:pPr>
            <w:r w:rsidRPr="00F11ECC">
              <w:rPr>
                <w:b w:val="0"/>
                <w:bCs/>
                <w:color w:val="auto"/>
              </w:rPr>
              <w:t>Facilitate access to health information</w:t>
            </w:r>
          </w:p>
        </w:tc>
        <w:tc>
          <w:tcPr>
            <w:tcW w:w="602" w:type="pct"/>
          </w:tcPr>
          <w:p w14:paraId="32F074AD" w14:textId="20C7E3BB" w:rsidR="00421537" w:rsidRPr="00485EAB" w:rsidRDefault="00421537" w:rsidP="00421537">
            <w:pPr>
              <w:spacing w:before="0"/>
              <w:jc w:val="center"/>
              <w:cnfStyle w:val="000000000000" w:firstRow="0" w:lastRow="0" w:firstColumn="0" w:lastColumn="0" w:oddVBand="0" w:evenVBand="0" w:oddHBand="0" w:evenHBand="0" w:firstRowFirstColumn="0" w:firstRowLastColumn="0" w:lastRowFirstColumn="0" w:lastRowLastColumn="0"/>
            </w:pPr>
            <w:r w:rsidRPr="00485EAB">
              <w:t>+7</w:t>
            </w:r>
          </w:p>
        </w:tc>
        <w:tc>
          <w:tcPr>
            <w:tcW w:w="860" w:type="pct"/>
          </w:tcPr>
          <w:p w14:paraId="4DB8D628" w14:textId="476A3B04" w:rsidR="00421537" w:rsidRPr="00485EAB" w:rsidRDefault="00BC4DE6" w:rsidP="00421537">
            <w:pPr>
              <w:spacing w:before="0"/>
              <w:jc w:val="center"/>
              <w:cnfStyle w:val="000000000000" w:firstRow="0" w:lastRow="0" w:firstColumn="0" w:lastColumn="0" w:oddVBand="0" w:evenVBand="0" w:oddHBand="0" w:evenHBand="0" w:firstRowFirstColumn="0" w:firstRowLastColumn="0" w:lastRowFirstColumn="0" w:lastRowLastColumn="0"/>
            </w:pPr>
            <w:r w:rsidRPr="00485EAB">
              <w:t>40</w:t>
            </w:r>
            <w:r w:rsidR="00421537" w:rsidRPr="00485EAB">
              <w:t>%</w:t>
            </w:r>
          </w:p>
        </w:tc>
        <w:tc>
          <w:tcPr>
            <w:tcW w:w="1045" w:type="pct"/>
          </w:tcPr>
          <w:p w14:paraId="46FC970B" w14:textId="3A1DA39B" w:rsidR="00421537" w:rsidRPr="00485EAB" w:rsidRDefault="00421537" w:rsidP="00421537">
            <w:pPr>
              <w:spacing w:before="0"/>
              <w:jc w:val="center"/>
              <w:cnfStyle w:val="000000000000" w:firstRow="0" w:lastRow="0" w:firstColumn="0" w:lastColumn="0" w:oddVBand="0" w:evenVBand="0" w:oddHBand="0" w:evenHBand="0" w:firstRowFirstColumn="0" w:firstRowLastColumn="0" w:lastRowFirstColumn="0" w:lastRowLastColumn="0"/>
            </w:pPr>
            <w:r w:rsidRPr="00485EAB">
              <w:t>+2.8</w:t>
            </w:r>
          </w:p>
        </w:tc>
      </w:tr>
      <w:tr w:rsidR="00421537" w:rsidRPr="008F47BA" w14:paraId="6A0712CD" w14:textId="77777777">
        <w:trPr>
          <w:trHeight w:val="351"/>
        </w:trPr>
        <w:tc>
          <w:tcPr>
            <w:cnfStyle w:val="001000000000" w:firstRow="0" w:lastRow="0" w:firstColumn="1" w:lastColumn="0" w:oddVBand="0" w:evenVBand="0" w:oddHBand="0" w:evenHBand="0" w:firstRowFirstColumn="0" w:firstRowLastColumn="0" w:lastRowFirstColumn="0" w:lastRowLastColumn="0"/>
            <w:tcW w:w="2493" w:type="pct"/>
          </w:tcPr>
          <w:p w14:paraId="7985797A" w14:textId="77777777" w:rsidR="00421537" w:rsidRPr="00491910" w:rsidRDefault="00421537" w:rsidP="00421537">
            <w:pPr>
              <w:spacing w:before="0"/>
              <w:rPr>
                <w:b w:val="0"/>
                <w:bCs/>
                <w:color w:val="auto"/>
              </w:rPr>
            </w:pPr>
            <w:r w:rsidRPr="00F11ECC">
              <w:rPr>
                <w:b w:val="0"/>
                <w:bCs/>
                <w:color w:val="auto"/>
              </w:rPr>
              <w:t>Reasonable cost recovery</w:t>
            </w:r>
          </w:p>
        </w:tc>
        <w:tc>
          <w:tcPr>
            <w:tcW w:w="602" w:type="pct"/>
          </w:tcPr>
          <w:p w14:paraId="10923549" w14:textId="0E7DC5DA" w:rsidR="00421537" w:rsidRPr="00485EAB" w:rsidRDefault="00421537" w:rsidP="00421537">
            <w:pPr>
              <w:spacing w:before="0"/>
              <w:jc w:val="center"/>
              <w:cnfStyle w:val="000000000000" w:firstRow="0" w:lastRow="0" w:firstColumn="0" w:lastColumn="0" w:oddVBand="0" w:evenVBand="0" w:oddHBand="0" w:evenHBand="0" w:firstRowFirstColumn="0" w:firstRowLastColumn="0" w:lastRowFirstColumn="0" w:lastRowLastColumn="0"/>
            </w:pPr>
            <w:r w:rsidRPr="00485EAB">
              <w:t>-5</w:t>
            </w:r>
          </w:p>
        </w:tc>
        <w:tc>
          <w:tcPr>
            <w:tcW w:w="860" w:type="pct"/>
          </w:tcPr>
          <w:p w14:paraId="5412DDA7" w14:textId="74B10746" w:rsidR="00421537" w:rsidRPr="00485EAB" w:rsidRDefault="00421537" w:rsidP="00421537">
            <w:pPr>
              <w:spacing w:before="0"/>
              <w:jc w:val="center"/>
              <w:cnfStyle w:val="000000000000" w:firstRow="0" w:lastRow="0" w:firstColumn="0" w:lastColumn="0" w:oddVBand="0" w:evenVBand="0" w:oddHBand="0" w:evenHBand="0" w:firstRowFirstColumn="0" w:firstRowLastColumn="0" w:lastRowFirstColumn="0" w:lastRowLastColumn="0"/>
            </w:pPr>
            <w:r w:rsidRPr="00485EAB">
              <w:t>40%</w:t>
            </w:r>
          </w:p>
        </w:tc>
        <w:tc>
          <w:tcPr>
            <w:tcW w:w="1045" w:type="pct"/>
          </w:tcPr>
          <w:p w14:paraId="72CE28FB" w14:textId="44866AAD" w:rsidR="00421537" w:rsidRPr="00485EAB" w:rsidRDefault="00421537" w:rsidP="00421537">
            <w:pPr>
              <w:spacing w:before="0"/>
              <w:jc w:val="center"/>
              <w:cnfStyle w:val="000000000000" w:firstRow="0" w:lastRow="0" w:firstColumn="0" w:lastColumn="0" w:oddVBand="0" w:evenVBand="0" w:oddHBand="0" w:evenHBand="0" w:firstRowFirstColumn="0" w:firstRowLastColumn="0" w:lastRowFirstColumn="0" w:lastRowLastColumn="0"/>
            </w:pPr>
            <w:r w:rsidRPr="00485EAB">
              <w:t>-2.0</w:t>
            </w:r>
          </w:p>
        </w:tc>
      </w:tr>
      <w:tr w:rsidR="0034773B" w:rsidRPr="008F47BA" w14:paraId="35484C3B" w14:textId="77777777">
        <w:trPr>
          <w:trHeight w:val="315"/>
        </w:trPr>
        <w:tc>
          <w:tcPr>
            <w:cnfStyle w:val="001000000000" w:firstRow="0" w:lastRow="0" w:firstColumn="1" w:lastColumn="0" w:oddVBand="0" w:evenVBand="0" w:oddHBand="0" w:evenHBand="0" w:firstRowFirstColumn="0" w:firstRowLastColumn="0" w:lastRowFirstColumn="0" w:lastRowLastColumn="0"/>
            <w:tcW w:w="2493" w:type="pct"/>
          </w:tcPr>
          <w:p w14:paraId="2C6938C9" w14:textId="57B993DF" w:rsidR="0034773B" w:rsidRPr="0041265D" w:rsidRDefault="0034773B" w:rsidP="0034773B">
            <w:pPr>
              <w:spacing w:before="0"/>
              <w:rPr>
                <w:b w:val="0"/>
                <w:color w:val="auto"/>
              </w:rPr>
            </w:pPr>
            <w:r w:rsidRPr="00345994">
              <w:t>Simple to understand and administer</w:t>
            </w:r>
          </w:p>
        </w:tc>
        <w:tc>
          <w:tcPr>
            <w:tcW w:w="602" w:type="pct"/>
          </w:tcPr>
          <w:p w14:paraId="5BB44997" w14:textId="6B7477A7" w:rsidR="0034773B" w:rsidRPr="00485EAB" w:rsidRDefault="0034773B" w:rsidP="0034773B">
            <w:pPr>
              <w:spacing w:before="0"/>
              <w:jc w:val="center"/>
              <w:cnfStyle w:val="000000000000" w:firstRow="0" w:lastRow="0" w:firstColumn="0" w:lastColumn="0" w:oddVBand="0" w:evenVBand="0" w:oddHBand="0" w:evenHBand="0" w:firstRowFirstColumn="0" w:firstRowLastColumn="0" w:lastRowFirstColumn="0" w:lastRowLastColumn="0"/>
            </w:pPr>
            <w:r w:rsidRPr="00C0746D">
              <w:t>+5</w:t>
            </w:r>
          </w:p>
        </w:tc>
        <w:tc>
          <w:tcPr>
            <w:tcW w:w="860" w:type="pct"/>
          </w:tcPr>
          <w:p w14:paraId="2E780624" w14:textId="6E1F3E6C" w:rsidR="0034773B" w:rsidRPr="00485EAB" w:rsidRDefault="0034773B" w:rsidP="0034773B">
            <w:pPr>
              <w:spacing w:before="0"/>
              <w:jc w:val="center"/>
              <w:cnfStyle w:val="000000000000" w:firstRow="0" w:lastRow="0" w:firstColumn="0" w:lastColumn="0" w:oddVBand="0" w:evenVBand="0" w:oddHBand="0" w:evenHBand="0" w:firstRowFirstColumn="0" w:firstRowLastColumn="0" w:lastRowFirstColumn="0" w:lastRowLastColumn="0"/>
            </w:pPr>
            <w:r w:rsidRPr="00C0746D">
              <w:t>20%</w:t>
            </w:r>
          </w:p>
        </w:tc>
        <w:tc>
          <w:tcPr>
            <w:tcW w:w="1045" w:type="pct"/>
          </w:tcPr>
          <w:p w14:paraId="4D905637" w14:textId="3FAA9FB5" w:rsidR="0034773B" w:rsidRPr="00485EAB" w:rsidRDefault="0034773B" w:rsidP="0034773B">
            <w:pPr>
              <w:spacing w:before="0"/>
              <w:jc w:val="center"/>
              <w:cnfStyle w:val="000000000000" w:firstRow="0" w:lastRow="0" w:firstColumn="0" w:lastColumn="0" w:oddVBand="0" w:evenVBand="0" w:oddHBand="0" w:evenHBand="0" w:firstRowFirstColumn="0" w:firstRowLastColumn="0" w:lastRowFirstColumn="0" w:lastRowLastColumn="0"/>
            </w:pPr>
            <w:r w:rsidRPr="00C0746D">
              <w:t>+1.0</w:t>
            </w:r>
          </w:p>
        </w:tc>
      </w:tr>
      <w:tr w:rsidR="0034773B" w:rsidRPr="008F47BA" w14:paraId="43F42C65" w14:textId="77777777">
        <w:trPr>
          <w:trHeight w:val="375"/>
        </w:trPr>
        <w:tc>
          <w:tcPr>
            <w:cnfStyle w:val="001000000000" w:firstRow="0" w:lastRow="0" w:firstColumn="1" w:lastColumn="0" w:oddVBand="0" w:evenVBand="0" w:oddHBand="0" w:evenHBand="0" w:firstRowFirstColumn="0" w:firstRowLastColumn="0" w:lastRowFirstColumn="0" w:lastRowLastColumn="0"/>
            <w:tcW w:w="2493" w:type="pct"/>
          </w:tcPr>
          <w:p w14:paraId="31A13B84" w14:textId="0FBDC0F1" w:rsidR="0034773B" w:rsidRPr="00491910" w:rsidRDefault="0034773B" w:rsidP="0034773B">
            <w:pPr>
              <w:spacing w:before="0"/>
              <w:rPr>
                <w:color w:val="auto"/>
              </w:rPr>
            </w:pPr>
            <w:r w:rsidRPr="00472DC8">
              <w:t>Total</w:t>
            </w:r>
          </w:p>
        </w:tc>
        <w:tc>
          <w:tcPr>
            <w:tcW w:w="602" w:type="pct"/>
          </w:tcPr>
          <w:p w14:paraId="117506C1" w14:textId="77777777" w:rsidR="0034773B" w:rsidRPr="00816B24" w:rsidRDefault="0034773B" w:rsidP="0034773B">
            <w:pPr>
              <w:spacing w:before="0"/>
              <w:jc w:val="center"/>
              <w:cnfStyle w:val="000000000000" w:firstRow="0" w:lastRow="0" w:firstColumn="0" w:lastColumn="0" w:oddVBand="0" w:evenVBand="0" w:oddHBand="0" w:evenHBand="0" w:firstRowFirstColumn="0" w:firstRowLastColumn="0" w:lastRowFirstColumn="0" w:lastRowLastColumn="0"/>
              <w:rPr>
                <w:b/>
                <w:bCs/>
              </w:rPr>
            </w:pPr>
          </w:p>
        </w:tc>
        <w:tc>
          <w:tcPr>
            <w:tcW w:w="860" w:type="pct"/>
          </w:tcPr>
          <w:p w14:paraId="5190DEBF" w14:textId="0DBA09EA" w:rsidR="0034773B" w:rsidRPr="00421537" w:rsidRDefault="0034773B" w:rsidP="0034773B">
            <w:pPr>
              <w:spacing w:before="0"/>
              <w:jc w:val="center"/>
              <w:cnfStyle w:val="000000000000" w:firstRow="0" w:lastRow="0" w:firstColumn="0" w:lastColumn="0" w:oddVBand="0" w:evenVBand="0" w:oddHBand="0" w:evenHBand="0" w:firstRowFirstColumn="0" w:firstRowLastColumn="0" w:lastRowFirstColumn="0" w:lastRowLastColumn="0"/>
              <w:rPr>
                <w:b/>
                <w:bCs/>
              </w:rPr>
            </w:pPr>
          </w:p>
        </w:tc>
        <w:tc>
          <w:tcPr>
            <w:tcW w:w="1045" w:type="pct"/>
          </w:tcPr>
          <w:p w14:paraId="3DBE2DEA" w14:textId="7D9F9D63" w:rsidR="0034773B" w:rsidRPr="0034773B" w:rsidRDefault="0034773B" w:rsidP="0034773B">
            <w:pPr>
              <w:spacing w:before="0"/>
              <w:jc w:val="center"/>
              <w:cnfStyle w:val="000000000000" w:firstRow="0" w:lastRow="0" w:firstColumn="0" w:lastColumn="0" w:oddVBand="0" w:evenVBand="0" w:oddHBand="0" w:evenHBand="0" w:firstRowFirstColumn="0" w:firstRowLastColumn="0" w:lastRowFirstColumn="0" w:lastRowLastColumn="0"/>
              <w:rPr>
                <w:b/>
                <w:bCs/>
              </w:rPr>
            </w:pPr>
            <w:r w:rsidRPr="0041265D">
              <w:rPr>
                <w:b/>
                <w:bCs/>
              </w:rPr>
              <w:t>+1.8</w:t>
            </w:r>
          </w:p>
        </w:tc>
      </w:tr>
    </w:tbl>
    <w:p w14:paraId="32707127" w14:textId="34CA36A5" w:rsidR="00846EC0" w:rsidRPr="000104D7" w:rsidRDefault="00846EC0" w:rsidP="00F325D3">
      <w:pPr>
        <w:pStyle w:val="Heading7"/>
        <w:spacing w:before="240"/>
        <w:rPr>
          <w:bCs/>
        </w:rPr>
      </w:pPr>
      <w:r w:rsidRPr="000104D7">
        <w:rPr>
          <w:bCs/>
        </w:rPr>
        <w:t xml:space="preserve">Option 2: </w:t>
      </w:r>
      <w:r w:rsidR="007D369E">
        <w:t>H</w:t>
      </w:r>
      <w:r w:rsidR="0087104A">
        <w:t>igher level of</w:t>
      </w:r>
      <w:r w:rsidRPr="000104D7">
        <w:t xml:space="preserve"> cost recovery</w:t>
      </w:r>
    </w:p>
    <w:p w14:paraId="20B64265" w14:textId="14F69E5A" w:rsidR="00FC6161" w:rsidRPr="00C6622F" w:rsidRDefault="00B7616E" w:rsidP="00C6622F">
      <w:pPr>
        <w:rPr>
          <w:rFonts w:cstheme="minorHAnsi"/>
          <w:szCs w:val="20"/>
          <w:lang w:val="en-AU"/>
        </w:rPr>
      </w:pPr>
      <w:r w:rsidRPr="00C6622F">
        <w:rPr>
          <w:rFonts w:cstheme="minorHAnsi"/>
          <w:szCs w:val="20"/>
          <w:lang w:val="en-AU"/>
        </w:rPr>
        <w:t xml:space="preserve">This option has similar impacts to </w:t>
      </w:r>
      <w:r w:rsidR="007C3037" w:rsidRPr="00C6622F">
        <w:rPr>
          <w:rFonts w:cstheme="minorHAnsi"/>
          <w:szCs w:val="20"/>
          <w:lang w:val="en-AU"/>
        </w:rPr>
        <w:t xml:space="preserve">the </w:t>
      </w:r>
      <w:r w:rsidR="0004288A">
        <w:rPr>
          <w:rFonts w:cstheme="minorHAnsi"/>
          <w:szCs w:val="20"/>
          <w:lang w:val="en-AU"/>
        </w:rPr>
        <w:t>base case</w:t>
      </w:r>
      <w:r w:rsidR="007C3037" w:rsidRPr="00C6622F">
        <w:rPr>
          <w:rFonts w:cstheme="minorHAnsi"/>
          <w:szCs w:val="20"/>
          <w:lang w:val="en-AU"/>
        </w:rPr>
        <w:t xml:space="preserve">, in that most </w:t>
      </w:r>
      <w:r w:rsidR="000B2E36">
        <w:rPr>
          <w:rFonts w:cstheme="minorHAnsi"/>
          <w:szCs w:val="20"/>
          <w:lang w:val="en-AU"/>
        </w:rPr>
        <w:t>regulated service</w:t>
      </w:r>
      <w:r w:rsidR="000B2E36" w:rsidRPr="00C6622F">
        <w:rPr>
          <w:rFonts w:cstheme="minorHAnsi"/>
          <w:szCs w:val="20"/>
          <w:lang w:val="en-AU"/>
        </w:rPr>
        <w:t xml:space="preserve"> </w:t>
      </w:r>
      <w:r w:rsidR="007C3037" w:rsidRPr="00C6622F">
        <w:rPr>
          <w:rFonts w:cstheme="minorHAnsi"/>
          <w:szCs w:val="20"/>
          <w:lang w:val="en-AU"/>
        </w:rPr>
        <w:t xml:space="preserve">providers will be able to charge a higher fee. </w:t>
      </w:r>
      <w:r w:rsidR="00C6622F" w:rsidRPr="00C6622F">
        <w:rPr>
          <w:rFonts w:cstheme="minorHAnsi"/>
          <w:szCs w:val="20"/>
          <w:lang w:val="en-AU"/>
        </w:rPr>
        <w:t>A difference though is that non</w:t>
      </w:r>
      <w:r w:rsidR="000B2E36">
        <w:rPr>
          <w:rFonts w:cstheme="minorHAnsi"/>
          <w:szCs w:val="20"/>
          <w:lang w:val="en-AU"/>
        </w:rPr>
        <w:t>-</w:t>
      </w:r>
      <w:r w:rsidR="00C6622F" w:rsidRPr="00C6622F">
        <w:rPr>
          <w:rFonts w:cstheme="minorHAnsi"/>
          <w:szCs w:val="20"/>
          <w:lang w:val="en-AU"/>
        </w:rPr>
        <w:t xml:space="preserve">health service </w:t>
      </w:r>
      <w:r w:rsidR="00463B1A">
        <w:rPr>
          <w:rFonts w:cstheme="minorHAnsi"/>
          <w:szCs w:val="20"/>
          <w:lang w:val="en-AU"/>
        </w:rPr>
        <w:t xml:space="preserve">private </w:t>
      </w:r>
      <w:r w:rsidR="00C6622F" w:rsidRPr="00C6622F">
        <w:rPr>
          <w:rFonts w:cstheme="minorHAnsi"/>
          <w:szCs w:val="20"/>
          <w:lang w:val="en-AU"/>
        </w:rPr>
        <w:t>providers with turnover of $3</w:t>
      </w:r>
      <w:r w:rsidR="00F15461">
        <w:rPr>
          <w:rFonts w:cstheme="minorHAnsi"/>
          <w:szCs w:val="20"/>
          <w:lang w:val="en-AU"/>
        </w:rPr>
        <w:t xml:space="preserve"> </w:t>
      </w:r>
      <w:r w:rsidR="00C6622F" w:rsidRPr="00C6622F">
        <w:rPr>
          <w:rFonts w:cstheme="minorHAnsi"/>
          <w:szCs w:val="20"/>
          <w:lang w:val="en-AU"/>
        </w:rPr>
        <w:t>mil</w:t>
      </w:r>
      <w:r w:rsidR="00F15461">
        <w:rPr>
          <w:rFonts w:cstheme="minorHAnsi"/>
          <w:szCs w:val="20"/>
          <w:lang w:val="en-AU"/>
        </w:rPr>
        <w:t>lion</w:t>
      </w:r>
      <w:r w:rsidR="00C6622F" w:rsidRPr="00C6622F">
        <w:rPr>
          <w:rFonts w:cstheme="minorHAnsi"/>
          <w:szCs w:val="20"/>
          <w:lang w:val="en-AU"/>
        </w:rPr>
        <w:t xml:space="preserve"> or less </w:t>
      </w:r>
      <w:r w:rsidR="00F15461">
        <w:rPr>
          <w:rFonts w:cstheme="minorHAnsi"/>
          <w:szCs w:val="20"/>
          <w:lang w:val="en-AU"/>
        </w:rPr>
        <w:t>will be able to charge a fee, whereas they ca</w:t>
      </w:r>
      <w:r w:rsidR="00D2140D">
        <w:rPr>
          <w:rFonts w:cstheme="minorHAnsi"/>
          <w:szCs w:val="20"/>
          <w:lang w:val="en-AU"/>
        </w:rPr>
        <w:t>n</w:t>
      </w:r>
      <w:r w:rsidR="00F15461">
        <w:rPr>
          <w:rFonts w:cstheme="minorHAnsi"/>
          <w:szCs w:val="20"/>
          <w:lang w:val="en-AU"/>
        </w:rPr>
        <w:t>n</w:t>
      </w:r>
      <w:r w:rsidR="00D2140D">
        <w:rPr>
          <w:rFonts w:cstheme="minorHAnsi"/>
          <w:szCs w:val="20"/>
          <w:lang w:val="en-AU"/>
        </w:rPr>
        <w:t>o</w:t>
      </w:r>
      <w:r w:rsidR="00F15461">
        <w:rPr>
          <w:rFonts w:cstheme="minorHAnsi"/>
          <w:szCs w:val="20"/>
          <w:lang w:val="en-AU"/>
        </w:rPr>
        <w:t xml:space="preserve">t under the </w:t>
      </w:r>
      <w:r w:rsidR="0004288A">
        <w:rPr>
          <w:rFonts w:cstheme="minorHAnsi"/>
          <w:szCs w:val="20"/>
          <w:lang w:val="en-AU"/>
        </w:rPr>
        <w:t>base case</w:t>
      </w:r>
      <w:r w:rsidR="00F15461">
        <w:rPr>
          <w:rFonts w:cstheme="minorHAnsi"/>
          <w:szCs w:val="20"/>
          <w:lang w:val="en-AU"/>
        </w:rPr>
        <w:t>.</w:t>
      </w:r>
    </w:p>
    <w:p w14:paraId="3E506CC7" w14:textId="77777777" w:rsidR="007C5CA8" w:rsidRPr="00D1550C" w:rsidRDefault="007C5CA8" w:rsidP="007C5CA8">
      <w:pPr>
        <w:spacing w:after="0"/>
        <w:rPr>
          <w:rFonts w:cstheme="minorHAnsi"/>
          <w:b/>
          <w:color w:val="7B5E05" w:themeColor="accent1"/>
          <w:szCs w:val="20"/>
          <w:lang w:val="en-AU"/>
        </w:rPr>
      </w:pPr>
      <w:r>
        <w:rPr>
          <w:rFonts w:cstheme="minorHAnsi"/>
          <w:b/>
          <w:color w:val="7B5E05" w:themeColor="accent1"/>
          <w:szCs w:val="20"/>
          <w:lang w:val="en-AU"/>
        </w:rPr>
        <w:t xml:space="preserve">Criteria 1: </w:t>
      </w:r>
      <w:r w:rsidRPr="00D1550C">
        <w:rPr>
          <w:rFonts w:cstheme="minorHAnsi"/>
          <w:b/>
          <w:color w:val="7B5E05" w:themeColor="accent1"/>
          <w:szCs w:val="20"/>
          <w:lang w:val="en-AU"/>
        </w:rPr>
        <w:t>Facilitate access to health information</w:t>
      </w:r>
    </w:p>
    <w:p w14:paraId="6E6A3781" w14:textId="5425A1EF" w:rsidR="002454C6" w:rsidRDefault="002454C6" w:rsidP="00C207BD">
      <w:r>
        <w:t xml:space="preserve">Allowing </w:t>
      </w:r>
      <w:r w:rsidR="00C207BD">
        <w:t>a higher</w:t>
      </w:r>
      <w:r>
        <w:t xml:space="preserve"> </w:t>
      </w:r>
      <w:r w:rsidR="00C207BD">
        <w:t>level of</w:t>
      </w:r>
      <w:r>
        <w:t xml:space="preserve"> cost recovery means that there may be </w:t>
      </w:r>
      <w:r w:rsidR="00C207BD">
        <w:t xml:space="preserve">increased </w:t>
      </w:r>
      <w:r>
        <w:t xml:space="preserve">cost barriers for people accessing their health information, requesting it to be transferred, or requesting a review of refusal by a nominated health service provider. </w:t>
      </w:r>
      <w:r w:rsidR="00BC45C3">
        <w:t xml:space="preserve">The impact of this option depends on what level of cost recovery is </w:t>
      </w:r>
      <w:r w:rsidR="000E537D">
        <w:t xml:space="preserve">selected. If maximum fees are increased to the </w:t>
      </w:r>
      <w:r w:rsidR="00086732" w:rsidRPr="005D6301">
        <w:t>full level of cost recovery</w:t>
      </w:r>
      <w:r w:rsidR="001B4A67" w:rsidRPr="005D6301">
        <w:t xml:space="preserve">, the </w:t>
      </w:r>
      <w:r w:rsidR="00E66135" w:rsidRPr="005D6301">
        <w:t>impa</w:t>
      </w:r>
      <w:r w:rsidRPr="005D6301">
        <w:t xml:space="preserve">cts of this option </w:t>
      </w:r>
      <w:r w:rsidR="00935CCD" w:rsidRPr="005D6301">
        <w:t xml:space="preserve">could substantially mirror the impacts of the </w:t>
      </w:r>
      <w:r w:rsidR="0004288A">
        <w:t>base case</w:t>
      </w:r>
      <w:r w:rsidR="000E537D">
        <w:t xml:space="preserve"> (scored 0).</w:t>
      </w:r>
    </w:p>
    <w:p w14:paraId="656CC4F1" w14:textId="344CBA4B" w:rsidR="002454C6" w:rsidRPr="003C7041" w:rsidRDefault="000E537D" w:rsidP="00206D1E">
      <w:r>
        <w:t>However, i</w:t>
      </w:r>
      <w:r w:rsidR="007E3C34">
        <w:t xml:space="preserve">t is assumed </w:t>
      </w:r>
      <w:r w:rsidR="00ED2DEE">
        <w:t xml:space="preserve">for this analysis </w:t>
      </w:r>
      <w:r w:rsidR="007E3C34">
        <w:t xml:space="preserve">that maximum fees higher than are currently in place but less than full cost recovery </w:t>
      </w:r>
      <w:proofErr w:type="gramStart"/>
      <w:r w:rsidR="007E3C34">
        <w:t>are</w:t>
      </w:r>
      <w:proofErr w:type="gramEnd"/>
      <w:r w:rsidR="007E3C34">
        <w:t xml:space="preserve"> set</w:t>
      </w:r>
      <w:r w:rsidR="00775F4D">
        <w:t xml:space="preserve"> (hypothetically, </w:t>
      </w:r>
      <w:r w:rsidR="009D491D">
        <w:t>say</w:t>
      </w:r>
      <w:r w:rsidR="008B3ACA">
        <w:t xml:space="preserve"> 75%</w:t>
      </w:r>
      <w:r w:rsidR="00775F4D">
        <w:rPr>
          <w:rStyle w:val="FootnoteReference"/>
        </w:rPr>
        <w:footnoteReference w:id="37"/>
      </w:r>
      <w:r w:rsidR="00775F4D">
        <w:t>)</w:t>
      </w:r>
      <w:r w:rsidR="007E3C34">
        <w:t>.</w:t>
      </w:r>
      <w:r w:rsidR="00A4697D">
        <w:t xml:space="preserve"> This would represent a </w:t>
      </w:r>
      <w:r w:rsidR="003610B5">
        <w:t xml:space="preserve">small improvement in facilitation of access to health records compared to the </w:t>
      </w:r>
      <w:r w:rsidR="0004288A">
        <w:t>base case</w:t>
      </w:r>
      <w:r w:rsidR="00E15852">
        <w:t xml:space="preserve">, but lower than Option 1 as higher maximum fees increase </w:t>
      </w:r>
      <w:r w:rsidR="00435B88">
        <w:t>the likelihood that the fees may unfairly preclude access to information</w:t>
      </w:r>
      <w:r w:rsidR="008574BE">
        <w:t xml:space="preserve">. A </w:t>
      </w:r>
      <w:r w:rsidR="008574BE" w:rsidRPr="00CA32A4">
        <w:rPr>
          <w:b/>
          <w:bCs/>
        </w:rPr>
        <w:lastRenderedPageBreak/>
        <w:t>score of</w:t>
      </w:r>
      <w:r w:rsidR="008574BE">
        <w:t xml:space="preserve"> </w:t>
      </w:r>
      <w:r w:rsidR="005E7094" w:rsidRPr="00CA32A4">
        <w:rPr>
          <w:b/>
          <w:bCs/>
        </w:rPr>
        <w:t>+</w:t>
      </w:r>
      <w:r w:rsidR="00E15852" w:rsidRPr="00CA32A4">
        <w:rPr>
          <w:b/>
          <w:bCs/>
        </w:rPr>
        <w:t>3.5</w:t>
      </w:r>
      <w:r w:rsidR="00435B88">
        <w:t xml:space="preserve"> is therefore given.</w:t>
      </w:r>
      <w:r w:rsidR="00730A57">
        <w:t xml:space="preserve">  It is noted that these scores are indicative only, reflecting </w:t>
      </w:r>
      <w:r w:rsidR="009E2F34">
        <w:t xml:space="preserve">subjective judgement about how </w:t>
      </w:r>
      <w:r w:rsidR="00140664">
        <w:t>to scale scores for the different options.</w:t>
      </w:r>
      <w:r w:rsidR="008015DF">
        <w:rPr>
          <w:rStyle w:val="FootnoteReference"/>
        </w:rPr>
        <w:footnoteReference w:id="38"/>
      </w:r>
      <w:r w:rsidR="00140664">
        <w:t xml:space="preserve"> </w:t>
      </w:r>
    </w:p>
    <w:p w14:paraId="473CFFF5" w14:textId="7E93B18C" w:rsidR="007C5CA8" w:rsidRPr="00D1550C" w:rsidRDefault="007C5CA8" w:rsidP="007C5CA8">
      <w:pPr>
        <w:spacing w:after="0"/>
        <w:rPr>
          <w:rFonts w:cstheme="minorHAnsi"/>
          <w:b/>
          <w:color w:val="7B5E05" w:themeColor="accent1"/>
          <w:szCs w:val="20"/>
          <w:lang w:val="en-AU"/>
        </w:rPr>
      </w:pPr>
      <w:r>
        <w:rPr>
          <w:rFonts w:cstheme="minorHAnsi"/>
          <w:b/>
          <w:color w:val="7B5E05" w:themeColor="accent1"/>
          <w:szCs w:val="20"/>
          <w:lang w:val="en-AU"/>
        </w:rPr>
        <w:t xml:space="preserve">Criteria 2: </w:t>
      </w:r>
      <w:r w:rsidRPr="00D1550C">
        <w:rPr>
          <w:rFonts w:cstheme="minorHAnsi"/>
          <w:b/>
          <w:color w:val="7B5E05" w:themeColor="accent1"/>
          <w:szCs w:val="20"/>
          <w:lang w:val="en-AU"/>
        </w:rPr>
        <w:t xml:space="preserve">Reasonable cost recovery for </w:t>
      </w:r>
      <w:r w:rsidR="00C01836">
        <w:rPr>
          <w:rFonts w:cstheme="minorHAnsi"/>
          <w:b/>
          <w:color w:val="7B5E05" w:themeColor="accent1"/>
          <w:szCs w:val="20"/>
          <w:lang w:val="en-AU"/>
        </w:rPr>
        <w:t>organisations</w:t>
      </w:r>
    </w:p>
    <w:p w14:paraId="61B481EF" w14:textId="78EEC552" w:rsidR="002454C6" w:rsidRDefault="00DD1A12" w:rsidP="00FF55FF">
      <w:r>
        <w:t xml:space="preserve">Setting maximum fees at a higher level of cost recovery </w:t>
      </w:r>
      <w:r w:rsidR="002454C6">
        <w:t xml:space="preserve">means that organisations will be able to recover </w:t>
      </w:r>
      <w:r w:rsidR="009D491D">
        <w:t xml:space="preserve">greater </w:t>
      </w:r>
      <w:r w:rsidR="002454C6">
        <w:t xml:space="preserve">costs associated with </w:t>
      </w:r>
      <w:r w:rsidR="00FF55FF">
        <w:t>providing health information</w:t>
      </w:r>
      <w:r w:rsidR="002454C6">
        <w:t xml:space="preserve">. </w:t>
      </w:r>
      <w:r w:rsidR="00FF55FF">
        <w:t xml:space="preserve">Compared to the </w:t>
      </w:r>
      <w:r w:rsidR="0004288A">
        <w:t>base case</w:t>
      </w:r>
      <w:r w:rsidR="00B41D70">
        <w:t xml:space="preserve"> where </w:t>
      </w:r>
      <w:r w:rsidR="00803EF6">
        <w:t>they are unable to recover any costs</w:t>
      </w:r>
      <w:r w:rsidR="00FF55FF">
        <w:t xml:space="preserve">, </w:t>
      </w:r>
      <w:r w:rsidR="00B41D70">
        <w:t xml:space="preserve">non-health </w:t>
      </w:r>
      <w:r w:rsidR="003C0CF5">
        <w:t xml:space="preserve">service private </w:t>
      </w:r>
      <w:r w:rsidR="00B41D70">
        <w:t>providers with turnover l</w:t>
      </w:r>
      <w:r w:rsidR="00935F4E">
        <w:t xml:space="preserve"> of</w:t>
      </w:r>
      <w:r w:rsidR="00B41D70">
        <w:t xml:space="preserve"> $3 million </w:t>
      </w:r>
      <w:r w:rsidR="00935F4E">
        <w:t xml:space="preserve">or less </w:t>
      </w:r>
      <w:r w:rsidR="00B41D70">
        <w:t>would also be able to recover some costs</w:t>
      </w:r>
      <w:r w:rsidR="00803EF6">
        <w:t>.</w:t>
      </w:r>
    </w:p>
    <w:p w14:paraId="08491F25" w14:textId="698F7A8A" w:rsidR="00BF21E4" w:rsidRDefault="007D28FA" w:rsidP="002454C6">
      <w:r>
        <w:t xml:space="preserve">A </w:t>
      </w:r>
      <w:r w:rsidRPr="004B165D">
        <w:rPr>
          <w:b/>
          <w:bCs/>
        </w:rPr>
        <w:t>score of -2.5</w:t>
      </w:r>
      <w:r>
        <w:t xml:space="preserve"> is </w:t>
      </w:r>
      <w:r w:rsidR="00690F21">
        <w:t xml:space="preserve">assigned to Option 2 for </w:t>
      </w:r>
      <w:r w:rsidR="00B92555">
        <w:t>this criterion</w:t>
      </w:r>
      <w:r w:rsidR="00690F21">
        <w:t>, reflecting that it gives a somewhat higher level of cost recovery than Option 1</w:t>
      </w:r>
      <w:r w:rsidR="004B165D">
        <w:t>.</w:t>
      </w:r>
    </w:p>
    <w:p w14:paraId="3C6FEB9D" w14:textId="77777777" w:rsidR="00472DC8" w:rsidRDefault="00472DC8" w:rsidP="00472DC8">
      <w:pPr>
        <w:rPr>
          <w:rFonts w:cstheme="minorHAnsi"/>
          <w:b/>
          <w:color w:val="7B5E05" w:themeColor="accent1"/>
          <w:szCs w:val="20"/>
          <w:lang w:val="en-AU"/>
        </w:rPr>
      </w:pPr>
      <w:r w:rsidRPr="00491910">
        <w:rPr>
          <w:rFonts w:cstheme="minorHAnsi"/>
          <w:b/>
          <w:color w:val="7B5E05" w:themeColor="accent1"/>
          <w:szCs w:val="20"/>
          <w:lang w:val="en-AU"/>
        </w:rPr>
        <w:t>Criteria 3: Simple to understand and administer</w:t>
      </w:r>
    </w:p>
    <w:p w14:paraId="232E0A19" w14:textId="405CEBF4" w:rsidR="00D0548D" w:rsidRDefault="00D0548D" w:rsidP="00D0548D">
      <w:pPr>
        <w:rPr>
          <w:rFonts w:cstheme="minorHAnsi"/>
          <w:b/>
          <w:color w:val="7B5E05" w:themeColor="accent1"/>
          <w:szCs w:val="20"/>
          <w:lang w:val="en-AU"/>
        </w:rPr>
      </w:pPr>
      <w:r>
        <w:t xml:space="preserve">For </w:t>
      </w:r>
      <w:r w:rsidR="00191F9B">
        <w:t>this criterion</w:t>
      </w:r>
      <w:r>
        <w:t xml:space="preserve">, there is no difference for either organisations providing health information or individuals requesting health information between Option 1 and Option 2. Therefore Option 2 is given </w:t>
      </w:r>
      <w:r w:rsidRPr="00491910">
        <w:rPr>
          <w:b/>
          <w:bCs/>
        </w:rPr>
        <w:t>a score of +</w:t>
      </w:r>
      <w:r>
        <w:rPr>
          <w:b/>
          <w:bCs/>
        </w:rPr>
        <w:t>5</w:t>
      </w:r>
      <w:r>
        <w:t>.</w:t>
      </w:r>
    </w:p>
    <w:p w14:paraId="710EA58D" w14:textId="77777777" w:rsidR="00B67B0B" w:rsidRPr="005D7D7B" w:rsidRDefault="00B67B0B" w:rsidP="00B67B0B">
      <w:pPr>
        <w:rPr>
          <w:rFonts w:cstheme="minorHAnsi"/>
          <w:b/>
          <w:color w:val="7B5E05" w:themeColor="accent1"/>
          <w:szCs w:val="20"/>
          <w:lang w:val="en-AU"/>
        </w:rPr>
      </w:pPr>
      <w:r w:rsidRPr="005D7D7B">
        <w:rPr>
          <w:rFonts w:cstheme="minorHAnsi"/>
          <w:b/>
          <w:color w:val="7B5E05" w:themeColor="accent1"/>
          <w:szCs w:val="20"/>
          <w:lang w:val="en-AU"/>
        </w:rPr>
        <w:t>Summary</w:t>
      </w:r>
    </w:p>
    <w:p w14:paraId="59F20071" w14:textId="435043EB" w:rsidR="00B67B0B" w:rsidRPr="00FF2DC4" w:rsidRDefault="00B67B0B" w:rsidP="00B67B0B">
      <w:pPr>
        <w:rPr>
          <w:rFonts w:cstheme="minorHAnsi"/>
          <w:szCs w:val="20"/>
          <w:lang w:val="en-AU"/>
        </w:rPr>
      </w:pPr>
      <w:r>
        <w:rPr>
          <w:rFonts w:cstheme="minorHAnsi"/>
          <w:szCs w:val="20"/>
          <w:lang w:val="en-AU"/>
        </w:rPr>
        <w:t xml:space="preserve">Overall, Option </w:t>
      </w:r>
      <w:r w:rsidR="0045577E">
        <w:rPr>
          <w:rFonts w:cstheme="minorHAnsi"/>
          <w:szCs w:val="20"/>
          <w:lang w:val="en-AU"/>
        </w:rPr>
        <w:t>2</w:t>
      </w:r>
      <w:r>
        <w:rPr>
          <w:rFonts w:cstheme="minorHAnsi"/>
          <w:szCs w:val="20"/>
          <w:lang w:val="en-AU"/>
        </w:rPr>
        <w:t xml:space="preserve"> receives </w:t>
      </w:r>
      <w:r w:rsidR="00EE0F05">
        <w:rPr>
          <w:rFonts w:cstheme="minorHAnsi"/>
          <w:szCs w:val="20"/>
          <w:lang w:val="en-AU"/>
        </w:rPr>
        <w:t xml:space="preserve">a </w:t>
      </w:r>
      <w:r w:rsidR="00EE0F05" w:rsidRPr="00E81233">
        <w:rPr>
          <w:rFonts w:cstheme="minorHAnsi"/>
          <w:b/>
          <w:bCs/>
          <w:szCs w:val="20"/>
          <w:lang w:val="en-AU"/>
        </w:rPr>
        <w:t>total weighted score of +</w:t>
      </w:r>
      <w:r w:rsidR="00EE0F05">
        <w:rPr>
          <w:rFonts w:cstheme="minorHAnsi"/>
          <w:b/>
          <w:bCs/>
          <w:szCs w:val="20"/>
          <w:lang w:val="en-AU"/>
        </w:rPr>
        <w:t>1.4</w:t>
      </w:r>
      <w:r>
        <w:rPr>
          <w:rFonts w:cstheme="minorHAnsi"/>
          <w:szCs w:val="20"/>
          <w:lang w:val="en-AU"/>
        </w:rPr>
        <w:t xml:space="preserve">, as shown </w:t>
      </w:r>
      <w:r w:rsidR="0045577E">
        <w:rPr>
          <w:rFonts w:cstheme="minorHAnsi"/>
          <w:szCs w:val="20"/>
          <w:lang w:val="en-AU"/>
        </w:rPr>
        <w:t xml:space="preserve">in </w:t>
      </w:r>
      <w:r w:rsidR="00507231">
        <w:rPr>
          <w:rFonts w:cstheme="minorHAnsi"/>
          <w:szCs w:val="20"/>
          <w:lang w:val="en-AU"/>
        </w:rPr>
        <w:t>Table 7</w:t>
      </w:r>
      <w:r>
        <w:rPr>
          <w:rFonts w:cstheme="minorHAnsi"/>
          <w:szCs w:val="20"/>
          <w:lang w:val="en-AU"/>
        </w:rPr>
        <w:t xml:space="preserve">. </w:t>
      </w:r>
    </w:p>
    <w:p w14:paraId="1D33C1B4" w14:textId="28BC77E5" w:rsidR="00DD26C5" w:rsidRDefault="00DD26C5" w:rsidP="00DD26C5">
      <w:pPr>
        <w:pStyle w:val="Caption"/>
      </w:pPr>
      <w:r>
        <w:t xml:space="preserve">Table </w:t>
      </w:r>
      <w:r>
        <w:fldChar w:fldCharType="begin"/>
      </w:r>
      <w:r>
        <w:instrText>SEQ Table \* ARABIC</w:instrText>
      </w:r>
      <w:r>
        <w:fldChar w:fldCharType="separate"/>
      </w:r>
      <w:r w:rsidR="00605BD1">
        <w:rPr>
          <w:noProof/>
        </w:rPr>
        <w:t>7</w:t>
      </w:r>
      <w:r>
        <w:fldChar w:fldCharType="end"/>
      </w:r>
      <w:r>
        <w:t xml:space="preserve"> MCA summary – Option 2</w:t>
      </w:r>
    </w:p>
    <w:tbl>
      <w:tblPr>
        <w:tblStyle w:val="SapereTable"/>
        <w:tblW w:w="4567" w:type="pct"/>
        <w:tblLook w:val="04A0" w:firstRow="1" w:lastRow="0" w:firstColumn="1" w:lastColumn="0" w:noHBand="0" w:noVBand="1"/>
      </w:tblPr>
      <w:tblGrid>
        <w:gridCol w:w="4110"/>
        <w:gridCol w:w="993"/>
        <w:gridCol w:w="1418"/>
        <w:gridCol w:w="1723"/>
      </w:tblGrid>
      <w:tr w:rsidR="005B1A5E" w:rsidRPr="008F47BA" w14:paraId="5A011B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pct"/>
          </w:tcPr>
          <w:p w14:paraId="1746E571" w14:textId="77777777" w:rsidR="005B1A5E" w:rsidRPr="00846EC0" w:rsidRDefault="005B1A5E">
            <w:pPr>
              <w:spacing w:before="0"/>
              <w:rPr>
                <w:rFonts w:cstheme="minorHAnsi"/>
                <w:b w:val="0"/>
                <w:bCs/>
                <w:szCs w:val="20"/>
              </w:rPr>
            </w:pPr>
            <w:r w:rsidRPr="00846EC0">
              <w:rPr>
                <w:rFonts w:cstheme="minorHAnsi"/>
                <w:bCs/>
                <w:szCs w:val="20"/>
              </w:rPr>
              <w:t>Criteria</w:t>
            </w:r>
          </w:p>
        </w:tc>
        <w:tc>
          <w:tcPr>
            <w:tcW w:w="602" w:type="pct"/>
          </w:tcPr>
          <w:p w14:paraId="15DCD002" w14:textId="77777777" w:rsidR="005B1A5E" w:rsidRPr="00846EC0"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Pr>
                <w:rFonts w:cstheme="minorHAnsi"/>
                <w:bCs/>
                <w:szCs w:val="20"/>
              </w:rPr>
              <w:t>Score</w:t>
            </w:r>
          </w:p>
        </w:tc>
        <w:tc>
          <w:tcPr>
            <w:tcW w:w="860" w:type="pct"/>
          </w:tcPr>
          <w:p w14:paraId="532499CB" w14:textId="77777777" w:rsidR="005B1A5E"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Weighting</w:t>
            </w:r>
          </w:p>
        </w:tc>
        <w:tc>
          <w:tcPr>
            <w:tcW w:w="1045" w:type="pct"/>
          </w:tcPr>
          <w:p w14:paraId="3E2CDC02" w14:textId="77777777" w:rsidR="005B1A5E" w:rsidDel="00991D97"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Weighted score</w:t>
            </w:r>
          </w:p>
        </w:tc>
      </w:tr>
      <w:tr w:rsidR="0002052D" w:rsidRPr="008F47BA" w14:paraId="588CEDB8" w14:textId="77777777">
        <w:trPr>
          <w:trHeight w:val="22"/>
        </w:trPr>
        <w:tc>
          <w:tcPr>
            <w:cnfStyle w:val="001000000000" w:firstRow="0" w:lastRow="0" w:firstColumn="1" w:lastColumn="0" w:oddVBand="0" w:evenVBand="0" w:oddHBand="0" w:evenHBand="0" w:firstRowFirstColumn="0" w:firstRowLastColumn="0" w:lastRowFirstColumn="0" w:lastRowLastColumn="0"/>
            <w:tcW w:w="2493" w:type="pct"/>
          </w:tcPr>
          <w:p w14:paraId="7790C691" w14:textId="77777777" w:rsidR="0002052D" w:rsidRPr="00491910" w:rsidRDefault="0002052D" w:rsidP="0002052D">
            <w:pPr>
              <w:spacing w:before="0"/>
              <w:rPr>
                <w:b w:val="0"/>
                <w:bCs/>
                <w:color w:val="auto"/>
              </w:rPr>
            </w:pPr>
            <w:r w:rsidRPr="00F11ECC">
              <w:rPr>
                <w:b w:val="0"/>
                <w:bCs/>
                <w:color w:val="auto"/>
              </w:rPr>
              <w:t>Facilitate access to health information</w:t>
            </w:r>
          </w:p>
        </w:tc>
        <w:tc>
          <w:tcPr>
            <w:tcW w:w="602" w:type="pct"/>
          </w:tcPr>
          <w:p w14:paraId="081EA463" w14:textId="114F42CD" w:rsidR="0002052D" w:rsidRPr="002974E0" w:rsidRDefault="0002052D" w:rsidP="0002052D">
            <w:pPr>
              <w:spacing w:before="0"/>
              <w:jc w:val="center"/>
              <w:cnfStyle w:val="000000000000" w:firstRow="0" w:lastRow="0" w:firstColumn="0" w:lastColumn="0" w:oddVBand="0" w:evenVBand="0" w:oddHBand="0" w:evenHBand="0" w:firstRowFirstColumn="0" w:firstRowLastColumn="0" w:lastRowFirstColumn="0" w:lastRowLastColumn="0"/>
            </w:pPr>
            <w:r>
              <w:t>+3.5</w:t>
            </w:r>
          </w:p>
        </w:tc>
        <w:tc>
          <w:tcPr>
            <w:tcW w:w="860" w:type="pct"/>
          </w:tcPr>
          <w:p w14:paraId="1A95193F" w14:textId="21C83C80" w:rsidR="0002052D" w:rsidRDefault="0002052D" w:rsidP="0002052D">
            <w:pPr>
              <w:spacing w:before="0"/>
              <w:jc w:val="center"/>
              <w:cnfStyle w:val="000000000000" w:firstRow="0" w:lastRow="0" w:firstColumn="0" w:lastColumn="0" w:oddVBand="0" w:evenVBand="0" w:oddHBand="0" w:evenHBand="0" w:firstRowFirstColumn="0" w:firstRowLastColumn="0" w:lastRowFirstColumn="0" w:lastRowLastColumn="0"/>
            </w:pPr>
            <w:r>
              <w:t>40%</w:t>
            </w:r>
          </w:p>
        </w:tc>
        <w:tc>
          <w:tcPr>
            <w:tcW w:w="1045" w:type="pct"/>
          </w:tcPr>
          <w:p w14:paraId="64F650F7" w14:textId="5736E79E" w:rsidR="0002052D" w:rsidRDefault="0002052D" w:rsidP="0002052D">
            <w:pPr>
              <w:spacing w:before="0"/>
              <w:jc w:val="center"/>
              <w:cnfStyle w:val="000000000000" w:firstRow="0" w:lastRow="0" w:firstColumn="0" w:lastColumn="0" w:oddVBand="0" w:evenVBand="0" w:oddHBand="0" w:evenHBand="0" w:firstRowFirstColumn="0" w:firstRowLastColumn="0" w:lastRowFirstColumn="0" w:lastRowLastColumn="0"/>
            </w:pPr>
            <w:r>
              <w:t>+</w:t>
            </w:r>
            <w:r w:rsidRPr="00475032">
              <w:t>1.</w:t>
            </w:r>
            <w:r w:rsidR="001245A0">
              <w:t>4</w:t>
            </w:r>
          </w:p>
        </w:tc>
      </w:tr>
      <w:tr w:rsidR="0002052D" w:rsidRPr="008F47BA" w14:paraId="7253A2FB" w14:textId="77777777">
        <w:trPr>
          <w:trHeight w:val="351"/>
        </w:trPr>
        <w:tc>
          <w:tcPr>
            <w:cnfStyle w:val="001000000000" w:firstRow="0" w:lastRow="0" w:firstColumn="1" w:lastColumn="0" w:oddVBand="0" w:evenVBand="0" w:oddHBand="0" w:evenHBand="0" w:firstRowFirstColumn="0" w:firstRowLastColumn="0" w:lastRowFirstColumn="0" w:lastRowLastColumn="0"/>
            <w:tcW w:w="2493" w:type="pct"/>
          </w:tcPr>
          <w:p w14:paraId="31888B74" w14:textId="77777777" w:rsidR="0002052D" w:rsidRPr="00491910" w:rsidRDefault="0002052D" w:rsidP="0002052D">
            <w:pPr>
              <w:spacing w:before="0"/>
              <w:rPr>
                <w:b w:val="0"/>
                <w:bCs/>
                <w:color w:val="auto"/>
              </w:rPr>
            </w:pPr>
            <w:r w:rsidRPr="00F11ECC">
              <w:rPr>
                <w:b w:val="0"/>
                <w:bCs/>
                <w:color w:val="auto"/>
              </w:rPr>
              <w:t>Reasonable cost recovery</w:t>
            </w:r>
          </w:p>
        </w:tc>
        <w:tc>
          <w:tcPr>
            <w:tcW w:w="602" w:type="pct"/>
          </w:tcPr>
          <w:p w14:paraId="5E5AB249" w14:textId="24DCAD40" w:rsidR="0002052D" w:rsidRPr="002974E0" w:rsidRDefault="0002052D" w:rsidP="0002052D">
            <w:pPr>
              <w:spacing w:before="0"/>
              <w:jc w:val="center"/>
              <w:cnfStyle w:val="000000000000" w:firstRow="0" w:lastRow="0" w:firstColumn="0" w:lastColumn="0" w:oddVBand="0" w:evenVBand="0" w:oddHBand="0" w:evenHBand="0" w:firstRowFirstColumn="0" w:firstRowLastColumn="0" w:lastRowFirstColumn="0" w:lastRowLastColumn="0"/>
            </w:pPr>
            <w:r>
              <w:t>-2.5</w:t>
            </w:r>
          </w:p>
        </w:tc>
        <w:tc>
          <w:tcPr>
            <w:tcW w:w="860" w:type="pct"/>
          </w:tcPr>
          <w:p w14:paraId="58768FDB" w14:textId="1BA69505" w:rsidR="0002052D" w:rsidRPr="002974E0" w:rsidRDefault="0002052D" w:rsidP="0002052D">
            <w:pPr>
              <w:spacing w:before="0"/>
              <w:jc w:val="center"/>
              <w:cnfStyle w:val="000000000000" w:firstRow="0" w:lastRow="0" w:firstColumn="0" w:lastColumn="0" w:oddVBand="0" w:evenVBand="0" w:oddHBand="0" w:evenHBand="0" w:firstRowFirstColumn="0" w:firstRowLastColumn="0" w:lastRowFirstColumn="0" w:lastRowLastColumn="0"/>
            </w:pPr>
            <w:r>
              <w:t>40%</w:t>
            </w:r>
          </w:p>
        </w:tc>
        <w:tc>
          <w:tcPr>
            <w:tcW w:w="1045" w:type="pct"/>
          </w:tcPr>
          <w:p w14:paraId="5779AFA1" w14:textId="25F5FE2E" w:rsidR="0002052D" w:rsidRDefault="0002052D" w:rsidP="0002052D">
            <w:pPr>
              <w:spacing w:before="0"/>
              <w:jc w:val="center"/>
              <w:cnfStyle w:val="000000000000" w:firstRow="0" w:lastRow="0" w:firstColumn="0" w:lastColumn="0" w:oddVBand="0" w:evenVBand="0" w:oddHBand="0" w:evenHBand="0" w:firstRowFirstColumn="0" w:firstRowLastColumn="0" w:lastRowFirstColumn="0" w:lastRowLastColumn="0"/>
            </w:pPr>
            <w:r w:rsidRPr="00475032">
              <w:t>-1</w:t>
            </w:r>
            <w:r w:rsidR="001245A0">
              <w:t>.0</w:t>
            </w:r>
          </w:p>
        </w:tc>
      </w:tr>
      <w:tr w:rsidR="00AE21AC" w:rsidRPr="008F47BA" w14:paraId="32555403" w14:textId="77777777">
        <w:trPr>
          <w:trHeight w:val="315"/>
        </w:trPr>
        <w:tc>
          <w:tcPr>
            <w:cnfStyle w:val="001000000000" w:firstRow="0" w:lastRow="0" w:firstColumn="1" w:lastColumn="0" w:oddVBand="0" w:evenVBand="0" w:oddHBand="0" w:evenHBand="0" w:firstRowFirstColumn="0" w:firstRowLastColumn="0" w:lastRowFirstColumn="0" w:lastRowLastColumn="0"/>
            <w:tcW w:w="2493" w:type="pct"/>
          </w:tcPr>
          <w:p w14:paraId="0DA05BD1" w14:textId="794A6EA7" w:rsidR="00AE21AC" w:rsidRPr="00833EB2" w:rsidRDefault="00AE21AC" w:rsidP="00AE21AC">
            <w:pPr>
              <w:spacing w:before="0"/>
              <w:rPr>
                <w:b w:val="0"/>
                <w:bCs/>
                <w:color w:val="auto"/>
              </w:rPr>
            </w:pPr>
            <w:r w:rsidRPr="00345994">
              <w:rPr>
                <w:bCs/>
              </w:rPr>
              <w:t>Simple to understand and administer</w:t>
            </w:r>
          </w:p>
        </w:tc>
        <w:tc>
          <w:tcPr>
            <w:tcW w:w="602" w:type="pct"/>
          </w:tcPr>
          <w:p w14:paraId="5BEF124D" w14:textId="5A21CFDE" w:rsidR="00AE21AC" w:rsidRPr="002974E0" w:rsidRDefault="00AE21AC" w:rsidP="00AE21AC">
            <w:pPr>
              <w:spacing w:before="0"/>
              <w:jc w:val="center"/>
              <w:cnfStyle w:val="000000000000" w:firstRow="0" w:lastRow="0" w:firstColumn="0" w:lastColumn="0" w:oddVBand="0" w:evenVBand="0" w:oddHBand="0" w:evenHBand="0" w:firstRowFirstColumn="0" w:firstRowLastColumn="0" w:lastRowFirstColumn="0" w:lastRowLastColumn="0"/>
            </w:pPr>
            <w:r w:rsidRPr="009B1985">
              <w:t>+5</w:t>
            </w:r>
          </w:p>
        </w:tc>
        <w:tc>
          <w:tcPr>
            <w:tcW w:w="860" w:type="pct"/>
          </w:tcPr>
          <w:p w14:paraId="7D9E08B5" w14:textId="5E306617" w:rsidR="00AE21AC" w:rsidRPr="002974E0" w:rsidRDefault="00AE21AC" w:rsidP="00AE21AC">
            <w:pPr>
              <w:spacing w:before="0"/>
              <w:jc w:val="center"/>
              <w:cnfStyle w:val="000000000000" w:firstRow="0" w:lastRow="0" w:firstColumn="0" w:lastColumn="0" w:oddVBand="0" w:evenVBand="0" w:oddHBand="0" w:evenHBand="0" w:firstRowFirstColumn="0" w:firstRowLastColumn="0" w:lastRowFirstColumn="0" w:lastRowLastColumn="0"/>
            </w:pPr>
            <w:r w:rsidRPr="009B1985">
              <w:t>20%</w:t>
            </w:r>
          </w:p>
        </w:tc>
        <w:tc>
          <w:tcPr>
            <w:tcW w:w="1045" w:type="pct"/>
          </w:tcPr>
          <w:p w14:paraId="32C107CF" w14:textId="28D490F4" w:rsidR="00AE21AC" w:rsidRDefault="00AE21AC" w:rsidP="00AE21AC">
            <w:pPr>
              <w:spacing w:before="0"/>
              <w:jc w:val="center"/>
              <w:cnfStyle w:val="000000000000" w:firstRow="0" w:lastRow="0" w:firstColumn="0" w:lastColumn="0" w:oddVBand="0" w:evenVBand="0" w:oddHBand="0" w:evenHBand="0" w:firstRowFirstColumn="0" w:firstRowLastColumn="0" w:lastRowFirstColumn="0" w:lastRowLastColumn="0"/>
            </w:pPr>
            <w:r w:rsidRPr="009B1985">
              <w:t>+1.0</w:t>
            </w:r>
          </w:p>
        </w:tc>
      </w:tr>
      <w:tr w:rsidR="00AE21AC" w:rsidRPr="008F47BA" w14:paraId="27A9A1C5" w14:textId="77777777">
        <w:trPr>
          <w:trHeight w:val="375"/>
        </w:trPr>
        <w:tc>
          <w:tcPr>
            <w:cnfStyle w:val="001000000000" w:firstRow="0" w:lastRow="0" w:firstColumn="1" w:lastColumn="0" w:oddVBand="0" w:evenVBand="0" w:oddHBand="0" w:evenHBand="0" w:firstRowFirstColumn="0" w:firstRowLastColumn="0" w:lastRowFirstColumn="0" w:lastRowLastColumn="0"/>
            <w:tcW w:w="2493" w:type="pct"/>
          </w:tcPr>
          <w:p w14:paraId="0E84B954" w14:textId="77777777" w:rsidR="00AE21AC" w:rsidRPr="00F11ECC" w:rsidRDefault="00AE21AC" w:rsidP="00AE21AC">
            <w:pPr>
              <w:spacing w:before="0"/>
              <w:rPr>
                <w:rFonts w:cstheme="minorHAnsi"/>
                <w:color w:val="auto"/>
                <w:szCs w:val="20"/>
                <w:lang w:val="en-AU"/>
              </w:rPr>
            </w:pPr>
            <w:r w:rsidRPr="00F11ECC">
              <w:rPr>
                <w:rFonts w:cstheme="minorHAnsi"/>
                <w:color w:val="auto"/>
                <w:szCs w:val="20"/>
                <w:lang w:val="en-AU"/>
              </w:rPr>
              <w:t>Total</w:t>
            </w:r>
          </w:p>
        </w:tc>
        <w:tc>
          <w:tcPr>
            <w:tcW w:w="602" w:type="pct"/>
          </w:tcPr>
          <w:p w14:paraId="14C694E0" w14:textId="77777777" w:rsidR="00AE21AC" w:rsidRPr="00816B24" w:rsidRDefault="00AE21AC" w:rsidP="00AE21AC">
            <w:pPr>
              <w:spacing w:before="0"/>
              <w:jc w:val="center"/>
              <w:cnfStyle w:val="000000000000" w:firstRow="0" w:lastRow="0" w:firstColumn="0" w:lastColumn="0" w:oddVBand="0" w:evenVBand="0" w:oddHBand="0" w:evenHBand="0" w:firstRowFirstColumn="0" w:firstRowLastColumn="0" w:lastRowFirstColumn="0" w:lastRowLastColumn="0"/>
              <w:rPr>
                <w:b/>
                <w:bCs/>
              </w:rPr>
            </w:pPr>
          </w:p>
        </w:tc>
        <w:tc>
          <w:tcPr>
            <w:tcW w:w="860" w:type="pct"/>
          </w:tcPr>
          <w:p w14:paraId="214A022F" w14:textId="2CD8EA3E" w:rsidR="00AE21AC" w:rsidRPr="00816B24" w:rsidRDefault="00AE21AC" w:rsidP="00AE21AC">
            <w:pPr>
              <w:spacing w:before="0"/>
              <w:jc w:val="center"/>
              <w:cnfStyle w:val="000000000000" w:firstRow="0" w:lastRow="0" w:firstColumn="0" w:lastColumn="0" w:oddVBand="0" w:evenVBand="0" w:oddHBand="0" w:evenHBand="0" w:firstRowFirstColumn="0" w:firstRowLastColumn="0" w:lastRowFirstColumn="0" w:lastRowLastColumn="0"/>
              <w:rPr>
                <w:b/>
                <w:bCs/>
              </w:rPr>
            </w:pPr>
          </w:p>
        </w:tc>
        <w:tc>
          <w:tcPr>
            <w:tcW w:w="1045" w:type="pct"/>
          </w:tcPr>
          <w:p w14:paraId="2F429061" w14:textId="3B77923A" w:rsidR="00AE21AC" w:rsidRPr="00AE21AC" w:rsidRDefault="00AE21AC" w:rsidP="00AE21AC">
            <w:pPr>
              <w:spacing w:before="0"/>
              <w:jc w:val="center"/>
              <w:cnfStyle w:val="000000000000" w:firstRow="0" w:lastRow="0" w:firstColumn="0" w:lastColumn="0" w:oddVBand="0" w:evenVBand="0" w:oddHBand="0" w:evenHBand="0" w:firstRowFirstColumn="0" w:firstRowLastColumn="0" w:lastRowFirstColumn="0" w:lastRowLastColumn="0"/>
              <w:rPr>
                <w:b/>
                <w:bCs/>
              </w:rPr>
            </w:pPr>
            <w:r w:rsidRPr="00702AB8">
              <w:rPr>
                <w:b/>
                <w:bCs/>
              </w:rPr>
              <w:t>+1.4</w:t>
            </w:r>
          </w:p>
        </w:tc>
      </w:tr>
    </w:tbl>
    <w:p w14:paraId="71436E43" w14:textId="452DC9A7" w:rsidR="008A3266" w:rsidRDefault="008A3266">
      <w:pPr>
        <w:spacing w:before="0" w:line="259" w:lineRule="auto"/>
        <w:rPr>
          <w:rFonts w:asciiTheme="majorHAnsi" w:eastAsiaTheme="majorEastAsia" w:hAnsiTheme="majorHAnsi" w:cstheme="majorBidi"/>
          <w:b/>
          <w:bCs/>
          <w:iCs/>
          <w:color w:val="403151" w:themeColor="accent2"/>
          <w:sz w:val="28"/>
        </w:rPr>
      </w:pPr>
    </w:p>
    <w:p w14:paraId="597D0CA9" w14:textId="3B9F81CD" w:rsidR="00B74B3D" w:rsidRPr="000104D7" w:rsidRDefault="00B74B3D" w:rsidP="00B74B3D">
      <w:pPr>
        <w:pStyle w:val="Heading7"/>
        <w:rPr>
          <w:bCs/>
        </w:rPr>
      </w:pPr>
      <w:r w:rsidRPr="000104D7">
        <w:rPr>
          <w:bCs/>
        </w:rPr>
        <w:t xml:space="preserve">Option </w:t>
      </w:r>
      <w:r>
        <w:rPr>
          <w:bCs/>
        </w:rPr>
        <w:t>3</w:t>
      </w:r>
      <w:r w:rsidRPr="000104D7">
        <w:rPr>
          <w:bCs/>
        </w:rPr>
        <w:t xml:space="preserve">: </w:t>
      </w:r>
      <w:r w:rsidR="003946E9">
        <w:rPr>
          <w:bCs/>
        </w:rPr>
        <w:t xml:space="preserve">Replication of current Regulations (Option 1) plus </w:t>
      </w:r>
      <w:r w:rsidR="003946E9">
        <w:t>c</w:t>
      </w:r>
      <w:r>
        <w:t xml:space="preserve">oncession discount </w:t>
      </w:r>
    </w:p>
    <w:p w14:paraId="129D798A" w14:textId="63313043" w:rsidR="00B74B3D" w:rsidRPr="00964774" w:rsidRDefault="00964774" w:rsidP="00964774">
      <w:pPr>
        <w:rPr>
          <w:rFonts w:cstheme="minorHAnsi"/>
          <w:szCs w:val="20"/>
          <w:lang w:val="en-AU"/>
        </w:rPr>
      </w:pPr>
      <w:r w:rsidRPr="00964774">
        <w:rPr>
          <w:rFonts w:cstheme="minorHAnsi"/>
          <w:szCs w:val="20"/>
          <w:lang w:val="en-AU"/>
        </w:rPr>
        <w:t xml:space="preserve">A discount of </w:t>
      </w:r>
      <w:r>
        <w:rPr>
          <w:rFonts w:cstheme="minorHAnsi"/>
          <w:szCs w:val="20"/>
          <w:lang w:val="en-AU"/>
        </w:rPr>
        <w:t>50% could be required to be offered against all maximum fees</w:t>
      </w:r>
      <w:r w:rsidR="00043814">
        <w:rPr>
          <w:rFonts w:cstheme="minorHAnsi"/>
          <w:szCs w:val="20"/>
          <w:lang w:val="en-AU"/>
        </w:rPr>
        <w:t xml:space="preserve"> for holders of certain concession cards</w:t>
      </w:r>
      <w:r w:rsidR="00D3602B">
        <w:rPr>
          <w:rFonts w:cstheme="minorHAnsi"/>
          <w:szCs w:val="20"/>
          <w:lang w:val="en-AU"/>
        </w:rPr>
        <w:t xml:space="preserve"> seeking their health information</w:t>
      </w:r>
      <w:r>
        <w:rPr>
          <w:rFonts w:cstheme="minorHAnsi"/>
          <w:szCs w:val="20"/>
          <w:lang w:val="en-AU"/>
        </w:rPr>
        <w:t>.</w:t>
      </w:r>
    </w:p>
    <w:p w14:paraId="738408A1" w14:textId="77777777" w:rsidR="00964774" w:rsidRDefault="00B005D5" w:rsidP="00964774">
      <w:pPr>
        <w:spacing w:after="0"/>
        <w:rPr>
          <w:rFonts w:cstheme="minorHAnsi"/>
          <w:b/>
          <w:color w:val="7B5E05" w:themeColor="accent1"/>
          <w:szCs w:val="20"/>
          <w:lang w:val="en-AU"/>
        </w:rPr>
      </w:pPr>
      <w:r w:rsidRPr="00B005D5">
        <w:rPr>
          <w:rFonts w:cstheme="minorHAnsi"/>
          <w:b/>
          <w:color w:val="7B5E05" w:themeColor="accent1"/>
          <w:szCs w:val="20"/>
          <w:lang w:val="en-AU"/>
        </w:rPr>
        <w:t>Criteria 1: Facilitate access to health information</w:t>
      </w:r>
    </w:p>
    <w:p w14:paraId="1E222F78" w14:textId="6207455C" w:rsidR="00B005D5" w:rsidRDefault="00B005D5" w:rsidP="00964774">
      <w:pPr>
        <w:spacing w:after="0"/>
      </w:pPr>
      <w:r>
        <w:t>Providing a concession discount will remove a barrier for some people in accessing their health information, requesting it to be transferred, or requesting a review of refusal by a nominated health service provider. This would improve the ability for more people to exercise their rights under the Act.</w:t>
      </w:r>
      <w:r w:rsidR="00FE72FE">
        <w:t xml:space="preserve"> Based </w:t>
      </w:r>
      <w:r w:rsidR="008E65DA">
        <w:t>on</w:t>
      </w:r>
      <w:r w:rsidR="00BF2B6B">
        <w:t xml:space="preserve"> data</w:t>
      </w:r>
      <w:r w:rsidR="008E65DA">
        <w:t xml:space="preserve"> about the numbers of Victorians who hold a </w:t>
      </w:r>
      <w:r w:rsidR="009F0DA6">
        <w:t>concession</w:t>
      </w:r>
      <w:r w:rsidR="008E65DA">
        <w:t xml:space="preserve"> card</w:t>
      </w:r>
      <w:r w:rsidR="00BF2B6B">
        <w:t xml:space="preserve">, approximately </w:t>
      </w:r>
      <w:r w:rsidR="005C53CD">
        <w:t>25</w:t>
      </w:r>
      <w:r w:rsidR="00BF2B6B">
        <w:t xml:space="preserve">% of </w:t>
      </w:r>
      <w:r w:rsidR="008E2F8C">
        <w:lastRenderedPageBreak/>
        <w:t xml:space="preserve">Victorians </w:t>
      </w:r>
      <w:r w:rsidR="00BF2B6B">
        <w:t xml:space="preserve">have </w:t>
      </w:r>
      <w:r w:rsidR="00143B36">
        <w:t xml:space="preserve">some form of </w:t>
      </w:r>
      <w:r w:rsidR="00BF2B6B">
        <w:t xml:space="preserve">a </w:t>
      </w:r>
      <w:r w:rsidR="0010105B">
        <w:t>concession</w:t>
      </w:r>
      <w:r w:rsidR="00BF2B6B">
        <w:t xml:space="preserve"> card</w:t>
      </w:r>
      <w:r w:rsidR="00143B36">
        <w:rPr>
          <w:rStyle w:val="FootnoteReference"/>
        </w:rPr>
        <w:footnoteReference w:id="39"/>
      </w:r>
      <w:r w:rsidR="00BF2B6B">
        <w:t xml:space="preserve"> and </w:t>
      </w:r>
      <w:r w:rsidR="000C2433">
        <w:t xml:space="preserve">could </w:t>
      </w:r>
      <w:r w:rsidR="00BF2B6B">
        <w:t>be entitled to a discount</w:t>
      </w:r>
      <w:r w:rsidR="000C2433">
        <w:t xml:space="preserve"> (depending on the eligibility criteria established)</w:t>
      </w:r>
      <w:r w:rsidR="00BF2B6B">
        <w:t xml:space="preserve">. </w:t>
      </w:r>
      <w:r w:rsidR="00742768">
        <w:t>This gives an indication of the size of the potential cohort that would benefit from this discount</w:t>
      </w:r>
      <w:r w:rsidR="000C6956">
        <w:t>.</w:t>
      </w:r>
    </w:p>
    <w:p w14:paraId="5D8CC15F" w14:textId="3B48613C" w:rsidR="00167D61" w:rsidRDefault="00E515C0" w:rsidP="00167D61">
      <w:pPr>
        <w:spacing w:after="0"/>
      </w:pPr>
      <w:r>
        <w:t xml:space="preserve">However, it is difficult to estimate how large the impact would be and there are </w:t>
      </w:r>
      <w:proofErr w:type="gramStart"/>
      <w:r w:rsidR="006168E2">
        <w:t>a number of</w:t>
      </w:r>
      <w:proofErr w:type="gramEnd"/>
      <w:r w:rsidR="006168E2">
        <w:t xml:space="preserve"> factors to consider. </w:t>
      </w:r>
      <w:r w:rsidR="00A2371A">
        <w:t>DH</w:t>
      </w:r>
      <w:r w:rsidR="006168E2">
        <w:t xml:space="preserve"> understands that many providers do not </w:t>
      </w:r>
      <w:r w:rsidR="001F05DF">
        <w:t xml:space="preserve">provide a fee for </w:t>
      </w:r>
      <w:r w:rsidR="00F563AF">
        <w:t xml:space="preserve">the relevant information </w:t>
      </w:r>
      <w:r w:rsidR="001F05DF">
        <w:t xml:space="preserve">services or already choose to charge no fee to </w:t>
      </w:r>
      <w:r w:rsidR="002D18FD">
        <w:t>low-income</w:t>
      </w:r>
      <w:r w:rsidR="001F05DF">
        <w:t xml:space="preserve"> individuals. Therefore </w:t>
      </w:r>
      <w:r w:rsidR="007A44A7">
        <w:t>Option 3 will not change current practice in these cases.</w:t>
      </w:r>
    </w:p>
    <w:p w14:paraId="10B96FD7" w14:textId="071CA92C" w:rsidR="00150805" w:rsidRDefault="009574B8" w:rsidP="00964774">
      <w:pPr>
        <w:spacing w:after="0"/>
      </w:pPr>
      <w:r>
        <w:t>It is also important to consider the</w:t>
      </w:r>
      <w:r w:rsidR="002F7161">
        <w:t xml:space="preserve"> application and context of the regulations, as they apply to private </w:t>
      </w:r>
      <w:r w:rsidR="008F427C">
        <w:t>health providers and other organisations</w:t>
      </w:r>
      <w:r w:rsidR="00813447">
        <w:t xml:space="preserve"> (</w:t>
      </w:r>
      <w:proofErr w:type="gramStart"/>
      <w:r w:rsidR="00813447">
        <w:t>e.g.</w:t>
      </w:r>
      <w:proofErr w:type="gramEnd"/>
      <w:r w:rsidR="00813447">
        <w:t xml:space="preserve"> schools, gyms)</w:t>
      </w:r>
      <w:r w:rsidR="007118C5">
        <w:t xml:space="preserve">. </w:t>
      </w:r>
      <w:r w:rsidR="009D6216">
        <w:t xml:space="preserve">Given the costs of attending </w:t>
      </w:r>
      <w:r w:rsidR="008E6D15">
        <w:t xml:space="preserve">private hospitals are </w:t>
      </w:r>
      <w:r w:rsidR="0050274F">
        <w:t xml:space="preserve">in most cases </w:t>
      </w:r>
      <w:r w:rsidR="008E6D15">
        <w:t>borne by the individual and not paid by government</w:t>
      </w:r>
      <w:r w:rsidR="0050274F">
        <w:rPr>
          <w:rStyle w:val="FootnoteReference"/>
        </w:rPr>
        <w:footnoteReference w:id="40"/>
      </w:r>
      <w:r w:rsidR="00167D61">
        <w:t xml:space="preserve"> (compared to </w:t>
      </w:r>
      <w:r w:rsidR="00167D61" w:rsidRPr="00150805">
        <w:t>treatment as a public patient in a public hospital)</w:t>
      </w:r>
      <w:r w:rsidR="008E6D15">
        <w:t xml:space="preserve">, it is reasonable to assume that </w:t>
      </w:r>
      <w:r w:rsidR="00F27AA9">
        <w:t>a small</w:t>
      </w:r>
      <w:r w:rsidR="00E00B30">
        <w:t>er</w:t>
      </w:r>
      <w:r w:rsidR="00F27AA9">
        <w:t xml:space="preserve"> number of concession card holders are attending private hospitals due to inability to pay. </w:t>
      </w:r>
      <w:r w:rsidR="009A43F5">
        <w:t>Therefore</w:t>
      </w:r>
      <w:r w:rsidR="0037518D">
        <w:t>,</w:t>
      </w:r>
      <w:r w:rsidR="009A43F5">
        <w:t xml:space="preserve"> </w:t>
      </w:r>
      <w:r w:rsidR="007C52F9">
        <w:t>it is likely that significantly less than 25% of individuals req</w:t>
      </w:r>
      <w:r w:rsidR="0068768E">
        <w:t>uesting information will be entitled to a discount.</w:t>
      </w:r>
    </w:p>
    <w:p w14:paraId="225F9D81" w14:textId="09B9C11B" w:rsidR="0008678D" w:rsidRDefault="0008678D" w:rsidP="00964774">
      <w:pPr>
        <w:spacing w:after="0"/>
      </w:pPr>
      <w:r>
        <w:t xml:space="preserve">It is </w:t>
      </w:r>
      <w:r w:rsidR="0068768E">
        <w:t xml:space="preserve">also </w:t>
      </w:r>
      <w:r>
        <w:t xml:space="preserve">noted that private health providers are not required to offer a concession discount for visits (although many providers such as general </w:t>
      </w:r>
      <w:r w:rsidR="009B3FB9">
        <w:t xml:space="preserve">and specialist </w:t>
      </w:r>
      <w:r>
        <w:t>practitioners do offer a discount</w:t>
      </w:r>
      <w:r w:rsidR="00412076">
        <w:t xml:space="preserve"> to any co-contribution charged</w:t>
      </w:r>
      <w:r>
        <w:t xml:space="preserve">). Large private hospital providers with fees for attendance at emergency of $400 and $485, as discussed in section 4.2.2 for Option 1, do not offer a concession discount on their fees. It would be inconsistent to require providers to provide a discount on a very small part of the overall cost of health treatment when discounts are not required to be offered on the charges that represent much greater costs to individuals. </w:t>
      </w:r>
    </w:p>
    <w:p w14:paraId="3911B6D7" w14:textId="224C3EC4" w:rsidR="00A86C25" w:rsidRDefault="00173EC0" w:rsidP="00B005D5">
      <w:pPr>
        <w:spacing w:after="0"/>
        <w:rPr>
          <w:rFonts w:cstheme="minorHAnsi"/>
          <w:b/>
          <w:color w:val="7B5E05" w:themeColor="accent1"/>
          <w:szCs w:val="20"/>
          <w:lang w:val="en-AU"/>
        </w:rPr>
      </w:pPr>
      <w:r>
        <w:t>A</w:t>
      </w:r>
      <w:r w:rsidRPr="00173EC0">
        <w:rPr>
          <w:b/>
          <w:bCs/>
          <w:color w:val="7B5E05" w:themeColor="accent1"/>
        </w:rPr>
        <w:t xml:space="preserve"> </w:t>
      </w:r>
      <w:r w:rsidRPr="00CA32A4">
        <w:rPr>
          <w:b/>
          <w:bCs/>
          <w:color w:val="000000" w:themeColor="text1"/>
        </w:rPr>
        <w:t>score</w:t>
      </w:r>
      <w:r w:rsidR="00226235" w:rsidRPr="00CA32A4">
        <w:rPr>
          <w:rFonts w:cstheme="minorHAnsi"/>
          <w:b/>
          <w:color w:val="000000" w:themeColor="text1"/>
          <w:szCs w:val="20"/>
          <w:lang w:val="en-AU"/>
        </w:rPr>
        <w:t xml:space="preserve"> of +</w:t>
      </w:r>
      <w:r w:rsidRPr="00CA32A4">
        <w:rPr>
          <w:rFonts w:cstheme="minorHAnsi"/>
          <w:b/>
          <w:color w:val="000000" w:themeColor="text1"/>
          <w:szCs w:val="20"/>
          <w:lang w:val="en-AU"/>
        </w:rPr>
        <w:t>8</w:t>
      </w:r>
      <w:r w:rsidR="00226235" w:rsidRPr="00CA32A4">
        <w:rPr>
          <w:rFonts w:cstheme="minorHAnsi"/>
          <w:b/>
          <w:color w:val="000000" w:themeColor="text1"/>
          <w:szCs w:val="20"/>
          <w:lang w:val="en-AU"/>
        </w:rPr>
        <w:t xml:space="preserve"> </w:t>
      </w:r>
      <w:r w:rsidR="00226235" w:rsidRPr="00E870A0">
        <w:rPr>
          <w:rFonts w:cstheme="minorHAnsi"/>
          <w:bCs/>
          <w:szCs w:val="20"/>
          <w:lang w:val="en-AU"/>
        </w:rPr>
        <w:t xml:space="preserve">is </w:t>
      </w:r>
      <w:r w:rsidR="00E870A0" w:rsidRPr="00E870A0">
        <w:rPr>
          <w:rFonts w:cstheme="minorHAnsi"/>
          <w:bCs/>
          <w:szCs w:val="20"/>
          <w:lang w:val="en-AU"/>
        </w:rPr>
        <w:t>given for this option reflecting that there will be improved facilitation of access to information for lower income individuals</w:t>
      </w:r>
      <w:r w:rsidRPr="00173EC0">
        <w:rPr>
          <w:rFonts w:cstheme="minorHAnsi"/>
          <w:bCs/>
          <w:szCs w:val="20"/>
          <w:lang w:val="en-AU"/>
        </w:rPr>
        <w:t>, however the impact is considered small</w:t>
      </w:r>
      <w:r>
        <w:rPr>
          <w:rFonts w:cstheme="minorHAnsi"/>
          <w:bCs/>
          <w:szCs w:val="20"/>
          <w:lang w:val="en-AU"/>
        </w:rPr>
        <w:t xml:space="preserve"> given that </w:t>
      </w:r>
      <w:r w:rsidR="008379B4">
        <w:rPr>
          <w:rFonts w:cstheme="minorHAnsi"/>
          <w:bCs/>
          <w:szCs w:val="20"/>
          <w:lang w:val="en-AU"/>
        </w:rPr>
        <w:t xml:space="preserve">many providers </w:t>
      </w:r>
      <w:r w:rsidR="006242B2">
        <w:rPr>
          <w:rFonts w:cstheme="minorHAnsi"/>
          <w:bCs/>
          <w:szCs w:val="20"/>
          <w:lang w:val="en-AU"/>
        </w:rPr>
        <w:t>do</w:t>
      </w:r>
      <w:r w:rsidR="0090681E">
        <w:rPr>
          <w:rFonts w:cstheme="minorHAnsi"/>
          <w:bCs/>
          <w:szCs w:val="20"/>
          <w:lang w:val="en-AU"/>
        </w:rPr>
        <w:t xml:space="preserve"> </w:t>
      </w:r>
      <w:r w:rsidR="006242B2">
        <w:rPr>
          <w:rFonts w:cstheme="minorHAnsi"/>
          <w:bCs/>
          <w:szCs w:val="20"/>
          <w:lang w:val="en-AU"/>
        </w:rPr>
        <w:t>n</w:t>
      </w:r>
      <w:r w:rsidR="0090681E">
        <w:rPr>
          <w:rFonts w:cstheme="minorHAnsi"/>
          <w:bCs/>
          <w:szCs w:val="20"/>
          <w:lang w:val="en-AU"/>
        </w:rPr>
        <w:t>o</w:t>
      </w:r>
      <w:r w:rsidR="006242B2">
        <w:rPr>
          <w:rFonts w:cstheme="minorHAnsi"/>
          <w:bCs/>
          <w:szCs w:val="20"/>
          <w:lang w:val="en-AU"/>
        </w:rPr>
        <w:t>t currently charge</w:t>
      </w:r>
      <w:r w:rsidR="008379B4">
        <w:rPr>
          <w:rFonts w:cstheme="minorHAnsi"/>
          <w:bCs/>
          <w:szCs w:val="20"/>
          <w:lang w:val="en-AU"/>
        </w:rPr>
        <w:t xml:space="preserve"> </w:t>
      </w:r>
      <w:r w:rsidR="006242B2">
        <w:rPr>
          <w:rFonts w:cstheme="minorHAnsi"/>
          <w:bCs/>
          <w:szCs w:val="20"/>
          <w:lang w:val="en-AU"/>
        </w:rPr>
        <w:t xml:space="preserve">a </w:t>
      </w:r>
      <w:r w:rsidR="008379B4">
        <w:rPr>
          <w:rFonts w:cstheme="minorHAnsi"/>
          <w:bCs/>
          <w:szCs w:val="20"/>
          <w:lang w:val="en-AU"/>
        </w:rPr>
        <w:t>fee to low</w:t>
      </w:r>
      <w:r w:rsidR="002D29F5">
        <w:rPr>
          <w:rFonts w:cstheme="minorHAnsi"/>
          <w:bCs/>
          <w:szCs w:val="20"/>
          <w:lang w:val="en-AU"/>
        </w:rPr>
        <w:t>-</w:t>
      </w:r>
      <w:r w:rsidR="008379B4">
        <w:rPr>
          <w:rFonts w:cstheme="minorHAnsi"/>
          <w:bCs/>
          <w:szCs w:val="20"/>
          <w:lang w:val="en-AU"/>
        </w:rPr>
        <w:t xml:space="preserve">income individuals and </w:t>
      </w:r>
      <w:r w:rsidR="000659F2">
        <w:rPr>
          <w:rFonts w:cstheme="minorHAnsi"/>
          <w:bCs/>
          <w:szCs w:val="20"/>
          <w:lang w:val="en-AU"/>
        </w:rPr>
        <w:t xml:space="preserve">this cohort is less likely to be attending </w:t>
      </w:r>
      <w:r w:rsidR="008F7B48">
        <w:rPr>
          <w:rFonts w:cstheme="minorHAnsi"/>
          <w:bCs/>
          <w:szCs w:val="20"/>
          <w:lang w:val="en-AU"/>
        </w:rPr>
        <w:t>private organisations such as private hospitals where these fees are relevant.</w:t>
      </w:r>
      <w:r w:rsidR="008379B4">
        <w:rPr>
          <w:rFonts w:cstheme="minorHAnsi"/>
          <w:bCs/>
          <w:szCs w:val="20"/>
          <w:lang w:val="en-AU"/>
        </w:rPr>
        <w:t xml:space="preserve"> </w:t>
      </w:r>
    </w:p>
    <w:p w14:paraId="1F4E3B68" w14:textId="6210B78C" w:rsidR="00B005D5" w:rsidRDefault="00B005D5" w:rsidP="00B005D5">
      <w:pPr>
        <w:spacing w:after="0"/>
        <w:rPr>
          <w:rFonts w:cstheme="minorHAnsi"/>
          <w:b/>
          <w:color w:val="7B5E05" w:themeColor="accent1"/>
          <w:szCs w:val="20"/>
          <w:lang w:val="en-AU"/>
        </w:rPr>
      </w:pPr>
      <w:r>
        <w:rPr>
          <w:rFonts w:cstheme="minorHAnsi"/>
          <w:b/>
          <w:color w:val="7B5E05" w:themeColor="accent1"/>
          <w:szCs w:val="20"/>
          <w:lang w:val="en-AU"/>
        </w:rPr>
        <w:t xml:space="preserve">Criteria 2: </w:t>
      </w:r>
      <w:r w:rsidRPr="00D1550C">
        <w:rPr>
          <w:rFonts w:cstheme="minorHAnsi"/>
          <w:b/>
          <w:color w:val="7B5E05" w:themeColor="accent1"/>
          <w:szCs w:val="20"/>
          <w:lang w:val="en-AU"/>
        </w:rPr>
        <w:t xml:space="preserve">Reasonable cost recovery for </w:t>
      </w:r>
      <w:r w:rsidR="00C01836">
        <w:rPr>
          <w:rFonts w:cstheme="minorHAnsi"/>
          <w:b/>
          <w:color w:val="7B5E05" w:themeColor="accent1"/>
          <w:szCs w:val="20"/>
          <w:lang w:val="en-AU"/>
        </w:rPr>
        <w:t>organisations</w:t>
      </w:r>
    </w:p>
    <w:p w14:paraId="6A86186E" w14:textId="19D0930D" w:rsidR="00DA47C4" w:rsidRDefault="00B005D5" w:rsidP="00DA47C4">
      <w:r w:rsidRPr="006410A5">
        <w:t>Providing a discount for concession holders means that an increased share of the actual costs will be borne by the organisation.</w:t>
      </w:r>
      <w:r>
        <w:t xml:space="preserve"> </w:t>
      </w:r>
      <w:r w:rsidR="006410A5">
        <w:t>Given concession card holders represent a relatively small proportion of total individuals expected to request access to information, this is likely to be a small impact.</w:t>
      </w:r>
    </w:p>
    <w:p w14:paraId="267D459C" w14:textId="3DB34A94" w:rsidR="009635A4" w:rsidRPr="00A95221" w:rsidRDefault="009635A4" w:rsidP="000510D9">
      <w:r>
        <w:t xml:space="preserve">A </w:t>
      </w:r>
      <w:r w:rsidRPr="009635A4">
        <w:rPr>
          <w:b/>
          <w:bCs/>
        </w:rPr>
        <w:t>score of -</w:t>
      </w:r>
      <w:r w:rsidR="006410A5">
        <w:rPr>
          <w:b/>
          <w:bCs/>
        </w:rPr>
        <w:t>6</w:t>
      </w:r>
      <w:r>
        <w:t xml:space="preserve"> is </w:t>
      </w:r>
      <w:r w:rsidR="006410A5">
        <w:t xml:space="preserve">therefore </w:t>
      </w:r>
      <w:r>
        <w:t>given for reasonable level of cost recovery</w:t>
      </w:r>
      <w:r w:rsidR="007A0A80">
        <w:t xml:space="preserve"> which is </w:t>
      </w:r>
      <w:r w:rsidR="006410A5">
        <w:t xml:space="preserve">slightly worse on </w:t>
      </w:r>
      <w:r w:rsidR="00AA5947">
        <w:t>this criterion</w:t>
      </w:r>
      <w:r w:rsidR="006410A5">
        <w:t xml:space="preserve"> than for Option 1.</w:t>
      </w:r>
    </w:p>
    <w:p w14:paraId="2871F454" w14:textId="77777777" w:rsidR="00472DC8" w:rsidRDefault="00472DC8" w:rsidP="00472DC8">
      <w:pPr>
        <w:rPr>
          <w:rFonts w:cstheme="minorHAnsi"/>
          <w:b/>
          <w:color w:val="7B5E05" w:themeColor="accent1"/>
          <w:szCs w:val="20"/>
          <w:lang w:val="en-AU"/>
        </w:rPr>
      </w:pPr>
      <w:r w:rsidRPr="00491910">
        <w:rPr>
          <w:rFonts w:cstheme="minorHAnsi"/>
          <w:b/>
          <w:color w:val="7B5E05" w:themeColor="accent1"/>
          <w:szCs w:val="20"/>
          <w:lang w:val="en-AU"/>
        </w:rPr>
        <w:t>Criteria 3: Simple to understand and administer</w:t>
      </w:r>
    </w:p>
    <w:p w14:paraId="60F4281E" w14:textId="52D08B21" w:rsidR="008B770F" w:rsidRPr="00491910" w:rsidRDefault="008B770F" w:rsidP="008B770F">
      <w:pPr>
        <w:spacing w:after="0"/>
      </w:pPr>
      <w:r>
        <w:t xml:space="preserve">Option 3 is </w:t>
      </w:r>
      <w:proofErr w:type="gramStart"/>
      <w:r w:rsidR="0043066B">
        <w:t>similar to</w:t>
      </w:r>
      <w:proofErr w:type="gramEnd"/>
      <w:r w:rsidR="0043066B">
        <w:t xml:space="preserve"> </w:t>
      </w:r>
      <w:r>
        <w:t>Option</w:t>
      </w:r>
      <w:r w:rsidR="0043066B">
        <w:t>s</w:t>
      </w:r>
      <w:r>
        <w:t xml:space="preserve"> 1 and 2 as all of these options prescribe maximum fees, </w:t>
      </w:r>
      <w:r w:rsidR="002A1466">
        <w:t xml:space="preserve">but there is </w:t>
      </w:r>
      <w:r>
        <w:t>one key difference: the addition of a concession card discount for lower income groups.</w:t>
      </w:r>
    </w:p>
    <w:p w14:paraId="11B3EC48" w14:textId="77777777" w:rsidR="008B770F" w:rsidRDefault="008B770F" w:rsidP="008B770F">
      <w:r>
        <w:lastRenderedPageBreak/>
        <w:t xml:space="preserve">There will be increased administrative costs to check whether people have a concession and apply the discount. The potential inconsistency with other health fees charged by organisations, where no discount is required to be offered, would be an anomaly which contributes to this cost. For example, some private GPs do not charge a concession cate for </w:t>
      </w:r>
      <w:proofErr w:type="gramStart"/>
      <w:r>
        <w:t>consults, but</w:t>
      </w:r>
      <w:proofErr w:type="gramEnd"/>
      <w:r>
        <w:t xml:space="preserve"> would have to for providing health information (if they set a fee for this).</w:t>
      </w:r>
    </w:p>
    <w:p w14:paraId="3E7C306B" w14:textId="24E8E952" w:rsidR="008B770F" w:rsidRDefault="002715F1" w:rsidP="008B770F">
      <w:r>
        <w:t xml:space="preserve">There will also be </w:t>
      </w:r>
      <w:r w:rsidR="008B770F">
        <w:t xml:space="preserve">a </w:t>
      </w:r>
      <w:r w:rsidR="00127755">
        <w:t xml:space="preserve">transition </w:t>
      </w:r>
      <w:r w:rsidR="008B770F">
        <w:t xml:space="preserve">cost </w:t>
      </w:r>
      <w:proofErr w:type="gramStart"/>
      <w:r w:rsidR="00402C1D">
        <w:t xml:space="preserve">as  </w:t>
      </w:r>
      <w:r w:rsidR="00AA5A27">
        <w:t>DH</w:t>
      </w:r>
      <w:proofErr w:type="gramEnd"/>
      <w:r w:rsidR="008B770F">
        <w:t xml:space="preserve"> </w:t>
      </w:r>
      <w:r w:rsidR="00402C1D">
        <w:t xml:space="preserve">will need to educate organisations </w:t>
      </w:r>
      <w:r w:rsidR="008B770F">
        <w:t>about the change to fee structure</w:t>
      </w:r>
      <w:r w:rsidR="00575519">
        <w:t>s</w:t>
      </w:r>
      <w:r w:rsidR="008B770F">
        <w:t xml:space="preserve"> and will need to implement a change to their charging systems and educate staff. </w:t>
      </w:r>
    </w:p>
    <w:p w14:paraId="3D5A3D6E" w14:textId="6FED2D3E" w:rsidR="008B770F" w:rsidRDefault="008B770F" w:rsidP="008B770F">
      <w:r>
        <w:t xml:space="preserve">This option is given </w:t>
      </w:r>
      <w:r>
        <w:rPr>
          <w:b/>
          <w:bCs/>
        </w:rPr>
        <w:t>a score of +3</w:t>
      </w:r>
      <w:r>
        <w:t>, reflecting it is</w:t>
      </w:r>
      <w:r w:rsidR="00286777">
        <w:t xml:space="preserve"> considered</w:t>
      </w:r>
      <w:r>
        <w:t xml:space="preserve"> </w:t>
      </w:r>
      <w:r w:rsidR="00962973">
        <w:t xml:space="preserve">simpler </w:t>
      </w:r>
      <w:r>
        <w:t xml:space="preserve">than the base case but </w:t>
      </w:r>
      <w:r w:rsidR="00412E14">
        <w:t xml:space="preserve">more complex </w:t>
      </w:r>
      <w:r>
        <w:t>than Options 1 and 2.</w:t>
      </w:r>
    </w:p>
    <w:p w14:paraId="61D14A7E" w14:textId="0E7254DB" w:rsidR="00F81A44" w:rsidRPr="005D7D7B" w:rsidRDefault="00F81A44" w:rsidP="00F81A44">
      <w:pPr>
        <w:rPr>
          <w:rFonts w:cstheme="minorHAnsi"/>
          <w:b/>
          <w:color w:val="7B5E05" w:themeColor="accent1"/>
          <w:szCs w:val="20"/>
          <w:lang w:val="en-AU"/>
        </w:rPr>
      </w:pPr>
      <w:r w:rsidRPr="005D7D7B">
        <w:rPr>
          <w:rFonts w:cstheme="minorHAnsi"/>
          <w:b/>
          <w:color w:val="7B5E05" w:themeColor="accent1"/>
          <w:szCs w:val="20"/>
          <w:lang w:val="en-AU"/>
        </w:rPr>
        <w:t>Summary</w:t>
      </w:r>
    </w:p>
    <w:p w14:paraId="35239E83" w14:textId="532E0600" w:rsidR="00F81A44" w:rsidRPr="00FF2DC4" w:rsidRDefault="00F81A44" w:rsidP="00F81A44">
      <w:pPr>
        <w:rPr>
          <w:rFonts w:cstheme="minorHAnsi"/>
          <w:szCs w:val="20"/>
          <w:lang w:val="en-AU"/>
        </w:rPr>
      </w:pPr>
      <w:r>
        <w:rPr>
          <w:rFonts w:cstheme="minorHAnsi"/>
          <w:szCs w:val="20"/>
          <w:lang w:val="en-AU"/>
        </w:rPr>
        <w:t xml:space="preserve">Overall, Option 3 receives a </w:t>
      </w:r>
      <w:r w:rsidR="00E054D5" w:rsidRPr="002F40A4">
        <w:rPr>
          <w:rFonts w:cstheme="minorHAnsi"/>
          <w:b/>
          <w:bCs/>
          <w:szCs w:val="20"/>
          <w:lang w:val="en-AU"/>
        </w:rPr>
        <w:t>total weighted score of +1.4</w:t>
      </w:r>
      <w:r>
        <w:rPr>
          <w:rFonts w:cstheme="minorHAnsi"/>
          <w:szCs w:val="20"/>
          <w:lang w:val="en-AU"/>
        </w:rPr>
        <w:t xml:space="preserve">, as shown in Table </w:t>
      </w:r>
      <w:r w:rsidR="003C6123">
        <w:rPr>
          <w:rFonts w:cstheme="minorHAnsi"/>
          <w:szCs w:val="20"/>
          <w:lang w:val="en-AU"/>
        </w:rPr>
        <w:t>8</w:t>
      </w:r>
      <w:r>
        <w:rPr>
          <w:rFonts w:cstheme="minorHAnsi"/>
          <w:szCs w:val="20"/>
          <w:lang w:val="en-AU"/>
        </w:rPr>
        <w:t xml:space="preserve">. </w:t>
      </w:r>
    </w:p>
    <w:p w14:paraId="5BF1C756" w14:textId="5434FE9F" w:rsidR="00DD26C5" w:rsidRDefault="00DD26C5" w:rsidP="00DD26C5">
      <w:pPr>
        <w:pStyle w:val="Caption"/>
      </w:pPr>
      <w:r>
        <w:t xml:space="preserve">Table </w:t>
      </w:r>
      <w:r>
        <w:fldChar w:fldCharType="begin"/>
      </w:r>
      <w:r>
        <w:instrText>SEQ Table \* ARABIC</w:instrText>
      </w:r>
      <w:r>
        <w:fldChar w:fldCharType="separate"/>
      </w:r>
      <w:r w:rsidR="00605BD1">
        <w:rPr>
          <w:noProof/>
        </w:rPr>
        <w:t>8</w:t>
      </w:r>
      <w:r>
        <w:fldChar w:fldCharType="end"/>
      </w:r>
      <w:r>
        <w:t xml:space="preserve"> MCA summary – Option 3</w:t>
      </w:r>
    </w:p>
    <w:tbl>
      <w:tblPr>
        <w:tblStyle w:val="SapereTable"/>
        <w:tblW w:w="4567" w:type="pct"/>
        <w:tblLook w:val="04A0" w:firstRow="1" w:lastRow="0" w:firstColumn="1" w:lastColumn="0" w:noHBand="0" w:noVBand="1"/>
      </w:tblPr>
      <w:tblGrid>
        <w:gridCol w:w="4110"/>
        <w:gridCol w:w="993"/>
        <w:gridCol w:w="1418"/>
        <w:gridCol w:w="1723"/>
      </w:tblGrid>
      <w:tr w:rsidR="005B1A5E" w:rsidRPr="008F47BA" w14:paraId="5F0D70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pct"/>
          </w:tcPr>
          <w:p w14:paraId="10A71CB1" w14:textId="77777777" w:rsidR="005B1A5E" w:rsidRPr="00846EC0" w:rsidRDefault="005B1A5E">
            <w:pPr>
              <w:spacing w:before="0"/>
              <w:rPr>
                <w:rFonts w:cstheme="minorHAnsi"/>
                <w:b w:val="0"/>
                <w:bCs/>
                <w:szCs w:val="20"/>
              </w:rPr>
            </w:pPr>
            <w:r w:rsidRPr="00846EC0">
              <w:rPr>
                <w:rFonts w:cstheme="minorHAnsi"/>
                <w:bCs/>
                <w:szCs w:val="20"/>
              </w:rPr>
              <w:t>Criteria</w:t>
            </w:r>
          </w:p>
        </w:tc>
        <w:tc>
          <w:tcPr>
            <w:tcW w:w="602" w:type="pct"/>
          </w:tcPr>
          <w:p w14:paraId="760477AE" w14:textId="77777777" w:rsidR="005B1A5E" w:rsidRPr="00846EC0"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Pr>
                <w:rFonts w:cstheme="minorHAnsi"/>
                <w:bCs/>
                <w:szCs w:val="20"/>
              </w:rPr>
              <w:t>Score</w:t>
            </w:r>
          </w:p>
        </w:tc>
        <w:tc>
          <w:tcPr>
            <w:tcW w:w="860" w:type="pct"/>
          </w:tcPr>
          <w:p w14:paraId="2470560F" w14:textId="77777777" w:rsidR="005B1A5E"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Weighting</w:t>
            </w:r>
          </w:p>
        </w:tc>
        <w:tc>
          <w:tcPr>
            <w:tcW w:w="1045" w:type="pct"/>
          </w:tcPr>
          <w:p w14:paraId="04A23D11" w14:textId="77777777" w:rsidR="005B1A5E" w:rsidDel="00991D97" w:rsidRDefault="005B1A5E">
            <w:pPr>
              <w:spacing w:before="0"/>
              <w:jc w:val="center"/>
              <w:cnfStyle w:val="100000000000" w:firstRow="1"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Weighted score</w:t>
            </w:r>
          </w:p>
        </w:tc>
      </w:tr>
      <w:tr w:rsidR="006410A5" w:rsidRPr="008F47BA" w14:paraId="11ACF86A" w14:textId="77777777">
        <w:trPr>
          <w:trHeight w:val="22"/>
        </w:trPr>
        <w:tc>
          <w:tcPr>
            <w:cnfStyle w:val="001000000000" w:firstRow="0" w:lastRow="0" w:firstColumn="1" w:lastColumn="0" w:oddVBand="0" w:evenVBand="0" w:oddHBand="0" w:evenHBand="0" w:firstRowFirstColumn="0" w:firstRowLastColumn="0" w:lastRowFirstColumn="0" w:lastRowLastColumn="0"/>
            <w:tcW w:w="2493" w:type="pct"/>
          </w:tcPr>
          <w:p w14:paraId="21ADF23F" w14:textId="77777777" w:rsidR="006410A5" w:rsidRPr="00F11ECC" w:rsidRDefault="006410A5" w:rsidP="006410A5">
            <w:pPr>
              <w:spacing w:before="0"/>
              <w:rPr>
                <w:rFonts w:cstheme="minorHAnsi"/>
                <w:b w:val="0"/>
                <w:bCs/>
                <w:color w:val="auto"/>
                <w:szCs w:val="20"/>
                <w:highlight w:val="yellow"/>
              </w:rPr>
            </w:pPr>
            <w:r w:rsidRPr="00F11ECC">
              <w:rPr>
                <w:b w:val="0"/>
                <w:bCs/>
                <w:color w:val="auto"/>
              </w:rPr>
              <w:t>Facilitate access to health information</w:t>
            </w:r>
          </w:p>
        </w:tc>
        <w:tc>
          <w:tcPr>
            <w:tcW w:w="602" w:type="pct"/>
          </w:tcPr>
          <w:p w14:paraId="29331914" w14:textId="489706A8" w:rsidR="006410A5" w:rsidRPr="002974E0" w:rsidRDefault="006410A5" w:rsidP="006410A5">
            <w:pPr>
              <w:spacing w:before="0"/>
              <w:jc w:val="center"/>
              <w:cnfStyle w:val="000000000000" w:firstRow="0" w:lastRow="0" w:firstColumn="0" w:lastColumn="0" w:oddVBand="0" w:evenVBand="0" w:oddHBand="0" w:evenHBand="0" w:firstRowFirstColumn="0" w:firstRowLastColumn="0" w:lastRowFirstColumn="0" w:lastRowLastColumn="0"/>
            </w:pPr>
            <w:r w:rsidRPr="009D0D17">
              <w:t>+8.0</w:t>
            </w:r>
          </w:p>
        </w:tc>
        <w:tc>
          <w:tcPr>
            <w:tcW w:w="860" w:type="pct"/>
          </w:tcPr>
          <w:p w14:paraId="2855E4F7" w14:textId="15A08F39" w:rsidR="006410A5" w:rsidRDefault="006410A5" w:rsidP="006410A5">
            <w:pPr>
              <w:spacing w:before="0"/>
              <w:jc w:val="center"/>
              <w:cnfStyle w:val="000000000000" w:firstRow="0" w:lastRow="0" w:firstColumn="0" w:lastColumn="0" w:oddVBand="0" w:evenVBand="0" w:oddHBand="0" w:evenHBand="0" w:firstRowFirstColumn="0" w:firstRowLastColumn="0" w:lastRowFirstColumn="0" w:lastRowLastColumn="0"/>
            </w:pPr>
            <w:r w:rsidDel="006E1045">
              <w:t>40%</w:t>
            </w:r>
          </w:p>
        </w:tc>
        <w:tc>
          <w:tcPr>
            <w:tcW w:w="1045" w:type="pct"/>
          </w:tcPr>
          <w:p w14:paraId="023DA343" w14:textId="143D6830" w:rsidR="006410A5" w:rsidRDefault="006410A5" w:rsidP="006410A5">
            <w:pPr>
              <w:spacing w:before="0"/>
              <w:jc w:val="center"/>
              <w:cnfStyle w:val="000000000000" w:firstRow="0" w:lastRow="0" w:firstColumn="0" w:lastColumn="0" w:oddVBand="0" w:evenVBand="0" w:oddHBand="0" w:evenHBand="0" w:firstRowFirstColumn="0" w:firstRowLastColumn="0" w:lastRowFirstColumn="0" w:lastRowLastColumn="0"/>
            </w:pPr>
            <w:r w:rsidRPr="009D0D17">
              <w:t>+3.2</w:t>
            </w:r>
          </w:p>
        </w:tc>
      </w:tr>
      <w:tr w:rsidR="006410A5" w:rsidRPr="008F47BA" w14:paraId="3D02D040" w14:textId="77777777">
        <w:trPr>
          <w:trHeight w:val="351"/>
        </w:trPr>
        <w:tc>
          <w:tcPr>
            <w:cnfStyle w:val="001000000000" w:firstRow="0" w:lastRow="0" w:firstColumn="1" w:lastColumn="0" w:oddVBand="0" w:evenVBand="0" w:oddHBand="0" w:evenHBand="0" w:firstRowFirstColumn="0" w:firstRowLastColumn="0" w:lastRowFirstColumn="0" w:lastRowLastColumn="0"/>
            <w:tcW w:w="2493" w:type="pct"/>
          </w:tcPr>
          <w:p w14:paraId="33C2C165" w14:textId="77777777" w:rsidR="006410A5" w:rsidRPr="00F11ECC" w:rsidRDefault="006410A5" w:rsidP="006410A5">
            <w:pPr>
              <w:spacing w:before="0"/>
              <w:rPr>
                <w:rFonts w:cstheme="minorHAnsi"/>
                <w:b w:val="0"/>
                <w:bCs/>
                <w:color w:val="auto"/>
                <w:szCs w:val="20"/>
                <w:highlight w:val="yellow"/>
              </w:rPr>
            </w:pPr>
            <w:r w:rsidRPr="00F11ECC">
              <w:rPr>
                <w:b w:val="0"/>
                <w:bCs/>
                <w:color w:val="auto"/>
              </w:rPr>
              <w:t>Reasonable cost recovery</w:t>
            </w:r>
          </w:p>
        </w:tc>
        <w:tc>
          <w:tcPr>
            <w:tcW w:w="602" w:type="pct"/>
          </w:tcPr>
          <w:p w14:paraId="518203BA" w14:textId="12D2B54F" w:rsidR="006410A5" w:rsidRPr="002974E0" w:rsidRDefault="006410A5" w:rsidP="006410A5">
            <w:pPr>
              <w:spacing w:before="0"/>
              <w:jc w:val="center"/>
              <w:cnfStyle w:val="000000000000" w:firstRow="0" w:lastRow="0" w:firstColumn="0" w:lastColumn="0" w:oddVBand="0" w:evenVBand="0" w:oddHBand="0" w:evenHBand="0" w:firstRowFirstColumn="0" w:firstRowLastColumn="0" w:lastRowFirstColumn="0" w:lastRowLastColumn="0"/>
            </w:pPr>
            <w:r w:rsidRPr="009D0D17">
              <w:t>-6.0</w:t>
            </w:r>
          </w:p>
        </w:tc>
        <w:tc>
          <w:tcPr>
            <w:tcW w:w="860" w:type="pct"/>
          </w:tcPr>
          <w:p w14:paraId="03D5CDB7" w14:textId="5F8B9978" w:rsidR="006410A5" w:rsidRPr="002974E0" w:rsidRDefault="006410A5" w:rsidP="006410A5">
            <w:pPr>
              <w:spacing w:before="0"/>
              <w:jc w:val="center"/>
              <w:cnfStyle w:val="000000000000" w:firstRow="0" w:lastRow="0" w:firstColumn="0" w:lastColumn="0" w:oddVBand="0" w:evenVBand="0" w:oddHBand="0" w:evenHBand="0" w:firstRowFirstColumn="0" w:firstRowLastColumn="0" w:lastRowFirstColumn="0" w:lastRowLastColumn="0"/>
            </w:pPr>
            <w:r w:rsidDel="006E1045">
              <w:t>40%</w:t>
            </w:r>
          </w:p>
        </w:tc>
        <w:tc>
          <w:tcPr>
            <w:tcW w:w="1045" w:type="pct"/>
          </w:tcPr>
          <w:p w14:paraId="3C41A279" w14:textId="38825032" w:rsidR="006410A5" w:rsidRDefault="006410A5" w:rsidP="006410A5">
            <w:pPr>
              <w:spacing w:before="0"/>
              <w:jc w:val="center"/>
              <w:cnfStyle w:val="000000000000" w:firstRow="0" w:lastRow="0" w:firstColumn="0" w:lastColumn="0" w:oddVBand="0" w:evenVBand="0" w:oddHBand="0" w:evenHBand="0" w:firstRowFirstColumn="0" w:firstRowLastColumn="0" w:lastRowFirstColumn="0" w:lastRowLastColumn="0"/>
            </w:pPr>
            <w:r w:rsidRPr="009D0D17">
              <w:t>-2.4</w:t>
            </w:r>
          </w:p>
        </w:tc>
      </w:tr>
      <w:tr w:rsidR="00C30F41" w:rsidRPr="008F47BA" w14:paraId="1D1C1B88" w14:textId="77777777">
        <w:trPr>
          <w:trHeight w:val="315"/>
        </w:trPr>
        <w:tc>
          <w:tcPr>
            <w:cnfStyle w:val="001000000000" w:firstRow="0" w:lastRow="0" w:firstColumn="1" w:lastColumn="0" w:oddVBand="0" w:evenVBand="0" w:oddHBand="0" w:evenHBand="0" w:firstRowFirstColumn="0" w:firstRowLastColumn="0" w:lastRowFirstColumn="0" w:lastRowLastColumn="0"/>
            <w:tcW w:w="2493" w:type="pct"/>
          </w:tcPr>
          <w:p w14:paraId="2FFC0E5A" w14:textId="7A4B665A" w:rsidR="00C30F41" w:rsidRPr="00F11ECC" w:rsidRDefault="00C30F41" w:rsidP="00C30F41">
            <w:pPr>
              <w:spacing w:before="0"/>
              <w:rPr>
                <w:rFonts w:cstheme="minorHAnsi"/>
                <w:b w:val="0"/>
                <w:bCs/>
                <w:color w:val="auto"/>
                <w:szCs w:val="20"/>
                <w:highlight w:val="yellow"/>
              </w:rPr>
            </w:pPr>
            <w:r w:rsidRPr="008D08EF">
              <w:rPr>
                <w:b w:val="0"/>
                <w:bCs/>
                <w:color w:val="auto"/>
              </w:rPr>
              <w:t>Simple to understand and administer</w:t>
            </w:r>
          </w:p>
        </w:tc>
        <w:tc>
          <w:tcPr>
            <w:tcW w:w="602" w:type="pct"/>
          </w:tcPr>
          <w:p w14:paraId="73BF6A22" w14:textId="2A83D911" w:rsidR="00C30F41" w:rsidRPr="002974E0" w:rsidRDefault="00C30F41" w:rsidP="00C30F41">
            <w:pPr>
              <w:spacing w:before="0"/>
              <w:jc w:val="center"/>
              <w:cnfStyle w:val="000000000000" w:firstRow="0" w:lastRow="0" w:firstColumn="0" w:lastColumn="0" w:oddVBand="0" w:evenVBand="0" w:oddHBand="0" w:evenHBand="0" w:firstRowFirstColumn="0" w:firstRowLastColumn="0" w:lastRowFirstColumn="0" w:lastRowLastColumn="0"/>
            </w:pPr>
            <w:r w:rsidRPr="0088314B">
              <w:t>+3.0</w:t>
            </w:r>
          </w:p>
        </w:tc>
        <w:tc>
          <w:tcPr>
            <w:tcW w:w="860" w:type="pct"/>
          </w:tcPr>
          <w:p w14:paraId="11579995" w14:textId="1F2B2729" w:rsidR="00C30F41" w:rsidRPr="002974E0" w:rsidRDefault="00C30F41" w:rsidP="00C30F41">
            <w:pPr>
              <w:spacing w:before="0"/>
              <w:jc w:val="center"/>
              <w:cnfStyle w:val="000000000000" w:firstRow="0" w:lastRow="0" w:firstColumn="0" w:lastColumn="0" w:oddVBand="0" w:evenVBand="0" w:oddHBand="0" w:evenHBand="0" w:firstRowFirstColumn="0" w:firstRowLastColumn="0" w:lastRowFirstColumn="0" w:lastRowLastColumn="0"/>
            </w:pPr>
            <w:r w:rsidRPr="0088314B">
              <w:t>20%</w:t>
            </w:r>
          </w:p>
        </w:tc>
        <w:tc>
          <w:tcPr>
            <w:tcW w:w="1045" w:type="pct"/>
          </w:tcPr>
          <w:p w14:paraId="68ABAD16" w14:textId="2E7039FD" w:rsidR="00C30F41" w:rsidRDefault="00C30F41" w:rsidP="00C30F41">
            <w:pPr>
              <w:spacing w:before="0"/>
              <w:jc w:val="center"/>
              <w:cnfStyle w:val="000000000000" w:firstRow="0" w:lastRow="0" w:firstColumn="0" w:lastColumn="0" w:oddVBand="0" w:evenVBand="0" w:oddHBand="0" w:evenHBand="0" w:firstRowFirstColumn="0" w:firstRowLastColumn="0" w:lastRowFirstColumn="0" w:lastRowLastColumn="0"/>
            </w:pPr>
            <w:r w:rsidRPr="0088314B">
              <w:t>+0.6</w:t>
            </w:r>
          </w:p>
        </w:tc>
      </w:tr>
      <w:tr w:rsidR="00C30F41" w:rsidRPr="008F47BA" w14:paraId="7A2F655C" w14:textId="77777777">
        <w:trPr>
          <w:trHeight w:val="375"/>
        </w:trPr>
        <w:tc>
          <w:tcPr>
            <w:cnfStyle w:val="001000000000" w:firstRow="0" w:lastRow="0" w:firstColumn="1" w:lastColumn="0" w:oddVBand="0" w:evenVBand="0" w:oddHBand="0" w:evenHBand="0" w:firstRowFirstColumn="0" w:firstRowLastColumn="0" w:lastRowFirstColumn="0" w:lastRowLastColumn="0"/>
            <w:tcW w:w="2493" w:type="pct"/>
          </w:tcPr>
          <w:p w14:paraId="5A58F185" w14:textId="226D7CF3" w:rsidR="00C30F41" w:rsidRPr="00F11ECC" w:rsidRDefault="00C30F41" w:rsidP="00C30F41">
            <w:pPr>
              <w:spacing w:before="0"/>
              <w:rPr>
                <w:rFonts w:cstheme="minorHAnsi"/>
                <w:color w:val="auto"/>
                <w:szCs w:val="20"/>
                <w:lang w:val="en-AU"/>
              </w:rPr>
            </w:pPr>
            <w:r w:rsidRPr="008D08EF">
              <w:rPr>
                <w:color w:val="auto"/>
              </w:rPr>
              <w:t>Total</w:t>
            </w:r>
          </w:p>
        </w:tc>
        <w:tc>
          <w:tcPr>
            <w:tcW w:w="602" w:type="pct"/>
          </w:tcPr>
          <w:p w14:paraId="21364F3D" w14:textId="0D49CF99" w:rsidR="00C30F41" w:rsidRPr="00816B24" w:rsidRDefault="00C30F41" w:rsidP="00C30F41">
            <w:pPr>
              <w:spacing w:before="0"/>
              <w:jc w:val="center"/>
              <w:cnfStyle w:val="000000000000" w:firstRow="0" w:lastRow="0" w:firstColumn="0" w:lastColumn="0" w:oddVBand="0" w:evenVBand="0" w:oddHBand="0" w:evenHBand="0" w:firstRowFirstColumn="0" w:firstRowLastColumn="0" w:lastRowFirstColumn="0" w:lastRowLastColumn="0"/>
              <w:rPr>
                <w:b/>
                <w:bCs/>
              </w:rPr>
            </w:pPr>
          </w:p>
        </w:tc>
        <w:tc>
          <w:tcPr>
            <w:tcW w:w="860" w:type="pct"/>
          </w:tcPr>
          <w:p w14:paraId="3B8A9B6C" w14:textId="59094134" w:rsidR="00C30F41" w:rsidRPr="006410A5" w:rsidRDefault="00C30F41" w:rsidP="00C30F41">
            <w:pPr>
              <w:spacing w:before="0"/>
              <w:jc w:val="center"/>
              <w:cnfStyle w:val="000000000000" w:firstRow="0" w:lastRow="0" w:firstColumn="0" w:lastColumn="0" w:oddVBand="0" w:evenVBand="0" w:oddHBand="0" w:evenHBand="0" w:firstRowFirstColumn="0" w:firstRowLastColumn="0" w:lastRowFirstColumn="0" w:lastRowLastColumn="0"/>
              <w:rPr>
                <w:b/>
                <w:bCs/>
              </w:rPr>
            </w:pPr>
          </w:p>
        </w:tc>
        <w:tc>
          <w:tcPr>
            <w:tcW w:w="1045" w:type="pct"/>
          </w:tcPr>
          <w:p w14:paraId="4F7943EB" w14:textId="5D5F282E" w:rsidR="00C30F41" w:rsidRPr="00C30F41" w:rsidRDefault="00C30F41" w:rsidP="00C30F41">
            <w:pPr>
              <w:spacing w:before="0"/>
              <w:jc w:val="center"/>
              <w:cnfStyle w:val="000000000000" w:firstRow="0" w:lastRow="0" w:firstColumn="0" w:lastColumn="0" w:oddVBand="0" w:evenVBand="0" w:oddHBand="0" w:evenHBand="0" w:firstRowFirstColumn="0" w:firstRowLastColumn="0" w:lastRowFirstColumn="0" w:lastRowLastColumn="0"/>
              <w:rPr>
                <w:b/>
                <w:bCs/>
              </w:rPr>
            </w:pPr>
            <w:r w:rsidRPr="00D608F5">
              <w:rPr>
                <w:b/>
                <w:bCs/>
              </w:rPr>
              <w:t>+1.4</w:t>
            </w:r>
          </w:p>
        </w:tc>
      </w:tr>
    </w:tbl>
    <w:p w14:paraId="66B8F6A7" w14:textId="499B1559" w:rsidR="00DD72A6" w:rsidRDefault="00DD72A6">
      <w:pPr>
        <w:spacing w:before="0" w:line="259" w:lineRule="auto"/>
      </w:pPr>
    </w:p>
    <w:p w14:paraId="2F885F14" w14:textId="44ACF28B" w:rsidR="00FD187F" w:rsidRDefault="00BB7862" w:rsidP="00AF6E1A">
      <w:pPr>
        <w:pStyle w:val="Heading6"/>
      </w:pPr>
      <w:r>
        <w:t>S</w:t>
      </w:r>
      <w:r w:rsidR="00AF6E1A">
        <w:t>ummary of MCA scores</w:t>
      </w:r>
      <w:r>
        <w:t xml:space="preserve"> and preferred option</w:t>
      </w:r>
    </w:p>
    <w:p w14:paraId="449BB747" w14:textId="25CE734E" w:rsidR="003A6065" w:rsidRDefault="00A51567" w:rsidP="0029784F">
      <w:pPr>
        <w:rPr>
          <w:rFonts w:cstheme="minorHAnsi"/>
          <w:szCs w:val="20"/>
          <w:lang w:val="en-AU"/>
        </w:rPr>
      </w:pPr>
      <w:r>
        <w:rPr>
          <w:rFonts w:cstheme="minorHAnsi"/>
          <w:szCs w:val="20"/>
          <w:lang w:val="en-AU"/>
        </w:rPr>
        <w:t>A summary of MCA scores is provided in</w:t>
      </w:r>
      <w:r w:rsidR="00154558">
        <w:rPr>
          <w:rFonts w:cstheme="minorHAnsi"/>
          <w:szCs w:val="20"/>
          <w:lang w:val="en-AU"/>
        </w:rPr>
        <w:t xml:space="preserve"> Table </w:t>
      </w:r>
      <w:r w:rsidR="00507231">
        <w:rPr>
          <w:rFonts w:cstheme="minorHAnsi"/>
          <w:szCs w:val="20"/>
          <w:lang w:val="en-AU"/>
        </w:rPr>
        <w:t>9</w:t>
      </w:r>
      <w:r w:rsidR="00154558">
        <w:rPr>
          <w:rFonts w:cstheme="minorHAnsi"/>
          <w:szCs w:val="20"/>
          <w:lang w:val="en-AU"/>
        </w:rPr>
        <w:t xml:space="preserve">. </w:t>
      </w:r>
      <w:r w:rsidR="003A6065">
        <w:rPr>
          <w:rFonts w:cstheme="minorHAnsi"/>
          <w:szCs w:val="20"/>
          <w:lang w:val="en-AU"/>
        </w:rPr>
        <w:t xml:space="preserve">All options are likely to deliver a net benefit compared to the base case. </w:t>
      </w:r>
    </w:p>
    <w:p w14:paraId="5EB8D74E" w14:textId="0968760E" w:rsidR="00BF1027" w:rsidRDefault="00154558" w:rsidP="0029784F">
      <w:pPr>
        <w:rPr>
          <w:rFonts w:cstheme="minorHAnsi"/>
          <w:szCs w:val="20"/>
          <w:lang w:val="en-AU"/>
        </w:rPr>
      </w:pPr>
      <w:bookmarkStart w:id="67" w:name="_Hlk136760525"/>
      <w:r w:rsidRPr="0029784F">
        <w:rPr>
          <w:rFonts w:cstheme="minorHAnsi"/>
          <w:szCs w:val="20"/>
          <w:lang w:val="en-AU"/>
        </w:rPr>
        <w:t>Option 1</w:t>
      </w:r>
      <w:r w:rsidR="00D54315">
        <w:rPr>
          <w:rFonts w:cstheme="minorHAnsi"/>
          <w:szCs w:val="20"/>
          <w:lang w:val="en-AU"/>
        </w:rPr>
        <w:t xml:space="preserve"> (</w:t>
      </w:r>
      <w:r w:rsidRPr="0029784F">
        <w:rPr>
          <w:rFonts w:cstheme="minorHAnsi"/>
          <w:szCs w:val="20"/>
          <w:lang w:val="en-AU"/>
        </w:rPr>
        <w:t>Replication of current Regulations with minor clarifying amendment</w:t>
      </w:r>
      <w:r w:rsidR="002F282B">
        <w:rPr>
          <w:rFonts w:cstheme="minorHAnsi"/>
          <w:szCs w:val="20"/>
          <w:lang w:val="en-AU"/>
        </w:rPr>
        <w:t>s</w:t>
      </w:r>
      <w:r w:rsidR="00D54315">
        <w:rPr>
          <w:rFonts w:cstheme="minorHAnsi"/>
          <w:szCs w:val="20"/>
          <w:lang w:val="en-AU"/>
        </w:rPr>
        <w:t>) has the highest score and is the preferred option</w:t>
      </w:r>
      <w:r w:rsidR="00007803">
        <w:rPr>
          <w:rFonts w:cstheme="minorHAnsi"/>
          <w:szCs w:val="20"/>
          <w:lang w:val="en-AU"/>
        </w:rPr>
        <w:t xml:space="preserve">. </w:t>
      </w:r>
      <w:r w:rsidR="00BF1027" w:rsidRPr="0029784F">
        <w:rPr>
          <w:rFonts w:cstheme="minorHAnsi"/>
          <w:szCs w:val="20"/>
          <w:lang w:val="en-AU"/>
        </w:rPr>
        <w:t xml:space="preserve">This option is expected to best achieve the balance between facilitating access to health information with allowing reasonable cost recovery for organisations. </w:t>
      </w:r>
      <w:r w:rsidR="00F81A44" w:rsidRPr="0029784F">
        <w:rPr>
          <w:rFonts w:cstheme="minorHAnsi"/>
          <w:szCs w:val="20"/>
          <w:lang w:val="en-AU"/>
        </w:rPr>
        <w:t>Option 2 – higher cost recovery – will increase the level of cost recovery but have too large an impact on facilitation of access to health information.</w:t>
      </w:r>
      <w:r w:rsidR="00F81A44">
        <w:rPr>
          <w:rFonts w:cstheme="minorHAnsi"/>
          <w:szCs w:val="20"/>
          <w:lang w:val="en-AU"/>
        </w:rPr>
        <w:t xml:space="preserve"> </w:t>
      </w:r>
      <w:r w:rsidR="00347A79" w:rsidRPr="0029784F">
        <w:rPr>
          <w:rFonts w:cstheme="minorHAnsi"/>
          <w:szCs w:val="20"/>
          <w:lang w:val="en-AU"/>
        </w:rPr>
        <w:t xml:space="preserve">Providing a concession discount under Option </w:t>
      </w:r>
      <w:r w:rsidR="00D76EAC" w:rsidRPr="0029784F">
        <w:rPr>
          <w:rFonts w:cstheme="minorHAnsi"/>
          <w:szCs w:val="20"/>
          <w:lang w:val="en-AU"/>
        </w:rPr>
        <w:t xml:space="preserve">3 </w:t>
      </w:r>
      <w:r w:rsidR="00347A79" w:rsidRPr="0029784F">
        <w:rPr>
          <w:rFonts w:cstheme="minorHAnsi"/>
          <w:szCs w:val="20"/>
          <w:lang w:val="en-AU"/>
        </w:rPr>
        <w:t xml:space="preserve">will provide slightly </w:t>
      </w:r>
      <w:r w:rsidR="002C6057" w:rsidRPr="0029784F">
        <w:rPr>
          <w:rFonts w:cstheme="minorHAnsi"/>
          <w:szCs w:val="20"/>
          <w:lang w:val="en-AU"/>
        </w:rPr>
        <w:t>improve facilitation of access to</w:t>
      </w:r>
      <w:r w:rsidR="00D76EAC" w:rsidRPr="0029784F">
        <w:rPr>
          <w:rFonts w:cstheme="minorHAnsi"/>
          <w:szCs w:val="20"/>
          <w:lang w:val="en-AU"/>
        </w:rPr>
        <w:t xml:space="preserve"> health</w:t>
      </w:r>
      <w:r w:rsidR="002C6057" w:rsidRPr="0029784F">
        <w:rPr>
          <w:rFonts w:cstheme="minorHAnsi"/>
          <w:szCs w:val="20"/>
          <w:lang w:val="en-AU"/>
        </w:rPr>
        <w:t xml:space="preserve"> information but will reduce cost recovery and add to administrative costs of organisations.</w:t>
      </w:r>
      <w:r w:rsidR="0056279C" w:rsidRPr="0029784F">
        <w:rPr>
          <w:rFonts w:cstheme="minorHAnsi"/>
          <w:szCs w:val="20"/>
          <w:lang w:val="en-AU"/>
        </w:rPr>
        <w:t xml:space="preserve"> </w:t>
      </w:r>
      <w:r w:rsidR="00F81A44">
        <w:rPr>
          <w:rFonts w:cstheme="minorHAnsi"/>
          <w:szCs w:val="20"/>
          <w:lang w:val="en-AU"/>
        </w:rPr>
        <w:t>Option 3 would also introduce an inconsistency in approach to charging whereby private organisations would be required to offer a concession discount for providing health information but not for other fees charged (</w:t>
      </w:r>
      <w:proofErr w:type="gramStart"/>
      <w:r w:rsidR="00F81A44">
        <w:rPr>
          <w:rFonts w:cstheme="minorHAnsi"/>
          <w:szCs w:val="20"/>
          <w:lang w:val="en-AU"/>
        </w:rPr>
        <w:t>e.g.</w:t>
      </w:r>
      <w:proofErr w:type="gramEnd"/>
      <w:r w:rsidR="00F81A44">
        <w:rPr>
          <w:rFonts w:cstheme="minorHAnsi"/>
          <w:szCs w:val="20"/>
          <w:lang w:val="en-AU"/>
        </w:rPr>
        <w:t xml:space="preserve"> standard GP consult fees).  </w:t>
      </w:r>
    </w:p>
    <w:bookmarkEnd w:id="67"/>
    <w:p w14:paraId="6344C28D" w14:textId="1F0E716B" w:rsidR="00B051C8" w:rsidRPr="00FF2DC4" w:rsidRDefault="00D76EAC" w:rsidP="0029784F">
      <w:pPr>
        <w:rPr>
          <w:rFonts w:cstheme="minorHAnsi"/>
          <w:szCs w:val="20"/>
          <w:lang w:val="en-AU"/>
        </w:rPr>
      </w:pPr>
      <w:r>
        <w:rPr>
          <w:rFonts w:cstheme="minorHAnsi"/>
          <w:szCs w:val="20"/>
          <w:lang w:val="en-AU"/>
        </w:rPr>
        <w:t xml:space="preserve">The preferred option of replicating the current </w:t>
      </w:r>
      <w:r w:rsidR="00607F05">
        <w:rPr>
          <w:rFonts w:cstheme="minorHAnsi"/>
          <w:szCs w:val="20"/>
          <w:lang w:val="en-AU"/>
        </w:rPr>
        <w:t xml:space="preserve">Regulations </w:t>
      </w:r>
      <w:r w:rsidR="00CB7C36">
        <w:rPr>
          <w:rFonts w:cstheme="minorHAnsi"/>
          <w:szCs w:val="20"/>
          <w:lang w:val="en-AU"/>
        </w:rPr>
        <w:t xml:space="preserve">reflects </w:t>
      </w:r>
      <w:r w:rsidR="00D23D26">
        <w:rPr>
          <w:rFonts w:cstheme="minorHAnsi"/>
          <w:szCs w:val="20"/>
          <w:lang w:val="en-AU"/>
        </w:rPr>
        <w:t>DH</w:t>
      </w:r>
      <w:r w:rsidR="00CB7C36">
        <w:rPr>
          <w:rFonts w:cstheme="minorHAnsi"/>
          <w:szCs w:val="20"/>
          <w:lang w:val="en-AU"/>
        </w:rPr>
        <w:t xml:space="preserve">’s view that there </w:t>
      </w:r>
      <w:r w:rsidR="00B051C8" w:rsidRPr="00FF2DC4">
        <w:rPr>
          <w:rFonts w:cstheme="minorHAnsi"/>
          <w:szCs w:val="20"/>
          <w:lang w:val="en-AU"/>
        </w:rPr>
        <w:t>is no significant case to be made for changing the current fee structure and fee levels:</w:t>
      </w:r>
    </w:p>
    <w:p w14:paraId="5FE88E50" w14:textId="77777777" w:rsidR="00B051C8" w:rsidRPr="005E6B1E" w:rsidRDefault="00B051C8" w:rsidP="005E6B1E">
      <w:pPr>
        <w:pStyle w:val="ListParagraph"/>
        <w:numPr>
          <w:ilvl w:val="0"/>
          <w:numId w:val="55"/>
        </w:numPr>
        <w:rPr>
          <w:rFonts w:cstheme="minorHAnsi"/>
          <w:szCs w:val="20"/>
          <w:lang w:val="en-AU"/>
        </w:rPr>
      </w:pPr>
      <w:r w:rsidRPr="005E6B1E">
        <w:rPr>
          <w:rFonts w:cstheme="minorHAnsi"/>
          <w:szCs w:val="20"/>
          <w:lang w:val="en-AU"/>
        </w:rPr>
        <w:t>There is a low level of complaints about access to health information in relation to fees</w:t>
      </w:r>
    </w:p>
    <w:p w14:paraId="77A86CE6" w14:textId="0821E7B2" w:rsidR="00B051C8" w:rsidRPr="005E6B1E" w:rsidRDefault="002C395F" w:rsidP="005E6B1E">
      <w:pPr>
        <w:pStyle w:val="ListParagraph"/>
        <w:numPr>
          <w:ilvl w:val="0"/>
          <w:numId w:val="55"/>
        </w:numPr>
        <w:rPr>
          <w:rFonts w:cstheme="minorHAnsi"/>
          <w:szCs w:val="20"/>
          <w:lang w:val="en-AU"/>
        </w:rPr>
      </w:pPr>
      <w:r w:rsidRPr="005E6B1E">
        <w:rPr>
          <w:rFonts w:cstheme="minorHAnsi"/>
          <w:szCs w:val="20"/>
          <w:lang w:val="en-AU"/>
        </w:rPr>
        <w:t>Many</w:t>
      </w:r>
      <w:r w:rsidR="00B051C8" w:rsidRPr="005E6B1E">
        <w:rPr>
          <w:rFonts w:cstheme="minorHAnsi"/>
          <w:szCs w:val="20"/>
          <w:lang w:val="en-AU"/>
        </w:rPr>
        <w:t xml:space="preserve"> organisations provide access for no charge, or a charge below the maximum fees, which </w:t>
      </w:r>
      <w:r w:rsidR="00E80F51" w:rsidRPr="005E6B1E">
        <w:rPr>
          <w:rFonts w:cstheme="minorHAnsi"/>
          <w:szCs w:val="20"/>
          <w:lang w:val="en-AU"/>
        </w:rPr>
        <w:t xml:space="preserve">facilitates access to </w:t>
      </w:r>
      <w:r w:rsidR="0029784F" w:rsidRPr="005E6B1E">
        <w:rPr>
          <w:rFonts w:cstheme="minorHAnsi"/>
          <w:szCs w:val="20"/>
          <w:lang w:val="en-AU"/>
        </w:rPr>
        <w:t>health information</w:t>
      </w:r>
    </w:p>
    <w:p w14:paraId="5A8D81DB" w14:textId="77777777" w:rsidR="00284CE8" w:rsidRDefault="00B051C8" w:rsidP="005E6B1E">
      <w:pPr>
        <w:pStyle w:val="ListParagraph"/>
        <w:numPr>
          <w:ilvl w:val="0"/>
          <w:numId w:val="55"/>
        </w:numPr>
        <w:rPr>
          <w:rFonts w:cstheme="minorHAnsi"/>
          <w:szCs w:val="20"/>
          <w:lang w:val="en-AU"/>
        </w:rPr>
      </w:pPr>
      <w:r w:rsidRPr="005E6B1E">
        <w:rPr>
          <w:rFonts w:cstheme="minorHAnsi"/>
          <w:szCs w:val="20"/>
          <w:lang w:val="en-AU"/>
        </w:rPr>
        <w:t>The current Regulations are well understood by industry</w:t>
      </w:r>
    </w:p>
    <w:p w14:paraId="1366AB98" w14:textId="68A64B88" w:rsidR="000A289C" w:rsidRDefault="00A248B6" w:rsidP="005E6B1E">
      <w:pPr>
        <w:pStyle w:val="ListParagraph"/>
        <w:numPr>
          <w:ilvl w:val="0"/>
          <w:numId w:val="55"/>
        </w:numPr>
        <w:rPr>
          <w:rFonts w:cstheme="minorHAnsi"/>
          <w:szCs w:val="20"/>
          <w:lang w:val="en-AU"/>
        </w:rPr>
      </w:pPr>
      <w:r>
        <w:rPr>
          <w:rFonts w:cstheme="minorHAnsi"/>
          <w:szCs w:val="20"/>
          <w:lang w:val="en-AU"/>
        </w:rPr>
        <w:t>L</w:t>
      </w:r>
      <w:r w:rsidR="00284CE8">
        <w:rPr>
          <w:rFonts w:cstheme="minorHAnsi"/>
          <w:szCs w:val="20"/>
          <w:lang w:val="en-AU"/>
        </w:rPr>
        <w:t>ow regulatory burden</w:t>
      </w:r>
      <w:r w:rsidR="0029784F" w:rsidRPr="005E6B1E">
        <w:rPr>
          <w:rFonts w:cstheme="minorHAnsi"/>
          <w:szCs w:val="20"/>
          <w:lang w:val="en-AU"/>
        </w:rPr>
        <w:t>.</w:t>
      </w:r>
    </w:p>
    <w:p w14:paraId="3CD74518" w14:textId="7A7D3A37" w:rsidR="00DD26C5" w:rsidRDefault="00DD26C5" w:rsidP="00DD26C5">
      <w:pPr>
        <w:pStyle w:val="Caption"/>
      </w:pPr>
      <w:r>
        <w:lastRenderedPageBreak/>
        <w:t xml:space="preserve">Table </w:t>
      </w:r>
      <w:r>
        <w:fldChar w:fldCharType="begin"/>
      </w:r>
      <w:r>
        <w:instrText>SEQ Table \* ARABIC</w:instrText>
      </w:r>
      <w:r>
        <w:fldChar w:fldCharType="separate"/>
      </w:r>
      <w:r w:rsidR="00605BD1">
        <w:rPr>
          <w:noProof/>
        </w:rPr>
        <w:t>9</w:t>
      </w:r>
      <w:r>
        <w:fldChar w:fldCharType="end"/>
      </w:r>
      <w:r>
        <w:t xml:space="preserve"> Summary of MCA scores</w:t>
      </w:r>
    </w:p>
    <w:tbl>
      <w:tblPr>
        <w:tblStyle w:val="SapereTable"/>
        <w:tblW w:w="5000" w:type="pct"/>
        <w:tblLayout w:type="fixed"/>
        <w:tblLook w:val="04A0" w:firstRow="1" w:lastRow="0" w:firstColumn="1" w:lastColumn="0" w:noHBand="0" w:noVBand="1"/>
      </w:tblPr>
      <w:tblGrid>
        <w:gridCol w:w="2126"/>
        <w:gridCol w:w="1560"/>
        <w:gridCol w:w="2127"/>
        <w:gridCol w:w="1843"/>
        <w:gridCol w:w="1370"/>
      </w:tblGrid>
      <w:tr w:rsidR="00501614" w14:paraId="76D1E8A2" w14:textId="13FC0DD2" w:rsidTr="00882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Pr>
          <w:p w14:paraId="27F03706" w14:textId="77777777" w:rsidR="00663754" w:rsidRPr="006254DF" w:rsidRDefault="00663754" w:rsidP="000F0234">
            <w:pPr>
              <w:spacing w:before="60"/>
              <w:rPr>
                <w:b w:val="0"/>
                <w:bCs/>
              </w:rPr>
            </w:pPr>
            <w:r w:rsidRPr="006254DF">
              <w:rPr>
                <w:bCs/>
              </w:rPr>
              <w:t>Criteria</w:t>
            </w:r>
          </w:p>
        </w:tc>
        <w:tc>
          <w:tcPr>
            <w:tcW w:w="864" w:type="pct"/>
          </w:tcPr>
          <w:p w14:paraId="457BAAAF" w14:textId="3C399476" w:rsidR="00663754" w:rsidRPr="00D2469A" w:rsidRDefault="00663754" w:rsidP="000F0234">
            <w:pPr>
              <w:spacing w:before="60"/>
              <w:jc w:val="center"/>
              <w:cnfStyle w:val="100000000000" w:firstRow="1" w:lastRow="0" w:firstColumn="0" w:lastColumn="0" w:oddVBand="0" w:evenVBand="0" w:oddHBand="0" w:evenHBand="0" w:firstRowFirstColumn="0" w:firstRowLastColumn="0" w:lastRowFirstColumn="0" w:lastRowLastColumn="0"/>
              <w:rPr>
                <w:b w:val="0"/>
                <w:bCs/>
              </w:rPr>
            </w:pPr>
            <w:r>
              <w:rPr>
                <w:bCs/>
              </w:rPr>
              <w:t xml:space="preserve">Base </w:t>
            </w:r>
            <w:r w:rsidR="0004288A">
              <w:rPr>
                <w:bCs/>
              </w:rPr>
              <w:t>c</w:t>
            </w:r>
            <w:r>
              <w:rPr>
                <w:bCs/>
              </w:rPr>
              <w:t xml:space="preserve">ase – no </w:t>
            </w:r>
            <w:r w:rsidR="000B1D5C">
              <w:rPr>
                <w:bCs/>
              </w:rPr>
              <w:t>R</w:t>
            </w:r>
            <w:r w:rsidR="00BE619E">
              <w:rPr>
                <w:bCs/>
              </w:rPr>
              <w:t>egulations</w:t>
            </w:r>
          </w:p>
        </w:tc>
        <w:tc>
          <w:tcPr>
            <w:tcW w:w="1178" w:type="pct"/>
            <w:shd w:val="clear" w:color="auto" w:fill="F2F2F2" w:themeFill="background1" w:themeFillShade="F2"/>
          </w:tcPr>
          <w:p w14:paraId="344FDCAF" w14:textId="3FEAD1FD" w:rsidR="00663754" w:rsidRPr="00D2469A" w:rsidRDefault="00BE619E" w:rsidP="000F0234">
            <w:pPr>
              <w:spacing w:before="60"/>
              <w:jc w:val="center"/>
              <w:cnfStyle w:val="100000000000" w:firstRow="1" w:lastRow="0" w:firstColumn="0" w:lastColumn="0" w:oddVBand="0" w:evenVBand="0" w:oddHBand="0" w:evenHBand="0" w:firstRowFirstColumn="0" w:firstRowLastColumn="0" w:lastRowFirstColumn="0" w:lastRowLastColumn="0"/>
              <w:rPr>
                <w:b w:val="0"/>
                <w:bCs/>
              </w:rPr>
            </w:pPr>
            <w:r>
              <w:rPr>
                <w:bCs/>
              </w:rPr>
              <w:t>Option 1</w:t>
            </w:r>
            <w:r w:rsidR="00663754">
              <w:rPr>
                <w:bCs/>
              </w:rPr>
              <w:t xml:space="preserve"> – re</w:t>
            </w:r>
            <w:r>
              <w:rPr>
                <w:bCs/>
              </w:rPr>
              <w:t>plication of current R</w:t>
            </w:r>
            <w:r w:rsidR="00663754">
              <w:rPr>
                <w:bCs/>
              </w:rPr>
              <w:t>egulations</w:t>
            </w:r>
          </w:p>
        </w:tc>
        <w:tc>
          <w:tcPr>
            <w:tcW w:w="1021" w:type="pct"/>
          </w:tcPr>
          <w:p w14:paraId="3D4E2D78" w14:textId="2D22E252" w:rsidR="00663754" w:rsidRDefault="00BE619E" w:rsidP="000F0234">
            <w:pPr>
              <w:spacing w:before="60"/>
              <w:jc w:val="center"/>
              <w:cnfStyle w:val="100000000000" w:firstRow="1" w:lastRow="0" w:firstColumn="0" w:lastColumn="0" w:oddVBand="0" w:evenVBand="0" w:oddHBand="0" w:evenHBand="0" w:firstRowFirstColumn="0" w:firstRowLastColumn="0" w:lastRowFirstColumn="0" w:lastRowLastColumn="0"/>
              <w:rPr>
                <w:b w:val="0"/>
                <w:bCs/>
              </w:rPr>
            </w:pPr>
            <w:r>
              <w:rPr>
                <w:bCs/>
              </w:rPr>
              <w:t>Option 2 – higher level of cost recovery</w:t>
            </w:r>
          </w:p>
        </w:tc>
        <w:tc>
          <w:tcPr>
            <w:tcW w:w="759" w:type="pct"/>
          </w:tcPr>
          <w:p w14:paraId="47AAFAA5" w14:textId="318121AF" w:rsidR="00663754" w:rsidRDefault="00BE619E" w:rsidP="000F0234">
            <w:pPr>
              <w:spacing w:before="60"/>
              <w:jc w:val="center"/>
              <w:cnfStyle w:val="100000000000" w:firstRow="1" w:lastRow="0" w:firstColumn="0" w:lastColumn="0" w:oddVBand="0" w:evenVBand="0" w:oddHBand="0" w:evenHBand="0" w:firstRowFirstColumn="0" w:firstRowLastColumn="0" w:lastRowFirstColumn="0" w:lastRowLastColumn="0"/>
              <w:rPr>
                <w:b w:val="0"/>
                <w:bCs/>
              </w:rPr>
            </w:pPr>
            <w:r>
              <w:rPr>
                <w:bCs/>
              </w:rPr>
              <w:t>Option 3 – concession discount</w:t>
            </w:r>
          </w:p>
        </w:tc>
      </w:tr>
      <w:tr w:rsidR="006410A5" w14:paraId="2F596DB7" w14:textId="3FD44EA3" w:rsidTr="0088219F">
        <w:tc>
          <w:tcPr>
            <w:cnfStyle w:val="001000000000" w:firstRow="0" w:lastRow="0" w:firstColumn="1" w:lastColumn="0" w:oddVBand="0" w:evenVBand="0" w:oddHBand="0" w:evenHBand="0" w:firstRowFirstColumn="0" w:firstRowLastColumn="0" w:lastRowFirstColumn="0" w:lastRowLastColumn="0"/>
            <w:tcW w:w="1178" w:type="pct"/>
          </w:tcPr>
          <w:p w14:paraId="6DD67E7E" w14:textId="080137CE" w:rsidR="006410A5" w:rsidRPr="003F18AA" w:rsidRDefault="006410A5" w:rsidP="006410A5">
            <w:pPr>
              <w:spacing w:before="60"/>
              <w:rPr>
                <w:b w:val="0"/>
                <w:bCs/>
                <w:color w:val="auto"/>
              </w:rPr>
            </w:pPr>
            <w:r w:rsidRPr="003F18AA">
              <w:rPr>
                <w:rFonts w:cstheme="minorHAnsi"/>
                <w:b w:val="0"/>
                <w:bCs/>
                <w:color w:val="auto"/>
                <w:szCs w:val="20"/>
                <w:lang w:val="en-AU"/>
              </w:rPr>
              <w:t xml:space="preserve">Facilitate access to health information </w:t>
            </w:r>
            <w:r>
              <w:rPr>
                <w:rFonts w:cstheme="minorHAnsi"/>
                <w:b w:val="0"/>
                <w:bCs/>
                <w:color w:val="auto"/>
                <w:szCs w:val="20"/>
                <w:lang w:val="en-AU"/>
              </w:rPr>
              <w:t>(40%)</w:t>
            </w:r>
          </w:p>
        </w:tc>
        <w:tc>
          <w:tcPr>
            <w:tcW w:w="864" w:type="pct"/>
          </w:tcPr>
          <w:p w14:paraId="58BF9A7D" w14:textId="31C69182"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t>0</w:t>
            </w:r>
          </w:p>
        </w:tc>
        <w:tc>
          <w:tcPr>
            <w:tcW w:w="1178" w:type="pct"/>
            <w:shd w:val="clear" w:color="auto" w:fill="F2F2F2" w:themeFill="background1" w:themeFillShade="F2"/>
          </w:tcPr>
          <w:p w14:paraId="49968AD8" w14:textId="1F24BA91"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+7</w:t>
            </w:r>
          </w:p>
        </w:tc>
        <w:tc>
          <w:tcPr>
            <w:tcW w:w="1021" w:type="pct"/>
          </w:tcPr>
          <w:p w14:paraId="59097E63" w14:textId="5F160984"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w:t>
            </w:r>
            <w:r w:rsidR="00AC3F11">
              <w:t>3.5</w:t>
            </w:r>
          </w:p>
        </w:tc>
        <w:tc>
          <w:tcPr>
            <w:tcW w:w="759" w:type="pct"/>
          </w:tcPr>
          <w:p w14:paraId="4ED99676" w14:textId="74B22AD3"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+8</w:t>
            </w:r>
          </w:p>
        </w:tc>
      </w:tr>
      <w:tr w:rsidR="006410A5" w14:paraId="49B6B6D7" w14:textId="5B6EAB07" w:rsidTr="0088219F">
        <w:tc>
          <w:tcPr>
            <w:cnfStyle w:val="001000000000" w:firstRow="0" w:lastRow="0" w:firstColumn="1" w:lastColumn="0" w:oddVBand="0" w:evenVBand="0" w:oddHBand="0" w:evenHBand="0" w:firstRowFirstColumn="0" w:firstRowLastColumn="0" w:lastRowFirstColumn="0" w:lastRowLastColumn="0"/>
            <w:tcW w:w="1178" w:type="pct"/>
          </w:tcPr>
          <w:p w14:paraId="14D2D8E1" w14:textId="44D71C24" w:rsidR="006410A5" w:rsidRPr="003F18AA" w:rsidRDefault="006410A5" w:rsidP="006410A5">
            <w:pPr>
              <w:spacing w:before="60"/>
              <w:ind w:right="89"/>
              <w:rPr>
                <w:b w:val="0"/>
                <w:bCs/>
                <w:color w:val="auto"/>
              </w:rPr>
            </w:pPr>
            <w:r w:rsidRPr="003F18AA">
              <w:rPr>
                <w:rFonts w:cstheme="minorHAnsi"/>
                <w:b w:val="0"/>
                <w:bCs/>
                <w:color w:val="auto"/>
                <w:szCs w:val="20"/>
                <w:lang w:val="en-AU"/>
              </w:rPr>
              <w:t xml:space="preserve">Reasonable cost recovery for </w:t>
            </w:r>
            <w:r>
              <w:rPr>
                <w:rFonts w:cstheme="minorHAnsi"/>
                <w:b w:val="0"/>
                <w:bCs/>
                <w:color w:val="auto"/>
                <w:szCs w:val="20"/>
                <w:lang w:val="en-AU"/>
              </w:rPr>
              <w:t>organisations (40%)</w:t>
            </w:r>
          </w:p>
        </w:tc>
        <w:tc>
          <w:tcPr>
            <w:tcW w:w="864" w:type="pct"/>
          </w:tcPr>
          <w:p w14:paraId="77D6E994" w14:textId="0B5F7988"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t>0</w:t>
            </w:r>
          </w:p>
        </w:tc>
        <w:tc>
          <w:tcPr>
            <w:tcW w:w="1178" w:type="pct"/>
            <w:shd w:val="clear" w:color="auto" w:fill="F2F2F2" w:themeFill="background1" w:themeFillShade="F2"/>
          </w:tcPr>
          <w:p w14:paraId="0ACBDBAA" w14:textId="11A6A711"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-5</w:t>
            </w:r>
          </w:p>
        </w:tc>
        <w:tc>
          <w:tcPr>
            <w:tcW w:w="1021" w:type="pct"/>
          </w:tcPr>
          <w:p w14:paraId="1D9355C5" w14:textId="416401BB"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-2.5</w:t>
            </w:r>
          </w:p>
        </w:tc>
        <w:tc>
          <w:tcPr>
            <w:tcW w:w="759" w:type="pct"/>
          </w:tcPr>
          <w:p w14:paraId="3FA420A8" w14:textId="73D57B51"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-6</w:t>
            </w:r>
          </w:p>
        </w:tc>
      </w:tr>
      <w:tr w:rsidR="006410A5" w14:paraId="3C839894" w14:textId="70DDF052" w:rsidTr="0088219F">
        <w:tc>
          <w:tcPr>
            <w:cnfStyle w:val="001000000000" w:firstRow="0" w:lastRow="0" w:firstColumn="1" w:lastColumn="0" w:oddVBand="0" w:evenVBand="0" w:oddHBand="0" w:evenHBand="0" w:firstRowFirstColumn="0" w:firstRowLastColumn="0" w:lastRowFirstColumn="0" w:lastRowLastColumn="0"/>
            <w:tcW w:w="1178" w:type="pct"/>
          </w:tcPr>
          <w:p w14:paraId="019124C9" w14:textId="00332FB1" w:rsidR="006410A5" w:rsidRPr="003F18AA" w:rsidRDefault="006410A5" w:rsidP="006410A5">
            <w:pPr>
              <w:spacing w:before="60"/>
              <w:ind w:right="89"/>
              <w:rPr>
                <w:b w:val="0"/>
                <w:bCs/>
                <w:color w:val="auto"/>
              </w:rPr>
            </w:pPr>
            <w:r w:rsidRPr="008D08EF">
              <w:rPr>
                <w:b w:val="0"/>
                <w:bCs/>
                <w:color w:val="auto"/>
              </w:rPr>
              <w:t>Simple to understand and administer</w:t>
            </w:r>
            <w:r>
              <w:rPr>
                <w:b w:val="0"/>
                <w:bCs/>
                <w:color w:val="auto"/>
              </w:rPr>
              <w:t xml:space="preserve"> (20%)</w:t>
            </w:r>
          </w:p>
        </w:tc>
        <w:tc>
          <w:tcPr>
            <w:tcW w:w="864" w:type="pct"/>
          </w:tcPr>
          <w:p w14:paraId="6AF0A646" w14:textId="46B954CB"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t>0</w:t>
            </w:r>
          </w:p>
          <w:p w14:paraId="383CDBDB" w14:textId="6993ECCF"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p>
        </w:tc>
        <w:tc>
          <w:tcPr>
            <w:tcW w:w="1178" w:type="pct"/>
            <w:shd w:val="clear" w:color="auto" w:fill="F2F2F2" w:themeFill="background1" w:themeFillShade="F2"/>
          </w:tcPr>
          <w:p w14:paraId="11CB3A2D" w14:textId="7AD9A059"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w:t>
            </w:r>
            <w:r w:rsidR="00567E91">
              <w:t>5</w:t>
            </w:r>
          </w:p>
        </w:tc>
        <w:tc>
          <w:tcPr>
            <w:tcW w:w="1021" w:type="pct"/>
          </w:tcPr>
          <w:p w14:paraId="0E0C9776" w14:textId="724758D0"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w:t>
            </w:r>
            <w:r w:rsidR="00567E91">
              <w:t>5</w:t>
            </w:r>
          </w:p>
        </w:tc>
        <w:tc>
          <w:tcPr>
            <w:tcW w:w="759" w:type="pct"/>
          </w:tcPr>
          <w:p w14:paraId="0D595C06" w14:textId="04A61C19" w:rsid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pPr>
            <w:r w:rsidRPr="007558D9">
              <w:t>+</w:t>
            </w:r>
            <w:r w:rsidR="00567E91">
              <w:t>3</w:t>
            </w:r>
          </w:p>
        </w:tc>
      </w:tr>
      <w:tr w:rsidR="006410A5" w14:paraId="31E019DD" w14:textId="3B9E2659" w:rsidTr="0088219F">
        <w:trPr>
          <w:trHeight w:val="495"/>
        </w:trPr>
        <w:tc>
          <w:tcPr>
            <w:cnfStyle w:val="001000000000" w:firstRow="0" w:lastRow="0" w:firstColumn="1" w:lastColumn="0" w:oddVBand="0" w:evenVBand="0" w:oddHBand="0" w:evenHBand="0" w:firstRowFirstColumn="0" w:firstRowLastColumn="0" w:lastRowFirstColumn="0" w:lastRowLastColumn="0"/>
            <w:tcW w:w="1178" w:type="pct"/>
          </w:tcPr>
          <w:p w14:paraId="7AFC586D" w14:textId="6709999E" w:rsidR="006410A5" w:rsidRPr="00A51567" w:rsidRDefault="006410A5" w:rsidP="006410A5">
            <w:pPr>
              <w:spacing w:before="60"/>
              <w:ind w:right="89"/>
              <w:rPr>
                <w:color w:val="auto"/>
              </w:rPr>
            </w:pPr>
            <w:r w:rsidRPr="008D08EF">
              <w:rPr>
                <w:color w:val="auto"/>
              </w:rPr>
              <w:t>Total</w:t>
            </w:r>
            <w:r>
              <w:rPr>
                <w:color w:val="auto"/>
              </w:rPr>
              <w:t xml:space="preserve"> weighted score</w:t>
            </w:r>
          </w:p>
        </w:tc>
        <w:tc>
          <w:tcPr>
            <w:tcW w:w="864" w:type="pct"/>
          </w:tcPr>
          <w:p w14:paraId="3DD942A3" w14:textId="765723A7" w:rsidR="006410A5" w:rsidRP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rPr>
                <w:b/>
                <w:bCs/>
              </w:rPr>
            </w:pPr>
            <w:r w:rsidRPr="006410A5">
              <w:rPr>
                <w:b/>
                <w:bCs/>
              </w:rPr>
              <w:t>0</w:t>
            </w:r>
          </w:p>
        </w:tc>
        <w:tc>
          <w:tcPr>
            <w:tcW w:w="1178" w:type="pct"/>
            <w:shd w:val="clear" w:color="auto" w:fill="F2F2F2" w:themeFill="background1" w:themeFillShade="F2"/>
          </w:tcPr>
          <w:p w14:paraId="52DE3690" w14:textId="77D0B504" w:rsidR="006410A5" w:rsidRP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rPr>
                <w:b/>
                <w:bCs/>
              </w:rPr>
            </w:pPr>
            <w:r w:rsidRPr="00491910">
              <w:rPr>
                <w:b/>
                <w:bCs/>
              </w:rPr>
              <w:t>+</w:t>
            </w:r>
            <w:r w:rsidR="00567E91">
              <w:rPr>
                <w:b/>
                <w:bCs/>
              </w:rPr>
              <w:t>1.8</w:t>
            </w:r>
          </w:p>
        </w:tc>
        <w:tc>
          <w:tcPr>
            <w:tcW w:w="1021" w:type="pct"/>
          </w:tcPr>
          <w:p w14:paraId="5D35799E" w14:textId="160C156C" w:rsidR="006410A5" w:rsidRP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rPr>
                <w:b/>
                <w:bCs/>
              </w:rPr>
            </w:pPr>
            <w:r w:rsidRPr="00491910">
              <w:rPr>
                <w:b/>
                <w:bCs/>
              </w:rPr>
              <w:t>+</w:t>
            </w:r>
            <w:r w:rsidR="00567E91">
              <w:rPr>
                <w:b/>
                <w:bCs/>
              </w:rPr>
              <w:t>1.4</w:t>
            </w:r>
          </w:p>
        </w:tc>
        <w:tc>
          <w:tcPr>
            <w:tcW w:w="759" w:type="pct"/>
          </w:tcPr>
          <w:p w14:paraId="3D31E5AC" w14:textId="23C273B5" w:rsidR="006410A5" w:rsidRPr="006410A5" w:rsidRDefault="006410A5" w:rsidP="006410A5">
            <w:pPr>
              <w:spacing w:before="60"/>
              <w:jc w:val="center"/>
              <w:cnfStyle w:val="000000000000" w:firstRow="0" w:lastRow="0" w:firstColumn="0" w:lastColumn="0" w:oddVBand="0" w:evenVBand="0" w:oddHBand="0" w:evenHBand="0" w:firstRowFirstColumn="0" w:firstRowLastColumn="0" w:lastRowFirstColumn="0" w:lastRowLastColumn="0"/>
              <w:rPr>
                <w:b/>
                <w:bCs/>
              </w:rPr>
            </w:pPr>
            <w:r w:rsidRPr="00491910">
              <w:rPr>
                <w:b/>
                <w:bCs/>
              </w:rPr>
              <w:t>+</w:t>
            </w:r>
            <w:r w:rsidR="00567E91">
              <w:rPr>
                <w:b/>
                <w:bCs/>
              </w:rPr>
              <w:t>1.4</w:t>
            </w:r>
          </w:p>
        </w:tc>
      </w:tr>
    </w:tbl>
    <w:p w14:paraId="4464971E" w14:textId="1878B5B1" w:rsidR="00AF6E1A" w:rsidRDefault="00980416" w:rsidP="00AA48C7">
      <w:pPr>
        <w:rPr>
          <w:b/>
          <w:bCs/>
          <w:color w:val="403151" w:themeColor="accent2"/>
          <w:szCs w:val="20"/>
        </w:rPr>
      </w:pPr>
      <w:r w:rsidRPr="00AA48C7">
        <w:rPr>
          <w:b/>
          <w:bCs/>
          <w:color w:val="403151" w:themeColor="accent2"/>
          <w:szCs w:val="20"/>
        </w:rPr>
        <w:t>Sensitivity of findings</w:t>
      </w:r>
    </w:p>
    <w:p w14:paraId="6088623F" w14:textId="51DA1673" w:rsidR="00E966DF" w:rsidRPr="0029784F" w:rsidRDefault="00E966DF" w:rsidP="00E966DF">
      <w:pPr>
        <w:rPr>
          <w:rFonts w:cstheme="minorHAnsi"/>
          <w:szCs w:val="20"/>
          <w:lang w:val="en-AU"/>
        </w:rPr>
      </w:pPr>
      <w:r>
        <w:rPr>
          <w:rFonts w:cstheme="minorHAnsi"/>
          <w:szCs w:val="20"/>
          <w:lang w:val="en-AU"/>
        </w:rPr>
        <w:t xml:space="preserve">It is noted that the scores for </w:t>
      </w:r>
      <w:r w:rsidR="00E84EB2">
        <w:rPr>
          <w:rFonts w:cstheme="minorHAnsi"/>
          <w:szCs w:val="20"/>
          <w:lang w:val="en-AU"/>
        </w:rPr>
        <w:t>the options</w:t>
      </w:r>
      <w:r>
        <w:rPr>
          <w:rFonts w:cstheme="minorHAnsi"/>
          <w:szCs w:val="20"/>
          <w:lang w:val="en-AU"/>
        </w:rPr>
        <w:t xml:space="preserve"> are close </w:t>
      </w:r>
      <w:proofErr w:type="gramStart"/>
      <w:r>
        <w:rPr>
          <w:rFonts w:cstheme="minorHAnsi"/>
          <w:szCs w:val="20"/>
          <w:lang w:val="en-AU"/>
        </w:rPr>
        <w:t>e.g.</w:t>
      </w:r>
      <w:proofErr w:type="gramEnd"/>
      <w:r>
        <w:rPr>
          <w:rFonts w:cstheme="minorHAnsi"/>
          <w:szCs w:val="20"/>
          <w:lang w:val="en-AU"/>
        </w:rPr>
        <w:t xml:space="preserve"> an increase in the score of Option 3 from +8 to +9 for facilitating access to health information would be sufficient to equalise the weighted total. While the scores are subjective, they </w:t>
      </w:r>
      <w:r w:rsidR="00772EE6">
        <w:rPr>
          <w:rFonts w:cstheme="minorHAnsi"/>
          <w:szCs w:val="20"/>
          <w:lang w:val="en-AU"/>
        </w:rPr>
        <w:t>are</w:t>
      </w:r>
      <w:r>
        <w:rPr>
          <w:rFonts w:cstheme="minorHAnsi"/>
          <w:szCs w:val="20"/>
          <w:lang w:val="en-AU"/>
        </w:rPr>
        <w:t xml:space="preserve"> </w:t>
      </w:r>
      <w:r w:rsidR="00772EE6">
        <w:rPr>
          <w:rFonts w:cstheme="minorHAnsi"/>
          <w:szCs w:val="20"/>
          <w:lang w:val="en-AU"/>
        </w:rPr>
        <w:t>transparent assessments of how each option will</w:t>
      </w:r>
      <w:r w:rsidR="00D0790A">
        <w:rPr>
          <w:rFonts w:cstheme="minorHAnsi"/>
          <w:szCs w:val="20"/>
          <w:lang w:val="en-AU"/>
        </w:rPr>
        <w:t xml:space="preserve"> contribute to the criteria</w:t>
      </w:r>
      <w:r w:rsidR="00E14169">
        <w:rPr>
          <w:rFonts w:cstheme="minorHAnsi"/>
          <w:szCs w:val="20"/>
          <w:lang w:val="en-AU"/>
        </w:rPr>
        <w:t xml:space="preserve"> and reflect the discussion outlined for each option.</w:t>
      </w:r>
    </w:p>
    <w:p w14:paraId="001ED87E" w14:textId="19D15EB3" w:rsidR="00CA1A61" w:rsidRDefault="0088224B" w:rsidP="0062632A">
      <w:pPr>
        <w:pStyle w:val="Heading5"/>
      </w:pPr>
      <w:bookmarkStart w:id="68" w:name="_Toc136257473"/>
      <w:r>
        <w:lastRenderedPageBreak/>
        <w:t>C</w:t>
      </w:r>
      <w:r w:rsidR="00793098">
        <w:t xml:space="preserve">ompetition </w:t>
      </w:r>
      <w:r>
        <w:t xml:space="preserve">and small business </w:t>
      </w:r>
      <w:r w:rsidR="00793098">
        <w:t>impacts</w:t>
      </w:r>
      <w:bookmarkEnd w:id="68"/>
    </w:p>
    <w:p w14:paraId="2FA18273" w14:textId="68327E12" w:rsidR="00B65435" w:rsidRPr="00F57694" w:rsidRDefault="00B65435" w:rsidP="00B65435">
      <w:pPr>
        <w:spacing w:before="0" w:line="259" w:lineRule="auto"/>
        <w:rPr>
          <w:sz w:val="28"/>
          <w:szCs w:val="28"/>
        </w:rPr>
      </w:pPr>
      <w:r w:rsidRPr="00F57694">
        <w:rPr>
          <w:sz w:val="28"/>
          <w:szCs w:val="28"/>
        </w:rPr>
        <w:t>This section assesses the competition</w:t>
      </w:r>
      <w:r w:rsidR="0088224B">
        <w:rPr>
          <w:sz w:val="28"/>
          <w:szCs w:val="28"/>
        </w:rPr>
        <w:t xml:space="preserve"> and small business</w:t>
      </w:r>
      <w:r w:rsidRPr="00F57694">
        <w:rPr>
          <w:sz w:val="28"/>
          <w:szCs w:val="28"/>
        </w:rPr>
        <w:t xml:space="preserve"> impacts of the preferred option. </w:t>
      </w:r>
    </w:p>
    <w:p w14:paraId="27BF1647" w14:textId="37AE3B10" w:rsidR="00D75472" w:rsidRDefault="005E34F1" w:rsidP="005E34F1">
      <w:pPr>
        <w:pStyle w:val="Heading6"/>
      </w:pPr>
      <w:r>
        <w:t>Compe</w:t>
      </w:r>
      <w:r w:rsidR="00E62621">
        <w:t>tition impacts</w:t>
      </w:r>
    </w:p>
    <w:p w14:paraId="58B542EA" w14:textId="77777777" w:rsidR="000A077A" w:rsidRDefault="003B372F" w:rsidP="00E62621">
      <w:r>
        <w:t xml:space="preserve">The Victorian Guide to Regulation requires a RIS to assess the impact of regulations on competition. Regulations can affect competition by preventing or limiting the ability of businesses and individuals to enter and compete within </w:t>
      </w:r>
      <w:proofErr w:type="gramStart"/>
      <w:r>
        <w:t>particular markets</w:t>
      </w:r>
      <w:proofErr w:type="gramEnd"/>
      <w:r>
        <w:t xml:space="preserve">. </w:t>
      </w:r>
    </w:p>
    <w:p w14:paraId="48FFE0B6" w14:textId="369C186A" w:rsidR="00517FAA" w:rsidRDefault="000B4FA1" w:rsidP="00E62621">
      <w:r>
        <w:t>A measure is likely to have an impact on competition if any of the questions</w:t>
      </w:r>
      <w:r w:rsidR="000C5750">
        <w:t xml:space="preserve"> in the </w:t>
      </w:r>
      <w:r w:rsidR="00507231">
        <w:t>Table</w:t>
      </w:r>
      <w:r w:rsidR="00FB7224">
        <w:t xml:space="preserve"> 1</w:t>
      </w:r>
      <w:r w:rsidR="00272CD5">
        <w:t>0</w:t>
      </w:r>
      <w:r w:rsidR="00CA28CA">
        <w:t xml:space="preserve"> </w:t>
      </w:r>
      <w:r>
        <w:t>can be answered in the affirmati</w:t>
      </w:r>
      <w:r w:rsidR="000C5750">
        <w:t>ve.</w:t>
      </w:r>
      <w:r w:rsidR="007F7305">
        <w:t xml:space="preserve"> For this RIS</w:t>
      </w:r>
      <w:r w:rsidR="00A464B9">
        <w:t>, the</w:t>
      </w:r>
      <w:r w:rsidR="00CA28CA">
        <w:t xml:space="preserve"> size of the impact of the proposed Regulations is very small and not considered significant enough to impact on competition</w:t>
      </w:r>
      <w:r w:rsidR="00FB7224">
        <w:t>.</w:t>
      </w:r>
    </w:p>
    <w:p w14:paraId="1E76F231" w14:textId="45E7B429" w:rsidR="00DD26C5" w:rsidRDefault="00DD26C5" w:rsidP="00DD26C5">
      <w:pPr>
        <w:pStyle w:val="Caption"/>
      </w:pPr>
      <w:r>
        <w:t xml:space="preserve">Table </w:t>
      </w:r>
      <w:r>
        <w:fldChar w:fldCharType="begin"/>
      </w:r>
      <w:r>
        <w:instrText>SEQ Table \* ARABIC</w:instrText>
      </w:r>
      <w:r>
        <w:fldChar w:fldCharType="separate"/>
      </w:r>
      <w:r w:rsidR="00605BD1">
        <w:rPr>
          <w:noProof/>
        </w:rPr>
        <w:t>10</w:t>
      </w:r>
      <w:r>
        <w:fldChar w:fldCharType="end"/>
      </w:r>
      <w:r>
        <w:t xml:space="preserve"> Analysis of competition impacts</w:t>
      </w:r>
    </w:p>
    <w:tbl>
      <w:tblPr>
        <w:tblStyle w:val="SapereTable"/>
        <w:tblW w:w="0" w:type="auto"/>
        <w:tblLook w:val="04A0" w:firstRow="1" w:lastRow="0" w:firstColumn="1" w:lastColumn="0" w:noHBand="0" w:noVBand="1"/>
      </w:tblPr>
      <w:tblGrid>
        <w:gridCol w:w="3221"/>
        <w:gridCol w:w="1308"/>
        <w:gridCol w:w="4497"/>
      </w:tblGrid>
      <w:tr w:rsidR="00953650" w14:paraId="4575C7DA" w14:textId="77777777" w:rsidTr="000A0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0DE71C" w14:textId="77777777" w:rsidR="00704630" w:rsidRPr="00704630" w:rsidRDefault="00704630" w:rsidP="00704630">
            <w:r w:rsidRPr="00704630">
              <w:rPr>
                <w:lang w:val="en-US"/>
              </w:rPr>
              <w:t>Test question</w:t>
            </w:r>
          </w:p>
        </w:tc>
        <w:tc>
          <w:tcPr>
            <w:tcW w:w="0" w:type="auto"/>
            <w:hideMark/>
          </w:tcPr>
          <w:p w14:paraId="1167F537" w14:textId="77777777" w:rsidR="00704630" w:rsidRPr="00704630" w:rsidRDefault="00704630" w:rsidP="00704630">
            <w:pPr>
              <w:cnfStyle w:val="100000000000" w:firstRow="1" w:lastRow="0" w:firstColumn="0" w:lastColumn="0" w:oddVBand="0" w:evenVBand="0" w:oddHBand="0" w:evenHBand="0" w:firstRowFirstColumn="0" w:firstRowLastColumn="0" w:lastRowFirstColumn="0" w:lastRowLastColumn="0"/>
            </w:pPr>
            <w:r w:rsidRPr="00704630">
              <w:rPr>
                <w:lang w:val="en-US"/>
              </w:rPr>
              <w:t>Assessment</w:t>
            </w:r>
          </w:p>
        </w:tc>
        <w:tc>
          <w:tcPr>
            <w:tcW w:w="0" w:type="auto"/>
            <w:hideMark/>
          </w:tcPr>
          <w:p w14:paraId="5C3702DD" w14:textId="77777777" w:rsidR="00704630" w:rsidRPr="00704630" w:rsidRDefault="00704630" w:rsidP="00704630">
            <w:pPr>
              <w:cnfStyle w:val="100000000000" w:firstRow="1" w:lastRow="0" w:firstColumn="0" w:lastColumn="0" w:oddVBand="0" w:evenVBand="0" w:oddHBand="0" w:evenHBand="0" w:firstRowFirstColumn="0" w:firstRowLastColumn="0" w:lastRowFirstColumn="0" w:lastRowLastColumn="0"/>
            </w:pPr>
            <w:r w:rsidRPr="00704630">
              <w:rPr>
                <w:lang w:val="en-US"/>
              </w:rPr>
              <w:t>Reason</w:t>
            </w:r>
          </w:p>
        </w:tc>
      </w:tr>
      <w:tr w:rsidR="00953650" w14:paraId="064993D6" w14:textId="77777777" w:rsidTr="000A077A">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5280E1CB" w14:textId="77777777" w:rsidR="00704630" w:rsidRPr="00B74EB7" w:rsidRDefault="00704630" w:rsidP="00704630">
            <w:r w:rsidRPr="00B74EB7">
              <w:rPr>
                <w:lang w:val="en-US"/>
              </w:rPr>
              <w:t xml:space="preserve">Is the proposed measure likely to affect the market structure of the affected sector(s) – </w:t>
            </w:r>
            <w:proofErr w:type="gramStart"/>
            <w:r w:rsidRPr="00B74EB7">
              <w:rPr>
                <w:lang w:val="en-US"/>
              </w:rPr>
              <w:t>i.e.</w:t>
            </w:r>
            <w:proofErr w:type="gramEnd"/>
            <w:r w:rsidRPr="00B74EB7">
              <w:rPr>
                <w:lang w:val="en-US"/>
              </w:rPr>
              <w:t xml:space="preserve"> will it reduce the number of participants in the market, or increase the size of incumbent firms?</w:t>
            </w:r>
            <w:r w:rsidRPr="00B74EB7">
              <w:t> </w:t>
            </w:r>
          </w:p>
        </w:tc>
        <w:tc>
          <w:tcPr>
            <w:tcW w:w="0" w:type="auto"/>
            <w:hideMark/>
          </w:tcPr>
          <w:p w14:paraId="3562FC4B" w14:textId="489CB119" w:rsidR="00704630" w:rsidRPr="00B74EB7" w:rsidRDefault="00704630" w:rsidP="00704630">
            <w:pPr>
              <w:cnfStyle w:val="000000000000" w:firstRow="0" w:lastRow="0" w:firstColumn="0" w:lastColumn="0" w:oddVBand="0" w:evenVBand="0" w:oddHBand="0" w:evenHBand="0" w:firstRowFirstColumn="0" w:firstRowLastColumn="0" w:lastRowFirstColumn="0" w:lastRowLastColumn="0"/>
            </w:pPr>
            <w:r>
              <w:t>No</w:t>
            </w:r>
          </w:p>
        </w:tc>
        <w:tc>
          <w:tcPr>
            <w:tcW w:w="0" w:type="auto"/>
            <w:hideMark/>
          </w:tcPr>
          <w:p w14:paraId="31759107" w14:textId="1D0D75EB" w:rsidR="00704630" w:rsidRPr="00563D3A" w:rsidRDefault="008B247A" w:rsidP="00704630">
            <w:pPr>
              <w:cnfStyle w:val="000000000000" w:firstRow="0" w:lastRow="0" w:firstColumn="0" w:lastColumn="0" w:oddVBand="0" w:evenVBand="0" w:oddHBand="0" w:evenHBand="0" w:firstRowFirstColumn="0" w:firstRowLastColumn="0" w:lastRowFirstColumn="0" w:lastRowLastColumn="0"/>
            </w:pPr>
            <w:r>
              <w:t xml:space="preserve">Providing access to health information </w:t>
            </w:r>
            <w:r w:rsidR="00A464B9">
              <w:t>comprises a negligible part of an organisation’s business operations</w:t>
            </w:r>
            <w:r>
              <w:t>. As such, there will be no impact on</w:t>
            </w:r>
            <w:r w:rsidR="00AA298F">
              <w:t xml:space="preserve"> the market structure of the affected sector. </w:t>
            </w:r>
          </w:p>
        </w:tc>
      </w:tr>
      <w:tr w:rsidR="00953650" w14:paraId="51B71BEB" w14:textId="77777777" w:rsidTr="000A077A">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4FB9277F" w14:textId="77777777" w:rsidR="00704630" w:rsidRPr="00B74EB7" w:rsidRDefault="00704630" w:rsidP="00704630">
            <w:r w:rsidRPr="00B74EB7">
              <w:rPr>
                <w:lang w:val="en-US"/>
              </w:rPr>
              <w:t>Will it be more difficult for new firms or individuals to enter the industry after the imposition of the proposed measure?</w:t>
            </w:r>
            <w:r w:rsidRPr="00B74EB7">
              <w:t> </w:t>
            </w:r>
          </w:p>
        </w:tc>
        <w:tc>
          <w:tcPr>
            <w:tcW w:w="0" w:type="auto"/>
            <w:hideMark/>
          </w:tcPr>
          <w:p w14:paraId="0D2D1A2B" w14:textId="46F19096" w:rsidR="00704630" w:rsidRPr="004F5027" w:rsidRDefault="00E016E7" w:rsidP="00704630">
            <w:pPr>
              <w:cnfStyle w:val="000000000000" w:firstRow="0" w:lastRow="0" w:firstColumn="0" w:lastColumn="0" w:oddVBand="0" w:evenVBand="0" w:oddHBand="0" w:evenHBand="0" w:firstRowFirstColumn="0" w:firstRowLastColumn="0" w:lastRowFirstColumn="0" w:lastRowLastColumn="0"/>
            </w:pPr>
            <w:r>
              <w:t>No</w:t>
            </w:r>
          </w:p>
        </w:tc>
        <w:tc>
          <w:tcPr>
            <w:tcW w:w="0" w:type="auto"/>
            <w:hideMark/>
          </w:tcPr>
          <w:p w14:paraId="16518DBC" w14:textId="712CBC08" w:rsidR="00704630" w:rsidRPr="00563D3A" w:rsidRDefault="00361BED" w:rsidP="00704630">
            <w:pPr>
              <w:cnfStyle w:val="000000000000" w:firstRow="0" w:lastRow="0" w:firstColumn="0" w:lastColumn="0" w:oddVBand="0" w:evenVBand="0" w:oddHBand="0" w:evenHBand="0" w:firstRowFirstColumn="0" w:firstRowLastColumn="0" w:lastRowFirstColumn="0" w:lastRowLastColumn="0"/>
            </w:pPr>
            <w:r>
              <w:t xml:space="preserve">For the same reason as above. </w:t>
            </w:r>
          </w:p>
        </w:tc>
      </w:tr>
      <w:tr w:rsidR="00953650" w14:paraId="23ED67B7" w14:textId="77777777" w:rsidTr="000A077A">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78B6F02B" w14:textId="77777777" w:rsidR="00704630" w:rsidRPr="00B74EB7" w:rsidRDefault="00704630" w:rsidP="00704630">
            <w:r w:rsidRPr="00B74EB7">
              <w:rPr>
                <w:lang w:val="en-US"/>
              </w:rPr>
              <w:t>Will the costs/benefits associated with the proposed measure affect some firms or individuals substantially more than others (</w:t>
            </w:r>
            <w:proofErr w:type="gramStart"/>
            <w:r w:rsidRPr="00B74EB7">
              <w:rPr>
                <w:lang w:val="en-US"/>
              </w:rPr>
              <w:t>e.g.</w:t>
            </w:r>
            <w:proofErr w:type="gramEnd"/>
            <w:r w:rsidRPr="00B74EB7">
              <w:rPr>
                <w:lang w:val="en-US"/>
              </w:rPr>
              <w:t xml:space="preserve"> small firms, part-time participants in occupations etc.)?</w:t>
            </w:r>
            <w:r w:rsidRPr="00B74EB7">
              <w:t> </w:t>
            </w:r>
          </w:p>
        </w:tc>
        <w:tc>
          <w:tcPr>
            <w:tcW w:w="0" w:type="auto"/>
            <w:hideMark/>
          </w:tcPr>
          <w:p w14:paraId="1D288DBF" w14:textId="6A2F1716" w:rsidR="00704630" w:rsidRPr="00B74EB7" w:rsidRDefault="00B2215C" w:rsidP="00704630">
            <w:pPr>
              <w:cnfStyle w:val="000000000000" w:firstRow="0" w:lastRow="0" w:firstColumn="0" w:lastColumn="0" w:oddVBand="0" w:evenVBand="0" w:oddHBand="0" w:evenHBand="0" w:firstRowFirstColumn="0" w:firstRowLastColumn="0" w:lastRowFirstColumn="0" w:lastRowLastColumn="0"/>
            </w:pPr>
            <w:r>
              <w:rPr>
                <w:lang w:val="en-US"/>
              </w:rPr>
              <w:t>Minimal</w:t>
            </w:r>
          </w:p>
        </w:tc>
        <w:tc>
          <w:tcPr>
            <w:tcW w:w="0" w:type="auto"/>
            <w:hideMark/>
          </w:tcPr>
          <w:p w14:paraId="37D2900F" w14:textId="2EFCA59A" w:rsidR="00704630" w:rsidRPr="00563D3A" w:rsidRDefault="00704630" w:rsidP="00704630">
            <w:pPr>
              <w:cnfStyle w:val="000000000000" w:firstRow="0" w:lastRow="0" w:firstColumn="0" w:lastColumn="0" w:oddVBand="0" w:evenVBand="0" w:oddHBand="0" w:evenHBand="0" w:firstRowFirstColumn="0" w:firstRowLastColumn="0" w:lastRowFirstColumn="0" w:lastRowLastColumn="0"/>
            </w:pPr>
            <w:r>
              <w:t>While the</w:t>
            </w:r>
            <w:r w:rsidR="006A4792">
              <w:t xml:space="preserve"> setting of maximum</w:t>
            </w:r>
            <w:r>
              <w:t xml:space="preserve"> </w:t>
            </w:r>
            <w:r w:rsidR="00E016E7">
              <w:t>charges</w:t>
            </w:r>
            <w:r>
              <w:t xml:space="preserve"> </w:t>
            </w:r>
            <w:r w:rsidR="006A4792">
              <w:t xml:space="preserve">may </w:t>
            </w:r>
            <w:r>
              <w:t>disproportionately</w:t>
            </w:r>
            <w:r w:rsidR="00361BED">
              <w:t xml:space="preserve"> impact</w:t>
            </w:r>
            <w:r>
              <w:t xml:space="preserve"> </w:t>
            </w:r>
            <w:r w:rsidR="006A4792">
              <w:t xml:space="preserve">certain businesses </w:t>
            </w:r>
            <w:r w:rsidR="00643E74">
              <w:t>(</w:t>
            </w:r>
            <w:proofErr w:type="gramStart"/>
            <w:r w:rsidR="00643E74">
              <w:t>e.g.</w:t>
            </w:r>
            <w:proofErr w:type="gramEnd"/>
            <w:r w:rsidR="00643E74">
              <w:t xml:space="preserve"> organisations that may spend longer fulfilling a request</w:t>
            </w:r>
            <w:r w:rsidR="009449BE">
              <w:t xml:space="preserve"> due to </w:t>
            </w:r>
            <w:r w:rsidR="007B78E5">
              <w:t>lack of digitisation</w:t>
            </w:r>
            <w:r w:rsidR="00643E74">
              <w:t>)</w:t>
            </w:r>
            <w:r w:rsidR="00454CC2">
              <w:t>,</w:t>
            </w:r>
            <w:r w:rsidR="002A2D9E">
              <w:t xml:space="preserve"> the effect size is likely to be minimal in terms of a business’</w:t>
            </w:r>
            <w:r w:rsidR="006119E9">
              <w:t>s</w:t>
            </w:r>
            <w:r w:rsidR="002A2D9E">
              <w:t xml:space="preserve"> overall operations</w:t>
            </w:r>
            <w:r>
              <w:t xml:space="preserve">. </w:t>
            </w:r>
            <w:r w:rsidR="004D147A">
              <w:t xml:space="preserve"> </w:t>
            </w:r>
          </w:p>
        </w:tc>
      </w:tr>
      <w:tr w:rsidR="00953650" w14:paraId="2D925F5D" w14:textId="77777777" w:rsidTr="000A077A">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65B0B045" w14:textId="77777777" w:rsidR="00704630" w:rsidRPr="00B74EB7" w:rsidRDefault="00704630" w:rsidP="00704630">
            <w:r w:rsidRPr="00B74EB7">
              <w:rPr>
                <w:lang w:val="en-US"/>
              </w:rPr>
              <w:t xml:space="preserve">Will the proposed measure restrict the ability of businesses to choose the price, quality, </w:t>
            </w:r>
            <w:proofErr w:type="gramStart"/>
            <w:r w:rsidRPr="00B74EB7">
              <w:rPr>
                <w:lang w:val="en-US"/>
              </w:rPr>
              <w:t>range</w:t>
            </w:r>
            <w:proofErr w:type="gramEnd"/>
            <w:r w:rsidRPr="00B74EB7">
              <w:rPr>
                <w:lang w:val="en-US"/>
              </w:rPr>
              <w:t xml:space="preserve"> or location of their products?</w:t>
            </w:r>
            <w:r w:rsidRPr="00B74EB7">
              <w:t> </w:t>
            </w:r>
          </w:p>
        </w:tc>
        <w:tc>
          <w:tcPr>
            <w:tcW w:w="0" w:type="auto"/>
            <w:hideMark/>
          </w:tcPr>
          <w:p w14:paraId="46672A45" w14:textId="77777777" w:rsidR="00704630" w:rsidRPr="00B74EB7" w:rsidRDefault="00704630" w:rsidP="00704630">
            <w:pPr>
              <w:cnfStyle w:val="000000000000" w:firstRow="0" w:lastRow="0" w:firstColumn="0" w:lastColumn="0" w:oddVBand="0" w:evenVBand="0" w:oddHBand="0" w:evenHBand="0" w:firstRowFirstColumn="0" w:firstRowLastColumn="0" w:lastRowFirstColumn="0" w:lastRowLastColumn="0"/>
            </w:pPr>
            <w:r>
              <w:rPr>
                <w:lang w:val="en-US"/>
              </w:rPr>
              <w:t>No</w:t>
            </w:r>
          </w:p>
        </w:tc>
        <w:tc>
          <w:tcPr>
            <w:tcW w:w="0" w:type="auto"/>
            <w:hideMark/>
          </w:tcPr>
          <w:p w14:paraId="7ECD85C9" w14:textId="27276617" w:rsidR="00704630" w:rsidRPr="00563D3A" w:rsidRDefault="00704630" w:rsidP="00704630">
            <w:pPr>
              <w:cnfStyle w:val="000000000000" w:firstRow="0" w:lastRow="0" w:firstColumn="0" w:lastColumn="0" w:oddVBand="0" w:evenVBand="0" w:oddHBand="0" w:evenHBand="0" w:firstRowFirstColumn="0" w:firstRowLastColumn="0" w:lastRowFirstColumn="0" w:lastRowLastColumn="0"/>
            </w:pPr>
            <w:r>
              <w:t xml:space="preserve">The proposed </w:t>
            </w:r>
            <w:r w:rsidR="00C1407B">
              <w:t>maximum fee caps</w:t>
            </w:r>
            <w:r>
              <w:t xml:space="preserve"> do not impact product choices.</w:t>
            </w:r>
            <w:r w:rsidR="00C1407B">
              <w:t xml:space="preserve"> Access to Health Information is not a ‘product</w:t>
            </w:r>
            <w:r w:rsidR="00B525BD">
              <w:t>’ and</w:t>
            </w:r>
            <w:r w:rsidR="00C1407B">
              <w:t xml:space="preserve"> is instead a right established under the Act</w:t>
            </w:r>
            <w:r w:rsidR="00A3773C">
              <w:t>.</w:t>
            </w:r>
          </w:p>
        </w:tc>
      </w:tr>
      <w:tr w:rsidR="00953650" w14:paraId="6EE4329D" w14:textId="77777777" w:rsidTr="000A077A">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636149A0" w14:textId="77777777" w:rsidR="00704630" w:rsidRPr="00B74EB7" w:rsidRDefault="00704630" w:rsidP="00704630">
            <w:r w:rsidRPr="00B74EB7">
              <w:rPr>
                <w:lang w:val="en-US"/>
              </w:rPr>
              <w:lastRenderedPageBreak/>
              <w:t>Will the proposed measure lead to higher ongoing costs for new entrants that existing firms do not have to meet?</w:t>
            </w:r>
            <w:r w:rsidRPr="00B74EB7">
              <w:t> </w:t>
            </w:r>
          </w:p>
        </w:tc>
        <w:tc>
          <w:tcPr>
            <w:tcW w:w="0" w:type="auto"/>
            <w:hideMark/>
          </w:tcPr>
          <w:p w14:paraId="26526CF9" w14:textId="32B04BE3" w:rsidR="00704630" w:rsidRPr="00B74EB7" w:rsidRDefault="00A71C97" w:rsidP="00704630">
            <w:pPr>
              <w:cnfStyle w:val="000000000000" w:firstRow="0" w:lastRow="0" w:firstColumn="0" w:lastColumn="0" w:oddVBand="0" w:evenVBand="0" w:oddHBand="0" w:evenHBand="0" w:firstRowFirstColumn="0" w:firstRowLastColumn="0" w:lastRowFirstColumn="0" w:lastRowLastColumn="0"/>
            </w:pPr>
            <w:r>
              <w:t>No</w:t>
            </w:r>
          </w:p>
        </w:tc>
        <w:tc>
          <w:tcPr>
            <w:tcW w:w="0" w:type="auto"/>
            <w:hideMark/>
          </w:tcPr>
          <w:p w14:paraId="432B4ADF" w14:textId="7063519C" w:rsidR="00704630" w:rsidRPr="00563D3A" w:rsidRDefault="00A71C97" w:rsidP="00704630">
            <w:pPr>
              <w:cnfStyle w:val="000000000000" w:firstRow="0" w:lastRow="0" w:firstColumn="0" w:lastColumn="0" w:oddVBand="0" w:evenVBand="0" w:oddHBand="0" w:evenHBand="0" w:firstRowFirstColumn="0" w:firstRowLastColumn="0" w:lastRowFirstColumn="0" w:lastRowLastColumn="0"/>
            </w:pPr>
            <w:r>
              <w:t xml:space="preserve">The costs imposed on new entrants will be the same as </w:t>
            </w:r>
            <w:r w:rsidR="00317F02">
              <w:t xml:space="preserve">for </w:t>
            </w:r>
            <w:r>
              <w:t>existing</w:t>
            </w:r>
            <w:r w:rsidR="00825202">
              <w:t xml:space="preserve"> businesses. </w:t>
            </w:r>
            <w:r w:rsidR="00317F02">
              <w:t>Some</w:t>
            </w:r>
            <w:r w:rsidR="00825202">
              <w:t xml:space="preserve"> mature businesses may have a more efficient records management system, </w:t>
            </w:r>
            <w:r w:rsidR="00317F02">
              <w:t xml:space="preserve">but on the other hand newer entrants could be expected to use more modern, digital systems that </w:t>
            </w:r>
            <w:r w:rsidR="005F0136">
              <w:t xml:space="preserve">result in lower costs of providing access. </w:t>
            </w:r>
            <w:r w:rsidR="00825202">
              <w:t xml:space="preserve"> </w:t>
            </w:r>
          </w:p>
        </w:tc>
      </w:tr>
      <w:tr w:rsidR="00953650" w14:paraId="2B643B80" w14:textId="77777777" w:rsidTr="000A077A">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43769690" w14:textId="77777777" w:rsidR="00704630" w:rsidRPr="00B74EB7" w:rsidRDefault="00704630" w:rsidP="00704630">
            <w:r w:rsidRPr="00B74EB7">
              <w:rPr>
                <w:lang w:val="en-US"/>
              </w:rPr>
              <w:t>Is the ability or incentive to innovate or develop new products or services likely to be affected by the proposed measure?</w:t>
            </w:r>
            <w:r w:rsidRPr="00B74EB7">
              <w:t> </w:t>
            </w:r>
          </w:p>
        </w:tc>
        <w:tc>
          <w:tcPr>
            <w:tcW w:w="0" w:type="auto"/>
            <w:hideMark/>
          </w:tcPr>
          <w:p w14:paraId="377AF0F3" w14:textId="3EB12F1F" w:rsidR="00704630" w:rsidRPr="00B74EB7" w:rsidRDefault="00CA0113" w:rsidP="00704630">
            <w:pPr>
              <w:cnfStyle w:val="000000000000" w:firstRow="0" w:lastRow="0" w:firstColumn="0" w:lastColumn="0" w:oddVBand="0" w:evenVBand="0" w:oddHBand="0" w:evenHBand="0" w:firstRowFirstColumn="0" w:firstRowLastColumn="0" w:lastRowFirstColumn="0" w:lastRowLastColumn="0"/>
            </w:pPr>
            <w:r>
              <w:rPr>
                <w:lang w:val="en-US"/>
              </w:rPr>
              <w:t>No</w:t>
            </w:r>
          </w:p>
        </w:tc>
        <w:tc>
          <w:tcPr>
            <w:tcW w:w="0" w:type="auto"/>
            <w:hideMark/>
          </w:tcPr>
          <w:p w14:paraId="027A5D91" w14:textId="30CC212C" w:rsidR="00704630" w:rsidRPr="00563D3A" w:rsidRDefault="00704630" w:rsidP="00704630">
            <w:pPr>
              <w:cnfStyle w:val="000000000000" w:firstRow="0" w:lastRow="0" w:firstColumn="0" w:lastColumn="0" w:oddVBand="0" w:evenVBand="0" w:oddHBand="0" w:evenHBand="0" w:firstRowFirstColumn="0" w:firstRowLastColumn="0" w:lastRowFirstColumn="0" w:lastRowLastColumn="0"/>
            </w:pPr>
            <w:r>
              <w:t xml:space="preserve">The scale of the </w:t>
            </w:r>
            <w:r w:rsidR="00CA0113">
              <w:t xml:space="preserve">maximum fee caps </w:t>
            </w:r>
            <w:proofErr w:type="gramStart"/>
            <w:r>
              <w:t>are</w:t>
            </w:r>
            <w:proofErr w:type="gramEnd"/>
            <w:r>
              <w:t xml:space="preserve"> such that </w:t>
            </w:r>
            <w:r w:rsidRPr="00563D3A">
              <w:t xml:space="preserve">the impact on small business from </w:t>
            </w:r>
            <w:r w:rsidR="00CA0113">
              <w:t>costs</w:t>
            </w:r>
            <w:r w:rsidRPr="00563D3A">
              <w:t xml:space="preserve"> recovered for </w:t>
            </w:r>
            <w:r w:rsidR="00CA0113">
              <w:t>retrieving health information</w:t>
            </w:r>
            <w:r>
              <w:t xml:space="preserve"> will be minimal</w:t>
            </w:r>
            <w:r w:rsidR="00953650">
              <w:t xml:space="preserve"> and will not impact services provided by organisations</w:t>
            </w:r>
            <w:r>
              <w:t xml:space="preserve">. </w:t>
            </w:r>
            <w:r w:rsidR="00953650">
              <w:t>Moreover, access to Health Information is not a ‘product’ and is instead a right established under the Act.</w:t>
            </w:r>
          </w:p>
        </w:tc>
      </w:tr>
    </w:tbl>
    <w:p w14:paraId="4C1242BC" w14:textId="2B53B6FE" w:rsidR="001C5728" w:rsidRDefault="00FB49AE" w:rsidP="00E62621">
      <w:r>
        <w:t>It is further noted that organisations are free to charge fees below the capped amounts, or no fee at all, and consultation suggests that this</w:t>
      </w:r>
      <w:r w:rsidR="00FB5D92">
        <w:t xml:space="preserve"> does</w:t>
      </w:r>
      <w:r>
        <w:t xml:space="preserve"> occur. </w:t>
      </w:r>
    </w:p>
    <w:p w14:paraId="4134C59E" w14:textId="77777777" w:rsidR="0088224B" w:rsidRDefault="0088224B" w:rsidP="0088224B">
      <w:pPr>
        <w:pStyle w:val="Heading6"/>
      </w:pPr>
      <w:r>
        <w:t>Small business impacts</w:t>
      </w:r>
    </w:p>
    <w:p w14:paraId="208E1970" w14:textId="42D68A49" w:rsidR="0088224B" w:rsidRDefault="0088224B" w:rsidP="0088224B">
      <w:r>
        <w:t>The Victorian Guide to Regulation also considers it good practice for a RIS to consider the impacts of proposed Regulations on small businesses. Small businesses may experience disproportionate effects from regulation for a range of reasons. This may include that the requirement applies mostly to small businesses, or because small businesses have limited resources to interpret compliance requirements or meet substantive compliance requirements compared to larger businesses. Small businesses may also lack the economies of scale that allow regulatory costs to be spread across a large customer base.</w:t>
      </w:r>
    </w:p>
    <w:p w14:paraId="4C0E6FAA" w14:textId="1D615DCC" w:rsidR="000C5F60" w:rsidRDefault="00553334" w:rsidP="0088224B">
      <w:r>
        <w:t xml:space="preserve">There is no reason why small businesses should be disproportionately impacted </w:t>
      </w:r>
      <w:r w:rsidR="002A5C71">
        <w:t>because of</w:t>
      </w:r>
      <w:r>
        <w:t xml:space="preserve"> the proposed Regulations</w:t>
      </w:r>
      <w:r w:rsidR="008E2673">
        <w:t xml:space="preserve">, noting there </w:t>
      </w:r>
      <w:r w:rsidR="00014A5F">
        <w:t xml:space="preserve">is no evidence that small businesses </w:t>
      </w:r>
      <w:r w:rsidR="008E2673">
        <w:t>have a lower level of cost recovery under the maximum fees proposed.</w:t>
      </w:r>
    </w:p>
    <w:p w14:paraId="3B8EB987" w14:textId="5174FAF7" w:rsidR="008922F3" w:rsidRDefault="000C5F60" w:rsidP="0088224B">
      <w:r>
        <w:t>Additionally, i</w:t>
      </w:r>
      <w:r w:rsidR="00553334">
        <w:t xml:space="preserve">n the absence of </w:t>
      </w:r>
      <w:r w:rsidR="00DC070F">
        <w:t xml:space="preserve">the </w:t>
      </w:r>
      <w:r w:rsidR="00B54727">
        <w:t xml:space="preserve">proposed </w:t>
      </w:r>
      <w:r w:rsidR="00DC070F">
        <w:t>Regulations, private non-health service providers with an annual turnover of $3 million or less would not be able to charge</w:t>
      </w:r>
      <w:r w:rsidR="00FE519B">
        <w:t xml:space="preserve"> under the Act or the Commonwealth Privacy Act, and therefore would be unable to recoup any costs involved with providing access to health information. The </w:t>
      </w:r>
      <w:r w:rsidR="00B54727">
        <w:t xml:space="preserve">proposed </w:t>
      </w:r>
      <w:r w:rsidR="00FE519B">
        <w:t xml:space="preserve">Regulations </w:t>
      </w:r>
      <w:r w:rsidR="00B54727">
        <w:t>therefore lead to a positive outcome for these businesses</w:t>
      </w:r>
      <w:r w:rsidR="006F0851">
        <w:t>.</w:t>
      </w:r>
    </w:p>
    <w:p w14:paraId="505B4AA9" w14:textId="516FFC34" w:rsidR="00793098" w:rsidRDefault="00793098" w:rsidP="00226860">
      <w:pPr>
        <w:pStyle w:val="Heading5"/>
        <w:spacing w:after="120"/>
      </w:pPr>
      <w:bookmarkStart w:id="69" w:name="_Toc136257474"/>
      <w:r>
        <w:lastRenderedPageBreak/>
        <w:t>Implementation and evaluation</w:t>
      </w:r>
      <w:bookmarkEnd w:id="69"/>
    </w:p>
    <w:p w14:paraId="5CB25819" w14:textId="77777777" w:rsidR="00200E11" w:rsidRPr="00FF4A35" w:rsidRDefault="00200E11" w:rsidP="00226860">
      <w:pPr>
        <w:spacing w:before="0" w:after="120" w:line="259" w:lineRule="auto"/>
        <w:rPr>
          <w:sz w:val="28"/>
          <w:szCs w:val="28"/>
        </w:rPr>
      </w:pPr>
      <w:r w:rsidRPr="00FF4A35">
        <w:rPr>
          <w:sz w:val="28"/>
          <w:szCs w:val="28"/>
        </w:rPr>
        <w:t>This chapter discusses key issues to be considered in the implementation</w:t>
      </w:r>
      <w:r>
        <w:rPr>
          <w:sz w:val="28"/>
          <w:szCs w:val="28"/>
        </w:rPr>
        <w:t xml:space="preserve"> and evaluation</w:t>
      </w:r>
      <w:r w:rsidRPr="00FF4A35">
        <w:rPr>
          <w:sz w:val="28"/>
          <w:szCs w:val="28"/>
        </w:rPr>
        <w:t xml:space="preserve"> of the Regulations</w:t>
      </w:r>
      <w:r>
        <w:rPr>
          <w:sz w:val="28"/>
          <w:szCs w:val="28"/>
        </w:rPr>
        <w:t>.</w:t>
      </w:r>
    </w:p>
    <w:p w14:paraId="40EA94D1" w14:textId="77777777" w:rsidR="00200E11" w:rsidRDefault="00200E11" w:rsidP="00226860">
      <w:pPr>
        <w:pStyle w:val="Heading6"/>
        <w:spacing w:before="120" w:after="120"/>
      </w:pPr>
      <w:r>
        <w:t>Implementation</w:t>
      </w:r>
    </w:p>
    <w:p w14:paraId="025BF8AF" w14:textId="77777777" w:rsidR="00200E11" w:rsidRPr="003E14CB" w:rsidRDefault="00200E11" w:rsidP="00FF14FE">
      <w:pPr>
        <w:spacing w:before="0" w:after="120" w:line="259" w:lineRule="auto"/>
        <w:rPr>
          <w:b/>
          <w:bCs/>
          <w:color w:val="403151" w:themeColor="accent2"/>
        </w:rPr>
      </w:pPr>
      <w:r w:rsidRPr="003E14CB">
        <w:rPr>
          <w:b/>
          <w:bCs/>
          <w:color w:val="403151" w:themeColor="accent2"/>
        </w:rPr>
        <w:t xml:space="preserve">Finalise the remade Regulations </w:t>
      </w:r>
    </w:p>
    <w:p w14:paraId="1D60147D" w14:textId="7209BBA9" w:rsidR="00200E11" w:rsidRPr="00746AA9" w:rsidRDefault="00200E11" w:rsidP="00FF14FE">
      <w:pPr>
        <w:spacing w:before="120"/>
      </w:pPr>
      <w:r>
        <w:t xml:space="preserve">The release of the proposed Regulations and this RIS for a 28-day public comment period will provide key stakeholders and members of the public the opportunity to consider the proposed changes to the Regulations and provide </w:t>
      </w:r>
      <w:r w:rsidRPr="00C901B0">
        <w:t>feedback. At the conclusion of the public comment period</w:t>
      </w:r>
      <w:r w:rsidR="009C0FE9">
        <w:t>,</w:t>
      </w:r>
      <w:r w:rsidRPr="00C901B0">
        <w:t xml:space="preserve"> the Victorian Government will review and consider each </w:t>
      </w:r>
      <w:r w:rsidR="00205E3D" w:rsidRPr="00C901B0">
        <w:t>submission and</w:t>
      </w:r>
      <w:r w:rsidRPr="00C901B0">
        <w:t xml:space="preserve"> take account of the feedback on both the proposed Regulations and the RIS in</w:t>
      </w:r>
      <w:r w:rsidRPr="00BB1DB5">
        <w:t xml:space="preserve"> finalising the Regulations. </w:t>
      </w:r>
    </w:p>
    <w:p w14:paraId="09FEBAC2" w14:textId="3C9ABC4E" w:rsidR="00200E11" w:rsidRPr="00746AA9" w:rsidRDefault="00200E11" w:rsidP="00200E11">
      <w:r w:rsidRPr="00746AA9">
        <w:t xml:space="preserve">On behalf of the Victorian Government, </w:t>
      </w:r>
      <w:r w:rsidR="009C0FE9">
        <w:t>DH</w:t>
      </w:r>
      <w:r w:rsidR="008C50EF">
        <w:t xml:space="preserve"> </w:t>
      </w:r>
      <w:r w:rsidRPr="00746AA9">
        <w:t xml:space="preserve">will prepare a </w:t>
      </w:r>
      <w:r w:rsidRPr="00C901B0">
        <w:t>Response to Public Comment document</w:t>
      </w:r>
      <w:r>
        <w:t>,</w:t>
      </w:r>
      <w:r w:rsidRPr="00C901B0">
        <w:t xml:space="preserve"> which will discuss the comments provided in the </w:t>
      </w:r>
      <w:r>
        <w:t>p</w:t>
      </w:r>
      <w:r w:rsidRPr="00C901B0">
        <w:t xml:space="preserve">ublic </w:t>
      </w:r>
      <w:r>
        <w:t>c</w:t>
      </w:r>
      <w:r w:rsidRPr="00C901B0">
        <w:t xml:space="preserve">omment submissions and </w:t>
      </w:r>
      <w:r>
        <w:t>respond</w:t>
      </w:r>
      <w:r w:rsidRPr="00C901B0">
        <w:t xml:space="preserve"> to those comments.</w:t>
      </w:r>
      <w:r w:rsidRPr="00BB1DB5">
        <w:t xml:space="preserve"> </w:t>
      </w:r>
    </w:p>
    <w:p w14:paraId="0C4F6990" w14:textId="7DCC0C09" w:rsidR="00200E11" w:rsidRDefault="00200E11" w:rsidP="00200E11">
      <w:r w:rsidRPr="00746AA9">
        <w:t xml:space="preserve">The </w:t>
      </w:r>
      <w:r w:rsidRPr="00C901B0">
        <w:t>Office of Chief Parliamentary Council (OCPC) will review and settle the Regulations</w:t>
      </w:r>
      <w:r>
        <w:t>,</w:t>
      </w:r>
      <w:r w:rsidRPr="00C901B0">
        <w:t xml:space="preserve"> which will then be submitted to the Minister </w:t>
      </w:r>
      <w:r w:rsidRPr="00E131CE">
        <w:t>for Health for</w:t>
      </w:r>
      <w:r w:rsidRPr="00C901B0">
        <w:t xml:space="preserve"> approval.</w:t>
      </w:r>
      <w:r>
        <w:t xml:space="preserve"> </w:t>
      </w:r>
    </w:p>
    <w:p w14:paraId="5D917EEB" w14:textId="77777777" w:rsidR="00200E11" w:rsidRPr="002C4F22" w:rsidRDefault="00200E11" w:rsidP="00FF14FE">
      <w:pPr>
        <w:spacing w:before="0" w:after="0" w:line="259" w:lineRule="auto"/>
        <w:rPr>
          <w:b/>
          <w:bCs/>
          <w:color w:val="403151" w:themeColor="accent2"/>
        </w:rPr>
      </w:pPr>
      <w:r>
        <w:rPr>
          <w:b/>
          <w:bCs/>
          <w:color w:val="403151" w:themeColor="accent2"/>
        </w:rPr>
        <w:t>Implementing the new</w:t>
      </w:r>
      <w:r w:rsidRPr="002C4F22">
        <w:rPr>
          <w:b/>
          <w:bCs/>
          <w:color w:val="403151" w:themeColor="accent2"/>
        </w:rPr>
        <w:t xml:space="preserve"> Regulations</w:t>
      </w:r>
    </w:p>
    <w:p w14:paraId="31BEF3C2" w14:textId="5FB6C672" w:rsidR="00200E11" w:rsidRDefault="00200E11" w:rsidP="00226860">
      <w:pPr>
        <w:spacing w:before="80" w:after="120"/>
        <w:rPr>
          <w:rFonts w:cstheme="minorHAnsi"/>
          <w:szCs w:val="20"/>
        </w:rPr>
      </w:pPr>
      <w:r>
        <w:t xml:space="preserve">The proposed remade Regulations largely continue the substance and form of the current Regulations. </w:t>
      </w:r>
      <w:r w:rsidR="00F326CD">
        <w:t>DH</w:t>
      </w:r>
      <w:r>
        <w:t xml:space="preserve"> will communicate the making of the new Regulations to key stakeholders. This will provide an opportunity for </w:t>
      </w:r>
      <w:r w:rsidR="00F326CD">
        <w:t>DH</w:t>
      </w:r>
      <w:r>
        <w:t xml:space="preserve"> to provide education and guidance about key matters set out in the Regulations. </w:t>
      </w:r>
      <w:r w:rsidR="00F326CD">
        <w:t>DH</w:t>
      </w:r>
      <w:r>
        <w:t xml:space="preserve"> will review feedback received through the public comment period to determine how to tailor any education and guidance to be provided.</w:t>
      </w:r>
    </w:p>
    <w:p w14:paraId="059A3305" w14:textId="423E0F00" w:rsidR="00200E11" w:rsidRDefault="00200E11" w:rsidP="00226860">
      <w:pPr>
        <w:pStyle w:val="Heading6"/>
        <w:spacing w:before="120" w:after="80"/>
      </w:pPr>
      <w:r>
        <w:t>Evaluation</w:t>
      </w:r>
    </w:p>
    <w:p w14:paraId="30C37B75" w14:textId="77777777" w:rsidR="008C50EF" w:rsidRPr="008C50EF" w:rsidRDefault="008C50EF" w:rsidP="00702AB8">
      <w:pPr>
        <w:pStyle w:val="Heading6"/>
        <w:numPr>
          <w:ilvl w:val="0"/>
          <w:numId w:val="0"/>
        </w:numPr>
        <w:rPr>
          <w:rFonts w:asciiTheme="minorHAnsi" w:eastAsiaTheme="minorHAnsi" w:hAnsiTheme="minorHAnsi" w:cstheme="minorBidi"/>
          <w:b w:val="0"/>
          <w:color w:val="auto"/>
          <w:sz w:val="20"/>
        </w:rPr>
      </w:pPr>
      <w:r w:rsidRPr="008C50EF">
        <w:rPr>
          <w:rFonts w:asciiTheme="minorHAnsi" w:eastAsiaTheme="minorHAnsi" w:hAnsiTheme="minorHAnsi" w:cstheme="minorBidi"/>
          <w:b w:val="0"/>
          <w:color w:val="auto"/>
          <w:sz w:val="20"/>
        </w:rPr>
        <w:t xml:space="preserve">The proposed Regulations </w:t>
      </w:r>
      <w:proofErr w:type="gramStart"/>
      <w:r w:rsidRPr="008C50EF">
        <w:rPr>
          <w:rFonts w:asciiTheme="minorHAnsi" w:eastAsiaTheme="minorHAnsi" w:hAnsiTheme="minorHAnsi" w:cstheme="minorBidi"/>
          <w:b w:val="0"/>
          <w:color w:val="auto"/>
          <w:sz w:val="20"/>
        </w:rPr>
        <w:t>will</w:t>
      </w:r>
      <w:proofErr w:type="gramEnd"/>
      <w:r w:rsidRPr="008C50EF">
        <w:rPr>
          <w:rFonts w:asciiTheme="minorHAnsi" w:eastAsiaTheme="minorHAnsi" w:hAnsiTheme="minorHAnsi" w:cstheme="minorBidi"/>
          <w:b w:val="0"/>
          <w:color w:val="auto"/>
          <w:sz w:val="20"/>
        </w:rPr>
        <w:t xml:space="preserve"> sunset in 2033. This will be the next time the Regulations are due for a full formal evaluation, undertaken via preparation of a future RIS. </w:t>
      </w:r>
      <w:proofErr w:type="gramStart"/>
      <w:r w:rsidRPr="008C50EF">
        <w:rPr>
          <w:rFonts w:asciiTheme="minorHAnsi" w:eastAsiaTheme="minorHAnsi" w:hAnsiTheme="minorHAnsi" w:cstheme="minorBidi"/>
          <w:b w:val="0"/>
          <w:color w:val="auto"/>
          <w:sz w:val="20"/>
        </w:rPr>
        <w:t>In light of</w:t>
      </w:r>
      <w:proofErr w:type="gramEnd"/>
      <w:r w:rsidRPr="008C50EF">
        <w:rPr>
          <w:rFonts w:asciiTheme="minorHAnsi" w:eastAsiaTheme="minorHAnsi" w:hAnsiTheme="minorHAnsi" w:cstheme="minorBidi"/>
          <w:b w:val="0"/>
          <w:color w:val="auto"/>
          <w:sz w:val="20"/>
        </w:rPr>
        <w:t xml:space="preserve"> the current data limitations relating to the operation of the Regulations, DH proposes to consult with stakeholders on how the Regulations are working and if they remain fit for purpose and enable the gathering and provision of information that is required in a cost-effective manner. DH will undertake targeted engagement with organisations to estimate:</w:t>
      </w:r>
    </w:p>
    <w:p w14:paraId="5663F3D2" w14:textId="259B3A28" w:rsidR="008C50EF" w:rsidRPr="008C50EF" w:rsidRDefault="008C50EF" w:rsidP="00702AB8">
      <w:pPr>
        <w:pStyle w:val="ListParagraph"/>
        <w:numPr>
          <w:ilvl w:val="0"/>
          <w:numId w:val="46"/>
        </w:numPr>
      </w:pPr>
      <w:r w:rsidRPr="008C50EF">
        <w:t>the number and types of requests for health information</w:t>
      </w:r>
    </w:p>
    <w:p w14:paraId="538DA198" w14:textId="196D7E36" w:rsidR="008C50EF" w:rsidRPr="008C50EF" w:rsidRDefault="008C50EF" w:rsidP="00702AB8">
      <w:pPr>
        <w:pStyle w:val="ListParagraph"/>
        <w:numPr>
          <w:ilvl w:val="0"/>
          <w:numId w:val="46"/>
        </w:numPr>
      </w:pPr>
      <w:r w:rsidRPr="008C50EF">
        <w:t xml:space="preserve">the level of fees that are charged for requests (including whether organisations are charging the maximum prescribed amount, a lower </w:t>
      </w:r>
      <w:proofErr w:type="gramStart"/>
      <w:r w:rsidRPr="008C50EF">
        <w:t>fee</w:t>
      </w:r>
      <w:proofErr w:type="gramEnd"/>
      <w:r w:rsidRPr="008C50EF">
        <w:t xml:space="preserve"> or no fee)</w:t>
      </w:r>
    </w:p>
    <w:p w14:paraId="7B7D2A0B" w14:textId="26ED5270" w:rsidR="008C50EF" w:rsidRPr="008C50EF" w:rsidRDefault="008C50EF" w:rsidP="00702AB8">
      <w:pPr>
        <w:pStyle w:val="ListParagraph"/>
        <w:numPr>
          <w:ilvl w:val="0"/>
          <w:numId w:val="46"/>
        </w:numPr>
      </w:pPr>
      <w:r w:rsidRPr="008C50EF">
        <w:t>the costs to organisations of responding to requests</w:t>
      </w:r>
    </w:p>
    <w:p w14:paraId="0BC2E26F" w14:textId="5085C966" w:rsidR="008C50EF" w:rsidRPr="008C50EF" w:rsidRDefault="008C50EF" w:rsidP="00702AB8">
      <w:pPr>
        <w:pStyle w:val="ListParagraph"/>
        <w:numPr>
          <w:ilvl w:val="0"/>
          <w:numId w:val="46"/>
        </w:numPr>
      </w:pPr>
      <w:r w:rsidRPr="008C50EF">
        <w:t xml:space="preserve">the overall level of cost recovery achieved by organisations.  </w:t>
      </w:r>
    </w:p>
    <w:p w14:paraId="3ACB7FD6" w14:textId="4119DBDB" w:rsidR="00065032" w:rsidRDefault="008C50EF" w:rsidP="00702AB8">
      <w:pPr>
        <w:pStyle w:val="Heading6"/>
        <w:numPr>
          <w:ilvl w:val="0"/>
          <w:numId w:val="0"/>
        </w:numPr>
        <w:rPr>
          <w:szCs w:val="20"/>
        </w:rPr>
      </w:pPr>
      <w:r w:rsidRPr="008C50EF">
        <w:rPr>
          <w:rFonts w:asciiTheme="minorHAnsi" w:eastAsiaTheme="minorHAnsi" w:hAnsiTheme="minorHAnsi" w:cstheme="minorBidi"/>
          <w:b w:val="0"/>
          <w:color w:val="auto"/>
          <w:sz w:val="20"/>
        </w:rPr>
        <w:lastRenderedPageBreak/>
        <w:t xml:space="preserve">This will help DH understand the burden of the regulations and any problems. Engagement undertaken will be proportionate to the significance of the problem and the effect of likely potential options to address it. Reflecting this, DH will aim to minimise the burden of information requests to estimate the numbers of requests and how fees are charged. DH will undertake targeted engagement to collect information rather than seek information from most/all organisations in scope.  </w:t>
      </w:r>
    </w:p>
    <w:p w14:paraId="161B0E7C" w14:textId="7A89E546" w:rsidR="00C20AAD" w:rsidRDefault="0058758B" w:rsidP="00C20AAD">
      <w:r>
        <w:t xml:space="preserve">The main purpose of this </w:t>
      </w:r>
      <w:r w:rsidR="008C345D">
        <w:t xml:space="preserve">process </w:t>
      </w:r>
      <w:r>
        <w:t xml:space="preserve">will be to formalise the collection of </w:t>
      </w:r>
      <w:r w:rsidR="00347518">
        <w:t>information</w:t>
      </w:r>
      <w:r>
        <w:t xml:space="preserve"> </w:t>
      </w:r>
      <w:r w:rsidR="00A2562F">
        <w:t>relating to the regulations, for example, whether the maximum fee</w:t>
      </w:r>
      <w:r w:rsidR="00A03592">
        <w:t>s</w:t>
      </w:r>
      <w:r w:rsidR="00D222FC">
        <w:t xml:space="preserve"> </w:t>
      </w:r>
      <w:r w:rsidR="00A2562F">
        <w:t>are still appropriate,</w:t>
      </w:r>
      <w:r w:rsidR="009C5A22">
        <w:t xml:space="preserve"> </w:t>
      </w:r>
      <w:r w:rsidR="00347518">
        <w:t>the</w:t>
      </w:r>
      <w:r w:rsidR="009C5A22">
        <w:t xml:space="preserve"> </w:t>
      </w:r>
      <w:r w:rsidR="00347518">
        <w:t>fee charged</w:t>
      </w:r>
      <w:r w:rsidR="009C5A22">
        <w:t xml:space="preserve"> </w:t>
      </w:r>
      <w:r w:rsidR="00347518">
        <w:t xml:space="preserve">by organisations </w:t>
      </w:r>
      <w:r w:rsidR="009C5A22">
        <w:t>for services under the Regulations, issues arising with the application of the Regulations</w:t>
      </w:r>
      <w:r w:rsidR="00347518">
        <w:t>, and cost</w:t>
      </w:r>
      <w:r w:rsidR="00D222FC">
        <w:t>s of organisations in providing health information</w:t>
      </w:r>
      <w:r w:rsidR="009C5A22">
        <w:t xml:space="preserve">. </w:t>
      </w:r>
      <w:r w:rsidR="001301AE">
        <w:t xml:space="preserve">Engagement undertaken will be proportionate to the </w:t>
      </w:r>
      <w:r w:rsidR="000A1AB2">
        <w:t>significance of the problem and the effect of likely potential options to address it.</w:t>
      </w:r>
    </w:p>
    <w:p w14:paraId="3CA15E6E" w14:textId="15F87C4A" w:rsidR="000B46A6" w:rsidRDefault="00B270B0" w:rsidP="00BD6214">
      <w:pPr>
        <w:pStyle w:val="Heading9"/>
        <w:numPr>
          <w:ilvl w:val="8"/>
          <w:numId w:val="7"/>
        </w:numPr>
      </w:pPr>
      <w:r>
        <w:lastRenderedPageBreak/>
        <w:t>Health Privacy Principles in the Act (Schedule 1)</w:t>
      </w:r>
    </w:p>
    <w:p w14:paraId="5A00B66C" w14:textId="37FC19EB" w:rsidR="00B270B0" w:rsidRPr="000104D7" w:rsidRDefault="001C5A73" w:rsidP="00B270B0">
      <w:pPr>
        <w:rPr>
          <w:rFonts w:cstheme="minorHAnsi"/>
          <w:b/>
          <w:bCs/>
          <w:szCs w:val="20"/>
        </w:rPr>
      </w:pPr>
      <w:r w:rsidRPr="000104D7">
        <w:rPr>
          <w:rFonts w:cstheme="minorHAnsi"/>
          <w:b/>
          <w:bCs/>
          <w:szCs w:val="20"/>
        </w:rPr>
        <w:t xml:space="preserve">Principle 1—Collection </w:t>
      </w:r>
    </w:p>
    <w:p w14:paraId="13CFFECF" w14:textId="313EAED9" w:rsidR="00B270B0" w:rsidRPr="000104D7" w:rsidRDefault="001B4267" w:rsidP="000104D7">
      <w:pPr>
        <w:spacing w:before="120" w:after="0"/>
        <w:ind w:left="720"/>
        <w:rPr>
          <w:rFonts w:cstheme="minorHAnsi"/>
          <w:bCs/>
          <w:iCs/>
          <w:szCs w:val="20"/>
        </w:rPr>
      </w:pPr>
      <w:r w:rsidRPr="000104D7">
        <w:rPr>
          <w:rFonts w:cstheme="minorHAnsi"/>
          <w:bCs/>
          <w:iCs/>
          <w:szCs w:val="20"/>
        </w:rPr>
        <w:t>When health information may be collected</w:t>
      </w:r>
    </w:p>
    <w:p w14:paraId="076F43C5" w14:textId="40428329" w:rsidR="006E7669" w:rsidRPr="000104D7" w:rsidRDefault="006E7669" w:rsidP="000104D7">
      <w:pPr>
        <w:spacing w:before="120" w:after="0"/>
        <w:ind w:left="720"/>
        <w:rPr>
          <w:rFonts w:cstheme="minorHAnsi"/>
          <w:bCs/>
          <w:iCs/>
          <w:szCs w:val="20"/>
        </w:rPr>
      </w:pPr>
      <w:r w:rsidRPr="000104D7">
        <w:rPr>
          <w:rFonts w:cstheme="minorHAnsi"/>
          <w:bCs/>
          <w:iCs/>
          <w:szCs w:val="20"/>
        </w:rPr>
        <w:t>How health information is to be collected</w:t>
      </w:r>
    </w:p>
    <w:p w14:paraId="33679E0E" w14:textId="44AE9E33" w:rsidR="004C3CD8" w:rsidRPr="00610F05" w:rsidRDefault="004C3CD8" w:rsidP="000104D7">
      <w:pPr>
        <w:spacing w:before="120" w:after="0"/>
        <w:ind w:left="720"/>
        <w:rPr>
          <w:rFonts w:cstheme="minorHAnsi"/>
          <w:bCs/>
          <w:iCs/>
          <w:szCs w:val="20"/>
        </w:rPr>
      </w:pPr>
      <w:r w:rsidRPr="000104D7">
        <w:rPr>
          <w:rFonts w:cstheme="minorHAnsi"/>
          <w:bCs/>
          <w:iCs/>
          <w:szCs w:val="20"/>
        </w:rPr>
        <w:t>Information given in confidence</w:t>
      </w:r>
    </w:p>
    <w:p w14:paraId="7E26F9CA" w14:textId="1CA8A5B4" w:rsidR="00B270B0" w:rsidRPr="000104D7" w:rsidRDefault="00355CF1" w:rsidP="00B270B0">
      <w:pPr>
        <w:rPr>
          <w:rFonts w:cstheme="minorHAnsi"/>
          <w:b/>
          <w:bCs/>
          <w:szCs w:val="20"/>
        </w:rPr>
      </w:pPr>
      <w:bookmarkStart w:id="70" w:name="_Toc112755073"/>
      <w:r w:rsidRPr="000104D7">
        <w:rPr>
          <w:rFonts w:cstheme="minorHAnsi"/>
          <w:b/>
          <w:bCs/>
          <w:szCs w:val="20"/>
        </w:rPr>
        <w:t>Principle 2—Use and Disclosure</w:t>
      </w:r>
      <w:bookmarkEnd w:id="70"/>
    </w:p>
    <w:p w14:paraId="537AC122" w14:textId="50D534D1" w:rsidR="000F14B9" w:rsidRPr="000104D7" w:rsidRDefault="000F14B9" w:rsidP="000104D7">
      <w:pPr>
        <w:rPr>
          <w:rFonts w:cstheme="minorHAnsi"/>
          <w:b/>
          <w:bCs/>
          <w:szCs w:val="20"/>
        </w:rPr>
      </w:pPr>
      <w:bookmarkStart w:id="71" w:name="_Toc112755074"/>
      <w:r w:rsidRPr="000104D7">
        <w:rPr>
          <w:rFonts w:cstheme="minorHAnsi"/>
          <w:b/>
          <w:bCs/>
          <w:szCs w:val="20"/>
        </w:rPr>
        <w:t>Principle 3—Data Quality</w:t>
      </w:r>
      <w:bookmarkEnd w:id="71"/>
    </w:p>
    <w:p w14:paraId="5D312BED" w14:textId="77777777" w:rsidR="00D600E8" w:rsidRPr="000104D7" w:rsidRDefault="00D600E8" w:rsidP="000104D7">
      <w:pPr>
        <w:rPr>
          <w:rFonts w:cstheme="minorHAnsi"/>
          <w:b/>
          <w:bCs/>
          <w:szCs w:val="20"/>
        </w:rPr>
      </w:pPr>
      <w:r w:rsidRPr="000104D7">
        <w:rPr>
          <w:rFonts w:cstheme="minorHAnsi"/>
          <w:b/>
          <w:bCs/>
          <w:szCs w:val="20"/>
        </w:rPr>
        <w:t>Principle 4—Data Security and Data Retention</w:t>
      </w:r>
    </w:p>
    <w:p w14:paraId="6B1AE5A6" w14:textId="77777777" w:rsidR="00B950EA" w:rsidRDefault="00001C74" w:rsidP="00610F05">
      <w:pPr>
        <w:rPr>
          <w:rFonts w:cstheme="minorHAnsi"/>
          <w:b/>
          <w:bCs/>
          <w:szCs w:val="20"/>
        </w:rPr>
      </w:pPr>
      <w:r w:rsidRPr="000104D7">
        <w:rPr>
          <w:rFonts w:cstheme="minorHAnsi"/>
          <w:b/>
          <w:bCs/>
          <w:szCs w:val="20"/>
        </w:rPr>
        <w:t>Principle 5—Openness</w:t>
      </w:r>
      <w:bookmarkStart w:id="72" w:name="_Toc112755077"/>
    </w:p>
    <w:p w14:paraId="07978514" w14:textId="47835063" w:rsidR="006156B1" w:rsidRPr="000104D7" w:rsidRDefault="006156B1" w:rsidP="000104D7">
      <w:pPr>
        <w:rPr>
          <w:rFonts w:cstheme="minorHAnsi"/>
          <w:b/>
          <w:bCs/>
          <w:szCs w:val="20"/>
        </w:rPr>
      </w:pPr>
      <w:r w:rsidRPr="000104D7">
        <w:rPr>
          <w:rFonts w:cstheme="minorHAnsi"/>
          <w:b/>
          <w:bCs/>
          <w:szCs w:val="20"/>
        </w:rPr>
        <w:t>Principle 6—Access and Correction</w:t>
      </w:r>
      <w:bookmarkEnd w:id="72"/>
    </w:p>
    <w:p w14:paraId="5AD90E28" w14:textId="44A172EC" w:rsidR="006156B1" w:rsidRPr="000104D7" w:rsidRDefault="006156B1" w:rsidP="000104D7">
      <w:pPr>
        <w:spacing w:before="120" w:after="0"/>
        <w:ind w:left="720"/>
        <w:rPr>
          <w:rFonts w:cstheme="minorHAnsi"/>
          <w:bCs/>
          <w:iCs/>
          <w:szCs w:val="20"/>
        </w:rPr>
      </w:pPr>
      <w:r w:rsidRPr="000104D7">
        <w:rPr>
          <w:rFonts w:cstheme="minorHAnsi"/>
          <w:bCs/>
          <w:iCs/>
          <w:szCs w:val="20"/>
        </w:rPr>
        <w:t>Access</w:t>
      </w:r>
    </w:p>
    <w:p w14:paraId="0F09ABA8" w14:textId="47B5D87B" w:rsidR="00371B2A" w:rsidRPr="000104D7" w:rsidRDefault="00371B2A" w:rsidP="000104D7">
      <w:pPr>
        <w:spacing w:before="120" w:after="0"/>
        <w:ind w:left="720"/>
        <w:rPr>
          <w:rFonts w:cstheme="minorHAnsi"/>
          <w:bCs/>
          <w:iCs/>
          <w:szCs w:val="20"/>
        </w:rPr>
      </w:pPr>
      <w:r w:rsidRPr="000104D7">
        <w:rPr>
          <w:rFonts w:cstheme="minorHAnsi"/>
          <w:bCs/>
          <w:iCs/>
          <w:szCs w:val="20"/>
        </w:rPr>
        <w:t>Correction</w:t>
      </w:r>
    </w:p>
    <w:p w14:paraId="3B02F0B1" w14:textId="02573D20" w:rsidR="006156B1" w:rsidRPr="00610F05" w:rsidRDefault="00371B2A" w:rsidP="000104D7">
      <w:pPr>
        <w:spacing w:before="120" w:after="0"/>
        <w:ind w:left="720"/>
        <w:rPr>
          <w:rFonts w:cstheme="minorHAnsi"/>
          <w:bCs/>
          <w:iCs/>
          <w:szCs w:val="20"/>
        </w:rPr>
      </w:pPr>
      <w:r w:rsidRPr="000104D7">
        <w:rPr>
          <w:rFonts w:cstheme="minorHAnsi"/>
          <w:bCs/>
          <w:iCs/>
          <w:szCs w:val="20"/>
        </w:rPr>
        <w:t>Written reasons</w:t>
      </w:r>
    </w:p>
    <w:p w14:paraId="7F36BA27" w14:textId="03921C22" w:rsidR="003B71B0" w:rsidRPr="000104D7" w:rsidRDefault="00CB40A8" w:rsidP="003B71B0">
      <w:pPr>
        <w:rPr>
          <w:rFonts w:cstheme="minorHAnsi"/>
          <w:b/>
          <w:bCs/>
          <w:szCs w:val="20"/>
        </w:rPr>
      </w:pPr>
      <w:bookmarkStart w:id="73" w:name="_Toc112755078"/>
      <w:r w:rsidRPr="000104D7">
        <w:rPr>
          <w:rFonts w:cstheme="minorHAnsi"/>
          <w:b/>
          <w:bCs/>
          <w:szCs w:val="20"/>
        </w:rPr>
        <w:t>Principle 7—Identifiers</w:t>
      </w:r>
      <w:bookmarkEnd w:id="73"/>
    </w:p>
    <w:p w14:paraId="738E3923" w14:textId="167229C5" w:rsidR="00574162" w:rsidRPr="000104D7" w:rsidRDefault="00574162" w:rsidP="003B71B0">
      <w:pPr>
        <w:rPr>
          <w:rFonts w:cstheme="minorHAnsi"/>
          <w:b/>
          <w:bCs/>
          <w:szCs w:val="20"/>
        </w:rPr>
      </w:pPr>
      <w:bookmarkStart w:id="74" w:name="_Toc112755079"/>
      <w:r w:rsidRPr="000104D7">
        <w:rPr>
          <w:rFonts w:cstheme="minorHAnsi"/>
          <w:b/>
          <w:bCs/>
          <w:szCs w:val="20"/>
        </w:rPr>
        <w:t>Principle 8—Anonymity</w:t>
      </w:r>
      <w:bookmarkEnd w:id="74"/>
    </w:p>
    <w:p w14:paraId="0E06ABD2" w14:textId="7746FF79" w:rsidR="004C573E" w:rsidRPr="000104D7" w:rsidRDefault="00B950EA" w:rsidP="003B71B0">
      <w:pPr>
        <w:rPr>
          <w:rFonts w:cstheme="minorHAnsi"/>
          <w:b/>
          <w:bCs/>
          <w:szCs w:val="20"/>
        </w:rPr>
      </w:pPr>
      <w:r>
        <w:rPr>
          <w:rFonts w:cstheme="minorHAnsi"/>
          <w:b/>
          <w:bCs/>
          <w:szCs w:val="20"/>
        </w:rPr>
        <w:t>P</w:t>
      </w:r>
      <w:r w:rsidR="004C573E" w:rsidRPr="000104D7">
        <w:rPr>
          <w:rFonts w:cstheme="minorHAnsi"/>
          <w:b/>
          <w:bCs/>
          <w:szCs w:val="20"/>
        </w:rPr>
        <w:t>rinciple 9—Transborder Data Flows</w:t>
      </w:r>
    </w:p>
    <w:p w14:paraId="79796FEA" w14:textId="1576867E" w:rsidR="00AA18F1" w:rsidRPr="000104D7" w:rsidRDefault="00AA18F1" w:rsidP="000104D7">
      <w:pPr>
        <w:rPr>
          <w:rFonts w:cstheme="minorHAnsi"/>
          <w:b/>
          <w:bCs/>
          <w:szCs w:val="20"/>
        </w:rPr>
      </w:pPr>
      <w:bookmarkStart w:id="75" w:name="_Toc112755081"/>
      <w:r w:rsidRPr="000104D7">
        <w:rPr>
          <w:rFonts w:cstheme="minorHAnsi"/>
          <w:b/>
          <w:bCs/>
          <w:szCs w:val="20"/>
        </w:rPr>
        <w:t>Principle 10—Transfer or closure of the practice of a health service provider</w:t>
      </w:r>
      <w:bookmarkEnd w:id="75"/>
    </w:p>
    <w:p w14:paraId="3781A726" w14:textId="77777777" w:rsidR="00230254" w:rsidRDefault="00230254" w:rsidP="003B71B0">
      <w:pPr>
        <w:rPr>
          <w:rFonts w:cstheme="minorHAnsi"/>
          <w:b/>
          <w:bCs/>
          <w:szCs w:val="20"/>
        </w:rPr>
      </w:pPr>
      <w:bookmarkStart w:id="76" w:name="_Toc112755082"/>
      <w:r w:rsidRPr="000104D7">
        <w:rPr>
          <w:rFonts w:cstheme="minorHAnsi"/>
          <w:b/>
          <w:bCs/>
          <w:szCs w:val="20"/>
        </w:rPr>
        <w:t>Principle 11—Making information available to another health service provider</w:t>
      </w:r>
      <w:bookmarkEnd w:id="76"/>
    </w:p>
    <w:p w14:paraId="77AAD48F" w14:textId="77777777" w:rsidR="00FF60C5" w:rsidRDefault="00FF60C5" w:rsidP="003B71B0">
      <w:pPr>
        <w:rPr>
          <w:rFonts w:cstheme="minorHAnsi"/>
          <w:b/>
          <w:bCs/>
          <w:szCs w:val="20"/>
        </w:rPr>
      </w:pPr>
    </w:p>
    <w:p w14:paraId="5848157A" w14:textId="1DE8C137" w:rsidR="00FF60C5" w:rsidRDefault="00FF60C5">
      <w:pPr>
        <w:spacing w:before="0" w:line="259" w:lineRule="auto"/>
        <w:rPr>
          <w:rFonts w:cstheme="minorHAnsi"/>
          <w:b/>
          <w:bCs/>
          <w:szCs w:val="20"/>
        </w:rPr>
      </w:pPr>
      <w:r>
        <w:rPr>
          <w:rFonts w:cstheme="minorHAnsi"/>
          <w:b/>
          <w:bCs/>
          <w:szCs w:val="20"/>
        </w:rPr>
        <w:br w:type="page"/>
      </w:r>
    </w:p>
    <w:p w14:paraId="3DD5DA6D" w14:textId="66B06A76" w:rsidR="007B345A" w:rsidRDefault="00FA3D1A" w:rsidP="007B345A">
      <w:pPr>
        <w:pStyle w:val="Heading9"/>
        <w:numPr>
          <w:ilvl w:val="8"/>
          <w:numId w:val="7"/>
        </w:numPr>
      </w:pPr>
      <w:r>
        <w:lastRenderedPageBreak/>
        <w:t>Maximum fees in the Health Records Regulations</w:t>
      </w:r>
      <w:r w:rsidR="007B345A">
        <w:t xml:space="preserve"> (Schedule 1</w:t>
      </w:r>
      <w:r>
        <w:t xml:space="preserve"> and Schedule 2</w:t>
      </w:r>
      <w:r w:rsidR="007B345A">
        <w:t>)</w:t>
      </w:r>
    </w:p>
    <w:p w14:paraId="72E5DE9E" w14:textId="77777777" w:rsidR="00F77D1B" w:rsidRPr="00D32664" w:rsidRDefault="00F77D1B" w:rsidP="00D32664">
      <w:pPr>
        <w:ind w:left="720"/>
        <w:jc w:val="center"/>
        <w:rPr>
          <w:b/>
          <w:bCs/>
        </w:rPr>
      </w:pPr>
      <w:bookmarkStart w:id="77" w:name="_Toc192051907"/>
      <w:bookmarkStart w:id="78" w:name="_Toc322080704"/>
      <w:bookmarkStart w:id="79" w:name="_Toc326572596"/>
      <w:bookmarkStart w:id="80" w:name="_Toc330476337"/>
      <w:bookmarkStart w:id="81" w:name="_Toc333402111"/>
      <w:r w:rsidRPr="00D32664">
        <w:rPr>
          <w:b/>
          <w:bCs/>
        </w:rPr>
        <w:t>SCHEDULE 1</w:t>
      </w:r>
      <w:bookmarkEnd w:id="77"/>
      <w:bookmarkEnd w:id="78"/>
      <w:bookmarkEnd w:id="79"/>
      <w:bookmarkEnd w:id="80"/>
      <w:bookmarkEnd w:id="81"/>
    </w:p>
    <w:p w14:paraId="34DF95C8" w14:textId="77777777" w:rsidR="00F77D1B" w:rsidRPr="00D32664" w:rsidRDefault="00F77D1B" w:rsidP="00D32664">
      <w:pPr>
        <w:ind w:left="720"/>
        <w:jc w:val="center"/>
        <w:rPr>
          <w:b/>
          <w:bCs/>
        </w:rPr>
      </w:pPr>
      <w:bookmarkStart w:id="82" w:name="_Toc322080705"/>
      <w:bookmarkStart w:id="83" w:name="_Toc326572597"/>
      <w:bookmarkStart w:id="84" w:name="_Toc330476338"/>
      <w:bookmarkStart w:id="85" w:name="_Toc333402112"/>
      <w:r w:rsidRPr="00D32664">
        <w:rPr>
          <w:b/>
          <w:bCs/>
        </w:rPr>
        <w:t>Maximum Fee for Granting an Individual Access to Health Information</w:t>
      </w:r>
      <w:bookmarkEnd w:id="82"/>
      <w:bookmarkEnd w:id="83"/>
      <w:bookmarkEnd w:id="84"/>
      <w:bookmarkEnd w:id="85"/>
    </w:p>
    <w:tbl>
      <w:tblPr>
        <w:tblStyle w:val="zBlank"/>
        <w:tblW w:w="5000" w:type="pct"/>
        <w:tblLook w:val="04A0" w:firstRow="1" w:lastRow="0" w:firstColumn="1" w:lastColumn="0" w:noHBand="0" w:noVBand="1"/>
      </w:tblPr>
      <w:tblGrid>
        <w:gridCol w:w="1025"/>
        <w:gridCol w:w="1811"/>
        <w:gridCol w:w="6190"/>
      </w:tblGrid>
      <w:tr w:rsidR="00F77D1B" w:rsidRPr="008A56AE" w14:paraId="18945A77" w14:textId="77777777" w:rsidTr="009518B7">
        <w:tc>
          <w:tcPr>
            <w:tcW w:w="568" w:type="pct"/>
            <w:tcBorders>
              <w:top w:val="single" w:sz="4" w:space="0" w:color="auto"/>
              <w:bottom w:val="single" w:sz="4" w:space="0" w:color="auto"/>
            </w:tcBorders>
            <w:hideMark/>
          </w:tcPr>
          <w:p w14:paraId="0081E56A" w14:textId="77777777" w:rsidR="00F77D1B" w:rsidRPr="008A56AE" w:rsidRDefault="00F77D1B">
            <w:pPr>
              <w:pStyle w:val="Normal-Schedule"/>
              <w:spacing w:before="60" w:after="60"/>
              <w:rPr>
                <w:rFonts w:asciiTheme="minorHAnsi" w:hAnsiTheme="minorHAnsi" w:cstheme="minorHAnsi"/>
                <w:i/>
              </w:rPr>
            </w:pPr>
            <w:r w:rsidRPr="008A56AE">
              <w:rPr>
                <w:rFonts w:asciiTheme="minorHAnsi" w:hAnsiTheme="minorHAnsi" w:cstheme="minorHAnsi"/>
                <w:i/>
              </w:rPr>
              <w:t>Item No.</w:t>
            </w:r>
          </w:p>
        </w:tc>
        <w:tc>
          <w:tcPr>
            <w:tcW w:w="1003" w:type="pct"/>
            <w:tcBorders>
              <w:top w:val="single" w:sz="4" w:space="0" w:color="auto"/>
              <w:bottom w:val="single" w:sz="4" w:space="0" w:color="auto"/>
            </w:tcBorders>
            <w:hideMark/>
          </w:tcPr>
          <w:p w14:paraId="124AB920" w14:textId="77777777" w:rsidR="00F77D1B" w:rsidRPr="008A56AE" w:rsidRDefault="00F77D1B">
            <w:pPr>
              <w:pStyle w:val="Normal-Schedule"/>
              <w:spacing w:before="60" w:after="60"/>
              <w:rPr>
                <w:rFonts w:asciiTheme="minorHAnsi" w:hAnsiTheme="minorHAnsi" w:cstheme="minorHAnsi"/>
                <w:i/>
              </w:rPr>
            </w:pPr>
            <w:r w:rsidRPr="008A56AE">
              <w:rPr>
                <w:rFonts w:asciiTheme="minorHAnsi" w:hAnsiTheme="minorHAnsi" w:cstheme="minorHAnsi"/>
                <w:i/>
              </w:rPr>
              <w:t>Manner of access under</w:t>
            </w:r>
            <w:r w:rsidRPr="008A56AE">
              <w:rPr>
                <w:rFonts w:asciiTheme="minorHAnsi" w:hAnsiTheme="minorHAnsi" w:cstheme="minorHAnsi"/>
                <w:i/>
              </w:rPr>
              <w:br/>
              <w:t>Part 5 of the Act</w:t>
            </w:r>
          </w:p>
        </w:tc>
        <w:tc>
          <w:tcPr>
            <w:tcW w:w="3430" w:type="pct"/>
            <w:tcBorders>
              <w:top w:val="single" w:sz="4" w:space="0" w:color="auto"/>
              <w:bottom w:val="single" w:sz="4" w:space="0" w:color="auto"/>
            </w:tcBorders>
            <w:hideMark/>
          </w:tcPr>
          <w:p w14:paraId="57ACBB25" w14:textId="77777777" w:rsidR="00F77D1B" w:rsidRPr="008A56AE" w:rsidRDefault="00F77D1B">
            <w:pPr>
              <w:pStyle w:val="Normal-Schedule"/>
              <w:spacing w:before="60" w:after="60"/>
              <w:rPr>
                <w:rFonts w:asciiTheme="minorHAnsi" w:hAnsiTheme="minorHAnsi" w:cstheme="minorHAnsi"/>
                <w:i/>
              </w:rPr>
            </w:pPr>
            <w:r w:rsidRPr="008A56AE">
              <w:rPr>
                <w:rFonts w:asciiTheme="minorHAnsi" w:hAnsiTheme="minorHAnsi" w:cstheme="minorHAnsi"/>
                <w:i/>
              </w:rPr>
              <w:br/>
              <w:t>Maximum fee</w:t>
            </w:r>
          </w:p>
        </w:tc>
      </w:tr>
      <w:tr w:rsidR="00F77D1B" w:rsidRPr="008A56AE" w14:paraId="03E39D71" w14:textId="77777777" w:rsidTr="009518B7">
        <w:tc>
          <w:tcPr>
            <w:tcW w:w="568" w:type="pct"/>
            <w:tcBorders>
              <w:top w:val="single" w:sz="4" w:space="0" w:color="auto"/>
            </w:tcBorders>
            <w:hideMark/>
          </w:tcPr>
          <w:p w14:paraId="0E5F4520"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1</w:t>
            </w:r>
          </w:p>
        </w:tc>
        <w:tc>
          <w:tcPr>
            <w:tcW w:w="1003" w:type="pct"/>
            <w:tcBorders>
              <w:top w:val="single" w:sz="4" w:space="0" w:color="auto"/>
            </w:tcBorders>
            <w:hideMark/>
          </w:tcPr>
          <w:p w14:paraId="77EB9172" w14:textId="77777777" w:rsidR="00F77D1B" w:rsidRPr="008A56AE" w:rsidRDefault="00F77D1B" w:rsidP="009518B7">
            <w:pPr>
              <w:pStyle w:val="Normal-Schedule"/>
              <w:tabs>
                <w:tab w:val="clear" w:pos="1814"/>
              </w:tabs>
              <w:spacing w:before="60" w:after="60"/>
              <w:ind w:right="283"/>
              <w:rPr>
                <w:rFonts w:asciiTheme="minorHAnsi" w:hAnsiTheme="minorHAnsi" w:cstheme="minorHAnsi"/>
              </w:rPr>
            </w:pPr>
            <w:r w:rsidRPr="008A56AE">
              <w:rPr>
                <w:rFonts w:asciiTheme="minorHAnsi" w:hAnsiTheme="minorHAnsi" w:cstheme="minorHAnsi"/>
              </w:rPr>
              <w:t>Inspecting health information or printout of health information stored in electronic form, with opportunity to take notes of contents</w:t>
            </w:r>
          </w:p>
        </w:tc>
        <w:tc>
          <w:tcPr>
            <w:tcW w:w="3430" w:type="pct"/>
            <w:tcBorders>
              <w:top w:val="single" w:sz="4" w:space="0" w:color="auto"/>
            </w:tcBorders>
            <w:hideMark/>
          </w:tcPr>
          <w:p w14:paraId="2337C4CB"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The total of the following amounts—</w:t>
            </w:r>
          </w:p>
          <w:p w14:paraId="2D855552"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(a)</w:t>
            </w:r>
            <w:r w:rsidRPr="008A56AE">
              <w:rPr>
                <w:rFonts w:asciiTheme="minorHAnsi" w:hAnsiTheme="minorHAnsi" w:cstheme="minorHAnsi"/>
              </w:rPr>
              <w:tab/>
              <w:t>1·2 fee units per half hour (to be calculated in increments of quarter hours or parts thereof) in respect of supervision time of inspection; and</w:t>
            </w:r>
          </w:p>
          <w:p w14:paraId="6F26FFC1"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(b)</w:t>
            </w:r>
            <w:r w:rsidRPr="008A56AE">
              <w:rPr>
                <w:rFonts w:asciiTheme="minorHAnsi" w:hAnsiTheme="minorHAnsi" w:cstheme="minorHAnsi"/>
              </w:rPr>
              <w:tab/>
              <w:t>the organisation's reasonable costs incurred in assessing and collating the health information, not exceeding 2·5 fee units; and</w:t>
            </w:r>
          </w:p>
          <w:p w14:paraId="462E8E91"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(c)</w:t>
            </w:r>
            <w:r w:rsidRPr="008A56AE">
              <w:rPr>
                <w:rFonts w:asciiTheme="minorHAnsi" w:hAnsiTheme="minorHAnsi" w:cstheme="minorHAnsi"/>
              </w:rPr>
              <w:tab/>
              <w:t>if it is necessary to use equipment that is not in the organisation's possession to inspect the health information, the organisation's reasonable costs incurred in obtaining the equipment; and</w:t>
            </w:r>
          </w:p>
          <w:p w14:paraId="03202978"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(d)</w:t>
            </w:r>
            <w:r w:rsidRPr="008A56AE">
              <w:rPr>
                <w:rFonts w:asciiTheme="minorHAnsi" w:hAnsiTheme="minorHAnsi" w:cstheme="minorHAnsi"/>
              </w:rPr>
              <w:tab/>
              <w:t>if the health information is contained in a document not stored at the organisation's usual place of business, 1·2 fee units.</w:t>
            </w:r>
          </w:p>
        </w:tc>
      </w:tr>
      <w:tr w:rsidR="00F77D1B" w:rsidRPr="008A56AE" w14:paraId="74A87E98" w14:textId="77777777" w:rsidTr="009518B7">
        <w:tc>
          <w:tcPr>
            <w:tcW w:w="568" w:type="pct"/>
            <w:hideMark/>
          </w:tcPr>
          <w:p w14:paraId="4E1B980C"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br w:type="page"/>
              <w:t>2</w:t>
            </w:r>
          </w:p>
        </w:tc>
        <w:tc>
          <w:tcPr>
            <w:tcW w:w="1003" w:type="pct"/>
            <w:hideMark/>
          </w:tcPr>
          <w:p w14:paraId="13A4E456" w14:textId="77777777" w:rsidR="00F77D1B" w:rsidRPr="008A56AE" w:rsidRDefault="00F77D1B" w:rsidP="009518B7">
            <w:pPr>
              <w:pStyle w:val="Normal-Schedule"/>
              <w:tabs>
                <w:tab w:val="clear" w:pos="1814"/>
                <w:tab w:val="left" w:pos="1248"/>
              </w:tabs>
              <w:spacing w:before="60" w:after="60"/>
              <w:ind w:right="283"/>
              <w:rPr>
                <w:rFonts w:asciiTheme="minorHAnsi" w:hAnsiTheme="minorHAnsi" w:cstheme="minorHAnsi"/>
              </w:rPr>
            </w:pPr>
            <w:r w:rsidRPr="008A56AE">
              <w:rPr>
                <w:rFonts w:asciiTheme="minorHAnsi" w:hAnsiTheme="minorHAnsi" w:cstheme="minorHAnsi"/>
              </w:rPr>
              <w:t>Viewing health information, with no explanation of contents</w:t>
            </w:r>
          </w:p>
        </w:tc>
        <w:tc>
          <w:tcPr>
            <w:tcW w:w="3430" w:type="pct"/>
            <w:hideMark/>
          </w:tcPr>
          <w:p w14:paraId="37D87595"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The total of the following amounts—</w:t>
            </w:r>
          </w:p>
          <w:p w14:paraId="0623B3C4"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(a)</w:t>
            </w:r>
            <w:r w:rsidRPr="008A56AE">
              <w:rPr>
                <w:rFonts w:asciiTheme="minorHAnsi" w:hAnsiTheme="minorHAnsi" w:cstheme="minorHAnsi"/>
              </w:rPr>
              <w:tab/>
              <w:t>1·2 fee units per half hour (to be calculated in increments of quarter hours or parts thereof) in respect of supervision time of inspection; and</w:t>
            </w:r>
          </w:p>
          <w:p w14:paraId="22B4297E"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(b)</w:t>
            </w:r>
            <w:r w:rsidRPr="008A56AE">
              <w:rPr>
                <w:rFonts w:asciiTheme="minorHAnsi" w:hAnsiTheme="minorHAnsi" w:cstheme="minorHAnsi"/>
              </w:rPr>
              <w:tab/>
              <w:t>the organisation's reasonable costs incurred in assessing and collating the health information, not exceeding 2·5 fee units; and</w:t>
            </w:r>
          </w:p>
        </w:tc>
      </w:tr>
      <w:tr w:rsidR="00F77D1B" w:rsidRPr="008A56AE" w14:paraId="14697ADB" w14:textId="77777777" w:rsidTr="009518B7">
        <w:tc>
          <w:tcPr>
            <w:tcW w:w="568" w:type="pct"/>
          </w:tcPr>
          <w:p w14:paraId="02F0C7EE" w14:textId="77777777" w:rsidR="00F77D1B" w:rsidRPr="008A56AE" w:rsidRDefault="00F77D1B">
            <w:pPr>
              <w:pStyle w:val="Normal-Schedule"/>
              <w:spacing w:before="60" w:after="60"/>
              <w:rPr>
                <w:rFonts w:asciiTheme="minorHAnsi" w:hAnsiTheme="minorHAnsi" w:cstheme="minorHAnsi"/>
              </w:rPr>
            </w:pPr>
          </w:p>
        </w:tc>
        <w:tc>
          <w:tcPr>
            <w:tcW w:w="1003" w:type="pct"/>
          </w:tcPr>
          <w:p w14:paraId="6A329514" w14:textId="77777777" w:rsidR="00F77D1B" w:rsidRPr="008A56AE" w:rsidRDefault="00F77D1B">
            <w:pPr>
              <w:pStyle w:val="Normal-Schedule"/>
              <w:spacing w:before="60" w:after="60"/>
              <w:rPr>
                <w:rFonts w:asciiTheme="minorHAnsi" w:hAnsiTheme="minorHAnsi" w:cstheme="minorHAnsi"/>
              </w:rPr>
            </w:pPr>
          </w:p>
        </w:tc>
        <w:tc>
          <w:tcPr>
            <w:tcW w:w="3430" w:type="pct"/>
            <w:hideMark/>
          </w:tcPr>
          <w:p w14:paraId="318E1322"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(c)</w:t>
            </w:r>
            <w:r w:rsidRPr="008A56AE">
              <w:rPr>
                <w:rFonts w:asciiTheme="minorHAnsi" w:hAnsiTheme="minorHAnsi" w:cstheme="minorHAnsi"/>
              </w:rPr>
              <w:tab/>
              <w:t>if it is necessary to use equipment that is not in the organisation's possession to inspect the health information, the organisation's reasonable costs incurred in obtaining the equipment; and</w:t>
            </w:r>
          </w:p>
          <w:p w14:paraId="3280DB4A"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(d)</w:t>
            </w:r>
            <w:r w:rsidRPr="008A56AE">
              <w:rPr>
                <w:rFonts w:asciiTheme="minorHAnsi" w:hAnsiTheme="minorHAnsi" w:cstheme="minorHAnsi"/>
              </w:rPr>
              <w:tab/>
              <w:t>if the health information is contained in a document not stored at the organisation's usual place of business, 1·2 fee units.</w:t>
            </w:r>
          </w:p>
        </w:tc>
      </w:tr>
      <w:tr w:rsidR="00F77D1B" w:rsidRPr="008A56AE" w14:paraId="281B873D" w14:textId="77777777" w:rsidTr="00092012">
        <w:tc>
          <w:tcPr>
            <w:tcW w:w="5000" w:type="pct"/>
            <w:gridSpan w:val="3"/>
            <w:hideMark/>
          </w:tcPr>
          <w:p w14:paraId="2D9AD649" w14:textId="649DD967" w:rsidR="00F77D1B" w:rsidRPr="008A56AE" w:rsidRDefault="00F77D1B" w:rsidP="009518B7">
            <w:pPr>
              <w:pStyle w:val="Normal-Schedule"/>
              <w:spacing w:before="60" w:after="60"/>
              <w:ind w:left="567" w:hanging="567"/>
              <w:rPr>
                <w:rFonts w:asciiTheme="minorHAnsi" w:hAnsiTheme="minorHAnsi" w:cstheme="minorHAnsi"/>
              </w:rPr>
            </w:pPr>
            <w:r w:rsidRPr="008A56AE">
              <w:rPr>
                <w:rFonts w:asciiTheme="minorHAnsi" w:hAnsiTheme="minorHAnsi" w:cstheme="minorHAnsi"/>
              </w:rPr>
              <w:t>Note:</w:t>
            </w:r>
            <w:r w:rsidRPr="008A56AE">
              <w:rPr>
                <w:rFonts w:asciiTheme="minorHAnsi" w:hAnsiTheme="minorHAnsi" w:cstheme="minorHAnsi"/>
              </w:rPr>
              <w:tab/>
              <w:t xml:space="preserve">Section 32(4) of the Act provides that a person who </w:t>
            </w:r>
            <w:proofErr w:type="gramStart"/>
            <w:r w:rsidRPr="008A56AE">
              <w:rPr>
                <w:rFonts w:asciiTheme="minorHAnsi" w:hAnsiTheme="minorHAnsi" w:cstheme="minorHAnsi"/>
              </w:rPr>
              <w:t>gives an explanation of</w:t>
            </w:r>
            <w:proofErr w:type="gramEnd"/>
            <w:r w:rsidRPr="008A56AE">
              <w:rPr>
                <w:rFonts w:asciiTheme="minorHAnsi" w:hAnsiTheme="minorHAnsi" w:cstheme="minorHAnsi"/>
              </w:rPr>
              <w:t xml:space="preserve"> health information under section 29(1)(d) of the Act may charge a fee for the service that does not exceed the amount of the person's usual fee for a consultation of a comparable duration.</w:t>
            </w:r>
          </w:p>
        </w:tc>
      </w:tr>
      <w:tr w:rsidR="00F77D1B" w:rsidRPr="008A56AE" w14:paraId="1F998E78" w14:textId="77777777" w:rsidTr="009518B7">
        <w:tc>
          <w:tcPr>
            <w:tcW w:w="568" w:type="pct"/>
            <w:hideMark/>
          </w:tcPr>
          <w:p w14:paraId="431FE509"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3</w:t>
            </w:r>
          </w:p>
        </w:tc>
        <w:tc>
          <w:tcPr>
            <w:tcW w:w="1003" w:type="pct"/>
            <w:hideMark/>
          </w:tcPr>
          <w:p w14:paraId="39A254C0" w14:textId="77777777" w:rsidR="00F77D1B" w:rsidRPr="008A56AE" w:rsidRDefault="00F77D1B" w:rsidP="009518B7">
            <w:pPr>
              <w:pStyle w:val="Normal-Schedule"/>
              <w:tabs>
                <w:tab w:val="clear" w:pos="1814"/>
                <w:tab w:val="left" w:pos="1532"/>
              </w:tabs>
              <w:spacing w:before="60" w:after="60"/>
              <w:ind w:right="283"/>
              <w:rPr>
                <w:rFonts w:asciiTheme="minorHAnsi" w:hAnsiTheme="minorHAnsi" w:cstheme="minorHAnsi"/>
              </w:rPr>
            </w:pPr>
            <w:r w:rsidRPr="008A56AE">
              <w:rPr>
                <w:rFonts w:asciiTheme="minorHAnsi" w:hAnsiTheme="minorHAnsi" w:cstheme="minorHAnsi"/>
              </w:rPr>
              <w:t>Receiving a copy of health information</w:t>
            </w:r>
          </w:p>
        </w:tc>
        <w:tc>
          <w:tcPr>
            <w:tcW w:w="3430" w:type="pct"/>
            <w:hideMark/>
          </w:tcPr>
          <w:p w14:paraId="239A125C" w14:textId="77777777" w:rsidR="00F77D1B" w:rsidRPr="008A56AE" w:rsidRDefault="00F77D1B" w:rsidP="00736DF9">
            <w:pPr>
              <w:pStyle w:val="Normal-Schedule"/>
              <w:spacing w:before="60" w:after="60"/>
              <w:jc w:val="both"/>
              <w:rPr>
                <w:rFonts w:asciiTheme="minorHAnsi" w:hAnsiTheme="minorHAnsi" w:cstheme="minorHAnsi"/>
              </w:rPr>
            </w:pPr>
            <w:r w:rsidRPr="008A56AE">
              <w:rPr>
                <w:rFonts w:asciiTheme="minorHAnsi" w:hAnsiTheme="minorHAnsi" w:cstheme="minorHAnsi"/>
              </w:rPr>
              <w:t>The total of the following amounts—</w:t>
            </w:r>
          </w:p>
          <w:p w14:paraId="68BF0745" w14:textId="77777777" w:rsidR="00F77D1B" w:rsidRPr="008A56AE" w:rsidRDefault="00F77D1B" w:rsidP="00736DF9">
            <w:pPr>
              <w:pStyle w:val="ScheduleHeading3"/>
              <w:tabs>
                <w:tab w:val="right" w:pos="219"/>
              </w:tabs>
              <w:spacing w:before="60" w:after="60"/>
              <w:ind w:left="331" w:hanging="1771"/>
              <w:jc w:val="both"/>
              <w:rPr>
                <w:rFonts w:asciiTheme="minorHAnsi" w:hAnsiTheme="minorHAnsi" w:cstheme="minorHAnsi"/>
              </w:rPr>
            </w:pPr>
            <w:r w:rsidRPr="008A56AE">
              <w:rPr>
                <w:rFonts w:asciiTheme="minorHAnsi" w:hAnsiTheme="minorHAnsi" w:cstheme="minorHAnsi"/>
              </w:rPr>
              <w:tab/>
              <w:t>(a)</w:t>
            </w:r>
            <w:r w:rsidRPr="008A56AE">
              <w:rPr>
                <w:rFonts w:asciiTheme="minorHAnsi" w:hAnsiTheme="minorHAnsi" w:cstheme="minorHAnsi"/>
              </w:rPr>
              <w:tab/>
              <w:t xml:space="preserve">if a copy is in the form of black and white A4 pages, 20 cents per </w:t>
            </w:r>
            <w:proofErr w:type="gramStart"/>
            <w:r w:rsidRPr="008A56AE">
              <w:rPr>
                <w:rFonts w:asciiTheme="minorHAnsi" w:hAnsiTheme="minorHAnsi" w:cstheme="minorHAnsi"/>
              </w:rPr>
              <w:t>page;</w:t>
            </w:r>
            <w:proofErr w:type="gramEnd"/>
            <w:r w:rsidRPr="008A56AE">
              <w:rPr>
                <w:rFonts w:asciiTheme="minorHAnsi" w:hAnsiTheme="minorHAnsi" w:cstheme="minorHAnsi"/>
              </w:rPr>
              <w:t xml:space="preserve"> and</w:t>
            </w:r>
          </w:p>
          <w:p w14:paraId="0386D695" w14:textId="77777777" w:rsidR="00F77D1B" w:rsidRPr="008A56AE" w:rsidRDefault="00F77D1B" w:rsidP="00736DF9">
            <w:pPr>
              <w:pStyle w:val="ScheduleHeading3"/>
              <w:tabs>
                <w:tab w:val="right" w:pos="219"/>
              </w:tabs>
              <w:spacing w:before="60" w:after="60"/>
              <w:ind w:left="331" w:hanging="1771"/>
              <w:jc w:val="both"/>
              <w:rPr>
                <w:rFonts w:asciiTheme="minorHAnsi" w:hAnsiTheme="minorHAnsi" w:cstheme="minorHAnsi"/>
              </w:rPr>
            </w:pPr>
            <w:r w:rsidRPr="008A56AE">
              <w:rPr>
                <w:rFonts w:asciiTheme="minorHAnsi" w:hAnsiTheme="minorHAnsi" w:cstheme="minorHAnsi"/>
              </w:rPr>
              <w:tab/>
              <w:t>(b)</w:t>
            </w:r>
            <w:r w:rsidRPr="008A56AE">
              <w:rPr>
                <w:rFonts w:asciiTheme="minorHAnsi" w:hAnsiTheme="minorHAnsi" w:cstheme="minorHAnsi"/>
              </w:rPr>
              <w:tab/>
              <w:t>if a copy is in a form other than a black and white A4 page, the organisation's reasonable costs incurred in providing the copy; and</w:t>
            </w:r>
          </w:p>
          <w:p w14:paraId="66E2D6E9" w14:textId="77777777" w:rsidR="00F77D1B" w:rsidRPr="008A56AE" w:rsidRDefault="00F77D1B" w:rsidP="00736DF9">
            <w:pPr>
              <w:pStyle w:val="ScheduleHeading3"/>
              <w:tabs>
                <w:tab w:val="right" w:pos="219"/>
              </w:tabs>
              <w:spacing w:before="60" w:after="60"/>
              <w:ind w:left="331" w:hanging="1771"/>
              <w:jc w:val="both"/>
              <w:rPr>
                <w:rFonts w:asciiTheme="minorHAnsi" w:hAnsiTheme="minorHAnsi" w:cstheme="minorHAnsi"/>
              </w:rPr>
            </w:pPr>
            <w:r w:rsidRPr="008A56AE">
              <w:rPr>
                <w:rFonts w:asciiTheme="minorHAnsi" w:hAnsiTheme="minorHAnsi" w:cstheme="minorHAnsi"/>
              </w:rPr>
              <w:tab/>
              <w:t>(c)</w:t>
            </w:r>
            <w:r w:rsidRPr="008A56AE">
              <w:rPr>
                <w:rFonts w:asciiTheme="minorHAnsi" w:hAnsiTheme="minorHAnsi" w:cstheme="minorHAnsi"/>
              </w:rPr>
              <w:tab/>
              <w:t>the organisation's reasonable costs incurred in assessing and collating the health information, not exceeding 2·5 fee units; and</w:t>
            </w:r>
          </w:p>
          <w:p w14:paraId="275B9F1C" w14:textId="77777777" w:rsidR="00F77D1B" w:rsidRPr="008A56AE" w:rsidRDefault="00F77D1B" w:rsidP="00736DF9">
            <w:pPr>
              <w:pStyle w:val="ScheduleHeading3"/>
              <w:tabs>
                <w:tab w:val="right" w:pos="219"/>
              </w:tabs>
              <w:spacing w:before="60" w:after="60"/>
              <w:ind w:left="331" w:hanging="1771"/>
              <w:jc w:val="both"/>
              <w:rPr>
                <w:rFonts w:asciiTheme="minorHAnsi" w:hAnsiTheme="minorHAnsi" w:cstheme="minorHAnsi"/>
              </w:rPr>
            </w:pPr>
            <w:r w:rsidRPr="008A56AE">
              <w:rPr>
                <w:rFonts w:asciiTheme="minorHAnsi" w:hAnsiTheme="minorHAnsi" w:cstheme="minorHAnsi"/>
              </w:rPr>
              <w:lastRenderedPageBreak/>
              <w:tab/>
              <w:t>(d)</w:t>
            </w:r>
            <w:r w:rsidRPr="008A56AE">
              <w:rPr>
                <w:rFonts w:asciiTheme="minorHAnsi" w:hAnsiTheme="minorHAnsi" w:cstheme="minorHAnsi"/>
              </w:rPr>
              <w:tab/>
              <w:t>if the health information is contained in a document not stored at the organisation's usual place of business, 1·2 fee units; and</w:t>
            </w:r>
          </w:p>
          <w:p w14:paraId="00F3AF52" w14:textId="77777777" w:rsidR="00F77D1B" w:rsidRPr="008A56AE" w:rsidRDefault="00F77D1B" w:rsidP="00736DF9">
            <w:pPr>
              <w:pStyle w:val="ScheduleHeading3"/>
              <w:tabs>
                <w:tab w:val="right" w:pos="219"/>
              </w:tabs>
              <w:spacing w:before="60" w:after="60"/>
              <w:ind w:left="331" w:hanging="1771"/>
              <w:jc w:val="both"/>
              <w:rPr>
                <w:rFonts w:asciiTheme="minorHAnsi" w:hAnsiTheme="minorHAnsi" w:cstheme="minorHAnsi"/>
              </w:rPr>
            </w:pPr>
            <w:r w:rsidRPr="008A56AE">
              <w:rPr>
                <w:rFonts w:asciiTheme="minorHAnsi" w:hAnsiTheme="minorHAnsi" w:cstheme="minorHAnsi"/>
              </w:rPr>
              <w:t>(d)</w:t>
            </w:r>
            <w:r w:rsidRPr="008A56AE">
              <w:rPr>
                <w:rFonts w:asciiTheme="minorHAnsi" w:hAnsiTheme="minorHAnsi" w:cstheme="minorHAnsi"/>
              </w:rPr>
              <w:tab/>
              <w:t>(e)</w:t>
            </w:r>
            <w:r w:rsidRPr="008A56AE">
              <w:rPr>
                <w:rFonts w:asciiTheme="minorHAnsi" w:hAnsiTheme="minorHAnsi" w:cstheme="minorHAnsi"/>
              </w:rPr>
              <w:tab/>
              <w:t>if the person requests the copies to be posted, the actual postage costs incurred by the organisation.</w:t>
            </w:r>
          </w:p>
        </w:tc>
      </w:tr>
      <w:tr w:rsidR="00EC1842" w:rsidRPr="008A56AE" w14:paraId="5E6A32A2" w14:textId="77777777" w:rsidTr="009518B7">
        <w:tc>
          <w:tcPr>
            <w:tcW w:w="568" w:type="pct"/>
            <w:tcBorders>
              <w:bottom w:val="single" w:sz="4" w:space="0" w:color="auto"/>
            </w:tcBorders>
          </w:tcPr>
          <w:p w14:paraId="6E5A4DCA" w14:textId="4C46A985" w:rsidR="00EC1842" w:rsidRPr="008A56AE" w:rsidRDefault="00EC1842" w:rsidP="00EC1842">
            <w:pPr>
              <w:pStyle w:val="Normal-Schedule"/>
              <w:spacing w:before="60" w:after="60"/>
              <w:rPr>
                <w:rFonts w:asciiTheme="minorHAnsi" w:hAnsiTheme="minorHAnsi" w:cstheme="minorHAnsi"/>
              </w:rPr>
            </w:pPr>
            <w:r w:rsidRPr="008A56AE">
              <w:rPr>
                <w:rFonts w:asciiTheme="minorHAnsi" w:hAnsiTheme="minorHAnsi" w:cstheme="minorHAnsi"/>
              </w:rPr>
              <w:lastRenderedPageBreak/>
              <w:t>4</w:t>
            </w:r>
          </w:p>
        </w:tc>
        <w:tc>
          <w:tcPr>
            <w:tcW w:w="1003" w:type="pct"/>
            <w:tcBorders>
              <w:bottom w:val="single" w:sz="4" w:space="0" w:color="auto"/>
            </w:tcBorders>
          </w:tcPr>
          <w:p w14:paraId="196730CD" w14:textId="4DE23D7D" w:rsidR="00EC1842" w:rsidRPr="008A56AE" w:rsidRDefault="00EC1842" w:rsidP="009518B7">
            <w:pPr>
              <w:pStyle w:val="Normal-Schedule"/>
              <w:tabs>
                <w:tab w:val="clear" w:pos="1814"/>
                <w:tab w:val="left" w:pos="1248"/>
              </w:tabs>
              <w:spacing w:before="60" w:after="60"/>
              <w:ind w:right="283"/>
              <w:rPr>
                <w:rFonts w:asciiTheme="minorHAnsi" w:hAnsiTheme="minorHAnsi" w:cstheme="minorHAnsi"/>
              </w:rPr>
            </w:pPr>
            <w:r w:rsidRPr="008A56AE">
              <w:rPr>
                <w:rFonts w:asciiTheme="minorHAnsi" w:hAnsiTheme="minorHAnsi" w:cstheme="minorHAnsi"/>
              </w:rPr>
              <w:t>Receiving an accurate summary of health information</w:t>
            </w:r>
          </w:p>
        </w:tc>
        <w:tc>
          <w:tcPr>
            <w:tcW w:w="3430" w:type="pct"/>
            <w:tcBorders>
              <w:bottom w:val="single" w:sz="4" w:space="0" w:color="auto"/>
            </w:tcBorders>
          </w:tcPr>
          <w:p w14:paraId="7B5DCD02" w14:textId="77777777" w:rsidR="00EC1842" w:rsidRPr="008A56AE" w:rsidRDefault="00EC1842" w:rsidP="00736DF9">
            <w:pPr>
              <w:pStyle w:val="Normal-Schedule"/>
              <w:spacing w:before="40" w:after="40"/>
              <w:jc w:val="both"/>
              <w:rPr>
                <w:rFonts w:asciiTheme="minorHAnsi" w:hAnsiTheme="minorHAnsi" w:cstheme="minorHAnsi"/>
              </w:rPr>
            </w:pPr>
            <w:r w:rsidRPr="008A56AE">
              <w:rPr>
                <w:rFonts w:asciiTheme="minorHAnsi" w:hAnsiTheme="minorHAnsi" w:cstheme="minorHAnsi"/>
              </w:rPr>
              <w:t>The total of the following amounts—</w:t>
            </w:r>
          </w:p>
          <w:p w14:paraId="588EB572" w14:textId="77777777" w:rsidR="00EC1842" w:rsidRPr="008A56AE" w:rsidRDefault="00EC1842" w:rsidP="00736DF9">
            <w:pPr>
              <w:pStyle w:val="ScheduleHeading3"/>
              <w:tabs>
                <w:tab w:val="right" w:pos="219"/>
              </w:tabs>
              <w:spacing w:before="40" w:after="40"/>
              <w:ind w:left="331" w:hanging="1771"/>
              <w:jc w:val="both"/>
              <w:rPr>
                <w:rFonts w:asciiTheme="minorHAnsi" w:hAnsiTheme="minorHAnsi" w:cstheme="minorHAnsi"/>
              </w:rPr>
            </w:pPr>
            <w:r w:rsidRPr="008A56AE">
              <w:rPr>
                <w:rFonts w:asciiTheme="minorHAnsi" w:hAnsiTheme="minorHAnsi" w:cstheme="minorHAnsi"/>
              </w:rPr>
              <w:tab/>
              <w:t>(a)</w:t>
            </w:r>
            <w:r w:rsidRPr="008A56AE">
              <w:rPr>
                <w:rFonts w:asciiTheme="minorHAnsi" w:hAnsiTheme="minorHAnsi" w:cstheme="minorHAnsi"/>
              </w:rPr>
              <w:tab/>
              <w:t>if the organisation is a health service provider and an accurate summary does not exist before the request is made, an amount (not exceeding 9·4 fee units) that is calculated by reference to the time taken to prepare the accurate summary—</w:t>
            </w:r>
          </w:p>
          <w:p w14:paraId="75D3A9A8" w14:textId="77777777" w:rsidR="00EC1842" w:rsidRPr="008A56AE" w:rsidRDefault="00EC1842" w:rsidP="00736DF9">
            <w:pPr>
              <w:pStyle w:val="ScheduleHeading4"/>
              <w:tabs>
                <w:tab w:val="right" w:pos="611"/>
              </w:tabs>
              <w:spacing w:before="40" w:after="40"/>
              <w:ind w:left="779" w:hanging="574"/>
              <w:jc w:val="both"/>
              <w:rPr>
                <w:rFonts w:asciiTheme="minorHAnsi" w:hAnsiTheme="minorHAnsi" w:cstheme="minorHAnsi"/>
                <w:lang w:val="en-GB"/>
              </w:rPr>
            </w:pPr>
            <w:r w:rsidRPr="008A56AE">
              <w:rPr>
                <w:rFonts w:asciiTheme="minorHAnsi" w:hAnsiTheme="minorHAnsi" w:cstheme="minorHAnsi"/>
                <w:lang w:val="en-GB"/>
              </w:rPr>
              <w:tab/>
              <w:t>(i)</w:t>
            </w:r>
            <w:r w:rsidRPr="008A56AE">
              <w:rPr>
                <w:rFonts w:asciiTheme="minorHAnsi" w:hAnsiTheme="minorHAnsi" w:cstheme="minorHAnsi"/>
                <w:lang w:val="en-GB"/>
              </w:rPr>
              <w:tab/>
              <w:t>based on the usual fee of the health service provider for a consultation of a comparable duration; or</w:t>
            </w:r>
          </w:p>
          <w:p w14:paraId="54208AAA" w14:textId="77777777" w:rsidR="00EC1842" w:rsidRPr="008A56AE" w:rsidRDefault="00EC1842" w:rsidP="00736DF9">
            <w:pPr>
              <w:pStyle w:val="ScheduleHeading4"/>
              <w:tabs>
                <w:tab w:val="right" w:pos="611"/>
              </w:tabs>
              <w:spacing w:before="40" w:after="40"/>
              <w:ind w:left="779" w:hanging="574"/>
              <w:jc w:val="both"/>
              <w:rPr>
                <w:rFonts w:asciiTheme="minorHAnsi" w:hAnsiTheme="minorHAnsi" w:cstheme="minorHAnsi"/>
                <w:lang w:val="en-GB"/>
              </w:rPr>
            </w:pPr>
            <w:r w:rsidRPr="008A56AE">
              <w:rPr>
                <w:rFonts w:asciiTheme="minorHAnsi" w:hAnsiTheme="minorHAnsi" w:cstheme="minorHAnsi"/>
                <w:lang w:val="en-GB"/>
              </w:rPr>
              <w:tab/>
              <w:t>(ii)</w:t>
            </w:r>
            <w:r w:rsidRPr="008A56AE">
              <w:rPr>
                <w:rFonts w:asciiTheme="minorHAnsi" w:hAnsiTheme="minorHAnsi" w:cstheme="minorHAnsi"/>
                <w:lang w:val="en-GB"/>
              </w:rPr>
              <w:tab/>
              <w:t>at the rate of 2·9 fee units per quarter hour (or part of a quarter hour)—</w:t>
            </w:r>
          </w:p>
          <w:p w14:paraId="7F7486AD" w14:textId="77777777" w:rsidR="00EC1842" w:rsidRPr="008A56AE" w:rsidRDefault="00EC1842" w:rsidP="00736DF9">
            <w:pPr>
              <w:pStyle w:val="ScheduleHeading4"/>
              <w:tabs>
                <w:tab w:val="right" w:pos="611"/>
              </w:tabs>
              <w:spacing w:before="40" w:after="40"/>
              <w:ind w:left="850" w:hanging="574"/>
              <w:jc w:val="both"/>
              <w:rPr>
                <w:rFonts w:asciiTheme="minorHAnsi" w:hAnsiTheme="minorHAnsi" w:cstheme="minorHAnsi"/>
              </w:rPr>
            </w:pPr>
            <w:r w:rsidRPr="008A56AE">
              <w:rPr>
                <w:rFonts w:asciiTheme="minorHAnsi" w:hAnsiTheme="minorHAnsi" w:cstheme="minorHAnsi"/>
              </w:rPr>
              <w:t>whichever is the greater; and</w:t>
            </w:r>
          </w:p>
          <w:p w14:paraId="345FA2C5" w14:textId="77777777" w:rsidR="00EC1842" w:rsidRPr="008A56AE" w:rsidRDefault="00EC1842" w:rsidP="00736DF9">
            <w:pPr>
              <w:pStyle w:val="ScheduleHeading3"/>
              <w:tabs>
                <w:tab w:val="right" w:pos="219"/>
              </w:tabs>
              <w:spacing w:before="40" w:after="40"/>
              <w:ind w:left="331" w:hanging="1771"/>
              <w:jc w:val="both"/>
              <w:rPr>
                <w:rFonts w:asciiTheme="minorHAnsi" w:hAnsiTheme="minorHAnsi" w:cstheme="minorHAnsi"/>
              </w:rPr>
            </w:pPr>
            <w:r w:rsidRPr="008A56AE">
              <w:rPr>
                <w:rFonts w:asciiTheme="minorHAnsi" w:hAnsiTheme="minorHAnsi" w:cstheme="minorHAnsi"/>
              </w:rPr>
              <w:tab/>
              <w:t>(b)</w:t>
            </w:r>
            <w:r w:rsidRPr="008A56AE">
              <w:rPr>
                <w:rFonts w:asciiTheme="minorHAnsi" w:hAnsiTheme="minorHAnsi" w:cstheme="minorHAnsi"/>
              </w:rPr>
              <w:tab/>
              <w:t>if the organisation is not a health service provider and an accurate summary does not exist before the request is made, the organisation's reasonable costs incurred calculated by reference to the time taken to prepare the accurate summary, not exceeding the lesser of—</w:t>
            </w:r>
          </w:p>
          <w:p w14:paraId="53F42639" w14:textId="77777777" w:rsidR="00EC1842" w:rsidRPr="008A56AE" w:rsidRDefault="00EC1842" w:rsidP="00736DF9">
            <w:pPr>
              <w:pStyle w:val="ScheduleHeading4"/>
              <w:tabs>
                <w:tab w:val="right" w:pos="611"/>
              </w:tabs>
              <w:spacing w:before="40" w:after="40"/>
              <w:ind w:left="779" w:hanging="574"/>
              <w:jc w:val="both"/>
              <w:rPr>
                <w:rFonts w:asciiTheme="minorHAnsi" w:hAnsiTheme="minorHAnsi" w:cstheme="minorHAnsi"/>
                <w:lang w:val="en-GB"/>
              </w:rPr>
            </w:pPr>
            <w:r w:rsidRPr="008A56AE">
              <w:rPr>
                <w:rFonts w:asciiTheme="minorHAnsi" w:hAnsiTheme="minorHAnsi" w:cstheme="minorHAnsi"/>
                <w:lang w:val="en-GB"/>
              </w:rPr>
              <w:tab/>
              <w:t>(i)</w:t>
            </w:r>
            <w:r w:rsidRPr="008A56AE">
              <w:rPr>
                <w:rFonts w:asciiTheme="minorHAnsi" w:hAnsiTheme="minorHAnsi" w:cstheme="minorHAnsi"/>
                <w:lang w:val="en-GB"/>
              </w:rPr>
              <w:tab/>
              <w:t>2·9 fee units per quarter hour (or part of a quarter hour); or</w:t>
            </w:r>
          </w:p>
          <w:p w14:paraId="586B3D8F" w14:textId="77777777" w:rsidR="00EC1842" w:rsidRPr="008A56AE" w:rsidRDefault="00EC1842" w:rsidP="00736DF9">
            <w:pPr>
              <w:pStyle w:val="ScheduleHeading4"/>
              <w:tabs>
                <w:tab w:val="right" w:pos="611"/>
              </w:tabs>
              <w:spacing w:before="40" w:after="40"/>
              <w:ind w:left="779" w:hanging="574"/>
              <w:jc w:val="both"/>
              <w:rPr>
                <w:rFonts w:asciiTheme="minorHAnsi" w:hAnsiTheme="minorHAnsi" w:cstheme="minorHAnsi"/>
                <w:lang w:val="en-GB"/>
              </w:rPr>
            </w:pPr>
            <w:r w:rsidRPr="008A56AE">
              <w:rPr>
                <w:rFonts w:asciiTheme="minorHAnsi" w:hAnsiTheme="minorHAnsi" w:cstheme="minorHAnsi"/>
                <w:lang w:val="en-GB"/>
              </w:rPr>
              <w:tab/>
              <w:t>(ii)</w:t>
            </w:r>
            <w:r w:rsidRPr="008A56AE">
              <w:rPr>
                <w:rFonts w:asciiTheme="minorHAnsi" w:hAnsiTheme="minorHAnsi" w:cstheme="minorHAnsi"/>
                <w:lang w:val="en-GB"/>
              </w:rPr>
              <w:tab/>
              <w:t>9</w:t>
            </w:r>
            <w:r w:rsidRPr="008A56AE">
              <w:rPr>
                <w:rFonts w:asciiTheme="minorHAnsi" w:hAnsiTheme="minorHAnsi" w:cstheme="minorHAnsi"/>
              </w:rPr>
              <w:t>·4</w:t>
            </w:r>
            <w:r w:rsidRPr="008A56AE">
              <w:rPr>
                <w:rFonts w:asciiTheme="minorHAnsi" w:hAnsiTheme="minorHAnsi" w:cstheme="minorHAnsi"/>
                <w:lang w:val="en-GB"/>
              </w:rPr>
              <w:t xml:space="preserve"> fee units; and</w:t>
            </w:r>
          </w:p>
          <w:p w14:paraId="1B2BBFE1" w14:textId="77777777" w:rsidR="00375545" w:rsidRDefault="00EC1842" w:rsidP="00375545">
            <w:pPr>
              <w:pStyle w:val="ScheduleHeading3"/>
              <w:tabs>
                <w:tab w:val="right" w:pos="219"/>
              </w:tabs>
              <w:spacing w:before="40" w:after="40"/>
              <w:ind w:left="331" w:hanging="1771"/>
              <w:jc w:val="both"/>
              <w:rPr>
                <w:rFonts w:asciiTheme="minorHAnsi" w:hAnsiTheme="minorHAnsi" w:cstheme="minorHAnsi"/>
              </w:rPr>
            </w:pPr>
            <w:r w:rsidRPr="008A56AE">
              <w:rPr>
                <w:rFonts w:asciiTheme="minorHAnsi" w:hAnsiTheme="minorHAnsi" w:cstheme="minorHAnsi"/>
              </w:rPr>
              <w:tab/>
              <w:t>(c)</w:t>
            </w:r>
            <w:r w:rsidRPr="008A56AE">
              <w:rPr>
                <w:rFonts w:asciiTheme="minorHAnsi" w:hAnsiTheme="minorHAnsi" w:cstheme="minorHAnsi"/>
              </w:rPr>
              <w:tab/>
              <w:t>if the health information is contained in a document not stored at the organisation's usual place of business, 1·2 fee units; and</w:t>
            </w:r>
            <w:r w:rsidR="00375545">
              <w:rPr>
                <w:rFonts w:asciiTheme="minorHAnsi" w:hAnsiTheme="minorHAnsi" w:cstheme="minorHAnsi"/>
              </w:rPr>
              <w:t xml:space="preserve"> </w:t>
            </w:r>
          </w:p>
          <w:p w14:paraId="26C7EA09" w14:textId="41DE435B" w:rsidR="00EC1842" w:rsidRPr="008A56AE" w:rsidRDefault="00375545" w:rsidP="00375545">
            <w:pPr>
              <w:pStyle w:val="ScheduleHeading3"/>
              <w:tabs>
                <w:tab w:val="right" w:pos="219"/>
              </w:tabs>
              <w:spacing w:before="40" w:after="40"/>
              <w:ind w:left="331" w:hanging="331"/>
              <w:jc w:val="both"/>
              <w:rPr>
                <w:rFonts w:asciiTheme="minorHAnsi" w:hAnsiTheme="minorHAnsi" w:cstheme="minorHAnsi"/>
              </w:rPr>
            </w:pPr>
            <w:r>
              <w:rPr>
                <w:rFonts w:asciiTheme="minorHAnsi" w:hAnsiTheme="minorHAnsi" w:cstheme="minorHAnsi"/>
              </w:rPr>
              <w:t xml:space="preserve">(d) </w:t>
            </w:r>
            <w:r w:rsidR="00EC1842" w:rsidRPr="008A56AE">
              <w:rPr>
                <w:rFonts w:asciiTheme="minorHAnsi" w:hAnsiTheme="minorHAnsi" w:cstheme="minorHAnsi"/>
              </w:rPr>
              <w:t>if the person requests the summary to be posted, the actual postage costs incurred by the organisation.</w:t>
            </w:r>
          </w:p>
        </w:tc>
      </w:tr>
    </w:tbl>
    <w:p w14:paraId="75E639E4" w14:textId="77777777" w:rsidR="00F77D1B" w:rsidRDefault="00F77D1B" w:rsidP="00F77D1B">
      <w:pPr>
        <w:pStyle w:val="Normal-Schedule"/>
        <w:rPr>
          <w:sz w:val="2"/>
          <w:szCs w:val="2"/>
        </w:rPr>
      </w:pPr>
    </w:p>
    <w:p w14:paraId="557D5569" w14:textId="77777777" w:rsidR="00F77D1B" w:rsidRPr="00D32664" w:rsidRDefault="00F77D1B" w:rsidP="00D32664">
      <w:pPr>
        <w:ind w:left="720"/>
        <w:jc w:val="center"/>
        <w:rPr>
          <w:b/>
          <w:bCs/>
        </w:rPr>
      </w:pPr>
      <w:r>
        <w:br w:type="page"/>
      </w:r>
      <w:bookmarkStart w:id="86" w:name="_Toc192051909"/>
      <w:bookmarkStart w:id="87" w:name="_Toc322080706"/>
      <w:bookmarkStart w:id="88" w:name="_Toc326572598"/>
      <w:bookmarkStart w:id="89" w:name="_Toc330476339"/>
      <w:bookmarkStart w:id="90" w:name="_Toc333402113"/>
      <w:r w:rsidRPr="00D32664">
        <w:rPr>
          <w:b/>
          <w:bCs/>
        </w:rPr>
        <w:lastRenderedPageBreak/>
        <w:t>SCHEDULE 2</w:t>
      </w:r>
      <w:bookmarkEnd w:id="86"/>
      <w:bookmarkEnd w:id="87"/>
      <w:bookmarkEnd w:id="88"/>
      <w:bookmarkEnd w:id="89"/>
      <w:bookmarkEnd w:id="90"/>
    </w:p>
    <w:p w14:paraId="34052303" w14:textId="77777777" w:rsidR="00F77D1B" w:rsidRPr="00D32664" w:rsidRDefault="00F77D1B" w:rsidP="00D32664">
      <w:pPr>
        <w:ind w:left="720"/>
        <w:jc w:val="center"/>
        <w:rPr>
          <w:b/>
          <w:bCs/>
        </w:rPr>
      </w:pPr>
      <w:bookmarkStart w:id="91" w:name="_Toc322080707"/>
      <w:bookmarkStart w:id="92" w:name="_Toc326572599"/>
      <w:bookmarkStart w:id="93" w:name="_Toc330476340"/>
      <w:bookmarkStart w:id="94" w:name="_Toc333402114"/>
      <w:r w:rsidRPr="00D32664">
        <w:rPr>
          <w:b/>
          <w:bCs/>
        </w:rPr>
        <w:t>Maximum Fee for Making Health Information Available to Another Health Service Provider</w:t>
      </w:r>
      <w:bookmarkEnd w:id="91"/>
      <w:bookmarkEnd w:id="92"/>
      <w:bookmarkEnd w:id="93"/>
      <w:bookmarkEnd w:id="94"/>
    </w:p>
    <w:tbl>
      <w:tblPr>
        <w:tblW w:w="5000" w:type="pct"/>
        <w:tblLook w:val="04A0" w:firstRow="1" w:lastRow="0" w:firstColumn="1" w:lastColumn="0" w:noHBand="0" w:noVBand="1"/>
      </w:tblPr>
      <w:tblGrid>
        <w:gridCol w:w="1026"/>
        <w:gridCol w:w="2803"/>
        <w:gridCol w:w="5197"/>
      </w:tblGrid>
      <w:tr w:rsidR="00F77D1B" w:rsidRPr="008A56AE" w14:paraId="464AD856" w14:textId="77777777" w:rsidTr="009518B7">
        <w:tc>
          <w:tcPr>
            <w:tcW w:w="568" w:type="pct"/>
            <w:tcBorders>
              <w:top w:val="single" w:sz="4" w:space="0" w:color="auto"/>
              <w:left w:val="nil"/>
              <w:bottom w:val="single" w:sz="4" w:space="0" w:color="auto"/>
              <w:right w:val="nil"/>
            </w:tcBorders>
            <w:hideMark/>
          </w:tcPr>
          <w:p w14:paraId="441CFB76" w14:textId="77777777" w:rsidR="00F77D1B" w:rsidRPr="008A56AE" w:rsidRDefault="00F77D1B">
            <w:pPr>
              <w:pStyle w:val="Normal-Schedule"/>
              <w:spacing w:before="60" w:after="60"/>
              <w:rPr>
                <w:rFonts w:asciiTheme="minorHAnsi" w:hAnsiTheme="minorHAnsi" w:cstheme="minorHAnsi"/>
                <w:i/>
              </w:rPr>
            </w:pPr>
            <w:r w:rsidRPr="008A56AE">
              <w:rPr>
                <w:rFonts w:asciiTheme="minorHAnsi" w:hAnsiTheme="minorHAnsi" w:cstheme="minorHAnsi"/>
                <w:i/>
              </w:rPr>
              <w:t>Item No.</w:t>
            </w:r>
          </w:p>
        </w:tc>
        <w:tc>
          <w:tcPr>
            <w:tcW w:w="1553" w:type="pct"/>
            <w:tcBorders>
              <w:top w:val="single" w:sz="4" w:space="0" w:color="auto"/>
              <w:left w:val="nil"/>
              <w:bottom w:val="single" w:sz="4" w:space="0" w:color="auto"/>
              <w:right w:val="nil"/>
            </w:tcBorders>
            <w:hideMark/>
          </w:tcPr>
          <w:p w14:paraId="26E7C1C0" w14:textId="77777777" w:rsidR="00F77D1B" w:rsidRPr="008A56AE" w:rsidRDefault="00F77D1B">
            <w:pPr>
              <w:pStyle w:val="Normal-Schedule"/>
              <w:spacing w:before="60" w:after="60"/>
              <w:rPr>
                <w:rFonts w:asciiTheme="minorHAnsi" w:hAnsiTheme="minorHAnsi" w:cstheme="minorHAnsi"/>
                <w:i/>
              </w:rPr>
            </w:pPr>
            <w:r w:rsidRPr="008A56AE">
              <w:rPr>
                <w:rFonts w:asciiTheme="minorHAnsi" w:hAnsiTheme="minorHAnsi" w:cstheme="minorHAnsi"/>
                <w:i/>
              </w:rPr>
              <w:t>Manner of access under</w:t>
            </w:r>
            <w:r w:rsidRPr="008A56AE">
              <w:rPr>
                <w:rFonts w:asciiTheme="minorHAnsi" w:hAnsiTheme="minorHAnsi" w:cstheme="minorHAnsi"/>
                <w:i/>
              </w:rPr>
              <w:br/>
              <w:t>HPP 11.1</w:t>
            </w:r>
          </w:p>
        </w:tc>
        <w:tc>
          <w:tcPr>
            <w:tcW w:w="2879" w:type="pct"/>
            <w:tcBorders>
              <w:top w:val="single" w:sz="4" w:space="0" w:color="auto"/>
              <w:left w:val="nil"/>
              <w:bottom w:val="single" w:sz="4" w:space="0" w:color="auto"/>
              <w:right w:val="nil"/>
            </w:tcBorders>
            <w:hideMark/>
          </w:tcPr>
          <w:p w14:paraId="24009B19" w14:textId="77777777" w:rsidR="00F77D1B" w:rsidRPr="008A56AE" w:rsidRDefault="00F77D1B">
            <w:pPr>
              <w:pStyle w:val="Normal-Schedule"/>
              <w:spacing w:before="60" w:after="60"/>
              <w:rPr>
                <w:rFonts w:asciiTheme="minorHAnsi" w:hAnsiTheme="minorHAnsi" w:cstheme="minorHAnsi"/>
                <w:i/>
              </w:rPr>
            </w:pPr>
            <w:r w:rsidRPr="008A56AE">
              <w:rPr>
                <w:rFonts w:asciiTheme="minorHAnsi" w:hAnsiTheme="minorHAnsi" w:cstheme="minorHAnsi"/>
                <w:i/>
              </w:rPr>
              <w:br/>
              <w:t>Maximum fee</w:t>
            </w:r>
          </w:p>
        </w:tc>
      </w:tr>
      <w:tr w:rsidR="00F77D1B" w:rsidRPr="008A56AE" w14:paraId="2E579DF3" w14:textId="77777777" w:rsidTr="009518B7">
        <w:tc>
          <w:tcPr>
            <w:tcW w:w="568" w:type="pct"/>
            <w:tcBorders>
              <w:top w:val="single" w:sz="4" w:space="0" w:color="auto"/>
              <w:left w:val="nil"/>
              <w:bottom w:val="nil"/>
              <w:right w:val="nil"/>
            </w:tcBorders>
            <w:hideMark/>
          </w:tcPr>
          <w:p w14:paraId="405A354E"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1</w:t>
            </w:r>
          </w:p>
        </w:tc>
        <w:tc>
          <w:tcPr>
            <w:tcW w:w="1553" w:type="pct"/>
            <w:tcBorders>
              <w:top w:val="single" w:sz="4" w:space="0" w:color="auto"/>
              <w:left w:val="nil"/>
              <w:bottom w:val="nil"/>
              <w:right w:val="nil"/>
            </w:tcBorders>
            <w:hideMark/>
          </w:tcPr>
          <w:p w14:paraId="5FBBD7E9"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Provision by a health service provider of a copy of health information to another health service provider</w:t>
            </w:r>
          </w:p>
        </w:tc>
        <w:tc>
          <w:tcPr>
            <w:tcW w:w="2879" w:type="pct"/>
            <w:tcBorders>
              <w:top w:val="single" w:sz="4" w:space="0" w:color="auto"/>
              <w:left w:val="nil"/>
              <w:bottom w:val="nil"/>
              <w:right w:val="nil"/>
            </w:tcBorders>
            <w:hideMark/>
          </w:tcPr>
          <w:p w14:paraId="4456F909"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(a)</w:t>
            </w:r>
            <w:r w:rsidRPr="008A56AE">
              <w:rPr>
                <w:rFonts w:asciiTheme="minorHAnsi" w:hAnsiTheme="minorHAnsi" w:cstheme="minorHAnsi"/>
              </w:rPr>
              <w:tab/>
              <w:t xml:space="preserve">If the copy consists of at least 20 black and white A4 pages, 20 cents per </w:t>
            </w:r>
            <w:proofErr w:type="gramStart"/>
            <w:r w:rsidRPr="008A56AE">
              <w:rPr>
                <w:rFonts w:asciiTheme="minorHAnsi" w:hAnsiTheme="minorHAnsi" w:cstheme="minorHAnsi"/>
              </w:rPr>
              <w:t>page;</w:t>
            </w:r>
            <w:proofErr w:type="gramEnd"/>
          </w:p>
          <w:p w14:paraId="579C9D9E"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(b)</w:t>
            </w:r>
            <w:r w:rsidRPr="008A56AE">
              <w:rPr>
                <w:rFonts w:asciiTheme="minorHAnsi" w:hAnsiTheme="minorHAnsi" w:cstheme="minorHAnsi"/>
              </w:rPr>
              <w:tab/>
              <w:t>if the copy is in a form other than a black and white A4 page, the health service provider's reasonable costs incurred in providing the copy.</w:t>
            </w:r>
          </w:p>
        </w:tc>
      </w:tr>
      <w:tr w:rsidR="00F77D1B" w:rsidRPr="008A56AE" w14:paraId="206BBB9D" w14:textId="77777777" w:rsidTr="009518B7">
        <w:tc>
          <w:tcPr>
            <w:tcW w:w="568" w:type="pct"/>
            <w:tcBorders>
              <w:top w:val="nil"/>
              <w:left w:val="nil"/>
              <w:bottom w:val="single" w:sz="4" w:space="0" w:color="auto"/>
              <w:right w:val="nil"/>
            </w:tcBorders>
            <w:hideMark/>
          </w:tcPr>
          <w:p w14:paraId="72534E2A"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2</w:t>
            </w:r>
          </w:p>
        </w:tc>
        <w:tc>
          <w:tcPr>
            <w:tcW w:w="1553" w:type="pct"/>
            <w:tcBorders>
              <w:top w:val="nil"/>
              <w:left w:val="nil"/>
              <w:bottom w:val="single" w:sz="4" w:space="0" w:color="auto"/>
              <w:right w:val="nil"/>
            </w:tcBorders>
            <w:hideMark/>
          </w:tcPr>
          <w:p w14:paraId="00EA87C4"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Provision by a health service provider of an accurate summary of health information to another health service provider</w:t>
            </w:r>
          </w:p>
        </w:tc>
        <w:tc>
          <w:tcPr>
            <w:tcW w:w="2879" w:type="pct"/>
            <w:tcBorders>
              <w:top w:val="nil"/>
              <w:left w:val="nil"/>
              <w:bottom w:val="single" w:sz="4" w:space="0" w:color="auto"/>
              <w:right w:val="nil"/>
            </w:tcBorders>
            <w:hideMark/>
          </w:tcPr>
          <w:p w14:paraId="406709E6"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If an accurate summary does not exist before the request is made, and it takes the health service provider at least a quarter of an hour to prepare an accurate summary, an amount (not exceeding 9·4 fee units) that is calculated by reference to the time taken to prepare the accurate summary—</w:t>
            </w:r>
          </w:p>
          <w:p w14:paraId="4BF39007"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(a)</w:t>
            </w:r>
            <w:r w:rsidRPr="008A56AE">
              <w:rPr>
                <w:rFonts w:asciiTheme="minorHAnsi" w:hAnsiTheme="minorHAnsi" w:cstheme="minorHAnsi"/>
              </w:rPr>
              <w:tab/>
              <w:t>at the rate of 2·9 fee units per quarter hour (or part of a quarter hour); or</w:t>
            </w:r>
          </w:p>
          <w:p w14:paraId="59E928D2" w14:textId="77777777" w:rsidR="00F77D1B" w:rsidRPr="008A56AE" w:rsidRDefault="00F77D1B">
            <w:pPr>
              <w:pStyle w:val="ScheduleHeading3"/>
              <w:tabs>
                <w:tab w:val="right" w:pos="219"/>
              </w:tabs>
              <w:spacing w:before="60" w:after="60"/>
              <w:ind w:left="331" w:hanging="1771"/>
              <w:rPr>
                <w:rFonts w:asciiTheme="minorHAnsi" w:hAnsiTheme="minorHAnsi" w:cstheme="minorHAnsi"/>
              </w:rPr>
            </w:pPr>
            <w:r w:rsidRPr="008A56AE">
              <w:rPr>
                <w:rFonts w:asciiTheme="minorHAnsi" w:hAnsiTheme="minorHAnsi" w:cstheme="minorHAnsi"/>
              </w:rPr>
              <w:tab/>
              <w:t>(b)</w:t>
            </w:r>
            <w:r w:rsidRPr="008A56AE">
              <w:rPr>
                <w:rFonts w:asciiTheme="minorHAnsi" w:hAnsiTheme="minorHAnsi" w:cstheme="minorHAnsi"/>
              </w:rPr>
              <w:tab/>
              <w:t>based on the usual fee of the health service provider for a consultation of a comparable duration—</w:t>
            </w:r>
          </w:p>
          <w:p w14:paraId="60CFD6AE" w14:textId="77777777" w:rsidR="00F77D1B" w:rsidRPr="008A56AE" w:rsidRDefault="00F77D1B">
            <w:pPr>
              <w:pStyle w:val="Normal-Schedule"/>
              <w:spacing w:before="60" w:after="60"/>
              <w:rPr>
                <w:rFonts w:asciiTheme="minorHAnsi" w:hAnsiTheme="minorHAnsi" w:cstheme="minorHAnsi"/>
              </w:rPr>
            </w:pPr>
            <w:r w:rsidRPr="008A56AE">
              <w:rPr>
                <w:rFonts w:asciiTheme="minorHAnsi" w:hAnsiTheme="minorHAnsi" w:cstheme="minorHAnsi"/>
              </w:rPr>
              <w:t>whichever is the greater.</w:t>
            </w:r>
          </w:p>
        </w:tc>
      </w:tr>
    </w:tbl>
    <w:p w14:paraId="53D03267" w14:textId="77777777" w:rsidR="00FF60C5" w:rsidRPr="000104D7" w:rsidRDefault="00FF60C5" w:rsidP="003B71B0">
      <w:pPr>
        <w:rPr>
          <w:rFonts w:cstheme="minorHAnsi"/>
          <w:b/>
          <w:bCs/>
          <w:szCs w:val="20"/>
        </w:rPr>
        <w:sectPr w:rsidR="00FF60C5" w:rsidRPr="000104D7" w:rsidSect="003B71B0">
          <w:headerReference w:type="even" r:id="rId26"/>
          <w:headerReference w:type="default" r:id="rId27"/>
          <w:footerReference w:type="even" r:id="rId28"/>
          <w:footerReference w:type="default" r:id="rId29"/>
          <w:pgSz w:w="11906" w:h="16838"/>
          <w:pgMar w:top="1440" w:right="1440" w:bottom="1440" w:left="1440" w:header="708" w:footer="708" w:gutter="0"/>
          <w:pgNumType w:start="1"/>
          <w:cols w:space="708"/>
          <w:docGrid w:linePitch="360"/>
        </w:sectPr>
      </w:pPr>
    </w:p>
    <w:p w14:paraId="606CD704" w14:textId="77777777" w:rsidR="00136121" w:rsidRPr="00C2659E" w:rsidRDefault="00136121" w:rsidP="00A659D0">
      <w:pPr>
        <w:pStyle w:val="Heading1"/>
      </w:pPr>
      <w:bookmarkStart w:id="95" w:name="_Toc3903344"/>
      <w:bookmarkStart w:id="96" w:name="_Toc135157731"/>
      <w:bookmarkStart w:id="97" w:name="_Toc136257475"/>
      <w:r w:rsidRPr="00C2659E">
        <w:lastRenderedPageBreak/>
        <w:t xml:space="preserve">About </w:t>
      </w:r>
      <w:bookmarkEnd w:id="95"/>
      <w:r w:rsidR="000B3D68">
        <w:t>S</w:t>
      </w:r>
      <w:r w:rsidR="00AE1BD4" w:rsidRPr="00C2659E">
        <w:t>apere</w:t>
      </w:r>
      <w:bookmarkEnd w:id="96"/>
      <w:bookmarkEnd w:id="97"/>
    </w:p>
    <w:p w14:paraId="4A818B4B" w14:textId="77777777" w:rsidR="00566167" w:rsidRPr="00C2659E" w:rsidRDefault="00566167" w:rsidP="00A659D0">
      <w:r w:rsidRPr="00C2659E">
        <w:t>Sapere is one of the largest expert consulting firms in Australasia, and a leader in the provision of independent economic, forensic accounting and public policy services. We provide independent expert testimony, strategic advisory services, data analytics and other advice to Australasia’s private sector corporate clients, major law firms, government agencies, and regulatory bodies.</w:t>
      </w:r>
    </w:p>
    <w:p w14:paraId="66C9AA17" w14:textId="77777777" w:rsidR="00566167" w:rsidRPr="00C2659E" w:rsidRDefault="00566167" w:rsidP="00A659D0">
      <w:r w:rsidRPr="00C2659E">
        <w:t>‘Sapere’ comes from Latin (to be wise) and the phrase ‘</w:t>
      </w:r>
      <w:proofErr w:type="spellStart"/>
      <w:r w:rsidRPr="00C2659E">
        <w:t>sapere</w:t>
      </w:r>
      <w:proofErr w:type="spellEnd"/>
      <w:r w:rsidRPr="00C2659E">
        <w:t xml:space="preserve"> </w:t>
      </w:r>
      <w:proofErr w:type="spellStart"/>
      <w:r w:rsidRPr="00C2659E">
        <w:t>aude</w:t>
      </w:r>
      <w:proofErr w:type="spellEnd"/>
      <w:r w:rsidRPr="00C2659E">
        <w:t>’ (dare to be wise). The phrase is associated with German philosopher Immanuel Kant, who promoted the use of reason as a tool of thought; an approach that underpins all Sapere’s practice groups.</w:t>
      </w:r>
    </w:p>
    <w:p w14:paraId="618F1922" w14:textId="77777777" w:rsidR="00566167" w:rsidRPr="00C2659E" w:rsidRDefault="00566167" w:rsidP="00A659D0">
      <w:r w:rsidRPr="00C2659E">
        <w:t>We build and maintain effective relationships as demonstrated by the volume of repeat work. Many of our experts have held leadership and senior management positions and are experienced in navigating complex relationships in government, industry, and academic settings.</w:t>
      </w:r>
    </w:p>
    <w:p w14:paraId="49C412F4" w14:textId="77777777" w:rsidR="00566167" w:rsidRPr="00C2659E" w:rsidRDefault="00566167" w:rsidP="00A659D0">
      <w:r w:rsidRPr="00C2659E">
        <w:t>We adopt a collaborative approach to our work and routinely partner with specialist firms in other fields, such as social research, IT design and architecture, and survey design. This enables us to deliver a comprehensive product and to ensure value for money</w:t>
      </w:r>
      <w:r w:rsidR="008676F4" w:rsidRPr="00C2659E">
        <w:t>.</w:t>
      </w:r>
    </w:p>
    <w:p w14:paraId="0218002C" w14:textId="77777777" w:rsidR="005E26AA" w:rsidRPr="00C2659E" w:rsidRDefault="0065008B" w:rsidP="004E58C6">
      <w:pPr>
        <w:pStyle w:val="Heading3"/>
      </w:pPr>
      <w:r w:rsidRPr="00C2659E">
        <w:t xml:space="preserve">For more </w:t>
      </w:r>
      <w:r w:rsidRPr="004E58C6">
        <w:t>information</w:t>
      </w:r>
      <w:r w:rsidRPr="00C2659E">
        <w:t>, please contact:</w:t>
      </w:r>
    </w:p>
    <w:tbl>
      <w:tblPr>
        <w:tblStyle w:val="zBlank"/>
        <w:tblW w:w="0" w:type="auto"/>
        <w:tblLook w:val="0480" w:firstRow="0" w:lastRow="0" w:firstColumn="1" w:lastColumn="0" w:noHBand="0" w:noVBand="1"/>
      </w:tblPr>
      <w:tblGrid>
        <w:gridCol w:w="1560"/>
        <w:gridCol w:w="7466"/>
      </w:tblGrid>
      <w:tr w:rsidR="0065008B" w:rsidRPr="00C2659E" w14:paraId="2BCFD765" w14:textId="77777777" w:rsidTr="00D4482F">
        <w:trPr>
          <w:trHeight w:val="126"/>
        </w:trPr>
        <w:tc>
          <w:tcPr>
            <w:tcW w:w="9026" w:type="dxa"/>
            <w:gridSpan w:val="2"/>
          </w:tcPr>
          <w:p w14:paraId="6DCB502E" w14:textId="42F0FA01" w:rsidR="0065008B" w:rsidRPr="00C2659E" w:rsidRDefault="00577E9A" w:rsidP="00566BA3">
            <w:pPr>
              <w:spacing w:before="0"/>
            </w:pPr>
            <w:r>
              <w:t>Sally Carrick, Director</w:t>
            </w:r>
          </w:p>
        </w:tc>
      </w:tr>
      <w:tr w:rsidR="00577E9A" w:rsidRPr="00C2659E" w14:paraId="286F60B7" w14:textId="77777777" w:rsidTr="000D6A17">
        <w:tc>
          <w:tcPr>
            <w:tcW w:w="1560" w:type="dxa"/>
          </w:tcPr>
          <w:p w14:paraId="5F8710A3" w14:textId="44E20A61" w:rsidR="00577E9A" w:rsidRPr="00C2659E" w:rsidRDefault="00577E9A" w:rsidP="00566BA3">
            <w:pPr>
              <w:spacing w:before="0"/>
            </w:pPr>
            <w:r w:rsidRPr="00C2659E">
              <w:t>Mobile:</w:t>
            </w:r>
          </w:p>
        </w:tc>
        <w:tc>
          <w:tcPr>
            <w:tcW w:w="7466" w:type="dxa"/>
          </w:tcPr>
          <w:p w14:paraId="5B9619FA" w14:textId="76F1150B" w:rsidR="00577E9A" w:rsidRPr="00C2659E" w:rsidRDefault="00577E9A" w:rsidP="00566BA3">
            <w:pPr>
              <w:spacing w:before="0"/>
            </w:pPr>
            <w:r>
              <w:t>0412 454 653</w:t>
            </w:r>
            <w:r w:rsidRPr="00C2659E">
              <w:t xml:space="preserve"> </w:t>
            </w:r>
          </w:p>
        </w:tc>
      </w:tr>
      <w:tr w:rsidR="00577E9A" w:rsidRPr="00C2659E" w14:paraId="04649286" w14:textId="77777777" w:rsidTr="000D6A17">
        <w:trPr>
          <w:trHeight w:val="23"/>
        </w:trPr>
        <w:tc>
          <w:tcPr>
            <w:tcW w:w="1560" w:type="dxa"/>
          </w:tcPr>
          <w:p w14:paraId="53DE1E9A" w14:textId="6CF08796" w:rsidR="00577E9A" w:rsidRPr="00C2659E" w:rsidRDefault="00577E9A" w:rsidP="00566BA3">
            <w:pPr>
              <w:spacing w:before="0"/>
            </w:pPr>
            <w:r w:rsidRPr="00C2659E">
              <w:t>Email:</w:t>
            </w:r>
          </w:p>
        </w:tc>
        <w:tc>
          <w:tcPr>
            <w:tcW w:w="7466" w:type="dxa"/>
          </w:tcPr>
          <w:p w14:paraId="0B48D6C9" w14:textId="0DA5FD3D" w:rsidR="00577E9A" w:rsidRPr="00C2659E" w:rsidRDefault="00577E9A" w:rsidP="00566BA3">
            <w:pPr>
              <w:spacing w:before="0"/>
            </w:pPr>
            <w:r>
              <w:t>scarrick</w:t>
            </w:r>
            <w:r w:rsidRPr="00C2659E">
              <w:t>@</w:t>
            </w:r>
            <w:r>
              <w:t>think</w:t>
            </w:r>
            <w:r>
              <w:rPr>
                <w:color w:val="7B5E05" w:themeColor="accent1"/>
              </w:rPr>
              <w:t>S</w:t>
            </w:r>
            <w:r w:rsidRPr="00C2659E">
              <w:rPr>
                <w:color w:val="7B5E05" w:themeColor="accent1"/>
              </w:rPr>
              <w:t>apere</w:t>
            </w:r>
            <w:r w:rsidRPr="00C2659E">
              <w:t>.com</w:t>
            </w:r>
          </w:p>
        </w:tc>
      </w:tr>
      <w:tr w:rsidR="00577E9A" w:rsidRPr="00C2659E" w14:paraId="62C0BB8E" w14:textId="77777777" w:rsidTr="000D6A17">
        <w:tc>
          <w:tcPr>
            <w:tcW w:w="1560" w:type="dxa"/>
          </w:tcPr>
          <w:p w14:paraId="2155C652" w14:textId="2C49B08C" w:rsidR="00577E9A" w:rsidRPr="00C2659E" w:rsidRDefault="00577E9A" w:rsidP="00566BA3">
            <w:pPr>
              <w:spacing w:before="0"/>
            </w:pPr>
          </w:p>
        </w:tc>
        <w:tc>
          <w:tcPr>
            <w:tcW w:w="7466" w:type="dxa"/>
          </w:tcPr>
          <w:p w14:paraId="72A5EEA2" w14:textId="2206A5FB" w:rsidR="00577E9A" w:rsidRPr="00C2659E" w:rsidRDefault="00577E9A" w:rsidP="00566BA3">
            <w:pPr>
              <w:spacing w:before="0"/>
            </w:pPr>
          </w:p>
        </w:tc>
      </w:tr>
      <w:tr w:rsidR="00577E9A" w:rsidRPr="00C2659E" w14:paraId="7E7E02B5" w14:textId="77777777" w:rsidTr="000D6A17">
        <w:trPr>
          <w:trHeight w:val="584"/>
        </w:trPr>
        <w:tc>
          <w:tcPr>
            <w:tcW w:w="1560" w:type="dxa"/>
          </w:tcPr>
          <w:p w14:paraId="16E8166C" w14:textId="77777777" w:rsidR="00577E9A" w:rsidRPr="00C2659E" w:rsidRDefault="00577E9A" w:rsidP="00566BA3">
            <w:pPr>
              <w:spacing w:before="0"/>
            </w:pPr>
          </w:p>
        </w:tc>
        <w:tc>
          <w:tcPr>
            <w:tcW w:w="7466" w:type="dxa"/>
          </w:tcPr>
          <w:p w14:paraId="60B0ECEC" w14:textId="77777777" w:rsidR="00577E9A" w:rsidRPr="00C2659E" w:rsidRDefault="00577E9A" w:rsidP="00566BA3">
            <w:pPr>
              <w:spacing w:before="0"/>
            </w:pPr>
          </w:p>
        </w:tc>
      </w:tr>
    </w:tbl>
    <w:p w14:paraId="433AC5F3" w14:textId="77777777" w:rsidR="002C1220" w:rsidRPr="00C2659E" w:rsidRDefault="002C1220" w:rsidP="00A659D0"/>
    <w:tbl>
      <w:tblPr>
        <w:tblStyle w:val="zBlank"/>
        <w:tblW w:w="0" w:type="auto"/>
        <w:tblLook w:val="0480" w:firstRow="0" w:lastRow="0" w:firstColumn="1" w:lastColumn="0" w:noHBand="0" w:noVBand="1"/>
      </w:tblPr>
      <w:tblGrid>
        <w:gridCol w:w="1504"/>
        <w:gridCol w:w="1504"/>
        <w:gridCol w:w="1505"/>
        <w:gridCol w:w="1504"/>
        <w:gridCol w:w="1504"/>
        <w:gridCol w:w="1505"/>
      </w:tblGrid>
      <w:tr w:rsidR="0030150E" w:rsidRPr="00566BA3" w14:paraId="78799F3C" w14:textId="77777777">
        <w:trPr>
          <w:trHeight w:val="445"/>
        </w:trPr>
        <w:tc>
          <w:tcPr>
            <w:tcW w:w="1504" w:type="dxa"/>
            <w:tcBorders>
              <w:right w:val="single" w:sz="4" w:space="0" w:color="auto"/>
            </w:tcBorders>
          </w:tcPr>
          <w:p w14:paraId="40C8E035" w14:textId="77777777" w:rsidR="0030150E" w:rsidRPr="00566BA3" w:rsidRDefault="0030150E">
            <w:pPr>
              <w:spacing w:before="0"/>
              <w:rPr>
                <w:b/>
                <w:bCs/>
                <w:sz w:val="16"/>
                <w:szCs w:val="16"/>
              </w:rPr>
            </w:pPr>
            <w:r w:rsidRPr="00566BA3">
              <w:rPr>
                <w:b/>
                <w:bCs/>
                <w:sz w:val="16"/>
                <w:szCs w:val="16"/>
              </w:rPr>
              <w:t>Wellington</w:t>
            </w:r>
          </w:p>
        </w:tc>
        <w:tc>
          <w:tcPr>
            <w:tcW w:w="1504" w:type="dxa"/>
            <w:tcBorders>
              <w:left w:val="single" w:sz="4" w:space="0" w:color="auto"/>
              <w:right w:val="single" w:sz="4" w:space="0" w:color="auto"/>
            </w:tcBorders>
          </w:tcPr>
          <w:p w14:paraId="754E1E6D" w14:textId="77777777" w:rsidR="0030150E" w:rsidRPr="00566BA3" w:rsidRDefault="0030150E">
            <w:pPr>
              <w:spacing w:before="0"/>
              <w:ind w:left="113"/>
              <w:rPr>
                <w:b/>
                <w:bCs/>
                <w:sz w:val="16"/>
                <w:szCs w:val="16"/>
              </w:rPr>
            </w:pPr>
            <w:r w:rsidRPr="00566BA3">
              <w:rPr>
                <w:b/>
                <w:bCs/>
                <w:sz w:val="16"/>
                <w:szCs w:val="16"/>
              </w:rPr>
              <w:t>Auckland</w:t>
            </w:r>
          </w:p>
        </w:tc>
        <w:tc>
          <w:tcPr>
            <w:tcW w:w="1505" w:type="dxa"/>
            <w:tcBorders>
              <w:left w:val="single" w:sz="4" w:space="0" w:color="auto"/>
              <w:right w:val="single" w:sz="4" w:space="0" w:color="auto"/>
            </w:tcBorders>
          </w:tcPr>
          <w:p w14:paraId="50F23F3F" w14:textId="77777777" w:rsidR="0030150E" w:rsidRPr="00566BA3" w:rsidRDefault="0030150E">
            <w:pPr>
              <w:spacing w:before="0"/>
              <w:ind w:left="113"/>
              <w:rPr>
                <w:b/>
                <w:bCs/>
                <w:sz w:val="16"/>
                <w:szCs w:val="16"/>
              </w:rPr>
            </w:pPr>
            <w:r w:rsidRPr="00566BA3">
              <w:rPr>
                <w:b/>
                <w:bCs/>
                <w:sz w:val="16"/>
                <w:szCs w:val="16"/>
              </w:rPr>
              <w:t>Sydney</w:t>
            </w:r>
          </w:p>
        </w:tc>
        <w:tc>
          <w:tcPr>
            <w:tcW w:w="1504" w:type="dxa"/>
            <w:tcBorders>
              <w:left w:val="single" w:sz="4" w:space="0" w:color="auto"/>
              <w:right w:val="single" w:sz="4" w:space="0" w:color="auto"/>
            </w:tcBorders>
          </w:tcPr>
          <w:p w14:paraId="78713344" w14:textId="77777777" w:rsidR="0030150E" w:rsidRPr="00566BA3" w:rsidRDefault="0030150E">
            <w:pPr>
              <w:spacing w:before="0"/>
              <w:ind w:left="113"/>
              <w:rPr>
                <w:b/>
                <w:bCs/>
                <w:sz w:val="16"/>
                <w:szCs w:val="16"/>
              </w:rPr>
            </w:pPr>
            <w:r w:rsidRPr="00566BA3">
              <w:rPr>
                <w:b/>
                <w:bCs/>
                <w:sz w:val="16"/>
                <w:szCs w:val="16"/>
              </w:rPr>
              <w:t>Melbourne</w:t>
            </w:r>
          </w:p>
        </w:tc>
        <w:tc>
          <w:tcPr>
            <w:tcW w:w="1504" w:type="dxa"/>
            <w:tcBorders>
              <w:left w:val="single" w:sz="4" w:space="0" w:color="auto"/>
            </w:tcBorders>
          </w:tcPr>
          <w:p w14:paraId="29C8C0AC" w14:textId="77777777" w:rsidR="0030150E" w:rsidRPr="00566BA3" w:rsidRDefault="0030150E">
            <w:pPr>
              <w:spacing w:before="0"/>
              <w:ind w:left="113"/>
              <w:rPr>
                <w:b/>
                <w:bCs/>
                <w:sz w:val="16"/>
                <w:szCs w:val="16"/>
              </w:rPr>
            </w:pPr>
            <w:r w:rsidRPr="00566BA3">
              <w:rPr>
                <w:b/>
                <w:bCs/>
                <w:sz w:val="16"/>
                <w:szCs w:val="16"/>
              </w:rPr>
              <w:t>Canberra</w:t>
            </w:r>
          </w:p>
        </w:tc>
        <w:tc>
          <w:tcPr>
            <w:tcW w:w="1505" w:type="dxa"/>
            <w:tcBorders>
              <w:left w:val="single" w:sz="4" w:space="0" w:color="auto"/>
            </w:tcBorders>
          </w:tcPr>
          <w:p w14:paraId="159461D3" w14:textId="77777777" w:rsidR="0030150E" w:rsidRPr="00566BA3" w:rsidRDefault="0030150E">
            <w:pPr>
              <w:spacing w:before="0"/>
              <w:ind w:left="113"/>
              <w:rPr>
                <w:b/>
                <w:bCs/>
                <w:sz w:val="16"/>
                <w:szCs w:val="16"/>
              </w:rPr>
            </w:pPr>
            <w:r>
              <w:rPr>
                <w:b/>
                <w:bCs/>
                <w:sz w:val="16"/>
                <w:szCs w:val="16"/>
              </w:rPr>
              <w:t>Perth</w:t>
            </w:r>
          </w:p>
        </w:tc>
      </w:tr>
      <w:tr w:rsidR="0030150E" w:rsidRPr="00566BA3" w14:paraId="7C7070F2" w14:textId="77777777">
        <w:trPr>
          <w:trHeight w:val="445"/>
        </w:trPr>
        <w:tc>
          <w:tcPr>
            <w:tcW w:w="1504" w:type="dxa"/>
            <w:tcBorders>
              <w:right w:val="single" w:sz="4" w:space="0" w:color="auto"/>
            </w:tcBorders>
          </w:tcPr>
          <w:p w14:paraId="6CDEBADA" w14:textId="77777777" w:rsidR="0030150E" w:rsidRPr="00566BA3" w:rsidRDefault="0030150E">
            <w:pPr>
              <w:spacing w:before="0"/>
              <w:rPr>
                <w:sz w:val="16"/>
                <w:szCs w:val="16"/>
              </w:rPr>
            </w:pPr>
            <w:r w:rsidRPr="00566BA3">
              <w:rPr>
                <w:sz w:val="16"/>
                <w:szCs w:val="16"/>
              </w:rPr>
              <w:t>Level 9</w:t>
            </w:r>
          </w:p>
          <w:p w14:paraId="37B3395A" w14:textId="77777777" w:rsidR="0030150E" w:rsidRPr="00566BA3" w:rsidRDefault="0030150E">
            <w:pPr>
              <w:spacing w:before="0"/>
              <w:rPr>
                <w:sz w:val="16"/>
                <w:szCs w:val="16"/>
              </w:rPr>
            </w:pPr>
            <w:r w:rsidRPr="00566BA3">
              <w:rPr>
                <w:sz w:val="16"/>
                <w:szCs w:val="16"/>
              </w:rPr>
              <w:t xml:space="preserve">1 </w:t>
            </w:r>
            <w:proofErr w:type="spellStart"/>
            <w:r w:rsidRPr="00566BA3">
              <w:rPr>
                <w:sz w:val="16"/>
                <w:szCs w:val="16"/>
              </w:rPr>
              <w:t>Willeston</w:t>
            </w:r>
            <w:proofErr w:type="spellEnd"/>
            <w:r w:rsidRPr="00566BA3">
              <w:rPr>
                <w:sz w:val="16"/>
                <w:szCs w:val="16"/>
              </w:rPr>
              <w:t xml:space="preserve"> Street</w:t>
            </w:r>
          </w:p>
          <w:p w14:paraId="71AC0AC8" w14:textId="77777777" w:rsidR="0030150E" w:rsidRPr="00566BA3" w:rsidRDefault="0030150E">
            <w:pPr>
              <w:spacing w:before="0"/>
              <w:rPr>
                <w:sz w:val="16"/>
                <w:szCs w:val="16"/>
              </w:rPr>
            </w:pPr>
            <w:r w:rsidRPr="00566BA3">
              <w:rPr>
                <w:sz w:val="16"/>
                <w:szCs w:val="16"/>
              </w:rPr>
              <w:t>PO Box 587</w:t>
            </w:r>
          </w:p>
          <w:p w14:paraId="702699BB" w14:textId="77777777" w:rsidR="0030150E" w:rsidRPr="00566BA3" w:rsidRDefault="0030150E">
            <w:pPr>
              <w:spacing w:before="0"/>
              <w:rPr>
                <w:b/>
                <w:sz w:val="16"/>
                <w:szCs w:val="16"/>
              </w:rPr>
            </w:pPr>
            <w:r w:rsidRPr="00566BA3">
              <w:rPr>
                <w:sz w:val="16"/>
                <w:szCs w:val="16"/>
              </w:rPr>
              <w:t>Wellington 6140</w:t>
            </w:r>
          </w:p>
        </w:tc>
        <w:tc>
          <w:tcPr>
            <w:tcW w:w="1504" w:type="dxa"/>
            <w:tcBorders>
              <w:left w:val="single" w:sz="4" w:space="0" w:color="auto"/>
              <w:right w:val="single" w:sz="4" w:space="0" w:color="auto"/>
            </w:tcBorders>
          </w:tcPr>
          <w:p w14:paraId="13E49D89" w14:textId="77777777" w:rsidR="0030150E" w:rsidRPr="00566BA3" w:rsidRDefault="0030150E">
            <w:pPr>
              <w:spacing w:before="0"/>
              <w:ind w:left="113"/>
              <w:rPr>
                <w:sz w:val="16"/>
                <w:szCs w:val="16"/>
              </w:rPr>
            </w:pPr>
            <w:r w:rsidRPr="00566BA3">
              <w:rPr>
                <w:sz w:val="16"/>
                <w:szCs w:val="16"/>
              </w:rPr>
              <w:t>Level 8</w:t>
            </w:r>
          </w:p>
          <w:p w14:paraId="447C5B53" w14:textId="77777777" w:rsidR="0030150E" w:rsidRPr="00566BA3" w:rsidRDefault="0030150E">
            <w:pPr>
              <w:spacing w:before="0"/>
              <w:ind w:left="113"/>
              <w:rPr>
                <w:sz w:val="16"/>
                <w:szCs w:val="16"/>
              </w:rPr>
            </w:pPr>
            <w:r w:rsidRPr="00566BA3">
              <w:rPr>
                <w:sz w:val="16"/>
                <w:szCs w:val="16"/>
              </w:rPr>
              <w:t>203 Queen Street</w:t>
            </w:r>
          </w:p>
          <w:p w14:paraId="71C84EB9" w14:textId="77777777" w:rsidR="0030150E" w:rsidRPr="00566BA3" w:rsidRDefault="0030150E">
            <w:pPr>
              <w:spacing w:before="0"/>
              <w:ind w:left="113"/>
              <w:rPr>
                <w:sz w:val="16"/>
                <w:szCs w:val="16"/>
              </w:rPr>
            </w:pPr>
            <w:r w:rsidRPr="00566BA3">
              <w:rPr>
                <w:sz w:val="16"/>
                <w:szCs w:val="16"/>
              </w:rPr>
              <w:t>PO Box 2475</w:t>
            </w:r>
          </w:p>
          <w:p w14:paraId="2C810BAA" w14:textId="77777777" w:rsidR="0030150E" w:rsidRPr="00566BA3" w:rsidRDefault="0030150E">
            <w:pPr>
              <w:spacing w:before="0"/>
              <w:ind w:left="113"/>
              <w:rPr>
                <w:sz w:val="16"/>
                <w:szCs w:val="16"/>
              </w:rPr>
            </w:pPr>
            <w:r w:rsidRPr="00566BA3">
              <w:rPr>
                <w:sz w:val="16"/>
                <w:szCs w:val="16"/>
              </w:rPr>
              <w:t>Shortland Street</w:t>
            </w:r>
          </w:p>
          <w:p w14:paraId="6DA9475B" w14:textId="77777777" w:rsidR="0030150E" w:rsidRPr="00566BA3" w:rsidRDefault="0030150E">
            <w:pPr>
              <w:spacing w:before="0"/>
              <w:ind w:left="113"/>
              <w:rPr>
                <w:b/>
                <w:sz w:val="16"/>
                <w:szCs w:val="16"/>
              </w:rPr>
            </w:pPr>
            <w:r w:rsidRPr="00566BA3">
              <w:rPr>
                <w:sz w:val="16"/>
                <w:szCs w:val="16"/>
              </w:rPr>
              <w:t>Auckland 1140</w:t>
            </w:r>
          </w:p>
        </w:tc>
        <w:tc>
          <w:tcPr>
            <w:tcW w:w="1505" w:type="dxa"/>
            <w:tcBorders>
              <w:left w:val="single" w:sz="4" w:space="0" w:color="auto"/>
              <w:right w:val="single" w:sz="4" w:space="0" w:color="auto"/>
            </w:tcBorders>
          </w:tcPr>
          <w:p w14:paraId="12235CA8" w14:textId="77777777" w:rsidR="0030150E" w:rsidRPr="00566BA3" w:rsidRDefault="0030150E">
            <w:pPr>
              <w:spacing w:before="0"/>
              <w:ind w:left="113"/>
              <w:rPr>
                <w:sz w:val="16"/>
                <w:szCs w:val="16"/>
              </w:rPr>
            </w:pPr>
            <w:r w:rsidRPr="00566BA3">
              <w:rPr>
                <w:sz w:val="16"/>
                <w:szCs w:val="16"/>
              </w:rPr>
              <w:t>Level 18</w:t>
            </w:r>
          </w:p>
          <w:p w14:paraId="71A65067" w14:textId="77777777" w:rsidR="0030150E" w:rsidRPr="00566BA3" w:rsidRDefault="0030150E">
            <w:pPr>
              <w:spacing w:before="0"/>
              <w:ind w:left="113"/>
              <w:rPr>
                <w:sz w:val="16"/>
                <w:szCs w:val="16"/>
              </w:rPr>
            </w:pPr>
            <w:r w:rsidRPr="00566BA3">
              <w:rPr>
                <w:sz w:val="16"/>
                <w:szCs w:val="16"/>
              </w:rPr>
              <w:t>135 King Street</w:t>
            </w:r>
          </w:p>
          <w:p w14:paraId="1467622D" w14:textId="77777777" w:rsidR="0030150E" w:rsidRPr="00566BA3" w:rsidRDefault="0030150E">
            <w:pPr>
              <w:spacing w:before="0"/>
              <w:ind w:left="113"/>
              <w:rPr>
                <w:sz w:val="16"/>
                <w:szCs w:val="16"/>
              </w:rPr>
            </w:pPr>
            <w:r w:rsidRPr="00566BA3">
              <w:rPr>
                <w:sz w:val="16"/>
                <w:szCs w:val="16"/>
              </w:rPr>
              <w:t xml:space="preserve">Sydney </w:t>
            </w:r>
          </w:p>
          <w:p w14:paraId="5D2E1B68" w14:textId="77777777" w:rsidR="0030150E" w:rsidRPr="00566BA3" w:rsidRDefault="0030150E">
            <w:pPr>
              <w:spacing w:before="0"/>
              <w:ind w:left="113"/>
              <w:rPr>
                <w:b/>
                <w:sz w:val="16"/>
                <w:szCs w:val="16"/>
              </w:rPr>
            </w:pPr>
            <w:r w:rsidRPr="00566BA3">
              <w:rPr>
                <w:sz w:val="16"/>
                <w:szCs w:val="16"/>
              </w:rPr>
              <w:t>NSW 2000</w:t>
            </w:r>
          </w:p>
        </w:tc>
        <w:tc>
          <w:tcPr>
            <w:tcW w:w="1504" w:type="dxa"/>
            <w:tcBorders>
              <w:left w:val="single" w:sz="4" w:space="0" w:color="auto"/>
              <w:right w:val="single" w:sz="4" w:space="0" w:color="auto"/>
            </w:tcBorders>
          </w:tcPr>
          <w:p w14:paraId="4CDE546D" w14:textId="77777777" w:rsidR="0030150E" w:rsidRDefault="0030150E">
            <w:pPr>
              <w:spacing w:before="0"/>
              <w:ind w:left="113"/>
              <w:rPr>
                <w:sz w:val="16"/>
                <w:szCs w:val="16"/>
              </w:rPr>
            </w:pPr>
            <w:r>
              <w:rPr>
                <w:sz w:val="16"/>
                <w:szCs w:val="16"/>
              </w:rPr>
              <w:t>Level 5</w:t>
            </w:r>
          </w:p>
          <w:p w14:paraId="0859A5CE" w14:textId="77777777" w:rsidR="0030150E" w:rsidRDefault="0030150E">
            <w:pPr>
              <w:spacing w:before="0"/>
              <w:ind w:left="113"/>
              <w:rPr>
                <w:sz w:val="16"/>
                <w:szCs w:val="16"/>
              </w:rPr>
            </w:pPr>
            <w:r>
              <w:rPr>
                <w:sz w:val="16"/>
                <w:szCs w:val="16"/>
              </w:rPr>
              <w:t>171 Collins Street</w:t>
            </w:r>
          </w:p>
          <w:p w14:paraId="723A78E5" w14:textId="77777777" w:rsidR="0030150E" w:rsidRDefault="0030150E">
            <w:pPr>
              <w:spacing w:before="0"/>
              <w:ind w:left="113"/>
              <w:rPr>
                <w:sz w:val="16"/>
                <w:szCs w:val="16"/>
              </w:rPr>
            </w:pPr>
            <w:r>
              <w:rPr>
                <w:sz w:val="16"/>
                <w:szCs w:val="16"/>
              </w:rPr>
              <w:t xml:space="preserve">Melbourne </w:t>
            </w:r>
          </w:p>
          <w:p w14:paraId="483CD7B6" w14:textId="77777777" w:rsidR="0030150E" w:rsidRPr="00566BA3" w:rsidRDefault="0030150E">
            <w:pPr>
              <w:spacing w:before="0"/>
              <w:ind w:left="113"/>
              <w:rPr>
                <w:b/>
                <w:sz w:val="16"/>
                <w:szCs w:val="16"/>
              </w:rPr>
            </w:pPr>
            <w:r>
              <w:rPr>
                <w:sz w:val="16"/>
                <w:szCs w:val="16"/>
              </w:rPr>
              <w:t>VIC 3000</w:t>
            </w:r>
          </w:p>
        </w:tc>
        <w:tc>
          <w:tcPr>
            <w:tcW w:w="1504" w:type="dxa"/>
            <w:tcBorders>
              <w:left w:val="single" w:sz="4" w:space="0" w:color="auto"/>
            </w:tcBorders>
          </w:tcPr>
          <w:p w14:paraId="612C37F5" w14:textId="77777777" w:rsidR="0030150E" w:rsidRPr="00FA5487" w:rsidRDefault="0030150E">
            <w:pPr>
              <w:spacing w:before="0"/>
              <w:ind w:left="113"/>
              <w:rPr>
                <w:bCs/>
                <w:sz w:val="16"/>
                <w:szCs w:val="16"/>
              </w:rPr>
            </w:pPr>
            <w:r w:rsidRPr="00FA5487">
              <w:rPr>
                <w:bCs/>
                <w:sz w:val="16"/>
                <w:szCs w:val="16"/>
              </w:rPr>
              <w:t>GPO Box 252</w:t>
            </w:r>
          </w:p>
          <w:p w14:paraId="786B9FD8" w14:textId="77777777" w:rsidR="0030150E" w:rsidRPr="00FA5487" w:rsidRDefault="0030150E">
            <w:pPr>
              <w:spacing w:before="0"/>
              <w:ind w:left="113"/>
              <w:rPr>
                <w:bCs/>
                <w:sz w:val="16"/>
                <w:szCs w:val="16"/>
              </w:rPr>
            </w:pPr>
            <w:r w:rsidRPr="00FA5487">
              <w:rPr>
                <w:bCs/>
                <w:sz w:val="16"/>
                <w:szCs w:val="16"/>
              </w:rPr>
              <w:t>Canberra City</w:t>
            </w:r>
          </w:p>
          <w:p w14:paraId="53E02C9C" w14:textId="77777777" w:rsidR="0030150E" w:rsidRPr="00BE43DA" w:rsidRDefault="0030150E">
            <w:pPr>
              <w:spacing w:before="0"/>
              <w:ind w:left="113"/>
              <w:rPr>
                <w:bCs/>
                <w:sz w:val="16"/>
                <w:szCs w:val="16"/>
              </w:rPr>
            </w:pPr>
            <w:r w:rsidRPr="00FA5487">
              <w:rPr>
                <w:bCs/>
                <w:sz w:val="16"/>
                <w:szCs w:val="16"/>
              </w:rPr>
              <w:t>ACT 2601</w:t>
            </w:r>
          </w:p>
          <w:p w14:paraId="5A1C4259" w14:textId="77777777" w:rsidR="0030150E" w:rsidRPr="00566BA3" w:rsidRDefault="0030150E">
            <w:pPr>
              <w:spacing w:before="0"/>
              <w:ind w:left="113"/>
              <w:rPr>
                <w:b/>
                <w:sz w:val="16"/>
                <w:szCs w:val="16"/>
              </w:rPr>
            </w:pPr>
          </w:p>
        </w:tc>
        <w:tc>
          <w:tcPr>
            <w:tcW w:w="1505" w:type="dxa"/>
            <w:tcBorders>
              <w:left w:val="single" w:sz="4" w:space="0" w:color="auto"/>
            </w:tcBorders>
          </w:tcPr>
          <w:p w14:paraId="092A3CD5" w14:textId="77777777" w:rsidR="0030150E" w:rsidRPr="00FA5487" w:rsidRDefault="0030150E">
            <w:pPr>
              <w:spacing w:before="0"/>
              <w:ind w:left="113"/>
              <w:rPr>
                <w:sz w:val="16"/>
                <w:szCs w:val="16"/>
              </w:rPr>
            </w:pPr>
            <w:r w:rsidRPr="00FA5487">
              <w:rPr>
                <w:sz w:val="16"/>
                <w:szCs w:val="16"/>
              </w:rPr>
              <w:t>PO Box 1210</w:t>
            </w:r>
          </w:p>
          <w:p w14:paraId="346C6B75" w14:textId="77777777" w:rsidR="0030150E" w:rsidRDefault="0030150E">
            <w:pPr>
              <w:spacing w:before="0"/>
              <w:ind w:left="113"/>
              <w:rPr>
                <w:sz w:val="16"/>
                <w:szCs w:val="16"/>
              </w:rPr>
            </w:pPr>
            <w:r w:rsidRPr="00FA5487">
              <w:rPr>
                <w:sz w:val="16"/>
                <w:szCs w:val="16"/>
              </w:rPr>
              <w:t xml:space="preserve">Booragoon </w:t>
            </w:r>
          </w:p>
          <w:p w14:paraId="3E632432" w14:textId="77777777" w:rsidR="0030150E" w:rsidRPr="00566BA3" w:rsidRDefault="0030150E">
            <w:pPr>
              <w:spacing w:before="0"/>
              <w:ind w:left="113"/>
              <w:rPr>
                <w:sz w:val="16"/>
                <w:szCs w:val="16"/>
              </w:rPr>
            </w:pPr>
            <w:r w:rsidRPr="00FA5487">
              <w:rPr>
                <w:sz w:val="16"/>
                <w:szCs w:val="16"/>
              </w:rPr>
              <w:t>WA 6954</w:t>
            </w:r>
          </w:p>
        </w:tc>
      </w:tr>
      <w:tr w:rsidR="0030150E" w:rsidRPr="00566BA3" w14:paraId="01BB0CFA" w14:textId="77777777">
        <w:trPr>
          <w:trHeight w:val="445"/>
        </w:trPr>
        <w:tc>
          <w:tcPr>
            <w:tcW w:w="1504" w:type="dxa"/>
            <w:tcBorders>
              <w:right w:val="single" w:sz="4" w:space="0" w:color="auto"/>
            </w:tcBorders>
          </w:tcPr>
          <w:p w14:paraId="00A9EB81" w14:textId="77777777" w:rsidR="0030150E" w:rsidRPr="00566BA3" w:rsidRDefault="0030150E">
            <w:pPr>
              <w:spacing w:before="0"/>
              <w:rPr>
                <w:sz w:val="16"/>
                <w:szCs w:val="16"/>
              </w:rPr>
            </w:pPr>
            <w:r w:rsidRPr="00566BA3">
              <w:rPr>
                <w:sz w:val="16"/>
                <w:szCs w:val="16"/>
              </w:rPr>
              <w:t>P +64 4 915 7590</w:t>
            </w:r>
          </w:p>
        </w:tc>
        <w:tc>
          <w:tcPr>
            <w:tcW w:w="1504" w:type="dxa"/>
            <w:tcBorders>
              <w:left w:val="single" w:sz="4" w:space="0" w:color="auto"/>
              <w:right w:val="single" w:sz="4" w:space="0" w:color="auto"/>
            </w:tcBorders>
          </w:tcPr>
          <w:p w14:paraId="11BC6372" w14:textId="77777777" w:rsidR="0030150E" w:rsidRPr="00566BA3" w:rsidRDefault="0030150E">
            <w:pPr>
              <w:spacing w:before="0"/>
              <w:ind w:left="113"/>
              <w:rPr>
                <w:sz w:val="16"/>
                <w:szCs w:val="16"/>
              </w:rPr>
            </w:pPr>
            <w:r w:rsidRPr="00566BA3">
              <w:rPr>
                <w:sz w:val="16"/>
                <w:szCs w:val="16"/>
              </w:rPr>
              <w:t>P +64 9 909 5810</w:t>
            </w:r>
          </w:p>
        </w:tc>
        <w:tc>
          <w:tcPr>
            <w:tcW w:w="1505" w:type="dxa"/>
            <w:tcBorders>
              <w:left w:val="single" w:sz="4" w:space="0" w:color="auto"/>
              <w:right w:val="single" w:sz="4" w:space="0" w:color="auto"/>
            </w:tcBorders>
          </w:tcPr>
          <w:p w14:paraId="033FCD02" w14:textId="77777777" w:rsidR="0030150E" w:rsidRPr="00566BA3" w:rsidRDefault="0030150E">
            <w:pPr>
              <w:spacing w:before="0"/>
              <w:ind w:left="113"/>
              <w:rPr>
                <w:sz w:val="16"/>
                <w:szCs w:val="16"/>
              </w:rPr>
            </w:pPr>
            <w:r w:rsidRPr="00566BA3">
              <w:rPr>
                <w:sz w:val="16"/>
                <w:szCs w:val="16"/>
              </w:rPr>
              <w:t>P +61 2 9234 0200</w:t>
            </w:r>
          </w:p>
        </w:tc>
        <w:tc>
          <w:tcPr>
            <w:tcW w:w="1504" w:type="dxa"/>
            <w:tcBorders>
              <w:left w:val="single" w:sz="4" w:space="0" w:color="auto"/>
              <w:right w:val="single" w:sz="4" w:space="0" w:color="auto"/>
            </w:tcBorders>
          </w:tcPr>
          <w:p w14:paraId="41A8745F" w14:textId="77777777" w:rsidR="0030150E" w:rsidRPr="00566BA3" w:rsidRDefault="0030150E">
            <w:pPr>
              <w:spacing w:before="0"/>
              <w:ind w:left="113"/>
              <w:rPr>
                <w:sz w:val="16"/>
                <w:szCs w:val="16"/>
              </w:rPr>
            </w:pPr>
            <w:r>
              <w:rPr>
                <w:sz w:val="16"/>
                <w:szCs w:val="16"/>
              </w:rPr>
              <w:t>P +61 3 9005 1454</w:t>
            </w:r>
          </w:p>
        </w:tc>
        <w:tc>
          <w:tcPr>
            <w:tcW w:w="1504" w:type="dxa"/>
            <w:tcBorders>
              <w:left w:val="single" w:sz="4" w:space="0" w:color="auto"/>
            </w:tcBorders>
          </w:tcPr>
          <w:p w14:paraId="768529E7" w14:textId="77777777" w:rsidR="0030150E" w:rsidRPr="00566BA3" w:rsidRDefault="0030150E">
            <w:pPr>
              <w:spacing w:before="0"/>
              <w:ind w:left="113"/>
              <w:rPr>
                <w:sz w:val="16"/>
                <w:szCs w:val="16"/>
              </w:rPr>
            </w:pPr>
            <w:r w:rsidRPr="00566BA3">
              <w:rPr>
                <w:sz w:val="16"/>
                <w:szCs w:val="16"/>
              </w:rPr>
              <w:t>P +61 2 6100 6363</w:t>
            </w:r>
          </w:p>
        </w:tc>
        <w:tc>
          <w:tcPr>
            <w:tcW w:w="1505" w:type="dxa"/>
            <w:tcBorders>
              <w:left w:val="single" w:sz="4" w:space="0" w:color="auto"/>
            </w:tcBorders>
          </w:tcPr>
          <w:p w14:paraId="6DA583B8" w14:textId="77777777" w:rsidR="0030150E" w:rsidRPr="00566BA3" w:rsidRDefault="0030150E">
            <w:pPr>
              <w:spacing w:before="0"/>
              <w:ind w:left="113"/>
              <w:rPr>
                <w:sz w:val="16"/>
                <w:szCs w:val="16"/>
              </w:rPr>
            </w:pPr>
            <w:r>
              <w:rPr>
                <w:rFonts w:ascii="Segoe UI" w:eastAsia="Segoe UI" w:hAnsi="Segoe UI" w:cs="Times New Roman"/>
                <w:sz w:val="16"/>
                <w:szCs w:val="16"/>
                <w:lang w:val="en-AU"/>
              </w:rPr>
              <w:t>P</w:t>
            </w:r>
            <w:r w:rsidRPr="009858C9">
              <w:rPr>
                <w:rFonts w:ascii="Segoe UI" w:eastAsia="Segoe UI" w:hAnsi="Segoe UI" w:cs="Times New Roman"/>
                <w:sz w:val="16"/>
                <w:szCs w:val="16"/>
                <w:lang w:val="en-AU"/>
              </w:rPr>
              <w:t>+61 8 6186 1410</w:t>
            </w:r>
          </w:p>
        </w:tc>
      </w:tr>
    </w:tbl>
    <w:p w14:paraId="7FED9248" w14:textId="77777777" w:rsidR="00A34ABA" w:rsidRPr="00C2659E" w:rsidRDefault="00A34ABA" w:rsidP="00A659D0"/>
    <w:p w14:paraId="5811CE97" w14:textId="77777777" w:rsidR="008676F4" w:rsidRPr="00566BA3" w:rsidRDefault="008676F4" w:rsidP="00566BA3">
      <w:pPr>
        <w:spacing w:before="0" w:after="240"/>
        <w:jc w:val="center"/>
        <w:rPr>
          <w:sz w:val="28"/>
          <w:szCs w:val="28"/>
        </w:rPr>
      </w:pPr>
      <w:r w:rsidRPr="00566BA3">
        <w:rPr>
          <w:sz w:val="28"/>
          <w:szCs w:val="28"/>
        </w:rPr>
        <w:t>www.</w:t>
      </w:r>
      <w:r w:rsidR="004048BA" w:rsidRPr="00566BA3">
        <w:rPr>
          <w:sz w:val="28"/>
          <w:szCs w:val="28"/>
        </w:rPr>
        <w:t>think</w:t>
      </w:r>
      <w:r w:rsidR="004048BA" w:rsidRPr="00566BA3">
        <w:rPr>
          <w:color w:val="7B5E05"/>
          <w:sz w:val="28"/>
          <w:szCs w:val="28"/>
        </w:rPr>
        <w:t>Sapere</w:t>
      </w:r>
      <w:r w:rsidRPr="00566BA3">
        <w:rPr>
          <w:sz w:val="28"/>
          <w:szCs w:val="28"/>
        </w:rPr>
        <w:t>.com</w:t>
      </w:r>
    </w:p>
    <w:p w14:paraId="3E2F6021" w14:textId="77777777" w:rsidR="00136121" w:rsidRPr="00566BA3" w:rsidRDefault="008676F4" w:rsidP="00566BA3">
      <w:pPr>
        <w:spacing w:before="840" w:after="0"/>
        <w:jc w:val="center"/>
        <w:rPr>
          <w:sz w:val="36"/>
          <w:szCs w:val="36"/>
        </w:rPr>
      </w:pPr>
      <w:r w:rsidRPr="00566BA3">
        <w:rPr>
          <w:sz w:val="36"/>
          <w:szCs w:val="36"/>
        </w:rPr>
        <w:t xml:space="preserve">independence, </w:t>
      </w:r>
      <w:proofErr w:type="gramStart"/>
      <w:r w:rsidRPr="00566BA3">
        <w:rPr>
          <w:sz w:val="36"/>
          <w:szCs w:val="36"/>
        </w:rPr>
        <w:t>integrity</w:t>
      </w:r>
      <w:proofErr w:type="gramEnd"/>
      <w:r w:rsidRPr="00566BA3">
        <w:rPr>
          <w:sz w:val="36"/>
          <w:szCs w:val="36"/>
        </w:rPr>
        <w:t xml:space="preserve"> and objectivity</w:t>
      </w:r>
    </w:p>
    <w:sectPr w:rsidR="00136121" w:rsidRPr="00566BA3" w:rsidSect="005E26AA">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96ED" w14:textId="77777777" w:rsidR="00907793" w:rsidRDefault="00907793" w:rsidP="00A659D0">
      <w:r>
        <w:separator/>
      </w:r>
    </w:p>
    <w:p w14:paraId="5CCAE06E" w14:textId="77777777" w:rsidR="00907793" w:rsidRDefault="00907793" w:rsidP="00A659D0"/>
  </w:endnote>
  <w:endnote w:type="continuationSeparator" w:id="0">
    <w:p w14:paraId="160C3DC1" w14:textId="77777777" w:rsidR="00907793" w:rsidRDefault="00907793" w:rsidP="00A659D0">
      <w:r>
        <w:continuationSeparator/>
      </w:r>
    </w:p>
    <w:p w14:paraId="6EA9D387" w14:textId="77777777" w:rsidR="00907793" w:rsidRDefault="00907793" w:rsidP="00A659D0"/>
  </w:endnote>
  <w:endnote w:type="continuationNotice" w:id="1">
    <w:p w14:paraId="120BEA79" w14:textId="77777777" w:rsidR="00907793" w:rsidRDefault="009077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88AA" w14:textId="005BC40E" w:rsidR="00566167" w:rsidRPr="005E135D" w:rsidRDefault="008E7F52" w:rsidP="00A659D0">
    <w:pPr>
      <w:pStyle w:val="Footer"/>
      <w:rPr>
        <w:lang w:val="en-US"/>
      </w:rPr>
    </w:pPr>
    <w:r>
      <w:rPr>
        <w:noProof/>
        <w:lang w:val="en-US"/>
      </w:rPr>
      <mc:AlternateContent>
        <mc:Choice Requires="wps">
          <w:drawing>
            <wp:anchor distT="0" distB="0" distL="114300" distR="114300" simplePos="1" relativeHeight="251658252" behindDoc="0" locked="0" layoutInCell="0" allowOverlap="1" wp14:anchorId="5B7D086E" wp14:editId="037C2734">
              <wp:simplePos x="0" y="10228183"/>
              <wp:positionH relativeFrom="page">
                <wp:posOffset>0</wp:posOffset>
              </wp:positionH>
              <wp:positionV relativeFrom="page">
                <wp:posOffset>10227945</wp:posOffset>
              </wp:positionV>
              <wp:extent cx="7560310" cy="273050"/>
              <wp:effectExtent l="0" t="0" r="0" b="12700"/>
              <wp:wrapNone/>
              <wp:docPr id="6" name="Text Box 6"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338ADF" w14:textId="3045B122" w:rsidR="008E7F52" w:rsidRPr="008E7F52" w:rsidRDefault="008E7F52" w:rsidP="008E7F52">
                          <w:pPr>
                            <w:spacing w:before="0" w:after="0"/>
                            <w:rPr>
                              <w:rFonts w:ascii="Calibri" w:hAnsi="Calibri" w:cs="Calibri"/>
                              <w:color w:val="000000"/>
                              <w:sz w:val="22"/>
                            </w:rPr>
                          </w:pPr>
                          <w:r w:rsidRPr="008E7F5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7D086E" id="_x0000_t202" coordsize="21600,21600" o:spt="202" path="m,l,21600r21600,l21600,xe">
              <v:stroke joinstyle="miter"/>
              <v:path gradientshapeok="t" o:connecttype="rect"/>
            </v:shapetype>
            <v:shape id="Text Box 6" o:spid="_x0000_s1028" type="#_x0000_t202" alt="{&quot;HashCode&quot;:-1267603503,&quot;Height&quot;:841.0,&quot;Width&quot;:595.0,&quot;Placement&quot;:&quot;Footer&quot;,&quot;Index&quot;:&quot;OddAndEven&quot;,&quot;Section&quot;:1,&quot;Top&quot;:0.0,&quot;Left&quot;:0.0}" style="position:absolute;margin-left:0;margin-top:805.35pt;width:595.3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B338ADF" w14:textId="3045B122" w:rsidR="008E7F52" w:rsidRPr="008E7F52" w:rsidRDefault="008E7F52" w:rsidP="008E7F52">
                    <w:pPr>
                      <w:spacing w:before="0" w:after="0"/>
                      <w:rPr>
                        <w:rFonts w:ascii="Calibri" w:hAnsi="Calibri" w:cs="Calibri"/>
                        <w:color w:val="000000"/>
                        <w:sz w:val="22"/>
                      </w:rPr>
                    </w:pPr>
                    <w:r w:rsidRPr="008E7F52">
                      <w:rPr>
                        <w:rFonts w:ascii="Calibri" w:hAnsi="Calibri" w:cs="Calibri"/>
                        <w:color w:val="000000"/>
                        <w:sz w:val="22"/>
                      </w:rPr>
                      <w:t>OFFICIAL</w:t>
                    </w:r>
                  </w:p>
                </w:txbxContent>
              </v:textbox>
              <w10:wrap anchorx="page" anchory="page"/>
            </v:shape>
          </w:pict>
        </mc:Fallback>
      </mc:AlternateContent>
    </w:r>
    <w:r w:rsidR="00566167" w:rsidRPr="009757C5">
      <w:rPr>
        <w:lang w:val="en-US"/>
      </w:rPr>
      <w:fldChar w:fldCharType="begin"/>
    </w:r>
    <w:r w:rsidR="00566167" w:rsidRPr="009757C5">
      <w:rPr>
        <w:lang w:val="en-US"/>
      </w:rPr>
      <w:instrText xml:space="preserve"> PAGE   \* MERGEFORMAT </w:instrText>
    </w:r>
    <w:r w:rsidR="00566167" w:rsidRPr="009757C5">
      <w:rPr>
        <w:lang w:val="en-US"/>
      </w:rPr>
      <w:fldChar w:fldCharType="separate"/>
    </w:r>
    <w:r w:rsidR="00DB1F2A">
      <w:rPr>
        <w:lang w:val="en-US"/>
      </w:rPr>
      <w:t>ii</w:t>
    </w:r>
    <w:r w:rsidR="00566167" w:rsidRPr="009757C5">
      <w:rPr>
        <w:lang w:val="en-US"/>
      </w:rPr>
      <w:fldChar w:fldCharType="end"/>
    </w:r>
    <w:r w:rsidR="00566167">
      <w:rPr>
        <w:lang w:val="en-US"/>
      </w:rPr>
      <w:ptab w:relativeTo="margin" w:alignment="center" w:leader="none"/>
    </w:r>
    <w:r w:rsidR="00566167">
      <w:rPr>
        <w:lang w:val="en-US"/>
      </w:rPr>
      <w:t>Confidential</w:t>
    </w:r>
    <w:r w:rsidR="00566167">
      <w:rPr>
        <w:lang w:val="en-US"/>
      </w:rPr>
      <w:ptab w:relativeTo="margin" w:alignment="right" w:leader="none"/>
    </w:r>
    <w:r w:rsidR="00566167">
      <w:t>w</w:t>
    </w:r>
    <w:r w:rsidR="0083218C">
      <w:t>ww.</w:t>
    </w:r>
    <w:r w:rsidR="0083218C" w:rsidRPr="00C1031C">
      <w:rPr>
        <w:color w:val="7B5E05"/>
      </w:rPr>
      <w:t>sapere</w:t>
    </w:r>
    <w:r w:rsidR="0083218C" w:rsidRPr="00C1031C">
      <w:t>Valuatio</w:t>
    </w:r>
    <w:r w:rsidR="0083218C">
      <w:t>n</w:t>
    </w:r>
    <w:r w:rsidR="00566167">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9EAF" w14:textId="2A8B9361" w:rsidR="00C26A71" w:rsidRDefault="00BE72A1" w:rsidP="00A659D0">
    <w:pPr>
      <w:pStyle w:val="Footer"/>
    </w:pPr>
    <w:r>
      <w:rPr>
        <w:noProof/>
      </w:rPr>
      <mc:AlternateContent>
        <mc:Choice Requires="wps">
          <w:drawing>
            <wp:anchor distT="0" distB="0" distL="114300" distR="114300" simplePos="0" relativeHeight="251658240" behindDoc="0" locked="0" layoutInCell="1" allowOverlap="1" wp14:anchorId="0E94C364" wp14:editId="2F5BE368">
              <wp:simplePos x="0" y="0"/>
              <wp:positionH relativeFrom="column">
                <wp:posOffset>4106334</wp:posOffset>
              </wp:positionH>
              <wp:positionV relativeFrom="paragraph">
                <wp:posOffset>-1518285</wp:posOffset>
              </wp:positionV>
              <wp:extent cx="2203351" cy="1652270"/>
              <wp:effectExtent l="0" t="0" r="6985" b="5080"/>
              <wp:wrapNone/>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03351" cy="165227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91941" w14:textId="47F6DD7E" w:rsidR="00D4482F" w:rsidRPr="00074940" w:rsidRDefault="00D4482F" w:rsidP="00BD6214">
                          <w:pPr>
                            <w:pStyle w:val="ListParagraph"/>
                            <w:numPr>
                              <w:ilvl w:val="0"/>
                              <w:numId w:val="3"/>
                            </w:numPr>
                            <w:spacing w:before="0" w:after="0" w:line="240" w:lineRule="auto"/>
                            <w:ind w:left="284" w:hanging="27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4C364" id="Rectangle 24" o:spid="_x0000_s1029" style="position:absolute;margin-left:323.35pt;margin-top:-119.55pt;width:173.5pt;height:130.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" stroked="f" strokeweight="2.25pt">
              <v:fill r:id="rId2" o:title="" recolor="t" rotate="t" type="frame"/>
              <o:lock v:ext="edit" aspectratio="t"/>
              <v:textbox>
                <w:txbxContent>
                  <w:p w14:paraId="43091941" w14:textId="47F6DD7E" w:rsidR="00D4482F" w:rsidRPr="00074940" w:rsidRDefault="00D4482F" w:rsidP="00BD6214">
                    <w:pPr>
                      <w:pStyle w:val="ListParagraph"/>
                      <w:numPr>
                        <w:ilvl w:val="0"/>
                        <w:numId w:val="3"/>
                      </w:numPr>
                      <w:spacing w:before="0" w:after="0" w:line="240" w:lineRule="auto"/>
                      <w:ind w:left="284" w:hanging="270"/>
                      <w:rPr>
                        <w:sz w:val="18"/>
                        <w:szCs w:val="20"/>
                      </w:rPr>
                    </w:pPr>
                  </w:p>
                </w:txbxContent>
              </v:textbox>
            </v:rect>
          </w:pict>
        </mc:Fallback>
      </mc:AlternateContent>
    </w:r>
    <w:r>
      <w:rPr>
        <w:noProof/>
      </w:rPr>
      <mc:AlternateContent>
        <mc:Choice Requires="wpg">
          <w:drawing>
            <wp:anchor distT="0" distB="0" distL="114300" distR="114300" simplePos="0" relativeHeight="251658241" behindDoc="0" locked="0" layoutInCell="1" allowOverlap="1" wp14:anchorId="5403DDFD" wp14:editId="33682254">
              <wp:simplePos x="0" y="0"/>
              <wp:positionH relativeFrom="column">
                <wp:posOffset>-575733</wp:posOffset>
              </wp:positionH>
              <wp:positionV relativeFrom="paragraph">
                <wp:posOffset>-1518285</wp:posOffset>
              </wp:positionV>
              <wp:extent cx="4615539" cy="1652061"/>
              <wp:effectExtent l="0" t="0" r="0" b="5715"/>
              <wp:wrapNone/>
              <wp:docPr id="3" name="Group 3"/>
              <wp:cNvGraphicFramePr/>
              <a:graphic xmlns:a="http://schemas.openxmlformats.org/drawingml/2006/main">
                <a:graphicData uri="http://schemas.microsoft.com/office/word/2010/wordprocessingGroup">
                  <wpg:wgp>
                    <wpg:cNvGrpSpPr/>
                    <wpg:grpSpPr>
                      <a:xfrm>
                        <a:off x="0" y="0"/>
                        <a:ext cx="4615539" cy="1652061"/>
                        <a:chOff x="0" y="0"/>
                        <a:chExt cx="4615539" cy="1652061"/>
                      </a:xfrm>
                    </wpg:grpSpPr>
                    <wps:wsp>
                      <wps:cNvPr id="17" name="Rectangle 17"/>
                      <wps:cNvSpPr/>
                      <wps:spPr>
                        <a:xfrm>
                          <a:off x="567267" y="1143000"/>
                          <a:ext cx="509205" cy="509061"/>
                        </a:xfrm>
                        <a:prstGeom prst="rect">
                          <a:avLst/>
                        </a:prstGeom>
                        <a:solidFill>
                          <a:schemeClr val="accent2">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151467" y="1143000"/>
                          <a:ext cx="509205" cy="509061"/>
                        </a:xfrm>
                        <a:prstGeom prst="rect">
                          <a:avLst/>
                        </a:prstGeom>
                        <a:solidFill>
                          <a:schemeClr val="accent2">
                            <a:lumMod val="40000"/>
                            <a:lumOff val="6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748367" y="1143000"/>
                          <a:ext cx="509205" cy="509061"/>
                        </a:xfrm>
                        <a:prstGeom prst="rect">
                          <a:avLst/>
                        </a:prstGeom>
                        <a:solidFill>
                          <a:schemeClr val="accent2">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925234" y="1143000"/>
                          <a:ext cx="509205" cy="509061"/>
                        </a:xfrm>
                        <a:prstGeom prst="rect">
                          <a:avLst/>
                        </a:prstGeom>
                        <a:solidFill>
                          <a:schemeClr val="accent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106334" y="1143000"/>
                          <a:ext cx="509205" cy="509061"/>
                        </a:xfrm>
                        <a:prstGeom prst="rect">
                          <a:avLst/>
                        </a:prstGeom>
                        <a:solidFill>
                          <a:schemeClr val="accent2">
                            <a:lumMod val="75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151467" y="571500"/>
                          <a:ext cx="509775" cy="509086"/>
                        </a:xfrm>
                        <a:prstGeom prst="rect">
                          <a:avLst/>
                        </a:prstGeom>
                        <a:solidFill>
                          <a:schemeClr val="accent3"/>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341034" y="571500"/>
                          <a:ext cx="509205" cy="509061"/>
                        </a:xfrm>
                        <a:prstGeom prst="rect">
                          <a:avLst/>
                        </a:prstGeom>
                        <a:solidFill>
                          <a:schemeClr val="accent3">
                            <a:lumMod val="9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3522134" y="571500"/>
                          <a:ext cx="509205" cy="509061"/>
                        </a:xfrm>
                        <a:prstGeom prst="rect">
                          <a:avLst/>
                        </a:prstGeom>
                        <a:solidFill>
                          <a:schemeClr val="accent3">
                            <a:lumMod val="5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4106334" y="571500"/>
                          <a:ext cx="509205" cy="509061"/>
                        </a:xfrm>
                        <a:prstGeom prst="rect">
                          <a:avLst/>
                        </a:prstGeom>
                        <a:solidFill>
                          <a:schemeClr val="accent4"/>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567267" y="0"/>
                          <a:ext cx="509775" cy="509086"/>
                        </a:xfrm>
                        <a:prstGeom prst="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341034" y="0"/>
                          <a:ext cx="509205" cy="509061"/>
                        </a:xfrm>
                        <a:prstGeom prst="rect">
                          <a:avLst/>
                        </a:prstGeom>
                        <a:solidFill>
                          <a:schemeClr val="bg2">
                            <a:lumMod val="75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748367" y="0"/>
                          <a:ext cx="509205" cy="509061"/>
                        </a:xfrm>
                        <a:prstGeom prst="rect">
                          <a:avLst/>
                        </a:prstGeom>
                        <a:solidFill>
                          <a:schemeClr val="bg2">
                            <a:lumMod val="9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2925234" y="0"/>
                          <a:ext cx="509205" cy="509061"/>
                        </a:xfrm>
                        <a:prstGeom prst="rect">
                          <a:avLst/>
                        </a:prstGeom>
                        <a:solidFill>
                          <a:schemeClr val="bg2">
                            <a:lumMod val="5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4106334" y="0"/>
                          <a:ext cx="509205" cy="509061"/>
                        </a:xfrm>
                        <a:prstGeom prst="rect">
                          <a:avLst/>
                        </a:prstGeom>
                        <a:solidFill>
                          <a:schemeClr val="accent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575733"/>
                          <a:ext cx="509775" cy="509086"/>
                        </a:xfrm>
                        <a:prstGeom prst="rect">
                          <a:avLst/>
                        </a:prstGeom>
                        <a:solidFill>
                          <a:schemeClr val="bg1">
                            <a:lumMod val="95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741C6E1B" id="Group 3" o:spid="_x0000_s1026" style="position:absolute;margin-left:-45.35pt;margin-top:-119.55pt;width:363.45pt;height:130.1pt;z-index:251658241" coordsize="46155,1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">
              <v:rect id="Rectangle 17" o:spid="_x0000_s1027" style="position:absolute;left:5672;top:11430;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" fillcolor="#d8cfe2 [661]" stroked="f" strokeweight="2.25pt"/>
              <v:rect id="Rectangle 19" o:spid="_x0000_s1028" style="position:absolute;left:11514;top:11430;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" fillcolor="#b1a0c5 [1301]" stroked="f" strokeweight="2.25pt"/>
              <v:rect id="Rectangle 21" o:spid="_x0000_s1029" style="position:absolute;left:17483;top:11430;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" fillcolor="#8b70a9 [1941]" stroked="f" strokeweight="2.25pt"/>
              <v:rect id="Rectangle 23" o:spid="_x0000_s1030" style="position:absolute;left:29252;top:11430;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" fillcolor="#403151 [3205]" stroked="f" strokeweight="2.25pt"/>
              <v:rect id="Rectangle 25" o:spid="_x0000_s1031" style="position:absolute;left:41063;top:11430;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" fillcolor="#2f243c [2405]" stroked="f" strokeweight="2.25pt"/>
              <v:rect id="Rectangle 27" o:spid="_x0000_s1032" style="position:absolute;left:11514;top:5715;width:5098;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" fillcolor="#d9d9d9 [3206]" stroked="f" strokeweight="2.25pt"/>
              <v:rect id="Rectangle 28" o:spid="_x0000_s1033" style="position:absolute;left:23410;top:5715;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" fillcolor="#c2c2c2 [2886]" stroked="f" strokeweight="2.25pt"/>
              <v:rect id="Rectangle 30" o:spid="_x0000_s1034" style="position:absolute;left:35221;top:5715;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" fillcolor="#6c6c6c [1606]" stroked="f" strokeweight="2.25pt"/>
              <v:rect id="Rectangle 32" o:spid="_x0000_s1035" style="position:absolute;left:41063;top:5715;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" fillcolor="#404040 [3207]" stroked="f" strokeweight="2.25pt"/>
              <v:rect id="Rectangle 33" o:spid="_x0000_s1036" style="position:absolute;left:5672;width:5098;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" fillcolor="#eeece1 [3214]" stroked="f" strokeweight="2.25pt"/>
              <v:rect id="Rectangle 35" o:spid="_x0000_s1037" style="position:absolute;left:23410;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" fillcolor="#c4bc96 [2414]" stroked="f" strokeweight="2.25pt"/>
              <v:rect id="Rectangle 36" o:spid="_x0000_s1038" style="position:absolute;left:17483;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" fillcolor="#ddd8c2 [2894]" stroked="f" strokeweight="2.25pt"/>
              <v:rect id="Rectangle 38" o:spid="_x0000_s1039" style="position:absolute;left:29252;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" fillcolor="#938953 [1614]" stroked="f" strokeweight="2.25pt"/>
              <v:rect id="Rectangle 39" o:spid="_x0000_s1040" style="position:absolute;left:41063;width:5092;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" fillcolor="#7b5e05 [3204]" stroked="f" strokeweight="2.25pt"/>
              <v:rect id="Rectangle 34" o:spid="_x0000_s1041" style="position:absolute;top:5757;width:5097;height:5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" fillcolor="#f2f2f2 [3052]" stroked="f" strokeweight="2.25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C89" w14:textId="6D632674" w:rsidR="00566167" w:rsidRDefault="008E7F52" w:rsidP="00A659D0">
    <w:pPr>
      <w:pStyle w:val="Gap"/>
    </w:pPr>
    <w:r>
      <w:rPr>
        <w:noProof/>
      </w:rPr>
      <mc:AlternateContent>
        <mc:Choice Requires="wps">
          <w:drawing>
            <wp:anchor distT="0" distB="0" distL="114300" distR="114300" simplePos="1" relativeHeight="251658251" behindDoc="0" locked="0" layoutInCell="0" allowOverlap="1" wp14:anchorId="0FC729FA" wp14:editId="784A4B6A">
              <wp:simplePos x="0" y="10228183"/>
              <wp:positionH relativeFrom="page">
                <wp:posOffset>0</wp:posOffset>
              </wp:positionH>
              <wp:positionV relativeFrom="page">
                <wp:posOffset>10227945</wp:posOffset>
              </wp:positionV>
              <wp:extent cx="7560310" cy="273050"/>
              <wp:effectExtent l="0" t="0" r="0" b="12700"/>
              <wp:wrapNone/>
              <wp:docPr id="5" name="Text Box 5"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41FDD" w14:textId="03D346E3" w:rsidR="008E7F52" w:rsidRPr="008E7F52" w:rsidRDefault="008E7F52" w:rsidP="008E7F52">
                          <w:pPr>
                            <w:spacing w:before="0" w:after="0"/>
                            <w:rPr>
                              <w:rFonts w:ascii="Calibri" w:hAnsi="Calibri" w:cs="Calibri"/>
                              <w:color w:val="000000"/>
                              <w:sz w:val="22"/>
                            </w:rPr>
                          </w:pPr>
                          <w:r w:rsidRPr="008E7F5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C729FA" id="_x0000_t202" coordsize="21600,21600" o:spt="202" path="m,l,21600r21600,l21600,xe">
              <v:stroke joinstyle="miter"/>
              <v:path gradientshapeok="t" o:connecttype="rect"/>
            </v:shapetype>
            <v:shape id="Text Box 5" o:spid="_x0000_s1030" type="#_x0000_t202" alt="{&quot;HashCode&quot;:-1267603503,&quot;Height&quot;:841.0,&quot;Width&quot;:595.0,&quot;Placement&quot;:&quot;Footer&quot;,&quot;Index&quot;:&quot;FirstPage&quot;,&quot;Section&quot;:1,&quot;Top&quot;:0.0,&quot;Left&quot;:0.0}" style="position:absolute;margin-left:0;margin-top:805.35pt;width:595.3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7F941FDD" w14:textId="03D346E3" w:rsidR="008E7F52" w:rsidRPr="008E7F52" w:rsidRDefault="008E7F52" w:rsidP="008E7F52">
                    <w:pPr>
                      <w:spacing w:before="0" w:after="0"/>
                      <w:rPr>
                        <w:rFonts w:ascii="Calibri" w:hAnsi="Calibri" w:cs="Calibri"/>
                        <w:color w:val="000000"/>
                        <w:sz w:val="22"/>
                      </w:rPr>
                    </w:pPr>
                    <w:r w:rsidRPr="008E7F52">
                      <w:rPr>
                        <w:rFonts w:ascii="Calibri" w:hAnsi="Calibri" w:cs="Calibri"/>
                        <w:color w:val="000000"/>
                        <w:sz w:val="22"/>
                      </w:rPr>
                      <w:t>OFFICIAL</w:t>
                    </w:r>
                  </w:p>
                </w:txbxContent>
              </v:textbox>
              <w10:wrap anchorx="page" anchory="page"/>
            </v:shape>
          </w:pict>
        </mc:Fallback>
      </mc:AlternateContent>
    </w:r>
    <w:r w:rsidR="008676F4">
      <w:rPr>
        <w:noProof/>
      </w:rPr>
      <mc:AlternateContent>
        <mc:Choice Requires="wps">
          <w:drawing>
            <wp:anchor distT="0" distB="0" distL="114300" distR="114300" simplePos="0" relativeHeight="251658245" behindDoc="1" locked="0" layoutInCell="1" allowOverlap="1" wp14:anchorId="5945B5BF" wp14:editId="625A41B8">
              <wp:simplePos x="0" y="0"/>
              <wp:positionH relativeFrom="column">
                <wp:posOffset>4338955</wp:posOffset>
              </wp:positionH>
              <wp:positionV relativeFrom="paragraph">
                <wp:posOffset>-375285</wp:posOffset>
              </wp:positionV>
              <wp:extent cx="1941698" cy="1181100"/>
              <wp:effectExtent l="0" t="0" r="1905" b="0"/>
              <wp:wrapNone/>
              <wp:docPr id="15" name="Rectangle 15"/>
              <wp:cNvGraphicFramePr/>
              <a:graphic xmlns:a="http://schemas.openxmlformats.org/drawingml/2006/main">
                <a:graphicData uri="http://schemas.microsoft.com/office/word/2010/wordprocessingShape">
                  <wps:wsp>
                    <wps:cNvSpPr/>
                    <wps:spPr>
                      <a:xfrm>
                        <a:off x="0" y="0"/>
                        <a:ext cx="1941698" cy="11811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582BE786" id="Rectangle 15" o:spid="_x0000_s1026" style="position:absolute;margin-left:341.65pt;margin-top:-29.55pt;width:152.9pt;height:93pt;z-index:-2516582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" fillcolor="#7b5e05 [3204]" stroked="f" strokeweight="1pt"/>
          </w:pict>
        </mc:Fallback>
      </mc:AlternateContent>
    </w:r>
    <w:r w:rsidR="008676F4">
      <w:rPr>
        <w:noProof/>
      </w:rPr>
      <mc:AlternateContent>
        <mc:Choice Requires="wps">
          <w:drawing>
            <wp:anchor distT="0" distB="0" distL="114300" distR="114300" simplePos="0" relativeHeight="251658246" behindDoc="1" locked="0" layoutInCell="1" allowOverlap="1" wp14:anchorId="3B9807CF" wp14:editId="5270737A">
              <wp:simplePos x="0" y="0"/>
              <wp:positionH relativeFrom="column">
                <wp:posOffset>1146810</wp:posOffset>
              </wp:positionH>
              <wp:positionV relativeFrom="paragraph">
                <wp:posOffset>-375285</wp:posOffset>
              </wp:positionV>
              <wp:extent cx="2087593" cy="1181100"/>
              <wp:effectExtent l="0" t="0" r="8255" b="0"/>
              <wp:wrapNone/>
              <wp:docPr id="1" name="Rectangle 1"/>
              <wp:cNvGraphicFramePr/>
              <a:graphic xmlns:a="http://schemas.openxmlformats.org/drawingml/2006/main">
                <a:graphicData uri="http://schemas.microsoft.com/office/word/2010/wordprocessingShape">
                  <wps:wsp>
                    <wps:cNvSpPr/>
                    <wps:spPr>
                      <a:xfrm>
                        <a:off x="0" y="0"/>
                        <a:ext cx="2087593" cy="11811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56AD30A" id="Rectangle 1" o:spid="_x0000_s1026" style="position:absolute;margin-left:90.3pt;margin-top:-29.55pt;width:164.4pt;height:93pt;z-index:-2516582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" fillcolor="#403151 [3205]" stroked="f" strokeweight="1pt"/>
          </w:pict>
        </mc:Fallback>
      </mc:AlternateContent>
    </w:r>
    <w:r w:rsidR="008676F4">
      <w:rPr>
        <w:noProof/>
      </w:rPr>
      <mc:AlternateContent>
        <mc:Choice Requires="wps">
          <w:drawing>
            <wp:anchor distT="0" distB="0" distL="114300" distR="114300" simplePos="0" relativeHeight="251658244" behindDoc="1" locked="0" layoutInCell="1" allowOverlap="1" wp14:anchorId="3F0B0303" wp14:editId="247F4EF3">
              <wp:simplePos x="0" y="0"/>
              <wp:positionH relativeFrom="column">
                <wp:posOffset>-560705</wp:posOffset>
              </wp:positionH>
              <wp:positionV relativeFrom="paragraph">
                <wp:posOffset>-375285</wp:posOffset>
              </wp:positionV>
              <wp:extent cx="1958196" cy="1181100"/>
              <wp:effectExtent l="0" t="0" r="4445" b="0"/>
              <wp:wrapNone/>
              <wp:docPr id="13" name="Rectangle 13"/>
              <wp:cNvGraphicFramePr/>
              <a:graphic xmlns:a="http://schemas.openxmlformats.org/drawingml/2006/main">
                <a:graphicData uri="http://schemas.microsoft.com/office/word/2010/wordprocessingShape">
                  <wps:wsp>
                    <wps:cNvSpPr/>
                    <wps:spPr>
                      <a:xfrm>
                        <a:off x="0" y="0"/>
                        <a:ext cx="1958196" cy="1181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2DD1C4D" id="Rectangle 13" o:spid="_x0000_s1026" style="position:absolute;margin-left:-44.15pt;margin-top:-29.55pt;width:154.2pt;height:93pt;z-index:-2516582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" fillcolor="#d9d9d9 [3206]" stroked="f" strokeweight="1pt"/>
          </w:pict>
        </mc:Fallback>
      </mc:AlternateContent>
    </w:r>
    <w:r w:rsidR="00CA7777">
      <w:rPr>
        <w:noProof/>
      </w:rPr>
      <mc:AlternateContent>
        <mc:Choice Requires="wps">
          <w:drawing>
            <wp:anchor distT="0" distB="0" distL="114300" distR="114300" simplePos="0" relativeHeight="251658247" behindDoc="1" locked="0" layoutInCell="1" allowOverlap="1" wp14:anchorId="43049758" wp14:editId="222EE75C">
              <wp:simplePos x="0" y="0"/>
              <wp:positionH relativeFrom="column">
                <wp:posOffset>2858770</wp:posOffset>
              </wp:positionH>
              <wp:positionV relativeFrom="paragraph">
                <wp:posOffset>-375285</wp:posOffset>
              </wp:positionV>
              <wp:extent cx="1719618" cy="1181100"/>
              <wp:effectExtent l="0" t="0" r="0" b="0"/>
              <wp:wrapNone/>
              <wp:docPr id="18" name="Rectangle 18"/>
              <wp:cNvGraphicFramePr/>
              <a:graphic xmlns:a="http://schemas.openxmlformats.org/drawingml/2006/main">
                <a:graphicData uri="http://schemas.microsoft.com/office/word/2010/wordprocessingShape">
                  <wps:wsp>
                    <wps:cNvSpPr/>
                    <wps:spPr>
                      <a:xfrm>
                        <a:off x="0" y="0"/>
                        <a:ext cx="1719618" cy="11811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DEAD7" w14:textId="77777777" w:rsidR="00C425F2" w:rsidRPr="00C425F2" w:rsidRDefault="00C425F2" w:rsidP="00A659D0">
                          <w:r w:rsidRPr="00C425F2">
                            <w:t>To insert an image:</w:t>
                          </w:r>
                        </w:p>
                        <w:p w14:paraId="0A2724CF" w14:textId="77777777" w:rsidR="00C425F2" w:rsidRPr="00C425F2" w:rsidRDefault="00C425F2" w:rsidP="00BD6214">
                          <w:pPr>
                            <w:pStyle w:val="ListParagraph"/>
                            <w:numPr>
                              <w:ilvl w:val="0"/>
                              <w:numId w:val="3"/>
                            </w:numPr>
                          </w:pPr>
                          <w:r w:rsidRPr="00C425F2">
                            <w:t>Right-click the footer and select ‘Edit Footer’</w:t>
                          </w:r>
                        </w:p>
                        <w:p w14:paraId="1ABBBF7D" w14:textId="77777777" w:rsidR="00C425F2" w:rsidRPr="00C425F2" w:rsidRDefault="00C425F2" w:rsidP="00BD6214">
                          <w:pPr>
                            <w:pStyle w:val="ListParagraph"/>
                            <w:numPr>
                              <w:ilvl w:val="0"/>
                              <w:numId w:val="3"/>
                            </w:numPr>
                          </w:pPr>
                          <w:r w:rsidRPr="00C425F2">
                            <w:t>Click on this box</w:t>
                          </w:r>
                        </w:p>
                        <w:p w14:paraId="2FADF148" w14:textId="77777777" w:rsidR="00C425F2" w:rsidRPr="00C425F2" w:rsidRDefault="00C425F2" w:rsidP="00BD6214">
                          <w:pPr>
                            <w:pStyle w:val="ListParagraph"/>
                            <w:numPr>
                              <w:ilvl w:val="0"/>
                              <w:numId w:val="3"/>
                            </w:numPr>
                          </w:pPr>
                          <w:r w:rsidRPr="00C425F2">
                            <w:t>Click on ‘Drawing tools’ – ‘Format’</w:t>
                          </w:r>
                        </w:p>
                        <w:p w14:paraId="3F0E2CF3" w14:textId="77777777" w:rsidR="00C425F2" w:rsidRPr="00C425F2" w:rsidRDefault="00C425F2" w:rsidP="00BD6214">
                          <w:pPr>
                            <w:pStyle w:val="ListParagraph"/>
                            <w:numPr>
                              <w:ilvl w:val="0"/>
                              <w:numId w:val="3"/>
                            </w:numPr>
                          </w:pPr>
                          <w:r w:rsidRPr="00C425F2">
                            <w:t>Click ‘Shape Fill’ – ‘Picture’</w:t>
                          </w:r>
                        </w:p>
                        <w:p w14:paraId="1DDF3F4B" w14:textId="77777777" w:rsidR="00C425F2" w:rsidRPr="00C425F2" w:rsidRDefault="00C425F2" w:rsidP="00BD6214">
                          <w:pPr>
                            <w:pStyle w:val="ListParagraph"/>
                            <w:numPr>
                              <w:ilvl w:val="0"/>
                              <w:numId w:val="3"/>
                            </w:numPr>
                          </w:pPr>
                          <w:r w:rsidRPr="00C425F2">
                            <w:t>Delete text once picture has been inserted</w:t>
                          </w:r>
                        </w:p>
                        <w:p w14:paraId="188BF1FF" w14:textId="77777777" w:rsidR="00C425F2" w:rsidRPr="00C425F2" w:rsidRDefault="00C425F2" w:rsidP="00A659D0"/>
                        <w:p w14:paraId="4BCF7DA1" w14:textId="77777777" w:rsidR="00566167" w:rsidRPr="00C425F2" w:rsidRDefault="00566167" w:rsidP="00A659D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049758" id="Rectangle 18" o:spid="_x0000_s1031" style="position:absolute;margin-left:225.1pt;margin-top:-29.55pt;width:135.4pt;height:93pt;z-index:-2516582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" fillcolor="#e36c0a [3209]" stroked="f" strokeweight="1pt">
              <v:textbox>
                <w:txbxContent>
                  <w:p w14:paraId="4AFDEAD7" w14:textId="77777777" w:rsidR="00C425F2" w:rsidRPr="00C425F2" w:rsidRDefault="00C425F2" w:rsidP="00A659D0">
                    <w:r w:rsidRPr="00C425F2">
                      <w:t>To insert an image:</w:t>
                    </w:r>
                  </w:p>
                  <w:p w14:paraId="0A2724CF" w14:textId="77777777" w:rsidR="00C425F2" w:rsidRPr="00C425F2" w:rsidRDefault="00C425F2" w:rsidP="00BD6214">
                    <w:pPr>
                      <w:pStyle w:val="ListParagraph"/>
                      <w:numPr>
                        <w:ilvl w:val="0"/>
                        <w:numId w:val="3"/>
                      </w:numPr>
                    </w:pPr>
                    <w:r w:rsidRPr="00C425F2">
                      <w:t>Right-click the footer and select ‘Edit Footer’</w:t>
                    </w:r>
                  </w:p>
                  <w:p w14:paraId="1ABBBF7D" w14:textId="77777777" w:rsidR="00C425F2" w:rsidRPr="00C425F2" w:rsidRDefault="00C425F2" w:rsidP="00BD6214">
                    <w:pPr>
                      <w:pStyle w:val="ListParagraph"/>
                      <w:numPr>
                        <w:ilvl w:val="0"/>
                        <w:numId w:val="3"/>
                      </w:numPr>
                    </w:pPr>
                    <w:r w:rsidRPr="00C425F2">
                      <w:t>Click on this box</w:t>
                    </w:r>
                  </w:p>
                  <w:p w14:paraId="2FADF148" w14:textId="77777777" w:rsidR="00C425F2" w:rsidRPr="00C425F2" w:rsidRDefault="00C425F2" w:rsidP="00BD6214">
                    <w:pPr>
                      <w:pStyle w:val="ListParagraph"/>
                      <w:numPr>
                        <w:ilvl w:val="0"/>
                        <w:numId w:val="3"/>
                      </w:numPr>
                    </w:pPr>
                    <w:r w:rsidRPr="00C425F2">
                      <w:t>Click on ‘Drawing tools’ – ‘Format’</w:t>
                    </w:r>
                  </w:p>
                  <w:p w14:paraId="3F0E2CF3" w14:textId="77777777" w:rsidR="00C425F2" w:rsidRPr="00C425F2" w:rsidRDefault="00C425F2" w:rsidP="00BD6214">
                    <w:pPr>
                      <w:pStyle w:val="ListParagraph"/>
                      <w:numPr>
                        <w:ilvl w:val="0"/>
                        <w:numId w:val="3"/>
                      </w:numPr>
                    </w:pPr>
                    <w:r w:rsidRPr="00C425F2">
                      <w:t>Click ‘Shape Fill’ – ‘Picture’</w:t>
                    </w:r>
                  </w:p>
                  <w:p w14:paraId="1DDF3F4B" w14:textId="77777777" w:rsidR="00C425F2" w:rsidRPr="00C425F2" w:rsidRDefault="00C425F2" w:rsidP="00BD6214">
                    <w:pPr>
                      <w:pStyle w:val="ListParagraph"/>
                      <w:numPr>
                        <w:ilvl w:val="0"/>
                        <w:numId w:val="3"/>
                      </w:numPr>
                    </w:pPr>
                    <w:r w:rsidRPr="00C425F2">
                      <w:t>Delete text once picture has been inserted</w:t>
                    </w:r>
                  </w:p>
                  <w:p w14:paraId="188BF1FF" w14:textId="77777777" w:rsidR="00C425F2" w:rsidRPr="00C425F2" w:rsidRDefault="00C425F2" w:rsidP="00A659D0"/>
                  <w:p w14:paraId="4BCF7DA1" w14:textId="77777777" w:rsidR="00566167" w:rsidRPr="00C425F2" w:rsidRDefault="00566167" w:rsidP="00A659D0"/>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30D7" w14:textId="6EF54754" w:rsidR="00566167" w:rsidRPr="000B46A6" w:rsidRDefault="00C378C4" w:rsidP="00A659D0">
    <w:pPr>
      <w:pStyle w:val="Footer"/>
      <w:rPr>
        <w:lang w:val="en-US"/>
      </w:rPr>
    </w:pPr>
    <w:r>
      <w:rPr>
        <w:lang w:val="en-US"/>
      </w:rPr>
      <w:fldChar w:fldCharType="begin"/>
    </w:r>
    <w:r>
      <w:rPr>
        <w:lang w:val="en-US"/>
      </w:rPr>
      <w:instrText xml:space="preserve"> PAGE  \* roman  \* MERGEFORMAT </w:instrText>
    </w:r>
    <w:r>
      <w:rPr>
        <w:lang w:val="en-US"/>
      </w:rPr>
      <w:fldChar w:fldCharType="separate"/>
    </w:r>
    <w:r>
      <w:rPr>
        <w:lang w:val="en-US"/>
      </w:rPr>
      <w:t>vii</w:t>
    </w:r>
    <w:r>
      <w:rPr>
        <w:lang w:val="en-US"/>
      </w:rPr>
      <w:fldChar w:fldCharType="end"/>
    </w:r>
    <w:r>
      <w:rPr>
        <w:lang w:val="en-US"/>
      </w:rPr>
      <w:ptab w:relativeTo="margin" w:alignment="center" w:leader="none"/>
    </w:r>
    <w:r>
      <w:rPr>
        <w:lang w:val="en-US"/>
      </w:rPr>
      <w:ptab w:relativeTo="margin" w:alignment="right" w:leader="none"/>
    </w:r>
    <w:r w:rsidRPr="0083218C">
      <w:t xml:space="preserve"> </w:t>
    </w:r>
    <w:r w:rsidR="004048BA" w:rsidRPr="004048BA">
      <w:t>www.think</w:t>
    </w:r>
    <w:r w:rsidR="004048BA" w:rsidRPr="004048BA">
      <w:rPr>
        <w:color w:val="7B5E05" w:themeColor="accent1"/>
      </w:rPr>
      <w:t>Sapere</w:t>
    </w:r>
    <w:r w:rsidR="004048BA" w:rsidRPr="004048BA">
      <w:t>.com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86C3" w14:textId="61307BB6" w:rsidR="00651311" w:rsidRPr="00184E7C" w:rsidRDefault="004048BA" w:rsidP="00A659D0">
    <w:pPr>
      <w:pStyle w:val="Footer"/>
    </w:pPr>
    <w:r w:rsidRPr="004048BA">
      <w:t>www.think</w:t>
    </w:r>
    <w:r w:rsidRPr="004048BA">
      <w:rPr>
        <w:color w:val="7B5E05" w:themeColor="accent1"/>
      </w:rPr>
      <w:t>Sapere</w:t>
    </w:r>
    <w:r w:rsidRPr="004048BA">
      <w:t>.com</w:t>
    </w:r>
    <w:r w:rsidR="00651311">
      <w:ptab w:relativeTo="margin" w:alignment="center" w:leader="none"/>
    </w:r>
    <w:r w:rsidR="00651311">
      <w:ptab w:relativeTo="margin" w:alignment="right" w:leader="none"/>
    </w:r>
    <w:r w:rsidR="00651311">
      <w:fldChar w:fldCharType="begin"/>
    </w:r>
    <w:r w:rsidR="00651311">
      <w:instrText xml:space="preserve"> PAGE  \* roman  \* MERGEFORMAT </w:instrText>
    </w:r>
    <w:r w:rsidR="00651311">
      <w:fldChar w:fldCharType="separate"/>
    </w:r>
    <w:r w:rsidR="00651311">
      <w:t>iii</w:t>
    </w:r>
    <w:r w:rsidR="0065131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DDAD" w14:textId="1C06CEBC" w:rsidR="003B71B0" w:rsidRPr="000B46A6" w:rsidRDefault="003B71B0" w:rsidP="00A659D0">
    <w:pPr>
      <w:pStyle w:val="Footer"/>
      <w:rPr>
        <w:lang w:val="en-US"/>
      </w:rPr>
    </w:pPr>
    <w:r>
      <w:rPr>
        <w:lang w:val="en-US"/>
      </w:rPr>
      <w:fldChar w:fldCharType="begin"/>
    </w:r>
    <w:r>
      <w:rPr>
        <w:lang w:val="en-US"/>
      </w:rPr>
      <w:instrText xml:space="preserve"> PAGE  \* Arabic  \* MERGEFORMAT </w:instrText>
    </w:r>
    <w:r>
      <w:rPr>
        <w:lang w:val="en-US"/>
      </w:rPr>
      <w:fldChar w:fldCharType="separate"/>
    </w:r>
    <w:r>
      <w:rPr>
        <w:noProof/>
        <w:lang w:val="en-US"/>
      </w:rPr>
      <w:t>4</w:t>
    </w:r>
    <w:r>
      <w:rPr>
        <w:lang w:val="en-US"/>
      </w:rPr>
      <w:fldChar w:fldCharType="end"/>
    </w:r>
    <w:r>
      <w:rPr>
        <w:lang w:val="en-US"/>
      </w:rPr>
      <w:ptab w:relativeTo="margin" w:alignment="center" w:leader="none"/>
    </w:r>
    <w:r>
      <w:rPr>
        <w:lang w:val="en-US"/>
      </w:rPr>
      <w:ptab w:relativeTo="margin" w:alignment="right" w:leader="none"/>
    </w:r>
    <w:r w:rsidRPr="0083218C">
      <w:t xml:space="preserve"> </w:t>
    </w:r>
    <w:r w:rsidRPr="004048BA">
      <w:t>www.think</w:t>
    </w:r>
    <w:r w:rsidRPr="004048BA">
      <w:rPr>
        <w:color w:val="7B5E05" w:themeColor="accent1"/>
      </w:rPr>
      <w:t>Sapere</w:t>
    </w:r>
    <w:r w:rsidRPr="004048BA">
      <w:t>.com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E3D4" w14:textId="104E5D02" w:rsidR="003B71B0" w:rsidRPr="00184E7C" w:rsidRDefault="003B71B0" w:rsidP="00A659D0">
    <w:pPr>
      <w:pStyle w:val="Footer"/>
    </w:pPr>
    <w:r w:rsidRPr="004048BA">
      <w:t>www.think</w:t>
    </w:r>
    <w:r w:rsidRPr="004048BA">
      <w:rPr>
        <w:color w:val="7B5E05" w:themeColor="accent1"/>
      </w:rPr>
      <w:t>Sapere</w:t>
    </w:r>
    <w:r w:rsidRPr="004048BA">
      <w:t>.com</w:t>
    </w:r>
    <w:r>
      <w:ptab w:relativeTo="margin" w:alignment="center" w:leader="none"/>
    </w:r>
    <w:r>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B645" w14:textId="77777777" w:rsidR="000B46A6" w:rsidRPr="000B46A6" w:rsidRDefault="0083218C" w:rsidP="00A659D0">
    <w:pPr>
      <w:pStyle w:val="Footer"/>
    </w:pPr>
    <w:r>
      <w:ptab w:relativeTo="margin" w:alignment="right" w:leader="none"/>
    </w:r>
    <w:r w:rsidR="000B46A6" w:rsidRPr="00D54161">
      <w:t xml:space="preserve">© </w:t>
    </w:r>
    <w:r w:rsidR="004E58C6">
      <w:t>2020</w:t>
    </w:r>
    <w:r w:rsidR="000B46A6" w:rsidRPr="00D54161">
      <w:t xml:space="preserve"> Sapere Research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3BBB" w14:textId="77777777" w:rsidR="00907793" w:rsidRDefault="00907793" w:rsidP="00A659D0">
      <w:r>
        <w:separator/>
      </w:r>
    </w:p>
  </w:footnote>
  <w:footnote w:type="continuationSeparator" w:id="0">
    <w:p w14:paraId="501E4374" w14:textId="77777777" w:rsidR="00907793" w:rsidRDefault="00907793" w:rsidP="00A659D0">
      <w:r>
        <w:continuationSeparator/>
      </w:r>
    </w:p>
  </w:footnote>
  <w:footnote w:type="continuationNotice" w:id="1">
    <w:p w14:paraId="2CA28A72" w14:textId="77777777" w:rsidR="00907793" w:rsidRDefault="00907793">
      <w:pPr>
        <w:spacing w:before="0" w:after="0" w:line="240" w:lineRule="auto"/>
      </w:pPr>
    </w:p>
  </w:footnote>
  <w:footnote w:id="2">
    <w:p w14:paraId="71B7170C" w14:textId="62728E76" w:rsidR="00E758AC" w:rsidRPr="00BA1FDD" w:rsidRDefault="00E758AC" w:rsidP="004848EF">
      <w:pPr>
        <w:pStyle w:val="FootnoteText"/>
        <w:rPr>
          <w:lang w:val="en-US"/>
        </w:rPr>
      </w:pPr>
      <w:r w:rsidRPr="004848EF">
        <w:rPr>
          <w:rStyle w:val="FootnoteReference"/>
          <w:szCs w:val="18"/>
        </w:rPr>
        <w:footnoteRef/>
      </w:r>
      <w:r w:rsidRPr="004848EF">
        <w:t xml:space="preserve"> Under section 7 of the Subordinate Legislation Act 1994, a RIS is required to be prepared for proposed regulations. The responsible Minister must ensure a RIS is prepared for public consultation. </w:t>
      </w:r>
    </w:p>
  </w:footnote>
  <w:footnote w:id="3">
    <w:p w14:paraId="124A634E" w14:textId="05B0615C" w:rsidR="009E7270" w:rsidRPr="009E7270" w:rsidRDefault="009E7270">
      <w:pPr>
        <w:pStyle w:val="FootnoteText"/>
        <w:rPr>
          <w:lang w:val="en-US"/>
        </w:rPr>
      </w:pPr>
      <w:r>
        <w:rPr>
          <w:rStyle w:val="FootnoteReference"/>
        </w:rPr>
        <w:footnoteRef/>
      </w:r>
      <w:r>
        <w:t xml:space="preserve"> For example, </w:t>
      </w:r>
      <w:r w:rsidRPr="009E7270">
        <w:t>for the purposes of preparing a family history of a patient. Regulation 9 sets out the prescribed circumstances for collection of health information. Under the Act, HPP 1 limits the health information that may be collected to specific circumstances and permits the making of regulations to set out any additional circumstances.</w:t>
      </w:r>
    </w:p>
  </w:footnote>
  <w:footnote w:id="4">
    <w:p w14:paraId="11D556F6" w14:textId="5495336D" w:rsidR="005667F1" w:rsidRDefault="005667F1" w:rsidP="00876CB5">
      <w:pPr>
        <w:pStyle w:val="FootnoteText"/>
      </w:pPr>
      <w:r w:rsidRPr="00876CB5">
        <w:footnoteRef/>
      </w:r>
      <w:r>
        <w:t xml:space="preserve"> Although noting there will be a small number of private organisations that will not be able to charge any fees - non-health service organisations with an annual turnover of over $3 million are not subject to the Commonwealth Privacy Act, so rely solely on the Health Records Act for charging a fee. </w:t>
      </w:r>
    </w:p>
    <w:p w14:paraId="58C21065" w14:textId="4075CF4B" w:rsidR="005667F1" w:rsidRPr="00876CB5" w:rsidRDefault="005667F1">
      <w:pPr>
        <w:pStyle w:val="FootnoteText"/>
        <w:rPr>
          <w:lang w:val="en-US"/>
        </w:rPr>
      </w:pPr>
    </w:p>
  </w:footnote>
  <w:footnote w:id="5">
    <w:p w14:paraId="7BB5A84A" w14:textId="0F834E86" w:rsidR="003D48DC" w:rsidRPr="00702AB8" w:rsidRDefault="003D48DC">
      <w:pPr>
        <w:pStyle w:val="FootnoteText"/>
        <w:rPr>
          <w:lang w:val="en-US"/>
        </w:rPr>
      </w:pPr>
      <w:r>
        <w:rPr>
          <w:rStyle w:val="FootnoteReference"/>
        </w:rPr>
        <w:footnoteRef/>
      </w:r>
      <w:r>
        <w:t xml:space="preserve"> </w:t>
      </w:r>
      <w:r>
        <w:rPr>
          <w:lang w:val="en-US"/>
        </w:rPr>
        <w:t xml:space="preserve">For example it is noted that one large health services provider engaged with noted it does not collect and collate data </w:t>
      </w:r>
      <w:r w:rsidR="00284278">
        <w:rPr>
          <w:lang w:val="en-US"/>
        </w:rPr>
        <w:t xml:space="preserve">on the cost of health information </w:t>
      </w:r>
      <w:r w:rsidR="001E764A">
        <w:rPr>
          <w:lang w:val="en-US"/>
        </w:rPr>
        <w:t>across its multiple hospital and clinic site</w:t>
      </w:r>
      <w:r w:rsidR="00284278">
        <w:rPr>
          <w:lang w:val="en-US"/>
        </w:rPr>
        <w:t>s.</w:t>
      </w:r>
    </w:p>
  </w:footnote>
  <w:footnote w:id="6">
    <w:p w14:paraId="301DB8B9" w14:textId="0ACA4B81" w:rsidR="00FB07A7" w:rsidRPr="000104D7" w:rsidRDefault="00FB07A7">
      <w:pPr>
        <w:pStyle w:val="FootnoteText"/>
        <w:rPr>
          <w:lang w:val="en-US"/>
        </w:rPr>
      </w:pPr>
      <w:r>
        <w:rPr>
          <w:rStyle w:val="FootnoteReference"/>
        </w:rPr>
        <w:footnoteRef/>
      </w:r>
      <w:r>
        <w:t xml:space="preserve"> </w:t>
      </w:r>
      <w:r>
        <w:rPr>
          <w:lang w:val="en-US"/>
        </w:rPr>
        <w:t>An exemption exists under section 29(1)(d) of the Act but this is not relevant to this RIS.</w:t>
      </w:r>
    </w:p>
  </w:footnote>
  <w:footnote w:id="7">
    <w:p w14:paraId="2D67CAD6" w14:textId="609B4A52" w:rsidR="00453895" w:rsidRPr="00A14B03" w:rsidRDefault="00453895">
      <w:pPr>
        <w:pStyle w:val="FootnoteText"/>
        <w:rPr>
          <w:lang w:val="en-US"/>
        </w:rPr>
      </w:pPr>
      <w:r>
        <w:rPr>
          <w:rStyle w:val="FootnoteReference"/>
        </w:rPr>
        <w:footnoteRef/>
      </w:r>
      <w:r>
        <w:t xml:space="preserve"> </w:t>
      </w:r>
      <w:r>
        <w:rPr>
          <w:lang w:val="en-US"/>
        </w:rPr>
        <w:t xml:space="preserve">A nominated health service provider is a health service provider, as defined under the Health Records Act, that is nominated by an individual to assess ground for refusal. </w:t>
      </w:r>
    </w:p>
  </w:footnote>
  <w:footnote w:id="8">
    <w:p w14:paraId="219D7C93" w14:textId="4CB06C92" w:rsidR="00E32867" w:rsidRPr="00AA774A" w:rsidRDefault="00E32867">
      <w:pPr>
        <w:pStyle w:val="FootnoteText"/>
        <w:rPr>
          <w:lang w:val="en-US"/>
        </w:rPr>
      </w:pPr>
      <w:r>
        <w:rPr>
          <w:rStyle w:val="FootnoteReference"/>
        </w:rPr>
        <w:footnoteRef/>
      </w:r>
      <w:r>
        <w:t xml:space="preserve"> </w:t>
      </w:r>
      <w:r w:rsidR="00584D12">
        <w:rPr>
          <w:lang w:val="en-US"/>
        </w:rPr>
        <w:t>Like the Health Records Act, the Privacy Act sets out privacy principles</w:t>
      </w:r>
      <w:r w:rsidR="00E107E0">
        <w:rPr>
          <w:lang w:val="en-US"/>
        </w:rPr>
        <w:t>,</w:t>
      </w:r>
      <w:r w:rsidR="00584D12">
        <w:rPr>
          <w:lang w:val="en-US"/>
        </w:rPr>
        <w:t xml:space="preserve"> but they are not the same as those set out in the Health Records Act.</w:t>
      </w:r>
      <w:r w:rsidR="00AA774A">
        <w:rPr>
          <w:lang w:val="en-US"/>
        </w:rPr>
        <w:t xml:space="preserve"> </w:t>
      </w:r>
      <w:r w:rsidR="00AE3D94">
        <w:rPr>
          <w:lang w:val="en-US"/>
        </w:rPr>
        <w:t xml:space="preserve">The Health Records </w:t>
      </w:r>
      <w:r w:rsidR="00AF0F34">
        <w:rPr>
          <w:lang w:val="en-US"/>
        </w:rPr>
        <w:t>Act privacy laws allow</w:t>
      </w:r>
      <w:r w:rsidR="00AE3D94" w:rsidRPr="00AE3D94">
        <w:rPr>
          <w:lang w:val="en-US"/>
        </w:rPr>
        <w:t xml:space="preserve"> patient identifier and sharing of health information for benefits of persons health in certain circumstances</w:t>
      </w:r>
      <w:r w:rsidR="00AF0F34">
        <w:rPr>
          <w:lang w:val="en-US"/>
        </w:rPr>
        <w:t>, which is</w:t>
      </w:r>
      <w:r w:rsidR="00AE3D94" w:rsidRPr="00AE3D94">
        <w:rPr>
          <w:lang w:val="en-US"/>
        </w:rPr>
        <w:t xml:space="preserve"> not permitted in </w:t>
      </w:r>
      <w:r w:rsidR="0086059A">
        <w:rPr>
          <w:lang w:val="en-US"/>
        </w:rPr>
        <w:t xml:space="preserve">Commonwealth law </w:t>
      </w:r>
      <w:r w:rsidR="00AE3D94" w:rsidRPr="00AE3D94">
        <w:rPr>
          <w:lang w:val="en-US"/>
        </w:rPr>
        <w:t>but limits sharing of health personal info</w:t>
      </w:r>
      <w:r w:rsidR="0086059A">
        <w:rPr>
          <w:lang w:val="en-US"/>
        </w:rPr>
        <w:t>rmation</w:t>
      </w:r>
      <w:r w:rsidR="00AE3D94" w:rsidRPr="00AE3D94">
        <w:rPr>
          <w:lang w:val="en-US"/>
        </w:rPr>
        <w:t xml:space="preserve"> otherwise</w:t>
      </w:r>
      <w:r w:rsidR="0086059A">
        <w:rPr>
          <w:lang w:val="en-US"/>
        </w:rPr>
        <w:t>.</w:t>
      </w:r>
      <w:r w:rsidR="00AE3D94" w:rsidRPr="00AE3D94">
        <w:rPr>
          <w:lang w:val="en-US"/>
        </w:rPr>
        <w:t xml:space="preserve"> </w:t>
      </w:r>
      <w:r w:rsidR="00AA774A">
        <w:rPr>
          <w:lang w:val="en-US"/>
        </w:rPr>
        <w:t xml:space="preserve">See Schedule 1 of the </w:t>
      </w:r>
      <w:r w:rsidR="0086059A">
        <w:rPr>
          <w:lang w:val="en-US"/>
        </w:rPr>
        <w:t xml:space="preserve">Privacy </w:t>
      </w:r>
      <w:r w:rsidR="00AA774A">
        <w:rPr>
          <w:lang w:val="en-US"/>
        </w:rPr>
        <w:t>Act for further reference.</w:t>
      </w:r>
    </w:p>
  </w:footnote>
  <w:footnote w:id="9">
    <w:p w14:paraId="28FD5CD8" w14:textId="77777777" w:rsidR="001F0EE4" w:rsidRPr="00CD396E" w:rsidRDefault="001F0EE4" w:rsidP="001F0EE4">
      <w:pPr>
        <w:pStyle w:val="FootnoteText"/>
        <w:rPr>
          <w:lang w:val="en-AU"/>
        </w:rPr>
      </w:pPr>
      <w:r>
        <w:rPr>
          <w:rStyle w:val="FootnoteReference"/>
        </w:rPr>
        <w:footnoteRef/>
      </w:r>
      <w:r>
        <w:t xml:space="preserve"> </w:t>
      </w:r>
      <w:r>
        <w:rPr>
          <w:lang w:val="en-AU"/>
        </w:rPr>
        <w:t xml:space="preserve">The </w:t>
      </w:r>
      <w:r w:rsidRPr="00CD396E">
        <w:rPr>
          <w:i/>
          <w:iCs/>
          <w:lang w:val="en-AU"/>
        </w:rPr>
        <w:t>Commonwealth Privacy Act 1988</w:t>
      </w:r>
      <w:r>
        <w:rPr>
          <w:lang w:val="en-AU"/>
        </w:rPr>
        <w:t xml:space="preserve"> is currently subject to review. See </w:t>
      </w:r>
      <w:r w:rsidRPr="00CD396E">
        <w:rPr>
          <w:i/>
          <w:iCs/>
          <w:lang w:val="en-AU"/>
        </w:rPr>
        <w:t>Privacy Act Review Report 2022</w:t>
      </w:r>
      <w:r>
        <w:rPr>
          <w:lang w:val="en-AU"/>
        </w:rPr>
        <w:t>. This has the potential to impact aspects of the Privacy Act that are relevant to the Health Records Act, for example the small business exemption is being reviewed with a recommendation for it to be removed. However, it is not anticipated that changes to the Privacy Act will be material for the purpose of this RIS analysis and timing and final outcomes of the review are also not known.</w:t>
      </w:r>
    </w:p>
  </w:footnote>
  <w:footnote w:id="10">
    <w:p w14:paraId="49731B86" w14:textId="0B29661B" w:rsidR="00D070D8" w:rsidRPr="001D533F" w:rsidRDefault="00D070D8">
      <w:pPr>
        <w:pStyle w:val="FootnoteText"/>
        <w:rPr>
          <w:lang w:val="en-AU"/>
        </w:rPr>
      </w:pPr>
      <w:r>
        <w:rPr>
          <w:rStyle w:val="FootnoteReference"/>
        </w:rPr>
        <w:footnoteRef/>
      </w:r>
      <w:r>
        <w:t xml:space="preserve"> Explanatory </w:t>
      </w:r>
      <w:r w:rsidR="00BE3696">
        <w:t xml:space="preserve">memoranda to the Privacy </w:t>
      </w:r>
      <w:r w:rsidR="003E7A03">
        <w:t xml:space="preserve">Amendment (Enhancing Privacy Protection) Bill 2012, accessed at </w:t>
      </w:r>
      <w:hyperlink r:id="rId1" w:history="1">
        <w:r w:rsidRPr="00F542A3">
          <w:rPr>
            <w:rStyle w:val="Hyperlink"/>
          </w:rPr>
          <w:t>https://parlinfo.aph.gov.au/parlInfo/search/display/display.w3p;query=Id%3A%22legislation%2Fems%2Fr4813_ems_00948d06-092b-447e-9191-5706fdfa0728%22</w:t>
        </w:r>
      </w:hyperlink>
      <w:r>
        <w:t xml:space="preserve"> </w:t>
      </w:r>
    </w:p>
  </w:footnote>
  <w:footnote w:id="11">
    <w:p w14:paraId="3FF1C28A" w14:textId="11BE4457" w:rsidR="004F5DBA" w:rsidRPr="00702AB8" w:rsidRDefault="004F5DBA">
      <w:pPr>
        <w:pStyle w:val="FootnoteText"/>
        <w:rPr>
          <w:lang w:val="en-US"/>
        </w:rPr>
      </w:pPr>
      <w:r>
        <w:rPr>
          <w:rStyle w:val="FootnoteReference"/>
        </w:rPr>
        <w:footnoteRef/>
      </w:r>
      <w:r>
        <w:t xml:space="preserve"> </w:t>
      </w:r>
      <w:r>
        <w:rPr>
          <w:lang w:val="en-US"/>
        </w:rPr>
        <w:t xml:space="preserve">Applies to </w:t>
      </w:r>
      <w:r w:rsidR="00663555">
        <w:rPr>
          <w:lang w:val="en-US"/>
        </w:rPr>
        <w:t>f</w:t>
      </w:r>
      <w:r>
        <w:rPr>
          <w:lang w:val="en-US"/>
        </w:rPr>
        <w:t xml:space="preserve">ederal public </w:t>
      </w:r>
      <w:r w:rsidR="00663555">
        <w:rPr>
          <w:lang w:val="en-US"/>
        </w:rPr>
        <w:t>sector.</w:t>
      </w:r>
    </w:p>
  </w:footnote>
  <w:footnote w:id="12">
    <w:p w14:paraId="74F62499" w14:textId="609ADB0C" w:rsidR="00DD717E" w:rsidRPr="00DD717E" w:rsidRDefault="00DD717E">
      <w:pPr>
        <w:pStyle w:val="FootnoteText"/>
        <w:rPr>
          <w:lang w:val="en-US"/>
        </w:rPr>
      </w:pPr>
      <w:r>
        <w:rPr>
          <w:rStyle w:val="FootnoteReference"/>
        </w:rPr>
        <w:footnoteRef/>
      </w:r>
      <w:r>
        <w:t xml:space="preserve"> </w:t>
      </w:r>
      <w:r w:rsidR="008530EC">
        <w:t>Under section 29(1)(b)(ii) of the Act, if the requester agrees, the organisation can provide an accurate summary of the health information, instead of providing copies of the information.</w:t>
      </w:r>
    </w:p>
  </w:footnote>
  <w:footnote w:id="13">
    <w:p w14:paraId="0834B689" w14:textId="77777777" w:rsidR="001968D3" w:rsidRPr="003B7787" w:rsidRDefault="001968D3" w:rsidP="001968D3">
      <w:pPr>
        <w:pStyle w:val="FootnoteText"/>
        <w:rPr>
          <w:lang w:val="en-US"/>
        </w:rPr>
      </w:pPr>
      <w:r>
        <w:rPr>
          <w:rStyle w:val="FootnoteReference"/>
        </w:rPr>
        <w:footnoteRef/>
      </w:r>
      <w:r>
        <w:t xml:space="preserve"> </w:t>
      </w:r>
      <w:r w:rsidRPr="00943ED1">
        <w:t>Office of the Commissioner for Better Regulation, 2016, Victorian Guide to Regulation: A handbook for policy makers in Victoria, Department of Treasury and Finance, Melbourne</w:t>
      </w:r>
      <w:r>
        <w:t>.</w:t>
      </w:r>
    </w:p>
  </w:footnote>
  <w:footnote w:id="14">
    <w:p w14:paraId="48FE9EEA" w14:textId="744CF401" w:rsidR="007716B9" w:rsidRPr="00B9736D" w:rsidRDefault="007716B9" w:rsidP="007716B9">
      <w:pPr>
        <w:pStyle w:val="FootnoteText"/>
        <w:rPr>
          <w:lang w:val="en-US"/>
        </w:rPr>
      </w:pPr>
      <w:r>
        <w:rPr>
          <w:rStyle w:val="FootnoteReference"/>
        </w:rPr>
        <w:footnoteRef/>
      </w:r>
      <w:r>
        <w:t xml:space="preserve"> Department of Treasury and Finance, 2013, </w:t>
      </w:r>
      <w:r w:rsidR="00AB349B">
        <w:rPr>
          <w:i/>
        </w:rPr>
        <w:t>Pricing for value</w:t>
      </w:r>
      <w:r>
        <w:t xml:space="preserve">, </w:t>
      </w:r>
      <w:r w:rsidR="00CA510C">
        <w:t>July 2021</w:t>
      </w:r>
      <w:r>
        <w:t>.</w:t>
      </w:r>
    </w:p>
  </w:footnote>
  <w:footnote w:id="15">
    <w:p w14:paraId="51D3C254" w14:textId="113A3A04" w:rsidR="008552F4" w:rsidRPr="007656EA" w:rsidRDefault="008552F4">
      <w:pPr>
        <w:pStyle w:val="FootnoteText"/>
        <w:rPr>
          <w:lang w:val="en-AU"/>
        </w:rPr>
      </w:pPr>
      <w:r>
        <w:rPr>
          <w:rStyle w:val="FootnoteReference"/>
        </w:rPr>
        <w:footnoteRef/>
      </w:r>
      <w:r>
        <w:t xml:space="preserve"> </w:t>
      </w:r>
      <w:r>
        <w:rPr>
          <w:lang w:val="en-AU"/>
        </w:rPr>
        <w:t xml:space="preserve">It should be noted that the small business exemption is currently subject to review as part of the </w:t>
      </w:r>
      <w:r w:rsidR="005007B3">
        <w:rPr>
          <w:lang w:val="en-AU"/>
        </w:rPr>
        <w:t>Privacy Act Review being undertaken by the Commonwealth Government</w:t>
      </w:r>
      <w:r w:rsidR="00443E51">
        <w:rPr>
          <w:lang w:val="en-AU"/>
        </w:rPr>
        <w:t xml:space="preserve"> </w:t>
      </w:r>
    </w:p>
  </w:footnote>
  <w:footnote w:id="16">
    <w:p w14:paraId="3BCC98DB" w14:textId="77777777" w:rsidR="00C9550A" w:rsidRPr="001E78DB" w:rsidRDefault="00C9550A" w:rsidP="00C9550A">
      <w:pPr>
        <w:pStyle w:val="FootnoteText"/>
        <w:rPr>
          <w:lang w:val="en-US"/>
        </w:rPr>
      </w:pPr>
      <w:r>
        <w:rPr>
          <w:rStyle w:val="FootnoteReference"/>
        </w:rPr>
        <w:footnoteRef/>
      </w:r>
      <w:r>
        <w:t xml:space="preserve"> </w:t>
      </w:r>
      <w:r>
        <w:rPr>
          <w:lang w:val="en-US"/>
        </w:rPr>
        <w:t>For example it is noted that one large health services provider engaged with noted it does not collect and collate data on the cost of health information across its multiple hospital and clinic sites.</w:t>
      </w:r>
    </w:p>
  </w:footnote>
  <w:footnote w:id="17">
    <w:p w14:paraId="47B47C08" w14:textId="4F7E12A0" w:rsidR="002B493E" w:rsidRPr="002B493E" w:rsidRDefault="002B493E">
      <w:pPr>
        <w:pStyle w:val="FootnoteText"/>
        <w:rPr>
          <w:lang w:val="en-US"/>
        </w:rPr>
      </w:pPr>
      <w:r>
        <w:rPr>
          <w:rStyle w:val="FootnoteReference"/>
        </w:rPr>
        <w:footnoteRef/>
      </w:r>
      <w:r>
        <w:t xml:space="preserve"> Consisting of c</w:t>
      </w:r>
      <w:r w:rsidRPr="002B493E">
        <w:t>omplaints against HPP6 and HPP1</w:t>
      </w:r>
      <w:r>
        <w:t xml:space="preserve"> under the Act.</w:t>
      </w:r>
    </w:p>
  </w:footnote>
  <w:footnote w:id="18">
    <w:p w14:paraId="1C50526F" w14:textId="36519798" w:rsidR="00950286" w:rsidRPr="00593C09" w:rsidRDefault="00950286">
      <w:pPr>
        <w:pStyle w:val="FootnoteText"/>
        <w:rPr>
          <w:lang w:val="en-US"/>
        </w:rPr>
      </w:pPr>
      <w:r>
        <w:rPr>
          <w:rStyle w:val="FootnoteReference"/>
        </w:rPr>
        <w:footnoteRef/>
      </w:r>
      <w:r>
        <w:t xml:space="preserve"> </w:t>
      </w:r>
      <w:r w:rsidR="00475790">
        <w:t>W</w:t>
      </w:r>
      <w:r>
        <w:t xml:space="preserve">ithin the meaning of the </w:t>
      </w:r>
      <w:r w:rsidRPr="009215D7">
        <w:rPr>
          <w:i/>
          <w:iCs/>
        </w:rPr>
        <w:t>Monetary Units Act 2004</w:t>
      </w:r>
      <w:r w:rsidR="00475790">
        <w:t>.</w:t>
      </w:r>
      <w:r w:rsidR="00F6393A">
        <w:t xml:space="preserve"> Under this Act, the Victorian Treasurer sets the value of the fee unit each financial year. Using fee units allows for indexation each year by an amount fixed by the Treasurer.</w:t>
      </w:r>
    </w:p>
  </w:footnote>
  <w:footnote w:id="19">
    <w:p w14:paraId="2AF2AA31" w14:textId="4D881CAF" w:rsidR="00372227" w:rsidRPr="00491910" w:rsidRDefault="00372227">
      <w:pPr>
        <w:pStyle w:val="FootnoteText"/>
        <w:rPr>
          <w:lang w:val="en-US"/>
        </w:rPr>
      </w:pPr>
      <w:r>
        <w:rPr>
          <w:rStyle w:val="FootnoteReference"/>
        </w:rPr>
        <w:footnoteRef/>
      </w:r>
      <w:r>
        <w:t xml:space="preserve"> Focusing on the costs of health providers </w:t>
      </w:r>
      <w:r w:rsidR="00AB1B45">
        <w:t xml:space="preserve">rather than non health providers </w:t>
      </w:r>
      <w:r>
        <w:t>as they</w:t>
      </w:r>
      <w:r w:rsidR="00AB1B45">
        <w:t xml:space="preserve"> represent where most of the impact of the Regulations will be – see discussion in section 3.3 on non health providers.</w:t>
      </w:r>
    </w:p>
  </w:footnote>
  <w:footnote w:id="20">
    <w:p w14:paraId="3BF83A75" w14:textId="04146949" w:rsidR="00BC155C" w:rsidRPr="00062523" w:rsidRDefault="00BC155C">
      <w:pPr>
        <w:pStyle w:val="FootnoteText"/>
        <w:rPr>
          <w:lang w:val="en-AU"/>
        </w:rPr>
      </w:pPr>
      <w:r>
        <w:rPr>
          <w:rStyle w:val="FootnoteReference"/>
        </w:rPr>
        <w:footnoteRef/>
      </w:r>
      <w:r>
        <w:t xml:space="preserve"> </w:t>
      </w:r>
      <w:r>
        <w:rPr>
          <w:lang w:val="en-AU"/>
        </w:rPr>
        <w:t>Medicare Benefits Schedule – Item 23</w:t>
      </w:r>
      <w:r w:rsidR="00062523">
        <w:rPr>
          <w:lang w:val="en-AU"/>
        </w:rPr>
        <w:t xml:space="preserve">, </w:t>
      </w:r>
      <w:hyperlink r:id="rId2" w:history="1">
        <w:r w:rsidR="00062523" w:rsidRPr="001531F8">
          <w:rPr>
            <w:rStyle w:val="Hyperlink"/>
            <w:lang w:val="en-AU"/>
          </w:rPr>
          <w:t>http://www9.health.gov.au/mbs/fullDisplay.cfm?type=item&amp;q=23</w:t>
        </w:r>
      </w:hyperlink>
      <w:r w:rsidR="00062523">
        <w:rPr>
          <w:lang w:val="en-AU"/>
        </w:rPr>
        <w:t xml:space="preserve"> </w:t>
      </w:r>
    </w:p>
  </w:footnote>
  <w:footnote w:id="21">
    <w:p w14:paraId="5A85EEBC" w14:textId="64D1604E" w:rsidR="00A55679" w:rsidRPr="004A7785" w:rsidRDefault="00A55679">
      <w:pPr>
        <w:pStyle w:val="FootnoteText"/>
        <w:rPr>
          <w:lang w:val="en-US"/>
        </w:rPr>
      </w:pPr>
      <w:r>
        <w:rPr>
          <w:rStyle w:val="FootnoteReference"/>
        </w:rPr>
        <w:footnoteRef/>
      </w:r>
      <w:r>
        <w:t xml:space="preserve"> It is noted that, based on anecdotal evidence in the public domain, the current scheduled fee for a standard GP consultation is likely to be on the low side compared to actual GP costs, however the scheduled fee is the best available benchmark for the purpose of this RIS and is not feasible to conduct a detailed analysis of medical practitioner costs for the purpose of this RIS.</w:t>
      </w:r>
      <w:r w:rsidR="009253B8">
        <w:t xml:space="preserve"> </w:t>
      </w:r>
      <w:r w:rsidR="009253B8">
        <w:rPr>
          <w:rStyle w:val="cf01"/>
        </w:rPr>
        <w:t>The significant reduction in bulk billing practices in Australia has been linked to this increase being insufficient to meet practice costs. In the recent 2023-24 Commonwealth Budget, the government announced some increases to certain payments for GP consultations.</w:t>
      </w:r>
    </w:p>
  </w:footnote>
  <w:footnote w:id="22">
    <w:p w14:paraId="67B7568B" w14:textId="3168CD6F" w:rsidR="009841DA" w:rsidRPr="009841DA" w:rsidRDefault="009841DA">
      <w:pPr>
        <w:pStyle w:val="FootnoteText"/>
        <w:rPr>
          <w:lang w:val="en-AU"/>
        </w:rPr>
      </w:pPr>
      <w:r>
        <w:rPr>
          <w:rStyle w:val="FootnoteReference"/>
        </w:rPr>
        <w:footnoteRef/>
      </w:r>
      <w:r>
        <w:t xml:space="preserve"> </w:t>
      </w:r>
      <w:hyperlink r:id="rId3" w:history="1">
        <w:r w:rsidRPr="001531F8">
          <w:rPr>
            <w:rStyle w:val="Hyperlink"/>
          </w:rPr>
          <w:t>https://www.abs.gov.au/statistics/economy/price-indexes-and-inflation/consumer-price-index-australia/latest-release</w:t>
        </w:r>
      </w:hyperlink>
      <w:r>
        <w:t xml:space="preserve"> </w:t>
      </w:r>
    </w:p>
  </w:footnote>
  <w:footnote w:id="23">
    <w:p w14:paraId="7FDAC283" w14:textId="00B428B7" w:rsidR="00390A58" w:rsidRPr="00390A58" w:rsidRDefault="00390A58">
      <w:pPr>
        <w:pStyle w:val="FootnoteText"/>
        <w:rPr>
          <w:lang w:val="en-AU"/>
        </w:rPr>
      </w:pPr>
      <w:r>
        <w:rPr>
          <w:rStyle w:val="FootnoteReference"/>
        </w:rPr>
        <w:footnoteRef/>
      </w:r>
      <w:r>
        <w:t xml:space="preserve"> </w:t>
      </w:r>
      <w:r w:rsidRPr="00390A58">
        <w:t>https://www.abs.gov.au/statistics/detailed-methodology-information/concepts-sources-methods/consumer-price-index-concepts-sources-and-methods/2018/price-collection#health</w:t>
      </w:r>
    </w:p>
  </w:footnote>
  <w:footnote w:id="24">
    <w:p w14:paraId="00597FD4" w14:textId="6D1497C6" w:rsidR="00A77B34" w:rsidRPr="00A77B34" w:rsidRDefault="00A77B34">
      <w:pPr>
        <w:pStyle w:val="FootnoteText"/>
        <w:rPr>
          <w:lang w:val="en-AU"/>
        </w:rPr>
      </w:pPr>
      <w:r>
        <w:rPr>
          <w:rStyle w:val="FootnoteReference"/>
        </w:rPr>
        <w:footnoteRef/>
      </w:r>
      <w:r>
        <w:t xml:space="preserve"> </w:t>
      </w:r>
      <w:r w:rsidRPr="00A77B34">
        <w:t>https://www.abs.gov.au/statistics/labour/earnings-and-working-conditions/average-weekly-earnings-australia/latest-release</w:t>
      </w:r>
    </w:p>
  </w:footnote>
  <w:footnote w:id="25">
    <w:p w14:paraId="08DF16B0" w14:textId="5FD038DB" w:rsidR="0003240A" w:rsidRPr="008208ED" w:rsidRDefault="0003240A">
      <w:pPr>
        <w:pStyle w:val="FootnoteText"/>
        <w:rPr>
          <w:lang w:val="en-US"/>
        </w:rPr>
      </w:pPr>
      <w:r>
        <w:rPr>
          <w:rStyle w:val="FootnoteReference"/>
        </w:rPr>
        <w:footnoteRef/>
      </w:r>
      <w:r>
        <w:t xml:space="preserve"> </w:t>
      </w:r>
      <w:r>
        <w:rPr>
          <w:lang w:val="en-US"/>
        </w:rPr>
        <w:t>Noting we are focusing on health organisations in this section, although non-health providers are also covered.</w:t>
      </w:r>
      <w:r w:rsidR="00A311EA">
        <w:rPr>
          <w:lang w:val="en-US"/>
        </w:rPr>
        <w:t xml:space="preserve"> Non-health providers such as schools and gyms may have more advanced digitation of systems</w:t>
      </w:r>
      <w:r w:rsidR="00D04464">
        <w:rPr>
          <w:lang w:val="en-US"/>
        </w:rPr>
        <w:t>,</w:t>
      </w:r>
      <w:r w:rsidR="00A311EA">
        <w:rPr>
          <w:lang w:val="en-US"/>
        </w:rPr>
        <w:t xml:space="preserve"> but this is unknown.</w:t>
      </w:r>
    </w:p>
  </w:footnote>
  <w:footnote w:id="26">
    <w:p w14:paraId="55438DE8" w14:textId="3D5E93BF" w:rsidR="00B43304" w:rsidRPr="000104D7" w:rsidRDefault="00B43304">
      <w:pPr>
        <w:pStyle w:val="FootnoteText"/>
        <w:rPr>
          <w:lang w:val="en-US"/>
        </w:rPr>
      </w:pPr>
      <w:r>
        <w:rPr>
          <w:rStyle w:val="FootnoteReference"/>
        </w:rPr>
        <w:footnoteRef/>
      </w:r>
      <w:r>
        <w:t xml:space="preserve"> </w:t>
      </w:r>
      <w:r w:rsidR="004A7785">
        <w:t xml:space="preserve">Australian Digital Health Agency, </w:t>
      </w:r>
      <w:r w:rsidRPr="00B43304">
        <w:t>https://www.digitalhealth.gov.au/initiatives-and-programs/my-health-record</w:t>
      </w:r>
      <w:r>
        <w:t>.</w:t>
      </w:r>
    </w:p>
  </w:footnote>
  <w:footnote w:id="27">
    <w:p w14:paraId="546067F6" w14:textId="45C7AB63" w:rsidR="00CB27B3" w:rsidRPr="0002006F" w:rsidRDefault="00CB27B3">
      <w:pPr>
        <w:pStyle w:val="FootnoteText"/>
        <w:rPr>
          <w:lang w:val="en-AU"/>
        </w:rPr>
      </w:pPr>
      <w:r w:rsidRPr="008939E8">
        <w:rPr>
          <w:rStyle w:val="FootnoteReference"/>
        </w:rPr>
        <w:footnoteRef/>
      </w:r>
      <w:r w:rsidRPr="008939E8">
        <w:t xml:space="preserve"> </w:t>
      </w:r>
      <w:r w:rsidR="000D3C01" w:rsidRPr="00A14B03">
        <w:rPr>
          <w:lang w:val="en-AU"/>
        </w:rPr>
        <w:t>Australian Digital Health Agency,</w:t>
      </w:r>
      <w:r w:rsidR="00E111CB" w:rsidRPr="00A14B03">
        <w:rPr>
          <w:lang w:val="en-AU"/>
        </w:rPr>
        <w:t xml:space="preserve"> Annual Report 2021-22, </w:t>
      </w:r>
      <w:r w:rsidR="0002006F" w:rsidRPr="00A14B03">
        <w:rPr>
          <w:lang w:val="en-AU"/>
        </w:rPr>
        <w:t>https://www.transparency.gov.au/annual-reports/australian-digital-health-agency/reporting-year/2021-22-11</w:t>
      </w:r>
    </w:p>
  </w:footnote>
  <w:footnote w:id="28">
    <w:p w14:paraId="49644F64" w14:textId="1C40FFBB" w:rsidR="004D5631" w:rsidRPr="00491910" w:rsidRDefault="004D5631" w:rsidP="004D5631">
      <w:pPr>
        <w:pStyle w:val="FootnoteText"/>
        <w:rPr>
          <w:lang w:val="en-US"/>
        </w:rPr>
      </w:pPr>
      <w:r>
        <w:rPr>
          <w:rStyle w:val="FootnoteReference"/>
        </w:rPr>
        <w:footnoteRef/>
      </w:r>
      <w:r>
        <w:t xml:space="preserve"> Australian Digital Health Agency, </w:t>
      </w:r>
      <w:r w:rsidRPr="00491910">
        <w:rPr>
          <w:i/>
          <w:iCs/>
        </w:rPr>
        <w:t>My Health Record Statistics and Insights APRIL 2023</w:t>
      </w:r>
      <w:r>
        <w:t>.</w:t>
      </w:r>
    </w:p>
  </w:footnote>
  <w:footnote w:id="29">
    <w:p w14:paraId="0F7F27B7" w14:textId="09C1CE6D" w:rsidR="004D5631" w:rsidRPr="00491910" w:rsidRDefault="004D5631">
      <w:pPr>
        <w:pStyle w:val="FootnoteText"/>
        <w:rPr>
          <w:lang w:val="en-US"/>
        </w:rPr>
      </w:pPr>
      <w:r>
        <w:rPr>
          <w:rStyle w:val="FootnoteReference"/>
        </w:rPr>
        <w:footnoteRef/>
      </w:r>
      <w:r>
        <w:t xml:space="preserve"> </w:t>
      </w:r>
      <w:r w:rsidRPr="004D5631">
        <w:t>Minister for Health and Aged Care - press conference - 3 February 2023</w:t>
      </w:r>
      <w:r>
        <w:t xml:space="preserve">, </w:t>
      </w:r>
      <w:hyperlink r:id="rId4" w:history="1">
        <w:r w:rsidRPr="00EE4B1F">
          <w:rPr>
            <w:rStyle w:val="Hyperlink"/>
          </w:rPr>
          <w:t>https://www.health.gov.au/ministers/the-hon-mark-butler-mp/media/minister-for-health-and-aged-care-press-conference-3-february-2023</w:t>
        </w:r>
      </w:hyperlink>
      <w:r>
        <w:t xml:space="preserve">. </w:t>
      </w:r>
    </w:p>
  </w:footnote>
  <w:footnote w:id="30">
    <w:p w14:paraId="2E19AAE1" w14:textId="7040D4B9" w:rsidR="002C2750" w:rsidRPr="000B68C6" w:rsidRDefault="002C2750" w:rsidP="000B68C6">
      <w:pPr>
        <w:pStyle w:val="FootnoteText"/>
        <w:rPr>
          <w:lang w:val="en-AU"/>
        </w:rPr>
      </w:pPr>
      <w:r>
        <w:rPr>
          <w:rStyle w:val="FootnoteReference"/>
        </w:rPr>
        <w:footnoteRef/>
      </w:r>
      <w:r>
        <w:t xml:space="preserve"> </w:t>
      </w:r>
      <w:r>
        <w:rPr>
          <w:lang w:val="en-AU"/>
        </w:rPr>
        <w:t>Regulation 6 would be changed from</w:t>
      </w:r>
      <w:r w:rsidR="00224F48">
        <w:rPr>
          <w:lang w:val="en-AU"/>
        </w:rPr>
        <w:t xml:space="preserve"> </w:t>
      </w:r>
      <w:r w:rsidR="009C1A64">
        <w:rPr>
          <w:lang w:val="en-AU"/>
        </w:rPr>
        <w:t>“</w:t>
      </w:r>
      <w:r w:rsidR="009C1A64" w:rsidRPr="009C1A64">
        <w:rPr>
          <w:lang w:val="en-AU"/>
        </w:rPr>
        <w:t>For the purposes of section 32 of the Act, the</w:t>
      </w:r>
      <w:r w:rsidR="009C1A64">
        <w:rPr>
          <w:lang w:val="en-AU"/>
        </w:rPr>
        <w:t xml:space="preserve"> </w:t>
      </w:r>
      <w:r w:rsidR="009C1A64" w:rsidRPr="009C1A64">
        <w:rPr>
          <w:lang w:val="en-AU"/>
        </w:rPr>
        <w:t>prescribed maximum fee for providing access to</w:t>
      </w:r>
      <w:r w:rsidR="009C1A64">
        <w:rPr>
          <w:lang w:val="en-AU"/>
        </w:rPr>
        <w:t xml:space="preserve"> </w:t>
      </w:r>
      <w:r w:rsidR="009C1A64" w:rsidRPr="009C1A64">
        <w:rPr>
          <w:lang w:val="en-AU"/>
        </w:rPr>
        <w:t xml:space="preserve">health information is the relevant fee </w:t>
      </w:r>
      <w:r w:rsidR="009C1A64" w:rsidRPr="00FB1C71">
        <w:rPr>
          <w:b/>
          <w:bCs/>
          <w:lang w:val="en-AU"/>
        </w:rPr>
        <w:t>set out in Schedule 1</w:t>
      </w:r>
      <w:r w:rsidR="009C1A64" w:rsidRPr="009C1A64">
        <w:rPr>
          <w:lang w:val="en-AU"/>
        </w:rPr>
        <w:t xml:space="preserve">. </w:t>
      </w:r>
      <w:r w:rsidR="009C1A64">
        <w:rPr>
          <w:lang w:val="en-AU"/>
        </w:rPr>
        <w:t>“</w:t>
      </w:r>
      <w:r w:rsidR="00224F48">
        <w:rPr>
          <w:lang w:val="en-AU"/>
        </w:rPr>
        <w:t xml:space="preserve"> to “</w:t>
      </w:r>
      <w:r w:rsidR="00224F48" w:rsidRPr="00224F48">
        <w:rPr>
          <w:lang w:val="en-AU"/>
        </w:rPr>
        <w:t xml:space="preserve">For the purposes of section 32 of the Act, the prescribed maximum fee for providing access to health information </w:t>
      </w:r>
      <w:r w:rsidR="00224F48" w:rsidRPr="000B68C6">
        <w:rPr>
          <w:b/>
          <w:bCs/>
          <w:lang w:val="en-AU"/>
        </w:rPr>
        <w:t xml:space="preserve">in a manner specified in Column 2 of Schedule </w:t>
      </w:r>
      <w:r w:rsidR="00224F48" w:rsidRPr="00FB1C71">
        <w:rPr>
          <w:b/>
          <w:bCs/>
          <w:lang w:val="en-AU"/>
        </w:rPr>
        <w:t>1 is the fee set out in the corresponding entry of Column 3 of Schedule 1.</w:t>
      </w:r>
      <w:r w:rsidR="00224F48">
        <w:rPr>
          <w:lang w:val="en-AU"/>
        </w:rPr>
        <w:t>”</w:t>
      </w:r>
    </w:p>
  </w:footnote>
  <w:footnote w:id="31">
    <w:p w14:paraId="6A8B0D28" w14:textId="77777777" w:rsidR="00FB1C71" w:rsidRPr="000B68C6" w:rsidRDefault="002C2750" w:rsidP="00FB1C71">
      <w:pPr>
        <w:pStyle w:val="FootnoteText"/>
        <w:rPr>
          <w:lang w:val="en-AU"/>
        </w:rPr>
      </w:pPr>
      <w:r>
        <w:rPr>
          <w:rStyle w:val="FootnoteReference"/>
        </w:rPr>
        <w:footnoteRef/>
      </w:r>
      <w:r w:rsidR="00224F48">
        <w:t xml:space="preserve"> </w:t>
      </w:r>
      <w:r w:rsidR="00224F48">
        <w:rPr>
          <w:lang w:val="en-AU"/>
        </w:rPr>
        <w:t xml:space="preserve">Regulation 7 would be changed from </w:t>
      </w:r>
      <w:r w:rsidR="000B68C6">
        <w:rPr>
          <w:lang w:val="en-AU"/>
        </w:rPr>
        <w:t>“</w:t>
      </w:r>
      <w:r w:rsidR="000B68C6" w:rsidRPr="000B68C6">
        <w:rPr>
          <w:lang w:val="en-AU"/>
        </w:rPr>
        <w:t>For the purposes of section 42(3) of the Act, the</w:t>
      </w:r>
      <w:r w:rsidR="000B68C6">
        <w:rPr>
          <w:lang w:val="en-AU"/>
        </w:rPr>
        <w:t xml:space="preserve"> </w:t>
      </w:r>
      <w:r w:rsidR="000B68C6" w:rsidRPr="000B68C6">
        <w:rPr>
          <w:lang w:val="en-AU"/>
        </w:rPr>
        <w:t xml:space="preserve">prescribed maximum fee for performing </w:t>
      </w:r>
      <w:r w:rsidR="000B68C6" w:rsidRPr="000B68C6">
        <w:rPr>
          <w:b/>
          <w:bCs/>
          <w:lang w:val="en-AU"/>
        </w:rPr>
        <w:t>a function</w:t>
      </w:r>
      <w:r w:rsidR="000B68C6" w:rsidRPr="000B68C6">
        <w:rPr>
          <w:lang w:val="en-AU"/>
        </w:rPr>
        <w:t xml:space="preserve"> set out in section 42(1) is the reasonable</w:t>
      </w:r>
      <w:r w:rsidR="000B68C6">
        <w:rPr>
          <w:lang w:val="en-AU"/>
        </w:rPr>
        <w:t xml:space="preserve"> </w:t>
      </w:r>
      <w:r w:rsidR="000B68C6" w:rsidRPr="000B68C6">
        <w:rPr>
          <w:lang w:val="en-AU"/>
        </w:rPr>
        <w:t>cost incurred by the nominated health service</w:t>
      </w:r>
      <w:r w:rsidR="000B68C6">
        <w:rPr>
          <w:lang w:val="en-AU"/>
        </w:rPr>
        <w:t xml:space="preserve"> </w:t>
      </w:r>
      <w:r w:rsidR="000B68C6" w:rsidRPr="000B68C6">
        <w:rPr>
          <w:lang w:val="en-AU"/>
        </w:rPr>
        <w:t xml:space="preserve">provider in performing </w:t>
      </w:r>
      <w:r w:rsidR="000B68C6" w:rsidRPr="000B68C6">
        <w:rPr>
          <w:b/>
          <w:bCs/>
          <w:lang w:val="en-AU"/>
        </w:rPr>
        <w:t>that function</w:t>
      </w:r>
      <w:r w:rsidR="000B68C6" w:rsidRPr="000B68C6">
        <w:rPr>
          <w:lang w:val="en-AU"/>
        </w:rPr>
        <w:t>, not</w:t>
      </w:r>
      <w:r w:rsidR="000B68C6">
        <w:rPr>
          <w:lang w:val="en-AU"/>
        </w:rPr>
        <w:t xml:space="preserve"> </w:t>
      </w:r>
      <w:r w:rsidR="000B68C6" w:rsidRPr="000B68C6">
        <w:rPr>
          <w:lang w:val="en-AU"/>
        </w:rPr>
        <w:t>exceeding the lesser of</w:t>
      </w:r>
      <w:r w:rsidR="000B68C6">
        <w:rPr>
          <w:lang w:val="en-AU"/>
        </w:rPr>
        <w:t>“</w:t>
      </w:r>
      <w:r w:rsidR="00224F48">
        <w:rPr>
          <w:lang w:val="en-AU"/>
        </w:rPr>
        <w:t xml:space="preserve"> to </w:t>
      </w:r>
      <w:r w:rsidR="009077AB">
        <w:rPr>
          <w:lang w:val="en-AU"/>
        </w:rPr>
        <w:t>“</w:t>
      </w:r>
      <w:r w:rsidR="009077AB" w:rsidRPr="009077AB">
        <w:rPr>
          <w:lang w:val="en-AU"/>
        </w:rPr>
        <w:t xml:space="preserve">For the purposes of section 42(3) of the Act, the prescribed maximum fee for performing </w:t>
      </w:r>
      <w:r w:rsidR="009077AB" w:rsidRPr="000B68C6">
        <w:rPr>
          <w:b/>
          <w:lang w:val="en-AU"/>
        </w:rPr>
        <w:t>functions</w:t>
      </w:r>
      <w:r w:rsidR="009077AB" w:rsidRPr="009077AB">
        <w:rPr>
          <w:lang w:val="en-AU"/>
        </w:rPr>
        <w:t xml:space="preserve"> set out in section 42(1) is the reasonable cost incurred by the nominated health service provider in performing </w:t>
      </w:r>
      <w:r w:rsidR="009077AB" w:rsidRPr="000B68C6">
        <w:rPr>
          <w:b/>
          <w:lang w:val="en-AU"/>
        </w:rPr>
        <w:t>those functions</w:t>
      </w:r>
      <w:r w:rsidR="009077AB" w:rsidRPr="009077AB">
        <w:rPr>
          <w:lang w:val="en-AU"/>
        </w:rPr>
        <w:t>, not exceeding the lesser of</w:t>
      </w:r>
      <w:r w:rsidR="00CD20F6">
        <w:rPr>
          <w:lang w:val="en-AU"/>
        </w:rPr>
        <w:t>…”</w:t>
      </w:r>
    </w:p>
    <w:p w14:paraId="55569CE4" w14:textId="7384A36D" w:rsidR="002C2750" w:rsidRPr="000B68C6" w:rsidRDefault="002C2750">
      <w:pPr>
        <w:pStyle w:val="FootnoteText"/>
        <w:rPr>
          <w:lang w:val="en-AU"/>
        </w:rPr>
      </w:pPr>
    </w:p>
  </w:footnote>
  <w:footnote w:id="32">
    <w:p w14:paraId="2C7A11DA" w14:textId="05704355" w:rsidR="00B537FF" w:rsidRPr="00B537FF" w:rsidRDefault="00B537FF">
      <w:pPr>
        <w:pStyle w:val="FootnoteText"/>
        <w:rPr>
          <w:lang w:val="en-AU"/>
        </w:rPr>
      </w:pPr>
      <w:r>
        <w:rPr>
          <w:rStyle w:val="FootnoteReference"/>
        </w:rPr>
        <w:footnoteRef/>
      </w:r>
      <w:r>
        <w:t xml:space="preserve"> </w:t>
      </w:r>
      <w:r w:rsidRPr="00B537FF">
        <w:t>It is noted that health information is not usually provided via email, as the organisation has a duty to ensure the security and confidentiality of health information, and email is generally not a secure means of transmitting information.</w:t>
      </w:r>
    </w:p>
  </w:footnote>
  <w:footnote w:id="33">
    <w:p w14:paraId="242B30EF" w14:textId="177393E7" w:rsidR="003A3BE0" w:rsidRPr="00491910" w:rsidRDefault="003A3BE0">
      <w:pPr>
        <w:pStyle w:val="FootnoteText"/>
        <w:rPr>
          <w:lang w:val="en-US"/>
        </w:rPr>
      </w:pPr>
      <w:r>
        <w:rPr>
          <w:rStyle w:val="FootnoteReference"/>
        </w:rPr>
        <w:footnoteRef/>
      </w:r>
      <w:r>
        <w:t xml:space="preserve"> </w:t>
      </w:r>
      <w:r w:rsidR="00314F8A">
        <w:rPr>
          <w:lang w:val="en-US"/>
        </w:rPr>
        <w:t xml:space="preserve">This </w:t>
      </w:r>
      <w:r>
        <w:rPr>
          <w:lang w:val="en-US"/>
        </w:rPr>
        <w:t xml:space="preserve">is an indicative </w:t>
      </w:r>
      <w:r w:rsidR="00314F8A">
        <w:rPr>
          <w:lang w:val="en-US"/>
        </w:rPr>
        <w:t>estimate</w:t>
      </w:r>
      <w:r w:rsidR="00F412B2">
        <w:rPr>
          <w:lang w:val="en-US"/>
        </w:rPr>
        <w:t xml:space="preserve"> </w:t>
      </w:r>
      <w:r>
        <w:rPr>
          <w:lang w:val="en-US"/>
        </w:rPr>
        <w:t xml:space="preserve">only, based on a small sample of information provided by large health providers. The level of cost recovery of all organisations is not known and </w:t>
      </w:r>
      <w:r w:rsidR="00C80110">
        <w:rPr>
          <w:lang w:val="en-US"/>
        </w:rPr>
        <w:t xml:space="preserve">an </w:t>
      </w:r>
      <w:r w:rsidR="00853345">
        <w:rPr>
          <w:lang w:val="en-US"/>
        </w:rPr>
        <w:t xml:space="preserve">assumption of around </w:t>
      </w:r>
      <w:r>
        <w:rPr>
          <w:lang w:val="en-US"/>
        </w:rPr>
        <w:t xml:space="preserve">50% is used in the absence of other information. </w:t>
      </w:r>
    </w:p>
  </w:footnote>
  <w:footnote w:id="34">
    <w:p w14:paraId="535FB0C9" w14:textId="4825DA6D" w:rsidR="00067ED0" w:rsidRPr="00A14B03" w:rsidRDefault="00067ED0">
      <w:pPr>
        <w:pStyle w:val="FootnoteText"/>
        <w:rPr>
          <w:lang w:val="en-US"/>
        </w:rPr>
      </w:pPr>
      <w:r w:rsidRPr="00987C3B">
        <w:rPr>
          <w:rStyle w:val="FootnoteReference"/>
        </w:rPr>
        <w:footnoteRef/>
      </w:r>
      <w:r w:rsidRPr="00987C3B">
        <w:t xml:space="preserve"> As note</w:t>
      </w:r>
      <w:r w:rsidR="00AE46D7" w:rsidRPr="00987C3B">
        <w:t>d</w:t>
      </w:r>
      <w:r w:rsidRPr="00987C3B">
        <w:t xml:space="preserve"> for the base case analysis, </w:t>
      </w:r>
      <w:r w:rsidR="00BA00E0" w:rsidRPr="00987C3B">
        <w:t xml:space="preserve">around </w:t>
      </w:r>
      <w:r w:rsidRPr="00987C3B">
        <w:rPr>
          <w:lang w:val="en-US"/>
        </w:rPr>
        <w:t xml:space="preserve">50% cost recovery is an </w:t>
      </w:r>
      <w:r w:rsidR="00AE46D7" w:rsidRPr="00987C3B">
        <w:rPr>
          <w:lang w:val="en-US"/>
        </w:rPr>
        <w:t>assumption only</w:t>
      </w:r>
      <w:r w:rsidRPr="00987C3B">
        <w:rPr>
          <w:lang w:val="en-US"/>
        </w:rPr>
        <w:t xml:space="preserve">, based on a small sample of information provided by large health </w:t>
      </w:r>
      <w:r w:rsidR="0026151B" w:rsidRPr="00987C3B">
        <w:rPr>
          <w:lang w:val="en-US"/>
        </w:rPr>
        <w:t xml:space="preserve">service </w:t>
      </w:r>
      <w:r w:rsidRPr="00987C3B">
        <w:rPr>
          <w:lang w:val="en-US"/>
        </w:rPr>
        <w:t xml:space="preserve">providers. The level of cost recovery of all organisations is not known and </w:t>
      </w:r>
      <w:r w:rsidR="00BA00E0" w:rsidRPr="00987C3B">
        <w:rPr>
          <w:lang w:val="en-US"/>
        </w:rPr>
        <w:t xml:space="preserve">an assumption of </w:t>
      </w:r>
      <w:r w:rsidRPr="00987C3B">
        <w:rPr>
          <w:lang w:val="en-US"/>
        </w:rPr>
        <w:t>50% is used in the absence of other information.</w:t>
      </w:r>
    </w:p>
  </w:footnote>
  <w:footnote w:id="35">
    <w:p w14:paraId="62258492" w14:textId="1EFDD84A" w:rsidR="00F46292" w:rsidRPr="00702AB8" w:rsidRDefault="00F46292">
      <w:pPr>
        <w:pStyle w:val="FootnoteText"/>
        <w:rPr>
          <w:lang w:val="en-US"/>
        </w:rPr>
      </w:pPr>
      <w:r w:rsidRPr="00987C3B">
        <w:rPr>
          <w:rStyle w:val="FootnoteReference"/>
        </w:rPr>
        <w:footnoteRef/>
      </w:r>
      <w:r w:rsidRPr="00987C3B">
        <w:t xml:space="preserve"> </w:t>
      </w:r>
      <w:r w:rsidR="00117D92" w:rsidRPr="00987C3B">
        <w:rPr>
          <w:lang w:val="en-US"/>
        </w:rPr>
        <w:t xml:space="preserve">We note there </w:t>
      </w:r>
      <w:r w:rsidR="00302CAC" w:rsidRPr="00987C3B">
        <w:rPr>
          <w:lang w:val="en-US"/>
        </w:rPr>
        <w:t xml:space="preserve">was another estimate provided by a second large health </w:t>
      </w:r>
      <w:r w:rsidR="005B792D" w:rsidRPr="00987C3B">
        <w:rPr>
          <w:lang w:val="en-US"/>
        </w:rPr>
        <w:t xml:space="preserve">services </w:t>
      </w:r>
      <w:r w:rsidR="00302CAC" w:rsidRPr="00987C3B">
        <w:rPr>
          <w:lang w:val="en-US"/>
        </w:rPr>
        <w:t xml:space="preserve">provider which </w:t>
      </w:r>
      <w:r w:rsidR="00092C55" w:rsidRPr="00987C3B">
        <w:rPr>
          <w:lang w:val="en-US"/>
        </w:rPr>
        <w:t xml:space="preserve">provided a </w:t>
      </w:r>
      <w:r w:rsidR="00F23722" w:rsidRPr="00987C3B">
        <w:rPr>
          <w:lang w:val="en-US"/>
        </w:rPr>
        <w:t>high level estimate that</w:t>
      </w:r>
      <w:r w:rsidR="00302CAC" w:rsidRPr="00987C3B">
        <w:rPr>
          <w:lang w:val="en-US"/>
        </w:rPr>
        <w:t xml:space="preserve"> cost recovery could be up to 80% however </w:t>
      </w:r>
      <w:r w:rsidR="00EA3120" w:rsidRPr="00987C3B">
        <w:rPr>
          <w:lang w:val="en-US"/>
        </w:rPr>
        <w:t xml:space="preserve">this provider </w:t>
      </w:r>
      <w:r w:rsidR="00A34546" w:rsidRPr="00987C3B">
        <w:rPr>
          <w:lang w:val="en-US"/>
        </w:rPr>
        <w:t>noted it</w:t>
      </w:r>
      <w:r w:rsidR="005B792D" w:rsidRPr="00987C3B">
        <w:rPr>
          <w:lang w:val="en-US"/>
        </w:rPr>
        <w:t xml:space="preserve"> can’t provide cost information without </w:t>
      </w:r>
      <w:r w:rsidR="009C659C" w:rsidRPr="00987C3B">
        <w:rPr>
          <w:lang w:val="en-US"/>
        </w:rPr>
        <w:t xml:space="preserve">collecting </w:t>
      </w:r>
      <w:r w:rsidR="005B792D" w:rsidRPr="00987C3B">
        <w:rPr>
          <w:lang w:val="en-US"/>
        </w:rPr>
        <w:t xml:space="preserve">further </w:t>
      </w:r>
      <w:r w:rsidR="009C659C" w:rsidRPr="00987C3B">
        <w:rPr>
          <w:lang w:val="en-US"/>
        </w:rPr>
        <w:t xml:space="preserve">data </w:t>
      </w:r>
      <w:r w:rsidR="005B792D" w:rsidRPr="00987C3B">
        <w:rPr>
          <w:lang w:val="en-US"/>
        </w:rPr>
        <w:t>from its large number of sites i.e. it</w:t>
      </w:r>
      <w:r w:rsidR="00A34546" w:rsidRPr="00987C3B">
        <w:rPr>
          <w:lang w:val="en-US"/>
        </w:rPr>
        <w:t xml:space="preserve"> </w:t>
      </w:r>
      <w:r w:rsidR="00FD569E" w:rsidRPr="00987C3B">
        <w:rPr>
          <w:lang w:val="en-US"/>
        </w:rPr>
        <w:t>does not</w:t>
      </w:r>
      <w:r w:rsidR="00A34546" w:rsidRPr="00987C3B">
        <w:rPr>
          <w:lang w:val="en-US"/>
        </w:rPr>
        <w:t xml:space="preserve"> collect and collate </w:t>
      </w:r>
      <w:r w:rsidR="00FD569E" w:rsidRPr="00987C3B">
        <w:rPr>
          <w:lang w:val="en-US"/>
        </w:rPr>
        <w:t xml:space="preserve">data on the cost of providing health information </w:t>
      </w:r>
      <w:r w:rsidR="00A34546" w:rsidRPr="00987C3B">
        <w:rPr>
          <w:lang w:val="en-US"/>
        </w:rPr>
        <w:t>across its sites</w:t>
      </w:r>
      <w:r w:rsidR="00092C55" w:rsidRPr="00987C3B">
        <w:rPr>
          <w:lang w:val="en-US"/>
        </w:rPr>
        <w:t>.</w:t>
      </w:r>
    </w:p>
  </w:footnote>
  <w:footnote w:id="36">
    <w:p w14:paraId="313ED7AD" w14:textId="43CBC0E9" w:rsidR="00FE6999" w:rsidRPr="00A52781" w:rsidRDefault="00FE6999">
      <w:pPr>
        <w:pStyle w:val="FootnoteText"/>
        <w:rPr>
          <w:lang w:val="en-US"/>
        </w:rPr>
      </w:pPr>
      <w:r>
        <w:rPr>
          <w:rStyle w:val="FootnoteReference"/>
        </w:rPr>
        <w:footnoteRef/>
      </w:r>
      <w:r>
        <w:t xml:space="preserve"> </w:t>
      </w:r>
      <w:r>
        <w:rPr>
          <w:lang w:val="en-US"/>
        </w:rPr>
        <w:t>Less than 1 point on the scoring scale.</w:t>
      </w:r>
    </w:p>
  </w:footnote>
  <w:footnote w:id="37">
    <w:p w14:paraId="6BEDCC95" w14:textId="36A810FF" w:rsidR="00775F4D" w:rsidRPr="00A14B03" w:rsidRDefault="00775F4D">
      <w:pPr>
        <w:pStyle w:val="FootnoteText"/>
        <w:rPr>
          <w:lang w:val="en-US"/>
        </w:rPr>
      </w:pPr>
      <w:r>
        <w:rPr>
          <w:rStyle w:val="FootnoteReference"/>
        </w:rPr>
        <w:footnoteRef/>
      </w:r>
      <w:r>
        <w:t xml:space="preserve"> </w:t>
      </w:r>
      <w:r>
        <w:rPr>
          <w:lang w:val="en-US"/>
        </w:rPr>
        <w:t>Assuming cost recovery levels are currently about 50%, noting this is highly uncertain based on the limited information available.</w:t>
      </w:r>
    </w:p>
  </w:footnote>
  <w:footnote w:id="38">
    <w:p w14:paraId="3E653290" w14:textId="42302881" w:rsidR="008015DF" w:rsidRPr="008015DF" w:rsidRDefault="008015DF">
      <w:pPr>
        <w:pStyle w:val="FootnoteText"/>
        <w:rPr>
          <w:lang w:val="en-US"/>
        </w:rPr>
      </w:pPr>
      <w:r>
        <w:rPr>
          <w:rStyle w:val="FootnoteReference"/>
        </w:rPr>
        <w:footnoteRef/>
      </w:r>
      <w:r>
        <w:t xml:space="preserve"> </w:t>
      </w:r>
      <w:r>
        <w:rPr>
          <w:lang w:val="en-US"/>
        </w:rPr>
        <w:t>A better estimate would require information about willingness to pay</w:t>
      </w:r>
      <w:r w:rsidR="00F85C23">
        <w:rPr>
          <w:lang w:val="en-US"/>
        </w:rPr>
        <w:t xml:space="preserve"> for health information, including at different income levels.</w:t>
      </w:r>
    </w:p>
  </w:footnote>
  <w:footnote w:id="39">
    <w:p w14:paraId="588AE9F9" w14:textId="5B64327E" w:rsidR="00143B36" w:rsidRPr="008C4BEB" w:rsidRDefault="00143B36">
      <w:pPr>
        <w:pStyle w:val="FootnoteText"/>
        <w:rPr>
          <w:lang w:val="en-AU"/>
        </w:rPr>
      </w:pPr>
      <w:r w:rsidRPr="003F2260">
        <w:rPr>
          <w:rStyle w:val="FootnoteReference"/>
        </w:rPr>
        <w:footnoteRef/>
      </w:r>
      <w:r w:rsidRPr="003F2260">
        <w:t xml:space="preserve"> </w:t>
      </w:r>
      <w:r w:rsidR="005C53CD" w:rsidRPr="003F2260">
        <w:rPr>
          <w:lang w:val="en-AU"/>
        </w:rPr>
        <w:t>25</w:t>
      </w:r>
      <w:r w:rsidRPr="003F2260">
        <w:rPr>
          <w:lang w:val="en-AU"/>
        </w:rPr>
        <w:t xml:space="preserve">% is calculated using the total of </w:t>
      </w:r>
      <w:r w:rsidR="000555A5" w:rsidRPr="003F2260">
        <w:rPr>
          <w:lang w:val="en-AU"/>
        </w:rPr>
        <w:t>433,820 health care card holders, 1,06</w:t>
      </w:r>
      <w:r w:rsidR="0009194F" w:rsidRPr="003F2260">
        <w:rPr>
          <w:lang w:val="en-AU"/>
        </w:rPr>
        <w:t>1</w:t>
      </w:r>
      <w:r w:rsidR="000555A5" w:rsidRPr="003F2260">
        <w:rPr>
          <w:lang w:val="en-AU"/>
        </w:rPr>
        <w:t xml:space="preserve">,302 pensioner concession card holders and </w:t>
      </w:r>
      <w:r w:rsidR="00E66421" w:rsidRPr="003F2260">
        <w:rPr>
          <w:lang w:val="en-AU"/>
        </w:rPr>
        <w:t>110,004 seniors health card holders in Victoria, as a percentage of the Vi</w:t>
      </w:r>
      <w:r w:rsidR="00554872" w:rsidRPr="003F2260">
        <w:rPr>
          <w:lang w:val="en-AU"/>
        </w:rPr>
        <w:t>c</w:t>
      </w:r>
      <w:r w:rsidR="00E66421" w:rsidRPr="003F2260">
        <w:rPr>
          <w:lang w:val="en-AU"/>
        </w:rPr>
        <w:t xml:space="preserve">torian </w:t>
      </w:r>
      <w:r w:rsidR="002659F4" w:rsidRPr="003F2260">
        <w:rPr>
          <w:lang w:val="en-AU"/>
        </w:rPr>
        <w:t xml:space="preserve">usual resident </w:t>
      </w:r>
      <w:r w:rsidR="00E66421" w:rsidRPr="003F2260">
        <w:rPr>
          <w:lang w:val="en-AU"/>
        </w:rPr>
        <w:t>population as at June 2021</w:t>
      </w:r>
      <w:r w:rsidR="00554872" w:rsidRPr="003F2260">
        <w:rPr>
          <w:lang w:val="en-AU"/>
        </w:rPr>
        <w:t xml:space="preserve"> of </w:t>
      </w:r>
      <w:r w:rsidR="00297B1D" w:rsidRPr="003F2260">
        <w:rPr>
          <w:lang w:val="en-AU"/>
        </w:rPr>
        <w:t xml:space="preserve">6,503,491 – as set out in the </w:t>
      </w:r>
      <w:r w:rsidR="00F7688C" w:rsidRPr="003F2260">
        <w:rPr>
          <w:lang w:val="en-AU"/>
        </w:rPr>
        <w:t xml:space="preserve">Social Health Atlases of Australia, accessed at </w:t>
      </w:r>
      <w:hyperlink r:id="rId5" w:history="1">
        <w:r w:rsidR="00F7688C" w:rsidRPr="003F2260">
          <w:rPr>
            <w:rStyle w:val="Hyperlink"/>
            <w:lang w:val="en-AU"/>
          </w:rPr>
          <w:t>https://phidu.torrens.edu.au/social-health-atlases/data</w:t>
        </w:r>
      </w:hyperlink>
      <w:r w:rsidR="005A2E8A" w:rsidRPr="003F2260">
        <w:rPr>
          <w:lang w:val="en-AU"/>
        </w:rPr>
        <w:t>.</w:t>
      </w:r>
    </w:p>
  </w:footnote>
  <w:footnote w:id="40">
    <w:p w14:paraId="66A4DB1F" w14:textId="6F0764C9" w:rsidR="0050274F" w:rsidRPr="0050274F" w:rsidRDefault="00753331">
      <w:pPr>
        <w:pStyle w:val="FootnoteText"/>
        <w:rPr>
          <w:lang w:val="en-US"/>
        </w:rPr>
      </w:pPr>
      <w:r>
        <w:rPr>
          <w:vertAlign w:val="superscript"/>
        </w:rPr>
        <w:t>36</w:t>
      </w:r>
      <w:r w:rsidR="00CD0ECA">
        <w:t xml:space="preserve"> Small </w:t>
      </w:r>
      <w:r w:rsidR="00CD0ECA">
        <w:rPr>
          <w:lang w:val="en-US"/>
        </w:rPr>
        <w:t>exceptions such as special arrangements applying to veterans may apply, where the government pays the cost of the private hospital.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9F79" w14:textId="77777777" w:rsidR="00566167" w:rsidRDefault="004048BA" w:rsidP="00A659D0">
    <w:pPr>
      <w:pStyle w:val="Header"/>
    </w:pPr>
    <w:r w:rsidRPr="00671F44">
      <w:rPr>
        <w:noProof/>
        <w:lang w:eastAsia="en-NZ"/>
      </w:rPr>
      <w:drawing>
        <wp:anchor distT="0" distB="0" distL="114300" distR="114300" simplePos="0" relativeHeight="251658250" behindDoc="0" locked="0" layoutInCell="1" allowOverlap="1" wp14:anchorId="0FCE31B3" wp14:editId="745558D2">
          <wp:simplePos x="0" y="0"/>
          <wp:positionH relativeFrom="page">
            <wp:align>right</wp:align>
          </wp:positionH>
          <wp:positionV relativeFrom="page">
            <wp:align>top</wp:align>
          </wp:positionV>
          <wp:extent cx="2437200" cy="81720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100782" r="-58417" b="-1"/>
                  <a:stretch/>
                </pic:blipFill>
                <pic:spPr bwMode="auto">
                  <a:xfrm>
                    <a:off x="0" y="0"/>
                    <a:ext cx="2437200" cy="81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B368" w14:textId="5B3DD7B5" w:rsidR="00566167" w:rsidRDefault="004048BA" w:rsidP="00A659D0">
    <w:pPr>
      <w:pStyle w:val="Header"/>
    </w:pPr>
    <w:r w:rsidRPr="00671F44">
      <w:rPr>
        <w:noProof/>
        <w:lang w:eastAsia="en-NZ"/>
      </w:rPr>
      <w:drawing>
        <wp:anchor distT="0" distB="0" distL="114300" distR="114300" simplePos="0" relativeHeight="251658242" behindDoc="0" locked="0" layoutInCell="1" allowOverlap="1" wp14:anchorId="093D645B" wp14:editId="133FB879">
          <wp:simplePos x="0" y="0"/>
          <wp:positionH relativeFrom="page">
            <wp:align>right</wp:align>
          </wp:positionH>
          <wp:positionV relativeFrom="page">
            <wp:align>top</wp:align>
          </wp:positionV>
          <wp:extent cx="2437200" cy="81720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100782" r="-58417" b="-1"/>
                  <a:stretch/>
                </pic:blipFill>
                <pic:spPr bwMode="auto">
                  <a:xfrm>
                    <a:off x="0" y="0"/>
                    <a:ext cx="2437200" cy="81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A3D6" w14:textId="77777777" w:rsidR="00566167" w:rsidRPr="005E135D" w:rsidRDefault="00566167" w:rsidP="00A659D0">
    <w:pPr>
      <w:pStyle w:val="Header"/>
      <w:rPr>
        <w:lang w:val="en-US"/>
      </w:rPr>
    </w:pPr>
    <w:r w:rsidRPr="00671F44">
      <w:rPr>
        <w:noProof/>
        <w:lang w:eastAsia="en-NZ"/>
      </w:rPr>
      <w:drawing>
        <wp:anchor distT="0" distB="0" distL="114300" distR="114300" simplePos="0" relativeHeight="251658243" behindDoc="1" locked="0" layoutInCell="1" allowOverlap="1" wp14:anchorId="3CF9CE2D" wp14:editId="56677022">
          <wp:simplePos x="0" y="0"/>
          <wp:positionH relativeFrom="column">
            <wp:posOffset>4298868</wp:posOffset>
          </wp:positionH>
          <wp:positionV relativeFrom="insideMargin">
            <wp:posOffset>415636</wp:posOffset>
          </wp:positionV>
          <wp:extent cx="1326765" cy="406800"/>
          <wp:effectExtent l="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26765" cy="4068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[Confidentiality statement if required]</w:t>
    </w:r>
    <w:r w:rsidRPr="00671F44">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DE97" w14:textId="4E563104" w:rsidR="00566167" w:rsidRDefault="00566167" w:rsidP="00A659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A649" w14:textId="3814A512" w:rsidR="00AE1BD4" w:rsidRDefault="0014577D" w:rsidP="00A659D0">
    <w:pPr>
      <w:pStyle w:val="Head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F5B2" w14:textId="77777777" w:rsidR="00566167" w:rsidRPr="0097741D" w:rsidRDefault="007B7D3A" w:rsidP="00A659D0">
    <w:r w:rsidRPr="00671F44">
      <w:rPr>
        <w:noProof/>
        <w:lang w:eastAsia="en-NZ"/>
      </w:rPr>
      <w:drawing>
        <wp:anchor distT="0" distB="0" distL="114300" distR="114300" simplePos="0" relativeHeight="251658249" behindDoc="0" locked="0" layoutInCell="1" allowOverlap="1" wp14:anchorId="125B195B" wp14:editId="4BE865EA">
          <wp:simplePos x="0" y="0"/>
          <wp:positionH relativeFrom="margin">
            <wp:posOffset>4411980</wp:posOffset>
          </wp:positionH>
          <wp:positionV relativeFrom="paragraph">
            <wp:posOffset>-5080</wp:posOffset>
          </wp:positionV>
          <wp:extent cx="1327785" cy="406400"/>
          <wp:effectExtent l="0" t="0" r="571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27785"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34A4" w14:textId="439750F2" w:rsidR="00F74B76" w:rsidRDefault="00F74B76" w:rsidP="00A659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2441" w14:textId="37551EB2" w:rsidR="0014577D" w:rsidRDefault="0014577D" w:rsidP="00A659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B54" w14:textId="77777777" w:rsidR="000B46A6" w:rsidRPr="0097741D" w:rsidRDefault="004048BA" w:rsidP="00A659D0">
    <w:r w:rsidRPr="00671F44">
      <w:rPr>
        <w:noProof/>
        <w:lang w:eastAsia="en-NZ"/>
      </w:rPr>
      <w:drawing>
        <wp:anchor distT="0" distB="0" distL="114300" distR="114300" simplePos="0" relativeHeight="251658248" behindDoc="0" locked="0" layoutInCell="1" allowOverlap="1" wp14:anchorId="7CA884DA" wp14:editId="67FD8D0A">
          <wp:simplePos x="0" y="0"/>
          <wp:positionH relativeFrom="page">
            <wp:align>right</wp:align>
          </wp:positionH>
          <wp:positionV relativeFrom="page">
            <wp:align>top</wp:align>
          </wp:positionV>
          <wp:extent cx="2437200" cy="81720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100782" r="-58417" b="-1"/>
                  <a:stretch/>
                </pic:blipFill>
                <pic:spPr bwMode="auto">
                  <a:xfrm>
                    <a:off x="0" y="0"/>
                    <a:ext cx="2437200" cy="81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15CA0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850C8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630210"/>
    <w:multiLevelType w:val="multilevel"/>
    <w:tmpl w:val="1409001D"/>
    <w:styleLink w:val="Caption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830AF4"/>
    <w:multiLevelType w:val="hybridMultilevel"/>
    <w:tmpl w:val="B47C86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771072"/>
    <w:multiLevelType w:val="hybridMultilevel"/>
    <w:tmpl w:val="2B222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C79DE"/>
    <w:multiLevelType w:val="hybridMultilevel"/>
    <w:tmpl w:val="3BDE4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E3DCFA"/>
    <w:multiLevelType w:val="hybridMultilevel"/>
    <w:tmpl w:val="FFFFFFFF"/>
    <w:lvl w:ilvl="0" w:tplc="918089B6">
      <w:start w:val="1"/>
      <w:numFmt w:val="bullet"/>
      <w:lvlText w:val=""/>
      <w:lvlJc w:val="left"/>
      <w:pPr>
        <w:ind w:left="720" w:hanging="360"/>
      </w:pPr>
      <w:rPr>
        <w:rFonts w:ascii="Symbol" w:hAnsi="Symbol" w:hint="default"/>
      </w:rPr>
    </w:lvl>
    <w:lvl w:ilvl="1" w:tplc="9446EDDA">
      <w:start w:val="1"/>
      <w:numFmt w:val="bullet"/>
      <w:lvlText w:val="o"/>
      <w:lvlJc w:val="left"/>
      <w:pPr>
        <w:ind w:left="1440" w:hanging="360"/>
      </w:pPr>
      <w:rPr>
        <w:rFonts w:ascii="Courier New" w:hAnsi="Courier New" w:hint="default"/>
      </w:rPr>
    </w:lvl>
    <w:lvl w:ilvl="2" w:tplc="82128AEE">
      <w:start w:val="1"/>
      <w:numFmt w:val="bullet"/>
      <w:lvlText w:val=""/>
      <w:lvlJc w:val="left"/>
      <w:pPr>
        <w:ind w:left="2160" w:hanging="360"/>
      </w:pPr>
      <w:rPr>
        <w:rFonts w:ascii="Wingdings" w:hAnsi="Wingdings" w:hint="default"/>
      </w:rPr>
    </w:lvl>
    <w:lvl w:ilvl="3" w:tplc="417452E6">
      <w:start w:val="1"/>
      <w:numFmt w:val="bullet"/>
      <w:lvlText w:val=""/>
      <w:lvlJc w:val="left"/>
      <w:pPr>
        <w:ind w:left="2880" w:hanging="360"/>
      </w:pPr>
      <w:rPr>
        <w:rFonts w:ascii="Symbol" w:hAnsi="Symbol" w:hint="default"/>
      </w:rPr>
    </w:lvl>
    <w:lvl w:ilvl="4" w:tplc="B5AAEACE">
      <w:start w:val="1"/>
      <w:numFmt w:val="bullet"/>
      <w:lvlText w:val="o"/>
      <w:lvlJc w:val="left"/>
      <w:pPr>
        <w:ind w:left="3600" w:hanging="360"/>
      </w:pPr>
      <w:rPr>
        <w:rFonts w:ascii="Courier New" w:hAnsi="Courier New" w:hint="default"/>
      </w:rPr>
    </w:lvl>
    <w:lvl w:ilvl="5" w:tplc="8B861112">
      <w:start w:val="1"/>
      <w:numFmt w:val="bullet"/>
      <w:lvlText w:val=""/>
      <w:lvlJc w:val="left"/>
      <w:pPr>
        <w:ind w:left="4320" w:hanging="360"/>
      </w:pPr>
      <w:rPr>
        <w:rFonts w:ascii="Wingdings" w:hAnsi="Wingdings" w:hint="default"/>
      </w:rPr>
    </w:lvl>
    <w:lvl w:ilvl="6" w:tplc="442EEA52">
      <w:start w:val="1"/>
      <w:numFmt w:val="bullet"/>
      <w:lvlText w:val=""/>
      <w:lvlJc w:val="left"/>
      <w:pPr>
        <w:ind w:left="5040" w:hanging="360"/>
      </w:pPr>
      <w:rPr>
        <w:rFonts w:ascii="Symbol" w:hAnsi="Symbol" w:hint="default"/>
      </w:rPr>
    </w:lvl>
    <w:lvl w:ilvl="7" w:tplc="EA98615C">
      <w:start w:val="1"/>
      <w:numFmt w:val="bullet"/>
      <w:lvlText w:val="o"/>
      <w:lvlJc w:val="left"/>
      <w:pPr>
        <w:ind w:left="5760" w:hanging="360"/>
      </w:pPr>
      <w:rPr>
        <w:rFonts w:ascii="Courier New" w:hAnsi="Courier New" w:hint="default"/>
      </w:rPr>
    </w:lvl>
    <w:lvl w:ilvl="8" w:tplc="625AAC74">
      <w:start w:val="1"/>
      <w:numFmt w:val="bullet"/>
      <w:lvlText w:val=""/>
      <w:lvlJc w:val="left"/>
      <w:pPr>
        <w:ind w:left="6480" w:hanging="360"/>
      </w:pPr>
      <w:rPr>
        <w:rFonts w:ascii="Wingdings" w:hAnsi="Wingdings" w:hint="default"/>
      </w:rPr>
    </w:lvl>
  </w:abstractNum>
  <w:abstractNum w:abstractNumId="7" w15:restartNumberingAfterBreak="0">
    <w:nsid w:val="1BB81374"/>
    <w:multiLevelType w:val="hybridMultilevel"/>
    <w:tmpl w:val="3E804192"/>
    <w:lvl w:ilvl="0" w:tplc="194E2540">
      <w:start w:val="1"/>
      <w:numFmt w:val="bullet"/>
      <w:lvlText w:val=""/>
      <w:lvlJc w:val="left"/>
      <w:pPr>
        <w:ind w:left="780" w:hanging="360"/>
      </w:pPr>
      <w:rPr>
        <w:rFonts w:ascii="Symbol" w:hAnsi="Symbol" w:hint="default"/>
        <w:color w:val="7B5E05" w:themeColor="accent1"/>
        <w:u w:color="000000" w:themeColor="text1"/>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F18186A"/>
    <w:multiLevelType w:val="hybridMultilevel"/>
    <w:tmpl w:val="B85C1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435B94"/>
    <w:multiLevelType w:val="hybridMultilevel"/>
    <w:tmpl w:val="1F625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42E0F"/>
    <w:multiLevelType w:val="multilevel"/>
    <w:tmpl w:val="7A2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E00FD"/>
    <w:multiLevelType w:val="hybridMultilevel"/>
    <w:tmpl w:val="248688B6"/>
    <w:lvl w:ilvl="0" w:tplc="D9A6794A">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BD7AF1"/>
    <w:multiLevelType w:val="hybridMultilevel"/>
    <w:tmpl w:val="B1F21B98"/>
    <w:lvl w:ilvl="0" w:tplc="512209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F2026C6"/>
    <w:multiLevelType w:val="hybridMultilevel"/>
    <w:tmpl w:val="65DC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143F2"/>
    <w:multiLevelType w:val="hybridMultilevel"/>
    <w:tmpl w:val="D3D4E264"/>
    <w:lvl w:ilvl="0" w:tplc="7F345AC6">
      <w:start w:val="1"/>
      <w:numFmt w:val="bullet"/>
      <w:lvlText w:val="-"/>
      <w:lvlJc w:val="left"/>
      <w:pPr>
        <w:ind w:left="720" w:hanging="360"/>
      </w:pPr>
      <w:rPr>
        <w:rFonts w:ascii="Segoe UI" w:eastAsiaTheme="minorHAnsi"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E7951"/>
    <w:multiLevelType w:val="hybridMultilevel"/>
    <w:tmpl w:val="05B420DE"/>
    <w:lvl w:ilvl="0" w:tplc="0C090001">
      <w:start w:val="1"/>
      <w:numFmt w:val="bullet"/>
      <w:lvlText w:val=""/>
      <w:lvlJc w:val="left"/>
      <w:pPr>
        <w:ind w:left="1418" w:hanging="360"/>
      </w:pPr>
      <w:rPr>
        <w:rFonts w:ascii="Symbol" w:hAnsi="Symbol" w:hint="default"/>
      </w:rPr>
    </w:lvl>
    <w:lvl w:ilvl="1" w:tplc="0C090003">
      <w:start w:val="1"/>
      <w:numFmt w:val="bullet"/>
      <w:lvlText w:val="o"/>
      <w:lvlJc w:val="left"/>
      <w:pPr>
        <w:ind w:left="2138" w:hanging="360"/>
      </w:pPr>
      <w:rPr>
        <w:rFonts w:ascii="Courier New" w:hAnsi="Courier New" w:cs="Courier New" w:hint="default"/>
      </w:rPr>
    </w:lvl>
    <w:lvl w:ilvl="2" w:tplc="0C090005">
      <w:start w:val="1"/>
      <w:numFmt w:val="bullet"/>
      <w:lvlText w:val=""/>
      <w:lvlJc w:val="left"/>
      <w:pPr>
        <w:ind w:left="2858" w:hanging="360"/>
      </w:pPr>
      <w:rPr>
        <w:rFonts w:ascii="Wingdings" w:hAnsi="Wingdings" w:hint="default"/>
      </w:rPr>
    </w:lvl>
    <w:lvl w:ilvl="3" w:tplc="0C090001">
      <w:start w:val="1"/>
      <w:numFmt w:val="bullet"/>
      <w:lvlText w:val=""/>
      <w:lvlJc w:val="left"/>
      <w:pPr>
        <w:ind w:left="3578" w:hanging="360"/>
      </w:pPr>
      <w:rPr>
        <w:rFonts w:ascii="Symbol" w:hAnsi="Symbol" w:hint="default"/>
      </w:rPr>
    </w:lvl>
    <w:lvl w:ilvl="4" w:tplc="0C090003">
      <w:start w:val="1"/>
      <w:numFmt w:val="bullet"/>
      <w:lvlText w:val="o"/>
      <w:lvlJc w:val="left"/>
      <w:pPr>
        <w:ind w:left="4298" w:hanging="360"/>
      </w:pPr>
      <w:rPr>
        <w:rFonts w:ascii="Courier New" w:hAnsi="Courier New" w:cs="Courier New" w:hint="default"/>
      </w:rPr>
    </w:lvl>
    <w:lvl w:ilvl="5" w:tplc="0C090005">
      <w:start w:val="1"/>
      <w:numFmt w:val="bullet"/>
      <w:lvlText w:val=""/>
      <w:lvlJc w:val="left"/>
      <w:pPr>
        <w:ind w:left="5018" w:hanging="360"/>
      </w:pPr>
      <w:rPr>
        <w:rFonts w:ascii="Wingdings" w:hAnsi="Wingdings" w:hint="default"/>
      </w:rPr>
    </w:lvl>
    <w:lvl w:ilvl="6" w:tplc="0C090001">
      <w:start w:val="1"/>
      <w:numFmt w:val="bullet"/>
      <w:lvlText w:val=""/>
      <w:lvlJc w:val="left"/>
      <w:pPr>
        <w:ind w:left="5738" w:hanging="360"/>
      </w:pPr>
      <w:rPr>
        <w:rFonts w:ascii="Symbol" w:hAnsi="Symbol" w:hint="default"/>
      </w:rPr>
    </w:lvl>
    <w:lvl w:ilvl="7" w:tplc="0C090003">
      <w:start w:val="1"/>
      <w:numFmt w:val="bullet"/>
      <w:lvlText w:val="o"/>
      <w:lvlJc w:val="left"/>
      <w:pPr>
        <w:ind w:left="6458" w:hanging="360"/>
      </w:pPr>
      <w:rPr>
        <w:rFonts w:ascii="Courier New" w:hAnsi="Courier New" w:cs="Courier New" w:hint="default"/>
      </w:rPr>
    </w:lvl>
    <w:lvl w:ilvl="8" w:tplc="0C090005">
      <w:start w:val="1"/>
      <w:numFmt w:val="bullet"/>
      <w:lvlText w:val=""/>
      <w:lvlJc w:val="left"/>
      <w:pPr>
        <w:ind w:left="7178" w:hanging="360"/>
      </w:pPr>
      <w:rPr>
        <w:rFonts w:ascii="Wingdings" w:hAnsi="Wingdings" w:hint="default"/>
      </w:rPr>
    </w:lvl>
  </w:abstractNum>
  <w:abstractNum w:abstractNumId="16" w15:restartNumberingAfterBreak="0">
    <w:nsid w:val="36C56944"/>
    <w:multiLevelType w:val="multilevel"/>
    <w:tmpl w:val="A39645E6"/>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40" w:hanging="363"/>
      </w:pPr>
      <w:rPr>
        <w:rFonts w:hint="default"/>
      </w:rPr>
    </w:lvl>
    <w:lvl w:ilvl="3">
      <w:start w:val="1"/>
      <w:numFmt w:val="bullet"/>
      <w:pStyle w:val="ListNumber4"/>
      <w:lvlText w:val=""/>
      <w:lvlJc w:val="left"/>
      <w:pPr>
        <w:ind w:left="1797" w:hanging="357"/>
      </w:pPr>
      <w:rPr>
        <w:rFonts w:ascii="Wingdings" w:hAnsi="Wingdings" w:hint="default"/>
        <w:color w:val="7B5E05" w:themeColor="accent1"/>
      </w:rPr>
    </w:lvl>
    <w:lvl w:ilvl="4">
      <w:start w:val="1"/>
      <w:numFmt w:val="bullet"/>
      <w:pStyle w:val="ListNumber5"/>
      <w:lvlText w:val="­"/>
      <w:lvlJc w:val="left"/>
      <w:pPr>
        <w:ind w:left="1800" w:hanging="337"/>
      </w:pPr>
      <w:rPr>
        <w:rFonts w:ascii="Century Gothic" w:hAnsi="Century Gothic" w:hint="default"/>
        <w:color w:val="7B5E0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44122C"/>
    <w:multiLevelType w:val="hybridMultilevel"/>
    <w:tmpl w:val="879E3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7038C7"/>
    <w:multiLevelType w:val="hybridMultilevel"/>
    <w:tmpl w:val="D1345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8370C2"/>
    <w:multiLevelType w:val="multilevel"/>
    <w:tmpl w:val="AA945AE8"/>
    <w:lvl w:ilvl="0">
      <w:start w:val="1"/>
      <w:numFmt w:val="decimal"/>
      <w:pStyle w:val="NumberedParagraphs"/>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5119AC"/>
    <w:multiLevelType w:val="multilevel"/>
    <w:tmpl w:val="AC2EF1D0"/>
    <w:lvl w:ilvl="0">
      <w:start w:val="1"/>
      <w:numFmt w:val="decimal"/>
      <w:pStyle w:val="Heading5"/>
      <w:lvlText w:val="%1."/>
      <w:lvlJc w:val="left"/>
      <w:pPr>
        <w:ind w:left="567" w:hanging="567"/>
      </w:pPr>
      <w:rPr>
        <w:rFonts w:hint="default"/>
      </w:rPr>
    </w:lvl>
    <w:lvl w:ilvl="1">
      <w:start w:val="1"/>
      <w:numFmt w:val="decimal"/>
      <w:pStyle w:val="Heading6"/>
      <w:lvlText w:val="%1.%2"/>
      <w:lvlJc w:val="left"/>
      <w:pPr>
        <w:ind w:left="737" w:hanging="737"/>
      </w:pPr>
      <w:rPr>
        <w:rFonts w:hint="default"/>
      </w:rPr>
    </w:lvl>
    <w:lvl w:ilvl="2">
      <w:start w:val="1"/>
      <w:numFmt w:val="decimal"/>
      <w:pStyle w:val="Heading7"/>
      <w:lvlText w:val="%1.%2.%3"/>
      <w:lvlJc w:val="left"/>
      <w:pPr>
        <w:ind w:left="907" w:hanging="907"/>
      </w:pPr>
      <w:rPr>
        <w:rFonts w:hint="default"/>
      </w:rPr>
    </w:lvl>
    <w:lvl w:ilvl="3">
      <w:start w:val="1"/>
      <w:numFmt w:val="decimal"/>
      <w:pStyle w:val="Heading8"/>
      <w:lvlText w:val="%1.%2.%3.%4"/>
      <w:lvlJc w:val="left"/>
      <w:pPr>
        <w:ind w:left="1077" w:hanging="107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pStyle w:val="Heading9"/>
      <w:lvlText w:val="Appendix %9"/>
      <w:lvlJc w:val="left"/>
      <w:pPr>
        <w:ind w:left="2268" w:hanging="2268"/>
      </w:pPr>
      <w:rPr>
        <w:rFonts w:hint="default"/>
        <w:color w:val="7B5E05" w:themeColor="accent1"/>
      </w:rPr>
    </w:lvl>
  </w:abstractNum>
  <w:abstractNum w:abstractNumId="21" w15:restartNumberingAfterBreak="0">
    <w:nsid w:val="50D95DD9"/>
    <w:multiLevelType w:val="hybridMultilevel"/>
    <w:tmpl w:val="8D6CF4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224377"/>
    <w:multiLevelType w:val="hybridMultilevel"/>
    <w:tmpl w:val="02304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B51D80"/>
    <w:multiLevelType w:val="hybridMultilevel"/>
    <w:tmpl w:val="DC7E9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7C4530"/>
    <w:multiLevelType w:val="hybridMultilevel"/>
    <w:tmpl w:val="10C8042A"/>
    <w:lvl w:ilvl="0" w:tplc="194E2540">
      <w:start w:val="1"/>
      <w:numFmt w:val="bullet"/>
      <w:lvlText w:val=""/>
      <w:lvlJc w:val="left"/>
      <w:pPr>
        <w:ind w:left="720" w:hanging="360"/>
      </w:pPr>
      <w:rPr>
        <w:rFonts w:ascii="Symbol" w:hAnsi="Symbol" w:hint="default"/>
        <w:color w:val="7B5E05" w:themeColor="accen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486395"/>
    <w:multiLevelType w:val="hybridMultilevel"/>
    <w:tmpl w:val="3AC02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C820A1"/>
    <w:multiLevelType w:val="hybridMultilevel"/>
    <w:tmpl w:val="F072F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15842C1"/>
    <w:multiLevelType w:val="hybridMultilevel"/>
    <w:tmpl w:val="EE40CBD4"/>
    <w:lvl w:ilvl="0" w:tplc="7F345AC6">
      <w:start w:val="1"/>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C3485C"/>
    <w:multiLevelType w:val="multilevel"/>
    <w:tmpl w:val="54B40F84"/>
    <w:lvl w:ilvl="0">
      <w:start w:val="1"/>
      <w:numFmt w:val="bullet"/>
      <w:pStyle w:val="ListBullet"/>
      <w:lvlText w:val=""/>
      <w:lvlJc w:val="left"/>
      <w:pPr>
        <w:ind w:left="1145" w:hanging="425"/>
      </w:pPr>
      <w:rPr>
        <w:rFonts w:ascii="Symbol" w:hAnsi="Symbol" w:hint="default"/>
        <w:color w:val="7B5E05" w:themeColor="accent1"/>
        <w:u w:color="000000" w:themeColor="text1"/>
      </w:rPr>
    </w:lvl>
    <w:lvl w:ilvl="1">
      <w:start w:val="1"/>
      <w:numFmt w:val="bullet"/>
      <w:pStyle w:val="ListBullet2"/>
      <w:lvlText w:val="o"/>
      <w:lvlJc w:val="left"/>
      <w:pPr>
        <w:ind w:left="1854" w:hanging="425"/>
      </w:pPr>
      <w:rPr>
        <w:rFonts w:ascii="Courier New" w:hAnsi="Courier New" w:hint="default"/>
        <w:color w:val="7B5E05" w:themeColor="accent1"/>
      </w:rPr>
    </w:lvl>
    <w:lvl w:ilvl="2">
      <w:start w:val="1"/>
      <w:numFmt w:val="bullet"/>
      <w:pStyle w:val="OutlineBoxBullets"/>
      <w:lvlText w:val=""/>
      <w:lvlJc w:val="left"/>
      <w:pPr>
        <w:ind w:left="720" w:firstLine="238"/>
      </w:pPr>
      <w:rPr>
        <w:rFonts w:ascii="Symbol" w:hAnsi="Symbol" w:hint="default"/>
        <w:color w:val="7B5E05" w:themeColor="accent1"/>
      </w:rPr>
    </w:lvl>
    <w:lvl w:ilvl="3">
      <w:start w:val="1"/>
      <w:numFmt w:val="bullet"/>
      <w:lvlText w:val="໐"/>
      <w:lvlJc w:val="left"/>
      <w:pPr>
        <w:ind w:left="1196" w:hanging="238"/>
      </w:pPr>
      <w:rPr>
        <w:rFonts w:ascii="Segoe UI" w:hAnsi="Segoe UI" w:hint="default"/>
        <w:color w:val="7B5E05" w:themeColor="accent1"/>
      </w:rPr>
    </w:lvl>
    <w:lvl w:ilvl="4">
      <w:start w:val="1"/>
      <w:numFmt w:val="bullet"/>
      <w:lvlText w:val="o"/>
      <w:lvlJc w:val="left"/>
      <w:pPr>
        <w:ind w:left="2826" w:hanging="360"/>
      </w:pPr>
      <w:rPr>
        <w:rFonts w:ascii="Courier New" w:hAnsi="Courier New" w:hint="default"/>
      </w:rPr>
    </w:lvl>
    <w:lvl w:ilvl="5">
      <w:start w:val="1"/>
      <w:numFmt w:val="bullet"/>
      <w:lvlText w:val=""/>
      <w:lvlJc w:val="left"/>
      <w:pPr>
        <w:ind w:left="3546" w:hanging="360"/>
      </w:pPr>
      <w:rPr>
        <w:rFonts w:ascii="Wingdings" w:hAnsi="Wingdings" w:hint="default"/>
      </w:rPr>
    </w:lvl>
    <w:lvl w:ilvl="6">
      <w:start w:val="1"/>
      <w:numFmt w:val="bullet"/>
      <w:lvlText w:val=""/>
      <w:lvlJc w:val="left"/>
      <w:pPr>
        <w:ind w:left="4266" w:hanging="360"/>
      </w:pPr>
      <w:rPr>
        <w:rFonts w:ascii="Symbol" w:hAnsi="Symbol" w:hint="default"/>
      </w:rPr>
    </w:lvl>
    <w:lvl w:ilvl="7">
      <w:start w:val="1"/>
      <w:numFmt w:val="bullet"/>
      <w:lvlText w:val="o"/>
      <w:lvlJc w:val="left"/>
      <w:pPr>
        <w:ind w:left="4986" w:hanging="360"/>
      </w:pPr>
      <w:rPr>
        <w:rFonts w:ascii="Courier New" w:hAnsi="Courier New" w:cs="Courier New" w:hint="default"/>
      </w:rPr>
    </w:lvl>
    <w:lvl w:ilvl="8">
      <w:start w:val="1"/>
      <w:numFmt w:val="bullet"/>
      <w:lvlText w:val=""/>
      <w:lvlJc w:val="left"/>
      <w:pPr>
        <w:ind w:left="5706" w:hanging="360"/>
      </w:pPr>
      <w:rPr>
        <w:rFonts w:ascii="Wingdings" w:hAnsi="Wingdings" w:hint="default"/>
      </w:rPr>
    </w:lvl>
  </w:abstractNum>
  <w:abstractNum w:abstractNumId="29" w15:restartNumberingAfterBreak="0">
    <w:nsid w:val="659B48BA"/>
    <w:multiLevelType w:val="multilevel"/>
    <w:tmpl w:val="720A52B8"/>
    <w:lvl w:ilvl="0">
      <w:start w:val="1"/>
      <w:numFmt w:val="decimal"/>
      <w:lvlText w:val="%1."/>
      <w:lvlJc w:val="left"/>
      <w:pPr>
        <w:ind w:left="567" w:hanging="567"/>
      </w:pPr>
      <w:rPr>
        <w:rFonts w:hint="default"/>
      </w:rPr>
    </w:lvl>
    <w:lvl w:ilvl="1">
      <w:start w:val="1"/>
      <w:numFmt w:val="bullet"/>
      <w:lvlText w:val=""/>
      <w:lvlJc w:val="left"/>
      <w:pPr>
        <w:ind w:left="360" w:hanging="360"/>
      </w:pPr>
      <w:rPr>
        <w:rFonts w:ascii="Symbol" w:hAnsi="Symbol" w:hint="default"/>
        <w:color w:val="7B5E05" w:themeColor="accent1"/>
      </w:rPr>
    </w:lvl>
    <w:lvl w:ilvl="2">
      <w:start w:val="1"/>
      <w:numFmt w:val="decimal"/>
      <w:lvlText w:val="%1.%2.%3"/>
      <w:lvlJc w:val="left"/>
      <w:pPr>
        <w:ind w:left="907" w:hanging="90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Text w:val="Appendix %9"/>
      <w:lvlJc w:val="left"/>
      <w:pPr>
        <w:ind w:left="2268" w:hanging="2268"/>
      </w:pPr>
      <w:rPr>
        <w:rFonts w:hint="default"/>
        <w:color w:val="7B5E05" w:themeColor="accent1"/>
      </w:rPr>
    </w:lvl>
  </w:abstractNum>
  <w:abstractNum w:abstractNumId="30" w15:restartNumberingAfterBreak="0">
    <w:nsid w:val="6E1E47DD"/>
    <w:multiLevelType w:val="hybridMultilevel"/>
    <w:tmpl w:val="0C94F6A8"/>
    <w:lvl w:ilvl="0" w:tplc="162882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A33AD3"/>
    <w:multiLevelType w:val="multilevel"/>
    <w:tmpl w:val="D66A34A4"/>
    <w:lvl w:ilvl="0">
      <w:start w:val="1"/>
      <w:numFmt w:val="bullet"/>
      <w:lvlText w:val="o"/>
      <w:lvlJc w:val="left"/>
      <w:pPr>
        <w:ind w:left="1145" w:hanging="425"/>
      </w:pPr>
      <w:rPr>
        <w:rFonts w:ascii="Courier New" w:hAnsi="Courier New" w:hint="default"/>
        <w:color w:val="7B5E05" w:themeColor="accent1"/>
      </w:rPr>
    </w:lvl>
    <w:lvl w:ilvl="1">
      <w:start w:val="1"/>
      <w:numFmt w:val="bullet"/>
      <w:lvlText w:val="o"/>
      <w:lvlJc w:val="left"/>
      <w:pPr>
        <w:ind w:left="1854" w:hanging="425"/>
      </w:pPr>
      <w:rPr>
        <w:rFonts w:ascii="Courier New" w:hAnsi="Courier New" w:hint="default"/>
        <w:color w:val="7B5E05" w:themeColor="accent1"/>
      </w:rPr>
    </w:lvl>
    <w:lvl w:ilvl="2">
      <w:start w:val="1"/>
      <w:numFmt w:val="bullet"/>
      <w:lvlText w:val=""/>
      <w:lvlJc w:val="left"/>
      <w:pPr>
        <w:ind w:left="720" w:firstLine="238"/>
      </w:pPr>
      <w:rPr>
        <w:rFonts w:ascii="Symbol" w:hAnsi="Symbol" w:hint="default"/>
        <w:color w:val="7B5E05" w:themeColor="accent1"/>
      </w:rPr>
    </w:lvl>
    <w:lvl w:ilvl="3">
      <w:start w:val="1"/>
      <w:numFmt w:val="bullet"/>
      <w:lvlText w:val="໐"/>
      <w:lvlJc w:val="left"/>
      <w:pPr>
        <w:ind w:left="1196" w:hanging="238"/>
      </w:pPr>
      <w:rPr>
        <w:rFonts w:ascii="Segoe UI" w:hAnsi="Segoe UI" w:hint="default"/>
        <w:color w:val="7B5E05" w:themeColor="accent1"/>
      </w:rPr>
    </w:lvl>
    <w:lvl w:ilvl="4">
      <w:start w:val="1"/>
      <w:numFmt w:val="bullet"/>
      <w:lvlText w:val="o"/>
      <w:lvlJc w:val="left"/>
      <w:pPr>
        <w:ind w:left="2826" w:hanging="360"/>
      </w:pPr>
      <w:rPr>
        <w:rFonts w:ascii="Courier New" w:hAnsi="Courier New" w:hint="default"/>
      </w:rPr>
    </w:lvl>
    <w:lvl w:ilvl="5">
      <w:start w:val="1"/>
      <w:numFmt w:val="bullet"/>
      <w:lvlText w:val=""/>
      <w:lvlJc w:val="left"/>
      <w:pPr>
        <w:ind w:left="3546" w:hanging="360"/>
      </w:pPr>
      <w:rPr>
        <w:rFonts w:ascii="Wingdings" w:hAnsi="Wingdings" w:hint="default"/>
      </w:rPr>
    </w:lvl>
    <w:lvl w:ilvl="6">
      <w:start w:val="1"/>
      <w:numFmt w:val="bullet"/>
      <w:lvlText w:val=""/>
      <w:lvlJc w:val="left"/>
      <w:pPr>
        <w:ind w:left="4266" w:hanging="360"/>
      </w:pPr>
      <w:rPr>
        <w:rFonts w:ascii="Symbol" w:hAnsi="Symbol" w:hint="default"/>
      </w:rPr>
    </w:lvl>
    <w:lvl w:ilvl="7">
      <w:start w:val="1"/>
      <w:numFmt w:val="bullet"/>
      <w:lvlText w:val="o"/>
      <w:lvlJc w:val="left"/>
      <w:pPr>
        <w:ind w:left="4986" w:hanging="360"/>
      </w:pPr>
      <w:rPr>
        <w:rFonts w:ascii="Courier New" w:hAnsi="Courier New" w:cs="Courier New" w:hint="default"/>
      </w:rPr>
    </w:lvl>
    <w:lvl w:ilvl="8">
      <w:start w:val="1"/>
      <w:numFmt w:val="bullet"/>
      <w:lvlText w:val=""/>
      <w:lvlJc w:val="left"/>
      <w:pPr>
        <w:ind w:left="5706" w:hanging="360"/>
      </w:pPr>
      <w:rPr>
        <w:rFonts w:ascii="Wingdings" w:hAnsi="Wingdings" w:hint="default"/>
      </w:rPr>
    </w:lvl>
  </w:abstractNum>
  <w:abstractNum w:abstractNumId="32" w15:restartNumberingAfterBreak="0">
    <w:nsid w:val="75E804DC"/>
    <w:multiLevelType w:val="hybridMultilevel"/>
    <w:tmpl w:val="40BCC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2E210C"/>
    <w:multiLevelType w:val="hybridMultilevel"/>
    <w:tmpl w:val="A094FE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7829454">
    <w:abstractNumId w:val="20"/>
  </w:num>
  <w:num w:numId="2" w16cid:durableId="2081709249">
    <w:abstractNumId w:val="28"/>
  </w:num>
  <w:num w:numId="3" w16cid:durableId="2134446842">
    <w:abstractNumId w:val="3"/>
  </w:num>
  <w:num w:numId="4" w16cid:durableId="1209024410">
    <w:abstractNumId w:val="16"/>
  </w:num>
  <w:num w:numId="5" w16cid:durableId="1137259169">
    <w:abstractNumId w:val="20"/>
  </w:num>
  <w:num w:numId="6" w16cid:durableId="1534687219">
    <w:abstractNumId w:val="2"/>
  </w:num>
  <w:num w:numId="7" w16cid:durableId="679478094">
    <w:abstractNumId w:val="20"/>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 w16cid:durableId="289632091">
    <w:abstractNumId w:val="19"/>
  </w:num>
  <w:num w:numId="9" w16cid:durableId="1470516487">
    <w:abstractNumId w:val="12"/>
  </w:num>
  <w:num w:numId="10" w16cid:durableId="329796096">
    <w:abstractNumId w:val="28"/>
  </w:num>
  <w:num w:numId="11" w16cid:durableId="1125201941">
    <w:abstractNumId w:val="21"/>
  </w:num>
  <w:num w:numId="12" w16cid:durableId="1225336868">
    <w:abstractNumId w:val="33"/>
  </w:num>
  <w:num w:numId="13" w16cid:durableId="1590239214">
    <w:abstractNumId w:val="28"/>
  </w:num>
  <w:num w:numId="14" w16cid:durableId="567810402">
    <w:abstractNumId w:val="28"/>
  </w:num>
  <w:num w:numId="15" w16cid:durableId="1002320019">
    <w:abstractNumId w:val="28"/>
  </w:num>
  <w:num w:numId="16" w16cid:durableId="1851792114">
    <w:abstractNumId w:val="28"/>
  </w:num>
  <w:num w:numId="17" w16cid:durableId="1842425550">
    <w:abstractNumId w:val="28"/>
  </w:num>
  <w:num w:numId="18" w16cid:durableId="1778405730">
    <w:abstractNumId w:val="18"/>
  </w:num>
  <w:num w:numId="19" w16cid:durableId="1564485354">
    <w:abstractNumId w:val="30"/>
  </w:num>
  <w:num w:numId="20" w16cid:durableId="1227687230">
    <w:abstractNumId w:val="28"/>
  </w:num>
  <w:num w:numId="21" w16cid:durableId="390155055">
    <w:abstractNumId w:val="28"/>
  </w:num>
  <w:num w:numId="22" w16cid:durableId="516161849">
    <w:abstractNumId w:val="28"/>
  </w:num>
  <w:num w:numId="23" w16cid:durableId="2122795133">
    <w:abstractNumId w:val="31"/>
  </w:num>
  <w:num w:numId="24" w16cid:durableId="633604598">
    <w:abstractNumId w:val="11"/>
  </w:num>
  <w:num w:numId="25" w16cid:durableId="667632072">
    <w:abstractNumId w:val="0"/>
  </w:num>
  <w:num w:numId="26" w16cid:durableId="755370609">
    <w:abstractNumId w:val="0"/>
  </w:num>
  <w:num w:numId="27" w16cid:durableId="148064158">
    <w:abstractNumId w:val="28"/>
  </w:num>
  <w:num w:numId="28" w16cid:durableId="1169061997">
    <w:abstractNumId w:val="28"/>
  </w:num>
  <w:num w:numId="29" w16cid:durableId="237180510">
    <w:abstractNumId w:val="27"/>
  </w:num>
  <w:num w:numId="30" w16cid:durableId="719943540">
    <w:abstractNumId w:val="26"/>
  </w:num>
  <w:num w:numId="31" w16cid:durableId="1249314042">
    <w:abstractNumId w:val="28"/>
  </w:num>
  <w:num w:numId="32" w16cid:durableId="75058054">
    <w:abstractNumId w:val="26"/>
  </w:num>
  <w:num w:numId="33" w16cid:durableId="1800368370">
    <w:abstractNumId w:val="6"/>
  </w:num>
  <w:num w:numId="34" w16cid:durableId="804857219">
    <w:abstractNumId w:val="28"/>
  </w:num>
  <w:num w:numId="35" w16cid:durableId="717045568">
    <w:abstractNumId w:val="14"/>
  </w:num>
  <w:num w:numId="36" w16cid:durableId="436292940">
    <w:abstractNumId w:val="28"/>
  </w:num>
  <w:num w:numId="37" w16cid:durableId="192693749">
    <w:abstractNumId w:val="1"/>
  </w:num>
  <w:num w:numId="38" w16cid:durableId="1106271190">
    <w:abstractNumId w:val="24"/>
  </w:num>
  <w:num w:numId="39" w16cid:durableId="1169105022">
    <w:abstractNumId w:val="28"/>
  </w:num>
  <w:num w:numId="40" w16cid:durableId="93595671">
    <w:abstractNumId w:val="30"/>
  </w:num>
  <w:num w:numId="41" w16cid:durableId="1799758574">
    <w:abstractNumId w:val="20"/>
  </w:num>
  <w:num w:numId="42" w16cid:durableId="1449617752">
    <w:abstractNumId w:val="28"/>
  </w:num>
  <w:num w:numId="43" w16cid:durableId="1749956296">
    <w:abstractNumId w:val="17"/>
  </w:num>
  <w:num w:numId="44" w16cid:durableId="2010056136">
    <w:abstractNumId w:val="32"/>
  </w:num>
  <w:num w:numId="45" w16cid:durableId="1375809199">
    <w:abstractNumId w:val="28"/>
  </w:num>
  <w:num w:numId="46" w16cid:durableId="1889107753">
    <w:abstractNumId w:val="7"/>
  </w:num>
  <w:num w:numId="47" w16cid:durableId="1716545538">
    <w:abstractNumId w:val="23"/>
  </w:num>
  <w:num w:numId="48" w16cid:durableId="333150770">
    <w:abstractNumId w:val="13"/>
  </w:num>
  <w:num w:numId="49" w16cid:durableId="277376695">
    <w:abstractNumId w:val="9"/>
  </w:num>
  <w:num w:numId="50" w16cid:durableId="718555073">
    <w:abstractNumId w:val="1"/>
  </w:num>
  <w:num w:numId="51" w16cid:durableId="1304192724">
    <w:abstractNumId w:val="8"/>
  </w:num>
  <w:num w:numId="52" w16cid:durableId="1405562293">
    <w:abstractNumId w:val="10"/>
  </w:num>
  <w:num w:numId="53" w16cid:durableId="772211717">
    <w:abstractNumId w:val="1"/>
  </w:num>
  <w:num w:numId="54" w16cid:durableId="409347723">
    <w:abstractNumId w:val="1"/>
  </w:num>
  <w:num w:numId="55" w16cid:durableId="616957657">
    <w:abstractNumId w:val="22"/>
  </w:num>
  <w:num w:numId="56" w16cid:durableId="296378145">
    <w:abstractNumId w:val="25"/>
  </w:num>
  <w:num w:numId="57" w16cid:durableId="1156727206">
    <w:abstractNumId w:val="15"/>
  </w:num>
  <w:num w:numId="58" w16cid:durableId="657731015">
    <w:abstractNumId w:val="28"/>
  </w:num>
  <w:num w:numId="59" w16cid:durableId="667439806">
    <w:abstractNumId w:val="4"/>
  </w:num>
  <w:num w:numId="60" w16cid:durableId="1906063467">
    <w:abstractNumId w:val="5"/>
  </w:num>
  <w:num w:numId="61" w16cid:durableId="1558978910">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2M7EwMjQ2N7C0NDdS0lEKTi0uzszPAykwrwUAdgamEiwAAAA="/>
  </w:docVars>
  <w:rsids>
    <w:rsidRoot w:val="005B76C6"/>
    <w:rsid w:val="00000491"/>
    <w:rsid w:val="00000804"/>
    <w:rsid w:val="0000092D"/>
    <w:rsid w:val="0000093E"/>
    <w:rsid w:val="0000162B"/>
    <w:rsid w:val="00001682"/>
    <w:rsid w:val="000016F9"/>
    <w:rsid w:val="00001B3B"/>
    <w:rsid w:val="00001C74"/>
    <w:rsid w:val="00004D6B"/>
    <w:rsid w:val="00004F41"/>
    <w:rsid w:val="00005082"/>
    <w:rsid w:val="0000557D"/>
    <w:rsid w:val="000055B1"/>
    <w:rsid w:val="000057C7"/>
    <w:rsid w:val="00005A82"/>
    <w:rsid w:val="00005AD7"/>
    <w:rsid w:val="00005DB2"/>
    <w:rsid w:val="00005DF2"/>
    <w:rsid w:val="00006E92"/>
    <w:rsid w:val="00006F7F"/>
    <w:rsid w:val="00007803"/>
    <w:rsid w:val="00007B21"/>
    <w:rsid w:val="00010461"/>
    <w:rsid w:val="000104D7"/>
    <w:rsid w:val="0001080D"/>
    <w:rsid w:val="00010CFD"/>
    <w:rsid w:val="00011B3B"/>
    <w:rsid w:val="00011E9A"/>
    <w:rsid w:val="00012472"/>
    <w:rsid w:val="00012F56"/>
    <w:rsid w:val="000135B2"/>
    <w:rsid w:val="00013935"/>
    <w:rsid w:val="00013FD7"/>
    <w:rsid w:val="00014167"/>
    <w:rsid w:val="00014308"/>
    <w:rsid w:val="00014496"/>
    <w:rsid w:val="000145CF"/>
    <w:rsid w:val="000147A6"/>
    <w:rsid w:val="00014A5F"/>
    <w:rsid w:val="00014ED8"/>
    <w:rsid w:val="000157A9"/>
    <w:rsid w:val="00016005"/>
    <w:rsid w:val="0001681A"/>
    <w:rsid w:val="00016922"/>
    <w:rsid w:val="00017A40"/>
    <w:rsid w:val="00017FEF"/>
    <w:rsid w:val="0002006F"/>
    <w:rsid w:val="0002052D"/>
    <w:rsid w:val="00020573"/>
    <w:rsid w:val="00020A3D"/>
    <w:rsid w:val="0002124B"/>
    <w:rsid w:val="00021DA7"/>
    <w:rsid w:val="0002242C"/>
    <w:rsid w:val="00022B67"/>
    <w:rsid w:val="00022CDB"/>
    <w:rsid w:val="00023045"/>
    <w:rsid w:val="00023201"/>
    <w:rsid w:val="00025A33"/>
    <w:rsid w:val="00025BBF"/>
    <w:rsid w:val="00025F01"/>
    <w:rsid w:val="0002624B"/>
    <w:rsid w:val="00027022"/>
    <w:rsid w:val="000272C8"/>
    <w:rsid w:val="00027CC9"/>
    <w:rsid w:val="00030D24"/>
    <w:rsid w:val="00031644"/>
    <w:rsid w:val="00031AA6"/>
    <w:rsid w:val="00031FD8"/>
    <w:rsid w:val="00032195"/>
    <w:rsid w:val="0003240A"/>
    <w:rsid w:val="000324FF"/>
    <w:rsid w:val="00034206"/>
    <w:rsid w:val="0003425E"/>
    <w:rsid w:val="0003442D"/>
    <w:rsid w:val="00035381"/>
    <w:rsid w:val="00036070"/>
    <w:rsid w:val="00037968"/>
    <w:rsid w:val="00037F3C"/>
    <w:rsid w:val="0004015B"/>
    <w:rsid w:val="00040829"/>
    <w:rsid w:val="00040AEC"/>
    <w:rsid w:val="000415CA"/>
    <w:rsid w:val="000418FA"/>
    <w:rsid w:val="00041A88"/>
    <w:rsid w:val="0004288A"/>
    <w:rsid w:val="00042CD8"/>
    <w:rsid w:val="00042E92"/>
    <w:rsid w:val="00043814"/>
    <w:rsid w:val="00045901"/>
    <w:rsid w:val="00046AAE"/>
    <w:rsid w:val="0004731B"/>
    <w:rsid w:val="000479C4"/>
    <w:rsid w:val="00047ED2"/>
    <w:rsid w:val="0005044D"/>
    <w:rsid w:val="00050EE3"/>
    <w:rsid w:val="000510D9"/>
    <w:rsid w:val="00051380"/>
    <w:rsid w:val="00051A5E"/>
    <w:rsid w:val="000526AD"/>
    <w:rsid w:val="000527F0"/>
    <w:rsid w:val="00052EF6"/>
    <w:rsid w:val="00053162"/>
    <w:rsid w:val="00053518"/>
    <w:rsid w:val="00054876"/>
    <w:rsid w:val="00054D36"/>
    <w:rsid w:val="000555A5"/>
    <w:rsid w:val="000556C9"/>
    <w:rsid w:val="00056387"/>
    <w:rsid w:val="000563DA"/>
    <w:rsid w:val="00056AC7"/>
    <w:rsid w:val="00057CE5"/>
    <w:rsid w:val="000603B7"/>
    <w:rsid w:val="00060AD6"/>
    <w:rsid w:val="00060E70"/>
    <w:rsid w:val="000616C6"/>
    <w:rsid w:val="00062523"/>
    <w:rsid w:val="00063432"/>
    <w:rsid w:val="0006354D"/>
    <w:rsid w:val="000635CA"/>
    <w:rsid w:val="000637C3"/>
    <w:rsid w:val="00063A54"/>
    <w:rsid w:val="00063AE1"/>
    <w:rsid w:val="0006479F"/>
    <w:rsid w:val="00064B75"/>
    <w:rsid w:val="00064FBE"/>
    <w:rsid w:val="00065032"/>
    <w:rsid w:val="0006515F"/>
    <w:rsid w:val="000659F2"/>
    <w:rsid w:val="00065F11"/>
    <w:rsid w:val="0006686B"/>
    <w:rsid w:val="0006698E"/>
    <w:rsid w:val="000669E3"/>
    <w:rsid w:val="00066EA0"/>
    <w:rsid w:val="00067ED0"/>
    <w:rsid w:val="000700C3"/>
    <w:rsid w:val="000703D1"/>
    <w:rsid w:val="0007045B"/>
    <w:rsid w:val="00070A53"/>
    <w:rsid w:val="00070B0D"/>
    <w:rsid w:val="00070F0A"/>
    <w:rsid w:val="0007130F"/>
    <w:rsid w:val="0007278E"/>
    <w:rsid w:val="000729B0"/>
    <w:rsid w:val="0007314C"/>
    <w:rsid w:val="00073B0D"/>
    <w:rsid w:val="00074940"/>
    <w:rsid w:val="00075397"/>
    <w:rsid w:val="00075EA2"/>
    <w:rsid w:val="000767C5"/>
    <w:rsid w:val="00076A87"/>
    <w:rsid w:val="00077038"/>
    <w:rsid w:val="000770FE"/>
    <w:rsid w:val="0007787A"/>
    <w:rsid w:val="00077A0D"/>
    <w:rsid w:val="00077C18"/>
    <w:rsid w:val="00080710"/>
    <w:rsid w:val="00080B60"/>
    <w:rsid w:val="00080E46"/>
    <w:rsid w:val="00080F67"/>
    <w:rsid w:val="00080FF9"/>
    <w:rsid w:val="00082DB2"/>
    <w:rsid w:val="000834E0"/>
    <w:rsid w:val="00083A3F"/>
    <w:rsid w:val="000848E8"/>
    <w:rsid w:val="00084BB4"/>
    <w:rsid w:val="00085961"/>
    <w:rsid w:val="00086087"/>
    <w:rsid w:val="000861D4"/>
    <w:rsid w:val="000864A8"/>
    <w:rsid w:val="00086732"/>
    <w:rsid w:val="0008678D"/>
    <w:rsid w:val="00086F6F"/>
    <w:rsid w:val="0008743E"/>
    <w:rsid w:val="00087576"/>
    <w:rsid w:val="00087879"/>
    <w:rsid w:val="00087B95"/>
    <w:rsid w:val="00087F4D"/>
    <w:rsid w:val="00090300"/>
    <w:rsid w:val="00090B6C"/>
    <w:rsid w:val="0009194F"/>
    <w:rsid w:val="00091999"/>
    <w:rsid w:val="00092012"/>
    <w:rsid w:val="00092BC9"/>
    <w:rsid w:val="00092C55"/>
    <w:rsid w:val="00092EE4"/>
    <w:rsid w:val="000937F6"/>
    <w:rsid w:val="00093C93"/>
    <w:rsid w:val="00094326"/>
    <w:rsid w:val="00094461"/>
    <w:rsid w:val="00095FEF"/>
    <w:rsid w:val="000960AF"/>
    <w:rsid w:val="00096333"/>
    <w:rsid w:val="00096D3E"/>
    <w:rsid w:val="0009727C"/>
    <w:rsid w:val="0009759E"/>
    <w:rsid w:val="00097A05"/>
    <w:rsid w:val="000A0204"/>
    <w:rsid w:val="000A077A"/>
    <w:rsid w:val="000A1421"/>
    <w:rsid w:val="000A147C"/>
    <w:rsid w:val="000A1AB2"/>
    <w:rsid w:val="000A1AF1"/>
    <w:rsid w:val="000A2700"/>
    <w:rsid w:val="000A289C"/>
    <w:rsid w:val="000A311A"/>
    <w:rsid w:val="000A3154"/>
    <w:rsid w:val="000A3D92"/>
    <w:rsid w:val="000A46C9"/>
    <w:rsid w:val="000A50B1"/>
    <w:rsid w:val="000A5E78"/>
    <w:rsid w:val="000A6197"/>
    <w:rsid w:val="000A6469"/>
    <w:rsid w:val="000A6A94"/>
    <w:rsid w:val="000A6EFE"/>
    <w:rsid w:val="000A751A"/>
    <w:rsid w:val="000A7F92"/>
    <w:rsid w:val="000A8CB8"/>
    <w:rsid w:val="000B0462"/>
    <w:rsid w:val="000B0AAC"/>
    <w:rsid w:val="000B0AE3"/>
    <w:rsid w:val="000B1D5C"/>
    <w:rsid w:val="000B1DDE"/>
    <w:rsid w:val="000B223B"/>
    <w:rsid w:val="000B2B92"/>
    <w:rsid w:val="000B2E36"/>
    <w:rsid w:val="000B3C7E"/>
    <w:rsid w:val="000B3D68"/>
    <w:rsid w:val="000B46A6"/>
    <w:rsid w:val="000B4786"/>
    <w:rsid w:val="000B4FA1"/>
    <w:rsid w:val="000B5490"/>
    <w:rsid w:val="000B5A86"/>
    <w:rsid w:val="000B5B4D"/>
    <w:rsid w:val="000B68C6"/>
    <w:rsid w:val="000B6AD5"/>
    <w:rsid w:val="000B6E85"/>
    <w:rsid w:val="000B72B5"/>
    <w:rsid w:val="000B7F1D"/>
    <w:rsid w:val="000C0382"/>
    <w:rsid w:val="000C05FD"/>
    <w:rsid w:val="000C0F60"/>
    <w:rsid w:val="000C11A3"/>
    <w:rsid w:val="000C1751"/>
    <w:rsid w:val="000C19AA"/>
    <w:rsid w:val="000C2354"/>
    <w:rsid w:val="000C2433"/>
    <w:rsid w:val="000C2846"/>
    <w:rsid w:val="000C3077"/>
    <w:rsid w:val="000C30BC"/>
    <w:rsid w:val="000C3D11"/>
    <w:rsid w:val="000C4451"/>
    <w:rsid w:val="000C4700"/>
    <w:rsid w:val="000C48E7"/>
    <w:rsid w:val="000C4DBE"/>
    <w:rsid w:val="000C5053"/>
    <w:rsid w:val="000C5750"/>
    <w:rsid w:val="000C59B8"/>
    <w:rsid w:val="000C5A1B"/>
    <w:rsid w:val="000C5ABE"/>
    <w:rsid w:val="000C5F60"/>
    <w:rsid w:val="000C6035"/>
    <w:rsid w:val="000C6121"/>
    <w:rsid w:val="000C6270"/>
    <w:rsid w:val="000C6956"/>
    <w:rsid w:val="000C7586"/>
    <w:rsid w:val="000C7F6C"/>
    <w:rsid w:val="000D09C9"/>
    <w:rsid w:val="000D0F14"/>
    <w:rsid w:val="000D110F"/>
    <w:rsid w:val="000D1547"/>
    <w:rsid w:val="000D23A8"/>
    <w:rsid w:val="000D29DE"/>
    <w:rsid w:val="000D2C29"/>
    <w:rsid w:val="000D324B"/>
    <w:rsid w:val="000D327A"/>
    <w:rsid w:val="000D3C01"/>
    <w:rsid w:val="000D4842"/>
    <w:rsid w:val="000D4EC7"/>
    <w:rsid w:val="000D6324"/>
    <w:rsid w:val="000D63EF"/>
    <w:rsid w:val="000D69F2"/>
    <w:rsid w:val="000D6A17"/>
    <w:rsid w:val="000D6BA7"/>
    <w:rsid w:val="000D6E4A"/>
    <w:rsid w:val="000D7C33"/>
    <w:rsid w:val="000E0613"/>
    <w:rsid w:val="000E0833"/>
    <w:rsid w:val="000E0D82"/>
    <w:rsid w:val="000E1DDB"/>
    <w:rsid w:val="000E307D"/>
    <w:rsid w:val="000E3087"/>
    <w:rsid w:val="000E3B6F"/>
    <w:rsid w:val="000E3F2D"/>
    <w:rsid w:val="000E3F91"/>
    <w:rsid w:val="000E493C"/>
    <w:rsid w:val="000E4E8B"/>
    <w:rsid w:val="000E508F"/>
    <w:rsid w:val="000E51FB"/>
    <w:rsid w:val="000E537D"/>
    <w:rsid w:val="000E5393"/>
    <w:rsid w:val="000E5A17"/>
    <w:rsid w:val="000E614D"/>
    <w:rsid w:val="000E7880"/>
    <w:rsid w:val="000E7C04"/>
    <w:rsid w:val="000E7E4F"/>
    <w:rsid w:val="000E7F72"/>
    <w:rsid w:val="000E7FC3"/>
    <w:rsid w:val="000F0234"/>
    <w:rsid w:val="000F0AB4"/>
    <w:rsid w:val="000F1178"/>
    <w:rsid w:val="000F14B9"/>
    <w:rsid w:val="000F17AC"/>
    <w:rsid w:val="000F1B1A"/>
    <w:rsid w:val="000F2022"/>
    <w:rsid w:val="000F37A5"/>
    <w:rsid w:val="000F3B7A"/>
    <w:rsid w:val="000F471D"/>
    <w:rsid w:val="000F527A"/>
    <w:rsid w:val="000F5295"/>
    <w:rsid w:val="000F675E"/>
    <w:rsid w:val="000F6D66"/>
    <w:rsid w:val="000F7E20"/>
    <w:rsid w:val="001003EF"/>
    <w:rsid w:val="00100A1B"/>
    <w:rsid w:val="0010105B"/>
    <w:rsid w:val="00101926"/>
    <w:rsid w:val="001020A6"/>
    <w:rsid w:val="001022E8"/>
    <w:rsid w:val="00102BCA"/>
    <w:rsid w:val="0010322B"/>
    <w:rsid w:val="0010374E"/>
    <w:rsid w:val="00103BD4"/>
    <w:rsid w:val="00103F95"/>
    <w:rsid w:val="001040E8"/>
    <w:rsid w:val="001041FF"/>
    <w:rsid w:val="00104538"/>
    <w:rsid w:val="0010462E"/>
    <w:rsid w:val="00104BD7"/>
    <w:rsid w:val="00104CB3"/>
    <w:rsid w:val="00104E2A"/>
    <w:rsid w:val="0010683D"/>
    <w:rsid w:val="001071A4"/>
    <w:rsid w:val="00107455"/>
    <w:rsid w:val="00107BFC"/>
    <w:rsid w:val="001106E0"/>
    <w:rsid w:val="001111D3"/>
    <w:rsid w:val="00111547"/>
    <w:rsid w:val="00111938"/>
    <w:rsid w:val="0011234A"/>
    <w:rsid w:val="001125FF"/>
    <w:rsid w:val="00112774"/>
    <w:rsid w:val="00112DF4"/>
    <w:rsid w:val="00113577"/>
    <w:rsid w:val="001138D9"/>
    <w:rsid w:val="001141AF"/>
    <w:rsid w:val="001147BB"/>
    <w:rsid w:val="00114B96"/>
    <w:rsid w:val="001152E7"/>
    <w:rsid w:val="00115D8A"/>
    <w:rsid w:val="0011665B"/>
    <w:rsid w:val="00116CE9"/>
    <w:rsid w:val="00116D74"/>
    <w:rsid w:val="00116EC5"/>
    <w:rsid w:val="00117230"/>
    <w:rsid w:val="0011724B"/>
    <w:rsid w:val="0011787F"/>
    <w:rsid w:val="00117CC2"/>
    <w:rsid w:val="00117D92"/>
    <w:rsid w:val="0012049C"/>
    <w:rsid w:val="001204FB"/>
    <w:rsid w:val="00120931"/>
    <w:rsid w:val="00121140"/>
    <w:rsid w:val="00121C5E"/>
    <w:rsid w:val="001222B5"/>
    <w:rsid w:val="0012331F"/>
    <w:rsid w:val="00123FD0"/>
    <w:rsid w:val="001245A0"/>
    <w:rsid w:val="001245FA"/>
    <w:rsid w:val="00124A64"/>
    <w:rsid w:val="00124CC3"/>
    <w:rsid w:val="00124E54"/>
    <w:rsid w:val="00125008"/>
    <w:rsid w:val="001254AF"/>
    <w:rsid w:val="001257EF"/>
    <w:rsid w:val="00126DC5"/>
    <w:rsid w:val="001270A7"/>
    <w:rsid w:val="001270F0"/>
    <w:rsid w:val="0012715E"/>
    <w:rsid w:val="00127447"/>
    <w:rsid w:val="00127601"/>
    <w:rsid w:val="00127755"/>
    <w:rsid w:val="00127D08"/>
    <w:rsid w:val="001301AE"/>
    <w:rsid w:val="00130311"/>
    <w:rsid w:val="0013063F"/>
    <w:rsid w:val="00130C81"/>
    <w:rsid w:val="00130DE7"/>
    <w:rsid w:val="00131C46"/>
    <w:rsid w:val="001340AE"/>
    <w:rsid w:val="001346A0"/>
    <w:rsid w:val="001347F2"/>
    <w:rsid w:val="001355DF"/>
    <w:rsid w:val="0013593E"/>
    <w:rsid w:val="00136121"/>
    <w:rsid w:val="0013657F"/>
    <w:rsid w:val="0013671A"/>
    <w:rsid w:val="00136808"/>
    <w:rsid w:val="00136957"/>
    <w:rsid w:val="00137082"/>
    <w:rsid w:val="00137231"/>
    <w:rsid w:val="001374DE"/>
    <w:rsid w:val="00140257"/>
    <w:rsid w:val="00140664"/>
    <w:rsid w:val="001408D2"/>
    <w:rsid w:val="00140C02"/>
    <w:rsid w:val="00143B36"/>
    <w:rsid w:val="00143F43"/>
    <w:rsid w:val="00144088"/>
    <w:rsid w:val="001453A9"/>
    <w:rsid w:val="0014577D"/>
    <w:rsid w:val="00146206"/>
    <w:rsid w:val="00146282"/>
    <w:rsid w:val="00147CB0"/>
    <w:rsid w:val="00147D01"/>
    <w:rsid w:val="00147D20"/>
    <w:rsid w:val="00150805"/>
    <w:rsid w:val="00150978"/>
    <w:rsid w:val="00151084"/>
    <w:rsid w:val="0015172A"/>
    <w:rsid w:val="00151EFC"/>
    <w:rsid w:val="0015224E"/>
    <w:rsid w:val="00152511"/>
    <w:rsid w:val="001529B2"/>
    <w:rsid w:val="00152D5E"/>
    <w:rsid w:val="00153846"/>
    <w:rsid w:val="00154558"/>
    <w:rsid w:val="0015493C"/>
    <w:rsid w:val="00154C4E"/>
    <w:rsid w:val="00154D38"/>
    <w:rsid w:val="00154E5F"/>
    <w:rsid w:val="00154F3D"/>
    <w:rsid w:val="00154F92"/>
    <w:rsid w:val="001551A6"/>
    <w:rsid w:val="001557C4"/>
    <w:rsid w:val="00155959"/>
    <w:rsid w:val="001559D1"/>
    <w:rsid w:val="00155DA7"/>
    <w:rsid w:val="00156E81"/>
    <w:rsid w:val="00157EB0"/>
    <w:rsid w:val="00157FBD"/>
    <w:rsid w:val="0016028B"/>
    <w:rsid w:val="0016193D"/>
    <w:rsid w:val="00163552"/>
    <w:rsid w:val="0016391D"/>
    <w:rsid w:val="00164010"/>
    <w:rsid w:val="001641B5"/>
    <w:rsid w:val="001648C7"/>
    <w:rsid w:val="00164B5C"/>
    <w:rsid w:val="00164C57"/>
    <w:rsid w:val="001651FC"/>
    <w:rsid w:val="00165261"/>
    <w:rsid w:val="001654FC"/>
    <w:rsid w:val="00165B7E"/>
    <w:rsid w:val="001662D9"/>
    <w:rsid w:val="00166A12"/>
    <w:rsid w:val="001671EF"/>
    <w:rsid w:val="00167406"/>
    <w:rsid w:val="0016749C"/>
    <w:rsid w:val="00167A23"/>
    <w:rsid w:val="00167D61"/>
    <w:rsid w:val="00167E30"/>
    <w:rsid w:val="001703C9"/>
    <w:rsid w:val="001711A5"/>
    <w:rsid w:val="001713A0"/>
    <w:rsid w:val="00172348"/>
    <w:rsid w:val="00172B28"/>
    <w:rsid w:val="001738AF"/>
    <w:rsid w:val="00173EC0"/>
    <w:rsid w:val="00174313"/>
    <w:rsid w:val="00174D92"/>
    <w:rsid w:val="00174E8D"/>
    <w:rsid w:val="0017628D"/>
    <w:rsid w:val="0017695F"/>
    <w:rsid w:val="00176AFF"/>
    <w:rsid w:val="00176B97"/>
    <w:rsid w:val="00176E90"/>
    <w:rsid w:val="00177350"/>
    <w:rsid w:val="001779E8"/>
    <w:rsid w:val="00177C60"/>
    <w:rsid w:val="0018095A"/>
    <w:rsid w:val="00181199"/>
    <w:rsid w:val="001812DB"/>
    <w:rsid w:val="001816B2"/>
    <w:rsid w:val="001816BC"/>
    <w:rsid w:val="00181DFD"/>
    <w:rsid w:val="00181E44"/>
    <w:rsid w:val="00181F57"/>
    <w:rsid w:val="00182046"/>
    <w:rsid w:val="00182C3C"/>
    <w:rsid w:val="00182EBE"/>
    <w:rsid w:val="00183442"/>
    <w:rsid w:val="001837AB"/>
    <w:rsid w:val="00183EE3"/>
    <w:rsid w:val="00184B25"/>
    <w:rsid w:val="00184E7C"/>
    <w:rsid w:val="00185A97"/>
    <w:rsid w:val="00185B97"/>
    <w:rsid w:val="00186096"/>
    <w:rsid w:val="0018641A"/>
    <w:rsid w:val="001865B3"/>
    <w:rsid w:val="00186611"/>
    <w:rsid w:val="001872ED"/>
    <w:rsid w:val="00187E92"/>
    <w:rsid w:val="00190586"/>
    <w:rsid w:val="00190DBD"/>
    <w:rsid w:val="0019184E"/>
    <w:rsid w:val="00191F9B"/>
    <w:rsid w:val="00193261"/>
    <w:rsid w:val="0019333E"/>
    <w:rsid w:val="00194027"/>
    <w:rsid w:val="001945F2"/>
    <w:rsid w:val="0019526D"/>
    <w:rsid w:val="0019530C"/>
    <w:rsid w:val="001956C5"/>
    <w:rsid w:val="00195F5B"/>
    <w:rsid w:val="001960F8"/>
    <w:rsid w:val="001967A0"/>
    <w:rsid w:val="0019684D"/>
    <w:rsid w:val="001968D3"/>
    <w:rsid w:val="0019705E"/>
    <w:rsid w:val="001A074A"/>
    <w:rsid w:val="001A123E"/>
    <w:rsid w:val="001A199F"/>
    <w:rsid w:val="001A2867"/>
    <w:rsid w:val="001A3E2E"/>
    <w:rsid w:val="001A4448"/>
    <w:rsid w:val="001A45D7"/>
    <w:rsid w:val="001A5A18"/>
    <w:rsid w:val="001A65B3"/>
    <w:rsid w:val="001A67E2"/>
    <w:rsid w:val="001A7EB5"/>
    <w:rsid w:val="001A7FF2"/>
    <w:rsid w:val="001B05B6"/>
    <w:rsid w:val="001B0D33"/>
    <w:rsid w:val="001B1659"/>
    <w:rsid w:val="001B206E"/>
    <w:rsid w:val="001B3C87"/>
    <w:rsid w:val="001B4267"/>
    <w:rsid w:val="001B42E0"/>
    <w:rsid w:val="001B4454"/>
    <w:rsid w:val="001B4A31"/>
    <w:rsid w:val="001B4A67"/>
    <w:rsid w:val="001B4EC9"/>
    <w:rsid w:val="001B50CB"/>
    <w:rsid w:val="001B5582"/>
    <w:rsid w:val="001B5615"/>
    <w:rsid w:val="001B5EF1"/>
    <w:rsid w:val="001B60F7"/>
    <w:rsid w:val="001B62A5"/>
    <w:rsid w:val="001B6926"/>
    <w:rsid w:val="001B6B5C"/>
    <w:rsid w:val="001B7197"/>
    <w:rsid w:val="001B72A4"/>
    <w:rsid w:val="001B794F"/>
    <w:rsid w:val="001C00F3"/>
    <w:rsid w:val="001C0295"/>
    <w:rsid w:val="001C0537"/>
    <w:rsid w:val="001C0558"/>
    <w:rsid w:val="001C09AF"/>
    <w:rsid w:val="001C0A38"/>
    <w:rsid w:val="001C0F1B"/>
    <w:rsid w:val="001C1479"/>
    <w:rsid w:val="001C1574"/>
    <w:rsid w:val="001C1581"/>
    <w:rsid w:val="001C1A1B"/>
    <w:rsid w:val="001C1E7F"/>
    <w:rsid w:val="001C20C2"/>
    <w:rsid w:val="001C2AEE"/>
    <w:rsid w:val="001C2F36"/>
    <w:rsid w:val="001C3503"/>
    <w:rsid w:val="001C3C61"/>
    <w:rsid w:val="001C47C4"/>
    <w:rsid w:val="001C5446"/>
    <w:rsid w:val="001C5728"/>
    <w:rsid w:val="001C5802"/>
    <w:rsid w:val="001C5A73"/>
    <w:rsid w:val="001C668B"/>
    <w:rsid w:val="001C6EA8"/>
    <w:rsid w:val="001C77C9"/>
    <w:rsid w:val="001D07C6"/>
    <w:rsid w:val="001D0B2F"/>
    <w:rsid w:val="001D0C31"/>
    <w:rsid w:val="001D126A"/>
    <w:rsid w:val="001D136D"/>
    <w:rsid w:val="001D1394"/>
    <w:rsid w:val="001D13D7"/>
    <w:rsid w:val="001D17E0"/>
    <w:rsid w:val="001D1E1C"/>
    <w:rsid w:val="001D23F5"/>
    <w:rsid w:val="001D25D7"/>
    <w:rsid w:val="001D2681"/>
    <w:rsid w:val="001D26F0"/>
    <w:rsid w:val="001D3102"/>
    <w:rsid w:val="001D362F"/>
    <w:rsid w:val="001D3AB0"/>
    <w:rsid w:val="001D3C40"/>
    <w:rsid w:val="001D3D82"/>
    <w:rsid w:val="001D434F"/>
    <w:rsid w:val="001D4368"/>
    <w:rsid w:val="001D5037"/>
    <w:rsid w:val="001D533F"/>
    <w:rsid w:val="001D545C"/>
    <w:rsid w:val="001D5AE1"/>
    <w:rsid w:val="001D5B87"/>
    <w:rsid w:val="001D5C31"/>
    <w:rsid w:val="001D6761"/>
    <w:rsid w:val="001D73E8"/>
    <w:rsid w:val="001D7888"/>
    <w:rsid w:val="001D7C38"/>
    <w:rsid w:val="001D7D61"/>
    <w:rsid w:val="001E121F"/>
    <w:rsid w:val="001E15CA"/>
    <w:rsid w:val="001E28DA"/>
    <w:rsid w:val="001E31F7"/>
    <w:rsid w:val="001E3A8A"/>
    <w:rsid w:val="001E452B"/>
    <w:rsid w:val="001E4741"/>
    <w:rsid w:val="001E4AC1"/>
    <w:rsid w:val="001E4EC5"/>
    <w:rsid w:val="001E4F16"/>
    <w:rsid w:val="001E579F"/>
    <w:rsid w:val="001E6708"/>
    <w:rsid w:val="001E70FE"/>
    <w:rsid w:val="001E760C"/>
    <w:rsid w:val="001E764A"/>
    <w:rsid w:val="001E78B2"/>
    <w:rsid w:val="001F05DF"/>
    <w:rsid w:val="001F0AD1"/>
    <w:rsid w:val="001F0EE4"/>
    <w:rsid w:val="001F11EE"/>
    <w:rsid w:val="001F16A0"/>
    <w:rsid w:val="001F1765"/>
    <w:rsid w:val="001F18CB"/>
    <w:rsid w:val="001F19C2"/>
    <w:rsid w:val="001F1BDB"/>
    <w:rsid w:val="001F284E"/>
    <w:rsid w:val="001F35DB"/>
    <w:rsid w:val="001F3C35"/>
    <w:rsid w:val="001F421E"/>
    <w:rsid w:val="001F44B7"/>
    <w:rsid w:val="001F4875"/>
    <w:rsid w:val="001F49C5"/>
    <w:rsid w:val="001F49DB"/>
    <w:rsid w:val="001F5A18"/>
    <w:rsid w:val="001F6738"/>
    <w:rsid w:val="001F6C5F"/>
    <w:rsid w:val="001F6F01"/>
    <w:rsid w:val="001F7AAA"/>
    <w:rsid w:val="001F7B1D"/>
    <w:rsid w:val="0020010B"/>
    <w:rsid w:val="00200C59"/>
    <w:rsid w:val="00200E11"/>
    <w:rsid w:val="002018A4"/>
    <w:rsid w:val="00201931"/>
    <w:rsid w:val="00201B3F"/>
    <w:rsid w:val="00202238"/>
    <w:rsid w:val="00202F6E"/>
    <w:rsid w:val="0020314B"/>
    <w:rsid w:val="002036F0"/>
    <w:rsid w:val="002038B9"/>
    <w:rsid w:val="00203B0E"/>
    <w:rsid w:val="002041F5"/>
    <w:rsid w:val="00204893"/>
    <w:rsid w:val="00204E6C"/>
    <w:rsid w:val="00205E3D"/>
    <w:rsid w:val="00206593"/>
    <w:rsid w:val="00206D1E"/>
    <w:rsid w:val="00206EC9"/>
    <w:rsid w:val="0020717B"/>
    <w:rsid w:val="00207469"/>
    <w:rsid w:val="00207474"/>
    <w:rsid w:val="002078CD"/>
    <w:rsid w:val="00210550"/>
    <w:rsid w:val="002107DC"/>
    <w:rsid w:val="00210A53"/>
    <w:rsid w:val="00210A56"/>
    <w:rsid w:val="00210FE5"/>
    <w:rsid w:val="00211CCD"/>
    <w:rsid w:val="002121D9"/>
    <w:rsid w:val="00212520"/>
    <w:rsid w:val="00212577"/>
    <w:rsid w:val="002125F3"/>
    <w:rsid w:val="002127BC"/>
    <w:rsid w:val="00212B8D"/>
    <w:rsid w:val="00213933"/>
    <w:rsid w:val="002148B4"/>
    <w:rsid w:val="00214994"/>
    <w:rsid w:val="002151AB"/>
    <w:rsid w:val="00215BC7"/>
    <w:rsid w:val="00215C62"/>
    <w:rsid w:val="00216713"/>
    <w:rsid w:val="0021678E"/>
    <w:rsid w:val="002168AD"/>
    <w:rsid w:val="002169A5"/>
    <w:rsid w:val="00217411"/>
    <w:rsid w:val="00220E8B"/>
    <w:rsid w:val="002215F9"/>
    <w:rsid w:val="0022178C"/>
    <w:rsid w:val="00221A9F"/>
    <w:rsid w:val="0022211B"/>
    <w:rsid w:val="0022230F"/>
    <w:rsid w:val="00222573"/>
    <w:rsid w:val="00222697"/>
    <w:rsid w:val="00222AE8"/>
    <w:rsid w:val="00222F3E"/>
    <w:rsid w:val="00223163"/>
    <w:rsid w:val="0022325F"/>
    <w:rsid w:val="00223289"/>
    <w:rsid w:val="0022478A"/>
    <w:rsid w:val="002249C5"/>
    <w:rsid w:val="00224BE7"/>
    <w:rsid w:val="00224F48"/>
    <w:rsid w:val="00226235"/>
    <w:rsid w:val="00226860"/>
    <w:rsid w:val="002269DC"/>
    <w:rsid w:val="00227CAC"/>
    <w:rsid w:val="00227ECF"/>
    <w:rsid w:val="00230254"/>
    <w:rsid w:val="00230BE9"/>
    <w:rsid w:val="00230F52"/>
    <w:rsid w:val="00230F71"/>
    <w:rsid w:val="00231886"/>
    <w:rsid w:val="0023218A"/>
    <w:rsid w:val="002325AD"/>
    <w:rsid w:val="0023296A"/>
    <w:rsid w:val="00233D1A"/>
    <w:rsid w:val="00234ABC"/>
    <w:rsid w:val="00236B90"/>
    <w:rsid w:val="00236C05"/>
    <w:rsid w:val="00236C5D"/>
    <w:rsid w:val="00236D63"/>
    <w:rsid w:val="00236EEE"/>
    <w:rsid w:val="002376AD"/>
    <w:rsid w:val="00237A16"/>
    <w:rsid w:val="00237C60"/>
    <w:rsid w:val="00237FAB"/>
    <w:rsid w:val="00240B2D"/>
    <w:rsid w:val="00240D0D"/>
    <w:rsid w:val="00241014"/>
    <w:rsid w:val="002413A7"/>
    <w:rsid w:val="002419ED"/>
    <w:rsid w:val="00241C08"/>
    <w:rsid w:val="00242DB5"/>
    <w:rsid w:val="00243705"/>
    <w:rsid w:val="002442E9"/>
    <w:rsid w:val="00244D7B"/>
    <w:rsid w:val="00244F2B"/>
    <w:rsid w:val="002454C6"/>
    <w:rsid w:val="00245A66"/>
    <w:rsid w:val="002462BD"/>
    <w:rsid w:val="00246A89"/>
    <w:rsid w:val="00247570"/>
    <w:rsid w:val="00247836"/>
    <w:rsid w:val="002478F0"/>
    <w:rsid w:val="00250575"/>
    <w:rsid w:val="00250972"/>
    <w:rsid w:val="00250AE8"/>
    <w:rsid w:val="00250C29"/>
    <w:rsid w:val="00250F37"/>
    <w:rsid w:val="002516E5"/>
    <w:rsid w:val="00251E6E"/>
    <w:rsid w:val="00252B6F"/>
    <w:rsid w:val="0025370B"/>
    <w:rsid w:val="00253C0D"/>
    <w:rsid w:val="00253C8B"/>
    <w:rsid w:val="00254786"/>
    <w:rsid w:val="0025497F"/>
    <w:rsid w:val="00256538"/>
    <w:rsid w:val="00256ACB"/>
    <w:rsid w:val="00257170"/>
    <w:rsid w:val="00257AAA"/>
    <w:rsid w:val="002604F4"/>
    <w:rsid w:val="00260FFD"/>
    <w:rsid w:val="002610DE"/>
    <w:rsid w:val="00261491"/>
    <w:rsid w:val="0026151B"/>
    <w:rsid w:val="00261BA3"/>
    <w:rsid w:val="00261C56"/>
    <w:rsid w:val="00261C6F"/>
    <w:rsid w:val="00262E73"/>
    <w:rsid w:val="00262EEA"/>
    <w:rsid w:val="00262F7F"/>
    <w:rsid w:val="00263A40"/>
    <w:rsid w:val="0026420E"/>
    <w:rsid w:val="00264764"/>
    <w:rsid w:val="00264F27"/>
    <w:rsid w:val="002659F4"/>
    <w:rsid w:val="00265A32"/>
    <w:rsid w:val="00265D78"/>
    <w:rsid w:val="00265DF1"/>
    <w:rsid w:val="0026697C"/>
    <w:rsid w:val="0027014F"/>
    <w:rsid w:val="00270B4A"/>
    <w:rsid w:val="002711A9"/>
    <w:rsid w:val="002715F1"/>
    <w:rsid w:val="0027225E"/>
    <w:rsid w:val="00272871"/>
    <w:rsid w:val="00272CD5"/>
    <w:rsid w:val="002732EF"/>
    <w:rsid w:val="00274630"/>
    <w:rsid w:val="002754E6"/>
    <w:rsid w:val="00275A12"/>
    <w:rsid w:val="00275D72"/>
    <w:rsid w:val="00275F95"/>
    <w:rsid w:val="002763EC"/>
    <w:rsid w:val="002765A1"/>
    <w:rsid w:val="00277B42"/>
    <w:rsid w:val="00280A75"/>
    <w:rsid w:val="00280D6B"/>
    <w:rsid w:val="00280E76"/>
    <w:rsid w:val="002811F8"/>
    <w:rsid w:val="00281462"/>
    <w:rsid w:val="00281C48"/>
    <w:rsid w:val="002825D1"/>
    <w:rsid w:val="00283181"/>
    <w:rsid w:val="0028327B"/>
    <w:rsid w:val="00283362"/>
    <w:rsid w:val="00284278"/>
    <w:rsid w:val="00284CE8"/>
    <w:rsid w:val="00284EF9"/>
    <w:rsid w:val="0028579F"/>
    <w:rsid w:val="00285A62"/>
    <w:rsid w:val="002862B3"/>
    <w:rsid w:val="00286777"/>
    <w:rsid w:val="00286B70"/>
    <w:rsid w:val="00287468"/>
    <w:rsid w:val="00287F70"/>
    <w:rsid w:val="0029096B"/>
    <w:rsid w:val="00291346"/>
    <w:rsid w:val="0029184B"/>
    <w:rsid w:val="00291B0F"/>
    <w:rsid w:val="00291CBA"/>
    <w:rsid w:val="0029256B"/>
    <w:rsid w:val="00292640"/>
    <w:rsid w:val="00292D59"/>
    <w:rsid w:val="0029439B"/>
    <w:rsid w:val="002947B9"/>
    <w:rsid w:val="00295E5E"/>
    <w:rsid w:val="0029606B"/>
    <w:rsid w:val="00296242"/>
    <w:rsid w:val="00296413"/>
    <w:rsid w:val="00296443"/>
    <w:rsid w:val="00296C47"/>
    <w:rsid w:val="00296CCE"/>
    <w:rsid w:val="002974E0"/>
    <w:rsid w:val="002976BA"/>
    <w:rsid w:val="0029784F"/>
    <w:rsid w:val="00297B1D"/>
    <w:rsid w:val="002A009A"/>
    <w:rsid w:val="002A114E"/>
    <w:rsid w:val="002A1466"/>
    <w:rsid w:val="002A14B2"/>
    <w:rsid w:val="002A1BD4"/>
    <w:rsid w:val="002A1F0A"/>
    <w:rsid w:val="002A2CF4"/>
    <w:rsid w:val="002A2D9E"/>
    <w:rsid w:val="002A3836"/>
    <w:rsid w:val="002A3BF0"/>
    <w:rsid w:val="002A3FD2"/>
    <w:rsid w:val="002A5C71"/>
    <w:rsid w:val="002A6850"/>
    <w:rsid w:val="002A6B65"/>
    <w:rsid w:val="002A6BD7"/>
    <w:rsid w:val="002A6D5A"/>
    <w:rsid w:val="002A722B"/>
    <w:rsid w:val="002A791D"/>
    <w:rsid w:val="002A79C4"/>
    <w:rsid w:val="002B07C0"/>
    <w:rsid w:val="002B0BAB"/>
    <w:rsid w:val="002B10E0"/>
    <w:rsid w:val="002B1649"/>
    <w:rsid w:val="002B1708"/>
    <w:rsid w:val="002B1D20"/>
    <w:rsid w:val="002B2126"/>
    <w:rsid w:val="002B24A1"/>
    <w:rsid w:val="002B31AA"/>
    <w:rsid w:val="002B3220"/>
    <w:rsid w:val="002B329B"/>
    <w:rsid w:val="002B3641"/>
    <w:rsid w:val="002B38D0"/>
    <w:rsid w:val="002B3F67"/>
    <w:rsid w:val="002B445D"/>
    <w:rsid w:val="002B45F2"/>
    <w:rsid w:val="002B493E"/>
    <w:rsid w:val="002B4F87"/>
    <w:rsid w:val="002B616B"/>
    <w:rsid w:val="002B69CA"/>
    <w:rsid w:val="002B756F"/>
    <w:rsid w:val="002C0174"/>
    <w:rsid w:val="002C050A"/>
    <w:rsid w:val="002C0EAC"/>
    <w:rsid w:val="002C1220"/>
    <w:rsid w:val="002C1C43"/>
    <w:rsid w:val="002C2750"/>
    <w:rsid w:val="002C2B2D"/>
    <w:rsid w:val="002C3036"/>
    <w:rsid w:val="002C324D"/>
    <w:rsid w:val="002C395F"/>
    <w:rsid w:val="002C39D5"/>
    <w:rsid w:val="002C3A9E"/>
    <w:rsid w:val="002C446A"/>
    <w:rsid w:val="002C44BD"/>
    <w:rsid w:val="002C44BF"/>
    <w:rsid w:val="002C4942"/>
    <w:rsid w:val="002C4A18"/>
    <w:rsid w:val="002C565E"/>
    <w:rsid w:val="002C59F0"/>
    <w:rsid w:val="002C5D0B"/>
    <w:rsid w:val="002C6057"/>
    <w:rsid w:val="002C6B68"/>
    <w:rsid w:val="002C6ED6"/>
    <w:rsid w:val="002C71F7"/>
    <w:rsid w:val="002C727E"/>
    <w:rsid w:val="002D0099"/>
    <w:rsid w:val="002D0FB4"/>
    <w:rsid w:val="002D1252"/>
    <w:rsid w:val="002D14BB"/>
    <w:rsid w:val="002D16BA"/>
    <w:rsid w:val="002D18FD"/>
    <w:rsid w:val="002D29F5"/>
    <w:rsid w:val="002D3DC6"/>
    <w:rsid w:val="002D41F3"/>
    <w:rsid w:val="002D4A15"/>
    <w:rsid w:val="002D4A6E"/>
    <w:rsid w:val="002D58D1"/>
    <w:rsid w:val="002D5C1B"/>
    <w:rsid w:val="002D6181"/>
    <w:rsid w:val="002D6638"/>
    <w:rsid w:val="002D66C6"/>
    <w:rsid w:val="002D6947"/>
    <w:rsid w:val="002D6AAF"/>
    <w:rsid w:val="002E0297"/>
    <w:rsid w:val="002E0850"/>
    <w:rsid w:val="002E0C02"/>
    <w:rsid w:val="002E1FA9"/>
    <w:rsid w:val="002E2FF7"/>
    <w:rsid w:val="002E3006"/>
    <w:rsid w:val="002E30E5"/>
    <w:rsid w:val="002E45EB"/>
    <w:rsid w:val="002E5164"/>
    <w:rsid w:val="002E58EE"/>
    <w:rsid w:val="002E69E5"/>
    <w:rsid w:val="002E6B2C"/>
    <w:rsid w:val="002E730E"/>
    <w:rsid w:val="002E7F70"/>
    <w:rsid w:val="002F091D"/>
    <w:rsid w:val="002F0B70"/>
    <w:rsid w:val="002F19CC"/>
    <w:rsid w:val="002F1F86"/>
    <w:rsid w:val="002F1F9B"/>
    <w:rsid w:val="002F2349"/>
    <w:rsid w:val="002F282B"/>
    <w:rsid w:val="002F2A06"/>
    <w:rsid w:val="002F347F"/>
    <w:rsid w:val="002F5321"/>
    <w:rsid w:val="002F5512"/>
    <w:rsid w:val="002F55EE"/>
    <w:rsid w:val="002F562C"/>
    <w:rsid w:val="002F5E18"/>
    <w:rsid w:val="002F62EC"/>
    <w:rsid w:val="002F6479"/>
    <w:rsid w:val="002F6F84"/>
    <w:rsid w:val="002F7161"/>
    <w:rsid w:val="002F7280"/>
    <w:rsid w:val="002F7BBF"/>
    <w:rsid w:val="002F7CD5"/>
    <w:rsid w:val="0030079B"/>
    <w:rsid w:val="00300C0B"/>
    <w:rsid w:val="00300FD4"/>
    <w:rsid w:val="003011AB"/>
    <w:rsid w:val="0030150E"/>
    <w:rsid w:val="00302CAC"/>
    <w:rsid w:val="00302FEE"/>
    <w:rsid w:val="00303161"/>
    <w:rsid w:val="0030372A"/>
    <w:rsid w:val="0030385D"/>
    <w:rsid w:val="00303A22"/>
    <w:rsid w:val="00303F91"/>
    <w:rsid w:val="00304754"/>
    <w:rsid w:val="00304AA2"/>
    <w:rsid w:val="00304E12"/>
    <w:rsid w:val="003050ED"/>
    <w:rsid w:val="003053D7"/>
    <w:rsid w:val="00305B07"/>
    <w:rsid w:val="00305BED"/>
    <w:rsid w:val="00305DF3"/>
    <w:rsid w:val="00306CBC"/>
    <w:rsid w:val="0030789C"/>
    <w:rsid w:val="003079DE"/>
    <w:rsid w:val="00307A35"/>
    <w:rsid w:val="00307C42"/>
    <w:rsid w:val="00307F34"/>
    <w:rsid w:val="003100D6"/>
    <w:rsid w:val="00310840"/>
    <w:rsid w:val="00310DEC"/>
    <w:rsid w:val="0031266C"/>
    <w:rsid w:val="00312775"/>
    <w:rsid w:val="003128CE"/>
    <w:rsid w:val="00313B35"/>
    <w:rsid w:val="00314632"/>
    <w:rsid w:val="0031491F"/>
    <w:rsid w:val="00314E31"/>
    <w:rsid w:val="00314F8A"/>
    <w:rsid w:val="00314FCB"/>
    <w:rsid w:val="00315547"/>
    <w:rsid w:val="00315B97"/>
    <w:rsid w:val="0031633E"/>
    <w:rsid w:val="00316608"/>
    <w:rsid w:val="00316EC7"/>
    <w:rsid w:val="0031707D"/>
    <w:rsid w:val="00317457"/>
    <w:rsid w:val="00317C3B"/>
    <w:rsid w:val="00317F02"/>
    <w:rsid w:val="0032016A"/>
    <w:rsid w:val="00320EB9"/>
    <w:rsid w:val="00321031"/>
    <w:rsid w:val="0032138E"/>
    <w:rsid w:val="003216E5"/>
    <w:rsid w:val="00321D5A"/>
    <w:rsid w:val="003221A2"/>
    <w:rsid w:val="0032251A"/>
    <w:rsid w:val="00322DBD"/>
    <w:rsid w:val="00323598"/>
    <w:rsid w:val="00323C5F"/>
    <w:rsid w:val="0032475A"/>
    <w:rsid w:val="00324EE3"/>
    <w:rsid w:val="0032527B"/>
    <w:rsid w:val="003253E2"/>
    <w:rsid w:val="0032611F"/>
    <w:rsid w:val="003269DF"/>
    <w:rsid w:val="00327FEF"/>
    <w:rsid w:val="003305FD"/>
    <w:rsid w:val="00330741"/>
    <w:rsid w:val="00331783"/>
    <w:rsid w:val="0033179A"/>
    <w:rsid w:val="003324C1"/>
    <w:rsid w:val="0033289D"/>
    <w:rsid w:val="0033343F"/>
    <w:rsid w:val="0033366E"/>
    <w:rsid w:val="00333AD9"/>
    <w:rsid w:val="003344D1"/>
    <w:rsid w:val="00334AD5"/>
    <w:rsid w:val="00334B19"/>
    <w:rsid w:val="00334FE3"/>
    <w:rsid w:val="003356BF"/>
    <w:rsid w:val="0033571B"/>
    <w:rsid w:val="00335B0A"/>
    <w:rsid w:val="00335E0B"/>
    <w:rsid w:val="00336C28"/>
    <w:rsid w:val="00336DEC"/>
    <w:rsid w:val="00340C0E"/>
    <w:rsid w:val="00340E51"/>
    <w:rsid w:val="0034183A"/>
    <w:rsid w:val="00341BD8"/>
    <w:rsid w:val="00342009"/>
    <w:rsid w:val="00342768"/>
    <w:rsid w:val="00342BAF"/>
    <w:rsid w:val="00342EB5"/>
    <w:rsid w:val="003435F6"/>
    <w:rsid w:val="00343758"/>
    <w:rsid w:val="00343A45"/>
    <w:rsid w:val="00343C42"/>
    <w:rsid w:val="00343EB5"/>
    <w:rsid w:val="00344201"/>
    <w:rsid w:val="00344A94"/>
    <w:rsid w:val="00345669"/>
    <w:rsid w:val="003456A3"/>
    <w:rsid w:val="00345994"/>
    <w:rsid w:val="00347367"/>
    <w:rsid w:val="0034743E"/>
    <w:rsid w:val="00347504"/>
    <w:rsid w:val="00347518"/>
    <w:rsid w:val="003475EB"/>
    <w:rsid w:val="0034773B"/>
    <w:rsid w:val="00347783"/>
    <w:rsid w:val="003479F1"/>
    <w:rsid w:val="00347A79"/>
    <w:rsid w:val="00347A80"/>
    <w:rsid w:val="00350779"/>
    <w:rsid w:val="00350C8B"/>
    <w:rsid w:val="00350F4F"/>
    <w:rsid w:val="0035175B"/>
    <w:rsid w:val="00352370"/>
    <w:rsid w:val="003523D1"/>
    <w:rsid w:val="003524CA"/>
    <w:rsid w:val="0035258E"/>
    <w:rsid w:val="00352AF6"/>
    <w:rsid w:val="00352D32"/>
    <w:rsid w:val="00353271"/>
    <w:rsid w:val="003546B8"/>
    <w:rsid w:val="003547CA"/>
    <w:rsid w:val="00354A90"/>
    <w:rsid w:val="00354FEB"/>
    <w:rsid w:val="003550C3"/>
    <w:rsid w:val="0035525C"/>
    <w:rsid w:val="003552C5"/>
    <w:rsid w:val="00355408"/>
    <w:rsid w:val="00355CF1"/>
    <w:rsid w:val="00355D1F"/>
    <w:rsid w:val="003571D5"/>
    <w:rsid w:val="00357431"/>
    <w:rsid w:val="003574AB"/>
    <w:rsid w:val="003575F4"/>
    <w:rsid w:val="003600EE"/>
    <w:rsid w:val="003610B5"/>
    <w:rsid w:val="00361BED"/>
    <w:rsid w:val="00361EE2"/>
    <w:rsid w:val="00364771"/>
    <w:rsid w:val="0036488C"/>
    <w:rsid w:val="00364DE2"/>
    <w:rsid w:val="0036513A"/>
    <w:rsid w:val="003651F5"/>
    <w:rsid w:val="003651F7"/>
    <w:rsid w:val="003653E2"/>
    <w:rsid w:val="0036584F"/>
    <w:rsid w:val="00365EF2"/>
    <w:rsid w:val="00366AED"/>
    <w:rsid w:val="00367168"/>
    <w:rsid w:val="00367EB8"/>
    <w:rsid w:val="00370B3D"/>
    <w:rsid w:val="003710BF"/>
    <w:rsid w:val="00371240"/>
    <w:rsid w:val="003712A7"/>
    <w:rsid w:val="003713F1"/>
    <w:rsid w:val="00371668"/>
    <w:rsid w:val="00371B2A"/>
    <w:rsid w:val="00371B6A"/>
    <w:rsid w:val="00372227"/>
    <w:rsid w:val="003731FE"/>
    <w:rsid w:val="00373372"/>
    <w:rsid w:val="0037423B"/>
    <w:rsid w:val="003744BF"/>
    <w:rsid w:val="00374AB8"/>
    <w:rsid w:val="00374AF1"/>
    <w:rsid w:val="0037518D"/>
    <w:rsid w:val="003751C1"/>
    <w:rsid w:val="00375315"/>
    <w:rsid w:val="0037549D"/>
    <w:rsid w:val="00375545"/>
    <w:rsid w:val="003756D6"/>
    <w:rsid w:val="00375E2D"/>
    <w:rsid w:val="003763E2"/>
    <w:rsid w:val="00376850"/>
    <w:rsid w:val="00376EDD"/>
    <w:rsid w:val="00380285"/>
    <w:rsid w:val="00380962"/>
    <w:rsid w:val="00380974"/>
    <w:rsid w:val="00381930"/>
    <w:rsid w:val="00381EB3"/>
    <w:rsid w:val="00381FAE"/>
    <w:rsid w:val="00382D31"/>
    <w:rsid w:val="00383B4B"/>
    <w:rsid w:val="00384242"/>
    <w:rsid w:val="0038451B"/>
    <w:rsid w:val="0038454C"/>
    <w:rsid w:val="00384A53"/>
    <w:rsid w:val="00384BD2"/>
    <w:rsid w:val="003852FF"/>
    <w:rsid w:val="003854AD"/>
    <w:rsid w:val="003857AE"/>
    <w:rsid w:val="003858D9"/>
    <w:rsid w:val="003858F8"/>
    <w:rsid w:val="00385A6F"/>
    <w:rsid w:val="00386A4E"/>
    <w:rsid w:val="00386BE7"/>
    <w:rsid w:val="00386D86"/>
    <w:rsid w:val="00387662"/>
    <w:rsid w:val="0039014F"/>
    <w:rsid w:val="003909DE"/>
    <w:rsid w:val="00390A58"/>
    <w:rsid w:val="00390D9E"/>
    <w:rsid w:val="003913E5"/>
    <w:rsid w:val="00391978"/>
    <w:rsid w:val="003925DB"/>
    <w:rsid w:val="00392A74"/>
    <w:rsid w:val="00392E49"/>
    <w:rsid w:val="003934DB"/>
    <w:rsid w:val="00393B99"/>
    <w:rsid w:val="00393BB2"/>
    <w:rsid w:val="00394129"/>
    <w:rsid w:val="00394512"/>
    <w:rsid w:val="003946E9"/>
    <w:rsid w:val="003947E6"/>
    <w:rsid w:val="0039590D"/>
    <w:rsid w:val="00396BB8"/>
    <w:rsid w:val="003977D5"/>
    <w:rsid w:val="003A09AD"/>
    <w:rsid w:val="003A0BEA"/>
    <w:rsid w:val="003A0F23"/>
    <w:rsid w:val="003A1BD0"/>
    <w:rsid w:val="003A1CDA"/>
    <w:rsid w:val="003A201D"/>
    <w:rsid w:val="003A2941"/>
    <w:rsid w:val="003A299C"/>
    <w:rsid w:val="003A3AC7"/>
    <w:rsid w:val="003A3BE0"/>
    <w:rsid w:val="003A426C"/>
    <w:rsid w:val="003A4380"/>
    <w:rsid w:val="003A4482"/>
    <w:rsid w:val="003A48ED"/>
    <w:rsid w:val="003A4E0C"/>
    <w:rsid w:val="003A5094"/>
    <w:rsid w:val="003A6065"/>
    <w:rsid w:val="003A691A"/>
    <w:rsid w:val="003A746D"/>
    <w:rsid w:val="003A752F"/>
    <w:rsid w:val="003B0042"/>
    <w:rsid w:val="003B0370"/>
    <w:rsid w:val="003B161F"/>
    <w:rsid w:val="003B1A18"/>
    <w:rsid w:val="003B1A33"/>
    <w:rsid w:val="003B2032"/>
    <w:rsid w:val="003B258F"/>
    <w:rsid w:val="003B2900"/>
    <w:rsid w:val="003B2F83"/>
    <w:rsid w:val="003B322B"/>
    <w:rsid w:val="003B372F"/>
    <w:rsid w:val="003B3739"/>
    <w:rsid w:val="003B37AB"/>
    <w:rsid w:val="003B3B60"/>
    <w:rsid w:val="003B4BF7"/>
    <w:rsid w:val="003B52F6"/>
    <w:rsid w:val="003B53E7"/>
    <w:rsid w:val="003B5512"/>
    <w:rsid w:val="003B5785"/>
    <w:rsid w:val="003B590B"/>
    <w:rsid w:val="003B5972"/>
    <w:rsid w:val="003B5D7A"/>
    <w:rsid w:val="003B5E39"/>
    <w:rsid w:val="003B60F0"/>
    <w:rsid w:val="003B621A"/>
    <w:rsid w:val="003B71B0"/>
    <w:rsid w:val="003B7827"/>
    <w:rsid w:val="003B784F"/>
    <w:rsid w:val="003B7D4E"/>
    <w:rsid w:val="003C00E6"/>
    <w:rsid w:val="003C0CF5"/>
    <w:rsid w:val="003C1195"/>
    <w:rsid w:val="003C145A"/>
    <w:rsid w:val="003C177C"/>
    <w:rsid w:val="003C1C72"/>
    <w:rsid w:val="003C1E26"/>
    <w:rsid w:val="003C2234"/>
    <w:rsid w:val="003C4670"/>
    <w:rsid w:val="003C49B2"/>
    <w:rsid w:val="003C4CE3"/>
    <w:rsid w:val="003C4E00"/>
    <w:rsid w:val="003C52CB"/>
    <w:rsid w:val="003C54B5"/>
    <w:rsid w:val="003C6123"/>
    <w:rsid w:val="003C61D5"/>
    <w:rsid w:val="003C6F53"/>
    <w:rsid w:val="003C7041"/>
    <w:rsid w:val="003C7062"/>
    <w:rsid w:val="003D0614"/>
    <w:rsid w:val="003D0954"/>
    <w:rsid w:val="003D1092"/>
    <w:rsid w:val="003D1321"/>
    <w:rsid w:val="003D1470"/>
    <w:rsid w:val="003D1A69"/>
    <w:rsid w:val="003D1DA2"/>
    <w:rsid w:val="003D23FE"/>
    <w:rsid w:val="003D2493"/>
    <w:rsid w:val="003D2881"/>
    <w:rsid w:val="003D2906"/>
    <w:rsid w:val="003D3145"/>
    <w:rsid w:val="003D3931"/>
    <w:rsid w:val="003D40F6"/>
    <w:rsid w:val="003D4147"/>
    <w:rsid w:val="003D4582"/>
    <w:rsid w:val="003D48DC"/>
    <w:rsid w:val="003D4CDC"/>
    <w:rsid w:val="003D4E5E"/>
    <w:rsid w:val="003D5C37"/>
    <w:rsid w:val="003D5E8B"/>
    <w:rsid w:val="003D6354"/>
    <w:rsid w:val="003D641C"/>
    <w:rsid w:val="003D6A6B"/>
    <w:rsid w:val="003D6C42"/>
    <w:rsid w:val="003D6FC8"/>
    <w:rsid w:val="003E016F"/>
    <w:rsid w:val="003E04CA"/>
    <w:rsid w:val="003E098B"/>
    <w:rsid w:val="003E0A5F"/>
    <w:rsid w:val="003E0FBD"/>
    <w:rsid w:val="003E1818"/>
    <w:rsid w:val="003E1943"/>
    <w:rsid w:val="003E2765"/>
    <w:rsid w:val="003E2A17"/>
    <w:rsid w:val="003E3470"/>
    <w:rsid w:val="003E34AF"/>
    <w:rsid w:val="003E36F7"/>
    <w:rsid w:val="003E409A"/>
    <w:rsid w:val="003E4992"/>
    <w:rsid w:val="003E582F"/>
    <w:rsid w:val="003E5FF3"/>
    <w:rsid w:val="003E777A"/>
    <w:rsid w:val="003E7A03"/>
    <w:rsid w:val="003E7B69"/>
    <w:rsid w:val="003F0A47"/>
    <w:rsid w:val="003F0AAE"/>
    <w:rsid w:val="003F0FBA"/>
    <w:rsid w:val="003F112A"/>
    <w:rsid w:val="003F18AA"/>
    <w:rsid w:val="003F2260"/>
    <w:rsid w:val="003F2A99"/>
    <w:rsid w:val="003F2D11"/>
    <w:rsid w:val="003F40F7"/>
    <w:rsid w:val="003F411E"/>
    <w:rsid w:val="003F4943"/>
    <w:rsid w:val="003F4BDE"/>
    <w:rsid w:val="003F62FC"/>
    <w:rsid w:val="003F63FC"/>
    <w:rsid w:val="003F64BC"/>
    <w:rsid w:val="003F678D"/>
    <w:rsid w:val="003F68EC"/>
    <w:rsid w:val="003F6F3F"/>
    <w:rsid w:val="003F760F"/>
    <w:rsid w:val="00400856"/>
    <w:rsid w:val="00400A12"/>
    <w:rsid w:val="004019E1"/>
    <w:rsid w:val="00401B85"/>
    <w:rsid w:val="00402034"/>
    <w:rsid w:val="00402191"/>
    <w:rsid w:val="00402619"/>
    <w:rsid w:val="00402969"/>
    <w:rsid w:val="00402C1D"/>
    <w:rsid w:val="0040316A"/>
    <w:rsid w:val="004035B4"/>
    <w:rsid w:val="00403806"/>
    <w:rsid w:val="00403F4D"/>
    <w:rsid w:val="004048BA"/>
    <w:rsid w:val="00404CF1"/>
    <w:rsid w:val="00404E9F"/>
    <w:rsid w:val="00405A07"/>
    <w:rsid w:val="00405ACD"/>
    <w:rsid w:val="004061E3"/>
    <w:rsid w:val="00406279"/>
    <w:rsid w:val="004064CF"/>
    <w:rsid w:val="00406617"/>
    <w:rsid w:val="00406771"/>
    <w:rsid w:val="00406B8E"/>
    <w:rsid w:val="0040760F"/>
    <w:rsid w:val="0040764D"/>
    <w:rsid w:val="0040764E"/>
    <w:rsid w:val="004103AB"/>
    <w:rsid w:val="004107C6"/>
    <w:rsid w:val="0041120E"/>
    <w:rsid w:val="00411586"/>
    <w:rsid w:val="00411BE1"/>
    <w:rsid w:val="00412076"/>
    <w:rsid w:val="004121D8"/>
    <w:rsid w:val="0041265D"/>
    <w:rsid w:val="0041280B"/>
    <w:rsid w:val="00412A9E"/>
    <w:rsid w:val="00412E14"/>
    <w:rsid w:val="00413195"/>
    <w:rsid w:val="0041395F"/>
    <w:rsid w:val="0041435A"/>
    <w:rsid w:val="0041534E"/>
    <w:rsid w:val="004154FB"/>
    <w:rsid w:val="00415505"/>
    <w:rsid w:val="0041680A"/>
    <w:rsid w:val="00417100"/>
    <w:rsid w:val="00417EC2"/>
    <w:rsid w:val="004200D9"/>
    <w:rsid w:val="00420B61"/>
    <w:rsid w:val="00421537"/>
    <w:rsid w:val="004217DE"/>
    <w:rsid w:val="00421961"/>
    <w:rsid w:val="00422733"/>
    <w:rsid w:val="004227A4"/>
    <w:rsid w:val="004228BE"/>
    <w:rsid w:val="00422F2D"/>
    <w:rsid w:val="00423007"/>
    <w:rsid w:val="0042359A"/>
    <w:rsid w:val="00423A80"/>
    <w:rsid w:val="00423C60"/>
    <w:rsid w:val="00424585"/>
    <w:rsid w:val="00424B6A"/>
    <w:rsid w:val="00424EE7"/>
    <w:rsid w:val="00425EB2"/>
    <w:rsid w:val="0042625E"/>
    <w:rsid w:val="004262F6"/>
    <w:rsid w:val="00427094"/>
    <w:rsid w:val="00427639"/>
    <w:rsid w:val="0043066B"/>
    <w:rsid w:val="00430D38"/>
    <w:rsid w:val="00430E5C"/>
    <w:rsid w:val="00430FEB"/>
    <w:rsid w:val="004315D0"/>
    <w:rsid w:val="004316BB"/>
    <w:rsid w:val="00431E88"/>
    <w:rsid w:val="004320D7"/>
    <w:rsid w:val="00432912"/>
    <w:rsid w:val="0043332E"/>
    <w:rsid w:val="00433355"/>
    <w:rsid w:val="004335A1"/>
    <w:rsid w:val="00433662"/>
    <w:rsid w:val="0043417B"/>
    <w:rsid w:val="004344BC"/>
    <w:rsid w:val="004344DA"/>
    <w:rsid w:val="00435B88"/>
    <w:rsid w:val="00436EE9"/>
    <w:rsid w:val="0043725B"/>
    <w:rsid w:val="0043732F"/>
    <w:rsid w:val="0043791D"/>
    <w:rsid w:val="00437B23"/>
    <w:rsid w:val="00437DFC"/>
    <w:rsid w:val="004403C0"/>
    <w:rsid w:val="0044044A"/>
    <w:rsid w:val="004404A1"/>
    <w:rsid w:val="0044110E"/>
    <w:rsid w:val="004416DC"/>
    <w:rsid w:val="0044334D"/>
    <w:rsid w:val="00443E51"/>
    <w:rsid w:val="00444A97"/>
    <w:rsid w:val="00444F01"/>
    <w:rsid w:val="00445A12"/>
    <w:rsid w:val="00446C99"/>
    <w:rsid w:val="00446D35"/>
    <w:rsid w:val="00447675"/>
    <w:rsid w:val="004477A8"/>
    <w:rsid w:val="00447D9E"/>
    <w:rsid w:val="004506F4"/>
    <w:rsid w:val="00450867"/>
    <w:rsid w:val="00450BC2"/>
    <w:rsid w:val="00450CF1"/>
    <w:rsid w:val="00450FC5"/>
    <w:rsid w:val="004518EC"/>
    <w:rsid w:val="00452303"/>
    <w:rsid w:val="0045257E"/>
    <w:rsid w:val="004526E0"/>
    <w:rsid w:val="00452F91"/>
    <w:rsid w:val="00453009"/>
    <w:rsid w:val="00453895"/>
    <w:rsid w:val="004539B8"/>
    <w:rsid w:val="0045470E"/>
    <w:rsid w:val="00454A53"/>
    <w:rsid w:val="00454ACF"/>
    <w:rsid w:val="00454CC2"/>
    <w:rsid w:val="00454DA1"/>
    <w:rsid w:val="0045535E"/>
    <w:rsid w:val="0045577E"/>
    <w:rsid w:val="00455956"/>
    <w:rsid w:val="00455BF5"/>
    <w:rsid w:val="00455E77"/>
    <w:rsid w:val="00455FAA"/>
    <w:rsid w:val="00456DB3"/>
    <w:rsid w:val="00457802"/>
    <w:rsid w:val="00457D95"/>
    <w:rsid w:val="00460D83"/>
    <w:rsid w:val="004610F3"/>
    <w:rsid w:val="00461A05"/>
    <w:rsid w:val="00461A97"/>
    <w:rsid w:val="004623D0"/>
    <w:rsid w:val="00462871"/>
    <w:rsid w:val="00463639"/>
    <w:rsid w:val="00463B1A"/>
    <w:rsid w:val="004640AA"/>
    <w:rsid w:val="0046442D"/>
    <w:rsid w:val="004649BA"/>
    <w:rsid w:val="00464BAF"/>
    <w:rsid w:val="00464F19"/>
    <w:rsid w:val="00465287"/>
    <w:rsid w:val="00465E9B"/>
    <w:rsid w:val="00466220"/>
    <w:rsid w:val="004675D4"/>
    <w:rsid w:val="00467987"/>
    <w:rsid w:val="00467D95"/>
    <w:rsid w:val="00467DAF"/>
    <w:rsid w:val="0046D51C"/>
    <w:rsid w:val="00470A2D"/>
    <w:rsid w:val="004713C9"/>
    <w:rsid w:val="00471768"/>
    <w:rsid w:val="004717F0"/>
    <w:rsid w:val="004719D9"/>
    <w:rsid w:val="00471AA8"/>
    <w:rsid w:val="00472208"/>
    <w:rsid w:val="00472227"/>
    <w:rsid w:val="0047281C"/>
    <w:rsid w:val="00472DC8"/>
    <w:rsid w:val="00472E5D"/>
    <w:rsid w:val="00472EA2"/>
    <w:rsid w:val="00473452"/>
    <w:rsid w:val="00473E0D"/>
    <w:rsid w:val="00473F32"/>
    <w:rsid w:val="00474714"/>
    <w:rsid w:val="00474C8B"/>
    <w:rsid w:val="00474FD3"/>
    <w:rsid w:val="00475790"/>
    <w:rsid w:val="00475EA5"/>
    <w:rsid w:val="00475EB9"/>
    <w:rsid w:val="00475F35"/>
    <w:rsid w:val="00476515"/>
    <w:rsid w:val="00476F4A"/>
    <w:rsid w:val="00477B4A"/>
    <w:rsid w:val="00477E74"/>
    <w:rsid w:val="0048034E"/>
    <w:rsid w:val="00480400"/>
    <w:rsid w:val="00480682"/>
    <w:rsid w:val="00480CD8"/>
    <w:rsid w:val="00480EA5"/>
    <w:rsid w:val="0048115D"/>
    <w:rsid w:val="004812E4"/>
    <w:rsid w:val="00481463"/>
    <w:rsid w:val="00481D86"/>
    <w:rsid w:val="0048238B"/>
    <w:rsid w:val="004823FB"/>
    <w:rsid w:val="00482C39"/>
    <w:rsid w:val="00483254"/>
    <w:rsid w:val="00483CB0"/>
    <w:rsid w:val="004848EF"/>
    <w:rsid w:val="00484AF4"/>
    <w:rsid w:val="00484D67"/>
    <w:rsid w:val="00485176"/>
    <w:rsid w:val="00485253"/>
    <w:rsid w:val="00485EAB"/>
    <w:rsid w:val="004860A9"/>
    <w:rsid w:val="00486105"/>
    <w:rsid w:val="00486B54"/>
    <w:rsid w:val="0048706D"/>
    <w:rsid w:val="00487DC7"/>
    <w:rsid w:val="0049025A"/>
    <w:rsid w:val="00490C87"/>
    <w:rsid w:val="00490E94"/>
    <w:rsid w:val="00491731"/>
    <w:rsid w:val="00491910"/>
    <w:rsid w:val="00491EE7"/>
    <w:rsid w:val="00491FEB"/>
    <w:rsid w:val="0049231E"/>
    <w:rsid w:val="00493B1F"/>
    <w:rsid w:val="00493B3B"/>
    <w:rsid w:val="004941A6"/>
    <w:rsid w:val="00494616"/>
    <w:rsid w:val="00494736"/>
    <w:rsid w:val="0049592E"/>
    <w:rsid w:val="00495F21"/>
    <w:rsid w:val="004964EB"/>
    <w:rsid w:val="004971AD"/>
    <w:rsid w:val="00497A62"/>
    <w:rsid w:val="00497BDB"/>
    <w:rsid w:val="004A09C8"/>
    <w:rsid w:val="004A0C8C"/>
    <w:rsid w:val="004A1C60"/>
    <w:rsid w:val="004A1F0A"/>
    <w:rsid w:val="004A23EC"/>
    <w:rsid w:val="004A25B7"/>
    <w:rsid w:val="004A31E1"/>
    <w:rsid w:val="004A3219"/>
    <w:rsid w:val="004A358B"/>
    <w:rsid w:val="004A4161"/>
    <w:rsid w:val="004A424A"/>
    <w:rsid w:val="004A4508"/>
    <w:rsid w:val="004A46F6"/>
    <w:rsid w:val="004A46F7"/>
    <w:rsid w:val="004A491A"/>
    <w:rsid w:val="004A51B6"/>
    <w:rsid w:val="004A5E5B"/>
    <w:rsid w:val="004A70AA"/>
    <w:rsid w:val="004A718C"/>
    <w:rsid w:val="004A71F7"/>
    <w:rsid w:val="004A7785"/>
    <w:rsid w:val="004A7EBB"/>
    <w:rsid w:val="004A7EE0"/>
    <w:rsid w:val="004B0E16"/>
    <w:rsid w:val="004B0EFF"/>
    <w:rsid w:val="004B165D"/>
    <w:rsid w:val="004B18D1"/>
    <w:rsid w:val="004B1FD0"/>
    <w:rsid w:val="004B2B08"/>
    <w:rsid w:val="004B2C22"/>
    <w:rsid w:val="004B2F99"/>
    <w:rsid w:val="004B3907"/>
    <w:rsid w:val="004B3D1F"/>
    <w:rsid w:val="004B496D"/>
    <w:rsid w:val="004B4C53"/>
    <w:rsid w:val="004B4DED"/>
    <w:rsid w:val="004B4F4E"/>
    <w:rsid w:val="004B4FCB"/>
    <w:rsid w:val="004B5470"/>
    <w:rsid w:val="004B5648"/>
    <w:rsid w:val="004B6181"/>
    <w:rsid w:val="004B6B40"/>
    <w:rsid w:val="004B6D42"/>
    <w:rsid w:val="004B6DD5"/>
    <w:rsid w:val="004B7016"/>
    <w:rsid w:val="004B7797"/>
    <w:rsid w:val="004B78F4"/>
    <w:rsid w:val="004B7A75"/>
    <w:rsid w:val="004C03B2"/>
    <w:rsid w:val="004C05AB"/>
    <w:rsid w:val="004C06F6"/>
    <w:rsid w:val="004C0774"/>
    <w:rsid w:val="004C1583"/>
    <w:rsid w:val="004C1ACF"/>
    <w:rsid w:val="004C1D70"/>
    <w:rsid w:val="004C295A"/>
    <w:rsid w:val="004C30A0"/>
    <w:rsid w:val="004C3209"/>
    <w:rsid w:val="004C3B54"/>
    <w:rsid w:val="004C3CD8"/>
    <w:rsid w:val="004C3D2E"/>
    <w:rsid w:val="004C514A"/>
    <w:rsid w:val="004C573E"/>
    <w:rsid w:val="004C5781"/>
    <w:rsid w:val="004C59DF"/>
    <w:rsid w:val="004C5A0D"/>
    <w:rsid w:val="004C6303"/>
    <w:rsid w:val="004C6E58"/>
    <w:rsid w:val="004C7045"/>
    <w:rsid w:val="004C786B"/>
    <w:rsid w:val="004C7F69"/>
    <w:rsid w:val="004D147A"/>
    <w:rsid w:val="004D183E"/>
    <w:rsid w:val="004D199A"/>
    <w:rsid w:val="004D25A7"/>
    <w:rsid w:val="004D3DC1"/>
    <w:rsid w:val="004D3EF7"/>
    <w:rsid w:val="004D4131"/>
    <w:rsid w:val="004D44F9"/>
    <w:rsid w:val="004D4903"/>
    <w:rsid w:val="004D5631"/>
    <w:rsid w:val="004D5B90"/>
    <w:rsid w:val="004D6074"/>
    <w:rsid w:val="004D664E"/>
    <w:rsid w:val="004D6A11"/>
    <w:rsid w:val="004E1202"/>
    <w:rsid w:val="004E1586"/>
    <w:rsid w:val="004E1666"/>
    <w:rsid w:val="004E192A"/>
    <w:rsid w:val="004E27DD"/>
    <w:rsid w:val="004E2CB5"/>
    <w:rsid w:val="004E2D14"/>
    <w:rsid w:val="004E3A2A"/>
    <w:rsid w:val="004E3DBE"/>
    <w:rsid w:val="004E3DEB"/>
    <w:rsid w:val="004E3F61"/>
    <w:rsid w:val="004E428D"/>
    <w:rsid w:val="004E47F1"/>
    <w:rsid w:val="004E53FD"/>
    <w:rsid w:val="004E58C6"/>
    <w:rsid w:val="004F011D"/>
    <w:rsid w:val="004F057D"/>
    <w:rsid w:val="004F0F6C"/>
    <w:rsid w:val="004F1784"/>
    <w:rsid w:val="004F1A5B"/>
    <w:rsid w:val="004F1D23"/>
    <w:rsid w:val="004F1D3C"/>
    <w:rsid w:val="004F1F86"/>
    <w:rsid w:val="004F2254"/>
    <w:rsid w:val="004F3DF0"/>
    <w:rsid w:val="004F4319"/>
    <w:rsid w:val="004F4551"/>
    <w:rsid w:val="004F4564"/>
    <w:rsid w:val="004F4890"/>
    <w:rsid w:val="004F5D2D"/>
    <w:rsid w:val="004F5DBA"/>
    <w:rsid w:val="004F60BC"/>
    <w:rsid w:val="004F655C"/>
    <w:rsid w:val="004F6678"/>
    <w:rsid w:val="004F6B2D"/>
    <w:rsid w:val="004F6C96"/>
    <w:rsid w:val="004F7150"/>
    <w:rsid w:val="005007B3"/>
    <w:rsid w:val="00500C8A"/>
    <w:rsid w:val="0050121D"/>
    <w:rsid w:val="00501614"/>
    <w:rsid w:val="0050274F"/>
    <w:rsid w:val="00503800"/>
    <w:rsid w:val="00503A9A"/>
    <w:rsid w:val="00503AB4"/>
    <w:rsid w:val="0050497C"/>
    <w:rsid w:val="005052AD"/>
    <w:rsid w:val="005053CB"/>
    <w:rsid w:val="00505C1B"/>
    <w:rsid w:val="0050605F"/>
    <w:rsid w:val="0050613F"/>
    <w:rsid w:val="005066D2"/>
    <w:rsid w:val="00506CEC"/>
    <w:rsid w:val="00506D93"/>
    <w:rsid w:val="00507231"/>
    <w:rsid w:val="005101F6"/>
    <w:rsid w:val="0051033A"/>
    <w:rsid w:val="00510B65"/>
    <w:rsid w:val="005114C0"/>
    <w:rsid w:val="00511B4C"/>
    <w:rsid w:val="00511E36"/>
    <w:rsid w:val="00512734"/>
    <w:rsid w:val="00512A0D"/>
    <w:rsid w:val="00512C4C"/>
    <w:rsid w:val="00514557"/>
    <w:rsid w:val="0051523C"/>
    <w:rsid w:val="0051572F"/>
    <w:rsid w:val="005169A0"/>
    <w:rsid w:val="00517187"/>
    <w:rsid w:val="005171CF"/>
    <w:rsid w:val="005173AF"/>
    <w:rsid w:val="005176BE"/>
    <w:rsid w:val="00517FAA"/>
    <w:rsid w:val="005208BA"/>
    <w:rsid w:val="00520F8D"/>
    <w:rsid w:val="00521258"/>
    <w:rsid w:val="005214D4"/>
    <w:rsid w:val="00521860"/>
    <w:rsid w:val="005221D1"/>
    <w:rsid w:val="0052240F"/>
    <w:rsid w:val="00522A2F"/>
    <w:rsid w:val="00522F27"/>
    <w:rsid w:val="00523119"/>
    <w:rsid w:val="00523487"/>
    <w:rsid w:val="00523498"/>
    <w:rsid w:val="00524987"/>
    <w:rsid w:val="00526BA1"/>
    <w:rsid w:val="00527DDF"/>
    <w:rsid w:val="00527FC5"/>
    <w:rsid w:val="00530070"/>
    <w:rsid w:val="00530B24"/>
    <w:rsid w:val="00530C30"/>
    <w:rsid w:val="00530D8A"/>
    <w:rsid w:val="00531076"/>
    <w:rsid w:val="00532137"/>
    <w:rsid w:val="00532233"/>
    <w:rsid w:val="0053236E"/>
    <w:rsid w:val="00532485"/>
    <w:rsid w:val="00532941"/>
    <w:rsid w:val="00532EAC"/>
    <w:rsid w:val="0053333E"/>
    <w:rsid w:val="00533434"/>
    <w:rsid w:val="00533662"/>
    <w:rsid w:val="005336C8"/>
    <w:rsid w:val="00533801"/>
    <w:rsid w:val="00534D14"/>
    <w:rsid w:val="00534D4E"/>
    <w:rsid w:val="00535D12"/>
    <w:rsid w:val="0053652E"/>
    <w:rsid w:val="0053663D"/>
    <w:rsid w:val="00536872"/>
    <w:rsid w:val="005369EB"/>
    <w:rsid w:val="005407BE"/>
    <w:rsid w:val="00540C75"/>
    <w:rsid w:val="00541047"/>
    <w:rsid w:val="005418A0"/>
    <w:rsid w:val="005419A8"/>
    <w:rsid w:val="00541CB3"/>
    <w:rsid w:val="005425B0"/>
    <w:rsid w:val="00542936"/>
    <w:rsid w:val="005457E8"/>
    <w:rsid w:val="00545DA5"/>
    <w:rsid w:val="0054667B"/>
    <w:rsid w:val="00546F88"/>
    <w:rsid w:val="005471AC"/>
    <w:rsid w:val="00547AC6"/>
    <w:rsid w:val="00547B73"/>
    <w:rsid w:val="0055001C"/>
    <w:rsid w:val="005511D8"/>
    <w:rsid w:val="00551224"/>
    <w:rsid w:val="005514E8"/>
    <w:rsid w:val="00551AD5"/>
    <w:rsid w:val="00551FE7"/>
    <w:rsid w:val="00552190"/>
    <w:rsid w:val="005523D0"/>
    <w:rsid w:val="0055240C"/>
    <w:rsid w:val="0055259F"/>
    <w:rsid w:val="00552602"/>
    <w:rsid w:val="00552666"/>
    <w:rsid w:val="00552D31"/>
    <w:rsid w:val="00553334"/>
    <w:rsid w:val="005539D8"/>
    <w:rsid w:val="00553DAB"/>
    <w:rsid w:val="00553E88"/>
    <w:rsid w:val="00554757"/>
    <w:rsid w:val="00554872"/>
    <w:rsid w:val="00555543"/>
    <w:rsid w:val="005556E7"/>
    <w:rsid w:val="005563AE"/>
    <w:rsid w:val="00557DBC"/>
    <w:rsid w:val="00560711"/>
    <w:rsid w:val="00560AF4"/>
    <w:rsid w:val="00560EA4"/>
    <w:rsid w:val="0056113C"/>
    <w:rsid w:val="0056189C"/>
    <w:rsid w:val="005625AE"/>
    <w:rsid w:val="0056279C"/>
    <w:rsid w:val="005629E8"/>
    <w:rsid w:val="00562B83"/>
    <w:rsid w:val="0056305A"/>
    <w:rsid w:val="00563264"/>
    <w:rsid w:val="005642ED"/>
    <w:rsid w:val="0056451C"/>
    <w:rsid w:val="00564AF7"/>
    <w:rsid w:val="00564B6D"/>
    <w:rsid w:val="00565936"/>
    <w:rsid w:val="00565E39"/>
    <w:rsid w:val="00566167"/>
    <w:rsid w:val="00566627"/>
    <w:rsid w:val="005666E6"/>
    <w:rsid w:val="005667F1"/>
    <w:rsid w:val="00566BA3"/>
    <w:rsid w:val="00567184"/>
    <w:rsid w:val="0056732F"/>
    <w:rsid w:val="0056741E"/>
    <w:rsid w:val="00567518"/>
    <w:rsid w:val="005676A0"/>
    <w:rsid w:val="00567E6D"/>
    <w:rsid w:val="00567E91"/>
    <w:rsid w:val="005705A1"/>
    <w:rsid w:val="00570A89"/>
    <w:rsid w:val="00571A9D"/>
    <w:rsid w:val="005722E1"/>
    <w:rsid w:val="005738F2"/>
    <w:rsid w:val="00573A0F"/>
    <w:rsid w:val="00573BB0"/>
    <w:rsid w:val="00573C7C"/>
    <w:rsid w:val="00574162"/>
    <w:rsid w:val="00574694"/>
    <w:rsid w:val="0057491F"/>
    <w:rsid w:val="00575519"/>
    <w:rsid w:val="00575CE5"/>
    <w:rsid w:val="00577440"/>
    <w:rsid w:val="00577DA7"/>
    <w:rsid w:val="00577E9A"/>
    <w:rsid w:val="0058027D"/>
    <w:rsid w:val="0058059F"/>
    <w:rsid w:val="0058199B"/>
    <w:rsid w:val="00582418"/>
    <w:rsid w:val="005824BA"/>
    <w:rsid w:val="00583453"/>
    <w:rsid w:val="00584D12"/>
    <w:rsid w:val="00585514"/>
    <w:rsid w:val="005858D2"/>
    <w:rsid w:val="005865C2"/>
    <w:rsid w:val="00586690"/>
    <w:rsid w:val="00586877"/>
    <w:rsid w:val="0058758B"/>
    <w:rsid w:val="005878D2"/>
    <w:rsid w:val="00590128"/>
    <w:rsid w:val="00591627"/>
    <w:rsid w:val="00591802"/>
    <w:rsid w:val="00591880"/>
    <w:rsid w:val="00592439"/>
    <w:rsid w:val="0059309C"/>
    <w:rsid w:val="005938ED"/>
    <w:rsid w:val="00593990"/>
    <w:rsid w:val="00593C09"/>
    <w:rsid w:val="00594357"/>
    <w:rsid w:val="0059439E"/>
    <w:rsid w:val="00594408"/>
    <w:rsid w:val="005946AD"/>
    <w:rsid w:val="00594C12"/>
    <w:rsid w:val="00594D5B"/>
    <w:rsid w:val="00594D94"/>
    <w:rsid w:val="00595207"/>
    <w:rsid w:val="0059524B"/>
    <w:rsid w:val="00596F99"/>
    <w:rsid w:val="005970E7"/>
    <w:rsid w:val="00597382"/>
    <w:rsid w:val="005A014B"/>
    <w:rsid w:val="005A016A"/>
    <w:rsid w:val="005A08B6"/>
    <w:rsid w:val="005A0DE0"/>
    <w:rsid w:val="005A1B0B"/>
    <w:rsid w:val="005A254E"/>
    <w:rsid w:val="005A262A"/>
    <w:rsid w:val="005A272A"/>
    <w:rsid w:val="005A291A"/>
    <w:rsid w:val="005A2E8A"/>
    <w:rsid w:val="005A303F"/>
    <w:rsid w:val="005A371B"/>
    <w:rsid w:val="005A38AF"/>
    <w:rsid w:val="005A3A93"/>
    <w:rsid w:val="005A3C1E"/>
    <w:rsid w:val="005A529C"/>
    <w:rsid w:val="005A6218"/>
    <w:rsid w:val="005A671B"/>
    <w:rsid w:val="005A6A72"/>
    <w:rsid w:val="005A6FAC"/>
    <w:rsid w:val="005A7811"/>
    <w:rsid w:val="005A7ABB"/>
    <w:rsid w:val="005A7BF3"/>
    <w:rsid w:val="005A7FF3"/>
    <w:rsid w:val="005B045F"/>
    <w:rsid w:val="005B046E"/>
    <w:rsid w:val="005B0B39"/>
    <w:rsid w:val="005B0EB4"/>
    <w:rsid w:val="005B12D3"/>
    <w:rsid w:val="005B13CA"/>
    <w:rsid w:val="005B1A5E"/>
    <w:rsid w:val="005B2EBC"/>
    <w:rsid w:val="005B2F91"/>
    <w:rsid w:val="005B347D"/>
    <w:rsid w:val="005B38DF"/>
    <w:rsid w:val="005B4608"/>
    <w:rsid w:val="005B4620"/>
    <w:rsid w:val="005B479B"/>
    <w:rsid w:val="005B5586"/>
    <w:rsid w:val="005B571F"/>
    <w:rsid w:val="005B63F9"/>
    <w:rsid w:val="005B70BD"/>
    <w:rsid w:val="005B76B0"/>
    <w:rsid w:val="005B76C6"/>
    <w:rsid w:val="005B792D"/>
    <w:rsid w:val="005B7FF1"/>
    <w:rsid w:val="005C0056"/>
    <w:rsid w:val="005C0549"/>
    <w:rsid w:val="005C17A0"/>
    <w:rsid w:val="005C210F"/>
    <w:rsid w:val="005C21B6"/>
    <w:rsid w:val="005C25FB"/>
    <w:rsid w:val="005C2C78"/>
    <w:rsid w:val="005C36AD"/>
    <w:rsid w:val="005C4636"/>
    <w:rsid w:val="005C4970"/>
    <w:rsid w:val="005C518B"/>
    <w:rsid w:val="005C53CD"/>
    <w:rsid w:val="005C6475"/>
    <w:rsid w:val="005C64B2"/>
    <w:rsid w:val="005C68E4"/>
    <w:rsid w:val="005C7084"/>
    <w:rsid w:val="005C7B22"/>
    <w:rsid w:val="005C7CFF"/>
    <w:rsid w:val="005D0193"/>
    <w:rsid w:val="005D0AB3"/>
    <w:rsid w:val="005D0D16"/>
    <w:rsid w:val="005D1A61"/>
    <w:rsid w:val="005D263F"/>
    <w:rsid w:val="005D3B88"/>
    <w:rsid w:val="005D40E4"/>
    <w:rsid w:val="005D5F18"/>
    <w:rsid w:val="005D5FFA"/>
    <w:rsid w:val="005D6301"/>
    <w:rsid w:val="005D675A"/>
    <w:rsid w:val="005D69AE"/>
    <w:rsid w:val="005D7822"/>
    <w:rsid w:val="005D787E"/>
    <w:rsid w:val="005D78B2"/>
    <w:rsid w:val="005D7D7B"/>
    <w:rsid w:val="005E0089"/>
    <w:rsid w:val="005E0506"/>
    <w:rsid w:val="005E135D"/>
    <w:rsid w:val="005E17F7"/>
    <w:rsid w:val="005E1F46"/>
    <w:rsid w:val="005E20B5"/>
    <w:rsid w:val="005E2180"/>
    <w:rsid w:val="005E23F8"/>
    <w:rsid w:val="005E26AA"/>
    <w:rsid w:val="005E272B"/>
    <w:rsid w:val="005E2C95"/>
    <w:rsid w:val="005E2ED6"/>
    <w:rsid w:val="005E34F1"/>
    <w:rsid w:val="005E3A2B"/>
    <w:rsid w:val="005E3A6D"/>
    <w:rsid w:val="005E47AD"/>
    <w:rsid w:val="005E4B7E"/>
    <w:rsid w:val="005E4C2B"/>
    <w:rsid w:val="005E58D7"/>
    <w:rsid w:val="005E684D"/>
    <w:rsid w:val="005E6B1E"/>
    <w:rsid w:val="005E7094"/>
    <w:rsid w:val="005E7C56"/>
    <w:rsid w:val="005E7CAB"/>
    <w:rsid w:val="005F0136"/>
    <w:rsid w:val="005F0672"/>
    <w:rsid w:val="005F1193"/>
    <w:rsid w:val="005F1FB0"/>
    <w:rsid w:val="005F2090"/>
    <w:rsid w:val="005F2481"/>
    <w:rsid w:val="005F28E2"/>
    <w:rsid w:val="005F2C19"/>
    <w:rsid w:val="005F2DC9"/>
    <w:rsid w:val="005F2F9F"/>
    <w:rsid w:val="005F3726"/>
    <w:rsid w:val="005F3DEF"/>
    <w:rsid w:val="005F40EF"/>
    <w:rsid w:val="005F4882"/>
    <w:rsid w:val="005F4E6A"/>
    <w:rsid w:val="005F5640"/>
    <w:rsid w:val="005F58EC"/>
    <w:rsid w:val="005F5F32"/>
    <w:rsid w:val="005F62D4"/>
    <w:rsid w:val="005F6333"/>
    <w:rsid w:val="005F6474"/>
    <w:rsid w:val="005F677D"/>
    <w:rsid w:val="005F6DCD"/>
    <w:rsid w:val="00600E28"/>
    <w:rsid w:val="0060106A"/>
    <w:rsid w:val="00601858"/>
    <w:rsid w:val="00601EB7"/>
    <w:rsid w:val="00602D29"/>
    <w:rsid w:val="00602DAE"/>
    <w:rsid w:val="00602E3E"/>
    <w:rsid w:val="00603997"/>
    <w:rsid w:val="006043CB"/>
    <w:rsid w:val="0060517E"/>
    <w:rsid w:val="006052D0"/>
    <w:rsid w:val="00605A30"/>
    <w:rsid w:val="00605BD1"/>
    <w:rsid w:val="00605F83"/>
    <w:rsid w:val="00606717"/>
    <w:rsid w:val="00606882"/>
    <w:rsid w:val="00606E85"/>
    <w:rsid w:val="006070C8"/>
    <w:rsid w:val="006073A0"/>
    <w:rsid w:val="006075C5"/>
    <w:rsid w:val="00607727"/>
    <w:rsid w:val="00607C9B"/>
    <w:rsid w:val="00607F05"/>
    <w:rsid w:val="0060B9FE"/>
    <w:rsid w:val="00610063"/>
    <w:rsid w:val="00610508"/>
    <w:rsid w:val="00610F05"/>
    <w:rsid w:val="00610F8E"/>
    <w:rsid w:val="0061174B"/>
    <w:rsid w:val="006118E0"/>
    <w:rsid w:val="006119E9"/>
    <w:rsid w:val="00611AC6"/>
    <w:rsid w:val="006127A0"/>
    <w:rsid w:val="00612F7A"/>
    <w:rsid w:val="006143AD"/>
    <w:rsid w:val="0061450B"/>
    <w:rsid w:val="006156B1"/>
    <w:rsid w:val="00615E2E"/>
    <w:rsid w:val="006168E2"/>
    <w:rsid w:val="00616A4D"/>
    <w:rsid w:val="0061729C"/>
    <w:rsid w:val="006177F7"/>
    <w:rsid w:val="00617ED2"/>
    <w:rsid w:val="00620646"/>
    <w:rsid w:val="00620F64"/>
    <w:rsid w:val="00621081"/>
    <w:rsid w:val="00621D7A"/>
    <w:rsid w:val="00622B10"/>
    <w:rsid w:val="00623233"/>
    <w:rsid w:val="006233B8"/>
    <w:rsid w:val="0062370B"/>
    <w:rsid w:val="006242B2"/>
    <w:rsid w:val="00625994"/>
    <w:rsid w:val="006259E0"/>
    <w:rsid w:val="0062632A"/>
    <w:rsid w:val="00626AE4"/>
    <w:rsid w:val="00626C85"/>
    <w:rsid w:val="00626ED1"/>
    <w:rsid w:val="006274A5"/>
    <w:rsid w:val="00627ECF"/>
    <w:rsid w:val="00630436"/>
    <w:rsid w:val="0063066B"/>
    <w:rsid w:val="00630BDA"/>
    <w:rsid w:val="00630BDE"/>
    <w:rsid w:val="00630F9C"/>
    <w:rsid w:val="006313DE"/>
    <w:rsid w:val="00631548"/>
    <w:rsid w:val="00631577"/>
    <w:rsid w:val="00631768"/>
    <w:rsid w:val="00631778"/>
    <w:rsid w:val="00634E11"/>
    <w:rsid w:val="00634EA8"/>
    <w:rsid w:val="0063501C"/>
    <w:rsid w:val="006352F9"/>
    <w:rsid w:val="0063542E"/>
    <w:rsid w:val="006354C9"/>
    <w:rsid w:val="00636177"/>
    <w:rsid w:val="00636428"/>
    <w:rsid w:val="0063650C"/>
    <w:rsid w:val="00636C2D"/>
    <w:rsid w:val="00637724"/>
    <w:rsid w:val="00637785"/>
    <w:rsid w:val="00637CAA"/>
    <w:rsid w:val="00640998"/>
    <w:rsid w:val="00640C26"/>
    <w:rsid w:val="00640C68"/>
    <w:rsid w:val="006410A5"/>
    <w:rsid w:val="006425B3"/>
    <w:rsid w:val="00642640"/>
    <w:rsid w:val="00643431"/>
    <w:rsid w:val="0064344C"/>
    <w:rsid w:val="00643D1A"/>
    <w:rsid w:val="00643E74"/>
    <w:rsid w:val="006442B6"/>
    <w:rsid w:val="00644774"/>
    <w:rsid w:val="006453E2"/>
    <w:rsid w:val="00645529"/>
    <w:rsid w:val="00645B69"/>
    <w:rsid w:val="006477BB"/>
    <w:rsid w:val="0065008B"/>
    <w:rsid w:val="00650168"/>
    <w:rsid w:val="006501E7"/>
    <w:rsid w:val="00650281"/>
    <w:rsid w:val="006503EF"/>
    <w:rsid w:val="00650674"/>
    <w:rsid w:val="00650C76"/>
    <w:rsid w:val="00651311"/>
    <w:rsid w:val="006516AA"/>
    <w:rsid w:val="0065184F"/>
    <w:rsid w:val="006518C1"/>
    <w:rsid w:val="00651B4B"/>
    <w:rsid w:val="00652768"/>
    <w:rsid w:val="006527AC"/>
    <w:rsid w:val="00652883"/>
    <w:rsid w:val="00652BF3"/>
    <w:rsid w:val="00653443"/>
    <w:rsid w:val="006535AD"/>
    <w:rsid w:val="006535EC"/>
    <w:rsid w:val="00654162"/>
    <w:rsid w:val="00654762"/>
    <w:rsid w:val="00655094"/>
    <w:rsid w:val="00655559"/>
    <w:rsid w:val="006566F2"/>
    <w:rsid w:val="00656A56"/>
    <w:rsid w:val="00657340"/>
    <w:rsid w:val="00660CFC"/>
    <w:rsid w:val="0066119D"/>
    <w:rsid w:val="00661C34"/>
    <w:rsid w:val="0066205E"/>
    <w:rsid w:val="006620F0"/>
    <w:rsid w:val="006622DF"/>
    <w:rsid w:val="006623F9"/>
    <w:rsid w:val="00662D60"/>
    <w:rsid w:val="0066319B"/>
    <w:rsid w:val="00663555"/>
    <w:rsid w:val="00663754"/>
    <w:rsid w:val="006638EE"/>
    <w:rsid w:val="00663989"/>
    <w:rsid w:val="00663D10"/>
    <w:rsid w:val="00663DC8"/>
    <w:rsid w:val="00664438"/>
    <w:rsid w:val="006654D9"/>
    <w:rsid w:val="006655CD"/>
    <w:rsid w:val="00666344"/>
    <w:rsid w:val="0066699A"/>
    <w:rsid w:val="00667A39"/>
    <w:rsid w:val="006704C9"/>
    <w:rsid w:val="00670892"/>
    <w:rsid w:val="0067094E"/>
    <w:rsid w:val="00670975"/>
    <w:rsid w:val="006712EA"/>
    <w:rsid w:val="00671E0D"/>
    <w:rsid w:val="00671F44"/>
    <w:rsid w:val="006720BE"/>
    <w:rsid w:val="00672311"/>
    <w:rsid w:val="00672548"/>
    <w:rsid w:val="00672854"/>
    <w:rsid w:val="00672A48"/>
    <w:rsid w:val="00672F5E"/>
    <w:rsid w:val="006730D8"/>
    <w:rsid w:val="00673A3A"/>
    <w:rsid w:val="00673F29"/>
    <w:rsid w:val="006742E9"/>
    <w:rsid w:val="006745E7"/>
    <w:rsid w:val="00674883"/>
    <w:rsid w:val="00674DBB"/>
    <w:rsid w:val="00675A8A"/>
    <w:rsid w:val="00676545"/>
    <w:rsid w:val="006778A7"/>
    <w:rsid w:val="00677A34"/>
    <w:rsid w:val="00677F07"/>
    <w:rsid w:val="0068052D"/>
    <w:rsid w:val="0068079A"/>
    <w:rsid w:val="00680D30"/>
    <w:rsid w:val="00681A58"/>
    <w:rsid w:val="00681BA2"/>
    <w:rsid w:val="006825DA"/>
    <w:rsid w:val="0068261A"/>
    <w:rsid w:val="0068356C"/>
    <w:rsid w:val="00683CA9"/>
    <w:rsid w:val="00683EFD"/>
    <w:rsid w:val="00684021"/>
    <w:rsid w:val="006841B9"/>
    <w:rsid w:val="006849C4"/>
    <w:rsid w:val="006853D4"/>
    <w:rsid w:val="00685BF1"/>
    <w:rsid w:val="00685FEA"/>
    <w:rsid w:val="0068626A"/>
    <w:rsid w:val="00686E3B"/>
    <w:rsid w:val="0068768E"/>
    <w:rsid w:val="006877D4"/>
    <w:rsid w:val="00690255"/>
    <w:rsid w:val="0069049F"/>
    <w:rsid w:val="00690528"/>
    <w:rsid w:val="00690AC0"/>
    <w:rsid w:val="00690F21"/>
    <w:rsid w:val="0069103B"/>
    <w:rsid w:val="0069193F"/>
    <w:rsid w:val="00691C73"/>
    <w:rsid w:val="00691F03"/>
    <w:rsid w:val="006929EB"/>
    <w:rsid w:val="00693814"/>
    <w:rsid w:val="00694222"/>
    <w:rsid w:val="0069480F"/>
    <w:rsid w:val="00694DEF"/>
    <w:rsid w:val="006955E2"/>
    <w:rsid w:val="00695DF4"/>
    <w:rsid w:val="00696085"/>
    <w:rsid w:val="00696093"/>
    <w:rsid w:val="006961EC"/>
    <w:rsid w:val="00696786"/>
    <w:rsid w:val="00697994"/>
    <w:rsid w:val="00697D10"/>
    <w:rsid w:val="006A0136"/>
    <w:rsid w:val="006A0F50"/>
    <w:rsid w:val="006A125E"/>
    <w:rsid w:val="006A1347"/>
    <w:rsid w:val="006A1E59"/>
    <w:rsid w:val="006A27FE"/>
    <w:rsid w:val="006A2827"/>
    <w:rsid w:val="006A2F58"/>
    <w:rsid w:val="006A38AC"/>
    <w:rsid w:val="006A3A1F"/>
    <w:rsid w:val="006A4741"/>
    <w:rsid w:val="006A4792"/>
    <w:rsid w:val="006A4A04"/>
    <w:rsid w:val="006A4B2C"/>
    <w:rsid w:val="006A51B4"/>
    <w:rsid w:val="006A534F"/>
    <w:rsid w:val="006A5590"/>
    <w:rsid w:val="006A576E"/>
    <w:rsid w:val="006A6A77"/>
    <w:rsid w:val="006A6FAB"/>
    <w:rsid w:val="006A7351"/>
    <w:rsid w:val="006A76D7"/>
    <w:rsid w:val="006A7E0D"/>
    <w:rsid w:val="006A7FE0"/>
    <w:rsid w:val="006B02CD"/>
    <w:rsid w:val="006B06D3"/>
    <w:rsid w:val="006B0D8C"/>
    <w:rsid w:val="006B11FE"/>
    <w:rsid w:val="006B1290"/>
    <w:rsid w:val="006B1307"/>
    <w:rsid w:val="006B131E"/>
    <w:rsid w:val="006B13C7"/>
    <w:rsid w:val="006B15AA"/>
    <w:rsid w:val="006B1B66"/>
    <w:rsid w:val="006B2432"/>
    <w:rsid w:val="006B3E2A"/>
    <w:rsid w:val="006B4440"/>
    <w:rsid w:val="006B4633"/>
    <w:rsid w:val="006B4B65"/>
    <w:rsid w:val="006B4D8E"/>
    <w:rsid w:val="006B5157"/>
    <w:rsid w:val="006B5C0B"/>
    <w:rsid w:val="006B5EB3"/>
    <w:rsid w:val="006B670E"/>
    <w:rsid w:val="006B6DA2"/>
    <w:rsid w:val="006B76CD"/>
    <w:rsid w:val="006B7881"/>
    <w:rsid w:val="006C18FF"/>
    <w:rsid w:val="006C26FB"/>
    <w:rsid w:val="006C2CA5"/>
    <w:rsid w:val="006C3CDC"/>
    <w:rsid w:val="006C3E32"/>
    <w:rsid w:val="006C4910"/>
    <w:rsid w:val="006C49B2"/>
    <w:rsid w:val="006C6225"/>
    <w:rsid w:val="006C6A17"/>
    <w:rsid w:val="006C6B36"/>
    <w:rsid w:val="006C715D"/>
    <w:rsid w:val="006C71E8"/>
    <w:rsid w:val="006C7701"/>
    <w:rsid w:val="006C7869"/>
    <w:rsid w:val="006D050F"/>
    <w:rsid w:val="006D1331"/>
    <w:rsid w:val="006D320B"/>
    <w:rsid w:val="006D324C"/>
    <w:rsid w:val="006D3934"/>
    <w:rsid w:val="006D3CF3"/>
    <w:rsid w:val="006D3E5D"/>
    <w:rsid w:val="006D5150"/>
    <w:rsid w:val="006D5A5D"/>
    <w:rsid w:val="006D6FC4"/>
    <w:rsid w:val="006D7BF5"/>
    <w:rsid w:val="006E0492"/>
    <w:rsid w:val="006E0533"/>
    <w:rsid w:val="006E05E8"/>
    <w:rsid w:val="006E05FD"/>
    <w:rsid w:val="006E08B3"/>
    <w:rsid w:val="006E099A"/>
    <w:rsid w:val="006E0B40"/>
    <w:rsid w:val="006E15A0"/>
    <w:rsid w:val="006E1E04"/>
    <w:rsid w:val="006E2658"/>
    <w:rsid w:val="006E26E2"/>
    <w:rsid w:val="006E2C76"/>
    <w:rsid w:val="006E3334"/>
    <w:rsid w:val="006E42E4"/>
    <w:rsid w:val="006E4338"/>
    <w:rsid w:val="006E4A8E"/>
    <w:rsid w:val="006E511D"/>
    <w:rsid w:val="006E58DD"/>
    <w:rsid w:val="006E5EBB"/>
    <w:rsid w:val="006E603D"/>
    <w:rsid w:val="006E6E65"/>
    <w:rsid w:val="006E72C3"/>
    <w:rsid w:val="006E7669"/>
    <w:rsid w:val="006E7EF7"/>
    <w:rsid w:val="006F015B"/>
    <w:rsid w:val="006F01E0"/>
    <w:rsid w:val="006F059F"/>
    <w:rsid w:val="006F0675"/>
    <w:rsid w:val="006F0721"/>
    <w:rsid w:val="006F0851"/>
    <w:rsid w:val="006F0A9D"/>
    <w:rsid w:val="006F0BEB"/>
    <w:rsid w:val="006F14B6"/>
    <w:rsid w:val="006F168B"/>
    <w:rsid w:val="006F1CB5"/>
    <w:rsid w:val="006F25D1"/>
    <w:rsid w:val="006F2742"/>
    <w:rsid w:val="006F2F69"/>
    <w:rsid w:val="006F3A8C"/>
    <w:rsid w:val="006F3EE8"/>
    <w:rsid w:val="006F4764"/>
    <w:rsid w:val="006F47E4"/>
    <w:rsid w:val="006F4A37"/>
    <w:rsid w:val="006F4E0E"/>
    <w:rsid w:val="006F508F"/>
    <w:rsid w:val="006F519A"/>
    <w:rsid w:val="006F5277"/>
    <w:rsid w:val="006F5762"/>
    <w:rsid w:val="006F584B"/>
    <w:rsid w:val="006F6E9B"/>
    <w:rsid w:val="006F70C4"/>
    <w:rsid w:val="006F79EC"/>
    <w:rsid w:val="00700223"/>
    <w:rsid w:val="00700A36"/>
    <w:rsid w:val="00700C7E"/>
    <w:rsid w:val="00701265"/>
    <w:rsid w:val="00701756"/>
    <w:rsid w:val="00702660"/>
    <w:rsid w:val="00702AB8"/>
    <w:rsid w:val="0070302F"/>
    <w:rsid w:val="007035D4"/>
    <w:rsid w:val="00703658"/>
    <w:rsid w:val="00703CC4"/>
    <w:rsid w:val="00704213"/>
    <w:rsid w:val="00704630"/>
    <w:rsid w:val="00704B5B"/>
    <w:rsid w:val="00704BEC"/>
    <w:rsid w:val="00704CA4"/>
    <w:rsid w:val="00705873"/>
    <w:rsid w:val="00705C61"/>
    <w:rsid w:val="00705F71"/>
    <w:rsid w:val="007064EB"/>
    <w:rsid w:val="0070656A"/>
    <w:rsid w:val="00707955"/>
    <w:rsid w:val="00710CA9"/>
    <w:rsid w:val="00711269"/>
    <w:rsid w:val="007118C5"/>
    <w:rsid w:val="00711A45"/>
    <w:rsid w:val="007122E0"/>
    <w:rsid w:val="00712490"/>
    <w:rsid w:val="0071252F"/>
    <w:rsid w:val="007126DF"/>
    <w:rsid w:val="0071292E"/>
    <w:rsid w:val="00713E26"/>
    <w:rsid w:val="00714C47"/>
    <w:rsid w:val="00715119"/>
    <w:rsid w:val="00715603"/>
    <w:rsid w:val="007156D0"/>
    <w:rsid w:val="007157F3"/>
    <w:rsid w:val="007160C6"/>
    <w:rsid w:val="0071621A"/>
    <w:rsid w:val="00716877"/>
    <w:rsid w:val="007169CD"/>
    <w:rsid w:val="00720305"/>
    <w:rsid w:val="007203F6"/>
    <w:rsid w:val="007209DA"/>
    <w:rsid w:val="00721044"/>
    <w:rsid w:val="007216E2"/>
    <w:rsid w:val="0072193E"/>
    <w:rsid w:val="00722D9D"/>
    <w:rsid w:val="0072395B"/>
    <w:rsid w:val="00723D70"/>
    <w:rsid w:val="00723FC9"/>
    <w:rsid w:val="007252CF"/>
    <w:rsid w:val="00725314"/>
    <w:rsid w:val="007254F9"/>
    <w:rsid w:val="00725DB0"/>
    <w:rsid w:val="00725DC0"/>
    <w:rsid w:val="007262A6"/>
    <w:rsid w:val="00726F1D"/>
    <w:rsid w:val="00727454"/>
    <w:rsid w:val="007279CC"/>
    <w:rsid w:val="00727BCF"/>
    <w:rsid w:val="00727FD8"/>
    <w:rsid w:val="00730432"/>
    <w:rsid w:val="00730A57"/>
    <w:rsid w:val="00731E75"/>
    <w:rsid w:val="00731FB0"/>
    <w:rsid w:val="00732580"/>
    <w:rsid w:val="00732726"/>
    <w:rsid w:val="0073333F"/>
    <w:rsid w:val="007336CF"/>
    <w:rsid w:val="00733A3A"/>
    <w:rsid w:val="00733C80"/>
    <w:rsid w:val="00734DBE"/>
    <w:rsid w:val="007350EF"/>
    <w:rsid w:val="007350F8"/>
    <w:rsid w:val="00735C5D"/>
    <w:rsid w:val="00735FDD"/>
    <w:rsid w:val="00736DF9"/>
    <w:rsid w:val="00737553"/>
    <w:rsid w:val="00737646"/>
    <w:rsid w:val="00737CD2"/>
    <w:rsid w:val="00737DC5"/>
    <w:rsid w:val="007401BB"/>
    <w:rsid w:val="007403B0"/>
    <w:rsid w:val="00741737"/>
    <w:rsid w:val="00741AB5"/>
    <w:rsid w:val="00742768"/>
    <w:rsid w:val="007427EA"/>
    <w:rsid w:val="0074287C"/>
    <w:rsid w:val="007429AF"/>
    <w:rsid w:val="0074325F"/>
    <w:rsid w:val="00743DEB"/>
    <w:rsid w:val="00743EF7"/>
    <w:rsid w:val="007442EC"/>
    <w:rsid w:val="00744B33"/>
    <w:rsid w:val="00744F8C"/>
    <w:rsid w:val="007452AB"/>
    <w:rsid w:val="00745474"/>
    <w:rsid w:val="007459DD"/>
    <w:rsid w:val="00746150"/>
    <w:rsid w:val="007461AB"/>
    <w:rsid w:val="00746B97"/>
    <w:rsid w:val="00746FF1"/>
    <w:rsid w:val="00747A5F"/>
    <w:rsid w:val="00747F8C"/>
    <w:rsid w:val="0075072D"/>
    <w:rsid w:val="00750AEF"/>
    <w:rsid w:val="00750FA7"/>
    <w:rsid w:val="00750FE0"/>
    <w:rsid w:val="007510D8"/>
    <w:rsid w:val="007511A6"/>
    <w:rsid w:val="00751481"/>
    <w:rsid w:val="00753331"/>
    <w:rsid w:val="007538CC"/>
    <w:rsid w:val="00753B5D"/>
    <w:rsid w:val="0075419D"/>
    <w:rsid w:val="00754E85"/>
    <w:rsid w:val="00756493"/>
    <w:rsid w:val="007568F2"/>
    <w:rsid w:val="00756916"/>
    <w:rsid w:val="00756989"/>
    <w:rsid w:val="00757B01"/>
    <w:rsid w:val="00757E46"/>
    <w:rsid w:val="00760098"/>
    <w:rsid w:val="007606C2"/>
    <w:rsid w:val="00760932"/>
    <w:rsid w:val="007609EE"/>
    <w:rsid w:val="00760DE7"/>
    <w:rsid w:val="00761B85"/>
    <w:rsid w:val="00761F02"/>
    <w:rsid w:val="007621EF"/>
    <w:rsid w:val="007634C4"/>
    <w:rsid w:val="007636E9"/>
    <w:rsid w:val="00763C69"/>
    <w:rsid w:val="00763EDD"/>
    <w:rsid w:val="007652F0"/>
    <w:rsid w:val="007656EA"/>
    <w:rsid w:val="00766CC9"/>
    <w:rsid w:val="00767386"/>
    <w:rsid w:val="007674AD"/>
    <w:rsid w:val="00767E66"/>
    <w:rsid w:val="00770999"/>
    <w:rsid w:val="00770A74"/>
    <w:rsid w:val="00771031"/>
    <w:rsid w:val="00771120"/>
    <w:rsid w:val="007716B9"/>
    <w:rsid w:val="00772164"/>
    <w:rsid w:val="007727AB"/>
    <w:rsid w:val="00772DB5"/>
    <w:rsid w:val="00772EE6"/>
    <w:rsid w:val="007739E9"/>
    <w:rsid w:val="00773D5D"/>
    <w:rsid w:val="00774D17"/>
    <w:rsid w:val="00774ECC"/>
    <w:rsid w:val="00774FB2"/>
    <w:rsid w:val="00775973"/>
    <w:rsid w:val="00775C4E"/>
    <w:rsid w:val="00775E21"/>
    <w:rsid w:val="00775E52"/>
    <w:rsid w:val="00775F4D"/>
    <w:rsid w:val="0077609B"/>
    <w:rsid w:val="007762D4"/>
    <w:rsid w:val="00776B6A"/>
    <w:rsid w:val="00776C60"/>
    <w:rsid w:val="00776E90"/>
    <w:rsid w:val="0077746F"/>
    <w:rsid w:val="00777B20"/>
    <w:rsid w:val="00777BB0"/>
    <w:rsid w:val="00777ECF"/>
    <w:rsid w:val="007813D7"/>
    <w:rsid w:val="00781401"/>
    <w:rsid w:val="00781F4D"/>
    <w:rsid w:val="00782726"/>
    <w:rsid w:val="00782781"/>
    <w:rsid w:val="00782B7F"/>
    <w:rsid w:val="0078349F"/>
    <w:rsid w:val="007834CC"/>
    <w:rsid w:val="00783BDF"/>
    <w:rsid w:val="007842AC"/>
    <w:rsid w:val="0078512E"/>
    <w:rsid w:val="00785295"/>
    <w:rsid w:val="007852B1"/>
    <w:rsid w:val="00786DC4"/>
    <w:rsid w:val="00786E54"/>
    <w:rsid w:val="0079047E"/>
    <w:rsid w:val="00790637"/>
    <w:rsid w:val="00790845"/>
    <w:rsid w:val="00790BAC"/>
    <w:rsid w:val="00791158"/>
    <w:rsid w:val="0079164C"/>
    <w:rsid w:val="00792ED9"/>
    <w:rsid w:val="00793098"/>
    <w:rsid w:val="00793D33"/>
    <w:rsid w:val="00793D95"/>
    <w:rsid w:val="00793DAC"/>
    <w:rsid w:val="007940F1"/>
    <w:rsid w:val="007951BA"/>
    <w:rsid w:val="0079521F"/>
    <w:rsid w:val="00795778"/>
    <w:rsid w:val="007957B3"/>
    <w:rsid w:val="00795CB4"/>
    <w:rsid w:val="00795DED"/>
    <w:rsid w:val="00795E8D"/>
    <w:rsid w:val="00795FE1"/>
    <w:rsid w:val="0079627D"/>
    <w:rsid w:val="007963B1"/>
    <w:rsid w:val="0079677D"/>
    <w:rsid w:val="007A056B"/>
    <w:rsid w:val="007A0A80"/>
    <w:rsid w:val="007A17DE"/>
    <w:rsid w:val="007A22F1"/>
    <w:rsid w:val="007A24A2"/>
    <w:rsid w:val="007A27A1"/>
    <w:rsid w:val="007A29BA"/>
    <w:rsid w:val="007A2ADD"/>
    <w:rsid w:val="007A380E"/>
    <w:rsid w:val="007A3B25"/>
    <w:rsid w:val="007A42B4"/>
    <w:rsid w:val="007A44A7"/>
    <w:rsid w:val="007A4C3C"/>
    <w:rsid w:val="007A526A"/>
    <w:rsid w:val="007A5BC3"/>
    <w:rsid w:val="007A60CC"/>
    <w:rsid w:val="007A7086"/>
    <w:rsid w:val="007A78A3"/>
    <w:rsid w:val="007A7C35"/>
    <w:rsid w:val="007B0591"/>
    <w:rsid w:val="007B18E3"/>
    <w:rsid w:val="007B2075"/>
    <w:rsid w:val="007B3282"/>
    <w:rsid w:val="007B345A"/>
    <w:rsid w:val="007B34AF"/>
    <w:rsid w:val="007B378C"/>
    <w:rsid w:val="007B4016"/>
    <w:rsid w:val="007B4F4D"/>
    <w:rsid w:val="007B5522"/>
    <w:rsid w:val="007B5B3F"/>
    <w:rsid w:val="007B5EE5"/>
    <w:rsid w:val="007B6304"/>
    <w:rsid w:val="007B6DA9"/>
    <w:rsid w:val="007B71FC"/>
    <w:rsid w:val="007B7556"/>
    <w:rsid w:val="007B78E5"/>
    <w:rsid w:val="007B7D3A"/>
    <w:rsid w:val="007C00AB"/>
    <w:rsid w:val="007C05F3"/>
    <w:rsid w:val="007C0DE9"/>
    <w:rsid w:val="007C0E3A"/>
    <w:rsid w:val="007C10BA"/>
    <w:rsid w:val="007C10C9"/>
    <w:rsid w:val="007C1CA0"/>
    <w:rsid w:val="007C1D1A"/>
    <w:rsid w:val="007C2693"/>
    <w:rsid w:val="007C29C5"/>
    <w:rsid w:val="007C2B55"/>
    <w:rsid w:val="007C2CC8"/>
    <w:rsid w:val="007C3037"/>
    <w:rsid w:val="007C3D6D"/>
    <w:rsid w:val="007C3DAD"/>
    <w:rsid w:val="007C3F61"/>
    <w:rsid w:val="007C4404"/>
    <w:rsid w:val="007C45FA"/>
    <w:rsid w:val="007C4931"/>
    <w:rsid w:val="007C4CC1"/>
    <w:rsid w:val="007C52F9"/>
    <w:rsid w:val="007C5CA8"/>
    <w:rsid w:val="007C6848"/>
    <w:rsid w:val="007C6945"/>
    <w:rsid w:val="007C6CE3"/>
    <w:rsid w:val="007D05BD"/>
    <w:rsid w:val="007D078B"/>
    <w:rsid w:val="007D0C99"/>
    <w:rsid w:val="007D105F"/>
    <w:rsid w:val="007D11F8"/>
    <w:rsid w:val="007D151A"/>
    <w:rsid w:val="007D16D8"/>
    <w:rsid w:val="007D181D"/>
    <w:rsid w:val="007D1C64"/>
    <w:rsid w:val="007D1C89"/>
    <w:rsid w:val="007D1D4F"/>
    <w:rsid w:val="007D1EA5"/>
    <w:rsid w:val="007D256A"/>
    <w:rsid w:val="007D26F2"/>
    <w:rsid w:val="007D28FA"/>
    <w:rsid w:val="007D2D2E"/>
    <w:rsid w:val="007D2D68"/>
    <w:rsid w:val="007D315F"/>
    <w:rsid w:val="007D34F7"/>
    <w:rsid w:val="007D369E"/>
    <w:rsid w:val="007D3A08"/>
    <w:rsid w:val="007D3F14"/>
    <w:rsid w:val="007D5B51"/>
    <w:rsid w:val="007D6C76"/>
    <w:rsid w:val="007D70D7"/>
    <w:rsid w:val="007E0010"/>
    <w:rsid w:val="007E0D63"/>
    <w:rsid w:val="007E109C"/>
    <w:rsid w:val="007E12F2"/>
    <w:rsid w:val="007E18A9"/>
    <w:rsid w:val="007E255E"/>
    <w:rsid w:val="007E3865"/>
    <w:rsid w:val="007E3C34"/>
    <w:rsid w:val="007E3CDC"/>
    <w:rsid w:val="007E3DB7"/>
    <w:rsid w:val="007E4142"/>
    <w:rsid w:val="007E47E7"/>
    <w:rsid w:val="007E5218"/>
    <w:rsid w:val="007E55B9"/>
    <w:rsid w:val="007E5615"/>
    <w:rsid w:val="007E5BB7"/>
    <w:rsid w:val="007E5BFD"/>
    <w:rsid w:val="007E5F89"/>
    <w:rsid w:val="007E691D"/>
    <w:rsid w:val="007E6FCE"/>
    <w:rsid w:val="007E7151"/>
    <w:rsid w:val="007E7373"/>
    <w:rsid w:val="007E7915"/>
    <w:rsid w:val="007E7A4A"/>
    <w:rsid w:val="007F0241"/>
    <w:rsid w:val="007F0445"/>
    <w:rsid w:val="007F05FE"/>
    <w:rsid w:val="007F0742"/>
    <w:rsid w:val="007F2897"/>
    <w:rsid w:val="007F28BC"/>
    <w:rsid w:val="007F29C9"/>
    <w:rsid w:val="007F3893"/>
    <w:rsid w:val="007F3BB9"/>
    <w:rsid w:val="007F4454"/>
    <w:rsid w:val="007F4D22"/>
    <w:rsid w:val="007F5502"/>
    <w:rsid w:val="007F56E8"/>
    <w:rsid w:val="007F5EDD"/>
    <w:rsid w:val="007F6D97"/>
    <w:rsid w:val="007F6DA2"/>
    <w:rsid w:val="007F7305"/>
    <w:rsid w:val="007F73A3"/>
    <w:rsid w:val="007F7BA4"/>
    <w:rsid w:val="007F7BBD"/>
    <w:rsid w:val="007F7CC5"/>
    <w:rsid w:val="00800039"/>
    <w:rsid w:val="00800586"/>
    <w:rsid w:val="00800DE8"/>
    <w:rsid w:val="00801173"/>
    <w:rsid w:val="008015DF"/>
    <w:rsid w:val="00801E7C"/>
    <w:rsid w:val="0080285F"/>
    <w:rsid w:val="00802D36"/>
    <w:rsid w:val="00802F1D"/>
    <w:rsid w:val="00802FC7"/>
    <w:rsid w:val="008033D8"/>
    <w:rsid w:val="00803EF6"/>
    <w:rsid w:val="008050A3"/>
    <w:rsid w:val="0080560C"/>
    <w:rsid w:val="00805B90"/>
    <w:rsid w:val="00805E11"/>
    <w:rsid w:val="00806561"/>
    <w:rsid w:val="00807086"/>
    <w:rsid w:val="008071F2"/>
    <w:rsid w:val="00810EC0"/>
    <w:rsid w:val="00810FF0"/>
    <w:rsid w:val="00811537"/>
    <w:rsid w:val="00811A9C"/>
    <w:rsid w:val="00811C39"/>
    <w:rsid w:val="00811E6A"/>
    <w:rsid w:val="00812189"/>
    <w:rsid w:val="00813447"/>
    <w:rsid w:val="00813CE2"/>
    <w:rsid w:val="00813DAD"/>
    <w:rsid w:val="00813ECE"/>
    <w:rsid w:val="00814841"/>
    <w:rsid w:val="00814FEB"/>
    <w:rsid w:val="00815010"/>
    <w:rsid w:val="00816358"/>
    <w:rsid w:val="0081697D"/>
    <w:rsid w:val="00816B24"/>
    <w:rsid w:val="00816DA6"/>
    <w:rsid w:val="00816EEF"/>
    <w:rsid w:val="00817CCD"/>
    <w:rsid w:val="00817CE6"/>
    <w:rsid w:val="008208ED"/>
    <w:rsid w:val="00820AE6"/>
    <w:rsid w:val="00821183"/>
    <w:rsid w:val="00822CE8"/>
    <w:rsid w:val="0082317D"/>
    <w:rsid w:val="008234B4"/>
    <w:rsid w:val="00823560"/>
    <w:rsid w:val="00823574"/>
    <w:rsid w:val="008237C9"/>
    <w:rsid w:val="00823876"/>
    <w:rsid w:val="00823933"/>
    <w:rsid w:val="00823DE2"/>
    <w:rsid w:val="00823EEA"/>
    <w:rsid w:val="00825202"/>
    <w:rsid w:val="00825B43"/>
    <w:rsid w:val="00826D9E"/>
    <w:rsid w:val="00826FF3"/>
    <w:rsid w:val="0082749B"/>
    <w:rsid w:val="0083050D"/>
    <w:rsid w:val="00830A6B"/>
    <w:rsid w:val="00830C47"/>
    <w:rsid w:val="00831021"/>
    <w:rsid w:val="00831A4C"/>
    <w:rsid w:val="0083218C"/>
    <w:rsid w:val="00832911"/>
    <w:rsid w:val="00832F96"/>
    <w:rsid w:val="00833934"/>
    <w:rsid w:val="00833EB2"/>
    <w:rsid w:val="00834CD3"/>
    <w:rsid w:val="00834E9B"/>
    <w:rsid w:val="0083547C"/>
    <w:rsid w:val="00835551"/>
    <w:rsid w:val="0083587C"/>
    <w:rsid w:val="00835FE3"/>
    <w:rsid w:val="00836A6C"/>
    <w:rsid w:val="00836B38"/>
    <w:rsid w:val="00837811"/>
    <w:rsid w:val="008379B4"/>
    <w:rsid w:val="00840282"/>
    <w:rsid w:val="008415C4"/>
    <w:rsid w:val="00841862"/>
    <w:rsid w:val="00841899"/>
    <w:rsid w:val="00842109"/>
    <w:rsid w:val="0084267F"/>
    <w:rsid w:val="008426FA"/>
    <w:rsid w:val="008432DF"/>
    <w:rsid w:val="00843499"/>
    <w:rsid w:val="0084452B"/>
    <w:rsid w:val="00844BE0"/>
    <w:rsid w:val="00845324"/>
    <w:rsid w:val="00845385"/>
    <w:rsid w:val="00845871"/>
    <w:rsid w:val="008458F0"/>
    <w:rsid w:val="00845923"/>
    <w:rsid w:val="00845F4E"/>
    <w:rsid w:val="0084645E"/>
    <w:rsid w:val="00846497"/>
    <w:rsid w:val="00846EC0"/>
    <w:rsid w:val="00847112"/>
    <w:rsid w:val="0084775D"/>
    <w:rsid w:val="00847CEC"/>
    <w:rsid w:val="00850C39"/>
    <w:rsid w:val="0085116C"/>
    <w:rsid w:val="00851519"/>
    <w:rsid w:val="00851623"/>
    <w:rsid w:val="00851F5E"/>
    <w:rsid w:val="00852489"/>
    <w:rsid w:val="008525B8"/>
    <w:rsid w:val="008530EC"/>
    <w:rsid w:val="00853345"/>
    <w:rsid w:val="00853F92"/>
    <w:rsid w:val="00854012"/>
    <w:rsid w:val="008549EC"/>
    <w:rsid w:val="008552F4"/>
    <w:rsid w:val="00855423"/>
    <w:rsid w:val="008560EE"/>
    <w:rsid w:val="008567A2"/>
    <w:rsid w:val="00856870"/>
    <w:rsid w:val="00856CDF"/>
    <w:rsid w:val="008574BE"/>
    <w:rsid w:val="0086059A"/>
    <w:rsid w:val="0086119D"/>
    <w:rsid w:val="00863182"/>
    <w:rsid w:val="0086335A"/>
    <w:rsid w:val="008639EA"/>
    <w:rsid w:val="00863AD4"/>
    <w:rsid w:val="00863DE3"/>
    <w:rsid w:val="00863E84"/>
    <w:rsid w:val="0086416A"/>
    <w:rsid w:val="00864334"/>
    <w:rsid w:val="0086498F"/>
    <w:rsid w:val="008649FA"/>
    <w:rsid w:val="00864B78"/>
    <w:rsid w:val="00864DF0"/>
    <w:rsid w:val="00865C5C"/>
    <w:rsid w:val="00865E6F"/>
    <w:rsid w:val="00865EE9"/>
    <w:rsid w:val="0086686D"/>
    <w:rsid w:val="008676F4"/>
    <w:rsid w:val="00867A6F"/>
    <w:rsid w:val="00867DD7"/>
    <w:rsid w:val="008709AB"/>
    <w:rsid w:val="00870B59"/>
    <w:rsid w:val="0087104A"/>
    <w:rsid w:val="0087135E"/>
    <w:rsid w:val="00871622"/>
    <w:rsid w:val="00871DD5"/>
    <w:rsid w:val="0087334F"/>
    <w:rsid w:val="00873624"/>
    <w:rsid w:val="00873AF0"/>
    <w:rsid w:val="00873B01"/>
    <w:rsid w:val="008750E4"/>
    <w:rsid w:val="00875142"/>
    <w:rsid w:val="008754C3"/>
    <w:rsid w:val="00876232"/>
    <w:rsid w:val="00876CB5"/>
    <w:rsid w:val="0088036F"/>
    <w:rsid w:val="0088074D"/>
    <w:rsid w:val="0088090E"/>
    <w:rsid w:val="00880D09"/>
    <w:rsid w:val="0088158F"/>
    <w:rsid w:val="0088203F"/>
    <w:rsid w:val="0088219F"/>
    <w:rsid w:val="0088224B"/>
    <w:rsid w:val="00882654"/>
    <w:rsid w:val="00882C72"/>
    <w:rsid w:val="00882FD4"/>
    <w:rsid w:val="008830AF"/>
    <w:rsid w:val="008831AF"/>
    <w:rsid w:val="00883364"/>
    <w:rsid w:val="00883E2F"/>
    <w:rsid w:val="00883F18"/>
    <w:rsid w:val="00884156"/>
    <w:rsid w:val="008847B9"/>
    <w:rsid w:val="00884F48"/>
    <w:rsid w:val="008850ED"/>
    <w:rsid w:val="008858D7"/>
    <w:rsid w:val="00885B01"/>
    <w:rsid w:val="00886999"/>
    <w:rsid w:val="00886EE5"/>
    <w:rsid w:val="008872B0"/>
    <w:rsid w:val="0088788B"/>
    <w:rsid w:val="00887F22"/>
    <w:rsid w:val="008900FA"/>
    <w:rsid w:val="00890A43"/>
    <w:rsid w:val="00890BA3"/>
    <w:rsid w:val="00891471"/>
    <w:rsid w:val="00891C03"/>
    <w:rsid w:val="008921CB"/>
    <w:rsid w:val="008922F3"/>
    <w:rsid w:val="008922FE"/>
    <w:rsid w:val="00892438"/>
    <w:rsid w:val="00892481"/>
    <w:rsid w:val="00892F99"/>
    <w:rsid w:val="008939E8"/>
    <w:rsid w:val="00893BE4"/>
    <w:rsid w:val="00893C8D"/>
    <w:rsid w:val="00894137"/>
    <w:rsid w:val="008948FF"/>
    <w:rsid w:val="00894A57"/>
    <w:rsid w:val="00894C1A"/>
    <w:rsid w:val="00894CEB"/>
    <w:rsid w:val="00896967"/>
    <w:rsid w:val="00896D3F"/>
    <w:rsid w:val="00896FE0"/>
    <w:rsid w:val="00897691"/>
    <w:rsid w:val="00897A3E"/>
    <w:rsid w:val="008A05C7"/>
    <w:rsid w:val="008A0865"/>
    <w:rsid w:val="008A10AE"/>
    <w:rsid w:val="008A162D"/>
    <w:rsid w:val="008A1D26"/>
    <w:rsid w:val="008A2713"/>
    <w:rsid w:val="008A2B5E"/>
    <w:rsid w:val="008A2FBA"/>
    <w:rsid w:val="008A3266"/>
    <w:rsid w:val="008A339E"/>
    <w:rsid w:val="008A33EF"/>
    <w:rsid w:val="008A3783"/>
    <w:rsid w:val="008A41DE"/>
    <w:rsid w:val="008A4E11"/>
    <w:rsid w:val="008A53BC"/>
    <w:rsid w:val="008A5578"/>
    <w:rsid w:val="008A56AE"/>
    <w:rsid w:val="008A598C"/>
    <w:rsid w:val="008A6037"/>
    <w:rsid w:val="008A630F"/>
    <w:rsid w:val="008A70DD"/>
    <w:rsid w:val="008A74AC"/>
    <w:rsid w:val="008A7A5A"/>
    <w:rsid w:val="008A7CA9"/>
    <w:rsid w:val="008A7F00"/>
    <w:rsid w:val="008B0298"/>
    <w:rsid w:val="008B192C"/>
    <w:rsid w:val="008B1A94"/>
    <w:rsid w:val="008B235D"/>
    <w:rsid w:val="008B243A"/>
    <w:rsid w:val="008B247A"/>
    <w:rsid w:val="008B278E"/>
    <w:rsid w:val="008B2A31"/>
    <w:rsid w:val="008B346A"/>
    <w:rsid w:val="008B3ACA"/>
    <w:rsid w:val="008B402F"/>
    <w:rsid w:val="008B406A"/>
    <w:rsid w:val="008B4113"/>
    <w:rsid w:val="008B413F"/>
    <w:rsid w:val="008B41A5"/>
    <w:rsid w:val="008B4632"/>
    <w:rsid w:val="008B4DF8"/>
    <w:rsid w:val="008B52A8"/>
    <w:rsid w:val="008B5561"/>
    <w:rsid w:val="008B5979"/>
    <w:rsid w:val="008B6155"/>
    <w:rsid w:val="008B6AA9"/>
    <w:rsid w:val="008B770F"/>
    <w:rsid w:val="008B7AF0"/>
    <w:rsid w:val="008C041C"/>
    <w:rsid w:val="008C0EDA"/>
    <w:rsid w:val="008C151D"/>
    <w:rsid w:val="008C19FC"/>
    <w:rsid w:val="008C2863"/>
    <w:rsid w:val="008C28F2"/>
    <w:rsid w:val="008C2E21"/>
    <w:rsid w:val="008C3050"/>
    <w:rsid w:val="008C3445"/>
    <w:rsid w:val="008C345D"/>
    <w:rsid w:val="008C3495"/>
    <w:rsid w:val="008C3639"/>
    <w:rsid w:val="008C3677"/>
    <w:rsid w:val="008C4B30"/>
    <w:rsid w:val="008C4BEB"/>
    <w:rsid w:val="008C4FC2"/>
    <w:rsid w:val="008C50EF"/>
    <w:rsid w:val="008C54B5"/>
    <w:rsid w:val="008C665C"/>
    <w:rsid w:val="008C6C95"/>
    <w:rsid w:val="008C7244"/>
    <w:rsid w:val="008C72A6"/>
    <w:rsid w:val="008C78A2"/>
    <w:rsid w:val="008D0451"/>
    <w:rsid w:val="008D0AC1"/>
    <w:rsid w:val="008D0C22"/>
    <w:rsid w:val="008D26DF"/>
    <w:rsid w:val="008D3718"/>
    <w:rsid w:val="008D4026"/>
    <w:rsid w:val="008D4154"/>
    <w:rsid w:val="008D4170"/>
    <w:rsid w:val="008D4A3D"/>
    <w:rsid w:val="008D4F37"/>
    <w:rsid w:val="008D57AB"/>
    <w:rsid w:val="008D59B0"/>
    <w:rsid w:val="008D59FD"/>
    <w:rsid w:val="008D5D05"/>
    <w:rsid w:val="008D6017"/>
    <w:rsid w:val="008D6201"/>
    <w:rsid w:val="008D660B"/>
    <w:rsid w:val="008D7C45"/>
    <w:rsid w:val="008D7CF0"/>
    <w:rsid w:val="008E0265"/>
    <w:rsid w:val="008E086A"/>
    <w:rsid w:val="008E09D6"/>
    <w:rsid w:val="008E0B94"/>
    <w:rsid w:val="008E0BB3"/>
    <w:rsid w:val="008E0C15"/>
    <w:rsid w:val="008E0D9A"/>
    <w:rsid w:val="008E1120"/>
    <w:rsid w:val="008E19FF"/>
    <w:rsid w:val="008E1A11"/>
    <w:rsid w:val="008E200D"/>
    <w:rsid w:val="008E2673"/>
    <w:rsid w:val="008E2D67"/>
    <w:rsid w:val="008E2F8C"/>
    <w:rsid w:val="008E33BA"/>
    <w:rsid w:val="008E38E6"/>
    <w:rsid w:val="008E3B50"/>
    <w:rsid w:val="008E3EE6"/>
    <w:rsid w:val="008E4076"/>
    <w:rsid w:val="008E45FC"/>
    <w:rsid w:val="008E4DD5"/>
    <w:rsid w:val="008E50D5"/>
    <w:rsid w:val="008E594E"/>
    <w:rsid w:val="008E64E9"/>
    <w:rsid w:val="008E65B3"/>
    <w:rsid w:val="008E65DA"/>
    <w:rsid w:val="008E6D15"/>
    <w:rsid w:val="008E6D54"/>
    <w:rsid w:val="008E6FE1"/>
    <w:rsid w:val="008E74CB"/>
    <w:rsid w:val="008E75B1"/>
    <w:rsid w:val="008E7722"/>
    <w:rsid w:val="008E7F52"/>
    <w:rsid w:val="008F0BE8"/>
    <w:rsid w:val="008F0CB2"/>
    <w:rsid w:val="008F0D5B"/>
    <w:rsid w:val="008F1729"/>
    <w:rsid w:val="008F1885"/>
    <w:rsid w:val="008F21D9"/>
    <w:rsid w:val="008F236D"/>
    <w:rsid w:val="008F26E9"/>
    <w:rsid w:val="008F2A13"/>
    <w:rsid w:val="008F32F0"/>
    <w:rsid w:val="008F344B"/>
    <w:rsid w:val="008F37C4"/>
    <w:rsid w:val="008F3B58"/>
    <w:rsid w:val="008F3C60"/>
    <w:rsid w:val="008F427C"/>
    <w:rsid w:val="008F45B0"/>
    <w:rsid w:val="008F47BA"/>
    <w:rsid w:val="008F4A23"/>
    <w:rsid w:val="008F4F1C"/>
    <w:rsid w:val="008F53DA"/>
    <w:rsid w:val="008F587A"/>
    <w:rsid w:val="008F6285"/>
    <w:rsid w:val="008F6A62"/>
    <w:rsid w:val="008F6BF8"/>
    <w:rsid w:val="008F6DF1"/>
    <w:rsid w:val="008F7143"/>
    <w:rsid w:val="008F72B8"/>
    <w:rsid w:val="008F78EF"/>
    <w:rsid w:val="008F7B48"/>
    <w:rsid w:val="008F7F3F"/>
    <w:rsid w:val="0090027E"/>
    <w:rsid w:val="009004A6"/>
    <w:rsid w:val="00901099"/>
    <w:rsid w:val="009010C3"/>
    <w:rsid w:val="00901F63"/>
    <w:rsid w:val="009024A0"/>
    <w:rsid w:val="00902AD9"/>
    <w:rsid w:val="00902B80"/>
    <w:rsid w:val="00903059"/>
    <w:rsid w:val="00903B3D"/>
    <w:rsid w:val="0090460D"/>
    <w:rsid w:val="0090532B"/>
    <w:rsid w:val="009054BB"/>
    <w:rsid w:val="00905ABD"/>
    <w:rsid w:val="0090621F"/>
    <w:rsid w:val="0090646C"/>
    <w:rsid w:val="00906716"/>
    <w:rsid w:val="0090681E"/>
    <w:rsid w:val="0090717E"/>
    <w:rsid w:val="00907591"/>
    <w:rsid w:val="00907793"/>
    <w:rsid w:val="009077AB"/>
    <w:rsid w:val="00907815"/>
    <w:rsid w:val="00907A1B"/>
    <w:rsid w:val="00907E5F"/>
    <w:rsid w:val="00910B12"/>
    <w:rsid w:val="009115BF"/>
    <w:rsid w:val="00911842"/>
    <w:rsid w:val="00911C1E"/>
    <w:rsid w:val="00911D16"/>
    <w:rsid w:val="00911E78"/>
    <w:rsid w:val="00912F34"/>
    <w:rsid w:val="00913DAF"/>
    <w:rsid w:val="00913DF3"/>
    <w:rsid w:val="00913EE1"/>
    <w:rsid w:val="009143CF"/>
    <w:rsid w:val="0091552F"/>
    <w:rsid w:val="0091574B"/>
    <w:rsid w:val="00916298"/>
    <w:rsid w:val="00917290"/>
    <w:rsid w:val="0091731D"/>
    <w:rsid w:val="00917E7C"/>
    <w:rsid w:val="00917ED0"/>
    <w:rsid w:val="00920261"/>
    <w:rsid w:val="00920B50"/>
    <w:rsid w:val="00920C5C"/>
    <w:rsid w:val="00920F5A"/>
    <w:rsid w:val="0092132A"/>
    <w:rsid w:val="00921935"/>
    <w:rsid w:val="009220F1"/>
    <w:rsid w:val="00922686"/>
    <w:rsid w:val="00922B56"/>
    <w:rsid w:val="00922B9B"/>
    <w:rsid w:val="00922C41"/>
    <w:rsid w:val="00923124"/>
    <w:rsid w:val="009232F8"/>
    <w:rsid w:val="00923B71"/>
    <w:rsid w:val="0092455F"/>
    <w:rsid w:val="009250D3"/>
    <w:rsid w:val="009253B8"/>
    <w:rsid w:val="0092555E"/>
    <w:rsid w:val="00925EA9"/>
    <w:rsid w:val="00925EFC"/>
    <w:rsid w:val="0092602A"/>
    <w:rsid w:val="00926FE3"/>
    <w:rsid w:val="00927A24"/>
    <w:rsid w:val="00930411"/>
    <w:rsid w:val="009314E8"/>
    <w:rsid w:val="0093166E"/>
    <w:rsid w:val="009316F0"/>
    <w:rsid w:val="00931DD1"/>
    <w:rsid w:val="0093274B"/>
    <w:rsid w:val="00932A00"/>
    <w:rsid w:val="00932C8B"/>
    <w:rsid w:val="009334EF"/>
    <w:rsid w:val="00933588"/>
    <w:rsid w:val="00934834"/>
    <w:rsid w:val="00935A65"/>
    <w:rsid w:val="00935CCD"/>
    <w:rsid w:val="00935F4E"/>
    <w:rsid w:val="00936081"/>
    <w:rsid w:val="0093641D"/>
    <w:rsid w:val="00936EB8"/>
    <w:rsid w:val="009372E5"/>
    <w:rsid w:val="009374AF"/>
    <w:rsid w:val="009375CF"/>
    <w:rsid w:val="00937E7D"/>
    <w:rsid w:val="00940210"/>
    <w:rsid w:val="00940367"/>
    <w:rsid w:val="009403CC"/>
    <w:rsid w:val="00940DA4"/>
    <w:rsid w:val="0094118F"/>
    <w:rsid w:val="009421BE"/>
    <w:rsid w:val="009424B6"/>
    <w:rsid w:val="00942DBD"/>
    <w:rsid w:val="00943209"/>
    <w:rsid w:val="00943881"/>
    <w:rsid w:val="009438FD"/>
    <w:rsid w:val="00943C3E"/>
    <w:rsid w:val="00944694"/>
    <w:rsid w:val="009449BE"/>
    <w:rsid w:val="00944AE1"/>
    <w:rsid w:val="00944CC6"/>
    <w:rsid w:val="009455E1"/>
    <w:rsid w:val="00945C83"/>
    <w:rsid w:val="0094612C"/>
    <w:rsid w:val="00946C3A"/>
    <w:rsid w:val="00946CFE"/>
    <w:rsid w:val="00946F61"/>
    <w:rsid w:val="00947904"/>
    <w:rsid w:val="00947B62"/>
    <w:rsid w:val="00950286"/>
    <w:rsid w:val="009508C7"/>
    <w:rsid w:val="00950BC1"/>
    <w:rsid w:val="0095165D"/>
    <w:rsid w:val="009518B7"/>
    <w:rsid w:val="009523C8"/>
    <w:rsid w:val="009528B0"/>
    <w:rsid w:val="009530AB"/>
    <w:rsid w:val="009530EA"/>
    <w:rsid w:val="0095310D"/>
    <w:rsid w:val="00953650"/>
    <w:rsid w:val="0095376C"/>
    <w:rsid w:val="0095384D"/>
    <w:rsid w:val="00953E77"/>
    <w:rsid w:val="0095408C"/>
    <w:rsid w:val="00954304"/>
    <w:rsid w:val="009544C1"/>
    <w:rsid w:val="009549BF"/>
    <w:rsid w:val="009552D4"/>
    <w:rsid w:val="009555AC"/>
    <w:rsid w:val="0095677D"/>
    <w:rsid w:val="009568BB"/>
    <w:rsid w:val="00956CAC"/>
    <w:rsid w:val="00956D02"/>
    <w:rsid w:val="009570E2"/>
    <w:rsid w:val="009570F3"/>
    <w:rsid w:val="009574B8"/>
    <w:rsid w:val="00957A93"/>
    <w:rsid w:val="00957EBB"/>
    <w:rsid w:val="009602D1"/>
    <w:rsid w:val="00960755"/>
    <w:rsid w:val="0096080C"/>
    <w:rsid w:val="00960B3E"/>
    <w:rsid w:val="00960D41"/>
    <w:rsid w:val="00961608"/>
    <w:rsid w:val="00961AE8"/>
    <w:rsid w:val="00961E1D"/>
    <w:rsid w:val="009623DE"/>
    <w:rsid w:val="00962973"/>
    <w:rsid w:val="00962B7E"/>
    <w:rsid w:val="00962BAC"/>
    <w:rsid w:val="00962E79"/>
    <w:rsid w:val="00962ED4"/>
    <w:rsid w:val="00963369"/>
    <w:rsid w:val="009635A4"/>
    <w:rsid w:val="0096364F"/>
    <w:rsid w:val="00963C18"/>
    <w:rsid w:val="00964774"/>
    <w:rsid w:val="00964ABC"/>
    <w:rsid w:val="00964B37"/>
    <w:rsid w:val="00964C1E"/>
    <w:rsid w:val="009655CA"/>
    <w:rsid w:val="009658E9"/>
    <w:rsid w:val="00965E08"/>
    <w:rsid w:val="00966C74"/>
    <w:rsid w:val="0096701C"/>
    <w:rsid w:val="00967088"/>
    <w:rsid w:val="0096753E"/>
    <w:rsid w:val="00971A7C"/>
    <w:rsid w:val="00971C8B"/>
    <w:rsid w:val="00971CA8"/>
    <w:rsid w:val="009728E9"/>
    <w:rsid w:val="00972FE5"/>
    <w:rsid w:val="00973494"/>
    <w:rsid w:val="009748B7"/>
    <w:rsid w:val="00974ED4"/>
    <w:rsid w:val="009757C5"/>
    <w:rsid w:val="009758D9"/>
    <w:rsid w:val="00975993"/>
    <w:rsid w:val="00975F2B"/>
    <w:rsid w:val="009761BE"/>
    <w:rsid w:val="0097644C"/>
    <w:rsid w:val="009767D1"/>
    <w:rsid w:val="009768C4"/>
    <w:rsid w:val="0097741D"/>
    <w:rsid w:val="00977779"/>
    <w:rsid w:val="00980068"/>
    <w:rsid w:val="00980416"/>
    <w:rsid w:val="009806C1"/>
    <w:rsid w:val="0098093F"/>
    <w:rsid w:val="0098272B"/>
    <w:rsid w:val="00982759"/>
    <w:rsid w:val="00982793"/>
    <w:rsid w:val="00982D12"/>
    <w:rsid w:val="009841DA"/>
    <w:rsid w:val="00984BEE"/>
    <w:rsid w:val="00984E17"/>
    <w:rsid w:val="0098503C"/>
    <w:rsid w:val="0098581F"/>
    <w:rsid w:val="00985D05"/>
    <w:rsid w:val="00986D65"/>
    <w:rsid w:val="00987122"/>
    <w:rsid w:val="009877EB"/>
    <w:rsid w:val="00987A44"/>
    <w:rsid w:val="00987C26"/>
    <w:rsid w:val="00987C3B"/>
    <w:rsid w:val="009905EF"/>
    <w:rsid w:val="00991BD5"/>
    <w:rsid w:val="00991D97"/>
    <w:rsid w:val="00992008"/>
    <w:rsid w:val="0099293C"/>
    <w:rsid w:val="00992D2D"/>
    <w:rsid w:val="009941C3"/>
    <w:rsid w:val="009949F9"/>
    <w:rsid w:val="00994F8D"/>
    <w:rsid w:val="0099526A"/>
    <w:rsid w:val="009960BA"/>
    <w:rsid w:val="009965C9"/>
    <w:rsid w:val="009966EB"/>
    <w:rsid w:val="009972F7"/>
    <w:rsid w:val="009978E8"/>
    <w:rsid w:val="00997DF4"/>
    <w:rsid w:val="00997EEA"/>
    <w:rsid w:val="00997FEF"/>
    <w:rsid w:val="009A0CCB"/>
    <w:rsid w:val="009A0D10"/>
    <w:rsid w:val="009A1585"/>
    <w:rsid w:val="009A2A91"/>
    <w:rsid w:val="009A2C6E"/>
    <w:rsid w:val="009A2FEE"/>
    <w:rsid w:val="009A3810"/>
    <w:rsid w:val="009A3FDA"/>
    <w:rsid w:val="009A43F5"/>
    <w:rsid w:val="009A4808"/>
    <w:rsid w:val="009A4EFE"/>
    <w:rsid w:val="009A4F63"/>
    <w:rsid w:val="009A587C"/>
    <w:rsid w:val="009A5EFA"/>
    <w:rsid w:val="009A5F8D"/>
    <w:rsid w:val="009A63E9"/>
    <w:rsid w:val="009A647E"/>
    <w:rsid w:val="009A6BF1"/>
    <w:rsid w:val="009A7730"/>
    <w:rsid w:val="009A7961"/>
    <w:rsid w:val="009A7AC6"/>
    <w:rsid w:val="009B08E7"/>
    <w:rsid w:val="009B09D4"/>
    <w:rsid w:val="009B0C55"/>
    <w:rsid w:val="009B28C5"/>
    <w:rsid w:val="009B2E44"/>
    <w:rsid w:val="009B2F1C"/>
    <w:rsid w:val="009B38BA"/>
    <w:rsid w:val="009B3FB9"/>
    <w:rsid w:val="009B47F1"/>
    <w:rsid w:val="009B4E1F"/>
    <w:rsid w:val="009B517B"/>
    <w:rsid w:val="009B57FB"/>
    <w:rsid w:val="009B6885"/>
    <w:rsid w:val="009B707D"/>
    <w:rsid w:val="009B77D4"/>
    <w:rsid w:val="009B79C2"/>
    <w:rsid w:val="009B79D9"/>
    <w:rsid w:val="009C02D7"/>
    <w:rsid w:val="009C06BC"/>
    <w:rsid w:val="009C0BD5"/>
    <w:rsid w:val="009C0C04"/>
    <w:rsid w:val="009C0FE9"/>
    <w:rsid w:val="009C137F"/>
    <w:rsid w:val="009C1526"/>
    <w:rsid w:val="009C16D7"/>
    <w:rsid w:val="009C1A64"/>
    <w:rsid w:val="009C220C"/>
    <w:rsid w:val="009C240A"/>
    <w:rsid w:val="009C2E09"/>
    <w:rsid w:val="009C2F9D"/>
    <w:rsid w:val="009C3DEC"/>
    <w:rsid w:val="009C4A00"/>
    <w:rsid w:val="009C568D"/>
    <w:rsid w:val="009C583F"/>
    <w:rsid w:val="009C585D"/>
    <w:rsid w:val="009C5A22"/>
    <w:rsid w:val="009C6110"/>
    <w:rsid w:val="009C659C"/>
    <w:rsid w:val="009C6839"/>
    <w:rsid w:val="009C7A43"/>
    <w:rsid w:val="009C7EFD"/>
    <w:rsid w:val="009D09F9"/>
    <w:rsid w:val="009D13C3"/>
    <w:rsid w:val="009D1419"/>
    <w:rsid w:val="009D14C3"/>
    <w:rsid w:val="009D16DC"/>
    <w:rsid w:val="009D1C2C"/>
    <w:rsid w:val="009D3C9C"/>
    <w:rsid w:val="009D3E30"/>
    <w:rsid w:val="009D3F3B"/>
    <w:rsid w:val="009D4507"/>
    <w:rsid w:val="009D463A"/>
    <w:rsid w:val="009D491D"/>
    <w:rsid w:val="009D5286"/>
    <w:rsid w:val="009D5E6F"/>
    <w:rsid w:val="009D5EBC"/>
    <w:rsid w:val="009D5F9B"/>
    <w:rsid w:val="009D6216"/>
    <w:rsid w:val="009D639F"/>
    <w:rsid w:val="009D648B"/>
    <w:rsid w:val="009D6719"/>
    <w:rsid w:val="009D6867"/>
    <w:rsid w:val="009D6AB7"/>
    <w:rsid w:val="009D6C3E"/>
    <w:rsid w:val="009D752B"/>
    <w:rsid w:val="009D7711"/>
    <w:rsid w:val="009D7747"/>
    <w:rsid w:val="009E05EA"/>
    <w:rsid w:val="009E0E86"/>
    <w:rsid w:val="009E1276"/>
    <w:rsid w:val="009E2496"/>
    <w:rsid w:val="009E2635"/>
    <w:rsid w:val="009E2F34"/>
    <w:rsid w:val="009E4046"/>
    <w:rsid w:val="009E432C"/>
    <w:rsid w:val="009E5A10"/>
    <w:rsid w:val="009E6039"/>
    <w:rsid w:val="009E7270"/>
    <w:rsid w:val="009F0769"/>
    <w:rsid w:val="009F0947"/>
    <w:rsid w:val="009F0DA6"/>
    <w:rsid w:val="009F0FA4"/>
    <w:rsid w:val="009F163D"/>
    <w:rsid w:val="009F21BF"/>
    <w:rsid w:val="009F36F1"/>
    <w:rsid w:val="009F3957"/>
    <w:rsid w:val="009F3AA1"/>
    <w:rsid w:val="009F3B30"/>
    <w:rsid w:val="009F3FA4"/>
    <w:rsid w:val="009F4739"/>
    <w:rsid w:val="009F494F"/>
    <w:rsid w:val="009F5705"/>
    <w:rsid w:val="009F5CB7"/>
    <w:rsid w:val="009F6422"/>
    <w:rsid w:val="009F6487"/>
    <w:rsid w:val="009F6A74"/>
    <w:rsid w:val="009F6AEE"/>
    <w:rsid w:val="009F7E0B"/>
    <w:rsid w:val="009F7F3A"/>
    <w:rsid w:val="009F7F3D"/>
    <w:rsid w:val="009F7FCB"/>
    <w:rsid w:val="00A003EA"/>
    <w:rsid w:val="00A0081B"/>
    <w:rsid w:val="00A00C36"/>
    <w:rsid w:val="00A0138B"/>
    <w:rsid w:val="00A02160"/>
    <w:rsid w:val="00A027E8"/>
    <w:rsid w:val="00A029AC"/>
    <w:rsid w:val="00A02BC5"/>
    <w:rsid w:val="00A03592"/>
    <w:rsid w:val="00A035D8"/>
    <w:rsid w:val="00A0371A"/>
    <w:rsid w:val="00A03854"/>
    <w:rsid w:val="00A03B0D"/>
    <w:rsid w:val="00A03B56"/>
    <w:rsid w:val="00A03C4E"/>
    <w:rsid w:val="00A044D7"/>
    <w:rsid w:val="00A0452F"/>
    <w:rsid w:val="00A04AE0"/>
    <w:rsid w:val="00A04C6A"/>
    <w:rsid w:val="00A05604"/>
    <w:rsid w:val="00A056C8"/>
    <w:rsid w:val="00A05942"/>
    <w:rsid w:val="00A05FBB"/>
    <w:rsid w:val="00A0609B"/>
    <w:rsid w:val="00A06B50"/>
    <w:rsid w:val="00A06C0E"/>
    <w:rsid w:val="00A06D3B"/>
    <w:rsid w:val="00A06F28"/>
    <w:rsid w:val="00A06FCD"/>
    <w:rsid w:val="00A070C6"/>
    <w:rsid w:val="00A07782"/>
    <w:rsid w:val="00A11145"/>
    <w:rsid w:val="00A116BA"/>
    <w:rsid w:val="00A11910"/>
    <w:rsid w:val="00A12697"/>
    <w:rsid w:val="00A13253"/>
    <w:rsid w:val="00A137AC"/>
    <w:rsid w:val="00A138C8"/>
    <w:rsid w:val="00A14182"/>
    <w:rsid w:val="00A14B03"/>
    <w:rsid w:val="00A14C43"/>
    <w:rsid w:val="00A158E5"/>
    <w:rsid w:val="00A15C87"/>
    <w:rsid w:val="00A15D9A"/>
    <w:rsid w:val="00A17D81"/>
    <w:rsid w:val="00A17FF0"/>
    <w:rsid w:val="00A20742"/>
    <w:rsid w:val="00A207AF"/>
    <w:rsid w:val="00A2100C"/>
    <w:rsid w:val="00A21216"/>
    <w:rsid w:val="00A212AE"/>
    <w:rsid w:val="00A217CA"/>
    <w:rsid w:val="00A22641"/>
    <w:rsid w:val="00A2371A"/>
    <w:rsid w:val="00A2371F"/>
    <w:rsid w:val="00A237C9"/>
    <w:rsid w:val="00A23C9F"/>
    <w:rsid w:val="00A2418C"/>
    <w:rsid w:val="00A24434"/>
    <w:rsid w:val="00A247FB"/>
    <w:rsid w:val="00A248B6"/>
    <w:rsid w:val="00A25128"/>
    <w:rsid w:val="00A2562F"/>
    <w:rsid w:val="00A256DC"/>
    <w:rsid w:val="00A25718"/>
    <w:rsid w:val="00A25B32"/>
    <w:rsid w:val="00A25EF8"/>
    <w:rsid w:val="00A267C3"/>
    <w:rsid w:val="00A26A2B"/>
    <w:rsid w:val="00A26E13"/>
    <w:rsid w:val="00A27233"/>
    <w:rsid w:val="00A275B7"/>
    <w:rsid w:val="00A27F31"/>
    <w:rsid w:val="00A30194"/>
    <w:rsid w:val="00A302A3"/>
    <w:rsid w:val="00A30571"/>
    <w:rsid w:val="00A30D79"/>
    <w:rsid w:val="00A311EA"/>
    <w:rsid w:val="00A314F2"/>
    <w:rsid w:val="00A3151C"/>
    <w:rsid w:val="00A31645"/>
    <w:rsid w:val="00A31664"/>
    <w:rsid w:val="00A324FB"/>
    <w:rsid w:val="00A3278D"/>
    <w:rsid w:val="00A34137"/>
    <w:rsid w:val="00A34546"/>
    <w:rsid w:val="00A3465F"/>
    <w:rsid w:val="00A3487E"/>
    <w:rsid w:val="00A348CD"/>
    <w:rsid w:val="00A348E3"/>
    <w:rsid w:val="00A34ABA"/>
    <w:rsid w:val="00A35854"/>
    <w:rsid w:val="00A3598D"/>
    <w:rsid w:val="00A36097"/>
    <w:rsid w:val="00A3705A"/>
    <w:rsid w:val="00A37476"/>
    <w:rsid w:val="00A3773C"/>
    <w:rsid w:val="00A405EB"/>
    <w:rsid w:val="00A411BB"/>
    <w:rsid w:val="00A415A3"/>
    <w:rsid w:val="00A415BC"/>
    <w:rsid w:val="00A41706"/>
    <w:rsid w:val="00A419E5"/>
    <w:rsid w:val="00A4201B"/>
    <w:rsid w:val="00A4254E"/>
    <w:rsid w:val="00A45327"/>
    <w:rsid w:val="00A45C99"/>
    <w:rsid w:val="00A464B9"/>
    <w:rsid w:val="00A46740"/>
    <w:rsid w:val="00A4697D"/>
    <w:rsid w:val="00A469BF"/>
    <w:rsid w:val="00A46ADB"/>
    <w:rsid w:val="00A47911"/>
    <w:rsid w:val="00A50A66"/>
    <w:rsid w:val="00A5135F"/>
    <w:rsid w:val="00A513E5"/>
    <w:rsid w:val="00A51567"/>
    <w:rsid w:val="00A51BAE"/>
    <w:rsid w:val="00A51F54"/>
    <w:rsid w:val="00A52023"/>
    <w:rsid w:val="00A521C1"/>
    <w:rsid w:val="00A52264"/>
    <w:rsid w:val="00A525D3"/>
    <w:rsid w:val="00A52781"/>
    <w:rsid w:val="00A53019"/>
    <w:rsid w:val="00A5361D"/>
    <w:rsid w:val="00A53A89"/>
    <w:rsid w:val="00A53CDC"/>
    <w:rsid w:val="00A53F5D"/>
    <w:rsid w:val="00A54917"/>
    <w:rsid w:val="00A54DCB"/>
    <w:rsid w:val="00A54F13"/>
    <w:rsid w:val="00A55679"/>
    <w:rsid w:val="00A55A03"/>
    <w:rsid w:val="00A55C83"/>
    <w:rsid w:val="00A5686A"/>
    <w:rsid w:val="00A56B8C"/>
    <w:rsid w:val="00A60804"/>
    <w:rsid w:val="00A60A58"/>
    <w:rsid w:val="00A60F4E"/>
    <w:rsid w:val="00A6140D"/>
    <w:rsid w:val="00A61410"/>
    <w:rsid w:val="00A6176B"/>
    <w:rsid w:val="00A61CC7"/>
    <w:rsid w:val="00A61EDF"/>
    <w:rsid w:val="00A622A2"/>
    <w:rsid w:val="00A6253D"/>
    <w:rsid w:val="00A6274F"/>
    <w:rsid w:val="00A62A51"/>
    <w:rsid w:val="00A62BE0"/>
    <w:rsid w:val="00A62C63"/>
    <w:rsid w:val="00A62F9D"/>
    <w:rsid w:val="00A63B05"/>
    <w:rsid w:val="00A6432B"/>
    <w:rsid w:val="00A64971"/>
    <w:rsid w:val="00A64F4F"/>
    <w:rsid w:val="00A64F94"/>
    <w:rsid w:val="00A65293"/>
    <w:rsid w:val="00A65424"/>
    <w:rsid w:val="00A659D0"/>
    <w:rsid w:val="00A65BCA"/>
    <w:rsid w:val="00A66B56"/>
    <w:rsid w:val="00A67E1F"/>
    <w:rsid w:val="00A70936"/>
    <w:rsid w:val="00A70D68"/>
    <w:rsid w:val="00A71B70"/>
    <w:rsid w:val="00A71C97"/>
    <w:rsid w:val="00A71D20"/>
    <w:rsid w:val="00A72108"/>
    <w:rsid w:val="00A72875"/>
    <w:rsid w:val="00A72A35"/>
    <w:rsid w:val="00A74E9A"/>
    <w:rsid w:val="00A74ED2"/>
    <w:rsid w:val="00A756DD"/>
    <w:rsid w:val="00A75DCD"/>
    <w:rsid w:val="00A75F4D"/>
    <w:rsid w:val="00A76204"/>
    <w:rsid w:val="00A7633A"/>
    <w:rsid w:val="00A77275"/>
    <w:rsid w:val="00A775A5"/>
    <w:rsid w:val="00A77894"/>
    <w:rsid w:val="00A77B34"/>
    <w:rsid w:val="00A8040F"/>
    <w:rsid w:val="00A80E3D"/>
    <w:rsid w:val="00A80FB7"/>
    <w:rsid w:val="00A81150"/>
    <w:rsid w:val="00A8135C"/>
    <w:rsid w:val="00A818B3"/>
    <w:rsid w:val="00A818E1"/>
    <w:rsid w:val="00A81C84"/>
    <w:rsid w:val="00A828D5"/>
    <w:rsid w:val="00A832BD"/>
    <w:rsid w:val="00A83463"/>
    <w:rsid w:val="00A8373E"/>
    <w:rsid w:val="00A8425E"/>
    <w:rsid w:val="00A84895"/>
    <w:rsid w:val="00A84FBC"/>
    <w:rsid w:val="00A858EE"/>
    <w:rsid w:val="00A865C9"/>
    <w:rsid w:val="00A86C25"/>
    <w:rsid w:val="00A875C5"/>
    <w:rsid w:val="00A90FE5"/>
    <w:rsid w:val="00A910FC"/>
    <w:rsid w:val="00A91250"/>
    <w:rsid w:val="00A91465"/>
    <w:rsid w:val="00A921BD"/>
    <w:rsid w:val="00A923D2"/>
    <w:rsid w:val="00A92BEB"/>
    <w:rsid w:val="00A92DB6"/>
    <w:rsid w:val="00A9307D"/>
    <w:rsid w:val="00A93170"/>
    <w:rsid w:val="00A9342F"/>
    <w:rsid w:val="00A94551"/>
    <w:rsid w:val="00A9469C"/>
    <w:rsid w:val="00A9475D"/>
    <w:rsid w:val="00A94E0B"/>
    <w:rsid w:val="00A95221"/>
    <w:rsid w:val="00A955E1"/>
    <w:rsid w:val="00A95D5E"/>
    <w:rsid w:val="00A96735"/>
    <w:rsid w:val="00A96A40"/>
    <w:rsid w:val="00A96C59"/>
    <w:rsid w:val="00A96DDB"/>
    <w:rsid w:val="00A97785"/>
    <w:rsid w:val="00AA0880"/>
    <w:rsid w:val="00AA0BA9"/>
    <w:rsid w:val="00AA0E74"/>
    <w:rsid w:val="00AA0F15"/>
    <w:rsid w:val="00AA172C"/>
    <w:rsid w:val="00AA18F1"/>
    <w:rsid w:val="00AA195B"/>
    <w:rsid w:val="00AA298F"/>
    <w:rsid w:val="00AA4420"/>
    <w:rsid w:val="00AA470A"/>
    <w:rsid w:val="00AA48C7"/>
    <w:rsid w:val="00AA4916"/>
    <w:rsid w:val="00AA5947"/>
    <w:rsid w:val="00AA5A27"/>
    <w:rsid w:val="00AA64C1"/>
    <w:rsid w:val="00AA68AD"/>
    <w:rsid w:val="00AA6C77"/>
    <w:rsid w:val="00AA774A"/>
    <w:rsid w:val="00AA7E01"/>
    <w:rsid w:val="00AB0463"/>
    <w:rsid w:val="00AB0F0C"/>
    <w:rsid w:val="00AB10BB"/>
    <w:rsid w:val="00AB11E5"/>
    <w:rsid w:val="00AB168C"/>
    <w:rsid w:val="00AB1B45"/>
    <w:rsid w:val="00AB1FAF"/>
    <w:rsid w:val="00AB1FDD"/>
    <w:rsid w:val="00AB349B"/>
    <w:rsid w:val="00AB4CD5"/>
    <w:rsid w:val="00AB4DD1"/>
    <w:rsid w:val="00AB6729"/>
    <w:rsid w:val="00AB6950"/>
    <w:rsid w:val="00AB6FBD"/>
    <w:rsid w:val="00AB7080"/>
    <w:rsid w:val="00AB7BA4"/>
    <w:rsid w:val="00AC04B8"/>
    <w:rsid w:val="00AC076B"/>
    <w:rsid w:val="00AC0DC1"/>
    <w:rsid w:val="00AC0E0E"/>
    <w:rsid w:val="00AC1210"/>
    <w:rsid w:val="00AC2965"/>
    <w:rsid w:val="00AC2AD1"/>
    <w:rsid w:val="00AC38B5"/>
    <w:rsid w:val="00AC3F11"/>
    <w:rsid w:val="00AC4003"/>
    <w:rsid w:val="00AC406E"/>
    <w:rsid w:val="00AC419D"/>
    <w:rsid w:val="00AC49F5"/>
    <w:rsid w:val="00AC4BF1"/>
    <w:rsid w:val="00AC4ED0"/>
    <w:rsid w:val="00AC697D"/>
    <w:rsid w:val="00AC6C2A"/>
    <w:rsid w:val="00AC78B9"/>
    <w:rsid w:val="00AD09C9"/>
    <w:rsid w:val="00AD1C21"/>
    <w:rsid w:val="00AD1C25"/>
    <w:rsid w:val="00AD1F12"/>
    <w:rsid w:val="00AD2041"/>
    <w:rsid w:val="00AD21C5"/>
    <w:rsid w:val="00AD2423"/>
    <w:rsid w:val="00AD2D10"/>
    <w:rsid w:val="00AD3AEC"/>
    <w:rsid w:val="00AD3E8E"/>
    <w:rsid w:val="00AD3EFB"/>
    <w:rsid w:val="00AD5BE3"/>
    <w:rsid w:val="00AD6F19"/>
    <w:rsid w:val="00AD6F59"/>
    <w:rsid w:val="00AD73ED"/>
    <w:rsid w:val="00AD76C5"/>
    <w:rsid w:val="00AD7F5D"/>
    <w:rsid w:val="00AE0090"/>
    <w:rsid w:val="00AE024E"/>
    <w:rsid w:val="00AE0944"/>
    <w:rsid w:val="00AE109A"/>
    <w:rsid w:val="00AE1140"/>
    <w:rsid w:val="00AE1252"/>
    <w:rsid w:val="00AE1955"/>
    <w:rsid w:val="00AE1B47"/>
    <w:rsid w:val="00AE1BCB"/>
    <w:rsid w:val="00AE1BD4"/>
    <w:rsid w:val="00AE21AC"/>
    <w:rsid w:val="00AE3D94"/>
    <w:rsid w:val="00AE4489"/>
    <w:rsid w:val="00AE46D7"/>
    <w:rsid w:val="00AE4AED"/>
    <w:rsid w:val="00AE4C36"/>
    <w:rsid w:val="00AE5279"/>
    <w:rsid w:val="00AE54BE"/>
    <w:rsid w:val="00AE551E"/>
    <w:rsid w:val="00AE60E3"/>
    <w:rsid w:val="00AE6B82"/>
    <w:rsid w:val="00AE710B"/>
    <w:rsid w:val="00AE726E"/>
    <w:rsid w:val="00AE74A3"/>
    <w:rsid w:val="00AF0F34"/>
    <w:rsid w:val="00AF15E0"/>
    <w:rsid w:val="00AF18E4"/>
    <w:rsid w:val="00AF19E7"/>
    <w:rsid w:val="00AF1C8D"/>
    <w:rsid w:val="00AF1CE7"/>
    <w:rsid w:val="00AF1D3E"/>
    <w:rsid w:val="00AF2696"/>
    <w:rsid w:val="00AF2760"/>
    <w:rsid w:val="00AF2E89"/>
    <w:rsid w:val="00AF3437"/>
    <w:rsid w:val="00AF3C10"/>
    <w:rsid w:val="00AF402B"/>
    <w:rsid w:val="00AF484A"/>
    <w:rsid w:val="00AF4D64"/>
    <w:rsid w:val="00AF4DBB"/>
    <w:rsid w:val="00AF5337"/>
    <w:rsid w:val="00AF5F4E"/>
    <w:rsid w:val="00AF6091"/>
    <w:rsid w:val="00AF6D4C"/>
    <w:rsid w:val="00AF6E1A"/>
    <w:rsid w:val="00AF7AD9"/>
    <w:rsid w:val="00AF7CCE"/>
    <w:rsid w:val="00B005D5"/>
    <w:rsid w:val="00B00B59"/>
    <w:rsid w:val="00B00FA0"/>
    <w:rsid w:val="00B0110D"/>
    <w:rsid w:val="00B01313"/>
    <w:rsid w:val="00B015B9"/>
    <w:rsid w:val="00B01A2A"/>
    <w:rsid w:val="00B01DAA"/>
    <w:rsid w:val="00B02FDF"/>
    <w:rsid w:val="00B03352"/>
    <w:rsid w:val="00B035C0"/>
    <w:rsid w:val="00B03955"/>
    <w:rsid w:val="00B03BEC"/>
    <w:rsid w:val="00B04422"/>
    <w:rsid w:val="00B04701"/>
    <w:rsid w:val="00B04762"/>
    <w:rsid w:val="00B04C4B"/>
    <w:rsid w:val="00B051C8"/>
    <w:rsid w:val="00B0597C"/>
    <w:rsid w:val="00B062DC"/>
    <w:rsid w:val="00B0724A"/>
    <w:rsid w:val="00B07D48"/>
    <w:rsid w:val="00B104F3"/>
    <w:rsid w:val="00B10A31"/>
    <w:rsid w:val="00B118E7"/>
    <w:rsid w:val="00B11C2A"/>
    <w:rsid w:val="00B11F5A"/>
    <w:rsid w:val="00B12378"/>
    <w:rsid w:val="00B127C0"/>
    <w:rsid w:val="00B12AEC"/>
    <w:rsid w:val="00B132FE"/>
    <w:rsid w:val="00B1358D"/>
    <w:rsid w:val="00B13A92"/>
    <w:rsid w:val="00B13C4E"/>
    <w:rsid w:val="00B14531"/>
    <w:rsid w:val="00B152B6"/>
    <w:rsid w:val="00B15BCE"/>
    <w:rsid w:val="00B15D0E"/>
    <w:rsid w:val="00B16851"/>
    <w:rsid w:val="00B16A35"/>
    <w:rsid w:val="00B16A46"/>
    <w:rsid w:val="00B17706"/>
    <w:rsid w:val="00B17AE1"/>
    <w:rsid w:val="00B212DD"/>
    <w:rsid w:val="00B21951"/>
    <w:rsid w:val="00B21B5B"/>
    <w:rsid w:val="00B2215C"/>
    <w:rsid w:val="00B222A2"/>
    <w:rsid w:val="00B222AE"/>
    <w:rsid w:val="00B23678"/>
    <w:rsid w:val="00B23B3F"/>
    <w:rsid w:val="00B253C6"/>
    <w:rsid w:val="00B25BE6"/>
    <w:rsid w:val="00B26138"/>
    <w:rsid w:val="00B26B5A"/>
    <w:rsid w:val="00B270B0"/>
    <w:rsid w:val="00B274AF"/>
    <w:rsid w:val="00B2798C"/>
    <w:rsid w:val="00B3034B"/>
    <w:rsid w:val="00B30580"/>
    <w:rsid w:val="00B307B3"/>
    <w:rsid w:val="00B309D2"/>
    <w:rsid w:val="00B313E0"/>
    <w:rsid w:val="00B319F8"/>
    <w:rsid w:val="00B3254D"/>
    <w:rsid w:val="00B32BEC"/>
    <w:rsid w:val="00B338A7"/>
    <w:rsid w:val="00B33D94"/>
    <w:rsid w:val="00B34ED9"/>
    <w:rsid w:val="00B358E2"/>
    <w:rsid w:val="00B35BB4"/>
    <w:rsid w:val="00B3606A"/>
    <w:rsid w:val="00B3612E"/>
    <w:rsid w:val="00B364BC"/>
    <w:rsid w:val="00B36931"/>
    <w:rsid w:val="00B37036"/>
    <w:rsid w:val="00B37223"/>
    <w:rsid w:val="00B37368"/>
    <w:rsid w:val="00B37B45"/>
    <w:rsid w:val="00B37DC1"/>
    <w:rsid w:val="00B3CC0E"/>
    <w:rsid w:val="00B40B19"/>
    <w:rsid w:val="00B4112B"/>
    <w:rsid w:val="00B41D70"/>
    <w:rsid w:val="00B41D85"/>
    <w:rsid w:val="00B42801"/>
    <w:rsid w:val="00B42B70"/>
    <w:rsid w:val="00B430C4"/>
    <w:rsid w:val="00B43304"/>
    <w:rsid w:val="00B43770"/>
    <w:rsid w:val="00B440E3"/>
    <w:rsid w:val="00B44B33"/>
    <w:rsid w:val="00B46487"/>
    <w:rsid w:val="00B464D5"/>
    <w:rsid w:val="00B46B08"/>
    <w:rsid w:val="00B46B15"/>
    <w:rsid w:val="00B47261"/>
    <w:rsid w:val="00B4742A"/>
    <w:rsid w:val="00B478D2"/>
    <w:rsid w:val="00B47921"/>
    <w:rsid w:val="00B47D54"/>
    <w:rsid w:val="00B47E7A"/>
    <w:rsid w:val="00B502E2"/>
    <w:rsid w:val="00B5075C"/>
    <w:rsid w:val="00B512D0"/>
    <w:rsid w:val="00B5137E"/>
    <w:rsid w:val="00B514DA"/>
    <w:rsid w:val="00B51CFF"/>
    <w:rsid w:val="00B523BB"/>
    <w:rsid w:val="00B525BD"/>
    <w:rsid w:val="00B52993"/>
    <w:rsid w:val="00B52C7A"/>
    <w:rsid w:val="00B52D7D"/>
    <w:rsid w:val="00B537FF"/>
    <w:rsid w:val="00B541F5"/>
    <w:rsid w:val="00B54727"/>
    <w:rsid w:val="00B54F85"/>
    <w:rsid w:val="00B55B97"/>
    <w:rsid w:val="00B55D9E"/>
    <w:rsid w:val="00B56B7A"/>
    <w:rsid w:val="00B56BFA"/>
    <w:rsid w:val="00B578AD"/>
    <w:rsid w:val="00B57A3F"/>
    <w:rsid w:val="00B60CC8"/>
    <w:rsid w:val="00B61022"/>
    <w:rsid w:val="00B614C3"/>
    <w:rsid w:val="00B619CF"/>
    <w:rsid w:val="00B61D68"/>
    <w:rsid w:val="00B6265B"/>
    <w:rsid w:val="00B63243"/>
    <w:rsid w:val="00B63367"/>
    <w:rsid w:val="00B638EE"/>
    <w:rsid w:val="00B639EE"/>
    <w:rsid w:val="00B644FB"/>
    <w:rsid w:val="00B6486E"/>
    <w:rsid w:val="00B64B18"/>
    <w:rsid w:val="00B64D27"/>
    <w:rsid w:val="00B65435"/>
    <w:rsid w:val="00B658E4"/>
    <w:rsid w:val="00B65F74"/>
    <w:rsid w:val="00B666DE"/>
    <w:rsid w:val="00B66FFE"/>
    <w:rsid w:val="00B671B3"/>
    <w:rsid w:val="00B67B0B"/>
    <w:rsid w:val="00B67DA7"/>
    <w:rsid w:val="00B70477"/>
    <w:rsid w:val="00B70E6B"/>
    <w:rsid w:val="00B710BA"/>
    <w:rsid w:val="00B7131C"/>
    <w:rsid w:val="00B71B7D"/>
    <w:rsid w:val="00B747CC"/>
    <w:rsid w:val="00B747E8"/>
    <w:rsid w:val="00B74813"/>
    <w:rsid w:val="00B74B3D"/>
    <w:rsid w:val="00B74F96"/>
    <w:rsid w:val="00B754FC"/>
    <w:rsid w:val="00B7616E"/>
    <w:rsid w:val="00B762E8"/>
    <w:rsid w:val="00B7650E"/>
    <w:rsid w:val="00B765FF"/>
    <w:rsid w:val="00B767F9"/>
    <w:rsid w:val="00B76B73"/>
    <w:rsid w:val="00B76F74"/>
    <w:rsid w:val="00B77488"/>
    <w:rsid w:val="00B775C0"/>
    <w:rsid w:val="00B77743"/>
    <w:rsid w:val="00B77E10"/>
    <w:rsid w:val="00B77FA7"/>
    <w:rsid w:val="00B8004F"/>
    <w:rsid w:val="00B80156"/>
    <w:rsid w:val="00B80823"/>
    <w:rsid w:val="00B80A30"/>
    <w:rsid w:val="00B80BB5"/>
    <w:rsid w:val="00B81045"/>
    <w:rsid w:val="00B81B7E"/>
    <w:rsid w:val="00B81D96"/>
    <w:rsid w:val="00B820FE"/>
    <w:rsid w:val="00B831A2"/>
    <w:rsid w:val="00B836F3"/>
    <w:rsid w:val="00B8376A"/>
    <w:rsid w:val="00B838BD"/>
    <w:rsid w:val="00B8410A"/>
    <w:rsid w:val="00B84218"/>
    <w:rsid w:val="00B842D4"/>
    <w:rsid w:val="00B84CC9"/>
    <w:rsid w:val="00B857C3"/>
    <w:rsid w:val="00B85853"/>
    <w:rsid w:val="00B85D6A"/>
    <w:rsid w:val="00B87097"/>
    <w:rsid w:val="00B907B6"/>
    <w:rsid w:val="00B90A11"/>
    <w:rsid w:val="00B910D9"/>
    <w:rsid w:val="00B92533"/>
    <w:rsid w:val="00B92555"/>
    <w:rsid w:val="00B933A0"/>
    <w:rsid w:val="00B93792"/>
    <w:rsid w:val="00B93E75"/>
    <w:rsid w:val="00B93F71"/>
    <w:rsid w:val="00B942CB"/>
    <w:rsid w:val="00B9457C"/>
    <w:rsid w:val="00B94D3B"/>
    <w:rsid w:val="00B950EA"/>
    <w:rsid w:val="00B95110"/>
    <w:rsid w:val="00B952ED"/>
    <w:rsid w:val="00B957E2"/>
    <w:rsid w:val="00B95BC9"/>
    <w:rsid w:val="00B95D10"/>
    <w:rsid w:val="00B95F4C"/>
    <w:rsid w:val="00B9600C"/>
    <w:rsid w:val="00B9664D"/>
    <w:rsid w:val="00B96DE1"/>
    <w:rsid w:val="00B96DF5"/>
    <w:rsid w:val="00B9726D"/>
    <w:rsid w:val="00B97AA3"/>
    <w:rsid w:val="00B97CF9"/>
    <w:rsid w:val="00BA00E0"/>
    <w:rsid w:val="00BA03D1"/>
    <w:rsid w:val="00BA04C3"/>
    <w:rsid w:val="00BA1CDE"/>
    <w:rsid w:val="00BA1FDD"/>
    <w:rsid w:val="00BA34F1"/>
    <w:rsid w:val="00BA486D"/>
    <w:rsid w:val="00BA497C"/>
    <w:rsid w:val="00BA49F7"/>
    <w:rsid w:val="00BA4CE7"/>
    <w:rsid w:val="00BA5489"/>
    <w:rsid w:val="00BA643F"/>
    <w:rsid w:val="00BA680B"/>
    <w:rsid w:val="00BA6817"/>
    <w:rsid w:val="00BA74B5"/>
    <w:rsid w:val="00BA7F52"/>
    <w:rsid w:val="00BB147E"/>
    <w:rsid w:val="00BB1907"/>
    <w:rsid w:val="00BB1933"/>
    <w:rsid w:val="00BB1D71"/>
    <w:rsid w:val="00BB2648"/>
    <w:rsid w:val="00BB26BD"/>
    <w:rsid w:val="00BB2B11"/>
    <w:rsid w:val="00BB2F11"/>
    <w:rsid w:val="00BB2FCD"/>
    <w:rsid w:val="00BB33B5"/>
    <w:rsid w:val="00BB347C"/>
    <w:rsid w:val="00BB36AB"/>
    <w:rsid w:val="00BB3819"/>
    <w:rsid w:val="00BB3B21"/>
    <w:rsid w:val="00BB3FEC"/>
    <w:rsid w:val="00BB40C0"/>
    <w:rsid w:val="00BB40E8"/>
    <w:rsid w:val="00BB4448"/>
    <w:rsid w:val="00BB4BB8"/>
    <w:rsid w:val="00BB4C80"/>
    <w:rsid w:val="00BB513C"/>
    <w:rsid w:val="00BB54D8"/>
    <w:rsid w:val="00BB61C0"/>
    <w:rsid w:val="00BB633A"/>
    <w:rsid w:val="00BB6E2C"/>
    <w:rsid w:val="00BB70DE"/>
    <w:rsid w:val="00BB73B3"/>
    <w:rsid w:val="00BB7862"/>
    <w:rsid w:val="00BB7DED"/>
    <w:rsid w:val="00BC048E"/>
    <w:rsid w:val="00BC0BC2"/>
    <w:rsid w:val="00BC0F39"/>
    <w:rsid w:val="00BC11B4"/>
    <w:rsid w:val="00BC155C"/>
    <w:rsid w:val="00BC1928"/>
    <w:rsid w:val="00BC21EF"/>
    <w:rsid w:val="00BC23D4"/>
    <w:rsid w:val="00BC24A6"/>
    <w:rsid w:val="00BC29F2"/>
    <w:rsid w:val="00BC2B2A"/>
    <w:rsid w:val="00BC2DF2"/>
    <w:rsid w:val="00BC33B2"/>
    <w:rsid w:val="00BC35E4"/>
    <w:rsid w:val="00BC45C3"/>
    <w:rsid w:val="00BC4DE6"/>
    <w:rsid w:val="00BC4F03"/>
    <w:rsid w:val="00BC4F6C"/>
    <w:rsid w:val="00BC64B9"/>
    <w:rsid w:val="00BC6C05"/>
    <w:rsid w:val="00BC733D"/>
    <w:rsid w:val="00BC7923"/>
    <w:rsid w:val="00BD0C1D"/>
    <w:rsid w:val="00BD0F93"/>
    <w:rsid w:val="00BD11DD"/>
    <w:rsid w:val="00BD156C"/>
    <w:rsid w:val="00BD1BF2"/>
    <w:rsid w:val="00BD1E5D"/>
    <w:rsid w:val="00BD2ADC"/>
    <w:rsid w:val="00BD2C54"/>
    <w:rsid w:val="00BD39A4"/>
    <w:rsid w:val="00BD451F"/>
    <w:rsid w:val="00BD4F23"/>
    <w:rsid w:val="00BD6000"/>
    <w:rsid w:val="00BD6214"/>
    <w:rsid w:val="00BD7078"/>
    <w:rsid w:val="00BD74C4"/>
    <w:rsid w:val="00BD754B"/>
    <w:rsid w:val="00BD7AA5"/>
    <w:rsid w:val="00BD7F41"/>
    <w:rsid w:val="00BE00D2"/>
    <w:rsid w:val="00BE0255"/>
    <w:rsid w:val="00BE0289"/>
    <w:rsid w:val="00BE04D4"/>
    <w:rsid w:val="00BE06DF"/>
    <w:rsid w:val="00BE0A3C"/>
    <w:rsid w:val="00BE0A55"/>
    <w:rsid w:val="00BE0B68"/>
    <w:rsid w:val="00BE1582"/>
    <w:rsid w:val="00BE168A"/>
    <w:rsid w:val="00BE169A"/>
    <w:rsid w:val="00BE19F2"/>
    <w:rsid w:val="00BE1C81"/>
    <w:rsid w:val="00BE22AC"/>
    <w:rsid w:val="00BE2349"/>
    <w:rsid w:val="00BE25CA"/>
    <w:rsid w:val="00BE28A7"/>
    <w:rsid w:val="00BE2B31"/>
    <w:rsid w:val="00BE3069"/>
    <w:rsid w:val="00BE3330"/>
    <w:rsid w:val="00BE3456"/>
    <w:rsid w:val="00BE3696"/>
    <w:rsid w:val="00BE3B54"/>
    <w:rsid w:val="00BE4672"/>
    <w:rsid w:val="00BE4F0E"/>
    <w:rsid w:val="00BE51D2"/>
    <w:rsid w:val="00BE58C7"/>
    <w:rsid w:val="00BE5CDD"/>
    <w:rsid w:val="00BE5D1E"/>
    <w:rsid w:val="00BE619E"/>
    <w:rsid w:val="00BE6A04"/>
    <w:rsid w:val="00BE6CED"/>
    <w:rsid w:val="00BE6D7A"/>
    <w:rsid w:val="00BE72A1"/>
    <w:rsid w:val="00BF0B5A"/>
    <w:rsid w:val="00BF0CD3"/>
    <w:rsid w:val="00BF1027"/>
    <w:rsid w:val="00BF1601"/>
    <w:rsid w:val="00BF1865"/>
    <w:rsid w:val="00BF21E4"/>
    <w:rsid w:val="00BF2690"/>
    <w:rsid w:val="00BF2B6B"/>
    <w:rsid w:val="00BF3008"/>
    <w:rsid w:val="00BF360B"/>
    <w:rsid w:val="00BF36F0"/>
    <w:rsid w:val="00BF3BA6"/>
    <w:rsid w:val="00BF3E5F"/>
    <w:rsid w:val="00BF40AB"/>
    <w:rsid w:val="00BF4640"/>
    <w:rsid w:val="00BF481F"/>
    <w:rsid w:val="00BF4C7D"/>
    <w:rsid w:val="00BF4D55"/>
    <w:rsid w:val="00BF5300"/>
    <w:rsid w:val="00BF5561"/>
    <w:rsid w:val="00BF561B"/>
    <w:rsid w:val="00BF5A1F"/>
    <w:rsid w:val="00BF5B58"/>
    <w:rsid w:val="00BF5BB0"/>
    <w:rsid w:val="00BF5C19"/>
    <w:rsid w:val="00BF6F1B"/>
    <w:rsid w:val="00C01836"/>
    <w:rsid w:val="00C01ADA"/>
    <w:rsid w:val="00C0244A"/>
    <w:rsid w:val="00C025B7"/>
    <w:rsid w:val="00C0291E"/>
    <w:rsid w:val="00C02E2C"/>
    <w:rsid w:val="00C03BA3"/>
    <w:rsid w:val="00C03BE3"/>
    <w:rsid w:val="00C041C2"/>
    <w:rsid w:val="00C04378"/>
    <w:rsid w:val="00C04713"/>
    <w:rsid w:val="00C0484F"/>
    <w:rsid w:val="00C05799"/>
    <w:rsid w:val="00C06314"/>
    <w:rsid w:val="00C06C85"/>
    <w:rsid w:val="00C10028"/>
    <w:rsid w:val="00C114AF"/>
    <w:rsid w:val="00C130EF"/>
    <w:rsid w:val="00C1387B"/>
    <w:rsid w:val="00C1407B"/>
    <w:rsid w:val="00C15393"/>
    <w:rsid w:val="00C15987"/>
    <w:rsid w:val="00C16BFB"/>
    <w:rsid w:val="00C1700C"/>
    <w:rsid w:val="00C1710A"/>
    <w:rsid w:val="00C175E2"/>
    <w:rsid w:val="00C179BE"/>
    <w:rsid w:val="00C17F6C"/>
    <w:rsid w:val="00C200C2"/>
    <w:rsid w:val="00C20555"/>
    <w:rsid w:val="00C207BD"/>
    <w:rsid w:val="00C20811"/>
    <w:rsid w:val="00C20AAD"/>
    <w:rsid w:val="00C21607"/>
    <w:rsid w:val="00C21720"/>
    <w:rsid w:val="00C21B8E"/>
    <w:rsid w:val="00C22C8E"/>
    <w:rsid w:val="00C22DD3"/>
    <w:rsid w:val="00C231FB"/>
    <w:rsid w:val="00C239E0"/>
    <w:rsid w:val="00C23EE7"/>
    <w:rsid w:val="00C2522B"/>
    <w:rsid w:val="00C25B39"/>
    <w:rsid w:val="00C25D46"/>
    <w:rsid w:val="00C25F15"/>
    <w:rsid w:val="00C26084"/>
    <w:rsid w:val="00C2659E"/>
    <w:rsid w:val="00C2661D"/>
    <w:rsid w:val="00C26A71"/>
    <w:rsid w:val="00C26EA3"/>
    <w:rsid w:val="00C271A7"/>
    <w:rsid w:val="00C277FA"/>
    <w:rsid w:val="00C303A8"/>
    <w:rsid w:val="00C30ACC"/>
    <w:rsid w:val="00C30F41"/>
    <w:rsid w:val="00C31294"/>
    <w:rsid w:val="00C3189F"/>
    <w:rsid w:val="00C31A08"/>
    <w:rsid w:val="00C31D7E"/>
    <w:rsid w:val="00C325C5"/>
    <w:rsid w:val="00C32B6D"/>
    <w:rsid w:val="00C32F97"/>
    <w:rsid w:val="00C33AC2"/>
    <w:rsid w:val="00C34612"/>
    <w:rsid w:val="00C34630"/>
    <w:rsid w:val="00C3497C"/>
    <w:rsid w:val="00C34CDD"/>
    <w:rsid w:val="00C34D6E"/>
    <w:rsid w:val="00C35015"/>
    <w:rsid w:val="00C353EF"/>
    <w:rsid w:val="00C35BD6"/>
    <w:rsid w:val="00C378C4"/>
    <w:rsid w:val="00C40372"/>
    <w:rsid w:val="00C403BB"/>
    <w:rsid w:val="00C403CA"/>
    <w:rsid w:val="00C407E1"/>
    <w:rsid w:val="00C408AA"/>
    <w:rsid w:val="00C40B23"/>
    <w:rsid w:val="00C41690"/>
    <w:rsid w:val="00C416F1"/>
    <w:rsid w:val="00C42209"/>
    <w:rsid w:val="00C42270"/>
    <w:rsid w:val="00C425F2"/>
    <w:rsid w:val="00C42BD5"/>
    <w:rsid w:val="00C44BE3"/>
    <w:rsid w:val="00C45366"/>
    <w:rsid w:val="00C4566F"/>
    <w:rsid w:val="00C45AB2"/>
    <w:rsid w:val="00C45E48"/>
    <w:rsid w:val="00C464B9"/>
    <w:rsid w:val="00C46FBB"/>
    <w:rsid w:val="00C47487"/>
    <w:rsid w:val="00C47CF2"/>
    <w:rsid w:val="00C500EE"/>
    <w:rsid w:val="00C50448"/>
    <w:rsid w:val="00C50D78"/>
    <w:rsid w:val="00C50DEB"/>
    <w:rsid w:val="00C50E81"/>
    <w:rsid w:val="00C51733"/>
    <w:rsid w:val="00C51D6C"/>
    <w:rsid w:val="00C51E8B"/>
    <w:rsid w:val="00C524DA"/>
    <w:rsid w:val="00C529C8"/>
    <w:rsid w:val="00C535B4"/>
    <w:rsid w:val="00C5386D"/>
    <w:rsid w:val="00C53B32"/>
    <w:rsid w:val="00C53DE8"/>
    <w:rsid w:val="00C53F7C"/>
    <w:rsid w:val="00C54F2D"/>
    <w:rsid w:val="00C54F65"/>
    <w:rsid w:val="00C55217"/>
    <w:rsid w:val="00C55887"/>
    <w:rsid w:val="00C55C1A"/>
    <w:rsid w:val="00C5623B"/>
    <w:rsid w:val="00C56626"/>
    <w:rsid w:val="00C56AE2"/>
    <w:rsid w:val="00C5782E"/>
    <w:rsid w:val="00C6031A"/>
    <w:rsid w:val="00C61BDA"/>
    <w:rsid w:val="00C62750"/>
    <w:rsid w:val="00C627A8"/>
    <w:rsid w:val="00C62835"/>
    <w:rsid w:val="00C62A75"/>
    <w:rsid w:val="00C63B14"/>
    <w:rsid w:val="00C64192"/>
    <w:rsid w:val="00C646F6"/>
    <w:rsid w:val="00C64A54"/>
    <w:rsid w:val="00C64D60"/>
    <w:rsid w:val="00C65570"/>
    <w:rsid w:val="00C6622F"/>
    <w:rsid w:val="00C66CFD"/>
    <w:rsid w:val="00C67404"/>
    <w:rsid w:val="00C67629"/>
    <w:rsid w:val="00C67939"/>
    <w:rsid w:val="00C67CEA"/>
    <w:rsid w:val="00C7104F"/>
    <w:rsid w:val="00C719A1"/>
    <w:rsid w:val="00C71AA2"/>
    <w:rsid w:val="00C722C9"/>
    <w:rsid w:val="00C72A6F"/>
    <w:rsid w:val="00C72B50"/>
    <w:rsid w:val="00C73271"/>
    <w:rsid w:val="00C734EC"/>
    <w:rsid w:val="00C73734"/>
    <w:rsid w:val="00C74402"/>
    <w:rsid w:val="00C7582C"/>
    <w:rsid w:val="00C75E23"/>
    <w:rsid w:val="00C75EE9"/>
    <w:rsid w:val="00C76D2E"/>
    <w:rsid w:val="00C77CB8"/>
    <w:rsid w:val="00C80110"/>
    <w:rsid w:val="00C80B38"/>
    <w:rsid w:val="00C80DF3"/>
    <w:rsid w:val="00C812ED"/>
    <w:rsid w:val="00C8134C"/>
    <w:rsid w:val="00C825C1"/>
    <w:rsid w:val="00C825DB"/>
    <w:rsid w:val="00C82818"/>
    <w:rsid w:val="00C8375F"/>
    <w:rsid w:val="00C83F4A"/>
    <w:rsid w:val="00C83FBF"/>
    <w:rsid w:val="00C8453E"/>
    <w:rsid w:val="00C84942"/>
    <w:rsid w:val="00C85307"/>
    <w:rsid w:val="00C8616F"/>
    <w:rsid w:val="00C86308"/>
    <w:rsid w:val="00C86856"/>
    <w:rsid w:val="00C87454"/>
    <w:rsid w:val="00C8782D"/>
    <w:rsid w:val="00C87B87"/>
    <w:rsid w:val="00C90366"/>
    <w:rsid w:val="00C905BB"/>
    <w:rsid w:val="00C908CC"/>
    <w:rsid w:val="00C90CE2"/>
    <w:rsid w:val="00C91544"/>
    <w:rsid w:val="00C915CB"/>
    <w:rsid w:val="00C915FD"/>
    <w:rsid w:val="00C91768"/>
    <w:rsid w:val="00C91964"/>
    <w:rsid w:val="00C91D85"/>
    <w:rsid w:val="00C91DF5"/>
    <w:rsid w:val="00C92E36"/>
    <w:rsid w:val="00C93A63"/>
    <w:rsid w:val="00C93B44"/>
    <w:rsid w:val="00C941BE"/>
    <w:rsid w:val="00C94656"/>
    <w:rsid w:val="00C946E6"/>
    <w:rsid w:val="00C94757"/>
    <w:rsid w:val="00C948BD"/>
    <w:rsid w:val="00C94A80"/>
    <w:rsid w:val="00C952D4"/>
    <w:rsid w:val="00C95504"/>
    <w:rsid w:val="00C9550A"/>
    <w:rsid w:val="00C96B13"/>
    <w:rsid w:val="00C97480"/>
    <w:rsid w:val="00C97670"/>
    <w:rsid w:val="00C97787"/>
    <w:rsid w:val="00C978ED"/>
    <w:rsid w:val="00C97D08"/>
    <w:rsid w:val="00CA0113"/>
    <w:rsid w:val="00CA032D"/>
    <w:rsid w:val="00CA069C"/>
    <w:rsid w:val="00CA09C9"/>
    <w:rsid w:val="00CA0F60"/>
    <w:rsid w:val="00CA1096"/>
    <w:rsid w:val="00CA10BA"/>
    <w:rsid w:val="00CA10BF"/>
    <w:rsid w:val="00CA1342"/>
    <w:rsid w:val="00CA14B5"/>
    <w:rsid w:val="00CA1A61"/>
    <w:rsid w:val="00CA1C1D"/>
    <w:rsid w:val="00CA1DB2"/>
    <w:rsid w:val="00CA2438"/>
    <w:rsid w:val="00CA2758"/>
    <w:rsid w:val="00CA28CA"/>
    <w:rsid w:val="00CA3025"/>
    <w:rsid w:val="00CA32A4"/>
    <w:rsid w:val="00CA33C6"/>
    <w:rsid w:val="00CA3556"/>
    <w:rsid w:val="00CA3A3B"/>
    <w:rsid w:val="00CA4C26"/>
    <w:rsid w:val="00CA4C46"/>
    <w:rsid w:val="00CA4E52"/>
    <w:rsid w:val="00CA503A"/>
    <w:rsid w:val="00CA510C"/>
    <w:rsid w:val="00CA5AF4"/>
    <w:rsid w:val="00CA5B73"/>
    <w:rsid w:val="00CA5C72"/>
    <w:rsid w:val="00CA5D7E"/>
    <w:rsid w:val="00CA6080"/>
    <w:rsid w:val="00CA63EF"/>
    <w:rsid w:val="00CA6DCF"/>
    <w:rsid w:val="00CA7441"/>
    <w:rsid w:val="00CA7777"/>
    <w:rsid w:val="00CA7D56"/>
    <w:rsid w:val="00CB0023"/>
    <w:rsid w:val="00CB0626"/>
    <w:rsid w:val="00CB0B58"/>
    <w:rsid w:val="00CB112C"/>
    <w:rsid w:val="00CB19FD"/>
    <w:rsid w:val="00CB1F98"/>
    <w:rsid w:val="00CB22E6"/>
    <w:rsid w:val="00CB27B3"/>
    <w:rsid w:val="00CB2855"/>
    <w:rsid w:val="00CB2E14"/>
    <w:rsid w:val="00CB30F2"/>
    <w:rsid w:val="00CB3544"/>
    <w:rsid w:val="00CB396F"/>
    <w:rsid w:val="00CB40A8"/>
    <w:rsid w:val="00CB4EC2"/>
    <w:rsid w:val="00CB6315"/>
    <w:rsid w:val="00CB7450"/>
    <w:rsid w:val="00CB7C36"/>
    <w:rsid w:val="00CC09BF"/>
    <w:rsid w:val="00CC0BF4"/>
    <w:rsid w:val="00CC1896"/>
    <w:rsid w:val="00CC2CFC"/>
    <w:rsid w:val="00CC3161"/>
    <w:rsid w:val="00CC3F4F"/>
    <w:rsid w:val="00CC4984"/>
    <w:rsid w:val="00CC4EB8"/>
    <w:rsid w:val="00CC68D8"/>
    <w:rsid w:val="00CC6C6D"/>
    <w:rsid w:val="00CC6E07"/>
    <w:rsid w:val="00CC76A7"/>
    <w:rsid w:val="00CD01EB"/>
    <w:rsid w:val="00CD095D"/>
    <w:rsid w:val="00CD0B3E"/>
    <w:rsid w:val="00CD0CAB"/>
    <w:rsid w:val="00CD0CC8"/>
    <w:rsid w:val="00CD0E20"/>
    <w:rsid w:val="00CD0ECA"/>
    <w:rsid w:val="00CD17F8"/>
    <w:rsid w:val="00CD1B71"/>
    <w:rsid w:val="00CD1C41"/>
    <w:rsid w:val="00CD1CD3"/>
    <w:rsid w:val="00CD20F6"/>
    <w:rsid w:val="00CD27E4"/>
    <w:rsid w:val="00CD3035"/>
    <w:rsid w:val="00CD351F"/>
    <w:rsid w:val="00CD3689"/>
    <w:rsid w:val="00CD396E"/>
    <w:rsid w:val="00CD3A66"/>
    <w:rsid w:val="00CD4300"/>
    <w:rsid w:val="00CD4932"/>
    <w:rsid w:val="00CD4951"/>
    <w:rsid w:val="00CD49F5"/>
    <w:rsid w:val="00CD535C"/>
    <w:rsid w:val="00CD58F4"/>
    <w:rsid w:val="00CD5DBB"/>
    <w:rsid w:val="00CD6E03"/>
    <w:rsid w:val="00CD771B"/>
    <w:rsid w:val="00CD7FBB"/>
    <w:rsid w:val="00CE13CF"/>
    <w:rsid w:val="00CE1E04"/>
    <w:rsid w:val="00CE1FA8"/>
    <w:rsid w:val="00CE2406"/>
    <w:rsid w:val="00CE3826"/>
    <w:rsid w:val="00CE3DE3"/>
    <w:rsid w:val="00CE3E14"/>
    <w:rsid w:val="00CE4516"/>
    <w:rsid w:val="00CE4547"/>
    <w:rsid w:val="00CE4563"/>
    <w:rsid w:val="00CE45D6"/>
    <w:rsid w:val="00CE4ACF"/>
    <w:rsid w:val="00CE5B6E"/>
    <w:rsid w:val="00CE5FE9"/>
    <w:rsid w:val="00CE6003"/>
    <w:rsid w:val="00CE653B"/>
    <w:rsid w:val="00CE69C3"/>
    <w:rsid w:val="00CE7046"/>
    <w:rsid w:val="00CE70C8"/>
    <w:rsid w:val="00CE7230"/>
    <w:rsid w:val="00CE7A21"/>
    <w:rsid w:val="00CE7C83"/>
    <w:rsid w:val="00CF0AEC"/>
    <w:rsid w:val="00CF0BF5"/>
    <w:rsid w:val="00CF106A"/>
    <w:rsid w:val="00CF1A77"/>
    <w:rsid w:val="00CF2102"/>
    <w:rsid w:val="00CF2AF6"/>
    <w:rsid w:val="00CF32DA"/>
    <w:rsid w:val="00CF3DC9"/>
    <w:rsid w:val="00CF488C"/>
    <w:rsid w:val="00CF48A9"/>
    <w:rsid w:val="00CF4BF5"/>
    <w:rsid w:val="00CF58FC"/>
    <w:rsid w:val="00CF5F51"/>
    <w:rsid w:val="00CF63C5"/>
    <w:rsid w:val="00CF6666"/>
    <w:rsid w:val="00CF6E22"/>
    <w:rsid w:val="00CF7C91"/>
    <w:rsid w:val="00CF7CDA"/>
    <w:rsid w:val="00CF7D83"/>
    <w:rsid w:val="00D00283"/>
    <w:rsid w:val="00D00EF4"/>
    <w:rsid w:val="00D00FE3"/>
    <w:rsid w:val="00D011DE"/>
    <w:rsid w:val="00D0193B"/>
    <w:rsid w:val="00D01E28"/>
    <w:rsid w:val="00D02CE0"/>
    <w:rsid w:val="00D030C9"/>
    <w:rsid w:val="00D03BED"/>
    <w:rsid w:val="00D03C48"/>
    <w:rsid w:val="00D03E99"/>
    <w:rsid w:val="00D04111"/>
    <w:rsid w:val="00D04462"/>
    <w:rsid w:val="00D04464"/>
    <w:rsid w:val="00D0548D"/>
    <w:rsid w:val="00D066A1"/>
    <w:rsid w:val="00D06C01"/>
    <w:rsid w:val="00D06D3F"/>
    <w:rsid w:val="00D06D83"/>
    <w:rsid w:val="00D070D8"/>
    <w:rsid w:val="00D07376"/>
    <w:rsid w:val="00D07576"/>
    <w:rsid w:val="00D0790A"/>
    <w:rsid w:val="00D0C459"/>
    <w:rsid w:val="00D10181"/>
    <w:rsid w:val="00D107D1"/>
    <w:rsid w:val="00D11639"/>
    <w:rsid w:val="00D11768"/>
    <w:rsid w:val="00D11823"/>
    <w:rsid w:val="00D126E1"/>
    <w:rsid w:val="00D12F88"/>
    <w:rsid w:val="00D144CE"/>
    <w:rsid w:val="00D14562"/>
    <w:rsid w:val="00D1496B"/>
    <w:rsid w:val="00D14CBE"/>
    <w:rsid w:val="00D15478"/>
    <w:rsid w:val="00D166A0"/>
    <w:rsid w:val="00D166A6"/>
    <w:rsid w:val="00D16FBB"/>
    <w:rsid w:val="00D17FD5"/>
    <w:rsid w:val="00D2098B"/>
    <w:rsid w:val="00D20E71"/>
    <w:rsid w:val="00D2135D"/>
    <w:rsid w:val="00D2140D"/>
    <w:rsid w:val="00D21762"/>
    <w:rsid w:val="00D2186B"/>
    <w:rsid w:val="00D222AC"/>
    <w:rsid w:val="00D222FC"/>
    <w:rsid w:val="00D224FF"/>
    <w:rsid w:val="00D22C1C"/>
    <w:rsid w:val="00D23444"/>
    <w:rsid w:val="00D235AC"/>
    <w:rsid w:val="00D23D26"/>
    <w:rsid w:val="00D23E0E"/>
    <w:rsid w:val="00D2401A"/>
    <w:rsid w:val="00D24234"/>
    <w:rsid w:val="00D25F29"/>
    <w:rsid w:val="00D26770"/>
    <w:rsid w:val="00D26DF9"/>
    <w:rsid w:val="00D27900"/>
    <w:rsid w:val="00D27CCF"/>
    <w:rsid w:val="00D3059A"/>
    <w:rsid w:val="00D30AB1"/>
    <w:rsid w:val="00D31558"/>
    <w:rsid w:val="00D31668"/>
    <w:rsid w:val="00D32664"/>
    <w:rsid w:val="00D32DB7"/>
    <w:rsid w:val="00D33782"/>
    <w:rsid w:val="00D3451B"/>
    <w:rsid w:val="00D349FE"/>
    <w:rsid w:val="00D35A71"/>
    <w:rsid w:val="00D35B51"/>
    <w:rsid w:val="00D35BC5"/>
    <w:rsid w:val="00D35C11"/>
    <w:rsid w:val="00D3602B"/>
    <w:rsid w:val="00D364C5"/>
    <w:rsid w:val="00D36688"/>
    <w:rsid w:val="00D374A3"/>
    <w:rsid w:val="00D37CB6"/>
    <w:rsid w:val="00D405AB"/>
    <w:rsid w:val="00D40B80"/>
    <w:rsid w:val="00D40E33"/>
    <w:rsid w:val="00D41105"/>
    <w:rsid w:val="00D42ECE"/>
    <w:rsid w:val="00D43964"/>
    <w:rsid w:val="00D441D1"/>
    <w:rsid w:val="00D443D5"/>
    <w:rsid w:val="00D4482F"/>
    <w:rsid w:val="00D451D8"/>
    <w:rsid w:val="00D463F7"/>
    <w:rsid w:val="00D469A4"/>
    <w:rsid w:val="00D46A9C"/>
    <w:rsid w:val="00D46B99"/>
    <w:rsid w:val="00D47609"/>
    <w:rsid w:val="00D47734"/>
    <w:rsid w:val="00D47CDB"/>
    <w:rsid w:val="00D47F63"/>
    <w:rsid w:val="00D50050"/>
    <w:rsid w:val="00D505A9"/>
    <w:rsid w:val="00D50841"/>
    <w:rsid w:val="00D509BD"/>
    <w:rsid w:val="00D50BD6"/>
    <w:rsid w:val="00D50D39"/>
    <w:rsid w:val="00D50FD5"/>
    <w:rsid w:val="00D51090"/>
    <w:rsid w:val="00D51144"/>
    <w:rsid w:val="00D523E3"/>
    <w:rsid w:val="00D52B7B"/>
    <w:rsid w:val="00D53119"/>
    <w:rsid w:val="00D53343"/>
    <w:rsid w:val="00D53517"/>
    <w:rsid w:val="00D53593"/>
    <w:rsid w:val="00D53CFF"/>
    <w:rsid w:val="00D53DEE"/>
    <w:rsid w:val="00D54052"/>
    <w:rsid w:val="00D54161"/>
    <w:rsid w:val="00D54315"/>
    <w:rsid w:val="00D5438B"/>
    <w:rsid w:val="00D54C7C"/>
    <w:rsid w:val="00D54DC2"/>
    <w:rsid w:val="00D55975"/>
    <w:rsid w:val="00D55D10"/>
    <w:rsid w:val="00D55D65"/>
    <w:rsid w:val="00D5604A"/>
    <w:rsid w:val="00D563CA"/>
    <w:rsid w:val="00D568B8"/>
    <w:rsid w:val="00D568D9"/>
    <w:rsid w:val="00D57041"/>
    <w:rsid w:val="00D57103"/>
    <w:rsid w:val="00D57425"/>
    <w:rsid w:val="00D57883"/>
    <w:rsid w:val="00D57983"/>
    <w:rsid w:val="00D60063"/>
    <w:rsid w:val="00D600E8"/>
    <w:rsid w:val="00D606C1"/>
    <w:rsid w:val="00D608F5"/>
    <w:rsid w:val="00D60C3B"/>
    <w:rsid w:val="00D60F03"/>
    <w:rsid w:val="00D62261"/>
    <w:rsid w:val="00D62A14"/>
    <w:rsid w:val="00D63A09"/>
    <w:rsid w:val="00D63D8A"/>
    <w:rsid w:val="00D64376"/>
    <w:rsid w:val="00D6461F"/>
    <w:rsid w:val="00D64B41"/>
    <w:rsid w:val="00D64B42"/>
    <w:rsid w:val="00D64CD3"/>
    <w:rsid w:val="00D65016"/>
    <w:rsid w:val="00D66F94"/>
    <w:rsid w:val="00D672FC"/>
    <w:rsid w:val="00D7042F"/>
    <w:rsid w:val="00D70885"/>
    <w:rsid w:val="00D7159E"/>
    <w:rsid w:val="00D715C3"/>
    <w:rsid w:val="00D71851"/>
    <w:rsid w:val="00D719A1"/>
    <w:rsid w:val="00D71B3D"/>
    <w:rsid w:val="00D71EEA"/>
    <w:rsid w:val="00D71F87"/>
    <w:rsid w:val="00D732F3"/>
    <w:rsid w:val="00D73519"/>
    <w:rsid w:val="00D736A1"/>
    <w:rsid w:val="00D74047"/>
    <w:rsid w:val="00D74A87"/>
    <w:rsid w:val="00D75101"/>
    <w:rsid w:val="00D75472"/>
    <w:rsid w:val="00D75686"/>
    <w:rsid w:val="00D75B49"/>
    <w:rsid w:val="00D76EAC"/>
    <w:rsid w:val="00D77F31"/>
    <w:rsid w:val="00D80511"/>
    <w:rsid w:val="00D80758"/>
    <w:rsid w:val="00D81101"/>
    <w:rsid w:val="00D81432"/>
    <w:rsid w:val="00D8178E"/>
    <w:rsid w:val="00D8179B"/>
    <w:rsid w:val="00D81838"/>
    <w:rsid w:val="00D81E40"/>
    <w:rsid w:val="00D81F31"/>
    <w:rsid w:val="00D821AD"/>
    <w:rsid w:val="00D82690"/>
    <w:rsid w:val="00D828DB"/>
    <w:rsid w:val="00D82DDA"/>
    <w:rsid w:val="00D830A8"/>
    <w:rsid w:val="00D83111"/>
    <w:rsid w:val="00D83654"/>
    <w:rsid w:val="00D83A60"/>
    <w:rsid w:val="00D8424F"/>
    <w:rsid w:val="00D8427C"/>
    <w:rsid w:val="00D846C3"/>
    <w:rsid w:val="00D84BEF"/>
    <w:rsid w:val="00D85405"/>
    <w:rsid w:val="00D85406"/>
    <w:rsid w:val="00D85787"/>
    <w:rsid w:val="00D85B3F"/>
    <w:rsid w:val="00D861CC"/>
    <w:rsid w:val="00D8642A"/>
    <w:rsid w:val="00D86708"/>
    <w:rsid w:val="00D86A75"/>
    <w:rsid w:val="00D86B87"/>
    <w:rsid w:val="00D8706F"/>
    <w:rsid w:val="00D87246"/>
    <w:rsid w:val="00D87F43"/>
    <w:rsid w:val="00D9018F"/>
    <w:rsid w:val="00D90463"/>
    <w:rsid w:val="00D907C8"/>
    <w:rsid w:val="00D90809"/>
    <w:rsid w:val="00D90EA8"/>
    <w:rsid w:val="00D913DE"/>
    <w:rsid w:val="00D91423"/>
    <w:rsid w:val="00D91809"/>
    <w:rsid w:val="00D91842"/>
    <w:rsid w:val="00D91BAC"/>
    <w:rsid w:val="00D91D7C"/>
    <w:rsid w:val="00D9208D"/>
    <w:rsid w:val="00D923C6"/>
    <w:rsid w:val="00D93BB2"/>
    <w:rsid w:val="00D93BE4"/>
    <w:rsid w:val="00D93D98"/>
    <w:rsid w:val="00D94591"/>
    <w:rsid w:val="00D94FBA"/>
    <w:rsid w:val="00D950C4"/>
    <w:rsid w:val="00D95265"/>
    <w:rsid w:val="00D9530A"/>
    <w:rsid w:val="00D954C8"/>
    <w:rsid w:val="00D9600A"/>
    <w:rsid w:val="00D966F0"/>
    <w:rsid w:val="00D96D13"/>
    <w:rsid w:val="00D97F97"/>
    <w:rsid w:val="00DA0AC7"/>
    <w:rsid w:val="00DA0F30"/>
    <w:rsid w:val="00DA0FED"/>
    <w:rsid w:val="00DA11CE"/>
    <w:rsid w:val="00DA1318"/>
    <w:rsid w:val="00DA1834"/>
    <w:rsid w:val="00DA1DD7"/>
    <w:rsid w:val="00DA2BB5"/>
    <w:rsid w:val="00DA2F4F"/>
    <w:rsid w:val="00DA330F"/>
    <w:rsid w:val="00DA3D30"/>
    <w:rsid w:val="00DA47C4"/>
    <w:rsid w:val="00DA4E1A"/>
    <w:rsid w:val="00DA5D90"/>
    <w:rsid w:val="00DA6C44"/>
    <w:rsid w:val="00DA6FE3"/>
    <w:rsid w:val="00DA7C35"/>
    <w:rsid w:val="00DB006B"/>
    <w:rsid w:val="00DB02D5"/>
    <w:rsid w:val="00DB04B9"/>
    <w:rsid w:val="00DB0568"/>
    <w:rsid w:val="00DB0EFB"/>
    <w:rsid w:val="00DB0F61"/>
    <w:rsid w:val="00DB1AA9"/>
    <w:rsid w:val="00DB1C3D"/>
    <w:rsid w:val="00DB1F2A"/>
    <w:rsid w:val="00DB2333"/>
    <w:rsid w:val="00DB2348"/>
    <w:rsid w:val="00DB2860"/>
    <w:rsid w:val="00DB2C9F"/>
    <w:rsid w:val="00DB2D6D"/>
    <w:rsid w:val="00DB2E0A"/>
    <w:rsid w:val="00DB32B0"/>
    <w:rsid w:val="00DB32FD"/>
    <w:rsid w:val="00DB3828"/>
    <w:rsid w:val="00DB4370"/>
    <w:rsid w:val="00DB460A"/>
    <w:rsid w:val="00DB48FD"/>
    <w:rsid w:val="00DB5290"/>
    <w:rsid w:val="00DB59C9"/>
    <w:rsid w:val="00DB67AE"/>
    <w:rsid w:val="00DB6B98"/>
    <w:rsid w:val="00DB6C43"/>
    <w:rsid w:val="00DB6C54"/>
    <w:rsid w:val="00DB71AA"/>
    <w:rsid w:val="00DB7A1D"/>
    <w:rsid w:val="00DB7DC2"/>
    <w:rsid w:val="00DBFE81"/>
    <w:rsid w:val="00DC070F"/>
    <w:rsid w:val="00DC0A56"/>
    <w:rsid w:val="00DC145F"/>
    <w:rsid w:val="00DC2192"/>
    <w:rsid w:val="00DC3860"/>
    <w:rsid w:val="00DC3AE6"/>
    <w:rsid w:val="00DC5AAB"/>
    <w:rsid w:val="00DC64C4"/>
    <w:rsid w:val="00DC6C27"/>
    <w:rsid w:val="00DC6C76"/>
    <w:rsid w:val="00DC72F4"/>
    <w:rsid w:val="00DC7B9E"/>
    <w:rsid w:val="00DD041C"/>
    <w:rsid w:val="00DD0FA4"/>
    <w:rsid w:val="00DD1568"/>
    <w:rsid w:val="00DD1A12"/>
    <w:rsid w:val="00DD1D0D"/>
    <w:rsid w:val="00DD1E1E"/>
    <w:rsid w:val="00DD2311"/>
    <w:rsid w:val="00DD26C5"/>
    <w:rsid w:val="00DD27DC"/>
    <w:rsid w:val="00DD3050"/>
    <w:rsid w:val="00DD3052"/>
    <w:rsid w:val="00DD34D5"/>
    <w:rsid w:val="00DD3DFC"/>
    <w:rsid w:val="00DD48C4"/>
    <w:rsid w:val="00DD4961"/>
    <w:rsid w:val="00DD535C"/>
    <w:rsid w:val="00DD545D"/>
    <w:rsid w:val="00DD59F1"/>
    <w:rsid w:val="00DD5B53"/>
    <w:rsid w:val="00DD608D"/>
    <w:rsid w:val="00DD67B5"/>
    <w:rsid w:val="00DD717E"/>
    <w:rsid w:val="00DD72A6"/>
    <w:rsid w:val="00DD7D20"/>
    <w:rsid w:val="00DE04DA"/>
    <w:rsid w:val="00DE0FC0"/>
    <w:rsid w:val="00DE1281"/>
    <w:rsid w:val="00DE149F"/>
    <w:rsid w:val="00DE2863"/>
    <w:rsid w:val="00DE3672"/>
    <w:rsid w:val="00DE41E3"/>
    <w:rsid w:val="00DE41F0"/>
    <w:rsid w:val="00DE4F39"/>
    <w:rsid w:val="00DE525A"/>
    <w:rsid w:val="00DE56B8"/>
    <w:rsid w:val="00DE573B"/>
    <w:rsid w:val="00DE635C"/>
    <w:rsid w:val="00DE6494"/>
    <w:rsid w:val="00DE6503"/>
    <w:rsid w:val="00DE7098"/>
    <w:rsid w:val="00DE7651"/>
    <w:rsid w:val="00DF0454"/>
    <w:rsid w:val="00DF0660"/>
    <w:rsid w:val="00DF074B"/>
    <w:rsid w:val="00DF0811"/>
    <w:rsid w:val="00DF0A87"/>
    <w:rsid w:val="00DF0CF7"/>
    <w:rsid w:val="00DF0EA3"/>
    <w:rsid w:val="00DF1874"/>
    <w:rsid w:val="00DF1E8B"/>
    <w:rsid w:val="00DF2034"/>
    <w:rsid w:val="00DF252B"/>
    <w:rsid w:val="00DF26E2"/>
    <w:rsid w:val="00DF2FC2"/>
    <w:rsid w:val="00DF316C"/>
    <w:rsid w:val="00DF3508"/>
    <w:rsid w:val="00DF39A9"/>
    <w:rsid w:val="00DF3A12"/>
    <w:rsid w:val="00DF4CD5"/>
    <w:rsid w:val="00DF509C"/>
    <w:rsid w:val="00DF5DFF"/>
    <w:rsid w:val="00DF705C"/>
    <w:rsid w:val="00DF70EE"/>
    <w:rsid w:val="00DF745E"/>
    <w:rsid w:val="00DF7753"/>
    <w:rsid w:val="00DF7D1A"/>
    <w:rsid w:val="00E0083F"/>
    <w:rsid w:val="00E00B30"/>
    <w:rsid w:val="00E00B8F"/>
    <w:rsid w:val="00E00D2D"/>
    <w:rsid w:val="00E010DE"/>
    <w:rsid w:val="00E016E7"/>
    <w:rsid w:val="00E01F2F"/>
    <w:rsid w:val="00E0228F"/>
    <w:rsid w:val="00E0235B"/>
    <w:rsid w:val="00E028D9"/>
    <w:rsid w:val="00E02A1E"/>
    <w:rsid w:val="00E03321"/>
    <w:rsid w:val="00E03DA9"/>
    <w:rsid w:val="00E03E0D"/>
    <w:rsid w:val="00E04C20"/>
    <w:rsid w:val="00E054D5"/>
    <w:rsid w:val="00E057B1"/>
    <w:rsid w:val="00E05B2C"/>
    <w:rsid w:val="00E07397"/>
    <w:rsid w:val="00E07D23"/>
    <w:rsid w:val="00E102C8"/>
    <w:rsid w:val="00E107E0"/>
    <w:rsid w:val="00E10DCA"/>
    <w:rsid w:val="00E1113F"/>
    <w:rsid w:val="00E111CB"/>
    <w:rsid w:val="00E121BD"/>
    <w:rsid w:val="00E12BFB"/>
    <w:rsid w:val="00E12D97"/>
    <w:rsid w:val="00E12E42"/>
    <w:rsid w:val="00E131CE"/>
    <w:rsid w:val="00E13718"/>
    <w:rsid w:val="00E13C16"/>
    <w:rsid w:val="00E13F62"/>
    <w:rsid w:val="00E14169"/>
    <w:rsid w:val="00E141B7"/>
    <w:rsid w:val="00E142DF"/>
    <w:rsid w:val="00E15852"/>
    <w:rsid w:val="00E1674A"/>
    <w:rsid w:val="00E1681A"/>
    <w:rsid w:val="00E168A6"/>
    <w:rsid w:val="00E169EF"/>
    <w:rsid w:val="00E1700B"/>
    <w:rsid w:val="00E17D59"/>
    <w:rsid w:val="00E219E8"/>
    <w:rsid w:val="00E2209D"/>
    <w:rsid w:val="00E22346"/>
    <w:rsid w:val="00E22B32"/>
    <w:rsid w:val="00E22B4D"/>
    <w:rsid w:val="00E237A3"/>
    <w:rsid w:val="00E2411F"/>
    <w:rsid w:val="00E24D5B"/>
    <w:rsid w:val="00E24ECA"/>
    <w:rsid w:val="00E25456"/>
    <w:rsid w:val="00E258E9"/>
    <w:rsid w:val="00E25FBC"/>
    <w:rsid w:val="00E263B2"/>
    <w:rsid w:val="00E2682A"/>
    <w:rsid w:val="00E268F4"/>
    <w:rsid w:val="00E26C76"/>
    <w:rsid w:val="00E27584"/>
    <w:rsid w:val="00E27589"/>
    <w:rsid w:val="00E276A8"/>
    <w:rsid w:val="00E27D10"/>
    <w:rsid w:val="00E311AB"/>
    <w:rsid w:val="00E31718"/>
    <w:rsid w:val="00E31C26"/>
    <w:rsid w:val="00E32020"/>
    <w:rsid w:val="00E3247D"/>
    <w:rsid w:val="00E326E2"/>
    <w:rsid w:val="00E32867"/>
    <w:rsid w:val="00E33018"/>
    <w:rsid w:val="00E337B0"/>
    <w:rsid w:val="00E34843"/>
    <w:rsid w:val="00E348C3"/>
    <w:rsid w:val="00E34950"/>
    <w:rsid w:val="00E34BA6"/>
    <w:rsid w:val="00E35F73"/>
    <w:rsid w:val="00E36562"/>
    <w:rsid w:val="00E36654"/>
    <w:rsid w:val="00E3762B"/>
    <w:rsid w:val="00E4046D"/>
    <w:rsid w:val="00E407BD"/>
    <w:rsid w:val="00E41089"/>
    <w:rsid w:val="00E41DBA"/>
    <w:rsid w:val="00E4229A"/>
    <w:rsid w:val="00E429E6"/>
    <w:rsid w:val="00E4325E"/>
    <w:rsid w:val="00E43709"/>
    <w:rsid w:val="00E43E61"/>
    <w:rsid w:val="00E44115"/>
    <w:rsid w:val="00E44213"/>
    <w:rsid w:val="00E442A2"/>
    <w:rsid w:val="00E44AD9"/>
    <w:rsid w:val="00E4507E"/>
    <w:rsid w:val="00E456D7"/>
    <w:rsid w:val="00E46E43"/>
    <w:rsid w:val="00E47025"/>
    <w:rsid w:val="00E47273"/>
    <w:rsid w:val="00E47A33"/>
    <w:rsid w:val="00E500F3"/>
    <w:rsid w:val="00E50215"/>
    <w:rsid w:val="00E50AD6"/>
    <w:rsid w:val="00E515C0"/>
    <w:rsid w:val="00E51A03"/>
    <w:rsid w:val="00E51E48"/>
    <w:rsid w:val="00E52D72"/>
    <w:rsid w:val="00E52FC7"/>
    <w:rsid w:val="00E52FE0"/>
    <w:rsid w:val="00E5300F"/>
    <w:rsid w:val="00E5320E"/>
    <w:rsid w:val="00E535CC"/>
    <w:rsid w:val="00E53D14"/>
    <w:rsid w:val="00E543CE"/>
    <w:rsid w:val="00E544E3"/>
    <w:rsid w:val="00E5476C"/>
    <w:rsid w:val="00E549A2"/>
    <w:rsid w:val="00E554E9"/>
    <w:rsid w:val="00E55CAF"/>
    <w:rsid w:val="00E55E55"/>
    <w:rsid w:val="00E5664C"/>
    <w:rsid w:val="00E5726B"/>
    <w:rsid w:val="00E5743B"/>
    <w:rsid w:val="00E574F5"/>
    <w:rsid w:val="00E604D9"/>
    <w:rsid w:val="00E605E4"/>
    <w:rsid w:val="00E60FF0"/>
    <w:rsid w:val="00E6125C"/>
    <w:rsid w:val="00E61B41"/>
    <w:rsid w:val="00E62621"/>
    <w:rsid w:val="00E62A6D"/>
    <w:rsid w:val="00E62BBF"/>
    <w:rsid w:val="00E62C1E"/>
    <w:rsid w:val="00E630B2"/>
    <w:rsid w:val="00E63B4E"/>
    <w:rsid w:val="00E63D84"/>
    <w:rsid w:val="00E63E99"/>
    <w:rsid w:val="00E653D1"/>
    <w:rsid w:val="00E659FD"/>
    <w:rsid w:val="00E65A15"/>
    <w:rsid w:val="00E65F7A"/>
    <w:rsid w:val="00E66135"/>
    <w:rsid w:val="00E66421"/>
    <w:rsid w:val="00E666C5"/>
    <w:rsid w:val="00E66787"/>
    <w:rsid w:val="00E674EA"/>
    <w:rsid w:val="00E70B30"/>
    <w:rsid w:val="00E71571"/>
    <w:rsid w:val="00E715BA"/>
    <w:rsid w:val="00E718D1"/>
    <w:rsid w:val="00E7195B"/>
    <w:rsid w:val="00E71D0C"/>
    <w:rsid w:val="00E72076"/>
    <w:rsid w:val="00E7288F"/>
    <w:rsid w:val="00E72A3B"/>
    <w:rsid w:val="00E72A4F"/>
    <w:rsid w:val="00E72B3D"/>
    <w:rsid w:val="00E72E05"/>
    <w:rsid w:val="00E739E7"/>
    <w:rsid w:val="00E74946"/>
    <w:rsid w:val="00E74E91"/>
    <w:rsid w:val="00E758AC"/>
    <w:rsid w:val="00E7697B"/>
    <w:rsid w:val="00E76A7C"/>
    <w:rsid w:val="00E7710F"/>
    <w:rsid w:val="00E77145"/>
    <w:rsid w:val="00E772FA"/>
    <w:rsid w:val="00E775D3"/>
    <w:rsid w:val="00E776EC"/>
    <w:rsid w:val="00E77E2D"/>
    <w:rsid w:val="00E80359"/>
    <w:rsid w:val="00E8044D"/>
    <w:rsid w:val="00E807DC"/>
    <w:rsid w:val="00E80950"/>
    <w:rsid w:val="00E80B90"/>
    <w:rsid w:val="00E80F51"/>
    <w:rsid w:val="00E8157D"/>
    <w:rsid w:val="00E81A96"/>
    <w:rsid w:val="00E829D6"/>
    <w:rsid w:val="00E83D88"/>
    <w:rsid w:val="00E846B9"/>
    <w:rsid w:val="00E84EB2"/>
    <w:rsid w:val="00E850F8"/>
    <w:rsid w:val="00E852C4"/>
    <w:rsid w:val="00E856DB"/>
    <w:rsid w:val="00E85C72"/>
    <w:rsid w:val="00E85DA8"/>
    <w:rsid w:val="00E867B7"/>
    <w:rsid w:val="00E86BF7"/>
    <w:rsid w:val="00E870A0"/>
    <w:rsid w:val="00E872F0"/>
    <w:rsid w:val="00E8763F"/>
    <w:rsid w:val="00E87780"/>
    <w:rsid w:val="00E90167"/>
    <w:rsid w:val="00E90CB6"/>
    <w:rsid w:val="00E910CF"/>
    <w:rsid w:val="00E92209"/>
    <w:rsid w:val="00E9242B"/>
    <w:rsid w:val="00E925A1"/>
    <w:rsid w:val="00E93D89"/>
    <w:rsid w:val="00E93E6C"/>
    <w:rsid w:val="00E946E4"/>
    <w:rsid w:val="00E9510D"/>
    <w:rsid w:val="00E962C8"/>
    <w:rsid w:val="00E966DF"/>
    <w:rsid w:val="00E96D1C"/>
    <w:rsid w:val="00E96DA9"/>
    <w:rsid w:val="00EA0462"/>
    <w:rsid w:val="00EA0837"/>
    <w:rsid w:val="00EA0902"/>
    <w:rsid w:val="00EA1753"/>
    <w:rsid w:val="00EA1D2B"/>
    <w:rsid w:val="00EA2187"/>
    <w:rsid w:val="00EA2538"/>
    <w:rsid w:val="00EA264F"/>
    <w:rsid w:val="00EA2E4B"/>
    <w:rsid w:val="00EA2E6D"/>
    <w:rsid w:val="00EA2FD1"/>
    <w:rsid w:val="00EA30C3"/>
    <w:rsid w:val="00EA3120"/>
    <w:rsid w:val="00EA3AFD"/>
    <w:rsid w:val="00EA3EA2"/>
    <w:rsid w:val="00EA40AB"/>
    <w:rsid w:val="00EA420F"/>
    <w:rsid w:val="00EA42F0"/>
    <w:rsid w:val="00EA50B7"/>
    <w:rsid w:val="00EA540C"/>
    <w:rsid w:val="00EA58AF"/>
    <w:rsid w:val="00EA595C"/>
    <w:rsid w:val="00EA5C33"/>
    <w:rsid w:val="00EA5CBE"/>
    <w:rsid w:val="00EA5E29"/>
    <w:rsid w:val="00EA628E"/>
    <w:rsid w:val="00EA6612"/>
    <w:rsid w:val="00EA66DF"/>
    <w:rsid w:val="00EA7876"/>
    <w:rsid w:val="00EB031D"/>
    <w:rsid w:val="00EB14DB"/>
    <w:rsid w:val="00EB2343"/>
    <w:rsid w:val="00EB2879"/>
    <w:rsid w:val="00EB3164"/>
    <w:rsid w:val="00EB45D8"/>
    <w:rsid w:val="00EB488B"/>
    <w:rsid w:val="00EB499C"/>
    <w:rsid w:val="00EB5086"/>
    <w:rsid w:val="00EB5233"/>
    <w:rsid w:val="00EB5257"/>
    <w:rsid w:val="00EB55D3"/>
    <w:rsid w:val="00EB5BED"/>
    <w:rsid w:val="00EB5D36"/>
    <w:rsid w:val="00EB5E8D"/>
    <w:rsid w:val="00EB5EC5"/>
    <w:rsid w:val="00EB61D0"/>
    <w:rsid w:val="00EB6A80"/>
    <w:rsid w:val="00EC0709"/>
    <w:rsid w:val="00EC102F"/>
    <w:rsid w:val="00EC173A"/>
    <w:rsid w:val="00EC1842"/>
    <w:rsid w:val="00EC19D7"/>
    <w:rsid w:val="00EC1FFD"/>
    <w:rsid w:val="00EC208C"/>
    <w:rsid w:val="00EC330F"/>
    <w:rsid w:val="00EC41D2"/>
    <w:rsid w:val="00EC4D33"/>
    <w:rsid w:val="00EC522B"/>
    <w:rsid w:val="00EC52A8"/>
    <w:rsid w:val="00EC583E"/>
    <w:rsid w:val="00EC5A0E"/>
    <w:rsid w:val="00EC5B49"/>
    <w:rsid w:val="00EC710B"/>
    <w:rsid w:val="00EC745D"/>
    <w:rsid w:val="00EC7E97"/>
    <w:rsid w:val="00ED0733"/>
    <w:rsid w:val="00ED084B"/>
    <w:rsid w:val="00ED14B1"/>
    <w:rsid w:val="00ED1EEF"/>
    <w:rsid w:val="00ED21A8"/>
    <w:rsid w:val="00ED233A"/>
    <w:rsid w:val="00ED28B9"/>
    <w:rsid w:val="00ED2A7A"/>
    <w:rsid w:val="00ED2DEE"/>
    <w:rsid w:val="00ED2FB8"/>
    <w:rsid w:val="00ED3DE2"/>
    <w:rsid w:val="00ED5290"/>
    <w:rsid w:val="00ED5D6E"/>
    <w:rsid w:val="00ED6762"/>
    <w:rsid w:val="00ED6C2C"/>
    <w:rsid w:val="00ED70C5"/>
    <w:rsid w:val="00ED747C"/>
    <w:rsid w:val="00ED7869"/>
    <w:rsid w:val="00ED7E50"/>
    <w:rsid w:val="00EE01B3"/>
    <w:rsid w:val="00EE0F05"/>
    <w:rsid w:val="00EE13C9"/>
    <w:rsid w:val="00EE165A"/>
    <w:rsid w:val="00EE25BA"/>
    <w:rsid w:val="00EE2832"/>
    <w:rsid w:val="00EE28A3"/>
    <w:rsid w:val="00EE388C"/>
    <w:rsid w:val="00EE3A39"/>
    <w:rsid w:val="00EE4063"/>
    <w:rsid w:val="00EE4350"/>
    <w:rsid w:val="00EE4FCD"/>
    <w:rsid w:val="00EE5621"/>
    <w:rsid w:val="00EE58DC"/>
    <w:rsid w:val="00EE5964"/>
    <w:rsid w:val="00EE5EBB"/>
    <w:rsid w:val="00EE61A0"/>
    <w:rsid w:val="00EE63F8"/>
    <w:rsid w:val="00EE68F0"/>
    <w:rsid w:val="00EE6B10"/>
    <w:rsid w:val="00EE6E78"/>
    <w:rsid w:val="00EF037E"/>
    <w:rsid w:val="00EF0896"/>
    <w:rsid w:val="00EF15AC"/>
    <w:rsid w:val="00EF1606"/>
    <w:rsid w:val="00EF186E"/>
    <w:rsid w:val="00EF1ADB"/>
    <w:rsid w:val="00EF25DE"/>
    <w:rsid w:val="00EF31C7"/>
    <w:rsid w:val="00EF3257"/>
    <w:rsid w:val="00EF386E"/>
    <w:rsid w:val="00EF3E68"/>
    <w:rsid w:val="00EF4487"/>
    <w:rsid w:val="00EF44A3"/>
    <w:rsid w:val="00EF4556"/>
    <w:rsid w:val="00EF45DE"/>
    <w:rsid w:val="00EF46D0"/>
    <w:rsid w:val="00EF5387"/>
    <w:rsid w:val="00EF5B1B"/>
    <w:rsid w:val="00EF6E1C"/>
    <w:rsid w:val="00EF6FEE"/>
    <w:rsid w:val="00EF705A"/>
    <w:rsid w:val="00EF731B"/>
    <w:rsid w:val="00EF75DA"/>
    <w:rsid w:val="00EF78C6"/>
    <w:rsid w:val="00EF7B58"/>
    <w:rsid w:val="00F00E6A"/>
    <w:rsid w:val="00F01296"/>
    <w:rsid w:val="00F0130B"/>
    <w:rsid w:val="00F014B3"/>
    <w:rsid w:val="00F01C84"/>
    <w:rsid w:val="00F02428"/>
    <w:rsid w:val="00F02579"/>
    <w:rsid w:val="00F026A3"/>
    <w:rsid w:val="00F02A4F"/>
    <w:rsid w:val="00F02CEB"/>
    <w:rsid w:val="00F03505"/>
    <w:rsid w:val="00F0527E"/>
    <w:rsid w:val="00F055EA"/>
    <w:rsid w:val="00F05B66"/>
    <w:rsid w:val="00F06166"/>
    <w:rsid w:val="00F0658F"/>
    <w:rsid w:val="00F066E2"/>
    <w:rsid w:val="00F07884"/>
    <w:rsid w:val="00F078CB"/>
    <w:rsid w:val="00F10215"/>
    <w:rsid w:val="00F10F5E"/>
    <w:rsid w:val="00F118EE"/>
    <w:rsid w:val="00F11B79"/>
    <w:rsid w:val="00F11ECC"/>
    <w:rsid w:val="00F12058"/>
    <w:rsid w:val="00F120ED"/>
    <w:rsid w:val="00F12278"/>
    <w:rsid w:val="00F1292D"/>
    <w:rsid w:val="00F12DCA"/>
    <w:rsid w:val="00F135FF"/>
    <w:rsid w:val="00F137CA"/>
    <w:rsid w:val="00F13999"/>
    <w:rsid w:val="00F15313"/>
    <w:rsid w:val="00F15461"/>
    <w:rsid w:val="00F156F1"/>
    <w:rsid w:val="00F15A5C"/>
    <w:rsid w:val="00F15A9C"/>
    <w:rsid w:val="00F16493"/>
    <w:rsid w:val="00F16518"/>
    <w:rsid w:val="00F16D6E"/>
    <w:rsid w:val="00F16ECC"/>
    <w:rsid w:val="00F17577"/>
    <w:rsid w:val="00F20382"/>
    <w:rsid w:val="00F21D64"/>
    <w:rsid w:val="00F21D9E"/>
    <w:rsid w:val="00F22A02"/>
    <w:rsid w:val="00F22BF3"/>
    <w:rsid w:val="00F22E99"/>
    <w:rsid w:val="00F23722"/>
    <w:rsid w:val="00F23989"/>
    <w:rsid w:val="00F25A65"/>
    <w:rsid w:val="00F25BA5"/>
    <w:rsid w:val="00F2615F"/>
    <w:rsid w:val="00F2626F"/>
    <w:rsid w:val="00F26AEB"/>
    <w:rsid w:val="00F27139"/>
    <w:rsid w:val="00F275C0"/>
    <w:rsid w:val="00F2768A"/>
    <w:rsid w:val="00F27AA9"/>
    <w:rsid w:val="00F27F3A"/>
    <w:rsid w:val="00F30CCE"/>
    <w:rsid w:val="00F30DAD"/>
    <w:rsid w:val="00F310EA"/>
    <w:rsid w:val="00F32086"/>
    <w:rsid w:val="00F325D3"/>
    <w:rsid w:val="00F326CD"/>
    <w:rsid w:val="00F32ECC"/>
    <w:rsid w:val="00F3392B"/>
    <w:rsid w:val="00F34140"/>
    <w:rsid w:val="00F345D3"/>
    <w:rsid w:val="00F346EC"/>
    <w:rsid w:val="00F3528A"/>
    <w:rsid w:val="00F36092"/>
    <w:rsid w:val="00F363D5"/>
    <w:rsid w:val="00F36450"/>
    <w:rsid w:val="00F3688D"/>
    <w:rsid w:val="00F3745A"/>
    <w:rsid w:val="00F37CA5"/>
    <w:rsid w:val="00F37D4F"/>
    <w:rsid w:val="00F400B6"/>
    <w:rsid w:val="00F4022D"/>
    <w:rsid w:val="00F40331"/>
    <w:rsid w:val="00F40E5C"/>
    <w:rsid w:val="00F412B2"/>
    <w:rsid w:val="00F4279D"/>
    <w:rsid w:val="00F42D07"/>
    <w:rsid w:val="00F42EAC"/>
    <w:rsid w:val="00F42F9B"/>
    <w:rsid w:val="00F4339C"/>
    <w:rsid w:val="00F445F0"/>
    <w:rsid w:val="00F44E17"/>
    <w:rsid w:val="00F45167"/>
    <w:rsid w:val="00F4516D"/>
    <w:rsid w:val="00F45BC1"/>
    <w:rsid w:val="00F45EBB"/>
    <w:rsid w:val="00F45F88"/>
    <w:rsid w:val="00F46292"/>
    <w:rsid w:val="00F46E89"/>
    <w:rsid w:val="00F47489"/>
    <w:rsid w:val="00F47E92"/>
    <w:rsid w:val="00F5174F"/>
    <w:rsid w:val="00F519E9"/>
    <w:rsid w:val="00F51B32"/>
    <w:rsid w:val="00F522A6"/>
    <w:rsid w:val="00F523FE"/>
    <w:rsid w:val="00F535C8"/>
    <w:rsid w:val="00F5413A"/>
    <w:rsid w:val="00F54186"/>
    <w:rsid w:val="00F54618"/>
    <w:rsid w:val="00F54753"/>
    <w:rsid w:val="00F54E23"/>
    <w:rsid w:val="00F54E62"/>
    <w:rsid w:val="00F55A04"/>
    <w:rsid w:val="00F55BE8"/>
    <w:rsid w:val="00F563AF"/>
    <w:rsid w:val="00F5658A"/>
    <w:rsid w:val="00F565AF"/>
    <w:rsid w:val="00F57CF0"/>
    <w:rsid w:val="00F60328"/>
    <w:rsid w:val="00F6068C"/>
    <w:rsid w:val="00F60731"/>
    <w:rsid w:val="00F61842"/>
    <w:rsid w:val="00F618CC"/>
    <w:rsid w:val="00F62B95"/>
    <w:rsid w:val="00F62E95"/>
    <w:rsid w:val="00F6393A"/>
    <w:rsid w:val="00F6402C"/>
    <w:rsid w:val="00F64880"/>
    <w:rsid w:val="00F64C27"/>
    <w:rsid w:val="00F65AD5"/>
    <w:rsid w:val="00F65AFD"/>
    <w:rsid w:val="00F65C18"/>
    <w:rsid w:val="00F67A22"/>
    <w:rsid w:val="00F67C61"/>
    <w:rsid w:val="00F67F1A"/>
    <w:rsid w:val="00F70638"/>
    <w:rsid w:val="00F711ED"/>
    <w:rsid w:val="00F7132E"/>
    <w:rsid w:val="00F71353"/>
    <w:rsid w:val="00F71648"/>
    <w:rsid w:val="00F71AD0"/>
    <w:rsid w:val="00F71E70"/>
    <w:rsid w:val="00F72083"/>
    <w:rsid w:val="00F7213E"/>
    <w:rsid w:val="00F723F3"/>
    <w:rsid w:val="00F7240E"/>
    <w:rsid w:val="00F72E0B"/>
    <w:rsid w:val="00F74874"/>
    <w:rsid w:val="00F749D8"/>
    <w:rsid w:val="00F74AEF"/>
    <w:rsid w:val="00F74B76"/>
    <w:rsid w:val="00F75003"/>
    <w:rsid w:val="00F7503E"/>
    <w:rsid w:val="00F75247"/>
    <w:rsid w:val="00F75381"/>
    <w:rsid w:val="00F754CC"/>
    <w:rsid w:val="00F75520"/>
    <w:rsid w:val="00F7598A"/>
    <w:rsid w:val="00F75F43"/>
    <w:rsid w:val="00F75F79"/>
    <w:rsid w:val="00F763F8"/>
    <w:rsid w:val="00F765FC"/>
    <w:rsid w:val="00F7688C"/>
    <w:rsid w:val="00F76A2A"/>
    <w:rsid w:val="00F76FDB"/>
    <w:rsid w:val="00F779FF"/>
    <w:rsid w:val="00F77A37"/>
    <w:rsid w:val="00F77D1B"/>
    <w:rsid w:val="00F809E2"/>
    <w:rsid w:val="00F80CAC"/>
    <w:rsid w:val="00F80D06"/>
    <w:rsid w:val="00F8179A"/>
    <w:rsid w:val="00F81A44"/>
    <w:rsid w:val="00F82409"/>
    <w:rsid w:val="00F827E7"/>
    <w:rsid w:val="00F829BE"/>
    <w:rsid w:val="00F82F02"/>
    <w:rsid w:val="00F82FCA"/>
    <w:rsid w:val="00F839B5"/>
    <w:rsid w:val="00F845F0"/>
    <w:rsid w:val="00F84A87"/>
    <w:rsid w:val="00F84A9A"/>
    <w:rsid w:val="00F84BE9"/>
    <w:rsid w:val="00F85364"/>
    <w:rsid w:val="00F853CE"/>
    <w:rsid w:val="00F85673"/>
    <w:rsid w:val="00F85806"/>
    <w:rsid w:val="00F85C23"/>
    <w:rsid w:val="00F864F7"/>
    <w:rsid w:val="00F8715E"/>
    <w:rsid w:val="00F9002D"/>
    <w:rsid w:val="00F907C8"/>
    <w:rsid w:val="00F9084F"/>
    <w:rsid w:val="00F91B77"/>
    <w:rsid w:val="00F920FD"/>
    <w:rsid w:val="00F92165"/>
    <w:rsid w:val="00F921B4"/>
    <w:rsid w:val="00F92426"/>
    <w:rsid w:val="00F925BC"/>
    <w:rsid w:val="00F929E8"/>
    <w:rsid w:val="00F92ABE"/>
    <w:rsid w:val="00F92AC6"/>
    <w:rsid w:val="00F92F26"/>
    <w:rsid w:val="00F93AD7"/>
    <w:rsid w:val="00F93AE2"/>
    <w:rsid w:val="00F94F75"/>
    <w:rsid w:val="00F95D50"/>
    <w:rsid w:val="00F95D57"/>
    <w:rsid w:val="00F96D12"/>
    <w:rsid w:val="00F96EF0"/>
    <w:rsid w:val="00F977A0"/>
    <w:rsid w:val="00F97889"/>
    <w:rsid w:val="00F97B7F"/>
    <w:rsid w:val="00F97BA8"/>
    <w:rsid w:val="00F97BB7"/>
    <w:rsid w:val="00FA0BC8"/>
    <w:rsid w:val="00FA1773"/>
    <w:rsid w:val="00FA1B80"/>
    <w:rsid w:val="00FA208C"/>
    <w:rsid w:val="00FA27D9"/>
    <w:rsid w:val="00FA297E"/>
    <w:rsid w:val="00FA376F"/>
    <w:rsid w:val="00FA3D1A"/>
    <w:rsid w:val="00FA3E66"/>
    <w:rsid w:val="00FA438A"/>
    <w:rsid w:val="00FA5A89"/>
    <w:rsid w:val="00FA5EE9"/>
    <w:rsid w:val="00FA6669"/>
    <w:rsid w:val="00FA6C5C"/>
    <w:rsid w:val="00FA7B41"/>
    <w:rsid w:val="00FA7BC5"/>
    <w:rsid w:val="00FB0535"/>
    <w:rsid w:val="00FB07A7"/>
    <w:rsid w:val="00FB1C19"/>
    <w:rsid w:val="00FB1C71"/>
    <w:rsid w:val="00FB253E"/>
    <w:rsid w:val="00FB256B"/>
    <w:rsid w:val="00FB2974"/>
    <w:rsid w:val="00FB2A85"/>
    <w:rsid w:val="00FB2B5C"/>
    <w:rsid w:val="00FB2C8D"/>
    <w:rsid w:val="00FB2D37"/>
    <w:rsid w:val="00FB3B2C"/>
    <w:rsid w:val="00FB42AA"/>
    <w:rsid w:val="00FB49AE"/>
    <w:rsid w:val="00FB5D92"/>
    <w:rsid w:val="00FB667E"/>
    <w:rsid w:val="00FB69C3"/>
    <w:rsid w:val="00FB6AA9"/>
    <w:rsid w:val="00FB6CB2"/>
    <w:rsid w:val="00FB6D13"/>
    <w:rsid w:val="00FB6D60"/>
    <w:rsid w:val="00FB7145"/>
    <w:rsid w:val="00FB7224"/>
    <w:rsid w:val="00FC08FD"/>
    <w:rsid w:val="00FC1219"/>
    <w:rsid w:val="00FC1815"/>
    <w:rsid w:val="00FC1E21"/>
    <w:rsid w:val="00FC315D"/>
    <w:rsid w:val="00FC3D02"/>
    <w:rsid w:val="00FC4CE6"/>
    <w:rsid w:val="00FC6016"/>
    <w:rsid w:val="00FC608C"/>
    <w:rsid w:val="00FC6161"/>
    <w:rsid w:val="00FC620A"/>
    <w:rsid w:val="00FC629C"/>
    <w:rsid w:val="00FC7674"/>
    <w:rsid w:val="00FC7A9B"/>
    <w:rsid w:val="00FC7AF9"/>
    <w:rsid w:val="00FD050E"/>
    <w:rsid w:val="00FD187F"/>
    <w:rsid w:val="00FD2AB1"/>
    <w:rsid w:val="00FD32DE"/>
    <w:rsid w:val="00FD32F9"/>
    <w:rsid w:val="00FD36EC"/>
    <w:rsid w:val="00FD4257"/>
    <w:rsid w:val="00FD45ED"/>
    <w:rsid w:val="00FD4C0B"/>
    <w:rsid w:val="00FD5597"/>
    <w:rsid w:val="00FD569E"/>
    <w:rsid w:val="00FD5CCD"/>
    <w:rsid w:val="00FD5E61"/>
    <w:rsid w:val="00FD63DA"/>
    <w:rsid w:val="00FD644F"/>
    <w:rsid w:val="00FD7828"/>
    <w:rsid w:val="00FD7B9C"/>
    <w:rsid w:val="00FD7CB7"/>
    <w:rsid w:val="00FD7E70"/>
    <w:rsid w:val="00FD7EB8"/>
    <w:rsid w:val="00FD7F00"/>
    <w:rsid w:val="00FE109F"/>
    <w:rsid w:val="00FE17E7"/>
    <w:rsid w:val="00FE21F7"/>
    <w:rsid w:val="00FE27CE"/>
    <w:rsid w:val="00FE2EA3"/>
    <w:rsid w:val="00FE34E9"/>
    <w:rsid w:val="00FE3C12"/>
    <w:rsid w:val="00FE3D11"/>
    <w:rsid w:val="00FE3E2C"/>
    <w:rsid w:val="00FE437B"/>
    <w:rsid w:val="00FE4605"/>
    <w:rsid w:val="00FE4AD8"/>
    <w:rsid w:val="00FE5147"/>
    <w:rsid w:val="00FE519B"/>
    <w:rsid w:val="00FE58D0"/>
    <w:rsid w:val="00FE5975"/>
    <w:rsid w:val="00FE625A"/>
    <w:rsid w:val="00FE64D2"/>
    <w:rsid w:val="00FE650D"/>
    <w:rsid w:val="00FE680D"/>
    <w:rsid w:val="00FE6999"/>
    <w:rsid w:val="00FE72FE"/>
    <w:rsid w:val="00FE7708"/>
    <w:rsid w:val="00FE77C8"/>
    <w:rsid w:val="00FE789B"/>
    <w:rsid w:val="00FF146D"/>
    <w:rsid w:val="00FF14FE"/>
    <w:rsid w:val="00FF1CA3"/>
    <w:rsid w:val="00FF2335"/>
    <w:rsid w:val="00FF2C34"/>
    <w:rsid w:val="00FF2DC4"/>
    <w:rsid w:val="00FF31CE"/>
    <w:rsid w:val="00FF4217"/>
    <w:rsid w:val="00FF44CC"/>
    <w:rsid w:val="00FF46F3"/>
    <w:rsid w:val="00FF4FA9"/>
    <w:rsid w:val="00FF55FF"/>
    <w:rsid w:val="00FF60C5"/>
    <w:rsid w:val="00FF6729"/>
    <w:rsid w:val="00FF68B0"/>
    <w:rsid w:val="00FF711E"/>
    <w:rsid w:val="00FF73F0"/>
    <w:rsid w:val="00FF7EBC"/>
    <w:rsid w:val="0135CFCC"/>
    <w:rsid w:val="014C06A0"/>
    <w:rsid w:val="0179DBB3"/>
    <w:rsid w:val="01C16C2D"/>
    <w:rsid w:val="01ED7FB8"/>
    <w:rsid w:val="0232BAB1"/>
    <w:rsid w:val="023C5EC2"/>
    <w:rsid w:val="025C2026"/>
    <w:rsid w:val="026C2069"/>
    <w:rsid w:val="027640FD"/>
    <w:rsid w:val="02894812"/>
    <w:rsid w:val="029B75CF"/>
    <w:rsid w:val="02ED600D"/>
    <w:rsid w:val="03641C8D"/>
    <w:rsid w:val="03692477"/>
    <w:rsid w:val="03955C72"/>
    <w:rsid w:val="039F2FD7"/>
    <w:rsid w:val="040EB4EC"/>
    <w:rsid w:val="041B01BB"/>
    <w:rsid w:val="042724F8"/>
    <w:rsid w:val="04481C1A"/>
    <w:rsid w:val="0506D070"/>
    <w:rsid w:val="0519D6BA"/>
    <w:rsid w:val="0569EE56"/>
    <w:rsid w:val="05EEB138"/>
    <w:rsid w:val="060DB011"/>
    <w:rsid w:val="0612BECA"/>
    <w:rsid w:val="061F0416"/>
    <w:rsid w:val="075C30D4"/>
    <w:rsid w:val="07A4449C"/>
    <w:rsid w:val="07C680FF"/>
    <w:rsid w:val="07D15599"/>
    <w:rsid w:val="07F4E4A3"/>
    <w:rsid w:val="0817D97F"/>
    <w:rsid w:val="084D02D2"/>
    <w:rsid w:val="08E7B1FA"/>
    <w:rsid w:val="090480FE"/>
    <w:rsid w:val="097ABB48"/>
    <w:rsid w:val="098B97B1"/>
    <w:rsid w:val="09AEF8C0"/>
    <w:rsid w:val="0A5F41F7"/>
    <w:rsid w:val="0A9E81DF"/>
    <w:rsid w:val="0AA2C202"/>
    <w:rsid w:val="0AE639D1"/>
    <w:rsid w:val="0B4427B7"/>
    <w:rsid w:val="0B5A4794"/>
    <w:rsid w:val="0B6455A9"/>
    <w:rsid w:val="0B6E2569"/>
    <w:rsid w:val="0B7B5999"/>
    <w:rsid w:val="0B88955A"/>
    <w:rsid w:val="0B8D7038"/>
    <w:rsid w:val="0BEFA5D6"/>
    <w:rsid w:val="0C141613"/>
    <w:rsid w:val="0C20CC57"/>
    <w:rsid w:val="0C2CCA83"/>
    <w:rsid w:val="0C32BED0"/>
    <w:rsid w:val="0C39C20B"/>
    <w:rsid w:val="0C629B1A"/>
    <w:rsid w:val="0C76EC55"/>
    <w:rsid w:val="0C826979"/>
    <w:rsid w:val="0C9A534A"/>
    <w:rsid w:val="0CAB98F8"/>
    <w:rsid w:val="0D036336"/>
    <w:rsid w:val="0D1B497D"/>
    <w:rsid w:val="0D27C983"/>
    <w:rsid w:val="0DA0FA37"/>
    <w:rsid w:val="0DB085FF"/>
    <w:rsid w:val="0DE496C3"/>
    <w:rsid w:val="0DEAE166"/>
    <w:rsid w:val="0E028FEF"/>
    <w:rsid w:val="0E07F91D"/>
    <w:rsid w:val="0E11D4ED"/>
    <w:rsid w:val="0E17D50F"/>
    <w:rsid w:val="0EBAAA44"/>
    <w:rsid w:val="0ED07F6C"/>
    <w:rsid w:val="0F26DD43"/>
    <w:rsid w:val="0F63F422"/>
    <w:rsid w:val="0F8EB774"/>
    <w:rsid w:val="0FA7603D"/>
    <w:rsid w:val="0FB7C838"/>
    <w:rsid w:val="0FDF83E0"/>
    <w:rsid w:val="0FE59962"/>
    <w:rsid w:val="1024E6C9"/>
    <w:rsid w:val="1065AA69"/>
    <w:rsid w:val="107B9155"/>
    <w:rsid w:val="110F97DE"/>
    <w:rsid w:val="1113C185"/>
    <w:rsid w:val="116ED66B"/>
    <w:rsid w:val="12103CD9"/>
    <w:rsid w:val="12192C4E"/>
    <w:rsid w:val="127E7FF6"/>
    <w:rsid w:val="12BCB6F5"/>
    <w:rsid w:val="13058085"/>
    <w:rsid w:val="1318A4F2"/>
    <w:rsid w:val="132F6172"/>
    <w:rsid w:val="136E323F"/>
    <w:rsid w:val="13985ABB"/>
    <w:rsid w:val="14070EF0"/>
    <w:rsid w:val="14103F84"/>
    <w:rsid w:val="1426D462"/>
    <w:rsid w:val="14305484"/>
    <w:rsid w:val="144F4055"/>
    <w:rsid w:val="14A8FC83"/>
    <w:rsid w:val="15754677"/>
    <w:rsid w:val="157E359F"/>
    <w:rsid w:val="159B48A6"/>
    <w:rsid w:val="15AD0EB9"/>
    <w:rsid w:val="15C51F1D"/>
    <w:rsid w:val="15DC89DE"/>
    <w:rsid w:val="15FFCB77"/>
    <w:rsid w:val="164FBA0F"/>
    <w:rsid w:val="167CC8AB"/>
    <w:rsid w:val="16D516E7"/>
    <w:rsid w:val="16FD2880"/>
    <w:rsid w:val="17230D73"/>
    <w:rsid w:val="173E7799"/>
    <w:rsid w:val="175B38DE"/>
    <w:rsid w:val="1771DD40"/>
    <w:rsid w:val="177BC511"/>
    <w:rsid w:val="17B4E3AE"/>
    <w:rsid w:val="17C945A0"/>
    <w:rsid w:val="17CCF96B"/>
    <w:rsid w:val="17D676A5"/>
    <w:rsid w:val="17E68D93"/>
    <w:rsid w:val="18A5AB54"/>
    <w:rsid w:val="18C1E422"/>
    <w:rsid w:val="18E8011B"/>
    <w:rsid w:val="19255D34"/>
    <w:rsid w:val="19701492"/>
    <w:rsid w:val="1982517A"/>
    <w:rsid w:val="19FB8C13"/>
    <w:rsid w:val="1A107D4B"/>
    <w:rsid w:val="1A70DACD"/>
    <w:rsid w:val="1AA279EF"/>
    <w:rsid w:val="1AF0E7CA"/>
    <w:rsid w:val="1B09CC56"/>
    <w:rsid w:val="1B341350"/>
    <w:rsid w:val="1B4E2CA7"/>
    <w:rsid w:val="1B5CA886"/>
    <w:rsid w:val="1B70D4B4"/>
    <w:rsid w:val="1B7F91FB"/>
    <w:rsid w:val="1B91C564"/>
    <w:rsid w:val="1C01FF7B"/>
    <w:rsid w:val="1C121C6F"/>
    <w:rsid w:val="1C6181C9"/>
    <w:rsid w:val="1C6326AA"/>
    <w:rsid w:val="1CDF7F5A"/>
    <w:rsid w:val="1CFD0636"/>
    <w:rsid w:val="1D1E51AF"/>
    <w:rsid w:val="1D71F1F8"/>
    <w:rsid w:val="1DD36CCC"/>
    <w:rsid w:val="1DEC3F79"/>
    <w:rsid w:val="1DF345FF"/>
    <w:rsid w:val="1E27FFF6"/>
    <w:rsid w:val="1E399F7D"/>
    <w:rsid w:val="1E54909D"/>
    <w:rsid w:val="1E56A76C"/>
    <w:rsid w:val="1E9425C5"/>
    <w:rsid w:val="1E953D41"/>
    <w:rsid w:val="1EA5D12D"/>
    <w:rsid w:val="1EC8E9F4"/>
    <w:rsid w:val="1F09A2A9"/>
    <w:rsid w:val="1F54775D"/>
    <w:rsid w:val="1F6EA29F"/>
    <w:rsid w:val="1F73DC3B"/>
    <w:rsid w:val="1FB40378"/>
    <w:rsid w:val="1FC9A465"/>
    <w:rsid w:val="203E5654"/>
    <w:rsid w:val="203E8BE2"/>
    <w:rsid w:val="204DE931"/>
    <w:rsid w:val="2103EF59"/>
    <w:rsid w:val="2177AE8D"/>
    <w:rsid w:val="21D78AF6"/>
    <w:rsid w:val="21F2DE48"/>
    <w:rsid w:val="22EB492D"/>
    <w:rsid w:val="23078812"/>
    <w:rsid w:val="2322E93B"/>
    <w:rsid w:val="23ECFE97"/>
    <w:rsid w:val="240348D5"/>
    <w:rsid w:val="2416B7F7"/>
    <w:rsid w:val="2421B5BD"/>
    <w:rsid w:val="24381237"/>
    <w:rsid w:val="24595FC6"/>
    <w:rsid w:val="24C39867"/>
    <w:rsid w:val="24CCDC74"/>
    <w:rsid w:val="254EAB6B"/>
    <w:rsid w:val="255B0352"/>
    <w:rsid w:val="25BD0C65"/>
    <w:rsid w:val="261B75AF"/>
    <w:rsid w:val="262E8432"/>
    <w:rsid w:val="265ECE84"/>
    <w:rsid w:val="2668A927"/>
    <w:rsid w:val="26BA3CC9"/>
    <w:rsid w:val="26E1C382"/>
    <w:rsid w:val="26F4E543"/>
    <w:rsid w:val="273D5F7E"/>
    <w:rsid w:val="282DA519"/>
    <w:rsid w:val="286A3AA2"/>
    <w:rsid w:val="2875BBD0"/>
    <w:rsid w:val="28C5322D"/>
    <w:rsid w:val="28C5910C"/>
    <w:rsid w:val="28E71A05"/>
    <w:rsid w:val="29282CCC"/>
    <w:rsid w:val="292E4FCC"/>
    <w:rsid w:val="2930F07C"/>
    <w:rsid w:val="2943BFC5"/>
    <w:rsid w:val="29598E23"/>
    <w:rsid w:val="296B6072"/>
    <w:rsid w:val="298216D8"/>
    <w:rsid w:val="29D902F8"/>
    <w:rsid w:val="29DE2D18"/>
    <w:rsid w:val="29E92797"/>
    <w:rsid w:val="29EA734C"/>
    <w:rsid w:val="29F18AFD"/>
    <w:rsid w:val="2A797E93"/>
    <w:rsid w:val="2A987F0C"/>
    <w:rsid w:val="2AF4009B"/>
    <w:rsid w:val="2B40F022"/>
    <w:rsid w:val="2B7F5D28"/>
    <w:rsid w:val="2B8207E7"/>
    <w:rsid w:val="2BAE7B2A"/>
    <w:rsid w:val="2BD52490"/>
    <w:rsid w:val="2BDB343D"/>
    <w:rsid w:val="2C2E032E"/>
    <w:rsid w:val="2C3B1A8B"/>
    <w:rsid w:val="2CC05776"/>
    <w:rsid w:val="2CE0A310"/>
    <w:rsid w:val="2D05E5DD"/>
    <w:rsid w:val="2D928AC5"/>
    <w:rsid w:val="2DA66B67"/>
    <w:rsid w:val="2DB382F1"/>
    <w:rsid w:val="2DBBD74B"/>
    <w:rsid w:val="2DD1E130"/>
    <w:rsid w:val="2DD30442"/>
    <w:rsid w:val="2DF641B2"/>
    <w:rsid w:val="2E2F53F8"/>
    <w:rsid w:val="2E5EC03C"/>
    <w:rsid w:val="2ED0DECF"/>
    <w:rsid w:val="2EE3F00F"/>
    <w:rsid w:val="2F0703D0"/>
    <w:rsid w:val="2F10E7A5"/>
    <w:rsid w:val="2F14DA8E"/>
    <w:rsid w:val="2F4A81F4"/>
    <w:rsid w:val="2F5F0B3E"/>
    <w:rsid w:val="2F61737F"/>
    <w:rsid w:val="2FA90553"/>
    <w:rsid w:val="2FBA54F8"/>
    <w:rsid w:val="2FCCA9C9"/>
    <w:rsid w:val="30C45881"/>
    <w:rsid w:val="30E07CF9"/>
    <w:rsid w:val="30F03F92"/>
    <w:rsid w:val="30FA6D14"/>
    <w:rsid w:val="319CA5E6"/>
    <w:rsid w:val="31BEDD54"/>
    <w:rsid w:val="321A45AF"/>
    <w:rsid w:val="3263888A"/>
    <w:rsid w:val="326FFDE4"/>
    <w:rsid w:val="32836532"/>
    <w:rsid w:val="329019D0"/>
    <w:rsid w:val="32FBFEB7"/>
    <w:rsid w:val="335B94C5"/>
    <w:rsid w:val="33AC0621"/>
    <w:rsid w:val="34378952"/>
    <w:rsid w:val="34511711"/>
    <w:rsid w:val="345C893C"/>
    <w:rsid w:val="34807E1F"/>
    <w:rsid w:val="34873CB5"/>
    <w:rsid w:val="34892CC5"/>
    <w:rsid w:val="34B4AF69"/>
    <w:rsid w:val="35090E2F"/>
    <w:rsid w:val="352A8087"/>
    <w:rsid w:val="3573707B"/>
    <w:rsid w:val="35B1D337"/>
    <w:rsid w:val="35CCD847"/>
    <w:rsid w:val="35E78D4B"/>
    <w:rsid w:val="3603693D"/>
    <w:rsid w:val="361ABAE9"/>
    <w:rsid w:val="3622D829"/>
    <w:rsid w:val="36817983"/>
    <w:rsid w:val="36965DE0"/>
    <w:rsid w:val="36CA5136"/>
    <w:rsid w:val="36F096DA"/>
    <w:rsid w:val="37059895"/>
    <w:rsid w:val="3746288A"/>
    <w:rsid w:val="37531336"/>
    <w:rsid w:val="3767EE96"/>
    <w:rsid w:val="37D05B96"/>
    <w:rsid w:val="37E553AD"/>
    <w:rsid w:val="37FBDCF0"/>
    <w:rsid w:val="38047233"/>
    <w:rsid w:val="380B3759"/>
    <w:rsid w:val="389114F1"/>
    <w:rsid w:val="38DED521"/>
    <w:rsid w:val="38E6CD4F"/>
    <w:rsid w:val="390CCD44"/>
    <w:rsid w:val="3944B09C"/>
    <w:rsid w:val="396FC7A0"/>
    <w:rsid w:val="3978EAE4"/>
    <w:rsid w:val="397C33BF"/>
    <w:rsid w:val="3989B32A"/>
    <w:rsid w:val="39C6D394"/>
    <w:rsid w:val="39D0F17D"/>
    <w:rsid w:val="39F8B92C"/>
    <w:rsid w:val="3A3C5011"/>
    <w:rsid w:val="3A4849AD"/>
    <w:rsid w:val="3A86EB70"/>
    <w:rsid w:val="3ACA7977"/>
    <w:rsid w:val="3AD2CBA5"/>
    <w:rsid w:val="3B11769B"/>
    <w:rsid w:val="3B3CD9E1"/>
    <w:rsid w:val="3B4C039A"/>
    <w:rsid w:val="3B88A294"/>
    <w:rsid w:val="3BA22E5A"/>
    <w:rsid w:val="3BDE1FE6"/>
    <w:rsid w:val="3C2789E5"/>
    <w:rsid w:val="3C371ADD"/>
    <w:rsid w:val="3C535174"/>
    <w:rsid w:val="3C60D29A"/>
    <w:rsid w:val="3C68C63E"/>
    <w:rsid w:val="3C70DE34"/>
    <w:rsid w:val="3C89762D"/>
    <w:rsid w:val="3D48F0B5"/>
    <w:rsid w:val="3D625B35"/>
    <w:rsid w:val="3D72A45C"/>
    <w:rsid w:val="3D8D0EB6"/>
    <w:rsid w:val="3DB835F2"/>
    <w:rsid w:val="3DF7CF79"/>
    <w:rsid w:val="3E0715C6"/>
    <w:rsid w:val="3E299F46"/>
    <w:rsid w:val="3EC52E18"/>
    <w:rsid w:val="3ED0C401"/>
    <w:rsid w:val="3ED6C3E1"/>
    <w:rsid w:val="3EF00AC8"/>
    <w:rsid w:val="3F169000"/>
    <w:rsid w:val="3F2313D6"/>
    <w:rsid w:val="3F4AA880"/>
    <w:rsid w:val="3F6DFB1F"/>
    <w:rsid w:val="3FCD0A2F"/>
    <w:rsid w:val="40181A6A"/>
    <w:rsid w:val="404F9F4F"/>
    <w:rsid w:val="406946F9"/>
    <w:rsid w:val="409614C6"/>
    <w:rsid w:val="40FCE710"/>
    <w:rsid w:val="41093408"/>
    <w:rsid w:val="410D2694"/>
    <w:rsid w:val="4175F563"/>
    <w:rsid w:val="41A55A6C"/>
    <w:rsid w:val="42628573"/>
    <w:rsid w:val="42F99564"/>
    <w:rsid w:val="4341FE1E"/>
    <w:rsid w:val="43564FCD"/>
    <w:rsid w:val="436FA198"/>
    <w:rsid w:val="43B31CD1"/>
    <w:rsid w:val="43F5AEF5"/>
    <w:rsid w:val="440BC373"/>
    <w:rsid w:val="443B1741"/>
    <w:rsid w:val="44560BB0"/>
    <w:rsid w:val="4465E978"/>
    <w:rsid w:val="44997DA6"/>
    <w:rsid w:val="44A03A5A"/>
    <w:rsid w:val="44AB452D"/>
    <w:rsid w:val="451742CF"/>
    <w:rsid w:val="45444F13"/>
    <w:rsid w:val="457B8A82"/>
    <w:rsid w:val="45A4345E"/>
    <w:rsid w:val="45F04454"/>
    <w:rsid w:val="460779E4"/>
    <w:rsid w:val="46275E91"/>
    <w:rsid w:val="46586A58"/>
    <w:rsid w:val="46A7EAE7"/>
    <w:rsid w:val="46D20F60"/>
    <w:rsid w:val="470A8DCA"/>
    <w:rsid w:val="471B2B13"/>
    <w:rsid w:val="471C4F79"/>
    <w:rsid w:val="47240369"/>
    <w:rsid w:val="478D660D"/>
    <w:rsid w:val="47F79049"/>
    <w:rsid w:val="48026C19"/>
    <w:rsid w:val="4868171C"/>
    <w:rsid w:val="48878901"/>
    <w:rsid w:val="48CB56E7"/>
    <w:rsid w:val="48EDD430"/>
    <w:rsid w:val="4992D968"/>
    <w:rsid w:val="49C0FEAF"/>
    <w:rsid w:val="49C144B8"/>
    <w:rsid w:val="49D848D7"/>
    <w:rsid w:val="4A194E25"/>
    <w:rsid w:val="4A3FB41A"/>
    <w:rsid w:val="4A4BD5FC"/>
    <w:rsid w:val="4A9481A6"/>
    <w:rsid w:val="4AE18739"/>
    <w:rsid w:val="4AE9A528"/>
    <w:rsid w:val="4AF37F4D"/>
    <w:rsid w:val="4B82CA66"/>
    <w:rsid w:val="4BB942F8"/>
    <w:rsid w:val="4BCC4437"/>
    <w:rsid w:val="4C4F9F88"/>
    <w:rsid w:val="4C5A117D"/>
    <w:rsid w:val="4C669CFC"/>
    <w:rsid w:val="4C6D836D"/>
    <w:rsid w:val="4CB7ADF4"/>
    <w:rsid w:val="4D11E2D2"/>
    <w:rsid w:val="4D17B1DE"/>
    <w:rsid w:val="4D18A2DC"/>
    <w:rsid w:val="4D2306E3"/>
    <w:rsid w:val="4D23BA1C"/>
    <w:rsid w:val="4D3FEA03"/>
    <w:rsid w:val="4D56A6F0"/>
    <w:rsid w:val="4D861527"/>
    <w:rsid w:val="4D93817B"/>
    <w:rsid w:val="4DB5FEC9"/>
    <w:rsid w:val="4DC8D7E1"/>
    <w:rsid w:val="4E03FC03"/>
    <w:rsid w:val="4E336C95"/>
    <w:rsid w:val="4EED7FD9"/>
    <w:rsid w:val="4EF6CC00"/>
    <w:rsid w:val="4F08A09A"/>
    <w:rsid w:val="4F1BE140"/>
    <w:rsid w:val="4F3F9DA0"/>
    <w:rsid w:val="4F4FDC61"/>
    <w:rsid w:val="4F51CA33"/>
    <w:rsid w:val="4F5C4883"/>
    <w:rsid w:val="4F6D93E4"/>
    <w:rsid w:val="4F86733D"/>
    <w:rsid w:val="4F897C7A"/>
    <w:rsid w:val="4F9F58C2"/>
    <w:rsid w:val="4FFF3AA6"/>
    <w:rsid w:val="500D7942"/>
    <w:rsid w:val="502AD4EF"/>
    <w:rsid w:val="5089DA7A"/>
    <w:rsid w:val="5151CD9E"/>
    <w:rsid w:val="51943647"/>
    <w:rsid w:val="51C00086"/>
    <w:rsid w:val="51CD2E3C"/>
    <w:rsid w:val="52234CFA"/>
    <w:rsid w:val="52703497"/>
    <w:rsid w:val="527C7320"/>
    <w:rsid w:val="52B92B3B"/>
    <w:rsid w:val="52E913E0"/>
    <w:rsid w:val="52EBB51E"/>
    <w:rsid w:val="52FF682E"/>
    <w:rsid w:val="530C9F34"/>
    <w:rsid w:val="53579E5B"/>
    <w:rsid w:val="538D984B"/>
    <w:rsid w:val="53AF829E"/>
    <w:rsid w:val="541F6C04"/>
    <w:rsid w:val="547D387B"/>
    <w:rsid w:val="54DCCF88"/>
    <w:rsid w:val="54DCD342"/>
    <w:rsid w:val="552717BE"/>
    <w:rsid w:val="556B0182"/>
    <w:rsid w:val="55973E4D"/>
    <w:rsid w:val="561339DF"/>
    <w:rsid w:val="567F7E37"/>
    <w:rsid w:val="56984E6C"/>
    <w:rsid w:val="56B672B8"/>
    <w:rsid w:val="5720EA71"/>
    <w:rsid w:val="572AF8D8"/>
    <w:rsid w:val="5740B9BD"/>
    <w:rsid w:val="5761D1CB"/>
    <w:rsid w:val="577269CF"/>
    <w:rsid w:val="57808AF9"/>
    <w:rsid w:val="57831D36"/>
    <w:rsid w:val="57F4F6DB"/>
    <w:rsid w:val="58421533"/>
    <w:rsid w:val="585345EB"/>
    <w:rsid w:val="5859BF7D"/>
    <w:rsid w:val="5866E29D"/>
    <w:rsid w:val="595B1BE0"/>
    <w:rsid w:val="5995766B"/>
    <w:rsid w:val="59ED7345"/>
    <w:rsid w:val="5A3B0C70"/>
    <w:rsid w:val="5A431766"/>
    <w:rsid w:val="5A67BCF6"/>
    <w:rsid w:val="5A7DD524"/>
    <w:rsid w:val="5A9FFB2C"/>
    <w:rsid w:val="5AE32C0F"/>
    <w:rsid w:val="5AECB750"/>
    <w:rsid w:val="5AFB3AAD"/>
    <w:rsid w:val="5B07DAE5"/>
    <w:rsid w:val="5B555C0C"/>
    <w:rsid w:val="5B5B1F56"/>
    <w:rsid w:val="5B6582F2"/>
    <w:rsid w:val="5B686C3A"/>
    <w:rsid w:val="5B6B92DE"/>
    <w:rsid w:val="5B727666"/>
    <w:rsid w:val="5B7E4B72"/>
    <w:rsid w:val="5B86BA92"/>
    <w:rsid w:val="5BDC3CF4"/>
    <w:rsid w:val="5C45A5BE"/>
    <w:rsid w:val="5C6DCFAA"/>
    <w:rsid w:val="5D33C62B"/>
    <w:rsid w:val="5D6D7095"/>
    <w:rsid w:val="5DB5C386"/>
    <w:rsid w:val="5DE85F27"/>
    <w:rsid w:val="5DF5D830"/>
    <w:rsid w:val="5E41A099"/>
    <w:rsid w:val="5E62F766"/>
    <w:rsid w:val="5E79C399"/>
    <w:rsid w:val="5E98B839"/>
    <w:rsid w:val="5EF61B0B"/>
    <w:rsid w:val="5EF64D6C"/>
    <w:rsid w:val="5F7A8F8C"/>
    <w:rsid w:val="5F7BCFEF"/>
    <w:rsid w:val="5FA5C6A6"/>
    <w:rsid w:val="5FBDA8E9"/>
    <w:rsid w:val="5FCD3D31"/>
    <w:rsid w:val="5FFD31AE"/>
    <w:rsid w:val="6037A10F"/>
    <w:rsid w:val="603B68BC"/>
    <w:rsid w:val="6040374F"/>
    <w:rsid w:val="6045D572"/>
    <w:rsid w:val="606EA357"/>
    <w:rsid w:val="6072BFA7"/>
    <w:rsid w:val="607D21B6"/>
    <w:rsid w:val="60DA297E"/>
    <w:rsid w:val="61340461"/>
    <w:rsid w:val="61B3AD60"/>
    <w:rsid w:val="6247F75D"/>
    <w:rsid w:val="625FB4EF"/>
    <w:rsid w:val="626B0E50"/>
    <w:rsid w:val="627A5E85"/>
    <w:rsid w:val="62BD396F"/>
    <w:rsid w:val="62DF4E35"/>
    <w:rsid w:val="63476518"/>
    <w:rsid w:val="634D444B"/>
    <w:rsid w:val="638FFAC1"/>
    <w:rsid w:val="63BCE56F"/>
    <w:rsid w:val="63D81AC7"/>
    <w:rsid w:val="64445CE0"/>
    <w:rsid w:val="64722E23"/>
    <w:rsid w:val="64C02299"/>
    <w:rsid w:val="64C0A2D3"/>
    <w:rsid w:val="652FEF9C"/>
    <w:rsid w:val="65403303"/>
    <w:rsid w:val="657BE138"/>
    <w:rsid w:val="65950B02"/>
    <w:rsid w:val="65EDDE21"/>
    <w:rsid w:val="65FD9A04"/>
    <w:rsid w:val="6605D346"/>
    <w:rsid w:val="665F9B6D"/>
    <w:rsid w:val="667D3478"/>
    <w:rsid w:val="66A601B2"/>
    <w:rsid w:val="66AAC682"/>
    <w:rsid w:val="66B21146"/>
    <w:rsid w:val="674AA933"/>
    <w:rsid w:val="67BB24E9"/>
    <w:rsid w:val="67E7C4BF"/>
    <w:rsid w:val="684D33D9"/>
    <w:rsid w:val="68D0B779"/>
    <w:rsid w:val="69040C4B"/>
    <w:rsid w:val="69068596"/>
    <w:rsid w:val="69A46999"/>
    <w:rsid w:val="69C3284B"/>
    <w:rsid w:val="69F24804"/>
    <w:rsid w:val="6A0FB143"/>
    <w:rsid w:val="6A7ACD9D"/>
    <w:rsid w:val="6A977834"/>
    <w:rsid w:val="6ADBA528"/>
    <w:rsid w:val="6B136A8B"/>
    <w:rsid w:val="6B3A2B77"/>
    <w:rsid w:val="6B408FE5"/>
    <w:rsid w:val="6B44C7F4"/>
    <w:rsid w:val="6B72BE08"/>
    <w:rsid w:val="6BD316B8"/>
    <w:rsid w:val="6BD6FB1A"/>
    <w:rsid w:val="6BDF69A3"/>
    <w:rsid w:val="6C050BDD"/>
    <w:rsid w:val="6C8A90A6"/>
    <w:rsid w:val="6C8DF2D9"/>
    <w:rsid w:val="6CBB5141"/>
    <w:rsid w:val="6CD88EEE"/>
    <w:rsid w:val="6CF8C49F"/>
    <w:rsid w:val="6D6F1F5D"/>
    <w:rsid w:val="6D77D9D0"/>
    <w:rsid w:val="6D87F00D"/>
    <w:rsid w:val="6DA257EB"/>
    <w:rsid w:val="6DD3E204"/>
    <w:rsid w:val="6E027095"/>
    <w:rsid w:val="6E22B081"/>
    <w:rsid w:val="6E431EB7"/>
    <w:rsid w:val="6F3850C7"/>
    <w:rsid w:val="6F62223D"/>
    <w:rsid w:val="6F65D5AA"/>
    <w:rsid w:val="6FE8D62D"/>
    <w:rsid w:val="6FF18E41"/>
    <w:rsid w:val="702ED9F8"/>
    <w:rsid w:val="7043E66F"/>
    <w:rsid w:val="70805201"/>
    <w:rsid w:val="70932E09"/>
    <w:rsid w:val="7098AF0F"/>
    <w:rsid w:val="70BFEC1B"/>
    <w:rsid w:val="70D4EAA9"/>
    <w:rsid w:val="70E6D5EC"/>
    <w:rsid w:val="71150536"/>
    <w:rsid w:val="71803AE3"/>
    <w:rsid w:val="71E8FEBD"/>
    <w:rsid w:val="7245BF40"/>
    <w:rsid w:val="7282CE87"/>
    <w:rsid w:val="72903152"/>
    <w:rsid w:val="7290A784"/>
    <w:rsid w:val="72A0D882"/>
    <w:rsid w:val="72BBD6D5"/>
    <w:rsid w:val="736C3869"/>
    <w:rsid w:val="737226A3"/>
    <w:rsid w:val="73A8DC78"/>
    <w:rsid w:val="73F4CA56"/>
    <w:rsid w:val="7424AE7E"/>
    <w:rsid w:val="74496885"/>
    <w:rsid w:val="7461D794"/>
    <w:rsid w:val="748491E0"/>
    <w:rsid w:val="749E9DC2"/>
    <w:rsid w:val="74ADF224"/>
    <w:rsid w:val="74B145BC"/>
    <w:rsid w:val="74EB1CFF"/>
    <w:rsid w:val="7529BAFA"/>
    <w:rsid w:val="753D5E49"/>
    <w:rsid w:val="75419B54"/>
    <w:rsid w:val="755C7A0D"/>
    <w:rsid w:val="76139387"/>
    <w:rsid w:val="768F6442"/>
    <w:rsid w:val="76AF2566"/>
    <w:rsid w:val="76ED3F9D"/>
    <w:rsid w:val="77F64D7B"/>
    <w:rsid w:val="78013E15"/>
    <w:rsid w:val="7816E492"/>
    <w:rsid w:val="78375D62"/>
    <w:rsid w:val="784EF11C"/>
    <w:rsid w:val="7867C5D0"/>
    <w:rsid w:val="78927447"/>
    <w:rsid w:val="78995D17"/>
    <w:rsid w:val="78ADC39C"/>
    <w:rsid w:val="78E6AFBA"/>
    <w:rsid w:val="79625D80"/>
    <w:rsid w:val="798776AF"/>
    <w:rsid w:val="79884208"/>
    <w:rsid w:val="799B1CF6"/>
    <w:rsid w:val="79B6885C"/>
    <w:rsid w:val="7A08BE2B"/>
    <w:rsid w:val="7A323BEF"/>
    <w:rsid w:val="7A7A87BA"/>
    <w:rsid w:val="7AB9B44F"/>
    <w:rsid w:val="7ADB1862"/>
    <w:rsid w:val="7AF6B687"/>
    <w:rsid w:val="7B50C8DA"/>
    <w:rsid w:val="7B7DBAB7"/>
    <w:rsid w:val="7B9C7B35"/>
    <w:rsid w:val="7B9EC539"/>
    <w:rsid w:val="7BDCEE6E"/>
    <w:rsid w:val="7C002A23"/>
    <w:rsid w:val="7D0F011A"/>
    <w:rsid w:val="7D872503"/>
    <w:rsid w:val="7DA9C68F"/>
    <w:rsid w:val="7DC10E58"/>
    <w:rsid w:val="7DCC36EE"/>
    <w:rsid w:val="7E0CE296"/>
    <w:rsid w:val="7E463F19"/>
    <w:rsid w:val="7F478CD7"/>
    <w:rsid w:val="7F56E72F"/>
    <w:rsid w:val="7F65448D"/>
    <w:rsid w:val="7FB1C39B"/>
    <w:rsid w:val="7FB4A8E7"/>
    <w:rsid w:val="7FCDF42A"/>
    <w:rsid w:val="7FE5BB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698D"/>
  <w15:chartTrackingRefBased/>
  <w15:docId w15:val="{6A55E24F-C709-42FC-9E5C-6C6CFE53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BB0"/>
    <w:pPr>
      <w:spacing w:before="160" w:line="276" w:lineRule="auto"/>
    </w:pPr>
    <w:rPr>
      <w:sz w:val="20"/>
    </w:rPr>
  </w:style>
  <w:style w:type="paragraph" w:styleId="Heading1">
    <w:name w:val="heading 1"/>
    <w:basedOn w:val="Normal"/>
    <w:next w:val="Normal"/>
    <w:link w:val="Heading1Char"/>
    <w:uiPriority w:val="9"/>
    <w:qFormat/>
    <w:rsid w:val="00A659D0"/>
    <w:pPr>
      <w:keepNext/>
      <w:keepLines/>
      <w:pageBreakBefore/>
      <w:spacing w:before="0" w:after="240" w:line="240" w:lineRule="auto"/>
      <w:outlineLvl w:val="0"/>
    </w:pPr>
    <w:rPr>
      <w:rFonts w:asciiTheme="majorHAnsi" w:eastAsiaTheme="majorEastAsia" w:hAnsiTheme="majorHAnsi" w:cstheme="majorBidi"/>
      <w:b/>
      <w:color w:val="7B5E05" w:themeColor="accent1"/>
      <w:sz w:val="40"/>
      <w:szCs w:val="40"/>
    </w:rPr>
  </w:style>
  <w:style w:type="paragraph" w:styleId="Heading2">
    <w:name w:val="heading 2"/>
    <w:basedOn w:val="Normal"/>
    <w:next w:val="Normal"/>
    <w:link w:val="Heading2Char"/>
    <w:uiPriority w:val="9"/>
    <w:qFormat/>
    <w:rsid w:val="007B7D3A"/>
    <w:pPr>
      <w:keepNext/>
      <w:keepLines/>
      <w:spacing w:before="120" w:after="240"/>
      <w:outlineLvl w:val="1"/>
    </w:pPr>
    <w:rPr>
      <w:rFonts w:asciiTheme="majorHAnsi" w:eastAsiaTheme="majorEastAsia" w:hAnsiTheme="majorHAnsi" w:cstheme="majorBidi"/>
      <w:b/>
      <w:color w:val="7B5E05" w:themeColor="accent1"/>
      <w:sz w:val="32"/>
      <w:szCs w:val="32"/>
    </w:rPr>
  </w:style>
  <w:style w:type="paragraph" w:styleId="Heading3">
    <w:name w:val="heading 3"/>
    <w:basedOn w:val="Normal"/>
    <w:next w:val="Normal"/>
    <w:link w:val="Heading3Char"/>
    <w:uiPriority w:val="9"/>
    <w:qFormat/>
    <w:rsid w:val="007B7D3A"/>
    <w:pPr>
      <w:keepNext/>
      <w:keepLines/>
      <w:spacing w:before="40" w:after="240"/>
      <w:outlineLvl w:val="2"/>
    </w:pPr>
    <w:rPr>
      <w:rFonts w:asciiTheme="majorHAnsi" w:eastAsiaTheme="majorEastAsia" w:hAnsiTheme="majorHAnsi" w:cstheme="majorBidi"/>
      <w:b/>
      <w:color w:val="403151" w:themeColor="accent2"/>
      <w:sz w:val="28"/>
      <w:szCs w:val="24"/>
    </w:rPr>
  </w:style>
  <w:style w:type="paragraph" w:styleId="Heading4">
    <w:name w:val="heading 4"/>
    <w:basedOn w:val="Normal"/>
    <w:next w:val="Normal"/>
    <w:link w:val="Heading4Char"/>
    <w:qFormat/>
    <w:rsid w:val="007B7D3A"/>
    <w:pPr>
      <w:keepNext/>
      <w:keepLines/>
      <w:spacing w:before="240" w:after="240" w:line="240" w:lineRule="auto"/>
      <w:outlineLvl w:val="3"/>
    </w:pPr>
    <w:rPr>
      <w:rFonts w:asciiTheme="majorHAnsi" w:eastAsiaTheme="majorEastAsia" w:hAnsiTheme="majorHAnsi" w:cstheme="majorBidi"/>
      <w:b/>
      <w:iCs/>
      <w:color w:val="403152"/>
      <w:sz w:val="24"/>
    </w:rPr>
  </w:style>
  <w:style w:type="paragraph" w:styleId="Heading5">
    <w:name w:val="heading 5"/>
    <w:aliases w:val="Level 1 Numbered"/>
    <w:basedOn w:val="Normal"/>
    <w:next w:val="Normal"/>
    <w:link w:val="Heading5Char"/>
    <w:uiPriority w:val="9"/>
    <w:qFormat/>
    <w:rsid w:val="007B7D3A"/>
    <w:pPr>
      <w:keepNext/>
      <w:keepLines/>
      <w:pageBreakBefore/>
      <w:numPr>
        <w:numId w:val="5"/>
      </w:numPr>
      <w:spacing w:before="360" w:after="240" w:line="240" w:lineRule="auto"/>
      <w:outlineLvl w:val="4"/>
    </w:pPr>
    <w:rPr>
      <w:rFonts w:asciiTheme="majorHAnsi" w:eastAsiaTheme="majorEastAsia" w:hAnsiTheme="majorHAnsi" w:cstheme="majorBidi"/>
      <w:b/>
      <w:color w:val="7B5E05" w:themeColor="accent1"/>
      <w:sz w:val="40"/>
    </w:rPr>
  </w:style>
  <w:style w:type="paragraph" w:styleId="Heading6">
    <w:name w:val="heading 6"/>
    <w:aliases w:val="Level 2 Numbered"/>
    <w:basedOn w:val="Normal"/>
    <w:next w:val="Normal"/>
    <w:link w:val="Heading6Char"/>
    <w:uiPriority w:val="9"/>
    <w:qFormat/>
    <w:rsid w:val="000D0F14"/>
    <w:pPr>
      <w:keepNext/>
      <w:keepLines/>
      <w:numPr>
        <w:ilvl w:val="1"/>
        <w:numId w:val="5"/>
      </w:numPr>
      <w:spacing w:before="240" w:after="240" w:line="240" w:lineRule="auto"/>
      <w:outlineLvl w:val="5"/>
    </w:pPr>
    <w:rPr>
      <w:rFonts w:asciiTheme="majorHAnsi" w:eastAsiaTheme="majorEastAsia" w:hAnsiTheme="majorHAnsi" w:cstheme="majorBidi"/>
      <w:b/>
      <w:color w:val="7B5E05" w:themeColor="accent1"/>
      <w:sz w:val="32"/>
    </w:rPr>
  </w:style>
  <w:style w:type="paragraph" w:styleId="Heading7">
    <w:name w:val="heading 7"/>
    <w:aliases w:val="Level 3 Numbered"/>
    <w:basedOn w:val="Normal"/>
    <w:next w:val="Normal"/>
    <w:link w:val="Heading7Char"/>
    <w:uiPriority w:val="9"/>
    <w:qFormat/>
    <w:rsid w:val="00C200C2"/>
    <w:pPr>
      <w:keepNext/>
      <w:keepLines/>
      <w:numPr>
        <w:ilvl w:val="2"/>
        <w:numId w:val="5"/>
      </w:numPr>
      <w:spacing w:after="240"/>
      <w:outlineLvl w:val="6"/>
    </w:pPr>
    <w:rPr>
      <w:rFonts w:asciiTheme="majorHAnsi" w:eastAsiaTheme="majorEastAsia" w:hAnsiTheme="majorHAnsi" w:cstheme="majorBidi"/>
      <w:b/>
      <w:iCs/>
      <w:color w:val="403151" w:themeColor="accent2"/>
      <w:sz w:val="28"/>
    </w:rPr>
  </w:style>
  <w:style w:type="paragraph" w:styleId="Heading8">
    <w:name w:val="heading 8"/>
    <w:aliases w:val="Level 4 Numbered"/>
    <w:basedOn w:val="Heading2"/>
    <w:next w:val="Normal"/>
    <w:link w:val="Heading8Char"/>
    <w:uiPriority w:val="9"/>
    <w:qFormat/>
    <w:rsid w:val="007B7D3A"/>
    <w:pPr>
      <w:numPr>
        <w:ilvl w:val="3"/>
        <w:numId w:val="5"/>
      </w:numPr>
      <w:outlineLvl w:val="7"/>
    </w:pPr>
    <w:rPr>
      <w:color w:val="403152"/>
      <w:sz w:val="24"/>
    </w:rPr>
  </w:style>
  <w:style w:type="paragraph" w:styleId="Heading9">
    <w:name w:val="heading 9"/>
    <w:basedOn w:val="Normal"/>
    <w:next w:val="Normal"/>
    <w:link w:val="Heading9Char"/>
    <w:uiPriority w:val="9"/>
    <w:qFormat/>
    <w:rsid w:val="007B7D3A"/>
    <w:pPr>
      <w:keepNext/>
      <w:keepLines/>
      <w:pageBreakBefore/>
      <w:numPr>
        <w:ilvl w:val="8"/>
        <w:numId w:val="5"/>
      </w:numPr>
      <w:spacing w:before="40" w:after="0"/>
      <w:outlineLvl w:val="8"/>
    </w:pPr>
    <w:rPr>
      <w:rFonts w:asciiTheme="majorHAnsi" w:eastAsiaTheme="majorEastAsia" w:hAnsiTheme="majorHAnsi" w:cstheme="majorBidi"/>
      <w:b/>
      <w:iCs/>
      <w:color w:val="7B5E05" w:themeColor="accent1"/>
      <w:sz w:val="4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02428"/>
    <w:pPr>
      <w:pBdr>
        <w:bottom w:val="single" w:sz="4" w:space="18" w:color="7B5E05" w:themeColor="accent1"/>
      </w:pBdr>
      <w:spacing w:before="2640" w:after="120" w:line="240" w:lineRule="auto"/>
      <w:contextualSpacing/>
    </w:pPr>
    <w:rPr>
      <w:rFonts w:asciiTheme="majorHAnsi" w:eastAsiaTheme="majorEastAsia" w:hAnsiTheme="majorHAnsi" w:cstheme="majorBidi"/>
      <w:color w:val="000000" w:themeColor="text1"/>
      <w:spacing w:val="-10"/>
      <w:kern w:val="28"/>
      <w:sz w:val="48"/>
      <w:szCs w:val="56"/>
    </w:rPr>
  </w:style>
  <w:style w:type="character" w:customStyle="1" w:styleId="TitleChar">
    <w:name w:val="Title Char"/>
    <w:basedOn w:val="DefaultParagraphFont"/>
    <w:link w:val="Title"/>
    <w:uiPriority w:val="99"/>
    <w:rsid w:val="005B0EB4"/>
    <w:rPr>
      <w:rFonts w:asciiTheme="majorHAnsi" w:eastAsiaTheme="majorEastAsia" w:hAnsiTheme="majorHAnsi" w:cstheme="majorBidi"/>
      <w:color w:val="000000" w:themeColor="text1"/>
      <w:spacing w:val="-10"/>
      <w:kern w:val="28"/>
      <w:sz w:val="48"/>
      <w:szCs w:val="56"/>
    </w:rPr>
  </w:style>
  <w:style w:type="paragraph" w:styleId="Subtitle">
    <w:name w:val="Subtitle"/>
    <w:basedOn w:val="Normal"/>
    <w:next w:val="Normal"/>
    <w:link w:val="SubtitleChar"/>
    <w:uiPriority w:val="99"/>
    <w:qFormat/>
    <w:rsid w:val="00F02428"/>
    <w:pPr>
      <w:numPr>
        <w:ilvl w:val="1"/>
      </w:numPr>
      <w:spacing w:before="360" w:after="840"/>
    </w:pPr>
    <w:rPr>
      <w:rFonts w:eastAsiaTheme="minorEastAsia"/>
      <w:color w:val="404040" w:themeColor="text1" w:themeTint="BF"/>
      <w:spacing w:val="15"/>
      <w:sz w:val="32"/>
    </w:rPr>
  </w:style>
  <w:style w:type="character" w:customStyle="1" w:styleId="SubtitleChar">
    <w:name w:val="Subtitle Char"/>
    <w:basedOn w:val="DefaultParagraphFont"/>
    <w:link w:val="Subtitle"/>
    <w:uiPriority w:val="99"/>
    <w:rsid w:val="005B0EB4"/>
    <w:rPr>
      <w:rFonts w:eastAsiaTheme="minorEastAsia"/>
      <w:color w:val="404040" w:themeColor="text1" w:themeTint="BF"/>
      <w:spacing w:val="15"/>
      <w:sz w:val="32"/>
    </w:rPr>
  </w:style>
  <w:style w:type="character" w:customStyle="1" w:styleId="Purple">
    <w:name w:val="Purple"/>
    <w:basedOn w:val="DefaultParagraphFont"/>
    <w:uiPriority w:val="99"/>
    <w:qFormat/>
    <w:rsid w:val="00C425F2"/>
    <w:rPr>
      <w:color w:val="403151" w:themeColor="accent2"/>
    </w:rPr>
  </w:style>
  <w:style w:type="character" w:customStyle="1" w:styleId="Heading1Char">
    <w:name w:val="Heading 1 Char"/>
    <w:basedOn w:val="DefaultParagraphFont"/>
    <w:link w:val="Heading1"/>
    <w:uiPriority w:val="9"/>
    <w:rsid w:val="00A659D0"/>
    <w:rPr>
      <w:rFonts w:asciiTheme="majorHAnsi" w:eastAsiaTheme="majorEastAsia" w:hAnsiTheme="majorHAnsi" w:cstheme="majorBidi"/>
      <w:b/>
      <w:noProof/>
      <w:color w:val="7B5E05" w:themeColor="accent1"/>
      <w:sz w:val="40"/>
      <w:szCs w:val="40"/>
    </w:rPr>
  </w:style>
  <w:style w:type="character" w:customStyle="1" w:styleId="Heading2Char">
    <w:name w:val="Heading 2 Char"/>
    <w:basedOn w:val="DefaultParagraphFont"/>
    <w:link w:val="Heading2"/>
    <w:uiPriority w:val="9"/>
    <w:rsid w:val="007B7D3A"/>
    <w:rPr>
      <w:rFonts w:asciiTheme="majorHAnsi" w:eastAsiaTheme="majorEastAsia" w:hAnsiTheme="majorHAnsi" w:cstheme="majorBidi"/>
      <w:b/>
      <w:color w:val="7B5E05" w:themeColor="accent1"/>
      <w:sz w:val="32"/>
      <w:szCs w:val="32"/>
    </w:rPr>
  </w:style>
  <w:style w:type="character" w:customStyle="1" w:styleId="Heading3Char">
    <w:name w:val="Heading 3 Char"/>
    <w:basedOn w:val="DefaultParagraphFont"/>
    <w:link w:val="Heading3"/>
    <w:uiPriority w:val="9"/>
    <w:rsid w:val="007B7D3A"/>
    <w:rPr>
      <w:rFonts w:asciiTheme="majorHAnsi" w:eastAsiaTheme="majorEastAsia" w:hAnsiTheme="majorHAnsi" w:cstheme="majorBidi"/>
      <w:b/>
      <w:color w:val="403151" w:themeColor="accent2"/>
      <w:sz w:val="28"/>
      <w:szCs w:val="24"/>
    </w:rPr>
  </w:style>
  <w:style w:type="character" w:customStyle="1" w:styleId="Heading4Char">
    <w:name w:val="Heading 4 Char"/>
    <w:basedOn w:val="DefaultParagraphFont"/>
    <w:link w:val="Heading4"/>
    <w:uiPriority w:val="9"/>
    <w:rsid w:val="007B7D3A"/>
    <w:rPr>
      <w:rFonts w:asciiTheme="majorHAnsi" w:eastAsiaTheme="majorEastAsia" w:hAnsiTheme="majorHAnsi" w:cstheme="majorBidi"/>
      <w:b/>
      <w:iCs/>
      <w:color w:val="403152"/>
      <w:sz w:val="24"/>
    </w:rPr>
  </w:style>
  <w:style w:type="character" w:customStyle="1" w:styleId="Heading5Char">
    <w:name w:val="Heading 5 Char"/>
    <w:aliases w:val="Level 1 Numbered Char"/>
    <w:basedOn w:val="DefaultParagraphFont"/>
    <w:link w:val="Heading5"/>
    <w:uiPriority w:val="9"/>
    <w:rsid w:val="007B7D3A"/>
    <w:rPr>
      <w:rFonts w:asciiTheme="majorHAnsi" w:eastAsiaTheme="majorEastAsia" w:hAnsiTheme="majorHAnsi" w:cstheme="majorBidi"/>
      <w:b/>
      <w:color w:val="7B5E05" w:themeColor="accent1"/>
      <w:sz w:val="40"/>
    </w:rPr>
  </w:style>
  <w:style w:type="character" w:customStyle="1" w:styleId="Heading6Char">
    <w:name w:val="Heading 6 Char"/>
    <w:aliases w:val="Level 2 Numbered Char"/>
    <w:basedOn w:val="DefaultParagraphFont"/>
    <w:link w:val="Heading6"/>
    <w:uiPriority w:val="9"/>
    <w:rsid w:val="000D0F14"/>
    <w:rPr>
      <w:rFonts w:asciiTheme="majorHAnsi" w:eastAsiaTheme="majorEastAsia" w:hAnsiTheme="majorHAnsi" w:cstheme="majorBidi"/>
      <w:b/>
      <w:color w:val="7B5E05" w:themeColor="accent1"/>
      <w:sz w:val="32"/>
    </w:rPr>
  </w:style>
  <w:style w:type="character" w:customStyle="1" w:styleId="Heading7Char">
    <w:name w:val="Heading 7 Char"/>
    <w:aliases w:val="Level 3 Numbered Char"/>
    <w:basedOn w:val="DefaultParagraphFont"/>
    <w:link w:val="Heading7"/>
    <w:uiPriority w:val="9"/>
    <w:rsid w:val="00C200C2"/>
    <w:rPr>
      <w:rFonts w:asciiTheme="majorHAnsi" w:eastAsiaTheme="majorEastAsia" w:hAnsiTheme="majorHAnsi" w:cstheme="majorBidi"/>
      <w:b/>
      <w:iCs/>
      <w:color w:val="403151" w:themeColor="accent2"/>
      <w:sz w:val="28"/>
    </w:rPr>
  </w:style>
  <w:style w:type="character" w:customStyle="1" w:styleId="Heading8Char">
    <w:name w:val="Heading 8 Char"/>
    <w:aliases w:val="Level 4 Numbered Char"/>
    <w:basedOn w:val="DefaultParagraphFont"/>
    <w:link w:val="Heading8"/>
    <w:uiPriority w:val="9"/>
    <w:rsid w:val="007B7D3A"/>
    <w:rPr>
      <w:rFonts w:asciiTheme="majorHAnsi" w:eastAsiaTheme="majorEastAsia" w:hAnsiTheme="majorHAnsi" w:cstheme="majorBidi"/>
      <w:b/>
      <w:color w:val="403152"/>
      <w:sz w:val="24"/>
      <w:szCs w:val="32"/>
    </w:rPr>
  </w:style>
  <w:style w:type="character" w:customStyle="1" w:styleId="Heading9Char">
    <w:name w:val="Heading 9 Char"/>
    <w:basedOn w:val="DefaultParagraphFont"/>
    <w:link w:val="Heading9"/>
    <w:uiPriority w:val="9"/>
    <w:rsid w:val="007B7D3A"/>
    <w:rPr>
      <w:rFonts w:asciiTheme="majorHAnsi" w:eastAsiaTheme="majorEastAsia" w:hAnsiTheme="majorHAnsi" w:cstheme="majorBidi"/>
      <w:b/>
      <w:iCs/>
      <w:color w:val="7B5E05" w:themeColor="accent1"/>
      <w:sz w:val="40"/>
      <w:szCs w:val="21"/>
    </w:rPr>
  </w:style>
  <w:style w:type="paragraph" w:styleId="ListNumber">
    <w:name w:val="List Number"/>
    <w:basedOn w:val="Normal"/>
    <w:uiPriority w:val="1"/>
    <w:rsid w:val="00A659D0"/>
    <w:pPr>
      <w:numPr>
        <w:numId w:val="4"/>
      </w:numPr>
      <w:spacing w:before="0" w:after="240" w:line="240" w:lineRule="auto"/>
    </w:pPr>
  </w:style>
  <w:style w:type="paragraph" w:styleId="ListBullet">
    <w:name w:val="List Bullet"/>
    <w:basedOn w:val="Normal"/>
    <w:uiPriority w:val="2"/>
    <w:rsid w:val="00A659D0"/>
    <w:pPr>
      <w:numPr>
        <w:numId w:val="2"/>
      </w:numPr>
      <w:spacing w:before="0" w:after="40"/>
    </w:pPr>
  </w:style>
  <w:style w:type="paragraph" w:styleId="Quote">
    <w:name w:val="Quote"/>
    <w:next w:val="Normal"/>
    <w:link w:val="QuoteChar"/>
    <w:uiPriority w:val="31"/>
    <w:qFormat/>
    <w:rsid w:val="00DE7098"/>
    <w:pPr>
      <w:spacing w:after="240" w:line="240" w:lineRule="auto"/>
      <w:ind w:left="567" w:right="510"/>
    </w:pPr>
    <w:rPr>
      <w:iCs/>
      <w:color w:val="595959" w:themeColor="text1" w:themeTint="A6"/>
      <w:sz w:val="20"/>
    </w:rPr>
  </w:style>
  <w:style w:type="character" w:customStyle="1" w:styleId="QuoteChar">
    <w:name w:val="Quote Char"/>
    <w:basedOn w:val="DefaultParagraphFont"/>
    <w:link w:val="Quote"/>
    <w:uiPriority w:val="31"/>
    <w:rsid w:val="00532EAC"/>
    <w:rPr>
      <w:iCs/>
      <w:color w:val="595959" w:themeColor="text1" w:themeTint="A6"/>
      <w:sz w:val="20"/>
    </w:rPr>
  </w:style>
  <w:style w:type="paragraph" w:customStyle="1" w:styleId="OutlineBox">
    <w:name w:val="Outline Box"/>
    <w:basedOn w:val="Normal"/>
    <w:uiPriority w:val="13"/>
    <w:qFormat/>
    <w:rsid w:val="00A659D0"/>
    <w:pPr>
      <w:pBdr>
        <w:top w:val="single" w:sz="4" w:space="12" w:color="7B5E05" w:themeColor="accent1"/>
        <w:left w:val="single" w:sz="4" w:space="10" w:color="7B5E05" w:themeColor="accent1"/>
        <w:bottom w:val="single" w:sz="4" w:space="12" w:color="7B5E05" w:themeColor="accent1"/>
        <w:right w:val="single" w:sz="4" w:space="4" w:color="7B5E05" w:themeColor="accent1"/>
      </w:pBdr>
      <w:spacing w:before="0" w:after="0" w:line="240" w:lineRule="auto"/>
      <w:ind w:left="805" w:right="805"/>
    </w:pPr>
  </w:style>
  <w:style w:type="paragraph" w:customStyle="1" w:styleId="OutlineBoxBullets">
    <w:name w:val="Outline Box Bullets"/>
    <w:basedOn w:val="OutlineBox"/>
    <w:uiPriority w:val="13"/>
    <w:qFormat/>
    <w:rsid w:val="00CD771B"/>
    <w:pPr>
      <w:numPr>
        <w:ilvl w:val="2"/>
        <w:numId w:val="2"/>
      </w:numPr>
    </w:pPr>
  </w:style>
  <w:style w:type="character" w:styleId="Strong">
    <w:name w:val="Strong"/>
    <w:basedOn w:val="DefaultParagraphFont"/>
    <w:uiPriority w:val="22"/>
    <w:qFormat/>
    <w:rsid w:val="00573BB0"/>
    <w:rPr>
      <w:b/>
      <w:bCs/>
    </w:rPr>
  </w:style>
  <w:style w:type="table" w:styleId="TableGrid">
    <w:name w:val="Table Grid"/>
    <w:basedOn w:val="TableNormal"/>
    <w:uiPriority w:val="59"/>
    <w:rsid w:val="004F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pereTable">
    <w:name w:val="Sapere Table"/>
    <w:basedOn w:val="TableNormal"/>
    <w:uiPriority w:val="99"/>
    <w:rsid w:val="0065008B"/>
    <w:pPr>
      <w:spacing w:after="0" w:line="240" w:lineRule="auto"/>
    </w:pPr>
    <w:tblPr>
      <w:tblBorders>
        <w:top w:val="single" w:sz="4" w:space="0" w:color="7B5E05" w:themeColor="accent1"/>
        <w:bottom w:val="single" w:sz="4" w:space="0" w:color="7B5E05" w:themeColor="accent1"/>
        <w:insideH w:val="single" w:sz="4" w:space="0" w:color="7B5E05" w:themeColor="accent1"/>
        <w:insideV w:val="single" w:sz="4" w:space="0" w:color="7B5E05" w:themeColor="accent1"/>
      </w:tblBorders>
      <w:tblCellMar>
        <w:top w:w="28" w:type="dxa"/>
        <w:bottom w:w="28" w:type="dxa"/>
      </w:tblCellMar>
    </w:tblPr>
    <w:tblStylePr w:type="firstRow">
      <w:rPr>
        <w:b/>
        <w:color w:val="7B5E05" w:themeColor="accent1"/>
      </w:rPr>
    </w:tblStylePr>
    <w:tblStylePr w:type="lastRow">
      <w:rPr>
        <w:b/>
      </w:rPr>
      <w:tblPr/>
      <w:tcPr>
        <w:tcBorders>
          <w:top w:val="single" w:sz="18" w:space="0" w:color="7B5E05" w:themeColor="accent1"/>
        </w:tcBorders>
      </w:tcPr>
    </w:tblStylePr>
    <w:tblStylePr w:type="firstCol">
      <w:rPr>
        <w:b/>
        <w:color w:val="7B5E05" w:themeColor="accent1"/>
      </w:rPr>
    </w:tblStylePr>
  </w:style>
  <w:style w:type="paragraph" w:customStyle="1" w:styleId="TableTopRowHeading">
    <w:name w:val="Table Top Row Heading"/>
    <w:basedOn w:val="Normal"/>
    <w:uiPriority w:val="11"/>
    <w:semiHidden/>
    <w:qFormat/>
    <w:rsid w:val="004F6B2D"/>
    <w:pPr>
      <w:spacing w:after="0" w:line="240" w:lineRule="auto"/>
    </w:pPr>
    <w:rPr>
      <w:b/>
      <w:color w:val="7B5E05" w:themeColor="accent1"/>
    </w:rPr>
  </w:style>
  <w:style w:type="paragraph" w:styleId="Header">
    <w:name w:val="header"/>
    <w:basedOn w:val="Normal"/>
    <w:link w:val="HeaderChar"/>
    <w:uiPriority w:val="99"/>
    <w:unhideWhenUsed/>
    <w:rsid w:val="00A659D0"/>
    <w:pPr>
      <w:tabs>
        <w:tab w:val="center" w:pos="4513"/>
        <w:tab w:val="right" w:pos="9026"/>
      </w:tabs>
      <w:spacing w:before="0" w:after="720" w:line="240" w:lineRule="auto"/>
      <w:ind w:right="3402"/>
    </w:pPr>
    <w:rPr>
      <w:caps/>
      <w:color w:val="6C6C6C" w:themeColor="accent3" w:themeShade="80"/>
    </w:rPr>
  </w:style>
  <w:style w:type="character" w:customStyle="1" w:styleId="HeaderChar">
    <w:name w:val="Header Char"/>
    <w:basedOn w:val="DefaultParagraphFont"/>
    <w:link w:val="Header"/>
    <w:uiPriority w:val="99"/>
    <w:rsid w:val="00A659D0"/>
    <w:rPr>
      <w:caps/>
      <w:noProof/>
      <w:color w:val="6C6C6C" w:themeColor="accent3" w:themeShade="80"/>
      <w:sz w:val="20"/>
    </w:rPr>
  </w:style>
  <w:style w:type="paragraph" w:styleId="Footer">
    <w:name w:val="footer"/>
    <w:basedOn w:val="Normal"/>
    <w:link w:val="FooterChar"/>
    <w:uiPriority w:val="99"/>
    <w:unhideWhenUsed/>
    <w:rsid w:val="00A659D0"/>
    <w:pPr>
      <w:tabs>
        <w:tab w:val="center" w:pos="4513"/>
        <w:tab w:val="right" w:pos="9026"/>
      </w:tabs>
      <w:spacing w:before="0" w:after="0" w:line="240" w:lineRule="auto"/>
    </w:pPr>
    <w:rPr>
      <w:sz w:val="18"/>
    </w:rPr>
  </w:style>
  <w:style w:type="character" w:customStyle="1" w:styleId="FooterChar">
    <w:name w:val="Footer Char"/>
    <w:basedOn w:val="DefaultParagraphFont"/>
    <w:link w:val="Footer"/>
    <w:uiPriority w:val="99"/>
    <w:rsid w:val="00A659D0"/>
    <w:rPr>
      <w:noProof/>
      <w:sz w:val="18"/>
    </w:rPr>
  </w:style>
  <w:style w:type="paragraph" w:customStyle="1" w:styleId="CalloutHeading">
    <w:name w:val="Callout Heading"/>
    <w:basedOn w:val="Normal"/>
    <w:next w:val="CalloutText"/>
    <w:uiPriority w:val="13"/>
    <w:qFormat/>
    <w:rsid w:val="00A659D0"/>
    <w:pPr>
      <w:spacing w:before="0" w:after="60"/>
    </w:pPr>
    <w:rPr>
      <w:b/>
      <w:color w:val="000000" w:themeColor="text1"/>
      <w:lang w:val="en-US"/>
    </w:rPr>
  </w:style>
  <w:style w:type="paragraph" w:customStyle="1" w:styleId="CalloutText">
    <w:name w:val="Callout Text"/>
    <w:basedOn w:val="CalloutHeading"/>
    <w:uiPriority w:val="13"/>
    <w:qFormat/>
    <w:rsid w:val="00BE6A04"/>
    <w:rPr>
      <w:b w:val="0"/>
    </w:rPr>
  </w:style>
  <w:style w:type="paragraph" w:styleId="TOC1">
    <w:name w:val="toc 1"/>
    <w:basedOn w:val="Normal"/>
    <w:next w:val="Normal"/>
    <w:autoRedefine/>
    <w:uiPriority w:val="39"/>
    <w:rsid w:val="00104538"/>
    <w:pPr>
      <w:tabs>
        <w:tab w:val="left" w:pos="425"/>
        <w:tab w:val="right" w:leader="dot" w:pos="9016"/>
      </w:tabs>
      <w:spacing w:before="0" w:after="120" w:line="240" w:lineRule="auto"/>
    </w:pPr>
  </w:style>
  <w:style w:type="paragraph" w:styleId="TOC2">
    <w:name w:val="toc 2"/>
    <w:basedOn w:val="Normal"/>
    <w:next w:val="Normal"/>
    <w:autoRedefine/>
    <w:uiPriority w:val="39"/>
    <w:rsid w:val="00A659D0"/>
    <w:pPr>
      <w:tabs>
        <w:tab w:val="right" w:leader="dot" w:pos="9016"/>
      </w:tabs>
      <w:spacing w:before="0" w:after="120" w:line="240" w:lineRule="auto"/>
      <w:ind w:left="425" w:hanging="425"/>
    </w:pPr>
  </w:style>
  <w:style w:type="character" w:styleId="Hyperlink">
    <w:name w:val="Hyperlink"/>
    <w:basedOn w:val="DefaultParagraphFont"/>
    <w:uiPriority w:val="99"/>
    <w:unhideWhenUsed/>
    <w:rsid w:val="002C727E"/>
    <w:rPr>
      <w:color w:val="7B5E05" w:themeColor="hyperlink"/>
      <w:u w:val="single"/>
    </w:rPr>
  </w:style>
  <w:style w:type="paragraph" w:styleId="TOCHeading">
    <w:name w:val="TOC Heading"/>
    <w:basedOn w:val="Normal"/>
    <w:next w:val="Normal"/>
    <w:uiPriority w:val="39"/>
    <w:qFormat/>
    <w:rsid w:val="0056113C"/>
    <w:pPr>
      <w:spacing w:before="480" w:after="60"/>
    </w:pPr>
    <w:rPr>
      <w:b/>
      <w:color w:val="7B5E05" w:themeColor="accent1"/>
      <w:sz w:val="24"/>
    </w:rPr>
  </w:style>
  <w:style w:type="paragraph" w:styleId="TOC3">
    <w:name w:val="toc 3"/>
    <w:basedOn w:val="Normal"/>
    <w:next w:val="Normal"/>
    <w:autoRedefine/>
    <w:uiPriority w:val="39"/>
    <w:rsid w:val="00EC41D2"/>
    <w:pPr>
      <w:tabs>
        <w:tab w:val="left" w:pos="1276"/>
        <w:tab w:val="right" w:leader="dot" w:pos="9016"/>
      </w:tabs>
      <w:spacing w:before="0" w:after="120" w:line="240" w:lineRule="auto"/>
      <w:ind w:left="1276" w:hanging="425"/>
    </w:pPr>
  </w:style>
  <w:style w:type="paragraph" w:styleId="TableofFigures">
    <w:name w:val="table of figures"/>
    <w:basedOn w:val="Normal"/>
    <w:next w:val="Normal"/>
    <w:uiPriority w:val="99"/>
    <w:rsid w:val="00760098"/>
    <w:pPr>
      <w:spacing w:before="0" w:after="0"/>
    </w:pPr>
  </w:style>
  <w:style w:type="table" w:customStyle="1" w:styleId="zGlossaryTable">
    <w:name w:val="zGlossary Table"/>
    <w:basedOn w:val="TableNormal"/>
    <w:uiPriority w:val="99"/>
    <w:rsid w:val="009757C5"/>
    <w:pPr>
      <w:spacing w:after="0" w:line="240" w:lineRule="auto"/>
    </w:pPr>
    <w:rPr>
      <w:sz w:val="20"/>
    </w:rPr>
    <w:tblPr>
      <w:tblCellMar>
        <w:top w:w="57" w:type="dxa"/>
        <w:left w:w="0" w:type="dxa"/>
        <w:bottom w:w="57" w:type="dxa"/>
        <w:right w:w="0" w:type="dxa"/>
      </w:tblCellMar>
    </w:tblPr>
    <w:tcPr>
      <w:vAlign w:val="center"/>
    </w:tcPr>
    <w:tblStylePr w:type="firstRow">
      <w:rPr>
        <w:b/>
      </w:rPr>
    </w:tblStylePr>
  </w:style>
  <w:style w:type="paragraph" w:customStyle="1" w:styleId="TableTitle">
    <w:name w:val="Table Title"/>
    <w:basedOn w:val="TableofFigures"/>
    <w:uiPriority w:val="11"/>
    <w:semiHidden/>
    <w:qFormat/>
    <w:rsid w:val="00A212AE"/>
    <w:pPr>
      <w:spacing w:after="240"/>
    </w:pPr>
    <w:rPr>
      <w:b/>
      <w:color w:val="000000" w:themeColor="text1"/>
    </w:rPr>
  </w:style>
  <w:style w:type="table" w:customStyle="1" w:styleId="GreyTable">
    <w:name w:val="Grey Table"/>
    <w:basedOn w:val="TableNormal"/>
    <w:uiPriority w:val="99"/>
    <w:rsid w:val="0065008B"/>
    <w:pPr>
      <w:spacing w:after="0" w:line="240" w:lineRule="auto"/>
    </w:pPr>
    <w:tblPr>
      <w:jc w:val="center"/>
      <w:tblCellMar>
        <w:top w:w="113" w:type="dxa"/>
        <w:left w:w="85" w:type="dxa"/>
        <w:bottom w:w="113" w:type="dxa"/>
        <w:right w:w="85" w:type="dxa"/>
      </w:tblCellMar>
    </w:tblPr>
    <w:trPr>
      <w:jc w:val="center"/>
    </w:trPr>
    <w:tcPr>
      <w:shd w:val="clear" w:color="auto" w:fill="D9D9D9" w:themeFill="accent3"/>
    </w:tcPr>
  </w:style>
  <w:style w:type="paragraph" w:customStyle="1" w:styleId="TableText">
    <w:name w:val="Table Text"/>
    <w:basedOn w:val="Normal"/>
    <w:uiPriority w:val="12"/>
    <w:semiHidden/>
    <w:qFormat/>
    <w:rsid w:val="007160C6"/>
    <w:pPr>
      <w:spacing w:after="0" w:line="240" w:lineRule="auto"/>
    </w:pPr>
  </w:style>
  <w:style w:type="paragraph" w:customStyle="1" w:styleId="Source">
    <w:name w:val="Source"/>
    <w:basedOn w:val="Normal"/>
    <w:next w:val="Normal"/>
    <w:uiPriority w:val="38"/>
    <w:qFormat/>
    <w:rsid w:val="00A659D0"/>
    <w:pPr>
      <w:keepNext/>
      <w:spacing w:before="0" w:after="240"/>
    </w:pPr>
    <w:rPr>
      <w:iCs/>
      <w:color w:val="000000" w:themeColor="text1"/>
      <w:sz w:val="16"/>
      <w:szCs w:val="16"/>
    </w:rPr>
  </w:style>
  <w:style w:type="table" w:customStyle="1" w:styleId="zEndPageTable">
    <w:name w:val="zEnd Page Table"/>
    <w:basedOn w:val="TableNormal"/>
    <w:uiPriority w:val="99"/>
    <w:rsid w:val="00136121"/>
    <w:pPr>
      <w:spacing w:after="0" w:line="240" w:lineRule="auto"/>
    </w:pPr>
    <w:tblPr>
      <w:tblBorders>
        <w:insideH w:val="single" w:sz="4" w:space="0" w:color="7B5E05" w:themeColor="accent1"/>
        <w:insideV w:val="single" w:sz="4" w:space="0" w:color="7B5E05" w:themeColor="accent1"/>
      </w:tblBorders>
    </w:tblPr>
  </w:style>
  <w:style w:type="paragraph" w:customStyle="1" w:styleId="Gap">
    <w:name w:val="Gap"/>
    <w:basedOn w:val="Normal"/>
    <w:semiHidden/>
    <w:qFormat/>
    <w:rsid w:val="00671F44"/>
    <w:pPr>
      <w:spacing w:after="1080"/>
    </w:pPr>
    <w:rPr>
      <w:lang w:eastAsia="en-NZ"/>
    </w:rPr>
  </w:style>
  <w:style w:type="paragraph" w:styleId="TOAHeading">
    <w:name w:val="toa heading"/>
    <w:basedOn w:val="Normal"/>
    <w:next w:val="Normal"/>
    <w:uiPriority w:val="99"/>
    <w:semiHidden/>
    <w:unhideWhenUsed/>
    <w:rsid w:val="00671F44"/>
    <w:pPr>
      <w:spacing w:before="120"/>
    </w:pPr>
    <w:rPr>
      <w:rFonts w:asciiTheme="majorHAnsi" w:eastAsiaTheme="majorEastAsia" w:hAnsiTheme="majorHAnsi" w:cstheme="majorBidi"/>
      <w:b/>
      <w:bCs/>
      <w:sz w:val="24"/>
      <w:szCs w:val="24"/>
    </w:rPr>
  </w:style>
  <w:style w:type="paragraph" w:styleId="ListParagraph">
    <w:name w:val="List Paragraph"/>
    <w:aliases w:val="Bullet List,Bullet point,List Paragraph1,List Paragraph11,Recommendation,List Bullet 1,L"/>
    <w:basedOn w:val="Normal"/>
    <w:link w:val="ListParagraphChar"/>
    <w:uiPriority w:val="34"/>
    <w:qFormat/>
    <w:rsid w:val="00636428"/>
    <w:pPr>
      <w:ind w:left="720"/>
      <w:contextualSpacing/>
    </w:pPr>
  </w:style>
  <w:style w:type="paragraph" w:styleId="TOC4">
    <w:name w:val="toc 4"/>
    <w:basedOn w:val="Normal"/>
    <w:next w:val="Normal"/>
    <w:autoRedefine/>
    <w:uiPriority w:val="39"/>
    <w:rsid w:val="004E428D"/>
    <w:pPr>
      <w:tabs>
        <w:tab w:val="right" w:leader="dot" w:pos="9016"/>
      </w:tabs>
      <w:spacing w:before="0" w:after="240" w:line="240" w:lineRule="auto"/>
      <w:ind w:left="1588" w:hanging="567"/>
      <w:contextualSpacing/>
    </w:pPr>
  </w:style>
  <w:style w:type="table" w:customStyle="1" w:styleId="zBlank">
    <w:name w:val="zBlank"/>
    <w:basedOn w:val="TableNormal"/>
    <w:uiPriority w:val="99"/>
    <w:rsid w:val="00566167"/>
    <w:pPr>
      <w:spacing w:after="0" w:line="240" w:lineRule="auto"/>
    </w:pPr>
    <w:tblPr>
      <w:tblCellMar>
        <w:left w:w="0" w:type="dxa"/>
        <w:right w:w="0" w:type="dxa"/>
      </w:tblCellMar>
    </w:tblPr>
  </w:style>
  <w:style w:type="table" w:customStyle="1" w:styleId="zStyle1">
    <w:name w:val="zStyle1"/>
    <w:basedOn w:val="TableNormal"/>
    <w:uiPriority w:val="99"/>
    <w:rsid w:val="002C1220"/>
    <w:pPr>
      <w:spacing w:after="0" w:line="240" w:lineRule="auto"/>
    </w:pPr>
    <w:rPr>
      <w:sz w:val="16"/>
    </w:rPr>
    <w:tblPr>
      <w:tblBorders>
        <w:insideV w:val="single" w:sz="4" w:space="0" w:color="000000" w:themeColor="text1"/>
      </w:tblBorders>
    </w:tblPr>
    <w:tblStylePr w:type="firstRow">
      <w:rPr>
        <w:b/>
      </w:rPr>
    </w:tblStylePr>
  </w:style>
  <w:style w:type="paragraph" w:styleId="IntenseQuote">
    <w:name w:val="Intense Quote"/>
    <w:basedOn w:val="Normal"/>
    <w:next w:val="Normal"/>
    <w:link w:val="IntenseQuoteChar"/>
    <w:uiPriority w:val="30"/>
    <w:semiHidden/>
    <w:qFormat/>
    <w:rsid w:val="002C1220"/>
    <w:pPr>
      <w:spacing w:before="840"/>
      <w:jc w:val="center"/>
    </w:pPr>
    <w:rPr>
      <w:sz w:val="32"/>
      <w:szCs w:val="32"/>
    </w:rPr>
  </w:style>
  <w:style w:type="character" w:customStyle="1" w:styleId="IntenseQuoteChar">
    <w:name w:val="Intense Quote Char"/>
    <w:basedOn w:val="DefaultParagraphFont"/>
    <w:link w:val="IntenseQuote"/>
    <w:uiPriority w:val="30"/>
    <w:semiHidden/>
    <w:rsid w:val="002C1220"/>
    <w:rPr>
      <w:sz w:val="32"/>
      <w:szCs w:val="32"/>
    </w:rPr>
  </w:style>
  <w:style w:type="paragraph" w:customStyle="1" w:styleId="Draftingnote">
    <w:name w:val="Drafting note"/>
    <w:basedOn w:val="Normal"/>
    <w:next w:val="Normal"/>
    <w:semiHidden/>
    <w:qFormat/>
    <w:rsid w:val="00074940"/>
    <w:pPr>
      <w:spacing w:before="0"/>
    </w:pPr>
    <w:rPr>
      <w:i/>
      <w:color w:val="E36C0A" w:themeColor="accent6"/>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qFormat/>
    <w:rsid w:val="00A659D0"/>
    <w:pPr>
      <w:spacing w:before="0" w:after="0" w:line="240" w:lineRule="auto"/>
      <w:ind w:left="113" w:hanging="113"/>
    </w:pPr>
    <w:rPr>
      <w:sz w:val="18"/>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rsid w:val="00A659D0"/>
    <w:rPr>
      <w:noProof/>
      <w:sz w:val="18"/>
      <w:szCs w:val="20"/>
    </w:rPr>
  </w:style>
  <w:style w:type="table" w:customStyle="1" w:styleId="ValuationTable">
    <w:name w:val="Valuation Table"/>
    <w:basedOn w:val="TableNormal"/>
    <w:uiPriority w:val="99"/>
    <w:rsid w:val="007B7D3A"/>
    <w:pPr>
      <w:spacing w:after="0" w:line="240" w:lineRule="auto"/>
    </w:pPr>
    <w:tblPr>
      <w:tblBorders>
        <w:bottom w:val="single" w:sz="4" w:space="0" w:color="000000" w:themeColor="text1"/>
      </w:tblBorders>
      <w:tblCellMar>
        <w:left w:w="0" w:type="dxa"/>
        <w:right w:w="0" w:type="dxa"/>
      </w:tblCellMar>
    </w:tblPr>
    <w:tcPr>
      <w:shd w:val="clear" w:color="auto" w:fill="E8E4DC"/>
    </w:tcPr>
    <w:tblStylePr w:type="firstRow">
      <w:rPr>
        <w:rFonts w:asciiTheme="minorHAnsi" w:hAnsiTheme="minorHAnsi"/>
        <w:b w:val="0"/>
        <w:color w:val="EEECE1" w:themeColor="background2"/>
        <w:sz w:val="20"/>
      </w:rPr>
      <w:tblPr/>
      <w:tcPr>
        <w:tcBorders>
          <w:top w:val="nil"/>
          <w:left w:val="nil"/>
          <w:bottom w:val="nil"/>
          <w:right w:val="nil"/>
          <w:insideH w:val="nil"/>
          <w:insideV w:val="nil"/>
        </w:tcBorders>
        <w:shd w:val="clear" w:color="auto" w:fill="7B5E05" w:themeFill="accent1"/>
      </w:tcPr>
    </w:tblStylePr>
  </w:style>
  <w:style w:type="paragraph" w:styleId="ListNumber2">
    <w:name w:val="List Number 2"/>
    <w:basedOn w:val="Normal"/>
    <w:uiPriority w:val="1"/>
    <w:rsid w:val="00A659D0"/>
    <w:pPr>
      <w:numPr>
        <w:ilvl w:val="1"/>
        <w:numId w:val="4"/>
      </w:numPr>
      <w:spacing w:before="0" w:after="60"/>
      <w:contextualSpacing/>
    </w:pPr>
  </w:style>
  <w:style w:type="paragraph" w:styleId="ListNumber3">
    <w:name w:val="List Number 3"/>
    <w:basedOn w:val="Normal"/>
    <w:uiPriority w:val="1"/>
    <w:rsid w:val="00A659D0"/>
    <w:pPr>
      <w:numPr>
        <w:ilvl w:val="2"/>
        <w:numId w:val="4"/>
      </w:numPr>
      <w:spacing w:before="0" w:after="60"/>
      <w:contextualSpacing/>
    </w:pPr>
  </w:style>
  <w:style w:type="paragraph" w:styleId="ListNumber4">
    <w:name w:val="List Number 4"/>
    <w:basedOn w:val="Normal"/>
    <w:uiPriority w:val="1"/>
    <w:rsid w:val="00A659D0"/>
    <w:pPr>
      <w:numPr>
        <w:ilvl w:val="3"/>
        <w:numId w:val="4"/>
      </w:numPr>
      <w:spacing w:before="0" w:after="60"/>
      <w:contextualSpacing/>
    </w:pPr>
  </w:style>
  <w:style w:type="paragraph" w:styleId="ListNumber5">
    <w:name w:val="List Number 5"/>
    <w:basedOn w:val="Normal"/>
    <w:uiPriority w:val="1"/>
    <w:rsid w:val="00A659D0"/>
    <w:pPr>
      <w:numPr>
        <w:ilvl w:val="4"/>
        <w:numId w:val="4"/>
      </w:numPr>
      <w:spacing w:before="0" w:after="60"/>
      <w:ind w:left="1798" w:hanging="335"/>
      <w:contextualSpacing/>
    </w:pPr>
  </w:style>
  <w:style w:type="paragraph" w:customStyle="1" w:styleId="Quote2">
    <w:name w:val="Quote 2"/>
    <w:uiPriority w:val="31"/>
    <w:qFormat/>
    <w:rsid w:val="00DE7098"/>
    <w:pPr>
      <w:spacing w:after="240" w:line="240" w:lineRule="auto"/>
      <w:ind w:left="1440" w:right="1939"/>
    </w:pPr>
    <w:rPr>
      <w:b/>
      <w:iCs/>
      <w:color w:val="000000" w:themeColor="text1"/>
      <w:sz w:val="20"/>
    </w:rPr>
  </w:style>
  <w:style w:type="character" w:styleId="FootnoteReference">
    <w:name w:val="footnote reference"/>
    <w:aliases w:val="fr,(NECG) Footnote Reference,Ref,de nota al pie"/>
    <w:basedOn w:val="DefaultParagraphFont"/>
    <w:uiPriority w:val="99"/>
    <w:unhideWhenUsed/>
    <w:rsid w:val="00C130EF"/>
    <w:rPr>
      <w:vertAlign w:val="superscript"/>
    </w:rPr>
  </w:style>
  <w:style w:type="paragraph" w:styleId="ListBullet2">
    <w:name w:val="List Bullet 2"/>
    <w:basedOn w:val="Normal"/>
    <w:uiPriority w:val="2"/>
    <w:rsid w:val="00A659D0"/>
    <w:pPr>
      <w:numPr>
        <w:ilvl w:val="1"/>
        <w:numId w:val="2"/>
      </w:numPr>
      <w:spacing w:before="0" w:after="40"/>
    </w:pPr>
  </w:style>
  <w:style w:type="paragraph" w:customStyle="1" w:styleId="OutlineBoxQuote">
    <w:name w:val="Outline Box Quote"/>
    <w:basedOn w:val="Quote"/>
    <w:uiPriority w:val="13"/>
    <w:qFormat/>
    <w:rsid w:val="00B36931"/>
    <w:pPr>
      <w:pBdr>
        <w:top w:val="single" w:sz="4" w:space="12" w:color="7B5E05" w:themeColor="accent1"/>
        <w:left w:val="single" w:sz="4" w:space="10" w:color="7B5E05" w:themeColor="accent1"/>
        <w:bottom w:val="single" w:sz="4" w:space="12" w:color="7B5E05" w:themeColor="accent1"/>
        <w:right w:val="single" w:sz="4" w:space="4" w:color="7B5E05" w:themeColor="accent1"/>
      </w:pBdr>
      <w:spacing w:before="240"/>
      <w:ind w:left="805" w:right="805"/>
    </w:pPr>
  </w:style>
  <w:style w:type="numbering" w:customStyle="1" w:styleId="Captions">
    <w:name w:val="Captions"/>
    <w:uiPriority w:val="99"/>
    <w:rsid w:val="0032475A"/>
    <w:pPr>
      <w:numPr>
        <w:numId w:val="6"/>
      </w:numPr>
    </w:pPr>
  </w:style>
  <w:style w:type="paragraph" w:customStyle="1" w:styleId="FigureCaption">
    <w:name w:val="Figure Caption"/>
    <w:basedOn w:val="Normal"/>
    <w:next w:val="Normal"/>
    <w:uiPriority w:val="37"/>
    <w:semiHidden/>
    <w:qFormat/>
    <w:rsid w:val="00B74F96"/>
    <w:pPr>
      <w:keepNext/>
      <w:spacing w:before="120" w:after="60"/>
    </w:pPr>
    <w:rPr>
      <w:iCs/>
      <w:color w:val="404040" w:themeColor="text2" w:themeTint="BF"/>
      <w:sz w:val="18"/>
      <w:szCs w:val="20"/>
    </w:rPr>
  </w:style>
  <w:style w:type="paragraph" w:customStyle="1" w:styleId="TableCaption">
    <w:name w:val="Table Caption"/>
    <w:basedOn w:val="FigureCaption"/>
    <w:next w:val="Normal"/>
    <w:uiPriority w:val="37"/>
    <w:semiHidden/>
    <w:qFormat/>
    <w:rsid w:val="000D6BA7"/>
  </w:style>
  <w:style w:type="paragraph" w:styleId="TOC5">
    <w:name w:val="toc 5"/>
    <w:basedOn w:val="Normal"/>
    <w:next w:val="Normal"/>
    <w:autoRedefine/>
    <w:uiPriority w:val="39"/>
    <w:rsid w:val="00A659D0"/>
    <w:pPr>
      <w:tabs>
        <w:tab w:val="left" w:pos="851"/>
        <w:tab w:val="right" w:leader="dot" w:pos="9016"/>
      </w:tabs>
      <w:spacing w:before="0" w:after="100"/>
    </w:pPr>
  </w:style>
  <w:style w:type="paragraph" w:customStyle="1" w:styleId="AppendixHeading2">
    <w:name w:val="Appendix Heading 2"/>
    <w:basedOn w:val="Heading2"/>
    <w:next w:val="Normal"/>
    <w:uiPriority w:val="10"/>
    <w:qFormat/>
    <w:rsid w:val="0009727C"/>
  </w:style>
  <w:style w:type="paragraph" w:customStyle="1" w:styleId="AppendixHeading3">
    <w:name w:val="Appendix Heading 3"/>
    <w:basedOn w:val="Heading3"/>
    <w:next w:val="Normal"/>
    <w:uiPriority w:val="10"/>
    <w:qFormat/>
    <w:rsid w:val="00532EAC"/>
  </w:style>
  <w:style w:type="paragraph" w:customStyle="1" w:styleId="AppendixHeading4">
    <w:name w:val="Appendix Heading 4"/>
    <w:basedOn w:val="Heading4"/>
    <w:next w:val="Normal"/>
    <w:uiPriority w:val="10"/>
    <w:qFormat/>
    <w:rsid w:val="00532EAC"/>
  </w:style>
  <w:style w:type="paragraph" w:styleId="Caption">
    <w:name w:val="caption"/>
    <w:basedOn w:val="FigureCaption"/>
    <w:next w:val="Normal"/>
    <w:link w:val="CaptionChar"/>
    <w:uiPriority w:val="3"/>
    <w:qFormat/>
    <w:rsid w:val="00B74F96"/>
  </w:style>
  <w:style w:type="paragraph" w:styleId="BalloonText">
    <w:name w:val="Balloon Text"/>
    <w:basedOn w:val="Normal"/>
    <w:link w:val="BalloonTextChar"/>
    <w:uiPriority w:val="99"/>
    <w:semiHidden/>
    <w:unhideWhenUsed/>
    <w:rsid w:val="001040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E8"/>
    <w:rPr>
      <w:rFonts w:ascii="Segoe UI" w:hAnsi="Segoe UI" w:cs="Segoe UI"/>
      <w:sz w:val="18"/>
      <w:szCs w:val="18"/>
    </w:rPr>
  </w:style>
  <w:style w:type="paragraph" w:customStyle="1" w:styleId="NumberedParagraphs">
    <w:name w:val="Numbered Paragraphs"/>
    <w:basedOn w:val="Normal"/>
    <w:qFormat/>
    <w:rsid w:val="00C06314"/>
    <w:pPr>
      <w:numPr>
        <w:numId w:val="8"/>
      </w:numPr>
      <w:spacing w:before="0"/>
    </w:pPr>
    <w:rPr>
      <w:noProof/>
    </w:rPr>
  </w:style>
  <w:style w:type="character" w:customStyle="1" w:styleId="ListParagraphChar">
    <w:name w:val="List Paragraph Char"/>
    <w:aliases w:val="Bullet List Char,Bullet point Char,List Paragraph1 Char,List Paragraph11 Char,Recommendation Char,List Bullet 1 Char,L Char"/>
    <w:link w:val="ListParagraph"/>
    <w:uiPriority w:val="34"/>
    <w:locked/>
    <w:rsid w:val="007716B9"/>
    <w:rPr>
      <w:sz w:val="20"/>
    </w:rPr>
  </w:style>
  <w:style w:type="table" w:customStyle="1" w:styleId="Style2">
    <w:name w:val="Style2"/>
    <w:basedOn w:val="TableNormal"/>
    <w:uiPriority w:val="99"/>
    <w:rsid w:val="00C91768"/>
    <w:pPr>
      <w:spacing w:after="0" w:line="240" w:lineRule="auto"/>
    </w:pPr>
    <w:tblPr>
      <w:tblBorders>
        <w:top w:val="single" w:sz="4" w:space="0" w:color="auto"/>
        <w:bottom w:val="single" w:sz="4" w:space="0" w:color="auto"/>
        <w:insideH w:val="single" w:sz="4" w:space="0" w:color="auto"/>
      </w:tblBorders>
    </w:tblPr>
  </w:style>
  <w:style w:type="paragraph" w:styleId="NormalWeb">
    <w:name w:val="Normal (Web)"/>
    <w:basedOn w:val="Normal"/>
    <w:uiPriority w:val="99"/>
    <w:semiHidden/>
    <w:unhideWhenUsed/>
    <w:rsid w:val="00C4169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SapereSallycustom">
    <w:name w:val="Sapere Sally custom"/>
    <w:basedOn w:val="TableNormal"/>
    <w:uiPriority w:val="99"/>
    <w:rsid w:val="005B347D"/>
    <w:pPr>
      <w:spacing w:after="0" w:line="240" w:lineRule="auto"/>
    </w:pPr>
    <w:tblPr>
      <w:tblBorders>
        <w:top w:val="single" w:sz="4" w:space="0" w:color="7B5E05" w:themeColor="accent1"/>
      </w:tblBorders>
    </w:tblPr>
  </w:style>
  <w:style w:type="character" w:styleId="CommentReference">
    <w:name w:val="annotation reference"/>
    <w:basedOn w:val="DefaultParagraphFont"/>
    <w:uiPriority w:val="99"/>
    <w:semiHidden/>
    <w:unhideWhenUsed/>
    <w:rsid w:val="00B9600C"/>
    <w:rPr>
      <w:sz w:val="16"/>
      <w:szCs w:val="16"/>
    </w:rPr>
  </w:style>
  <w:style w:type="paragraph" w:styleId="CommentText">
    <w:name w:val="annotation text"/>
    <w:basedOn w:val="Normal"/>
    <w:link w:val="CommentTextChar"/>
    <w:uiPriority w:val="99"/>
    <w:unhideWhenUsed/>
    <w:rsid w:val="00B9600C"/>
    <w:pPr>
      <w:spacing w:line="240" w:lineRule="auto"/>
    </w:pPr>
    <w:rPr>
      <w:szCs w:val="20"/>
    </w:rPr>
  </w:style>
  <w:style w:type="character" w:customStyle="1" w:styleId="CommentTextChar">
    <w:name w:val="Comment Text Char"/>
    <w:basedOn w:val="DefaultParagraphFont"/>
    <w:link w:val="CommentText"/>
    <w:uiPriority w:val="99"/>
    <w:rsid w:val="00B9600C"/>
    <w:rPr>
      <w:sz w:val="20"/>
      <w:szCs w:val="20"/>
    </w:rPr>
  </w:style>
  <w:style w:type="paragraph" w:styleId="CommentSubject">
    <w:name w:val="annotation subject"/>
    <w:basedOn w:val="CommentText"/>
    <w:next w:val="CommentText"/>
    <w:link w:val="CommentSubjectChar"/>
    <w:uiPriority w:val="99"/>
    <w:semiHidden/>
    <w:unhideWhenUsed/>
    <w:rsid w:val="00B9600C"/>
    <w:rPr>
      <w:b/>
      <w:bCs/>
    </w:rPr>
  </w:style>
  <w:style w:type="character" w:customStyle="1" w:styleId="CommentSubjectChar">
    <w:name w:val="Comment Subject Char"/>
    <w:basedOn w:val="CommentTextChar"/>
    <w:link w:val="CommentSubject"/>
    <w:uiPriority w:val="99"/>
    <w:semiHidden/>
    <w:rsid w:val="00B9600C"/>
    <w:rPr>
      <w:b/>
      <w:bCs/>
      <w:sz w:val="20"/>
      <w:szCs w:val="20"/>
    </w:rPr>
  </w:style>
  <w:style w:type="paragraph" w:styleId="Revision">
    <w:name w:val="Revision"/>
    <w:hidden/>
    <w:uiPriority w:val="99"/>
    <w:semiHidden/>
    <w:rsid w:val="00D9208D"/>
    <w:pPr>
      <w:spacing w:after="0" w:line="240" w:lineRule="auto"/>
    </w:pPr>
    <w:rPr>
      <w:sz w:val="20"/>
    </w:rPr>
  </w:style>
  <w:style w:type="character" w:styleId="UnresolvedMention">
    <w:name w:val="Unresolved Mention"/>
    <w:basedOn w:val="DefaultParagraphFont"/>
    <w:uiPriority w:val="99"/>
    <w:unhideWhenUsed/>
    <w:rsid w:val="00062523"/>
    <w:rPr>
      <w:color w:val="605E5C"/>
      <w:shd w:val="clear" w:color="auto" w:fill="E1DFDD"/>
    </w:rPr>
  </w:style>
  <w:style w:type="character" w:styleId="Mention">
    <w:name w:val="Mention"/>
    <w:basedOn w:val="DefaultParagraphFont"/>
    <w:uiPriority w:val="99"/>
    <w:unhideWhenUsed/>
    <w:rsid w:val="00381930"/>
    <w:rPr>
      <w:color w:val="2B579A"/>
      <w:shd w:val="clear" w:color="auto" w:fill="E1DFDD"/>
    </w:rPr>
  </w:style>
  <w:style w:type="paragraph" w:styleId="EndnoteText">
    <w:name w:val="endnote text"/>
    <w:basedOn w:val="Normal"/>
    <w:link w:val="EndnoteTextChar"/>
    <w:semiHidden/>
    <w:rsid w:val="004C3CD8"/>
    <w:pPr>
      <w:suppressLineNumbers/>
      <w:tabs>
        <w:tab w:val="left" w:pos="426"/>
      </w:tabs>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val="en-AU"/>
    </w:rPr>
  </w:style>
  <w:style w:type="character" w:customStyle="1" w:styleId="EndnoteTextChar">
    <w:name w:val="Endnote Text Char"/>
    <w:basedOn w:val="DefaultParagraphFont"/>
    <w:link w:val="EndnoteText"/>
    <w:semiHidden/>
    <w:rsid w:val="004C3CD8"/>
    <w:rPr>
      <w:rFonts w:ascii="Times New Roman" w:eastAsia="Times New Roman" w:hAnsi="Times New Roman" w:cs="Times New Roman"/>
      <w:sz w:val="20"/>
      <w:szCs w:val="20"/>
      <w:lang w:val="en-AU"/>
    </w:rPr>
  </w:style>
  <w:style w:type="character" w:styleId="EndnoteReference">
    <w:name w:val="endnote reference"/>
    <w:basedOn w:val="DefaultParagraphFont"/>
    <w:semiHidden/>
    <w:rsid w:val="004C3CD8"/>
    <w:rPr>
      <w:vertAlign w:val="superscript"/>
    </w:rPr>
  </w:style>
  <w:style w:type="paragraph" w:customStyle="1" w:styleId="DraftHeading1">
    <w:name w:val="Draft Heading 1"/>
    <w:basedOn w:val="Normal"/>
    <w:next w:val="Normal"/>
    <w:link w:val="DraftHeading1Char"/>
    <w:rsid w:val="00D600E8"/>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0"/>
      <w:lang w:val="en-AU"/>
    </w:rPr>
  </w:style>
  <w:style w:type="character" w:customStyle="1" w:styleId="DraftHeading1Char">
    <w:name w:val="Draft Heading 1 Char"/>
    <w:basedOn w:val="DefaultParagraphFont"/>
    <w:link w:val="DraftHeading1"/>
    <w:locked/>
    <w:rsid w:val="00D600E8"/>
    <w:rPr>
      <w:rFonts w:ascii="Times New Roman" w:eastAsia="Times New Roman" w:hAnsi="Times New Roman" w:cs="Times New Roman"/>
      <w:b/>
      <w:sz w:val="24"/>
      <w:szCs w:val="20"/>
      <w:lang w:val="en-AU"/>
    </w:rPr>
  </w:style>
  <w:style w:type="paragraph" w:customStyle="1" w:styleId="pf0">
    <w:name w:val="pf0"/>
    <w:basedOn w:val="Normal"/>
    <w:rsid w:val="00121C5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121C5E"/>
    <w:rPr>
      <w:rFonts w:ascii="Segoe UI" w:hAnsi="Segoe UI" w:cs="Segoe UI" w:hint="default"/>
      <w:sz w:val="18"/>
      <w:szCs w:val="18"/>
    </w:rPr>
  </w:style>
  <w:style w:type="table" w:customStyle="1" w:styleId="Deloittetable">
    <w:name w:val="Deloitte table"/>
    <w:basedOn w:val="TableNormal"/>
    <w:uiPriority w:val="99"/>
    <w:rsid w:val="005E272B"/>
    <w:pPr>
      <w:spacing w:after="0" w:line="240" w:lineRule="atLeast"/>
    </w:pPr>
    <w:rPr>
      <w:rFonts w:ascii="Verdana" w:hAnsi="Verdana"/>
      <w:sz w:val="17"/>
      <w:szCs w:val="18"/>
      <w:lang w:val="en-AU"/>
    </w:rPr>
    <w:tblPr>
      <w:tblBorders>
        <w:top w:val="single" w:sz="4" w:space="0" w:color="D9D9D9"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D9D9D9" w:themeColor="accent3"/>
        </w:tcBorders>
      </w:tcPr>
    </w:tblStylePr>
  </w:style>
  <w:style w:type="paragraph" w:styleId="BodyText">
    <w:name w:val="Body Text"/>
    <w:basedOn w:val="Normal"/>
    <w:link w:val="BodyTextChar"/>
    <w:uiPriority w:val="99"/>
    <w:semiHidden/>
    <w:rsid w:val="005E272B"/>
    <w:pPr>
      <w:spacing w:before="0" w:after="240" w:line="240" w:lineRule="atLeast"/>
    </w:pPr>
    <w:rPr>
      <w:rFonts w:ascii="Segoe UI Light" w:hAnsi="Segoe UI Light"/>
      <w:szCs w:val="18"/>
      <w:lang w:val="en-AU"/>
    </w:rPr>
  </w:style>
  <w:style w:type="character" w:customStyle="1" w:styleId="BodyTextChar">
    <w:name w:val="Body Text Char"/>
    <w:basedOn w:val="DefaultParagraphFont"/>
    <w:link w:val="BodyText"/>
    <w:uiPriority w:val="99"/>
    <w:semiHidden/>
    <w:rsid w:val="005E272B"/>
    <w:rPr>
      <w:rFonts w:ascii="Segoe UI Light" w:hAnsi="Segoe UI Light"/>
      <w:sz w:val="20"/>
      <w:szCs w:val="18"/>
      <w:lang w:val="en-AU"/>
    </w:rPr>
  </w:style>
  <w:style w:type="character" w:customStyle="1" w:styleId="CaptionChar">
    <w:name w:val="Caption Char"/>
    <w:basedOn w:val="DefaultParagraphFont"/>
    <w:link w:val="Caption"/>
    <w:uiPriority w:val="3"/>
    <w:rsid w:val="005E272B"/>
    <w:rPr>
      <w:iCs/>
      <w:color w:val="404040" w:themeColor="text2" w:themeTint="BF"/>
      <w:sz w:val="18"/>
      <w:szCs w:val="20"/>
    </w:rPr>
  </w:style>
  <w:style w:type="character" w:customStyle="1" w:styleId="DJCSbodyChar">
    <w:name w:val="DJCS body Char"/>
    <w:basedOn w:val="DefaultParagraphFont"/>
    <w:link w:val="DJCSbody"/>
    <w:locked/>
    <w:rsid w:val="00101926"/>
    <w:rPr>
      <w:rFonts w:ascii="Arial" w:eastAsia="Times" w:hAnsi="Arial" w:cs="Arial"/>
    </w:rPr>
  </w:style>
  <w:style w:type="paragraph" w:customStyle="1" w:styleId="DJCSbody">
    <w:name w:val="DJCS body"/>
    <w:link w:val="DJCSbodyChar"/>
    <w:qFormat/>
    <w:rsid w:val="00101926"/>
    <w:pPr>
      <w:spacing w:after="120" w:line="250" w:lineRule="atLeast"/>
      <w:ind w:left="851"/>
    </w:pPr>
    <w:rPr>
      <w:rFonts w:ascii="Arial" w:eastAsia="Times" w:hAnsi="Arial" w:cs="Arial"/>
    </w:rPr>
  </w:style>
  <w:style w:type="paragraph" w:customStyle="1" w:styleId="ScheduleHeading3">
    <w:name w:val="Schedule Heading 3"/>
    <w:basedOn w:val="Normal"/>
    <w:next w:val="Normal"/>
    <w:rsid w:val="00F77D1B"/>
    <w:pPr>
      <w:overflowPunct w:val="0"/>
      <w:autoSpaceDE w:val="0"/>
      <w:autoSpaceDN w:val="0"/>
      <w:adjustRightInd w:val="0"/>
      <w:spacing w:before="120" w:after="0" w:line="240" w:lineRule="auto"/>
    </w:pPr>
    <w:rPr>
      <w:rFonts w:ascii="Times New Roman" w:eastAsia="Times New Roman" w:hAnsi="Times New Roman" w:cs="Times New Roman"/>
      <w:szCs w:val="20"/>
      <w:lang w:val="en-AU"/>
    </w:rPr>
  </w:style>
  <w:style w:type="paragraph" w:customStyle="1" w:styleId="ScheduleHeading4">
    <w:name w:val="Schedule Heading 4"/>
    <w:basedOn w:val="Normal"/>
    <w:next w:val="Normal"/>
    <w:rsid w:val="00F77D1B"/>
    <w:pPr>
      <w:overflowPunct w:val="0"/>
      <w:autoSpaceDE w:val="0"/>
      <w:autoSpaceDN w:val="0"/>
      <w:adjustRightInd w:val="0"/>
      <w:spacing w:before="120" w:after="0" w:line="240" w:lineRule="auto"/>
    </w:pPr>
    <w:rPr>
      <w:rFonts w:ascii="Times New Roman" w:eastAsia="Times New Roman" w:hAnsi="Times New Roman" w:cs="Times New Roman"/>
      <w:szCs w:val="20"/>
      <w:lang w:val="en-AU"/>
    </w:rPr>
  </w:style>
  <w:style w:type="paragraph" w:customStyle="1" w:styleId="ShoulderReference">
    <w:name w:val="Shoulder Reference"/>
    <w:next w:val="Normal"/>
    <w:rsid w:val="00F77D1B"/>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pPr>
    <w:rPr>
      <w:rFonts w:ascii="Times New Roman" w:eastAsia="Times New Roman" w:hAnsi="Times New Roman" w:cs="Times New Roman"/>
      <w:b/>
      <w:noProof/>
      <w:spacing w:val="-6"/>
      <w:sz w:val="20"/>
      <w:szCs w:val="20"/>
      <w:lang w:val="en-AU"/>
    </w:rPr>
  </w:style>
  <w:style w:type="paragraph" w:customStyle="1" w:styleId="ScheduleNo">
    <w:name w:val="Schedule No."/>
    <w:basedOn w:val="Normal"/>
    <w:next w:val="Normal"/>
    <w:rsid w:val="00F77D1B"/>
    <w:pPr>
      <w:overflowPunct w:val="0"/>
      <w:autoSpaceDE w:val="0"/>
      <w:autoSpaceDN w:val="0"/>
      <w:adjustRightInd w:val="0"/>
      <w:spacing w:before="240" w:after="120" w:line="240" w:lineRule="auto"/>
      <w:jc w:val="center"/>
      <w:outlineLvl w:val="1"/>
    </w:pPr>
    <w:rPr>
      <w:rFonts w:ascii="Times New Roman" w:eastAsia="Times New Roman" w:hAnsi="Times New Roman" w:cs="Times New Roman"/>
      <w:b/>
      <w:caps/>
      <w:sz w:val="22"/>
      <w:szCs w:val="20"/>
      <w:lang w:val="en-AU"/>
    </w:rPr>
  </w:style>
  <w:style w:type="paragraph" w:customStyle="1" w:styleId="ScheduleTitle">
    <w:name w:val="Schedule Title"/>
    <w:basedOn w:val="Normal"/>
    <w:next w:val="Normal"/>
    <w:rsid w:val="00F77D1B"/>
    <w:pPr>
      <w:overflowPunct w:val="0"/>
      <w:autoSpaceDE w:val="0"/>
      <w:autoSpaceDN w:val="0"/>
      <w:adjustRightInd w:val="0"/>
      <w:spacing w:before="240" w:after="120" w:line="240" w:lineRule="auto"/>
      <w:jc w:val="center"/>
      <w:outlineLvl w:val="1"/>
    </w:pPr>
    <w:rPr>
      <w:rFonts w:ascii="Times New Roman" w:eastAsia="Times New Roman" w:hAnsi="Times New Roman" w:cs="Times New Roman"/>
      <w:b/>
      <w:caps/>
      <w:sz w:val="22"/>
      <w:szCs w:val="20"/>
      <w:lang w:val="en-AU"/>
    </w:rPr>
  </w:style>
  <w:style w:type="paragraph" w:customStyle="1" w:styleId="Normal-Schedule">
    <w:name w:val="Normal - Schedule"/>
    <w:rsid w:val="00F77D1B"/>
    <w:pPr>
      <w:tabs>
        <w:tab w:val="left" w:pos="454"/>
        <w:tab w:val="left" w:pos="907"/>
        <w:tab w:val="left" w:pos="1361"/>
        <w:tab w:val="left" w:pos="1814"/>
        <w:tab w:val="left" w:pos="2722"/>
      </w:tabs>
      <w:overflowPunct w:val="0"/>
      <w:autoSpaceDE w:val="0"/>
      <w:autoSpaceDN w:val="0"/>
      <w:adjustRightInd w:val="0"/>
      <w:spacing w:before="120" w:after="0" w:line="240" w:lineRule="auto"/>
    </w:pPr>
    <w:rPr>
      <w:rFonts w:ascii="Times New Roman" w:eastAsia="Times New Roman" w:hAnsi="Times New Roman" w:cs="Times New Roman"/>
      <w:sz w:val="20"/>
      <w:szCs w:val="20"/>
      <w:lang w:val="en-AU"/>
    </w:rPr>
  </w:style>
  <w:style w:type="character" w:styleId="FollowedHyperlink">
    <w:name w:val="FollowedHyperlink"/>
    <w:basedOn w:val="DefaultParagraphFont"/>
    <w:uiPriority w:val="99"/>
    <w:semiHidden/>
    <w:unhideWhenUsed/>
    <w:rsid w:val="00283362"/>
    <w:rPr>
      <w:color w:val="7B5E05" w:themeColor="followedHyperlink"/>
      <w:u w:val="single"/>
    </w:rPr>
  </w:style>
  <w:style w:type="paragraph" w:customStyle="1" w:styleId="DraftHeading3">
    <w:name w:val="Draft Heading 3"/>
    <w:basedOn w:val="Normal"/>
    <w:next w:val="Normal"/>
    <w:rsid w:val="00242DB5"/>
    <w:pPr>
      <w:overflowPunct w:val="0"/>
      <w:autoSpaceDE w:val="0"/>
      <w:autoSpaceDN w:val="0"/>
      <w:adjustRightInd w:val="0"/>
      <w:spacing w:before="120" w:after="0" w:line="240" w:lineRule="auto"/>
    </w:pPr>
    <w:rPr>
      <w:rFonts w:ascii="Times New Roman" w:eastAsia="Times New Roman" w:hAnsi="Times New Roman" w:cs="Times New Roman"/>
      <w:sz w:val="24"/>
      <w:szCs w:val="20"/>
      <w:lang w:val="en-AU"/>
    </w:rPr>
  </w:style>
  <w:style w:type="paragraph" w:customStyle="1" w:styleId="DraftHeading4">
    <w:name w:val="Draft Heading 4"/>
    <w:basedOn w:val="Normal"/>
    <w:next w:val="Normal"/>
    <w:rsid w:val="00242DB5"/>
    <w:pPr>
      <w:overflowPunct w:val="0"/>
      <w:autoSpaceDE w:val="0"/>
      <w:autoSpaceDN w:val="0"/>
      <w:adjustRightInd w:val="0"/>
      <w:spacing w:before="120"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418">
      <w:bodyDiv w:val="1"/>
      <w:marLeft w:val="0"/>
      <w:marRight w:val="0"/>
      <w:marTop w:val="0"/>
      <w:marBottom w:val="0"/>
      <w:divBdr>
        <w:top w:val="none" w:sz="0" w:space="0" w:color="auto"/>
        <w:left w:val="none" w:sz="0" w:space="0" w:color="auto"/>
        <w:bottom w:val="none" w:sz="0" w:space="0" w:color="auto"/>
        <w:right w:val="none" w:sz="0" w:space="0" w:color="auto"/>
      </w:divBdr>
    </w:div>
    <w:div w:id="256525761">
      <w:bodyDiv w:val="1"/>
      <w:marLeft w:val="0"/>
      <w:marRight w:val="0"/>
      <w:marTop w:val="0"/>
      <w:marBottom w:val="0"/>
      <w:divBdr>
        <w:top w:val="none" w:sz="0" w:space="0" w:color="auto"/>
        <w:left w:val="none" w:sz="0" w:space="0" w:color="auto"/>
        <w:bottom w:val="none" w:sz="0" w:space="0" w:color="auto"/>
        <w:right w:val="none" w:sz="0" w:space="0" w:color="auto"/>
      </w:divBdr>
    </w:div>
    <w:div w:id="303704638">
      <w:bodyDiv w:val="1"/>
      <w:marLeft w:val="0"/>
      <w:marRight w:val="0"/>
      <w:marTop w:val="0"/>
      <w:marBottom w:val="0"/>
      <w:divBdr>
        <w:top w:val="none" w:sz="0" w:space="0" w:color="auto"/>
        <w:left w:val="none" w:sz="0" w:space="0" w:color="auto"/>
        <w:bottom w:val="none" w:sz="0" w:space="0" w:color="auto"/>
        <w:right w:val="none" w:sz="0" w:space="0" w:color="auto"/>
      </w:divBdr>
    </w:div>
    <w:div w:id="332875542">
      <w:bodyDiv w:val="1"/>
      <w:marLeft w:val="0"/>
      <w:marRight w:val="0"/>
      <w:marTop w:val="0"/>
      <w:marBottom w:val="0"/>
      <w:divBdr>
        <w:top w:val="none" w:sz="0" w:space="0" w:color="auto"/>
        <w:left w:val="none" w:sz="0" w:space="0" w:color="auto"/>
        <w:bottom w:val="none" w:sz="0" w:space="0" w:color="auto"/>
        <w:right w:val="none" w:sz="0" w:space="0" w:color="auto"/>
      </w:divBdr>
    </w:div>
    <w:div w:id="387194131">
      <w:bodyDiv w:val="1"/>
      <w:marLeft w:val="0"/>
      <w:marRight w:val="0"/>
      <w:marTop w:val="0"/>
      <w:marBottom w:val="0"/>
      <w:divBdr>
        <w:top w:val="none" w:sz="0" w:space="0" w:color="auto"/>
        <w:left w:val="none" w:sz="0" w:space="0" w:color="auto"/>
        <w:bottom w:val="none" w:sz="0" w:space="0" w:color="auto"/>
        <w:right w:val="none" w:sz="0" w:space="0" w:color="auto"/>
      </w:divBdr>
    </w:div>
    <w:div w:id="482433102">
      <w:bodyDiv w:val="1"/>
      <w:marLeft w:val="0"/>
      <w:marRight w:val="0"/>
      <w:marTop w:val="0"/>
      <w:marBottom w:val="0"/>
      <w:divBdr>
        <w:top w:val="none" w:sz="0" w:space="0" w:color="auto"/>
        <w:left w:val="none" w:sz="0" w:space="0" w:color="auto"/>
        <w:bottom w:val="none" w:sz="0" w:space="0" w:color="auto"/>
        <w:right w:val="none" w:sz="0" w:space="0" w:color="auto"/>
      </w:divBdr>
    </w:div>
    <w:div w:id="532764652">
      <w:bodyDiv w:val="1"/>
      <w:marLeft w:val="0"/>
      <w:marRight w:val="0"/>
      <w:marTop w:val="0"/>
      <w:marBottom w:val="0"/>
      <w:divBdr>
        <w:top w:val="none" w:sz="0" w:space="0" w:color="auto"/>
        <w:left w:val="none" w:sz="0" w:space="0" w:color="auto"/>
        <w:bottom w:val="none" w:sz="0" w:space="0" w:color="auto"/>
        <w:right w:val="none" w:sz="0" w:space="0" w:color="auto"/>
      </w:divBdr>
    </w:div>
    <w:div w:id="588929729">
      <w:bodyDiv w:val="1"/>
      <w:marLeft w:val="0"/>
      <w:marRight w:val="0"/>
      <w:marTop w:val="0"/>
      <w:marBottom w:val="0"/>
      <w:divBdr>
        <w:top w:val="none" w:sz="0" w:space="0" w:color="auto"/>
        <w:left w:val="none" w:sz="0" w:space="0" w:color="auto"/>
        <w:bottom w:val="none" w:sz="0" w:space="0" w:color="auto"/>
        <w:right w:val="none" w:sz="0" w:space="0" w:color="auto"/>
      </w:divBdr>
    </w:div>
    <w:div w:id="709493381">
      <w:bodyDiv w:val="1"/>
      <w:marLeft w:val="0"/>
      <w:marRight w:val="0"/>
      <w:marTop w:val="0"/>
      <w:marBottom w:val="0"/>
      <w:divBdr>
        <w:top w:val="none" w:sz="0" w:space="0" w:color="auto"/>
        <w:left w:val="none" w:sz="0" w:space="0" w:color="auto"/>
        <w:bottom w:val="none" w:sz="0" w:space="0" w:color="auto"/>
        <w:right w:val="none" w:sz="0" w:space="0" w:color="auto"/>
      </w:divBdr>
    </w:div>
    <w:div w:id="817381376">
      <w:bodyDiv w:val="1"/>
      <w:marLeft w:val="0"/>
      <w:marRight w:val="0"/>
      <w:marTop w:val="0"/>
      <w:marBottom w:val="0"/>
      <w:divBdr>
        <w:top w:val="none" w:sz="0" w:space="0" w:color="auto"/>
        <w:left w:val="none" w:sz="0" w:space="0" w:color="auto"/>
        <w:bottom w:val="none" w:sz="0" w:space="0" w:color="auto"/>
        <w:right w:val="none" w:sz="0" w:space="0" w:color="auto"/>
      </w:divBdr>
    </w:div>
    <w:div w:id="974068486">
      <w:bodyDiv w:val="1"/>
      <w:marLeft w:val="0"/>
      <w:marRight w:val="0"/>
      <w:marTop w:val="0"/>
      <w:marBottom w:val="0"/>
      <w:divBdr>
        <w:top w:val="none" w:sz="0" w:space="0" w:color="auto"/>
        <w:left w:val="none" w:sz="0" w:space="0" w:color="auto"/>
        <w:bottom w:val="none" w:sz="0" w:space="0" w:color="auto"/>
        <w:right w:val="none" w:sz="0" w:space="0" w:color="auto"/>
      </w:divBdr>
    </w:div>
    <w:div w:id="1086223796">
      <w:bodyDiv w:val="1"/>
      <w:marLeft w:val="0"/>
      <w:marRight w:val="0"/>
      <w:marTop w:val="0"/>
      <w:marBottom w:val="0"/>
      <w:divBdr>
        <w:top w:val="none" w:sz="0" w:space="0" w:color="auto"/>
        <w:left w:val="none" w:sz="0" w:space="0" w:color="auto"/>
        <w:bottom w:val="none" w:sz="0" w:space="0" w:color="auto"/>
        <w:right w:val="none" w:sz="0" w:space="0" w:color="auto"/>
      </w:divBdr>
    </w:div>
    <w:div w:id="1090128304">
      <w:bodyDiv w:val="1"/>
      <w:marLeft w:val="0"/>
      <w:marRight w:val="0"/>
      <w:marTop w:val="0"/>
      <w:marBottom w:val="0"/>
      <w:divBdr>
        <w:top w:val="none" w:sz="0" w:space="0" w:color="auto"/>
        <w:left w:val="none" w:sz="0" w:space="0" w:color="auto"/>
        <w:bottom w:val="none" w:sz="0" w:space="0" w:color="auto"/>
        <w:right w:val="none" w:sz="0" w:space="0" w:color="auto"/>
      </w:divBdr>
    </w:div>
    <w:div w:id="1180238057">
      <w:bodyDiv w:val="1"/>
      <w:marLeft w:val="0"/>
      <w:marRight w:val="0"/>
      <w:marTop w:val="0"/>
      <w:marBottom w:val="0"/>
      <w:divBdr>
        <w:top w:val="none" w:sz="0" w:space="0" w:color="auto"/>
        <w:left w:val="none" w:sz="0" w:space="0" w:color="auto"/>
        <w:bottom w:val="none" w:sz="0" w:space="0" w:color="auto"/>
        <w:right w:val="none" w:sz="0" w:space="0" w:color="auto"/>
      </w:divBdr>
    </w:div>
    <w:div w:id="1400248666">
      <w:bodyDiv w:val="1"/>
      <w:marLeft w:val="0"/>
      <w:marRight w:val="0"/>
      <w:marTop w:val="0"/>
      <w:marBottom w:val="0"/>
      <w:divBdr>
        <w:top w:val="none" w:sz="0" w:space="0" w:color="auto"/>
        <w:left w:val="none" w:sz="0" w:space="0" w:color="auto"/>
        <w:bottom w:val="none" w:sz="0" w:space="0" w:color="auto"/>
        <w:right w:val="none" w:sz="0" w:space="0" w:color="auto"/>
      </w:divBdr>
    </w:div>
    <w:div w:id="1477869100">
      <w:bodyDiv w:val="1"/>
      <w:marLeft w:val="0"/>
      <w:marRight w:val="0"/>
      <w:marTop w:val="0"/>
      <w:marBottom w:val="0"/>
      <w:divBdr>
        <w:top w:val="none" w:sz="0" w:space="0" w:color="auto"/>
        <w:left w:val="none" w:sz="0" w:space="0" w:color="auto"/>
        <w:bottom w:val="none" w:sz="0" w:space="0" w:color="auto"/>
        <w:right w:val="none" w:sz="0" w:space="0" w:color="auto"/>
      </w:divBdr>
    </w:div>
    <w:div w:id="1486584697">
      <w:bodyDiv w:val="1"/>
      <w:marLeft w:val="0"/>
      <w:marRight w:val="0"/>
      <w:marTop w:val="0"/>
      <w:marBottom w:val="0"/>
      <w:divBdr>
        <w:top w:val="none" w:sz="0" w:space="0" w:color="auto"/>
        <w:left w:val="none" w:sz="0" w:space="0" w:color="auto"/>
        <w:bottom w:val="none" w:sz="0" w:space="0" w:color="auto"/>
        <w:right w:val="none" w:sz="0" w:space="0" w:color="auto"/>
      </w:divBdr>
    </w:div>
    <w:div w:id="1500150723">
      <w:bodyDiv w:val="1"/>
      <w:marLeft w:val="0"/>
      <w:marRight w:val="0"/>
      <w:marTop w:val="0"/>
      <w:marBottom w:val="0"/>
      <w:divBdr>
        <w:top w:val="none" w:sz="0" w:space="0" w:color="auto"/>
        <w:left w:val="none" w:sz="0" w:space="0" w:color="auto"/>
        <w:bottom w:val="none" w:sz="0" w:space="0" w:color="auto"/>
        <w:right w:val="none" w:sz="0" w:space="0" w:color="auto"/>
      </w:divBdr>
    </w:div>
    <w:div w:id="2035840200">
      <w:bodyDiv w:val="1"/>
      <w:marLeft w:val="0"/>
      <w:marRight w:val="0"/>
      <w:marTop w:val="0"/>
      <w:marBottom w:val="0"/>
      <w:divBdr>
        <w:top w:val="none" w:sz="0" w:space="0" w:color="auto"/>
        <w:left w:val="none" w:sz="0" w:space="0" w:color="auto"/>
        <w:bottom w:val="none" w:sz="0" w:space="0" w:color="auto"/>
        <w:right w:val="none" w:sz="0" w:space="0" w:color="auto"/>
      </w:divBdr>
    </w:div>
    <w:div w:id="20853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legandregreform@health.vic.gov.au"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mailto:legandregreform@health.vic.gov.au"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www9.health.gov.au/mbs/fullDisplay.cfm?type=item&amp;q=23" TargetMode="External"/><Relationship Id="rId1" Type="http://schemas.openxmlformats.org/officeDocument/2006/relationships/hyperlink" Target="https://parlinfo.aph.gov.au/parlInfo/search/display/display.w3p;query=Id%3A%22legislation%2Fems%2Fr4813_ems_00948d06-092b-447e-9191-5706fdfa0728%22" TargetMode="External"/><Relationship Id="rId5" Type="http://schemas.openxmlformats.org/officeDocument/2006/relationships/hyperlink" Target="https://phidu.torrens.edu.au/social-health-atlases/data" TargetMode="External"/><Relationship Id="rId4" Type="http://schemas.openxmlformats.org/officeDocument/2006/relationships/hyperlink" Target="https://www.health.gov.au/ministers/the-hon-mark-butler-mp/media/minister-for-health-and-aged-care-press-conference-3-february-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Sapere\Melbourne\Portrait%20report%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xcel%20template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No. of complaints about fees (left axis)</c:v>
          </c:tx>
          <c:spPr>
            <a:solidFill>
              <a:schemeClr val="accent1"/>
            </a:solidFill>
            <a:ln>
              <a:noFill/>
            </a:ln>
            <a:effectLst/>
          </c:spPr>
          <c:invertIfNegative val="0"/>
          <c:cat>
            <c:numRef>
              <c:f>'[Excel template1]Sheet2'!$A$2:$A$12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'[Excel template1]Sheet2'!$B$2:$B$12</c:f>
              <c:numCache>
                <c:formatCode>General</c:formatCode>
                <c:ptCount val="11"/>
                <c:pt idx="0">
                  <c:v>16</c:v>
                </c:pt>
                <c:pt idx="1">
                  <c:v>20</c:v>
                </c:pt>
                <c:pt idx="2">
                  <c:v>18</c:v>
                </c:pt>
                <c:pt idx="3">
                  <c:v>15</c:v>
                </c:pt>
                <c:pt idx="4">
                  <c:v>21</c:v>
                </c:pt>
                <c:pt idx="5">
                  <c:v>41</c:v>
                </c:pt>
                <c:pt idx="6">
                  <c:v>27</c:v>
                </c:pt>
                <c:pt idx="7">
                  <c:v>18</c:v>
                </c:pt>
                <c:pt idx="8">
                  <c:v>22</c:v>
                </c:pt>
                <c:pt idx="9">
                  <c:v>8</c:v>
                </c:pt>
                <c:pt idx="10">
                  <c:v>5</c:v>
                </c:pt>
              </c:numCache>
            </c:numRef>
          </c:val>
          <c:extLst>
            <c:ext xmlns:c16="http://schemas.microsoft.com/office/drawing/2014/chart" uri="{C3380CC4-5D6E-409C-BE32-E72D297353CC}">
              <c16:uniqueId val="{00000000-BC4D-4C20-B417-ED43E83A7DD4}"/>
            </c:ext>
          </c:extLst>
        </c:ser>
        <c:dLbls>
          <c:showLegendKey val="0"/>
          <c:showVal val="0"/>
          <c:showCatName val="0"/>
          <c:showSerName val="0"/>
          <c:showPercent val="0"/>
          <c:showBubbleSize val="0"/>
        </c:dLbls>
        <c:gapWidth val="219"/>
        <c:overlap val="-27"/>
        <c:axId val="1973221280"/>
        <c:axId val="1973218400"/>
      </c:barChart>
      <c:lineChart>
        <c:grouping val="standard"/>
        <c:varyColors val="0"/>
        <c:ser>
          <c:idx val="1"/>
          <c:order val="1"/>
          <c:tx>
            <c:v>Fees complaints as percentage of all complaints (right axis)</c:v>
          </c:tx>
          <c:spPr>
            <a:ln w="28575" cap="rnd">
              <a:solidFill>
                <a:schemeClr val="accent2"/>
              </a:solidFill>
              <a:round/>
            </a:ln>
            <a:effectLst/>
          </c:spPr>
          <c:marker>
            <c:symbol val="none"/>
          </c:marker>
          <c:cat>
            <c:numRef>
              <c:f>'[Excel template1]Sheet2'!$A$2:$A$12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'[Excel template1]Sheet2'!$C$2:$C$12</c:f>
              <c:numCache>
                <c:formatCode>0%</c:formatCode>
                <c:ptCount val="11"/>
                <c:pt idx="0">
                  <c:v>0.08</c:v>
                </c:pt>
                <c:pt idx="1">
                  <c:v>0.08</c:v>
                </c:pt>
                <c:pt idx="2">
                  <c:v>0.06</c:v>
                </c:pt>
                <c:pt idx="3">
                  <c:v>0.05</c:v>
                </c:pt>
                <c:pt idx="4">
                  <c:v>0.06</c:v>
                </c:pt>
                <c:pt idx="5">
                  <c:v>0.06</c:v>
                </c:pt>
                <c:pt idx="6">
                  <c:v>0.05</c:v>
                </c:pt>
                <c:pt idx="7">
                  <c:v>0.08</c:v>
                </c:pt>
                <c:pt idx="8">
                  <c:v>0.11</c:v>
                </c:pt>
                <c:pt idx="9">
                  <c:v>0.04</c:v>
                </c:pt>
                <c:pt idx="10">
                  <c:v>0.03</c:v>
                </c:pt>
              </c:numCache>
            </c:numRef>
          </c:val>
          <c:smooth val="0"/>
          <c:extLst>
            <c:ext xmlns:c16="http://schemas.microsoft.com/office/drawing/2014/chart" uri="{C3380CC4-5D6E-409C-BE32-E72D297353CC}">
              <c16:uniqueId val="{00000001-BC4D-4C20-B417-ED43E83A7DD4}"/>
            </c:ext>
          </c:extLst>
        </c:ser>
        <c:dLbls>
          <c:showLegendKey val="0"/>
          <c:showVal val="0"/>
          <c:showCatName val="0"/>
          <c:showSerName val="0"/>
          <c:showPercent val="0"/>
          <c:showBubbleSize val="0"/>
        </c:dLbls>
        <c:marker val="1"/>
        <c:smooth val="0"/>
        <c:axId val="1973219840"/>
        <c:axId val="1973219360"/>
      </c:lineChart>
      <c:catAx>
        <c:axId val="197322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3218400"/>
        <c:crosses val="autoZero"/>
        <c:auto val="1"/>
        <c:lblAlgn val="ctr"/>
        <c:lblOffset val="100"/>
        <c:noMultiLvlLbl val="0"/>
      </c:catAx>
      <c:valAx>
        <c:axId val="197321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complaints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3221280"/>
        <c:crosses val="autoZero"/>
        <c:crossBetween val="between"/>
      </c:valAx>
      <c:valAx>
        <c:axId val="197321936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3219840"/>
        <c:crosses val="max"/>
        <c:crossBetween val="between"/>
      </c:valAx>
      <c:catAx>
        <c:axId val="1973219840"/>
        <c:scaling>
          <c:orientation val="minMax"/>
        </c:scaling>
        <c:delete val="1"/>
        <c:axPos val="b"/>
        <c:numFmt formatCode="General" sourceLinked="1"/>
        <c:majorTickMark val="none"/>
        <c:minorTickMark val="none"/>
        <c:tickLblPos val="nextTo"/>
        <c:crossAx val="1973219360"/>
        <c:crosses val="autoZero"/>
        <c:auto val="1"/>
        <c:lblAlgn val="ctr"/>
        <c:lblOffset val="100"/>
        <c:noMultiLvlLbl val="0"/>
      </c:catAx>
      <c:spPr>
        <a:noFill/>
        <a:ln>
          <a:noFill/>
        </a:ln>
        <a:effectLst/>
      </c:spPr>
    </c:plotArea>
    <c:legend>
      <c:legendPos val="b"/>
      <c:layout>
        <c:manualLayout>
          <c:xMode val="edge"/>
          <c:yMode val="edge"/>
          <c:x val="1.0439171692167241E-2"/>
          <c:y val="0.851795536326997"/>
          <c:w val="0.97689200221209804"/>
          <c:h val="0.126084654425877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apere">
      <a:dk1>
        <a:sysClr val="windowText" lastClr="000000"/>
      </a:dk1>
      <a:lt1>
        <a:sysClr val="window" lastClr="FFFFFF"/>
      </a:lt1>
      <a:dk2>
        <a:srgbClr val="000000"/>
      </a:dk2>
      <a:lt2>
        <a:srgbClr val="EEECE1"/>
      </a:lt2>
      <a:accent1>
        <a:srgbClr val="7B5E05"/>
      </a:accent1>
      <a:accent2>
        <a:srgbClr val="403151"/>
      </a:accent2>
      <a:accent3>
        <a:srgbClr val="D9D9D9"/>
      </a:accent3>
      <a:accent4>
        <a:srgbClr val="404040"/>
      </a:accent4>
      <a:accent5>
        <a:srgbClr val="92CDDC"/>
      </a:accent5>
      <a:accent6>
        <a:srgbClr val="E36C0A"/>
      </a:accent6>
      <a:hlink>
        <a:srgbClr val="7B5E05"/>
      </a:hlink>
      <a:folHlink>
        <a:srgbClr val="7B5E05"/>
      </a:folHlink>
    </a:clrScheme>
    <a:fontScheme name="Saper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28575">
          <a:solidFill>
            <a:schemeClr val="accent3"/>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8A3713-8849-44A8-A595-F201EBF31C9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6" ma:contentTypeDescription="Create a new document." ma:contentTypeScope="" ma:versionID="c83bbf7ff7535d4238ec22719b58e4eb">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cc3f73414c082acec29b2e760a05977"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6CD06-637E-4515-9935-A382DE278C9A}">
  <ds:schemaRefs>
    <ds:schemaRef ds:uri="http://schemas.openxmlformats.org/package/2006/metadata/core-properties"/>
    <ds:schemaRef ds:uri="http://purl.org/dc/dcmitype/"/>
    <ds:schemaRef ds:uri="http://schemas.microsoft.com/office/infopath/2007/PartnerControls"/>
    <ds:schemaRef ds:uri="5ce0f2b5-5be5-4508-bce9-d7011ece0659"/>
    <ds:schemaRef ds:uri="http://purl.org/dc/elements/1.1/"/>
    <ds:schemaRef ds:uri="http://schemas.microsoft.com/office/2006/metadata/properties"/>
    <ds:schemaRef ds:uri="47f98658-1cbe-4b10-a767-4f9447a207a3"/>
    <ds:schemaRef ds:uri="http://schemas.microsoft.com/office/2006/documentManagement/types"/>
    <ds:schemaRef ds:uri="http://purl.org/dc/terms/"/>
    <ds:schemaRef ds:uri="52aff747-003e-4611-b895-d7c5be62f82a"/>
    <ds:schemaRef ds:uri="http://www.w3.org/XML/1998/namespace"/>
  </ds:schemaRefs>
</ds:datastoreItem>
</file>

<file path=customXml/itemProps2.xml><?xml version="1.0" encoding="utf-8"?>
<ds:datastoreItem xmlns:ds="http://schemas.openxmlformats.org/officeDocument/2006/customXml" ds:itemID="{2B7C82E2-202E-4A3B-A77A-466AF2BA084D}">
  <ds:schemaRefs>
    <ds:schemaRef ds:uri="http://schemas.microsoft.com/sharepoint/v3/contenttype/forms"/>
  </ds:schemaRefs>
</ds:datastoreItem>
</file>

<file path=customXml/itemProps3.xml><?xml version="1.0" encoding="utf-8"?>
<ds:datastoreItem xmlns:ds="http://schemas.openxmlformats.org/officeDocument/2006/customXml" ds:itemID="{B8FC46DF-7EBC-4375-AA04-14BD39D2EF94}">
  <ds:schemaRefs>
    <ds:schemaRef ds:uri="http://www.w3.org/2001/XMLSchema"/>
  </ds:schemaRefs>
</ds:datastoreItem>
</file>

<file path=customXml/itemProps4.xml><?xml version="1.0" encoding="utf-8"?>
<ds:datastoreItem xmlns:ds="http://schemas.openxmlformats.org/officeDocument/2006/customXml" ds:itemID="{A6297AAC-4326-44F8-889D-909F4E9AFDED}">
  <ds:schemaRefs>
    <ds:schemaRef ds:uri="http://schemas.openxmlformats.org/officeDocument/2006/bibliography"/>
  </ds:schemaRefs>
</ds:datastoreItem>
</file>

<file path=customXml/itemProps5.xml><?xml version="1.0" encoding="utf-8"?>
<ds:datastoreItem xmlns:ds="http://schemas.openxmlformats.org/officeDocument/2006/customXml" ds:itemID="{2708B052-FEBC-458B-8D82-75530DE07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Portrait report template.dotx</Template>
  <TotalTime>0</TotalTime>
  <Pages>54</Pages>
  <Words>17246</Words>
  <Characters>91064</Characters>
  <Application>Microsoft Office Word</Application>
  <DocSecurity>0</DocSecurity>
  <Lines>1821</Lines>
  <Paragraphs>910</Paragraphs>
  <ScaleCrop>false</ScaleCrop>
  <HeadingPairs>
    <vt:vector size="2" baseType="variant">
      <vt:variant>
        <vt:lpstr>Title</vt:lpstr>
      </vt:variant>
      <vt:variant>
        <vt:i4>1</vt:i4>
      </vt:variant>
    </vt:vector>
  </HeadingPairs>
  <TitlesOfParts>
    <vt:vector size="1" baseType="lpstr">
      <vt:lpstr>Health Record Regulations RIS June 2023</vt:lpstr>
    </vt:vector>
  </TitlesOfParts>
  <Company/>
  <LinksUpToDate>false</LinksUpToDate>
  <CharactersWithSpaces>107400</CharactersWithSpaces>
  <SharedDoc>false</SharedDoc>
  <HLinks>
    <vt:vector size="96" baseType="variant">
      <vt:variant>
        <vt:i4>1441846</vt:i4>
      </vt:variant>
      <vt:variant>
        <vt:i4>56</vt:i4>
      </vt:variant>
      <vt:variant>
        <vt:i4>0</vt:i4>
      </vt:variant>
      <vt:variant>
        <vt:i4>5</vt:i4>
      </vt:variant>
      <vt:variant>
        <vt:lpwstr/>
      </vt:variant>
      <vt:variant>
        <vt:lpwstr>_Toc136257475</vt:lpwstr>
      </vt:variant>
      <vt:variant>
        <vt:i4>1441846</vt:i4>
      </vt:variant>
      <vt:variant>
        <vt:i4>50</vt:i4>
      </vt:variant>
      <vt:variant>
        <vt:i4>0</vt:i4>
      </vt:variant>
      <vt:variant>
        <vt:i4>5</vt:i4>
      </vt:variant>
      <vt:variant>
        <vt:lpwstr/>
      </vt:variant>
      <vt:variant>
        <vt:lpwstr>_Toc136257474</vt:lpwstr>
      </vt:variant>
      <vt:variant>
        <vt:i4>1441846</vt:i4>
      </vt:variant>
      <vt:variant>
        <vt:i4>44</vt:i4>
      </vt:variant>
      <vt:variant>
        <vt:i4>0</vt:i4>
      </vt:variant>
      <vt:variant>
        <vt:i4>5</vt:i4>
      </vt:variant>
      <vt:variant>
        <vt:lpwstr/>
      </vt:variant>
      <vt:variant>
        <vt:lpwstr>_Toc136257473</vt:lpwstr>
      </vt:variant>
      <vt:variant>
        <vt:i4>1441846</vt:i4>
      </vt:variant>
      <vt:variant>
        <vt:i4>38</vt:i4>
      </vt:variant>
      <vt:variant>
        <vt:i4>0</vt:i4>
      </vt:variant>
      <vt:variant>
        <vt:i4>5</vt:i4>
      </vt:variant>
      <vt:variant>
        <vt:lpwstr/>
      </vt:variant>
      <vt:variant>
        <vt:lpwstr>_Toc136257472</vt:lpwstr>
      </vt:variant>
      <vt:variant>
        <vt:i4>1441846</vt:i4>
      </vt:variant>
      <vt:variant>
        <vt:i4>32</vt:i4>
      </vt:variant>
      <vt:variant>
        <vt:i4>0</vt:i4>
      </vt:variant>
      <vt:variant>
        <vt:i4>5</vt:i4>
      </vt:variant>
      <vt:variant>
        <vt:lpwstr/>
      </vt:variant>
      <vt:variant>
        <vt:lpwstr>_Toc136257471</vt:lpwstr>
      </vt:variant>
      <vt:variant>
        <vt:i4>1441846</vt:i4>
      </vt:variant>
      <vt:variant>
        <vt:i4>26</vt:i4>
      </vt:variant>
      <vt:variant>
        <vt:i4>0</vt:i4>
      </vt:variant>
      <vt:variant>
        <vt:i4>5</vt:i4>
      </vt:variant>
      <vt:variant>
        <vt:lpwstr/>
      </vt:variant>
      <vt:variant>
        <vt:lpwstr>_Toc136257470</vt:lpwstr>
      </vt:variant>
      <vt:variant>
        <vt:i4>1507382</vt:i4>
      </vt:variant>
      <vt:variant>
        <vt:i4>20</vt:i4>
      </vt:variant>
      <vt:variant>
        <vt:i4>0</vt:i4>
      </vt:variant>
      <vt:variant>
        <vt:i4>5</vt:i4>
      </vt:variant>
      <vt:variant>
        <vt:lpwstr/>
      </vt:variant>
      <vt:variant>
        <vt:lpwstr>_Toc136257460</vt:lpwstr>
      </vt:variant>
      <vt:variant>
        <vt:i4>1310774</vt:i4>
      </vt:variant>
      <vt:variant>
        <vt:i4>14</vt:i4>
      </vt:variant>
      <vt:variant>
        <vt:i4>0</vt:i4>
      </vt:variant>
      <vt:variant>
        <vt:i4>5</vt:i4>
      </vt:variant>
      <vt:variant>
        <vt:lpwstr/>
      </vt:variant>
      <vt:variant>
        <vt:lpwstr>_Toc136257459</vt:lpwstr>
      </vt:variant>
      <vt:variant>
        <vt:i4>1310774</vt:i4>
      </vt:variant>
      <vt:variant>
        <vt:i4>8</vt:i4>
      </vt:variant>
      <vt:variant>
        <vt:i4>0</vt:i4>
      </vt:variant>
      <vt:variant>
        <vt:i4>5</vt:i4>
      </vt:variant>
      <vt:variant>
        <vt:lpwstr/>
      </vt:variant>
      <vt:variant>
        <vt:lpwstr>_Toc136257458</vt:lpwstr>
      </vt:variant>
      <vt:variant>
        <vt:i4>1310774</vt:i4>
      </vt:variant>
      <vt:variant>
        <vt:i4>2</vt:i4>
      </vt:variant>
      <vt:variant>
        <vt:i4>0</vt:i4>
      </vt:variant>
      <vt:variant>
        <vt:i4>5</vt:i4>
      </vt:variant>
      <vt:variant>
        <vt:lpwstr/>
      </vt:variant>
      <vt:variant>
        <vt:lpwstr>_Toc136257457</vt:lpwstr>
      </vt:variant>
      <vt:variant>
        <vt:i4>7405670</vt:i4>
      </vt:variant>
      <vt:variant>
        <vt:i4>12</vt:i4>
      </vt:variant>
      <vt:variant>
        <vt:i4>0</vt:i4>
      </vt:variant>
      <vt:variant>
        <vt:i4>5</vt:i4>
      </vt:variant>
      <vt:variant>
        <vt:lpwstr>https://phidu.torrens.edu.au/social-health-atlases/data</vt:lpwstr>
      </vt:variant>
      <vt:variant>
        <vt:lpwstr/>
      </vt:variant>
      <vt:variant>
        <vt:i4>2097185</vt:i4>
      </vt:variant>
      <vt:variant>
        <vt:i4>9</vt:i4>
      </vt:variant>
      <vt:variant>
        <vt:i4>0</vt:i4>
      </vt:variant>
      <vt:variant>
        <vt:i4>5</vt:i4>
      </vt:variant>
      <vt:variant>
        <vt:lpwstr>https://www.health.gov.au/ministers/the-hon-mark-butler-mp/media/minister-for-health-and-aged-care-press-conference-3-february-2023</vt:lpwstr>
      </vt:variant>
      <vt:variant>
        <vt:lpwstr/>
      </vt:variant>
      <vt:variant>
        <vt:i4>6553709</vt:i4>
      </vt:variant>
      <vt:variant>
        <vt:i4>6</vt:i4>
      </vt:variant>
      <vt:variant>
        <vt:i4>0</vt:i4>
      </vt:variant>
      <vt:variant>
        <vt:i4>5</vt:i4>
      </vt:variant>
      <vt:variant>
        <vt:lpwstr>https://www.abs.gov.au/statistics/economy/price-indexes-and-inflation/consumer-price-index-australia/latest-release</vt:lpwstr>
      </vt:variant>
      <vt:variant>
        <vt:lpwstr/>
      </vt:variant>
      <vt:variant>
        <vt:i4>5767259</vt:i4>
      </vt:variant>
      <vt:variant>
        <vt:i4>3</vt:i4>
      </vt:variant>
      <vt:variant>
        <vt:i4>0</vt:i4>
      </vt:variant>
      <vt:variant>
        <vt:i4>5</vt:i4>
      </vt:variant>
      <vt:variant>
        <vt:lpwstr>http://www9.health.gov.au/mbs/fullDisplay.cfm?type=item&amp;q=23</vt:lpwstr>
      </vt:variant>
      <vt:variant>
        <vt:lpwstr/>
      </vt:variant>
      <vt:variant>
        <vt:i4>2621501</vt:i4>
      </vt:variant>
      <vt:variant>
        <vt:i4>0</vt:i4>
      </vt:variant>
      <vt:variant>
        <vt:i4>0</vt:i4>
      </vt:variant>
      <vt:variant>
        <vt:i4>5</vt:i4>
      </vt:variant>
      <vt:variant>
        <vt:lpwstr>https://parlinfo.aph.gov.au/parlInfo/search/display/display.w3p;query=Id%3A%22legislation%2Fems%2Fr4813_ems_00948d06-092b-447e-9191-5706fdfa0728%22</vt:lpwstr>
      </vt:variant>
      <vt:variant>
        <vt:lpwstr/>
      </vt:variant>
      <vt:variant>
        <vt:i4>7667763</vt:i4>
      </vt:variant>
      <vt:variant>
        <vt:i4>0</vt:i4>
      </vt:variant>
      <vt:variant>
        <vt:i4>0</vt:i4>
      </vt:variant>
      <vt:variant>
        <vt:i4>5</vt:i4>
      </vt:variant>
      <vt:variant>
        <vt:lpwstr>https://www.oaic.gov.au/privacy/privacy-legislation/the-privacy-act/rights-and-responsibilities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Record Regulations RIS June 2023</dc:title>
  <dc:subject>Health Record Regulations</dc:subject>
  <dc:creator>Sapere</dc:creator>
  <cp:keywords>health, record, regulations, ris</cp:keywords>
  <dc:description/>
  <cp:lastModifiedBy>Tyler McPherson (Health)</cp:lastModifiedBy>
  <cp:revision>2</cp:revision>
  <cp:lastPrinted>2023-05-25T07:04:00Z</cp:lastPrinted>
  <dcterms:created xsi:type="dcterms:W3CDTF">2023-08-17T00:58:00Z</dcterms:created>
  <dcterms:modified xsi:type="dcterms:W3CDTF">2023-08-17T00:58:00Z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0x010100B71D80F382B83A49BA2054F60A134852</vt:lpwstr>
  </property>
  <property fmtid="{D5CDD505-2E9C-101B-9397-08002B2CF9AE}" pid="3" name="MediaServiceImageTags">
    <vt:lpwstr/>
  </property>
  <property fmtid="{D5CDD505-2E9C-101B-9397-08002B2CF9AE}" pid="4" name="MSIP_Label_7158ebbd-6c5e-441f-bfc9-4eb8c11e3978_Enabled">
    <vt:lpwstr>true</vt:lpwstr>
  </property>
  <property fmtid="{D5CDD505-2E9C-101B-9397-08002B2CF9AE}" pid="5" name="MSIP_Label_7158ebbd-6c5e-441f-bfc9-4eb8c11e3978_SetDate">
    <vt:lpwstr>2023-06-06T01:35:04Z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e236b40c-e2ae-45fe-9668-4d1e95446384</vt:lpwstr>
  </property>
  <property fmtid="{D5CDD505-2E9C-101B-9397-08002B2CF9AE}" pid="10" name="MSIP_Label_7158ebbd-6c5e-441f-bfc9-4eb8c11e3978_ContentBits">
    <vt:lpwstr>2</vt:lpwstr>
  </property>
  <property fmtid="{D5CDD505-2E9C-101B-9397-08002B2CF9AE}" pid="11" name="MSIP_Label_efdf5488-3066-4b6c-8fea-9472b8a1f34c_Enabled">
    <vt:lpwstr>true</vt:lpwstr>
  </property>
  <property fmtid="{D5CDD505-2E9C-101B-9397-08002B2CF9AE}" pid="12" name="MSIP_Label_efdf5488-3066-4b6c-8fea-9472b8a1f34c_SetDate">
    <vt:lpwstr>2023-06-09T03:52:09Z</vt:lpwstr>
  </property>
  <property fmtid="{D5CDD505-2E9C-101B-9397-08002B2CF9AE}" pid="13" name="MSIP_Label_efdf5488-3066-4b6c-8fea-9472b8a1f34c_Method">
    <vt:lpwstr>Privileged</vt:lpwstr>
  </property>
  <property fmtid="{D5CDD505-2E9C-101B-9397-08002B2CF9AE}" pid="14" name="MSIP_Label_efdf5488-3066-4b6c-8fea-9472b8a1f34c_Name">
    <vt:lpwstr>efdf5488-3066-4b6c-8fea-9472b8a1f34c</vt:lpwstr>
  </property>
  <property fmtid="{D5CDD505-2E9C-101B-9397-08002B2CF9AE}" pid="15" name="MSIP_Label_efdf5488-3066-4b6c-8fea-9472b8a1f34c_SiteId">
    <vt:lpwstr>c0e0601f-0fac-449c-9c88-a104c4eb9f28</vt:lpwstr>
  </property>
  <property fmtid="{D5CDD505-2E9C-101B-9397-08002B2CF9AE}" pid="16" name="MSIP_Label_efdf5488-3066-4b6c-8fea-9472b8a1f34c_ActionId">
    <vt:lpwstr>c3904747-13d0-4b6e-83df-d1fd24492181</vt:lpwstr>
  </property>
  <property fmtid="{D5CDD505-2E9C-101B-9397-08002B2CF9AE}" pid="17" name="MSIP_Label_efdf5488-3066-4b6c-8fea-9472b8a1f34c_ContentBits">
    <vt:lpwstr>0</vt:lpwstr>
  </property>
  <property fmtid="{D5CDD505-2E9C-101B-9397-08002B2CF9AE}" pid="18" name="Sensitivity">
    <vt:lpwstr>1;#OFFICIAL|df0ee81d-089c-4707-9ef8-ac9a7d96e4bd</vt:lpwstr>
  </property>
  <property fmtid="{D5CDD505-2E9C-101B-9397-08002B2CF9AE}" pid="19" name="GrammarlyDocumentId">
    <vt:lpwstr>dbcb9f39adbcd9cb9278f0f576488586a7b9a73ce56dbe077ddde5f995c1c184</vt:lpwstr>
  </property>
</Properties>
</file>