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774B" w14:textId="77777777" w:rsidR="0074696E" w:rsidRPr="004C6EEE" w:rsidRDefault="0074696E" w:rsidP="00EC40D5">
      <w:pPr>
        <w:pStyle w:val="Sectionbreakfirstpage"/>
      </w:pPr>
    </w:p>
    <w:p w14:paraId="667268A3"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5735E2A9" wp14:editId="49455FA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165BF3E" w14:textId="77777777" w:rsidTr="00B07FF7">
        <w:trPr>
          <w:trHeight w:val="622"/>
        </w:trPr>
        <w:tc>
          <w:tcPr>
            <w:tcW w:w="10348" w:type="dxa"/>
            <w:tcMar>
              <w:top w:w="1531" w:type="dxa"/>
              <w:left w:w="0" w:type="dxa"/>
              <w:right w:w="0" w:type="dxa"/>
            </w:tcMar>
          </w:tcPr>
          <w:p w14:paraId="4E2520BD" w14:textId="41F04195" w:rsidR="003B5733" w:rsidRPr="003B5733" w:rsidRDefault="00863F1E" w:rsidP="003B5733">
            <w:pPr>
              <w:pStyle w:val="Documenttitle"/>
            </w:pPr>
            <w:r>
              <w:t xml:space="preserve">Factsheet </w:t>
            </w:r>
            <w:r w:rsidR="00020E64">
              <w:t>–</w:t>
            </w:r>
            <w:r>
              <w:t xml:space="preserve"> </w:t>
            </w:r>
            <w:r w:rsidR="009B00D8">
              <w:t>Reportable Deaths</w:t>
            </w:r>
          </w:p>
        </w:tc>
      </w:tr>
      <w:tr w:rsidR="003B5733" w14:paraId="6B8D66BA" w14:textId="77777777" w:rsidTr="00B07FF7">
        <w:tc>
          <w:tcPr>
            <w:tcW w:w="10348" w:type="dxa"/>
          </w:tcPr>
          <w:p w14:paraId="37665310" w14:textId="7ACE33CD" w:rsidR="003B5733" w:rsidRPr="00A1389F" w:rsidRDefault="00863F1E">
            <w:pPr>
              <w:pStyle w:val="Documentsubtitle"/>
            </w:pPr>
            <w:r>
              <w:t>Office of the Chief Psychiatrist</w:t>
            </w:r>
          </w:p>
        </w:tc>
      </w:tr>
      <w:tr w:rsidR="003B5733" w14:paraId="763AA719" w14:textId="77777777" w:rsidTr="00B07FF7">
        <w:tc>
          <w:tcPr>
            <w:tcW w:w="10348" w:type="dxa"/>
          </w:tcPr>
          <w:p w14:paraId="2AAAD1AD" w14:textId="77777777" w:rsidR="003B5733" w:rsidRPr="001E5058" w:rsidRDefault="00000000" w:rsidP="001E5058">
            <w:pPr>
              <w:pStyle w:val="Bannermarking"/>
            </w:pPr>
            <w:fldSimple w:instr="FILLIN  &quot;Type the protective marking&quot; \d OFFICIAL \o  \* MERGEFORMAT">
              <w:r w:rsidR="00863F1E">
                <w:t>OFFICIAL</w:t>
              </w:r>
            </w:fldSimple>
          </w:p>
        </w:tc>
      </w:tr>
    </w:tbl>
    <w:p w14:paraId="43294E56" w14:textId="77777777" w:rsidR="00AD784C" w:rsidRPr="00B57329" w:rsidRDefault="00AD784C" w:rsidP="002365B4">
      <w:pPr>
        <w:pStyle w:val="TOCheadingfactsheet"/>
      </w:pPr>
      <w:r w:rsidRPr="00B57329">
        <w:t>Contents</w:t>
      </w:r>
    </w:p>
    <w:p w14:paraId="4EA66E45" w14:textId="68892715" w:rsidR="009B00D8"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140571781" w:history="1">
        <w:r w:rsidR="009B00D8" w:rsidRPr="006037F4">
          <w:rPr>
            <w:rStyle w:val="Hyperlink"/>
          </w:rPr>
          <w:t>Summary</w:t>
        </w:r>
        <w:r w:rsidR="009B00D8">
          <w:rPr>
            <w:webHidden/>
          </w:rPr>
          <w:tab/>
        </w:r>
        <w:r w:rsidR="009B00D8">
          <w:rPr>
            <w:webHidden/>
          </w:rPr>
          <w:fldChar w:fldCharType="begin"/>
        </w:r>
        <w:r w:rsidR="009B00D8">
          <w:rPr>
            <w:webHidden/>
          </w:rPr>
          <w:instrText xml:space="preserve"> PAGEREF _Toc140571781 \h </w:instrText>
        </w:r>
        <w:r w:rsidR="009B00D8">
          <w:rPr>
            <w:webHidden/>
          </w:rPr>
        </w:r>
        <w:r w:rsidR="009B00D8">
          <w:rPr>
            <w:webHidden/>
          </w:rPr>
          <w:fldChar w:fldCharType="separate"/>
        </w:r>
        <w:r w:rsidR="00E05749">
          <w:rPr>
            <w:webHidden/>
          </w:rPr>
          <w:t>1</w:t>
        </w:r>
        <w:r w:rsidR="009B00D8">
          <w:rPr>
            <w:webHidden/>
          </w:rPr>
          <w:fldChar w:fldCharType="end"/>
        </w:r>
      </w:hyperlink>
    </w:p>
    <w:p w14:paraId="61E12854" w14:textId="1F261D94" w:rsidR="009B00D8" w:rsidRDefault="00000000">
      <w:pPr>
        <w:pStyle w:val="TOC2"/>
        <w:rPr>
          <w:rFonts w:asciiTheme="minorHAnsi" w:eastAsiaTheme="minorEastAsia" w:hAnsiTheme="minorHAnsi" w:cstheme="minorBidi"/>
          <w:sz w:val="22"/>
          <w:szCs w:val="22"/>
          <w:lang w:eastAsia="en-AU"/>
        </w:rPr>
      </w:pPr>
      <w:hyperlink w:anchor="_Toc140571782" w:history="1">
        <w:r w:rsidR="009B00D8" w:rsidRPr="006037F4">
          <w:rPr>
            <w:rStyle w:val="Hyperlink"/>
          </w:rPr>
          <w:t>About Reportable Deaths</w:t>
        </w:r>
        <w:r w:rsidR="009B00D8">
          <w:rPr>
            <w:webHidden/>
          </w:rPr>
          <w:tab/>
        </w:r>
        <w:r w:rsidR="009B00D8">
          <w:rPr>
            <w:webHidden/>
          </w:rPr>
          <w:fldChar w:fldCharType="begin"/>
        </w:r>
        <w:r w:rsidR="009B00D8">
          <w:rPr>
            <w:webHidden/>
          </w:rPr>
          <w:instrText xml:space="preserve"> PAGEREF _Toc140571782 \h </w:instrText>
        </w:r>
        <w:r w:rsidR="009B00D8">
          <w:rPr>
            <w:webHidden/>
          </w:rPr>
        </w:r>
        <w:r w:rsidR="009B00D8">
          <w:rPr>
            <w:webHidden/>
          </w:rPr>
          <w:fldChar w:fldCharType="separate"/>
        </w:r>
        <w:r w:rsidR="00E05749">
          <w:rPr>
            <w:webHidden/>
          </w:rPr>
          <w:t>1</w:t>
        </w:r>
        <w:r w:rsidR="009B00D8">
          <w:rPr>
            <w:webHidden/>
          </w:rPr>
          <w:fldChar w:fldCharType="end"/>
        </w:r>
      </w:hyperlink>
    </w:p>
    <w:p w14:paraId="15D50180" w14:textId="53825EC1" w:rsidR="009B00D8" w:rsidRDefault="00000000">
      <w:pPr>
        <w:pStyle w:val="TOC2"/>
        <w:rPr>
          <w:rFonts w:asciiTheme="minorHAnsi" w:eastAsiaTheme="minorEastAsia" w:hAnsiTheme="minorHAnsi" w:cstheme="minorBidi"/>
          <w:sz w:val="22"/>
          <w:szCs w:val="22"/>
          <w:lang w:eastAsia="en-AU"/>
        </w:rPr>
      </w:pPr>
      <w:hyperlink w:anchor="_Toc140571783" w:history="1">
        <w:r w:rsidR="009B00D8" w:rsidRPr="006037F4">
          <w:rPr>
            <w:rStyle w:val="Hyperlink"/>
          </w:rPr>
          <w:t>Mental Health and Wellbeing Act 2022 reference(s)</w:t>
        </w:r>
        <w:r w:rsidR="009B00D8">
          <w:rPr>
            <w:webHidden/>
          </w:rPr>
          <w:tab/>
        </w:r>
        <w:r w:rsidR="009B00D8">
          <w:rPr>
            <w:webHidden/>
          </w:rPr>
          <w:fldChar w:fldCharType="begin"/>
        </w:r>
        <w:r w:rsidR="009B00D8">
          <w:rPr>
            <w:webHidden/>
          </w:rPr>
          <w:instrText xml:space="preserve"> PAGEREF _Toc140571783 \h </w:instrText>
        </w:r>
        <w:r w:rsidR="009B00D8">
          <w:rPr>
            <w:webHidden/>
          </w:rPr>
        </w:r>
        <w:r w:rsidR="009B00D8">
          <w:rPr>
            <w:webHidden/>
          </w:rPr>
          <w:fldChar w:fldCharType="separate"/>
        </w:r>
        <w:r w:rsidR="00E05749">
          <w:rPr>
            <w:webHidden/>
          </w:rPr>
          <w:t>2</w:t>
        </w:r>
        <w:r w:rsidR="009B00D8">
          <w:rPr>
            <w:webHidden/>
          </w:rPr>
          <w:fldChar w:fldCharType="end"/>
        </w:r>
      </w:hyperlink>
    </w:p>
    <w:p w14:paraId="27A73CF4" w14:textId="4B79E535" w:rsidR="009B00D8" w:rsidRDefault="00000000">
      <w:pPr>
        <w:pStyle w:val="TOC2"/>
        <w:rPr>
          <w:rFonts w:asciiTheme="minorHAnsi" w:eastAsiaTheme="minorEastAsia" w:hAnsiTheme="minorHAnsi" w:cstheme="minorBidi"/>
          <w:sz w:val="22"/>
          <w:szCs w:val="22"/>
          <w:lang w:eastAsia="en-AU"/>
        </w:rPr>
      </w:pPr>
      <w:hyperlink w:anchor="_Toc140571784" w:history="1">
        <w:r w:rsidR="009B00D8" w:rsidRPr="006037F4">
          <w:rPr>
            <w:rStyle w:val="Hyperlink"/>
          </w:rPr>
          <w:t>Royal Commission – related recommendation(s)</w:t>
        </w:r>
        <w:r w:rsidR="009B00D8">
          <w:rPr>
            <w:webHidden/>
          </w:rPr>
          <w:tab/>
        </w:r>
        <w:r w:rsidR="009B00D8">
          <w:rPr>
            <w:webHidden/>
          </w:rPr>
          <w:fldChar w:fldCharType="begin"/>
        </w:r>
        <w:r w:rsidR="009B00D8">
          <w:rPr>
            <w:webHidden/>
          </w:rPr>
          <w:instrText xml:space="preserve"> PAGEREF _Toc140571784 \h </w:instrText>
        </w:r>
        <w:r w:rsidR="009B00D8">
          <w:rPr>
            <w:webHidden/>
          </w:rPr>
        </w:r>
        <w:r w:rsidR="009B00D8">
          <w:rPr>
            <w:webHidden/>
          </w:rPr>
          <w:fldChar w:fldCharType="separate"/>
        </w:r>
        <w:r w:rsidR="00E05749">
          <w:rPr>
            <w:webHidden/>
          </w:rPr>
          <w:t>2</w:t>
        </w:r>
        <w:r w:rsidR="009B00D8">
          <w:rPr>
            <w:webHidden/>
          </w:rPr>
          <w:fldChar w:fldCharType="end"/>
        </w:r>
      </w:hyperlink>
    </w:p>
    <w:p w14:paraId="55DA31FC" w14:textId="28C3367C" w:rsidR="009B00D8" w:rsidRDefault="00000000">
      <w:pPr>
        <w:pStyle w:val="TOC2"/>
        <w:rPr>
          <w:rFonts w:asciiTheme="minorHAnsi" w:eastAsiaTheme="minorEastAsia" w:hAnsiTheme="minorHAnsi" w:cstheme="minorBidi"/>
          <w:sz w:val="22"/>
          <w:szCs w:val="22"/>
          <w:lang w:eastAsia="en-AU"/>
        </w:rPr>
      </w:pPr>
      <w:hyperlink w:anchor="_Toc140571785" w:history="1">
        <w:r w:rsidR="009B00D8" w:rsidRPr="006037F4">
          <w:rPr>
            <w:rStyle w:val="Hyperlink"/>
          </w:rPr>
          <w:t>Changes between MHA 2014 and the new MHWB Act 2022</w:t>
        </w:r>
        <w:r w:rsidR="009B00D8">
          <w:rPr>
            <w:webHidden/>
          </w:rPr>
          <w:tab/>
        </w:r>
        <w:r w:rsidR="009B00D8">
          <w:rPr>
            <w:webHidden/>
          </w:rPr>
          <w:fldChar w:fldCharType="begin"/>
        </w:r>
        <w:r w:rsidR="009B00D8">
          <w:rPr>
            <w:webHidden/>
          </w:rPr>
          <w:instrText xml:space="preserve"> PAGEREF _Toc140571785 \h </w:instrText>
        </w:r>
        <w:r w:rsidR="009B00D8">
          <w:rPr>
            <w:webHidden/>
          </w:rPr>
        </w:r>
        <w:r w:rsidR="009B00D8">
          <w:rPr>
            <w:webHidden/>
          </w:rPr>
          <w:fldChar w:fldCharType="separate"/>
        </w:r>
        <w:r w:rsidR="00E05749">
          <w:rPr>
            <w:webHidden/>
          </w:rPr>
          <w:t>2</w:t>
        </w:r>
        <w:r w:rsidR="009B00D8">
          <w:rPr>
            <w:webHidden/>
          </w:rPr>
          <w:fldChar w:fldCharType="end"/>
        </w:r>
      </w:hyperlink>
    </w:p>
    <w:p w14:paraId="2EBC661E" w14:textId="1BEDD719" w:rsidR="009B00D8" w:rsidRDefault="00000000">
      <w:pPr>
        <w:pStyle w:val="TOC2"/>
        <w:rPr>
          <w:rFonts w:asciiTheme="minorHAnsi" w:eastAsiaTheme="minorEastAsia" w:hAnsiTheme="minorHAnsi" w:cstheme="minorBidi"/>
          <w:sz w:val="22"/>
          <w:szCs w:val="22"/>
          <w:lang w:eastAsia="en-AU"/>
        </w:rPr>
      </w:pPr>
      <w:hyperlink w:anchor="_Toc140571786" w:history="1">
        <w:r w:rsidR="009B00D8" w:rsidRPr="006037F4">
          <w:rPr>
            <w:rStyle w:val="Hyperlink"/>
          </w:rPr>
          <w:t>What this change means</w:t>
        </w:r>
        <w:r w:rsidR="009B00D8">
          <w:rPr>
            <w:webHidden/>
          </w:rPr>
          <w:tab/>
        </w:r>
        <w:r w:rsidR="009B00D8">
          <w:rPr>
            <w:webHidden/>
          </w:rPr>
          <w:fldChar w:fldCharType="begin"/>
        </w:r>
        <w:r w:rsidR="009B00D8">
          <w:rPr>
            <w:webHidden/>
          </w:rPr>
          <w:instrText xml:space="preserve"> PAGEREF _Toc140571786 \h </w:instrText>
        </w:r>
        <w:r w:rsidR="009B00D8">
          <w:rPr>
            <w:webHidden/>
          </w:rPr>
        </w:r>
        <w:r w:rsidR="009B00D8">
          <w:rPr>
            <w:webHidden/>
          </w:rPr>
          <w:fldChar w:fldCharType="separate"/>
        </w:r>
        <w:r w:rsidR="00E05749">
          <w:rPr>
            <w:webHidden/>
          </w:rPr>
          <w:t>2</w:t>
        </w:r>
        <w:r w:rsidR="009B00D8">
          <w:rPr>
            <w:webHidden/>
          </w:rPr>
          <w:fldChar w:fldCharType="end"/>
        </w:r>
      </w:hyperlink>
    </w:p>
    <w:p w14:paraId="0CA65103" w14:textId="686C691E" w:rsidR="009B00D8" w:rsidRDefault="00000000">
      <w:pPr>
        <w:pStyle w:val="TOC2"/>
        <w:rPr>
          <w:rFonts w:asciiTheme="minorHAnsi" w:eastAsiaTheme="minorEastAsia" w:hAnsiTheme="minorHAnsi" w:cstheme="minorBidi"/>
          <w:sz w:val="22"/>
          <w:szCs w:val="22"/>
          <w:lang w:eastAsia="en-AU"/>
        </w:rPr>
      </w:pPr>
      <w:hyperlink w:anchor="_Toc140571787" w:history="1">
        <w:r w:rsidR="009B00D8" w:rsidRPr="006037F4">
          <w:rPr>
            <w:rStyle w:val="Hyperlink"/>
          </w:rPr>
          <w:t>Practice guidelines and reporting directives</w:t>
        </w:r>
        <w:r w:rsidR="009B00D8">
          <w:rPr>
            <w:webHidden/>
          </w:rPr>
          <w:tab/>
        </w:r>
        <w:r w:rsidR="009B00D8">
          <w:rPr>
            <w:webHidden/>
          </w:rPr>
          <w:fldChar w:fldCharType="begin"/>
        </w:r>
        <w:r w:rsidR="009B00D8">
          <w:rPr>
            <w:webHidden/>
          </w:rPr>
          <w:instrText xml:space="preserve"> PAGEREF _Toc140571787 \h </w:instrText>
        </w:r>
        <w:r w:rsidR="009B00D8">
          <w:rPr>
            <w:webHidden/>
          </w:rPr>
        </w:r>
        <w:r w:rsidR="009B00D8">
          <w:rPr>
            <w:webHidden/>
          </w:rPr>
          <w:fldChar w:fldCharType="separate"/>
        </w:r>
        <w:r w:rsidR="00E05749">
          <w:rPr>
            <w:webHidden/>
          </w:rPr>
          <w:t>2</w:t>
        </w:r>
        <w:r w:rsidR="009B00D8">
          <w:rPr>
            <w:webHidden/>
          </w:rPr>
          <w:fldChar w:fldCharType="end"/>
        </w:r>
      </w:hyperlink>
    </w:p>
    <w:p w14:paraId="637E97D6" w14:textId="67FF0E00" w:rsidR="009B00D8" w:rsidRDefault="00000000">
      <w:pPr>
        <w:pStyle w:val="TOC2"/>
        <w:rPr>
          <w:rFonts w:asciiTheme="minorHAnsi" w:eastAsiaTheme="minorEastAsia" w:hAnsiTheme="minorHAnsi" w:cstheme="minorBidi"/>
          <w:sz w:val="22"/>
          <w:szCs w:val="22"/>
          <w:lang w:eastAsia="en-AU"/>
        </w:rPr>
      </w:pPr>
      <w:hyperlink w:anchor="_Toc140571788" w:history="1">
        <w:r w:rsidR="009B00D8" w:rsidRPr="006037F4">
          <w:rPr>
            <w:rStyle w:val="Hyperlink"/>
          </w:rPr>
          <w:t>Further information</w:t>
        </w:r>
        <w:r w:rsidR="009B00D8">
          <w:rPr>
            <w:webHidden/>
          </w:rPr>
          <w:tab/>
        </w:r>
        <w:r w:rsidR="009B00D8">
          <w:rPr>
            <w:webHidden/>
          </w:rPr>
          <w:fldChar w:fldCharType="begin"/>
        </w:r>
        <w:r w:rsidR="009B00D8">
          <w:rPr>
            <w:webHidden/>
          </w:rPr>
          <w:instrText xml:space="preserve"> PAGEREF _Toc140571788 \h </w:instrText>
        </w:r>
        <w:r w:rsidR="009B00D8">
          <w:rPr>
            <w:webHidden/>
          </w:rPr>
        </w:r>
        <w:r w:rsidR="009B00D8">
          <w:rPr>
            <w:webHidden/>
          </w:rPr>
          <w:fldChar w:fldCharType="separate"/>
        </w:r>
        <w:r w:rsidR="00E05749">
          <w:rPr>
            <w:webHidden/>
          </w:rPr>
          <w:t>2</w:t>
        </w:r>
        <w:r w:rsidR="009B00D8">
          <w:rPr>
            <w:webHidden/>
          </w:rPr>
          <w:fldChar w:fldCharType="end"/>
        </w:r>
      </w:hyperlink>
    </w:p>
    <w:p w14:paraId="0A93CBFB" w14:textId="1E5B0CF4" w:rsidR="009B00D8" w:rsidRDefault="00000000">
      <w:pPr>
        <w:pStyle w:val="TOC2"/>
        <w:rPr>
          <w:rFonts w:asciiTheme="minorHAnsi" w:eastAsiaTheme="minorEastAsia" w:hAnsiTheme="minorHAnsi" w:cstheme="minorBidi"/>
          <w:sz w:val="22"/>
          <w:szCs w:val="22"/>
          <w:lang w:eastAsia="en-AU"/>
        </w:rPr>
      </w:pPr>
      <w:hyperlink w:anchor="_Toc140571789" w:history="1">
        <w:r w:rsidR="009B00D8" w:rsidRPr="006037F4">
          <w:rPr>
            <w:rStyle w:val="Hyperlink"/>
          </w:rPr>
          <w:t>Disclaimer</w:t>
        </w:r>
        <w:r w:rsidR="009B00D8">
          <w:rPr>
            <w:webHidden/>
          </w:rPr>
          <w:tab/>
        </w:r>
        <w:r w:rsidR="009B00D8">
          <w:rPr>
            <w:webHidden/>
          </w:rPr>
          <w:fldChar w:fldCharType="begin"/>
        </w:r>
        <w:r w:rsidR="009B00D8">
          <w:rPr>
            <w:webHidden/>
          </w:rPr>
          <w:instrText xml:space="preserve"> PAGEREF _Toc140571789 \h </w:instrText>
        </w:r>
        <w:r w:rsidR="009B00D8">
          <w:rPr>
            <w:webHidden/>
          </w:rPr>
        </w:r>
        <w:r w:rsidR="009B00D8">
          <w:rPr>
            <w:webHidden/>
          </w:rPr>
          <w:fldChar w:fldCharType="separate"/>
        </w:r>
        <w:r w:rsidR="00E05749">
          <w:rPr>
            <w:webHidden/>
          </w:rPr>
          <w:t>3</w:t>
        </w:r>
        <w:r w:rsidR="009B00D8">
          <w:rPr>
            <w:webHidden/>
          </w:rPr>
          <w:fldChar w:fldCharType="end"/>
        </w:r>
      </w:hyperlink>
    </w:p>
    <w:p w14:paraId="4BA12939" w14:textId="63050A7D" w:rsidR="007173CA" w:rsidRDefault="00AD784C" w:rsidP="00D079AA">
      <w:pPr>
        <w:pStyle w:val="Body"/>
      </w:pPr>
      <w:r>
        <w:fldChar w:fldCharType="end"/>
      </w:r>
    </w:p>
    <w:p w14:paraId="00B74594" w14:textId="77777777" w:rsidR="00580394" w:rsidRPr="00B519CD" w:rsidRDefault="00580394" w:rsidP="007173CA">
      <w:pPr>
        <w:pStyle w:val="Body"/>
        <w:sectPr w:rsidR="00580394" w:rsidRPr="00B519CD" w:rsidSect="00E62622">
          <w:headerReference w:type="even" r:id="rId18"/>
          <w:headerReference w:type="default" r:id="rId19"/>
          <w:headerReference w:type="first" r:id="rId20"/>
          <w:type w:val="continuous"/>
          <w:pgSz w:w="11906" w:h="16838" w:code="9"/>
          <w:pgMar w:top="1418" w:right="851" w:bottom="1418" w:left="851" w:header="851" w:footer="851" w:gutter="0"/>
          <w:cols w:space="340"/>
          <w:titlePg/>
          <w:docGrid w:linePitch="360"/>
        </w:sectPr>
      </w:pPr>
    </w:p>
    <w:p w14:paraId="3D9F0FDD" w14:textId="04D63E9C" w:rsidR="00EE29AD" w:rsidRDefault="005B71F0" w:rsidP="0022571D">
      <w:pPr>
        <w:pStyle w:val="Heading2"/>
      </w:pPr>
      <w:bookmarkStart w:id="0" w:name="_Toc140571781"/>
      <w:r>
        <w:t>Summary</w:t>
      </w:r>
      <w:bookmarkEnd w:id="0"/>
    </w:p>
    <w:p w14:paraId="0083153B" w14:textId="6B1A9059" w:rsidR="00B91FC7" w:rsidRPr="00682ED7" w:rsidRDefault="309007DE" w:rsidP="00CA3D47">
      <w:pPr>
        <w:pStyle w:val="Body"/>
      </w:pPr>
      <w:r w:rsidRPr="00CA3D47">
        <w:t xml:space="preserve">Under the </w:t>
      </w:r>
      <w:r w:rsidRPr="00CA3D47">
        <w:rPr>
          <w:i/>
          <w:iCs/>
        </w:rPr>
        <w:t>Mental Health and Wellbeing Act 2022</w:t>
      </w:r>
      <w:r w:rsidR="006C6E7A" w:rsidRPr="00CA3D47">
        <w:rPr>
          <w:i/>
          <w:iCs/>
        </w:rPr>
        <w:t>,</w:t>
      </w:r>
      <w:r w:rsidR="006C6E7A" w:rsidRPr="00CA3D47">
        <w:t xml:space="preserve"> </w:t>
      </w:r>
      <w:r w:rsidR="6451EE47">
        <w:t xml:space="preserve">(the Act) </w:t>
      </w:r>
      <w:r w:rsidR="00B91FC7">
        <w:t>c</w:t>
      </w:r>
      <w:r w:rsidR="00B91FC7" w:rsidRPr="003E0434">
        <w:t>linical m</w:t>
      </w:r>
      <w:r w:rsidR="00B91FC7" w:rsidRPr="00682ED7">
        <w:t>ental health service</w:t>
      </w:r>
      <w:r w:rsidR="00B91FC7" w:rsidRPr="003E0434">
        <w:t xml:space="preserve"> provider</w:t>
      </w:r>
      <w:r w:rsidR="00B91FC7" w:rsidRPr="00682ED7">
        <w:t>s must continue to report inpatient deaths, community deaths and the death of anyone who had contact with these services within the last three months to the Chief Psychiatrist.</w:t>
      </w:r>
    </w:p>
    <w:p w14:paraId="50A09C8A" w14:textId="3A866F27" w:rsidR="00222DEF" w:rsidRDefault="00590123" w:rsidP="00CA3D47">
      <w:pPr>
        <w:pStyle w:val="Body"/>
      </w:pPr>
      <w:r>
        <w:t xml:space="preserve">With the introduction </w:t>
      </w:r>
      <w:r w:rsidR="0031333F">
        <w:t>of</w:t>
      </w:r>
      <w:r>
        <w:t xml:space="preserve"> the new Act</w:t>
      </w:r>
      <w:r w:rsidR="0031333F">
        <w:t xml:space="preserve"> on 1 September</w:t>
      </w:r>
      <w:r>
        <w:t xml:space="preserve">, the Chief Psychiatrist’s </w:t>
      </w:r>
      <w:r w:rsidR="00274B98">
        <w:t xml:space="preserve">statutory role and </w:t>
      </w:r>
      <w:r>
        <w:t xml:space="preserve">jurisdiction </w:t>
      </w:r>
      <w:r w:rsidR="00274B98">
        <w:t>broaden</w:t>
      </w:r>
      <w:r>
        <w:t>s to oversee</w:t>
      </w:r>
      <w:r w:rsidR="00274B98">
        <w:t xml:space="preserve"> and monitor the quality and safety of specialist mental health services in prison and youth justice </w:t>
      </w:r>
      <w:r w:rsidR="00AE0940">
        <w:t xml:space="preserve">settings. </w:t>
      </w:r>
      <w:r w:rsidR="00432525">
        <w:t>R</w:t>
      </w:r>
      <w:r w:rsidR="00AC09B3">
        <w:t xml:space="preserve">eporting obligations </w:t>
      </w:r>
      <w:r w:rsidR="00432525">
        <w:t xml:space="preserve">for specialist mental health </w:t>
      </w:r>
      <w:r w:rsidR="0076590F">
        <w:t>services</w:t>
      </w:r>
      <w:r w:rsidR="00432525">
        <w:t xml:space="preserve"> in custodial settings </w:t>
      </w:r>
      <w:r w:rsidR="00AC09B3">
        <w:t>commence</w:t>
      </w:r>
      <w:r w:rsidR="00982AFD">
        <w:t xml:space="preserve">s with </w:t>
      </w:r>
      <w:r w:rsidR="00A1113E">
        <w:t>Fo</w:t>
      </w:r>
      <w:r w:rsidR="00982AFD">
        <w:t>rensicare and Orygen</w:t>
      </w:r>
      <w:r w:rsidR="00B023C8">
        <w:t xml:space="preserve">. </w:t>
      </w:r>
    </w:p>
    <w:p w14:paraId="3CA23492" w14:textId="6D2E3C42" w:rsidR="00222DEF" w:rsidRDefault="00222DEF" w:rsidP="00CA3D47">
      <w:pPr>
        <w:pStyle w:val="Body"/>
      </w:pPr>
      <w:r w:rsidRPr="003E0434">
        <w:t>Clinical m</w:t>
      </w:r>
      <w:r w:rsidRPr="00682ED7">
        <w:t xml:space="preserve">ental health service providers </w:t>
      </w:r>
      <w:r w:rsidR="00A1113E">
        <w:t xml:space="preserve">including specialist mental health services in custodial settings will </w:t>
      </w:r>
      <w:r w:rsidRPr="00682ED7">
        <w:t>need</w:t>
      </w:r>
      <w:r>
        <w:t xml:space="preserve"> to complete </w:t>
      </w:r>
      <w:r w:rsidR="00A1113E">
        <w:t xml:space="preserve">the </w:t>
      </w:r>
      <w:hyperlink r:id="rId21" w:history="1">
        <w:r w:rsidRPr="00B701BF">
          <w:rPr>
            <w:rStyle w:val="Hyperlink"/>
          </w:rPr>
          <w:t>MHWA 125 Notice of Death form</w:t>
        </w:r>
      </w:hyperlink>
      <w:r>
        <w:t xml:space="preserve"> </w:t>
      </w:r>
      <w:r w:rsidRPr="00933571">
        <w:t xml:space="preserve">and submit </w:t>
      </w:r>
      <w:r w:rsidR="205DD849">
        <w:t xml:space="preserve">it </w:t>
      </w:r>
      <w:r>
        <w:t>to the Chief Psychiatrist</w:t>
      </w:r>
      <w:r w:rsidRPr="00933571">
        <w:t>.</w:t>
      </w:r>
      <w:r>
        <w:t xml:space="preserve"> </w:t>
      </w:r>
    </w:p>
    <w:p w14:paraId="5080A7CB" w14:textId="0F36D947" w:rsidR="00D87F72" w:rsidRPr="008A095F" w:rsidRDefault="309007DE" w:rsidP="00CA3D47">
      <w:pPr>
        <w:pStyle w:val="Body"/>
      </w:pPr>
      <w:r w:rsidRPr="008A095F">
        <w:t>A</w:t>
      </w:r>
      <w:r w:rsidR="00B023C8">
        <w:t xml:space="preserve"> </w:t>
      </w:r>
      <w:hyperlink r:id="rId22" w:history="1">
        <w:r w:rsidRPr="007A2E41">
          <w:rPr>
            <w:rStyle w:val="Hyperlink"/>
          </w:rPr>
          <w:t>reporting directive</w:t>
        </w:r>
      </w:hyperlink>
      <w:r w:rsidRPr="008A095F">
        <w:t xml:space="preserve"> </w:t>
      </w:r>
      <w:r w:rsidR="00B023C8">
        <w:t xml:space="preserve">is </w:t>
      </w:r>
      <w:r w:rsidRPr="008A095F">
        <w:t xml:space="preserve">available to inform </w:t>
      </w:r>
      <w:r w:rsidR="00B023C8">
        <w:t xml:space="preserve">clinical </w:t>
      </w:r>
      <w:r w:rsidRPr="008A095F">
        <w:t>mental health service</w:t>
      </w:r>
      <w:r w:rsidR="00B023C8">
        <w:t xml:space="preserve"> providers and specialist mental health services in custodial setting</w:t>
      </w:r>
      <w:r w:rsidRPr="008A095F">
        <w:t>s of their reporting obligations under the new Act.</w:t>
      </w:r>
    </w:p>
    <w:p w14:paraId="39A7AE02" w14:textId="2DEA9F1A" w:rsidR="00D87F72" w:rsidRPr="008A095F" w:rsidRDefault="309007DE" w:rsidP="004F0720">
      <w:pPr>
        <w:pStyle w:val="Body"/>
      </w:pPr>
      <w:r w:rsidRPr="008A095F">
        <w:t xml:space="preserve">Mental </w:t>
      </w:r>
      <w:r w:rsidR="00AF659E">
        <w:t>h</w:t>
      </w:r>
      <w:r w:rsidRPr="008A095F">
        <w:t xml:space="preserve">ealth and </w:t>
      </w:r>
      <w:r w:rsidR="00AF659E">
        <w:t>w</w:t>
      </w:r>
      <w:r w:rsidRPr="008A095F">
        <w:t>ellbeing service</w:t>
      </w:r>
      <w:r w:rsidR="001A05E9">
        <w:t xml:space="preserve"> provider</w:t>
      </w:r>
      <w:r w:rsidRPr="008A095F">
        <w:t>s are reminded that the mental health and wellbeing principles contained in the new Act provide a foundational understanding of quality clinical care and practice.</w:t>
      </w:r>
    </w:p>
    <w:p w14:paraId="34F99F5B" w14:textId="2E06236A" w:rsidR="00A62D44" w:rsidRPr="00B57329" w:rsidRDefault="00232EB0" w:rsidP="001E0C5D">
      <w:pPr>
        <w:pStyle w:val="Heading2"/>
      </w:pPr>
      <w:bookmarkStart w:id="1" w:name="_Toc140571782"/>
      <w:r>
        <w:t xml:space="preserve">About </w:t>
      </w:r>
      <w:r w:rsidR="009B00D8">
        <w:t>Reportable Deaths</w:t>
      </w:r>
      <w:bookmarkEnd w:id="1"/>
    </w:p>
    <w:p w14:paraId="4DAE89E6" w14:textId="1CE685E2" w:rsidR="004C6992" w:rsidRPr="00D7569F" w:rsidRDefault="1B1484E4" w:rsidP="66A4921B">
      <w:r w:rsidRPr="29209A8B">
        <w:rPr>
          <w:rFonts w:eastAsia="Arial" w:cs="Arial"/>
        </w:rPr>
        <w:t>S</w:t>
      </w:r>
      <w:r w:rsidR="590B9245" w:rsidRPr="29209A8B">
        <w:rPr>
          <w:rFonts w:eastAsia="Arial" w:cs="Arial"/>
        </w:rPr>
        <w:t xml:space="preserve">ince the establishment of </w:t>
      </w:r>
      <w:r w:rsidR="590B9245" w:rsidRPr="29209A8B">
        <w:rPr>
          <w:rFonts w:eastAsia="Arial" w:cs="Arial"/>
          <w:i/>
        </w:rPr>
        <w:t>Mental Health Act 2014</w:t>
      </w:r>
      <w:r w:rsidR="0125E792" w:rsidRPr="29209A8B">
        <w:rPr>
          <w:rFonts w:eastAsia="Arial" w:cs="Arial"/>
          <w:i/>
        </w:rPr>
        <w:t xml:space="preserve">, </w:t>
      </w:r>
      <w:r w:rsidR="0125E792" w:rsidRPr="00483A79">
        <w:rPr>
          <w:rFonts w:eastAsia="Arial" w:cs="Arial"/>
        </w:rPr>
        <w:t>a</w:t>
      </w:r>
      <w:r w:rsidR="0125E792" w:rsidRPr="29209A8B">
        <w:rPr>
          <w:rFonts w:eastAsia="Arial" w:cs="Arial"/>
        </w:rPr>
        <w:t>ny deaths of consumers in bed-based or designated mental health services have been reportable</w:t>
      </w:r>
      <w:r w:rsidR="590B9245" w:rsidRPr="29209A8B">
        <w:rPr>
          <w:rFonts w:eastAsia="Arial" w:cs="Arial"/>
        </w:rPr>
        <w:t>. There is no change to th</w:t>
      </w:r>
      <w:r w:rsidR="00B9096D" w:rsidRPr="29209A8B">
        <w:rPr>
          <w:rFonts w:eastAsia="Arial" w:cs="Arial"/>
        </w:rPr>
        <w:t xml:space="preserve">e reporting </w:t>
      </w:r>
      <w:r w:rsidR="590B9245" w:rsidRPr="29209A8B">
        <w:rPr>
          <w:rFonts w:eastAsia="Arial" w:cs="Arial"/>
        </w:rPr>
        <w:t>requirement</w:t>
      </w:r>
      <w:r w:rsidR="00B9096D" w:rsidRPr="29209A8B">
        <w:rPr>
          <w:rFonts w:eastAsia="Arial" w:cs="Arial"/>
        </w:rPr>
        <w:t>s</w:t>
      </w:r>
      <w:r w:rsidR="590B9245" w:rsidRPr="29209A8B">
        <w:rPr>
          <w:rFonts w:eastAsia="Arial" w:cs="Arial"/>
        </w:rPr>
        <w:t xml:space="preserve"> in the new </w:t>
      </w:r>
      <w:r w:rsidR="590B9245" w:rsidRPr="29209A8B">
        <w:rPr>
          <w:rFonts w:eastAsia="Arial" w:cs="Arial"/>
          <w:i/>
        </w:rPr>
        <w:t>Mental Health and Wellbeing Act 2022</w:t>
      </w:r>
      <w:r w:rsidR="590B9245" w:rsidRPr="29209A8B">
        <w:rPr>
          <w:rFonts w:eastAsia="Arial" w:cs="Arial"/>
        </w:rPr>
        <w:t>. Incidents related to unnatural deaths are reportable, since their notification prompts a review of the circumstances leading up to these events and examines the potential of reducing the number of avoidable deaths whilst people are in treatment and soon thereafter.</w:t>
      </w:r>
    </w:p>
    <w:p w14:paraId="3C8E578B" w14:textId="65F2D757" w:rsidR="004C6992" w:rsidRDefault="590B9245" w:rsidP="66A4921B">
      <w:pPr>
        <w:rPr>
          <w:rFonts w:eastAsia="Arial" w:cs="Arial"/>
          <w:szCs w:val="21"/>
        </w:rPr>
      </w:pPr>
      <w:r w:rsidRPr="66A4921B">
        <w:rPr>
          <w:rFonts w:eastAsia="Arial" w:cs="Arial"/>
          <w:szCs w:val="21"/>
        </w:rPr>
        <w:lastRenderedPageBreak/>
        <w:t>Deaths in</w:t>
      </w:r>
      <w:r w:rsidR="008A77CF">
        <w:rPr>
          <w:rFonts w:eastAsia="Arial" w:cs="Arial"/>
          <w:szCs w:val="21"/>
        </w:rPr>
        <w:t xml:space="preserve"> specialist mental health services </w:t>
      </w:r>
      <w:r w:rsidRPr="66A4921B">
        <w:rPr>
          <w:rFonts w:eastAsia="Arial" w:cs="Arial"/>
          <w:szCs w:val="21"/>
        </w:rPr>
        <w:t>in custodial settings</w:t>
      </w:r>
      <w:r w:rsidR="008A77CF">
        <w:rPr>
          <w:rFonts w:eastAsia="Arial" w:cs="Arial"/>
          <w:szCs w:val="21"/>
        </w:rPr>
        <w:t xml:space="preserve"> commencing with Forensicare and Orygen</w:t>
      </w:r>
      <w:r w:rsidRPr="66A4921B">
        <w:rPr>
          <w:rFonts w:eastAsia="Arial" w:cs="Arial"/>
          <w:szCs w:val="21"/>
        </w:rPr>
        <w:t xml:space="preserve"> are reportable to the Chief Psychiatrist from 1 September 2023. </w:t>
      </w:r>
      <w:r w:rsidR="009E0BB0">
        <w:rPr>
          <w:rFonts w:eastAsia="Arial" w:cs="Arial"/>
          <w:szCs w:val="21"/>
        </w:rPr>
        <w:t xml:space="preserve">Refer to the reporting instructions outlined in the </w:t>
      </w:r>
      <w:r w:rsidR="00385CD9">
        <w:rPr>
          <w:rFonts w:eastAsia="Arial" w:cs="Arial"/>
          <w:szCs w:val="21"/>
        </w:rPr>
        <w:t>Chief Psychiatrist’s r</w:t>
      </w:r>
      <w:r w:rsidRPr="66A4921B">
        <w:rPr>
          <w:rFonts w:eastAsia="Arial" w:cs="Arial"/>
          <w:szCs w:val="21"/>
        </w:rPr>
        <w:t xml:space="preserve">eporting </w:t>
      </w:r>
      <w:r w:rsidR="00385CD9">
        <w:rPr>
          <w:rFonts w:eastAsia="Arial" w:cs="Arial"/>
          <w:szCs w:val="21"/>
        </w:rPr>
        <w:t>d</w:t>
      </w:r>
      <w:r w:rsidRPr="66A4921B">
        <w:rPr>
          <w:rFonts w:eastAsia="Arial" w:cs="Arial"/>
          <w:szCs w:val="21"/>
        </w:rPr>
        <w:t>irective for Reportable deaths</w:t>
      </w:r>
      <w:r w:rsidR="00385CD9">
        <w:rPr>
          <w:rFonts w:eastAsia="Arial" w:cs="Arial"/>
          <w:szCs w:val="21"/>
        </w:rPr>
        <w:t>.</w:t>
      </w:r>
    </w:p>
    <w:p w14:paraId="75BD4AB3" w14:textId="5EE23265" w:rsidR="00B27147" w:rsidRPr="009F444A" w:rsidRDefault="00B27147" w:rsidP="00B27147">
      <w:pPr>
        <w:pStyle w:val="Body"/>
        <w:rPr>
          <w:rStyle w:val="normaltextrun"/>
        </w:rPr>
      </w:pPr>
      <w:r w:rsidRPr="009F444A">
        <w:rPr>
          <w:rStyle w:val="normaltextrun"/>
        </w:rPr>
        <w:t xml:space="preserve">Mental health community support services, who have reported under the </w:t>
      </w:r>
      <w:r w:rsidRPr="002776DB">
        <w:rPr>
          <w:rStyle w:val="normaltextrun"/>
          <w:i/>
          <w:iCs/>
        </w:rPr>
        <w:t>Mental Health Act 2014</w:t>
      </w:r>
      <w:r w:rsidRPr="009F444A">
        <w:rPr>
          <w:rStyle w:val="normaltextrun"/>
        </w:rPr>
        <w:t>, are encouraged to continue to follow this reporting practice as the new</w:t>
      </w:r>
      <w:r>
        <w:rPr>
          <w:rStyle w:val="normaltextrun"/>
          <w:rFonts w:eastAsia="MS Gothic" w:cs="Arial"/>
          <w:szCs w:val="21"/>
        </w:rPr>
        <w:t xml:space="preserve"> Act </w:t>
      </w:r>
      <w:r w:rsidRPr="009F444A">
        <w:rPr>
          <w:rStyle w:val="normaltextrun"/>
        </w:rPr>
        <w:t>commences on 1 September 2023.</w:t>
      </w:r>
    </w:p>
    <w:p w14:paraId="0988C766" w14:textId="3519ECFA" w:rsidR="00863F1E" w:rsidRPr="00B57329" w:rsidRDefault="00863F1E" w:rsidP="00863F1E">
      <w:pPr>
        <w:pStyle w:val="Heading2"/>
      </w:pPr>
      <w:bookmarkStart w:id="2" w:name="_Toc140571783"/>
      <w:r>
        <w:t xml:space="preserve">Mental Health and Wellbeing Act 2022 </w:t>
      </w:r>
      <w:r w:rsidR="00BC23F6">
        <w:t>r</w:t>
      </w:r>
      <w:r>
        <w:t>eference</w:t>
      </w:r>
      <w:r w:rsidR="009810DF">
        <w:t>(</w:t>
      </w:r>
      <w:r>
        <w:t>s</w:t>
      </w:r>
      <w:r w:rsidR="009810DF">
        <w:t>)</w:t>
      </w:r>
      <w:bookmarkEnd w:id="2"/>
    </w:p>
    <w:p w14:paraId="32EB7DB3" w14:textId="28FFAB93" w:rsidR="4BC3D8BC" w:rsidRDefault="4BC3D8BC" w:rsidP="66A4921B">
      <w:r w:rsidRPr="66A4921B">
        <w:rPr>
          <w:rFonts w:eastAsia="Arial" w:cs="Arial"/>
          <w:szCs w:val="21"/>
        </w:rPr>
        <w:t xml:space="preserve">The </w:t>
      </w:r>
      <w:r w:rsidRPr="66A4921B">
        <w:rPr>
          <w:rFonts w:eastAsia="Arial" w:cs="Arial"/>
          <w:i/>
          <w:iCs/>
          <w:szCs w:val="21"/>
        </w:rPr>
        <w:t>Mental Health and Wellbeing Act 2022</w:t>
      </w:r>
      <w:r w:rsidRPr="66A4921B">
        <w:rPr>
          <w:rFonts w:eastAsia="Arial" w:cs="Arial"/>
          <w:szCs w:val="21"/>
        </w:rPr>
        <w:t xml:space="preserve"> notes the requirement to notify the Chief Psychiatrist of all reportable deaths in sections 741, 742 and 766.</w:t>
      </w:r>
    </w:p>
    <w:p w14:paraId="0943F4F4" w14:textId="14A487B6" w:rsidR="00863F1E" w:rsidRPr="00B57329" w:rsidRDefault="00FD3CCF" w:rsidP="00863F1E">
      <w:pPr>
        <w:pStyle w:val="Heading2"/>
      </w:pPr>
      <w:bookmarkStart w:id="3" w:name="_Toc140571784"/>
      <w:r>
        <w:t>R</w:t>
      </w:r>
      <w:r w:rsidR="00863F1E">
        <w:t xml:space="preserve">oyal Commission </w:t>
      </w:r>
      <w:r w:rsidR="004F2E21">
        <w:t>– related recommendation(s)</w:t>
      </w:r>
      <w:bookmarkEnd w:id="3"/>
    </w:p>
    <w:p w14:paraId="65351CE5" w14:textId="314EFF94" w:rsidR="00123E68" w:rsidRDefault="6DA452CB" w:rsidP="66A4921B">
      <w:pPr>
        <w:rPr>
          <w:rFonts w:eastAsia="Arial" w:cs="Arial"/>
          <w:szCs w:val="21"/>
        </w:rPr>
      </w:pPr>
      <w:r w:rsidRPr="66A4921B">
        <w:rPr>
          <w:rFonts w:eastAsia="Arial" w:cs="Arial"/>
          <w:szCs w:val="21"/>
        </w:rPr>
        <w:t xml:space="preserve">The Royal Commission into Victoria’s Mental Health and Wellbeing System (the Royal Commission) noted that although </w:t>
      </w:r>
      <w:r w:rsidR="008353B5" w:rsidRPr="008353B5">
        <w:rPr>
          <w:rFonts w:eastAsia="Arial" w:cs="Arial"/>
          <w:szCs w:val="21"/>
        </w:rPr>
        <w:t xml:space="preserve">clinical </w:t>
      </w:r>
      <w:r w:rsidRPr="00DF2172">
        <w:rPr>
          <w:rFonts w:eastAsia="Arial" w:cs="Arial"/>
          <w:szCs w:val="21"/>
        </w:rPr>
        <w:t>mental health service</w:t>
      </w:r>
      <w:r w:rsidR="008353B5" w:rsidRPr="00DF2172">
        <w:rPr>
          <w:rFonts w:eastAsia="Arial" w:cs="Arial"/>
          <w:szCs w:val="21"/>
        </w:rPr>
        <w:t xml:space="preserve"> provider</w:t>
      </w:r>
      <w:r w:rsidRPr="00DF2172">
        <w:rPr>
          <w:rFonts w:eastAsia="Arial" w:cs="Arial"/>
          <w:szCs w:val="21"/>
        </w:rPr>
        <w:t>s</w:t>
      </w:r>
      <w:r w:rsidRPr="66A4921B">
        <w:rPr>
          <w:rFonts w:eastAsia="Arial" w:cs="Arial"/>
          <w:szCs w:val="21"/>
        </w:rPr>
        <w:t xml:space="preserve"> normally undertake a root cause analysis of deaths to try and determine the cause of any consumer death with the intent of avoiding any future occurrences of the same. </w:t>
      </w:r>
    </w:p>
    <w:p w14:paraId="07EC6495" w14:textId="2800E5A5" w:rsidR="6DA452CB" w:rsidRDefault="6DA452CB" w:rsidP="66A4921B">
      <w:r w:rsidRPr="29209A8B">
        <w:rPr>
          <w:rFonts w:eastAsia="Arial" w:cs="Arial"/>
        </w:rPr>
        <w:t>The Royal Commission note</w:t>
      </w:r>
      <w:r w:rsidR="35B27948" w:rsidRPr="29209A8B">
        <w:rPr>
          <w:rFonts w:eastAsia="Arial" w:cs="Arial"/>
        </w:rPr>
        <w:t>d</w:t>
      </w:r>
      <w:r w:rsidRPr="29209A8B">
        <w:rPr>
          <w:rFonts w:eastAsia="Arial" w:cs="Arial"/>
        </w:rPr>
        <w:t>, that “restorative just culture” takes a different approach, shifting the focus away from blaming individual clinicians, to a culture that examines how the system and other cultural factor</w:t>
      </w:r>
      <w:r w:rsidR="002547F3" w:rsidRPr="29209A8B">
        <w:rPr>
          <w:rFonts w:eastAsia="Arial" w:cs="Arial"/>
        </w:rPr>
        <w:t>s</w:t>
      </w:r>
      <w:r w:rsidRPr="29209A8B">
        <w:rPr>
          <w:rFonts w:eastAsia="Arial" w:cs="Arial"/>
        </w:rPr>
        <w:t xml:space="preserve"> may have contributed to such events. This approach also works toward giving consumers agency in their treatment, even if this means taking some risks. RC final report Vol 1 p522.</w:t>
      </w:r>
    </w:p>
    <w:p w14:paraId="068FB3E1" w14:textId="7D5586C2" w:rsidR="00863F1E" w:rsidRPr="00B57329" w:rsidRDefault="00863F1E" w:rsidP="00863F1E">
      <w:pPr>
        <w:pStyle w:val="Heading2"/>
      </w:pPr>
      <w:bookmarkStart w:id="4" w:name="_Toc140571785"/>
      <w:r>
        <w:t xml:space="preserve">Changes between MHA 2014 and the new </w:t>
      </w:r>
      <w:r w:rsidR="00DB1E68">
        <w:t xml:space="preserve">MHWB </w:t>
      </w:r>
      <w:r>
        <w:t>Act</w:t>
      </w:r>
      <w:r w:rsidR="00DB1E68">
        <w:t xml:space="preserve"> 2022</w:t>
      </w:r>
      <w:bookmarkEnd w:id="4"/>
      <w:r>
        <w:t xml:space="preserve"> </w:t>
      </w:r>
    </w:p>
    <w:p w14:paraId="555A3884" w14:textId="6C2DE790" w:rsidR="004C6992" w:rsidRDefault="660ACFBF" w:rsidP="00D7569F">
      <w:pPr>
        <w:pStyle w:val="Body"/>
      </w:pPr>
      <w:r w:rsidRPr="789072DE">
        <w:rPr>
          <w:rFonts w:eastAsia="Arial" w:cs="Arial"/>
        </w:rPr>
        <w:t xml:space="preserve">The one significant change in relation to reportable deaths between the </w:t>
      </w:r>
      <w:r w:rsidRPr="789072DE">
        <w:rPr>
          <w:rFonts w:eastAsia="Arial" w:cs="Arial"/>
          <w:i/>
          <w:iCs/>
        </w:rPr>
        <w:t>Mental Health Act 2014</w:t>
      </w:r>
      <w:r w:rsidRPr="789072DE">
        <w:rPr>
          <w:rFonts w:eastAsia="Arial" w:cs="Arial"/>
        </w:rPr>
        <w:t xml:space="preserve"> and the new </w:t>
      </w:r>
      <w:r w:rsidRPr="789072DE">
        <w:rPr>
          <w:rFonts w:eastAsia="Arial" w:cs="Arial"/>
          <w:i/>
          <w:iCs/>
        </w:rPr>
        <w:t>Mental Health and Wellbeing Act 2022</w:t>
      </w:r>
      <w:r w:rsidRPr="789072DE">
        <w:rPr>
          <w:rFonts w:eastAsia="Arial" w:cs="Arial"/>
        </w:rPr>
        <w:t xml:space="preserve"> is the requirement for the notification of reportable deaths in custodial settings to the Chief Psychiatrist. </w:t>
      </w:r>
    </w:p>
    <w:p w14:paraId="4F94D115" w14:textId="78AB33A5" w:rsidR="00863F1E" w:rsidRPr="00B57329" w:rsidRDefault="00863F1E" w:rsidP="00863F1E">
      <w:pPr>
        <w:pStyle w:val="Heading2"/>
      </w:pPr>
      <w:bookmarkStart w:id="5" w:name="_Toc140571786"/>
      <w:r>
        <w:t xml:space="preserve">What </w:t>
      </w:r>
      <w:r w:rsidR="00FD4F14">
        <w:t>th</w:t>
      </w:r>
      <w:r w:rsidR="00B62E59">
        <w:t>is</w:t>
      </w:r>
      <w:r w:rsidR="00FD4F14">
        <w:t xml:space="preserve"> change mean</w:t>
      </w:r>
      <w:r w:rsidR="00B62E59">
        <w:t>s</w:t>
      </w:r>
      <w:bookmarkEnd w:id="5"/>
      <w:r w:rsidR="00FD4F14">
        <w:t xml:space="preserve"> </w:t>
      </w:r>
    </w:p>
    <w:p w14:paraId="3B9CE61A" w14:textId="7FC6A929" w:rsidR="005A281E" w:rsidRDefault="00B04708" w:rsidP="66A4921B">
      <w:pPr>
        <w:rPr>
          <w:rFonts w:eastAsia="Arial" w:cs="Arial"/>
        </w:rPr>
      </w:pPr>
      <w:r w:rsidRPr="29209A8B">
        <w:rPr>
          <w:rFonts w:eastAsia="Arial" w:cs="Arial"/>
        </w:rPr>
        <w:t xml:space="preserve">From September 1, all </w:t>
      </w:r>
      <w:r w:rsidR="00FA7E31" w:rsidRPr="29209A8B">
        <w:rPr>
          <w:rFonts w:eastAsia="Arial" w:cs="Arial"/>
        </w:rPr>
        <w:t>special</w:t>
      </w:r>
      <w:r w:rsidR="00975F30" w:rsidRPr="29209A8B">
        <w:rPr>
          <w:rFonts w:eastAsia="Arial" w:cs="Arial"/>
        </w:rPr>
        <w:t xml:space="preserve">ist </w:t>
      </w:r>
      <w:r w:rsidR="00B34065" w:rsidRPr="29209A8B">
        <w:rPr>
          <w:rFonts w:eastAsia="Arial" w:cs="Arial"/>
        </w:rPr>
        <w:t>bed-based</w:t>
      </w:r>
      <w:r w:rsidRPr="29209A8B">
        <w:rPr>
          <w:rFonts w:eastAsia="Arial" w:cs="Arial"/>
        </w:rPr>
        <w:t xml:space="preserve"> </w:t>
      </w:r>
      <w:r w:rsidR="00A94B6E" w:rsidRPr="29209A8B">
        <w:rPr>
          <w:rFonts w:eastAsia="Arial" w:cs="Arial"/>
        </w:rPr>
        <w:t xml:space="preserve">mental health </w:t>
      </w:r>
      <w:r w:rsidRPr="29209A8B">
        <w:rPr>
          <w:rFonts w:eastAsia="Arial" w:cs="Arial"/>
        </w:rPr>
        <w:t xml:space="preserve">units in custodial settings will be considered as inpatient units under the </w:t>
      </w:r>
      <w:r w:rsidR="5504642A" w:rsidRPr="29209A8B">
        <w:rPr>
          <w:rFonts w:eastAsia="Arial" w:cs="Arial"/>
        </w:rPr>
        <w:t>r</w:t>
      </w:r>
      <w:r w:rsidRPr="29209A8B">
        <w:rPr>
          <w:rFonts w:eastAsia="Arial" w:cs="Arial"/>
        </w:rPr>
        <w:t xml:space="preserve">eportable </w:t>
      </w:r>
      <w:r w:rsidR="437BADB2" w:rsidRPr="29209A8B">
        <w:rPr>
          <w:rFonts w:eastAsia="Arial" w:cs="Arial"/>
        </w:rPr>
        <w:t>d</w:t>
      </w:r>
      <w:r w:rsidRPr="29209A8B">
        <w:rPr>
          <w:rFonts w:eastAsia="Arial" w:cs="Arial"/>
        </w:rPr>
        <w:t xml:space="preserve">eaths </w:t>
      </w:r>
      <w:r w:rsidR="00FB7ADD" w:rsidRPr="29209A8B">
        <w:rPr>
          <w:rFonts w:eastAsia="Arial" w:cs="Arial"/>
        </w:rPr>
        <w:t>reporting directive</w:t>
      </w:r>
      <w:r w:rsidRPr="29209A8B">
        <w:rPr>
          <w:rFonts w:eastAsia="Arial" w:cs="Arial"/>
        </w:rPr>
        <w:t xml:space="preserve">. If a death occurs </w:t>
      </w:r>
      <w:r w:rsidR="00975F30" w:rsidRPr="29209A8B">
        <w:rPr>
          <w:rFonts w:eastAsia="Arial" w:cs="Arial"/>
        </w:rPr>
        <w:t>in</w:t>
      </w:r>
      <w:r w:rsidRPr="29209A8B">
        <w:rPr>
          <w:rFonts w:eastAsia="Arial" w:cs="Arial"/>
        </w:rPr>
        <w:t xml:space="preserve"> a </w:t>
      </w:r>
      <w:r w:rsidR="00A641A6" w:rsidRPr="29209A8B">
        <w:rPr>
          <w:rFonts w:eastAsia="Arial" w:cs="Arial"/>
        </w:rPr>
        <w:t xml:space="preserve">specialist </w:t>
      </w:r>
      <w:r w:rsidR="00244108" w:rsidRPr="29209A8B">
        <w:rPr>
          <w:rFonts w:eastAsia="Arial" w:cs="Arial"/>
        </w:rPr>
        <w:t>bed-based</w:t>
      </w:r>
      <w:r w:rsidRPr="29209A8B">
        <w:rPr>
          <w:rFonts w:eastAsia="Arial" w:cs="Arial"/>
        </w:rPr>
        <w:t xml:space="preserve"> </w:t>
      </w:r>
      <w:r w:rsidR="00A641A6" w:rsidRPr="29209A8B">
        <w:rPr>
          <w:rFonts w:eastAsia="Arial" w:cs="Arial"/>
        </w:rPr>
        <w:t xml:space="preserve">mental health </w:t>
      </w:r>
      <w:r w:rsidRPr="29209A8B">
        <w:rPr>
          <w:rFonts w:eastAsia="Arial" w:cs="Arial"/>
        </w:rPr>
        <w:t>unit in custo</w:t>
      </w:r>
      <w:r w:rsidR="00D36755" w:rsidRPr="29209A8B">
        <w:rPr>
          <w:rFonts w:eastAsia="Arial" w:cs="Arial"/>
        </w:rPr>
        <w:t xml:space="preserve">dial settings, </w:t>
      </w:r>
      <w:r w:rsidRPr="29209A8B">
        <w:rPr>
          <w:rFonts w:eastAsia="Arial" w:cs="Arial"/>
        </w:rPr>
        <w:t>it is notifiable to the Chief Psychiatrist within 24 hours.</w:t>
      </w:r>
    </w:p>
    <w:p w14:paraId="46006175" w14:textId="1F7D0A83" w:rsidR="00FF57E1" w:rsidRDefault="005A281E" w:rsidP="00D7569F">
      <w:pPr>
        <w:pStyle w:val="Body"/>
      </w:pPr>
      <w:r>
        <w:t xml:space="preserve">Any instance where a consumer dies of unnatural causes whilst receiving care from a specialist </w:t>
      </w:r>
      <w:r w:rsidR="000F6E22">
        <w:t xml:space="preserve">bed-based </w:t>
      </w:r>
      <w:r>
        <w:t xml:space="preserve">mental health </w:t>
      </w:r>
      <w:r w:rsidR="00E53DDD">
        <w:t xml:space="preserve">unit </w:t>
      </w:r>
      <w:r w:rsidR="004676DC">
        <w:t>in</w:t>
      </w:r>
      <w:r>
        <w:t xml:space="preserve"> custodial setting</w:t>
      </w:r>
      <w:r w:rsidR="47E0C098">
        <w:t>s</w:t>
      </w:r>
      <w:r>
        <w:t xml:space="preserve"> within the last three months prior to death, are notifiable to the Chief Psychiatrist. </w:t>
      </w:r>
    </w:p>
    <w:p w14:paraId="1497201B" w14:textId="66E8AFA1" w:rsidR="00863F1E" w:rsidRPr="00B57329" w:rsidRDefault="00315808" w:rsidP="00863F1E">
      <w:pPr>
        <w:pStyle w:val="Heading2"/>
      </w:pPr>
      <w:bookmarkStart w:id="6" w:name="_Toc140571787"/>
      <w:r>
        <w:t>P</w:t>
      </w:r>
      <w:r w:rsidR="00726575">
        <w:t>ractice guidelines and reporting directives</w:t>
      </w:r>
      <w:bookmarkEnd w:id="6"/>
    </w:p>
    <w:p w14:paraId="50577B76" w14:textId="65BC1BA2" w:rsidR="00726575" w:rsidRPr="007A2E41" w:rsidRDefault="00726575" w:rsidP="00726575">
      <w:pPr>
        <w:pStyle w:val="Body"/>
        <w:rPr>
          <w:rStyle w:val="Hyperlink"/>
        </w:rPr>
      </w:pPr>
      <w:r w:rsidRPr="00E60BD4">
        <w:t>Information regarding best practice</w:t>
      </w:r>
      <w:r w:rsidR="00C42BF9">
        <w:t xml:space="preserve"> guidelines</w:t>
      </w:r>
      <w:r w:rsidRPr="00E60BD4">
        <w:t xml:space="preserve">, reporting and notification obligations for mental health and wellbeing service providers are contained within the </w:t>
      </w:r>
      <w:r w:rsidR="007A2E41">
        <w:fldChar w:fldCharType="begin"/>
      </w:r>
      <w:r w:rsidR="007A2E41">
        <w:instrText xml:space="preserve"> HYPERLINK "https://www.health.vic.gov.au/chief-psychiatrist/reportable-deaths-mental-health-and-wellbeing-act-2022" </w:instrText>
      </w:r>
      <w:r w:rsidR="007A2E41">
        <w:fldChar w:fldCharType="separate"/>
      </w:r>
      <w:r w:rsidRPr="007A2E41">
        <w:rPr>
          <w:rStyle w:val="Hyperlink"/>
        </w:rPr>
        <w:t xml:space="preserve">Chief Psychiatrist’s </w:t>
      </w:r>
      <w:r w:rsidR="003003DB" w:rsidRPr="007A2E41">
        <w:rPr>
          <w:rStyle w:val="Hyperlink"/>
        </w:rPr>
        <w:t>reporting directive</w:t>
      </w:r>
      <w:r w:rsidR="0087453B" w:rsidRPr="007A2E41">
        <w:rPr>
          <w:rStyle w:val="Hyperlink"/>
        </w:rPr>
        <w:t xml:space="preserve"> </w:t>
      </w:r>
      <w:r w:rsidR="00CA3D47" w:rsidRPr="007A2E41">
        <w:rPr>
          <w:rStyle w:val="Hyperlink"/>
        </w:rPr>
        <w:t xml:space="preserve">on </w:t>
      </w:r>
      <w:r w:rsidR="0087453B" w:rsidRPr="007A2E41">
        <w:rPr>
          <w:rStyle w:val="Hyperlink"/>
        </w:rPr>
        <w:t>notif</w:t>
      </w:r>
      <w:r w:rsidR="00123E68" w:rsidRPr="007A2E41">
        <w:rPr>
          <w:rStyle w:val="Hyperlink"/>
        </w:rPr>
        <w:t>ying</w:t>
      </w:r>
      <w:r w:rsidR="00661437" w:rsidRPr="007A2E41">
        <w:rPr>
          <w:rStyle w:val="Hyperlink"/>
        </w:rPr>
        <w:t xml:space="preserve"> </w:t>
      </w:r>
      <w:r w:rsidR="00CA3D47" w:rsidRPr="007A2E41">
        <w:rPr>
          <w:rStyle w:val="Hyperlink"/>
        </w:rPr>
        <w:t>r</w:t>
      </w:r>
      <w:r w:rsidR="00B5617F" w:rsidRPr="007A2E41">
        <w:rPr>
          <w:rStyle w:val="Hyperlink"/>
        </w:rPr>
        <w:t>eportable deaths</w:t>
      </w:r>
      <w:r w:rsidR="00661437" w:rsidRPr="007A2E41">
        <w:rPr>
          <w:rStyle w:val="Hyperlink"/>
        </w:rPr>
        <w:t xml:space="preserve"> to the Chief Psychiatrist</w:t>
      </w:r>
      <w:r w:rsidR="007A2E41">
        <w:rPr>
          <w:rStyle w:val="Hyperlink"/>
        </w:rPr>
        <w:t>.</w:t>
      </w:r>
    </w:p>
    <w:p w14:paraId="47283156" w14:textId="7573BC15" w:rsidR="00726575" w:rsidRPr="00C42BF9" w:rsidRDefault="007A2E41" w:rsidP="00726575">
      <w:pPr>
        <w:pStyle w:val="Body"/>
      </w:pPr>
      <w:r>
        <w:fldChar w:fldCharType="end"/>
      </w:r>
      <w:r w:rsidR="00726575" w:rsidRPr="00C42BF9">
        <w:t>This document can be found</w:t>
      </w:r>
      <w:r w:rsidR="00604091">
        <w:t xml:space="preserve"> on the </w:t>
      </w:r>
      <w:hyperlink r:id="rId23" w:history="1">
        <w:r w:rsidR="00604091" w:rsidRPr="001B0C03">
          <w:rPr>
            <w:rStyle w:val="Hyperlink"/>
          </w:rPr>
          <w:t>Health Departments website</w:t>
        </w:r>
      </w:hyperlink>
      <w:r w:rsidR="001B0C03">
        <w:t xml:space="preserve">. </w:t>
      </w:r>
      <w:r w:rsidR="00726575" w:rsidRPr="00C42BF9">
        <w:t xml:space="preserve"> It outlines the reporting obligations of mental health and wellbeing services, the timing and mechanisms by which </w:t>
      </w:r>
      <w:r w:rsidR="00726575" w:rsidRPr="00090528">
        <w:t>services</w:t>
      </w:r>
      <w:r w:rsidR="00726575" w:rsidRPr="00C42BF9">
        <w:t xml:space="preserve"> </w:t>
      </w:r>
      <w:r w:rsidR="00091676" w:rsidRPr="00C42BF9">
        <w:t xml:space="preserve">must </w:t>
      </w:r>
      <w:r w:rsidR="00726575" w:rsidRPr="00C42BF9">
        <w:t xml:space="preserve">notify the Chief Psychiatrist of </w:t>
      </w:r>
      <w:r w:rsidR="00CE1304">
        <w:t>reportable deaths.</w:t>
      </w:r>
    </w:p>
    <w:p w14:paraId="2B19A220" w14:textId="6814E5CA" w:rsidR="00726575" w:rsidRPr="00B57329" w:rsidRDefault="00726575" w:rsidP="00726575">
      <w:pPr>
        <w:pStyle w:val="Heading2"/>
      </w:pPr>
      <w:bookmarkStart w:id="7" w:name="_Toc140571788"/>
      <w:r>
        <w:t>Further information</w:t>
      </w:r>
      <w:bookmarkEnd w:id="7"/>
    </w:p>
    <w:p w14:paraId="4D880A06" w14:textId="0F07E14A" w:rsidR="00462FFB" w:rsidRPr="00EE6CCE" w:rsidRDefault="00DD7B38" w:rsidP="00726575">
      <w:pPr>
        <w:pStyle w:val="Body"/>
      </w:pPr>
      <w:r w:rsidRPr="00EE6CCE">
        <w:t>F</w:t>
      </w:r>
      <w:r w:rsidR="00661437">
        <w:t>or f</w:t>
      </w:r>
      <w:r w:rsidRPr="00EE6CCE">
        <w:t xml:space="preserve">urther information </w:t>
      </w:r>
      <w:r w:rsidR="00462FFB" w:rsidRPr="00EE6CCE">
        <w:t xml:space="preserve">on </w:t>
      </w:r>
      <w:r w:rsidR="00123E68">
        <w:t>r</w:t>
      </w:r>
      <w:r w:rsidR="00A57DA9">
        <w:t xml:space="preserve">eportable deaths visit </w:t>
      </w:r>
      <w:r w:rsidR="00EC16D9">
        <w:t xml:space="preserve">the </w:t>
      </w:r>
      <w:hyperlink r:id="rId24" w:history="1">
        <w:r w:rsidR="00EC16D9" w:rsidRPr="001B0C03">
          <w:rPr>
            <w:rStyle w:val="Hyperlink"/>
          </w:rPr>
          <w:t>Health Departments website</w:t>
        </w:r>
      </w:hyperlink>
      <w:r w:rsidR="00EC16D9">
        <w:t xml:space="preserve">. </w:t>
      </w:r>
      <w:r w:rsidR="00EC16D9" w:rsidRPr="00C42BF9">
        <w:t xml:space="preserve"> </w:t>
      </w:r>
    </w:p>
    <w:p w14:paraId="39FE18FD" w14:textId="202BAD55" w:rsidR="00055893" w:rsidRPr="00EE6CCE" w:rsidRDefault="00055893" w:rsidP="00726575">
      <w:pPr>
        <w:pStyle w:val="Body"/>
      </w:pPr>
      <w:r w:rsidRPr="00EE6CCE">
        <w:t xml:space="preserve">The new Act is available for download on the </w:t>
      </w:r>
      <w:hyperlink r:id="rId25" w:history="1">
        <w:r w:rsidRPr="00EE6CCE">
          <w:rPr>
            <w:rStyle w:val="Hyperlink"/>
          </w:rPr>
          <w:t>Victorian Legislation</w:t>
        </w:r>
      </w:hyperlink>
      <w:r w:rsidRPr="00EE6CCE">
        <w:t xml:space="preserve"> website</w:t>
      </w:r>
      <w:r w:rsidR="00CE1304">
        <w:t>.</w:t>
      </w:r>
    </w:p>
    <w:p w14:paraId="72ADB300" w14:textId="180FA26C" w:rsidR="00212D2A" w:rsidRPr="00EE6CCE" w:rsidRDefault="00212D2A" w:rsidP="00726575">
      <w:pPr>
        <w:pStyle w:val="Body"/>
      </w:pPr>
      <w:r>
        <w:lastRenderedPageBreak/>
        <w:t xml:space="preserve">Queries relating to </w:t>
      </w:r>
      <w:r w:rsidR="00123E68">
        <w:t>r</w:t>
      </w:r>
      <w:r w:rsidR="5F45D0C1">
        <w:t>eportable deaths</w:t>
      </w:r>
      <w:r>
        <w:t xml:space="preserve"> </w:t>
      </w:r>
      <w:r w:rsidR="00CA3D47">
        <w:t xml:space="preserve">can be </w:t>
      </w:r>
      <w:r w:rsidR="00CE1304">
        <w:t>email</w:t>
      </w:r>
      <w:r w:rsidR="00CA3D47">
        <w:t>ed to</w:t>
      </w:r>
      <w:r w:rsidR="00CE1304">
        <w:t xml:space="preserve"> </w:t>
      </w:r>
      <w:r>
        <w:t xml:space="preserve">the Office of the Chief Psychiatrist </w:t>
      </w:r>
      <w:r w:rsidR="00CA3D47">
        <w:t xml:space="preserve">on </w:t>
      </w:r>
      <w:hyperlink r:id="rId26" w:history="1">
        <w:r w:rsidR="00D12D32" w:rsidRPr="29209A8B">
          <w:rPr>
            <w:rStyle w:val="Hyperlink"/>
          </w:rPr>
          <w:t>ocp@health.vic.gov.au</w:t>
        </w:r>
        <w:r w:rsidR="50B562A8" w:rsidRPr="29209A8B">
          <w:rPr>
            <w:rStyle w:val="Hyperlink"/>
          </w:rPr>
          <w:t>.</w:t>
        </w:r>
      </w:hyperlink>
    </w:p>
    <w:p w14:paraId="6DF17FAE" w14:textId="06EEF279" w:rsidR="00726575" w:rsidRPr="00B57329" w:rsidRDefault="009A448B" w:rsidP="00726575">
      <w:pPr>
        <w:pStyle w:val="Heading2"/>
      </w:pPr>
      <w:bookmarkStart w:id="8" w:name="_Toc140571789"/>
      <w:r>
        <w:t>Disclaimer</w:t>
      </w:r>
      <w:bookmarkEnd w:id="8"/>
    </w:p>
    <w:p w14:paraId="6DA2F86D" w14:textId="77777777" w:rsidR="00AE12D4" w:rsidRDefault="00AE12D4" w:rsidP="00AE12D4">
      <w:pPr>
        <w:pStyle w:val="Body"/>
      </w:pPr>
      <w:r>
        <w:t xml:space="preserve">This fact sheet summarises key differences between the </w:t>
      </w:r>
      <w:r w:rsidRPr="008C77B5">
        <w:rPr>
          <w:i/>
          <w:iCs/>
        </w:rPr>
        <w:t>Mental Health Act 2014</w:t>
      </w:r>
      <w:r>
        <w:t xml:space="preserve"> and </w:t>
      </w:r>
      <w:r w:rsidRPr="008C77B5">
        <w:rPr>
          <w:i/>
          <w:iCs/>
        </w:rPr>
        <w:t>Mental Health and Wellbeing Act 2022</w:t>
      </w:r>
      <w:r>
        <w:t xml:space="preserve"> that apply to the Chief Psychiatrist’s statutory role. It provides information to assist the mental health and wellbeing sector transition from the old act to the new act in the Chief Psychiatrist’s areas of oversight. The fact sheet is valid for six months from the date of publication. </w:t>
      </w:r>
    </w:p>
    <w:p w14:paraId="22DF3B8B" w14:textId="77777777" w:rsidR="00863F1E" w:rsidRPr="00200176" w:rsidRDefault="00863F1E"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A8DA329" w14:textId="77777777" w:rsidTr="627D7183">
        <w:tc>
          <w:tcPr>
            <w:tcW w:w="10194" w:type="dxa"/>
          </w:tcPr>
          <w:p w14:paraId="2012E631" w14:textId="66345E92" w:rsidR="0055119B" w:rsidRPr="0055119B" w:rsidRDefault="0055119B" w:rsidP="0055119B">
            <w:pPr>
              <w:pStyle w:val="Accessibilitypara"/>
            </w:pPr>
            <w:bookmarkStart w:id="9" w:name="_Hlk37240926"/>
            <w:r w:rsidRPr="0055119B">
              <w:t>To receive this document in another format</w:t>
            </w:r>
            <w:r>
              <w:t>,</w:t>
            </w:r>
            <w:r w:rsidRPr="0055119B">
              <w:t xml:space="preserve"> phone</w:t>
            </w:r>
            <w:r w:rsidR="00726575">
              <w:t xml:space="preserve"> 1300 </w:t>
            </w:r>
            <w:r w:rsidR="00233ECF">
              <w:t>767 299</w:t>
            </w:r>
            <w:r w:rsidRPr="0055119B">
              <w:t>, using the National Relay Service 13 36 77 if required, or email</w:t>
            </w:r>
            <w:r w:rsidR="00233ECF">
              <w:t xml:space="preserve"> ocp@health.vic.gov.au</w:t>
            </w:r>
          </w:p>
          <w:p w14:paraId="1015ACE9" w14:textId="77777777" w:rsidR="0055119B" w:rsidRPr="0055119B" w:rsidRDefault="0055119B" w:rsidP="00E33237">
            <w:pPr>
              <w:pStyle w:val="Imprint"/>
            </w:pPr>
            <w:r w:rsidRPr="0055119B">
              <w:t>Authorised and published by the Victorian Government, 1 Treasury Place, Melbourne.</w:t>
            </w:r>
          </w:p>
          <w:p w14:paraId="2A972895" w14:textId="0CBBECBD" w:rsidR="0055119B" w:rsidRPr="0055119B" w:rsidRDefault="0055119B" w:rsidP="00E33237">
            <w:pPr>
              <w:pStyle w:val="Imprint"/>
            </w:pPr>
            <w:r>
              <w:t xml:space="preserve">© State of Victoria, Australia, </w:t>
            </w:r>
            <w:r w:rsidR="001E2A36">
              <w:t>Department of Health</w:t>
            </w:r>
            <w:r>
              <w:t xml:space="preserve">, </w:t>
            </w:r>
            <w:r w:rsidR="00E97351">
              <w:rPr>
                <w:color w:val="365F91" w:themeColor="accent1" w:themeShade="BF"/>
              </w:rPr>
              <w:t>August</w:t>
            </w:r>
            <w:r w:rsidRPr="00CA3D47">
              <w:rPr>
                <w:color w:val="365F91" w:themeColor="accent1" w:themeShade="BF"/>
              </w:rPr>
              <w:t xml:space="preserve"> </w:t>
            </w:r>
            <w:r w:rsidR="00233ECF" w:rsidRPr="00CA3D47">
              <w:rPr>
                <w:color w:val="365F91" w:themeColor="accent1" w:themeShade="BF"/>
              </w:rPr>
              <w:t>2023</w:t>
            </w:r>
            <w:r w:rsidRPr="000353A7">
              <w:rPr>
                <w:color w:val="auto"/>
              </w:rPr>
              <w:t>.</w:t>
            </w:r>
          </w:p>
          <w:p w14:paraId="2F9E6D57" w14:textId="676CA35B" w:rsidR="0055119B" w:rsidRPr="0055119B" w:rsidRDefault="0055119B" w:rsidP="00E33237">
            <w:pPr>
              <w:pStyle w:val="Imprint"/>
            </w:pPr>
            <w:r w:rsidRPr="0055119B">
              <w:t xml:space="preserve">ISBN/ISSN </w:t>
            </w:r>
            <w:r w:rsidR="001E1009" w:rsidRPr="001E1009">
              <w:rPr>
                <w:color w:val="004C97"/>
              </w:rPr>
              <w:t>978-1-76131-242-7</w:t>
            </w:r>
            <w:r w:rsidRPr="00E33237">
              <w:rPr>
                <w:color w:val="004C97"/>
              </w:rPr>
              <w:t xml:space="preserve"> </w:t>
            </w:r>
            <w:r w:rsidRPr="004D707D">
              <w:t>(online/PDF/Word)</w:t>
            </w:r>
            <w:r w:rsidRPr="0055119B">
              <w:t xml:space="preserve"> </w:t>
            </w:r>
          </w:p>
          <w:p w14:paraId="779858A5" w14:textId="4DA0DC5F" w:rsidR="0055119B" w:rsidRDefault="005C7D6B" w:rsidP="00E33237">
            <w:pPr>
              <w:pStyle w:val="Imprint"/>
            </w:pPr>
            <w:r w:rsidRPr="0055119B">
              <w:t xml:space="preserve">Available at </w:t>
            </w:r>
            <w:hyperlink r:id="rId27" w:history="1">
              <w:r w:rsidRPr="008A1D12">
                <w:rPr>
                  <w:rStyle w:val="Hyperlink"/>
                </w:rPr>
                <w:t>Office of the Chief Psychiatrist – Reform activities and news</w:t>
              </w:r>
            </w:hyperlink>
            <w:r>
              <w:t xml:space="preserve"> </w:t>
            </w:r>
            <w:r w:rsidRPr="0055119B">
              <w:t>&lt;</w:t>
            </w:r>
            <w:r w:rsidRPr="008A1D12">
              <w:rPr>
                <w:color w:val="auto"/>
              </w:rPr>
              <w:t>https://www.health.vic.gov.au/chief-psychiatrist/office-of-the-chief-psychiatrist-reform-activities-and-news</w:t>
            </w:r>
            <w:r w:rsidRPr="0055119B">
              <w:t>&gt;</w:t>
            </w:r>
          </w:p>
        </w:tc>
      </w:tr>
      <w:bookmarkEnd w:id="9"/>
    </w:tbl>
    <w:p w14:paraId="16B9210E" w14:textId="77777777" w:rsidR="00162CA9" w:rsidRDefault="00162CA9" w:rsidP="00162CA9">
      <w:pPr>
        <w:pStyle w:val="Body"/>
      </w:pPr>
    </w:p>
    <w:sectPr w:rsidR="00162CA9" w:rsidSect="00E62622">
      <w:headerReference w:type="even" r:id="rId28"/>
      <w:headerReference w:type="default" r:id="rId29"/>
      <w:footerReference w:type="default" r:id="rId30"/>
      <w:headerReference w:type="first" r:id="rId3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571B" w14:textId="77777777" w:rsidR="00CF1E5D" w:rsidRDefault="00CF1E5D">
      <w:r>
        <w:separator/>
      </w:r>
    </w:p>
  </w:endnote>
  <w:endnote w:type="continuationSeparator" w:id="0">
    <w:p w14:paraId="13633E57" w14:textId="77777777" w:rsidR="00CF1E5D" w:rsidRDefault="00CF1E5D">
      <w:r>
        <w:continuationSeparator/>
      </w:r>
    </w:p>
  </w:endnote>
  <w:endnote w:type="continuationNotice" w:id="1">
    <w:p w14:paraId="0434F94C" w14:textId="77777777" w:rsidR="00CF1E5D" w:rsidRDefault="00CF1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EA60" w14:textId="77777777" w:rsidR="002D350D" w:rsidRDefault="002D3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2F37" w14:textId="5B5D3FC0" w:rsidR="00E261B3" w:rsidRPr="00F65AA9" w:rsidRDefault="00B2304B" w:rsidP="00F84FA0">
    <w:pPr>
      <w:pStyle w:val="Footer"/>
    </w:pPr>
    <w:r>
      <w:rPr>
        <w:noProof/>
        <w:lang w:eastAsia="en-AU"/>
      </w:rPr>
      <mc:AlternateContent>
        <mc:Choice Requires="wps">
          <w:drawing>
            <wp:anchor distT="0" distB="0" distL="114300" distR="114300" simplePos="0" relativeHeight="251659267" behindDoc="0" locked="0" layoutInCell="0" allowOverlap="1" wp14:anchorId="236398C5" wp14:editId="0F5B9B2C">
              <wp:simplePos x="0" y="0"/>
              <wp:positionH relativeFrom="page">
                <wp:posOffset>0</wp:posOffset>
              </wp:positionH>
              <wp:positionV relativeFrom="page">
                <wp:posOffset>10189210</wp:posOffset>
              </wp:positionV>
              <wp:extent cx="7560310" cy="311785"/>
              <wp:effectExtent l="0" t="0" r="0" b="12065"/>
              <wp:wrapNone/>
              <wp:docPr id="1" name="MSIPCMa08047829688e34255c2d8e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67C91" w14:textId="35F7A44E" w:rsidR="00B2304B" w:rsidRPr="00B2304B" w:rsidRDefault="00B2304B" w:rsidP="00B2304B">
                          <w:pPr>
                            <w:spacing w:after="0"/>
                            <w:jc w:val="center"/>
                            <w:rPr>
                              <w:rFonts w:ascii="Arial Black" w:hAnsi="Arial Black"/>
                              <w:color w:val="000000"/>
                              <w:sz w:val="20"/>
                            </w:rPr>
                          </w:pPr>
                          <w:r w:rsidRPr="00B2304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6398C5" id="_x0000_t202" coordsize="21600,21600" o:spt="202" path="m,l,21600r21600,l21600,xe">
              <v:stroke joinstyle="miter"/>
              <v:path gradientshapeok="t" o:connecttype="rect"/>
            </v:shapetype>
            <v:shape id="MSIPCMa08047829688e34255c2d8ef"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4BD67C91" w14:textId="35F7A44E" w:rsidR="00B2304B" w:rsidRPr="00B2304B" w:rsidRDefault="00B2304B" w:rsidP="00B2304B">
                    <w:pPr>
                      <w:spacing w:after="0"/>
                      <w:jc w:val="center"/>
                      <w:rPr>
                        <w:rFonts w:ascii="Arial Black" w:hAnsi="Arial Black"/>
                        <w:color w:val="000000"/>
                        <w:sz w:val="20"/>
                      </w:rPr>
                    </w:pPr>
                    <w:r w:rsidRPr="00B2304B">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19406B5B" wp14:editId="5763321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3856065" wp14:editId="7ECFB37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1D7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856065"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131D7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9F53" w14:textId="25B23A9E" w:rsidR="00E261B3" w:rsidRDefault="00B2304B">
    <w:pPr>
      <w:pStyle w:val="Footer"/>
    </w:pPr>
    <w:r>
      <w:rPr>
        <w:noProof/>
      </w:rPr>
      <mc:AlternateContent>
        <mc:Choice Requires="wps">
          <w:drawing>
            <wp:anchor distT="0" distB="0" distL="114300" distR="114300" simplePos="1" relativeHeight="251660291" behindDoc="0" locked="0" layoutInCell="0" allowOverlap="1" wp14:anchorId="417F774C" wp14:editId="6B20F94E">
              <wp:simplePos x="0" y="10189687"/>
              <wp:positionH relativeFrom="page">
                <wp:posOffset>0</wp:posOffset>
              </wp:positionH>
              <wp:positionV relativeFrom="page">
                <wp:posOffset>10189210</wp:posOffset>
              </wp:positionV>
              <wp:extent cx="7560310" cy="311785"/>
              <wp:effectExtent l="0" t="0" r="0" b="12065"/>
              <wp:wrapNone/>
              <wp:docPr id="3" name="MSIPCM502d4ad0aeff83f55f39266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FF5F1" w14:textId="11C98C14" w:rsidR="00B2304B" w:rsidRPr="00B2304B" w:rsidRDefault="00B2304B" w:rsidP="00B2304B">
                          <w:pPr>
                            <w:spacing w:after="0"/>
                            <w:jc w:val="center"/>
                            <w:rPr>
                              <w:rFonts w:ascii="Arial Black" w:hAnsi="Arial Black"/>
                              <w:color w:val="000000"/>
                              <w:sz w:val="20"/>
                            </w:rPr>
                          </w:pPr>
                          <w:r w:rsidRPr="00B2304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7F774C" id="_x0000_t202" coordsize="21600,21600" o:spt="202" path="m,l,21600r21600,l21600,xe">
              <v:stroke joinstyle="miter"/>
              <v:path gradientshapeok="t" o:connecttype="rect"/>
            </v:shapetype>
            <v:shape id="MSIPCM502d4ad0aeff83f55f39266e"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209FF5F1" w14:textId="11C98C14" w:rsidR="00B2304B" w:rsidRPr="00B2304B" w:rsidRDefault="00B2304B" w:rsidP="00B2304B">
                    <w:pPr>
                      <w:spacing w:after="0"/>
                      <w:jc w:val="center"/>
                      <w:rPr>
                        <w:rFonts w:ascii="Arial Black" w:hAnsi="Arial Black"/>
                        <w:color w:val="000000"/>
                        <w:sz w:val="20"/>
                      </w:rPr>
                    </w:pPr>
                    <w:r w:rsidRPr="00B2304B">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0124E5F4" wp14:editId="7F966FB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87A80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24E5F4"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D87A80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7A54" w14:textId="554BBAFC" w:rsidR="00373890" w:rsidRPr="00F65AA9" w:rsidRDefault="00B2304B" w:rsidP="00F84FA0">
    <w:pPr>
      <w:pStyle w:val="Footer"/>
    </w:pPr>
    <w:r>
      <w:rPr>
        <w:noProof/>
      </w:rPr>
      <mc:AlternateContent>
        <mc:Choice Requires="wps">
          <w:drawing>
            <wp:anchor distT="0" distB="0" distL="114300" distR="114300" simplePos="0" relativeHeight="251661315" behindDoc="0" locked="0" layoutInCell="0" allowOverlap="1" wp14:anchorId="55513993" wp14:editId="38221702">
              <wp:simplePos x="0" y="0"/>
              <wp:positionH relativeFrom="page">
                <wp:posOffset>0</wp:posOffset>
              </wp:positionH>
              <wp:positionV relativeFrom="page">
                <wp:posOffset>10189210</wp:posOffset>
              </wp:positionV>
              <wp:extent cx="7560310" cy="311785"/>
              <wp:effectExtent l="0" t="0" r="0" b="12065"/>
              <wp:wrapNone/>
              <wp:docPr id="4" name="MSIPCMe09445d689b8e3ce31d0fea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EC1C1C" w14:textId="25F9FC6E" w:rsidR="00B2304B" w:rsidRPr="00B2304B" w:rsidRDefault="00B2304B" w:rsidP="00B2304B">
                          <w:pPr>
                            <w:spacing w:after="0"/>
                            <w:jc w:val="center"/>
                            <w:rPr>
                              <w:rFonts w:ascii="Arial Black" w:hAnsi="Arial Black"/>
                              <w:color w:val="000000"/>
                              <w:sz w:val="20"/>
                            </w:rPr>
                          </w:pPr>
                          <w:r w:rsidRPr="00B2304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513993" id="_x0000_t202" coordsize="21600,21600" o:spt="202" path="m,l,21600r21600,l21600,xe">
              <v:stroke joinstyle="miter"/>
              <v:path gradientshapeok="t" o:connecttype="rect"/>
            </v:shapetype>
            <v:shape id="MSIPCMe09445d689b8e3ce31d0fea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131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0EC1C1C" w14:textId="25F9FC6E" w:rsidR="00B2304B" w:rsidRPr="00B2304B" w:rsidRDefault="00B2304B" w:rsidP="00B2304B">
                    <w:pPr>
                      <w:spacing w:after="0"/>
                      <w:jc w:val="center"/>
                      <w:rPr>
                        <w:rFonts w:ascii="Arial Black" w:hAnsi="Arial Black"/>
                        <w:color w:val="000000"/>
                        <w:sz w:val="20"/>
                      </w:rPr>
                    </w:pPr>
                    <w:r w:rsidRPr="00B2304B">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4948DAE2" wp14:editId="0B01EAD8">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5E69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48DAE2"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E85E69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65E4" w14:textId="77777777" w:rsidR="00CF1E5D" w:rsidRDefault="00CF1E5D" w:rsidP="002862F1">
      <w:pPr>
        <w:spacing w:before="120"/>
      </w:pPr>
      <w:r>
        <w:separator/>
      </w:r>
    </w:p>
  </w:footnote>
  <w:footnote w:type="continuationSeparator" w:id="0">
    <w:p w14:paraId="7F638CEA" w14:textId="77777777" w:rsidR="00CF1E5D" w:rsidRDefault="00CF1E5D">
      <w:r>
        <w:continuationSeparator/>
      </w:r>
    </w:p>
  </w:footnote>
  <w:footnote w:type="continuationNotice" w:id="1">
    <w:p w14:paraId="13CA170F" w14:textId="77777777" w:rsidR="00CF1E5D" w:rsidRDefault="00CF1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29A7" w14:textId="77777777" w:rsidR="002D350D" w:rsidRDefault="002D3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4466" w14:textId="6D97C93F"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F5C3" w14:textId="77777777" w:rsidR="002D350D" w:rsidRDefault="002D35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0FE7" w14:textId="58AC0C3E" w:rsidR="008A095F" w:rsidRDefault="008A09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9F5E" w14:textId="5B5E92A5"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2042" w14:textId="7310702B" w:rsidR="008A095F" w:rsidRDefault="008A09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45F4" w14:textId="094BEC38" w:rsidR="008A095F" w:rsidRDefault="008A09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A5A9" w14:textId="40B1D6E4" w:rsidR="008A095F" w:rsidRDefault="008A09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18D9" w14:textId="562CA1E7" w:rsidR="008A095F" w:rsidRDefault="008A0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28F3661"/>
    <w:multiLevelType w:val="multilevel"/>
    <w:tmpl w:val="19506728"/>
    <w:lvl w:ilvl="0">
      <w:start w:val="1"/>
      <w:numFmt w:val="bullet"/>
      <w:lvlText w:val="-"/>
      <w:lvlJc w:val="left"/>
      <w:pPr>
        <w:ind w:left="284" w:hanging="284"/>
      </w:pPr>
      <w:rPr>
        <w:rFonts w:ascii="Arial" w:hAnsi="Aria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4F12570"/>
    <w:multiLevelType w:val="hybridMultilevel"/>
    <w:tmpl w:val="9A344978"/>
    <w:lvl w:ilvl="0" w:tplc="E83CE204">
      <w:start w:val="1"/>
      <w:numFmt w:val="bullet"/>
      <w:lvlText w:val="·"/>
      <w:lvlJc w:val="left"/>
      <w:pPr>
        <w:ind w:left="720" w:hanging="360"/>
      </w:pPr>
      <w:rPr>
        <w:rFonts w:ascii="Symbol" w:hAnsi="Symbol" w:hint="default"/>
      </w:rPr>
    </w:lvl>
    <w:lvl w:ilvl="1" w:tplc="720EED94">
      <w:start w:val="1"/>
      <w:numFmt w:val="bullet"/>
      <w:lvlText w:val="o"/>
      <w:lvlJc w:val="left"/>
      <w:pPr>
        <w:ind w:left="1440" w:hanging="360"/>
      </w:pPr>
      <w:rPr>
        <w:rFonts w:ascii="Courier New" w:hAnsi="Courier New" w:hint="default"/>
      </w:rPr>
    </w:lvl>
    <w:lvl w:ilvl="2" w:tplc="E3FE4508">
      <w:start w:val="1"/>
      <w:numFmt w:val="bullet"/>
      <w:lvlText w:val=""/>
      <w:lvlJc w:val="left"/>
      <w:pPr>
        <w:ind w:left="2160" w:hanging="360"/>
      </w:pPr>
      <w:rPr>
        <w:rFonts w:ascii="Wingdings" w:hAnsi="Wingdings" w:hint="default"/>
      </w:rPr>
    </w:lvl>
    <w:lvl w:ilvl="3" w:tplc="CA720382">
      <w:start w:val="1"/>
      <w:numFmt w:val="bullet"/>
      <w:lvlText w:val=""/>
      <w:lvlJc w:val="left"/>
      <w:pPr>
        <w:ind w:left="2880" w:hanging="360"/>
      </w:pPr>
      <w:rPr>
        <w:rFonts w:ascii="Symbol" w:hAnsi="Symbol" w:hint="default"/>
      </w:rPr>
    </w:lvl>
    <w:lvl w:ilvl="4" w:tplc="080C25D6">
      <w:start w:val="1"/>
      <w:numFmt w:val="bullet"/>
      <w:lvlText w:val="o"/>
      <w:lvlJc w:val="left"/>
      <w:pPr>
        <w:ind w:left="3600" w:hanging="360"/>
      </w:pPr>
      <w:rPr>
        <w:rFonts w:ascii="Courier New" w:hAnsi="Courier New" w:hint="default"/>
      </w:rPr>
    </w:lvl>
    <w:lvl w:ilvl="5" w:tplc="F6EE9438">
      <w:start w:val="1"/>
      <w:numFmt w:val="bullet"/>
      <w:lvlText w:val=""/>
      <w:lvlJc w:val="left"/>
      <w:pPr>
        <w:ind w:left="4320" w:hanging="360"/>
      </w:pPr>
      <w:rPr>
        <w:rFonts w:ascii="Wingdings" w:hAnsi="Wingdings" w:hint="default"/>
      </w:rPr>
    </w:lvl>
    <w:lvl w:ilvl="6" w:tplc="A89C03FE">
      <w:start w:val="1"/>
      <w:numFmt w:val="bullet"/>
      <w:lvlText w:val=""/>
      <w:lvlJc w:val="left"/>
      <w:pPr>
        <w:ind w:left="5040" w:hanging="360"/>
      </w:pPr>
      <w:rPr>
        <w:rFonts w:ascii="Symbol" w:hAnsi="Symbol" w:hint="default"/>
      </w:rPr>
    </w:lvl>
    <w:lvl w:ilvl="7" w:tplc="A732B242">
      <w:start w:val="1"/>
      <w:numFmt w:val="bullet"/>
      <w:lvlText w:val="o"/>
      <w:lvlJc w:val="left"/>
      <w:pPr>
        <w:ind w:left="5760" w:hanging="360"/>
      </w:pPr>
      <w:rPr>
        <w:rFonts w:ascii="Courier New" w:hAnsi="Courier New" w:hint="default"/>
      </w:rPr>
    </w:lvl>
    <w:lvl w:ilvl="8" w:tplc="15DE414E">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C71C78"/>
    <w:multiLevelType w:val="hybridMultilevel"/>
    <w:tmpl w:val="A1DA9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C658BD"/>
    <w:multiLevelType w:val="hybridMultilevel"/>
    <w:tmpl w:val="BDC827CE"/>
    <w:lvl w:ilvl="0" w:tplc="955A4D10">
      <w:start w:val="1"/>
      <w:numFmt w:val="bullet"/>
      <w:lvlText w:val="·"/>
      <w:lvlJc w:val="left"/>
      <w:pPr>
        <w:ind w:left="720" w:hanging="360"/>
      </w:pPr>
      <w:rPr>
        <w:rFonts w:ascii="Symbol" w:hAnsi="Symbol" w:hint="default"/>
      </w:rPr>
    </w:lvl>
    <w:lvl w:ilvl="1" w:tplc="B7ACBF0C">
      <w:start w:val="1"/>
      <w:numFmt w:val="bullet"/>
      <w:lvlText w:val="o"/>
      <w:lvlJc w:val="left"/>
      <w:pPr>
        <w:ind w:left="1440" w:hanging="360"/>
      </w:pPr>
      <w:rPr>
        <w:rFonts w:ascii="Courier New" w:hAnsi="Courier New" w:hint="default"/>
      </w:rPr>
    </w:lvl>
    <w:lvl w:ilvl="2" w:tplc="E61C7F90">
      <w:start w:val="1"/>
      <w:numFmt w:val="bullet"/>
      <w:lvlText w:val=""/>
      <w:lvlJc w:val="left"/>
      <w:pPr>
        <w:ind w:left="2160" w:hanging="360"/>
      </w:pPr>
      <w:rPr>
        <w:rFonts w:ascii="Wingdings" w:hAnsi="Wingdings" w:hint="default"/>
      </w:rPr>
    </w:lvl>
    <w:lvl w:ilvl="3" w:tplc="351CD61E">
      <w:start w:val="1"/>
      <w:numFmt w:val="bullet"/>
      <w:lvlText w:val=""/>
      <w:lvlJc w:val="left"/>
      <w:pPr>
        <w:ind w:left="2880" w:hanging="360"/>
      </w:pPr>
      <w:rPr>
        <w:rFonts w:ascii="Symbol" w:hAnsi="Symbol" w:hint="default"/>
      </w:rPr>
    </w:lvl>
    <w:lvl w:ilvl="4" w:tplc="CAD6FA4C">
      <w:start w:val="1"/>
      <w:numFmt w:val="bullet"/>
      <w:lvlText w:val="o"/>
      <w:lvlJc w:val="left"/>
      <w:pPr>
        <w:ind w:left="3600" w:hanging="360"/>
      </w:pPr>
      <w:rPr>
        <w:rFonts w:ascii="Courier New" w:hAnsi="Courier New" w:hint="default"/>
      </w:rPr>
    </w:lvl>
    <w:lvl w:ilvl="5" w:tplc="C6D6A9EC">
      <w:start w:val="1"/>
      <w:numFmt w:val="bullet"/>
      <w:lvlText w:val=""/>
      <w:lvlJc w:val="left"/>
      <w:pPr>
        <w:ind w:left="4320" w:hanging="360"/>
      </w:pPr>
      <w:rPr>
        <w:rFonts w:ascii="Wingdings" w:hAnsi="Wingdings" w:hint="default"/>
      </w:rPr>
    </w:lvl>
    <w:lvl w:ilvl="6" w:tplc="3B5ED08E">
      <w:start w:val="1"/>
      <w:numFmt w:val="bullet"/>
      <w:lvlText w:val=""/>
      <w:lvlJc w:val="left"/>
      <w:pPr>
        <w:ind w:left="5040" w:hanging="360"/>
      </w:pPr>
      <w:rPr>
        <w:rFonts w:ascii="Symbol" w:hAnsi="Symbol" w:hint="default"/>
      </w:rPr>
    </w:lvl>
    <w:lvl w:ilvl="7" w:tplc="6866700C">
      <w:start w:val="1"/>
      <w:numFmt w:val="bullet"/>
      <w:lvlText w:val="o"/>
      <w:lvlJc w:val="left"/>
      <w:pPr>
        <w:ind w:left="5760" w:hanging="360"/>
      </w:pPr>
      <w:rPr>
        <w:rFonts w:ascii="Courier New" w:hAnsi="Courier New" w:hint="default"/>
      </w:rPr>
    </w:lvl>
    <w:lvl w:ilvl="8" w:tplc="DB9A3EEA">
      <w:start w:val="1"/>
      <w:numFmt w:val="bullet"/>
      <w:lvlText w:val=""/>
      <w:lvlJc w:val="left"/>
      <w:pPr>
        <w:ind w:left="6480" w:hanging="360"/>
      </w:pPr>
      <w:rPr>
        <w:rFonts w:ascii="Wingdings" w:hAnsi="Wingdings" w:hint="default"/>
      </w:rPr>
    </w:lvl>
  </w:abstractNum>
  <w:abstractNum w:abstractNumId="20" w15:restartNumberingAfterBreak="0">
    <w:nsid w:val="34C12BD5"/>
    <w:multiLevelType w:val="hybridMultilevel"/>
    <w:tmpl w:val="28965F9E"/>
    <w:lvl w:ilvl="0" w:tplc="AFBEAB1C">
      <w:start w:val="1"/>
      <w:numFmt w:val="bullet"/>
      <w:lvlText w:val="·"/>
      <w:lvlJc w:val="left"/>
      <w:pPr>
        <w:ind w:left="720" w:hanging="360"/>
      </w:pPr>
      <w:rPr>
        <w:rFonts w:ascii="Symbol" w:hAnsi="Symbol" w:hint="default"/>
      </w:rPr>
    </w:lvl>
    <w:lvl w:ilvl="1" w:tplc="F4342A46">
      <w:start w:val="1"/>
      <w:numFmt w:val="bullet"/>
      <w:lvlText w:val="o"/>
      <w:lvlJc w:val="left"/>
      <w:pPr>
        <w:ind w:left="1440" w:hanging="360"/>
      </w:pPr>
      <w:rPr>
        <w:rFonts w:ascii="Courier New" w:hAnsi="Courier New" w:hint="default"/>
      </w:rPr>
    </w:lvl>
    <w:lvl w:ilvl="2" w:tplc="03E0E31A">
      <w:start w:val="1"/>
      <w:numFmt w:val="bullet"/>
      <w:lvlText w:val=""/>
      <w:lvlJc w:val="left"/>
      <w:pPr>
        <w:ind w:left="2160" w:hanging="360"/>
      </w:pPr>
      <w:rPr>
        <w:rFonts w:ascii="Wingdings" w:hAnsi="Wingdings" w:hint="default"/>
      </w:rPr>
    </w:lvl>
    <w:lvl w:ilvl="3" w:tplc="F8ACA670">
      <w:start w:val="1"/>
      <w:numFmt w:val="bullet"/>
      <w:lvlText w:val=""/>
      <w:lvlJc w:val="left"/>
      <w:pPr>
        <w:ind w:left="2880" w:hanging="360"/>
      </w:pPr>
      <w:rPr>
        <w:rFonts w:ascii="Symbol" w:hAnsi="Symbol" w:hint="default"/>
      </w:rPr>
    </w:lvl>
    <w:lvl w:ilvl="4" w:tplc="83548C40">
      <w:start w:val="1"/>
      <w:numFmt w:val="bullet"/>
      <w:lvlText w:val="o"/>
      <w:lvlJc w:val="left"/>
      <w:pPr>
        <w:ind w:left="3600" w:hanging="360"/>
      </w:pPr>
      <w:rPr>
        <w:rFonts w:ascii="Courier New" w:hAnsi="Courier New" w:hint="default"/>
      </w:rPr>
    </w:lvl>
    <w:lvl w:ilvl="5" w:tplc="E4D67B96">
      <w:start w:val="1"/>
      <w:numFmt w:val="bullet"/>
      <w:lvlText w:val=""/>
      <w:lvlJc w:val="left"/>
      <w:pPr>
        <w:ind w:left="4320" w:hanging="360"/>
      </w:pPr>
      <w:rPr>
        <w:rFonts w:ascii="Wingdings" w:hAnsi="Wingdings" w:hint="default"/>
      </w:rPr>
    </w:lvl>
    <w:lvl w:ilvl="6" w:tplc="97A636D2">
      <w:start w:val="1"/>
      <w:numFmt w:val="bullet"/>
      <w:lvlText w:val=""/>
      <w:lvlJc w:val="left"/>
      <w:pPr>
        <w:ind w:left="5040" w:hanging="360"/>
      </w:pPr>
      <w:rPr>
        <w:rFonts w:ascii="Symbol" w:hAnsi="Symbol" w:hint="default"/>
      </w:rPr>
    </w:lvl>
    <w:lvl w:ilvl="7" w:tplc="756C4DA0">
      <w:start w:val="1"/>
      <w:numFmt w:val="bullet"/>
      <w:lvlText w:val="o"/>
      <w:lvlJc w:val="left"/>
      <w:pPr>
        <w:ind w:left="5760" w:hanging="360"/>
      </w:pPr>
      <w:rPr>
        <w:rFonts w:ascii="Courier New" w:hAnsi="Courier New" w:hint="default"/>
      </w:rPr>
    </w:lvl>
    <w:lvl w:ilvl="8" w:tplc="582AC9BE">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6FAFBFF"/>
    <w:multiLevelType w:val="hybridMultilevel"/>
    <w:tmpl w:val="C00AE616"/>
    <w:lvl w:ilvl="0" w:tplc="94841614">
      <w:start w:val="1"/>
      <w:numFmt w:val="bullet"/>
      <w:lvlText w:val="·"/>
      <w:lvlJc w:val="left"/>
      <w:pPr>
        <w:ind w:left="720" w:hanging="360"/>
      </w:pPr>
      <w:rPr>
        <w:rFonts w:ascii="Symbol" w:hAnsi="Symbol" w:hint="default"/>
      </w:rPr>
    </w:lvl>
    <w:lvl w:ilvl="1" w:tplc="6B30822E">
      <w:start w:val="1"/>
      <w:numFmt w:val="bullet"/>
      <w:lvlText w:val="o"/>
      <w:lvlJc w:val="left"/>
      <w:pPr>
        <w:ind w:left="1440" w:hanging="360"/>
      </w:pPr>
      <w:rPr>
        <w:rFonts w:ascii="Courier New" w:hAnsi="Courier New" w:hint="default"/>
      </w:rPr>
    </w:lvl>
    <w:lvl w:ilvl="2" w:tplc="ADC4EA14">
      <w:start w:val="1"/>
      <w:numFmt w:val="bullet"/>
      <w:lvlText w:val=""/>
      <w:lvlJc w:val="left"/>
      <w:pPr>
        <w:ind w:left="2160" w:hanging="360"/>
      </w:pPr>
      <w:rPr>
        <w:rFonts w:ascii="Wingdings" w:hAnsi="Wingdings" w:hint="default"/>
      </w:rPr>
    </w:lvl>
    <w:lvl w:ilvl="3" w:tplc="AC083524">
      <w:start w:val="1"/>
      <w:numFmt w:val="bullet"/>
      <w:lvlText w:val=""/>
      <w:lvlJc w:val="left"/>
      <w:pPr>
        <w:ind w:left="2880" w:hanging="360"/>
      </w:pPr>
      <w:rPr>
        <w:rFonts w:ascii="Symbol" w:hAnsi="Symbol" w:hint="default"/>
      </w:rPr>
    </w:lvl>
    <w:lvl w:ilvl="4" w:tplc="343AF90E">
      <w:start w:val="1"/>
      <w:numFmt w:val="bullet"/>
      <w:lvlText w:val="o"/>
      <w:lvlJc w:val="left"/>
      <w:pPr>
        <w:ind w:left="3600" w:hanging="360"/>
      </w:pPr>
      <w:rPr>
        <w:rFonts w:ascii="Courier New" w:hAnsi="Courier New" w:hint="default"/>
      </w:rPr>
    </w:lvl>
    <w:lvl w:ilvl="5" w:tplc="498C09C2">
      <w:start w:val="1"/>
      <w:numFmt w:val="bullet"/>
      <w:lvlText w:val=""/>
      <w:lvlJc w:val="left"/>
      <w:pPr>
        <w:ind w:left="4320" w:hanging="360"/>
      </w:pPr>
      <w:rPr>
        <w:rFonts w:ascii="Wingdings" w:hAnsi="Wingdings" w:hint="default"/>
      </w:rPr>
    </w:lvl>
    <w:lvl w:ilvl="6" w:tplc="CFC2CFD4">
      <w:start w:val="1"/>
      <w:numFmt w:val="bullet"/>
      <w:lvlText w:val=""/>
      <w:lvlJc w:val="left"/>
      <w:pPr>
        <w:ind w:left="5040" w:hanging="360"/>
      </w:pPr>
      <w:rPr>
        <w:rFonts w:ascii="Symbol" w:hAnsi="Symbol" w:hint="default"/>
      </w:rPr>
    </w:lvl>
    <w:lvl w:ilvl="7" w:tplc="9C4C7F4E">
      <w:start w:val="1"/>
      <w:numFmt w:val="bullet"/>
      <w:lvlText w:val="o"/>
      <w:lvlJc w:val="left"/>
      <w:pPr>
        <w:ind w:left="5760" w:hanging="360"/>
      </w:pPr>
      <w:rPr>
        <w:rFonts w:ascii="Courier New" w:hAnsi="Courier New" w:hint="default"/>
      </w:rPr>
    </w:lvl>
    <w:lvl w:ilvl="8" w:tplc="54A46B1C">
      <w:start w:val="1"/>
      <w:numFmt w:val="bullet"/>
      <w:lvlText w:val=""/>
      <w:lvlJc w:val="left"/>
      <w:pPr>
        <w:ind w:left="6480" w:hanging="360"/>
      </w:pPr>
      <w:rPr>
        <w:rFonts w:ascii="Wingdings" w:hAnsi="Wingding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7743343">
    <w:abstractNumId w:val="16"/>
  </w:num>
  <w:num w:numId="2" w16cid:durableId="1177190133">
    <w:abstractNumId w:val="30"/>
  </w:num>
  <w:num w:numId="3" w16cid:durableId="620383851">
    <w:abstractNumId w:val="20"/>
  </w:num>
  <w:num w:numId="4" w16cid:durableId="196427887">
    <w:abstractNumId w:val="19"/>
  </w:num>
  <w:num w:numId="5" w16cid:durableId="1466658835">
    <w:abstractNumId w:val="10"/>
  </w:num>
  <w:num w:numId="6" w16cid:durableId="1254319796">
    <w:abstractNumId w:val="22"/>
  </w:num>
  <w:num w:numId="7" w16cid:durableId="1914050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6674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56070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81140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6704490">
    <w:abstractNumId w:val="26"/>
  </w:num>
  <w:num w:numId="12" w16cid:durableId="1317879730">
    <w:abstractNumId w:val="21"/>
  </w:num>
  <w:num w:numId="13" w16cid:durableId="760491497">
    <w:abstractNumId w:val="25"/>
  </w:num>
  <w:num w:numId="14" w16cid:durableId="18215309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7691299">
    <w:abstractNumId w:val="27"/>
  </w:num>
  <w:num w:numId="16" w16cid:durableId="17644526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3902801">
    <w:abstractNumId w:val="23"/>
  </w:num>
  <w:num w:numId="18" w16cid:durableId="13735797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95998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40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78182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7894411">
    <w:abstractNumId w:val="29"/>
  </w:num>
  <w:num w:numId="23" w16cid:durableId="2507729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4378829">
    <w:abstractNumId w:val="14"/>
  </w:num>
  <w:num w:numId="25" w16cid:durableId="1577090660">
    <w:abstractNumId w:val="12"/>
  </w:num>
  <w:num w:numId="26" w16cid:durableId="185217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3388784">
    <w:abstractNumId w:val="17"/>
  </w:num>
  <w:num w:numId="28" w16cid:durableId="1364936056">
    <w:abstractNumId w:val="31"/>
  </w:num>
  <w:num w:numId="29" w16cid:durableId="1697385716">
    <w:abstractNumId w:val="28"/>
  </w:num>
  <w:num w:numId="30" w16cid:durableId="571739112">
    <w:abstractNumId w:val="24"/>
  </w:num>
  <w:num w:numId="31" w16cid:durableId="2095008437">
    <w:abstractNumId w:val="11"/>
  </w:num>
  <w:num w:numId="32" w16cid:durableId="1663046109">
    <w:abstractNumId w:val="32"/>
  </w:num>
  <w:num w:numId="33" w16cid:durableId="1328098862">
    <w:abstractNumId w:val="9"/>
  </w:num>
  <w:num w:numId="34" w16cid:durableId="956453068">
    <w:abstractNumId w:val="7"/>
  </w:num>
  <w:num w:numId="35" w16cid:durableId="143544428">
    <w:abstractNumId w:val="6"/>
  </w:num>
  <w:num w:numId="36" w16cid:durableId="2031564770">
    <w:abstractNumId w:val="5"/>
  </w:num>
  <w:num w:numId="37" w16cid:durableId="1721630863">
    <w:abstractNumId w:val="4"/>
  </w:num>
  <w:num w:numId="38" w16cid:durableId="1568766560">
    <w:abstractNumId w:val="8"/>
  </w:num>
  <w:num w:numId="39" w16cid:durableId="1439638155">
    <w:abstractNumId w:val="3"/>
  </w:num>
  <w:num w:numId="40" w16cid:durableId="1842158144">
    <w:abstractNumId w:val="2"/>
  </w:num>
  <w:num w:numId="41" w16cid:durableId="327095076">
    <w:abstractNumId w:val="1"/>
  </w:num>
  <w:num w:numId="42" w16cid:durableId="416287343">
    <w:abstractNumId w:val="0"/>
  </w:num>
  <w:num w:numId="43" w16cid:durableId="1875345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5331046">
    <w:abstractNumId w:val="18"/>
  </w:num>
  <w:num w:numId="45" w16cid:durableId="172825611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1E"/>
    <w:rsid w:val="00000719"/>
    <w:rsid w:val="00003403"/>
    <w:rsid w:val="00005347"/>
    <w:rsid w:val="000072B6"/>
    <w:rsid w:val="0001021B"/>
    <w:rsid w:val="00011D89"/>
    <w:rsid w:val="000149AB"/>
    <w:rsid w:val="000154FD"/>
    <w:rsid w:val="00016FBF"/>
    <w:rsid w:val="00020E64"/>
    <w:rsid w:val="00022271"/>
    <w:rsid w:val="000235E8"/>
    <w:rsid w:val="00024D89"/>
    <w:rsid w:val="000250B6"/>
    <w:rsid w:val="000324BA"/>
    <w:rsid w:val="00033D81"/>
    <w:rsid w:val="000353A7"/>
    <w:rsid w:val="00037366"/>
    <w:rsid w:val="00041BF0"/>
    <w:rsid w:val="00042C8A"/>
    <w:rsid w:val="0004536B"/>
    <w:rsid w:val="00046B68"/>
    <w:rsid w:val="000527DD"/>
    <w:rsid w:val="00055893"/>
    <w:rsid w:val="000578B2"/>
    <w:rsid w:val="00060959"/>
    <w:rsid w:val="00060C8F"/>
    <w:rsid w:val="0006298A"/>
    <w:rsid w:val="000663CD"/>
    <w:rsid w:val="00071714"/>
    <w:rsid w:val="000733FE"/>
    <w:rsid w:val="00074219"/>
    <w:rsid w:val="00074ED5"/>
    <w:rsid w:val="000835C6"/>
    <w:rsid w:val="0008508E"/>
    <w:rsid w:val="00087951"/>
    <w:rsid w:val="00090528"/>
    <w:rsid w:val="0009113B"/>
    <w:rsid w:val="00091676"/>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2FC4"/>
    <w:rsid w:val="000C42EA"/>
    <w:rsid w:val="000C4546"/>
    <w:rsid w:val="000C50CE"/>
    <w:rsid w:val="000D1242"/>
    <w:rsid w:val="000E0970"/>
    <w:rsid w:val="000E1910"/>
    <w:rsid w:val="000E28D2"/>
    <w:rsid w:val="000E3CC7"/>
    <w:rsid w:val="000E6BD4"/>
    <w:rsid w:val="000E6D6D"/>
    <w:rsid w:val="000E6FFC"/>
    <w:rsid w:val="000F1048"/>
    <w:rsid w:val="000F1F1E"/>
    <w:rsid w:val="000F2259"/>
    <w:rsid w:val="000F2DDA"/>
    <w:rsid w:val="000F5213"/>
    <w:rsid w:val="000F6E22"/>
    <w:rsid w:val="00101001"/>
    <w:rsid w:val="00103276"/>
    <w:rsid w:val="0010392D"/>
    <w:rsid w:val="0010447F"/>
    <w:rsid w:val="00104FE3"/>
    <w:rsid w:val="0010714F"/>
    <w:rsid w:val="001120C5"/>
    <w:rsid w:val="0011701A"/>
    <w:rsid w:val="00120BD3"/>
    <w:rsid w:val="00122FEA"/>
    <w:rsid w:val="001232BD"/>
    <w:rsid w:val="00123E68"/>
    <w:rsid w:val="00124ED5"/>
    <w:rsid w:val="001276FA"/>
    <w:rsid w:val="00141694"/>
    <w:rsid w:val="0014243E"/>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05E9"/>
    <w:rsid w:val="001A1950"/>
    <w:rsid w:val="001A1C54"/>
    <w:rsid w:val="001A3ACE"/>
    <w:rsid w:val="001B058F"/>
    <w:rsid w:val="001B0C03"/>
    <w:rsid w:val="001B4612"/>
    <w:rsid w:val="001B54EA"/>
    <w:rsid w:val="001B738B"/>
    <w:rsid w:val="001C09DB"/>
    <w:rsid w:val="001C277E"/>
    <w:rsid w:val="001C2A72"/>
    <w:rsid w:val="001C31B7"/>
    <w:rsid w:val="001D0B75"/>
    <w:rsid w:val="001D39A5"/>
    <w:rsid w:val="001D3C09"/>
    <w:rsid w:val="001D44E8"/>
    <w:rsid w:val="001D5D56"/>
    <w:rsid w:val="001D60EC"/>
    <w:rsid w:val="001D6F59"/>
    <w:rsid w:val="001E0C5D"/>
    <w:rsid w:val="001E1009"/>
    <w:rsid w:val="001E2A36"/>
    <w:rsid w:val="001E44DF"/>
    <w:rsid w:val="001E5058"/>
    <w:rsid w:val="001E68A5"/>
    <w:rsid w:val="001E6BB0"/>
    <w:rsid w:val="001E7282"/>
    <w:rsid w:val="001F37FC"/>
    <w:rsid w:val="001F3826"/>
    <w:rsid w:val="001F38C7"/>
    <w:rsid w:val="001F6BAF"/>
    <w:rsid w:val="001F6E46"/>
    <w:rsid w:val="001F7186"/>
    <w:rsid w:val="001F7C91"/>
    <w:rsid w:val="00200176"/>
    <w:rsid w:val="002033B7"/>
    <w:rsid w:val="00206463"/>
    <w:rsid w:val="00206F2F"/>
    <w:rsid w:val="0021053D"/>
    <w:rsid w:val="00210A92"/>
    <w:rsid w:val="00212D2A"/>
    <w:rsid w:val="00216C03"/>
    <w:rsid w:val="00220C04"/>
    <w:rsid w:val="0022273A"/>
    <w:rsid w:val="0022278D"/>
    <w:rsid w:val="00222DEF"/>
    <w:rsid w:val="0022571D"/>
    <w:rsid w:val="0022701F"/>
    <w:rsid w:val="00227C68"/>
    <w:rsid w:val="00232EB0"/>
    <w:rsid w:val="002333F5"/>
    <w:rsid w:val="00233724"/>
    <w:rsid w:val="00233ECF"/>
    <w:rsid w:val="002365B4"/>
    <w:rsid w:val="002432E1"/>
    <w:rsid w:val="00244108"/>
    <w:rsid w:val="00246207"/>
    <w:rsid w:val="00246C5E"/>
    <w:rsid w:val="00250960"/>
    <w:rsid w:val="00251343"/>
    <w:rsid w:val="002536A4"/>
    <w:rsid w:val="002547F3"/>
    <w:rsid w:val="00254F58"/>
    <w:rsid w:val="002620BC"/>
    <w:rsid w:val="00262802"/>
    <w:rsid w:val="00263A90"/>
    <w:rsid w:val="00263C1F"/>
    <w:rsid w:val="0026408B"/>
    <w:rsid w:val="00264441"/>
    <w:rsid w:val="00267C3E"/>
    <w:rsid w:val="002709BB"/>
    <w:rsid w:val="0027113F"/>
    <w:rsid w:val="00273BAC"/>
    <w:rsid w:val="00274B98"/>
    <w:rsid w:val="002763B3"/>
    <w:rsid w:val="002802E3"/>
    <w:rsid w:val="0028213D"/>
    <w:rsid w:val="002862F1"/>
    <w:rsid w:val="00291373"/>
    <w:rsid w:val="0029597D"/>
    <w:rsid w:val="002962C3"/>
    <w:rsid w:val="0029752B"/>
    <w:rsid w:val="002A0A9C"/>
    <w:rsid w:val="002A483C"/>
    <w:rsid w:val="002B0C7C"/>
    <w:rsid w:val="002B1729"/>
    <w:rsid w:val="002B36C7"/>
    <w:rsid w:val="002B4993"/>
    <w:rsid w:val="002B4DD4"/>
    <w:rsid w:val="002B5277"/>
    <w:rsid w:val="002B5375"/>
    <w:rsid w:val="002B77C1"/>
    <w:rsid w:val="002B7987"/>
    <w:rsid w:val="002C0ED7"/>
    <w:rsid w:val="002C2728"/>
    <w:rsid w:val="002C3CEF"/>
    <w:rsid w:val="002D1E0D"/>
    <w:rsid w:val="002D350D"/>
    <w:rsid w:val="002D5006"/>
    <w:rsid w:val="002E01D0"/>
    <w:rsid w:val="002E161D"/>
    <w:rsid w:val="002E3100"/>
    <w:rsid w:val="002E6C95"/>
    <w:rsid w:val="002E7C36"/>
    <w:rsid w:val="002F0107"/>
    <w:rsid w:val="002F3D32"/>
    <w:rsid w:val="002F5F31"/>
    <w:rsid w:val="002F5F46"/>
    <w:rsid w:val="003003DB"/>
    <w:rsid w:val="00302216"/>
    <w:rsid w:val="00303E53"/>
    <w:rsid w:val="00305CC1"/>
    <w:rsid w:val="00306E5F"/>
    <w:rsid w:val="00307E14"/>
    <w:rsid w:val="0031333F"/>
    <w:rsid w:val="00314054"/>
    <w:rsid w:val="003145FE"/>
    <w:rsid w:val="00315808"/>
    <w:rsid w:val="00315BD8"/>
    <w:rsid w:val="00316F27"/>
    <w:rsid w:val="003214F1"/>
    <w:rsid w:val="00322E4B"/>
    <w:rsid w:val="00327181"/>
    <w:rsid w:val="00327870"/>
    <w:rsid w:val="0033259D"/>
    <w:rsid w:val="003333D2"/>
    <w:rsid w:val="0033545F"/>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5CD9"/>
    <w:rsid w:val="00386109"/>
    <w:rsid w:val="00386944"/>
    <w:rsid w:val="00387225"/>
    <w:rsid w:val="003956CC"/>
    <w:rsid w:val="00395C9A"/>
    <w:rsid w:val="003A0853"/>
    <w:rsid w:val="003A2A38"/>
    <w:rsid w:val="003A4E79"/>
    <w:rsid w:val="003A6B67"/>
    <w:rsid w:val="003B13B6"/>
    <w:rsid w:val="003B15E6"/>
    <w:rsid w:val="003B408A"/>
    <w:rsid w:val="003B5733"/>
    <w:rsid w:val="003C08A2"/>
    <w:rsid w:val="003C08F7"/>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7A87"/>
    <w:rsid w:val="004112C6"/>
    <w:rsid w:val="004148F9"/>
    <w:rsid w:val="00414D4A"/>
    <w:rsid w:val="0042084E"/>
    <w:rsid w:val="00421EEF"/>
    <w:rsid w:val="00424D65"/>
    <w:rsid w:val="00432525"/>
    <w:rsid w:val="00442C6C"/>
    <w:rsid w:val="00443CBE"/>
    <w:rsid w:val="00443E8A"/>
    <w:rsid w:val="004441BC"/>
    <w:rsid w:val="004468B4"/>
    <w:rsid w:val="0045230A"/>
    <w:rsid w:val="00454AD0"/>
    <w:rsid w:val="00457337"/>
    <w:rsid w:val="00462E3D"/>
    <w:rsid w:val="00462FFB"/>
    <w:rsid w:val="00466E79"/>
    <w:rsid w:val="004676DC"/>
    <w:rsid w:val="00470D7D"/>
    <w:rsid w:val="0047372D"/>
    <w:rsid w:val="00473BA3"/>
    <w:rsid w:val="004743DD"/>
    <w:rsid w:val="00474CEA"/>
    <w:rsid w:val="0048317D"/>
    <w:rsid w:val="00483968"/>
    <w:rsid w:val="00483A79"/>
    <w:rsid w:val="00484F86"/>
    <w:rsid w:val="00490746"/>
    <w:rsid w:val="00490852"/>
    <w:rsid w:val="00491C9C"/>
    <w:rsid w:val="00492F30"/>
    <w:rsid w:val="004946F4"/>
    <w:rsid w:val="0049487E"/>
    <w:rsid w:val="00494C4E"/>
    <w:rsid w:val="004A160D"/>
    <w:rsid w:val="004A3E81"/>
    <w:rsid w:val="004A4195"/>
    <w:rsid w:val="004A5C62"/>
    <w:rsid w:val="004A5CE5"/>
    <w:rsid w:val="004A707D"/>
    <w:rsid w:val="004C5541"/>
    <w:rsid w:val="004C6992"/>
    <w:rsid w:val="004C6EEE"/>
    <w:rsid w:val="004C702B"/>
    <w:rsid w:val="004D0033"/>
    <w:rsid w:val="004D016B"/>
    <w:rsid w:val="004D1B22"/>
    <w:rsid w:val="004D23CC"/>
    <w:rsid w:val="004D36F2"/>
    <w:rsid w:val="004D707D"/>
    <w:rsid w:val="004E1106"/>
    <w:rsid w:val="004E138F"/>
    <w:rsid w:val="004E4649"/>
    <w:rsid w:val="004E5C2B"/>
    <w:rsid w:val="004F00DD"/>
    <w:rsid w:val="004F0720"/>
    <w:rsid w:val="004F2133"/>
    <w:rsid w:val="004F2E21"/>
    <w:rsid w:val="004F5398"/>
    <w:rsid w:val="004F55F1"/>
    <w:rsid w:val="004F6936"/>
    <w:rsid w:val="00503DC6"/>
    <w:rsid w:val="00504556"/>
    <w:rsid w:val="00504895"/>
    <w:rsid w:val="00506F5D"/>
    <w:rsid w:val="00510C37"/>
    <w:rsid w:val="005126D0"/>
    <w:rsid w:val="0051568D"/>
    <w:rsid w:val="005263CF"/>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0123"/>
    <w:rsid w:val="00596A4B"/>
    <w:rsid w:val="00597507"/>
    <w:rsid w:val="005A281E"/>
    <w:rsid w:val="005A479D"/>
    <w:rsid w:val="005B1C6D"/>
    <w:rsid w:val="005B21B6"/>
    <w:rsid w:val="005B3A08"/>
    <w:rsid w:val="005B71F0"/>
    <w:rsid w:val="005B7A63"/>
    <w:rsid w:val="005C0955"/>
    <w:rsid w:val="005C49DA"/>
    <w:rsid w:val="005C50F3"/>
    <w:rsid w:val="005C54B5"/>
    <w:rsid w:val="005C5D80"/>
    <w:rsid w:val="005C5D91"/>
    <w:rsid w:val="005C7D6B"/>
    <w:rsid w:val="005D07B8"/>
    <w:rsid w:val="005D6597"/>
    <w:rsid w:val="005E14E7"/>
    <w:rsid w:val="005E26A3"/>
    <w:rsid w:val="005E2ECB"/>
    <w:rsid w:val="005E447E"/>
    <w:rsid w:val="005E4FD1"/>
    <w:rsid w:val="005F0775"/>
    <w:rsid w:val="005F0CF5"/>
    <w:rsid w:val="005F21EB"/>
    <w:rsid w:val="00604091"/>
    <w:rsid w:val="00605908"/>
    <w:rsid w:val="00610D7C"/>
    <w:rsid w:val="00613414"/>
    <w:rsid w:val="00620154"/>
    <w:rsid w:val="0062408D"/>
    <w:rsid w:val="006240CC"/>
    <w:rsid w:val="00624940"/>
    <w:rsid w:val="006254F8"/>
    <w:rsid w:val="00627DA7"/>
    <w:rsid w:val="00630DA4"/>
    <w:rsid w:val="00632597"/>
    <w:rsid w:val="00634374"/>
    <w:rsid w:val="006358B4"/>
    <w:rsid w:val="006419AA"/>
    <w:rsid w:val="00644B1F"/>
    <w:rsid w:val="00644B7E"/>
    <w:rsid w:val="006454E6"/>
    <w:rsid w:val="00646235"/>
    <w:rsid w:val="00646A68"/>
    <w:rsid w:val="006505BD"/>
    <w:rsid w:val="006508EA"/>
    <w:rsid w:val="0065092E"/>
    <w:rsid w:val="006557A7"/>
    <w:rsid w:val="00656290"/>
    <w:rsid w:val="006608D8"/>
    <w:rsid w:val="00661437"/>
    <w:rsid w:val="006621D7"/>
    <w:rsid w:val="0066302A"/>
    <w:rsid w:val="006651A0"/>
    <w:rsid w:val="00667770"/>
    <w:rsid w:val="00670597"/>
    <w:rsid w:val="006706D0"/>
    <w:rsid w:val="00677574"/>
    <w:rsid w:val="0068454C"/>
    <w:rsid w:val="00685339"/>
    <w:rsid w:val="00691B62"/>
    <w:rsid w:val="006933B5"/>
    <w:rsid w:val="00693D14"/>
    <w:rsid w:val="00696F27"/>
    <w:rsid w:val="006A18C2"/>
    <w:rsid w:val="006A3383"/>
    <w:rsid w:val="006B077C"/>
    <w:rsid w:val="006B6803"/>
    <w:rsid w:val="006C6E7A"/>
    <w:rsid w:val="006D017D"/>
    <w:rsid w:val="006D0F16"/>
    <w:rsid w:val="006D2A3F"/>
    <w:rsid w:val="006D2FBC"/>
    <w:rsid w:val="006E0541"/>
    <w:rsid w:val="006E138B"/>
    <w:rsid w:val="006E43AA"/>
    <w:rsid w:val="006F0330"/>
    <w:rsid w:val="006F1FDC"/>
    <w:rsid w:val="006F6B8C"/>
    <w:rsid w:val="007013EF"/>
    <w:rsid w:val="007055BD"/>
    <w:rsid w:val="0070653A"/>
    <w:rsid w:val="00713E2F"/>
    <w:rsid w:val="00714CA9"/>
    <w:rsid w:val="007173CA"/>
    <w:rsid w:val="007216AA"/>
    <w:rsid w:val="00721AB5"/>
    <w:rsid w:val="00721CFB"/>
    <w:rsid w:val="00721DEF"/>
    <w:rsid w:val="0072251A"/>
    <w:rsid w:val="00724A43"/>
    <w:rsid w:val="00726575"/>
    <w:rsid w:val="007273AC"/>
    <w:rsid w:val="00731AD4"/>
    <w:rsid w:val="007346E4"/>
    <w:rsid w:val="00734FCA"/>
    <w:rsid w:val="0073582E"/>
    <w:rsid w:val="00740F22"/>
    <w:rsid w:val="00741CF0"/>
    <w:rsid w:val="00741F1A"/>
    <w:rsid w:val="007440B6"/>
    <w:rsid w:val="007447DA"/>
    <w:rsid w:val="007450F8"/>
    <w:rsid w:val="0074696E"/>
    <w:rsid w:val="00750135"/>
    <w:rsid w:val="00750EC2"/>
    <w:rsid w:val="00752B28"/>
    <w:rsid w:val="007541A9"/>
    <w:rsid w:val="00754E36"/>
    <w:rsid w:val="00763139"/>
    <w:rsid w:val="00763E44"/>
    <w:rsid w:val="0076590F"/>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0403"/>
    <w:rsid w:val="007A11E8"/>
    <w:rsid w:val="007A2E41"/>
    <w:rsid w:val="007A6AE6"/>
    <w:rsid w:val="007B0914"/>
    <w:rsid w:val="007B1374"/>
    <w:rsid w:val="007B32E5"/>
    <w:rsid w:val="007B3DB9"/>
    <w:rsid w:val="007B4C80"/>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0B38"/>
    <w:rsid w:val="0080587B"/>
    <w:rsid w:val="00806468"/>
    <w:rsid w:val="008119CA"/>
    <w:rsid w:val="008130C4"/>
    <w:rsid w:val="008155F0"/>
    <w:rsid w:val="00816735"/>
    <w:rsid w:val="00820141"/>
    <w:rsid w:val="00820E0C"/>
    <w:rsid w:val="008213F0"/>
    <w:rsid w:val="00823275"/>
    <w:rsid w:val="0082366F"/>
    <w:rsid w:val="008338A2"/>
    <w:rsid w:val="008353B5"/>
    <w:rsid w:val="00835FAF"/>
    <w:rsid w:val="00841AA9"/>
    <w:rsid w:val="00846EE9"/>
    <w:rsid w:val="008474FE"/>
    <w:rsid w:val="00853EE4"/>
    <w:rsid w:val="00855118"/>
    <w:rsid w:val="00855535"/>
    <w:rsid w:val="00855920"/>
    <w:rsid w:val="00856666"/>
    <w:rsid w:val="00857C5A"/>
    <w:rsid w:val="0086255E"/>
    <w:rsid w:val="008633F0"/>
    <w:rsid w:val="00863F1E"/>
    <w:rsid w:val="00865349"/>
    <w:rsid w:val="00867D9D"/>
    <w:rsid w:val="00872E0A"/>
    <w:rsid w:val="00873594"/>
    <w:rsid w:val="0087453B"/>
    <w:rsid w:val="00875285"/>
    <w:rsid w:val="00884958"/>
    <w:rsid w:val="00884B62"/>
    <w:rsid w:val="0088529C"/>
    <w:rsid w:val="00887903"/>
    <w:rsid w:val="00890B2D"/>
    <w:rsid w:val="0089270A"/>
    <w:rsid w:val="0089397F"/>
    <w:rsid w:val="00893AF6"/>
    <w:rsid w:val="00894BC4"/>
    <w:rsid w:val="00896F53"/>
    <w:rsid w:val="008A095F"/>
    <w:rsid w:val="008A28A8"/>
    <w:rsid w:val="008A3A98"/>
    <w:rsid w:val="008A5B32"/>
    <w:rsid w:val="008A77CF"/>
    <w:rsid w:val="008B2EE4"/>
    <w:rsid w:val="008B4D3D"/>
    <w:rsid w:val="008B57C7"/>
    <w:rsid w:val="008C2F92"/>
    <w:rsid w:val="008C3697"/>
    <w:rsid w:val="008C5557"/>
    <w:rsid w:val="008C589D"/>
    <w:rsid w:val="008C6D51"/>
    <w:rsid w:val="008D2846"/>
    <w:rsid w:val="008D4236"/>
    <w:rsid w:val="008D462F"/>
    <w:rsid w:val="008D6DCF"/>
    <w:rsid w:val="008E1F66"/>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357C"/>
    <w:rsid w:val="009376B1"/>
    <w:rsid w:val="00937BD9"/>
    <w:rsid w:val="00950E2C"/>
    <w:rsid w:val="00951D50"/>
    <w:rsid w:val="009525EB"/>
    <w:rsid w:val="0095470B"/>
    <w:rsid w:val="00954874"/>
    <w:rsid w:val="0095615A"/>
    <w:rsid w:val="00961400"/>
    <w:rsid w:val="00963646"/>
    <w:rsid w:val="0096532C"/>
    <w:rsid w:val="0096632D"/>
    <w:rsid w:val="009718C7"/>
    <w:rsid w:val="0097559F"/>
    <w:rsid w:val="00975F30"/>
    <w:rsid w:val="0097761E"/>
    <w:rsid w:val="009810DF"/>
    <w:rsid w:val="00982454"/>
    <w:rsid w:val="00982AFD"/>
    <w:rsid w:val="00982CF0"/>
    <w:rsid w:val="009853E1"/>
    <w:rsid w:val="00986E6B"/>
    <w:rsid w:val="00990032"/>
    <w:rsid w:val="00990B19"/>
    <w:rsid w:val="0099153B"/>
    <w:rsid w:val="00991769"/>
    <w:rsid w:val="0099232C"/>
    <w:rsid w:val="00994386"/>
    <w:rsid w:val="009A13D8"/>
    <w:rsid w:val="009A279E"/>
    <w:rsid w:val="009A3015"/>
    <w:rsid w:val="009A3490"/>
    <w:rsid w:val="009A448B"/>
    <w:rsid w:val="009B00D8"/>
    <w:rsid w:val="009B0A6F"/>
    <w:rsid w:val="009B0A94"/>
    <w:rsid w:val="009B2AE8"/>
    <w:rsid w:val="009B59E9"/>
    <w:rsid w:val="009B70AA"/>
    <w:rsid w:val="009B7142"/>
    <w:rsid w:val="009C5E77"/>
    <w:rsid w:val="009C7A7E"/>
    <w:rsid w:val="009D02E8"/>
    <w:rsid w:val="009D51D0"/>
    <w:rsid w:val="009D70A4"/>
    <w:rsid w:val="009D7B14"/>
    <w:rsid w:val="009E08D1"/>
    <w:rsid w:val="009E0BB0"/>
    <w:rsid w:val="009E1B95"/>
    <w:rsid w:val="009E2CE4"/>
    <w:rsid w:val="009E496F"/>
    <w:rsid w:val="009E4B0D"/>
    <w:rsid w:val="009E5250"/>
    <w:rsid w:val="009E7F92"/>
    <w:rsid w:val="009F02A3"/>
    <w:rsid w:val="009F2F27"/>
    <w:rsid w:val="009F34AA"/>
    <w:rsid w:val="009F6BCB"/>
    <w:rsid w:val="009F7B78"/>
    <w:rsid w:val="00A0057A"/>
    <w:rsid w:val="00A02FA1"/>
    <w:rsid w:val="00A04CCE"/>
    <w:rsid w:val="00A0617E"/>
    <w:rsid w:val="00A06DBA"/>
    <w:rsid w:val="00A07421"/>
    <w:rsid w:val="00A0776B"/>
    <w:rsid w:val="00A10FB9"/>
    <w:rsid w:val="00A1113E"/>
    <w:rsid w:val="00A11421"/>
    <w:rsid w:val="00A127E7"/>
    <w:rsid w:val="00A1389F"/>
    <w:rsid w:val="00A157B1"/>
    <w:rsid w:val="00A22229"/>
    <w:rsid w:val="00A24442"/>
    <w:rsid w:val="00A27461"/>
    <w:rsid w:val="00A330BB"/>
    <w:rsid w:val="00A44882"/>
    <w:rsid w:val="00A45125"/>
    <w:rsid w:val="00A54715"/>
    <w:rsid w:val="00A57DA9"/>
    <w:rsid w:val="00A6061C"/>
    <w:rsid w:val="00A62D44"/>
    <w:rsid w:val="00A641A6"/>
    <w:rsid w:val="00A67263"/>
    <w:rsid w:val="00A7161C"/>
    <w:rsid w:val="00A73267"/>
    <w:rsid w:val="00A77AA3"/>
    <w:rsid w:val="00A8236D"/>
    <w:rsid w:val="00A854EB"/>
    <w:rsid w:val="00A872E5"/>
    <w:rsid w:val="00A91406"/>
    <w:rsid w:val="00A94B6E"/>
    <w:rsid w:val="00A96E65"/>
    <w:rsid w:val="00A97C72"/>
    <w:rsid w:val="00AA268E"/>
    <w:rsid w:val="00AA310B"/>
    <w:rsid w:val="00AA63D4"/>
    <w:rsid w:val="00AA79B6"/>
    <w:rsid w:val="00AB06E8"/>
    <w:rsid w:val="00AB1CD3"/>
    <w:rsid w:val="00AB352F"/>
    <w:rsid w:val="00AC09B3"/>
    <w:rsid w:val="00AC274B"/>
    <w:rsid w:val="00AC4764"/>
    <w:rsid w:val="00AC6D36"/>
    <w:rsid w:val="00AD0CBA"/>
    <w:rsid w:val="00AD177A"/>
    <w:rsid w:val="00AD26E2"/>
    <w:rsid w:val="00AD784C"/>
    <w:rsid w:val="00AE0940"/>
    <w:rsid w:val="00AE126A"/>
    <w:rsid w:val="00AE12D4"/>
    <w:rsid w:val="00AE1BAE"/>
    <w:rsid w:val="00AE201C"/>
    <w:rsid w:val="00AE3005"/>
    <w:rsid w:val="00AE3BD5"/>
    <w:rsid w:val="00AE59A0"/>
    <w:rsid w:val="00AF0C57"/>
    <w:rsid w:val="00AF26A8"/>
    <w:rsid w:val="00AF26F3"/>
    <w:rsid w:val="00AF5F04"/>
    <w:rsid w:val="00AF659E"/>
    <w:rsid w:val="00B00672"/>
    <w:rsid w:val="00B01B4D"/>
    <w:rsid w:val="00B023C8"/>
    <w:rsid w:val="00B04708"/>
    <w:rsid w:val="00B06571"/>
    <w:rsid w:val="00B068BA"/>
    <w:rsid w:val="00B07FF7"/>
    <w:rsid w:val="00B13458"/>
    <w:rsid w:val="00B13851"/>
    <w:rsid w:val="00B13B1C"/>
    <w:rsid w:val="00B14780"/>
    <w:rsid w:val="00B2090C"/>
    <w:rsid w:val="00B21F90"/>
    <w:rsid w:val="00B22291"/>
    <w:rsid w:val="00B2304B"/>
    <w:rsid w:val="00B23F9A"/>
    <w:rsid w:val="00B2417B"/>
    <w:rsid w:val="00B24E6F"/>
    <w:rsid w:val="00B26CB5"/>
    <w:rsid w:val="00B27147"/>
    <w:rsid w:val="00B274DA"/>
    <w:rsid w:val="00B2752E"/>
    <w:rsid w:val="00B307CC"/>
    <w:rsid w:val="00B326B7"/>
    <w:rsid w:val="00B34065"/>
    <w:rsid w:val="00B3588E"/>
    <w:rsid w:val="00B41F3D"/>
    <w:rsid w:val="00B431E8"/>
    <w:rsid w:val="00B4354B"/>
    <w:rsid w:val="00B45141"/>
    <w:rsid w:val="00B46DE7"/>
    <w:rsid w:val="00B519CD"/>
    <w:rsid w:val="00B5273A"/>
    <w:rsid w:val="00B559C5"/>
    <w:rsid w:val="00B5617F"/>
    <w:rsid w:val="00B57329"/>
    <w:rsid w:val="00B60E61"/>
    <w:rsid w:val="00B61819"/>
    <w:rsid w:val="00B62B50"/>
    <w:rsid w:val="00B62E59"/>
    <w:rsid w:val="00B635B7"/>
    <w:rsid w:val="00B63AE8"/>
    <w:rsid w:val="00B65950"/>
    <w:rsid w:val="00B66D83"/>
    <w:rsid w:val="00B672C0"/>
    <w:rsid w:val="00B676FD"/>
    <w:rsid w:val="00B701BF"/>
    <w:rsid w:val="00B75646"/>
    <w:rsid w:val="00B75EDB"/>
    <w:rsid w:val="00B83E32"/>
    <w:rsid w:val="00B90729"/>
    <w:rsid w:val="00B907DA"/>
    <w:rsid w:val="00B9096D"/>
    <w:rsid w:val="00B91A8A"/>
    <w:rsid w:val="00B91FC7"/>
    <w:rsid w:val="00B94CD5"/>
    <w:rsid w:val="00B950BC"/>
    <w:rsid w:val="00B9714C"/>
    <w:rsid w:val="00BA0A3A"/>
    <w:rsid w:val="00BA29AD"/>
    <w:rsid w:val="00BA33CF"/>
    <w:rsid w:val="00BA3F8D"/>
    <w:rsid w:val="00BB7A10"/>
    <w:rsid w:val="00BC23F6"/>
    <w:rsid w:val="00BC3E8F"/>
    <w:rsid w:val="00BC5E05"/>
    <w:rsid w:val="00BC60BE"/>
    <w:rsid w:val="00BC63D9"/>
    <w:rsid w:val="00BC7468"/>
    <w:rsid w:val="00BC7D4F"/>
    <w:rsid w:val="00BC7ED7"/>
    <w:rsid w:val="00BD2850"/>
    <w:rsid w:val="00BD778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2BF9"/>
    <w:rsid w:val="00C50DED"/>
    <w:rsid w:val="00C56D4B"/>
    <w:rsid w:val="00C602FF"/>
    <w:rsid w:val="00C61174"/>
    <w:rsid w:val="00C6148F"/>
    <w:rsid w:val="00C621B1"/>
    <w:rsid w:val="00C62F7A"/>
    <w:rsid w:val="00C63B9C"/>
    <w:rsid w:val="00C652AC"/>
    <w:rsid w:val="00C6682F"/>
    <w:rsid w:val="00C66F44"/>
    <w:rsid w:val="00C67BF4"/>
    <w:rsid w:val="00C7275E"/>
    <w:rsid w:val="00C74C5D"/>
    <w:rsid w:val="00C863C4"/>
    <w:rsid w:val="00C8746D"/>
    <w:rsid w:val="00C920EA"/>
    <w:rsid w:val="00C93C3E"/>
    <w:rsid w:val="00C97C3E"/>
    <w:rsid w:val="00CA12E3"/>
    <w:rsid w:val="00CA1476"/>
    <w:rsid w:val="00CA3D47"/>
    <w:rsid w:val="00CA6611"/>
    <w:rsid w:val="00CA6AE6"/>
    <w:rsid w:val="00CA782F"/>
    <w:rsid w:val="00CB187B"/>
    <w:rsid w:val="00CB2835"/>
    <w:rsid w:val="00CB3285"/>
    <w:rsid w:val="00CB4500"/>
    <w:rsid w:val="00CB7800"/>
    <w:rsid w:val="00CC0C72"/>
    <w:rsid w:val="00CC2BFD"/>
    <w:rsid w:val="00CD155F"/>
    <w:rsid w:val="00CD3476"/>
    <w:rsid w:val="00CD64DF"/>
    <w:rsid w:val="00CE1304"/>
    <w:rsid w:val="00CE225F"/>
    <w:rsid w:val="00CE28DA"/>
    <w:rsid w:val="00CF1E5D"/>
    <w:rsid w:val="00CF2F50"/>
    <w:rsid w:val="00CF6198"/>
    <w:rsid w:val="00D01B99"/>
    <w:rsid w:val="00D02919"/>
    <w:rsid w:val="00D04C61"/>
    <w:rsid w:val="00D05B8D"/>
    <w:rsid w:val="00D065A2"/>
    <w:rsid w:val="00D079AA"/>
    <w:rsid w:val="00D07F00"/>
    <w:rsid w:val="00D1130F"/>
    <w:rsid w:val="00D12D32"/>
    <w:rsid w:val="00D142A5"/>
    <w:rsid w:val="00D15E1F"/>
    <w:rsid w:val="00D17B72"/>
    <w:rsid w:val="00D3185C"/>
    <w:rsid w:val="00D3205F"/>
    <w:rsid w:val="00D32829"/>
    <w:rsid w:val="00D3318E"/>
    <w:rsid w:val="00D33E72"/>
    <w:rsid w:val="00D35A88"/>
    <w:rsid w:val="00D35BD6"/>
    <w:rsid w:val="00D361B5"/>
    <w:rsid w:val="00D36755"/>
    <w:rsid w:val="00D405AC"/>
    <w:rsid w:val="00D411A2"/>
    <w:rsid w:val="00D4606D"/>
    <w:rsid w:val="00D46C92"/>
    <w:rsid w:val="00D50B9C"/>
    <w:rsid w:val="00D52D73"/>
    <w:rsid w:val="00D52E58"/>
    <w:rsid w:val="00D56B20"/>
    <w:rsid w:val="00D578B3"/>
    <w:rsid w:val="00D5799E"/>
    <w:rsid w:val="00D618F4"/>
    <w:rsid w:val="00D61D3C"/>
    <w:rsid w:val="00D660E7"/>
    <w:rsid w:val="00D714CC"/>
    <w:rsid w:val="00D7569F"/>
    <w:rsid w:val="00D75EA7"/>
    <w:rsid w:val="00D81ADF"/>
    <w:rsid w:val="00D81F21"/>
    <w:rsid w:val="00D84AF4"/>
    <w:rsid w:val="00D84CD2"/>
    <w:rsid w:val="00D864F2"/>
    <w:rsid w:val="00D87F72"/>
    <w:rsid w:val="00D92F95"/>
    <w:rsid w:val="00D943F8"/>
    <w:rsid w:val="00D95470"/>
    <w:rsid w:val="00D96B55"/>
    <w:rsid w:val="00DA160D"/>
    <w:rsid w:val="00DA2619"/>
    <w:rsid w:val="00DA4239"/>
    <w:rsid w:val="00DA65DE"/>
    <w:rsid w:val="00DB0B61"/>
    <w:rsid w:val="00DB1474"/>
    <w:rsid w:val="00DB1E68"/>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D7B38"/>
    <w:rsid w:val="00DE2D04"/>
    <w:rsid w:val="00DE3250"/>
    <w:rsid w:val="00DE451A"/>
    <w:rsid w:val="00DE6028"/>
    <w:rsid w:val="00DE78A3"/>
    <w:rsid w:val="00DF1A71"/>
    <w:rsid w:val="00DF1EFE"/>
    <w:rsid w:val="00DF2172"/>
    <w:rsid w:val="00DF50FC"/>
    <w:rsid w:val="00DF68C7"/>
    <w:rsid w:val="00DF731A"/>
    <w:rsid w:val="00E05749"/>
    <w:rsid w:val="00E06B75"/>
    <w:rsid w:val="00E11332"/>
    <w:rsid w:val="00E11352"/>
    <w:rsid w:val="00E170DC"/>
    <w:rsid w:val="00E17546"/>
    <w:rsid w:val="00E210B5"/>
    <w:rsid w:val="00E228B2"/>
    <w:rsid w:val="00E261B3"/>
    <w:rsid w:val="00E26818"/>
    <w:rsid w:val="00E27FFC"/>
    <w:rsid w:val="00E30B15"/>
    <w:rsid w:val="00E33237"/>
    <w:rsid w:val="00E40181"/>
    <w:rsid w:val="00E53DDD"/>
    <w:rsid w:val="00E54950"/>
    <w:rsid w:val="00E56A01"/>
    <w:rsid w:val="00E60BD4"/>
    <w:rsid w:val="00E62622"/>
    <w:rsid w:val="00E629A1"/>
    <w:rsid w:val="00E63D42"/>
    <w:rsid w:val="00E6794C"/>
    <w:rsid w:val="00E71591"/>
    <w:rsid w:val="00E71CEB"/>
    <w:rsid w:val="00E7474F"/>
    <w:rsid w:val="00E80DE3"/>
    <w:rsid w:val="00E82C55"/>
    <w:rsid w:val="00E8787E"/>
    <w:rsid w:val="00E92AC3"/>
    <w:rsid w:val="00E97351"/>
    <w:rsid w:val="00EA1360"/>
    <w:rsid w:val="00EA2F6A"/>
    <w:rsid w:val="00EB00E0"/>
    <w:rsid w:val="00EC04BA"/>
    <w:rsid w:val="00EC059F"/>
    <w:rsid w:val="00EC16D9"/>
    <w:rsid w:val="00EC1F24"/>
    <w:rsid w:val="00EC22F6"/>
    <w:rsid w:val="00EC40D5"/>
    <w:rsid w:val="00ED52A2"/>
    <w:rsid w:val="00ED5B9B"/>
    <w:rsid w:val="00ED6BAD"/>
    <w:rsid w:val="00ED7447"/>
    <w:rsid w:val="00EE00D6"/>
    <w:rsid w:val="00EE11E7"/>
    <w:rsid w:val="00EE1488"/>
    <w:rsid w:val="00EE29AD"/>
    <w:rsid w:val="00EE30AD"/>
    <w:rsid w:val="00EE3E24"/>
    <w:rsid w:val="00EE4D5D"/>
    <w:rsid w:val="00EE5131"/>
    <w:rsid w:val="00EE6CCE"/>
    <w:rsid w:val="00EF109B"/>
    <w:rsid w:val="00EF201C"/>
    <w:rsid w:val="00EF36AF"/>
    <w:rsid w:val="00EF59A3"/>
    <w:rsid w:val="00EF6675"/>
    <w:rsid w:val="00F00F9C"/>
    <w:rsid w:val="00F01E5F"/>
    <w:rsid w:val="00F024F3"/>
    <w:rsid w:val="00F02ABA"/>
    <w:rsid w:val="00F0437A"/>
    <w:rsid w:val="00F101B8"/>
    <w:rsid w:val="00F11037"/>
    <w:rsid w:val="00F1182F"/>
    <w:rsid w:val="00F1602D"/>
    <w:rsid w:val="00F16F1B"/>
    <w:rsid w:val="00F23D83"/>
    <w:rsid w:val="00F250A9"/>
    <w:rsid w:val="00F267AF"/>
    <w:rsid w:val="00F30FF4"/>
    <w:rsid w:val="00F3122E"/>
    <w:rsid w:val="00F32368"/>
    <w:rsid w:val="00F331AD"/>
    <w:rsid w:val="00F347B0"/>
    <w:rsid w:val="00F35287"/>
    <w:rsid w:val="00F37B48"/>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58D9"/>
    <w:rsid w:val="00F97919"/>
    <w:rsid w:val="00FA2C46"/>
    <w:rsid w:val="00FA3525"/>
    <w:rsid w:val="00FA48A9"/>
    <w:rsid w:val="00FA5A53"/>
    <w:rsid w:val="00FA691B"/>
    <w:rsid w:val="00FA7E31"/>
    <w:rsid w:val="00FB030F"/>
    <w:rsid w:val="00FB2551"/>
    <w:rsid w:val="00FB4769"/>
    <w:rsid w:val="00FB4CDA"/>
    <w:rsid w:val="00FB6481"/>
    <w:rsid w:val="00FB6D36"/>
    <w:rsid w:val="00FB7ADD"/>
    <w:rsid w:val="00FC0965"/>
    <w:rsid w:val="00FC0F81"/>
    <w:rsid w:val="00FC252F"/>
    <w:rsid w:val="00FC395C"/>
    <w:rsid w:val="00FC5E8E"/>
    <w:rsid w:val="00FD3766"/>
    <w:rsid w:val="00FD3CCF"/>
    <w:rsid w:val="00FD47C4"/>
    <w:rsid w:val="00FD4F14"/>
    <w:rsid w:val="00FD722A"/>
    <w:rsid w:val="00FE2DCF"/>
    <w:rsid w:val="00FE3FA7"/>
    <w:rsid w:val="00FF2A4E"/>
    <w:rsid w:val="00FF2CD1"/>
    <w:rsid w:val="00FF2FCE"/>
    <w:rsid w:val="00FF4DE4"/>
    <w:rsid w:val="00FF4F7D"/>
    <w:rsid w:val="00FF54DF"/>
    <w:rsid w:val="00FF57E1"/>
    <w:rsid w:val="00FF6D9D"/>
    <w:rsid w:val="00FF7DD5"/>
    <w:rsid w:val="0125E792"/>
    <w:rsid w:val="056AA3BC"/>
    <w:rsid w:val="0FBA1D93"/>
    <w:rsid w:val="1B1484E4"/>
    <w:rsid w:val="1F2833EF"/>
    <w:rsid w:val="205DD849"/>
    <w:rsid w:val="20C40450"/>
    <w:rsid w:val="21AD575C"/>
    <w:rsid w:val="27CAC420"/>
    <w:rsid w:val="29209A8B"/>
    <w:rsid w:val="2E6820A3"/>
    <w:rsid w:val="309007DE"/>
    <w:rsid w:val="330A7CC5"/>
    <w:rsid w:val="34443760"/>
    <w:rsid w:val="35B27948"/>
    <w:rsid w:val="3C4EAF71"/>
    <w:rsid w:val="437BADB2"/>
    <w:rsid w:val="47E0C098"/>
    <w:rsid w:val="4BC3D8BC"/>
    <w:rsid w:val="5047E186"/>
    <w:rsid w:val="50B562A8"/>
    <w:rsid w:val="5504642A"/>
    <w:rsid w:val="590B9245"/>
    <w:rsid w:val="5F45D0C1"/>
    <w:rsid w:val="6091BFAB"/>
    <w:rsid w:val="627D7183"/>
    <w:rsid w:val="6451EE47"/>
    <w:rsid w:val="6552195F"/>
    <w:rsid w:val="660ACFBF"/>
    <w:rsid w:val="66A4921B"/>
    <w:rsid w:val="6811449F"/>
    <w:rsid w:val="6DA452CB"/>
    <w:rsid w:val="6E91BC0F"/>
    <w:rsid w:val="747281F8"/>
    <w:rsid w:val="789072DE"/>
    <w:rsid w:val="7E81F659"/>
    <w:rsid w:val="7FA9D9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40AB0B"/>
  <w15:docId w15:val="{A30460A9-6CED-4968-B613-44012677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link w:val="Bullet1Char"/>
    <w:qFormat/>
    <w:rsid w:val="002365B4"/>
    <w:pPr>
      <w:numPr>
        <w:numId w:val="1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1"/>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3"/>
      </w:numPr>
    </w:pPr>
  </w:style>
  <w:style w:type="numbering" w:customStyle="1" w:styleId="ZZTablebullets">
    <w:name w:val="ZZ Table bullets"/>
    <w:basedOn w:val="NoList"/>
    <w:rsid w:val="008E7B49"/>
    <w:pPr>
      <w:numPr>
        <w:numId w:val="1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7"/>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1"/>
      </w:numPr>
    </w:pPr>
  </w:style>
  <w:style w:type="numbering" w:customStyle="1" w:styleId="ZZNumbersdigit">
    <w:name w:val="ZZ Numbers digit"/>
    <w:rsid w:val="00101001"/>
    <w:pPr>
      <w:numPr>
        <w:numId w:val="6"/>
      </w:numPr>
    </w:pPr>
  </w:style>
  <w:style w:type="numbering" w:customStyle="1" w:styleId="ZZQuotebullets">
    <w:name w:val="ZZ Quote bullets"/>
    <w:basedOn w:val="ZZNumbersdigit"/>
    <w:rsid w:val="008E7B49"/>
    <w:pPr>
      <w:numPr>
        <w:numId w:val="15"/>
      </w:numPr>
    </w:pPr>
  </w:style>
  <w:style w:type="paragraph" w:customStyle="1" w:styleId="Numberdigit">
    <w:name w:val="Number digit"/>
    <w:basedOn w:val="Body"/>
    <w:uiPriority w:val="2"/>
    <w:rsid w:val="00857C5A"/>
    <w:pPr>
      <w:numPr>
        <w:numId w:val="7"/>
      </w:numPr>
    </w:pPr>
  </w:style>
  <w:style w:type="paragraph" w:customStyle="1" w:styleId="Numberloweralphaindent">
    <w:name w:val="Number lower alpha indent"/>
    <w:basedOn w:val="Body"/>
    <w:uiPriority w:val="3"/>
    <w:rsid w:val="00721CFB"/>
    <w:pPr>
      <w:numPr>
        <w:ilvl w:val="1"/>
        <w:numId w:val="26"/>
      </w:numPr>
    </w:pPr>
  </w:style>
  <w:style w:type="paragraph" w:customStyle="1" w:styleId="Numberdigitindent">
    <w:name w:val="Number digit indent"/>
    <w:basedOn w:val="Numberloweralphaindent"/>
    <w:uiPriority w:val="3"/>
    <w:rsid w:val="00101001"/>
    <w:pPr>
      <w:numPr>
        <w:numId w:val="7"/>
      </w:numPr>
    </w:pPr>
  </w:style>
  <w:style w:type="paragraph" w:customStyle="1" w:styleId="Numberloweralpha">
    <w:name w:val="Number lower alpha"/>
    <w:basedOn w:val="Body"/>
    <w:uiPriority w:val="3"/>
    <w:rsid w:val="00721CFB"/>
    <w:pPr>
      <w:numPr>
        <w:numId w:val="26"/>
      </w:numPr>
    </w:pPr>
  </w:style>
  <w:style w:type="paragraph" w:customStyle="1" w:styleId="Numberlowerroman">
    <w:name w:val="Number lower roman"/>
    <w:basedOn w:val="Body"/>
    <w:uiPriority w:val="3"/>
    <w:rsid w:val="00721CFB"/>
    <w:pPr>
      <w:numPr>
        <w:numId w:val="17"/>
      </w:numPr>
    </w:pPr>
  </w:style>
  <w:style w:type="paragraph" w:customStyle="1" w:styleId="Numberlowerromanindent">
    <w:name w:val="Number lower roman indent"/>
    <w:basedOn w:val="Body"/>
    <w:uiPriority w:val="3"/>
    <w:rsid w:val="00721CFB"/>
    <w:pPr>
      <w:numPr>
        <w:ilvl w:val="1"/>
        <w:numId w:val="1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7"/>
      </w:numPr>
    </w:pPr>
  </w:style>
  <w:style w:type="numbering" w:customStyle="1" w:styleId="ZZNumberslowerroman">
    <w:name w:val="ZZ Numbers lower roman"/>
    <w:basedOn w:val="ZZQuotebullets"/>
    <w:rsid w:val="00721CFB"/>
    <w:pPr>
      <w:numPr>
        <w:numId w:val="17"/>
      </w:numPr>
    </w:pPr>
  </w:style>
  <w:style w:type="numbering" w:customStyle="1" w:styleId="ZZNumbersloweralpha">
    <w:name w:val="ZZ Numbers lower alpha"/>
    <w:basedOn w:val="NoList"/>
    <w:rsid w:val="00721CFB"/>
    <w:pPr>
      <w:numPr>
        <w:numId w:val="24"/>
      </w:numPr>
    </w:pPr>
  </w:style>
  <w:style w:type="paragraph" w:customStyle="1" w:styleId="Quotebullet1">
    <w:name w:val="Quote bullet 1"/>
    <w:basedOn w:val="Quotetext"/>
    <w:rsid w:val="008E7B49"/>
    <w:pPr>
      <w:numPr>
        <w:numId w:val="15"/>
      </w:numPr>
    </w:pPr>
  </w:style>
  <w:style w:type="paragraph" w:customStyle="1" w:styleId="Quotebullet2">
    <w:name w:val="Quote bullet 2"/>
    <w:basedOn w:val="Quotetext"/>
    <w:rsid w:val="008E7B49"/>
    <w:pPr>
      <w:numPr>
        <w:ilvl w:val="1"/>
        <w:numId w:val="1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styleId="ListParagraph">
    <w:name w:val="List Paragraph"/>
    <w:basedOn w:val="Normal"/>
    <w:uiPriority w:val="34"/>
    <w:qFormat/>
    <w:pPr>
      <w:ind w:left="720"/>
      <w:contextualSpacing/>
    </w:pPr>
  </w:style>
  <w:style w:type="character" w:customStyle="1" w:styleId="Bullet1Char">
    <w:name w:val="Bullet 1 Char"/>
    <w:basedOn w:val="DefaultParagraphFont"/>
    <w:link w:val="Bullet1"/>
    <w:locked/>
    <w:rsid w:val="00222DEF"/>
    <w:rPr>
      <w:rFonts w:ascii="Arial" w:eastAsia="Times" w:hAnsi="Arial"/>
      <w:sz w:val="21"/>
      <w:lang w:eastAsia="en-US"/>
    </w:rPr>
  </w:style>
  <w:style w:type="character" w:customStyle="1" w:styleId="normaltextrun">
    <w:name w:val="normaltextrun"/>
    <w:basedOn w:val="DefaultParagraphFont"/>
    <w:rsid w:val="00685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mailto:ocp@health.vic.gov.au" TargetMode="External"/><Relationship Id="rId3" Type="http://schemas.openxmlformats.org/officeDocument/2006/relationships/customXml" Target="../customXml/item3.xml"/><Relationship Id="rId21" Type="http://schemas.openxmlformats.org/officeDocument/2006/relationships/hyperlink" Target="https://www.health.vic.gov.au/chief-psychiatrist/reportable-deaths-mental-health-and-wellbeing-act-2022"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legislation.vic.gov.au/as-made/acts/mental-health-and-wellbeing-act-202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vic.gov.au/chief-psychiatrist/reportable-deaths-mental-health-and-wellbeing-act-202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ealth.vic.gov.au/chief-psychiatrist/reportable-deaths-mental-health-and-wellbeing-act-2022"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chief-psychiatrist/reportable-deaths-mental-health-and-wellbeing-act-2022" TargetMode="External"/><Relationship Id="rId27" Type="http://schemas.openxmlformats.org/officeDocument/2006/relationships/hyperlink" Target="https://www.health.vic.gov.au/chief-psychiatrist/office-of-the-chief-psychiatrist-reform-activities-and-news"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5" ma:contentTypeDescription="Create a new document." ma:contentTypeScope="" ma:versionID="c74d63e511f18a4305099f0a92cc0ba0">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9f9835be544ec71c65b0f16da26af6d"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D9E0BD3-04F7-4CE1-9C95-9E2A44A6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fdefc27-9daa-4412-9bc3-ba173f0af375"/>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DH pink factsheet</vt:lpstr>
    </vt:vector>
  </TitlesOfParts>
  <Manager/>
  <Company>Victoria State Government, Department of Health</Company>
  <LinksUpToDate>false</LinksUpToDate>
  <CharactersWithSpaces>7849</CharactersWithSpaces>
  <SharedDoc>false</SharedDoc>
  <HyperlinkBase/>
  <HLinks>
    <vt:vector size="84" baseType="variant">
      <vt:variant>
        <vt:i4>21</vt:i4>
      </vt:variant>
      <vt:variant>
        <vt:i4>72</vt:i4>
      </vt:variant>
      <vt:variant>
        <vt:i4>0</vt:i4>
      </vt:variant>
      <vt:variant>
        <vt:i4>5</vt:i4>
      </vt:variant>
      <vt:variant>
        <vt:lpwstr>https://www.health.vic.gov.au/chief-psychiatrist/publications-from-the-chief-psychiatrist</vt:lpwstr>
      </vt:variant>
      <vt:variant>
        <vt:lpwstr/>
      </vt:variant>
      <vt:variant>
        <vt:i4>1114136</vt:i4>
      </vt:variant>
      <vt:variant>
        <vt:i4>69</vt:i4>
      </vt:variant>
      <vt:variant>
        <vt:i4>0</vt:i4>
      </vt:variant>
      <vt:variant>
        <vt:i4>5</vt:i4>
      </vt:variant>
      <vt:variant>
        <vt:lpwstr>https://www.legislation.vic.gov.au/as-made/acts/mental-health-and-wellbeing-act-2022</vt:lpwstr>
      </vt:variant>
      <vt:variant>
        <vt:lpwstr/>
      </vt:variant>
      <vt:variant>
        <vt:i4>5832782</vt:i4>
      </vt:variant>
      <vt:variant>
        <vt:i4>66</vt:i4>
      </vt:variant>
      <vt:variant>
        <vt:i4>0</vt:i4>
      </vt:variant>
      <vt:variant>
        <vt:i4>5</vt:i4>
      </vt:variant>
      <vt:variant>
        <vt:lpwstr>https://www.health.vic.gov.au/chief-psychiatrist/chief-psychiatrist-guidelines?page=4</vt:lpwstr>
      </vt:variant>
      <vt:variant>
        <vt:lpwstr/>
      </vt:variant>
      <vt:variant>
        <vt:i4>5832782</vt:i4>
      </vt:variant>
      <vt:variant>
        <vt:i4>63</vt:i4>
      </vt:variant>
      <vt:variant>
        <vt:i4>0</vt:i4>
      </vt:variant>
      <vt:variant>
        <vt:i4>5</vt:i4>
      </vt:variant>
      <vt:variant>
        <vt:lpwstr>https://www.health.vic.gov.au/chief-psychiatrist/chief-psychiatrist-guidelines?page=4</vt:lpwstr>
      </vt:variant>
      <vt:variant>
        <vt:lpwstr/>
      </vt:variant>
      <vt:variant>
        <vt:i4>5832782</vt:i4>
      </vt:variant>
      <vt:variant>
        <vt:i4>60</vt:i4>
      </vt:variant>
      <vt:variant>
        <vt:i4>0</vt:i4>
      </vt:variant>
      <vt:variant>
        <vt:i4>5</vt:i4>
      </vt:variant>
      <vt:variant>
        <vt:lpwstr>https://www.health.vic.gov.au/chief-psychiatrist/chief-psychiatrist-guidelines?page=4</vt:lpwstr>
      </vt:variant>
      <vt:variant>
        <vt:lpwstr/>
      </vt:variant>
      <vt:variant>
        <vt:i4>2031665</vt:i4>
      </vt:variant>
      <vt:variant>
        <vt:i4>53</vt:i4>
      </vt:variant>
      <vt:variant>
        <vt:i4>0</vt:i4>
      </vt:variant>
      <vt:variant>
        <vt:i4>5</vt:i4>
      </vt:variant>
      <vt:variant>
        <vt:lpwstr/>
      </vt:variant>
      <vt:variant>
        <vt:lpwstr>_Toc140571789</vt:lpwstr>
      </vt:variant>
      <vt:variant>
        <vt:i4>2031665</vt:i4>
      </vt:variant>
      <vt:variant>
        <vt:i4>47</vt:i4>
      </vt:variant>
      <vt:variant>
        <vt:i4>0</vt:i4>
      </vt:variant>
      <vt:variant>
        <vt:i4>5</vt:i4>
      </vt:variant>
      <vt:variant>
        <vt:lpwstr/>
      </vt:variant>
      <vt:variant>
        <vt:lpwstr>_Toc140571788</vt:lpwstr>
      </vt:variant>
      <vt:variant>
        <vt:i4>2031665</vt:i4>
      </vt:variant>
      <vt:variant>
        <vt:i4>41</vt:i4>
      </vt:variant>
      <vt:variant>
        <vt:i4>0</vt:i4>
      </vt:variant>
      <vt:variant>
        <vt:i4>5</vt:i4>
      </vt:variant>
      <vt:variant>
        <vt:lpwstr/>
      </vt:variant>
      <vt:variant>
        <vt:lpwstr>_Toc140571787</vt:lpwstr>
      </vt:variant>
      <vt:variant>
        <vt:i4>2031665</vt:i4>
      </vt:variant>
      <vt:variant>
        <vt:i4>35</vt:i4>
      </vt:variant>
      <vt:variant>
        <vt:i4>0</vt:i4>
      </vt:variant>
      <vt:variant>
        <vt:i4>5</vt:i4>
      </vt:variant>
      <vt:variant>
        <vt:lpwstr/>
      </vt:variant>
      <vt:variant>
        <vt:lpwstr>_Toc140571786</vt:lpwstr>
      </vt:variant>
      <vt:variant>
        <vt:i4>2031665</vt:i4>
      </vt:variant>
      <vt:variant>
        <vt:i4>29</vt:i4>
      </vt:variant>
      <vt:variant>
        <vt:i4>0</vt:i4>
      </vt:variant>
      <vt:variant>
        <vt:i4>5</vt:i4>
      </vt:variant>
      <vt:variant>
        <vt:lpwstr/>
      </vt:variant>
      <vt:variant>
        <vt:lpwstr>_Toc140571785</vt:lpwstr>
      </vt:variant>
      <vt:variant>
        <vt:i4>2031665</vt:i4>
      </vt:variant>
      <vt:variant>
        <vt:i4>23</vt:i4>
      </vt:variant>
      <vt:variant>
        <vt:i4>0</vt:i4>
      </vt:variant>
      <vt:variant>
        <vt:i4>5</vt:i4>
      </vt:variant>
      <vt:variant>
        <vt:lpwstr/>
      </vt:variant>
      <vt:variant>
        <vt:lpwstr>_Toc140571784</vt:lpwstr>
      </vt:variant>
      <vt:variant>
        <vt:i4>2031665</vt:i4>
      </vt:variant>
      <vt:variant>
        <vt:i4>17</vt:i4>
      </vt:variant>
      <vt:variant>
        <vt:i4>0</vt:i4>
      </vt:variant>
      <vt:variant>
        <vt:i4>5</vt:i4>
      </vt:variant>
      <vt:variant>
        <vt:lpwstr/>
      </vt:variant>
      <vt:variant>
        <vt:lpwstr>_Toc140571783</vt:lpwstr>
      </vt:variant>
      <vt:variant>
        <vt:i4>2031665</vt:i4>
      </vt:variant>
      <vt:variant>
        <vt:i4>11</vt:i4>
      </vt:variant>
      <vt:variant>
        <vt:i4>0</vt:i4>
      </vt:variant>
      <vt:variant>
        <vt:i4>5</vt:i4>
      </vt:variant>
      <vt:variant>
        <vt:lpwstr/>
      </vt:variant>
      <vt:variant>
        <vt:lpwstr>_Toc140571782</vt:lpwstr>
      </vt:variant>
      <vt:variant>
        <vt:i4>2031665</vt:i4>
      </vt:variant>
      <vt:variant>
        <vt:i4>5</vt:i4>
      </vt:variant>
      <vt:variant>
        <vt:i4>0</vt:i4>
      </vt:variant>
      <vt:variant>
        <vt:i4>5</vt:i4>
      </vt:variant>
      <vt:variant>
        <vt:lpwstr/>
      </vt:variant>
      <vt:variant>
        <vt:lpwstr>_Toc140571781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Reportable Deaths</dc:title>
  <dc:subject/>
  <cp:keywords>Office of the Chief Psychiatrist</cp:keywords>
  <dc:description/>
  <cp:revision>32</cp:revision>
  <cp:lastPrinted>2020-03-30T21:28:00Z</cp:lastPrinted>
  <dcterms:created xsi:type="dcterms:W3CDTF">2023-08-08T23:30:00Z</dcterms:created>
  <dcterms:modified xsi:type="dcterms:W3CDTF">2023-08-24T04:25:00Z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2023-08-24T04:25:54Z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d0f2074f-ddaf-4401-944e-4c4738541d05</vt:lpwstr>
  </property>
  <property fmtid="{D5CDD505-2E9C-101B-9397-08002B2CF9AE}" pid="12" name="MSIP_Label_43e64453-338c-4f93-8a4d-0039a0a41f2a_ContentBits">
    <vt:lpwstr>2</vt:lpwstr>
  </property>
</Properties>
</file>