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5DD64DE0" w:rsidR="0074696E" w:rsidRPr="004C6EEE" w:rsidRDefault="007E675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803380D" wp14:editId="2E8A52CB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37F97" w:rsidRPr="00537F97" w14:paraId="479EB5EC" w14:textId="77777777" w:rsidTr="25A71C9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E5EEF1" w14:textId="27857417" w:rsidR="25A71C9D" w:rsidRPr="00537F97" w:rsidRDefault="25A71C9D" w:rsidP="25A71C9D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537F97">
              <w:rPr>
                <w:rFonts w:eastAsia="Arial" w:cs="Arial"/>
                <w:bCs/>
                <w:color w:val="002060"/>
                <w:szCs w:val="48"/>
              </w:rPr>
              <w:t>2023 V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4666BD" w:rsidRPr="00537F97">
              <w:rPr>
                <w:rFonts w:eastAsia="Arial"/>
                <w:color w:val="002060"/>
              </w:rPr>
              <w:t>Premier’s Health Service of the Year criteria</w:t>
            </w:r>
          </w:p>
        </w:tc>
      </w:tr>
      <w:tr w:rsidR="00537F97" w:rsidRPr="00537F97" w14:paraId="15251B8D" w14:textId="77777777" w:rsidTr="25A71C9D">
        <w:tc>
          <w:tcPr>
            <w:tcW w:w="10348" w:type="dxa"/>
          </w:tcPr>
          <w:p w14:paraId="27CE8E17" w14:textId="4C8C4562" w:rsidR="5E9A97AE" w:rsidRPr="00537F97" w:rsidRDefault="5E9A97AE" w:rsidP="25A71C9D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34547A64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9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592930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-</w:t>
            </w:r>
            <w:r w:rsidR="00592930" w:rsidRPr="00537F97">
              <w:rPr>
                <w:rFonts w:eastAsia="Arial"/>
                <w:color w:val="002060"/>
                <w:sz w:val="28"/>
                <w:szCs w:val="28"/>
              </w:rPr>
              <w:t xml:space="preserve">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Premier’s </w:t>
            </w:r>
            <w:r w:rsidR="65381176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Large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Service of the Year Award</w:t>
            </w:r>
          </w:p>
          <w:p w14:paraId="48F6666A" w14:textId="15A7F644" w:rsidR="25A71C9D" w:rsidRPr="00537F97" w:rsidRDefault="25A71C9D" w:rsidP="25A71C9D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3BEBDD9C" w14:textId="77777777" w:rsidR="0053040D" w:rsidRPr="0053040D" w:rsidRDefault="0053040D" w:rsidP="0053040D">
            <w:pPr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</w:pPr>
            <w:r w:rsidRPr="0053040D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  <w:p w14:paraId="36FBF964" w14:textId="6DF73FEF" w:rsidR="25A71C9D" w:rsidRPr="0053040D" w:rsidRDefault="0053040D" w:rsidP="006C4A4F">
            <w:pPr>
              <w:spacing w:before="120" w:after="120" w:line="240" w:lineRule="auto"/>
              <w:rPr>
                <w:rFonts w:ascii="Arial" w:eastAsiaTheme="majorEastAsia" w:hAnsi="Arial"/>
                <w:color w:val="002060"/>
                <w:sz w:val="21"/>
                <w:szCs w:val="20"/>
              </w:rPr>
            </w:pPr>
            <w:r w:rsidRPr="0053040D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The Premier's Health Service of the Year Award entries are assessed against s</w:t>
            </w:r>
            <w:r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even</w:t>
            </w:r>
            <w:r w:rsidRPr="0053040D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 xml:space="preserve"> assessment criteria that represent the strategic ways in which excellent healthcare is delivered. They have their own set of criteria by which winners will be judged.</w:t>
            </w:r>
          </w:p>
        </w:tc>
      </w:tr>
    </w:tbl>
    <w:p w14:paraId="24754B1B" w14:textId="77777777" w:rsidR="0062134A" w:rsidRPr="00537F97" w:rsidRDefault="0062134A" w:rsidP="00775F63">
      <w:pPr>
        <w:pStyle w:val="Heading2"/>
        <w:rPr>
          <w:rStyle w:val="normaltextrun"/>
          <w:rFonts w:eastAsiaTheme="majorEastAsia" w:cs="Arial"/>
          <w:b w:val="0"/>
          <w:bCs/>
          <w:color w:val="002060"/>
        </w:rPr>
      </w:pPr>
      <w:r w:rsidRPr="00537F97">
        <w:rPr>
          <w:rStyle w:val="normaltextrun"/>
          <w:rFonts w:eastAsiaTheme="majorEastAsia" w:cs="Arial"/>
          <w:bCs/>
          <w:color w:val="002060"/>
        </w:rPr>
        <w:t>Entry requirements</w:t>
      </w:r>
    </w:p>
    <w:p w14:paraId="2724DAF6" w14:textId="38B58B26" w:rsidR="00896180" w:rsidRPr="00537F97" w:rsidRDefault="00896180" w:rsidP="00993B97">
      <w:pPr>
        <w:pStyle w:val="Body"/>
        <w:rPr>
          <w:rStyle w:val="normaltextrun"/>
          <w:rFonts w:eastAsiaTheme="majorEastAsia" w:cs="Arial"/>
          <w:color w:val="002060"/>
          <w:szCs w:val="21"/>
        </w:rPr>
      </w:pPr>
      <w:r w:rsidRPr="00537F97">
        <w:rPr>
          <w:rStyle w:val="normaltextrun"/>
          <w:color w:val="002060"/>
        </w:rPr>
        <w:t xml:space="preserve">All </w:t>
      </w:r>
      <w:r w:rsidRPr="00537F97">
        <w:rPr>
          <w:rStyle w:val="normaltextrun"/>
          <w:rFonts w:eastAsiaTheme="majorEastAsia" w:cs="Arial"/>
          <w:color w:val="002060"/>
        </w:rPr>
        <w:t>Premier's Health Service of the Year Awards</w:t>
      </w:r>
      <w:r w:rsidRPr="00537F97">
        <w:rPr>
          <w:rStyle w:val="normaltextrun"/>
          <w:color w:val="002060"/>
        </w:rPr>
        <w:t xml:space="preserve"> entries will be vetted by the department to ensure the entry meets the award terms and conditions and comply with relevant regulations and standards.</w:t>
      </w:r>
    </w:p>
    <w:p w14:paraId="6C60A7FB" w14:textId="644EE5A5" w:rsidR="2FE2AC36" w:rsidRPr="00537F97" w:rsidRDefault="2FE2AC36" w:rsidP="68BE7AF1">
      <w:pPr>
        <w:spacing w:before="120" w:after="120" w:line="280" w:lineRule="atLeast"/>
        <w:rPr>
          <w:rFonts w:ascii="Arial" w:eastAsia="Arial" w:hAnsi="Arial" w:cs="Arial"/>
          <w:color w:val="002060"/>
          <w:sz w:val="21"/>
          <w:szCs w:val="21"/>
        </w:rPr>
      </w:pPr>
      <w:r w:rsidRPr="00537F97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Judges will </w:t>
      </w:r>
      <w:proofErr w:type="gramStart"/>
      <w:r w:rsidRPr="00537F97">
        <w:rPr>
          <w:rStyle w:val="normaltextrun"/>
          <w:rFonts w:ascii="Arial" w:eastAsia="Arial" w:hAnsi="Arial" w:cs="Arial"/>
          <w:color w:val="002060"/>
          <w:sz w:val="21"/>
          <w:szCs w:val="21"/>
        </w:rPr>
        <w:t>take into account</w:t>
      </w:r>
      <w:proofErr w:type="gramEnd"/>
      <w:r w:rsidRPr="00537F97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 the financial and monitoring status of the health services.</w:t>
      </w:r>
    </w:p>
    <w:p w14:paraId="0B50675F" w14:textId="3A91ACEE" w:rsidR="2FE2AC36" w:rsidRPr="00537F97" w:rsidRDefault="2FE2AC36" w:rsidP="68BE7AF1">
      <w:pPr>
        <w:spacing w:before="120" w:after="120" w:line="280" w:lineRule="atLeast"/>
        <w:rPr>
          <w:rFonts w:ascii="Arial" w:eastAsia="Arial" w:hAnsi="Arial" w:cs="Arial"/>
          <w:color w:val="002060"/>
          <w:sz w:val="21"/>
          <w:szCs w:val="21"/>
          <w:lang w:val="en-GB"/>
        </w:rPr>
      </w:pPr>
      <w:r w:rsidRPr="00537F97">
        <w:rPr>
          <w:rStyle w:val="normaltextrun"/>
          <w:rFonts w:ascii="Arial" w:eastAsia="Arial" w:hAnsi="Arial" w:cs="Arial"/>
          <w:color w:val="002060"/>
          <w:sz w:val="21"/>
          <w:szCs w:val="21"/>
        </w:rPr>
        <w:t>Previous winners may enter again.</w:t>
      </w:r>
    </w:p>
    <w:p w14:paraId="03048635" w14:textId="475C74A9" w:rsidR="0062134A" w:rsidRPr="00537F97" w:rsidRDefault="00775F63">
      <w:pPr>
        <w:pStyle w:val="Heading2"/>
        <w:rPr>
          <w:rStyle w:val="eop"/>
          <w:rFonts w:ascii="Segoe UI" w:eastAsiaTheme="minorHAnsi" w:hAnsi="Segoe UI" w:cs="Segoe UI"/>
          <w:b w:val="0"/>
          <w:color w:val="002060"/>
          <w:sz w:val="18"/>
          <w:szCs w:val="18"/>
        </w:rPr>
      </w:pPr>
      <w:r w:rsidRPr="00537F97">
        <w:rPr>
          <w:rStyle w:val="normaltextrun"/>
          <w:rFonts w:eastAsiaTheme="majorEastAsia"/>
          <w:color w:val="002060"/>
        </w:rPr>
        <w:t>Award criteria</w:t>
      </w:r>
      <w:r w:rsidR="0062134A" w:rsidRPr="00537F97">
        <w:rPr>
          <w:rStyle w:val="normaltextrun"/>
          <w:rFonts w:eastAsiaTheme="majorEastAsia" w:cs="Arial"/>
          <w:color w:val="002060"/>
          <w:sz w:val="21"/>
          <w:szCs w:val="21"/>
        </w:rPr>
        <w:t>   </w:t>
      </w:r>
      <w:r w:rsidR="0062134A" w:rsidRPr="00537F97">
        <w:rPr>
          <w:rStyle w:val="eop"/>
          <w:rFonts w:cs="Arial"/>
          <w:color w:val="002060"/>
          <w:sz w:val="21"/>
          <w:szCs w:val="21"/>
        </w:rPr>
        <w:t> </w:t>
      </w:r>
      <w:r w:rsidR="0062134A" w:rsidRPr="00537F97">
        <w:rPr>
          <w:rStyle w:val="eop"/>
          <w:rFonts w:ascii="Segoe UI" w:hAnsi="Segoe UI" w:cs="Segoe UI"/>
          <w:color w:val="002060"/>
          <w:sz w:val="18"/>
          <w:szCs w:val="18"/>
        </w:rPr>
        <w:t> </w:t>
      </w:r>
    </w:p>
    <w:p w14:paraId="677B99AB" w14:textId="7E2493BF" w:rsidR="00D32294" w:rsidRDefault="000D2667" w:rsidP="00DC2935">
      <w:pPr>
        <w:pStyle w:val="Body"/>
        <w:rPr>
          <w:color w:val="002060"/>
        </w:rPr>
      </w:pPr>
      <w:r w:rsidRPr="00537F97">
        <w:rPr>
          <w:color w:val="002060"/>
        </w:rPr>
        <w:t xml:space="preserve">Judging involves the </w:t>
      </w:r>
      <w:r w:rsidR="00CF78C8" w:rsidRPr="00537F97">
        <w:rPr>
          <w:color w:val="002060"/>
        </w:rPr>
        <w:t>assess</w:t>
      </w:r>
      <w:r w:rsidRPr="00537F97">
        <w:rPr>
          <w:color w:val="002060"/>
        </w:rPr>
        <w:t>ment</w:t>
      </w:r>
      <w:r w:rsidR="00CF78C8" w:rsidRPr="00537F97">
        <w:rPr>
          <w:color w:val="002060"/>
        </w:rPr>
        <w:t xml:space="preserve"> and scor</w:t>
      </w:r>
      <w:r w:rsidRPr="00537F97">
        <w:rPr>
          <w:color w:val="002060"/>
        </w:rPr>
        <w:t>ing of</w:t>
      </w:r>
      <w:r w:rsidR="00CF78C8" w:rsidRPr="00537F97">
        <w:rPr>
          <w:color w:val="002060"/>
        </w:rPr>
        <w:t xml:space="preserve"> entries according to the following criteria and submit a score of 1, 2, 3, 4 or 5 against each criterion. The criteria for scoring align directly to the sections on the entry form.</w:t>
      </w:r>
    </w:p>
    <w:p w14:paraId="7524642D" w14:textId="77777777" w:rsidR="00CA38B3" w:rsidRPr="0023231B" w:rsidRDefault="00CA38B3" w:rsidP="00CA38B3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23231B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  <w:r w:rsidRPr="0023231B">
        <w:rPr>
          <w:rStyle w:val="normaltextrun"/>
          <w:rFonts w:ascii="Arial" w:eastAsiaTheme="majorEastAsia" w:hAnsi="Arial"/>
          <w:b/>
          <w:szCs w:val="28"/>
          <w:lang w:eastAsia="en-US"/>
        </w:rPr>
        <w:t> </w:t>
      </w:r>
    </w:p>
    <w:p w14:paraId="10240764" w14:textId="77777777" w:rsidR="00CA38B3" w:rsidRPr="0023231B" w:rsidRDefault="00CA38B3" w:rsidP="00CA38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57DDDAEC" w14:textId="300109E8" w:rsidR="00CA38B3" w:rsidRDefault="00CA38B3" w:rsidP="00CA38B3">
      <w:pPr>
        <w:pStyle w:val="Body"/>
        <w:rPr>
          <w:color w:val="002060"/>
        </w:rPr>
      </w:pPr>
      <w:r w:rsidRPr="0023231B">
        <w:rPr>
          <w:color w:val="002060"/>
        </w:rPr>
        <w:t> </w:t>
      </w:r>
      <w:r w:rsidRPr="0023231B">
        <w:rPr>
          <w:color w:val="002060"/>
        </w:rPr>
        <w:br/>
        <w:t xml:space="preserve">The summary should be suitable for the </w:t>
      </w:r>
      <w:proofErr w:type="gramStart"/>
      <w:r w:rsidRPr="0023231B">
        <w:rPr>
          <w:color w:val="002060"/>
        </w:rPr>
        <w:t>general public</w:t>
      </w:r>
      <w:proofErr w:type="gramEnd"/>
      <w:r w:rsidRPr="0023231B">
        <w:rPr>
          <w:color w:val="002060"/>
        </w:rPr>
        <w:t xml:space="preserve"> and written from a third-person perspective. Should you be a finalist, this summary will be used in our communications.</w:t>
      </w:r>
      <w:r w:rsidRPr="0023231B">
        <w:rPr>
          <w:b/>
          <w:bCs/>
          <w:color w:val="002060"/>
        </w:rPr>
        <w:t> Note</w:t>
      </w:r>
      <w:r w:rsidR="006D224F">
        <w:rPr>
          <w:b/>
          <w:bCs/>
          <w:color w:val="002060"/>
        </w:rPr>
        <w:t>:</w:t>
      </w:r>
      <w:r w:rsidRPr="0023231B">
        <w:rPr>
          <w:color w:val="002060"/>
        </w:rPr>
        <w:t> This will not be assessed or scored as part of your entry.</w:t>
      </w:r>
    </w:p>
    <w:p w14:paraId="686EFF45" w14:textId="77777777" w:rsidR="00EE6A98" w:rsidRPr="00537F97" w:rsidRDefault="00EE6A98" w:rsidP="00CA38B3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242"/>
        <w:gridCol w:w="1271"/>
      </w:tblGrid>
      <w:tr w:rsidR="0078066F" w:rsidRPr="0078066F" w14:paraId="0D65B702" w14:textId="77777777" w:rsidTr="00D50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0" w:type="dxa"/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0" w:type="dxa"/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36138748" w:rsidR="0078066F" w:rsidRDefault="00DE0267" w:rsidP="68BE7AF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8BE7AF1">
              <w:rPr>
                <w:lang w:eastAsia="en-AU"/>
              </w:rPr>
              <w:t>This is the opportunity to tell the story of your organisation and its achievements over the last 12 months</w:t>
            </w:r>
            <w:r w:rsidR="72EFE6F5" w:rsidRPr="00F568F5">
              <w:rPr>
                <w:lang w:eastAsia="en-AU"/>
              </w:rPr>
              <w:t xml:space="preserve"> </w:t>
            </w:r>
            <w:r w:rsidR="00F568F5" w:rsidRPr="00F568F5">
              <w:rPr>
                <w:lang w:eastAsia="en-AU"/>
              </w:rPr>
              <w:t>(</w:t>
            </w:r>
            <w:proofErr w:type="gramStart"/>
            <w:r w:rsidR="00F568F5" w:rsidRPr="00F568F5">
              <w:rPr>
                <w:lang w:eastAsia="en-AU"/>
              </w:rPr>
              <w:t>i.e.</w:t>
            </w:r>
            <w:proofErr w:type="gramEnd"/>
            <w:r w:rsidR="00F568F5" w:rsidRPr="00F568F5">
              <w:rPr>
                <w:lang w:eastAsia="en-AU"/>
              </w:rPr>
              <w:t xml:space="preserve"> </w:t>
            </w:r>
            <w:r w:rsidR="00A45691" w:rsidRPr="00A45691">
              <w:rPr>
                <w:lang w:eastAsia="en-AU"/>
              </w:rPr>
              <w:t>5 June 2022 – 4 June 2023</w:t>
            </w:r>
            <w:r w:rsidR="00F568F5" w:rsidRPr="00F568F5">
              <w:rPr>
                <w:lang w:eastAsia="en-AU"/>
              </w:rPr>
              <w:t>)</w:t>
            </w:r>
            <w:r w:rsidR="72EFE6F5" w:rsidRPr="00F568F5">
              <w:rPr>
                <w:lang w:eastAsia="en-AU"/>
              </w:rPr>
              <w:t>. It should briefly touch on the orga</w:t>
            </w:r>
            <w:r w:rsidR="72EFE6F5" w:rsidRPr="00A45691">
              <w:rPr>
                <w:lang w:eastAsia="en-AU"/>
              </w:rPr>
              <w:t>nisation’s</w:t>
            </w:r>
            <w:r w:rsidR="72EFE6F5" w:rsidRPr="68BE7AF1">
              <w:rPr>
                <w:rFonts w:eastAsia="Arial" w:cs="Arial"/>
                <w:color w:val="000000" w:themeColor="text1"/>
                <w:szCs w:val="21"/>
              </w:rPr>
              <w:t xml:space="preserve"> key achievements between for 2022-23</w:t>
            </w:r>
            <w:r w:rsidRPr="68BE7AF1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68BE7AF1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lastRenderedPageBreak/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lastRenderedPageBreak/>
              <w:t>0  </w:t>
            </w:r>
          </w:p>
        </w:tc>
      </w:tr>
      <w:tr w:rsidR="0078066F" w:rsidRPr="0078066F" w14:paraId="386CBA27" w14:textId="77777777" w:rsidTr="00D50FFD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0" w:type="dxa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Has the organisation demonstrated that it is a sustainable, </w:t>
            </w:r>
            <w:proofErr w:type="gramStart"/>
            <w:r w:rsidRPr="0078066F">
              <w:rPr>
                <w:lang w:eastAsia="en-AU"/>
              </w:rPr>
              <w:t>efficient</w:t>
            </w:r>
            <w:proofErr w:type="gramEnd"/>
            <w:r w:rsidRPr="0078066F">
              <w:rPr>
                <w:lang w:eastAsia="en-AU"/>
              </w:rPr>
              <w:t xml:space="preserve">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0" w:type="dxa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D50FFD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0" w:type="dxa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Have patient outcomes been enhanced by innovations, </w:t>
            </w:r>
            <w:proofErr w:type="gramStart"/>
            <w:r w:rsidRPr="0078066F">
              <w:rPr>
                <w:lang w:eastAsia="en-AU"/>
              </w:rPr>
              <w:t>collaborations</w:t>
            </w:r>
            <w:proofErr w:type="gramEnd"/>
            <w:r w:rsidRPr="0078066F">
              <w:rPr>
                <w:lang w:eastAsia="en-AU"/>
              </w:rPr>
              <w:t xml:space="preserve">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0" w:type="dxa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D50FFD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0" w:type="dxa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0" w:type="dxa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lastRenderedPageBreak/>
              <w:t>1-5  </w:t>
            </w:r>
          </w:p>
        </w:tc>
      </w:tr>
      <w:tr w:rsidR="191BFF61" w14:paraId="6F50CD89" w14:textId="77777777" w:rsidTr="00D50FF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4DB6CE0" w14:textId="5E4A385B" w:rsidR="191BFF61" w:rsidRDefault="191BFF61" w:rsidP="191BFF61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Contributing to a positive workplace culture, including results</w:t>
            </w:r>
          </w:p>
        </w:tc>
        <w:tc>
          <w:tcPr>
            <w:tcW w:w="0" w:type="dxa"/>
            <w:hideMark/>
          </w:tcPr>
          <w:p w14:paraId="3DFD338A" w14:textId="3266D74A" w:rsidR="191BFF61" w:rsidRDefault="191BFF61" w:rsidP="191BFF6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5DA7E443" w14:textId="40A5B1EC" w:rsidR="191BFF61" w:rsidRDefault="191BFF61" w:rsidP="191BFF6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0" w:type="dxa"/>
            <w:hideMark/>
          </w:tcPr>
          <w:p w14:paraId="7F3DCAF4" w14:textId="5E87A975" w:rsidR="191BFF61" w:rsidRDefault="005B69ED" w:rsidP="191BFF61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40C750C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6542E89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5B69ED">
              <w:t>y</w:t>
            </w:r>
            <w:r w:rsidR="006D04C6">
              <w:t xml:space="preserve"> 202</w:t>
            </w:r>
            <w:r w:rsidR="005B69ED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6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E982" w14:textId="77777777" w:rsidR="005237A7" w:rsidRDefault="005237A7">
      <w:r>
        <w:separator/>
      </w:r>
    </w:p>
  </w:endnote>
  <w:endnote w:type="continuationSeparator" w:id="0">
    <w:p w14:paraId="0D8614E5" w14:textId="77777777" w:rsidR="005237A7" w:rsidRDefault="005237A7">
      <w:r>
        <w:continuationSeparator/>
      </w:r>
    </w:p>
  </w:endnote>
  <w:endnote w:type="continuationNotice" w:id="1">
    <w:p w14:paraId="7DE22E05" w14:textId="77777777" w:rsidR="005237A7" w:rsidRDefault="0052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DF9B" w14:textId="77777777" w:rsidR="005237A7" w:rsidRDefault="005237A7" w:rsidP="002862F1">
      <w:pPr>
        <w:spacing w:before="120"/>
      </w:pPr>
      <w:r>
        <w:separator/>
      </w:r>
    </w:p>
  </w:footnote>
  <w:footnote w:type="continuationSeparator" w:id="0">
    <w:p w14:paraId="729021D6" w14:textId="77777777" w:rsidR="005237A7" w:rsidRDefault="005237A7">
      <w:r>
        <w:continuationSeparator/>
      </w:r>
    </w:p>
  </w:footnote>
  <w:footnote w:type="continuationNotice" w:id="1">
    <w:p w14:paraId="245B3A26" w14:textId="77777777" w:rsidR="005237A7" w:rsidRDefault="0052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10AF"/>
    <w:multiLevelType w:val="hybridMultilevel"/>
    <w:tmpl w:val="A89C1178"/>
    <w:lvl w:ilvl="0" w:tplc="963E6A1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E0281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84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A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40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4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7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9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F1A2860A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8DF450A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DAC6632E">
      <w:start w:val="1"/>
      <w:numFmt w:val="decimal"/>
      <w:lvlRestart w:val="0"/>
      <w:lvlText w:val=""/>
      <w:lvlJc w:val="left"/>
      <w:pPr>
        <w:ind w:left="0" w:firstLine="0"/>
      </w:pPr>
    </w:lvl>
    <w:lvl w:ilvl="3" w:tplc="33CC8234">
      <w:start w:val="1"/>
      <w:numFmt w:val="decimal"/>
      <w:lvlRestart w:val="0"/>
      <w:lvlText w:val=""/>
      <w:lvlJc w:val="left"/>
      <w:pPr>
        <w:ind w:left="0" w:firstLine="0"/>
      </w:pPr>
    </w:lvl>
    <w:lvl w:ilvl="4" w:tplc="A552D2A8">
      <w:start w:val="1"/>
      <w:numFmt w:val="decimal"/>
      <w:lvlRestart w:val="0"/>
      <w:lvlText w:val=""/>
      <w:lvlJc w:val="left"/>
      <w:pPr>
        <w:ind w:left="0" w:firstLine="0"/>
      </w:pPr>
    </w:lvl>
    <w:lvl w:ilvl="5" w:tplc="16064264">
      <w:start w:val="1"/>
      <w:numFmt w:val="decimal"/>
      <w:lvlRestart w:val="0"/>
      <w:lvlText w:val=""/>
      <w:lvlJc w:val="left"/>
      <w:pPr>
        <w:ind w:left="0" w:firstLine="0"/>
      </w:pPr>
    </w:lvl>
    <w:lvl w:ilvl="6" w:tplc="78F24C0E">
      <w:start w:val="1"/>
      <w:numFmt w:val="decimal"/>
      <w:lvlRestart w:val="0"/>
      <w:lvlText w:val=""/>
      <w:lvlJc w:val="left"/>
      <w:pPr>
        <w:ind w:left="0" w:firstLine="0"/>
      </w:pPr>
    </w:lvl>
    <w:lvl w:ilvl="7" w:tplc="441A2184">
      <w:start w:val="1"/>
      <w:numFmt w:val="decimal"/>
      <w:lvlRestart w:val="0"/>
      <w:lvlText w:val=""/>
      <w:lvlJc w:val="left"/>
      <w:pPr>
        <w:ind w:left="0" w:firstLine="0"/>
      </w:pPr>
    </w:lvl>
    <w:lvl w:ilvl="8" w:tplc="0BA4000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DFEE299"/>
    <w:multiLevelType w:val="hybridMultilevel"/>
    <w:tmpl w:val="F2C8AD0A"/>
    <w:lvl w:ilvl="0" w:tplc="FFFAB3A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FC36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0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2A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6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4F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539">
    <w:abstractNumId w:val="0"/>
  </w:num>
  <w:num w:numId="2" w16cid:durableId="338510860">
    <w:abstractNumId w:val="9"/>
  </w:num>
  <w:num w:numId="3" w16cid:durableId="785929722">
    <w:abstractNumId w:val="3"/>
  </w:num>
  <w:num w:numId="4" w16cid:durableId="1151562650">
    <w:abstractNumId w:val="7"/>
  </w:num>
  <w:num w:numId="5" w16cid:durableId="1167742511">
    <w:abstractNumId w:val="6"/>
  </w:num>
  <w:num w:numId="6" w16cid:durableId="381367294">
    <w:abstractNumId w:val="8"/>
  </w:num>
  <w:num w:numId="7" w16cid:durableId="407313649">
    <w:abstractNumId w:val="4"/>
  </w:num>
  <w:num w:numId="8" w16cid:durableId="1797528594">
    <w:abstractNumId w:val="1"/>
  </w:num>
  <w:num w:numId="9" w16cid:durableId="951941995">
    <w:abstractNumId w:val="2"/>
  </w:num>
  <w:num w:numId="10" w16cid:durableId="18272402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074C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0712C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1C7"/>
    <w:rsid w:val="0045230A"/>
    <w:rsid w:val="00454AD0"/>
    <w:rsid w:val="00457337"/>
    <w:rsid w:val="00462E3D"/>
    <w:rsid w:val="004666B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0EFD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37A7"/>
    <w:rsid w:val="00526AC7"/>
    <w:rsid w:val="00526C15"/>
    <w:rsid w:val="00527D80"/>
    <w:rsid w:val="0053040D"/>
    <w:rsid w:val="005350D0"/>
    <w:rsid w:val="00536395"/>
    <w:rsid w:val="00536499"/>
    <w:rsid w:val="00537F97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2930"/>
    <w:rsid w:val="00596A4B"/>
    <w:rsid w:val="00597507"/>
    <w:rsid w:val="005A479D"/>
    <w:rsid w:val="005A65E4"/>
    <w:rsid w:val="005B1C6D"/>
    <w:rsid w:val="005B21B6"/>
    <w:rsid w:val="005B3A08"/>
    <w:rsid w:val="005B69ED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C2D12"/>
    <w:rsid w:val="006C4A4F"/>
    <w:rsid w:val="006D04C6"/>
    <w:rsid w:val="006D0F16"/>
    <w:rsid w:val="006D224F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A324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E6756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28A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45691"/>
    <w:rsid w:val="00A527EB"/>
    <w:rsid w:val="00A54715"/>
    <w:rsid w:val="00A6061C"/>
    <w:rsid w:val="00A62D44"/>
    <w:rsid w:val="00A67263"/>
    <w:rsid w:val="00A70381"/>
    <w:rsid w:val="00A7161C"/>
    <w:rsid w:val="00A75EB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79B7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8B3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0FFD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757C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1A1C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A98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356D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8F5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76B08D9"/>
    <w:rsid w:val="13B678B1"/>
    <w:rsid w:val="15D50430"/>
    <w:rsid w:val="191BFF61"/>
    <w:rsid w:val="25A71C9D"/>
    <w:rsid w:val="28EBCB76"/>
    <w:rsid w:val="2FE2AC36"/>
    <w:rsid w:val="304A8CE0"/>
    <w:rsid w:val="34547A64"/>
    <w:rsid w:val="4490F857"/>
    <w:rsid w:val="45E51012"/>
    <w:rsid w:val="4ED86176"/>
    <w:rsid w:val="53BD2117"/>
    <w:rsid w:val="59124BF0"/>
    <w:rsid w:val="5E9A97AE"/>
    <w:rsid w:val="65381176"/>
    <w:rsid w:val="6843B537"/>
    <w:rsid w:val="68BE7AF1"/>
    <w:rsid w:val="71953758"/>
    <w:rsid w:val="72EFE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4.xml><?xml version="1.0" encoding="utf-8"?>
<ds:datastoreItem xmlns:ds="http://schemas.openxmlformats.org/officeDocument/2006/customXml" ds:itemID="{FAA78AEF-D0F8-422E-91A0-EB8999F9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Premier entry requirements and criteria</vt:lpstr>
    </vt:vector>
  </TitlesOfParts>
  <Manager/>
  <Company>Victoria State Government, Department of Health</Company>
  <LinksUpToDate>false</LinksUpToDate>
  <CharactersWithSpaces>5882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criteria - Category 19 - Premiers Large Health Service of the Year</dc:title>
  <dc:subject/>
  <dc:creator/>
  <cp:keywords/>
  <dc:description/>
  <cp:revision>81</cp:revision>
  <cp:lastPrinted>2020-03-30T03:28:00Z</cp:lastPrinted>
  <dcterms:created xsi:type="dcterms:W3CDTF">2022-03-21T20:27:00Z</dcterms:created>
  <dcterms:modified xsi:type="dcterms:W3CDTF">2023-06-01T01:32:00Z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2022-03-22T09:03:04Z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d82e1a05-8b40-4e83-91db-3d247ce01dc0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