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B4BB" w14:textId="5CBF012B" w:rsidR="00056EC4" w:rsidRPr="00E317DD" w:rsidRDefault="005C6917" w:rsidP="00977D59">
      <w:pPr>
        <w:pStyle w:val="Heading1"/>
        <w:rPr>
          <w:b/>
          <w:bCs w:val="0"/>
        </w:rPr>
      </w:pPr>
      <w:bookmarkStart w:id="0" w:name="_Toc109649952"/>
      <w:r w:rsidRPr="00E317DD">
        <w:rPr>
          <w:b/>
          <w:bCs w:val="0"/>
          <w:noProof/>
        </w:rPr>
        <w:drawing>
          <wp:anchor distT="0" distB="0" distL="114300" distR="114300" simplePos="0" relativeHeight="251658240" behindDoc="1" locked="1" layoutInCell="1" allowOverlap="1" wp14:anchorId="36B86FDE" wp14:editId="67092B80">
            <wp:simplePos x="0" y="0"/>
            <wp:positionH relativeFrom="page">
              <wp:align>left</wp:align>
            </wp:positionH>
            <wp:positionV relativeFrom="page">
              <wp:align>top</wp:align>
            </wp:positionV>
            <wp:extent cx="7560000" cy="10152000"/>
            <wp:effectExtent l="0" t="0" r="3175" b="190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14:paraId="6966E527" w14:textId="77777777" w:rsidTr="0011330C">
        <w:trPr>
          <w:cantSplit/>
        </w:trPr>
        <w:tc>
          <w:tcPr>
            <w:tcW w:w="0" w:type="auto"/>
            <w:tcMar>
              <w:top w:w="0" w:type="dxa"/>
              <w:left w:w="0" w:type="dxa"/>
              <w:right w:w="0" w:type="dxa"/>
            </w:tcMar>
          </w:tcPr>
          <w:p w14:paraId="7E0A3A2E" w14:textId="269CB7AC" w:rsidR="00AD784C" w:rsidRPr="00E317DD" w:rsidRDefault="00E317DD" w:rsidP="00431F42">
            <w:pPr>
              <w:pStyle w:val="Documenttitle"/>
              <w:rPr>
                <w:b w:val="0"/>
                <w:bCs/>
              </w:rPr>
            </w:pPr>
            <w:r w:rsidRPr="00E317DD">
              <w:rPr>
                <w:b w:val="0"/>
                <w:bCs/>
              </w:rPr>
              <w:t>Serious Transfusion Incident Report guide</w:t>
            </w:r>
          </w:p>
        </w:tc>
      </w:tr>
      <w:tr w:rsidR="00E317DD" w14:paraId="094F0213" w14:textId="77777777" w:rsidTr="0011330C">
        <w:trPr>
          <w:cantSplit/>
        </w:trPr>
        <w:tc>
          <w:tcPr>
            <w:tcW w:w="0" w:type="auto"/>
            <w:tcMar>
              <w:top w:w="0" w:type="dxa"/>
              <w:left w:w="0" w:type="dxa"/>
              <w:right w:w="0" w:type="dxa"/>
            </w:tcMar>
          </w:tcPr>
          <w:p w14:paraId="2B5F7D19" w14:textId="77777777" w:rsidR="00E317DD" w:rsidRPr="00431F42" w:rsidRDefault="00E317DD" w:rsidP="00431F42">
            <w:pPr>
              <w:pStyle w:val="Documenttitle"/>
            </w:pPr>
          </w:p>
        </w:tc>
      </w:tr>
      <w:tr w:rsidR="00AD784C" w14:paraId="4F62E441" w14:textId="77777777" w:rsidTr="0011330C">
        <w:trPr>
          <w:cantSplit/>
        </w:trPr>
        <w:tc>
          <w:tcPr>
            <w:tcW w:w="0" w:type="auto"/>
          </w:tcPr>
          <w:p w14:paraId="2B71FF7B" w14:textId="2E72AEBA" w:rsidR="00386109" w:rsidRPr="00A1389F" w:rsidRDefault="00E317DD" w:rsidP="009315BE">
            <w:pPr>
              <w:pStyle w:val="Documentsubtitle"/>
            </w:pPr>
            <w:r>
              <w:t>Blood Matters 2022</w:t>
            </w:r>
          </w:p>
        </w:tc>
      </w:tr>
      <w:tr w:rsidR="00430393" w14:paraId="40AD47B1" w14:textId="77777777" w:rsidTr="0011330C">
        <w:trPr>
          <w:cantSplit/>
        </w:trPr>
        <w:tc>
          <w:tcPr>
            <w:tcW w:w="0" w:type="auto"/>
          </w:tcPr>
          <w:p w14:paraId="1FDB71E6" w14:textId="77777777" w:rsidR="00430393" w:rsidRDefault="0011330C" w:rsidP="00430393">
            <w:pPr>
              <w:pStyle w:val="Bannermarking"/>
            </w:pPr>
            <w:r>
              <w:fldChar w:fldCharType="begin"/>
            </w:r>
            <w:r>
              <w:instrText xml:space="preserve"> FILLIN  "Type the protective marking" \d OFFICIAL \o  \* MERGEFORMAT </w:instrText>
            </w:r>
            <w:r>
              <w:fldChar w:fldCharType="separate"/>
            </w:r>
            <w:r w:rsidR="005E5C06">
              <w:t>OFFICIAL</w:t>
            </w:r>
            <w:r>
              <w:fldChar w:fldCharType="end"/>
            </w:r>
          </w:p>
        </w:tc>
      </w:tr>
    </w:tbl>
    <w:p w14:paraId="52A4218C" w14:textId="77777777" w:rsidR="00FE4081" w:rsidRDefault="00FE4081" w:rsidP="00FE4081">
      <w:pPr>
        <w:pStyle w:val="Body"/>
      </w:pPr>
    </w:p>
    <w:p w14:paraId="7DA7E64D"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2D3B0E23"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598"/>
      </w:tblGrid>
      <w:tr w:rsidR="00431F42" w14:paraId="20A34B34" w14:textId="77777777" w:rsidTr="0011330C">
        <w:trPr>
          <w:trHeight w:val="7371"/>
        </w:trPr>
        <w:tc>
          <w:tcPr>
            <w:tcW w:w="7598" w:type="dxa"/>
            <w:vAlign w:val="center"/>
          </w:tcPr>
          <w:p w14:paraId="688AB27E" w14:textId="77777777" w:rsidR="00E317DD" w:rsidRPr="00753C61" w:rsidRDefault="00E317DD" w:rsidP="00E317DD">
            <w:pPr>
              <w:pStyle w:val="DHHSreportmaintitle"/>
              <w:rPr>
                <w:bCs/>
              </w:rPr>
            </w:pPr>
            <w:r w:rsidRPr="00753C61">
              <w:rPr>
                <w:bCs/>
              </w:rPr>
              <w:lastRenderedPageBreak/>
              <w:t>Serious transfusion incident reporting guide</w:t>
            </w:r>
          </w:p>
          <w:p w14:paraId="4D9A196C" w14:textId="459533D1" w:rsidR="00E317DD" w:rsidRPr="00E317DD" w:rsidRDefault="00E317DD" w:rsidP="00E317DD">
            <w:pPr>
              <w:pStyle w:val="Documenttitle"/>
              <w:rPr>
                <w:b w:val="0"/>
                <w:bCs/>
                <w:color w:val="auto"/>
              </w:rPr>
            </w:pPr>
            <w:r w:rsidRPr="00E317DD">
              <w:rPr>
                <w:b w:val="0"/>
                <w:bCs/>
                <w:color w:val="auto"/>
                <w:sz w:val="40"/>
                <w:szCs w:val="40"/>
              </w:rPr>
              <w:t>Revised 2022</w:t>
            </w:r>
          </w:p>
          <w:p w14:paraId="2BCE33BB" w14:textId="5CF6C85F" w:rsidR="00431F42" w:rsidRDefault="00431F42" w:rsidP="00431F42">
            <w:pPr>
              <w:pStyle w:val="Documentsubtitle"/>
            </w:pPr>
          </w:p>
        </w:tc>
      </w:tr>
      <w:tr w:rsidR="00431F42" w14:paraId="1F823493" w14:textId="77777777" w:rsidTr="0011330C">
        <w:tc>
          <w:tcPr>
            <w:tcW w:w="7598" w:type="dxa"/>
          </w:tcPr>
          <w:p w14:paraId="3388BB32" w14:textId="77777777" w:rsidR="00431F42" w:rsidRDefault="00431F42" w:rsidP="00431F42">
            <w:pPr>
              <w:pStyle w:val="Body"/>
            </w:pPr>
          </w:p>
        </w:tc>
      </w:tr>
    </w:tbl>
    <w:p w14:paraId="6127A2D9" w14:textId="77777777" w:rsidR="000D2ABA" w:rsidRDefault="000D2ABA" w:rsidP="00431F42">
      <w:pPr>
        <w:pStyle w:val="Body"/>
      </w:pPr>
      <w:r>
        <w:br w:type="page"/>
      </w:r>
    </w:p>
    <w:p w14:paraId="489F488E"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88"/>
      </w:tblGrid>
      <w:tr w:rsidR="009F2182" w14:paraId="5A5D7208" w14:textId="77777777" w:rsidTr="0011330C">
        <w:trPr>
          <w:cantSplit/>
          <w:trHeight w:val="7088"/>
        </w:trPr>
        <w:tc>
          <w:tcPr>
            <w:tcW w:w="9288" w:type="dxa"/>
          </w:tcPr>
          <w:p w14:paraId="2A2B4E09" w14:textId="7E437C5D" w:rsidR="009F2182" w:rsidRPr="00BA26F6" w:rsidRDefault="009F2182" w:rsidP="00BA26F6">
            <w:pPr>
              <w:pStyle w:val="Body"/>
              <w:rPr>
                <w:rFonts w:eastAsia="Times New Roman"/>
                <w:color w:val="87189D"/>
                <w:sz w:val="24"/>
                <w:szCs w:val="24"/>
              </w:rPr>
            </w:pPr>
          </w:p>
        </w:tc>
      </w:tr>
      <w:tr w:rsidR="009F2182" w14:paraId="48C95214" w14:textId="77777777" w:rsidTr="0011330C">
        <w:trPr>
          <w:cantSplit/>
          <w:trHeight w:val="5103"/>
        </w:trPr>
        <w:tc>
          <w:tcPr>
            <w:tcW w:w="9288" w:type="dxa"/>
            <w:vAlign w:val="bottom"/>
          </w:tcPr>
          <w:p w14:paraId="4DEC70AD" w14:textId="7187463A" w:rsidR="009F2182" w:rsidRPr="0055119B" w:rsidRDefault="009F2182" w:rsidP="009F2182">
            <w:pPr>
              <w:pStyle w:val="Accessibilitypara"/>
            </w:pPr>
            <w:r w:rsidRPr="0055119B">
              <w:t>To receive this document in another format</w:t>
            </w:r>
            <w:r>
              <w:t>,</w:t>
            </w:r>
            <w:r w:rsidRPr="0055119B">
              <w:t xml:space="preserve"> phone </w:t>
            </w:r>
            <w:r w:rsidR="00164ECA">
              <w:rPr>
                <w:color w:val="004C97"/>
              </w:rPr>
              <w:t>03 9694 0102</w:t>
            </w:r>
            <w:r w:rsidRPr="0055119B">
              <w:t xml:space="preserve">, using the National Relay Service 13 36 77 if required, or email </w:t>
            </w:r>
            <w:r w:rsidR="00164ECA">
              <w:rPr>
                <w:color w:val="004C97"/>
              </w:rPr>
              <w:t xml:space="preserve">STIR </w:t>
            </w:r>
            <w:r w:rsidRPr="0055119B">
              <w:t>&lt;</w:t>
            </w:r>
            <w:hyperlink r:id="rId18" w:history="1">
              <w:r w:rsidR="00164ECA" w:rsidRPr="00CF0929">
                <w:rPr>
                  <w:rStyle w:val="Hyperlink"/>
                </w:rPr>
                <w:t>stir@redcrossblood.org.au</w:t>
              </w:r>
            </w:hyperlink>
            <w:r w:rsidRPr="0055119B">
              <w:t>&gt;.</w:t>
            </w:r>
          </w:p>
          <w:p w14:paraId="02AB798A" w14:textId="77777777" w:rsidR="009F2182" w:rsidRPr="0055119B" w:rsidRDefault="009F2182" w:rsidP="009F2182">
            <w:pPr>
              <w:pStyle w:val="Imprint"/>
            </w:pPr>
            <w:r w:rsidRPr="0055119B">
              <w:t>Authorised and published by the Victorian Government, 1 Treasury Place, Melbourne.</w:t>
            </w:r>
          </w:p>
          <w:p w14:paraId="07624AB3" w14:textId="3663CED5"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164ECA">
              <w:rPr>
                <w:color w:val="004C97"/>
              </w:rPr>
              <w:t>August 2022</w:t>
            </w:r>
            <w:r w:rsidRPr="0055119B">
              <w:t>.</w:t>
            </w:r>
          </w:p>
          <w:p w14:paraId="786318B0" w14:textId="3983003C" w:rsidR="009F2182" w:rsidRPr="0055119B" w:rsidRDefault="009F2182" w:rsidP="009F2182">
            <w:pPr>
              <w:pStyle w:val="Imprint"/>
            </w:pPr>
            <w:bookmarkStart w:id="1" w:name="_Hlk62746129"/>
            <w:r w:rsidRPr="00164ECA">
              <w:rPr>
                <w:b/>
                <w:bCs/>
              </w:rPr>
              <w:t xml:space="preserve">ISSN </w:t>
            </w:r>
            <w:r w:rsidR="00164ECA" w:rsidRPr="00164ECA">
              <w:rPr>
                <w:b/>
                <w:bCs/>
                <w:color w:val="004C97"/>
              </w:rPr>
              <w:t>2651-8872</w:t>
            </w:r>
            <w:r w:rsidRPr="00E33237">
              <w:rPr>
                <w:color w:val="004C97"/>
              </w:rPr>
              <w:t xml:space="preserve"> </w:t>
            </w:r>
            <w:r w:rsidRPr="0055119B">
              <w:t xml:space="preserve">(online/PDF/Word) </w:t>
            </w:r>
          </w:p>
          <w:p w14:paraId="0CB71FA3" w14:textId="43A71627" w:rsidR="009F2182" w:rsidRPr="0055119B" w:rsidRDefault="009F2182" w:rsidP="009F2182">
            <w:pPr>
              <w:pStyle w:val="Imprint"/>
            </w:pPr>
            <w:r w:rsidRPr="0055119B">
              <w:t xml:space="preserve">Available at </w:t>
            </w:r>
            <w:hyperlink r:id="rId19" w:history="1">
              <w:r w:rsidR="00164ECA" w:rsidRPr="00164ECA">
                <w:rPr>
                  <w:rFonts w:eastAsia="Times New Roman"/>
                  <w:color w:val="0000FF"/>
                  <w:sz w:val="21"/>
                  <w:u w:val="single"/>
                </w:rPr>
                <w:t>Serious Transfusion Incide</w:t>
              </w:r>
              <w:r w:rsidR="00164ECA" w:rsidRPr="00164ECA">
                <w:rPr>
                  <w:rFonts w:eastAsia="Times New Roman"/>
                  <w:color w:val="0000FF"/>
                  <w:sz w:val="21"/>
                  <w:u w:val="single"/>
                </w:rPr>
                <w:t>n</w:t>
              </w:r>
              <w:r w:rsidR="00164ECA" w:rsidRPr="00164ECA">
                <w:rPr>
                  <w:rFonts w:eastAsia="Times New Roman"/>
                  <w:color w:val="0000FF"/>
                  <w:sz w:val="21"/>
                  <w:u w:val="single"/>
                </w:rPr>
                <w:t>t Reporting system (STIR) | health.vic.gov.au</w:t>
              </w:r>
            </w:hyperlink>
            <w:r w:rsidR="00164ECA">
              <w:rPr>
                <w:rFonts w:eastAsia="Times New Roman"/>
                <w:color w:val="auto"/>
                <w:sz w:val="21"/>
              </w:rPr>
              <w:t xml:space="preserve"> </w:t>
            </w:r>
            <w:r w:rsidRPr="0055119B">
              <w:t>&lt;</w:t>
            </w:r>
            <w:r w:rsidR="0011330C" w:rsidRPr="0011330C">
              <w:t>https://www.health.vic.gov.au/patient-care/serious-transfusion-incident-reporting-system</w:t>
            </w:r>
            <w:r w:rsidR="0011330C" w:rsidRPr="0055119B">
              <w:t xml:space="preserve"> </w:t>
            </w:r>
            <w:r w:rsidRPr="0055119B">
              <w:t>&gt;</w:t>
            </w:r>
          </w:p>
          <w:bookmarkEnd w:id="1"/>
          <w:p w14:paraId="684561E4" w14:textId="7A52E042" w:rsidR="009F2182" w:rsidRDefault="009F2182" w:rsidP="009F2182">
            <w:pPr>
              <w:pStyle w:val="Body"/>
            </w:pPr>
          </w:p>
        </w:tc>
      </w:tr>
      <w:tr w:rsidR="0008204A" w14:paraId="3D25F131" w14:textId="77777777" w:rsidTr="0011330C">
        <w:trPr>
          <w:cantSplit/>
        </w:trPr>
        <w:tc>
          <w:tcPr>
            <w:tcW w:w="9288" w:type="dxa"/>
          </w:tcPr>
          <w:p w14:paraId="6E5E9278" w14:textId="77777777" w:rsidR="0008204A" w:rsidRPr="0055119B" w:rsidRDefault="0008204A" w:rsidP="0008204A">
            <w:pPr>
              <w:pStyle w:val="Body"/>
            </w:pPr>
          </w:p>
        </w:tc>
      </w:tr>
    </w:tbl>
    <w:p w14:paraId="73A2B858" w14:textId="77777777" w:rsidR="0008204A" w:rsidRPr="0008204A" w:rsidRDefault="0008204A" w:rsidP="0008204A">
      <w:pPr>
        <w:pStyle w:val="Body"/>
      </w:pPr>
      <w:r w:rsidRPr="0008204A">
        <w:br w:type="page"/>
      </w:r>
    </w:p>
    <w:p w14:paraId="4486F61D" w14:textId="77777777" w:rsidR="00AD784C" w:rsidRPr="00B57329" w:rsidRDefault="00AD784C" w:rsidP="002365B4">
      <w:pPr>
        <w:pStyle w:val="TOCheadingreport"/>
      </w:pPr>
      <w:r w:rsidRPr="00B57329">
        <w:lastRenderedPageBreak/>
        <w:t>Contents</w:t>
      </w:r>
    </w:p>
    <w:p w14:paraId="54A6E3AB" w14:textId="326B8FD6" w:rsidR="00894683"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9649952" w:history="1">
        <w:r w:rsidR="00894683">
          <w:rPr>
            <w:webHidden/>
          </w:rPr>
          <w:tab/>
        </w:r>
        <w:r w:rsidR="00894683">
          <w:rPr>
            <w:webHidden/>
          </w:rPr>
          <w:fldChar w:fldCharType="begin"/>
        </w:r>
        <w:r w:rsidR="00894683">
          <w:rPr>
            <w:webHidden/>
          </w:rPr>
          <w:instrText xml:space="preserve"> PAGEREF _Toc109649952 \h </w:instrText>
        </w:r>
        <w:r w:rsidR="00894683">
          <w:rPr>
            <w:webHidden/>
          </w:rPr>
        </w:r>
        <w:r w:rsidR="00894683">
          <w:rPr>
            <w:webHidden/>
          </w:rPr>
          <w:fldChar w:fldCharType="separate"/>
        </w:r>
        <w:r w:rsidR="00915BEC">
          <w:rPr>
            <w:webHidden/>
          </w:rPr>
          <w:t>1</w:t>
        </w:r>
        <w:r w:rsidR="00894683">
          <w:rPr>
            <w:webHidden/>
          </w:rPr>
          <w:fldChar w:fldCharType="end"/>
        </w:r>
      </w:hyperlink>
    </w:p>
    <w:p w14:paraId="2178F229" w14:textId="070A548B" w:rsidR="00894683" w:rsidRDefault="0011330C">
      <w:pPr>
        <w:pStyle w:val="TOC1"/>
        <w:rPr>
          <w:rFonts w:asciiTheme="minorHAnsi" w:eastAsiaTheme="minorEastAsia" w:hAnsiTheme="minorHAnsi" w:cstheme="minorBidi"/>
          <w:b w:val="0"/>
          <w:sz w:val="22"/>
          <w:szCs w:val="22"/>
          <w:lang w:eastAsia="en-AU"/>
        </w:rPr>
      </w:pPr>
      <w:hyperlink w:anchor="_Toc109649953" w:history="1">
        <w:r w:rsidR="00894683" w:rsidRPr="007D30BB">
          <w:rPr>
            <w:rStyle w:val="Hyperlink"/>
          </w:rPr>
          <w:t>Abbreviations</w:t>
        </w:r>
        <w:r w:rsidR="00894683">
          <w:rPr>
            <w:webHidden/>
          </w:rPr>
          <w:tab/>
        </w:r>
        <w:r w:rsidR="00894683">
          <w:rPr>
            <w:webHidden/>
          </w:rPr>
          <w:fldChar w:fldCharType="begin"/>
        </w:r>
        <w:r w:rsidR="00894683">
          <w:rPr>
            <w:webHidden/>
          </w:rPr>
          <w:instrText xml:space="preserve"> PAGEREF _Toc109649953 \h </w:instrText>
        </w:r>
        <w:r w:rsidR="00894683">
          <w:rPr>
            <w:webHidden/>
          </w:rPr>
        </w:r>
        <w:r w:rsidR="00894683">
          <w:rPr>
            <w:webHidden/>
          </w:rPr>
          <w:fldChar w:fldCharType="separate"/>
        </w:r>
        <w:r w:rsidR="00915BEC">
          <w:rPr>
            <w:webHidden/>
          </w:rPr>
          <w:t>7</w:t>
        </w:r>
        <w:r w:rsidR="00894683">
          <w:rPr>
            <w:webHidden/>
          </w:rPr>
          <w:fldChar w:fldCharType="end"/>
        </w:r>
      </w:hyperlink>
    </w:p>
    <w:p w14:paraId="37EEDCF8" w14:textId="44535813" w:rsidR="00894683" w:rsidRDefault="0011330C">
      <w:pPr>
        <w:pStyle w:val="TOC1"/>
        <w:rPr>
          <w:rFonts w:asciiTheme="minorHAnsi" w:eastAsiaTheme="minorEastAsia" w:hAnsiTheme="minorHAnsi" w:cstheme="minorBidi"/>
          <w:b w:val="0"/>
          <w:sz w:val="22"/>
          <w:szCs w:val="22"/>
          <w:lang w:eastAsia="en-AU"/>
        </w:rPr>
      </w:pPr>
      <w:hyperlink w:anchor="_Toc109649954" w:history="1">
        <w:r w:rsidR="00894683" w:rsidRPr="007D30BB">
          <w:rPr>
            <w:rStyle w:val="Hyperlink"/>
          </w:rPr>
          <w:t>Serious transfusion incident reporting: system overview</w:t>
        </w:r>
        <w:r w:rsidR="00894683">
          <w:rPr>
            <w:webHidden/>
          </w:rPr>
          <w:tab/>
        </w:r>
        <w:r w:rsidR="00894683">
          <w:rPr>
            <w:webHidden/>
          </w:rPr>
          <w:fldChar w:fldCharType="begin"/>
        </w:r>
        <w:r w:rsidR="00894683">
          <w:rPr>
            <w:webHidden/>
          </w:rPr>
          <w:instrText xml:space="preserve"> PAGEREF _Toc109649954 \h </w:instrText>
        </w:r>
        <w:r w:rsidR="00894683">
          <w:rPr>
            <w:webHidden/>
          </w:rPr>
        </w:r>
        <w:r w:rsidR="00894683">
          <w:rPr>
            <w:webHidden/>
          </w:rPr>
          <w:fldChar w:fldCharType="separate"/>
        </w:r>
        <w:r w:rsidR="00915BEC">
          <w:rPr>
            <w:webHidden/>
          </w:rPr>
          <w:t>8</w:t>
        </w:r>
        <w:r w:rsidR="00894683">
          <w:rPr>
            <w:webHidden/>
          </w:rPr>
          <w:fldChar w:fldCharType="end"/>
        </w:r>
      </w:hyperlink>
    </w:p>
    <w:p w14:paraId="619FFA45" w14:textId="1C62EDA9" w:rsidR="00894683" w:rsidRDefault="0011330C">
      <w:pPr>
        <w:pStyle w:val="TOC2"/>
        <w:rPr>
          <w:rFonts w:asciiTheme="minorHAnsi" w:eastAsiaTheme="minorEastAsia" w:hAnsiTheme="minorHAnsi" w:cstheme="minorBidi"/>
          <w:sz w:val="22"/>
          <w:szCs w:val="22"/>
          <w:lang w:eastAsia="en-AU"/>
        </w:rPr>
      </w:pPr>
      <w:hyperlink w:anchor="_Toc109649955" w:history="1">
        <w:r w:rsidR="00894683" w:rsidRPr="007D30BB">
          <w:rPr>
            <w:rStyle w:val="Hyperlink"/>
            <w:rFonts w:eastAsia="Times"/>
          </w:rPr>
          <w:t>Introduction</w:t>
        </w:r>
        <w:r w:rsidR="00894683">
          <w:rPr>
            <w:webHidden/>
          </w:rPr>
          <w:tab/>
        </w:r>
        <w:r w:rsidR="00894683">
          <w:rPr>
            <w:webHidden/>
          </w:rPr>
          <w:fldChar w:fldCharType="begin"/>
        </w:r>
        <w:r w:rsidR="00894683">
          <w:rPr>
            <w:webHidden/>
          </w:rPr>
          <w:instrText xml:space="preserve"> PAGEREF _Toc109649955 \h </w:instrText>
        </w:r>
        <w:r w:rsidR="00894683">
          <w:rPr>
            <w:webHidden/>
          </w:rPr>
        </w:r>
        <w:r w:rsidR="00894683">
          <w:rPr>
            <w:webHidden/>
          </w:rPr>
          <w:fldChar w:fldCharType="separate"/>
        </w:r>
        <w:r w:rsidR="00915BEC">
          <w:rPr>
            <w:webHidden/>
          </w:rPr>
          <w:t>8</w:t>
        </w:r>
        <w:r w:rsidR="00894683">
          <w:rPr>
            <w:webHidden/>
          </w:rPr>
          <w:fldChar w:fldCharType="end"/>
        </w:r>
      </w:hyperlink>
    </w:p>
    <w:p w14:paraId="515123A6" w14:textId="43B831FA" w:rsidR="00894683" w:rsidRDefault="0011330C">
      <w:pPr>
        <w:pStyle w:val="TOC2"/>
        <w:rPr>
          <w:rFonts w:asciiTheme="minorHAnsi" w:eastAsiaTheme="minorEastAsia" w:hAnsiTheme="minorHAnsi" w:cstheme="minorBidi"/>
          <w:sz w:val="22"/>
          <w:szCs w:val="22"/>
          <w:lang w:eastAsia="en-AU"/>
        </w:rPr>
      </w:pPr>
      <w:hyperlink w:anchor="_Toc109649956" w:history="1">
        <w:r w:rsidR="00894683" w:rsidRPr="007D30BB">
          <w:rPr>
            <w:rStyle w:val="Hyperlink"/>
            <w:rFonts w:eastAsia="Times"/>
          </w:rPr>
          <w:t>Purpose</w:t>
        </w:r>
        <w:r w:rsidR="00894683">
          <w:rPr>
            <w:webHidden/>
          </w:rPr>
          <w:tab/>
        </w:r>
        <w:r w:rsidR="00894683">
          <w:rPr>
            <w:webHidden/>
          </w:rPr>
          <w:fldChar w:fldCharType="begin"/>
        </w:r>
        <w:r w:rsidR="00894683">
          <w:rPr>
            <w:webHidden/>
          </w:rPr>
          <w:instrText xml:space="preserve"> PAGEREF _Toc109649956 \h </w:instrText>
        </w:r>
        <w:r w:rsidR="00894683">
          <w:rPr>
            <w:webHidden/>
          </w:rPr>
        </w:r>
        <w:r w:rsidR="00894683">
          <w:rPr>
            <w:webHidden/>
          </w:rPr>
          <w:fldChar w:fldCharType="separate"/>
        </w:r>
        <w:r w:rsidR="00915BEC">
          <w:rPr>
            <w:webHidden/>
          </w:rPr>
          <w:t>8</w:t>
        </w:r>
        <w:r w:rsidR="00894683">
          <w:rPr>
            <w:webHidden/>
          </w:rPr>
          <w:fldChar w:fldCharType="end"/>
        </w:r>
      </w:hyperlink>
    </w:p>
    <w:p w14:paraId="30D17770" w14:textId="28CE4873" w:rsidR="00894683" w:rsidRDefault="0011330C">
      <w:pPr>
        <w:pStyle w:val="TOC2"/>
        <w:rPr>
          <w:rFonts w:asciiTheme="minorHAnsi" w:eastAsiaTheme="minorEastAsia" w:hAnsiTheme="minorHAnsi" w:cstheme="minorBidi"/>
          <w:sz w:val="22"/>
          <w:szCs w:val="22"/>
          <w:lang w:eastAsia="en-AU"/>
        </w:rPr>
      </w:pPr>
      <w:hyperlink w:anchor="_Toc109649957" w:history="1">
        <w:r w:rsidR="00894683" w:rsidRPr="007D30BB">
          <w:rPr>
            <w:rStyle w:val="Hyperlink"/>
            <w:rFonts w:eastAsia="Times"/>
          </w:rPr>
          <w:t>Scope of the system</w:t>
        </w:r>
        <w:r w:rsidR="00894683">
          <w:rPr>
            <w:webHidden/>
          </w:rPr>
          <w:tab/>
        </w:r>
        <w:r w:rsidR="00894683">
          <w:rPr>
            <w:webHidden/>
          </w:rPr>
          <w:fldChar w:fldCharType="begin"/>
        </w:r>
        <w:r w:rsidR="00894683">
          <w:rPr>
            <w:webHidden/>
          </w:rPr>
          <w:instrText xml:space="preserve"> PAGEREF _Toc109649957 \h </w:instrText>
        </w:r>
        <w:r w:rsidR="00894683">
          <w:rPr>
            <w:webHidden/>
          </w:rPr>
        </w:r>
        <w:r w:rsidR="00894683">
          <w:rPr>
            <w:webHidden/>
          </w:rPr>
          <w:fldChar w:fldCharType="separate"/>
        </w:r>
        <w:r w:rsidR="00915BEC">
          <w:rPr>
            <w:webHidden/>
          </w:rPr>
          <w:t>9</w:t>
        </w:r>
        <w:r w:rsidR="00894683">
          <w:rPr>
            <w:webHidden/>
          </w:rPr>
          <w:fldChar w:fldCharType="end"/>
        </w:r>
      </w:hyperlink>
    </w:p>
    <w:p w14:paraId="6EDFDF3F" w14:textId="78BEEE89" w:rsidR="00894683" w:rsidRDefault="0011330C">
      <w:pPr>
        <w:pStyle w:val="TOC1"/>
        <w:rPr>
          <w:rFonts w:asciiTheme="minorHAnsi" w:eastAsiaTheme="minorEastAsia" w:hAnsiTheme="minorHAnsi" w:cstheme="minorBidi"/>
          <w:b w:val="0"/>
          <w:sz w:val="22"/>
          <w:szCs w:val="22"/>
          <w:lang w:eastAsia="en-AU"/>
        </w:rPr>
      </w:pPr>
      <w:hyperlink w:anchor="_Toc109649958" w:history="1">
        <w:r w:rsidR="00894683" w:rsidRPr="007D30BB">
          <w:rPr>
            <w:rStyle w:val="Hyperlink"/>
          </w:rPr>
          <w:t>Reporting categories for transfusion incidents</w:t>
        </w:r>
        <w:r w:rsidR="00894683">
          <w:rPr>
            <w:webHidden/>
          </w:rPr>
          <w:tab/>
        </w:r>
        <w:r w:rsidR="00894683">
          <w:rPr>
            <w:webHidden/>
          </w:rPr>
          <w:fldChar w:fldCharType="begin"/>
        </w:r>
        <w:r w:rsidR="00894683">
          <w:rPr>
            <w:webHidden/>
          </w:rPr>
          <w:instrText xml:space="preserve"> PAGEREF _Toc109649958 \h </w:instrText>
        </w:r>
        <w:r w:rsidR="00894683">
          <w:rPr>
            <w:webHidden/>
          </w:rPr>
        </w:r>
        <w:r w:rsidR="00894683">
          <w:rPr>
            <w:webHidden/>
          </w:rPr>
          <w:fldChar w:fldCharType="separate"/>
        </w:r>
        <w:r w:rsidR="00915BEC">
          <w:rPr>
            <w:webHidden/>
          </w:rPr>
          <w:t>10</w:t>
        </w:r>
        <w:r w:rsidR="00894683">
          <w:rPr>
            <w:webHidden/>
          </w:rPr>
          <w:fldChar w:fldCharType="end"/>
        </w:r>
      </w:hyperlink>
    </w:p>
    <w:p w14:paraId="1D8472BE" w14:textId="425A359F" w:rsidR="00894683" w:rsidRDefault="0011330C">
      <w:pPr>
        <w:pStyle w:val="TOC1"/>
        <w:rPr>
          <w:rFonts w:asciiTheme="minorHAnsi" w:eastAsiaTheme="minorEastAsia" w:hAnsiTheme="minorHAnsi" w:cstheme="minorBidi"/>
          <w:b w:val="0"/>
          <w:sz w:val="22"/>
          <w:szCs w:val="22"/>
          <w:lang w:eastAsia="en-AU"/>
        </w:rPr>
      </w:pPr>
      <w:hyperlink w:anchor="_Toc109649959" w:history="1">
        <w:r w:rsidR="00894683" w:rsidRPr="007D30BB">
          <w:rPr>
            <w:rStyle w:val="Hyperlink"/>
          </w:rPr>
          <w:t>Components of the system</w:t>
        </w:r>
        <w:r w:rsidR="00894683">
          <w:rPr>
            <w:webHidden/>
          </w:rPr>
          <w:tab/>
        </w:r>
        <w:r w:rsidR="00894683">
          <w:rPr>
            <w:webHidden/>
          </w:rPr>
          <w:fldChar w:fldCharType="begin"/>
        </w:r>
        <w:r w:rsidR="00894683">
          <w:rPr>
            <w:webHidden/>
          </w:rPr>
          <w:instrText xml:space="preserve"> PAGEREF _Toc109649959 \h </w:instrText>
        </w:r>
        <w:r w:rsidR="00894683">
          <w:rPr>
            <w:webHidden/>
          </w:rPr>
        </w:r>
        <w:r w:rsidR="00894683">
          <w:rPr>
            <w:webHidden/>
          </w:rPr>
          <w:fldChar w:fldCharType="separate"/>
        </w:r>
        <w:r w:rsidR="00915BEC">
          <w:rPr>
            <w:webHidden/>
          </w:rPr>
          <w:t>11</w:t>
        </w:r>
        <w:r w:rsidR="00894683">
          <w:rPr>
            <w:webHidden/>
          </w:rPr>
          <w:fldChar w:fldCharType="end"/>
        </w:r>
      </w:hyperlink>
    </w:p>
    <w:p w14:paraId="7D32AA6D" w14:textId="286C60D9" w:rsidR="00894683" w:rsidRDefault="0011330C">
      <w:pPr>
        <w:pStyle w:val="TOC2"/>
        <w:rPr>
          <w:rFonts w:asciiTheme="minorHAnsi" w:eastAsiaTheme="minorEastAsia" w:hAnsiTheme="minorHAnsi" w:cstheme="minorBidi"/>
          <w:sz w:val="22"/>
          <w:szCs w:val="22"/>
          <w:lang w:eastAsia="en-AU"/>
        </w:rPr>
      </w:pPr>
      <w:hyperlink w:anchor="_Toc109649960" w:history="1">
        <w:r w:rsidR="00894683" w:rsidRPr="007D30BB">
          <w:rPr>
            <w:rStyle w:val="Hyperlink"/>
            <w:rFonts w:eastAsia="Times"/>
          </w:rPr>
          <w:t>At the local level</w:t>
        </w:r>
        <w:r w:rsidR="00894683">
          <w:rPr>
            <w:webHidden/>
          </w:rPr>
          <w:tab/>
        </w:r>
        <w:r w:rsidR="00894683">
          <w:rPr>
            <w:webHidden/>
          </w:rPr>
          <w:fldChar w:fldCharType="begin"/>
        </w:r>
        <w:r w:rsidR="00894683">
          <w:rPr>
            <w:webHidden/>
          </w:rPr>
          <w:instrText xml:space="preserve"> PAGEREF _Toc109649960 \h </w:instrText>
        </w:r>
        <w:r w:rsidR="00894683">
          <w:rPr>
            <w:webHidden/>
          </w:rPr>
        </w:r>
        <w:r w:rsidR="00894683">
          <w:rPr>
            <w:webHidden/>
          </w:rPr>
          <w:fldChar w:fldCharType="separate"/>
        </w:r>
        <w:r w:rsidR="00915BEC">
          <w:rPr>
            <w:webHidden/>
          </w:rPr>
          <w:t>11</w:t>
        </w:r>
        <w:r w:rsidR="00894683">
          <w:rPr>
            <w:webHidden/>
          </w:rPr>
          <w:fldChar w:fldCharType="end"/>
        </w:r>
      </w:hyperlink>
    </w:p>
    <w:p w14:paraId="1BC11BC6" w14:textId="15200E95" w:rsidR="00894683" w:rsidRDefault="0011330C">
      <w:pPr>
        <w:pStyle w:val="TOC2"/>
        <w:rPr>
          <w:rFonts w:asciiTheme="minorHAnsi" w:eastAsiaTheme="minorEastAsia" w:hAnsiTheme="minorHAnsi" w:cstheme="minorBidi"/>
          <w:sz w:val="22"/>
          <w:szCs w:val="22"/>
          <w:lang w:eastAsia="en-AU"/>
        </w:rPr>
      </w:pPr>
      <w:hyperlink w:anchor="_Toc109649961" w:history="1">
        <w:r w:rsidR="00894683" w:rsidRPr="007D30BB">
          <w:rPr>
            <w:rStyle w:val="Hyperlink"/>
            <w:rFonts w:eastAsia="Times"/>
          </w:rPr>
          <w:t>Notification</w:t>
        </w:r>
        <w:r w:rsidR="00894683">
          <w:rPr>
            <w:webHidden/>
          </w:rPr>
          <w:tab/>
        </w:r>
        <w:r w:rsidR="00894683">
          <w:rPr>
            <w:webHidden/>
          </w:rPr>
          <w:fldChar w:fldCharType="begin"/>
        </w:r>
        <w:r w:rsidR="00894683">
          <w:rPr>
            <w:webHidden/>
          </w:rPr>
          <w:instrText xml:space="preserve"> PAGEREF _Toc109649961 \h </w:instrText>
        </w:r>
        <w:r w:rsidR="00894683">
          <w:rPr>
            <w:webHidden/>
          </w:rPr>
        </w:r>
        <w:r w:rsidR="00894683">
          <w:rPr>
            <w:webHidden/>
          </w:rPr>
          <w:fldChar w:fldCharType="separate"/>
        </w:r>
        <w:r w:rsidR="00915BEC">
          <w:rPr>
            <w:webHidden/>
          </w:rPr>
          <w:t>11</w:t>
        </w:r>
        <w:r w:rsidR="00894683">
          <w:rPr>
            <w:webHidden/>
          </w:rPr>
          <w:fldChar w:fldCharType="end"/>
        </w:r>
      </w:hyperlink>
    </w:p>
    <w:p w14:paraId="5A533E4A" w14:textId="60090B35" w:rsidR="00894683" w:rsidRDefault="0011330C">
      <w:pPr>
        <w:pStyle w:val="TOC2"/>
        <w:rPr>
          <w:rFonts w:asciiTheme="minorHAnsi" w:eastAsiaTheme="minorEastAsia" w:hAnsiTheme="minorHAnsi" w:cstheme="minorBidi"/>
          <w:sz w:val="22"/>
          <w:szCs w:val="22"/>
          <w:lang w:eastAsia="en-AU"/>
        </w:rPr>
      </w:pPr>
      <w:hyperlink w:anchor="_Toc109649962" w:history="1">
        <w:r w:rsidR="00894683" w:rsidRPr="007D30BB">
          <w:rPr>
            <w:rStyle w:val="Hyperlink"/>
            <w:rFonts w:eastAsia="Times"/>
          </w:rPr>
          <w:t>Investigation</w:t>
        </w:r>
        <w:r w:rsidR="00894683">
          <w:rPr>
            <w:webHidden/>
          </w:rPr>
          <w:tab/>
        </w:r>
        <w:r w:rsidR="00894683">
          <w:rPr>
            <w:webHidden/>
          </w:rPr>
          <w:fldChar w:fldCharType="begin"/>
        </w:r>
        <w:r w:rsidR="00894683">
          <w:rPr>
            <w:webHidden/>
          </w:rPr>
          <w:instrText xml:space="preserve"> PAGEREF _Toc109649962 \h </w:instrText>
        </w:r>
        <w:r w:rsidR="00894683">
          <w:rPr>
            <w:webHidden/>
          </w:rPr>
        </w:r>
        <w:r w:rsidR="00894683">
          <w:rPr>
            <w:webHidden/>
          </w:rPr>
          <w:fldChar w:fldCharType="separate"/>
        </w:r>
        <w:r w:rsidR="00915BEC">
          <w:rPr>
            <w:webHidden/>
          </w:rPr>
          <w:t>12</w:t>
        </w:r>
        <w:r w:rsidR="00894683">
          <w:rPr>
            <w:webHidden/>
          </w:rPr>
          <w:fldChar w:fldCharType="end"/>
        </w:r>
      </w:hyperlink>
    </w:p>
    <w:p w14:paraId="46898209" w14:textId="52A5191F" w:rsidR="00894683" w:rsidRDefault="0011330C">
      <w:pPr>
        <w:pStyle w:val="TOC2"/>
        <w:rPr>
          <w:rFonts w:asciiTheme="minorHAnsi" w:eastAsiaTheme="minorEastAsia" w:hAnsiTheme="minorHAnsi" w:cstheme="minorBidi"/>
          <w:sz w:val="22"/>
          <w:szCs w:val="22"/>
          <w:lang w:eastAsia="en-AU"/>
        </w:rPr>
      </w:pPr>
      <w:hyperlink w:anchor="_Toc109649963" w:history="1">
        <w:r w:rsidR="00894683" w:rsidRPr="007D30BB">
          <w:rPr>
            <w:rStyle w:val="Hyperlink"/>
            <w:rFonts w:eastAsia="Times"/>
          </w:rPr>
          <w:t>Sentinel events</w:t>
        </w:r>
        <w:r w:rsidR="00894683">
          <w:rPr>
            <w:webHidden/>
          </w:rPr>
          <w:tab/>
        </w:r>
        <w:r w:rsidR="00894683">
          <w:rPr>
            <w:webHidden/>
          </w:rPr>
          <w:fldChar w:fldCharType="begin"/>
        </w:r>
        <w:r w:rsidR="00894683">
          <w:rPr>
            <w:webHidden/>
          </w:rPr>
          <w:instrText xml:space="preserve"> PAGEREF _Toc109649963 \h </w:instrText>
        </w:r>
        <w:r w:rsidR="00894683">
          <w:rPr>
            <w:webHidden/>
          </w:rPr>
        </w:r>
        <w:r w:rsidR="00894683">
          <w:rPr>
            <w:webHidden/>
          </w:rPr>
          <w:fldChar w:fldCharType="separate"/>
        </w:r>
        <w:r w:rsidR="00915BEC">
          <w:rPr>
            <w:webHidden/>
          </w:rPr>
          <w:t>12</w:t>
        </w:r>
        <w:r w:rsidR="00894683">
          <w:rPr>
            <w:webHidden/>
          </w:rPr>
          <w:fldChar w:fldCharType="end"/>
        </w:r>
      </w:hyperlink>
    </w:p>
    <w:p w14:paraId="244E755A" w14:textId="77419C47" w:rsidR="00894683" w:rsidRDefault="0011330C">
      <w:pPr>
        <w:pStyle w:val="TOC2"/>
        <w:rPr>
          <w:rFonts w:asciiTheme="minorHAnsi" w:eastAsiaTheme="minorEastAsia" w:hAnsiTheme="minorHAnsi" w:cstheme="minorBidi"/>
          <w:sz w:val="22"/>
          <w:szCs w:val="22"/>
          <w:lang w:eastAsia="en-AU"/>
        </w:rPr>
      </w:pPr>
      <w:hyperlink w:anchor="_Toc109649964" w:history="1">
        <w:r w:rsidR="00894683" w:rsidRPr="007D30BB">
          <w:rPr>
            <w:rStyle w:val="Hyperlink"/>
            <w:rFonts w:eastAsia="Times"/>
          </w:rPr>
          <w:t>Withdrawn notifications</w:t>
        </w:r>
        <w:r w:rsidR="00894683">
          <w:rPr>
            <w:webHidden/>
          </w:rPr>
          <w:tab/>
        </w:r>
        <w:r w:rsidR="00894683">
          <w:rPr>
            <w:webHidden/>
          </w:rPr>
          <w:fldChar w:fldCharType="begin"/>
        </w:r>
        <w:r w:rsidR="00894683">
          <w:rPr>
            <w:webHidden/>
          </w:rPr>
          <w:instrText xml:space="preserve"> PAGEREF _Toc109649964 \h </w:instrText>
        </w:r>
        <w:r w:rsidR="00894683">
          <w:rPr>
            <w:webHidden/>
          </w:rPr>
        </w:r>
        <w:r w:rsidR="00894683">
          <w:rPr>
            <w:webHidden/>
          </w:rPr>
          <w:fldChar w:fldCharType="separate"/>
        </w:r>
        <w:r w:rsidR="00915BEC">
          <w:rPr>
            <w:webHidden/>
          </w:rPr>
          <w:t>12</w:t>
        </w:r>
        <w:r w:rsidR="00894683">
          <w:rPr>
            <w:webHidden/>
          </w:rPr>
          <w:fldChar w:fldCharType="end"/>
        </w:r>
      </w:hyperlink>
    </w:p>
    <w:p w14:paraId="70F8CE9D" w14:textId="6B689E48" w:rsidR="00894683" w:rsidRDefault="0011330C">
      <w:pPr>
        <w:pStyle w:val="TOC2"/>
        <w:rPr>
          <w:rFonts w:asciiTheme="minorHAnsi" w:eastAsiaTheme="minorEastAsia" w:hAnsiTheme="minorHAnsi" w:cstheme="minorBidi"/>
          <w:sz w:val="22"/>
          <w:szCs w:val="22"/>
          <w:lang w:eastAsia="en-AU"/>
        </w:rPr>
      </w:pPr>
      <w:hyperlink w:anchor="_Toc109649965" w:history="1">
        <w:r w:rsidR="00894683" w:rsidRPr="007D30BB">
          <w:rPr>
            <w:rStyle w:val="Hyperlink"/>
            <w:rFonts w:eastAsia="Times"/>
          </w:rPr>
          <w:t>Feedback</w:t>
        </w:r>
        <w:r w:rsidR="00894683">
          <w:rPr>
            <w:webHidden/>
          </w:rPr>
          <w:tab/>
        </w:r>
        <w:r w:rsidR="00894683">
          <w:rPr>
            <w:webHidden/>
          </w:rPr>
          <w:fldChar w:fldCharType="begin"/>
        </w:r>
        <w:r w:rsidR="00894683">
          <w:rPr>
            <w:webHidden/>
          </w:rPr>
          <w:instrText xml:space="preserve"> PAGEREF _Toc109649965 \h </w:instrText>
        </w:r>
        <w:r w:rsidR="00894683">
          <w:rPr>
            <w:webHidden/>
          </w:rPr>
        </w:r>
        <w:r w:rsidR="00894683">
          <w:rPr>
            <w:webHidden/>
          </w:rPr>
          <w:fldChar w:fldCharType="separate"/>
        </w:r>
        <w:r w:rsidR="00915BEC">
          <w:rPr>
            <w:webHidden/>
          </w:rPr>
          <w:t>12</w:t>
        </w:r>
        <w:r w:rsidR="00894683">
          <w:rPr>
            <w:webHidden/>
          </w:rPr>
          <w:fldChar w:fldCharType="end"/>
        </w:r>
      </w:hyperlink>
    </w:p>
    <w:p w14:paraId="141B63D6" w14:textId="6B68CF11" w:rsidR="00894683" w:rsidRDefault="0011330C">
      <w:pPr>
        <w:pStyle w:val="TOC1"/>
        <w:rPr>
          <w:rFonts w:asciiTheme="minorHAnsi" w:eastAsiaTheme="minorEastAsia" w:hAnsiTheme="minorHAnsi" w:cstheme="minorBidi"/>
          <w:b w:val="0"/>
          <w:sz w:val="22"/>
          <w:szCs w:val="22"/>
          <w:lang w:eastAsia="en-AU"/>
        </w:rPr>
      </w:pPr>
      <w:hyperlink w:anchor="_Toc109649966" w:history="1">
        <w:r w:rsidR="00894683" w:rsidRPr="007D30BB">
          <w:rPr>
            <w:rStyle w:val="Hyperlink"/>
          </w:rPr>
          <w:t>Incident category definitions - clinical reactions</w:t>
        </w:r>
        <w:r w:rsidR="00894683">
          <w:rPr>
            <w:webHidden/>
          </w:rPr>
          <w:tab/>
        </w:r>
        <w:r w:rsidR="00894683">
          <w:rPr>
            <w:webHidden/>
          </w:rPr>
          <w:fldChar w:fldCharType="begin"/>
        </w:r>
        <w:r w:rsidR="00894683">
          <w:rPr>
            <w:webHidden/>
          </w:rPr>
          <w:instrText xml:space="preserve"> PAGEREF _Toc109649966 \h </w:instrText>
        </w:r>
        <w:r w:rsidR="00894683">
          <w:rPr>
            <w:webHidden/>
          </w:rPr>
        </w:r>
        <w:r w:rsidR="00894683">
          <w:rPr>
            <w:webHidden/>
          </w:rPr>
          <w:fldChar w:fldCharType="separate"/>
        </w:r>
        <w:r w:rsidR="00915BEC">
          <w:rPr>
            <w:webHidden/>
          </w:rPr>
          <w:t>14</w:t>
        </w:r>
        <w:r w:rsidR="00894683">
          <w:rPr>
            <w:webHidden/>
          </w:rPr>
          <w:fldChar w:fldCharType="end"/>
        </w:r>
      </w:hyperlink>
    </w:p>
    <w:p w14:paraId="79D1B386" w14:textId="60851929" w:rsidR="00894683" w:rsidRDefault="0011330C">
      <w:pPr>
        <w:pStyle w:val="TOC2"/>
        <w:rPr>
          <w:rFonts w:asciiTheme="minorHAnsi" w:eastAsiaTheme="minorEastAsia" w:hAnsiTheme="minorHAnsi" w:cstheme="minorBidi"/>
          <w:sz w:val="22"/>
          <w:szCs w:val="22"/>
          <w:lang w:eastAsia="en-AU"/>
        </w:rPr>
      </w:pPr>
      <w:hyperlink w:anchor="_Toc109649967" w:history="1">
        <w:r w:rsidR="00894683" w:rsidRPr="007D30BB">
          <w:rPr>
            <w:rStyle w:val="Hyperlink"/>
            <w:rFonts w:eastAsia="Times"/>
          </w:rPr>
          <w:t>Acute transfusion reaction (ATR)</w:t>
        </w:r>
        <w:r w:rsidR="00894683">
          <w:rPr>
            <w:webHidden/>
          </w:rPr>
          <w:tab/>
        </w:r>
        <w:r w:rsidR="00894683">
          <w:rPr>
            <w:webHidden/>
          </w:rPr>
          <w:fldChar w:fldCharType="begin"/>
        </w:r>
        <w:r w:rsidR="00894683">
          <w:rPr>
            <w:webHidden/>
          </w:rPr>
          <w:instrText xml:space="preserve"> PAGEREF _Toc109649967 \h </w:instrText>
        </w:r>
        <w:r w:rsidR="00894683">
          <w:rPr>
            <w:webHidden/>
          </w:rPr>
        </w:r>
        <w:r w:rsidR="00894683">
          <w:rPr>
            <w:webHidden/>
          </w:rPr>
          <w:fldChar w:fldCharType="separate"/>
        </w:r>
        <w:r w:rsidR="00915BEC">
          <w:rPr>
            <w:webHidden/>
          </w:rPr>
          <w:t>14</w:t>
        </w:r>
        <w:r w:rsidR="00894683">
          <w:rPr>
            <w:webHidden/>
          </w:rPr>
          <w:fldChar w:fldCharType="end"/>
        </w:r>
      </w:hyperlink>
    </w:p>
    <w:p w14:paraId="7CE11104" w14:textId="7845679C" w:rsidR="00894683" w:rsidRDefault="0011330C">
      <w:pPr>
        <w:pStyle w:val="TOC2"/>
        <w:rPr>
          <w:rFonts w:asciiTheme="minorHAnsi" w:eastAsiaTheme="minorEastAsia" w:hAnsiTheme="minorHAnsi" w:cstheme="minorBidi"/>
          <w:sz w:val="22"/>
          <w:szCs w:val="22"/>
          <w:lang w:eastAsia="en-AU"/>
        </w:rPr>
      </w:pPr>
      <w:hyperlink w:anchor="_Toc109649968" w:history="1">
        <w:r w:rsidR="00894683" w:rsidRPr="007D30BB">
          <w:rPr>
            <w:rStyle w:val="Hyperlink"/>
            <w:rFonts w:eastAsia="Times"/>
            <w:bCs/>
          </w:rPr>
          <w:t>Febrile non-haemolytic transfusion reaction (FNHTR)</w:t>
        </w:r>
        <w:r w:rsidR="00894683">
          <w:rPr>
            <w:webHidden/>
          </w:rPr>
          <w:tab/>
        </w:r>
        <w:r w:rsidR="00894683">
          <w:rPr>
            <w:webHidden/>
          </w:rPr>
          <w:fldChar w:fldCharType="begin"/>
        </w:r>
        <w:r w:rsidR="00894683">
          <w:rPr>
            <w:webHidden/>
          </w:rPr>
          <w:instrText xml:space="preserve"> PAGEREF _Toc109649968 \h </w:instrText>
        </w:r>
        <w:r w:rsidR="00894683">
          <w:rPr>
            <w:webHidden/>
          </w:rPr>
        </w:r>
        <w:r w:rsidR="00894683">
          <w:rPr>
            <w:webHidden/>
          </w:rPr>
          <w:fldChar w:fldCharType="separate"/>
        </w:r>
        <w:r w:rsidR="00915BEC">
          <w:rPr>
            <w:webHidden/>
          </w:rPr>
          <w:t>14</w:t>
        </w:r>
        <w:r w:rsidR="00894683">
          <w:rPr>
            <w:webHidden/>
          </w:rPr>
          <w:fldChar w:fldCharType="end"/>
        </w:r>
      </w:hyperlink>
    </w:p>
    <w:p w14:paraId="6156B1AC" w14:textId="5FE97C3E" w:rsidR="00894683" w:rsidRDefault="0011330C">
      <w:pPr>
        <w:pStyle w:val="TOC2"/>
        <w:rPr>
          <w:rFonts w:asciiTheme="minorHAnsi" w:eastAsiaTheme="minorEastAsia" w:hAnsiTheme="minorHAnsi" w:cstheme="minorBidi"/>
          <w:sz w:val="22"/>
          <w:szCs w:val="22"/>
          <w:lang w:eastAsia="en-AU"/>
        </w:rPr>
      </w:pPr>
      <w:hyperlink w:anchor="_Toc109649969" w:history="1">
        <w:r w:rsidR="00894683" w:rsidRPr="007D30BB">
          <w:rPr>
            <w:rStyle w:val="Hyperlink"/>
            <w:rFonts w:eastAsia="Times"/>
            <w:bCs/>
          </w:rPr>
          <w:t>Allergic reactions</w:t>
        </w:r>
        <w:r w:rsidR="00894683">
          <w:rPr>
            <w:webHidden/>
          </w:rPr>
          <w:tab/>
        </w:r>
        <w:r w:rsidR="00894683">
          <w:rPr>
            <w:webHidden/>
          </w:rPr>
          <w:fldChar w:fldCharType="begin"/>
        </w:r>
        <w:r w:rsidR="00894683">
          <w:rPr>
            <w:webHidden/>
          </w:rPr>
          <w:instrText xml:space="preserve"> PAGEREF _Toc109649969 \h </w:instrText>
        </w:r>
        <w:r w:rsidR="00894683">
          <w:rPr>
            <w:webHidden/>
          </w:rPr>
        </w:r>
        <w:r w:rsidR="00894683">
          <w:rPr>
            <w:webHidden/>
          </w:rPr>
          <w:fldChar w:fldCharType="separate"/>
        </w:r>
        <w:r w:rsidR="00915BEC">
          <w:rPr>
            <w:webHidden/>
          </w:rPr>
          <w:t>14</w:t>
        </w:r>
        <w:r w:rsidR="00894683">
          <w:rPr>
            <w:webHidden/>
          </w:rPr>
          <w:fldChar w:fldCharType="end"/>
        </w:r>
      </w:hyperlink>
    </w:p>
    <w:p w14:paraId="55EB10FD" w14:textId="735B57E7" w:rsidR="00894683" w:rsidRDefault="0011330C">
      <w:pPr>
        <w:pStyle w:val="TOC2"/>
        <w:rPr>
          <w:rFonts w:asciiTheme="minorHAnsi" w:eastAsiaTheme="minorEastAsia" w:hAnsiTheme="minorHAnsi" w:cstheme="minorBidi"/>
          <w:sz w:val="22"/>
          <w:szCs w:val="22"/>
          <w:lang w:eastAsia="en-AU"/>
        </w:rPr>
      </w:pPr>
      <w:hyperlink w:anchor="_Toc109649970" w:history="1">
        <w:r w:rsidR="00894683" w:rsidRPr="007D30BB">
          <w:rPr>
            <w:rStyle w:val="Hyperlink"/>
            <w:rFonts w:eastAsia="Times"/>
            <w:bCs/>
          </w:rPr>
          <w:t>Acute haemolytic transfusion reaction (AHTR)</w:t>
        </w:r>
        <w:r w:rsidR="00894683">
          <w:rPr>
            <w:webHidden/>
          </w:rPr>
          <w:tab/>
        </w:r>
        <w:r w:rsidR="00894683">
          <w:rPr>
            <w:webHidden/>
          </w:rPr>
          <w:fldChar w:fldCharType="begin"/>
        </w:r>
        <w:r w:rsidR="00894683">
          <w:rPr>
            <w:webHidden/>
          </w:rPr>
          <w:instrText xml:space="preserve"> PAGEREF _Toc109649970 \h </w:instrText>
        </w:r>
        <w:r w:rsidR="00894683">
          <w:rPr>
            <w:webHidden/>
          </w:rPr>
        </w:r>
        <w:r w:rsidR="00894683">
          <w:rPr>
            <w:webHidden/>
          </w:rPr>
          <w:fldChar w:fldCharType="separate"/>
        </w:r>
        <w:r w:rsidR="00915BEC">
          <w:rPr>
            <w:webHidden/>
          </w:rPr>
          <w:t>15</w:t>
        </w:r>
        <w:r w:rsidR="00894683">
          <w:rPr>
            <w:webHidden/>
          </w:rPr>
          <w:fldChar w:fldCharType="end"/>
        </w:r>
      </w:hyperlink>
    </w:p>
    <w:p w14:paraId="35F79D44" w14:textId="78D53FCB" w:rsidR="00894683" w:rsidRDefault="0011330C">
      <w:pPr>
        <w:pStyle w:val="TOC2"/>
        <w:rPr>
          <w:rFonts w:asciiTheme="minorHAnsi" w:eastAsiaTheme="minorEastAsia" w:hAnsiTheme="minorHAnsi" w:cstheme="minorBidi"/>
          <w:sz w:val="22"/>
          <w:szCs w:val="22"/>
          <w:lang w:eastAsia="en-AU"/>
        </w:rPr>
      </w:pPr>
      <w:hyperlink w:anchor="_Toc109649971" w:history="1">
        <w:r w:rsidR="00894683" w:rsidRPr="007D30BB">
          <w:rPr>
            <w:rStyle w:val="Hyperlink"/>
            <w:rFonts w:eastAsia="Times"/>
            <w:bCs/>
          </w:rPr>
          <w:t>Hypotensive</w:t>
        </w:r>
        <w:r w:rsidR="00894683">
          <w:rPr>
            <w:webHidden/>
          </w:rPr>
          <w:tab/>
        </w:r>
        <w:r w:rsidR="00894683">
          <w:rPr>
            <w:webHidden/>
          </w:rPr>
          <w:fldChar w:fldCharType="begin"/>
        </w:r>
        <w:r w:rsidR="00894683">
          <w:rPr>
            <w:webHidden/>
          </w:rPr>
          <w:instrText xml:space="preserve"> PAGEREF _Toc109649971 \h </w:instrText>
        </w:r>
        <w:r w:rsidR="00894683">
          <w:rPr>
            <w:webHidden/>
          </w:rPr>
        </w:r>
        <w:r w:rsidR="00894683">
          <w:rPr>
            <w:webHidden/>
          </w:rPr>
          <w:fldChar w:fldCharType="separate"/>
        </w:r>
        <w:r w:rsidR="00915BEC">
          <w:rPr>
            <w:webHidden/>
          </w:rPr>
          <w:t>15</w:t>
        </w:r>
        <w:r w:rsidR="00894683">
          <w:rPr>
            <w:webHidden/>
          </w:rPr>
          <w:fldChar w:fldCharType="end"/>
        </w:r>
      </w:hyperlink>
    </w:p>
    <w:p w14:paraId="77590DFF" w14:textId="3CA22866" w:rsidR="00894683" w:rsidRDefault="0011330C">
      <w:pPr>
        <w:pStyle w:val="TOC2"/>
        <w:rPr>
          <w:rFonts w:asciiTheme="minorHAnsi" w:eastAsiaTheme="minorEastAsia" w:hAnsiTheme="minorHAnsi" w:cstheme="minorBidi"/>
          <w:sz w:val="22"/>
          <w:szCs w:val="22"/>
          <w:lang w:eastAsia="en-AU"/>
        </w:rPr>
      </w:pPr>
      <w:hyperlink w:anchor="_Toc109649972" w:history="1">
        <w:r w:rsidR="00894683" w:rsidRPr="007D30BB">
          <w:rPr>
            <w:rStyle w:val="Hyperlink"/>
            <w:rFonts w:eastAsia="Times"/>
            <w:bCs/>
          </w:rPr>
          <w:t>Other</w:t>
        </w:r>
        <w:r w:rsidR="00894683">
          <w:rPr>
            <w:webHidden/>
          </w:rPr>
          <w:tab/>
        </w:r>
        <w:r w:rsidR="00894683">
          <w:rPr>
            <w:webHidden/>
          </w:rPr>
          <w:fldChar w:fldCharType="begin"/>
        </w:r>
        <w:r w:rsidR="00894683">
          <w:rPr>
            <w:webHidden/>
          </w:rPr>
          <w:instrText xml:space="preserve"> PAGEREF _Toc109649972 \h </w:instrText>
        </w:r>
        <w:r w:rsidR="00894683">
          <w:rPr>
            <w:webHidden/>
          </w:rPr>
        </w:r>
        <w:r w:rsidR="00894683">
          <w:rPr>
            <w:webHidden/>
          </w:rPr>
          <w:fldChar w:fldCharType="separate"/>
        </w:r>
        <w:r w:rsidR="00915BEC">
          <w:rPr>
            <w:webHidden/>
          </w:rPr>
          <w:t>15</w:t>
        </w:r>
        <w:r w:rsidR="00894683">
          <w:rPr>
            <w:webHidden/>
          </w:rPr>
          <w:fldChar w:fldCharType="end"/>
        </w:r>
      </w:hyperlink>
    </w:p>
    <w:p w14:paraId="2E7AD6BD" w14:textId="4DFEF156" w:rsidR="00894683" w:rsidRDefault="0011330C">
      <w:pPr>
        <w:pStyle w:val="TOC2"/>
        <w:rPr>
          <w:rFonts w:asciiTheme="minorHAnsi" w:eastAsiaTheme="minorEastAsia" w:hAnsiTheme="minorHAnsi" w:cstheme="minorBidi"/>
          <w:sz w:val="22"/>
          <w:szCs w:val="22"/>
          <w:lang w:eastAsia="en-AU"/>
        </w:rPr>
      </w:pPr>
      <w:hyperlink w:anchor="_Toc109649973" w:history="1">
        <w:r w:rsidR="00894683" w:rsidRPr="007D30BB">
          <w:rPr>
            <w:rStyle w:val="Hyperlink"/>
            <w:rFonts w:eastAsia="Times"/>
          </w:rPr>
          <w:t>Transfusion-associated circulatory overload (TACO)</w:t>
        </w:r>
        <w:r w:rsidR="00894683">
          <w:rPr>
            <w:webHidden/>
          </w:rPr>
          <w:tab/>
        </w:r>
        <w:r w:rsidR="00894683">
          <w:rPr>
            <w:webHidden/>
          </w:rPr>
          <w:fldChar w:fldCharType="begin"/>
        </w:r>
        <w:r w:rsidR="00894683">
          <w:rPr>
            <w:webHidden/>
          </w:rPr>
          <w:instrText xml:space="preserve"> PAGEREF _Toc109649973 \h </w:instrText>
        </w:r>
        <w:r w:rsidR="00894683">
          <w:rPr>
            <w:webHidden/>
          </w:rPr>
        </w:r>
        <w:r w:rsidR="00894683">
          <w:rPr>
            <w:webHidden/>
          </w:rPr>
          <w:fldChar w:fldCharType="separate"/>
        </w:r>
        <w:r w:rsidR="00915BEC">
          <w:rPr>
            <w:webHidden/>
          </w:rPr>
          <w:t>15</w:t>
        </w:r>
        <w:r w:rsidR="00894683">
          <w:rPr>
            <w:webHidden/>
          </w:rPr>
          <w:fldChar w:fldCharType="end"/>
        </w:r>
      </w:hyperlink>
    </w:p>
    <w:p w14:paraId="398CE81A" w14:textId="0839C8B2" w:rsidR="00894683" w:rsidRDefault="0011330C">
      <w:pPr>
        <w:pStyle w:val="TOC2"/>
        <w:rPr>
          <w:rFonts w:asciiTheme="minorHAnsi" w:eastAsiaTheme="minorEastAsia" w:hAnsiTheme="minorHAnsi" w:cstheme="minorBidi"/>
          <w:sz w:val="22"/>
          <w:szCs w:val="22"/>
          <w:lang w:eastAsia="en-AU"/>
        </w:rPr>
      </w:pPr>
      <w:hyperlink w:anchor="_Toc109649974" w:history="1">
        <w:r w:rsidR="00894683" w:rsidRPr="007D30BB">
          <w:rPr>
            <w:rStyle w:val="Hyperlink"/>
            <w:rFonts w:eastAsia="Times"/>
          </w:rPr>
          <w:t>Transfusion-related acute lung injury (TRALI)</w:t>
        </w:r>
        <w:r w:rsidR="00894683">
          <w:rPr>
            <w:webHidden/>
          </w:rPr>
          <w:tab/>
        </w:r>
        <w:r w:rsidR="00894683">
          <w:rPr>
            <w:webHidden/>
          </w:rPr>
          <w:fldChar w:fldCharType="begin"/>
        </w:r>
        <w:r w:rsidR="00894683">
          <w:rPr>
            <w:webHidden/>
          </w:rPr>
          <w:instrText xml:space="preserve"> PAGEREF _Toc109649974 \h </w:instrText>
        </w:r>
        <w:r w:rsidR="00894683">
          <w:rPr>
            <w:webHidden/>
          </w:rPr>
        </w:r>
        <w:r w:rsidR="00894683">
          <w:rPr>
            <w:webHidden/>
          </w:rPr>
          <w:fldChar w:fldCharType="separate"/>
        </w:r>
        <w:r w:rsidR="00915BEC">
          <w:rPr>
            <w:webHidden/>
          </w:rPr>
          <w:t>16</w:t>
        </w:r>
        <w:r w:rsidR="00894683">
          <w:rPr>
            <w:webHidden/>
          </w:rPr>
          <w:fldChar w:fldCharType="end"/>
        </w:r>
      </w:hyperlink>
    </w:p>
    <w:p w14:paraId="6DB1064F" w14:textId="2555CDE2" w:rsidR="00894683" w:rsidRDefault="0011330C">
      <w:pPr>
        <w:pStyle w:val="TOC2"/>
        <w:rPr>
          <w:rFonts w:asciiTheme="minorHAnsi" w:eastAsiaTheme="minorEastAsia" w:hAnsiTheme="minorHAnsi" w:cstheme="minorBidi"/>
          <w:sz w:val="22"/>
          <w:szCs w:val="22"/>
          <w:lang w:eastAsia="en-AU"/>
        </w:rPr>
      </w:pPr>
      <w:hyperlink w:anchor="_Toc109649975" w:history="1">
        <w:r w:rsidR="00894683" w:rsidRPr="007D30BB">
          <w:rPr>
            <w:rStyle w:val="Hyperlink"/>
            <w:rFonts w:eastAsia="Times"/>
          </w:rPr>
          <w:t>Transfusion-associated dyspnoea (TAD)</w:t>
        </w:r>
        <w:r w:rsidR="00894683">
          <w:rPr>
            <w:webHidden/>
          </w:rPr>
          <w:tab/>
        </w:r>
        <w:r w:rsidR="00894683">
          <w:rPr>
            <w:webHidden/>
          </w:rPr>
          <w:fldChar w:fldCharType="begin"/>
        </w:r>
        <w:r w:rsidR="00894683">
          <w:rPr>
            <w:webHidden/>
          </w:rPr>
          <w:instrText xml:space="preserve"> PAGEREF _Toc109649975 \h </w:instrText>
        </w:r>
        <w:r w:rsidR="00894683">
          <w:rPr>
            <w:webHidden/>
          </w:rPr>
        </w:r>
        <w:r w:rsidR="00894683">
          <w:rPr>
            <w:webHidden/>
          </w:rPr>
          <w:fldChar w:fldCharType="separate"/>
        </w:r>
        <w:r w:rsidR="00915BEC">
          <w:rPr>
            <w:webHidden/>
          </w:rPr>
          <w:t>16</w:t>
        </w:r>
        <w:r w:rsidR="00894683">
          <w:rPr>
            <w:webHidden/>
          </w:rPr>
          <w:fldChar w:fldCharType="end"/>
        </w:r>
      </w:hyperlink>
    </w:p>
    <w:p w14:paraId="3B4BEEE0" w14:textId="037DDC95" w:rsidR="00894683" w:rsidRDefault="0011330C">
      <w:pPr>
        <w:pStyle w:val="TOC2"/>
        <w:rPr>
          <w:rFonts w:asciiTheme="minorHAnsi" w:eastAsiaTheme="minorEastAsia" w:hAnsiTheme="minorHAnsi" w:cstheme="minorBidi"/>
          <w:sz w:val="22"/>
          <w:szCs w:val="22"/>
          <w:lang w:eastAsia="en-AU"/>
        </w:rPr>
      </w:pPr>
      <w:hyperlink w:anchor="_Toc109649976" w:history="1">
        <w:r w:rsidR="00894683" w:rsidRPr="007D30BB">
          <w:rPr>
            <w:rStyle w:val="Hyperlink"/>
            <w:rFonts w:eastAsia="Times"/>
          </w:rPr>
          <w:t>Delayed haemolytic transfusion reaction (DHTR)</w:t>
        </w:r>
        <w:r w:rsidR="00894683">
          <w:rPr>
            <w:webHidden/>
          </w:rPr>
          <w:tab/>
        </w:r>
        <w:r w:rsidR="00894683">
          <w:rPr>
            <w:webHidden/>
          </w:rPr>
          <w:fldChar w:fldCharType="begin"/>
        </w:r>
        <w:r w:rsidR="00894683">
          <w:rPr>
            <w:webHidden/>
          </w:rPr>
          <w:instrText xml:space="preserve"> PAGEREF _Toc109649976 \h </w:instrText>
        </w:r>
        <w:r w:rsidR="00894683">
          <w:rPr>
            <w:webHidden/>
          </w:rPr>
        </w:r>
        <w:r w:rsidR="00894683">
          <w:rPr>
            <w:webHidden/>
          </w:rPr>
          <w:fldChar w:fldCharType="separate"/>
        </w:r>
        <w:r w:rsidR="00915BEC">
          <w:rPr>
            <w:webHidden/>
          </w:rPr>
          <w:t>16</w:t>
        </w:r>
        <w:r w:rsidR="00894683">
          <w:rPr>
            <w:webHidden/>
          </w:rPr>
          <w:fldChar w:fldCharType="end"/>
        </w:r>
      </w:hyperlink>
    </w:p>
    <w:p w14:paraId="6B17C9AF" w14:textId="794A5A47" w:rsidR="00894683" w:rsidRDefault="0011330C">
      <w:pPr>
        <w:pStyle w:val="TOC2"/>
        <w:rPr>
          <w:rFonts w:asciiTheme="minorHAnsi" w:eastAsiaTheme="minorEastAsia" w:hAnsiTheme="minorHAnsi" w:cstheme="minorBidi"/>
          <w:sz w:val="22"/>
          <w:szCs w:val="22"/>
          <w:lang w:eastAsia="en-AU"/>
        </w:rPr>
      </w:pPr>
      <w:hyperlink w:anchor="_Toc109649977" w:history="1">
        <w:r w:rsidR="00894683" w:rsidRPr="007D30BB">
          <w:rPr>
            <w:rStyle w:val="Hyperlink"/>
            <w:rFonts w:eastAsia="Times"/>
          </w:rPr>
          <w:t>Delayed serological transfusion reaction (DSTR)</w:t>
        </w:r>
        <w:r w:rsidR="00894683">
          <w:rPr>
            <w:webHidden/>
          </w:rPr>
          <w:tab/>
        </w:r>
        <w:r w:rsidR="00894683">
          <w:rPr>
            <w:webHidden/>
          </w:rPr>
          <w:fldChar w:fldCharType="begin"/>
        </w:r>
        <w:r w:rsidR="00894683">
          <w:rPr>
            <w:webHidden/>
          </w:rPr>
          <w:instrText xml:space="preserve"> PAGEREF _Toc109649977 \h </w:instrText>
        </w:r>
        <w:r w:rsidR="00894683">
          <w:rPr>
            <w:webHidden/>
          </w:rPr>
        </w:r>
        <w:r w:rsidR="00894683">
          <w:rPr>
            <w:webHidden/>
          </w:rPr>
          <w:fldChar w:fldCharType="separate"/>
        </w:r>
        <w:r w:rsidR="00915BEC">
          <w:rPr>
            <w:webHidden/>
          </w:rPr>
          <w:t>16</w:t>
        </w:r>
        <w:r w:rsidR="00894683">
          <w:rPr>
            <w:webHidden/>
          </w:rPr>
          <w:fldChar w:fldCharType="end"/>
        </w:r>
      </w:hyperlink>
    </w:p>
    <w:p w14:paraId="0AA13544" w14:textId="37C2EC5B" w:rsidR="00894683" w:rsidRDefault="0011330C">
      <w:pPr>
        <w:pStyle w:val="TOC2"/>
        <w:rPr>
          <w:rFonts w:asciiTheme="minorHAnsi" w:eastAsiaTheme="minorEastAsia" w:hAnsiTheme="minorHAnsi" w:cstheme="minorBidi"/>
          <w:sz w:val="22"/>
          <w:szCs w:val="22"/>
          <w:lang w:eastAsia="en-AU"/>
        </w:rPr>
      </w:pPr>
      <w:hyperlink w:anchor="_Toc109649978" w:history="1">
        <w:r w:rsidR="00894683" w:rsidRPr="007D30BB">
          <w:rPr>
            <w:rStyle w:val="Hyperlink"/>
            <w:rFonts w:eastAsia="Times"/>
          </w:rPr>
          <w:t>RhD isoimmunisation</w:t>
        </w:r>
        <w:r w:rsidR="00894683">
          <w:rPr>
            <w:webHidden/>
          </w:rPr>
          <w:tab/>
        </w:r>
        <w:r w:rsidR="00894683">
          <w:rPr>
            <w:webHidden/>
          </w:rPr>
          <w:fldChar w:fldCharType="begin"/>
        </w:r>
        <w:r w:rsidR="00894683">
          <w:rPr>
            <w:webHidden/>
          </w:rPr>
          <w:instrText xml:space="preserve"> PAGEREF _Toc109649978 \h </w:instrText>
        </w:r>
        <w:r w:rsidR="00894683">
          <w:rPr>
            <w:webHidden/>
          </w:rPr>
        </w:r>
        <w:r w:rsidR="00894683">
          <w:rPr>
            <w:webHidden/>
          </w:rPr>
          <w:fldChar w:fldCharType="separate"/>
        </w:r>
        <w:r w:rsidR="00915BEC">
          <w:rPr>
            <w:webHidden/>
          </w:rPr>
          <w:t>17</w:t>
        </w:r>
        <w:r w:rsidR="00894683">
          <w:rPr>
            <w:webHidden/>
          </w:rPr>
          <w:fldChar w:fldCharType="end"/>
        </w:r>
      </w:hyperlink>
    </w:p>
    <w:p w14:paraId="65851A63" w14:textId="27103AA2" w:rsidR="00894683" w:rsidRDefault="0011330C">
      <w:pPr>
        <w:pStyle w:val="TOC2"/>
        <w:rPr>
          <w:rFonts w:asciiTheme="minorHAnsi" w:eastAsiaTheme="minorEastAsia" w:hAnsiTheme="minorHAnsi" w:cstheme="minorBidi"/>
          <w:sz w:val="22"/>
          <w:szCs w:val="22"/>
          <w:lang w:eastAsia="en-AU"/>
        </w:rPr>
      </w:pPr>
      <w:hyperlink w:anchor="_Toc109649979" w:history="1">
        <w:r w:rsidR="00894683" w:rsidRPr="007D30BB">
          <w:rPr>
            <w:rStyle w:val="Hyperlink"/>
            <w:rFonts w:eastAsia="Times"/>
          </w:rPr>
          <w:t>Transfusion-associated graft-versus-host disease (TA-GVHD)</w:t>
        </w:r>
        <w:r w:rsidR="00894683">
          <w:rPr>
            <w:webHidden/>
          </w:rPr>
          <w:tab/>
        </w:r>
        <w:r w:rsidR="00894683">
          <w:rPr>
            <w:webHidden/>
          </w:rPr>
          <w:fldChar w:fldCharType="begin"/>
        </w:r>
        <w:r w:rsidR="00894683">
          <w:rPr>
            <w:webHidden/>
          </w:rPr>
          <w:instrText xml:space="preserve"> PAGEREF _Toc109649979 \h </w:instrText>
        </w:r>
        <w:r w:rsidR="00894683">
          <w:rPr>
            <w:webHidden/>
          </w:rPr>
        </w:r>
        <w:r w:rsidR="00894683">
          <w:rPr>
            <w:webHidden/>
          </w:rPr>
          <w:fldChar w:fldCharType="separate"/>
        </w:r>
        <w:r w:rsidR="00915BEC">
          <w:rPr>
            <w:webHidden/>
          </w:rPr>
          <w:t>17</w:t>
        </w:r>
        <w:r w:rsidR="00894683">
          <w:rPr>
            <w:webHidden/>
          </w:rPr>
          <w:fldChar w:fldCharType="end"/>
        </w:r>
      </w:hyperlink>
    </w:p>
    <w:p w14:paraId="3E523A02" w14:textId="6422026E" w:rsidR="00894683" w:rsidRDefault="0011330C">
      <w:pPr>
        <w:pStyle w:val="TOC2"/>
        <w:rPr>
          <w:rFonts w:asciiTheme="minorHAnsi" w:eastAsiaTheme="minorEastAsia" w:hAnsiTheme="minorHAnsi" w:cstheme="minorBidi"/>
          <w:sz w:val="22"/>
          <w:szCs w:val="22"/>
          <w:lang w:eastAsia="en-AU"/>
        </w:rPr>
      </w:pPr>
      <w:hyperlink w:anchor="_Toc109649980" w:history="1">
        <w:r w:rsidR="00894683" w:rsidRPr="007D30BB">
          <w:rPr>
            <w:rStyle w:val="Hyperlink"/>
            <w:rFonts w:eastAsia="Times"/>
          </w:rPr>
          <w:t>Post-transfusion purpura (PTP)</w:t>
        </w:r>
        <w:r w:rsidR="00894683">
          <w:rPr>
            <w:webHidden/>
          </w:rPr>
          <w:tab/>
        </w:r>
        <w:r w:rsidR="00894683">
          <w:rPr>
            <w:webHidden/>
          </w:rPr>
          <w:fldChar w:fldCharType="begin"/>
        </w:r>
        <w:r w:rsidR="00894683">
          <w:rPr>
            <w:webHidden/>
          </w:rPr>
          <w:instrText xml:space="preserve"> PAGEREF _Toc109649980 \h </w:instrText>
        </w:r>
        <w:r w:rsidR="00894683">
          <w:rPr>
            <w:webHidden/>
          </w:rPr>
        </w:r>
        <w:r w:rsidR="00894683">
          <w:rPr>
            <w:webHidden/>
          </w:rPr>
          <w:fldChar w:fldCharType="separate"/>
        </w:r>
        <w:r w:rsidR="00915BEC">
          <w:rPr>
            <w:webHidden/>
          </w:rPr>
          <w:t>17</w:t>
        </w:r>
        <w:r w:rsidR="00894683">
          <w:rPr>
            <w:webHidden/>
          </w:rPr>
          <w:fldChar w:fldCharType="end"/>
        </w:r>
      </w:hyperlink>
    </w:p>
    <w:p w14:paraId="738823BC" w14:textId="0D16DE2B" w:rsidR="00894683" w:rsidRDefault="0011330C">
      <w:pPr>
        <w:pStyle w:val="TOC2"/>
        <w:rPr>
          <w:rFonts w:asciiTheme="minorHAnsi" w:eastAsiaTheme="minorEastAsia" w:hAnsiTheme="minorHAnsi" w:cstheme="minorBidi"/>
          <w:sz w:val="22"/>
          <w:szCs w:val="22"/>
          <w:lang w:eastAsia="en-AU"/>
        </w:rPr>
      </w:pPr>
      <w:hyperlink w:anchor="_Toc109649981" w:history="1">
        <w:r w:rsidR="00894683" w:rsidRPr="007D30BB">
          <w:rPr>
            <w:rStyle w:val="Hyperlink"/>
            <w:rFonts w:eastAsia="Times"/>
          </w:rPr>
          <w:t>Transfusion-transmitted infections (TTI)</w:t>
        </w:r>
        <w:r w:rsidR="00894683">
          <w:rPr>
            <w:webHidden/>
          </w:rPr>
          <w:tab/>
        </w:r>
        <w:r w:rsidR="00894683">
          <w:rPr>
            <w:webHidden/>
          </w:rPr>
          <w:fldChar w:fldCharType="begin"/>
        </w:r>
        <w:r w:rsidR="00894683">
          <w:rPr>
            <w:webHidden/>
          </w:rPr>
          <w:instrText xml:space="preserve"> PAGEREF _Toc109649981 \h </w:instrText>
        </w:r>
        <w:r w:rsidR="00894683">
          <w:rPr>
            <w:webHidden/>
          </w:rPr>
        </w:r>
        <w:r w:rsidR="00894683">
          <w:rPr>
            <w:webHidden/>
          </w:rPr>
          <w:fldChar w:fldCharType="separate"/>
        </w:r>
        <w:r w:rsidR="00915BEC">
          <w:rPr>
            <w:webHidden/>
          </w:rPr>
          <w:t>17</w:t>
        </w:r>
        <w:r w:rsidR="00894683">
          <w:rPr>
            <w:webHidden/>
          </w:rPr>
          <w:fldChar w:fldCharType="end"/>
        </w:r>
      </w:hyperlink>
    </w:p>
    <w:p w14:paraId="48CFC84D" w14:textId="117D455B" w:rsidR="00894683" w:rsidRDefault="0011330C">
      <w:pPr>
        <w:pStyle w:val="TOC1"/>
        <w:rPr>
          <w:rFonts w:asciiTheme="minorHAnsi" w:eastAsiaTheme="minorEastAsia" w:hAnsiTheme="minorHAnsi" w:cstheme="minorBidi"/>
          <w:b w:val="0"/>
          <w:sz w:val="22"/>
          <w:szCs w:val="22"/>
          <w:lang w:eastAsia="en-AU"/>
        </w:rPr>
      </w:pPr>
      <w:hyperlink w:anchor="_Toc109649982" w:history="1">
        <w:r w:rsidR="00894683" w:rsidRPr="007D30BB">
          <w:rPr>
            <w:rStyle w:val="Hyperlink"/>
          </w:rPr>
          <w:t>Incident category definitions - procedural events</w:t>
        </w:r>
        <w:r w:rsidR="00894683">
          <w:rPr>
            <w:webHidden/>
          </w:rPr>
          <w:tab/>
        </w:r>
        <w:r w:rsidR="00894683">
          <w:rPr>
            <w:webHidden/>
          </w:rPr>
          <w:fldChar w:fldCharType="begin"/>
        </w:r>
        <w:r w:rsidR="00894683">
          <w:rPr>
            <w:webHidden/>
          </w:rPr>
          <w:instrText xml:space="preserve"> PAGEREF _Toc109649982 \h </w:instrText>
        </w:r>
        <w:r w:rsidR="00894683">
          <w:rPr>
            <w:webHidden/>
          </w:rPr>
        </w:r>
        <w:r w:rsidR="00894683">
          <w:rPr>
            <w:webHidden/>
          </w:rPr>
          <w:fldChar w:fldCharType="separate"/>
        </w:r>
        <w:r w:rsidR="00915BEC">
          <w:rPr>
            <w:webHidden/>
          </w:rPr>
          <w:t>19</w:t>
        </w:r>
        <w:r w:rsidR="00894683">
          <w:rPr>
            <w:webHidden/>
          </w:rPr>
          <w:fldChar w:fldCharType="end"/>
        </w:r>
      </w:hyperlink>
    </w:p>
    <w:p w14:paraId="6644061D" w14:textId="0E58693B" w:rsidR="00894683" w:rsidRDefault="0011330C">
      <w:pPr>
        <w:pStyle w:val="TOC2"/>
        <w:rPr>
          <w:rFonts w:asciiTheme="minorHAnsi" w:eastAsiaTheme="minorEastAsia" w:hAnsiTheme="minorHAnsi" w:cstheme="minorBidi"/>
          <w:sz w:val="22"/>
          <w:szCs w:val="22"/>
          <w:lang w:eastAsia="en-AU"/>
        </w:rPr>
      </w:pPr>
      <w:hyperlink w:anchor="_Toc109649983" w:history="1">
        <w:r w:rsidR="00894683" w:rsidRPr="007D30BB">
          <w:rPr>
            <w:rStyle w:val="Hyperlink"/>
            <w:rFonts w:eastAsia="Times"/>
          </w:rPr>
          <w:t>Incorrect blood component transfused (IBCT)</w:t>
        </w:r>
        <w:r w:rsidR="00894683">
          <w:rPr>
            <w:webHidden/>
          </w:rPr>
          <w:tab/>
        </w:r>
        <w:r w:rsidR="00894683">
          <w:rPr>
            <w:webHidden/>
          </w:rPr>
          <w:fldChar w:fldCharType="begin"/>
        </w:r>
        <w:r w:rsidR="00894683">
          <w:rPr>
            <w:webHidden/>
          </w:rPr>
          <w:instrText xml:space="preserve"> PAGEREF _Toc109649983 \h </w:instrText>
        </w:r>
        <w:r w:rsidR="00894683">
          <w:rPr>
            <w:webHidden/>
          </w:rPr>
        </w:r>
        <w:r w:rsidR="00894683">
          <w:rPr>
            <w:webHidden/>
          </w:rPr>
          <w:fldChar w:fldCharType="separate"/>
        </w:r>
        <w:r w:rsidR="00915BEC">
          <w:rPr>
            <w:webHidden/>
          </w:rPr>
          <w:t>19</w:t>
        </w:r>
        <w:r w:rsidR="00894683">
          <w:rPr>
            <w:webHidden/>
          </w:rPr>
          <w:fldChar w:fldCharType="end"/>
        </w:r>
      </w:hyperlink>
    </w:p>
    <w:p w14:paraId="5AAB8610" w14:textId="0437B1C7" w:rsidR="00894683" w:rsidRDefault="0011330C">
      <w:pPr>
        <w:pStyle w:val="TOC2"/>
        <w:rPr>
          <w:rFonts w:asciiTheme="minorHAnsi" w:eastAsiaTheme="minorEastAsia" w:hAnsiTheme="minorHAnsi" w:cstheme="minorBidi"/>
          <w:sz w:val="22"/>
          <w:szCs w:val="22"/>
          <w:lang w:eastAsia="en-AU"/>
        </w:rPr>
      </w:pPr>
      <w:hyperlink w:anchor="_Toc109649984" w:history="1">
        <w:r w:rsidR="00894683" w:rsidRPr="007D30BB">
          <w:rPr>
            <w:rStyle w:val="Hyperlink"/>
            <w:rFonts w:eastAsia="Times"/>
          </w:rPr>
          <w:t>Procedural - other</w:t>
        </w:r>
        <w:r w:rsidR="00894683">
          <w:rPr>
            <w:webHidden/>
          </w:rPr>
          <w:tab/>
        </w:r>
        <w:r w:rsidR="00894683">
          <w:rPr>
            <w:webHidden/>
          </w:rPr>
          <w:fldChar w:fldCharType="begin"/>
        </w:r>
        <w:r w:rsidR="00894683">
          <w:rPr>
            <w:webHidden/>
          </w:rPr>
          <w:instrText xml:space="preserve"> PAGEREF _Toc109649984 \h </w:instrText>
        </w:r>
        <w:r w:rsidR="00894683">
          <w:rPr>
            <w:webHidden/>
          </w:rPr>
        </w:r>
        <w:r w:rsidR="00894683">
          <w:rPr>
            <w:webHidden/>
          </w:rPr>
          <w:fldChar w:fldCharType="separate"/>
        </w:r>
        <w:r w:rsidR="00915BEC">
          <w:rPr>
            <w:webHidden/>
          </w:rPr>
          <w:t>19</w:t>
        </w:r>
        <w:r w:rsidR="00894683">
          <w:rPr>
            <w:webHidden/>
          </w:rPr>
          <w:fldChar w:fldCharType="end"/>
        </w:r>
      </w:hyperlink>
    </w:p>
    <w:p w14:paraId="0142F380" w14:textId="45EF9F2B" w:rsidR="00894683" w:rsidRDefault="0011330C">
      <w:pPr>
        <w:pStyle w:val="TOC2"/>
        <w:rPr>
          <w:rFonts w:asciiTheme="minorHAnsi" w:eastAsiaTheme="minorEastAsia" w:hAnsiTheme="minorHAnsi" w:cstheme="minorBidi"/>
          <w:sz w:val="22"/>
          <w:szCs w:val="22"/>
          <w:lang w:eastAsia="en-AU"/>
        </w:rPr>
      </w:pPr>
      <w:hyperlink w:anchor="_Toc109649985" w:history="1">
        <w:r w:rsidR="00894683" w:rsidRPr="007D30BB">
          <w:rPr>
            <w:rStyle w:val="Hyperlink"/>
            <w:rFonts w:eastAsia="Times"/>
          </w:rPr>
          <w:t>Near-miss incidents</w:t>
        </w:r>
        <w:r w:rsidR="00894683">
          <w:rPr>
            <w:webHidden/>
          </w:rPr>
          <w:tab/>
        </w:r>
        <w:r w:rsidR="00894683">
          <w:rPr>
            <w:webHidden/>
          </w:rPr>
          <w:fldChar w:fldCharType="begin"/>
        </w:r>
        <w:r w:rsidR="00894683">
          <w:rPr>
            <w:webHidden/>
          </w:rPr>
          <w:instrText xml:space="preserve"> PAGEREF _Toc109649985 \h </w:instrText>
        </w:r>
        <w:r w:rsidR="00894683">
          <w:rPr>
            <w:webHidden/>
          </w:rPr>
        </w:r>
        <w:r w:rsidR="00894683">
          <w:rPr>
            <w:webHidden/>
          </w:rPr>
          <w:fldChar w:fldCharType="separate"/>
        </w:r>
        <w:r w:rsidR="00915BEC">
          <w:rPr>
            <w:webHidden/>
          </w:rPr>
          <w:t>19</w:t>
        </w:r>
        <w:r w:rsidR="00894683">
          <w:rPr>
            <w:webHidden/>
          </w:rPr>
          <w:fldChar w:fldCharType="end"/>
        </w:r>
      </w:hyperlink>
    </w:p>
    <w:p w14:paraId="00842742" w14:textId="425644B1" w:rsidR="00894683" w:rsidRDefault="0011330C">
      <w:pPr>
        <w:pStyle w:val="TOC2"/>
        <w:rPr>
          <w:rFonts w:asciiTheme="minorHAnsi" w:eastAsiaTheme="minorEastAsia" w:hAnsiTheme="minorHAnsi" w:cstheme="minorBidi"/>
          <w:sz w:val="22"/>
          <w:szCs w:val="22"/>
          <w:lang w:eastAsia="en-AU"/>
        </w:rPr>
      </w:pPr>
      <w:hyperlink w:anchor="_Toc109649986" w:history="1">
        <w:r w:rsidR="00894683" w:rsidRPr="007D30BB">
          <w:rPr>
            <w:rStyle w:val="Hyperlink"/>
            <w:rFonts w:eastAsia="Times"/>
          </w:rPr>
          <w:t>Wrong blood in tube (WBIT)</w:t>
        </w:r>
        <w:r w:rsidR="00894683">
          <w:rPr>
            <w:webHidden/>
          </w:rPr>
          <w:tab/>
        </w:r>
        <w:r w:rsidR="00894683">
          <w:rPr>
            <w:webHidden/>
          </w:rPr>
          <w:fldChar w:fldCharType="begin"/>
        </w:r>
        <w:r w:rsidR="00894683">
          <w:rPr>
            <w:webHidden/>
          </w:rPr>
          <w:instrText xml:space="preserve"> PAGEREF _Toc109649986 \h </w:instrText>
        </w:r>
        <w:r w:rsidR="00894683">
          <w:rPr>
            <w:webHidden/>
          </w:rPr>
        </w:r>
        <w:r w:rsidR="00894683">
          <w:rPr>
            <w:webHidden/>
          </w:rPr>
          <w:fldChar w:fldCharType="separate"/>
        </w:r>
        <w:r w:rsidR="00915BEC">
          <w:rPr>
            <w:webHidden/>
          </w:rPr>
          <w:t>20</w:t>
        </w:r>
        <w:r w:rsidR="00894683">
          <w:rPr>
            <w:webHidden/>
          </w:rPr>
          <w:fldChar w:fldCharType="end"/>
        </w:r>
      </w:hyperlink>
    </w:p>
    <w:p w14:paraId="68E2B377" w14:textId="5380EFE3" w:rsidR="00894683" w:rsidRDefault="0011330C">
      <w:pPr>
        <w:pStyle w:val="TOC2"/>
        <w:rPr>
          <w:rFonts w:asciiTheme="minorHAnsi" w:eastAsiaTheme="minorEastAsia" w:hAnsiTheme="minorHAnsi" w:cstheme="minorBidi"/>
          <w:sz w:val="22"/>
          <w:szCs w:val="22"/>
          <w:lang w:eastAsia="en-AU"/>
        </w:rPr>
      </w:pPr>
      <w:hyperlink w:anchor="_Toc109649987" w:history="1">
        <w:r w:rsidR="00894683" w:rsidRPr="007D30BB">
          <w:rPr>
            <w:rStyle w:val="Hyperlink"/>
            <w:rFonts w:eastAsia="Times"/>
          </w:rPr>
          <w:t>Cell salvage</w:t>
        </w:r>
        <w:r w:rsidR="00894683">
          <w:rPr>
            <w:webHidden/>
          </w:rPr>
          <w:tab/>
        </w:r>
        <w:r w:rsidR="00894683">
          <w:rPr>
            <w:webHidden/>
          </w:rPr>
          <w:fldChar w:fldCharType="begin"/>
        </w:r>
        <w:r w:rsidR="00894683">
          <w:rPr>
            <w:webHidden/>
          </w:rPr>
          <w:instrText xml:space="preserve"> PAGEREF _Toc109649987 \h </w:instrText>
        </w:r>
        <w:r w:rsidR="00894683">
          <w:rPr>
            <w:webHidden/>
          </w:rPr>
        </w:r>
        <w:r w:rsidR="00894683">
          <w:rPr>
            <w:webHidden/>
          </w:rPr>
          <w:fldChar w:fldCharType="separate"/>
        </w:r>
        <w:r w:rsidR="00915BEC">
          <w:rPr>
            <w:webHidden/>
          </w:rPr>
          <w:t>20</w:t>
        </w:r>
        <w:r w:rsidR="00894683">
          <w:rPr>
            <w:webHidden/>
          </w:rPr>
          <w:fldChar w:fldCharType="end"/>
        </w:r>
      </w:hyperlink>
    </w:p>
    <w:p w14:paraId="5C0BD32D" w14:textId="018E2858" w:rsidR="00894683" w:rsidRDefault="0011330C">
      <w:pPr>
        <w:pStyle w:val="TOC2"/>
        <w:rPr>
          <w:rFonts w:asciiTheme="minorHAnsi" w:eastAsiaTheme="minorEastAsia" w:hAnsiTheme="minorHAnsi" w:cstheme="minorBidi"/>
          <w:sz w:val="22"/>
          <w:szCs w:val="22"/>
          <w:lang w:eastAsia="en-AU"/>
        </w:rPr>
      </w:pPr>
      <w:hyperlink w:anchor="_Toc109649988" w:history="1">
        <w:r w:rsidR="00894683" w:rsidRPr="007D30BB">
          <w:rPr>
            <w:rStyle w:val="Hyperlink"/>
            <w:rFonts w:eastAsia="Times"/>
          </w:rPr>
          <w:t>RhD immunoglobulin (RhD Ig)</w:t>
        </w:r>
        <w:r w:rsidR="00894683">
          <w:rPr>
            <w:webHidden/>
          </w:rPr>
          <w:tab/>
        </w:r>
        <w:r w:rsidR="00894683">
          <w:rPr>
            <w:webHidden/>
          </w:rPr>
          <w:fldChar w:fldCharType="begin"/>
        </w:r>
        <w:r w:rsidR="00894683">
          <w:rPr>
            <w:webHidden/>
          </w:rPr>
          <w:instrText xml:space="preserve"> PAGEREF _Toc109649988 \h </w:instrText>
        </w:r>
        <w:r w:rsidR="00894683">
          <w:rPr>
            <w:webHidden/>
          </w:rPr>
        </w:r>
        <w:r w:rsidR="00894683">
          <w:rPr>
            <w:webHidden/>
          </w:rPr>
          <w:fldChar w:fldCharType="separate"/>
        </w:r>
        <w:r w:rsidR="00915BEC">
          <w:rPr>
            <w:webHidden/>
          </w:rPr>
          <w:t>20</w:t>
        </w:r>
        <w:r w:rsidR="00894683">
          <w:rPr>
            <w:webHidden/>
          </w:rPr>
          <w:fldChar w:fldCharType="end"/>
        </w:r>
      </w:hyperlink>
    </w:p>
    <w:p w14:paraId="4CB14900" w14:textId="4D8DFAE8" w:rsidR="00894683" w:rsidRDefault="0011330C">
      <w:pPr>
        <w:pStyle w:val="TOC1"/>
        <w:rPr>
          <w:rFonts w:asciiTheme="minorHAnsi" w:eastAsiaTheme="minorEastAsia" w:hAnsiTheme="minorHAnsi" w:cstheme="minorBidi"/>
          <w:b w:val="0"/>
          <w:sz w:val="22"/>
          <w:szCs w:val="22"/>
          <w:lang w:eastAsia="en-AU"/>
        </w:rPr>
      </w:pPr>
      <w:hyperlink w:anchor="_Toc109649989" w:history="1">
        <w:r w:rsidR="00894683" w:rsidRPr="007D30BB">
          <w:rPr>
            <w:rStyle w:val="Hyperlink"/>
          </w:rPr>
          <w:t>References:</w:t>
        </w:r>
        <w:r w:rsidR="00894683">
          <w:rPr>
            <w:webHidden/>
          </w:rPr>
          <w:tab/>
        </w:r>
        <w:r w:rsidR="00894683">
          <w:rPr>
            <w:webHidden/>
          </w:rPr>
          <w:fldChar w:fldCharType="begin"/>
        </w:r>
        <w:r w:rsidR="00894683">
          <w:rPr>
            <w:webHidden/>
          </w:rPr>
          <w:instrText xml:space="preserve"> PAGEREF _Toc109649989 \h </w:instrText>
        </w:r>
        <w:r w:rsidR="00894683">
          <w:rPr>
            <w:webHidden/>
          </w:rPr>
        </w:r>
        <w:r w:rsidR="00894683">
          <w:rPr>
            <w:webHidden/>
          </w:rPr>
          <w:fldChar w:fldCharType="separate"/>
        </w:r>
        <w:r w:rsidR="00915BEC">
          <w:rPr>
            <w:webHidden/>
          </w:rPr>
          <w:t>21</w:t>
        </w:r>
        <w:r w:rsidR="00894683">
          <w:rPr>
            <w:webHidden/>
          </w:rPr>
          <w:fldChar w:fldCharType="end"/>
        </w:r>
      </w:hyperlink>
    </w:p>
    <w:p w14:paraId="484A752B" w14:textId="4C35C065" w:rsidR="00894683" w:rsidRDefault="0011330C">
      <w:pPr>
        <w:pStyle w:val="TOC1"/>
        <w:rPr>
          <w:rFonts w:asciiTheme="minorHAnsi" w:eastAsiaTheme="minorEastAsia" w:hAnsiTheme="minorHAnsi" w:cstheme="minorBidi"/>
          <w:b w:val="0"/>
          <w:sz w:val="22"/>
          <w:szCs w:val="22"/>
          <w:lang w:eastAsia="en-AU"/>
        </w:rPr>
      </w:pPr>
      <w:hyperlink w:anchor="_Toc109649990" w:history="1">
        <w:r w:rsidR="00894683" w:rsidRPr="007D30BB">
          <w:rPr>
            <w:rStyle w:val="Hyperlink"/>
          </w:rPr>
          <w:t>Appendix 1. STIR Expert Group Members (as of March 2022)</w:t>
        </w:r>
        <w:r w:rsidR="00894683">
          <w:rPr>
            <w:webHidden/>
          </w:rPr>
          <w:tab/>
        </w:r>
        <w:r w:rsidR="00894683">
          <w:rPr>
            <w:webHidden/>
          </w:rPr>
          <w:fldChar w:fldCharType="begin"/>
        </w:r>
        <w:r w:rsidR="00894683">
          <w:rPr>
            <w:webHidden/>
          </w:rPr>
          <w:instrText xml:space="preserve"> PAGEREF _Toc109649990 \h </w:instrText>
        </w:r>
        <w:r w:rsidR="00894683">
          <w:rPr>
            <w:webHidden/>
          </w:rPr>
        </w:r>
        <w:r w:rsidR="00894683">
          <w:rPr>
            <w:webHidden/>
          </w:rPr>
          <w:fldChar w:fldCharType="separate"/>
        </w:r>
        <w:r w:rsidR="00915BEC">
          <w:rPr>
            <w:webHidden/>
          </w:rPr>
          <w:t>22</w:t>
        </w:r>
        <w:r w:rsidR="00894683">
          <w:rPr>
            <w:webHidden/>
          </w:rPr>
          <w:fldChar w:fldCharType="end"/>
        </w:r>
      </w:hyperlink>
    </w:p>
    <w:p w14:paraId="6B7DC93C" w14:textId="608500A1" w:rsidR="00894683" w:rsidRDefault="0011330C">
      <w:pPr>
        <w:pStyle w:val="TOC1"/>
        <w:rPr>
          <w:rFonts w:asciiTheme="minorHAnsi" w:eastAsiaTheme="minorEastAsia" w:hAnsiTheme="minorHAnsi" w:cstheme="minorBidi"/>
          <w:b w:val="0"/>
          <w:sz w:val="22"/>
          <w:szCs w:val="22"/>
          <w:lang w:eastAsia="en-AU"/>
        </w:rPr>
      </w:pPr>
      <w:hyperlink w:anchor="_Toc109649991" w:history="1">
        <w:r w:rsidR="00894683" w:rsidRPr="007D30BB">
          <w:rPr>
            <w:rStyle w:val="Hyperlink"/>
          </w:rPr>
          <w:t>Appendix 2. STIR reporting flowchart</w:t>
        </w:r>
        <w:r w:rsidR="00894683">
          <w:rPr>
            <w:webHidden/>
          </w:rPr>
          <w:tab/>
        </w:r>
        <w:r w:rsidR="00894683">
          <w:rPr>
            <w:webHidden/>
          </w:rPr>
          <w:fldChar w:fldCharType="begin"/>
        </w:r>
        <w:r w:rsidR="00894683">
          <w:rPr>
            <w:webHidden/>
          </w:rPr>
          <w:instrText xml:space="preserve"> PAGEREF _Toc109649991 \h </w:instrText>
        </w:r>
        <w:r w:rsidR="00894683">
          <w:rPr>
            <w:webHidden/>
          </w:rPr>
        </w:r>
        <w:r w:rsidR="00894683">
          <w:rPr>
            <w:webHidden/>
          </w:rPr>
          <w:fldChar w:fldCharType="separate"/>
        </w:r>
        <w:r w:rsidR="00915BEC">
          <w:rPr>
            <w:webHidden/>
          </w:rPr>
          <w:t>23</w:t>
        </w:r>
        <w:r w:rsidR="00894683">
          <w:rPr>
            <w:webHidden/>
          </w:rPr>
          <w:fldChar w:fldCharType="end"/>
        </w:r>
      </w:hyperlink>
    </w:p>
    <w:p w14:paraId="030C9F07" w14:textId="539E0219" w:rsidR="00FB1F6E" w:rsidRDefault="00AD784C" w:rsidP="00D079AA">
      <w:pPr>
        <w:pStyle w:val="Body"/>
      </w:pPr>
      <w:r>
        <w:fldChar w:fldCharType="end"/>
      </w:r>
    </w:p>
    <w:p w14:paraId="5EFA40CB" w14:textId="41949D30" w:rsidR="00E317DD" w:rsidRDefault="00E317DD" w:rsidP="00D079AA">
      <w:pPr>
        <w:pStyle w:val="Body"/>
      </w:pPr>
    </w:p>
    <w:p w14:paraId="7D5F146C" w14:textId="1F2DE823" w:rsidR="00E317DD" w:rsidRDefault="00E317DD" w:rsidP="00D079AA">
      <w:pPr>
        <w:pStyle w:val="Body"/>
      </w:pPr>
    </w:p>
    <w:p w14:paraId="3F2F3C24" w14:textId="11584167" w:rsidR="00E317DD" w:rsidRDefault="00E317DD" w:rsidP="00D079AA">
      <w:pPr>
        <w:pStyle w:val="Body"/>
      </w:pPr>
    </w:p>
    <w:p w14:paraId="01D1BB07" w14:textId="66F764C4" w:rsidR="00E317DD" w:rsidRDefault="00E317DD" w:rsidP="00D079AA">
      <w:pPr>
        <w:pStyle w:val="Body"/>
      </w:pPr>
    </w:p>
    <w:p w14:paraId="3BE1B3A1" w14:textId="0D10032A" w:rsidR="00E317DD" w:rsidRDefault="00E317DD" w:rsidP="00D079AA">
      <w:pPr>
        <w:pStyle w:val="Body"/>
      </w:pPr>
    </w:p>
    <w:p w14:paraId="3A561642" w14:textId="7E9924DC" w:rsidR="00E317DD" w:rsidRDefault="00E317DD" w:rsidP="00D079AA">
      <w:pPr>
        <w:pStyle w:val="Body"/>
      </w:pPr>
    </w:p>
    <w:p w14:paraId="54280E85" w14:textId="0DFBABCD" w:rsidR="00E317DD" w:rsidRDefault="00E317DD" w:rsidP="00D079AA">
      <w:pPr>
        <w:pStyle w:val="Body"/>
      </w:pPr>
    </w:p>
    <w:p w14:paraId="0AFA948B" w14:textId="1693EF34" w:rsidR="00E317DD" w:rsidRDefault="00E317DD" w:rsidP="00D079AA">
      <w:pPr>
        <w:pStyle w:val="Body"/>
      </w:pPr>
    </w:p>
    <w:p w14:paraId="444C5C62" w14:textId="5DF86583" w:rsidR="00E317DD" w:rsidRDefault="00E317DD" w:rsidP="00D079AA">
      <w:pPr>
        <w:pStyle w:val="Body"/>
      </w:pPr>
    </w:p>
    <w:p w14:paraId="1D5B3187" w14:textId="77777777" w:rsidR="00E317DD" w:rsidRDefault="00E317DD" w:rsidP="00D079AA">
      <w:pPr>
        <w:pStyle w:val="Body"/>
      </w:pPr>
    </w:p>
    <w:p w14:paraId="1FC25B1E" w14:textId="77777777" w:rsidR="00E317DD" w:rsidRPr="00E317DD" w:rsidRDefault="00E317DD" w:rsidP="00E317DD">
      <w:pPr>
        <w:spacing w:after="0" w:line="240" w:lineRule="auto"/>
        <w:rPr>
          <w:b/>
        </w:rPr>
      </w:pPr>
      <w:r w:rsidRPr="00E317DD">
        <w:rPr>
          <w:b/>
        </w:rPr>
        <w:t>Version control</w:t>
      </w:r>
    </w:p>
    <w:tbl>
      <w:tblPr>
        <w:tblStyle w:val="TableGrid"/>
        <w:tblW w:w="0" w:type="auto"/>
        <w:tblInd w:w="567" w:type="dxa"/>
        <w:tblLook w:val="04A0" w:firstRow="1" w:lastRow="0" w:firstColumn="1" w:lastColumn="0" w:noHBand="0" w:noVBand="1"/>
      </w:tblPr>
      <w:tblGrid>
        <w:gridCol w:w="2885"/>
        <w:gridCol w:w="2916"/>
        <w:gridCol w:w="2920"/>
      </w:tblGrid>
      <w:tr w:rsidR="00E317DD" w:rsidRPr="00E317DD" w14:paraId="4ABB18B5" w14:textId="77777777" w:rsidTr="00A578A6">
        <w:tc>
          <w:tcPr>
            <w:tcW w:w="2885" w:type="dxa"/>
            <w:shd w:val="clear" w:color="auto" w:fill="D9D9D9" w:themeFill="background1" w:themeFillShade="D9"/>
          </w:tcPr>
          <w:p w14:paraId="7E2E5B5F" w14:textId="77777777" w:rsidR="00E317DD" w:rsidRPr="00E317DD" w:rsidRDefault="00E317DD" w:rsidP="00E317DD">
            <w:pPr>
              <w:spacing w:after="0" w:line="240" w:lineRule="auto"/>
            </w:pPr>
            <w:r w:rsidRPr="00E317DD">
              <w:t>Version number</w:t>
            </w:r>
          </w:p>
        </w:tc>
        <w:tc>
          <w:tcPr>
            <w:tcW w:w="2916" w:type="dxa"/>
            <w:shd w:val="clear" w:color="auto" w:fill="D9D9D9" w:themeFill="background1" w:themeFillShade="D9"/>
          </w:tcPr>
          <w:p w14:paraId="537444AB" w14:textId="77777777" w:rsidR="00E317DD" w:rsidRPr="00E317DD" w:rsidRDefault="00E317DD" w:rsidP="00E317DD">
            <w:pPr>
              <w:spacing w:after="0" w:line="240" w:lineRule="auto"/>
            </w:pPr>
            <w:r w:rsidRPr="00E317DD">
              <w:t>Date</w:t>
            </w:r>
          </w:p>
        </w:tc>
        <w:tc>
          <w:tcPr>
            <w:tcW w:w="2920" w:type="dxa"/>
            <w:shd w:val="clear" w:color="auto" w:fill="D9D9D9" w:themeFill="background1" w:themeFillShade="D9"/>
          </w:tcPr>
          <w:p w14:paraId="2E7B4963" w14:textId="77777777" w:rsidR="00E317DD" w:rsidRPr="00E317DD" w:rsidRDefault="00E317DD" w:rsidP="00E317DD">
            <w:pPr>
              <w:spacing w:after="0" w:line="240" w:lineRule="auto"/>
            </w:pPr>
            <w:r w:rsidRPr="00E317DD">
              <w:t>Author</w:t>
            </w:r>
          </w:p>
        </w:tc>
      </w:tr>
      <w:tr w:rsidR="00E317DD" w:rsidRPr="00E317DD" w14:paraId="108DD182" w14:textId="77777777" w:rsidTr="00A578A6">
        <w:tc>
          <w:tcPr>
            <w:tcW w:w="2885" w:type="dxa"/>
          </w:tcPr>
          <w:p w14:paraId="06AFA502" w14:textId="77777777" w:rsidR="00E317DD" w:rsidRPr="00E317DD" w:rsidRDefault="00E317DD" w:rsidP="00E317DD">
            <w:pPr>
              <w:spacing w:after="0" w:line="240" w:lineRule="auto"/>
            </w:pPr>
            <w:r w:rsidRPr="00E317DD">
              <w:t>Version 1</w:t>
            </w:r>
          </w:p>
        </w:tc>
        <w:tc>
          <w:tcPr>
            <w:tcW w:w="2916" w:type="dxa"/>
          </w:tcPr>
          <w:p w14:paraId="1B59FB9F" w14:textId="77777777" w:rsidR="00E317DD" w:rsidRPr="00E317DD" w:rsidRDefault="00E317DD" w:rsidP="00E317DD">
            <w:pPr>
              <w:spacing w:after="0" w:line="240" w:lineRule="auto"/>
            </w:pPr>
            <w:r w:rsidRPr="00E317DD">
              <w:t>3 May 2007</w:t>
            </w:r>
          </w:p>
        </w:tc>
        <w:tc>
          <w:tcPr>
            <w:tcW w:w="2920" w:type="dxa"/>
          </w:tcPr>
          <w:p w14:paraId="6616B796" w14:textId="77777777" w:rsidR="00E317DD" w:rsidRPr="00E317DD" w:rsidRDefault="00E317DD" w:rsidP="00E317DD">
            <w:pPr>
              <w:spacing w:after="0" w:line="240" w:lineRule="auto"/>
            </w:pPr>
            <w:r w:rsidRPr="00E317DD">
              <w:t>Karen Botting</w:t>
            </w:r>
          </w:p>
        </w:tc>
      </w:tr>
      <w:tr w:rsidR="00E317DD" w:rsidRPr="00E317DD" w14:paraId="7FDE2BCA" w14:textId="77777777" w:rsidTr="00A578A6">
        <w:tc>
          <w:tcPr>
            <w:tcW w:w="2885" w:type="dxa"/>
          </w:tcPr>
          <w:p w14:paraId="2BAB1DCD" w14:textId="77777777" w:rsidR="00E317DD" w:rsidRPr="00E317DD" w:rsidRDefault="00E317DD" w:rsidP="00E317DD">
            <w:pPr>
              <w:spacing w:after="0" w:line="240" w:lineRule="auto"/>
            </w:pPr>
            <w:r w:rsidRPr="00E317DD">
              <w:t>Version 2</w:t>
            </w:r>
          </w:p>
        </w:tc>
        <w:tc>
          <w:tcPr>
            <w:tcW w:w="2916" w:type="dxa"/>
          </w:tcPr>
          <w:p w14:paraId="5EA31671" w14:textId="77777777" w:rsidR="00E317DD" w:rsidRPr="00E317DD" w:rsidRDefault="00E317DD" w:rsidP="00E317DD">
            <w:pPr>
              <w:spacing w:after="0" w:line="240" w:lineRule="auto"/>
            </w:pPr>
            <w:r w:rsidRPr="00E317DD">
              <w:t>5 August 2013</w:t>
            </w:r>
          </w:p>
        </w:tc>
        <w:tc>
          <w:tcPr>
            <w:tcW w:w="2920" w:type="dxa"/>
          </w:tcPr>
          <w:p w14:paraId="31A0C624" w14:textId="77777777" w:rsidR="00E317DD" w:rsidRPr="00E317DD" w:rsidRDefault="00E317DD" w:rsidP="00E317DD">
            <w:pPr>
              <w:spacing w:after="0" w:line="240" w:lineRule="auto"/>
            </w:pPr>
            <w:r w:rsidRPr="00E317DD">
              <w:t>Lisa Stevenson</w:t>
            </w:r>
          </w:p>
        </w:tc>
      </w:tr>
      <w:tr w:rsidR="00E317DD" w:rsidRPr="00E317DD" w14:paraId="0E8352EA" w14:textId="77777777" w:rsidTr="00A578A6">
        <w:tc>
          <w:tcPr>
            <w:tcW w:w="2885" w:type="dxa"/>
          </w:tcPr>
          <w:p w14:paraId="0942E6FD" w14:textId="77777777" w:rsidR="00E317DD" w:rsidRPr="00E317DD" w:rsidRDefault="00E317DD" w:rsidP="00E317DD">
            <w:pPr>
              <w:spacing w:after="0" w:line="240" w:lineRule="auto"/>
            </w:pPr>
            <w:r w:rsidRPr="00E317DD">
              <w:t xml:space="preserve">Version 3 </w:t>
            </w:r>
          </w:p>
        </w:tc>
        <w:tc>
          <w:tcPr>
            <w:tcW w:w="2916" w:type="dxa"/>
          </w:tcPr>
          <w:p w14:paraId="66A41C19" w14:textId="77777777" w:rsidR="00E317DD" w:rsidRPr="00E317DD" w:rsidRDefault="00E317DD" w:rsidP="00E317DD">
            <w:pPr>
              <w:spacing w:after="0" w:line="240" w:lineRule="auto"/>
            </w:pPr>
            <w:r w:rsidRPr="00E317DD">
              <w:t>17 December 2014</w:t>
            </w:r>
          </w:p>
        </w:tc>
        <w:tc>
          <w:tcPr>
            <w:tcW w:w="2920" w:type="dxa"/>
          </w:tcPr>
          <w:p w14:paraId="40D6E105" w14:textId="77777777" w:rsidR="00E317DD" w:rsidRPr="00E317DD" w:rsidRDefault="00E317DD" w:rsidP="00E317DD">
            <w:pPr>
              <w:spacing w:after="0" w:line="240" w:lineRule="auto"/>
            </w:pPr>
            <w:r w:rsidRPr="00E317DD">
              <w:t>Chris Akers</w:t>
            </w:r>
          </w:p>
        </w:tc>
      </w:tr>
      <w:tr w:rsidR="00E317DD" w:rsidRPr="00E317DD" w14:paraId="6F019567" w14:textId="77777777" w:rsidTr="00A578A6">
        <w:tc>
          <w:tcPr>
            <w:tcW w:w="2885" w:type="dxa"/>
          </w:tcPr>
          <w:p w14:paraId="5F10832B" w14:textId="77777777" w:rsidR="00E317DD" w:rsidRPr="00E317DD" w:rsidRDefault="00E317DD" w:rsidP="00E317DD">
            <w:pPr>
              <w:spacing w:after="0" w:line="240" w:lineRule="auto"/>
            </w:pPr>
            <w:r w:rsidRPr="00E317DD">
              <w:t>Version 4</w:t>
            </w:r>
          </w:p>
        </w:tc>
        <w:tc>
          <w:tcPr>
            <w:tcW w:w="2916" w:type="dxa"/>
          </w:tcPr>
          <w:p w14:paraId="1784F040" w14:textId="77777777" w:rsidR="00E317DD" w:rsidRPr="00E317DD" w:rsidRDefault="00E317DD" w:rsidP="00E317DD">
            <w:pPr>
              <w:spacing w:after="0" w:line="240" w:lineRule="auto"/>
            </w:pPr>
            <w:r w:rsidRPr="00E317DD">
              <w:t>17 July 2017</w:t>
            </w:r>
          </w:p>
        </w:tc>
        <w:tc>
          <w:tcPr>
            <w:tcW w:w="2920" w:type="dxa"/>
          </w:tcPr>
          <w:p w14:paraId="620182BE" w14:textId="77777777" w:rsidR="00E317DD" w:rsidRPr="00E317DD" w:rsidRDefault="00E317DD" w:rsidP="00E317DD">
            <w:pPr>
              <w:spacing w:after="0" w:line="240" w:lineRule="auto"/>
            </w:pPr>
            <w:r w:rsidRPr="00E317DD">
              <w:t>Chris Akers</w:t>
            </w:r>
          </w:p>
        </w:tc>
      </w:tr>
      <w:tr w:rsidR="00E317DD" w:rsidRPr="00E317DD" w14:paraId="16052231" w14:textId="77777777" w:rsidTr="00A578A6">
        <w:tc>
          <w:tcPr>
            <w:tcW w:w="2885" w:type="dxa"/>
          </w:tcPr>
          <w:p w14:paraId="2ACD7D37" w14:textId="77777777" w:rsidR="00E317DD" w:rsidRPr="00E317DD" w:rsidRDefault="00E317DD" w:rsidP="00E317DD">
            <w:pPr>
              <w:spacing w:after="0" w:line="240" w:lineRule="auto"/>
            </w:pPr>
            <w:r w:rsidRPr="00E317DD">
              <w:t>Version 5</w:t>
            </w:r>
          </w:p>
        </w:tc>
        <w:tc>
          <w:tcPr>
            <w:tcW w:w="2916" w:type="dxa"/>
          </w:tcPr>
          <w:p w14:paraId="284976EE" w14:textId="77777777" w:rsidR="00E317DD" w:rsidRPr="00E317DD" w:rsidRDefault="00E317DD" w:rsidP="00E317DD">
            <w:pPr>
              <w:spacing w:after="0" w:line="240" w:lineRule="auto"/>
            </w:pPr>
            <w:r w:rsidRPr="00E317DD">
              <w:t>17 July 2020</w:t>
            </w:r>
          </w:p>
        </w:tc>
        <w:tc>
          <w:tcPr>
            <w:tcW w:w="2920" w:type="dxa"/>
          </w:tcPr>
          <w:p w14:paraId="25645B09" w14:textId="77777777" w:rsidR="00E317DD" w:rsidRPr="00E317DD" w:rsidRDefault="00E317DD" w:rsidP="00E317DD">
            <w:pPr>
              <w:spacing w:after="0" w:line="240" w:lineRule="auto"/>
            </w:pPr>
            <w:r w:rsidRPr="00E317DD">
              <w:t>Chris Akers</w:t>
            </w:r>
          </w:p>
        </w:tc>
      </w:tr>
      <w:tr w:rsidR="00E317DD" w:rsidRPr="00E317DD" w14:paraId="22D2D690" w14:textId="77777777" w:rsidTr="00A578A6">
        <w:tc>
          <w:tcPr>
            <w:tcW w:w="2885" w:type="dxa"/>
          </w:tcPr>
          <w:p w14:paraId="79E65FA9" w14:textId="4DD2F37A" w:rsidR="00E317DD" w:rsidRPr="00E317DD" w:rsidRDefault="00E317DD" w:rsidP="00E317DD">
            <w:pPr>
              <w:spacing w:after="0" w:line="240" w:lineRule="auto"/>
            </w:pPr>
            <w:r>
              <w:t>Version 6</w:t>
            </w:r>
          </w:p>
        </w:tc>
        <w:tc>
          <w:tcPr>
            <w:tcW w:w="2916" w:type="dxa"/>
          </w:tcPr>
          <w:p w14:paraId="15F0D780" w14:textId="3CB8FDE1" w:rsidR="00E317DD" w:rsidRPr="00E317DD" w:rsidRDefault="00EF428C" w:rsidP="00E317DD">
            <w:pPr>
              <w:spacing w:after="0" w:line="240" w:lineRule="auto"/>
            </w:pPr>
            <w:r>
              <w:t>26 Ju</w:t>
            </w:r>
            <w:r w:rsidR="007F5201">
              <w:t>ly</w:t>
            </w:r>
            <w:r>
              <w:t xml:space="preserve"> 2022</w:t>
            </w:r>
          </w:p>
        </w:tc>
        <w:tc>
          <w:tcPr>
            <w:tcW w:w="2920" w:type="dxa"/>
          </w:tcPr>
          <w:p w14:paraId="5387FBC7" w14:textId="7ADDA1FB" w:rsidR="00E317DD" w:rsidRPr="00E317DD" w:rsidRDefault="00EF428C" w:rsidP="00E317DD">
            <w:pPr>
              <w:spacing w:after="0" w:line="240" w:lineRule="auto"/>
            </w:pPr>
            <w:r>
              <w:t>Chris Akers</w:t>
            </w:r>
          </w:p>
        </w:tc>
      </w:tr>
    </w:tbl>
    <w:p w14:paraId="5DFD74EF" w14:textId="77777777" w:rsidR="00E317DD" w:rsidRPr="00E317DD" w:rsidRDefault="00E317DD" w:rsidP="00E317DD">
      <w:pPr>
        <w:spacing w:after="0" w:line="240" w:lineRule="auto"/>
        <w:rPr>
          <w:b/>
          <w:bCs/>
        </w:rPr>
      </w:pPr>
      <w:bookmarkStart w:id="2" w:name="_Toc282328712"/>
    </w:p>
    <w:p w14:paraId="5F7BEB6F" w14:textId="22E7DFB1" w:rsidR="00E317DD" w:rsidRDefault="00E317DD" w:rsidP="00E317DD">
      <w:pPr>
        <w:spacing w:after="0" w:line="240" w:lineRule="auto"/>
        <w:rPr>
          <w:b/>
          <w:bCs/>
        </w:rPr>
      </w:pPr>
    </w:p>
    <w:p w14:paraId="347D5A56" w14:textId="47FF6CF2" w:rsidR="00900745" w:rsidRDefault="00900745" w:rsidP="00E317DD">
      <w:pPr>
        <w:spacing w:after="0" w:line="240" w:lineRule="auto"/>
        <w:rPr>
          <w:b/>
          <w:bCs/>
        </w:rPr>
      </w:pPr>
    </w:p>
    <w:p w14:paraId="2D035DFD" w14:textId="75397B70" w:rsidR="00900745" w:rsidRDefault="00900745" w:rsidP="00E317DD">
      <w:pPr>
        <w:spacing w:after="0" w:line="240" w:lineRule="auto"/>
        <w:rPr>
          <w:b/>
          <w:bCs/>
        </w:rPr>
      </w:pPr>
    </w:p>
    <w:p w14:paraId="3941714C" w14:textId="1EA442F5" w:rsidR="00900745" w:rsidRDefault="00900745" w:rsidP="00E317DD">
      <w:pPr>
        <w:spacing w:after="0" w:line="240" w:lineRule="auto"/>
        <w:rPr>
          <w:b/>
          <w:bCs/>
        </w:rPr>
      </w:pPr>
    </w:p>
    <w:p w14:paraId="1EA97C62" w14:textId="77777777" w:rsidR="00900745" w:rsidRPr="00E317DD" w:rsidRDefault="00900745" w:rsidP="00E317DD">
      <w:pPr>
        <w:spacing w:after="0" w:line="240" w:lineRule="auto"/>
        <w:rPr>
          <w:b/>
          <w:bCs/>
        </w:rPr>
      </w:pPr>
    </w:p>
    <w:p w14:paraId="3003EFC5" w14:textId="77777777" w:rsidR="00E317DD" w:rsidRPr="00E317DD" w:rsidRDefault="00E317DD" w:rsidP="00E317DD">
      <w:pPr>
        <w:spacing w:after="0" w:line="240" w:lineRule="auto"/>
        <w:rPr>
          <w:b/>
          <w:bCs/>
        </w:rPr>
      </w:pPr>
    </w:p>
    <w:p w14:paraId="2212285E" w14:textId="77777777" w:rsidR="00E317DD" w:rsidRPr="00E317DD" w:rsidRDefault="00E317DD" w:rsidP="00E317DD">
      <w:pPr>
        <w:spacing w:after="0" w:line="240" w:lineRule="auto"/>
        <w:rPr>
          <w:b/>
          <w:bCs/>
        </w:rPr>
      </w:pPr>
      <w:r w:rsidRPr="00E317DD">
        <w:rPr>
          <w:b/>
          <w:bCs/>
        </w:rPr>
        <w:t>Acknowledgments</w:t>
      </w:r>
      <w:bookmarkEnd w:id="2"/>
    </w:p>
    <w:p w14:paraId="2DA362C9" w14:textId="77777777" w:rsidR="00E317DD" w:rsidRPr="00E317DD" w:rsidRDefault="00E317DD" w:rsidP="00E317DD">
      <w:pPr>
        <w:spacing w:after="0" w:line="240" w:lineRule="auto"/>
      </w:pPr>
      <w:r w:rsidRPr="00E317DD">
        <w:t>The Blood Matters program wishes to acknowledge the use of reference material obtained from the National Blood Authority, United Kingdom Serious Hazards of Transfusion (SHOT) scheme and the New Zealand National Haemovigilance Programme and the STIR working group for their innovation and design of the system.</w:t>
      </w:r>
    </w:p>
    <w:p w14:paraId="70117B2E" w14:textId="77777777" w:rsidR="00E317DD" w:rsidRPr="00E317DD" w:rsidRDefault="00E317DD" w:rsidP="00E317DD">
      <w:pPr>
        <w:spacing w:after="0" w:line="240" w:lineRule="auto"/>
        <w:rPr>
          <w:b/>
          <w:bCs/>
        </w:rPr>
      </w:pPr>
      <w:bookmarkStart w:id="3" w:name="_Toc282328713"/>
    </w:p>
    <w:p w14:paraId="69AF7C75" w14:textId="77777777" w:rsidR="00E317DD" w:rsidRPr="00E317DD" w:rsidRDefault="00E317DD" w:rsidP="00E317DD">
      <w:pPr>
        <w:spacing w:after="0" w:line="240" w:lineRule="auto"/>
        <w:rPr>
          <w:b/>
          <w:bCs/>
        </w:rPr>
      </w:pPr>
    </w:p>
    <w:p w14:paraId="0C469250" w14:textId="77777777" w:rsidR="00E317DD" w:rsidRPr="00E317DD" w:rsidRDefault="00E317DD" w:rsidP="00E317DD">
      <w:pPr>
        <w:spacing w:after="0" w:line="240" w:lineRule="auto"/>
        <w:rPr>
          <w:b/>
          <w:bCs/>
        </w:rPr>
      </w:pPr>
      <w:r w:rsidRPr="00E317DD">
        <w:rPr>
          <w:b/>
          <w:bCs/>
        </w:rPr>
        <w:t>Address queries to:</w:t>
      </w:r>
      <w:bookmarkEnd w:id="3"/>
      <w:r w:rsidRPr="00E317DD">
        <w:rPr>
          <w:b/>
          <w:bCs/>
        </w:rPr>
        <w:t xml:space="preserve"> </w:t>
      </w:r>
    </w:p>
    <w:p w14:paraId="0A67B991" w14:textId="77777777" w:rsidR="00E317DD" w:rsidRPr="00E317DD" w:rsidRDefault="00E317DD" w:rsidP="00E317DD">
      <w:pPr>
        <w:spacing w:after="0" w:line="240" w:lineRule="auto"/>
      </w:pPr>
      <w:r w:rsidRPr="00E317DD">
        <w:t>Ms Linley Bielby, Program Manager, Blood Matters, 03 9694 0102</w:t>
      </w:r>
    </w:p>
    <w:p w14:paraId="4846B37C" w14:textId="77777777" w:rsidR="00E317DD" w:rsidRPr="00E317DD" w:rsidRDefault="00E317DD" w:rsidP="00E317DD">
      <w:pPr>
        <w:spacing w:after="0" w:line="240" w:lineRule="auto"/>
      </w:pPr>
      <w:r w:rsidRPr="00E317DD">
        <w:t>Ms Chris Akers, Transfusion Nurse, Blood Matters, 03 9694 3523</w:t>
      </w:r>
    </w:p>
    <w:p w14:paraId="5B6084A5" w14:textId="041FC8BA" w:rsidR="00E317DD" w:rsidRDefault="0011330C" w:rsidP="00E317DD">
      <w:pPr>
        <w:spacing w:after="0" w:line="240" w:lineRule="auto"/>
      </w:pPr>
      <w:hyperlink r:id="rId20" w:history="1">
        <w:r w:rsidR="00E317DD" w:rsidRPr="00E317DD">
          <w:rPr>
            <w:rStyle w:val="Hyperlink"/>
          </w:rPr>
          <w:t>stir@redcrossblood.org.au</w:t>
        </w:r>
      </w:hyperlink>
      <w:r w:rsidR="00E317DD" w:rsidRPr="00E317DD">
        <w:t xml:space="preserve"> </w:t>
      </w:r>
    </w:p>
    <w:p w14:paraId="52643CFE" w14:textId="50E7E81B" w:rsidR="000D0F8D" w:rsidRDefault="000D0F8D" w:rsidP="00E317DD">
      <w:pPr>
        <w:spacing w:after="0" w:line="240" w:lineRule="auto"/>
      </w:pPr>
    </w:p>
    <w:p w14:paraId="6BC03717" w14:textId="480E51AF" w:rsidR="000D0F8D" w:rsidRDefault="000D0F8D" w:rsidP="00E317DD">
      <w:pPr>
        <w:spacing w:after="0" w:line="240" w:lineRule="auto"/>
      </w:pPr>
    </w:p>
    <w:p w14:paraId="686088CE" w14:textId="5A6D25B2" w:rsidR="000D0F8D" w:rsidRDefault="000D0F8D" w:rsidP="00E317DD">
      <w:pPr>
        <w:spacing w:after="0" w:line="240" w:lineRule="auto"/>
      </w:pPr>
    </w:p>
    <w:p w14:paraId="284BF5DB" w14:textId="0523A462" w:rsidR="000D0F8D" w:rsidRDefault="000D0F8D" w:rsidP="00E317DD">
      <w:pPr>
        <w:spacing w:after="0" w:line="240" w:lineRule="auto"/>
      </w:pPr>
    </w:p>
    <w:p w14:paraId="43660491" w14:textId="3BC9F4A9" w:rsidR="000D0F8D" w:rsidRDefault="000D0F8D" w:rsidP="00E317DD">
      <w:pPr>
        <w:spacing w:after="0" w:line="240" w:lineRule="auto"/>
      </w:pPr>
    </w:p>
    <w:p w14:paraId="4DBBC3E5" w14:textId="77777777" w:rsidR="000D0F8D" w:rsidRPr="00E317DD" w:rsidRDefault="000D0F8D" w:rsidP="00E317DD">
      <w:pPr>
        <w:spacing w:after="0" w:line="240" w:lineRule="auto"/>
      </w:pPr>
    </w:p>
    <w:p w14:paraId="42CB53E1" w14:textId="2502224F" w:rsidR="00E317DD" w:rsidRPr="00E317DD" w:rsidRDefault="00E317DD">
      <w:pPr>
        <w:spacing w:after="0" w:line="240" w:lineRule="auto"/>
      </w:pPr>
    </w:p>
    <w:p w14:paraId="4B2B0074" w14:textId="4C63C842" w:rsidR="004F248C" w:rsidRDefault="004F248C" w:rsidP="004F248C">
      <w:pPr>
        <w:pStyle w:val="Heading1"/>
      </w:pPr>
      <w:bookmarkStart w:id="4" w:name="_Toc109649953"/>
      <w:bookmarkStart w:id="5" w:name="_Hlk66712316"/>
      <w:r w:rsidRPr="004F248C">
        <w:lastRenderedPageBreak/>
        <w:t>Abbreviations</w:t>
      </w:r>
      <w:bookmarkEnd w:id="4"/>
    </w:p>
    <w:p w14:paraId="5A72F4E6" w14:textId="77777777" w:rsidR="004F248C" w:rsidRPr="004F248C" w:rsidRDefault="004F248C" w:rsidP="004F248C">
      <w:pPr>
        <w:pStyle w:val="Body"/>
      </w:pPr>
      <w:r w:rsidRPr="004F248C">
        <w:t>ABO</w:t>
      </w:r>
      <w:r w:rsidRPr="004F248C">
        <w:tab/>
      </w:r>
      <w:r w:rsidRPr="004F248C">
        <w:tab/>
      </w:r>
      <w:r w:rsidRPr="004F248C">
        <w:tab/>
        <w:t xml:space="preserve">ABO blood groups </w:t>
      </w:r>
    </w:p>
    <w:p w14:paraId="072A03B5" w14:textId="77777777" w:rsidR="004F248C" w:rsidRPr="004F248C" w:rsidRDefault="004F248C" w:rsidP="004F248C">
      <w:pPr>
        <w:pStyle w:val="Body"/>
      </w:pPr>
      <w:r w:rsidRPr="004F248C">
        <w:t>AHTR</w:t>
      </w:r>
      <w:r w:rsidRPr="004F248C">
        <w:tab/>
      </w:r>
      <w:r w:rsidRPr="004F248C">
        <w:tab/>
      </w:r>
      <w:r w:rsidRPr="004F248C">
        <w:tab/>
        <w:t>acute haemolytic transfusion reaction</w:t>
      </w:r>
    </w:p>
    <w:p w14:paraId="71DCFCA9" w14:textId="77777777" w:rsidR="004F248C" w:rsidRPr="004F248C" w:rsidRDefault="004F248C" w:rsidP="004F248C">
      <w:pPr>
        <w:pStyle w:val="Body"/>
      </w:pPr>
      <w:r w:rsidRPr="004F248C">
        <w:t>ALI</w:t>
      </w:r>
      <w:r w:rsidRPr="004F248C">
        <w:tab/>
      </w:r>
      <w:r w:rsidRPr="004F248C">
        <w:tab/>
      </w:r>
      <w:r w:rsidRPr="004F248C">
        <w:tab/>
        <w:t>acute lung injury</w:t>
      </w:r>
    </w:p>
    <w:p w14:paraId="45D5CB4B" w14:textId="77777777" w:rsidR="004F248C" w:rsidRPr="004F248C" w:rsidRDefault="004F248C" w:rsidP="004F248C">
      <w:pPr>
        <w:pStyle w:val="Body"/>
      </w:pPr>
      <w:r w:rsidRPr="004F248C">
        <w:t>ATR</w:t>
      </w:r>
      <w:r w:rsidRPr="004F248C">
        <w:tab/>
      </w:r>
      <w:r w:rsidRPr="004F248C">
        <w:tab/>
      </w:r>
      <w:r w:rsidRPr="004F248C">
        <w:tab/>
        <w:t>acute transfusion reaction</w:t>
      </w:r>
    </w:p>
    <w:p w14:paraId="35E4C54D" w14:textId="77777777" w:rsidR="004F248C" w:rsidRPr="004F248C" w:rsidRDefault="004F248C" w:rsidP="004F248C">
      <w:pPr>
        <w:pStyle w:val="Body"/>
      </w:pPr>
      <w:r w:rsidRPr="004F248C">
        <w:t>BNP</w:t>
      </w:r>
      <w:r w:rsidRPr="004F248C">
        <w:tab/>
      </w:r>
      <w:r w:rsidRPr="004F248C">
        <w:tab/>
      </w:r>
      <w:r w:rsidRPr="004F248C">
        <w:tab/>
        <w:t>B-type natriuretic peptide</w:t>
      </w:r>
    </w:p>
    <w:p w14:paraId="2471F8A3" w14:textId="77777777" w:rsidR="004F248C" w:rsidRPr="004F248C" w:rsidRDefault="004F248C" w:rsidP="004F248C">
      <w:pPr>
        <w:pStyle w:val="Body"/>
      </w:pPr>
      <w:r w:rsidRPr="004F248C">
        <w:t>BP</w:t>
      </w:r>
      <w:r w:rsidRPr="004F248C">
        <w:tab/>
      </w:r>
      <w:r w:rsidRPr="004F248C">
        <w:tab/>
      </w:r>
      <w:r w:rsidRPr="004F248C">
        <w:tab/>
        <w:t>blood pressure</w:t>
      </w:r>
    </w:p>
    <w:p w14:paraId="435C3AA4" w14:textId="77777777" w:rsidR="004F248C" w:rsidRPr="004F248C" w:rsidRDefault="004F248C" w:rsidP="004F248C">
      <w:pPr>
        <w:pStyle w:val="Body"/>
      </w:pPr>
      <w:r w:rsidRPr="004F248C">
        <w:t>CMV</w:t>
      </w:r>
      <w:r w:rsidRPr="004F248C">
        <w:tab/>
      </w:r>
      <w:r w:rsidRPr="004F248C">
        <w:tab/>
      </w:r>
      <w:r w:rsidRPr="004F248C">
        <w:tab/>
        <w:t>cytomegalovirus</w:t>
      </w:r>
    </w:p>
    <w:p w14:paraId="44426C9C" w14:textId="77777777" w:rsidR="004F248C" w:rsidRPr="004F248C" w:rsidRDefault="004F248C" w:rsidP="004F248C">
      <w:pPr>
        <w:pStyle w:val="Body"/>
      </w:pPr>
      <w:r w:rsidRPr="004F248C">
        <w:t>DAT</w:t>
      </w:r>
      <w:r w:rsidRPr="004F248C">
        <w:tab/>
      </w:r>
      <w:r w:rsidRPr="004F248C">
        <w:tab/>
      </w:r>
      <w:r w:rsidRPr="004F248C">
        <w:tab/>
        <w:t>direct antiglobulin test</w:t>
      </w:r>
    </w:p>
    <w:p w14:paraId="434D7E01" w14:textId="77777777" w:rsidR="004F248C" w:rsidRPr="004F248C" w:rsidRDefault="004F248C" w:rsidP="004F248C">
      <w:pPr>
        <w:pStyle w:val="Body"/>
      </w:pPr>
      <w:r w:rsidRPr="004F248C">
        <w:t>DHTR</w:t>
      </w:r>
      <w:r w:rsidRPr="004F248C">
        <w:tab/>
      </w:r>
      <w:r w:rsidRPr="004F248C">
        <w:tab/>
      </w:r>
      <w:r w:rsidRPr="004F248C">
        <w:tab/>
        <w:t>delayed haemolytic transfusion reaction</w:t>
      </w:r>
    </w:p>
    <w:p w14:paraId="0EE7C455" w14:textId="77777777" w:rsidR="004F248C" w:rsidRPr="004F248C" w:rsidRDefault="004F248C" w:rsidP="004F248C">
      <w:pPr>
        <w:pStyle w:val="Body"/>
      </w:pPr>
      <w:r w:rsidRPr="004F248C">
        <w:t>DSTR</w:t>
      </w:r>
      <w:r w:rsidRPr="004F248C">
        <w:tab/>
      </w:r>
      <w:r w:rsidRPr="004F248C">
        <w:tab/>
      </w:r>
      <w:r w:rsidRPr="004F248C">
        <w:tab/>
        <w:t>delayed serologic transfusion reaction</w:t>
      </w:r>
    </w:p>
    <w:p w14:paraId="6C63ADCB" w14:textId="77777777" w:rsidR="004F248C" w:rsidRPr="004F248C" w:rsidRDefault="004F248C" w:rsidP="004F248C">
      <w:pPr>
        <w:pStyle w:val="Body"/>
      </w:pPr>
      <w:r w:rsidRPr="004F248C">
        <w:t>FFP</w:t>
      </w:r>
      <w:r w:rsidRPr="004F248C">
        <w:tab/>
      </w:r>
      <w:r w:rsidRPr="004F248C">
        <w:tab/>
      </w:r>
      <w:r w:rsidRPr="004F248C">
        <w:tab/>
        <w:t>fresh frozen plasma</w:t>
      </w:r>
    </w:p>
    <w:p w14:paraId="470F386F" w14:textId="77777777" w:rsidR="004F248C" w:rsidRPr="004F248C" w:rsidRDefault="004F248C" w:rsidP="004F248C">
      <w:pPr>
        <w:pStyle w:val="Body"/>
      </w:pPr>
      <w:r w:rsidRPr="004F248C">
        <w:t xml:space="preserve">FNHTR </w:t>
      </w:r>
      <w:r w:rsidRPr="004F248C">
        <w:tab/>
      </w:r>
      <w:r w:rsidRPr="004F248C">
        <w:tab/>
        <w:t>febrile non-haemolytic transfusion reaction</w:t>
      </w:r>
    </w:p>
    <w:p w14:paraId="2DF4E58C" w14:textId="77777777" w:rsidR="004F248C" w:rsidRPr="004F248C" w:rsidRDefault="004F248C" w:rsidP="004F248C">
      <w:pPr>
        <w:pStyle w:val="Body"/>
      </w:pPr>
      <w:r w:rsidRPr="004F248C">
        <w:t>Hb</w:t>
      </w:r>
      <w:r w:rsidRPr="004F248C">
        <w:tab/>
      </w:r>
      <w:r w:rsidRPr="004F248C">
        <w:tab/>
      </w:r>
      <w:r w:rsidRPr="004F248C">
        <w:tab/>
        <w:t>haemoglobin</w:t>
      </w:r>
    </w:p>
    <w:p w14:paraId="271702EE" w14:textId="77777777" w:rsidR="004F248C" w:rsidRPr="004F248C" w:rsidRDefault="004F248C" w:rsidP="004F248C">
      <w:pPr>
        <w:pStyle w:val="Body"/>
      </w:pPr>
      <w:r w:rsidRPr="004F248C">
        <w:t>HIV</w:t>
      </w:r>
      <w:r w:rsidRPr="004F248C">
        <w:tab/>
      </w:r>
      <w:r w:rsidRPr="004F248C">
        <w:tab/>
      </w:r>
      <w:r w:rsidRPr="004F248C">
        <w:tab/>
        <w:t>human immunodeficiency virus</w:t>
      </w:r>
    </w:p>
    <w:p w14:paraId="38D81A7C" w14:textId="77777777" w:rsidR="004F248C" w:rsidRPr="004F248C" w:rsidRDefault="004F248C" w:rsidP="004F248C">
      <w:pPr>
        <w:pStyle w:val="Body"/>
      </w:pPr>
      <w:r w:rsidRPr="004F248C">
        <w:t>HPA</w:t>
      </w:r>
      <w:r w:rsidRPr="004F248C">
        <w:tab/>
      </w:r>
      <w:r w:rsidRPr="004F248C">
        <w:tab/>
      </w:r>
      <w:r w:rsidRPr="004F248C">
        <w:tab/>
        <w:t>human platelet antigen</w:t>
      </w:r>
    </w:p>
    <w:p w14:paraId="557CDF76" w14:textId="77777777" w:rsidR="004F248C" w:rsidRPr="004F248C" w:rsidRDefault="004F248C" w:rsidP="004F248C">
      <w:pPr>
        <w:pStyle w:val="Body"/>
      </w:pPr>
      <w:r w:rsidRPr="004F248C">
        <w:t>IBCT</w:t>
      </w:r>
      <w:r w:rsidRPr="004F248C">
        <w:tab/>
      </w:r>
      <w:r w:rsidRPr="004F248C">
        <w:tab/>
      </w:r>
      <w:r w:rsidRPr="004F248C">
        <w:tab/>
        <w:t>incorrect blood component transfused</w:t>
      </w:r>
    </w:p>
    <w:p w14:paraId="32959898" w14:textId="77777777" w:rsidR="004F248C" w:rsidRPr="004F248C" w:rsidRDefault="004F248C" w:rsidP="004F248C">
      <w:pPr>
        <w:pStyle w:val="Body"/>
      </w:pPr>
      <w:r w:rsidRPr="004F248C">
        <w:t>LDH</w:t>
      </w:r>
      <w:r w:rsidRPr="004F248C">
        <w:tab/>
      </w:r>
      <w:r w:rsidRPr="004F248C">
        <w:tab/>
      </w:r>
      <w:r w:rsidRPr="004F248C">
        <w:tab/>
        <w:t>lactate dehydrogenase</w:t>
      </w:r>
    </w:p>
    <w:p w14:paraId="300BDA2F" w14:textId="77777777" w:rsidR="004F248C" w:rsidRPr="004F248C" w:rsidRDefault="004F248C" w:rsidP="004F248C">
      <w:pPr>
        <w:pStyle w:val="Body"/>
      </w:pPr>
      <w:r w:rsidRPr="004F248C">
        <w:t>Lifeblood</w:t>
      </w:r>
      <w:r w:rsidRPr="004F248C">
        <w:tab/>
      </w:r>
      <w:r w:rsidRPr="004F248C">
        <w:tab/>
        <w:t>Australian Red Cross Lifeblood (formerly Blood Service)</w:t>
      </w:r>
    </w:p>
    <w:p w14:paraId="51BE042E" w14:textId="77777777" w:rsidR="004F248C" w:rsidRPr="004F248C" w:rsidRDefault="004F248C" w:rsidP="004F248C">
      <w:pPr>
        <w:pStyle w:val="Body"/>
      </w:pPr>
      <w:r w:rsidRPr="004F248C">
        <w:t>NBA</w:t>
      </w:r>
      <w:r w:rsidRPr="004F248C">
        <w:tab/>
      </w:r>
      <w:r w:rsidRPr="004F248C">
        <w:tab/>
      </w:r>
      <w:r w:rsidRPr="004F248C">
        <w:tab/>
        <w:t>National Blood Authority</w:t>
      </w:r>
    </w:p>
    <w:p w14:paraId="01B34104" w14:textId="77777777" w:rsidR="004F248C" w:rsidRPr="004F248C" w:rsidRDefault="004F248C" w:rsidP="004F248C">
      <w:pPr>
        <w:pStyle w:val="Body"/>
      </w:pPr>
      <w:r w:rsidRPr="004F248C">
        <w:t>PTP</w:t>
      </w:r>
      <w:r w:rsidRPr="004F248C">
        <w:tab/>
      </w:r>
      <w:r w:rsidRPr="004F248C">
        <w:tab/>
      </w:r>
      <w:r w:rsidRPr="004F248C">
        <w:tab/>
        <w:t>post transfusion purpura</w:t>
      </w:r>
    </w:p>
    <w:p w14:paraId="54D1E3EF" w14:textId="77777777" w:rsidR="004F248C" w:rsidRPr="004F248C" w:rsidRDefault="004F248C" w:rsidP="004F248C">
      <w:pPr>
        <w:pStyle w:val="Body"/>
      </w:pPr>
      <w:r w:rsidRPr="004F248C">
        <w:t>RCA</w:t>
      </w:r>
      <w:r w:rsidRPr="004F248C">
        <w:tab/>
      </w:r>
      <w:r w:rsidRPr="004F248C">
        <w:tab/>
      </w:r>
      <w:r w:rsidRPr="004F248C">
        <w:tab/>
        <w:t>root cause analysis</w:t>
      </w:r>
    </w:p>
    <w:p w14:paraId="13222B7C" w14:textId="77777777" w:rsidR="004F248C" w:rsidRPr="004F248C" w:rsidRDefault="004F248C" w:rsidP="004F248C">
      <w:pPr>
        <w:pStyle w:val="Body"/>
      </w:pPr>
      <w:r w:rsidRPr="004F248C">
        <w:t>Rh</w:t>
      </w:r>
      <w:r w:rsidRPr="004F248C">
        <w:tab/>
      </w:r>
      <w:r w:rsidRPr="004F248C">
        <w:tab/>
      </w:r>
      <w:r w:rsidRPr="004F248C">
        <w:tab/>
        <w:t>blood group</w:t>
      </w:r>
    </w:p>
    <w:p w14:paraId="20EAEE7E" w14:textId="77777777" w:rsidR="004F248C" w:rsidRPr="004F248C" w:rsidRDefault="004F248C" w:rsidP="004F248C">
      <w:pPr>
        <w:pStyle w:val="Body"/>
      </w:pPr>
      <w:r w:rsidRPr="004F248C">
        <w:t>RhD Ig</w:t>
      </w:r>
      <w:r w:rsidRPr="004F248C">
        <w:tab/>
      </w:r>
      <w:r w:rsidRPr="004F248C">
        <w:tab/>
      </w:r>
      <w:r w:rsidRPr="004F248C">
        <w:tab/>
        <w:t>RhD immunoglobulin</w:t>
      </w:r>
    </w:p>
    <w:p w14:paraId="6FCC2552" w14:textId="77777777" w:rsidR="004F248C" w:rsidRPr="004F248C" w:rsidRDefault="004F248C" w:rsidP="004F248C">
      <w:pPr>
        <w:pStyle w:val="Body"/>
      </w:pPr>
      <w:r w:rsidRPr="004F248C">
        <w:t>SHOT</w:t>
      </w:r>
      <w:r w:rsidRPr="004F248C">
        <w:tab/>
      </w:r>
      <w:r w:rsidRPr="004F248C">
        <w:tab/>
      </w:r>
      <w:r w:rsidRPr="004F248C">
        <w:tab/>
        <w:t>Serious Hazards of Transfusion</w:t>
      </w:r>
    </w:p>
    <w:p w14:paraId="05C0BAEC" w14:textId="2C421361" w:rsidR="004F248C" w:rsidRPr="004F248C" w:rsidRDefault="004F248C" w:rsidP="004F248C">
      <w:pPr>
        <w:pStyle w:val="Body"/>
      </w:pPr>
      <w:r w:rsidRPr="004F248C">
        <w:t>STIR</w:t>
      </w:r>
      <w:r w:rsidRPr="004F248C">
        <w:tab/>
      </w:r>
      <w:r w:rsidRPr="004F248C">
        <w:tab/>
      </w:r>
      <w:r w:rsidRPr="004F248C">
        <w:tab/>
      </w:r>
      <w:r>
        <w:t>S</w:t>
      </w:r>
      <w:r w:rsidRPr="004F248C">
        <w:t xml:space="preserve">erious </w:t>
      </w:r>
      <w:r>
        <w:t>T</w:t>
      </w:r>
      <w:r w:rsidRPr="004F248C">
        <w:t xml:space="preserve">ransfusion </w:t>
      </w:r>
      <w:r>
        <w:t>I</w:t>
      </w:r>
      <w:r w:rsidRPr="004F248C">
        <w:t xml:space="preserve">ncident </w:t>
      </w:r>
      <w:r>
        <w:t>R</w:t>
      </w:r>
      <w:r w:rsidRPr="004F248C">
        <w:t>eporting</w:t>
      </w:r>
    </w:p>
    <w:p w14:paraId="4DCF9439" w14:textId="77777777" w:rsidR="004F248C" w:rsidRPr="004F248C" w:rsidRDefault="004F248C" w:rsidP="004F248C">
      <w:pPr>
        <w:pStyle w:val="Body"/>
      </w:pPr>
      <w:r w:rsidRPr="004F248C">
        <w:t>TACO</w:t>
      </w:r>
      <w:r w:rsidRPr="004F248C">
        <w:tab/>
      </w:r>
      <w:r w:rsidRPr="004F248C">
        <w:tab/>
      </w:r>
      <w:r w:rsidRPr="004F248C">
        <w:tab/>
        <w:t>transfusion associated circulatory overload</w:t>
      </w:r>
    </w:p>
    <w:p w14:paraId="2F763A28" w14:textId="77777777" w:rsidR="004F248C" w:rsidRPr="004F248C" w:rsidRDefault="004F248C" w:rsidP="004F248C">
      <w:pPr>
        <w:pStyle w:val="Body"/>
      </w:pPr>
      <w:r w:rsidRPr="004F248C">
        <w:t>TAD</w:t>
      </w:r>
      <w:r w:rsidRPr="004F248C">
        <w:tab/>
      </w:r>
      <w:r w:rsidRPr="004F248C">
        <w:tab/>
      </w:r>
      <w:r w:rsidRPr="004F248C">
        <w:tab/>
        <w:t>transfusion associated dyspnoea</w:t>
      </w:r>
    </w:p>
    <w:p w14:paraId="65A1D623" w14:textId="77777777" w:rsidR="004F248C" w:rsidRPr="004F248C" w:rsidRDefault="004F248C" w:rsidP="004F248C">
      <w:pPr>
        <w:pStyle w:val="Body"/>
      </w:pPr>
      <w:r w:rsidRPr="004F248C">
        <w:t>TA-GVHD</w:t>
      </w:r>
      <w:r w:rsidRPr="004F248C">
        <w:tab/>
      </w:r>
      <w:r w:rsidRPr="004F248C">
        <w:tab/>
        <w:t>transfusion associated graft versus host disease</w:t>
      </w:r>
      <w:r w:rsidRPr="004F248C">
        <w:tab/>
      </w:r>
    </w:p>
    <w:p w14:paraId="0CA0F31B" w14:textId="7DEE3A30" w:rsidR="004F248C" w:rsidRPr="004F248C" w:rsidRDefault="004F248C" w:rsidP="004F248C">
      <w:pPr>
        <w:pStyle w:val="Body"/>
      </w:pPr>
      <w:r w:rsidRPr="004F248C">
        <w:t>The department</w:t>
      </w:r>
      <w:r w:rsidRPr="004F248C">
        <w:tab/>
        <w:t xml:space="preserve">Department of Health </w:t>
      </w:r>
    </w:p>
    <w:p w14:paraId="159B05FD" w14:textId="77777777" w:rsidR="004F248C" w:rsidRPr="004F248C" w:rsidRDefault="004F248C" w:rsidP="004F248C">
      <w:pPr>
        <w:pStyle w:val="Body"/>
      </w:pPr>
      <w:r w:rsidRPr="004F248C">
        <w:t>TRALI</w:t>
      </w:r>
      <w:r w:rsidRPr="004F248C">
        <w:tab/>
      </w:r>
      <w:r w:rsidRPr="004F248C">
        <w:tab/>
      </w:r>
      <w:r w:rsidRPr="004F248C">
        <w:tab/>
        <w:t>transfusion related acute lung injury</w:t>
      </w:r>
    </w:p>
    <w:p w14:paraId="774170B5" w14:textId="77777777" w:rsidR="004F248C" w:rsidRPr="004F248C" w:rsidRDefault="004F248C" w:rsidP="004F248C">
      <w:pPr>
        <w:pStyle w:val="Body"/>
      </w:pPr>
      <w:r w:rsidRPr="004F248C">
        <w:t>TTI</w:t>
      </w:r>
      <w:r w:rsidRPr="004F248C">
        <w:tab/>
      </w:r>
      <w:r w:rsidRPr="004F248C">
        <w:tab/>
      </w:r>
      <w:r w:rsidRPr="004F248C">
        <w:tab/>
        <w:t>transfusion transmitted infection</w:t>
      </w:r>
    </w:p>
    <w:p w14:paraId="248DB9A1" w14:textId="77777777" w:rsidR="004F248C" w:rsidRPr="004F248C" w:rsidRDefault="004F248C" w:rsidP="004F248C">
      <w:pPr>
        <w:pStyle w:val="Body"/>
      </w:pPr>
      <w:r w:rsidRPr="004F248C">
        <w:t>WBIT</w:t>
      </w:r>
      <w:r w:rsidRPr="004F248C">
        <w:tab/>
      </w:r>
      <w:r w:rsidRPr="004F248C">
        <w:tab/>
      </w:r>
      <w:r w:rsidRPr="004F248C">
        <w:tab/>
        <w:t>wrong blood in tube</w:t>
      </w:r>
    </w:p>
    <w:p w14:paraId="2B066CEF" w14:textId="77777777" w:rsidR="004F248C" w:rsidRPr="004F248C" w:rsidRDefault="004F248C" w:rsidP="004F248C">
      <w:pPr>
        <w:pStyle w:val="Body"/>
      </w:pPr>
    </w:p>
    <w:p w14:paraId="4BF034B4" w14:textId="7C7FBA79" w:rsidR="004F248C" w:rsidRDefault="004F248C" w:rsidP="004F248C">
      <w:pPr>
        <w:pStyle w:val="Heading1"/>
        <w:spacing w:before="0"/>
      </w:pPr>
      <w:bookmarkStart w:id="6" w:name="_Toc282328715"/>
      <w:bookmarkStart w:id="7" w:name="_Toc44500252"/>
      <w:bookmarkStart w:id="8" w:name="_Toc109649954"/>
      <w:r w:rsidRPr="004F248C">
        <w:rPr>
          <w:color w:val="C00000"/>
        </w:rPr>
        <w:lastRenderedPageBreak/>
        <w:t>Serious transfusion incident reporting</w:t>
      </w:r>
      <w:r w:rsidRPr="004F248C">
        <w:t xml:space="preserve">: system </w:t>
      </w:r>
      <w:r w:rsidRPr="00177A46">
        <w:rPr>
          <w:color w:val="C00000"/>
        </w:rPr>
        <w:t>overview</w:t>
      </w:r>
      <w:bookmarkEnd w:id="6"/>
      <w:bookmarkEnd w:id="7"/>
      <w:bookmarkEnd w:id="8"/>
      <w:r w:rsidRPr="00177A46">
        <w:rPr>
          <w:color w:val="C00000"/>
        </w:rPr>
        <w:t xml:space="preserve"> </w:t>
      </w:r>
    </w:p>
    <w:p w14:paraId="1775435F" w14:textId="77777777" w:rsidR="004F248C" w:rsidRPr="009A08DB" w:rsidRDefault="004F248C" w:rsidP="009A08DB">
      <w:pPr>
        <w:pStyle w:val="Heading2"/>
        <w:rPr>
          <w:rFonts w:eastAsia="Times"/>
          <w:color w:val="C00000"/>
        </w:rPr>
      </w:pPr>
      <w:bookmarkStart w:id="9" w:name="_Toc282328716"/>
      <w:bookmarkStart w:id="10" w:name="_Toc44500253"/>
      <w:bookmarkStart w:id="11" w:name="_Toc109649955"/>
      <w:r w:rsidRPr="009A08DB">
        <w:rPr>
          <w:rFonts w:eastAsia="Times"/>
          <w:color w:val="C00000"/>
        </w:rPr>
        <w:t>Introduction</w:t>
      </w:r>
      <w:bookmarkEnd w:id="9"/>
      <w:bookmarkEnd w:id="10"/>
      <w:bookmarkEnd w:id="11"/>
    </w:p>
    <w:p w14:paraId="08A6590D" w14:textId="77777777" w:rsidR="004F248C" w:rsidRPr="004F248C" w:rsidRDefault="004F248C" w:rsidP="004F248C">
      <w:pPr>
        <w:pStyle w:val="Body"/>
      </w:pPr>
      <w:r w:rsidRPr="004F248C">
        <w:t>The Blood Matters Serious Transfusion Incident Reporting (STIR) system is a voluntary state-wide system to capture serious hospital transfusion incidents, including near miss events. Since its inception in 2007 the system has expanded to include health services from Victoria, Tasmania, Australian Capital Territory and Northern Territory, with health services from both the public and private sectors participating.</w:t>
      </w:r>
    </w:p>
    <w:p w14:paraId="70B2EA69" w14:textId="2025FD94" w:rsidR="004F248C" w:rsidRPr="004F248C" w:rsidRDefault="004F248C" w:rsidP="004F248C">
      <w:pPr>
        <w:pStyle w:val="Body"/>
      </w:pPr>
      <w:r w:rsidRPr="004F248C">
        <w:t xml:space="preserve">Confidentiality is important to the system’s success. All data is de-identified and no patient details are collected </w:t>
      </w:r>
      <w:r w:rsidR="001A4DE5" w:rsidRPr="004F248C">
        <w:t>except for</w:t>
      </w:r>
      <w:r w:rsidRPr="004F248C">
        <w:t xml:space="preserve"> age and gender, which are useful when analysing the reported events. Health services are identified by a code number assigned by the STIR office. Health services are not identified in any of the reports. </w:t>
      </w:r>
    </w:p>
    <w:p w14:paraId="1AD7C22C" w14:textId="62080A2E" w:rsidR="004F248C" w:rsidRPr="004F248C" w:rsidRDefault="004F248C" w:rsidP="004F248C">
      <w:pPr>
        <w:pStyle w:val="Body"/>
      </w:pPr>
      <w:r w:rsidRPr="004F248C">
        <w:t xml:space="preserve">An Expert group oversees the actions and validates data submitted to the STIR system. This group reports to the Blood Matters Advisory Committee, including Department of Health, Victoria, </w:t>
      </w:r>
      <w:r w:rsidR="007F5201">
        <w:t xml:space="preserve">Blood, Pharmaceutical, Organ and Tissue Donation Programs </w:t>
      </w:r>
      <w:r w:rsidRPr="004F248C">
        <w:t>(the department) on its activities. A list of membership, as of May 202</w:t>
      </w:r>
      <w:r w:rsidR="000578E6">
        <w:t>2</w:t>
      </w:r>
      <w:r w:rsidRPr="004F248C">
        <w:t>, can be found in Appendix 1.</w:t>
      </w:r>
    </w:p>
    <w:p w14:paraId="6240C78E" w14:textId="77777777" w:rsidR="004F248C" w:rsidRPr="004F248C" w:rsidRDefault="004F248C" w:rsidP="004F248C">
      <w:pPr>
        <w:pStyle w:val="Body"/>
      </w:pPr>
      <w:r w:rsidRPr="004F248C">
        <w:t>Validated aggregate data is extracted from STIR and provided to the National Haemovigilance report overseen by the National Blood Authority (NBA).</w:t>
      </w:r>
    </w:p>
    <w:p w14:paraId="6A348DEA" w14:textId="77777777" w:rsidR="004F248C" w:rsidRPr="004F248C" w:rsidRDefault="004F248C" w:rsidP="004F248C">
      <w:pPr>
        <w:pStyle w:val="Body"/>
      </w:pPr>
      <w:bookmarkStart w:id="12" w:name="_Toc331675428"/>
      <w:bookmarkStart w:id="13" w:name="_Toc332375840"/>
      <w:bookmarkStart w:id="14" w:name="_Toc332375984"/>
      <w:bookmarkStart w:id="15" w:name="_Toc331064713"/>
      <w:r w:rsidRPr="004F248C">
        <w:t xml:space="preserve">The National Safety and Quality Health Service standards (Australian Commission on Safety and Quality in Health Care) version 2, Blood management standard, </w:t>
      </w:r>
      <w:bookmarkEnd w:id="12"/>
      <w:bookmarkEnd w:id="13"/>
      <w:bookmarkEnd w:id="14"/>
      <w:r w:rsidRPr="004F248C">
        <w:t>includes actions relating to reporting of adverse blood management events:</w:t>
      </w:r>
    </w:p>
    <w:p w14:paraId="7D354975" w14:textId="77777777" w:rsidR="004F248C" w:rsidRPr="004F248C" w:rsidRDefault="004F248C" w:rsidP="004F248C">
      <w:pPr>
        <w:pStyle w:val="Body"/>
        <w:rPr>
          <w:lang w:val="en"/>
        </w:rPr>
      </w:pPr>
      <w:r w:rsidRPr="004F248C">
        <w:rPr>
          <w:lang w:val="en"/>
        </w:rPr>
        <w:t>7.7 The health service organisation uses processes for reporting transfusion-related adverse events, in accordance with national guidelines and criteria</w:t>
      </w:r>
    </w:p>
    <w:p w14:paraId="00500C96" w14:textId="71F6A8BB" w:rsidR="004F248C" w:rsidRPr="004F248C" w:rsidRDefault="004F248C" w:rsidP="004F248C">
      <w:pPr>
        <w:pStyle w:val="Body"/>
        <w:rPr>
          <w:lang w:val="en"/>
        </w:rPr>
      </w:pPr>
      <w:r w:rsidRPr="004F248C">
        <w:rPr>
          <w:lang w:val="en"/>
        </w:rPr>
        <w:t xml:space="preserve">7.8 The health service organisation participates in </w:t>
      </w:r>
      <w:r w:rsidR="007F5201" w:rsidRPr="004F248C">
        <w:rPr>
          <w:lang w:val="en"/>
        </w:rPr>
        <w:t>haemovigilence</w:t>
      </w:r>
      <w:r w:rsidRPr="004F248C">
        <w:rPr>
          <w:lang w:val="en"/>
        </w:rPr>
        <w:t xml:space="preserve"> activities, in accordance with the national framework</w:t>
      </w:r>
    </w:p>
    <w:bookmarkEnd w:id="15"/>
    <w:p w14:paraId="19FF8C5E" w14:textId="77777777" w:rsidR="004F248C" w:rsidRPr="004F248C" w:rsidRDefault="004F248C" w:rsidP="004F248C">
      <w:pPr>
        <w:pStyle w:val="Body"/>
      </w:pPr>
      <w:r w:rsidRPr="004F248C">
        <w:t>These criteria highlight the importance of participation in haemovigilance programs and promoting the safe management of blood and blood products. STIR provides a means for health services to meet these actions.</w:t>
      </w:r>
    </w:p>
    <w:p w14:paraId="7BB8BCA0" w14:textId="77777777" w:rsidR="004F248C" w:rsidRPr="004F248C" w:rsidRDefault="004F248C" w:rsidP="004F248C">
      <w:pPr>
        <w:pStyle w:val="Body"/>
      </w:pPr>
    </w:p>
    <w:p w14:paraId="79294375" w14:textId="77777777" w:rsidR="004F248C" w:rsidRPr="009A08DB" w:rsidRDefault="004F248C" w:rsidP="009A08DB">
      <w:pPr>
        <w:pStyle w:val="Heading2"/>
        <w:rPr>
          <w:rFonts w:eastAsia="Times"/>
          <w:color w:val="C00000"/>
        </w:rPr>
      </w:pPr>
      <w:bookmarkStart w:id="16" w:name="_Toc282328717"/>
      <w:bookmarkStart w:id="17" w:name="_Toc44500254"/>
      <w:bookmarkStart w:id="18" w:name="_Toc109649956"/>
      <w:r w:rsidRPr="009A08DB">
        <w:rPr>
          <w:rFonts w:eastAsia="Times"/>
          <w:color w:val="C00000"/>
        </w:rPr>
        <w:t>Purpose</w:t>
      </w:r>
      <w:bookmarkEnd w:id="16"/>
      <w:bookmarkEnd w:id="17"/>
      <w:bookmarkEnd w:id="18"/>
    </w:p>
    <w:p w14:paraId="3F0DE327" w14:textId="77777777" w:rsidR="004F248C" w:rsidRPr="004F248C" w:rsidRDefault="004F248C" w:rsidP="004F248C">
      <w:pPr>
        <w:pStyle w:val="Body"/>
      </w:pPr>
      <w:r w:rsidRPr="004F248C">
        <w:t>The STIR system provides a reporting mechanism for serious incidents related to transfusion. This central database is used to provide local information on the number and type of serious events that occur. The data collected by STIR is collated, aggregated and reported with recommendations to improve the quality and safety of transfusion practice.</w:t>
      </w:r>
    </w:p>
    <w:p w14:paraId="12D02E8E" w14:textId="77777777" w:rsidR="004F248C" w:rsidRPr="004F248C" w:rsidRDefault="004F248C" w:rsidP="004F248C">
      <w:pPr>
        <w:pStyle w:val="Body"/>
      </w:pPr>
      <w:r w:rsidRPr="004F248C">
        <w:t>As a component of the Blood Matters program STIR links with other program activities such as education, patient blood management and appropriate use of blood and blood products to create a comprehensive haemovigilance system.</w:t>
      </w:r>
    </w:p>
    <w:p w14:paraId="4B21AA0B" w14:textId="2275BC12" w:rsidR="004F248C" w:rsidRDefault="004F248C" w:rsidP="004F248C">
      <w:pPr>
        <w:pStyle w:val="Body"/>
      </w:pPr>
    </w:p>
    <w:p w14:paraId="19BCB876" w14:textId="77FD4A00" w:rsidR="009A08DB" w:rsidRDefault="009A08DB" w:rsidP="004F248C">
      <w:pPr>
        <w:pStyle w:val="Body"/>
      </w:pPr>
    </w:p>
    <w:p w14:paraId="75258E7C" w14:textId="77777777" w:rsidR="009A08DB" w:rsidRPr="009A08DB" w:rsidRDefault="009A08DB" w:rsidP="009A08DB">
      <w:pPr>
        <w:pStyle w:val="Heading2"/>
        <w:rPr>
          <w:rFonts w:eastAsia="Times"/>
          <w:color w:val="C00000"/>
        </w:rPr>
      </w:pPr>
      <w:bookmarkStart w:id="19" w:name="_Toc275161927"/>
      <w:bookmarkStart w:id="20" w:name="_Toc275162018"/>
      <w:bookmarkStart w:id="21" w:name="_Toc282328718"/>
      <w:bookmarkStart w:id="22" w:name="_Toc44500255"/>
      <w:bookmarkStart w:id="23" w:name="_Toc109649957"/>
      <w:r w:rsidRPr="009A08DB">
        <w:rPr>
          <w:rFonts w:eastAsia="Times"/>
          <w:color w:val="C00000"/>
        </w:rPr>
        <w:lastRenderedPageBreak/>
        <w:t>Scope of the system</w:t>
      </w:r>
      <w:bookmarkEnd w:id="19"/>
      <w:bookmarkEnd w:id="20"/>
      <w:bookmarkEnd w:id="21"/>
      <w:bookmarkEnd w:id="22"/>
      <w:bookmarkEnd w:id="23"/>
    </w:p>
    <w:p w14:paraId="3CD82B06" w14:textId="77777777" w:rsidR="009A08DB" w:rsidRPr="009A08DB" w:rsidRDefault="009A08DB" w:rsidP="009A08DB">
      <w:pPr>
        <w:pStyle w:val="Body"/>
      </w:pPr>
      <w:r w:rsidRPr="009A08DB">
        <w:t>STIR receives incident reports on, clinical and procedural events, including near miss events that occur in public and private health services in Victoria, and through memorandums of understanding with health services in Tasmania, Australian Capital Territory and Northern Territory.</w:t>
      </w:r>
    </w:p>
    <w:p w14:paraId="4BF7684F" w14:textId="198DBC1E" w:rsidR="009A08DB" w:rsidRPr="009A08DB" w:rsidRDefault="009A08DB" w:rsidP="009A08DB">
      <w:pPr>
        <w:pStyle w:val="Body"/>
      </w:pPr>
      <w:r w:rsidRPr="009A08DB">
        <w:t xml:space="preserve">STIR accepts reports relating to fresh blood and </w:t>
      </w:r>
      <w:r w:rsidR="00107559">
        <w:t xml:space="preserve">its </w:t>
      </w:r>
      <w:r w:rsidRPr="009A08DB">
        <w:t xml:space="preserve">components, namely red cells, platelets, fresh frozen plasma and cryoprecipitate, and includes products from volunteer donors, family donors and autologous collections. In 2015, the scope of STIR was expanded to include procedural incidents related to cell salvage and RhD immunoglobulin. </w:t>
      </w:r>
    </w:p>
    <w:p w14:paraId="6D698473" w14:textId="77777777" w:rsidR="009A08DB" w:rsidRPr="009A08DB" w:rsidRDefault="009A08DB" w:rsidP="009A08DB">
      <w:pPr>
        <w:pStyle w:val="Body"/>
      </w:pPr>
      <w:r w:rsidRPr="009A08DB">
        <w:t>Safer Care Victoria utilise the STIR Expert group in defined sentinel event investigations providing comment on recommendations made by the implicated health service and additional recommendations if needed. STIR experts may be seconded onto health service sentinel event working groups to assist in the investigation and recommendation process.</w:t>
      </w:r>
    </w:p>
    <w:p w14:paraId="4B0CD89C" w14:textId="6C8E3C15" w:rsidR="009A08DB" w:rsidRDefault="009A08DB" w:rsidP="004F248C">
      <w:pPr>
        <w:pStyle w:val="Body"/>
      </w:pPr>
    </w:p>
    <w:p w14:paraId="27A3F1FC" w14:textId="578709DE" w:rsidR="009A08DB" w:rsidRDefault="009A08DB" w:rsidP="004F248C">
      <w:pPr>
        <w:pStyle w:val="Body"/>
      </w:pPr>
    </w:p>
    <w:p w14:paraId="729261C3" w14:textId="00F18054" w:rsidR="009A08DB" w:rsidRDefault="009A08DB" w:rsidP="004F248C">
      <w:pPr>
        <w:pStyle w:val="Body"/>
      </w:pPr>
    </w:p>
    <w:p w14:paraId="4BD4C306" w14:textId="427C46EB" w:rsidR="009A08DB" w:rsidRDefault="009A08DB" w:rsidP="004F248C">
      <w:pPr>
        <w:pStyle w:val="Body"/>
      </w:pPr>
    </w:p>
    <w:p w14:paraId="34B97505" w14:textId="6A264C14" w:rsidR="009A08DB" w:rsidRDefault="009A08DB" w:rsidP="004F248C">
      <w:pPr>
        <w:pStyle w:val="Body"/>
      </w:pPr>
    </w:p>
    <w:p w14:paraId="5A417999" w14:textId="4C15694B" w:rsidR="009A08DB" w:rsidRDefault="009A08DB" w:rsidP="004F248C">
      <w:pPr>
        <w:pStyle w:val="Body"/>
      </w:pPr>
    </w:p>
    <w:p w14:paraId="6C7540E1" w14:textId="6CA464BF" w:rsidR="009A08DB" w:rsidRDefault="009A08DB" w:rsidP="004F248C">
      <w:pPr>
        <w:pStyle w:val="Body"/>
      </w:pPr>
    </w:p>
    <w:p w14:paraId="79B9E20D" w14:textId="4119EFF0" w:rsidR="009A08DB" w:rsidRDefault="009A08DB" w:rsidP="004F248C">
      <w:pPr>
        <w:pStyle w:val="Body"/>
      </w:pPr>
    </w:p>
    <w:p w14:paraId="1B16AB99" w14:textId="60A48C37" w:rsidR="009A08DB" w:rsidRDefault="009A08DB" w:rsidP="004F248C">
      <w:pPr>
        <w:pStyle w:val="Body"/>
      </w:pPr>
    </w:p>
    <w:p w14:paraId="23A401AF" w14:textId="4F190437" w:rsidR="009A08DB" w:rsidRDefault="009A08DB" w:rsidP="004F248C">
      <w:pPr>
        <w:pStyle w:val="Body"/>
      </w:pPr>
    </w:p>
    <w:p w14:paraId="0DC37E69" w14:textId="27F4F269" w:rsidR="009A08DB" w:rsidRDefault="009A08DB" w:rsidP="004F248C">
      <w:pPr>
        <w:pStyle w:val="Body"/>
      </w:pPr>
    </w:p>
    <w:p w14:paraId="7B045C17" w14:textId="622D6A57" w:rsidR="009A08DB" w:rsidRDefault="009A08DB" w:rsidP="004F248C">
      <w:pPr>
        <w:pStyle w:val="Body"/>
      </w:pPr>
    </w:p>
    <w:p w14:paraId="03557F73" w14:textId="0B7FFD31" w:rsidR="009A08DB" w:rsidRDefault="009A08DB" w:rsidP="004F248C">
      <w:pPr>
        <w:pStyle w:val="Body"/>
      </w:pPr>
    </w:p>
    <w:p w14:paraId="482102D0" w14:textId="28034053" w:rsidR="009A08DB" w:rsidRDefault="009A08DB" w:rsidP="004F248C">
      <w:pPr>
        <w:pStyle w:val="Body"/>
      </w:pPr>
    </w:p>
    <w:p w14:paraId="1FC78340" w14:textId="739FA990" w:rsidR="009A08DB" w:rsidRDefault="009A08DB" w:rsidP="004F248C">
      <w:pPr>
        <w:pStyle w:val="Body"/>
      </w:pPr>
    </w:p>
    <w:p w14:paraId="4F38F8EA" w14:textId="10E92373" w:rsidR="009A08DB" w:rsidRDefault="009A08DB" w:rsidP="004F248C">
      <w:pPr>
        <w:pStyle w:val="Body"/>
      </w:pPr>
    </w:p>
    <w:p w14:paraId="5B01B4B7" w14:textId="7733BA27" w:rsidR="009A08DB" w:rsidRDefault="009A08DB" w:rsidP="004F248C">
      <w:pPr>
        <w:pStyle w:val="Body"/>
      </w:pPr>
    </w:p>
    <w:p w14:paraId="16794ECD" w14:textId="7286A6BA" w:rsidR="009A08DB" w:rsidRDefault="009A08DB" w:rsidP="004F248C">
      <w:pPr>
        <w:pStyle w:val="Body"/>
      </w:pPr>
    </w:p>
    <w:p w14:paraId="32B717AB" w14:textId="24C564A7" w:rsidR="009A08DB" w:rsidRDefault="009A08DB" w:rsidP="004F248C">
      <w:pPr>
        <w:pStyle w:val="Body"/>
      </w:pPr>
    </w:p>
    <w:p w14:paraId="43B3297E" w14:textId="2406C456" w:rsidR="009A08DB" w:rsidRDefault="009A08DB" w:rsidP="004F248C">
      <w:pPr>
        <w:pStyle w:val="Body"/>
      </w:pPr>
    </w:p>
    <w:p w14:paraId="32A6CF97" w14:textId="2DD74E60" w:rsidR="009A08DB" w:rsidRDefault="009A08DB" w:rsidP="004F248C">
      <w:pPr>
        <w:pStyle w:val="Body"/>
      </w:pPr>
    </w:p>
    <w:p w14:paraId="37E685E7" w14:textId="5D287E80" w:rsidR="009A08DB" w:rsidRDefault="009A08DB" w:rsidP="004F248C">
      <w:pPr>
        <w:pStyle w:val="Body"/>
      </w:pPr>
    </w:p>
    <w:p w14:paraId="7589DB00" w14:textId="77777777" w:rsidR="009A08DB" w:rsidRPr="004F248C" w:rsidRDefault="009A08DB" w:rsidP="004F248C">
      <w:pPr>
        <w:pStyle w:val="Body"/>
      </w:pPr>
    </w:p>
    <w:p w14:paraId="58A338F3" w14:textId="38BF3FB0" w:rsidR="009A08DB" w:rsidRDefault="009A08DB" w:rsidP="009A08DB">
      <w:pPr>
        <w:pStyle w:val="Heading1"/>
        <w:spacing w:before="0"/>
      </w:pPr>
      <w:bookmarkStart w:id="24" w:name="_Toc275161929"/>
      <w:bookmarkStart w:id="25" w:name="_Toc275162020"/>
      <w:bookmarkStart w:id="26" w:name="_Toc282328720"/>
      <w:bookmarkStart w:id="27" w:name="_Toc44500256"/>
      <w:bookmarkStart w:id="28" w:name="_Toc109649958"/>
      <w:r w:rsidRPr="009A08DB">
        <w:lastRenderedPageBreak/>
        <w:t>Reporting categories for transfusion incidents</w:t>
      </w:r>
      <w:bookmarkEnd w:id="24"/>
      <w:bookmarkEnd w:id="25"/>
      <w:bookmarkEnd w:id="26"/>
      <w:bookmarkEnd w:id="27"/>
      <w:bookmarkEnd w:id="28"/>
    </w:p>
    <w:p w14:paraId="6961BBB3" w14:textId="5B966AB5" w:rsidR="009A08DB" w:rsidRPr="009A08DB" w:rsidRDefault="009A08DB" w:rsidP="009A08DB">
      <w:pPr>
        <w:pStyle w:val="Body"/>
      </w:pPr>
      <w:r w:rsidRPr="009A08DB">
        <w:t xml:space="preserve">The system captures two main categories of serious transfusion incidents: clinical and procedural which are reported via </w:t>
      </w:r>
      <w:r w:rsidR="001A4DE5">
        <w:t xml:space="preserve">separate </w:t>
      </w:r>
      <w:r w:rsidRPr="009A08DB">
        <w:t>data collection forms:</w:t>
      </w:r>
    </w:p>
    <w:p w14:paraId="656AB557" w14:textId="77777777" w:rsidR="009A08DB" w:rsidRPr="009A08DB" w:rsidRDefault="009A08DB" w:rsidP="009A08DB">
      <w:pPr>
        <w:pStyle w:val="Body"/>
      </w:pPr>
      <w:r w:rsidRPr="009A08DB">
        <w:t>Clinical reporting forms –</w:t>
      </w:r>
    </w:p>
    <w:p w14:paraId="49BBB959" w14:textId="77777777" w:rsidR="009A08DB" w:rsidRPr="009A08DB" w:rsidRDefault="009A08DB" w:rsidP="002B4EA7">
      <w:pPr>
        <w:pStyle w:val="Body"/>
        <w:numPr>
          <w:ilvl w:val="1"/>
          <w:numId w:val="12"/>
        </w:numPr>
      </w:pPr>
      <w:r w:rsidRPr="009A08DB">
        <w:t>acute transfusion reactions – this includes febrile non-haemolytic, allergic or anaphylactic, acute haemolytic and hypotensive reactions</w:t>
      </w:r>
    </w:p>
    <w:p w14:paraId="41C27701" w14:textId="77777777" w:rsidR="009A08DB" w:rsidRPr="009A08DB" w:rsidRDefault="009A08DB" w:rsidP="002B4EA7">
      <w:pPr>
        <w:pStyle w:val="Body"/>
        <w:numPr>
          <w:ilvl w:val="1"/>
          <w:numId w:val="12"/>
        </w:numPr>
      </w:pPr>
      <w:r w:rsidRPr="009A08DB">
        <w:t xml:space="preserve">transfusion-related acute lung injury (TRALI) </w:t>
      </w:r>
    </w:p>
    <w:p w14:paraId="5C5C3BE0" w14:textId="77777777" w:rsidR="009A08DB" w:rsidRPr="009A08DB" w:rsidRDefault="009A08DB" w:rsidP="002B4EA7">
      <w:pPr>
        <w:pStyle w:val="Body"/>
        <w:numPr>
          <w:ilvl w:val="1"/>
          <w:numId w:val="12"/>
        </w:numPr>
      </w:pPr>
      <w:r w:rsidRPr="009A08DB">
        <w:t>transfusion-associated circulatory overload (TACO)</w:t>
      </w:r>
    </w:p>
    <w:p w14:paraId="5971EA66" w14:textId="77777777" w:rsidR="009A08DB" w:rsidRPr="009A08DB" w:rsidRDefault="009A08DB" w:rsidP="002B4EA7">
      <w:pPr>
        <w:pStyle w:val="Body"/>
        <w:numPr>
          <w:ilvl w:val="1"/>
          <w:numId w:val="12"/>
        </w:numPr>
      </w:pPr>
      <w:r w:rsidRPr="009A08DB">
        <w:t>transfusion-associated dyspnoea (TAD)</w:t>
      </w:r>
    </w:p>
    <w:p w14:paraId="023A25B9" w14:textId="77777777" w:rsidR="009A08DB" w:rsidRPr="009A08DB" w:rsidRDefault="009A08DB" w:rsidP="002B4EA7">
      <w:pPr>
        <w:pStyle w:val="Body"/>
        <w:numPr>
          <w:ilvl w:val="1"/>
          <w:numId w:val="12"/>
        </w:numPr>
      </w:pPr>
      <w:r w:rsidRPr="009A08DB">
        <w:t>delayed haemolytic transfusion reactions (DHTR)</w:t>
      </w:r>
    </w:p>
    <w:p w14:paraId="0BC5D572" w14:textId="77777777" w:rsidR="009A08DB" w:rsidRPr="009A08DB" w:rsidRDefault="009A08DB" w:rsidP="002B4EA7">
      <w:pPr>
        <w:pStyle w:val="Body"/>
        <w:numPr>
          <w:ilvl w:val="1"/>
          <w:numId w:val="12"/>
        </w:numPr>
      </w:pPr>
      <w:r w:rsidRPr="009A08DB">
        <w:t>delayed serologic transfusion reactions (DSTR)</w:t>
      </w:r>
    </w:p>
    <w:p w14:paraId="3F9A2279" w14:textId="77777777" w:rsidR="009A08DB" w:rsidRPr="009A08DB" w:rsidRDefault="009A08DB" w:rsidP="002B4EA7">
      <w:pPr>
        <w:pStyle w:val="Body"/>
        <w:numPr>
          <w:ilvl w:val="1"/>
          <w:numId w:val="12"/>
        </w:numPr>
      </w:pPr>
      <w:r w:rsidRPr="009A08DB">
        <w:t>RhD isoimmunisations</w:t>
      </w:r>
    </w:p>
    <w:p w14:paraId="1729654D" w14:textId="77777777" w:rsidR="009A08DB" w:rsidRPr="009A08DB" w:rsidRDefault="009A08DB" w:rsidP="002B4EA7">
      <w:pPr>
        <w:pStyle w:val="Body"/>
        <w:numPr>
          <w:ilvl w:val="1"/>
          <w:numId w:val="12"/>
        </w:numPr>
      </w:pPr>
      <w:r w:rsidRPr="009A08DB">
        <w:t>transfusion-associated graft-versus-host disease (TA-GVHD)</w:t>
      </w:r>
    </w:p>
    <w:p w14:paraId="2A1FEE00" w14:textId="77777777" w:rsidR="009A08DB" w:rsidRPr="009A08DB" w:rsidRDefault="009A08DB" w:rsidP="002B4EA7">
      <w:pPr>
        <w:pStyle w:val="Body"/>
        <w:numPr>
          <w:ilvl w:val="1"/>
          <w:numId w:val="12"/>
        </w:numPr>
      </w:pPr>
      <w:r w:rsidRPr="009A08DB">
        <w:t>post-transfusion purpura (PTP)</w:t>
      </w:r>
    </w:p>
    <w:p w14:paraId="25FA443A" w14:textId="77777777" w:rsidR="009A08DB" w:rsidRPr="009A08DB" w:rsidRDefault="009A08DB" w:rsidP="002B4EA7">
      <w:pPr>
        <w:pStyle w:val="Body"/>
        <w:numPr>
          <w:ilvl w:val="1"/>
          <w:numId w:val="12"/>
        </w:numPr>
      </w:pPr>
      <w:r w:rsidRPr="009A08DB">
        <w:t>bacterial/other infection (transfusion transmitted infection [TTI])</w:t>
      </w:r>
    </w:p>
    <w:p w14:paraId="0D1830D4" w14:textId="77777777" w:rsidR="009A08DB" w:rsidRPr="009A08DB" w:rsidRDefault="009A08DB" w:rsidP="002B4EA7">
      <w:pPr>
        <w:pStyle w:val="Body"/>
        <w:numPr>
          <w:ilvl w:val="1"/>
          <w:numId w:val="12"/>
        </w:numPr>
      </w:pPr>
      <w:r w:rsidRPr="009A08DB">
        <w:t>post-transfusion viral infection (TTI)</w:t>
      </w:r>
    </w:p>
    <w:p w14:paraId="7415DAA0" w14:textId="77777777" w:rsidR="009A08DB" w:rsidRPr="009A08DB" w:rsidRDefault="009A08DB" w:rsidP="002B4EA7">
      <w:pPr>
        <w:pStyle w:val="Body"/>
        <w:numPr>
          <w:ilvl w:val="1"/>
          <w:numId w:val="12"/>
        </w:numPr>
      </w:pPr>
      <w:r w:rsidRPr="009A08DB">
        <w:t>other transfusion related reactions</w:t>
      </w:r>
    </w:p>
    <w:p w14:paraId="05713360" w14:textId="77777777" w:rsidR="009A08DB" w:rsidRPr="009A08DB" w:rsidRDefault="009A08DB" w:rsidP="009A08DB">
      <w:pPr>
        <w:pStyle w:val="Body"/>
      </w:pPr>
      <w:r w:rsidRPr="009A08DB">
        <w:t>Procedural reporting forms –</w:t>
      </w:r>
    </w:p>
    <w:p w14:paraId="62CC981B" w14:textId="77777777" w:rsidR="009A08DB" w:rsidRPr="009A08DB" w:rsidRDefault="009A08DB" w:rsidP="002B4EA7">
      <w:pPr>
        <w:pStyle w:val="Body"/>
        <w:numPr>
          <w:ilvl w:val="1"/>
          <w:numId w:val="12"/>
        </w:numPr>
      </w:pPr>
      <w:r w:rsidRPr="009A08DB">
        <w:t>incorrect blood component transfused (IBCT)</w:t>
      </w:r>
    </w:p>
    <w:p w14:paraId="5DF4206B" w14:textId="77777777" w:rsidR="009A08DB" w:rsidRPr="009A08DB" w:rsidRDefault="009A08DB" w:rsidP="002B4EA7">
      <w:pPr>
        <w:pStyle w:val="Body"/>
        <w:numPr>
          <w:ilvl w:val="1"/>
          <w:numId w:val="12"/>
        </w:numPr>
      </w:pPr>
      <w:r w:rsidRPr="009A08DB">
        <w:t>wrong blood in tube (specific type of near-miss incident)</w:t>
      </w:r>
    </w:p>
    <w:p w14:paraId="798C9630" w14:textId="77777777" w:rsidR="009A08DB" w:rsidRPr="009A08DB" w:rsidRDefault="009A08DB" w:rsidP="002B4EA7">
      <w:pPr>
        <w:pStyle w:val="Body"/>
        <w:numPr>
          <w:ilvl w:val="1"/>
          <w:numId w:val="12"/>
        </w:numPr>
      </w:pPr>
      <w:r w:rsidRPr="009A08DB">
        <w:t>cell salvage incidents</w:t>
      </w:r>
    </w:p>
    <w:p w14:paraId="216AB02B" w14:textId="77777777" w:rsidR="009A08DB" w:rsidRPr="009A08DB" w:rsidRDefault="009A08DB" w:rsidP="002B4EA7">
      <w:pPr>
        <w:pStyle w:val="Body"/>
        <w:numPr>
          <w:ilvl w:val="1"/>
          <w:numId w:val="12"/>
        </w:numPr>
      </w:pPr>
      <w:r w:rsidRPr="009A08DB">
        <w:t>RhD immunoglobulin (anti-D) incidents</w:t>
      </w:r>
    </w:p>
    <w:p w14:paraId="14F5177F" w14:textId="77777777" w:rsidR="009A08DB" w:rsidRPr="009A08DB" w:rsidRDefault="009A08DB" w:rsidP="002B4EA7">
      <w:pPr>
        <w:pStyle w:val="Body"/>
        <w:numPr>
          <w:ilvl w:val="1"/>
          <w:numId w:val="12"/>
        </w:numPr>
      </w:pPr>
      <w:r w:rsidRPr="009A08DB">
        <w:t>other near-miss incidents</w:t>
      </w:r>
    </w:p>
    <w:p w14:paraId="19932D9E" w14:textId="6D768FD4" w:rsidR="009A08DB" w:rsidRPr="009A08DB" w:rsidRDefault="009A08DB" w:rsidP="002B4EA7">
      <w:pPr>
        <w:pStyle w:val="Body"/>
        <w:numPr>
          <w:ilvl w:val="1"/>
          <w:numId w:val="12"/>
        </w:numPr>
      </w:pPr>
      <w:r w:rsidRPr="009A08DB">
        <w:t>procedural -</w:t>
      </w:r>
      <w:r w:rsidR="00107559">
        <w:t xml:space="preserve"> </w:t>
      </w:r>
      <w:r w:rsidRPr="009A08DB">
        <w:t>other</w:t>
      </w:r>
    </w:p>
    <w:p w14:paraId="3E49CF01" w14:textId="77777777" w:rsidR="009A08DB" w:rsidRPr="009A08DB" w:rsidRDefault="009A08DB" w:rsidP="009A08DB">
      <w:pPr>
        <w:pStyle w:val="Body"/>
      </w:pPr>
      <w:r w:rsidRPr="009A08DB">
        <w:t xml:space="preserve">Definitions of each incident category are detailed in the ‘Incident category definitions’ section.  </w:t>
      </w:r>
    </w:p>
    <w:p w14:paraId="1BFB26F8" w14:textId="74AF5BF9" w:rsidR="009A08DB" w:rsidRDefault="009A08DB" w:rsidP="009A08DB">
      <w:pPr>
        <w:pStyle w:val="Body"/>
      </w:pPr>
    </w:p>
    <w:p w14:paraId="4CA71E85" w14:textId="34887F0A" w:rsidR="009A08DB" w:rsidRDefault="009A08DB" w:rsidP="009A08DB">
      <w:pPr>
        <w:pStyle w:val="Body"/>
      </w:pPr>
    </w:p>
    <w:p w14:paraId="737E81F0" w14:textId="574BD630" w:rsidR="001A4DE5" w:rsidRDefault="001A4DE5" w:rsidP="009A08DB">
      <w:pPr>
        <w:pStyle w:val="Body"/>
      </w:pPr>
    </w:p>
    <w:p w14:paraId="1364CEF9" w14:textId="1D64F0A3" w:rsidR="001A4DE5" w:rsidRDefault="001A4DE5" w:rsidP="009A08DB">
      <w:pPr>
        <w:pStyle w:val="Body"/>
      </w:pPr>
    </w:p>
    <w:p w14:paraId="4470704F" w14:textId="28917166" w:rsidR="001A4DE5" w:rsidRDefault="001A4DE5" w:rsidP="009A08DB">
      <w:pPr>
        <w:pStyle w:val="Body"/>
      </w:pPr>
    </w:p>
    <w:p w14:paraId="6EB822B4" w14:textId="77777777" w:rsidR="001A4DE5" w:rsidRDefault="001A4DE5" w:rsidP="009A08DB">
      <w:pPr>
        <w:pStyle w:val="Body"/>
      </w:pPr>
    </w:p>
    <w:p w14:paraId="495ADFEC" w14:textId="77777777" w:rsidR="009A08DB" w:rsidRPr="009A08DB" w:rsidRDefault="009A08DB" w:rsidP="009A08DB">
      <w:pPr>
        <w:pStyle w:val="Body"/>
      </w:pPr>
    </w:p>
    <w:p w14:paraId="3E4D41EB" w14:textId="2EB779BB" w:rsidR="009A08DB" w:rsidRDefault="009A08DB" w:rsidP="009A08DB">
      <w:pPr>
        <w:pStyle w:val="Heading1"/>
        <w:spacing w:before="0"/>
      </w:pPr>
      <w:bookmarkStart w:id="29" w:name="_Toc275161932"/>
      <w:bookmarkStart w:id="30" w:name="_Toc275162023"/>
      <w:bookmarkStart w:id="31" w:name="_Toc282328721"/>
      <w:bookmarkStart w:id="32" w:name="_Toc44500257"/>
      <w:bookmarkStart w:id="33" w:name="_Toc109649959"/>
      <w:r w:rsidRPr="009A08DB">
        <w:lastRenderedPageBreak/>
        <w:t>Components of the system</w:t>
      </w:r>
      <w:bookmarkEnd w:id="29"/>
      <w:bookmarkEnd w:id="30"/>
      <w:bookmarkEnd w:id="31"/>
      <w:bookmarkEnd w:id="32"/>
      <w:bookmarkEnd w:id="33"/>
    </w:p>
    <w:p w14:paraId="1581AF32" w14:textId="77777777" w:rsidR="009A08DB" w:rsidRPr="009A08DB" w:rsidRDefault="009A08DB" w:rsidP="009A08DB">
      <w:pPr>
        <w:pStyle w:val="Body"/>
      </w:pPr>
      <w:r w:rsidRPr="009A08DB">
        <w:t xml:space="preserve">Appendix 2 includes a flowchart that describes the components of the system and the responsible authority for each stage of reporting. </w:t>
      </w:r>
    </w:p>
    <w:p w14:paraId="2B2AD08E" w14:textId="77777777" w:rsidR="009A08DB" w:rsidRPr="009A08DB" w:rsidRDefault="009A08DB" w:rsidP="009A08DB">
      <w:pPr>
        <w:pStyle w:val="Body"/>
      </w:pPr>
      <w:r w:rsidRPr="009A08DB">
        <w:t>Each hospital is coded in accordance with privacy principles. Codes are available through the Blood Matters program.</w:t>
      </w:r>
    </w:p>
    <w:p w14:paraId="248FA4B0" w14:textId="77777777" w:rsidR="009A08DB" w:rsidRPr="009A08DB" w:rsidRDefault="009A08DB" w:rsidP="009A08DB">
      <w:pPr>
        <w:pStyle w:val="Body"/>
        <w:rPr>
          <w:bCs/>
        </w:rPr>
      </w:pPr>
      <w:r w:rsidRPr="009A08DB">
        <w:rPr>
          <w:bCs/>
        </w:rPr>
        <w:t>The system for reporting to STIR involves the following steps.</w:t>
      </w:r>
    </w:p>
    <w:p w14:paraId="35ADCA41" w14:textId="77777777" w:rsidR="009A08DB" w:rsidRPr="009A08DB" w:rsidRDefault="009A08DB" w:rsidP="009A08DB">
      <w:pPr>
        <w:pStyle w:val="Heading2"/>
        <w:rPr>
          <w:rFonts w:eastAsia="Times"/>
          <w:color w:val="C00000"/>
        </w:rPr>
      </w:pPr>
      <w:bookmarkStart w:id="34" w:name="_Toc44500258"/>
      <w:bookmarkStart w:id="35" w:name="_Toc109649960"/>
      <w:r w:rsidRPr="009A08DB">
        <w:rPr>
          <w:rFonts w:eastAsia="Times"/>
          <w:color w:val="C00000"/>
        </w:rPr>
        <w:t>At the local level</w:t>
      </w:r>
      <w:bookmarkEnd w:id="34"/>
      <w:bookmarkEnd w:id="35"/>
    </w:p>
    <w:p w14:paraId="6735030B" w14:textId="77777777" w:rsidR="009A08DB" w:rsidRPr="009A08DB" w:rsidRDefault="009A08DB" w:rsidP="009A08DB">
      <w:pPr>
        <w:pStyle w:val="Body"/>
      </w:pPr>
      <w:r w:rsidRPr="009A08DB">
        <w:t xml:space="preserve">All clinical incidents should be reported to the transfusion laboratory in a timely manner. If bacterial contamination or other TTI, TRALI or PTP is suspected, the incident should also be reported, without delay, to Australian Red Cross Lifeblood (Lifeblood). </w:t>
      </w:r>
    </w:p>
    <w:p w14:paraId="77C29841" w14:textId="77777777" w:rsidR="009A08DB" w:rsidRPr="009A08DB" w:rsidRDefault="009A08DB" w:rsidP="009A08DB">
      <w:pPr>
        <w:pStyle w:val="Body"/>
      </w:pPr>
      <w:r w:rsidRPr="009A08DB">
        <w:t>The Blood Matters secretariat will also inform Lifeblood of any reports received of bacterial contamination or other TTI, TRALI, PTP to assist the Lifeblood to monitor incidents and any safety or quality issues.</w:t>
      </w:r>
    </w:p>
    <w:p w14:paraId="7F57FEF4" w14:textId="1EB413D5" w:rsidR="009A08DB" w:rsidRPr="009A08DB" w:rsidRDefault="009A08DB" w:rsidP="009A08DB">
      <w:pPr>
        <w:pStyle w:val="Body"/>
      </w:pPr>
      <w:r w:rsidRPr="009A08DB">
        <w:t xml:space="preserve">All incidents/reactions should be reviewed by the local blood management/transfusion team, risk management or clinical governance group, or appropriate review team as decided by the health service. This local governance group should determine if the event meets STIR reporting criteria. Then the incident should be notified to the STIR system via the online </w:t>
      </w:r>
      <w:r w:rsidR="000578E6">
        <w:t>notification</w:t>
      </w:r>
      <w:r w:rsidRPr="009A08DB">
        <w:t xml:space="preserve"> form, for the related category. </w:t>
      </w:r>
    </w:p>
    <w:p w14:paraId="6DDCD4E4" w14:textId="77777777" w:rsidR="009A08DB" w:rsidRPr="009A08DB" w:rsidRDefault="009A08DB" w:rsidP="009A08DB">
      <w:pPr>
        <w:pStyle w:val="Body"/>
      </w:pPr>
      <w:r w:rsidRPr="009A08DB">
        <w:t>If there is uncertainty about the reaction and which category it may fit into, health services can contact the Blood Matters secretariat to discuss.</w:t>
      </w:r>
    </w:p>
    <w:p w14:paraId="4BE03194" w14:textId="77777777" w:rsidR="009A08DB" w:rsidRPr="009A08DB" w:rsidRDefault="009A08DB" w:rsidP="009A08DB">
      <w:pPr>
        <w:pStyle w:val="Heading2"/>
        <w:rPr>
          <w:rFonts w:eastAsia="Times"/>
          <w:color w:val="C00000"/>
        </w:rPr>
      </w:pPr>
      <w:bookmarkStart w:id="36" w:name="_Toc275161933"/>
      <w:bookmarkStart w:id="37" w:name="_Toc275162024"/>
      <w:bookmarkStart w:id="38" w:name="_Toc44500259"/>
      <w:bookmarkStart w:id="39" w:name="_Toc109649961"/>
      <w:r w:rsidRPr="009A08DB">
        <w:rPr>
          <w:rFonts w:eastAsia="Times"/>
          <w:color w:val="C00000"/>
        </w:rPr>
        <w:t>Notification</w:t>
      </w:r>
      <w:bookmarkEnd w:id="36"/>
      <w:bookmarkEnd w:id="37"/>
      <w:bookmarkEnd w:id="38"/>
      <w:bookmarkEnd w:id="39"/>
      <w:r w:rsidRPr="009A08DB">
        <w:rPr>
          <w:rFonts w:eastAsia="Times"/>
          <w:color w:val="C00000"/>
        </w:rPr>
        <w:t xml:space="preserve"> </w:t>
      </w:r>
    </w:p>
    <w:p w14:paraId="72DAD341" w14:textId="3BAEC7F3" w:rsidR="009A08DB" w:rsidRPr="009A08DB" w:rsidRDefault="009A08DB" w:rsidP="009A08DB">
      <w:pPr>
        <w:pStyle w:val="Body"/>
      </w:pPr>
      <w:r w:rsidRPr="009A08DB">
        <w:t>Health services notify STIR of an event via the notification e-form linked on the Blood Matters website &lt;https://stir.transfusion.com.au</w:t>
      </w:r>
      <w:r w:rsidR="001A4DE5">
        <w:t>&gt;</w:t>
      </w:r>
      <w:r w:rsidRPr="009A08DB">
        <w:t xml:space="preserve">. </w:t>
      </w:r>
    </w:p>
    <w:p w14:paraId="4FE7524F" w14:textId="4B7C43F4" w:rsidR="009A08DB" w:rsidRPr="009A08DB" w:rsidRDefault="009A08DB" w:rsidP="009A08DB">
      <w:pPr>
        <w:pStyle w:val="Body"/>
      </w:pPr>
      <w:r w:rsidRPr="009A08DB">
        <w:t>This should occur as soon as possible after the event and ideally within four weeks of the incident. If this is not possible</w:t>
      </w:r>
      <w:r w:rsidR="000578E6">
        <w:t>,</w:t>
      </w:r>
      <w:r w:rsidRPr="009A08DB">
        <w:t xml:space="preserve"> please contact the Blood Matters secretariat to discuss. </w:t>
      </w:r>
    </w:p>
    <w:p w14:paraId="784D778A" w14:textId="6C8FE853" w:rsidR="009A08DB" w:rsidRPr="009A08DB" w:rsidRDefault="00390432" w:rsidP="009A08DB">
      <w:pPr>
        <w:pStyle w:val="Body"/>
      </w:pPr>
      <w:r>
        <w:t>The</w:t>
      </w:r>
      <w:r w:rsidRPr="009A08DB">
        <w:t xml:space="preserve"> </w:t>
      </w:r>
      <w:r w:rsidR="009A08DB" w:rsidRPr="009A08DB">
        <w:t>initial notification requires key details of the incident, including:</w:t>
      </w:r>
    </w:p>
    <w:p w14:paraId="4EEFD6FA" w14:textId="77777777" w:rsidR="009A08DB" w:rsidRPr="009A08DB" w:rsidRDefault="009A08DB" w:rsidP="002B4EA7">
      <w:pPr>
        <w:pStyle w:val="Body"/>
        <w:numPr>
          <w:ilvl w:val="0"/>
          <w:numId w:val="13"/>
        </w:numPr>
        <w:spacing w:after="0"/>
        <w:ind w:left="357" w:hanging="357"/>
      </w:pPr>
      <w:r w:rsidRPr="009A08DB">
        <w:t>hospital code</w:t>
      </w:r>
    </w:p>
    <w:p w14:paraId="621719BF" w14:textId="77777777" w:rsidR="009A08DB" w:rsidRPr="009A08DB" w:rsidRDefault="009A08DB" w:rsidP="002B4EA7">
      <w:pPr>
        <w:pStyle w:val="Body"/>
        <w:numPr>
          <w:ilvl w:val="0"/>
          <w:numId w:val="13"/>
        </w:numPr>
        <w:spacing w:after="0"/>
        <w:ind w:left="357" w:hanging="357"/>
      </w:pPr>
      <w:r w:rsidRPr="009A08DB">
        <w:t>date and time of incident</w:t>
      </w:r>
    </w:p>
    <w:p w14:paraId="2B43A7ED" w14:textId="77777777" w:rsidR="009A08DB" w:rsidRPr="009A08DB" w:rsidRDefault="009A08DB" w:rsidP="002B4EA7">
      <w:pPr>
        <w:pStyle w:val="Body"/>
        <w:numPr>
          <w:ilvl w:val="0"/>
          <w:numId w:val="13"/>
        </w:numPr>
        <w:spacing w:after="0"/>
        <w:ind w:left="357" w:hanging="357"/>
      </w:pPr>
      <w:r w:rsidRPr="009A08DB">
        <w:t xml:space="preserve">product type implicated,  </w:t>
      </w:r>
    </w:p>
    <w:p w14:paraId="5D8E0C62" w14:textId="77777777" w:rsidR="009A08DB" w:rsidRPr="009A08DB" w:rsidRDefault="009A08DB" w:rsidP="002B4EA7">
      <w:pPr>
        <w:pStyle w:val="Body"/>
        <w:numPr>
          <w:ilvl w:val="0"/>
          <w:numId w:val="13"/>
        </w:numPr>
        <w:spacing w:after="0"/>
        <w:ind w:left="357" w:hanging="357"/>
      </w:pPr>
      <w:r w:rsidRPr="009A08DB">
        <w:t>the age and gender of the patient</w:t>
      </w:r>
    </w:p>
    <w:p w14:paraId="2D7DEAE9" w14:textId="77777777" w:rsidR="009A08DB" w:rsidRPr="009A08DB" w:rsidRDefault="009A08DB" w:rsidP="002B4EA7">
      <w:pPr>
        <w:pStyle w:val="Body"/>
        <w:numPr>
          <w:ilvl w:val="0"/>
          <w:numId w:val="13"/>
        </w:numPr>
        <w:spacing w:after="0"/>
        <w:ind w:left="357" w:hanging="357"/>
      </w:pPr>
      <w:r w:rsidRPr="009A08DB">
        <w:t xml:space="preserve">type of incident; clinical or procedural </w:t>
      </w:r>
    </w:p>
    <w:p w14:paraId="52A9C848" w14:textId="77777777" w:rsidR="009A08DB" w:rsidRPr="009A08DB" w:rsidRDefault="009A08DB" w:rsidP="002B4EA7">
      <w:pPr>
        <w:pStyle w:val="Body"/>
        <w:numPr>
          <w:ilvl w:val="0"/>
          <w:numId w:val="13"/>
        </w:numPr>
        <w:spacing w:after="0"/>
        <w:ind w:left="357" w:hanging="357"/>
      </w:pPr>
      <w:r w:rsidRPr="009A08DB">
        <w:t xml:space="preserve">summary of the event; what happened </w:t>
      </w:r>
    </w:p>
    <w:p w14:paraId="5675519D" w14:textId="77777777" w:rsidR="009A08DB" w:rsidRPr="009A08DB" w:rsidRDefault="009A08DB" w:rsidP="002B4EA7">
      <w:pPr>
        <w:pStyle w:val="Body"/>
        <w:numPr>
          <w:ilvl w:val="0"/>
          <w:numId w:val="13"/>
        </w:numPr>
        <w:spacing w:after="0"/>
        <w:ind w:left="357" w:hanging="357"/>
      </w:pPr>
      <w:r w:rsidRPr="009A08DB">
        <w:t xml:space="preserve">patient outcome (if known) </w:t>
      </w:r>
    </w:p>
    <w:p w14:paraId="6DC8DD9B" w14:textId="77777777" w:rsidR="009A08DB" w:rsidRPr="009A08DB" w:rsidRDefault="009A08DB" w:rsidP="002B4EA7">
      <w:pPr>
        <w:pStyle w:val="Body"/>
        <w:numPr>
          <w:ilvl w:val="0"/>
          <w:numId w:val="13"/>
        </w:numPr>
        <w:spacing w:after="0"/>
        <w:ind w:left="357" w:hanging="357"/>
      </w:pPr>
      <w:r w:rsidRPr="009A08DB">
        <w:t xml:space="preserve">contact details of the reporter. </w:t>
      </w:r>
    </w:p>
    <w:p w14:paraId="5F250F18" w14:textId="77777777" w:rsidR="00DC08E1" w:rsidRDefault="009A08DB" w:rsidP="00DC08E1">
      <w:pPr>
        <w:pStyle w:val="Body"/>
      </w:pPr>
      <w:r w:rsidRPr="009A08DB">
        <w:t>The reporter receives a return email that includes a unique report identification number.</w:t>
      </w:r>
      <w:bookmarkStart w:id="40" w:name="_Toc275161934"/>
      <w:bookmarkStart w:id="41" w:name="_Toc275162025"/>
      <w:bookmarkStart w:id="42" w:name="_Toc44500260"/>
    </w:p>
    <w:p w14:paraId="385F6ECA" w14:textId="7388B8C3" w:rsidR="009A08DB" w:rsidRPr="00DC08E1" w:rsidRDefault="009A08DB" w:rsidP="00DC08E1">
      <w:pPr>
        <w:pStyle w:val="Heading2"/>
        <w:rPr>
          <w:rFonts w:eastAsia="Times"/>
          <w:color w:val="C00000"/>
        </w:rPr>
      </w:pPr>
      <w:bookmarkStart w:id="43" w:name="_Toc109649962"/>
      <w:r w:rsidRPr="00DC08E1">
        <w:rPr>
          <w:rFonts w:eastAsia="Times"/>
          <w:color w:val="C00000"/>
        </w:rPr>
        <w:lastRenderedPageBreak/>
        <w:t>Investigation</w:t>
      </w:r>
      <w:bookmarkEnd w:id="40"/>
      <w:bookmarkEnd w:id="41"/>
      <w:bookmarkEnd w:id="42"/>
      <w:bookmarkEnd w:id="43"/>
    </w:p>
    <w:p w14:paraId="402A0B8E" w14:textId="512EDBED" w:rsidR="009A08DB" w:rsidRDefault="009A08DB" w:rsidP="009A08DB">
      <w:pPr>
        <w:pStyle w:val="Body"/>
      </w:pPr>
      <w:r w:rsidRPr="009A08DB">
        <w:t xml:space="preserve">Following the initial notification to STIR a fillable MS Word form is emailed to the reporter to collect more detailed information specific to the incident. This assists the health service with further investigations if needed and provides information for the STIR expert group review. </w:t>
      </w:r>
    </w:p>
    <w:p w14:paraId="67062275" w14:textId="0954AD30" w:rsidR="00DC08E1" w:rsidRPr="00DC08E1" w:rsidRDefault="00DC08E1" w:rsidP="00DC08E1">
      <w:pPr>
        <w:pStyle w:val="Body"/>
      </w:pPr>
      <w:r w:rsidRPr="00DC08E1">
        <w:t xml:space="preserve">Completed forms are expected to be returned via email to the Blood Matters secretariat within four weeks. The data is imported into an MS Access database and de-identified (neither the reporter </w:t>
      </w:r>
      <w:r w:rsidR="00C31E05" w:rsidRPr="00DC08E1">
        <w:t>nor</w:t>
      </w:r>
      <w:r w:rsidRPr="00DC08E1">
        <w:t xml:space="preserve"> health service are identifiable). </w:t>
      </w:r>
    </w:p>
    <w:p w14:paraId="7164CC3A" w14:textId="54D2DECD" w:rsidR="00DC08E1" w:rsidRPr="00DC08E1" w:rsidRDefault="00390432" w:rsidP="00DC08E1">
      <w:pPr>
        <w:pStyle w:val="Body"/>
      </w:pPr>
      <w:r>
        <w:t>I</w:t>
      </w:r>
      <w:r w:rsidR="00DC08E1" w:rsidRPr="00DC08E1">
        <w:t xml:space="preserve">nformation </w:t>
      </w:r>
      <w:r>
        <w:t xml:space="preserve">in addition </w:t>
      </w:r>
      <w:r w:rsidR="00DC08E1" w:rsidRPr="00DC08E1">
        <w:t xml:space="preserve">to the form specific questions can be provided. This can include results of investigations, transfusion reaction reports or an explanation of a complicated incident. If additional information or reports are </w:t>
      </w:r>
      <w:r w:rsidR="00C31E05" w:rsidRPr="00DC08E1">
        <w:t>provided,</w:t>
      </w:r>
      <w:r w:rsidR="00DC08E1" w:rsidRPr="00DC08E1">
        <w:t xml:space="preserve"> they must include the unique event identifier provide by STIR and have any patient and/or health service identifiers removed.</w:t>
      </w:r>
    </w:p>
    <w:p w14:paraId="4A3B0B33" w14:textId="77777777" w:rsidR="00DC08E1" w:rsidRPr="00DC08E1" w:rsidRDefault="00DC08E1" w:rsidP="00DC08E1">
      <w:pPr>
        <w:pStyle w:val="Heading2"/>
        <w:rPr>
          <w:rFonts w:eastAsia="Times"/>
          <w:color w:val="C00000"/>
        </w:rPr>
      </w:pPr>
      <w:bookmarkStart w:id="44" w:name="_Toc44500261"/>
      <w:bookmarkStart w:id="45" w:name="_Toc109649963"/>
      <w:r w:rsidRPr="00DC08E1">
        <w:rPr>
          <w:rFonts w:eastAsia="Times"/>
          <w:color w:val="C00000"/>
        </w:rPr>
        <w:t>Sentinel events</w:t>
      </w:r>
      <w:bookmarkEnd w:id="44"/>
      <w:bookmarkEnd w:id="45"/>
    </w:p>
    <w:p w14:paraId="56297413" w14:textId="77777777" w:rsidR="00DC08E1" w:rsidRPr="00DC08E1" w:rsidRDefault="00DC08E1" w:rsidP="00DC08E1">
      <w:pPr>
        <w:pStyle w:val="Body"/>
      </w:pPr>
      <w:r w:rsidRPr="00DC08E1">
        <w:t xml:space="preserve">Sentinel events are reported in accordance with the existing sentinel event procedure, through Safer Care Victoria and the department. </w:t>
      </w:r>
    </w:p>
    <w:p w14:paraId="0F56E0DC" w14:textId="6BBC59A0" w:rsidR="00DC08E1" w:rsidRPr="00DC08E1" w:rsidRDefault="00DC08E1" w:rsidP="00DC08E1">
      <w:pPr>
        <w:pStyle w:val="Body"/>
      </w:pPr>
      <w:r w:rsidRPr="00DC08E1">
        <w:t>Blood Matters may be able to provide a team member, as an external expert, to help with the review process, in line with current Safer Care Victoria guidelines.</w:t>
      </w:r>
      <w:r>
        <w:t xml:space="preserve"> </w:t>
      </w:r>
      <w:hyperlink r:id="rId21" w:history="1">
        <w:r w:rsidRPr="00DC08E1">
          <w:rPr>
            <w:rStyle w:val="Hyperlink"/>
          </w:rPr>
          <w:t>Sentinel events | Safer Care Victoria</w:t>
        </w:r>
      </w:hyperlink>
    </w:p>
    <w:p w14:paraId="12FD173D" w14:textId="77777777" w:rsidR="00DC08E1" w:rsidRPr="00DC08E1" w:rsidRDefault="00DC08E1" w:rsidP="00DC08E1">
      <w:pPr>
        <w:pStyle w:val="Body"/>
      </w:pPr>
      <w:r w:rsidRPr="00DC08E1">
        <w:t>Blood Matters STIR expert group is notified by the department after the sentinel event investigation and root cause analysis (RCA) to provide expert review and feedback on the recommendations made.</w:t>
      </w:r>
    </w:p>
    <w:p w14:paraId="1271454C" w14:textId="4F3067F9" w:rsidR="00DC08E1" w:rsidRPr="00DC08E1" w:rsidRDefault="00DC08E1" w:rsidP="00DC08E1">
      <w:pPr>
        <w:pStyle w:val="Body"/>
      </w:pPr>
      <w:r w:rsidRPr="00DC08E1">
        <w:t>The appropriate STIR investigation form is completed</w:t>
      </w:r>
      <w:r w:rsidR="00A13034">
        <w:t>, by the health service,</w:t>
      </w:r>
      <w:r w:rsidRPr="00DC08E1">
        <w:t xml:space="preserve"> once the RCA has been finalised. </w:t>
      </w:r>
    </w:p>
    <w:p w14:paraId="1E7C28B0" w14:textId="77777777" w:rsidR="00DC08E1" w:rsidRPr="00DC08E1" w:rsidRDefault="00DC08E1" w:rsidP="00DC08E1">
      <w:pPr>
        <w:pStyle w:val="Heading2"/>
        <w:rPr>
          <w:rFonts w:eastAsia="Times"/>
          <w:color w:val="C00000"/>
        </w:rPr>
      </w:pPr>
      <w:bookmarkStart w:id="46" w:name="_Toc44500262"/>
      <w:bookmarkStart w:id="47" w:name="_Toc109649964"/>
      <w:r w:rsidRPr="00DC08E1">
        <w:rPr>
          <w:rFonts w:eastAsia="Times"/>
          <w:color w:val="C00000"/>
        </w:rPr>
        <w:t>Withdrawn notifications</w:t>
      </w:r>
      <w:bookmarkEnd w:id="46"/>
      <w:bookmarkEnd w:id="47"/>
    </w:p>
    <w:p w14:paraId="1C31A4A2" w14:textId="77777777" w:rsidR="00DC08E1" w:rsidRPr="00DC08E1" w:rsidRDefault="00DC08E1" w:rsidP="00DC08E1">
      <w:pPr>
        <w:pStyle w:val="Body"/>
      </w:pPr>
      <w:r w:rsidRPr="00DC08E1">
        <w:t>If a report is deemed, on further investigation, not to be a transfusion-related incident or meet STIR criterion, it can be withdrawn. Contact the Blood Matters secretariat to discuss.</w:t>
      </w:r>
    </w:p>
    <w:p w14:paraId="37859346" w14:textId="77777777" w:rsidR="00DC08E1" w:rsidRPr="00DC08E1" w:rsidRDefault="00DC08E1" w:rsidP="00DC08E1">
      <w:pPr>
        <w:pStyle w:val="Body"/>
      </w:pPr>
      <w:r w:rsidRPr="00DC08E1">
        <w:t>The Blood Matters secretariat may choose to withdraw incidents that do not meet the STIR reporting criteria, after discussion with the health service.</w:t>
      </w:r>
    </w:p>
    <w:p w14:paraId="1A6FB5A8" w14:textId="77777777" w:rsidR="00DC08E1" w:rsidRPr="00DC08E1" w:rsidRDefault="00DC08E1" w:rsidP="00DC08E1">
      <w:pPr>
        <w:pStyle w:val="Heading2"/>
        <w:rPr>
          <w:rFonts w:eastAsia="Times"/>
          <w:color w:val="C00000"/>
        </w:rPr>
      </w:pPr>
      <w:bookmarkStart w:id="48" w:name="_Toc275161935"/>
      <w:bookmarkStart w:id="49" w:name="_Toc275162026"/>
      <w:bookmarkStart w:id="50" w:name="_Toc44500263"/>
      <w:bookmarkStart w:id="51" w:name="_Toc109649965"/>
      <w:r w:rsidRPr="00DC08E1">
        <w:rPr>
          <w:rFonts w:eastAsia="Times"/>
          <w:color w:val="C00000"/>
        </w:rPr>
        <w:t>Feedback</w:t>
      </w:r>
      <w:bookmarkEnd w:id="48"/>
      <w:bookmarkEnd w:id="49"/>
      <w:bookmarkEnd w:id="50"/>
      <w:bookmarkEnd w:id="51"/>
    </w:p>
    <w:p w14:paraId="4A989D9C" w14:textId="373BD33A" w:rsidR="00DC08E1" w:rsidRPr="00DC08E1" w:rsidRDefault="00DC08E1" w:rsidP="00DC08E1">
      <w:pPr>
        <w:pStyle w:val="Body"/>
      </w:pPr>
      <w:r w:rsidRPr="00DC08E1">
        <w:t xml:space="preserve">STIR aggregate reports </w:t>
      </w:r>
      <w:r w:rsidR="00457B7E">
        <w:t>are</w:t>
      </w:r>
      <w:r w:rsidRPr="00DC08E1">
        <w:t xml:space="preserve"> published by the Blood Matters program and disseminated to all participating health services and stakeholders.</w:t>
      </w:r>
    </w:p>
    <w:p w14:paraId="5BE3509F" w14:textId="4D240E9B" w:rsidR="00DC08E1" w:rsidRPr="00DC08E1" w:rsidRDefault="00DC08E1" w:rsidP="00DC08E1">
      <w:pPr>
        <w:pStyle w:val="Body"/>
      </w:pPr>
      <w:r w:rsidRPr="00DC08E1">
        <w:t xml:space="preserve">Sentinel event specific reports </w:t>
      </w:r>
      <w:r w:rsidR="00457B7E">
        <w:t>are</w:t>
      </w:r>
      <w:r w:rsidRPr="00DC08E1">
        <w:t xml:space="preserve"> provided to the reporting organisation, by the Sentinel Event program through the department. </w:t>
      </w:r>
    </w:p>
    <w:p w14:paraId="3A98D3A1" w14:textId="2A3BE32E" w:rsidR="00DC08E1" w:rsidRPr="00DC08E1" w:rsidRDefault="00DC08E1" w:rsidP="00DC08E1">
      <w:pPr>
        <w:pStyle w:val="Body"/>
      </w:pPr>
      <w:r w:rsidRPr="00DC08E1">
        <w:t xml:space="preserve">A summary report for health services </w:t>
      </w:r>
      <w:r w:rsidR="00457B7E">
        <w:t>is</w:t>
      </w:r>
      <w:r w:rsidRPr="00DC08E1">
        <w:t xml:space="preserve"> made available as requested or six-monthly. These summary reports include information for the reporting period on:</w:t>
      </w:r>
    </w:p>
    <w:p w14:paraId="13FBA899" w14:textId="77777777" w:rsidR="00DC08E1" w:rsidRPr="00DC08E1" w:rsidRDefault="00DC08E1" w:rsidP="002B4EA7">
      <w:pPr>
        <w:pStyle w:val="Body"/>
        <w:numPr>
          <w:ilvl w:val="0"/>
          <w:numId w:val="14"/>
        </w:numPr>
        <w:spacing w:after="0"/>
        <w:ind w:left="714" w:hanging="357"/>
      </w:pPr>
      <w:r w:rsidRPr="00DC08E1">
        <w:t>number and types of events reported</w:t>
      </w:r>
    </w:p>
    <w:p w14:paraId="387FB8A5" w14:textId="77777777" w:rsidR="00DC08E1" w:rsidRPr="00DC08E1" w:rsidRDefault="00DC08E1" w:rsidP="002B4EA7">
      <w:pPr>
        <w:pStyle w:val="Body"/>
        <w:numPr>
          <w:ilvl w:val="0"/>
          <w:numId w:val="14"/>
        </w:numPr>
        <w:spacing w:after="0"/>
        <w:ind w:left="714" w:hanging="357"/>
      </w:pPr>
      <w:r w:rsidRPr="00DC08E1">
        <w:t>the total number of incidents reported for the health service</w:t>
      </w:r>
    </w:p>
    <w:p w14:paraId="16DB5B39" w14:textId="77777777" w:rsidR="00DC08E1" w:rsidRPr="00DC08E1" w:rsidRDefault="00DC08E1" w:rsidP="002B4EA7">
      <w:pPr>
        <w:pStyle w:val="Body"/>
        <w:numPr>
          <w:ilvl w:val="0"/>
          <w:numId w:val="14"/>
        </w:numPr>
        <w:spacing w:after="0"/>
        <w:ind w:left="714" w:hanging="357"/>
      </w:pPr>
      <w:r w:rsidRPr="00DC08E1">
        <w:t xml:space="preserve">total number of reports from all health services </w:t>
      </w:r>
    </w:p>
    <w:p w14:paraId="784765E8" w14:textId="77777777" w:rsidR="00DC08E1" w:rsidRPr="00DC08E1" w:rsidRDefault="00DC08E1" w:rsidP="002B4EA7">
      <w:pPr>
        <w:pStyle w:val="Body"/>
        <w:numPr>
          <w:ilvl w:val="0"/>
          <w:numId w:val="14"/>
        </w:numPr>
        <w:spacing w:after="0"/>
        <w:ind w:left="714" w:hanging="357"/>
      </w:pPr>
      <w:r w:rsidRPr="00DC08E1">
        <w:t xml:space="preserve">the number of withdrawn reports </w:t>
      </w:r>
    </w:p>
    <w:p w14:paraId="661D6B11" w14:textId="77777777" w:rsidR="00DC08E1" w:rsidRPr="00DC08E1" w:rsidRDefault="00DC08E1" w:rsidP="002B4EA7">
      <w:pPr>
        <w:pStyle w:val="Body"/>
        <w:numPr>
          <w:ilvl w:val="0"/>
          <w:numId w:val="14"/>
        </w:numPr>
      </w:pPr>
      <w:r w:rsidRPr="00DC08E1">
        <w:t>alterations by the expert group to reports made by the health service to event types or severity rating.</w:t>
      </w:r>
    </w:p>
    <w:p w14:paraId="11A159B3" w14:textId="77777777" w:rsidR="00DC08E1" w:rsidRPr="00DC08E1" w:rsidRDefault="00DC08E1" w:rsidP="00DC08E1">
      <w:pPr>
        <w:pStyle w:val="Body"/>
      </w:pPr>
      <w:r w:rsidRPr="00DC08E1">
        <w:lastRenderedPageBreak/>
        <w:t>Individual health services may be contacted on occasion for clarification and feedback, or if there are major differences between the health service and expert group determination of type or severity of report.</w:t>
      </w:r>
    </w:p>
    <w:p w14:paraId="0DB800DF" w14:textId="62C29FB1" w:rsidR="00DC08E1" w:rsidRDefault="00DC08E1" w:rsidP="009A08DB">
      <w:pPr>
        <w:pStyle w:val="Body"/>
      </w:pPr>
    </w:p>
    <w:p w14:paraId="5F752C21" w14:textId="2D2ADE3B" w:rsidR="000D0F8D" w:rsidRDefault="000D0F8D" w:rsidP="009A08DB">
      <w:pPr>
        <w:pStyle w:val="Body"/>
      </w:pPr>
    </w:p>
    <w:p w14:paraId="609C5B04" w14:textId="0F11ABB4" w:rsidR="000D0F8D" w:rsidRDefault="000D0F8D" w:rsidP="009A08DB">
      <w:pPr>
        <w:pStyle w:val="Body"/>
      </w:pPr>
    </w:p>
    <w:p w14:paraId="33F4CF9D" w14:textId="51CD8EDA" w:rsidR="00A13034" w:rsidRDefault="00A13034" w:rsidP="009A08DB">
      <w:pPr>
        <w:pStyle w:val="Body"/>
      </w:pPr>
    </w:p>
    <w:p w14:paraId="55EE32B6" w14:textId="2E1C5113" w:rsidR="00A13034" w:rsidRDefault="00A13034" w:rsidP="009A08DB">
      <w:pPr>
        <w:pStyle w:val="Body"/>
      </w:pPr>
    </w:p>
    <w:p w14:paraId="0F5F2165" w14:textId="4F90CAD9" w:rsidR="00A13034" w:rsidRDefault="00A13034" w:rsidP="009A08DB">
      <w:pPr>
        <w:pStyle w:val="Body"/>
      </w:pPr>
    </w:p>
    <w:p w14:paraId="00C2D8A7" w14:textId="4DFE2EC5" w:rsidR="00A13034" w:rsidRDefault="00A13034" w:rsidP="009A08DB">
      <w:pPr>
        <w:pStyle w:val="Body"/>
      </w:pPr>
    </w:p>
    <w:p w14:paraId="2B552CF0" w14:textId="7DA9AB4E" w:rsidR="00A13034" w:rsidRDefault="00A13034" w:rsidP="009A08DB">
      <w:pPr>
        <w:pStyle w:val="Body"/>
      </w:pPr>
    </w:p>
    <w:p w14:paraId="711DD169" w14:textId="1FF78F93" w:rsidR="00A13034" w:rsidRDefault="00A13034" w:rsidP="009A08DB">
      <w:pPr>
        <w:pStyle w:val="Body"/>
      </w:pPr>
    </w:p>
    <w:p w14:paraId="774BB990" w14:textId="2F1ACE3D" w:rsidR="00A13034" w:rsidRDefault="00A13034" w:rsidP="009A08DB">
      <w:pPr>
        <w:pStyle w:val="Body"/>
      </w:pPr>
    </w:p>
    <w:p w14:paraId="3266B6A1" w14:textId="2979085F" w:rsidR="00A13034" w:rsidRDefault="00A13034" w:rsidP="009A08DB">
      <w:pPr>
        <w:pStyle w:val="Body"/>
      </w:pPr>
    </w:p>
    <w:p w14:paraId="2342DBBC" w14:textId="56F4901D" w:rsidR="00A13034" w:rsidRDefault="00A13034" w:rsidP="009A08DB">
      <w:pPr>
        <w:pStyle w:val="Body"/>
      </w:pPr>
    </w:p>
    <w:p w14:paraId="7F499A0C" w14:textId="45A7C5AE" w:rsidR="00A13034" w:rsidRDefault="00A13034" w:rsidP="009A08DB">
      <w:pPr>
        <w:pStyle w:val="Body"/>
      </w:pPr>
    </w:p>
    <w:p w14:paraId="50577FD9" w14:textId="47D0874A" w:rsidR="00A13034" w:rsidRDefault="00A13034" w:rsidP="009A08DB">
      <w:pPr>
        <w:pStyle w:val="Body"/>
      </w:pPr>
    </w:p>
    <w:p w14:paraId="25E30B75" w14:textId="123B5EB9" w:rsidR="00A13034" w:rsidRDefault="00A13034" w:rsidP="009A08DB">
      <w:pPr>
        <w:pStyle w:val="Body"/>
      </w:pPr>
    </w:p>
    <w:p w14:paraId="0AADA32C" w14:textId="425978CB" w:rsidR="00A13034" w:rsidRDefault="00A13034" w:rsidP="009A08DB">
      <w:pPr>
        <w:pStyle w:val="Body"/>
      </w:pPr>
    </w:p>
    <w:p w14:paraId="7D7BEB38" w14:textId="15FBBDA1" w:rsidR="00A13034" w:rsidRDefault="00A13034" w:rsidP="009A08DB">
      <w:pPr>
        <w:pStyle w:val="Body"/>
      </w:pPr>
    </w:p>
    <w:p w14:paraId="75A68DBF" w14:textId="1198C470" w:rsidR="00A13034" w:rsidRDefault="00A13034" w:rsidP="009A08DB">
      <w:pPr>
        <w:pStyle w:val="Body"/>
      </w:pPr>
    </w:p>
    <w:p w14:paraId="2CB4AD78" w14:textId="2A6F9196" w:rsidR="00A13034" w:rsidRDefault="00A13034" w:rsidP="009A08DB">
      <w:pPr>
        <w:pStyle w:val="Body"/>
      </w:pPr>
    </w:p>
    <w:p w14:paraId="1530FBCA" w14:textId="13383520" w:rsidR="00A13034" w:rsidRDefault="00A13034" w:rsidP="009A08DB">
      <w:pPr>
        <w:pStyle w:val="Body"/>
      </w:pPr>
    </w:p>
    <w:p w14:paraId="6E5ABDB3" w14:textId="2A2C7B42" w:rsidR="00A13034" w:rsidRDefault="00A13034" w:rsidP="009A08DB">
      <w:pPr>
        <w:pStyle w:val="Body"/>
      </w:pPr>
    </w:p>
    <w:p w14:paraId="078156F1" w14:textId="07F1055D" w:rsidR="00A13034" w:rsidRDefault="00A13034" w:rsidP="009A08DB">
      <w:pPr>
        <w:pStyle w:val="Body"/>
      </w:pPr>
    </w:p>
    <w:p w14:paraId="446781E6" w14:textId="51EF2879" w:rsidR="00A13034" w:rsidRDefault="00A13034" w:rsidP="009A08DB">
      <w:pPr>
        <w:pStyle w:val="Body"/>
      </w:pPr>
    </w:p>
    <w:p w14:paraId="5EF09494" w14:textId="4E80DDD0" w:rsidR="00A13034" w:rsidRDefault="00A13034" w:rsidP="009A08DB">
      <w:pPr>
        <w:pStyle w:val="Body"/>
      </w:pPr>
    </w:p>
    <w:p w14:paraId="40CA4B8E" w14:textId="2BC15C01" w:rsidR="00A13034" w:rsidRDefault="00A13034" w:rsidP="009A08DB">
      <w:pPr>
        <w:pStyle w:val="Body"/>
      </w:pPr>
    </w:p>
    <w:p w14:paraId="33F36EE7" w14:textId="1CF253E9" w:rsidR="00A13034" w:rsidRDefault="00A13034" w:rsidP="009A08DB">
      <w:pPr>
        <w:pStyle w:val="Body"/>
      </w:pPr>
    </w:p>
    <w:p w14:paraId="1789C9C5" w14:textId="77777777" w:rsidR="00A13034" w:rsidRPr="009A08DB" w:rsidRDefault="00A13034" w:rsidP="009A08DB">
      <w:pPr>
        <w:pStyle w:val="Body"/>
      </w:pPr>
    </w:p>
    <w:p w14:paraId="4FC5D692" w14:textId="77777777" w:rsidR="009A08DB" w:rsidRPr="009A08DB" w:rsidRDefault="009A08DB" w:rsidP="009A08DB">
      <w:pPr>
        <w:pStyle w:val="Body"/>
      </w:pPr>
    </w:p>
    <w:p w14:paraId="4F001917" w14:textId="6A3F3329" w:rsidR="00EE29AD" w:rsidRDefault="00882DEC" w:rsidP="00562811">
      <w:pPr>
        <w:pStyle w:val="Heading1"/>
        <w:spacing w:before="0"/>
      </w:pPr>
      <w:bookmarkStart w:id="52" w:name="_Toc109649966"/>
      <w:r w:rsidRPr="00882DEC">
        <w:lastRenderedPageBreak/>
        <w:t>Incident category definitions - clinical reactions</w:t>
      </w:r>
      <w:bookmarkEnd w:id="52"/>
    </w:p>
    <w:p w14:paraId="06298A08" w14:textId="77777777" w:rsidR="007E1F0D" w:rsidRPr="007E1F0D" w:rsidRDefault="007E1F0D" w:rsidP="007E1F0D">
      <w:pPr>
        <w:pStyle w:val="Heading2"/>
        <w:rPr>
          <w:rFonts w:eastAsia="Times"/>
          <w:color w:val="C00000"/>
        </w:rPr>
      </w:pPr>
      <w:bookmarkStart w:id="53" w:name="_Toc275161938"/>
      <w:bookmarkStart w:id="54" w:name="_Toc275162029"/>
      <w:bookmarkStart w:id="55" w:name="_Toc44500265"/>
      <w:bookmarkStart w:id="56" w:name="_Toc109649967"/>
      <w:r w:rsidRPr="007E1F0D">
        <w:rPr>
          <w:rFonts w:eastAsia="Times"/>
          <w:color w:val="C00000"/>
        </w:rPr>
        <w:t>Acute transfusion reaction (ATR)</w:t>
      </w:r>
      <w:bookmarkEnd w:id="53"/>
      <w:bookmarkEnd w:id="54"/>
      <w:bookmarkEnd w:id="55"/>
      <w:bookmarkEnd w:id="56"/>
    </w:p>
    <w:p w14:paraId="02A116C6" w14:textId="77777777" w:rsidR="007E1F0D" w:rsidRPr="007E1F0D" w:rsidRDefault="007E1F0D" w:rsidP="007E1F0D">
      <w:pPr>
        <w:pStyle w:val="Body"/>
      </w:pPr>
      <w:r w:rsidRPr="007E1F0D">
        <w:t>Acute transfusion reactions occur at any time during a transfusion or up to 24 hours following transfusion of a blood component. (Summary of when to report: Appendix 3)</w:t>
      </w:r>
    </w:p>
    <w:p w14:paraId="78F35071" w14:textId="69B6DA6F" w:rsidR="007E1F0D" w:rsidRPr="007E1F0D" w:rsidRDefault="007E1F0D" w:rsidP="007E1F0D">
      <w:pPr>
        <w:pStyle w:val="Body"/>
      </w:pPr>
      <w:r w:rsidRPr="007E1F0D">
        <w:t xml:space="preserve">Acute reactions may occur due to </w:t>
      </w:r>
      <w:r w:rsidR="00A13034" w:rsidRPr="007E1F0D">
        <w:t>several</w:t>
      </w:r>
      <w:r w:rsidRPr="007E1F0D">
        <w:t xml:space="preserve"> causes. Some reactions are reported on a specific form designed to capture information relevant to the reaction type:</w:t>
      </w:r>
    </w:p>
    <w:p w14:paraId="2961E6D5" w14:textId="77777777" w:rsidR="007E1F0D" w:rsidRPr="007E1F0D" w:rsidRDefault="007E1F0D" w:rsidP="002B4EA7">
      <w:pPr>
        <w:pStyle w:val="Body"/>
        <w:numPr>
          <w:ilvl w:val="0"/>
          <w:numId w:val="18"/>
        </w:numPr>
        <w:spacing w:after="0"/>
        <w:ind w:left="714" w:hanging="357"/>
      </w:pPr>
      <w:r w:rsidRPr="007E1F0D">
        <w:t>Incorrect blood component transfused - IBCT procedural form.</w:t>
      </w:r>
    </w:p>
    <w:p w14:paraId="2BE13373" w14:textId="77777777" w:rsidR="007E1F0D" w:rsidRPr="007E1F0D" w:rsidRDefault="007E1F0D" w:rsidP="002B4EA7">
      <w:pPr>
        <w:pStyle w:val="Body"/>
        <w:numPr>
          <w:ilvl w:val="0"/>
          <w:numId w:val="18"/>
        </w:numPr>
        <w:spacing w:after="0"/>
        <w:ind w:left="714" w:hanging="357"/>
      </w:pPr>
      <w:r w:rsidRPr="007E1F0D">
        <w:t>TRALI, TACO and TAD - TRALI/TACO form.</w:t>
      </w:r>
    </w:p>
    <w:p w14:paraId="797F93D9" w14:textId="77777777" w:rsidR="007E1F0D" w:rsidRPr="007E1F0D" w:rsidRDefault="007E1F0D" w:rsidP="002B4EA7">
      <w:pPr>
        <w:pStyle w:val="Body"/>
        <w:numPr>
          <w:ilvl w:val="0"/>
          <w:numId w:val="18"/>
        </w:numPr>
        <w:spacing w:after="0"/>
        <w:ind w:left="714" w:hanging="357"/>
      </w:pPr>
      <w:r w:rsidRPr="007E1F0D">
        <w:t>Suspected bacterial contamination - Bacterial form.</w:t>
      </w:r>
    </w:p>
    <w:p w14:paraId="2E57DA34" w14:textId="77777777" w:rsidR="007E1F0D" w:rsidRPr="007E1F0D" w:rsidRDefault="007E1F0D" w:rsidP="007E1F0D">
      <w:pPr>
        <w:pStyle w:val="Body"/>
      </w:pPr>
    </w:p>
    <w:p w14:paraId="7B5AC5CB" w14:textId="35C5A55E" w:rsidR="007E1F0D" w:rsidRPr="007E1F0D" w:rsidRDefault="000578E6" w:rsidP="007E1F0D">
      <w:pPr>
        <w:pStyle w:val="Body"/>
      </w:pPr>
      <w:r>
        <w:t xml:space="preserve">Transfusion </w:t>
      </w:r>
      <w:r w:rsidR="007E1F0D" w:rsidRPr="007E1F0D">
        <w:t>reactions</w:t>
      </w:r>
      <w:r w:rsidR="001D3EA7">
        <w:t xml:space="preserve"> that do not have a specific form are</w:t>
      </w:r>
      <w:r w:rsidR="007E1F0D" w:rsidRPr="007E1F0D">
        <w:t xml:space="preserve"> reported on the acute transfusion reactions form</w:t>
      </w:r>
      <w:r w:rsidR="0009598D">
        <w:t>. These</w:t>
      </w:r>
      <w:r w:rsidR="0009598D" w:rsidRPr="007E1F0D">
        <w:t xml:space="preserve"> include</w:t>
      </w:r>
      <w:r w:rsidR="007D530A">
        <w:t xml:space="preserve"> the following</w:t>
      </w:r>
      <w:r w:rsidR="0009598D">
        <w:t xml:space="preserve"> reactions</w:t>
      </w:r>
      <w:r w:rsidR="007D530A">
        <w:t xml:space="preserve"> that meet reporting criteria as described</w:t>
      </w:r>
      <w:r w:rsidR="007E1F0D" w:rsidRPr="007E1F0D">
        <w:t>:</w:t>
      </w:r>
    </w:p>
    <w:p w14:paraId="6462F2D5" w14:textId="77777777" w:rsidR="007E1F0D" w:rsidRPr="007E1F0D" w:rsidRDefault="007E1F0D" w:rsidP="007E1F0D">
      <w:pPr>
        <w:pStyle w:val="Heading2"/>
        <w:rPr>
          <w:rFonts w:eastAsia="Times"/>
          <w:b w:val="0"/>
          <w:bCs/>
          <w:color w:val="C00000"/>
        </w:rPr>
      </w:pPr>
      <w:bookmarkStart w:id="57" w:name="_Toc275161940"/>
      <w:bookmarkStart w:id="58" w:name="_Toc275162031"/>
      <w:bookmarkStart w:id="59" w:name="_Toc44500266"/>
      <w:bookmarkStart w:id="60" w:name="_Toc109649968"/>
      <w:r w:rsidRPr="007E1F0D">
        <w:rPr>
          <w:rFonts w:eastAsia="Times"/>
          <w:b w:val="0"/>
          <w:bCs/>
          <w:color w:val="C00000"/>
        </w:rPr>
        <w:t>Febrile non-haemolytic transfusion reaction (FNHTR)</w:t>
      </w:r>
      <w:bookmarkEnd w:id="57"/>
      <w:bookmarkEnd w:id="58"/>
      <w:bookmarkEnd w:id="59"/>
      <w:bookmarkEnd w:id="60"/>
    </w:p>
    <w:p w14:paraId="430AB969" w14:textId="22DFDDF1" w:rsidR="007E1F0D" w:rsidRPr="007E1F0D" w:rsidRDefault="007E1F0D" w:rsidP="007E1F0D">
      <w:pPr>
        <w:pStyle w:val="Body"/>
      </w:pPr>
      <w:r w:rsidRPr="007E1F0D">
        <w:t>Fever (</w:t>
      </w:r>
      <w:r w:rsidRPr="00340D92">
        <w:rPr>
          <w:u w:val="single"/>
        </w:rPr>
        <w:t>&gt;</w:t>
      </w:r>
      <w:r w:rsidRPr="007E1F0D">
        <w:t xml:space="preserve"> 3</w:t>
      </w:r>
      <w:r w:rsidR="004801A4">
        <w:t>9</w:t>
      </w:r>
      <w:r w:rsidRPr="007E1F0D">
        <w:t xml:space="preserve">°C or a change of </w:t>
      </w:r>
      <w:r w:rsidR="004801A4">
        <w:t>2</w:t>
      </w:r>
      <w:r w:rsidRPr="007E1F0D">
        <w:t>°C above baseline), occurring during or within four hours of the transfusion with one or more of the following:</w:t>
      </w:r>
    </w:p>
    <w:p w14:paraId="0D77B76E" w14:textId="77777777" w:rsidR="007E1F0D" w:rsidRPr="007E1F0D" w:rsidRDefault="007E1F0D" w:rsidP="002B4EA7">
      <w:pPr>
        <w:pStyle w:val="Body"/>
        <w:numPr>
          <w:ilvl w:val="0"/>
          <w:numId w:val="16"/>
        </w:numPr>
        <w:spacing w:after="0"/>
        <w:ind w:left="714" w:hanging="357"/>
      </w:pPr>
      <w:r w:rsidRPr="007E1F0D">
        <w:t>chills/rigor</w:t>
      </w:r>
    </w:p>
    <w:p w14:paraId="44C4B8F9" w14:textId="77777777" w:rsidR="007E1F0D" w:rsidRPr="007E1F0D" w:rsidRDefault="007E1F0D" w:rsidP="002B4EA7">
      <w:pPr>
        <w:pStyle w:val="Body"/>
        <w:numPr>
          <w:ilvl w:val="0"/>
          <w:numId w:val="16"/>
        </w:numPr>
        <w:spacing w:after="0"/>
        <w:ind w:left="714" w:hanging="357"/>
      </w:pPr>
      <w:r w:rsidRPr="007E1F0D">
        <w:t>headache</w:t>
      </w:r>
    </w:p>
    <w:p w14:paraId="49F90345" w14:textId="77777777" w:rsidR="007E1F0D" w:rsidRPr="007E1F0D" w:rsidRDefault="007E1F0D" w:rsidP="002B4EA7">
      <w:pPr>
        <w:pStyle w:val="Body"/>
        <w:numPr>
          <w:ilvl w:val="0"/>
          <w:numId w:val="16"/>
        </w:numPr>
        <w:spacing w:after="0"/>
        <w:ind w:left="714" w:hanging="357"/>
      </w:pPr>
      <w:r w:rsidRPr="007E1F0D">
        <w:t>nausea/vomiting.</w:t>
      </w:r>
    </w:p>
    <w:p w14:paraId="70FF4D99" w14:textId="77777777" w:rsidR="007E1F0D" w:rsidRPr="007E1F0D" w:rsidRDefault="007E1F0D" w:rsidP="007E1F0D">
      <w:pPr>
        <w:pStyle w:val="Heading2"/>
        <w:rPr>
          <w:rFonts w:eastAsia="Times"/>
          <w:b w:val="0"/>
          <w:bCs/>
          <w:color w:val="C00000"/>
          <w:vertAlign w:val="superscript"/>
        </w:rPr>
      </w:pPr>
      <w:bookmarkStart w:id="61" w:name="_Toc275161941"/>
      <w:bookmarkStart w:id="62" w:name="_Toc275162032"/>
      <w:bookmarkStart w:id="63" w:name="_Toc44500267"/>
      <w:bookmarkStart w:id="64" w:name="_Toc109649969"/>
      <w:r w:rsidRPr="007E1F0D">
        <w:rPr>
          <w:rFonts w:eastAsia="Times"/>
          <w:b w:val="0"/>
          <w:bCs/>
          <w:color w:val="C00000"/>
        </w:rPr>
        <w:t>Allergic reaction</w:t>
      </w:r>
      <w:bookmarkEnd w:id="61"/>
      <w:bookmarkEnd w:id="62"/>
      <w:r w:rsidRPr="007E1F0D">
        <w:rPr>
          <w:rFonts w:eastAsia="Times"/>
          <w:b w:val="0"/>
          <w:bCs/>
          <w:color w:val="C00000"/>
        </w:rPr>
        <w:t>s</w:t>
      </w:r>
      <w:bookmarkEnd w:id="63"/>
      <w:bookmarkEnd w:id="64"/>
    </w:p>
    <w:p w14:paraId="0D50D721" w14:textId="77777777" w:rsidR="007E1F0D" w:rsidRPr="007E1F0D" w:rsidRDefault="007E1F0D" w:rsidP="007E1F0D">
      <w:pPr>
        <w:pStyle w:val="Body"/>
      </w:pPr>
      <w:r w:rsidRPr="007E1F0D">
        <w:t xml:space="preserve">Allergic reactions should be reported if the most likely cause of the allergy is the transfusion. Consider other causes for the allergic reaction, for example drug reactions. </w:t>
      </w:r>
    </w:p>
    <w:p w14:paraId="7159B9DE" w14:textId="77777777" w:rsidR="007E1F0D" w:rsidRPr="007E1F0D" w:rsidRDefault="007E1F0D" w:rsidP="007E1F0D">
      <w:pPr>
        <w:pStyle w:val="Body"/>
      </w:pPr>
      <w:r w:rsidRPr="007E1F0D">
        <w:t xml:space="preserve">Moderate reactions, occurring within four hours of transfusion, without </w:t>
      </w:r>
      <w:r w:rsidRPr="007E1F0D">
        <w:rPr>
          <w:b/>
        </w:rPr>
        <w:t>evidence of significant</w:t>
      </w:r>
      <w:r w:rsidRPr="007E1F0D">
        <w:t xml:space="preserve"> hypotension, with:  </w:t>
      </w:r>
    </w:p>
    <w:p w14:paraId="1A3C7249" w14:textId="77777777" w:rsidR="007E1F0D" w:rsidRPr="007E1F0D" w:rsidRDefault="007E1F0D" w:rsidP="002B4EA7">
      <w:pPr>
        <w:pStyle w:val="Body"/>
        <w:numPr>
          <w:ilvl w:val="0"/>
          <w:numId w:val="15"/>
        </w:numPr>
        <w:spacing w:after="0"/>
        <w:ind w:left="714" w:hanging="357"/>
      </w:pPr>
      <w:r w:rsidRPr="007E1F0D">
        <w:t>allergic dyspnoea (wheeze)</w:t>
      </w:r>
    </w:p>
    <w:p w14:paraId="1BF91F15" w14:textId="77777777" w:rsidR="007E1F0D" w:rsidRPr="007E1F0D" w:rsidRDefault="007E1F0D" w:rsidP="002B4EA7">
      <w:pPr>
        <w:pStyle w:val="Body"/>
        <w:numPr>
          <w:ilvl w:val="0"/>
          <w:numId w:val="15"/>
        </w:numPr>
        <w:spacing w:after="0"/>
        <w:ind w:left="714" w:hanging="357"/>
      </w:pPr>
      <w:r w:rsidRPr="007E1F0D">
        <w:t>angioedema</w:t>
      </w:r>
    </w:p>
    <w:p w14:paraId="3F2A23D3" w14:textId="77777777" w:rsidR="007E1F0D" w:rsidRPr="007E1F0D" w:rsidRDefault="007E1F0D" w:rsidP="002B4EA7">
      <w:pPr>
        <w:pStyle w:val="Body"/>
        <w:numPr>
          <w:ilvl w:val="0"/>
          <w:numId w:val="15"/>
        </w:numPr>
        <w:spacing w:after="0"/>
        <w:ind w:left="714" w:hanging="357"/>
      </w:pPr>
      <w:r w:rsidRPr="007E1F0D">
        <w:t>urticaria</w:t>
      </w:r>
    </w:p>
    <w:p w14:paraId="4EAD1C29" w14:textId="77777777" w:rsidR="007E1F0D" w:rsidRPr="007E1F0D" w:rsidRDefault="007E1F0D" w:rsidP="002B4EA7">
      <w:pPr>
        <w:pStyle w:val="Body"/>
        <w:numPr>
          <w:ilvl w:val="0"/>
          <w:numId w:val="15"/>
        </w:numPr>
        <w:spacing w:after="0"/>
        <w:ind w:left="714" w:hanging="357"/>
      </w:pPr>
      <w:r w:rsidRPr="007E1F0D">
        <w:t>rash, accompanied by one or more of the above.</w:t>
      </w:r>
    </w:p>
    <w:p w14:paraId="00048D14" w14:textId="77777777" w:rsidR="007E1F0D" w:rsidRDefault="007E1F0D" w:rsidP="007E1F0D">
      <w:pPr>
        <w:pStyle w:val="Body"/>
        <w:rPr>
          <w:bCs/>
        </w:rPr>
      </w:pPr>
      <w:bookmarkStart w:id="65" w:name="_Toc275161942"/>
      <w:bookmarkStart w:id="66" w:name="_Toc275162033"/>
    </w:p>
    <w:p w14:paraId="39EA2503" w14:textId="2696BE05" w:rsidR="007E1F0D" w:rsidRPr="007E1F0D" w:rsidRDefault="007E1F0D" w:rsidP="007E1F0D">
      <w:pPr>
        <w:pStyle w:val="Body"/>
        <w:rPr>
          <w:bCs/>
        </w:rPr>
      </w:pPr>
      <w:r w:rsidRPr="007E1F0D">
        <w:rPr>
          <w:bCs/>
        </w:rPr>
        <w:t>In addition to the above signs and symptoms anaphylactoid/anaphylaxis reaction</w:t>
      </w:r>
      <w:bookmarkEnd w:id="65"/>
      <w:bookmarkEnd w:id="66"/>
      <w:r w:rsidRPr="007E1F0D">
        <w:rPr>
          <w:bCs/>
        </w:rPr>
        <w:t>s may also involve respiratory and/or cardiovascular signs or symptoms, occurring during, or within four hours of transfusion, and excluding any other identifiable cause. Signs and symptoms may include:</w:t>
      </w:r>
    </w:p>
    <w:p w14:paraId="669AC4BF" w14:textId="77777777" w:rsidR="007E1F0D" w:rsidRPr="007E1F0D" w:rsidRDefault="007E1F0D" w:rsidP="002B4EA7">
      <w:pPr>
        <w:pStyle w:val="Body"/>
        <w:numPr>
          <w:ilvl w:val="0"/>
          <w:numId w:val="17"/>
        </w:numPr>
        <w:spacing w:after="0"/>
        <w:ind w:left="714" w:hanging="357"/>
      </w:pPr>
      <w:r w:rsidRPr="007E1F0D">
        <w:t>hypotension (drop in systolic BP &gt; 30 mm Hg) or requiring vasopressor treatment</w:t>
      </w:r>
    </w:p>
    <w:p w14:paraId="5A7AB95D" w14:textId="77777777" w:rsidR="007E1F0D" w:rsidRPr="007E1F0D" w:rsidRDefault="007E1F0D" w:rsidP="002B4EA7">
      <w:pPr>
        <w:pStyle w:val="Body"/>
        <w:numPr>
          <w:ilvl w:val="0"/>
          <w:numId w:val="17"/>
        </w:numPr>
        <w:spacing w:after="0"/>
        <w:ind w:left="714" w:hanging="357"/>
      </w:pPr>
      <w:r w:rsidRPr="007E1F0D">
        <w:t>syncope or loss of consciousness</w:t>
      </w:r>
    </w:p>
    <w:p w14:paraId="312606CB" w14:textId="77777777" w:rsidR="007E1F0D" w:rsidRPr="007E1F0D" w:rsidRDefault="007E1F0D" w:rsidP="002B4EA7">
      <w:pPr>
        <w:pStyle w:val="Body"/>
        <w:numPr>
          <w:ilvl w:val="0"/>
          <w:numId w:val="17"/>
        </w:numPr>
        <w:spacing w:after="0"/>
        <w:ind w:left="714" w:hanging="357"/>
      </w:pPr>
      <w:r w:rsidRPr="007E1F0D">
        <w:t>laryngeal tightness or stridor</w:t>
      </w:r>
    </w:p>
    <w:p w14:paraId="1ADF63B4" w14:textId="77777777" w:rsidR="007E1F0D" w:rsidRPr="007E1F0D" w:rsidRDefault="007E1F0D" w:rsidP="002B4EA7">
      <w:pPr>
        <w:pStyle w:val="Body"/>
        <w:numPr>
          <w:ilvl w:val="0"/>
          <w:numId w:val="17"/>
        </w:numPr>
        <w:spacing w:after="0"/>
        <w:ind w:left="714" w:hanging="357"/>
      </w:pPr>
      <w:r w:rsidRPr="007E1F0D">
        <w:t>cough, wheeze or bronchospasm</w:t>
      </w:r>
    </w:p>
    <w:p w14:paraId="0700AE96" w14:textId="77777777" w:rsidR="007E1F0D" w:rsidRPr="007E1F0D" w:rsidRDefault="007E1F0D" w:rsidP="002B4EA7">
      <w:pPr>
        <w:pStyle w:val="Body"/>
        <w:numPr>
          <w:ilvl w:val="0"/>
          <w:numId w:val="17"/>
        </w:numPr>
        <w:spacing w:after="0"/>
        <w:ind w:left="714" w:hanging="357"/>
      </w:pPr>
      <w:r w:rsidRPr="007E1F0D">
        <w:t>hypoxemia</w:t>
      </w:r>
    </w:p>
    <w:p w14:paraId="40365AD4" w14:textId="77777777" w:rsidR="007E1F0D" w:rsidRPr="007E1F0D" w:rsidRDefault="007E1F0D" w:rsidP="007E1F0D">
      <w:pPr>
        <w:pStyle w:val="Body"/>
      </w:pPr>
      <w:r w:rsidRPr="007E1F0D">
        <w:t>(National Blood Authority Australia, 2015)</w:t>
      </w:r>
    </w:p>
    <w:p w14:paraId="4D4F3384" w14:textId="77777777" w:rsidR="007E1F0D" w:rsidRPr="007E1F0D" w:rsidRDefault="007E1F0D" w:rsidP="007E1F0D">
      <w:pPr>
        <w:pStyle w:val="Heading2"/>
        <w:rPr>
          <w:rFonts w:eastAsia="Times"/>
          <w:b w:val="0"/>
          <w:bCs/>
          <w:color w:val="C00000"/>
        </w:rPr>
      </w:pPr>
      <w:bookmarkStart w:id="67" w:name="_Toc275161943"/>
      <w:bookmarkStart w:id="68" w:name="_Toc275162034"/>
      <w:bookmarkStart w:id="69" w:name="_Toc44500268"/>
      <w:bookmarkStart w:id="70" w:name="_Toc109649970"/>
      <w:r w:rsidRPr="007E1F0D">
        <w:rPr>
          <w:rFonts w:eastAsia="Times"/>
          <w:b w:val="0"/>
          <w:bCs/>
          <w:color w:val="C00000"/>
        </w:rPr>
        <w:lastRenderedPageBreak/>
        <w:t>Acute haemolytic transfusion reaction (AHTR)</w:t>
      </w:r>
      <w:bookmarkEnd w:id="67"/>
      <w:bookmarkEnd w:id="68"/>
      <w:bookmarkEnd w:id="69"/>
      <w:bookmarkEnd w:id="70"/>
      <w:r w:rsidRPr="007E1F0D">
        <w:rPr>
          <w:rFonts w:eastAsia="Times"/>
          <w:b w:val="0"/>
          <w:bCs/>
          <w:color w:val="C00000"/>
        </w:rPr>
        <w:t xml:space="preserve"> </w:t>
      </w:r>
    </w:p>
    <w:p w14:paraId="7278305B" w14:textId="01521BFB" w:rsidR="007E1F0D" w:rsidRPr="007E1F0D" w:rsidRDefault="00DC7DCA" w:rsidP="007E1F0D">
      <w:pPr>
        <w:pStyle w:val="Body"/>
      </w:pPr>
      <w:r>
        <w:t>A</w:t>
      </w:r>
      <w:r w:rsidR="007E1F0D" w:rsidRPr="007E1F0D">
        <w:t>HTR is suspected if the patient has fever and other signs/symptoms of haemolysis (including dyspnoea, hypotension, tachycardia, back pain, dark urine) within 24 hours of transfusion confirmed by one or more of the following:</w:t>
      </w:r>
    </w:p>
    <w:p w14:paraId="07E4185C" w14:textId="77777777" w:rsidR="007E1F0D" w:rsidRPr="007E1F0D" w:rsidRDefault="007E1F0D" w:rsidP="002B4EA7">
      <w:pPr>
        <w:pStyle w:val="Body"/>
        <w:numPr>
          <w:ilvl w:val="0"/>
          <w:numId w:val="19"/>
        </w:numPr>
        <w:spacing w:after="0"/>
        <w:ind w:left="714" w:hanging="357"/>
      </w:pPr>
      <w:r w:rsidRPr="007E1F0D">
        <w:t>failure to achieve expected rise of the Hb post-transfusion or a drop in Hb &gt; 20g/L within 24 hours (excluding all causes for ongoing bleeding)</w:t>
      </w:r>
    </w:p>
    <w:p w14:paraId="54873A4B" w14:textId="77777777" w:rsidR="007E1F0D" w:rsidRPr="007E1F0D" w:rsidRDefault="007E1F0D" w:rsidP="002B4EA7">
      <w:pPr>
        <w:pStyle w:val="Body"/>
        <w:numPr>
          <w:ilvl w:val="0"/>
          <w:numId w:val="19"/>
        </w:numPr>
        <w:spacing w:after="0"/>
        <w:ind w:left="714" w:hanging="357"/>
      </w:pPr>
      <w:r w:rsidRPr="007E1F0D">
        <w:t>rise in lactate dehydrogenase (LDH) &gt; 50 per cent within 24 hours</w:t>
      </w:r>
    </w:p>
    <w:p w14:paraId="62D423EA" w14:textId="77777777" w:rsidR="007E1F0D" w:rsidRPr="007E1F0D" w:rsidRDefault="007E1F0D" w:rsidP="002B4EA7">
      <w:pPr>
        <w:pStyle w:val="Body"/>
        <w:numPr>
          <w:ilvl w:val="0"/>
          <w:numId w:val="19"/>
        </w:numPr>
        <w:spacing w:after="0"/>
        <w:ind w:left="714" w:hanging="357"/>
      </w:pPr>
      <w:r w:rsidRPr="007E1F0D">
        <w:t>rise in bilirubin, free haemoglobin (plasma or urine)</w:t>
      </w:r>
    </w:p>
    <w:p w14:paraId="7F72AB95" w14:textId="77777777" w:rsidR="007E1F0D" w:rsidRPr="007E1F0D" w:rsidRDefault="007E1F0D" w:rsidP="002B4EA7">
      <w:pPr>
        <w:pStyle w:val="Body"/>
        <w:numPr>
          <w:ilvl w:val="0"/>
          <w:numId w:val="19"/>
        </w:numPr>
        <w:spacing w:after="0"/>
        <w:ind w:left="714" w:hanging="357"/>
      </w:pPr>
      <w:r w:rsidRPr="007E1F0D">
        <w:t>positive direct antiglobulin test (DAT)</w:t>
      </w:r>
    </w:p>
    <w:p w14:paraId="6D2D82B0" w14:textId="77777777" w:rsidR="007E1F0D" w:rsidRPr="007E1F0D" w:rsidRDefault="007E1F0D" w:rsidP="002B4EA7">
      <w:pPr>
        <w:pStyle w:val="Body"/>
        <w:numPr>
          <w:ilvl w:val="0"/>
          <w:numId w:val="19"/>
        </w:numPr>
        <w:spacing w:after="0"/>
        <w:ind w:left="714" w:hanging="357"/>
      </w:pPr>
      <w:r w:rsidRPr="007E1F0D">
        <w:t>incompatible crossmatch</w:t>
      </w:r>
    </w:p>
    <w:p w14:paraId="05FB9B0B" w14:textId="77777777" w:rsidR="007E1F0D" w:rsidRPr="007E1F0D" w:rsidRDefault="007E1F0D" w:rsidP="007E1F0D">
      <w:pPr>
        <w:pStyle w:val="Body"/>
      </w:pPr>
      <w:r w:rsidRPr="007E1F0D">
        <w:t>(SHOT, 2019)</w:t>
      </w:r>
    </w:p>
    <w:p w14:paraId="2077A746" w14:textId="77777777" w:rsidR="007E1F0D" w:rsidRPr="007E1F0D" w:rsidRDefault="007E1F0D" w:rsidP="007E1F0D">
      <w:pPr>
        <w:pStyle w:val="Heading2"/>
        <w:rPr>
          <w:rFonts w:eastAsia="Times"/>
          <w:b w:val="0"/>
          <w:bCs/>
          <w:color w:val="C00000"/>
        </w:rPr>
      </w:pPr>
      <w:bookmarkStart w:id="71" w:name="_Toc44500269"/>
      <w:bookmarkStart w:id="72" w:name="_Toc109649971"/>
      <w:r w:rsidRPr="007E1F0D">
        <w:rPr>
          <w:rFonts w:eastAsia="Times"/>
          <w:b w:val="0"/>
          <w:bCs/>
          <w:color w:val="C00000"/>
        </w:rPr>
        <w:t>Hypotensive</w:t>
      </w:r>
      <w:bookmarkEnd w:id="71"/>
      <w:bookmarkEnd w:id="72"/>
    </w:p>
    <w:p w14:paraId="2958FDB3" w14:textId="77777777" w:rsidR="007E1F0D" w:rsidRPr="007E1F0D" w:rsidRDefault="007E1F0D" w:rsidP="007E1F0D">
      <w:pPr>
        <w:pStyle w:val="Body"/>
      </w:pPr>
      <w:r w:rsidRPr="007E1F0D">
        <w:t xml:space="preserve">Isolated fall in systolic BP of 30 mmHg or more occurring during or within one hour of completing transfusion AND a systolic BP 80mmHg or less in the absence of allergic or anaphylactic symptoms. </w:t>
      </w:r>
    </w:p>
    <w:p w14:paraId="56098AA0" w14:textId="77777777" w:rsidR="007E1F0D" w:rsidRPr="007E1F0D" w:rsidRDefault="007E1F0D" w:rsidP="007E1F0D">
      <w:pPr>
        <w:pStyle w:val="Body"/>
      </w:pPr>
      <w:r w:rsidRPr="007E1F0D">
        <w:t xml:space="preserve">More serious reactions might include hypotension, as previously defined, leading to shock (e.g. acidaemia, impairment of vital organ function) without allergic or inflammatory symptoms. </w:t>
      </w:r>
    </w:p>
    <w:p w14:paraId="47180AB8" w14:textId="77777777" w:rsidR="007E1F0D" w:rsidRPr="007E1F0D" w:rsidRDefault="007E1F0D" w:rsidP="007E1F0D">
      <w:pPr>
        <w:pStyle w:val="Heading2"/>
        <w:rPr>
          <w:rFonts w:eastAsia="Times"/>
          <w:b w:val="0"/>
          <w:bCs/>
          <w:color w:val="C00000"/>
        </w:rPr>
      </w:pPr>
      <w:bookmarkStart w:id="73" w:name="_Toc44500270"/>
      <w:bookmarkStart w:id="74" w:name="_Toc109649972"/>
      <w:r w:rsidRPr="007E1F0D">
        <w:rPr>
          <w:rFonts w:eastAsia="Times"/>
          <w:b w:val="0"/>
          <w:bCs/>
          <w:color w:val="C00000"/>
        </w:rPr>
        <w:t>Other</w:t>
      </w:r>
      <w:bookmarkEnd w:id="73"/>
      <w:bookmarkEnd w:id="74"/>
    </w:p>
    <w:p w14:paraId="00601295" w14:textId="77777777" w:rsidR="007E1F0D" w:rsidRPr="007E1F0D" w:rsidRDefault="007E1F0D" w:rsidP="007E1F0D">
      <w:pPr>
        <w:pStyle w:val="Body"/>
      </w:pPr>
      <w:r w:rsidRPr="007E1F0D">
        <w:t>Adverse effect or reaction that is temporally related to transfusion, which cannot be classified according to already defined reactions and with no other risk factor other than transfusion and no other explaining cause.</w:t>
      </w:r>
    </w:p>
    <w:p w14:paraId="00B59A86" w14:textId="6DA5E22A" w:rsidR="007E1F0D" w:rsidRDefault="007E1F0D" w:rsidP="007E1F0D">
      <w:pPr>
        <w:pStyle w:val="Body"/>
      </w:pPr>
      <w:r w:rsidRPr="007E1F0D">
        <w:t>(ISBT, 2011)</w:t>
      </w:r>
    </w:p>
    <w:p w14:paraId="0FE24EC3" w14:textId="77777777" w:rsidR="004801A4" w:rsidRPr="007E1F0D" w:rsidRDefault="004801A4" w:rsidP="007E1F0D">
      <w:pPr>
        <w:pStyle w:val="Body"/>
      </w:pPr>
    </w:p>
    <w:p w14:paraId="3D36F1BB" w14:textId="77777777" w:rsidR="004801A4" w:rsidRPr="004801A4" w:rsidRDefault="004801A4" w:rsidP="004801A4">
      <w:pPr>
        <w:pStyle w:val="Heading2"/>
        <w:rPr>
          <w:rFonts w:eastAsia="Times"/>
          <w:color w:val="C00000"/>
        </w:rPr>
      </w:pPr>
      <w:bookmarkStart w:id="75" w:name="_Toc275161944"/>
      <w:bookmarkStart w:id="76" w:name="_Toc275162035"/>
      <w:bookmarkStart w:id="77" w:name="_Toc44500271"/>
      <w:bookmarkStart w:id="78" w:name="_Toc109649973"/>
      <w:bookmarkStart w:id="79" w:name="_Hlk39570641"/>
      <w:r w:rsidRPr="004801A4">
        <w:rPr>
          <w:rFonts w:eastAsia="Times"/>
          <w:color w:val="C00000"/>
        </w:rPr>
        <w:t>Transfusion-associated circulatory overload (TACO)</w:t>
      </w:r>
      <w:bookmarkEnd w:id="75"/>
      <w:bookmarkEnd w:id="76"/>
      <w:bookmarkEnd w:id="77"/>
      <w:bookmarkEnd w:id="78"/>
    </w:p>
    <w:p w14:paraId="7FE46128" w14:textId="77777777" w:rsidR="004801A4" w:rsidRPr="004801A4" w:rsidRDefault="004801A4" w:rsidP="004801A4">
      <w:pPr>
        <w:pStyle w:val="Body"/>
      </w:pPr>
      <w:r w:rsidRPr="004801A4">
        <w:t>Cases of TACO reportable to STIR should demonstrate at least three of the following, occurring within six hours of transfusion. The three criteria should include at least one of the first two points:</w:t>
      </w:r>
    </w:p>
    <w:p w14:paraId="77702DA5" w14:textId="77777777" w:rsidR="004801A4" w:rsidRPr="004801A4" w:rsidRDefault="004801A4" w:rsidP="002B4EA7">
      <w:pPr>
        <w:pStyle w:val="Body"/>
        <w:numPr>
          <w:ilvl w:val="0"/>
          <w:numId w:val="20"/>
        </w:numPr>
        <w:spacing w:after="0"/>
        <w:ind w:hanging="357"/>
      </w:pPr>
      <w:r w:rsidRPr="004801A4">
        <w:t>Acute or worsening respiratory compromise and/or</w:t>
      </w:r>
    </w:p>
    <w:p w14:paraId="2594055C" w14:textId="77777777" w:rsidR="004801A4" w:rsidRPr="004801A4" w:rsidRDefault="004801A4" w:rsidP="002B4EA7">
      <w:pPr>
        <w:pStyle w:val="Body"/>
        <w:numPr>
          <w:ilvl w:val="0"/>
          <w:numId w:val="20"/>
        </w:numPr>
        <w:spacing w:after="0"/>
        <w:ind w:hanging="357"/>
      </w:pPr>
      <w:r w:rsidRPr="004801A4">
        <w:t>Evidence of acute or worsening pulmonary oedema based on:</w:t>
      </w:r>
    </w:p>
    <w:p w14:paraId="3A9E5BFC" w14:textId="77777777" w:rsidR="004801A4" w:rsidRPr="004801A4" w:rsidRDefault="004801A4" w:rsidP="002B4EA7">
      <w:pPr>
        <w:pStyle w:val="Body"/>
        <w:numPr>
          <w:ilvl w:val="1"/>
          <w:numId w:val="20"/>
        </w:numPr>
        <w:spacing w:after="0"/>
        <w:ind w:hanging="357"/>
      </w:pPr>
      <w:r w:rsidRPr="004801A4">
        <w:t>Clinical, physical examination and/or</w:t>
      </w:r>
    </w:p>
    <w:p w14:paraId="683BA9E9" w14:textId="77777777" w:rsidR="004801A4" w:rsidRPr="004801A4" w:rsidRDefault="004801A4" w:rsidP="002B4EA7">
      <w:pPr>
        <w:pStyle w:val="Body"/>
        <w:numPr>
          <w:ilvl w:val="1"/>
          <w:numId w:val="20"/>
        </w:numPr>
        <w:spacing w:after="0"/>
        <w:ind w:hanging="357"/>
      </w:pPr>
      <w:r w:rsidRPr="004801A4">
        <w:t>Radiographic chest imaging and/or other non-invasive assessment of cardiac function</w:t>
      </w:r>
    </w:p>
    <w:p w14:paraId="53F247E7" w14:textId="4B53A263" w:rsidR="004801A4" w:rsidRPr="004801A4" w:rsidRDefault="004801A4" w:rsidP="002B4EA7">
      <w:pPr>
        <w:pStyle w:val="Body"/>
        <w:numPr>
          <w:ilvl w:val="0"/>
          <w:numId w:val="21"/>
        </w:numPr>
        <w:spacing w:after="0"/>
        <w:ind w:hanging="357"/>
      </w:pPr>
      <w:r w:rsidRPr="004801A4">
        <w:t>Evidence of cardiovascular system changes not explained by the patients underlying medical condition, including development of tachycardia, hypertension, jugular venous distension, enlarged cardiac silhouette and/or peripheral oedema</w:t>
      </w:r>
    </w:p>
    <w:p w14:paraId="10BD5737" w14:textId="77777777" w:rsidR="004801A4" w:rsidRPr="004801A4" w:rsidRDefault="004801A4" w:rsidP="002B4EA7">
      <w:pPr>
        <w:pStyle w:val="Body"/>
        <w:numPr>
          <w:ilvl w:val="0"/>
          <w:numId w:val="21"/>
        </w:numPr>
        <w:spacing w:after="0"/>
        <w:ind w:hanging="357"/>
      </w:pPr>
      <w:r w:rsidRPr="004801A4">
        <w:t>Evidence of fluid overload, including any of the following: a positive fluid balance, clinical improvement following diuresis</w:t>
      </w:r>
    </w:p>
    <w:p w14:paraId="4AC79AD8" w14:textId="628980F6" w:rsidR="004801A4" w:rsidRPr="004801A4" w:rsidRDefault="004801A4" w:rsidP="002B4EA7">
      <w:pPr>
        <w:pStyle w:val="Body"/>
        <w:numPr>
          <w:ilvl w:val="0"/>
          <w:numId w:val="21"/>
        </w:numPr>
        <w:spacing w:after="0"/>
        <w:ind w:hanging="357"/>
      </w:pPr>
      <w:r w:rsidRPr="004801A4">
        <w:t>Supportive result of a relevant biomarker, e.g. an increase of B-type natriuretic peptide levels (BNP) or N-terminal-pro brain natriuretic peptide) NT-pro BNP to greater than 1.5 times the pre-transfusion value</w:t>
      </w:r>
      <w:r>
        <w:t>.</w:t>
      </w:r>
    </w:p>
    <w:p w14:paraId="668C1D58" w14:textId="77777777" w:rsidR="004801A4" w:rsidRPr="004801A4" w:rsidRDefault="004801A4" w:rsidP="004801A4">
      <w:pPr>
        <w:pStyle w:val="Body"/>
      </w:pPr>
      <w:r w:rsidRPr="004801A4">
        <w:t xml:space="preserve"> (SHOT, 2019)</w:t>
      </w:r>
    </w:p>
    <w:p w14:paraId="0A288E07" w14:textId="77777777" w:rsidR="004801A4" w:rsidRPr="004801A4" w:rsidRDefault="004801A4" w:rsidP="004801A4">
      <w:pPr>
        <w:pStyle w:val="Heading2"/>
        <w:rPr>
          <w:rFonts w:eastAsia="Times"/>
          <w:color w:val="C00000"/>
          <w:vertAlign w:val="superscript"/>
        </w:rPr>
      </w:pPr>
      <w:bookmarkStart w:id="80" w:name="_Toc275161945"/>
      <w:bookmarkStart w:id="81" w:name="_Toc275162036"/>
      <w:bookmarkStart w:id="82" w:name="_Toc44500272"/>
      <w:bookmarkStart w:id="83" w:name="_Toc109649974"/>
      <w:bookmarkEnd w:id="79"/>
      <w:r w:rsidRPr="004801A4">
        <w:rPr>
          <w:rFonts w:eastAsia="Times"/>
          <w:color w:val="C00000"/>
        </w:rPr>
        <w:lastRenderedPageBreak/>
        <w:t>Transfusion-related acute lung injury (TRALI)</w:t>
      </w:r>
      <w:bookmarkEnd w:id="80"/>
      <w:bookmarkEnd w:id="81"/>
      <w:bookmarkEnd w:id="82"/>
      <w:bookmarkEnd w:id="83"/>
    </w:p>
    <w:p w14:paraId="50DD563E" w14:textId="77777777" w:rsidR="004801A4" w:rsidRPr="004801A4" w:rsidRDefault="004801A4" w:rsidP="004801A4">
      <w:pPr>
        <w:pStyle w:val="Body"/>
      </w:pPr>
      <w:r w:rsidRPr="004801A4">
        <w:t xml:space="preserve">TRALI may be immune or non-immune mediated. Serological confirmation is not required for diagnosis. </w:t>
      </w:r>
    </w:p>
    <w:p w14:paraId="56426F19" w14:textId="77777777" w:rsidR="004801A4" w:rsidRPr="004801A4" w:rsidRDefault="004801A4" w:rsidP="004801A4">
      <w:pPr>
        <w:pStyle w:val="Body"/>
      </w:pPr>
      <w:bookmarkStart w:id="84" w:name="_Hlk37764139"/>
      <w:r w:rsidRPr="004801A4">
        <w:t>All cases of TRALI should be reported to Lifeblood at the first available opportunity to enable quarantine and testing of related components from the same donor to prevent potential reactions in other recipients.</w:t>
      </w:r>
    </w:p>
    <w:bookmarkEnd w:id="84"/>
    <w:p w14:paraId="4DAD0579" w14:textId="77777777" w:rsidR="004801A4" w:rsidRPr="004801A4" w:rsidRDefault="004801A4" w:rsidP="004801A4">
      <w:pPr>
        <w:pStyle w:val="Body"/>
      </w:pPr>
      <w:r w:rsidRPr="004801A4">
        <w:t>Clinical features of TRALI include:</w:t>
      </w:r>
    </w:p>
    <w:p w14:paraId="01B7C24F" w14:textId="77777777" w:rsidR="004801A4" w:rsidRPr="004801A4" w:rsidRDefault="004801A4" w:rsidP="002B4EA7">
      <w:pPr>
        <w:pStyle w:val="Body"/>
        <w:numPr>
          <w:ilvl w:val="0"/>
          <w:numId w:val="22"/>
        </w:numPr>
        <w:spacing w:after="0"/>
        <w:ind w:left="714" w:hanging="357"/>
      </w:pPr>
      <w:r w:rsidRPr="004801A4">
        <w:t xml:space="preserve">acute onset respiratory distress with hypoxia </w:t>
      </w:r>
    </w:p>
    <w:p w14:paraId="01A611E4" w14:textId="77777777" w:rsidR="004801A4" w:rsidRPr="004801A4" w:rsidRDefault="004801A4" w:rsidP="002B4EA7">
      <w:pPr>
        <w:pStyle w:val="Body"/>
        <w:numPr>
          <w:ilvl w:val="0"/>
          <w:numId w:val="22"/>
        </w:numPr>
        <w:spacing w:after="0"/>
        <w:ind w:left="714" w:hanging="357"/>
      </w:pPr>
      <w:r w:rsidRPr="004801A4">
        <w:t>bilateral pulmonary infiltrates, evidenced on radiology imaging</w:t>
      </w:r>
    </w:p>
    <w:p w14:paraId="5B090C5B" w14:textId="77777777" w:rsidR="004801A4" w:rsidRPr="004801A4" w:rsidRDefault="004801A4" w:rsidP="002B4EA7">
      <w:pPr>
        <w:pStyle w:val="Body"/>
        <w:numPr>
          <w:ilvl w:val="0"/>
          <w:numId w:val="22"/>
        </w:numPr>
        <w:spacing w:after="0"/>
        <w:ind w:left="714" w:hanging="357"/>
      </w:pPr>
      <w:r w:rsidRPr="004801A4">
        <w:t xml:space="preserve">occurs during or within six hours of transfusion </w:t>
      </w:r>
    </w:p>
    <w:p w14:paraId="052BD633" w14:textId="77777777" w:rsidR="004801A4" w:rsidRPr="004801A4" w:rsidRDefault="004801A4" w:rsidP="002B4EA7">
      <w:pPr>
        <w:pStyle w:val="Body"/>
        <w:numPr>
          <w:ilvl w:val="0"/>
          <w:numId w:val="22"/>
        </w:numPr>
        <w:spacing w:after="0"/>
        <w:ind w:left="714" w:hanging="357"/>
      </w:pPr>
      <w:r w:rsidRPr="004801A4">
        <w:t xml:space="preserve">no other apparent cause of acute lung injury (ALI) </w:t>
      </w:r>
    </w:p>
    <w:p w14:paraId="7DC50C69" w14:textId="77777777" w:rsidR="004801A4" w:rsidRPr="004801A4" w:rsidRDefault="004801A4" w:rsidP="002B4EA7">
      <w:pPr>
        <w:pStyle w:val="Body"/>
        <w:numPr>
          <w:ilvl w:val="0"/>
          <w:numId w:val="22"/>
        </w:numPr>
        <w:spacing w:after="0"/>
        <w:ind w:left="714" w:hanging="357"/>
      </w:pPr>
      <w:r w:rsidRPr="004801A4">
        <w:t>no evidence of TACO.</w:t>
      </w:r>
    </w:p>
    <w:p w14:paraId="0B7A0698" w14:textId="4AE5BD8B" w:rsidR="004801A4" w:rsidRDefault="004801A4" w:rsidP="004801A4">
      <w:pPr>
        <w:pStyle w:val="Body"/>
      </w:pPr>
      <w:r w:rsidRPr="004801A4">
        <w:t>(SHOT, 2019 and National Blood Authority Australia, 2015)</w:t>
      </w:r>
    </w:p>
    <w:p w14:paraId="6AA54FEA" w14:textId="77777777" w:rsidR="004801A4" w:rsidRPr="004801A4" w:rsidRDefault="004801A4" w:rsidP="004801A4">
      <w:pPr>
        <w:pStyle w:val="Body"/>
      </w:pPr>
    </w:p>
    <w:p w14:paraId="635B9ECD" w14:textId="77777777" w:rsidR="004801A4" w:rsidRPr="004801A4" w:rsidRDefault="004801A4" w:rsidP="004801A4">
      <w:pPr>
        <w:pStyle w:val="Heading2"/>
        <w:rPr>
          <w:rFonts w:eastAsia="Times"/>
          <w:color w:val="C00000"/>
        </w:rPr>
      </w:pPr>
      <w:bookmarkStart w:id="85" w:name="_Toc44500273"/>
      <w:bookmarkStart w:id="86" w:name="_Toc109649975"/>
      <w:r w:rsidRPr="004801A4">
        <w:rPr>
          <w:rFonts w:eastAsia="Times"/>
          <w:color w:val="C00000"/>
        </w:rPr>
        <w:t>Transfusion-associated dyspnoea (TAD)</w:t>
      </w:r>
      <w:bookmarkEnd w:id="85"/>
      <w:bookmarkEnd w:id="86"/>
    </w:p>
    <w:p w14:paraId="4CE81768" w14:textId="77777777" w:rsidR="004801A4" w:rsidRPr="004801A4" w:rsidRDefault="004801A4" w:rsidP="004801A4">
      <w:pPr>
        <w:pStyle w:val="Body"/>
      </w:pPr>
      <w:r w:rsidRPr="004801A4">
        <w:t xml:space="preserve">TAD is characterised by respiratory distress within 24 hours of transfusion that does not meet the criteria of TRALI, TACO, or allergic reaction. Respiratory distress, not explained by the patient’s underlying condition or any other known cause, is the most prominent clinical feature. </w:t>
      </w:r>
    </w:p>
    <w:p w14:paraId="7ED6D110" w14:textId="13D543F0" w:rsidR="004801A4" w:rsidRDefault="004801A4" w:rsidP="004801A4">
      <w:pPr>
        <w:pStyle w:val="Body"/>
      </w:pPr>
      <w:r w:rsidRPr="004801A4">
        <w:t>(NBA: Australian Haemovigilance Minimum Data Set, 2015; SHOT, 2019)</w:t>
      </w:r>
    </w:p>
    <w:p w14:paraId="779C04A8" w14:textId="77777777" w:rsidR="004801A4" w:rsidRPr="004801A4" w:rsidRDefault="004801A4" w:rsidP="004801A4">
      <w:pPr>
        <w:pStyle w:val="Body"/>
      </w:pPr>
    </w:p>
    <w:p w14:paraId="121F3C51" w14:textId="77777777" w:rsidR="004801A4" w:rsidRPr="004801A4" w:rsidRDefault="004801A4" w:rsidP="004801A4">
      <w:pPr>
        <w:pStyle w:val="Heading2"/>
        <w:rPr>
          <w:rFonts w:eastAsia="Times"/>
          <w:color w:val="C00000"/>
        </w:rPr>
      </w:pPr>
      <w:bookmarkStart w:id="87" w:name="_Toc275161946"/>
      <w:bookmarkStart w:id="88" w:name="_Toc275162037"/>
      <w:bookmarkStart w:id="89" w:name="_Toc44500274"/>
      <w:bookmarkStart w:id="90" w:name="_Toc109649976"/>
      <w:r w:rsidRPr="004801A4">
        <w:rPr>
          <w:rFonts w:eastAsia="Times"/>
          <w:color w:val="C00000"/>
        </w:rPr>
        <w:t>Delayed haemolytic transfusion reaction (DHTR)</w:t>
      </w:r>
      <w:bookmarkEnd w:id="87"/>
      <w:bookmarkEnd w:id="88"/>
      <w:bookmarkEnd w:id="89"/>
      <w:bookmarkEnd w:id="90"/>
    </w:p>
    <w:p w14:paraId="5359994F" w14:textId="77777777" w:rsidR="004801A4" w:rsidRPr="004801A4" w:rsidRDefault="004801A4" w:rsidP="004801A4">
      <w:pPr>
        <w:pStyle w:val="Body"/>
        <w:rPr>
          <w:bCs/>
        </w:rPr>
      </w:pPr>
      <w:r w:rsidRPr="004801A4">
        <w:rPr>
          <w:bCs/>
        </w:rPr>
        <w:t xml:space="preserve">Delayed haemolytic transfusion reaction occurs, </w:t>
      </w:r>
      <w:r w:rsidRPr="004801A4">
        <w:rPr>
          <w:b/>
          <w:bCs/>
        </w:rPr>
        <w:t xml:space="preserve">more than 24 hours to 3 months </w:t>
      </w:r>
      <w:r w:rsidRPr="004801A4">
        <w:rPr>
          <w:bCs/>
        </w:rPr>
        <w:t>after a transfusion.</w:t>
      </w:r>
    </w:p>
    <w:p w14:paraId="2F5B5A25" w14:textId="77777777" w:rsidR="004801A4" w:rsidRPr="004801A4" w:rsidRDefault="004801A4" w:rsidP="002B4EA7">
      <w:pPr>
        <w:pStyle w:val="Body"/>
        <w:numPr>
          <w:ilvl w:val="0"/>
          <w:numId w:val="24"/>
        </w:numPr>
        <w:rPr>
          <w:bCs/>
        </w:rPr>
      </w:pPr>
      <w:r w:rsidRPr="004801A4">
        <w:rPr>
          <w:bCs/>
        </w:rPr>
        <w:t>there is demonstration of clinically significant antibodies against red blood cells (as described in the ANZSBT guidelines for Transfusion and Immunohaematology Laboratory Practice, 1</w:t>
      </w:r>
      <w:r w:rsidRPr="004801A4">
        <w:rPr>
          <w:bCs/>
          <w:vertAlign w:val="superscript"/>
        </w:rPr>
        <w:t>st</w:t>
      </w:r>
      <w:r w:rsidRPr="004801A4">
        <w:rPr>
          <w:bCs/>
        </w:rPr>
        <w:t xml:space="preserve"> Edition, Revised January 2020) which were previously absent and </w:t>
      </w:r>
    </w:p>
    <w:p w14:paraId="5E9E0D3D" w14:textId="77777777" w:rsidR="004801A4" w:rsidRPr="004801A4" w:rsidRDefault="004801A4" w:rsidP="002B4EA7">
      <w:pPr>
        <w:pStyle w:val="Body"/>
        <w:numPr>
          <w:ilvl w:val="0"/>
          <w:numId w:val="24"/>
        </w:numPr>
        <w:rPr>
          <w:bCs/>
        </w:rPr>
      </w:pPr>
      <w:r w:rsidRPr="004801A4">
        <w:rPr>
          <w:bCs/>
        </w:rPr>
        <w:t xml:space="preserve">where </w:t>
      </w:r>
      <w:r w:rsidRPr="004801A4">
        <w:rPr>
          <w:b/>
          <w:bCs/>
        </w:rPr>
        <w:t>there are</w:t>
      </w:r>
      <w:r w:rsidRPr="004801A4">
        <w:rPr>
          <w:bCs/>
        </w:rPr>
        <w:t xml:space="preserve"> clinical and laboratory features of haemolysis. </w:t>
      </w:r>
    </w:p>
    <w:p w14:paraId="706EC828" w14:textId="77777777" w:rsidR="004801A4" w:rsidRPr="004801A4" w:rsidRDefault="004801A4" w:rsidP="004801A4">
      <w:pPr>
        <w:pStyle w:val="Body"/>
        <w:rPr>
          <w:bCs/>
        </w:rPr>
      </w:pPr>
      <w:r w:rsidRPr="004801A4">
        <w:rPr>
          <w:bCs/>
        </w:rPr>
        <w:t>If markers of increased red cell destruction are unavailable or not supportive of a haemolytic process, the event is classified as a delayed serologic transfusion reaction.</w:t>
      </w:r>
    </w:p>
    <w:p w14:paraId="65018F0E" w14:textId="090808AA" w:rsidR="004801A4" w:rsidRPr="004801A4" w:rsidRDefault="00543BBC" w:rsidP="004801A4">
      <w:pPr>
        <w:pStyle w:val="Body"/>
      </w:pPr>
      <w:r>
        <w:t>DHTR</w:t>
      </w:r>
      <w:r w:rsidR="004801A4" w:rsidRPr="004801A4">
        <w:t xml:space="preserve"> reaction may be confirmed by </w:t>
      </w:r>
      <w:r w:rsidR="004801A4" w:rsidRPr="004801A4">
        <w:rPr>
          <w:b/>
          <w:bCs/>
          <w:iCs/>
        </w:rPr>
        <w:t>one or</w:t>
      </w:r>
      <w:r w:rsidR="004801A4" w:rsidRPr="004801A4">
        <w:t xml:space="preserve"> </w:t>
      </w:r>
      <w:r w:rsidR="004801A4" w:rsidRPr="004801A4">
        <w:rPr>
          <w:b/>
          <w:bCs/>
          <w:iCs/>
        </w:rPr>
        <w:t xml:space="preserve">more </w:t>
      </w:r>
      <w:r w:rsidR="004801A4" w:rsidRPr="004801A4">
        <w:rPr>
          <w:bCs/>
          <w:iCs/>
        </w:rPr>
        <w:t>of the following:</w:t>
      </w:r>
    </w:p>
    <w:p w14:paraId="07D9F4EA" w14:textId="77777777" w:rsidR="004801A4" w:rsidRPr="004801A4" w:rsidRDefault="004801A4" w:rsidP="002B4EA7">
      <w:pPr>
        <w:pStyle w:val="Body"/>
        <w:numPr>
          <w:ilvl w:val="0"/>
          <w:numId w:val="23"/>
        </w:numPr>
        <w:spacing w:after="0"/>
        <w:ind w:left="714" w:hanging="357"/>
      </w:pPr>
      <w:r w:rsidRPr="004801A4">
        <w:t>a fall in Hb or failure to increment</w:t>
      </w:r>
    </w:p>
    <w:p w14:paraId="4F956CE7" w14:textId="77777777" w:rsidR="004801A4" w:rsidRPr="004801A4" w:rsidRDefault="004801A4" w:rsidP="002B4EA7">
      <w:pPr>
        <w:pStyle w:val="Body"/>
        <w:numPr>
          <w:ilvl w:val="0"/>
          <w:numId w:val="23"/>
        </w:numPr>
        <w:spacing w:after="0"/>
        <w:ind w:left="714" w:hanging="357"/>
      </w:pPr>
      <w:r w:rsidRPr="004801A4">
        <w:t>rise in bilirubin and LDH</w:t>
      </w:r>
    </w:p>
    <w:p w14:paraId="327FC717" w14:textId="77777777" w:rsidR="004801A4" w:rsidRPr="004801A4" w:rsidRDefault="004801A4" w:rsidP="002B4EA7">
      <w:pPr>
        <w:pStyle w:val="Body"/>
        <w:numPr>
          <w:ilvl w:val="0"/>
          <w:numId w:val="23"/>
        </w:numPr>
        <w:spacing w:after="0"/>
        <w:ind w:left="714" w:hanging="357"/>
      </w:pPr>
      <w:r w:rsidRPr="004801A4">
        <w:t>incompatible cross match not detectable pre-transfusion.</w:t>
      </w:r>
    </w:p>
    <w:p w14:paraId="6B0589C8" w14:textId="314C79E7" w:rsidR="004801A4" w:rsidRDefault="004801A4" w:rsidP="002B4EA7">
      <w:pPr>
        <w:pStyle w:val="Body"/>
        <w:spacing w:after="0"/>
      </w:pPr>
      <w:r w:rsidRPr="004801A4" w:rsidDel="00C80871">
        <w:t xml:space="preserve"> </w:t>
      </w:r>
      <w:r w:rsidRPr="004801A4">
        <w:t>(SHOT, 2019 and Australian Red Cross Lifeblood, 2018)</w:t>
      </w:r>
    </w:p>
    <w:p w14:paraId="5DED5CB9" w14:textId="77777777" w:rsidR="004801A4" w:rsidRPr="004801A4" w:rsidRDefault="004801A4" w:rsidP="004801A4">
      <w:pPr>
        <w:pStyle w:val="Body"/>
      </w:pPr>
    </w:p>
    <w:p w14:paraId="4E83A1FC" w14:textId="77777777" w:rsidR="004801A4" w:rsidRPr="004801A4" w:rsidRDefault="004801A4" w:rsidP="004801A4">
      <w:pPr>
        <w:pStyle w:val="Heading2"/>
        <w:rPr>
          <w:rFonts w:eastAsia="Times"/>
          <w:color w:val="C00000"/>
        </w:rPr>
      </w:pPr>
      <w:bookmarkStart w:id="91" w:name="_Toc44500275"/>
      <w:bookmarkStart w:id="92" w:name="_Toc109649977"/>
      <w:r w:rsidRPr="004801A4">
        <w:rPr>
          <w:rFonts w:eastAsia="Times"/>
          <w:color w:val="C00000"/>
        </w:rPr>
        <w:t>Delayed serological transfusion reaction (DSTR)</w:t>
      </w:r>
      <w:bookmarkEnd w:id="91"/>
      <w:bookmarkEnd w:id="92"/>
    </w:p>
    <w:p w14:paraId="2AEA22C8" w14:textId="77777777" w:rsidR="004801A4" w:rsidRPr="004801A4" w:rsidRDefault="004801A4" w:rsidP="004801A4">
      <w:pPr>
        <w:pStyle w:val="Body"/>
        <w:rPr>
          <w:bCs/>
        </w:rPr>
      </w:pPr>
      <w:r w:rsidRPr="004801A4">
        <w:rPr>
          <w:bCs/>
        </w:rPr>
        <w:t xml:space="preserve">Delayed serologic transfusion reaction occurs, </w:t>
      </w:r>
      <w:r w:rsidRPr="004801A4">
        <w:rPr>
          <w:b/>
          <w:bCs/>
        </w:rPr>
        <w:t>within 24 hours to 3 months</w:t>
      </w:r>
      <w:r w:rsidRPr="004801A4">
        <w:rPr>
          <w:bCs/>
        </w:rPr>
        <w:t>, after a transfusion.</w:t>
      </w:r>
    </w:p>
    <w:p w14:paraId="73450B26" w14:textId="77777777" w:rsidR="004801A4" w:rsidRPr="004801A4" w:rsidRDefault="004801A4" w:rsidP="002B4EA7">
      <w:pPr>
        <w:pStyle w:val="Body"/>
        <w:numPr>
          <w:ilvl w:val="0"/>
          <w:numId w:val="25"/>
        </w:numPr>
        <w:spacing w:after="0"/>
        <w:ind w:left="714" w:hanging="357"/>
      </w:pPr>
      <w:r w:rsidRPr="004801A4">
        <w:rPr>
          <w:bCs/>
        </w:rPr>
        <w:lastRenderedPageBreak/>
        <w:t>there is demonstration of clinically significant antibodies against red blood cells (as described in the ANZSBT guidelines for Transfusion and Immunohaematology Laboratory Practice, 1</w:t>
      </w:r>
      <w:r w:rsidRPr="004801A4">
        <w:rPr>
          <w:bCs/>
          <w:vertAlign w:val="superscript"/>
        </w:rPr>
        <w:t>st</w:t>
      </w:r>
      <w:r w:rsidRPr="004801A4">
        <w:rPr>
          <w:bCs/>
        </w:rPr>
        <w:t xml:space="preserve"> Edition, Revised January 2020) which were previously absent and </w:t>
      </w:r>
    </w:p>
    <w:p w14:paraId="3AC9AF5C" w14:textId="77777777" w:rsidR="004801A4" w:rsidRPr="004801A4" w:rsidRDefault="004801A4" w:rsidP="002B4EA7">
      <w:pPr>
        <w:pStyle w:val="Body"/>
        <w:numPr>
          <w:ilvl w:val="0"/>
          <w:numId w:val="25"/>
        </w:numPr>
        <w:spacing w:after="0"/>
        <w:ind w:left="714" w:hanging="357"/>
      </w:pPr>
      <w:r w:rsidRPr="004801A4">
        <w:rPr>
          <w:bCs/>
        </w:rPr>
        <w:t xml:space="preserve">where </w:t>
      </w:r>
      <w:r w:rsidRPr="004801A4">
        <w:rPr>
          <w:b/>
          <w:bCs/>
        </w:rPr>
        <w:t>there are</w:t>
      </w:r>
      <w:r w:rsidRPr="004801A4">
        <w:rPr>
          <w:bCs/>
        </w:rPr>
        <w:t xml:space="preserve"> </w:t>
      </w:r>
      <w:r w:rsidRPr="004801A4">
        <w:rPr>
          <w:b/>
          <w:bCs/>
        </w:rPr>
        <w:t>no</w:t>
      </w:r>
      <w:r w:rsidRPr="004801A4">
        <w:rPr>
          <w:bCs/>
        </w:rPr>
        <w:t xml:space="preserve"> clinical or laboratory features of haemolysis. This term is synonymous with alloimmunisation.</w:t>
      </w:r>
    </w:p>
    <w:p w14:paraId="66592E51" w14:textId="77777777" w:rsidR="004801A4" w:rsidRPr="004801A4" w:rsidRDefault="004801A4" w:rsidP="004801A4">
      <w:pPr>
        <w:pStyle w:val="Body"/>
      </w:pPr>
      <w:r w:rsidRPr="004801A4">
        <w:t>(NBA: Australian Haemovigilance Minimum Data Set, 2015)</w:t>
      </w:r>
    </w:p>
    <w:p w14:paraId="40CC0685" w14:textId="2255AC41" w:rsidR="004801A4" w:rsidRDefault="004801A4" w:rsidP="007E1F0D">
      <w:pPr>
        <w:pStyle w:val="Body"/>
      </w:pPr>
    </w:p>
    <w:p w14:paraId="50E6F565" w14:textId="77777777" w:rsidR="002B4EA7" w:rsidRPr="002B4EA7" w:rsidRDefault="002B4EA7" w:rsidP="002B4EA7">
      <w:pPr>
        <w:pStyle w:val="Heading2"/>
        <w:rPr>
          <w:rFonts w:eastAsia="Times"/>
          <w:color w:val="C00000"/>
        </w:rPr>
      </w:pPr>
      <w:bookmarkStart w:id="93" w:name="_Toc44500276"/>
      <w:bookmarkStart w:id="94" w:name="_Toc109649978"/>
      <w:r w:rsidRPr="002B4EA7">
        <w:rPr>
          <w:rFonts w:eastAsia="Times"/>
          <w:color w:val="C00000"/>
        </w:rPr>
        <w:t>RhD isoimmunisation</w:t>
      </w:r>
      <w:bookmarkEnd w:id="93"/>
      <w:bookmarkEnd w:id="94"/>
    </w:p>
    <w:p w14:paraId="4761167B" w14:textId="77777777" w:rsidR="002B4EA7" w:rsidRPr="002B4EA7" w:rsidRDefault="002B4EA7" w:rsidP="002B4EA7">
      <w:pPr>
        <w:pStyle w:val="Body"/>
      </w:pPr>
      <w:r w:rsidRPr="002B4EA7">
        <w:t>Cases of RhD-negative women who become sensitised and are found to have developed immune anti-D, which is detected during pregnancy, either at booking or later in the pregnancy, or following and attributable to pregnancy.</w:t>
      </w:r>
    </w:p>
    <w:p w14:paraId="72A85103" w14:textId="77777777" w:rsidR="002B4EA7" w:rsidRPr="002B4EA7" w:rsidRDefault="002B4EA7" w:rsidP="002B4EA7">
      <w:pPr>
        <w:pStyle w:val="Body"/>
      </w:pPr>
      <w:r w:rsidRPr="002B4EA7">
        <w:t>(SHOT, 2019)</w:t>
      </w:r>
    </w:p>
    <w:p w14:paraId="3E38C23F" w14:textId="77777777" w:rsidR="002B4EA7" w:rsidRPr="002B4EA7" w:rsidRDefault="002B4EA7" w:rsidP="002B4EA7">
      <w:pPr>
        <w:pStyle w:val="Body"/>
      </w:pPr>
    </w:p>
    <w:p w14:paraId="2280C2EE" w14:textId="77777777" w:rsidR="002B4EA7" w:rsidRPr="002B4EA7" w:rsidRDefault="002B4EA7" w:rsidP="002B4EA7">
      <w:pPr>
        <w:pStyle w:val="Heading2"/>
        <w:rPr>
          <w:rFonts w:eastAsia="Times"/>
          <w:color w:val="C00000"/>
          <w:vertAlign w:val="superscript"/>
        </w:rPr>
      </w:pPr>
      <w:bookmarkStart w:id="95" w:name="_Toc275161947"/>
      <w:bookmarkStart w:id="96" w:name="_Toc275162038"/>
      <w:bookmarkStart w:id="97" w:name="_Toc44500277"/>
      <w:bookmarkStart w:id="98" w:name="_Toc109649979"/>
      <w:r w:rsidRPr="002B4EA7">
        <w:rPr>
          <w:rFonts w:eastAsia="Times"/>
          <w:color w:val="C00000"/>
        </w:rPr>
        <w:t>Transfusion-associated graft-versus-host disease (TA-GVHD)</w:t>
      </w:r>
      <w:bookmarkEnd w:id="95"/>
      <w:bookmarkEnd w:id="96"/>
      <w:bookmarkEnd w:id="97"/>
      <w:bookmarkEnd w:id="98"/>
    </w:p>
    <w:p w14:paraId="40C2E859" w14:textId="77777777" w:rsidR="002B4EA7" w:rsidRPr="002B4EA7" w:rsidRDefault="002B4EA7" w:rsidP="002B4EA7">
      <w:pPr>
        <w:pStyle w:val="Body"/>
      </w:pPr>
      <w:r w:rsidRPr="002B4EA7">
        <w:t xml:space="preserve">The development of the classical symptoms of fever, rash, liver dysfunction, diarrhoea, pancytopenia and bone marrow aplasia occurring less than 30 days (median 8-10 days post transfusion) following transfusion, without other apparent cause. </w:t>
      </w:r>
    </w:p>
    <w:p w14:paraId="1058678A" w14:textId="77777777" w:rsidR="002B4EA7" w:rsidRPr="002B4EA7" w:rsidRDefault="002B4EA7" w:rsidP="002B4EA7">
      <w:pPr>
        <w:pStyle w:val="Body"/>
      </w:pPr>
      <w:r w:rsidRPr="002B4EA7">
        <w:t xml:space="preserve">The diagnosis is supported by skin/bone marrow biopsy appearances and the presence of circulating donor lymphocytes. </w:t>
      </w:r>
    </w:p>
    <w:p w14:paraId="2A88DE5E" w14:textId="77777777" w:rsidR="002B4EA7" w:rsidRPr="002B4EA7" w:rsidRDefault="002B4EA7" w:rsidP="002B4EA7">
      <w:pPr>
        <w:pStyle w:val="Body"/>
      </w:pPr>
      <w:r w:rsidRPr="002B4EA7">
        <w:t>Cases with a very high index of clinical suspicion should also be reported.</w:t>
      </w:r>
    </w:p>
    <w:p w14:paraId="5FC78FB1" w14:textId="6B2107DD" w:rsidR="002B4EA7" w:rsidRDefault="002B4EA7" w:rsidP="002B4EA7">
      <w:pPr>
        <w:pStyle w:val="Body"/>
      </w:pPr>
      <w:r w:rsidRPr="002B4EA7">
        <w:t>(SHOT, 2019)</w:t>
      </w:r>
    </w:p>
    <w:p w14:paraId="6D37A0F1" w14:textId="77777777" w:rsidR="002B4EA7" w:rsidRPr="002B4EA7" w:rsidRDefault="002B4EA7" w:rsidP="002B4EA7">
      <w:pPr>
        <w:pStyle w:val="Body"/>
      </w:pPr>
    </w:p>
    <w:p w14:paraId="05E06773" w14:textId="77777777" w:rsidR="002B4EA7" w:rsidRPr="002B4EA7" w:rsidRDefault="002B4EA7" w:rsidP="002B4EA7">
      <w:pPr>
        <w:pStyle w:val="Heading2"/>
        <w:rPr>
          <w:rFonts w:eastAsia="Times"/>
          <w:color w:val="C00000"/>
          <w:vertAlign w:val="superscript"/>
        </w:rPr>
      </w:pPr>
      <w:bookmarkStart w:id="99" w:name="_Toc275161948"/>
      <w:bookmarkStart w:id="100" w:name="_Toc275162039"/>
      <w:bookmarkStart w:id="101" w:name="_Toc44500278"/>
      <w:bookmarkStart w:id="102" w:name="_Toc109649980"/>
      <w:r w:rsidRPr="002B4EA7">
        <w:rPr>
          <w:rFonts w:eastAsia="Times"/>
          <w:color w:val="C00000"/>
        </w:rPr>
        <w:t>Post-transfusion purpura (PTP)</w:t>
      </w:r>
      <w:bookmarkEnd w:id="99"/>
      <w:bookmarkEnd w:id="100"/>
      <w:bookmarkEnd w:id="101"/>
      <w:bookmarkEnd w:id="102"/>
    </w:p>
    <w:p w14:paraId="0CED5AB5" w14:textId="77777777" w:rsidR="002B4EA7" w:rsidRPr="002B4EA7" w:rsidRDefault="002B4EA7" w:rsidP="002B4EA7">
      <w:pPr>
        <w:pStyle w:val="Body"/>
      </w:pPr>
      <w:r w:rsidRPr="002B4EA7">
        <w:t>PTP is characterised by sudden and self-limiting thrombocytopenia (typically platelet counts &lt; 10 x 10</w:t>
      </w:r>
      <w:r w:rsidRPr="002B4EA7">
        <w:rPr>
          <w:vertAlign w:val="superscript"/>
        </w:rPr>
        <w:t>9</w:t>
      </w:r>
      <w:r w:rsidRPr="002B4EA7">
        <w:t xml:space="preserve">/L) arising seven to ten days following transfusion of red cells or platelets. It is associated with the presence of antibodies directed against the human platelet antigen (HPA) system. </w:t>
      </w:r>
    </w:p>
    <w:p w14:paraId="08BD8083" w14:textId="77777777" w:rsidR="002B4EA7" w:rsidRPr="002B4EA7" w:rsidRDefault="002B4EA7" w:rsidP="002B4EA7">
      <w:pPr>
        <w:pStyle w:val="Body"/>
      </w:pPr>
      <w:r w:rsidRPr="002B4EA7">
        <w:t>Report cases where the platelet count drops &gt;50% following transfusion and there is a demonstrable antiplatelet antibody in the patient’s plasma.</w:t>
      </w:r>
    </w:p>
    <w:p w14:paraId="68F7E240" w14:textId="53A08C14" w:rsidR="002B4EA7" w:rsidRDefault="002B4EA7" w:rsidP="002B4EA7">
      <w:pPr>
        <w:pStyle w:val="Body"/>
      </w:pPr>
      <w:r w:rsidRPr="002B4EA7">
        <w:t>(SHOT, 2019)</w:t>
      </w:r>
    </w:p>
    <w:p w14:paraId="1C0ED463" w14:textId="77777777" w:rsidR="002B4EA7" w:rsidRPr="002B4EA7" w:rsidRDefault="002B4EA7" w:rsidP="002B4EA7">
      <w:pPr>
        <w:pStyle w:val="Body"/>
      </w:pPr>
    </w:p>
    <w:p w14:paraId="08AFA817" w14:textId="77777777" w:rsidR="002B4EA7" w:rsidRPr="002B4EA7" w:rsidRDefault="002B4EA7" w:rsidP="002B4EA7">
      <w:pPr>
        <w:pStyle w:val="Heading2"/>
        <w:rPr>
          <w:rFonts w:eastAsia="Times"/>
          <w:color w:val="C00000"/>
          <w:vertAlign w:val="superscript"/>
        </w:rPr>
      </w:pPr>
      <w:bookmarkStart w:id="103" w:name="_Toc275161949"/>
      <w:bookmarkStart w:id="104" w:name="_Toc275162040"/>
      <w:bookmarkStart w:id="105" w:name="_Toc44500279"/>
      <w:bookmarkStart w:id="106" w:name="_Toc109649981"/>
      <w:r w:rsidRPr="002B4EA7">
        <w:rPr>
          <w:rFonts w:eastAsia="Times"/>
          <w:color w:val="C00000"/>
        </w:rPr>
        <w:t>Transfusion-transmitted infections (TTI)</w:t>
      </w:r>
      <w:bookmarkEnd w:id="103"/>
      <w:bookmarkEnd w:id="104"/>
      <w:bookmarkEnd w:id="105"/>
      <w:bookmarkEnd w:id="106"/>
    </w:p>
    <w:p w14:paraId="55D030FA" w14:textId="77777777" w:rsidR="002B4EA7" w:rsidRPr="002B4EA7" w:rsidRDefault="002B4EA7" w:rsidP="002B4EA7">
      <w:pPr>
        <w:pStyle w:val="Body"/>
      </w:pPr>
      <w:r w:rsidRPr="002B4EA7">
        <w:t>All cases of TTI should be reported to Lifeblood at the first available opportunity to enable quarantine and testing of related components from the same donor to prevent potential reactions in other recipients.</w:t>
      </w:r>
    </w:p>
    <w:p w14:paraId="2EF3D09F" w14:textId="77777777" w:rsidR="002B4EA7" w:rsidRPr="002B4EA7" w:rsidRDefault="002B4EA7" w:rsidP="002B4EA7">
      <w:pPr>
        <w:pStyle w:val="Body"/>
        <w:rPr>
          <w:lang w:val="en"/>
        </w:rPr>
      </w:pPr>
      <w:r w:rsidRPr="002B4EA7">
        <w:rPr>
          <w:lang w:val="en"/>
        </w:rPr>
        <w:t xml:space="preserve">A TTI should be reported where: </w:t>
      </w:r>
    </w:p>
    <w:p w14:paraId="5A972985" w14:textId="77777777" w:rsidR="002B4EA7" w:rsidRPr="002B4EA7" w:rsidRDefault="002B4EA7" w:rsidP="002B4EA7">
      <w:pPr>
        <w:pStyle w:val="Body"/>
        <w:numPr>
          <w:ilvl w:val="0"/>
          <w:numId w:val="26"/>
        </w:numPr>
        <w:spacing w:after="0"/>
        <w:ind w:left="714" w:hanging="357"/>
        <w:rPr>
          <w:lang w:val="en"/>
        </w:rPr>
      </w:pPr>
      <w:r w:rsidRPr="002B4EA7">
        <w:rPr>
          <w:lang w:val="en"/>
        </w:rPr>
        <w:lastRenderedPageBreak/>
        <w:t>the recipient has evidence of infection post transfusion and there was no evidence of infection with the agent of infection prior to transfusion and:</w:t>
      </w:r>
    </w:p>
    <w:p w14:paraId="7420B146" w14:textId="77777777" w:rsidR="002B4EA7" w:rsidRPr="002B4EA7" w:rsidRDefault="002B4EA7" w:rsidP="002B4EA7">
      <w:pPr>
        <w:pStyle w:val="Body"/>
        <w:numPr>
          <w:ilvl w:val="0"/>
          <w:numId w:val="26"/>
        </w:numPr>
        <w:spacing w:after="0"/>
        <w:ind w:left="714" w:hanging="357"/>
        <w:rPr>
          <w:lang w:val="en"/>
        </w:rPr>
      </w:pPr>
      <w:r w:rsidRPr="002B4EA7">
        <w:rPr>
          <w:lang w:val="en"/>
        </w:rPr>
        <w:t xml:space="preserve">at least one component received by the recipient was donated by a donor who had evidence of the same transmissible infection, </w:t>
      </w:r>
      <w:r w:rsidRPr="002B4EA7">
        <w:rPr>
          <w:b/>
          <w:lang w:val="en"/>
        </w:rPr>
        <w:t>or</w:t>
      </w:r>
      <w:r w:rsidRPr="002B4EA7">
        <w:rPr>
          <w:lang w:val="en"/>
        </w:rPr>
        <w:t xml:space="preserve"> </w:t>
      </w:r>
    </w:p>
    <w:p w14:paraId="253DC218" w14:textId="77777777" w:rsidR="002B4EA7" w:rsidRPr="002B4EA7" w:rsidRDefault="002B4EA7" w:rsidP="002B4EA7">
      <w:pPr>
        <w:pStyle w:val="Body"/>
        <w:numPr>
          <w:ilvl w:val="0"/>
          <w:numId w:val="26"/>
        </w:numPr>
        <w:spacing w:after="0"/>
        <w:ind w:left="714" w:hanging="357"/>
        <w:rPr>
          <w:lang w:val="en"/>
        </w:rPr>
      </w:pPr>
      <w:r w:rsidRPr="002B4EA7">
        <w:rPr>
          <w:lang w:val="en"/>
        </w:rPr>
        <w:t>at least one component received by the recipient was shown to have been contaminated with the agent of infection.</w:t>
      </w:r>
      <w:r w:rsidRPr="002B4EA7">
        <w:t xml:space="preserve"> </w:t>
      </w:r>
    </w:p>
    <w:p w14:paraId="4D4BC957" w14:textId="77777777" w:rsidR="002B4EA7" w:rsidRPr="002B4EA7" w:rsidRDefault="002B4EA7" w:rsidP="002B4EA7">
      <w:pPr>
        <w:pStyle w:val="Body"/>
        <w:rPr>
          <w:lang w:val="en"/>
        </w:rPr>
      </w:pPr>
    </w:p>
    <w:p w14:paraId="6F77F867" w14:textId="77777777" w:rsidR="002B4EA7" w:rsidRPr="002B4EA7" w:rsidRDefault="002B4EA7" w:rsidP="002B4EA7">
      <w:pPr>
        <w:pStyle w:val="Body"/>
        <w:rPr>
          <w:lang w:val="en"/>
        </w:rPr>
      </w:pPr>
      <w:r w:rsidRPr="002B4EA7">
        <w:t>The bacterial/other infections form is used for reporting all bacterial, parasitic (such as malaria) or other infections, not including serious viral infections.</w:t>
      </w:r>
    </w:p>
    <w:p w14:paraId="6881738A" w14:textId="77777777" w:rsidR="002B4EA7" w:rsidRPr="002B4EA7" w:rsidRDefault="002B4EA7" w:rsidP="002B4EA7">
      <w:pPr>
        <w:pStyle w:val="Body"/>
      </w:pPr>
      <w:r w:rsidRPr="002B4EA7">
        <w:t xml:space="preserve">The viral infection form is used for reporting viral infections, such as HIV, hepatitis or CMV. </w:t>
      </w:r>
    </w:p>
    <w:p w14:paraId="4BBDF182" w14:textId="3192C0A4" w:rsidR="002B4EA7" w:rsidRDefault="002B4EA7" w:rsidP="002B4EA7">
      <w:pPr>
        <w:pStyle w:val="Body"/>
      </w:pPr>
      <w:r w:rsidRPr="002B4EA7">
        <w:rPr>
          <w:b/>
        </w:rPr>
        <w:t>NOTE</w:t>
      </w:r>
      <w:r w:rsidRPr="002B4EA7">
        <w:t>: All suspected cases of TTI should be reported to Lifeblood as soon as possible, even before final cultures are available.</w:t>
      </w:r>
    </w:p>
    <w:p w14:paraId="65F523F9" w14:textId="087203D7" w:rsidR="003C414C" w:rsidRDefault="003C414C" w:rsidP="002B4EA7">
      <w:pPr>
        <w:pStyle w:val="Body"/>
      </w:pPr>
    </w:p>
    <w:p w14:paraId="190A16AA" w14:textId="3616A6DA" w:rsidR="003C414C" w:rsidRDefault="003C414C" w:rsidP="002B4EA7">
      <w:pPr>
        <w:pStyle w:val="Body"/>
      </w:pPr>
    </w:p>
    <w:p w14:paraId="1E0BD43C" w14:textId="3A776605" w:rsidR="003C414C" w:rsidRDefault="003C414C" w:rsidP="002B4EA7">
      <w:pPr>
        <w:pStyle w:val="Body"/>
      </w:pPr>
    </w:p>
    <w:p w14:paraId="1191ADF4" w14:textId="1D8312EB" w:rsidR="003C414C" w:rsidRDefault="003C414C" w:rsidP="002B4EA7">
      <w:pPr>
        <w:pStyle w:val="Body"/>
      </w:pPr>
    </w:p>
    <w:p w14:paraId="487971D9" w14:textId="1AC483CE" w:rsidR="003C414C" w:rsidRDefault="003C414C" w:rsidP="002B4EA7">
      <w:pPr>
        <w:pStyle w:val="Body"/>
      </w:pPr>
    </w:p>
    <w:p w14:paraId="00013BF9" w14:textId="40A39A83" w:rsidR="003C414C" w:rsidRDefault="003C414C" w:rsidP="002B4EA7">
      <w:pPr>
        <w:pStyle w:val="Body"/>
      </w:pPr>
    </w:p>
    <w:p w14:paraId="5F6B7BF7" w14:textId="7A431615" w:rsidR="003C414C" w:rsidRDefault="003C414C" w:rsidP="002B4EA7">
      <w:pPr>
        <w:pStyle w:val="Body"/>
      </w:pPr>
    </w:p>
    <w:p w14:paraId="7AB31D3C" w14:textId="00480EAF" w:rsidR="003C414C" w:rsidRDefault="003C414C" w:rsidP="002B4EA7">
      <w:pPr>
        <w:pStyle w:val="Body"/>
      </w:pPr>
    </w:p>
    <w:p w14:paraId="6767F436" w14:textId="327051E0" w:rsidR="003C414C" w:rsidRDefault="003C414C" w:rsidP="002B4EA7">
      <w:pPr>
        <w:pStyle w:val="Body"/>
      </w:pPr>
    </w:p>
    <w:p w14:paraId="1A01DF43" w14:textId="487BDFBC" w:rsidR="003C414C" w:rsidRDefault="003C414C" w:rsidP="002B4EA7">
      <w:pPr>
        <w:pStyle w:val="Body"/>
      </w:pPr>
    </w:p>
    <w:p w14:paraId="5343096F" w14:textId="0EAA0219" w:rsidR="003C414C" w:rsidRDefault="003C414C" w:rsidP="002B4EA7">
      <w:pPr>
        <w:pStyle w:val="Body"/>
      </w:pPr>
    </w:p>
    <w:p w14:paraId="2B1F36C0" w14:textId="3F8FFB66" w:rsidR="003C414C" w:rsidRDefault="003C414C" w:rsidP="002B4EA7">
      <w:pPr>
        <w:pStyle w:val="Body"/>
      </w:pPr>
    </w:p>
    <w:p w14:paraId="11AC4289" w14:textId="18814A61" w:rsidR="003C414C" w:rsidRDefault="003C414C" w:rsidP="002B4EA7">
      <w:pPr>
        <w:pStyle w:val="Body"/>
      </w:pPr>
    </w:p>
    <w:p w14:paraId="330F1F17" w14:textId="66288381" w:rsidR="003C414C" w:rsidRDefault="003C414C" w:rsidP="002B4EA7">
      <w:pPr>
        <w:pStyle w:val="Body"/>
      </w:pPr>
    </w:p>
    <w:p w14:paraId="3B49D703" w14:textId="1ACA5E31" w:rsidR="003C414C" w:rsidRDefault="003C414C" w:rsidP="002B4EA7">
      <w:pPr>
        <w:pStyle w:val="Body"/>
      </w:pPr>
    </w:p>
    <w:p w14:paraId="608C37F2" w14:textId="695CA3A2" w:rsidR="003C414C" w:rsidRDefault="003C414C" w:rsidP="002B4EA7">
      <w:pPr>
        <w:pStyle w:val="Body"/>
      </w:pPr>
    </w:p>
    <w:p w14:paraId="21FE6F5F" w14:textId="39034A1B" w:rsidR="000D0F8D" w:rsidRDefault="000D0F8D" w:rsidP="002B4EA7">
      <w:pPr>
        <w:pStyle w:val="Body"/>
      </w:pPr>
    </w:p>
    <w:p w14:paraId="4B6BF5CE" w14:textId="77777777" w:rsidR="000D0F8D" w:rsidRDefault="000D0F8D" w:rsidP="002B4EA7">
      <w:pPr>
        <w:pStyle w:val="Body"/>
      </w:pPr>
    </w:p>
    <w:p w14:paraId="2687A2A1" w14:textId="1112D3AE" w:rsidR="003C414C" w:rsidRDefault="003C414C" w:rsidP="002B4EA7">
      <w:pPr>
        <w:pStyle w:val="Body"/>
      </w:pPr>
    </w:p>
    <w:p w14:paraId="1A4F86DD" w14:textId="77777777" w:rsidR="003C414C" w:rsidRPr="007E1F0D" w:rsidRDefault="003C414C" w:rsidP="002B4EA7">
      <w:pPr>
        <w:pStyle w:val="Body"/>
      </w:pPr>
    </w:p>
    <w:p w14:paraId="61C36C02" w14:textId="63A5243D" w:rsidR="003C414C" w:rsidRDefault="003C414C" w:rsidP="003C414C">
      <w:pPr>
        <w:pStyle w:val="Heading1"/>
      </w:pPr>
      <w:bookmarkStart w:id="107" w:name="_Toc282328726"/>
      <w:bookmarkStart w:id="108" w:name="_Toc44500280"/>
      <w:bookmarkStart w:id="109" w:name="_Toc109649982"/>
      <w:r w:rsidRPr="003C414C">
        <w:lastRenderedPageBreak/>
        <w:t>Incident category definitions - procedural events</w:t>
      </w:r>
      <w:bookmarkEnd w:id="107"/>
      <w:bookmarkEnd w:id="108"/>
      <w:bookmarkEnd w:id="109"/>
    </w:p>
    <w:p w14:paraId="6FCB1DAD" w14:textId="77777777" w:rsidR="003C414C" w:rsidRPr="003C414C" w:rsidRDefault="003C414C" w:rsidP="003C414C">
      <w:pPr>
        <w:pStyle w:val="Heading2"/>
        <w:rPr>
          <w:rFonts w:eastAsia="Times"/>
          <w:color w:val="C00000"/>
          <w:vertAlign w:val="superscript"/>
        </w:rPr>
      </w:pPr>
      <w:bookmarkStart w:id="110" w:name="_Toc44500281"/>
      <w:bookmarkStart w:id="111" w:name="_Toc109649983"/>
      <w:r w:rsidRPr="003C414C">
        <w:rPr>
          <w:rFonts w:eastAsia="Times"/>
          <w:color w:val="C00000"/>
        </w:rPr>
        <w:t>Incorrect blood component transfused (IBCT)</w:t>
      </w:r>
      <w:bookmarkEnd w:id="110"/>
      <w:bookmarkEnd w:id="111"/>
    </w:p>
    <w:p w14:paraId="5E3E784C" w14:textId="77777777" w:rsidR="003C414C" w:rsidRPr="003C414C" w:rsidRDefault="003C414C" w:rsidP="003C414C">
      <w:pPr>
        <w:pStyle w:val="Body"/>
      </w:pPr>
      <w:r w:rsidRPr="003C414C">
        <w:t>This includes reports of incidents in which:</w:t>
      </w:r>
    </w:p>
    <w:p w14:paraId="1D99DE98" w14:textId="77777777" w:rsidR="003C414C" w:rsidRPr="003C414C" w:rsidRDefault="003C414C" w:rsidP="003C414C">
      <w:pPr>
        <w:pStyle w:val="Body"/>
        <w:numPr>
          <w:ilvl w:val="0"/>
          <w:numId w:val="27"/>
        </w:numPr>
        <w:spacing w:after="0"/>
        <w:ind w:left="714" w:hanging="357"/>
      </w:pPr>
      <w:r w:rsidRPr="003C414C">
        <w:t>the component did not meet the specific requirements for the patient e.g. not supplying an irradiated component when indicated</w:t>
      </w:r>
    </w:p>
    <w:p w14:paraId="32FD1EAC" w14:textId="77777777" w:rsidR="003C414C" w:rsidRPr="003C414C" w:rsidRDefault="003C414C" w:rsidP="003C414C">
      <w:pPr>
        <w:pStyle w:val="Body"/>
        <w:numPr>
          <w:ilvl w:val="0"/>
          <w:numId w:val="27"/>
        </w:numPr>
        <w:spacing w:after="0"/>
        <w:ind w:left="714" w:hanging="357"/>
      </w:pPr>
      <w:r w:rsidRPr="003C414C">
        <w:t xml:space="preserve">transfusion of a component intended for another patient (ABO compatible) </w:t>
      </w:r>
    </w:p>
    <w:p w14:paraId="338E81D4" w14:textId="77777777" w:rsidR="003C414C" w:rsidRPr="003C414C" w:rsidRDefault="003C414C" w:rsidP="003C414C">
      <w:pPr>
        <w:pStyle w:val="Body"/>
        <w:numPr>
          <w:ilvl w:val="0"/>
          <w:numId w:val="27"/>
        </w:numPr>
        <w:spacing w:after="0"/>
        <w:ind w:left="714" w:hanging="357"/>
      </w:pPr>
      <w:r w:rsidRPr="003C414C">
        <w:t>all unintentional incompatible transfusions, including ABO or RhD incompatible</w:t>
      </w:r>
    </w:p>
    <w:p w14:paraId="7D177795" w14:textId="77777777" w:rsidR="003C414C" w:rsidRPr="003C414C" w:rsidRDefault="003C414C" w:rsidP="003C414C">
      <w:pPr>
        <w:pStyle w:val="Body"/>
        <w:numPr>
          <w:ilvl w:val="0"/>
          <w:numId w:val="27"/>
        </w:numPr>
        <w:spacing w:after="0"/>
        <w:ind w:left="714" w:hanging="357"/>
      </w:pPr>
      <w:r w:rsidRPr="003C414C">
        <w:t>transfusion of product other than that prescribed (e.g. platelets instead of FFP)</w:t>
      </w:r>
    </w:p>
    <w:p w14:paraId="0853799B" w14:textId="77777777" w:rsidR="003C414C" w:rsidRPr="003C414C" w:rsidRDefault="003C414C" w:rsidP="003C414C">
      <w:pPr>
        <w:pStyle w:val="Body"/>
        <w:numPr>
          <w:ilvl w:val="0"/>
          <w:numId w:val="27"/>
        </w:numPr>
        <w:spacing w:after="0"/>
        <w:ind w:left="714" w:hanging="357"/>
      </w:pPr>
      <w:r w:rsidRPr="003C414C">
        <w:t>unnecessary or inappropriate transfusion.</w:t>
      </w:r>
    </w:p>
    <w:p w14:paraId="056CE722" w14:textId="77777777" w:rsidR="003C414C" w:rsidRPr="003C414C" w:rsidRDefault="003C414C" w:rsidP="003C414C">
      <w:pPr>
        <w:pStyle w:val="Body"/>
      </w:pPr>
    </w:p>
    <w:p w14:paraId="3DEBC331" w14:textId="77777777" w:rsidR="003C414C" w:rsidRPr="003C414C" w:rsidRDefault="003C414C" w:rsidP="003C414C">
      <w:pPr>
        <w:pStyle w:val="Body"/>
      </w:pPr>
      <w:r w:rsidRPr="003C414C">
        <w:t>Include all events even where:</w:t>
      </w:r>
    </w:p>
    <w:p w14:paraId="18ABFF5A" w14:textId="77777777" w:rsidR="003C414C" w:rsidRPr="003C414C" w:rsidRDefault="003C414C" w:rsidP="003C414C">
      <w:pPr>
        <w:pStyle w:val="Body"/>
        <w:numPr>
          <w:ilvl w:val="0"/>
          <w:numId w:val="29"/>
        </w:numPr>
        <w:spacing w:after="0"/>
        <w:ind w:left="714" w:hanging="357"/>
      </w:pPr>
      <w:r w:rsidRPr="003C414C">
        <w:t>the bag was spiked, post bedside check, even if the patient did not receive any of the blood</w:t>
      </w:r>
    </w:p>
    <w:p w14:paraId="196FDD4A" w14:textId="77777777" w:rsidR="003C414C" w:rsidRPr="003C414C" w:rsidRDefault="003C414C" w:rsidP="003C414C">
      <w:pPr>
        <w:pStyle w:val="Body"/>
        <w:numPr>
          <w:ilvl w:val="0"/>
          <w:numId w:val="29"/>
        </w:numPr>
        <w:spacing w:after="0"/>
        <w:ind w:left="714" w:hanging="357"/>
      </w:pPr>
      <w:r w:rsidRPr="003C414C">
        <w:t>only a small quantity of blood was transfused</w:t>
      </w:r>
    </w:p>
    <w:p w14:paraId="73891F32" w14:textId="77777777" w:rsidR="003C414C" w:rsidRPr="003C414C" w:rsidRDefault="003C414C" w:rsidP="003C414C">
      <w:pPr>
        <w:pStyle w:val="Body"/>
        <w:numPr>
          <w:ilvl w:val="0"/>
          <w:numId w:val="29"/>
        </w:numPr>
        <w:spacing w:after="0"/>
        <w:ind w:left="714" w:hanging="357"/>
      </w:pPr>
      <w:r w:rsidRPr="003C414C">
        <w:t>no adverse reaction occurred</w:t>
      </w:r>
    </w:p>
    <w:p w14:paraId="6E7EADA8" w14:textId="77777777" w:rsidR="003C414C" w:rsidRPr="003C414C" w:rsidRDefault="003C414C" w:rsidP="003C414C">
      <w:pPr>
        <w:pStyle w:val="Body"/>
      </w:pPr>
    </w:p>
    <w:p w14:paraId="0CD906D6" w14:textId="77777777" w:rsidR="003C414C" w:rsidRPr="003C414C" w:rsidRDefault="003C414C" w:rsidP="003C414C">
      <w:pPr>
        <w:pStyle w:val="Body"/>
      </w:pPr>
      <w:r w:rsidRPr="003C414C">
        <w:rPr>
          <w:b/>
        </w:rPr>
        <w:t>N.B.</w:t>
      </w:r>
      <w:r w:rsidRPr="003C414C">
        <w:t xml:space="preserve"> This does not include RhD Ig administered to the wrong patient or inappropriately. RhD Ig errors should be reported via the specific RhD Ig form.</w:t>
      </w:r>
    </w:p>
    <w:p w14:paraId="7CE7FC81" w14:textId="668369DF" w:rsidR="003C414C" w:rsidRDefault="003C414C" w:rsidP="003C414C">
      <w:pPr>
        <w:pStyle w:val="Body"/>
      </w:pPr>
      <w:bookmarkStart w:id="112" w:name="_Hlk35855748"/>
      <w:r w:rsidRPr="003C414C">
        <w:t>(SHOT, 2019)</w:t>
      </w:r>
    </w:p>
    <w:p w14:paraId="5A817CF5" w14:textId="34A3A0E4" w:rsidR="00B74178" w:rsidRDefault="00B74178" w:rsidP="003C414C">
      <w:pPr>
        <w:pStyle w:val="Body"/>
      </w:pPr>
    </w:p>
    <w:p w14:paraId="4864DF77" w14:textId="6554563F" w:rsidR="00B74178" w:rsidRPr="00B74178" w:rsidRDefault="00B74178" w:rsidP="00B74178">
      <w:pPr>
        <w:pStyle w:val="Heading2"/>
        <w:rPr>
          <w:rFonts w:eastAsia="Times"/>
          <w:color w:val="C00000"/>
        </w:rPr>
      </w:pPr>
      <w:bookmarkStart w:id="113" w:name="_Toc109649984"/>
      <w:r w:rsidRPr="00B74178">
        <w:rPr>
          <w:rFonts w:eastAsia="Times"/>
          <w:color w:val="C00000"/>
        </w:rPr>
        <w:t>Procedural -</w:t>
      </w:r>
      <w:r w:rsidR="00BC7118">
        <w:rPr>
          <w:rFonts w:eastAsia="Times"/>
          <w:color w:val="C00000"/>
        </w:rPr>
        <w:t xml:space="preserve"> </w:t>
      </w:r>
      <w:r w:rsidRPr="00B74178">
        <w:rPr>
          <w:rFonts w:eastAsia="Times"/>
          <w:color w:val="C00000"/>
        </w:rPr>
        <w:t>other</w:t>
      </w:r>
      <w:bookmarkEnd w:id="113"/>
    </w:p>
    <w:p w14:paraId="60DDAED9" w14:textId="77777777" w:rsidR="00B74178" w:rsidRPr="00B74178" w:rsidRDefault="00B74178" w:rsidP="00B74178">
      <w:pPr>
        <w:pStyle w:val="Body"/>
      </w:pPr>
      <w:r w:rsidRPr="00B74178">
        <w:rPr>
          <w:iCs/>
        </w:rPr>
        <w:t>Incidents where a patient received the correct blood product/s despite one or more prescription, identification or administration errors occurring.</w:t>
      </w:r>
    </w:p>
    <w:p w14:paraId="338993C6" w14:textId="77777777" w:rsidR="00B74178" w:rsidRPr="00B74178" w:rsidRDefault="00B74178" w:rsidP="00B74178">
      <w:pPr>
        <w:pStyle w:val="Body"/>
      </w:pPr>
      <w:r w:rsidRPr="00B74178">
        <w:t xml:space="preserve">This also includes problems in any aspect of the transfusion process, that do not necessarily fit well into either IBCT or near miss categories. </w:t>
      </w:r>
    </w:p>
    <w:p w14:paraId="3FF6DDB5" w14:textId="77777777" w:rsidR="00B74178" w:rsidRPr="00B74178" w:rsidRDefault="00B74178" w:rsidP="00B74178">
      <w:pPr>
        <w:pStyle w:val="Body"/>
      </w:pPr>
      <w:r w:rsidRPr="00B74178">
        <w:t>Examples include:</w:t>
      </w:r>
    </w:p>
    <w:p w14:paraId="7CA44D3B" w14:textId="117D53FB" w:rsidR="00B74178" w:rsidRPr="00B74178" w:rsidRDefault="00B74178" w:rsidP="00B74178">
      <w:pPr>
        <w:pStyle w:val="Body"/>
        <w:numPr>
          <w:ilvl w:val="0"/>
          <w:numId w:val="32"/>
        </w:numPr>
        <w:spacing w:after="0"/>
        <w:ind w:left="777" w:hanging="357"/>
      </w:pPr>
      <w:r w:rsidRPr="00B74178">
        <w:t xml:space="preserve">transfusions that run over the </w:t>
      </w:r>
      <w:r w:rsidR="00244397" w:rsidRPr="00B74178">
        <w:t>four-hour</w:t>
      </w:r>
      <w:r w:rsidRPr="00B74178">
        <w:t xml:space="preserve"> time period for administration </w:t>
      </w:r>
    </w:p>
    <w:p w14:paraId="4633C087" w14:textId="256FE3BF" w:rsidR="00B74178" w:rsidRPr="00B74178" w:rsidRDefault="00B74178" w:rsidP="00B74178">
      <w:pPr>
        <w:pStyle w:val="Body"/>
        <w:numPr>
          <w:ilvl w:val="0"/>
          <w:numId w:val="32"/>
        </w:numPr>
        <w:spacing w:after="0"/>
        <w:ind w:left="777" w:hanging="357"/>
      </w:pPr>
      <w:r w:rsidRPr="00B74178">
        <w:t xml:space="preserve">administration of blood where there is a </w:t>
      </w:r>
      <w:r w:rsidR="00244397" w:rsidRPr="00B74178">
        <w:t>mismatch</w:t>
      </w:r>
      <w:r w:rsidRPr="00B74178">
        <w:t xml:space="preserve"> in one or more patient identifiers e.g. DOB 5/3/64 instead of 3/5/64</w:t>
      </w:r>
    </w:p>
    <w:p w14:paraId="4A6DCAB1" w14:textId="76A7C525" w:rsidR="00B74178" w:rsidRPr="00B74178" w:rsidRDefault="00BC7118" w:rsidP="00B74178">
      <w:pPr>
        <w:pStyle w:val="Body"/>
        <w:numPr>
          <w:ilvl w:val="0"/>
          <w:numId w:val="32"/>
        </w:numPr>
        <w:spacing w:after="0"/>
        <w:ind w:left="777" w:hanging="357"/>
      </w:pPr>
      <w:r>
        <w:t>compatibility</w:t>
      </w:r>
      <w:r w:rsidR="00B0383E">
        <w:t xml:space="preserve"> (patient)</w:t>
      </w:r>
      <w:r>
        <w:t xml:space="preserve"> labels </w:t>
      </w:r>
      <w:r w:rsidR="00B74178" w:rsidRPr="00B74178">
        <w:t>transposed on blood</w:t>
      </w:r>
      <w:r>
        <w:t xml:space="preserve"> bag</w:t>
      </w:r>
      <w:r w:rsidR="00B0383E">
        <w:t>s, i.e.</w:t>
      </w:r>
      <w:r w:rsidR="00B0383E" w:rsidRPr="00B74178">
        <w:t xml:space="preserve"> the donation number</w:t>
      </w:r>
      <w:r w:rsidR="00B0383E">
        <w:t xml:space="preserve"> on the Lifeblood label did not match the donation number on the compatibility (patient) label</w:t>
      </w:r>
      <w:r w:rsidR="00B0383E" w:rsidRPr="00B74178">
        <w:t xml:space="preserve"> </w:t>
      </w:r>
      <w:r w:rsidR="00B0383E">
        <w:t xml:space="preserve">on the bag. </w:t>
      </w:r>
    </w:p>
    <w:p w14:paraId="0ECAC43F" w14:textId="77777777" w:rsidR="003C414C" w:rsidRPr="003C414C" w:rsidRDefault="003C414C" w:rsidP="003C414C">
      <w:pPr>
        <w:pStyle w:val="Body"/>
      </w:pPr>
    </w:p>
    <w:p w14:paraId="6ACEECFA" w14:textId="77777777" w:rsidR="003C414C" w:rsidRPr="003C414C" w:rsidRDefault="003C414C" w:rsidP="003C414C">
      <w:pPr>
        <w:pStyle w:val="Heading2"/>
        <w:rPr>
          <w:rFonts w:eastAsia="Times"/>
          <w:color w:val="C00000"/>
        </w:rPr>
      </w:pPr>
      <w:bookmarkStart w:id="114" w:name="_Toc275161953"/>
      <w:bookmarkStart w:id="115" w:name="_Toc275162044"/>
      <w:bookmarkStart w:id="116" w:name="_Toc44500282"/>
      <w:bookmarkStart w:id="117" w:name="_Toc109649985"/>
      <w:bookmarkEnd w:id="112"/>
      <w:r w:rsidRPr="003C414C">
        <w:rPr>
          <w:rFonts w:eastAsia="Times"/>
          <w:color w:val="C00000"/>
        </w:rPr>
        <w:t>Near-miss incidents</w:t>
      </w:r>
      <w:bookmarkEnd w:id="114"/>
      <w:bookmarkEnd w:id="115"/>
      <w:bookmarkEnd w:id="116"/>
      <w:bookmarkEnd w:id="117"/>
    </w:p>
    <w:p w14:paraId="1F662670" w14:textId="77777777" w:rsidR="003C414C" w:rsidRPr="003C414C" w:rsidRDefault="003C414C" w:rsidP="003C414C">
      <w:pPr>
        <w:pStyle w:val="Body"/>
      </w:pPr>
      <w:r w:rsidRPr="003C414C">
        <w:t xml:space="preserve">Incidents where the transfusion </w:t>
      </w:r>
      <w:r w:rsidRPr="003C414C">
        <w:rPr>
          <w:b/>
        </w:rPr>
        <w:t>DID NOT</w:t>
      </w:r>
      <w:r w:rsidRPr="003C414C">
        <w:t xml:space="preserve"> take place, and the error was detected prior to commencing the transfusion (before the bag was spiked).</w:t>
      </w:r>
    </w:p>
    <w:p w14:paraId="42056CD3" w14:textId="774AC1E3" w:rsidR="003C414C" w:rsidRDefault="003C414C" w:rsidP="003C414C">
      <w:pPr>
        <w:pStyle w:val="Body"/>
      </w:pPr>
      <w:r w:rsidRPr="003C414C">
        <w:lastRenderedPageBreak/>
        <w:t>A near miss is an error or deviation from standard procedures or policies that is discovered before the start of the transfusion and that could have led to a wrong transfusion or a reaction in a recipient if transfusion had taken place.</w:t>
      </w:r>
      <w:r w:rsidR="00B74178">
        <w:t xml:space="preserve">   </w:t>
      </w:r>
      <w:r w:rsidRPr="003C414C">
        <w:t>(SHOT, 2019)</w:t>
      </w:r>
    </w:p>
    <w:p w14:paraId="652CB28B" w14:textId="77777777" w:rsidR="003C414C" w:rsidRPr="003C414C" w:rsidRDefault="003C414C" w:rsidP="003C414C">
      <w:pPr>
        <w:pStyle w:val="Heading2"/>
        <w:rPr>
          <w:rFonts w:eastAsia="Times"/>
          <w:color w:val="C00000"/>
        </w:rPr>
      </w:pPr>
      <w:bookmarkStart w:id="118" w:name="_Toc275161954"/>
      <w:bookmarkStart w:id="119" w:name="_Toc275162045"/>
      <w:bookmarkStart w:id="120" w:name="_Toc44500283"/>
      <w:bookmarkStart w:id="121" w:name="_Toc109649986"/>
      <w:r w:rsidRPr="003C414C">
        <w:rPr>
          <w:rFonts w:eastAsia="Times"/>
          <w:color w:val="C00000"/>
        </w:rPr>
        <w:t>Wrong blood in tube (WBIT)</w:t>
      </w:r>
      <w:bookmarkEnd w:id="118"/>
      <w:bookmarkEnd w:id="119"/>
      <w:bookmarkEnd w:id="120"/>
      <w:bookmarkEnd w:id="121"/>
    </w:p>
    <w:p w14:paraId="7ECA5ACE" w14:textId="77777777" w:rsidR="003C414C" w:rsidRPr="003C414C" w:rsidRDefault="003C414C" w:rsidP="003C414C">
      <w:pPr>
        <w:pStyle w:val="Body"/>
      </w:pPr>
      <w:r w:rsidRPr="003C414C">
        <w:t xml:space="preserve">WBIT errors have the potential to cause harm to patients, as labelling is consistent between the request form/electronic order and specimen and passes zero-tolerance guidelines. The blood collected is not that of the named patient and may be ABO incompatible. </w:t>
      </w:r>
    </w:p>
    <w:p w14:paraId="340A88A6" w14:textId="77777777" w:rsidR="003C414C" w:rsidRPr="003C414C" w:rsidRDefault="003C414C" w:rsidP="003C414C">
      <w:pPr>
        <w:pStyle w:val="Body"/>
      </w:pPr>
      <w:r w:rsidRPr="003C414C">
        <w:t>WBIT includes specimens where:</w:t>
      </w:r>
    </w:p>
    <w:p w14:paraId="13290CDE" w14:textId="77777777" w:rsidR="003C414C" w:rsidRPr="003C414C" w:rsidRDefault="003C414C" w:rsidP="003C414C">
      <w:pPr>
        <w:pStyle w:val="Body"/>
        <w:numPr>
          <w:ilvl w:val="0"/>
          <w:numId w:val="28"/>
        </w:numPr>
        <w:spacing w:after="0"/>
        <w:ind w:left="714" w:hanging="357"/>
      </w:pPr>
      <w:r w:rsidRPr="003C414C">
        <w:t>the sample is taken from the wrong patient but labelled as per the intended patient, or</w:t>
      </w:r>
    </w:p>
    <w:p w14:paraId="28DF5BD8" w14:textId="77777777" w:rsidR="003C414C" w:rsidRPr="003C414C" w:rsidRDefault="003C414C" w:rsidP="003C414C">
      <w:pPr>
        <w:pStyle w:val="Body"/>
        <w:numPr>
          <w:ilvl w:val="0"/>
          <w:numId w:val="28"/>
        </w:numPr>
        <w:spacing w:after="0"/>
        <w:ind w:left="714" w:hanging="357"/>
      </w:pPr>
      <w:r w:rsidRPr="003C414C">
        <w:t>the sample is taken from the intended patient but labelled as per another patient.</w:t>
      </w:r>
    </w:p>
    <w:p w14:paraId="1BD333FB" w14:textId="77777777" w:rsidR="003C414C" w:rsidRPr="003C414C" w:rsidRDefault="003C414C" w:rsidP="003C414C">
      <w:pPr>
        <w:pStyle w:val="Body"/>
      </w:pPr>
    </w:p>
    <w:p w14:paraId="53087EE9" w14:textId="77777777" w:rsidR="00B74178" w:rsidRPr="00B74178" w:rsidRDefault="00B74178" w:rsidP="00B74178">
      <w:pPr>
        <w:pStyle w:val="Heading2"/>
        <w:rPr>
          <w:rFonts w:eastAsia="Times"/>
          <w:color w:val="C00000"/>
          <w:vertAlign w:val="superscript"/>
        </w:rPr>
      </w:pPr>
      <w:bookmarkStart w:id="122" w:name="_Toc44500284"/>
      <w:bookmarkStart w:id="123" w:name="_Toc109649987"/>
      <w:r w:rsidRPr="00B74178">
        <w:rPr>
          <w:rFonts w:eastAsia="Times"/>
          <w:color w:val="C00000"/>
        </w:rPr>
        <w:t>Cell salvage</w:t>
      </w:r>
      <w:bookmarkEnd w:id="122"/>
      <w:bookmarkEnd w:id="123"/>
    </w:p>
    <w:p w14:paraId="07F9A3D0" w14:textId="77777777" w:rsidR="00B74178" w:rsidRPr="00B74178" w:rsidRDefault="00B74178" w:rsidP="00B74178">
      <w:pPr>
        <w:pStyle w:val="Body"/>
      </w:pPr>
      <w:r w:rsidRPr="00B74178">
        <w:t>Incidents and near misses involving the use of intraoperative and/or postoperative cell salvage where the incident may be due to:</w:t>
      </w:r>
    </w:p>
    <w:p w14:paraId="0F0E1D03" w14:textId="77777777" w:rsidR="00B74178" w:rsidRPr="00B74178" w:rsidRDefault="00B74178" w:rsidP="00B74178">
      <w:pPr>
        <w:pStyle w:val="Body"/>
        <w:numPr>
          <w:ilvl w:val="0"/>
          <w:numId w:val="31"/>
        </w:numPr>
        <w:spacing w:after="0"/>
        <w:ind w:left="714" w:hanging="357"/>
      </w:pPr>
      <w:r w:rsidRPr="00B74178">
        <w:t>operator error</w:t>
      </w:r>
    </w:p>
    <w:p w14:paraId="2B7BA347" w14:textId="77777777" w:rsidR="00B74178" w:rsidRPr="00B74178" w:rsidRDefault="00B74178" w:rsidP="00B74178">
      <w:pPr>
        <w:pStyle w:val="Body"/>
        <w:numPr>
          <w:ilvl w:val="0"/>
          <w:numId w:val="31"/>
        </w:numPr>
        <w:spacing w:after="0"/>
        <w:ind w:left="714" w:hanging="357"/>
      </w:pPr>
      <w:r w:rsidRPr="00B74178">
        <w:t>machine failure</w:t>
      </w:r>
    </w:p>
    <w:p w14:paraId="4133B48F" w14:textId="77777777" w:rsidR="00B74178" w:rsidRPr="00B74178" w:rsidRDefault="00B74178" w:rsidP="00B74178">
      <w:pPr>
        <w:pStyle w:val="Body"/>
        <w:numPr>
          <w:ilvl w:val="0"/>
          <w:numId w:val="31"/>
        </w:numPr>
        <w:spacing w:after="0"/>
        <w:ind w:left="714" w:hanging="357"/>
      </w:pPr>
      <w:r w:rsidRPr="00B74178">
        <w:t>administration error</w:t>
      </w:r>
    </w:p>
    <w:p w14:paraId="77A29CA6" w14:textId="77777777" w:rsidR="00B74178" w:rsidRPr="00B74178" w:rsidRDefault="00B74178" w:rsidP="00B74178">
      <w:pPr>
        <w:pStyle w:val="Body"/>
        <w:numPr>
          <w:ilvl w:val="0"/>
          <w:numId w:val="31"/>
        </w:numPr>
        <w:spacing w:after="0"/>
        <w:ind w:left="714" w:hanging="357"/>
      </w:pPr>
      <w:r w:rsidRPr="00B74178">
        <w:t>adverse reactions to the reinfused product.</w:t>
      </w:r>
    </w:p>
    <w:p w14:paraId="3460902E" w14:textId="77777777" w:rsidR="00B74178" w:rsidRPr="00B74178" w:rsidRDefault="00B74178" w:rsidP="00B74178">
      <w:pPr>
        <w:pStyle w:val="Body"/>
        <w:numPr>
          <w:ilvl w:val="0"/>
          <w:numId w:val="31"/>
        </w:numPr>
        <w:spacing w:after="0"/>
        <w:ind w:left="714" w:hanging="357"/>
      </w:pPr>
      <w:r w:rsidRPr="00B74178">
        <w:t>prescription/ labelling error</w:t>
      </w:r>
    </w:p>
    <w:p w14:paraId="7788028F" w14:textId="0F13AD35" w:rsidR="00B74178" w:rsidRDefault="00B74178" w:rsidP="00B74178">
      <w:pPr>
        <w:pStyle w:val="Body"/>
      </w:pPr>
      <w:r w:rsidRPr="00B74178">
        <w:t>(SHOT, 2019)</w:t>
      </w:r>
    </w:p>
    <w:p w14:paraId="37D71D96" w14:textId="77777777" w:rsidR="00B74178" w:rsidRPr="00B74178" w:rsidRDefault="00B74178" w:rsidP="00B74178">
      <w:pPr>
        <w:pStyle w:val="Heading2"/>
        <w:rPr>
          <w:rFonts w:eastAsia="Times"/>
          <w:color w:val="C00000"/>
        </w:rPr>
      </w:pPr>
      <w:bookmarkStart w:id="124" w:name="_Toc44500285"/>
      <w:bookmarkStart w:id="125" w:name="_Toc109649988"/>
      <w:r w:rsidRPr="00B74178">
        <w:rPr>
          <w:rFonts w:eastAsia="Times"/>
          <w:color w:val="C00000"/>
        </w:rPr>
        <w:t>RhD immunoglobulin (RhD Ig)</w:t>
      </w:r>
      <w:bookmarkEnd w:id="124"/>
      <w:bookmarkEnd w:id="125"/>
      <w:r w:rsidRPr="00B74178">
        <w:rPr>
          <w:rFonts w:eastAsia="Times"/>
          <w:color w:val="C00000"/>
        </w:rPr>
        <w:t xml:space="preserve"> </w:t>
      </w:r>
    </w:p>
    <w:p w14:paraId="5296E439" w14:textId="77777777" w:rsidR="00B74178" w:rsidRPr="00B74178" w:rsidRDefault="00B74178" w:rsidP="00B74178">
      <w:pPr>
        <w:pStyle w:val="Body"/>
      </w:pPr>
      <w:r w:rsidRPr="00B74178">
        <w:t>Includes incidents related to RhD Ig request or administration for women of child bearing potential or following transfusion of RhD mismatched red cells or platelets. This includes incidents where:</w:t>
      </w:r>
    </w:p>
    <w:p w14:paraId="01BE4BA8" w14:textId="77777777" w:rsidR="00B74178" w:rsidRPr="00B74178" w:rsidRDefault="00B74178" w:rsidP="00B74178">
      <w:pPr>
        <w:pStyle w:val="Body"/>
        <w:numPr>
          <w:ilvl w:val="0"/>
          <w:numId w:val="30"/>
        </w:numPr>
        <w:spacing w:after="0"/>
        <w:ind w:left="714" w:hanging="357"/>
      </w:pPr>
      <w:bookmarkStart w:id="126" w:name="_Hlk35935021"/>
      <w:r w:rsidRPr="00B74178">
        <w:t xml:space="preserve">RhD Ig </w:t>
      </w:r>
      <w:bookmarkEnd w:id="126"/>
      <w:r w:rsidRPr="00B74178">
        <w:t>is omitted or administered late</w:t>
      </w:r>
    </w:p>
    <w:p w14:paraId="7C69238D" w14:textId="77777777" w:rsidR="00B74178" w:rsidRPr="00B74178" w:rsidRDefault="00B74178" w:rsidP="00B74178">
      <w:pPr>
        <w:pStyle w:val="Body"/>
        <w:numPr>
          <w:ilvl w:val="0"/>
          <w:numId w:val="30"/>
        </w:numPr>
        <w:spacing w:after="0"/>
        <w:ind w:left="714" w:hanging="357"/>
      </w:pPr>
      <w:r w:rsidRPr="00B74178">
        <w:t>RhD Ig is administered to a RhD-positive woman</w:t>
      </w:r>
    </w:p>
    <w:p w14:paraId="6885C8EA" w14:textId="77777777" w:rsidR="00B74178" w:rsidRPr="00B74178" w:rsidRDefault="00B74178" w:rsidP="00B74178">
      <w:pPr>
        <w:pStyle w:val="Body"/>
        <w:numPr>
          <w:ilvl w:val="0"/>
          <w:numId w:val="30"/>
        </w:numPr>
        <w:spacing w:after="0"/>
        <w:ind w:left="714" w:hanging="357"/>
      </w:pPr>
      <w:r w:rsidRPr="00B74178">
        <w:t>RhD Ig is administered to a woman with immune anti-D</w:t>
      </w:r>
    </w:p>
    <w:p w14:paraId="6F79B11E" w14:textId="77777777" w:rsidR="00B74178" w:rsidRPr="00B74178" w:rsidRDefault="00B74178" w:rsidP="00B74178">
      <w:pPr>
        <w:pStyle w:val="Body"/>
        <w:numPr>
          <w:ilvl w:val="0"/>
          <w:numId w:val="30"/>
        </w:numPr>
        <w:spacing w:after="0"/>
        <w:ind w:left="714" w:hanging="357"/>
      </w:pPr>
      <w:r w:rsidRPr="00B74178">
        <w:t>RhD Ig is administered erroneously to the mother of a RhD-negative infant</w:t>
      </w:r>
    </w:p>
    <w:p w14:paraId="2A8CAC42" w14:textId="77777777" w:rsidR="00B74178" w:rsidRPr="00B74178" w:rsidRDefault="00B74178" w:rsidP="00B74178">
      <w:pPr>
        <w:pStyle w:val="Body"/>
        <w:numPr>
          <w:ilvl w:val="0"/>
          <w:numId w:val="30"/>
        </w:numPr>
        <w:spacing w:after="0"/>
        <w:ind w:left="714" w:hanging="357"/>
      </w:pPr>
      <w:r w:rsidRPr="00B74178">
        <w:t>RhD Ig is administered to the wrong patient</w:t>
      </w:r>
    </w:p>
    <w:p w14:paraId="71B92A3A" w14:textId="77777777" w:rsidR="00B74178" w:rsidRPr="00B74178" w:rsidRDefault="00B74178" w:rsidP="00B74178">
      <w:pPr>
        <w:pStyle w:val="Body"/>
        <w:numPr>
          <w:ilvl w:val="0"/>
          <w:numId w:val="30"/>
        </w:numPr>
        <w:spacing w:after="0"/>
        <w:ind w:left="714" w:hanging="357"/>
      </w:pPr>
      <w:r w:rsidRPr="00B74178">
        <w:t>the incorrect dose of RhD Ig is administered</w:t>
      </w:r>
    </w:p>
    <w:p w14:paraId="6795F37F" w14:textId="77777777" w:rsidR="00B74178" w:rsidRPr="00B74178" w:rsidRDefault="00B74178" w:rsidP="00B74178">
      <w:pPr>
        <w:pStyle w:val="Body"/>
        <w:numPr>
          <w:ilvl w:val="0"/>
          <w:numId w:val="30"/>
        </w:numPr>
        <w:spacing w:after="0"/>
        <w:ind w:left="714" w:hanging="357"/>
      </w:pPr>
      <w:r w:rsidRPr="00B74178">
        <w:t>errors associated with cell free fetal DNA testing</w:t>
      </w:r>
    </w:p>
    <w:p w14:paraId="7EAB35DC" w14:textId="77777777" w:rsidR="00B74178" w:rsidRPr="00B74178" w:rsidRDefault="00B74178" w:rsidP="00B74178">
      <w:pPr>
        <w:pStyle w:val="Body"/>
        <w:numPr>
          <w:ilvl w:val="0"/>
          <w:numId w:val="30"/>
        </w:numPr>
        <w:spacing w:after="0"/>
        <w:ind w:left="714" w:hanging="357"/>
      </w:pPr>
      <w:r w:rsidRPr="00B74178">
        <w:t>an expired product is administered</w:t>
      </w:r>
    </w:p>
    <w:p w14:paraId="093E3A40" w14:textId="77777777" w:rsidR="00B74178" w:rsidRPr="00B74178" w:rsidRDefault="00B74178" w:rsidP="00B74178">
      <w:pPr>
        <w:pStyle w:val="Body"/>
        <w:numPr>
          <w:ilvl w:val="0"/>
          <w:numId w:val="30"/>
        </w:numPr>
        <w:spacing w:after="0"/>
        <w:ind w:left="714" w:hanging="357"/>
      </w:pPr>
      <w:r w:rsidRPr="00B74178">
        <w:t>RhD Ig near-miss event which could have led to any of the above incidents.</w:t>
      </w:r>
    </w:p>
    <w:p w14:paraId="334D7082" w14:textId="77777777" w:rsidR="00B74178" w:rsidRPr="00B74178" w:rsidRDefault="00B74178" w:rsidP="00B74178">
      <w:pPr>
        <w:pStyle w:val="Body"/>
      </w:pPr>
      <w:r w:rsidRPr="00B74178">
        <w:t>Adverse reactions to RhD Ig are not reportable to STIR but should be reported to the manufacturer and Lifeblood.</w:t>
      </w:r>
    </w:p>
    <w:p w14:paraId="3CE1FB1A" w14:textId="77777777" w:rsidR="00B74178" w:rsidRPr="00B74178" w:rsidRDefault="00B74178" w:rsidP="00B74178">
      <w:pPr>
        <w:pStyle w:val="Body"/>
      </w:pPr>
      <w:r w:rsidRPr="00B74178">
        <w:t>(SHOT, 2019)</w:t>
      </w:r>
    </w:p>
    <w:p w14:paraId="446AE00C" w14:textId="34EAFB25" w:rsidR="00B74178" w:rsidRDefault="00B74178" w:rsidP="00B74178">
      <w:pPr>
        <w:pStyle w:val="Body"/>
      </w:pPr>
      <w:bookmarkStart w:id="127" w:name="_Toc282328728"/>
    </w:p>
    <w:p w14:paraId="35B17C01" w14:textId="093FDF63" w:rsidR="007562A8" w:rsidRDefault="007562A8" w:rsidP="00B74178">
      <w:pPr>
        <w:pStyle w:val="Body"/>
      </w:pPr>
    </w:p>
    <w:p w14:paraId="7269A1CB" w14:textId="41106B77" w:rsidR="007562A8" w:rsidRDefault="007562A8" w:rsidP="00B74178">
      <w:pPr>
        <w:pStyle w:val="Body"/>
      </w:pPr>
    </w:p>
    <w:p w14:paraId="2DF79C02" w14:textId="77777777" w:rsidR="007562A8" w:rsidRPr="00B74178" w:rsidRDefault="007562A8" w:rsidP="00B74178">
      <w:pPr>
        <w:pStyle w:val="Body"/>
      </w:pPr>
    </w:p>
    <w:p w14:paraId="399BEC29" w14:textId="77777777" w:rsidR="007562A8" w:rsidRPr="007562A8" w:rsidRDefault="007562A8" w:rsidP="007562A8">
      <w:pPr>
        <w:pStyle w:val="Heading1"/>
      </w:pPr>
      <w:bookmarkStart w:id="128" w:name="_Toc44500287"/>
      <w:bookmarkStart w:id="129" w:name="_Toc109649989"/>
      <w:bookmarkEnd w:id="127"/>
      <w:r w:rsidRPr="007562A8">
        <w:lastRenderedPageBreak/>
        <w:t>References:</w:t>
      </w:r>
      <w:bookmarkEnd w:id="128"/>
      <w:bookmarkEnd w:id="129"/>
    </w:p>
    <w:p w14:paraId="2DBFB86A" w14:textId="77777777" w:rsidR="007562A8" w:rsidRPr="007562A8" w:rsidRDefault="007562A8" w:rsidP="007562A8">
      <w:pPr>
        <w:pStyle w:val="Body"/>
      </w:pPr>
      <w:r w:rsidRPr="007562A8">
        <w:t>Australian Red Cross Lifeblood 2019, ‘Adverse events’, accessed March 2020, &lt;www.transfusion.com.au/&gt;.</w:t>
      </w:r>
    </w:p>
    <w:p w14:paraId="2F1273FB" w14:textId="77777777" w:rsidR="007562A8" w:rsidRPr="007562A8" w:rsidRDefault="007562A8" w:rsidP="007562A8">
      <w:pPr>
        <w:pStyle w:val="Body"/>
        <w:rPr>
          <w:u w:val="single"/>
        </w:rPr>
      </w:pPr>
      <w:r w:rsidRPr="007562A8">
        <w:t xml:space="preserve">National Blood Authority Australia 2015, The Australian haemovigilance minimum data set, version 1. </w:t>
      </w:r>
      <w:hyperlink r:id="rId22" w:history="1">
        <w:r w:rsidRPr="007562A8">
          <w:rPr>
            <w:rStyle w:val="Hyperlink"/>
          </w:rPr>
          <w:t>https://www.blood.gov.au/system/files/aust-haemovigilance-min-data-set.pdf</w:t>
        </w:r>
      </w:hyperlink>
      <w:r w:rsidRPr="007562A8">
        <w:t xml:space="preserve"> </w:t>
      </w:r>
      <w:bookmarkStart w:id="130" w:name="_Hlk35935137"/>
    </w:p>
    <w:bookmarkEnd w:id="130"/>
    <w:p w14:paraId="71F823DF" w14:textId="77777777" w:rsidR="007562A8" w:rsidRPr="007562A8" w:rsidRDefault="007562A8" w:rsidP="007562A8">
      <w:pPr>
        <w:pStyle w:val="Body"/>
        <w:rPr>
          <w:u w:val="single"/>
        </w:rPr>
      </w:pPr>
      <w:r w:rsidRPr="007562A8">
        <w:t>SHOT Definitions of current SHOT reporting categories &amp; what to report. Revised December 2019. &lt;www.shotuk.org/sabre/&gt;.</w:t>
      </w:r>
    </w:p>
    <w:p w14:paraId="516C373D" w14:textId="5DF5DD18" w:rsidR="003C414C" w:rsidRDefault="003C414C" w:rsidP="003C414C">
      <w:pPr>
        <w:pStyle w:val="Body"/>
      </w:pPr>
    </w:p>
    <w:p w14:paraId="3C2FC9F2" w14:textId="11BCC454" w:rsidR="007562A8" w:rsidRDefault="007562A8" w:rsidP="003C414C">
      <w:pPr>
        <w:pStyle w:val="Body"/>
      </w:pPr>
    </w:p>
    <w:p w14:paraId="11C47E4B" w14:textId="7EFD625E" w:rsidR="007562A8" w:rsidRDefault="007562A8" w:rsidP="003C414C">
      <w:pPr>
        <w:pStyle w:val="Body"/>
      </w:pPr>
    </w:p>
    <w:p w14:paraId="59B3BA8A" w14:textId="397502D3" w:rsidR="007562A8" w:rsidRDefault="007562A8" w:rsidP="003C414C">
      <w:pPr>
        <w:pStyle w:val="Body"/>
      </w:pPr>
    </w:p>
    <w:p w14:paraId="58FA388F" w14:textId="1B82087D" w:rsidR="007562A8" w:rsidRDefault="007562A8" w:rsidP="003C414C">
      <w:pPr>
        <w:pStyle w:val="Body"/>
      </w:pPr>
    </w:p>
    <w:p w14:paraId="668C5E87" w14:textId="0C4D3AB8" w:rsidR="007562A8" w:rsidRDefault="007562A8" w:rsidP="003C414C">
      <w:pPr>
        <w:pStyle w:val="Body"/>
      </w:pPr>
    </w:p>
    <w:p w14:paraId="09D262AA" w14:textId="4702412F" w:rsidR="007562A8" w:rsidRDefault="007562A8" w:rsidP="003C414C">
      <w:pPr>
        <w:pStyle w:val="Body"/>
      </w:pPr>
    </w:p>
    <w:p w14:paraId="3C8B8091" w14:textId="52E5F185" w:rsidR="007562A8" w:rsidRDefault="007562A8" w:rsidP="003C414C">
      <w:pPr>
        <w:pStyle w:val="Body"/>
      </w:pPr>
    </w:p>
    <w:p w14:paraId="5A6F6018" w14:textId="065EE310" w:rsidR="007562A8" w:rsidRDefault="007562A8" w:rsidP="003C414C">
      <w:pPr>
        <w:pStyle w:val="Body"/>
      </w:pPr>
    </w:p>
    <w:p w14:paraId="0139A01A" w14:textId="71EB0354" w:rsidR="007562A8" w:rsidRDefault="007562A8" w:rsidP="003C414C">
      <w:pPr>
        <w:pStyle w:val="Body"/>
      </w:pPr>
    </w:p>
    <w:p w14:paraId="5FEBA028" w14:textId="2BBF7F6D" w:rsidR="007562A8" w:rsidRDefault="007562A8" w:rsidP="003C414C">
      <w:pPr>
        <w:pStyle w:val="Body"/>
      </w:pPr>
    </w:p>
    <w:p w14:paraId="6C884446" w14:textId="383A0156" w:rsidR="007562A8" w:rsidRDefault="007562A8" w:rsidP="003C414C">
      <w:pPr>
        <w:pStyle w:val="Body"/>
      </w:pPr>
    </w:p>
    <w:p w14:paraId="2452154A" w14:textId="5863191B" w:rsidR="007562A8" w:rsidRDefault="007562A8" w:rsidP="003C414C">
      <w:pPr>
        <w:pStyle w:val="Body"/>
      </w:pPr>
    </w:p>
    <w:p w14:paraId="6CC71518" w14:textId="54F1484A" w:rsidR="007562A8" w:rsidRDefault="007562A8" w:rsidP="003C414C">
      <w:pPr>
        <w:pStyle w:val="Body"/>
      </w:pPr>
    </w:p>
    <w:p w14:paraId="476F1D84" w14:textId="66384C30" w:rsidR="007562A8" w:rsidRDefault="007562A8" w:rsidP="003C414C">
      <w:pPr>
        <w:pStyle w:val="Body"/>
      </w:pPr>
    </w:p>
    <w:p w14:paraId="18CFC45A" w14:textId="401986BC" w:rsidR="007562A8" w:rsidRDefault="007562A8" w:rsidP="003C414C">
      <w:pPr>
        <w:pStyle w:val="Body"/>
      </w:pPr>
    </w:p>
    <w:p w14:paraId="2E52BBC8" w14:textId="47C70CF7" w:rsidR="007562A8" w:rsidRDefault="007562A8" w:rsidP="003C414C">
      <w:pPr>
        <w:pStyle w:val="Body"/>
      </w:pPr>
    </w:p>
    <w:p w14:paraId="3A4943E9" w14:textId="410EA76F" w:rsidR="007562A8" w:rsidRDefault="007562A8" w:rsidP="003C414C">
      <w:pPr>
        <w:pStyle w:val="Body"/>
      </w:pPr>
    </w:p>
    <w:p w14:paraId="6A3A25D0" w14:textId="5080DB9F" w:rsidR="007562A8" w:rsidRDefault="007562A8" w:rsidP="003C414C">
      <w:pPr>
        <w:pStyle w:val="Body"/>
      </w:pPr>
    </w:p>
    <w:p w14:paraId="7A76364E" w14:textId="240E3C7C" w:rsidR="00244397" w:rsidRDefault="00244397" w:rsidP="003C414C">
      <w:pPr>
        <w:pStyle w:val="Body"/>
      </w:pPr>
    </w:p>
    <w:p w14:paraId="5133151F" w14:textId="2FBE2951" w:rsidR="00244397" w:rsidRDefault="00244397" w:rsidP="003C414C">
      <w:pPr>
        <w:pStyle w:val="Body"/>
      </w:pPr>
    </w:p>
    <w:p w14:paraId="2D43E736" w14:textId="2109D3D7" w:rsidR="00244397" w:rsidRDefault="00244397" w:rsidP="003C414C">
      <w:pPr>
        <w:pStyle w:val="Body"/>
      </w:pPr>
    </w:p>
    <w:p w14:paraId="1110B50D" w14:textId="77777777" w:rsidR="00244397" w:rsidRDefault="00244397" w:rsidP="003C414C">
      <w:pPr>
        <w:pStyle w:val="Body"/>
      </w:pPr>
    </w:p>
    <w:p w14:paraId="3281097F" w14:textId="1149D1A5" w:rsidR="007562A8" w:rsidRDefault="007562A8" w:rsidP="003C414C">
      <w:pPr>
        <w:pStyle w:val="Body"/>
      </w:pPr>
    </w:p>
    <w:p w14:paraId="0E171C8F" w14:textId="1631AFD6" w:rsidR="007562A8" w:rsidRPr="007562A8" w:rsidRDefault="007562A8" w:rsidP="007562A8">
      <w:pPr>
        <w:pStyle w:val="Heading1"/>
      </w:pPr>
      <w:bookmarkStart w:id="131" w:name="_Toc44500288"/>
      <w:bookmarkStart w:id="132" w:name="_Toc109649990"/>
      <w:r w:rsidRPr="007562A8">
        <w:lastRenderedPageBreak/>
        <w:t xml:space="preserve">Appendix 1. </w:t>
      </w:r>
      <w:bookmarkStart w:id="133" w:name="_Toc282328711"/>
      <w:r w:rsidRPr="007562A8">
        <w:t>STIR Expert Group Members</w:t>
      </w:r>
      <w:bookmarkEnd w:id="133"/>
      <w:r w:rsidRPr="007562A8">
        <w:t xml:space="preserve"> (as of March 202</w:t>
      </w:r>
      <w:r>
        <w:t>2</w:t>
      </w:r>
      <w:r w:rsidRPr="007562A8">
        <w:t>)</w:t>
      </w:r>
      <w:bookmarkEnd w:id="131"/>
      <w:bookmarkEnd w:id="132"/>
    </w:p>
    <w:p w14:paraId="27AF5DE9" w14:textId="77777777" w:rsidR="007562A8" w:rsidRPr="007562A8" w:rsidRDefault="007562A8" w:rsidP="007562A8">
      <w:pPr>
        <w:pStyle w:val="Body"/>
      </w:pPr>
      <w:r w:rsidRPr="007562A8">
        <w:t>Dr Amanda Davis (chair), Consultant Haematologist, Alfred Hospital, Victoria</w:t>
      </w:r>
    </w:p>
    <w:p w14:paraId="0DB283D2" w14:textId="77777777" w:rsidR="007562A8" w:rsidRPr="007562A8" w:rsidRDefault="007562A8" w:rsidP="007562A8">
      <w:pPr>
        <w:pStyle w:val="Body"/>
      </w:pPr>
      <w:r w:rsidRPr="007562A8">
        <w:t>Ms Christine Akers, Transfusion Nurse, Blood Matters Program</w:t>
      </w:r>
    </w:p>
    <w:p w14:paraId="1477D068" w14:textId="77777777" w:rsidR="007562A8" w:rsidRPr="007562A8" w:rsidRDefault="007562A8" w:rsidP="007562A8">
      <w:pPr>
        <w:pStyle w:val="Body"/>
      </w:pPr>
      <w:r w:rsidRPr="007562A8">
        <w:t>Ms Linley Bielby, Program Manager, Blood Matters Program</w:t>
      </w:r>
    </w:p>
    <w:p w14:paraId="5382D356" w14:textId="77777777" w:rsidR="007562A8" w:rsidRPr="007562A8" w:rsidRDefault="007562A8" w:rsidP="007562A8">
      <w:pPr>
        <w:pStyle w:val="Body"/>
      </w:pPr>
      <w:r w:rsidRPr="007562A8">
        <w:t>Dr Philip Crispin, Consultant Haematologist, The Canberra Hospital, Australian Capital Territory</w:t>
      </w:r>
    </w:p>
    <w:p w14:paraId="5CF274DD" w14:textId="77777777" w:rsidR="007562A8" w:rsidRPr="007562A8" w:rsidRDefault="007562A8" w:rsidP="007562A8">
      <w:pPr>
        <w:pStyle w:val="Body"/>
      </w:pPr>
      <w:r w:rsidRPr="007562A8">
        <w:t>Dr Merrole Cole-Sinclair, Director of Haematology, St Vincent’s Hospital, Victoria</w:t>
      </w:r>
    </w:p>
    <w:p w14:paraId="5C7A2E55" w14:textId="77777777" w:rsidR="007562A8" w:rsidRPr="007562A8" w:rsidRDefault="007562A8" w:rsidP="007562A8">
      <w:pPr>
        <w:pStyle w:val="Body"/>
      </w:pPr>
      <w:r w:rsidRPr="007562A8">
        <w:t>Ms Bridget Glazebrook, Data Manager, Blood Matters Program</w:t>
      </w:r>
    </w:p>
    <w:p w14:paraId="565049DF" w14:textId="77777777" w:rsidR="007562A8" w:rsidRPr="007562A8" w:rsidRDefault="007562A8" w:rsidP="007562A8">
      <w:pPr>
        <w:pStyle w:val="Body"/>
      </w:pPr>
      <w:r w:rsidRPr="007562A8">
        <w:t>Mr Peter Beard, Data Manager, Blood Matters Program</w:t>
      </w:r>
    </w:p>
    <w:p w14:paraId="5A58E97F" w14:textId="77777777" w:rsidR="007562A8" w:rsidRPr="007562A8" w:rsidRDefault="007562A8" w:rsidP="007562A8">
      <w:pPr>
        <w:pStyle w:val="Body"/>
      </w:pPr>
      <w:r w:rsidRPr="007562A8">
        <w:t>Dr Chris Hogan, Director Pathology Services, Austin Health</w:t>
      </w:r>
    </w:p>
    <w:p w14:paraId="2002937E" w14:textId="77777777" w:rsidR="007562A8" w:rsidRPr="007562A8" w:rsidRDefault="007562A8" w:rsidP="007562A8">
      <w:pPr>
        <w:pStyle w:val="Body"/>
      </w:pPr>
      <w:r w:rsidRPr="007562A8">
        <w:t>Dr Ellen Maxwell, Director of Haematology, Melbourne Pathology, Victoria</w:t>
      </w:r>
    </w:p>
    <w:p w14:paraId="1DE100E6" w14:textId="77777777" w:rsidR="007562A8" w:rsidRPr="007562A8" w:rsidRDefault="007562A8" w:rsidP="007562A8">
      <w:pPr>
        <w:pStyle w:val="Body"/>
      </w:pPr>
      <w:r w:rsidRPr="007562A8">
        <w:t>Dr Tina Noutsos, Consultant Haematologist, Royal Darwin Hospital, Northern Territory</w:t>
      </w:r>
    </w:p>
    <w:p w14:paraId="5BEC2CE7" w14:textId="77777777" w:rsidR="007562A8" w:rsidRPr="007562A8" w:rsidRDefault="007562A8" w:rsidP="007562A8">
      <w:pPr>
        <w:pStyle w:val="Body"/>
      </w:pPr>
      <w:r w:rsidRPr="007562A8">
        <w:t>Dr Erica Wood Associate Professor, School of Public Health and Preventive Medicine Monash University, Victoria</w:t>
      </w:r>
    </w:p>
    <w:p w14:paraId="0E838059" w14:textId="77777777" w:rsidR="007562A8" w:rsidRPr="007562A8" w:rsidRDefault="007562A8" w:rsidP="007562A8">
      <w:pPr>
        <w:pStyle w:val="Body"/>
      </w:pPr>
      <w:r w:rsidRPr="007562A8">
        <w:t>Dr Giles Kelsey, Consultant Haematologist, Royal Melbourne Hospital &amp; Alfred Hospital, Victoria</w:t>
      </w:r>
    </w:p>
    <w:p w14:paraId="65DF956B" w14:textId="77777777" w:rsidR="007562A8" w:rsidRPr="007562A8" w:rsidRDefault="007562A8" w:rsidP="007562A8">
      <w:pPr>
        <w:pStyle w:val="Body"/>
      </w:pPr>
      <w:r w:rsidRPr="007562A8">
        <w:t xml:space="preserve">Dr Linda Saravanan, Haematologist, Melbourne Pathology </w:t>
      </w:r>
    </w:p>
    <w:p w14:paraId="4D7427D3" w14:textId="77777777" w:rsidR="007562A8" w:rsidRPr="007562A8" w:rsidRDefault="007562A8" w:rsidP="007562A8">
      <w:pPr>
        <w:pStyle w:val="Body"/>
      </w:pPr>
      <w:r w:rsidRPr="007562A8">
        <w:t>Ms Mary Comande, Blood Bank Scientist, Royal Children’s Hospital</w:t>
      </w:r>
    </w:p>
    <w:p w14:paraId="7C28B073" w14:textId="77777777" w:rsidR="007562A8" w:rsidRPr="007562A8" w:rsidRDefault="007562A8" w:rsidP="007562A8">
      <w:pPr>
        <w:pStyle w:val="Body"/>
      </w:pPr>
      <w:r w:rsidRPr="007562A8">
        <w:t xml:space="preserve">Dr James Daly, </w:t>
      </w:r>
      <w:r w:rsidRPr="007562A8">
        <w:rPr>
          <w:bCs/>
        </w:rPr>
        <w:t>Medical Director of Pathology Services</w:t>
      </w:r>
      <w:r w:rsidRPr="007562A8">
        <w:t xml:space="preserve">, Australian Red Cross Lifeblood </w:t>
      </w:r>
    </w:p>
    <w:p w14:paraId="40063412" w14:textId="77777777" w:rsidR="007562A8" w:rsidRPr="007562A8" w:rsidRDefault="007562A8" w:rsidP="007562A8">
      <w:pPr>
        <w:pStyle w:val="Body"/>
        <w:rPr>
          <w:bCs/>
        </w:rPr>
      </w:pPr>
      <w:r w:rsidRPr="007562A8">
        <w:t xml:space="preserve">Ms Kaylene Bastin, Patient Blood Management </w:t>
      </w:r>
      <w:r w:rsidRPr="007562A8">
        <w:rPr>
          <w:bCs/>
        </w:rPr>
        <w:t>Education Co-ordinator, Blood Matters Program, Victoria</w:t>
      </w:r>
    </w:p>
    <w:p w14:paraId="49087FF7" w14:textId="71279544" w:rsidR="007562A8" w:rsidRPr="007562A8" w:rsidRDefault="007562A8" w:rsidP="007562A8">
      <w:pPr>
        <w:pStyle w:val="Body"/>
        <w:rPr>
          <w:bCs/>
        </w:rPr>
      </w:pPr>
      <w:r w:rsidRPr="007562A8">
        <w:t xml:space="preserve">Dr Kobie </w:t>
      </w:r>
      <w:r w:rsidR="00275AB9">
        <w:t>v</w:t>
      </w:r>
      <w:r w:rsidRPr="007562A8">
        <w:t xml:space="preserve">on Wielligh, </w:t>
      </w:r>
      <w:r w:rsidRPr="007562A8">
        <w:rPr>
          <w:bCs/>
        </w:rPr>
        <w:t>Haematologist, Australian Red Cross Lifeblood</w:t>
      </w:r>
    </w:p>
    <w:p w14:paraId="6621F002" w14:textId="77777777" w:rsidR="007562A8" w:rsidRPr="007562A8" w:rsidRDefault="007562A8" w:rsidP="007562A8">
      <w:pPr>
        <w:pStyle w:val="Body"/>
      </w:pPr>
      <w:r w:rsidRPr="007562A8">
        <w:t xml:space="preserve">Ms Glenda Mann, </w:t>
      </w:r>
      <w:r w:rsidRPr="007562A8">
        <w:rPr>
          <w:bCs/>
        </w:rPr>
        <w:t>Blood Bank Scientist, Cabrini Health, Victoria</w:t>
      </w:r>
      <w:r w:rsidRPr="007562A8">
        <w:t xml:space="preserve"> </w:t>
      </w:r>
    </w:p>
    <w:p w14:paraId="3F016F4B" w14:textId="3258CA1F" w:rsidR="007562A8" w:rsidRDefault="007562A8" w:rsidP="007562A8">
      <w:pPr>
        <w:pStyle w:val="Body"/>
        <w:rPr>
          <w:bCs/>
        </w:rPr>
      </w:pPr>
      <w:r>
        <w:t>Dr Anna Hutchinson</w:t>
      </w:r>
      <w:r w:rsidRPr="007562A8">
        <w:t xml:space="preserve">, </w:t>
      </w:r>
      <w:r w:rsidRPr="007562A8">
        <w:rPr>
          <w:bCs/>
        </w:rPr>
        <w:t xml:space="preserve">Haematologist, </w:t>
      </w:r>
      <w:r>
        <w:rPr>
          <w:bCs/>
        </w:rPr>
        <w:t>Royal Hobart</w:t>
      </w:r>
      <w:r w:rsidRPr="007562A8">
        <w:rPr>
          <w:bCs/>
        </w:rPr>
        <w:t xml:space="preserve"> Hospital, Tasmania</w:t>
      </w:r>
    </w:p>
    <w:p w14:paraId="4D408C56" w14:textId="0015E6AF" w:rsidR="00556AC0" w:rsidRDefault="00556AC0" w:rsidP="007562A8">
      <w:pPr>
        <w:pStyle w:val="Body"/>
        <w:rPr>
          <w:bCs/>
        </w:rPr>
      </w:pPr>
      <w:r>
        <w:rPr>
          <w:bCs/>
        </w:rPr>
        <w:t>Ms Rae French, Scientist, Blood Matters program, Victoria</w:t>
      </w:r>
    </w:p>
    <w:p w14:paraId="633F81F1" w14:textId="7990CF7C" w:rsidR="00556AC0" w:rsidRPr="007562A8" w:rsidRDefault="00556AC0" w:rsidP="007562A8">
      <w:pPr>
        <w:pStyle w:val="Body"/>
        <w:rPr>
          <w:bCs/>
        </w:rPr>
      </w:pPr>
      <w:r>
        <w:rPr>
          <w:bCs/>
        </w:rPr>
        <w:t>Ms Meryanda Jodoin, Transfusion Clinical Nurse Consultant, Quality &amp; Risk, Bendigo Health</w:t>
      </w:r>
    </w:p>
    <w:p w14:paraId="6068FC17" w14:textId="26DBCC22" w:rsidR="00556AC0" w:rsidRDefault="00556AC0" w:rsidP="003C414C">
      <w:pPr>
        <w:pStyle w:val="Body"/>
      </w:pPr>
    </w:p>
    <w:p w14:paraId="59330D97" w14:textId="5B4348EF" w:rsidR="00556AC0" w:rsidRDefault="00556AC0" w:rsidP="003C414C">
      <w:pPr>
        <w:pStyle w:val="Body"/>
      </w:pPr>
    </w:p>
    <w:p w14:paraId="3F51E0C0" w14:textId="05840F0B" w:rsidR="00556AC0" w:rsidRDefault="00556AC0" w:rsidP="003C414C">
      <w:pPr>
        <w:pStyle w:val="Body"/>
      </w:pPr>
    </w:p>
    <w:p w14:paraId="3641DADC" w14:textId="7A2BE8E4" w:rsidR="00556AC0" w:rsidRDefault="00556AC0" w:rsidP="003C414C">
      <w:pPr>
        <w:pStyle w:val="Body"/>
      </w:pPr>
    </w:p>
    <w:p w14:paraId="01927356" w14:textId="72F770EB" w:rsidR="00556AC0" w:rsidRDefault="00556AC0" w:rsidP="003C414C">
      <w:pPr>
        <w:pStyle w:val="Body"/>
      </w:pPr>
    </w:p>
    <w:p w14:paraId="19B3EA20" w14:textId="042DAA43" w:rsidR="00556AC0" w:rsidRDefault="00556AC0" w:rsidP="003C414C">
      <w:pPr>
        <w:pStyle w:val="Body"/>
      </w:pPr>
    </w:p>
    <w:p w14:paraId="66E96D75" w14:textId="41D24101" w:rsidR="00556AC0" w:rsidRDefault="00556AC0" w:rsidP="003C414C">
      <w:pPr>
        <w:pStyle w:val="Body"/>
      </w:pPr>
    </w:p>
    <w:p w14:paraId="3A14A200" w14:textId="6854FA97" w:rsidR="00556AC0" w:rsidRDefault="00556AC0" w:rsidP="003C414C">
      <w:pPr>
        <w:pStyle w:val="Body"/>
      </w:pPr>
    </w:p>
    <w:p w14:paraId="2C0F59D4" w14:textId="77777777" w:rsidR="00556AC0" w:rsidRPr="00556AC0" w:rsidRDefault="00556AC0" w:rsidP="00556AC0">
      <w:pPr>
        <w:pStyle w:val="Heading1"/>
      </w:pPr>
      <w:bookmarkStart w:id="134" w:name="_Toc44500289"/>
      <w:bookmarkStart w:id="135" w:name="_Toc109649991"/>
      <w:r w:rsidRPr="00556AC0">
        <w:lastRenderedPageBreak/>
        <w:t>Appendix 2. STIR reporting flowchart</w:t>
      </w:r>
      <w:bookmarkEnd w:id="134"/>
      <w:bookmarkEnd w:id="135"/>
    </w:p>
    <w:p w14:paraId="1F1E69C5" w14:textId="3E5E0CFD" w:rsidR="00556AC0" w:rsidRPr="003C414C" w:rsidRDefault="000D0F8D" w:rsidP="003C414C">
      <w:pPr>
        <w:pStyle w:val="Body"/>
      </w:pPr>
      <w:r>
        <w:rPr>
          <w:noProof/>
        </w:rPr>
        <w:drawing>
          <wp:inline distT="0" distB="0" distL="0" distR="0" wp14:anchorId="39251B7B" wp14:editId="282E381B">
            <wp:extent cx="6430463" cy="7131050"/>
            <wp:effectExtent l="0" t="0" r="8890" b="0"/>
            <wp:docPr id="1" name="Picture 1" descr="Flow chart describing the steps required by health services to report to Blood Matters and then Blood Matters role in receiving the report and returning the investigation form back to the health service for completion and returning to Blood Matters for validation and inclusion in the annua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 chart describing the steps required by health services to report to Blood Matters and then Blood Matters role in receiving the report and returning the investigation form back to the health service for completion and returning to Blood Matters for validation and inclusion in the annual report."/>
                    <pic:cNvPicPr/>
                  </pic:nvPicPr>
                  <pic:blipFill>
                    <a:blip r:embed="rId23"/>
                    <a:stretch>
                      <a:fillRect/>
                    </a:stretch>
                  </pic:blipFill>
                  <pic:spPr>
                    <a:xfrm>
                      <a:off x="0" y="0"/>
                      <a:ext cx="6438267" cy="7139704"/>
                    </a:xfrm>
                    <a:prstGeom prst="rect">
                      <a:avLst/>
                    </a:prstGeom>
                  </pic:spPr>
                </pic:pic>
              </a:graphicData>
            </a:graphic>
          </wp:inline>
        </w:drawing>
      </w:r>
      <w:bookmarkEnd w:id="5"/>
    </w:p>
    <w:sectPr w:rsidR="00556AC0" w:rsidRPr="003C414C" w:rsidSect="00454A7D">
      <w:headerReference w:type="even" r:id="rId24"/>
      <w:headerReference w:type="default" r:id="rId25"/>
      <w:footerReference w:type="even" r:id="rId26"/>
      <w:footerReference w:type="default" r:id="rId27"/>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730E6" w14:textId="77777777" w:rsidR="00E23F74" w:rsidRDefault="00E23F74">
      <w:r>
        <w:separator/>
      </w:r>
    </w:p>
    <w:p w14:paraId="332BBF4C" w14:textId="77777777" w:rsidR="00E23F74" w:rsidRDefault="00E23F74"/>
  </w:endnote>
  <w:endnote w:type="continuationSeparator" w:id="0">
    <w:p w14:paraId="049E613D" w14:textId="77777777" w:rsidR="00E23F74" w:rsidRDefault="00E23F74">
      <w:r>
        <w:continuationSeparator/>
      </w:r>
    </w:p>
    <w:p w14:paraId="4B0524E5" w14:textId="77777777" w:rsidR="00E23F74" w:rsidRDefault="00E23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6711" w14:textId="77777777" w:rsidR="0011330C" w:rsidRDefault="00113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B278" w14:textId="58AD9CD4" w:rsidR="00431A70" w:rsidRDefault="0011330C">
    <w:pPr>
      <w:pStyle w:val="Footer"/>
    </w:pPr>
    <w:r>
      <w:rPr>
        <w:noProof/>
      </w:rPr>
      <mc:AlternateContent>
        <mc:Choice Requires="wps">
          <w:drawing>
            <wp:anchor distT="0" distB="0" distL="114300" distR="114300" simplePos="0" relativeHeight="251659264" behindDoc="0" locked="0" layoutInCell="0" allowOverlap="1" wp14:anchorId="17664563" wp14:editId="3EF3AD4F">
              <wp:simplePos x="0" y="0"/>
              <wp:positionH relativeFrom="page">
                <wp:posOffset>0</wp:posOffset>
              </wp:positionH>
              <wp:positionV relativeFrom="page">
                <wp:posOffset>10189210</wp:posOffset>
              </wp:positionV>
              <wp:extent cx="7560310" cy="311785"/>
              <wp:effectExtent l="0" t="0" r="0" b="12065"/>
              <wp:wrapNone/>
              <wp:docPr id="3" name="MSIPCMf21641f8ab5ebc8aea816c1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9CFCD" w14:textId="6585127B" w:rsidR="0011330C" w:rsidRPr="0011330C" w:rsidRDefault="0011330C" w:rsidP="0011330C">
                          <w:pPr>
                            <w:spacing w:after="0"/>
                            <w:jc w:val="center"/>
                            <w:rPr>
                              <w:rFonts w:ascii="Arial Black" w:hAnsi="Arial Black"/>
                              <w:color w:val="000000"/>
                              <w:sz w:val="20"/>
                            </w:rPr>
                          </w:pPr>
                          <w:r w:rsidRPr="0011330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664563" id="_x0000_t202" coordsize="21600,21600" o:spt="202" path="m,l,21600r21600,l21600,xe">
              <v:stroke joinstyle="miter"/>
              <v:path gradientshapeok="t" o:connecttype="rect"/>
            </v:shapetype>
            <v:shape id="MSIPCMf21641f8ab5ebc8aea816c18"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68B9CFCD" w14:textId="6585127B" w:rsidR="0011330C" w:rsidRPr="0011330C" w:rsidRDefault="0011330C" w:rsidP="0011330C">
                    <w:pPr>
                      <w:spacing w:after="0"/>
                      <w:jc w:val="center"/>
                      <w:rPr>
                        <w:rFonts w:ascii="Arial Black" w:hAnsi="Arial Black"/>
                        <w:color w:val="000000"/>
                        <w:sz w:val="20"/>
                      </w:rPr>
                    </w:pPr>
                    <w:r w:rsidRPr="0011330C">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BBF4" w14:textId="067E6B34" w:rsidR="00EB4BC7" w:rsidRDefault="0011330C">
    <w:pPr>
      <w:pStyle w:val="Footer"/>
    </w:pPr>
    <w:r>
      <w:rPr>
        <w:noProof/>
      </w:rPr>
      <mc:AlternateContent>
        <mc:Choice Requires="wps">
          <w:drawing>
            <wp:anchor distT="0" distB="0" distL="114300" distR="114300" simplePos="0" relativeHeight="251660288" behindDoc="0" locked="0" layoutInCell="0" allowOverlap="1" wp14:anchorId="3AE35294" wp14:editId="79FE6971">
              <wp:simplePos x="0" y="0"/>
              <wp:positionH relativeFrom="page">
                <wp:posOffset>0</wp:posOffset>
              </wp:positionH>
              <wp:positionV relativeFrom="page">
                <wp:posOffset>10189210</wp:posOffset>
              </wp:positionV>
              <wp:extent cx="7560310" cy="311785"/>
              <wp:effectExtent l="0" t="0" r="0" b="12065"/>
              <wp:wrapNone/>
              <wp:docPr id="9" name="MSIPCMa2dd415ba21ba92ecb7fbd4d"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CDB16C" w14:textId="28C02102" w:rsidR="0011330C" w:rsidRPr="0011330C" w:rsidRDefault="0011330C" w:rsidP="0011330C">
                          <w:pPr>
                            <w:spacing w:after="0"/>
                            <w:jc w:val="center"/>
                            <w:rPr>
                              <w:rFonts w:ascii="Arial Black" w:hAnsi="Arial Black"/>
                              <w:color w:val="000000"/>
                              <w:sz w:val="20"/>
                            </w:rPr>
                          </w:pPr>
                          <w:r w:rsidRPr="0011330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E35294" id="_x0000_t202" coordsize="21600,21600" o:spt="202" path="m,l,21600r21600,l21600,xe">
              <v:stroke joinstyle="miter"/>
              <v:path gradientshapeok="t" o:connecttype="rect"/>
            </v:shapetype>
            <v:shape id="MSIPCMa2dd415ba21ba92ecb7fbd4d"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5CDB16C" w14:textId="28C02102" w:rsidR="0011330C" w:rsidRPr="0011330C" w:rsidRDefault="0011330C" w:rsidP="0011330C">
                    <w:pPr>
                      <w:spacing w:after="0"/>
                      <w:jc w:val="center"/>
                      <w:rPr>
                        <w:rFonts w:ascii="Arial Black" w:hAnsi="Arial Black"/>
                        <w:color w:val="000000"/>
                        <w:sz w:val="20"/>
                      </w:rPr>
                    </w:pPr>
                    <w:r w:rsidRPr="0011330C">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8CC2" w14:textId="38AA2B5A" w:rsidR="00D63636" w:rsidRDefault="00D636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AC90" w14:textId="5693D75E" w:rsidR="00431A70" w:rsidRDefault="0011330C">
    <w:pPr>
      <w:pStyle w:val="Footer"/>
    </w:pPr>
    <w:r>
      <w:rPr>
        <w:noProof/>
      </w:rPr>
      <mc:AlternateContent>
        <mc:Choice Requires="wps">
          <w:drawing>
            <wp:anchor distT="0" distB="0" distL="114300" distR="114300" simplePos="0" relativeHeight="251661312" behindDoc="0" locked="0" layoutInCell="0" allowOverlap="1" wp14:anchorId="00BA096B" wp14:editId="36552D0D">
              <wp:simplePos x="0" y="0"/>
              <wp:positionH relativeFrom="page">
                <wp:posOffset>0</wp:posOffset>
              </wp:positionH>
              <wp:positionV relativeFrom="page">
                <wp:posOffset>10189210</wp:posOffset>
              </wp:positionV>
              <wp:extent cx="7560310" cy="311785"/>
              <wp:effectExtent l="0" t="0" r="0" b="12065"/>
              <wp:wrapNone/>
              <wp:docPr id="10" name="MSIPCM1c3f4f7d9630676c232a63d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0046D0" w14:textId="248EBC04" w:rsidR="0011330C" w:rsidRPr="0011330C" w:rsidRDefault="0011330C" w:rsidP="0011330C">
                          <w:pPr>
                            <w:spacing w:after="0"/>
                            <w:jc w:val="center"/>
                            <w:rPr>
                              <w:rFonts w:ascii="Arial Black" w:hAnsi="Arial Black"/>
                              <w:color w:val="000000"/>
                              <w:sz w:val="20"/>
                            </w:rPr>
                          </w:pPr>
                          <w:r w:rsidRPr="0011330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BA096B" id="_x0000_t202" coordsize="21600,21600" o:spt="202" path="m,l,21600r21600,l21600,xe">
              <v:stroke joinstyle="miter"/>
              <v:path gradientshapeok="t" o:connecttype="rect"/>
            </v:shapetype>
            <v:shape id="MSIPCM1c3f4f7d9630676c232a63d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5A0046D0" w14:textId="248EBC04" w:rsidR="0011330C" w:rsidRPr="0011330C" w:rsidRDefault="0011330C" w:rsidP="0011330C">
                    <w:pPr>
                      <w:spacing w:after="0"/>
                      <w:jc w:val="center"/>
                      <w:rPr>
                        <w:rFonts w:ascii="Arial Black" w:hAnsi="Arial Black"/>
                        <w:color w:val="000000"/>
                        <w:sz w:val="20"/>
                      </w:rPr>
                    </w:pPr>
                    <w:r w:rsidRPr="0011330C">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FDA2" w14:textId="77777777" w:rsidR="00E23F74" w:rsidRDefault="00E23F74" w:rsidP="00207717">
      <w:pPr>
        <w:spacing w:before="120"/>
      </w:pPr>
      <w:r>
        <w:separator/>
      </w:r>
    </w:p>
  </w:footnote>
  <w:footnote w:type="continuationSeparator" w:id="0">
    <w:p w14:paraId="44DBE997" w14:textId="77777777" w:rsidR="00E23F74" w:rsidRDefault="00E23F74">
      <w:r>
        <w:continuationSeparator/>
      </w:r>
    </w:p>
    <w:p w14:paraId="439D2191" w14:textId="77777777" w:rsidR="00E23F74" w:rsidRDefault="00E23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2433" w14:textId="77777777" w:rsidR="0011330C" w:rsidRDefault="00113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A5DA6" w14:textId="77777777" w:rsidR="0011330C" w:rsidRDefault="00113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4381" w14:textId="77777777" w:rsidR="0011330C" w:rsidRDefault="001133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7201"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723E7" w14:textId="4485F710" w:rsidR="00562811" w:rsidRPr="0051568D" w:rsidRDefault="00164ECA" w:rsidP="0017674D">
    <w:pPr>
      <w:pStyle w:val="Header"/>
    </w:pPr>
    <w:r>
      <w:t>STIR guide 2022</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A800A53"/>
    <w:multiLevelType w:val="hybridMultilevel"/>
    <w:tmpl w:val="8A764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0D6EBC"/>
    <w:multiLevelType w:val="hybridMultilevel"/>
    <w:tmpl w:val="F034B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C7B51"/>
    <w:multiLevelType w:val="hybridMultilevel"/>
    <w:tmpl w:val="4AC01D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4C1EDC"/>
    <w:multiLevelType w:val="hybridMultilevel"/>
    <w:tmpl w:val="7F9CE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890C06"/>
    <w:multiLevelType w:val="hybridMultilevel"/>
    <w:tmpl w:val="EB3C2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A04F6C"/>
    <w:multiLevelType w:val="hybridMultilevel"/>
    <w:tmpl w:val="6172B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4186D"/>
    <w:multiLevelType w:val="hybridMultilevel"/>
    <w:tmpl w:val="96025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654CF"/>
    <w:multiLevelType w:val="hybridMultilevel"/>
    <w:tmpl w:val="83E8E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E86179"/>
    <w:multiLevelType w:val="hybridMultilevel"/>
    <w:tmpl w:val="5FCA3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CC70FB"/>
    <w:multiLevelType w:val="hybridMultilevel"/>
    <w:tmpl w:val="477E2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023327"/>
    <w:multiLevelType w:val="hybridMultilevel"/>
    <w:tmpl w:val="5920B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D14E50"/>
    <w:multiLevelType w:val="hybridMultilevel"/>
    <w:tmpl w:val="19982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F0267E2"/>
    <w:multiLevelType w:val="hybridMultilevel"/>
    <w:tmpl w:val="13DC20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7845A93"/>
    <w:multiLevelType w:val="hybridMultilevel"/>
    <w:tmpl w:val="EC88A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540F8C"/>
    <w:multiLevelType w:val="hybridMultilevel"/>
    <w:tmpl w:val="57CC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D7A5C31"/>
    <w:multiLevelType w:val="hybridMultilevel"/>
    <w:tmpl w:val="1D2A5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080A2E"/>
    <w:multiLevelType w:val="hybridMultilevel"/>
    <w:tmpl w:val="7AB28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347908"/>
    <w:multiLevelType w:val="hybridMultilevel"/>
    <w:tmpl w:val="E98AE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1D36EC0"/>
    <w:multiLevelType w:val="hybridMultilevel"/>
    <w:tmpl w:val="25348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296DAB"/>
    <w:multiLevelType w:val="hybridMultilevel"/>
    <w:tmpl w:val="35E6FF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8349">
    <w:abstractNumId w:val="14"/>
  </w:num>
  <w:num w:numId="2" w16cid:durableId="809712675">
    <w:abstractNumId w:val="20"/>
  </w:num>
  <w:num w:numId="3" w16cid:durableId="990871191">
    <w:abstractNumId w:val="19"/>
  </w:num>
  <w:num w:numId="4" w16cid:durableId="2073309922">
    <w:abstractNumId w:val="24"/>
  </w:num>
  <w:num w:numId="5" w16cid:durableId="1691687621">
    <w:abstractNumId w:val="15"/>
  </w:num>
  <w:num w:numId="6" w16cid:durableId="1117749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8118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14259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5456865">
    <w:abstractNumId w:val="2"/>
  </w:num>
  <w:num w:numId="10" w16cid:durableId="2105803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3140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7378930">
    <w:abstractNumId w:val="27"/>
  </w:num>
  <w:num w:numId="13" w16cid:durableId="57753486">
    <w:abstractNumId w:val="16"/>
  </w:num>
  <w:num w:numId="14" w16cid:durableId="2070222848">
    <w:abstractNumId w:val="6"/>
  </w:num>
  <w:num w:numId="15" w16cid:durableId="1231309984">
    <w:abstractNumId w:val="12"/>
  </w:num>
  <w:num w:numId="16" w16cid:durableId="1390424825">
    <w:abstractNumId w:val="22"/>
  </w:num>
  <w:num w:numId="17" w16cid:durableId="748382757">
    <w:abstractNumId w:val="3"/>
  </w:num>
  <w:num w:numId="18" w16cid:durableId="1523863976">
    <w:abstractNumId w:val="10"/>
  </w:num>
  <w:num w:numId="19" w16cid:durableId="836580498">
    <w:abstractNumId w:val="18"/>
  </w:num>
  <w:num w:numId="20" w16cid:durableId="219295834">
    <w:abstractNumId w:val="4"/>
  </w:num>
  <w:num w:numId="21" w16cid:durableId="813639640">
    <w:abstractNumId w:val="8"/>
  </w:num>
  <w:num w:numId="22" w16cid:durableId="467741292">
    <w:abstractNumId w:val="9"/>
  </w:num>
  <w:num w:numId="23" w16cid:durableId="840509704">
    <w:abstractNumId w:val="17"/>
  </w:num>
  <w:num w:numId="24" w16cid:durableId="1140002810">
    <w:abstractNumId w:val="25"/>
  </w:num>
  <w:num w:numId="25" w16cid:durableId="779642075">
    <w:abstractNumId w:val="11"/>
  </w:num>
  <w:num w:numId="26" w16cid:durableId="1629627253">
    <w:abstractNumId w:val="5"/>
  </w:num>
  <w:num w:numId="27" w16cid:durableId="1902206494">
    <w:abstractNumId w:val="13"/>
  </w:num>
  <w:num w:numId="28" w16cid:durableId="1734812450">
    <w:abstractNumId w:val="1"/>
  </w:num>
  <w:num w:numId="29" w16cid:durableId="284850570">
    <w:abstractNumId w:val="7"/>
  </w:num>
  <w:num w:numId="30" w16cid:durableId="877283041">
    <w:abstractNumId w:val="23"/>
  </w:num>
  <w:num w:numId="31" w16cid:durableId="1715039143">
    <w:abstractNumId w:val="21"/>
  </w:num>
  <w:num w:numId="32" w16cid:durableId="1144589301">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06"/>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578E6"/>
    <w:rsid w:val="00060959"/>
    <w:rsid w:val="00060C8F"/>
    <w:rsid w:val="0006298A"/>
    <w:rsid w:val="000663CD"/>
    <w:rsid w:val="000733FE"/>
    <w:rsid w:val="00074219"/>
    <w:rsid w:val="00074ED5"/>
    <w:rsid w:val="0008204A"/>
    <w:rsid w:val="0008508E"/>
    <w:rsid w:val="00087951"/>
    <w:rsid w:val="0009113B"/>
    <w:rsid w:val="00093402"/>
    <w:rsid w:val="00094DA3"/>
    <w:rsid w:val="0009598D"/>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F8D"/>
    <w:rsid w:val="000D1242"/>
    <w:rsid w:val="000D2ABA"/>
    <w:rsid w:val="000E0970"/>
    <w:rsid w:val="000E3CC7"/>
    <w:rsid w:val="000E6BD4"/>
    <w:rsid w:val="000E6D6D"/>
    <w:rsid w:val="000F1F1E"/>
    <w:rsid w:val="000F2259"/>
    <w:rsid w:val="000F2DDA"/>
    <w:rsid w:val="000F2EA0"/>
    <w:rsid w:val="000F5213"/>
    <w:rsid w:val="000F5592"/>
    <w:rsid w:val="00101001"/>
    <w:rsid w:val="00103276"/>
    <w:rsid w:val="0010392D"/>
    <w:rsid w:val="0010447F"/>
    <w:rsid w:val="00104FE3"/>
    <w:rsid w:val="0010714F"/>
    <w:rsid w:val="00107559"/>
    <w:rsid w:val="001120C5"/>
    <w:rsid w:val="0011330C"/>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4ECA"/>
    <w:rsid w:val="00165459"/>
    <w:rsid w:val="00165A57"/>
    <w:rsid w:val="001712C2"/>
    <w:rsid w:val="00172BAF"/>
    <w:rsid w:val="0017674D"/>
    <w:rsid w:val="001771DD"/>
    <w:rsid w:val="00177995"/>
    <w:rsid w:val="00177A46"/>
    <w:rsid w:val="00177A8C"/>
    <w:rsid w:val="0018244E"/>
    <w:rsid w:val="00186B33"/>
    <w:rsid w:val="001920FB"/>
    <w:rsid w:val="00192F9D"/>
    <w:rsid w:val="00196EB8"/>
    <w:rsid w:val="00196EFB"/>
    <w:rsid w:val="001979FF"/>
    <w:rsid w:val="00197B17"/>
    <w:rsid w:val="001A1950"/>
    <w:rsid w:val="001A1C54"/>
    <w:rsid w:val="001A3ACE"/>
    <w:rsid w:val="001A4DE5"/>
    <w:rsid w:val="001A6272"/>
    <w:rsid w:val="001B058F"/>
    <w:rsid w:val="001B6B96"/>
    <w:rsid w:val="001B738B"/>
    <w:rsid w:val="001C0031"/>
    <w:rsid w:val="001C09DB"/>
    <w:rsid w:val="001C277E"/>
    <w:rsid w:val="001C2A72"/>
    <w:rsid w:val="001C31B7"/>
    <w:rsid w:val="001D0B75"/>
    <w:rsid w:val="001D39A5"/>
    <w:rsid w:val="001D3C09"/>
    <w:rsid w:val="001D3EA7"/>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4397"/>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5AB9"/>
    <w:rsid w:val="002763B3"/>
    <w:rsid w:val="002802E3"/>
    <w:rsid w:val="0028213D"/>
    <w:rsid w:val="002862F1"/>
    <w:rsid w:val="00291373"/>
    <w:rsid w:val="0029597D"/>
    <w:rsid w:val="002962C3"/>
    <w:rsid w:val="0029752B"/>
    <w:rsid w:val="002A0A9C"/>
    <w:rsid w:val="002A437A"/>
    <w:rsid w:val="002A483C"/>
    <w:rsid w:val="002B0C7C"/>
    <w:rsid w:val="002B1729"/>
    <w:rsid w:val="002B36C7"/>
    <w:rsid w:val="002B4DD4"/>
    <w:rsid w:val="002B4EA7"/>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0D92"/>
    <w:rsid w:val="003418CC"/>
    <w:rsid w:val="003434EE"/>
    <w:rsid w:val="00344931"/>
    <w:rsid w:val="003459BD"/>
    <w:rsid w:val="00350D38"/>
    <w:rsid w:val="00351B36"/>
    <w:rsid w:val="00357B4E"/>
    <w:rsid w:val="003716FD"/>
    <w:rsid w:val="0037204B"/>
    <w:rsid w:val="003744CF"/>
    <w:rsid w:val="00374717"/>
    <w:rsid w:val="0037676C"/>
    <w:rsid w:val="00381043"/>
    <w:rsid w:val="003829E5"/>
    <w:rsid w:val="00386109"/>
    <w:rsid w:val="00386944"/>
    <w:rsid w:val="00390432"/>
    <w:rsid w:val="003956CC"/>
    <w:rsid w:val="00395C9A"/>
    <w:rsid w:val="003A0853"/>
    <w:rsid w:val="003A6B67"/>
    <w:rsid w:val="003B13B6"/>
    <w:rsid w:val="003B14C3"/>
    <w:rsid w:val="003B15E6"/>
    <w:rsid w:val="003B22EF"/>
    <w:rsid w:val="003B408A"/>
    <w:rsid w:val="003C08A2"/>
    <w:rsid w:val="003C2045"/>
    <w:rsid w:val="003C414C"/>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57B7E"/>
    <w:rsid w:val="00462E3D"/>
    <w:rsid w:val="00466E79"/>
    <w:rsid w:val="00470D7D"/>
    <w:rsid w:val="0047372D"/>
    <w:rsid w:val="00473BA3"/>
    <w:rsid w:val="004743DD"/>
    <w:rsid w:val="00474CEA"/>
    <w:rsid w:val="004801A4"/>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248C"/>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BC"/>
    <w:rsid w:val="00543BCC"/>
    <w:rsid w:val="00543F11"/>
    <w:rsid w:val="00544135"/>
    <w:rsid w:val="00546305"/>
    <w:rsid w:val="00547A95"/>
    <w:rsid w:val="0055119B"/>
    <w:rsid w:val="00556AC0"/>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6917"/>
    <w:rsid w:val="005D07B8"/>
    <w:rsid w:val="005D6597"/>
    <w:rsid w:val="005E14E7"/>
    <w:rsid w:val="005E26A3"/>
    <w:rsid w:val="005E2ECB"/>
    <w:rsid w:val="005E447E"/>
    <w:rsid w:val="005E4FD1"/>
    <w:rsid w:val="005E5C06"/>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C1F46"/>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562A8"/>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30A"/>
    <w:rsid w:val="007D5E1C"/>
    <w:rsid w:val="007E0DE2"/>
    <w:rsid w:val="007E1F0D"/>
    <w:rsid w:val="007E3667"/>
    <w:rsid w:val="007E3B98"/>
    <w:rsid w:val="007E417A"/>
    <w:rsid w:val="007E548D"/>
    <w:rsid w:val="007F31B6"/>
    <w:rsid w:val="007F5201"/>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6EB8"/>
    <w:rsid w:val="00867D9D"/>
    <w:rsid w:val="00872E0A"/>
    <w:rsid w:val="00873594"/>
    <w:rsid w:val="00875285"/>
    <w:rsid w:val="00882DEC"/>
    <w:rsid w:val="00884B62"/>
    <w:rsid w:val="0088529C"/>
    <w:rsid w:val="00887214"/>
    <w:rsid w:val="00887903"/>
    <w:rsid w:val="0089270A"/>
    <w:rsid w:val="00893AF6"/>
    <w:rsid w:val="00894683"/>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0745"/>
    <w:rsid w:val="009017AC"/>
    <w:rsid w:val="00902A9A"/>
    <w:rsid w:val="00904A1C"/>
    <w:rsid w:val="00905030"/>
    <w:rsid w:val="00906490"/>
    <w:rsid w:val="009111B2"/>
    <w:rsid w:val="009151F5"/>
    <w:rsid w:val="00915BEC"/>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77D59"/>
    <w:rsid w:val="00982454"/>
    <w:rsid w:val="00982CF0"/>
    <w:rsid w:val="009853E1"/>
    <w:rsid w:val="00986E6B"/>
    <w:rsid w:val="00990032"/>
    <w:rsid w:val="00990B19"/>
    <w:rsid w:val="0099153B"/>
    <w:rsid w:val="00991769"/>
    <w:rsid w:val="0099232C"/>
    <w:rsid w:val="00994386"/>
    <w:rsid w:val="009A08DB"/>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034"/>
    <w:rsid w:val="00A1389F"/>
    <w:rsid w:val="00A13B7A"/>
    <w:rsid w:val="00A157B1"/>
    <w:rsid w:val="00A22229"/>
    <w:rsid w:val="00A24442"/>
    <w:rsid w:val="00A24A69"/>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383E"/>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361E"/>
    <w:rsid w:val="00B3588E"/>
    <w:rsid w:val="00B4198F"/>
    <w:rsid w:val="00B41F3D"/>
    <w:rsid w:val="00B431E8"/>
    <w:rsid w:val="00B45141"/>
    <w:rsid w:val="00B46222"/>
    <w:rsid w:val="00B519CD"/>
    <w:rsid w:val="00B5273A"/>
    <w:rsid w:val="00B57329"/>
    <w:rsid w:val="00B60E61"/>
    <w:rsid w:val="00B62B50"/>
    <w:rsid w:val="00B635B7"/>
    <w:rsid w:val="00B63AE8"/>
    <w:rsid w:val="00B65950"/>
    <w:rsid w:val="00B66D83"/>
    <w:rsid w:val="00B672C0"/>
    <w:rsid w:val="00B676FD"/>
    <w:rsid w:val="00B678B6"/>
    <w:rsid w:val="00B74178"/>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118"/>
    <w:rsid w:val="00BC7468"/>
    <w:rsid w:val="00BC7D4F"/>
    <w:rsid w:val="00BC7ED7"/>
    <w:rsid w:val="00BD2850"/>
    <w:rsid w:val="00BE28D2"/>
    <w:rsid w:val="00BE4A64"/>
    <w:rsid w:val="00BE5E43"/>
    <w:rsid w:val="00BF0D32"/>
    <w:rsid w:val="00BF557D"/>
    <w:rsid w:val="00BF59E7"/>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1E05"/>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523A"/>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8E1"/>
    <w:rsid w:val="00DC090B"/>
    <w:rsid w:val="00DC1679"/>
    <w:rsid w:val="00DC219B"/>
    <w:rsid w:val="00DC2CF1"/>
    <w:rsid w:val="00DC2DC7"/>
    <w:rsid w:val="00DC2EA0"/>
    <w:rsid w:val="00DC3A7C"/>
    <w:rsid w:val="00DC4FCF"/>
    <w:rsid w:val="00DC50E0"/>
    <w:rsid w:val="00DC6386"/>
    <w:rsid w:val="00DC7DCA"/>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3F74"/>
    <w:rsid w:val="00E261B3"/>
    <w:rsid w:val="00E26818"/>
    <w:rsid w:val="00E27FFC"/>
    <w:rsid w:val="00E30B15"/>
    <w:rsid w:val="00E317DD"/>
    <w:rsid w:val="00E33237"/>
    <w:rsid w:val="00E40181"/>
    <w:rsid w:val="00E54950"/>
    <w:rsid w:val="00E55FB3"/>
    <w:rsid w:val="00E56A01"/>
    <w:rsid w:val="00E629A1"/>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428C"/>
    <w:rsid w:val="00EF59A3"/>
    <w:rsid w:val="00EF6675"/>
    <w:rsid w:val="00F0063D"/>
    <w:rsid w:val="00F00F9C"/>
    <w:rsid w:val="00F01E5F"/>
    <w:rsid w:val="00F024F3"/>
    <w:rsid w:val="00F02ABA"/>
    <w:rsid w:val="00F0437A"/>
    <w:rsid w:val="00F101B8"/>
    <w:rsid w:val="00F11037"/>
    <w:rsid w:val="00F16F1B"/>
    <w:rsid w:val="00F17261"/>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27B8"/>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D95A7"/>
  <w15:docId w15:val="{8E5DE53A-815A-4790-BF8D-38067DBC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977D59"/>
    <w:pPr>
      <w:keepNext/>
      <w:keepLines/>
      <w:spacing w:before="520" w:after="240" w:line="480" w:lineRule="atLeast"/>
      <w:outlineLvl w:val="0"/>
    </w:pPr>
    <w:rPr>
      <w:rFonts w:ascii="Arial" w:eastAsia="MS Gothic" w:hAnsi="Arial" w:cs="Arial"/>
      <w:bCs/>
      <w:color w:val="AF272F"/>
      <w:kern w:val="32"/>
      <w:sz w:val="44"/>
      <w:szCs w:val="44"/>
      <w:lang w:eastAsia="en-US"/>
    </w:rPr>
  </w:style>
  <w:style w:type="paragraph" w:styleId="Heading2">
    <w:name w:val="heading 2"/>
    <w:next w:val="Body"/>
    <w:link w:val="Heading2Char"/>
    <w:uiPriority w:val="1"/>
    <w:qFormat/>
    <w:rsid w:val="006C1F46"/>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6C1F46"/>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6C1F46"/>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77D59"/>
    <w:rPr>
      <w:rFonts w:ascii="Arial" w:eastAsia="MS Gothic" w:hAnsi="Arial" w:cs="Arial"/>
      <w:bCs/>
      <w:color w:val="AF272F"/>
      <w:kern w:val="32"/>
      <w:sz w:val="44"/>
      <w:szCs w:val="44"/>
      <w:lang w:eastAsia="en-US"/>
    </w:rPr>
  </w:style>
  <w:style w:type="character" w:customStyle="1" w:styleId="Heading2Char">
    <w:name w:val="Heading 2 Char"/>
    <w:link w:val="Heading2"/>
    <w:uiPriority w:val="1"/>
    <w:rsid w:val="006C1F46"/>
    <w:rPr>
      <w:rFonts w:ascii="Arial" w:hAnsi="Arial"/>
      <w:b/>
      <w:color w:val="53565A"/>
      <w:sz w:val="32"/>
      <w:szCs w:val="28"/>
      <w:lang w:eastAsia="en-US"/>
    </w:rPr>
  </w:style>
  <w:style w:type="character" w:customStyle="1" w:styleId="Heading3Char">
    <w:name w:val="Heading 3 Char"/>
    <w:link w:val="Heading3"/>
    <w:uiPriority w:val="1"/>
    <w:rsid w:val="006C1F46"/>
    <w:rPr>
      <w:rFonts w:ascii="Arial" w:eastAsia="MS Gothic" w:hAnsi="Arial"/>
      <w:bCs/>
      <w:color w:val="53565A"/>
      <w:sz w:val="30"/>
      <w:szCs w:val="26"/>
      <w:lang w:eastAsia="en-US"/>
    </w:rPr>
  </w:style>
  <w:style w:type="character" w:customStyle="1" w:styleId="Heading4Char">
    <w:name w:val="Heading 4 Char"/>
    <w:link w:val="Heading4"/>
    <w:uiPriority w:val="1"/>
    <w:rsid w:val="006C1F46"/>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6C1F46"/>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C1F46"/>
    <w:pPr>
      <w:spacing w:line="320" w:lineRule="atLeast"/>
    </w:pPr>
    <w:rPr>
      <w:color w:val="AF272F"/>
      <w:sz w:val="24"/>
    </w:rPr>
  </w:style>
  <w:style w:type="paragraph" w:customStyle="1" w:styleId="DHHSreportmaintitle">
    <w:name w:val="DHHS report main title"/>
    <w:uiPriority w:val="4"/>
    <w:rsid w:val="00E317DD"/>
    <w:pPr>
      <w:keepLines/>
      <w:spacing w:after="240" w:line="580" w:lineRule="atLeast"/>
    </w:pPr>
    <w:rPr>
      <w:rFonts w:ascii="Arial" w:hAnsi="Arial"/>
      <w:color w:val="D50032"/>
      <w:sz w:val="50"/>
      <w:szCs w:val="24"/>
      <w:lang w:eastAsia="en-US"/>
    </w:rPr>
  </w:style>
  <w:style w:type="paragraph" w:customStyle="1" w:styleId="DHHSnumberloweralpha">
    <w:name w:val="DHHS number lower alpha"/>
    <w:basedOn w:val="Normal"/>
    <w:uiPriority w:val="3"/>
    <w:rsid w:val="00E317DD"/>
    <w:pPr>
      <w:tabs>
        <w:tab w:val="num" w:pos="397"/>
      </w:tabs>
      <w:spacing w:line="270" w:lineRule="atLeast"/>
      <w:ind w:left="397" w:hanging="397"/>
    </w:pPr>
    <w:rPr>
      <w:rFonts w:eastAsia="Times"/>
      <w:sz w:val="20"/>
    </w:rPr>
  </w:style>
  <w:style w:type="paragraph" w:customStyle="1" w:styleId="DHHSnumberloweralphaindent">
    <w:name w:val="DHHS number lower alpha indent"/>
    <w:basedOn w:val="Normal"/>
    <w:uiPriority w:val="3"/>
    <w:rsid w:val="00E317DD"/>
    <w:pPr>
      <w:tabs>
        <w:tab w:val="num" w:pos="794"/>
      </w:tabs>
      <w:spacing w:line="270" w:lineRule="atLeast"/>
      <w:ind w:left="794" w:hanging="397"/>
    </w:pPr>
    <w:rPr>
      <w:rFonts w:eastAsia="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4096939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731288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tir@redcrossblood.org.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safercare.vic.gov.au/notify-us/sentinel-ev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tir@redcrossblood.org.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patient-care/serious-transfusion-incident-reporting-syst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lood.gov.au/system/files/aust-haemovigilance-min-data-set.pdf" TargetMode="Externa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2\Branding%20and%20Templates\New%20templates%20July%202021\Blood%20Matters%20DH%20red%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f9efe166-4f28-4f85-8235-ea2c89133434"/>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71bad440-a7e7-46c6-81bd-18ed54663c6a"/>
    <ds:schemaRef ds:uri="http://purl.org/dc/terms/"/>
    <ds:schemaRef ds:uri="http://www.w3.org/XML/1998/namespac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Blood Matters DH red report.dotx</Template>
  <TotalTime>18</TotalTime>
  <Pages>23</Pages>
  <Words>4053</Words>
  <Characters>27539</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Blood Matters DH red report</vt:lpstr>
    </vt:vector>
  </TitlesOfParts>
  <Manager/>
  <Company>Victoria State Government, Department of Health, Blood Matters</Company>
  <LinksUpToDate>false</LinksUpToDate>
  <CharactersWithSpaces>31529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Transfusion Incident Report guide May 2023</dc:title>
  <dc:subject>Serious Transfusion Incident Report guide May 2023</dc:subject>
  <dc:creator>bloodmatters@dhhs.vic.gov.au</dc:creator>
  <cp:keywords>STIR;serious;transfusion;incident;reporting;2023;May;guide</cp:keywords>
  <dc:description/>
  <cp:lastModifiedBy>Miriam Hagan (Health)</cp:lastModifiedBy>
  <cp:revision>6</cp:revision>
  <cp:lastPrinted>2022-08-10T04:09:00Z</cp:lastPrinted>
  <dcterms:created xsi:type="dcterms:W3CDTF">2023-05-05T04:16:00Z</dcterms:created>
  <dcterms:modified xsi:type="dcterms:W3CDTF">2023-05-19T05:02:00Z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2023-05-19T05:02:55Z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47b7300d-0e14-4161-94be-71a914c81de3</vt:lpwstr>
  </property>
  <property fmtid="{D5CDD505-2E9C-101B-9397-08002B2CF9AE}" pid="11" name="MSIP_Label_43e64453-338c-4f93-8a4d-0039a0a41f2a_ContentBits">
    <vt:lpwstr>2</vt:lpwstr>
  </property>
</Properties>
</file>