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3A66" w14:textId="5C278E3C" w:rsidR="008C1CA0" w:rsidRPr="004C6EEE" w:rsidRDefault="008C1CA0" w:rsidP="008C1CA0">
      <w:pPr>
        <w:pStyle w:val="Sectionbreakfirstpage"/>
      </w:pPr>
    </w:p>
    <w:p w14:paraId="088E0CE3" w14:textId="77777777" w:rsidR="008C1CA0" w:rsidRPr="004C6EEE" w:rsidRDefault="008C1CA0" w:rsidP="008C1CA0">
      <w:pPr>
        <w:pStyle w:val="Sectionbreakfirstpage"/>
        <w:sectPr w:rsidR="008C1CA0" w:rsidRPr="004C6EEE" w:rsidSect="001B373C">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titlePg/>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C1CA0" w:rsidRPr="00BB1E47" w14:paraId="7383440F" w14:textId="77777777" w:rsidTr="00B108AF">
        <w:trPr>
          <w:trHeight w:val="622"/>
        </w:trPr>
        <w:tc>
          <w:tcPr>
            <w:tcW w:w="10348" w:type="dxa"/>
            <w:tcMar>
              <w:top w:w="1531" w:type="dxa"/>
              <w:left w:w="0" w:type="dxa"/>
              <w:right w:w="0" w:type="dxa"/>
            </w:tcMar>
          </w:tcPr>
          <w:p w14:paraId="7A411C32" w14:textId="77777777" w:rsidR="00CD2424" w:rsidRDefault="00CD2424" w:rsidP="005C272A">
            <w:pPr>
              <w:pStyle w:val="Body"/>
            </w:pPr>
          </w:p>
          <w:p w14:paraId="70372B8D" w14:textId="77777777" w:rsidR="00CD2424" w:rsidRDefault="00CD2424" w:rsidP="005C272A">
            <w:pPr>
              <w:pStyle w:val="Body"/>
            </w:pPr>
          </w:p>
          <w:p w14:paraId="65FFA3BC" w14:textId="09FB09A9" w:rsidR="00CD2424" w:rsidRDefault="002C4A9D" w:rsidP="005C272A">
            <w:pPr>
              <w:pStyle w:val="Body"/>
            </w:pPr>
            <w:r>
              <w:rPr>
                <w:noProof/>
              </w:rPr>
              <w:drawing>
                <wp:anchor distT="0" distB="0" distL="114300" distR="114300" simplePos="0" relativeHeight="251660288" behindDoc="1" locked="1" layoutInCell="1" allowOverlap="0" wp14:anchorId="7EAE3B62" wp14:editId="1C0F23D9">
                  <wp:simplePos x="0" y="0"/>
                  <wp:positionH relativeFrom="page">
                    <wp:posOffset>-832485</wp:posOffset>
                  </wp:positionH>
                  <wp:positionV relativeFrom="page">
                    <wp:posOffset>-1910080</wp:posOffset>
                  </wp:positionV>
                  <wp:extent cx="7952740" cy="1068006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952740" cy="10680065"/>
                          </a:xfrm>
                          <a:prstGeom prst="rect">
                            <a:avLst/>
                          </a:prstGeom>
                        </pic:spPr>
                      </pic:pic>
                    </a:graphicData>
                  </a:graphic>
                  <wp14:sizeRelH relativeFrom="margin">
                    <wp14:pctWidth>0</wp14:pctWidth>
                  </wp14:sizeRelH>
                  <wp14:sizeRelV relativeFrom="margin">
                    <wp14:pctHeight>0</wp14:pctHeight>
                  </wp14:sizeRelV>
                </wp:anchor>
              </w:drawing>
            </w:r>
          </w:p>
          <w:p w14:paraId="7455C19F" w14:textId="77777777" w:rsidR="00CD2424" w:rsidRDefault="00CD2424" w:rsidP="005C272A">
            <w:pPr>
              <w:pStyle w:val="Body"/>
            </w:pPr>
          </w:p>
          <w:p w14:paraId="4C910BEC" w14:textId="30602AC6" w:rsidR="008C1CA0" w:rsidRPr="00BB1E47" w:rsidRDefault="008C1CA0" w:rsidP="00B108AF">
            <w:pPr>
              <w:pStyle w:val="Documenttitle"/>
            </w:pPr>
            <w:r w:rsidRPr="00BB1E47">
              <w:t>Non-Emergency Patient Transport Review</w:t>
            </w:r>
          </w:p>
        </w:tc>
      </w:tr>
      <w:tr w:rsidR="008C1CA0" w:rsidRPr="00BB1E47" w14:paraId="075461C4" w14:textId="77777777" w:rsidTr="00B108AF">
        <w:tc>
          <w:tcPr>
            <w:tcW w:w="10348" w:type="dxa"/>
          </w:tcPr>
          <w:p w14:paraId="0DD6DFCD" w14:textId="63EBC734" w:rsidR="008C1CA0" w:rsidRPr="00BB1E47" w:rsidRDefault="008C1CA0" w:rsidP="00B108AF">
            <w:pPr>
              <w:pStyle w:val="Documentsubtitle"/>
            </w:pPr>
            <w:r w:rsidRPr="00BB1E47">
              <w:t>Discussion paper May 2023</w:t>
            </w:r>
          </w:p>
        </w:tc>
      </w:tr>
      <w:tr w:rsidR="008C1CA0" w:rsidRPr="00BB1E47" w14:paraId="22ED43EA" w14:textId="77777777" w:rsidTr="00B108AF">
        <w:tc>
          <w:tcPr>
            <w:tcW w:w="10348" w:type="dxa"/>
          </w:tcPr>
          <w:p w14:paraId="4B3748B6" w14:textId="35B999E5" w:rsidR="008C1CA0" w:rsidRPr="00BB1E47" w:rsidRDefault="008C1CA0" w:rsidP="00B108AF">
            <w:pPr>
              <w:pStyle w:val="Bannermarking"/>
            </w:pPr>
          </w:p>
        </w:tc>
      </w:tr>
    </w:tbl>
    <w:p w14:paraId="03531AAA" w14:textId="77777777" w:rsidR="008C1CA0" w:rsidRPr="00BB1E47" w:rsidRDefault="008C1CA0" w:rsidP="005C272A">
      <w:pPr>
        <w:pStyle w:val="Body"/>
      </w:pPr>
    </w:p>
    <w:p w14:paraId="26329725" w14:textId="77777777" w:rsidR="008C1CA0" w:rsidRPr="00BB1E47" w:rsidRDefault="008C1CA0" w:rsidP="007D11AE">
      <w:pPr>
        <w:pStyle w:val="Bullet2"/>
        <w:rPr>
          <w:rStyle w:val="normaltextrun"/>
        </w:rPr>
      </w:pPr>
      <w:r w:rsidRPr="00BB1E47">
        <w:rPr>
          <w:rStyle w:val="normaltextru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127096" w:rsidRPr="00BB1E47" w14:paraId="008A4C72" w14:textId="77777777" w:rsidTr="00AA2833">
        <w:trPr>
          <w:cantSplit/>
          <w:trHeight w:val="7088"/>
        </w:trPr>
        <w:tc>
          <w:tcPr>
            <w:tcW w:w="9288" w:type="dxa"/>
          </w:tcPr>
          <w:p w14:paraId="584595A2" w14:textId="77777777" w:rsidR="00127096" w:rsidRPr="00BB1E47" w:rsidRDefault="00127096" w:rsidP="00AA2833">
            <w:pPr>
              <w:pStyle w:val="Body"/>
              <w:rPr>
                <w:rFonts w:eastAsia="Times New Roman"/>
                <w:color w:val="87189D"/>
                <w:sz w:val="24"/>
                <w:szCs w:val="24"/>
              </w:rPr>
            </w:pPr>
            <w:bookmarkStart w:id="0" w:name="_Toc135670730"/>
          </w:p>
        </w:tc>
      </w:tr>
      <w:tr w:rsidR="00127096" w:rsidRPr="00BB1E47" w14:paraId="7E46E8DA" w14:textId="77777777" w:rsidTr="00AA2833">
        <w:trPr>
          <w:cantSplit/>
          <w:trHeight w:val="5103"/>
        </w:trPr>
        <w:tc>
          <w:tcPr>
            <w:tcW w:w="9288" w:type="dxa"/>
            <w:vAlign w:val="bottom"/>
          </w:tcPr>
          <w:p w14:paraId="54A37273" w14:textId="5786441F" w:rsidR="00127096" w:rsidRPr="00BB1E47" w:rsidRDefault="00127096" w:rsidP="00AA2833">
            <w:pPr>
              <w:pStyle w:val="Accessibilitypara"/>
            </w:pPr>
            <w:r w:rsidRPr="00BB1E47">
              <w:t xml:space="preserve">To receive this document in another format, email </w:t>
            </w:r>
            <w:hyperlink r:id="rId18" w:history="1">
              <w:r w:rsidR="00CD732A" w:rsidRPr="00BB1E47">
                <w:rPr>
                  <w:rStyle w:val="Hyperlink"/>
                </w:rPr>
                <w:t>the Non-Emergency Patient Transport Review Secretariat</w:t>
              </w:r>
            </w:hyperlink>
            <w:r w:rsidRPr="00BB1E47">
              <w:rPr>
                <w:color w:val="004C97"/>
              </w:rPr>
              <w:t xml:space="preserve"> </w:t>
            </w:r>
            <w:r w:rsidRPr="00BB1E47">
              <w:t>&lt;</w:t>
            </w:r>
            <w:r w:rsidR="00CD732A" w:rsidRPr="00BB1E47">
              <w:t>neptreview@health.vic.gov.au</w:t>
            </w:r>
            <w:r w:rsidRPr="00BB1E47">
              <w:t>&gt;.</w:t>
            </w:r>
          </w:p>
          <w:p w14:paraId="1D6A9918" w14:textId="77777777" w:rsidR="00127096" w:rsidRPr="00BB1E47" w:rsidRDefault="00127096" w:rsidP="00AA2833">
            <w:pPr>
              <w:pStyle w:val="Imprint"/>
              <w:rPr>
                <w:color w:val="auto"/>
              </w:rPr>
            </w:pPr>
            <w:r w:rsidRPr="00BB1E47">
              <w:rPr>
                <w:color w:val="auto"/>
              </w:rPr>
              <w:t>Authorised and published by the Victorian Government, 1 Treasury Place, Melbourne.</w:t>
            </w:r>
          </w:p>
          <w:p w14:paraId="1D800191" w14:textId="15B9B94E" w:rsidR="00127096" w:rsidRPr="00BB1E47" w:rsidRDefault="00127096" w:rsidP="00AA2833">
            <w:pPr>
              <w:pStyle w:val="Imprint"/>
              <w:rPr>
                <w:color w:val="auto"/>
              </w:rPr>
            </w:pPr>
            <w:r w:rsidRPr="00BB1E47">
              <w:rPr>
                <w:color w:val="auto"/>
              </w:rPr>
              <w:t xml:space="preserve">© State of Victoria, Australia, Department of Health, </w:t>
            </w:r>
            <w:r w:rsidR="00537A60" w:rsidRPr="00BB1E47">
              <w:rPr>
                <w:color w:val="auto"/>
              </w:rPr>
              <w:t>May 2023</w:t>
            </w:r>
            <w:r w:rsidRPr="00BB1E47">
              <w:rPr>
                <w:color w:val="auto"/>
              </w:rPr>
              <w:t>.</w:t>
            </w:r>
          </w:p>
          <w:p w14:paraId="7D9EF7E5" w14:textId="1E9E7752" w:rsidR="00127096" w:rsidRPr="00BB1E47" w:rsidRDefault="00127096" w:rsidP="00537A60">
            <w:pPr>
              <w:pStyle w:val="Imprint"/>
              <w:rPr>
                <w:color w:val="auto"/>
              </w:rPr>
            </w:pPr>
            <w:bookmarkStart w:id="1" w:name="_Hlk62746129"/>
            <w:r w:rsidRPr="00BB1E47">
              <w:rPr>
                <w:color w:val="auto"/>
              </w:rPr>
              <w:t xml:space="preserve">Except where otherwise indicated, the images in this document show models and illustrative settings only, and do not necessarily depict actual services, </w:t>
            </w:r>
            <w:proofErr w:type="gramStart"/>
            <w:r w:rsidRPr="00BB1E47">
              <w:rPr>
                <w:color w:val="auto"/>
              </w:rPr>
              <w:t>facilities</w:t>
            </w:r>
            <w:proofErr w:type="gramEnd"/>
            <w:r w:rsidRPr="00BB1E47">
              <w:rPr>
                <w:color w:val="auto"/>
              </w:rPr>
              <w:t xml:space="preserve"> or recipients of services. </w:t>
            </w:r>
          </w:p>
          <w:p w14:paraId="5699092C" w14:textId="73460226" w:rsidR="00127096" w:rsidRPr="00BB1E47" w:rsidRDefault="00127096" w:rsidP="00AA2833">
            <w:pPr>
              <w:pStyle w:val="Imprint"/>
              <w:rPr>
                <w:color w:val="auto"/>
              </w:rPr>
            </w:pPr>
            <w:r w:rsidRPr="00BB1E47">
              <w:rPr>
                <w:color w:val="auto"/>
              </w:rPr>
              <w:t xml:space="preserve">ISBN/ISSN number </w:t>
            </w:r>
            <w:r w:rsidR="00AA2833">
              <w:rPr>
                <w:rFonts w:cs="Arial"/>
                <w:color w:val="000000"/>
              </w:rPr>
              <w:t xml:space="preserve">978-1-76131-161-1 </w:t>
            </w:r>
            <w:r w:rsidRPr="00BB1E47">
              <w:rPr>
                <w:color w:val="auto"/>
              </w:rPr>
              <w:t xml:space="preserve">(online/PDF/Word) </w:t>
            </w:r>
          </w:p>
          <w:p w14:paraId="4801B5ED" w14:textId="0906568E" w:rsidR="00127096" w:rsidRPr="00BB1E47" w:rsidRDefault="00127096" w:rsidP="00AA2833">
            <w:pPr>
              <w:pStyle w:val="Imprint"/>
              <w:rPr>
                <w:color w:val="auto"/>
              </w:rPr>
            </w:pPr>
            <w:r w:rsidRPr="00BB1E47">
              <w:rPr>
                <w:color w:val="auto"/>
              </w:rPr>
              <w:t xml:space="preserve">Available </w:t>
            </w:r>
            <w:r w:rsidR="00537A60" w:rsidRPr="00BB1E47">
              <w:rPr>
                <w:color w:val="auto"/>
              </w:rPr>
              <w:t>on the</w:t>
            </w:r>
            <w:r w:rsidRPr="00BB1E47">
              <w:rPr>
                <w:color w:val="auto"/>
              </w:rPr>
              <w:t xml:space="preserve"> </w:t>
            </w:r>
            <w:r w:rsidR="00537A60" w:rsidRPr="00BB1E47">
              <w:rPr>
                <w:color w:val="auto"/>
              </w:rPr>
              <w:t xml:space="preserve">Non-Emergency Patient Transport Review website </w:t>
            </w:r>
            <w:r w:rsidRPr="00BB1E47">
              <w:rPr>
                <w:color w:val="auto"/>
              </w:rPr>
              <w:t>&lt;</w:t>
            </w:r>
            <w:r w:rsidR="00537A60" w:rsidRPr="00BB1E47">
              <w:rPr>
                <w:color w:val="auto"/>
              </w:rPr>
              <w:t xml:space="preserve">https://www.health.vic.gov.au/patient-care/non-emergency-patient-transport-review </w:t>
            </w:r>
            <w:r w:rsidRPr="00BB1E47">
              <w:rPr>
                <w:color w:val="auto"/>
              </w:rPr>
              <w:t>&gt;</w:t>
            </w:r>
          </w:p>
          <w:bookmarkEnd w:id="1"/>
          <w:p w14:paraId="04AD0FE1" w14:textId="53333C6F" w:rsidR="00127096" w:rsidRPr="00BB1E47" w:rsidRDefault="00127096" w:rsidP="00AA2833">
            <w:pPr>
              <w:pStyle w:val="Body"/>
            </w:pPr>
          </w:p>
        </w:tc>
      </w:tr>
    </w:tbl>
    <w:p w14:paraId="64E3D6CD" w14:textId="77777777" w:rsidR="00127096" w:rsidRPr="00BB1E47" w:rsidRDefault="00127096">
      <w:pPr>
        <w:spacing w:after="0" w:line="240" w:lineRule="auto"/>
        <w:rPr>
          <w:rFonts w:eastAsia="Times"/>
          <w:b/>
          <w:sz w:val="28"/>
          <w:szCs w:val="28"/>
        </w:rPr>
      </w:pPr>
      <w:r w:rsidRPr="00BB1E47">
        <w:rPr>
          <w:b/>
          <w:sz w:val="28"/>
          <w:szCs w:val="28"/>
        </w:rPr>
        <w:br w:type="page"/>
      </w:r>
    </w:p>
    <w:p w14:paraId="151DF6F7" w14:textId="7A994473" w:rsidR="008C1CA0" w:rsidRPr="00BB1E47" w:rsidRDefault="008C1CA0" w:rsidP="00AF3107">
      <w:pPr>
        <w:pStyle w:val="Body"/>
        <w:rPr>
          <w:rStyle w:val="Hyperlink"/>
        </w:rPr>
      </w:pPr>
      <w:r w:rsidRPr="00BB1E47">
        <w:rPr>
          <w:b/>
          <w:sz w:val="28"/>
          <w:szCs w:val="28"/>
        </w:rPr>
        <w:lastRenderedPageBreak/>
        <w:t>Contents</w:t>
      </w:r>
      <w:bookmarkEnd w:id="0"/>
    </w:p>
    <w:p w14:paraId="4A704C7E" w14:textId="36BDF51C" w:rsidR="00053A93" w:rsidRDefault="008C1CA0">
      <w:pPr>
        <w:pStyle w:val="TOC1"/>
        <w:rPr>
          <w:rFonts w:asciiTheme="minorHAnsi" w:eastAsiaTheme="minorEastAsia" w:hAnsiTheme="minorHAnsi" w:cstheme="minorBidi"/>
          <w:b w:val="0"/>
          <w:kern w:val="2"/>
          <w:sz w:val="22"/>
          <w:szCs w:val="22"/>
          <w:lang w:eastAsia="en-AU"/>
          <w14:ligatures w14:val="standardContextual"/>
        </w:rPr>
      </w:pPr>
      <w:r w:rsidRPr="00BB1E47">
        <w:rPr>
          <w:rStyle w:val="Hyperlink"/>
        </w:rPr>
        <w:fldChar w:fldCharType="begin"/>
      </w:r>
      <w:r w:rsidRPr="00BB1E47">
        <w:rPr>
          <w:rStyle w:val="Hyperlink"/>
        </w:rPr>
        <w:instrText xml:space="preserve"> TOC \h \z \t "Heading 1,1,Heading 2,2" </w:instrText>
      </w:r>
      <w:r w:rsidRPr="00BB1E47">
        <w:rPr>
          <w:rStyle w:val="Hyperlink"/>
        </w:rPr>
        <w:fldChar w:fldCharType="separate"/>
      </w:r>
      <w:hyperlink w:anchor="_Toc136433473" w:history="1">
        <w:r w:rsidR="00053A93" w:rsidRPr="00F46105">
          <w:rPr>
            <w:rStyle w:val="Hyperlink"/>
          </w:rPr>
          <w:t>Foreword</w:t>
        </w:r>
        <w:r w:rsidR="00053A93">
          <w:rPr>
            <w:webHidden/>
          </w:rPr>
          <w:tab/>
        </w:r>
        <w:r w:rsidR="00053A93">
          <w:rPr>
            <w:webHidden/>
          </w:rPr>
          <w:fldChar w:fldCharType="begin"/>
        </w:r>
        <w:r w:rsidR="00053A93">
          <w:rPr>
            <w:webHidden/>
          </w:rPr>
          <w:instrText xml:space="preserve"> PAGEREF _Toc136433473 \h </w:instrText>
        </w:r>
        <w:r w:rsidR="00053A93">
          <w:rPr>
            <w:webHidden/>
          </w:rPr>
        </w:r>
        <w:r w:rsidR="00053A93">
          <w:rPr>
            <w:webHidden/>
          </w:rPr>
          <w:fldChar w:fldCharType="separate"/>
        </w:r>
        <w:r w:rsidR="00053A93">
          <w:rPr>
            <w:webHidden/>
          </w:rPr>
          <w:t>5</w:t>
        </w:r>
        <w:r w:rsidR="00053A93">
          <w:rPr>
            <w:webHidden/>
          </w:rPr>
          <w:fldChar w:fldCharType="end"/>
        </w:r>
      </w:hyperlink>
    </w:p>
    <w:p w14:paraId="51335A76" w14:textId="7E14D3B1"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474" w:history="1">
        <w:r w:rsidR="00053A93" w:rsidRPr="00F46105">
          <w:rPr>
            <w:rStyle w:val="Hyperlink"/>
          </w:rPr>
          <w:t>1.</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Introduction</w:t>
        </w:r>
        <w:r w:rsidR="00053A93">
          <w:rPr>
            <w:webHidden/>
          </w:rPr>
          <w:tab/>
        </w:r>
        <w:r w:rsidR="00053A93">
          <w:rPr>
            <w:webHidden/>
          </w:rPr>
          <w:fldChar w:fldCharType="begin"/>
        </w:r>
        <w:r w:rsidR="00053A93">
          <w:rPr>
            <w:webHidden/>
          </w:rPr>
          <w:instrText xml:space="preserve"> PAGEREF _Toc136433474 \h </w:instrText>
        </w:r>
        <w:r w:rsidR="00053A93">
          <w:rPr>
            <w:webHidden/>
          </w:rPr>
        </w:r>
        <w:r w:rsidR="00053A93">
          <w:rPr>
            <w:webHidden/>
          </w:rPr>
          <w:fldChar w:fldCharType="separate"/>
        </w:r>
        <w:r w:rsidR="00053A93">
          <w:rPr>
            <w:webHidden/>
          </w:rPr>
          <w:t>6</w:t>
        </w:r>
        <w:r w:rsidR="00053A93">
          <w:rPr>
            <w:webHidden/>
          </w:rPr>
          <w:fldChar w:fldCharType="end"/>
        </w:r>
      </w:hyperlink>
    </w:p>
    <w:p w14:paraId="3A222ECB" w14:textId="075CB337"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75" w:history="1">
        <w:r w:rsidR="00053A93" w:rsidRPr="00F46105">
          <w:rPr>
            <w:rStyle w:val="Hyperlink"/>
          </w:rPr>
          <w:t>1.1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Context</w:t>
        </w:r>
        <w:r w:rsidR="00053A93">
          <w:rPr>
            <w:webHidden/>
          </w:rPr>
          <w:tab/>
        </w:r>
        <w:r w:rsidR="00053A93">
          <w:rPr>
            <w:webHidden/>
          </w:rPr>
          <w:fldChar w:fldCharType="begin"/>
        </w:r>
        <w:r w:rsidR="00053A93">
          <w:rPr>
            <w:webHidden/>
          </w:rPr>
          <w:instrText xml:space="preserve"> PAGEREF _Toc136433475 \h </w:instrText>
        </w:r>
        <w:r w:rsidR="00053A93">
          <w:rPr>
            <w:webHidden/>
          </w:rPr>
        </w:r>
        <w:r w:rsidR="00053A93">
          <w:rPr>
            <w:webHidden/>
          </w:rPr>
          <w:fldChar w:fldCharType="separate"/>
        </w:r>
        <w:r w:rsidR="00053A93">
          <w:rPr>
            <w:webHidden/>
          </w:rPr>
          <w:t>6</w:t>
        </w:r>
        <w:r w:rsidR="00053A93">
          <w:rPr>
            <w:webHidden/>
          </w:rPr>
          <w:fldChar w:fldCharType="end"/>
        </w:r>
      </w:hyperlink>
    </w:p>
    <w:p w14:paraId="4C69F7FD" w14:textId="06E188BD"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76" w:history="1">
        <w:r w:rsidR="00053A93" w:rsidRPr="00F46105">
          <w:rPr>
            <w:rStyle w:val="Hyperlink"/>
          </w:rPr>
          <w:t>1.2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Terms of Reference</w:t>
        </w:r>
        <w:r w:rsidR="00053A93">
          <w:rPr>
            <w:webHidden/>
          </w:rPr>
          <w:tab/>
        </w:r>
        <w:r w:rsidR="00053A93">
          <w:rPr>
            <w:webHidden/>
          </w:rPr>
          <w:fldChar w:fldCharType="begin"/>
        </w:r>
        <w:r w:rsidR="00053A93">
          <w:rPr>
            <w:webHidden/>
          </w:rPr>
          <w:instrText xml:space="preserve"> PAGEREF _Toc136433476 \h </w:instrText>
        </w:r>
        <w:r w:rsidR="00053A93">
          <w:rPr>
            <w:webHidden/>
          </w:rPr>
        </w:r>
        <w:r w:rsidR="00053A93">
          <w:rPr>
            <w:webHidden/>
          </w:rPr>
          <w:fldChar w:fldCharType="separate"/>
        </w:r>
        <w:r w:rsidR="00053A93">
          <w:rPr>
            <w:webHidden/>
          </w:rPr>
          <w:t>6</w:t>
        </w:r>
        <w:r w:rsidR="00053A93">
          <w:rPr>
            <w:webHidden/>
          </w:rPr>
          <w:fldChar w:fldCharType="end"/>
        </w:r>
      </w:hyperlink>
    </w:p>
    <w:p w14:paraId="185B8160" w14:textId="12842B50"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77" w:history="1">
        <w:r w:rsidR="00053A93" w:rsidRPr="00F46105">
          <w:rPr>
            <w:rStyle w:val="Hyperlink"/>
          </w:rPr>
          <w:t>1.3</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Purpose of this discussion paper</w:t>
        </w:r>
        <w:r w:rsidR="00053A93">
          <w:rPr>
            <w:webHidden/>
          </w:rPr>
          <w:tab/>
        </w:r>
        <w:r w:rsidR="00053A93">
          <w:rPr>
            <w:webHidden/>
          </w:rPr>
          <w:fldChar w:fldCharType="begin"/>
        </w:r>
        <w:r w:rsidR="00053A93">
          <w:rPr>
            <w:webHidden/>
          </w:rPr>
          <w:instrText xml:space="preserve"> PAGEREF _Toc136433477 \h </w:instrText>
        </w:r>
        <w:r w:rsidR="00053A93">
          <w:rPr>
            <w:webHidden/>
          </w:rPr>
        </w:r>
        <w:r w:rsidR="00053A93">
          <w:rPr>
            <w:webHidden/>
          </w:rPr>
          <w:fldChar w:fldCharType="separate"/>
        </w:r>
        <w:r w:rsidR="00053A93">
          <w:rPr>
            <w:webHidden/>
          </w:rPr>
          <w:t>6</w:t>
        </w:r>
        <w:r w:rsidR="00053A93">
          <w:rPr>
            <w:webHidden/>
          </w:rPr>
          <w:fldChar w:fldCharType="end"/>
        </w:r>
      </w:hyperlink>
    </w:p>
    <w:p w14:paraId="097EF8E6" w14:textId="177D1EE1"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478" w:history="1">
        <w:r w:rsidR="00053A93" w:rsidRPr="00F46105">
          <w:rPr>
            <w:rStyle w:val="Hyperlink"/>
          </w:rPr>
          <w:t>2.</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How are NEPT services set up in Victoria?</w:t>
        </w:r>
        <w:r w:rsidR="00053A93">
          <w:rPr>
            <w:webHidden/>
          </w:rPr>
          <w:tab/>
        </w:r>
        <w:r w:rsidR="00053A93">
          <w:rPr>
            <w:webHidden/>
          </w:rPr>
          <w:fldChar w:fldCharType="begin"/>
        </w:r>
        <w:r w:rsidR="00053A93">
          <w:rPr>
            <w:webHidden/>
          </w:rPr>
          <w:instrText xml:space="preserve"> PAGEREF _Toc136433478 \h </w:instrText>
        </w:r>
        <w:r w:rsidR="00053A93">
          <w:rPr>
            <w:webHidden/>
          </w:rPr>
        </w:r>
        <w:r w:rsidR="00053A93">
          <w:rPr>
            <w:webHidden/>
          </w:rPr>
          <w:fldChar w:fldCharType="separate"/>
        </w:r>
        <w:r w:rsidR="00053A93">
          <w:rPr>
            <w:webHidden/>
          </w:rPr>
          <w:t>7</w:t>
        </w:r>
        <w:r w:rsidR="00053A93">
          <w:rPr>
            <w:webHidden/>
          </w:rPr>
          <w:fldChar w:fldCharType="end"/>
        </w:r>
      </w:hyperlink>
    </w:p>
    <w:p w14:paraId="671F4BCC" w14:textId="38E1ED2D"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79" w:history="1">
        <w:r w:rsidR="00053A93" w:rsidRPr="00F46105">
          <w:rPr>
            <w:rStyle w:val="Hyperlink"/>
          </w:rPr>
          <w:t>2.1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NEPT services play a critical role in Victoria’s health system</w:t>
        </w:r>
        <w:r w:rsidR="00053A93">
          <w:rPr>
            <w:webHidden/>
          </w:rPr>
          <w:tab/>
        </w:r>
        <w:r w:rsidR="00053A93">
          <w:rPr>
            <w:webHidden/>
          </w:rPr>
          <w:fldChar w:fldCharType="begin"/>
        </w:r>
        <w:r w:rsidR="00053A93">
          <w:rPr>
            <w:webHidden/>
          </w:rPr>
          <w:instrText xml:space="preserve"> PAGEREF _Toc136433479 \h </w:instrText>
        </w:r>
        <w:r w:rsidR="00053A93">
          <w:rPr>
            <w:webHidden/>
          </w:rPr>
        </w:r>
        <w:r w:rsidR="00053A93">
          <w:rPr>
            <w:webHidden/>
          </w:rPr>
          <w:fldChar w:fldCharType="separate"/>
        </w:r>
        <w:r w:rsidR="00053A93">
          <w:rPr>
            <w:webHidden/>
          </w:rPr>
          <w:t>7</w:t>
        </w:r>
        <w:r w:rsidR="00053A93">
          <w:rPr>
            <w:webHidden/>
          </w:rPr>
          <w:fldChar w:fldCharType="end"/>
        </w:r>
      </w:hyperlink>
    </w:p>
    <w:p w14:paraId="36ABAC73" w14:textId="0257740F"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0" w:history="1">
        <w:r w:rsidR="00053A93" w:rsidRPr="00F46105">
          <w:rPr>
            <w:rStyle w:val="Hyperlink"/>
          </w:rPr>
          <w:t>2.2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Over 2,000 skilled workers deliver NEPT in Victoria</w:t>
        </w:r>
        <w:r w:rsidR="00053A93">
          <w:rPr>
            <w:webHidden/>
          </w:rPr>
          <w:tab/>
        </w:r>
        <w:r w:rsidR="00053A93">
          <w:rPr>
            <w:webHidden/>
          </w:rPr>
          <w:fldChar w:fldCharType="begin"/>
        </w:r>
        <w:r w:rsidR="00053A93">
          <w:rPr>
            <w:webHidden/>
          </w:rPr>
          <w:instrText xml:space="preserve"> PAGEREF _Toc136433480 \h </w:instrText>
        </w:r>
        <w:r w:rsidR="00053A93">
          <w:rPr>
            <w:webHidden/>
          </w:rPr>
        </w:r>
        <w:r w:rsidR="00053A93">
          <w:rPr>
            <w:webHidden/>
          </w:rPr>
          <w:fldChar w:fldCharType="separate"/>
        </w:r>
        <w:r w:rsidR="00053A93">
          <w:rPr>
            <w:webHidden/>
          </w:rPr>
          <w:t>8</w:t>
        </w:r>
        <w:r w:rsidR="00053A93">
          <w:rPr>
            <w:webHidden/>
          </w:rPr>
          <w:fldChar w:fldCharType="end"/>
        </w:r>
      </w:hyperlink>
    </w:p>
    <w:p w14:paraId="73037B5C" w14:textId="5908CA67"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1" w:history="1">
        <w:r w:rsidR="00053A93" w:rsidRPr="00F46105">
          <w:rPr>
            <w:rStyle w:val="Hyperlink"/>
          </w:rPr>
          <w:t>2.3</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 Department of Health’s NEPT role focusses on regulation</w:t>
        </w:r>
        <w:r w:rsidR="00053A93">
          <w:rPr>
            <w:webHidden/>
          </w:rPr>
          <w:tab/>
        </w:r>
        <w:r w:rsidR="00053A93">
          <w:rPr>
            <w:webHidden/>
          </w:rPr>
          <w:fldChar w:fldCharType="begin"/>
        </w:r>
        <w:r w:rsidR="00053A93">
          <w:rPr>
            <w:webHidden/>
          </w:rPr>
          <w:instrText xml:space="preserve"> PAGEREF _Toc136433481 \h </w:instrText>
        </w:r>
        <w:r w:rsidR="00053A93">
          <w:rPr>
            <w:webHidden/>
          </w:rPr>
        </w:r>
        <w:r w:rsidR="00053A93">
          <w:rPr>
            <w:webHidden/>
          </w:rPr>
          <w:fldChar w:fldCharType="separate"/>
        </w:r>
        <w:r w:rsidR="00053A93">
          <w:rPr>
            <w:webHidden/>
          </w:rPr>
          <w:t>10</w:t>
        </w:r>
        <w:r w:rsidR="00053A93">
          <w:rPr>
            <w:webHidden/>
          </w:rPr>
          <w:fldChar w:fldCharType="end"/>
        </w:r>
      </w:hyperlink>
    </w:p>
    <w:p w14:paraId="67A0727A" w14:textId="33B9CF26"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2" w:history="1">
        <w:r w:rsidR="00053A93" w:rsidRPr="00F46105">
          <w:rPr>
            <w:rStyle w:val="Hyperlink"/>
          </w:rPr>
          <w:t>2.4</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are multiple purchasing arrangements for NEPT</w:t>
        </w:r>
        <w:r w:rsidR="00053A93">
          <w:rPr>
            <w:webHidden/>
          </w:rPr>
          <w:tab/>
        </w:r>
        <w:r w:rsidR="00053A93">
          <w:rPr>
            <w:webHidden/>
          </w:rPr>
          <w:fldChar w:fldCharType="begin"/>
        </w:r>
        <w:r w:rsidR="00053A93">
          <w:rPr>
            <w:webHidden/>
          </w:rPr>
          <w:instrText xml:space="preserve"> PAGEREF _Toc136433482 \h </w:instrText>
        </w:r>
        <w:r w:rsidR="00053A93">
          <w:rPr>
            <w:webHidden/>
          </w:rPr>
        </w:r>
        <w:r w:rsidR="00053A93">
          <w:rPr>
            <w:webHidden/>
          </w:rPr>
          <w:fldChar w:fldCharType="separate"/>
        </w:r>
        <w:r w:rsidR="00053A93">
          <w:rPr>
            <w:webHidden/>
          </w:rPr>
          <w:t>12</w:t>
        </w:r>
        <w:r w:rsidR="00053A93">
          <w:rPr>
            <w:webHidden/>
          </w:rPr>
          <w:fldChar w:fldCharType="end"/>
        </w:r>
      </w:hyperlink>
    </w:p>
    <w:p w14:paraId="1154AE7B" w14:textId="7B2F47A3"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3" w:history="1">
        <w:r w:rsidR="00053A93" w:rsidRPr="00F46105">
          <w:rPr>
            <w:rStyle w:val="Hyperlink"/>
          </w:rPr>
          <w:t>2.5</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are many providers of NEPT in Victoria</w:t>
        </w:r>
        <w:r w:rsidR="00053A93">
          <w:rPr>
            <w:webHidden/>
          </w:rPr>
          <w:tab/>
        </w:r>
        <w:r w:rsidR="00053A93">
          <w:rPr>
            <w:webHidden/>
          </w:rPr>
          <w:fldChar w:fldCharType="begin"/>
        </w:r>
        <w:r w:rsidR="00053A93">
          <w:rPr>
            <w:webHidden/>
          </w:rPr>
          <w:instrText xml:space="preserve"> PAGEREF _Toc136433483 \h </w:instrText>
        </w:r>
        <w:r w:rsidR="00053A93">
          <w:rPr>
            <w:webHidden/>
          </w:rPr>
        </w:r>
        <w:r w:rsidR="00053A93">
          <w:rPr>
            <w:webHidden/>
          </w:rPr>
          <w:fldChar w:fldCharType="separate"/>
        </w:r>
        <w:r w:rsidR="00053A93">
          <w:rPr>
            <w:webHidden/>
          </w:rPr>
          <w:t>13</w:t>
        </w:r>
        <w:r w:rsidR="00053A93">
          <w:rPr>
            <w:webHidden/>
          </w:rPr>
          <w:fldChar w:fldCharType="end"/>
        </w:r>
      </w:hyperlink>
    </w:p>
    <w:p w14:paraId="78B65755" w14:textId="15EAEFAF"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4" w:history="1">
        <w:r w:rsidR="00053A93" w:rsidRPr="00F46105">
          <w:rPr>
            <w:rStyle w:val="Hyperlink"/>
          </w:rPr>
          <w:t>2.6</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are multiple booking and dispatching arrangements</w:t>
        </w:r>
        <w:r w:rsidR="00053A93">
          <w:rPr>
            <w:webHidden/>
          </w:rPr>
          <w:tab/>
        </w:r>
        <w:r w:rsidR="00053A93">
          <w:rPr>
            <w:webHidden/>
          </w:rPr>
          <w:fldChar w:fldCharType="begin"/>
        </w:r>
        <w:r w:rsidR="00053A93">
          <w:rPr>
            <w:webHidden/>
          </w:rPr>
          <w:instrText xml:space="preserve"> PAGEREF _Toc136433484 \h </w:instrText>
        </w:r>
        <w:r w:rsidR="00053A93">
          <w:rPr>
            <w:webHidden/>
          </w:rPr>
        </w:r>
        <w:r w:rsidR="00053A93">
          <w:rPr>
            <w:webHidden/>
          </w:rPr>
          <w:fldChar w:fldCharType="separate"/>
        </w:r>
        <w:r w:rsidR="00053A93">
          <w:rPr>
            <w:webHidden/>
          </w:rPr>
          <w:t>14</w:t>
        </w:r>
        <w:r w:rsidR="00053A93">
          <w:rPr>
            <w:webHidden/>
          </w:rPr>
          <w:fldChar w:fldCharType="end"/>
        </w:r>
      </w:hyperlink>
    </w:p>
    <w:p w14:paraId="06414FFE" w14:textId="4B614AC0"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5" w:history="1">
        <w:r w:rsidR="00053A93" w:rsidRPr="00F46105">
          <w:rPr>
            <w:rStyle w:val="Hyperlink"/>
          </w:rPr>
          <w:t>2.7</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NEPT is interlinked with other sectors of the Victorian health system</w:t>
        </w:r>
        <w:r w:rsidR="00053A93">
          <w:rPr>
            <w:webHidden/>
          </w:rPr>
          <w:tab/>
        </w:r>
        <w:r w:rsidR="00053A93">
          <w:rPr>
            <w:webHidden/>
          </w:rPr>
          <w:fldChar w:fldCharType="begin"/>
        </w:r>
        <w:r w:rsidR="00053A93">
          <w:rPr>
            <w:webHidden/>
          </w:rPr>
          <w:instrText xml:space="preserve"> PAGEREF _Toc136433485 \h </w:instrText>
        </w:r>
        <w:r w:rsidR="00053A93">
          <w:rPr>
            <w:webHidden/>
          </w:rPr>
        </w:r>
        <w:r w:rsidR="00053A93">
          <w:rPr>
            <w:webHidden/>
          </w:rPr>
          <w:fldChar w:fldCharType="separate"/>
        </w:r>
        <w:r w:rsidR="00053A93">
          <w:rPr>
            <w:webHidden/>
          </w:rPr>
          <w:t>14</w:t>
        </w:r>
        <w:r w:rsidR="00053A93">
          <w:rPr>
            <w:webHidden/>
          </w:rPr>
          <w:fldChar w:fldCharType="end"/>
        </w:r>
      </w:hyperlink>
    </w:p>
    <w:p w14:paraId="12A67D59" w14:textId="1A7117C0"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6" w:history="1">
        <w:r w:rsidR="00053A93" w:rsidRPr="00F46105">
          <w:rPr>
            <w:rStyle w:val="Hyperlink"/>
          </w:rPr>
          <w:t>2.8</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NEPT in Victoria has changed a lot over time</w:t>
        </w:r>
        <w:r w:rsidR="00053A93">
          <w:rPr>
            <w:webHidden/>
          </w:rPr>
          <w:tab/>
        </w:r>
        <w:r w:rsidR="00053A93">
          <w:rPr>
            <w:webHidden/>
          </w:rPr>
          <w:fldChar w:fldCharType="begin"/>
        </w:r>
        <w:r w:rsidR="00053A93">
          <w:rPr>
            <w:webHidden/>
          </w:rPr>
          <w:instrText xml:space="preserve"> PAGEREF _Toc136433486 \h </w:instrText>
        </w:r>
        <w:r w:rsidR="00053A93">
          <w:rPr>
            <w:webHidden/>
          </w:rPr>
        </w:r>
        <w:r w:rsidR="00053A93">
          <w:rPr>
            <w:webHidden/>
          </w:rPr>
          <w:fldChar w:fldCharType="separate"/>
        </w:r>
        <w:r w:rsidR="00053A93">
          <w:rPr>
            <w:webHidden/>
          </w:rPr>
          <w:t>15</w:t>
        </w:r>
        <w:r w:rsidR="00053A93">
          <w:rPr>
            <w:webHidden/>
          </w:rPr>
          <w:fldChar w:fldCharType="end"/>
        </w:r>
      </w:hyperlink>
    </w:p>
    <w:p w14:paraId="18236A0B" w14:textId="09242476"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7" w:history="1">
        <w:r w:rsidR="00053A93" w:rsidRPr="00F46105">
          <w:rPr>
            <w:rStyle w:val="Hyperlink"/>
          </w:rPr>
          <w:t>2.9</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Victoria’s approach to NEPT is different to other jurisdictions’</w:t>
        </w:r>
        <w:r w:rsidR="00053A93">
          <w:rPr>
            <w:webHidden/>
          </w:rPr>
          <w:tab/>
        </w:r>
        <w:r w:rsidR="00053A93">
          <w:rPr>
            <w:webHidden/>
          </w:rPr>
          <w:fldChar w:fldCharType="begin"/>
        </w:r>
        <w:r w:rsidR="00053A93">
          <w:rPr>
            <w:webHidden/>
          </w:rPr>
          <w:instrText xml:space="preserve"> PAGEREF _Toc136433487 \h </w:instrText>
        </w:r>
        <w:r w:rsidR="00053A93">
          <w:rPr>
            <w:webHidden/>
          </w:rPr>
        </w:r>
        <w:r w:rsidR="00053A93">
          <w:rPr>
            <w:webHidden/>
          </w:rPr>
          <w:fldChar w:fldCharType="separate"/>
        </w:r>
        <w:r w:rsidR="00053A93">
          <w:rPr>
            <w:webHidden/>
          </w:rPr>
          <w:t>17</w:t>
        </w:r>
        <w:r w:rsidR="00053A93">
          <w:rPr>
            <w:webHidden/>
          </w:rPr>
          <w:fldChar w:fldCharType="end"/>
        </w:r>
      </w:hyperlink>
    </w:p>
    <w:p w14:paraId="21A7F001" w14:textId="15675E84"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488" w:history="1">
        <w:r w:rsidR="00053A93" w:rsidRPr="00F46105">
          <w:rPr>
            <w:rStyle w:val="Hyperlink"/>
          </w:rPr>
          <w:t>3.</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How is the sector currently performing?</w:t>
        </w:r>
        <w:r w:rsidR="00053A93">
          <w:rPr>
            <w:webHidden/>
          </w:rPr>
          <w:tab/>
        </w:r>
        <w:r w:rsidR="00053A93">
          <w:rPr>
            <w:webHidden/>
          </w:rPr>
          <w:fldChar w:fldCharType="begin"/>
        </w:r>
        <w:r w:rsidR="00053A93">
          <w:rPr>
            <w:webHidden/>
          </w:rPr>
          <w:instrText xml:space="preserve"> PAGEREF _Toc136433488 \h </w:instrText>
        </w:r>
        <w:r w:rsidR="00053A93">
          <w:rPr>
            <w:webHidden/>
          </w:rPr>
        </w:r>
        <w:r w:rsidR="00053A93">
          <w:rPr>
            <w:webHidden/>
          </w:rPr>
          <w:fldChar w:fldCharType="separate"/>
        </w:r>
        <w:r w:rsidR="00053A93">
          <w:rPr>
            <w:webHidden/>
          </w:rPr>
          <w:t>19</w:t>
        </w:r>
        <w:r w:rsidR="00053A93">
          <w:rPr>
            <w:webHidden/>
          </w:rPr>
          <w:fldChar w:fldCharType="end"/>
        </w:r>
      </w:hyperlink>
    </w:p>
    <w:p w14:paraId="42AF1F32" w14:textId="044DD5F2"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89" w:history="1">
        <w:r w:rsidR="00053A93" w:rsidRPr="00F46105">
          <w:rPr>
            <w:rStyle w:val="Hyperlink"/>
          </w:rPr>
          <w:t>3.1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Quality and safety appear strong, with regulatory compliance high and adverse events rare</w:t>
        </w:r>
        <w:r w:rsidR="00053A93">
          <w:rPr>
            <w:webHidden/>
          </w:rPr>
          <w:tab/>
        </w:r>
        <w:r w:rsidR="00053A93">
          <w:rPr>
            <w:webHidden/>
          </w:rPr>
          <w:fldChar w:fldCharType="begin"/>
        </w:r>
        <w:r w:rsidR="00053A93">
          <w:rPr>
            <w:webHidden/>
          </w:rPr>
          <w:instrText xml:space="preserve"> PAGEREF _Toc136433489 \h </w:instrText>
        </w:r>
        <w:r w:rsidR="00053A93">
          <w:rPr>
            <w:webHidden/>
          </w:rPr>
        </w:r>
        <w:r w:rsidR="00053A93">
          <w:rPr>
            <w:webHidden/>
          </w:rPr>
          <w:fldChar w:fldCharType="separate"/>
        </w:r>
        <w:r w:rsidR="00053A93">
          <w:rPr>
            <w:webHidden/>
          </w:rPr>
          <w:t>19</w:t>
        </w:r>
        <w:r w:rsidR="00053A93">
          <w:rPr>
            <w:webHidden/>
          </w:rPr>
          <w:fldChar w:fldCharType="end"/>
        </w:r>
      </w:hyperlink>
    </w:p>
    <w:p w14:paraId="534C89EB" w14:textId="75EDF4C7"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0" w:history="1">
        <w:r w:rsidR="00053A93" w:rsidRPr="00F46105">
          <w:rPr>
            <w:rStyle w:val="Hyperlink"/>
          </w:rPr>
          <w:t>3.2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Access is variable, due to gaps in supply and collection delays</w:t>
        </w:r>
        <w:r w:rsidR="00053A93">
          <w:rPr>
            <w:webHidden/>
          </w:rPr>
          <w:tab/>
        </w:r>
        <w:r w:rsidR="00053A93">
          <w:rPr>
            <w:webHidden/>
          </w:rPr>
          <w:fldChar w:fldCharType="begin"/>
        </w:r>
        <w:r w:rsidR="00053A93">
          <w:rPr>
            <w:webHidden/>
          </w:rPr>
          <w:instrText xml:space="preserve"> PAGEREF _Toc136433490 \h </w:instrText>
        </w:r>
        <w:r w:rsidR="00053A93">
          <w:rPr>
            <w:webHidden/>
          </w:rPr>
        </w:r>
        <w:r w:rsidR="00053A93">
          <w:rPr>
            <w:webHidden/>
          </w:rPr>
          <w:fldChar w:fldCharType="separate"/>
        </w:r>
        <w:r w:rsidR="00053A93">
          <w:rPr>
            <w:webHidden/>
          </w:rPr>
          <w:t>20</w:t>
        </w:r>
        <w:r w:rsidR="00053A93">
          <w:rPr>
            <w:webHidden/>
          </w:rPr>
          <w:fldChar w:fldCharType="end"/>
        </w:r>
      </w:hyperlink>
    </w:p>
    <w:p w14:paraId="3A53E486" w14:textId="1A1097C8"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1" w:history="1">
        <w:r w:rsidR="00053A93" w:rsidRPr="00F46105">
          <w:rPr>
            <w:rStyle w:val="Hyperlink"/>
          </w:rPr>
          <w:t>3.3</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Cost growth is putting pressure on providers and health services</w:t>
        </w:r>
        <w:r w:rsidR="00053A93">
          <w:rPr>
            <w:webHidden/>
          </w:rPr>
          <w:tab/>
        </w:r>
        <w:r w:rsidR="00053A93">
          <w:rPr>
            <w:webHidden/>
          </w:rPr>
          <w:fldChar w:fldCharType="begin"/>
        </w:r>
        <w:r w:rsidR="00053A93">
          <w:rPr>
            <w:webHidden/>
          </w:rPr>
          <w:instrText xml:space="preserve"> PAGEREF _Toc136433491 \h </w:instrText>
        </w:r>
        <w:r w:rsidR="00053A93">
          <w:rPr>
            <w:webHidden/>
          </w:rPr>
        </w:r>
        <w:r w:rsidR="00053A93">
          <w:rPr>
            <w:webHidden/>
          </w:rPr>
          <w:fldChar w:fldCharType="separate"/>
        </w:r>
        <w:r w:rsidR="00053A93">
          <w:rPr>
            <w:webHidden/>
          </w:rPr>
          <w:t>21</w:t>
        </w:r>
        <w:r w:rsidR="00053A93">
          <w:rPr>
            <w:webHidden/>
          </w:rPr>
          <w:fldChar w:fldCharType="end"/>
        </w:r>
      </w:hyperlink>
    </w:p>
    <w:p w14:paraId="3F72AE97" w14:textId="2D722DDE"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2" w:history="1">
        <w:r w:rsidR="00053A93" w:rsidRPr="00F46105">
          <w:rPr>
            <w:rStyle w:val="Hyperlink"/>
          </w:rPr>
          <w:t>3.4</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 environmental impact of the sector is significant</w:t>
        </w:r>
        <w:r w:rsidR="00053A93">
          <w:rPr>
            <w:webHidden/>
          </w:rPr>
          <w:tab/>
        </w:r>
        <w:r w:rsidR="00053A93">
          <w:rPr>
            <w:webHidden/>
          </w:rPr>
          <w:fldChar w:fldCharType="begin"/>
        </w:r>
        <w:r w:rsidR="00053A93">
          <w:rPr>
            <w:webHidden/>
          </w:rPr>
          <w:instrText xml:space="preserve"> PAGEREF _Toc136433492 \h </w:instrText>
        </w:r>
        <w:r w:rsidR="00053A93">
          <w:rPr>
            <w:webHidden/>
          </w:rPr>
        </w:r>
        <w:r w:rsidR="00053A93">
          <w:rPr>
            <w:webHidden/>
          </w:rPr>
          <w:fldChar w:fldCharType="separate"/>
        </w:r>
        <w:r w:rsidR="00053A93">
          <w:rPr>
            <w:webHidden/>
          </w:rPr>
          <w:t>21</w:t>
        </w:r>
        <w:r w:rsidR="00053A93">
          <w:rPr>
            <w:webHidden/>
          </w:rPr>
          <w:fldChar w:fldCharType="end"/>
        </w:r>
      </w:hyperlink>
    </w:p>
    <w:p w14:paraId="2DA09C64" w14:textId="12198C5D"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3" w:history="1">
        <w:r w:rsidR="00053A93" w:rsidRPr="00F46105">
          <w:rPr>
            <w:rStyle w:val="Hyperlink"/>
          </w:rPr>
          <w:t>3.5</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Workforce pay and conditions vary, creating broader challenges</w:t>
        </w:r>
        <w:r w:rsidR="00053A93">
          <w:rPr>
            <w:webHidden/>
          </w:rPr>
          <w:tab/>
        </w:r>
        <w:r w:rsidR="00053A93">
          <w:rPr>
            <w:webHidden/>
          </w:rPr>
          <w:fldChar w:fldCharType="begin"/>
        </w:r>
        <w:r w:rsidR="00053A93">
          <w:rPr>
            <w:webHidden/>
          </w:rPr>
          <w:instrText xml:space="preserve"> PAGEREF _Toc136433493 \h </w:instrText>
        </w:r>
        <w:r w:rsidR="00053A93">
          <w:rPr>
            <w:webHidden/>
          </w:rPr>
        </w:r>
        <w:r w:rsidR="00053A93">
          <w:rPr>
            <w:webHidden/>
          </w:rPr>
          <w:fldChar w:fldCharType="separate"/>
        </w:r>
        <w:r w:rsidR="00053A93">
          <w:rPr>
            <w:webHidden/>
          </w:rPr>
          <w:t>22</w:t>
        </w:r>
        <w:r w:rsidR="00053A93">
          <w:rPr>
            <w:webHidden/>
          </w:rPr>
          <w:fldChar w:fldCharType="end"/>
        </w:r>
      </w:hyperlink>
    </w:p>
    <w:p w14:paraId="059C7163" w14:textId="7C273563"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494" w:history="1">
        <w:r w:rsidR="00053A93" w:rsidRPr="00F46105">
          <w:rPr>
            <w:rStyle w:val="Hyperlink"/>
          </w:rPr>
          <w:t>4.</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What is causing these problems?</w:t>
        </w:r>
        <w:r w:rsidR="00053A93">
          <w:rPr>
            <w:webHidden/>
          </w:rPr>
          <w:tab/>
        </w:r>
        <w:r w:rsidR="00053A93">
          <w:rPr>
            <w:webHidden/>
          </w:rPr>
          <w:fldChar w:fldCharType="begin"/>
        </w:r>
        <w:r w:rsidR="00053A93">
          <w:rPr>
            <w:webHidden/>
          </w:rPr>
          <w:instrText xml:space="preserve"> PAGEREF _Toc136433494 \h </w:instrText>
        </w:r>
        <w:r w:rsidR="00053A93">
          <w:rPr>
            <w:webHidden/>
          </w:rPr>
        </w:r>
        <w:r w:rsidR="00053A93">
          <w:rPr>
            <w:webHidden/>
          </w:rPr>
          <w:fldChar w:fldCharType="separate"/>
        </w:r>
        <w:r w:rsidR="00053A93">
          <w:rPr>
            <w:webHidden/>
          </w:rPr>
          <w:t>24</w:t>
        </w:r>
        <w:r w:rsidR="00053A93">
          <w:rPr>
            <w:webHidden/>
          </w:rPr>
          <w:fldChar w:fldCharType="end"/>
        </w:r>
      </w:hyperlink>
    </w:p>
    <w:p w14:paraId="5DB69A43" w14:textId="16739DBF"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5" w:history="1">
        <w:r w:rsidR="00053A93" w:rsidRPr="00F46105">
          <w:rPr>
            <w:rStyle w:val="Hyperlink"/>
          </w:rPr>
          <w:t>4.1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Market fragmentation drives up costs and slows down transfers</w:t>
        </w:r>
        <w:r w:rsidR="00053A93">
          <w:rPr>
            <w:webHidden/>
          </w:rPr>
          <w:tab/>
        </w:r>
        <w:r w:rsidR="00053A93">
          <w:rPr>
            <w:webHidden/>
          </w:rPr>
          <w:fldChar w:fldCharType="begin"/>
        </w:r>
        <w:r w:rsidR="00053A93">
          <w:rPr>
            <w:webHidden/>
          </w:rPr>
          <w:instrText xml:space="preserve"> PAGEREF _Toc136433495 \h </w:instrText>
        </w:r>
        <w:r w:rsidR="00053A93">
          <w:rPr>
            <w:webHidden/>
          </w:rPr>
        </w:r>
        <w:r w:rsidR="00053A93">
          <w:rPr>
            <w:webHidden/>
          </w:rPr>
          <w:fldChar w:fldCharType="separate"/>
        </w:r>
        <w:r w:rsidR="00053A93">
          <w:rPr>
            <w:webHidden/>
          </w:rPr>
          <w:t>24</w:t>
        </w:r>
        <w:r w:rsidR="00053A93">
          <w:rPr>
            <w:webHidden/>
          </w:rPr>
          <w:fldChar w:fldCharType="end"/>
        </w:r>
      </w:hyperlink>
    </w:p>
    <w:p w14:paraId="4148D821" w14:textId="74B85F9F"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6" w:history="1">
        <w:r w:rsidR="00053A93" w:rsidRPr="00F46105">
          <w:rPr>
            <w:rStyle w:val="Hyperlink"/>
          </w:rPr>
          <w:t>4.2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is excess demand, not all of it appropriate</w:t>
        </w:r>
        <w:r w:rsidR="00053A93">
          <w:rPr>
            <w:webHidden/>
          </w:rPr>
          <w:tab/>
        </w:r>
        <w:r w:rsidR="00053A93">
          <w:rPr>
            <w:webHidden/>
          </w:rPr>
          <w:fldChar w:fldCharType="begin"/>
        </w:r>
        <w:r w:rsidR="00053A93">
          <w:rPr>
            <w:webHidden/>
          </w:rPr>
          <w:instrText xml:space="preserve"> PAGEREF _Toc136433496 \h </w:instrText>
        </w:r>
        <w:r w:rsidR="00053A93">
          <w:rPr>
            <w:webHidden/>
          </w:rPr>
        </w:r>
        <w:r w:rsidR="00053A93">
          <w:rPr>
            <w:webHidden/>
          </w:rPr>
          <w:fldChar w:fldCharType="separate"/>
        </w:r>
        <w:r w:rsidR="00053A93">
          <w:rPr>
            <w:webHidden/>
          </w:rPr>
          <w:t>27</w:t>
        </w:r>
        <w:r w:rsidR="00053A93">
          <w:rPr>
            <w:webHidden/>
          </w:rPr>
          <w:fldChar w:fldCharType="end"/>
        </w:r>
      </w:hyperlink>
    </w:p>
    <w:p w14:paraId="22983106" w14:textId="6B952897"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7" w:history="1">
        <w:r w:rsidR="00053A93" w:rsidRPr="00F46105">
          <w:rPr>
            <w:rStyle w:val="Hyperlink"/>
          </w:rPr>
          <w:t>4.3</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is insufficient supply to meet surging demand</w:t>
        </w:r>
        <w:r w:rsidR="00053A93">
          <w:rPr>
            <w:webHidden/>
          </w:rPr>
          <w:tab/>
        </w:r>
        <w:r w:rsidR="00053A93">
          <w:rPr>
            <w:webHidden/>
          </w:rPr>
          <w:fldChar w:fldCharType="begin"/>
        </w:r>
        <w:r w:rsidR="00053A93">
          <w:rPr>
            <w:webHidden/>
          </w:rPr>
          <w:instrText xml:space="preserve"> PAGEREF _Toc136433497 \h </w:instrText>
        </w:r>
        <w:r w:rsidR="00053A93">
          <w:rPr>
            <w:webHidden/>
          </w:rPr>
        </w:r>
        <w:r w:rsidR="00053A93">
          <w:rPr>
            <w:webHidden/>
          </w:rPr>
          <w:fldChar w:fldCharType="separate"/>
        </w:r>
        <w:r w:rsidR="00053A93">
          <w:rPr>
            <w:webHidden/>
          </w:rPr>
          <w:t>28</w:t>
        </w:r>
        <w:r w:rsidR="00053A93">
          <w:rPr>
            <w:webHidden/>
          </w:rPr>
          <w:fldChar w:fldCharType="end"/>
        </w:r>
      </w:hyperlink>
    </w:p>
    <w:p w14:paraId="439D6E26" w14:textId="5E1D04BB"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8" w:history="1">
        <w:r w:rsidR="00053A93" w:rsidRPr="00F46105">
          <w:rPr>
            <w:rStyle w:val="Hyperlink"/>
          </w:rPr>
          <w:t>4.4</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DH could better exercise its system steward role</w:t>
        </w:r>
        <w:r w:rsidR="00053A93">
          <w:rPr>
            <w:webHidden/>
          </w:rPr>
          <w:tab/>
        </w:r>
        <w:r w:rsidR="00053A93">
          <w:rPr>
            <w:webHidden/>
          </w:rPr>
          <w:fldChar w:fldCharType="begin"/>
        </w:r>
        <w:r w:rsidR="00053A93">
          <w:rPr>
            <w:webHidden/>
          </w:rPr>
          <w:instrText xml:space="preserve"> PAGEREF _Toc136433498 \h </w:instrText>
        </w:r>
        <w:r w:rsidR="00053A93">
          <w:rPr>
            <w:webHidden/>
          </w:rPr>
        </w:r>
        <w:r w:rsidR="00053A93">
          <w:rPr>
            <w:webHidden/>
          </w:rPr>
          <w:fldChar w:fldCharType="separate"/>
        </w:r>
        <w:r w:rsidR="00053A93">
          <w:rPr>
            <w:webHidden/>
          </w:rPr>
          <w:t>29</w:t>
        </w:r>
        <w:r w:rsidR="00053A93">
          <w:rPr>
            <w:webHidden/>
          </w:rPr>
          <w:fldChar w:fldCharType="end"/>
        </w:r>
      </w:hyperlink>
    </w:p>
    <w:p w14:paraId="09977FC6" w14:textId="78736565"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499" w:history="1">
        <w:r w:rsidR="00053A93" w:rsidRPr="00F46105">
          <w:rPr>
            <w:rStyle w:val="Hyperlink"/>
          </w:rPr>
          <w:t>4.5</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is a lack of coordinated workforce planning for NEPT</w:t>
        </w:r>
        <w:r w:rsidR="00053A93">
          <w:rPr>
            <w:webHidden/>
          </w:rPr>
          <w:tab/>
        </w:r>
        <w:r w:rsidR="00053A93">
          <w:rPr>
            <w:webHidden/>
          </w:rPr>
          <w:fldChar w:fldCharType="begin"/>
        </w:r>
        <w:r w:rsidR="00053A93">
          <w:rPr>
            <w:webHidden/>
          </w:rPr>
          <w:instrText xml:space="preserve"> PAGEREF _Toc136433499 \h </w:instrText>
        </w:r>
        <w:r w:rsidR="00053A93">
          <w:rPr>
            <w:webHidden/>
          </w:rPr>
        </w:r>
        <w:r w:rsidR="00053A93">
          <w:rPr>
            <w:webHidden/>
          </w:rPr>
          <w:fldChar w:fldCharType="separate"/>
        </w:r>
        <w:r w:rsidR="00053A93">
          <w:rPr>
            <w:webHidden/>
          </w:rPr>
          <w:t>29</w:t>
        </w:r>
        <w:r w:rsidR="00053A93">
          <w:rPr>
            <w:webHidden/>
          </w:rPr>
          <w:fldChar w:fldCharType="end"/>
        </w:r>
      </w:hyperlink>
    </w:p>
    <w:p w14:paraId="140D8BD9" w14:textId="6B935404"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0" w:history="1">
        <w:r w:rsidR="00053A93" w:rsidRPr="00F46105">
          <w:rPr>
            <w:rStyle w:val="Hyperlink"/>
          </w:rPr>
          <w:t>4.6</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Low acuity NEPT patients are not always connected with the right transport for their needs</w:t>
        </w:r>
        <w:r w:rsidR="00053A93">
          <w:rPr>
            <w:webHidden/>
          </w:rPr>
          <w:tab/>
        </w:r>
        <w:r w:rsidR="00053A93">
          <w:rPr>
            <w:webHidden/>
          </w:rPr>
          <w:fldChar w:fldCharType="begin"/>
        </w:r>
        <w:r w:rsidR="00053A93">
          <w:rPr>
            <w:webHidden/>
          </w:rPr>
          <w:instrText xml:space="preserve"> PAGEREF _Toc136433500 \h </w:instrText>
        </w:r>
        <w:r w:rsidR="00053A93">
          <w:rPr>
            <w:webHidden/>
          </w:rPr>
        </w:r>
        <w:r w:rsidR="00053A93">
          <w:rPr>
            <w:webHidden/>
          </w:rPr>
          <w:fldChar w:fldCharType="separate"/>
        </w:r>
        <w:r w:rsidR="00053A93">
          <w:rPr>
            <w:webHidden/>
          </w:rPr>
          <w:t>30</w:t>
        </w:r>
        <w:r w:rsidR="00053A93">
          <w:rPr>
            <w:webHidden/>
          </w:rPr>
          <w:fldChar w:fldCharType="end"/>
        </w:r>
      </w:hyperlink>
    </w:p>
    <w:p w14:paraId="66BAD128" w14:textId="1051E49E"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1" w:history="1">
        <w:r w:rsidR="00053A93" w:rsidRPr="00F46105">
          <w:rPr>
            <w:rStyle w:val="Hyperlink"/>
          </w:rPr>
          <w:t>4.7</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are barriers to competition under existing arrangements</w:t>
        </w:r>
        <w:r w:rsidR="00053A93">
          <w:rPr>
            <w:webHidden/>
          </w:rPr>
          <w:tab/>
        </w:r>
        <w:r w:rsidR="00053A93">
          <w:rPr>
            <w:webHidden/>
          </w:rPr>
          <w:fldChar w:fldCharType="begin"/>
        </w:r>
        <w:r w:rsidR="00053A93">
          <w:rPr>
            <w:webHidden/>
          </w:rPr>
          <w:instrText xml:space="preserve"> PAGEREF _Toc136433501 \h </w:instrText>
        </w:r>
        <w:r w:rsidR="00053A93">
          <w:rPr>
            <w:webHidden/>
          </w:rPr>
        </w:r>
        <w:r w:rsidR="00053A93">
          <w:rPr>
            <w:webHidden/>
          </w:rPr>
          <w:fldChar w:fldCharType="separate"/>
        </w:r>
        <w:r w:rsidR="00053A93">
          <w:rPr>
            <w:webHidden/>
          </w:rPr>
          <w:t>32</w:t>
        </w:r>
        <w:r w:rsidR="00053A93">
          <w:rPr>
            <w:webHidden/>
          </w:rPr>
          <w:fldChar w:fldCharType="end"/>
        </w:r>
      </w:hyperlink>
    </w:p>
    <w:p w14:paraId="27F6D6C1" w14:textId="69841F48"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2" w:history="1">
        <w:r w:rsidR="00053A93" w:rsidRPr="00F46105">
          <w:rPr>
            <w:rStyle w:val="Hyperlink"/>
          </w:rPr>
          <w:t>4.8</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is limited use of contemporary technology</w:t>
        </w:r>
        <w:r w:rsidR="00053A93">
          <w:rPr>
            <w:webHidden/>
          </w:rPr>
          <w:tab/>
        </w:r>
        <w:r w:rsidR="00053A93">
          <w:rPr>
            <w:webHidden/>
          </w:rPr>
          <w:fldChar w:fldCharType="begin"/>
        </w:r>
        <w:r w:rsidR="00053A93">
          <w:rPr>
            <w:webHidden/>
          </w:rPr>
          <w:instrText xml:space="preserve"> PAGEREF _Toc136433502 \h </w:instrText>
        </w:r>
        <w:r w:rsidR="00053A93">
          <w:rPr>
            <w:webHidden/>
          </w:rPr>
        </w:r>
        <w:r w:rsidR="00053A93">
          <w:rPr>
            <w:webHidden/>
          </w:rPr>
          <w:fldChar w:fldCharType="separate"/>
        </w:r>
        <w:r w:rsidR="00053A93">
          <w:rPr>
            <w:webHidden/>
          </w:rPr>
          <w:t>33</w:t>
        </w:r>
        <w:r w:rsidR="00053A93">
          <w:rPr>
            <w:webHidden/>
          </w:rPr>
          <w:fldChar w:fldCharType="end"/>
        </w:r>
      </w:hyperlink>
    </w:p>
    <w:p w14:paraId="4399812E" w14:textId="26A679B4"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3" w:history="1">
        <w:r w:rsidR="00053A93" w:rsidRPr="00F46105">
          <w:rPr>
            <w:rStyle w:val="Hyperlink"/>
          </w:rPr>
          <w:t>4.9</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 NEPT sector is not well-positioned to meet future needs</w:t>
        </w:r>
        <w:r w:rsidR="00053A93">
          <w:rPr>
            <w:webHidden/>
          </w:rPr>
          <w:tab/>
        </w:r>
        <w:r w:rsidR="00053A93">
          <w:rPr>
            <w:webHidden/>
          </w:rPr>
          <w:fldChar w:fldCharType="begin"/>
        </w:r>
        <w:r w:rsidR="00053A93">
          <w:rPr>
            <w:webHidden/>
          </w:rPr>
          <w:instrText xml:space="preserve"> PAGEREF _Toc136433503 \h </w:instrText>
        </w:r>
        <w:r w:rsidR="00053A93">
          <w:rPr>
            <w:webHidden/>
          </w:rPr>
        </w:r>
        <w:r w:rsidR="00053A93">
          <w:rPr>
            <w:webHidden/>
          </w:rPr>
          <w:fldChar w:fldCharType="separate"/>
        </w:r>
        <w:r w:rsidR="00053A93">
          <w:rPr>
            <w:webHidden/>
          </w:rPr>
          <w:t>33</w:t>
        </w:r>
        <w:r w:rsidR="00053A93">
          <w:rPr>
            <w:webHidden/>
          </w:rPr>
          <w:fldChar w:fldCharType="end"/>
        </w:r>
      </w:hyperlink>
    </w:p>
    <w:p w14:paraId="72FD9E18" w14:textId="2509E731"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504" w:history="1">
        <w:r w:rsidR="00053A93" w:rsidRPr="00F46105">
          <w:rPr>
            <w:rStyle w:val="Hyperlink"/>
          </w:rPr>
          <w:t>5.</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What are the future options for reform?</w:t>
        </w:r>
        <w:r w:rsidR="00053A93">
          <w:rPr>
            <w:webHidden/>
          </w:rPr>
          <w:tab/>
        </w:r>
        <w:r w:rsidR="00053A93">
          <w:rPr>
            <w:webHidden/>
          </w:rPr>
          <w:fldChar w:fldCharType="begin"/>
        </w:r>
        <w:r w:rsidR="00053A93">
          <w:rPr>
            <w:webHidden/>
          </w:rPr>
          <w:instrText xml:space="preserve"> PAGEREF _Toc136433504 \h </w:instrText>
        </w:r>
        <w:r w:rsidR="00053A93">
          <w:rPr>
            <w:webHidden/>
          </w:rPr>
        </w:r>
        <w:r w:rsidR="00053A93">
          <w:rPr>
            <w:webHidden/>
          </w:rPr>
          <w:fldChar w:fldCharType="separate"/>
        </w:r>
        <w:r w:rsidR="00053A93">
          <w:rPr>
            <w:webHidden/>
          </w:rPr>
          <w:t>35</w:t>
        </w:r>
        <w:r w:rsidR="00053A93">
          <w:rPr>
            <w:webHidden/>
          </w:rPr>
          <w:fldChar w:fldCharType="end"/>
        </w:r>
      </w:hyperlink>
    </w:p>
    <w:p w14:paraId="06A6FD80" w14:textId="66537996"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5" w:history="1">
        <w:r w:rsidR="00053A93" w:rsidRPr="00F46105">
          <w:rPr>
            <w:rStyle w:val="Hyperlink"/>
          </w:rPr>
          <w:t>5.1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There are many opportunities to strengthen the NEPT sector</w:t>
        </w:r>
        <w:r w:rsidR="00053A93">
          <w:rPr>
            <w:webHidden/>
          </w:rPr>
          <w:tab/>
        </w:r>
        <w:r w:rsidR="00053A93">
          <w:rPr>
            <w:webHidden/>
          </w:rPr>
          <w:fldChar w:fldCharType="begin"/>
        </w:r>
        <w:r w:rsidR="00053A93">
          <w:rPr>
            <w:webHidden/>
          </w:rPr>
          <w:instrText xml:space="preserve"> PAGEREF _Toc136433505 \h </w:instrText>
        </w:r>
        <w:r w:rsidR="00053A93">
          <w:rPr>
            <w:webHidden/>
          </w:rPr>
        </w:r>
        <w:r w:rsidR="00053A93">
          <w:rPr>
            <w:webHidden/>
          </w:rPr>
          <w:fldChar w:fldCharType="separate"/>
        </w:r>
        <w:r w:rsidR="00053A93">
          <w:rPr>
            <w:webHidden/>
          </w:rPr>
          <w:t>35</w:t>
        </w:r>
        <w:r w:rsidR="00053A93">
          <w:rPr>
            <w:webHidden/>
          </w:rPr>
          <w:fldChar w:fldCharType="end"/>
        </w:r>
      </w:hyperlink>
    </w:p>
    <w:p w14:paraId="4F57D7DD" w14:textId="15482059"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6" w:history="1">
        <w:r w:rsidR="00053A93" w:rsidRPr="00F46105">
          <w:rPr>
            <w:rStyle w:val="Hyperlink"/>
          </w:rPr>
          <w:t>5.2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Victoria can also learn from reforms in other health systems</w:t>
        </w:r>
        <w:r w:rsidR="00053A93">
          <w:rPr>
            <w:webHidden/>
          </w:rPr>
          <w:tab/>
        </w:r>
        <w:r w:rsidR="00053A93">
          <w:rPr>
            <w:webHidden/>
          </w:rPr>
          <w:fldChar w:fldCharType="begin"/>
        </w:r>
        <w:r w:rsidR="00053A93">
          <w:rPr>
            <w:webHidden/>
          </w:rPr>
          <w:instrText xml:space="preserve"> PAGEREF _Toc136433506 \h </w:instrText>
        </w:r>
        <w:r w:rsidR="00053A93">
          <w:rPr>
            <w:webHidden/>
          </w:rPr>
        </w:r>
        <w:r w:rsidR="00053A93">
          <w:rPr>
            <w:webHidden/>
          </w:rPr>
          <w:fldChar w:fldCharType="separate"/>
        </w:r>
        <w:r w:rsidR="00053A93">
          <w:rPr>
            <w:webHidden/>
          </w:rPr>
          <w:t>36</w:t>
        </w:r>
        <w:r w:rsidR="00053A93">
          <w:rPr>
            <w:webHidden/>
          </w:rPr>
          <w:fldChar w:fldCharType="end"/>
        </w:r>
      </w:hyperlink>
    </w:p>
    <w:p w14:paraId="7801143F" w14:textId="06E2E1DB"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507" w:history="1">
        <w:r w:rsidR="00053A93" w:rsidRPr="00F46105">
          <w:rPr>
            <w:rStyle w:val="Hyperlink"/>
          </w:rPr>
          <w:t>6.</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Consultation questions and public submissions</w:t>
        </w:r>
        <w:r w:rsidR="00053A93">
          <w:rPr>
            <w:webHidden/>
          </w:rPr>
          <w:tab/>
        </w:r>
        <w:r w:rsidR="00053A93">
          <w:rPr>
            <w:webHidden/>
          </w:rPr>
          <w:fldChar w:fldCharType="begin"/>
        </w:r>
        <w:r w:rsidR="00053A93">
          <w:rPr>
            <w:webHidden/>
          </w:rPr>
          <w:instrText xml:space="preserve"> PAGEREF _Toc136433507 \h </w:instrText>
        </w:r>
        <w:r w:rsidR="00053A93">
          <w:rPr>
            <w:webHidden/>
          </w:rPr>
        </w:r>
        <w:r w:rsidR="00053A93">
          <w:rPr>
            <w:webHidden/>
          </w:rPr>
          <w:fldChar w:fldCharType="separate"/>
        </w:r>
        <w:r w:rsidR="00053A93">
          <w:rPr>
            <w:webHidden/>
          </w:rPr>
          <w:t>39</w:t>
        </w:r>
        <w:r w:rsidR="00053A93">
          <w:rPr>
            <w:webHidden/>
          </w:rPr>
          <w:fldChar w:fldCharType="end"/>
        </w:r>
      </w:hyperlink>
    </w:p>
    <w:p w14:paraId="5C72A25B" w14:textId="13337E18"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8" w:history="1">
        <w:r w:rsidR="00053A93" w:rsidRPr="00F46105">
          <w:rPr>
            <w:rStyle w:val="Hyperlink"/>
          </w:rPr>
          <w:t>6.1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Focus of public submissions</w:t>
        </w:r>
        <w:r w:rsidR="00053A93">
          <w:rPr>
            <w:webHidden/>
          </w:rPr>
          <w:tab/>
        </w:r>
        <w:r w:rsidR="00053A93">
          <w:rPr>
            <w:webHidden/>
          </w:rPr>
          <w:fldChar w:fldCharType="begin"/>
        </w:r>
        <w:r w:rsidR="00053A93">
          <w:rPr>
            <w:webHidden/>
          </w:rPr>
          <w:instrText xml:space="preserve"> PAGEREF _Toc136433508 \h </w:instrText>
        </w:r>
        <w:r w:rsidR="00053A93">
          <w:rPr>
            <w:webHidden/>
          </w:rPr>
        </w:r>
        <w:r w:rsidR="00053A93">
          <w:rPr>
            <w:webHidden/>
          </w:rPr>
          <w:fldChar w:fldCharType="separate"/>
        </w:r>
        <w:r w:rsidR="00053A93">
          <w:rPr>
            <w:webHidden/>
          </w:rPr>
          <w:t>39</w:t>
        </w:r>
        <w:r w:rsidR="00053A93">
          <w:rPr>
            <w:webHidden/>
          </w:rPr>
          <w:fldChar w:fldCharType="end"/>
        </w:r>
      </w:hyperlink>
    </w:p>
    <w:p w14:paraId="34CB656F" w14:textId="2CC552C9"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09" w:history="1">
        <w:r w:rsidR="00053A93" w:rsidRPr="00F46105">
          <w:rPr>
            <w:rStyle w:val="Hyperlink"/>
          </w:rPr>
          <w:t>6.2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Summary of questions</w:t>
        </w:r>
        <w:r w:rsidR="00053A93">
          <w:rPr>
            <w:webHidden/>
          </w:rPr>
          <w:tab/>
        </w:r>
        <w:r w:rsidR="00053A93">
          <w:rPr>
            <w:webHidden/>
          </w:rPr>
          <w:fldChar w:fldCharType="begin"/>
        </w:r>
        <w:r w:rsidR="00053A93">
          <w:rPr>
            <w:webHidden/>
          </w:rPr>
          <w:instrText xml:space="preserve"> PAGEREF _Toc136433509 \h </w:instrText>
        </w:r>
        <w:r w:rsidR="00053A93">
          <w:rPr>
            <w:webHidden/>
          </w:rPr>
        </w:r>
        <w:r w:rsidR="00053A93">
          <w:rPr>
            <w:webHidden/>
          </w:rPr>
          <w:fldChar w:fldCharType="separate"/>
        </w:r>
        <w:r w:rsidR="00053A93">
          <w:rPr>
            <w:webHidden/>
          </w:rPr>
          <w:t>39</w:t>
        </w:r>
        <w:r w:rsidR="00053A93">
          <w:rPr>
            <w:webHidden/>
          </w:rPr>
          <w:fldChar w:fldCharType="end"/>
        </w:r>
      </w:hyperlink>
    </w:p>
    <w:p w14:paraId="79FF2E22" w14:textId="1489E9B9"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510" w:history="1">
        <w:r w:rsidR="00053A93" w:rsidRPr="00F46105">
          <w:rPr>
            <w:rStyle w:val="Hyperlink"/>
          </w:rPr>
          <w:t>7.</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Next Steps</w:t>
        </w:r>
        <w:r w:rsidR="00053A93">
          <w:rPr>
            <w:webHidden/>
          </w:rPr>
          <w:tab/>
        </w:r>
        <w:r w:rsidR="00053A93">
          <w:rPr>
            <w:webHidden/>
          </w:rPr>
          <w:fldChar w:fldCharType="begin"/>
        </w:r>
        <w:r w:rsidR="00053A93">
          <w:rPr>
            <w:webHidden/>
          </w:rPr>
          <w:instrText xml:space="preserve"> PAGEREF _Toc136433510 \h </w:instrText>
        </w:r>
        <w:r w:rsidR="00053A93">
          <w:rPr>
            <w:webHidden/>
          </w:rPr>
        </w:r>
        <w:r w:rsidR="00053A93">
          <w:rPr>
            <w:webHidden/>
          </w:rPr>
          <w:fldChar w:fldCharType="separate"/>
        </w:r>
        <w:r w:rsidR="00053A93">
          <w:rPr>
            <w:webHidden/>
          </w:rPr>
          <w:t>42</w:t>
        </w:r>
        <w:r w:rsidR="00053A93">
          <w:rPr>
            <w:webHidden/>
          </w:rPr>
          <w:fldChar w:fldCharType="end"/>
        </w:r>
      </w:hyperlink>
    </w:p>
    <w:p w14:paraId="4D99D43F" w14:textId="23B15FDE"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11" w:history="1">
        <w:r w:rsidR="00053A93" w:rsidRPr="00F46105">
          <w:rPr>
            <w:rStyle w:val="Hyperlink"/>
          </w:rPr>
          <w:t>7.1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Process and timelines</w:t>
        </w:r>
        <w:r w:rsidR="00053A93">
          <w:rPr>
            <w:webHidden/>
          </w:rPr>
          <w:tab/>
        </w:r>
        <w:r w:rsidR="00053A93">
          <w:rPr>
            <w:webHidden/>
          </w:rPr>
          <w:fldChar w:fldCharType="begin"/>
        </w:r>
        <w:r w:rsidR="00053A93">
          <w:rPr>
            <w:webHidden/>
          </w:rPr>
          <w:instrText xml:space="preserve"> PAGEREF _Toc136433511 \h </w:instrText>
        </w:r>
        <w:r w:rsidR="00053A93">
          <w:rPr>
            <w:webHidden/>
          </w:rPr>
        </w:r>
        <w:r w:rsidR="00053A93">
          <w:rPr>
            <w:webHidden/>
          </w:rPr>
          <w:fldChar w:fldCharType="separate"/>
        </w:r>
        <w:r w:rsidR="00053A93">
          <w:rPr>
            <w:webHidden/>
          </w:rPr>
          <w:t>42</w:t>
        </w:r>
        <w:r w:rsidR="00053A93">
          <w:rPr>
            <w:webHidden/>
          </w:rPr>
          <w:fldChar w:fldCharType="end"/>
        </w:r>
      </w:hyperlink>
    </w:p>
    <w:p w14:paraId="21706582" w14:textId="4857DFDC" w:rsidR="00053A93" w:rsidRDefault="00655E91">
      <w:pPr>
        <w:pStyle w:val="TOC1"/>
        <w:tabs>
          <w:tab w:val="left" w:pos="567"/>
        </w:tabs>
        <w:rPr>
          <w:rFonts w:asciiTheme="minorHAnsi" w:eastAsiaTheme="minorEastAsia" w:hAnsiTheme="minorHAnsi" w:cstheme="minorBidi"/>
          <w:b w:val="0"/>
          <w:kern w:val="2"/>
          <w:sz w:val="22"/>
          <w:szCs w:val="22"/>
          <w:lang w:eastAsia="en-AU"/>
          <w14:ligatures w14:val="standardContextual"/>
        </w:rPr>
      </w:pPr>
      <w:hyperlink w:anchor="_Toc136433512" w:history="1">
        <w:r w:rsidR="00053A93" w:rsidRPr="00F46105">
          <w:rPr>
            <w:rStyle w:val="Hyperlink"/>
          </w:rPr>
          <w:t>8.</w:t>
        </w:r>
        <w:r w:rsidR="00053A93">
          <w:rPr>
            <w:rFonts w:asciiTheme="minorHAnsi" w:eastAsiaTheme="minorEastAsia" w:hAnsiTheme="minorHAnsi" w:cstheme="minorBidi"/>
            <w:b w:val="0"/>
            <w:kern w:val="2"/>
            <w:sz w:val="22"/>
            <w:szCs w:val="22"/>
            <w:lang w:eastAsia="en-AU"/>
            <w14:ligatures w14:val="standardContextual"/>
          </w:rPr>
          <w:tab/>
        </w:r>
        <w:r w:rsidR="00053A93" w:rsidRPr="00F46105">
          <w:rPr>
            <w:rStyle w:val="Hyperlink"/>
          </w:rPr>
          <w:t>Appendices</w:t>
        </w:r>
        <w:r w:rsidR="00053A93">
          <w:rPr>
            <w:webHidden/>
          </w:rPr>
          <w:tab/>
        </w:r>
        <w:r w:rsidR="00053A93">
          <w:rPr>
            <w:webHidden/>
          </w:rPr>
          <w:fldChar w:fldCharType="begin"/>
        </w:r>
        <w:r w:rsidR="00053A93">
          <w:rPr>
            <w:webHidden/>
          </w:rPr>
          <w:instrText xml:space="preserve"> PAGEREF _Toc136433512 \h </w:instrText>
        </w:r>
        <w:r w:rsidR="00053A93">
          <w:rPr>
            <w:webHidden/>
          </w:rPr>
        </w:r>
        <w:r w:rsidR="00053A93">
          <w:rPr>
            <w:webHidden/>
          </w:rPr>
          <w:fldChar w:fldCharType="separate"/>
        </w:r>
        <w:r w:rsidR="00053A93">
          <w:rPr>
            <w:webHidden/>
          </w:rPr>
          <w:t>43</w:t>
        </w:r>
        <w:r w:rsidR="00053A93">
          <w:rPr>
            <w:webHidden/>
          </w:rPr>
          <w:fldChar w:fldCharType="end"/>
        </w:r>
      </w:hyperlink>
    </w:p>
    <w:p w14:paraId="6FF2DFED" w14:textId="7587763B"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13" w:history="1">
        <w:r w:rsidR="00053A93" w:rsidRPr="00F46105">
          <w:rPr>
            <w:rStyle w:val="Hyperlink"/>
          </w:rPr>
          <w:t>8.1</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Appendix 1: Abbreviations</w:t>
        </w:r>
        <w:r w:rsidR="00053A93">
          <w:rPr>
            <w:webHidden/>
          </w:rPr>
          <w:tab/>
        </w:r>
        <w:r w:rsidR="00053A93">
          <w:rPr>
            <w:webHidden/>
          </w:rPr>
          <w:fldChar w:fldCharType="begin"/>
        </w:r>
        <w:r w:rsidR="00053A93">
          <w:rPr>
            <w:webHidden/>
          </w:rPr>
          <w:instrText xml:space="preserve"> PAGEREF _Toc136433513 \h </w:instrText>
        </w:r>
        <w:r w:rsidR="00053A93">
          <w:rPr>
            <w:webHidden/>
          </w:rPr>
        </w:r>
        <w:r w:rsidR="00053A93">
          <w:rPr>
            <w:webHidden/>
          </w:rPr>
          <w:fldChar w:fldCharType="separate"/>
        </w:r>
        <w:r w:rsidR="00053A93">
          <w:rPr>
            <w:webHidden/>
          </w:rPr>
          <w:t>43</w:t>
        </w:r>
        <w:r w:rsidR="00053A93">
          <w:rPr>
            <w:webHidden/>
          </w:rPr>
          <w:fldChar w:fldCharType="end"/>
        </w:r>
      </w:hyperlink>
    </w:p>
    <w:p w14:paraId="53856DAC" w14:textId="491AC57F" w:rsidR="00053A93" w:rsidRDefault="00655E91">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36433514" w:history="1">
        <w:r w:rsidR="00053A93" w:rsidRPr="00F46105">
          <w:rPr>
            <w:rStyle w:val="Hyperlink"/>
          </w:rPr>
          <w:t>8.2</w:t>
        </w:r>
        <w:r w:rsidR="00053A93">
          <w:rPr>
            <w:rFonts w:asciiTheme="minorHAnsi" w:eastAsiaTheme="minorEastAsia" w:hAnsiTheme="minorHAnsi" w:cstheme="minorBidi"/>
            <w:kern w:val="2"/>
            <w:sz w:val="22"/>
            <w:szCs w:val="22"/>
            <w:lang w:eastAsia="en-AU"/>
            <w14:ligatures w14:val="standardContextual"/>
          </w:rPr>
          <w:tab/>
        </w:r>
        <w:r w:rsidR="00053A93" w:rsidRPr="00F46105">
          <w:rPr>
            <w:rStyle w:val="Hyperlink"/>
          </w:rPr>
          <w:t>Appendix 2: Jurisdictional comparison of procurement arrangements</w:t>
        </w:r>
        <w:r w:rsidR="00053A93">
          <w:rPr>
            <w:webHidden/>
          </w:rPr>
          <w:tab/>
        </w:r>
        <w:r w:rsidR="00053A93">
          <w:rPr>
            <w:webHidden/>
          </w:rPr>
          <w:fldChar w:fldCharType="begin"/>
        </w:r>
        <w:r w:rsidR="00053A93">
          <w:rPr>
            <w:webHidden/>
          </w:rPr>
          <w:instrText xml:space="preserve"> PAGEREF _Toc136433514 \h </w:instrText>
        </w:r>
        <w:r w:rsidR="00053A93">
          <w:rPr>
            <w:webHidden/>
          </w:rPr>
        </w:r>
        <w:r w:rsidR="00053A93">
          <w:rPr>
            <w:webHidden/>
          </w:rPr>
          <w:fldChar w:fldCharType="separate"/>
        </w:r>
        <w:r w:rsidR="00053A93">
          <w:rPr>
            <w:webHidden/>
          </w:rPr>
          <w:t>44</w:t>
        </w:r>
        <w:r w:rsidR="00053A93">
          <w:rPr>
            <w:webHidden/>
          </w:rPr>
          <w:fldChar w:fldCharType="end"/>
        </w:r>
      </w:hyperlink>
    </w:p>
    <w:p w14:paraId="4A3B9127" w14:textId="40CD52F3" w:rsidR="008C1CA0" w:rsidRPr="00BB1E47" w:rsidRDefault="008C1CA0" w:rsidP="008C1CA0">
      <w:pPr>
        <w:pStyle w:val="Body"/>
      </w:pPr>
      <w:r w:rsidRPr="00BB1E47">
        <w:fldChar w:fldCharType="end"/>
      </w:r>
    </w:p>
    <w:p w14:paraId="7FA48E8D" w14:textId="77777777" w:rsidR="005F5640" w:rsidRPr="00BB1E47" w:rsidRDefault="005F5640" w:rsidP="008C1CA0">
      <w:pPr>
        <w:pStyle w:val="Body"/>
      </w:pPr>
    </w:p>
    <w:p w14:paraId="6A3C6320" w14:textId="77777777" w:rsidR="008C1CA0" w:rsidRPr="00BB1E47" w:rsidRDefault="008C1CA0" w:rsidP="008C1CA0">
      <w:pPr>
        <w:pStyle w:val="Body"/>
        <w:sectPr w:rsidR="008C1CA0" w:rsidRPr="00BB1E47" w:rsidSect="00E62622">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14CC6BAD" w14:textId="4BCFFA5F" w:rsidR="00D25887" w:rsidRPr="00BB1E47" w:rsidRDefault="003A125F" w:rsidP="0076029B">
      <w:pPr>
        <w:pStyle w:val="Heading1"/>
      </w:pPr>
      <w:bookmarkStart w:id="2" w:name="_Toc136433473"/>
      <w:bookmarkStart w:id="3" w:name="_Ref134640485"/>
      <w:r w:rsidRPr="00BB1E47">
        <w:lastRenderedPageBreak/>
        <w:t>Foreword</w:t>
      </w:r>
      <w:bookmarkEnd w:id="2"/>
    </w:p>
    <w:p w14:paraId="098F5F3C" w14:textId="77777777" w:rsidR="00D25887" w:rsidRPr="00BB1E47" w:rsidRDefault="00D25887" w:rsidP="0076029B">
      <w:pPr>
        <w:pStyle w:val="Body"/>
        <w:jc w:val="right"/>
        <w:rPr>
          <w:rStyle w:val="normaltextrun"/>
        </w:rPr>
      </w:pPr>
      <w:r w:rsidRPr="00BB1E47">
        <w:rPr>
          <w:noProof/>
        </w:rPr>
        <w:drawing>
          <wp:inline distT="0" distB="0" distL="0" distR="0" wp14:anchorId="320E29D9" wp14:editId="1104587F">
            <wp:extent cx="1503499" cy="1441450"/>
            <wp:effectExtent l="0" t="0" r="1905" b="635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1"/>
                    <a:stretch>
                      <a:fillRect/>
                    </a:stretch>
                  </pic:blipFill>
                  <pic:spPr>
                    <a:xfrm>
                      <a:off x="0" y="0"/>
                      <a:ext cx="1512505" cy="1450084"/>
                    </a:xfrm>
                    <a:prstGeom prst="rect">
                      <a:avLst/>
                    </a:prstGeom>
                  </pic:spPr>
                </pic:pic>
              </a:graphicData>
            </a:graphic>
          </wp:inline>
        </w:drawing>
      </w:r>
    </w:p>
    <w:p w14:paraId="65665970" w14:textId="0F9D0C2D" w:rsidR="003A125F" w:rsidRPr="00BB1E47" w:rsidRDefault="00AB7F77" w:rsidP="0076029B">
      <w:pPr>
        <w:pStyle w:val="Body"/>
        <w:spacing w:before="360"/>
      </w:pPr>
      <w:r w:rsidRPr="00BB1E47">
        <w:rPr>
          <w:rStyle w:val="normaltextrun"/>
        </w:rPr>
        <w:t xml:space="preserve">The Victorian Government is delivering on its election commitment to </w:t>
      </w:r>
      <w:r w:rsidR="00BB0041" w:rsidRPr="00BB1E47">
        <w:rPr>
          <w:rStyle w:val="normaltextrun"/>
        </w:rPr>
        <w:t xml:space="preserve">conduct a review of </w:t>
      </w:r>
      <w:r w:rsidR="0004673B" w:rsidRPr="00BB1E47">
        <w:rPr>
          <w:rStyle w:val="normaltextrun"/>
        </w:rPr>
        <w:t>n</w:t>
      </w:r>
      <w:r w:rsidR="003A125F" w:rsidRPr="00BB1E47">
        <w:rPr>
          <w:rStyle w:val="normaltextrun"/>
        </w:rPr>
        <w:t>on-</w:t>
      </w:r>
      <w:r w:rsidR="0004673B" w:rsidRPr="00BB1E47">
        <w:rPr>
          <w:rStyle w:val="normaltextrun"/>
        </w:rPr>
        <w:t>e</w:t>
      </w:r>
      <w:r w:rsidR="003A125F" w:rsidRPr="00BB1E47">
        <w:rPr>
          <w:rStyle w:val="normaltextrun"/>
        </w:rPr>
        <w:t xml:space="preserve">mergency </w:t>
      </w:r>
      <w:r w:rsidR="0004673B" w:rsidRPr="00BB1E47">
        <w:rPr>
          <w:rStyle w:val="normaltextrun"/>
        </w:rPr>
        <w:t>p</w:t>
      </w:r>
      <w:r w:rsidR="003A125F" w:rsidRPr="00BB1E47">
        <w:rPr>
          <w:rStyle w:val="normaltextrun"/>
        </w:rPr>
        <w:t xml:space="preserve">atient </w:t>
      </w:r>
      <w:r w:rsidR="0004673B" w:rsidRPr="00BB1E47">
        <w:rPr>
          <w:rStyle w:val="normaltextrun"/>
        </w:rPr>
        <w:t>t</w:t>
      </w:r>
      <w:r w:rsidR="003A125F" w:rsidRPr="00BB1E47">
        <w:rPr>
          <w:rStyle w:val="normaltextrun"/>
        </w:rPr>
        <w:t>ransport (NEPT) in Victoria</w:t>
      </w:r>
      <w:r w:rsidR="00CE68D5" w:rsidRPr="00BB1E47">
        <w:rPr>
          <w:rStyle w:val="normaltextrun"/>
        </w:rPr>
        <w:t xml:space="preserve"> - </w:t>
      </w:r>
      <w:r w:rsidR="00CE68D5" w:rsidRPr="00BB1E47">
        <w:rPr>
          <w:rFonts w:cs="Arial"/>
          <w:color w:val="000000"/>
        </w:rPr>
        <w:t>making sure Victorians are</w:t>
      </w:r>
      <w:r w:rsidR="0082551A">
        <w:rPr>
          <w:rFonts w:cs="Arial"/>
          <w:color w:val="000000"/>
        </w:rPr>
        <w:t xml:space="preserve"> connected to the right care</w:t>
      </w:r>
      <w:r w:rsidR="00CE68D5" w:rsidRPr="00BB1E47">
        <w:rPr>
          <w:rFonts w:cs="Arial"/>
          <w:color w:val="000000"/>
        </w:rPr>
        <w:t>.</w:t>
      </w:r>
    </w:p>
    <w:p w14:paraId="70749707" w14:textId="63CFD318" w:rsidR="003A125F" w:rsidRPr="00BB1E47" w:rsidRDefault="003A125F" w:rsidP="00124CD2">
      <w:pPr>
        <w:pStyle w:val="Body"/>
      </w:pPr>
      <w:r w:rsidRPr="00BB1E47">
        <w:rPr>
          <w:rStyle w:val="normaltextrun"/>
        </w:rPr>
        <w:t xml:space="preserve">NEPT is a critical feature of Victoria’s health system and ensures that people who need monitoring on their way to or from hospital can be transported safely. Last year alone, over </w:t>
      </w:r>
      <w:r w:rsidR="00F75DD1" w:rsidRPr="00F75DD1">
        <w:rPr>
          <w:rStyle w:val="normaltextrun"/>
        </w:rPr>
        <w:t>385</w:t>
      </w:r>
      <w:r w:rsidRPr="00F75DD1">
        <w:rPr>
          <w:rStyle w:val="normaltextrun"/>
        </w:rPr>
        <w:t>,000</w:t>
      </w:r>
      <w:r w:rsidRPr="00BB1E47">
        <w:rPr>
          <w:rStyle w:val="normaltextrun"/>
        </w:rPr>
        <w:t> transports were completed by Ambulance Victoria and private providers.</w:t>
      </w:r>
      <w:r w:rsidRPr="00BB1E47">
        <w:rPr>
          <w:rStyle w:val="eop"/>
        </w:rPr>
        <w:t> </w:t>
      </w:r>
    </w:p>
    <w:p w14:paraId="43D2ECC4" w14:textId="6C1C32EE" w:rsidR="003A125F" w:rsidRPr="00BB1E47" w:rsidRDefault="003A125F" w:rsidP="00124CD2">
      <w:pPr>
        <w:pStyle w:val="Body"/>
      </w:pPr>
      <w:r w:rsidRPr="00BB1E47">
        <w:rPr>
          <w:rStyle w:val="normaltextrun"/>
        </w:rPr>
        <w:t xml:space="preserve">NEPT services also play a pivotal role in freeing up </w:t>
      </w:r>
      <w:r w:rsidR="00017C16" w:rsidRPr="00BB1E47">
        <w:rPr>
          <w:rStyle w:val="normaltextrun"/>
        </w:rPr>
        <w:t>Ambulance Victoria’s</w:t>
      </w:r>
      <w:r w:rsidRPr="00BB1E47">
        <w:rPr>
          <w:rStyle w:val="normaltextrun"/>
        </w:rPr>
        <w:t xml:space="preserve"> emergency crews to respond to the most time critical patients, reducing hospital discharge delays and freeing up access for other patients to receive care. </w:t>
      </w:r>
      <w:r w:rsidRPr="00BB1E47">
        <w:rPr>
          <w:rStyle w:val="eop"/>
        </w:rPr>
        <w:t> </w:t>
      </w:r>
    </w:p>
    <w:p w14:paraId="0DD1F38C" w14:textId="2787F545" w:rsidR="003A125F" w:rsidRPr="00BB1E47" w:rsidRDefault="003A125F" w:rsidP="00124CD2">
      <w:pPr>
        <w:pStyle w:val="Body"/>
      </w:pPr>
      <w:r w:rsidRPr="00BB1E47">
        <w:rPr>
          <w:rStyle w:val="normaltextrun"/>
        </w:rPr>
        <w:t xml:space="preserve">Because of this, it’s imperative that NEPT services are operating as effectively as possible and so I’m pleased to </w:t>
      </w:r>
      <w:r w:rsidR="005D09C2" w:rsidRPr="00BB1E47">
        <w:rPr>
          <w:rStyle w:val="normaltextrun"/>
        </w:rPr>
        <w:t xml:space="preserve">be </w:t>
      </w:r>
      <w:r w:rsidRPr="00BB1E47">
        <w:rPr>
          <w:rStyle w:val="normaltextrun"/>
        </w:rPr>
        <w:t>lead</w:t>
      </w:r>
      <w:r w:rsidR="005D09C2" w:rsidRPr="00BB1E47">
        <w:rPr>
          <w:rStyle w:val="normaltextrun"/>
        </w:rPr>
        <w:t>ing</w:t>
      </w:r>
      <w:r w:rsidRPr="00BB1E47">
        <w:rPr>
          <w:rStyle w:val="normaltextrun"/>
        </w:rPr>
        <w:t> this review of the NEPT system</w:t>
      </w:r>
      <w:r w:rsidR="005D09C2" w:rsidRPr="00BB1E47">
        <w:rPr>
          <w:rStyle w:val="normaltextrun"/>
        </w:rPr>
        <w:t xml:space="preserve"> –</w:t>
      </w:r>
      <w:r w:rsidRPr="00BB1E47">
        <w:rPr>
          <w:rStyle w:val="normaltextrun"/>
        </w:rPr>
        <w:t xml:space="preserve"> to see what’s working and how we can do better.</w:t>
      </w:r>
      <w:r w:rsidRPr="00BB1E47">
        <w:rPr>
          <w:rStyle w:val="eop"/>
        </w:rPr>
        <w:t> </w:t>
      </w:r>
    </w:p>
    <w:p w14:paraId="4A78FB41" w14:textId="6FE5EE5E" w:rsidR="003A125F" w:rsidRPr="00BB1E47" w:rsidRDefault="003A125F" w:rsidP="00124CD2">
      <w:pPr>
        <w:pStyle w:val="Body"/>
        <w:rPr>
          <w:rStyle w:val="normaltextrun"/>
        </w:rPr>
      </w:pPr>
      <w:r w:rsidRPr="00BB1E47">
        <w:rPr>
          <w:rStyle w:val="normaltextrun"/>
        </w:rPr>
        <w:t>The review</w:t>
      </w:r>
      <w:r w:rsidR="00E31552" w:rsidRPr="00BB1E47">
        <w:rPr>
          <w:rStyle w:val="normaltextrun"/>
        </w:rPr>
        <w:t xml:space="preserve"> is wide-ranging. </w:t>
      </w:r>
      <w:r w:rsidR="002C35E8" w:rsidRPr="00BB1E47">
        <w:rPr>
          <w:rStyle w:val="normaltextrun"/>
        </w:rPr>
        <w:t xml:space="preserve">As well as considering future procurement arrangements, </w:t>
      </w:r>
      <w:r w:rsidR="00017C16" w:rsidRPr="00BB1E47">
        <w:rPr>
          <w:rStyle w:val="normaltextrun"/>
        </w:rPr>
        <w:t>it</w:t>
      </w:r>
      <w:r w:rsidR="002C35E8" w:rsidRPr="00BB1E47">
        <w:rPr>
          <w:rStyle w:val="normaltextrun"/>
        </w:rPr>
        <w:t xml:space="preserve"> </w:t>
      </w:r>
      <w:r w:rsidR="0052425A">
        <w:rPr>
          <w:rStyle w:val="normaltextrun"/>
        </w:rPr>
        <w:t xml:space="preserve">is </w:t>
      </w:r>
      <w:r w:rsidR="002C35E8" w:rsidRPr="00BB1E47">
        <w:rPr>
          <w:rStyle w:val="normaltextrun"/>
        </w:rPr>
        <w:t>assess</w:t>
      </w:r>
      <w:r w:rsidR="0052425A">
        <w:rPr>
          <w:rStyle w:val="normaltextrun"/>
        </w:rPr>
        <w:t>ing</w:t>
      </w:r>
      <w:r w:rsidRPr="00BB1E47">
        <w:rPr>
          <w:rStyle w:val="normaltextrun"/>
        </w:rPr>
        <w:t xml:space="preserve"> broader ways to improve timeliness of services, make </w:t>
      </w:r>
      <w:r w:rsidR="002C35E8" w:rsidRPr="00BB1E47">
        <w:rPr>
          <w:rStyle w:val="normaltextrun"/>
        </w:rPr>
        <w:t>full use of the skilled workforce</w:t>
      </w:r>
      <w:r w:rsidRPr="00BB1E47">
        <w:rPr>
          <w:rStyle w:val="normaltextrun"/>
        </w:rPr>
        <w:t>, tackle fragmentation, support financial sustainability</w:t>
      </w:r>
      <w:r w:rsidR="007C024D">
        <w:rPr>
          <w:rStyle w:val="normaltextrun"/>
        </w:rPr>
        <w:t>,</w:t>
      </w:r>
      <w:r w:rsidRPr="00BB1E47">
        <w:rPr>
          <w:rStyle w:val="normaltextrun"/>
        </w:rPr>
        <w:t xml:space="preserve"> and </w:t>
      </w:r>
      <w:r w:rsidR="002C35E8" w:rsidRPr="00BB1E47">
        <w:rPr>
          <w:rStyle w:val="normaltextrun"/>
        </w:rPr>
        <w:t xml:space="preserve">explore ways to better coordinate the system so Victorians </w:t>
      </w:r>
      <w:proofErr w:type="gramStart"/>
      <w:r w:rsidR="002C35E8" w:rsidRPr="00BB1E47">
        <w:rPr>
          <w:rStyle w:val="normaltextrun"/>
        </w:rPr>
        <w:t>are connected with</w:t>
      </w:r>
      <w:proofErr w:type="gramEnd"/>
      <w:r w:rsidR="002C35E8" w:rsidRPr="00BB1E47">
        <w:rPr>
          <w:rStyle w:val="normaltextrun"/>
        </w:rPr>
        <w:t xml:space="preserve"> the right transport for their specific needs.</w:t>
      </w:r>
    </w:p>
    <w:p w14:paraId="5DB73DD5" w14:textId="7D801A0F" w:rsidR="007E4AEA" w:rsidRPr="00BB1E47" w:rsidRDefault="007E4AEA" w:rsidP="003A125F">
      <w:pPr>
        <w:pStyle w:val="Body"/>
        <w:rPr>
          <w:rStyle w:val="normaltextrun"/>
        </w:rPr>
      </w:pPr>
      <w:r w:rsidRPr="00BB1E47">
        <w:rPr>
          <w:rStyle w:val="normaltextrun"/>
        </w:rPr>
        <w:t xml:space="preserve">The review </w:t>
      </w:r>
      <w:r w:rsidR="00A7588D">
        <w:rPr>
          <w:rStyle w:val="normaltextrun"/>
        </w:rPr>
        <w:t>is</w:t>
      </w:r>
      <w:r w:rsidRPr="00BB1E47">
        <w:rPr>
          <w:rStyle w:val="normaltextrun"/>
        </w:rPr>
        <w:t xml:space="preserve"> guided by conversations with the sector and those who interact with it, including NEPT staff and providers, Ambulance Victoria, health services, industrial partners, peak bodies, and most importantly Victorians who use NEPT services.</w:t>
      </w:r>
      <w:r w:rsidR="005D09C2" w:rsidRPr="00BB1E47">
        <w:rPr>
          <w:rStyle w:val="normaltextrun"/>
        </w:rPr>
        <w:t xml:space="preserve"> </w:t>
      </w:r>
    </w:p>
    <w:p w14:paraId="19D74C4F" w14:textId="5CE5C023" w:rsidR="007E4AEA" w:rsidRPr="00BB1E47" w:rsidRDefault="007E4AEA" w:rsidP="007E4AEA">
      <w:pPr>
        <w:pStyle w:val="Body"/>
        <w:rPr>
          <w:rStyle w:val="normaltextrun"/>
        </w:rPr>
      </w:pPr>
      <w:r w:rsidRPr="00BB1E47">
        <w:rPr>
          <w:rStyle w:val="normaltextrun"/>
        </w:rPr>
        <w:t xml:space="preserve">This discussion paper marks the beginning of these conversations. It aims to provide an overview of how NEPT services are delivered in Victoria, the current challenges facing the sector, their underlying causes, and emerging potential options for reform. </w:t>
      </w:r>
    </w:p>
    <w:p w14:paraId="574DDE27" w14:textId="38B12E7F" w:rsidR="007E4AEA" w:rsidRPr="00BB1E47" w:rsidRDefault="00017C16" w:rsidP="003A125F">
      <w:pPr>
        <w:pStyle w:val="Body"/>
        <w:rPr>
          <w:rStyle w:val="normaltextrun"/>
        </w:rPr>
      </w:pPr>
      <w:r w:rsidRPr="00BB1E47">
        <w:rPr>
          <w:rStyle w:val="normaltextrun"/>
        </w:rPr>
        <w:t xml:space="preserve">The paper contains many discussion questions and </w:t>
      </w:r>
      <w:r w:rsidR="00ED4620" w:rsidRPr="00BB1E47">
        <w:rPr>
          <w:rStyle w:val="normaltextrun"/>
        </w:rPr>
        <w:t xml:space="preserve">I’m looking forward to your thoughts </w:t>
      </w:r>
      <w:r w:rsidRPr="00BB1E47">
        <w:rPr>
          <w:rStyle w:val="normaltextrun"/>
        </w:rPr>
        <w:t>on them</w:t>
      </w:r>
      <w:r w:rsidR="00ED4620" w:rsidRPr="00BB1E47">
        <w:rPr>
          <w:rStyle w:val="normaltextrun"/>
        </w:rPr>
        <w:t xml:space="preserve">, which can be provided through a public submission. </w:t>
      </w:r>
    </w:p>
    <w:p w14:paraId="264680CC" w14:textId="39D403D5" w:rsidR="0041558E" w:rsidRPr="00BB1E47" w:rsidRDefault="0041558E" w:rsidP="0041558E">
      <w:pPr>
        <w:pStyle w:val="Body"/>
        <w:rPr>
          <w:rStyle w:val="normaltextrun"/>
        </w:rPr>
      </w:pPr>
      <w:r w:rsidRPr="00BB1E47">
        <w:rPr>
          <w:rStyle w:val="normaltextrun"/>
        </w:rPr>
        <w:t>Over the coming months I’ll be speaking with the entire patient transport sector – and those who engage with it – about the challenges discussed here and the opportunities for improvement</w:t>
      </w:r>
      <w:r w:rsidR="002C35E8" w:rsidRPr="00BB1E47">
        <w:rPr>
          <w:rStyle w:val="normaltextrun"/>
        </w:rPr>
        <w:t xml:space="preserve"> to ensure Victorians have access to </w:t>
      </w:r>
      <w:r w:rsidRPr="00BB1E47">
        <w:rPr>
          <w:rStyle w:val="normaltextrun"/>
        </w:rPr>
        <w:t>high-quality, well-resourced NEPT services both now and into the future.</w:t>
      </w:r>
    </w:p>
    <w:p w14:paraId="078AF501" w14:textId="743C4234" w:rsidR="00516F11" w:rsidRDefault="00516F11" w:rsidP="00516F11">
      <w:pPr>
        <w:pStyle w:val="Body"/>
        <w:rPr>
          <w:rStyle w:val="normaltextrun"/>
          <w:b/>
          <w:bCs/>
          <w:i/>
          <w:iCs/>
        </w:rPr>
      </w:pPr>
      <w:r>
        <w:rPr>
          <w:noProof/>
        </w:rPr>
        <w:drawing>
          <wp:anchor distT="0" distB="0" distL="114300" distR="114300" simplePos="0" relativeHeight="251658240" behindDoc="1" locked="0" layoutInCell="1" allowOverlap="1" wp14:anchorId="17D13B9A" wp14:editId="78DEFBAC">
            <wp:simplePos x="0" y="0"/>
            <wp:positionH relativeFrom="margin">
              <wp:align>left</wp:align>
            </wp:positionH>
            <wp:positionV relativeFrom="paragraph">
              <wp:posOffset>26467</wp:posOffset>
            </wp:positionV>
            <wp:extent cx="1529080" cy="502920"/>
            <wp:effectExtent l="0" t="0" r="0" b="0"/>
            <wp:wrapTight wrapText="bothSides">
              <wp:wrapPolygon edited="0">
                <wp:start x="0" y="0"/>
                <wp:lineTo x="0" y="20455"/>
                <wp:lineTo x="21259" y="20455"/>
                <wp:lineTo x="212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29080" cy="502920"/>
                    </a:xfrm>
                    <a:prstGeom prst="rect">
                      <a:avLst/>
                    </a:prstGeom>
                  </pic:spPr>
                </pic:pic>
              </a:graphicData>
            </a:graphic>
            <wp14:sizeRelH relativeFrom="margin">
              <wp14:pctWidth>0</wp14:pctWidth>
            </wp14:sizeRelH>
            <wp14:sizeRelV relativeFrom="margin">
              <wp14:pctHeight>0</wp14:pctHeight>
            </wp14:sizeRelV>
          </wp:anchor>
        </w:drawing>
      </w:r>
    </w:p>
    <w:p w14:paraId="2690412F" w14:textId="0A5EDC76" w:rsidR="00516F11" w:rsidRDefault="00516F11" w:rsidP="00516F11">
      <w:pPr>
        <w:pStyle w:val="Body"/>
        <w:rPr>
          <w:rStyle w:val="normaltextrun"/>
          <w:b/>
          <w:bCs/>
          <w:i/>
          <w:iCs/>
        </w:rPr>
      </w:pPr>
    </w:p>
    <w:p w14:paraId="2A0C107E" w14:textId="77777777" w:rsidR="00516F11" w:rsidRDefault="00516F11" w:rsidP="00516F11">
      <w:pPr>
        <w:pStyle w:val="Body"/>
        <w:rPr>
          <w:rStyle w:val="normaltextrun"/>
          <w:b/>
          <w:bCs/>
          <w:i/>
          <w:iCs/>
        </w:rPr>
      </w:pPr>
    </w:p>
    <w:p w14:paraId="79670E1C" w14:textId="7668791A" w:rsidR="00516F11" w:rsidRPr="00BB1E47" w:rsidRDefault="00516F11" w:rsidP="00516F11">
      <w:pPr>
        <w:pStyle w:val="Body"/>
        <w:rPr>
          <w:rStyle w:val="normaltextrun"/>
          <w:b/>
          <w:bCs/>
          <w:i/>
          <w:iCs/>
        </w:rPr>
      </w:pPr>
      <w:r w:rsidRPr="00516F11">
        <w:rPr>
          <w:rStyle w:val="normaltextrun"/>
          <w:b/>
          <w:bCs/>
        </w:rPr>
        <w:t>Steve McGhie MP</w:t>
      </w:r>
      <w:r w:rsidRPr="00BB1E47">
        <w:rPr>
          <w:rStyle w:val="normaltextrun"/>
          <w:b/>
          <w:bCs/>
          <w:i/>
          <w:iCs/>
        </w:rPr>
        <w:t xml:space="preserve"> </w:t>
      </w:r>
      <w:r>
        <w:rPr>
          <w:rStyle w:val="normaltextrun"/>
          <w:b/>
          <w:bCs/>
          <w:i/>
          <w:iCs/>
        </w:rPr>
        <w:br/>
      </w:r>
      <w:r w:rsidRPr="00EE237F">
        <w:rPr>
          <w:rStyle w:val="normaltextrun"/>
        </w:rPr>
        <w:t>NEPT Review Lead</w:t>
      </w:r>
    </w:p>
    <w:p w14:paraId="7E4BB629" w14:textId="20FADE65" w:rsidR="002D6A26" w:rsidRPr="00BB1E47" w:rsidRDefault="002D6A26">
      <w:pPr>
        <w:spacing w:after="0" w:line="240" w:lineRule="auto"/>
        <w:rPr>
          <w:rFonts w:eastAsia="MS Gothic" w:cs="Arial"/>
          <w:bCs/>
          <w:color w:val="201547"/>
          <w:kern w:val="32"/>
          <w:sz w:val="40"/>
          <w:szCs w:val="40"/>
        </w:rPr>
      </w:pPr>
    </w:p>
    <w:p w14:paraId="2F9FE1CB" w14:textId="52B807AC" w:rsidR="008C1CA0" w:rsidRPr="00BB1E47" w:rsidRDefault="000801F8" w:rsidP="00E9640E">
      <w:pPr>
        <w:pStyle w:val="Heading1"/>
        <w:numPr>
          <w:ilvl w:val="0"/>
          <w:numId w:val="27"/>
        </w:numPr>
        <w:rPr>
          <w:b/>
          <w:bCs w:val="0"/>
        </w:rPr>
      </w:pPr>
      <w:r w:rsidRPr="00BB1E47">
        <w:rPr>
          <w:b/>
          <w:bCs w:val="0"/>
        </w:rPr>
        <w:lastRenderedPageBreak/>
        <w:t xml:space="preserve"> </w:t>
      </w:r>
      <w:bookmarkStart w:id="4" w:name="_Toc136433474"/>
      <w:r w:rsidR="008C1CA0" w:rsidRPr="00BB1E47">
        <w:rPr>
          <w:b/>
          <w:bCs w:val="0"/>
        </w:rPr>
        <w:t>Introduction</w:t>
      </w:r>
      <w:bookmarkEnd w:id="3"/>
      <w:bookmarkEnd w:id="4"/>
    </w:p>
    <w:p w14:paraId="23A5F2B4" w14:textId="77777777" w:rsidR="008C1CA0" w:rsidRPr="00BB1E47" w:rsidRDefault="008C1CA0" w:rsidP="00E9640E">
      <w:pPr>
        <w:pStyle w:val="Heading2"/>
      </w:pPr>
      <w:bookmarkStart w:id="5" w:name="_Toc136433475"/>
      <w:r w:rsidRPr="00BB1E47">
        <w:t>Context</w:t>
      </w:r>
      <w:bookmarkEnd w:id="5"/>
    </w:p>
    <w:p w14:paraId="305CA195" w14:textId="77777777" w:rsidR="008C1CA0" w:rsidRPr="00BB1E47" w:rsidRDefault="008C1CA0" w:rsidP="008C1CA0">
      <w:pPr>
        <w:pStyle w:val="Bullet1"/>
      </w:pPr>
      <w:r w:rsidRPr="00BB1E47">
        <w:t xml:space="preserve">On 18 November 2022, the Victorian Government made an election commitment to review the existing procurement arrangements for non-emergency patient transport (NEPT). </w:t>
      </w:r>
    </w:p>
    <w:p w14:paraId="6CAFA1D3" w14:textId="1C4913A7" w:rsidR="008C1CA0" w:rsidRPr="00BB1E47" w:rsidRDefault="008C1CA0" w:rsidP="008C1CA0">
      <w:pPr>
        <w:pStyle w:val="Bullet1"/>
      </w:pPr>
      <w:r w:rsidRPr="00BB1E47">
        <w:t xml:space="preserve">In addition to assessing whether outsourcing NEPT services is the most effective model, this review </w:t>
      </w:r>
      <w:r w:rsidR="00B4325E">
        <w:t xml:space="preserve">is </w:t>
      </w:r>
      <w:r w:rsidRPr="00BB1E47">
        <w:t>also identify</w:t>
      </w:r>
      <w:r w:rsidR="00B4325E">
        <w:t>ing</w:t>
      </w:r>
      <w:r w:rsidRPr="00BB1E47">
        <w:t xml:space="preserve"> opportunities to get more value out of the system and </w:t>
      </w:r>
      <w:r w:rsidR="00B6293E" w:rsidRPr="00BB1E47">
        <w:t>improve</w:t>
      </w:r>
      <w:r w:rsidRPr="00BB1E47">
        <w:t xml:space="preserve"> experiences for both patients and staff.</w:t>
      </w:r>
    </w:p>
    <w:p w14:paraId="28E00D8C" w14:textId="449F2D11" w:rsidR="008C1CA0" w:rsidRPr="00BB1E47" w:rsidRDefault="008C1CA0" w:rsidP="008C1CA0">
      <w:pPr>
        <w:pStyle w:val="Bullet1"/>
      </w:pPr>
      <w:r w:rsidRPr="00BB1E47">
        <w:t>It is incredibly important for Victorians to have ready access to health care. But this can only occur if safe, effective</w:t>
      </w:r>
      <w:r w:rsidR="005E6233" w:rsidRPr="00BB1E47">
        <w:t>,</w:t>
      </w:r>
      <w:r w:rsidRPr="00BB1E47">
        <w:t xml:space="preserve"> and appropriate transport options are available to patients. NEPT services play a crucial role </w:t>
      </w:r>
      <w:r w:rsidR="00B7267D" w:rsidRPr="00BB1E47">
        <w:t xml:space="preserve">in </w:t>
      </w:r>
      <w:r w:rsidR="006C3E06">
        <w:t xml:space="preserve">the </w:t>
      </w:r>
      <w:r w:rsidR="00B7267D" w:rsidRPr="00BB1E47">
        <w:t>system</w:t>
      </w:r>
      <w:r w:rsidR="009A2B36" w:rsidRPr="00BB1E47">
        <w:t xml:space="preserve"> </w:t>
      </w:r>
      <w:r w:rsidR="000004BD" w:rsidRPr="00BB1E47">
        <w:t xml:space="preserve">and </w:t>
      </w:r>
      <w:r w:rsidRPr="00BB1E47">
        <w:t xml:space="preserve">need to be operating as effectively as possible. That’s why this review </w:t>
      </w:r>
      <w:r w:rsidR="00250F19">
        <w:t xml:space="preserve">is </w:t>
      </w:r>
      <w:r w:rsidRPr="00BB1E47">
        <w:t>consider</w:t>
      </w:r>
      <w:r w:rsidR="00250F19">
        <w:t>ing</w:t>
      </w:r>
      <w:r w:rsidRPr="00BB1E47">
        <w:t xml:space="preserve"> what’s working and how we can do better.</w:t>
      </w:r>
    </w:p>
    <w:p w14:paraId="36746AEF" w14:textId="77777777" w:rsidR="008C1CA0" w:rsidRPr="00BB1E47" w:rsidRDefault="008C1CA0" w:rsidP="00E9640E">
      <w:pPr>
        <w:pStyle w:val="Heading2"/>
      </w:pPr>
      <w:bookmarkStart w:id="6" w:name="_Toc136433476"/>
      <w:r w:rsidRPr="00BB1E47">
        <w:t>Terms of Reference</w:t>
      </w:r>
      <w:bookmarkEnd w:id="6"/>
    </w:p>
    <w:p w14:paraId="2B3719B5" w14:textId="02D02444" w:rsidR="008C1CA0" w:rsidRPr="00BB1E47" w:rsidRDefault="008C1CA0" w:rsidP="008C1CA0">
      <w:pPr>
        <w:pStyle w:val="Bullet1"/>
        <w:rPr>
          <w:rFonts w:cs="Arial"/>
        </w:rPr>
      </w:pPr>
      <w:r w:rsidRPr="00BB1E47">
        <w:rPr>
          <w:rFonts w:cs="Arial"/>
        </w:rPr>
        <w:t>The terms of reference</w:t>
      </w:r>
      <w:r w:rsidR="00553A54">
        <w:rPr>
          <w:rFonts w:cs="Arial"/>
        </w:rPr>
        <w:t xml:space="preserve"> for the review</w:t>
      </w:r>
      <w:r w:rsidRPr="00BB1E47">
        <w:rPr>
          <w:rFonts w:cs="Arial"/>
        </w:rPr>
        <w:t xml:space="preserve"> outline </w:t>
      </w:r>
      <w:r w:rsidR="00846607">
        <w:rPr>
          <w:rFonts w:cs="Arial"/>
        </w:rPr>
        <w:t>the review’s</w:t>
      </w:r>
      <w:r w:rsidR="00FC2359" w:rsidRPr="00BB1E47">
        <w:rPr>
          <w:rFonts w:cs="Arial"/>
        </w:rPr>
        <w:t xml:space="preserve"> </w:t>
      </w:r>
      <w:r w:rsidR="002A0A0E" w:rsidRPr="00BB1E47">
        <w:rPr>
          <w:rFonts w:cs="Arial"/>
        </w:rPr>
        <w:t>scope</w:t>
      </w:r>
      <w:r w:rsidR="00FC2359" w:rsidRPr="00BB1E47">
        <w:rPr>
          <w:rFonts w:cs="Arial"/>
        </w:rPr>
        <w:t xml:space="preserve">, </w:t>
      </w:r>
      <w:r w:rsidRPr="00BB1E47">
        <w:rPr>
          <w:rFonts w:cs="Arial"/>
        </w:rPr>
        <w:t xml:space="preserve">including procurement arrangements, timeliness of services, workforce skills, </w:t>
      </w:r>
      <w:r w:rsidR="000004BD" w:rsidRPr="00BB1E47">
        <w:rPr>
          <w:rFonts w:cs="Arial"/>
        </w:rPr>
        <w:t>tackl</w:t>
      </w:r>
      <w:r w:rsidR="008A724C" w:rsidRPr="00BB1E47">
        <w:rPr>
          <w:rFonts w:cs="Arial"/>
        </w:rPr>
        <w:t>ing</w:t>
      </w:r>
      <w:r w:rsidRPr="00BB1E47">
        <w:rPr>
          <w:rFonts w:cs="Arial"/>
        </w:rPr>
        <w:t xml:space="preserve"> fragmentation, financial sustainability and </w:t>
      </w:r>
      <w:r w:rsidR="00C01D35" w:rsidRPr="00BB1E47">
        <w:rPr>
          <w:rFonts w:cs="Arial"/>
        </w:rPr>
        <w:t>connecting</w:t>
      </w:r>
      <w:r w:rsidRPr="00BB1E47">
        <w:rPr>
          <w:rFonts w:cs="Arial"/>
        </w:rPr>
        <w:t xml:space="preserve"> Victorians to the right transport.</w:t>
      </w:r>
      <w:r w:rsidRPr="00BB1E47">
        <w:rPr>
          <w:rStyle w:val="FootnoteReference"/>
          <w:rFonts w:cs="Arial"/>
        </w:rPr>
        <w:footnoteReference w:id="2"/>
      </w:r>
    </w:p>
    <w:p w14:paraId="7BE20825" w14:textId="0EB8EE7B" w:rsidR="008C1CA0" w:rsidRPr="00BB1E47" w:rsidRDefault="008C1CA0" w:rsidP="008C1CA0">
      <w:pPr>
        <w:pStyle w:val="Bullet1"/>
        <w:rPr>
          <w:rFonts w:cs="Arial"/>
        </w:rPr>
      </w:pPr>
      <w:r w:rsidRPr="00BB1E47">
        <w:rPr>
          <w:rFonts w:cs="Arial"/>
        </w:rPr>
        <w:t xml:space="preserve">This </w:t>
      </w:r>
      <w:r w:rsidR="000C264F" w:rsidRPr="00BB1E47">
        <w:rPr>
          <w:rFonts w:cs="Arial"/>
        </w:rPr>
        <w:t>focus</w:t>
      </w:r>
      <w:r w:rsidRPr="00BB1E47">
        <w:rPr>
          <w:rFonts w:cs="Arial"/>
        </w:rPr>
        <w:t xml:space="preserve"> </w:t>
      </w:r>
      <w:r w:rsidR="000004BD" w:rsidRPr="00BB1E47">
        <w:rPr>
          <w:rFonts w:cs="Arial"/>
        </w:rPr>
        <w:t>allow</w:t>
      </w:r>
      <w:r w:rsidR="009134AB" w:rsidRPr="00BB1E47">
        <w:rPr>
          <w:rFonts w:cs="Arial"/>
        </w:rPr>
        <w:t>s</w:t>
      </w:r>
      <w:r w:rsidRPr="00BB1E47">
        <w:rPr>
          <w:rFonts w:cs="Arial"/>
        </w:rPr>
        <w:t xml:space="preserve"> for a comprehensive look </w:t>
      </w:r>
      <w:r w:rsidR="00846607">
        <w:rPr>
          <w:rFonts w:cs="Arial"/>
        </w:rPr>
        <w:t xml:space="preserve">at </w:t>
      </w:r>
      <w:r w:rsidR="00250EB5">
        <w:rPr>
          <w:rFonts w:cs="Arial"/>
        </w:rPr>
        <w:t>NEPT services to ensure they</w:t>
      </w:r>
      <w:r w:rsidRPr="00BB1E47">
        <w:rPr>
          <w:rFonts w:cs="Arial"/>
        </w:rPr>
        <w:t xml:space="preserve"> meet the needs of the Victorian community both now and into the future.</w:t>
      </w:r>
    </w:p>
    <w:p w14:paraId="295F7A04" w14:textId="77777777" w:rsidR="008C1CA0" w:rsidRPr="00BB1E47" w:rsidRDefault="008C1CA0" w:rsidP="008C1CA0">
      <w:pPr>
        <w:pStyle w:val="Bullet1"/>
        <w:rPr>
          <w:rFonts w:cs="Arial"/>
        </w:rPr>
      </w:pPr>
      <w:r w:rsidRPr="00BB1E47">
        <w:rPr>
          <w:rFonts w:cs="Arial"/>
        </w:rPr>
        <w:t>The review is being led by Member for Melton Steve McGhie, with a final report to be presented to the government for consideration by the end of 2023.</w:t>
      </w:r>
    </w:p>
    <w:p w14:paraId="4ED8A79F" w14:textId="77777777" w:rsidR="008C1CA0" w:rsidRPr="00BB1E47" w:rsidRDefault="008C1CA0" w:rsidP="00E9640E">
      <w:pPr>
        <w:pStyle w:val="Heading2"/>
      </w:pPr>
      <w:bookmarkStart w:id="7" w:name="_Toc136433477"/>
      <w:r w:rsidRPr="00BB1E47">
        <w:t>Purpose of this discussion paper</w:t>
      </w:r>
      <w:bookmarkEnd w:id="7"/>
    </w:p>
    <w:p w14:paraId="68A35321" w14:textId="2D1EACF6" w:rsidR="008C1CA0" w:rsidRPr="00BB1E47" w:rsidRDefault="008C1CA0" w:rsidP="008C1CA0">
      <w:pPr>
        <w:pStyle w:val="Bullet1"/>
        <w:rPr>
          <w:rFonts w:cs="Arial"/>
        </w:rPr>
      </w:pPr>
      <w:r w:rsidRPr="00BB1E47">
        <w:rPr>
          <w:rFonts w:cs="Arial"/>
        </w:rPr>
        <w:t xml:space="preserve">This discussion paper aims to support constructive suggestions on practical solutions for improving NEPT services. </w:t>
      </w:r>
    </w:p>
    <w:p w14:paraId="5CB9070E" w14:textId="77777777" w:rsidR="008C1CA0" w:rsidRPr="00BB1E47" w:rsidRDefault="008C1CA0" w:rsidP="008C1CA0">
      <w:pPr>
        <w:pStyle w:val="Bullet1"/>
        <w:rPr>
          <w:rFonts w:cs="Arial"/>
        </w:rPr>
      </w:pPr>
      <w:r w:rsidRPr="00BB1E47">
        <w:rPr>
          <w:rFonts w:cs="Arial"/>
        </w:rPr>
        <w:t xml:space="preserve">The following chapters provide an overview of current sector challenges, their underlying causes, and emerging options for reform. </w:t>
      </w:r>
    </w:p>
    <w:p w14:paraId="41509DC5" w14:textId="0CDE27BF" w:rsidR="008C1CA0" w:rsidRPr="00BB1E47" w:rsidRDefault="008C1CA0" w:rsidP="008C1CA0">
      <w:pPr>
        <w:pStyle w:val="Bullet1"/>
        <w:rPr>
          <w:rFonts w:cs="Arial"/>
        </w:rPr>
      </w:pPr>
      <w:r w:rsidRPr="00BB1E47">
        <w:rPr>
          <w:rFonts w:cs="Arial"/>
        </w:rPr>
        <w:t>Public submissions are invited on ideas for responding to the challenges outlined and opportunities for improvement. Key questions are included throughout the paper to guide contributions.</w:t>
      </w:r>
    </w:p>
    <w:p w14:paraId="4CC167CE" w14:textId="41A77DB6" w:rsidR="008C1CA0" w:rsidRPr="00BB1E47" w:rsidRDefault="008C1CA0" w:rsidP="008C1CA0">
      <w:pPr>
        <w:pStyle w:val="Bullet1"/>
        <w:rPr>
          <w:rFonts w:cs="Arial"/>
        </w:rPr>
      </w:pPr>
      <w:r w:rsidRPr="00BB1E47">
        <w:rPr>
          <w:rFonts w:cs="Arial"/>
        </w:rPr>
        <w:t xml:space="preserve">Submissions </w:t>
      </w:r>
      <w:r w:rsidR="00FD63DC" w:rsidRPr="00BB1E47">
        <w:rPr>
          <w:rFonts w:cs="Arial"/>
        </w:rPr>
        <w:t>responding</w:t>
      </w:r>
      <w:r w:rsidRPr="00BB1E47">
        <w:rPr>
          <w:rFonts w:cs="Arial"/>
        </w:rPr>
        <w:t xml:space="preserve"> to the discussion paper, alongside wider consultation and commissioned technical expertise, will inform the final review report and recommendations.</w:t>
      </w:r>
    </w:p>
    <w:p w14:paraId="5F28FF67" w14:textId="77777777" w:rsidR="008C1CA0" w:rsidRPr="00BB1E47" w:rsidRDefault="008C1CA0" w:rsidP="008C1CA0">
      <w:pPr>
        <w:pStyle w:val="Bullet1"/>
        <w:numPr>
          <w:ilvl w:val="0"/>
          <w:numId w:val="0"/>
        </w:numPr>
        <w:ind w:left="284"/>
      </w:pPr>
    </w:p>
    <w:tbl>
      <w:tblPr>
        <w:tblStyle w:val="TableGrid"/>
        <w:tblW w:w="9910" w:type="dxa"/>
        <w:tblInd w:w="284" w:type="dxa"/>
        <w:tblLook w:val="04A0" w:firstRow="1" w:lastRow="0" w:firstColumn="1" w:lastColumn="0" w:noHBand="0" w:noVBand="1"/>
      </w:tblPr>
      <w:tblGrid>
        <w:gridCol w:w="9910"/>
      </w:tblGrid>
      <w:tr w:rsidR="008C1CA0" w:rsidRPr="00BB1E47" w14:paraId="14ECB92B" w14:textId="77777777" w:rsidTr="00B108AF">
        <w:tc>
          <w:tcPr>
            <w:tcW w:w="9910" w:type="dxa"/>
            <w:shd w:val="clear" w:color="auto" w:fill="F2F2F2" w:themeFill="background1" w:themeFillShade="F2"/>
          </w:tcPr>
          <w:p w14:paraId="4DA4F2CF" w14:textId="6C722C9B" w:rsidR="00F55339" w:rsidRPr="00BB1E47" w:rsidRDefault="00F55339" w:rsidP="007914D1">
            <w:pPr>
              <w:pStyle w:val="Body"/>
            </w:pPr>
            <w:r w:rsidRPr="00BB1E47">
              <w:t xml:space="preserve">Submissions should be returned to: </w:t>
            </w:r>
            <w:hyperlink r:id="rId24" w:history="1">
              <w:r w:rsidR="00C35FFA" w:rsidRPr="00BB1E47">
                <w:rPr>
                  <w:rStyle w:val="Hyperlink"/>
                </w:rPr>
                <w:t>neptreview@health.vic.gov.au</w:t>
              </w:r>
            </w:hyperlink>
            <w:r w:rsidR="00C35FFA" w:rsidRPr="00BB1E47">
              <w:t xml:space="preserve"> </w:t>
            </w:r>
          </w:p>
          <w:p w14:paraId="6735A8A6" w14:textId="778864CA" w:rsidR="008C1CA0" w:rsidRPr="00BB1E47" w:rsidRDefault="008C1CA0" w:rsidP="00B108AF">
            <w:pPr>
              <w:pStyle w:val="Body"/>
            </w:pPr>
            <w:r w:rsidRPr="00BB1E47">
              <w:t xml:space="preserve">Submissions will be received until close of business </w:t>
            </w:r>
            <w:r w:rsidR="00A61A88">
              <w:t>14</w:t>
            </w:r>
            <w:r w:rsidR="00124BAE" w:rsidRPr="00BB1E47">
              <w:t xml:space="preserve"> </w:t>
            </w:r>
            <w:r w:rsidR="00A61A88">
              <w:t>July</w:t>
            </w:r>
            <w:r w:rsidRPr="00BB1E47">
              <w:t xml:space="preserve"> 2023. </w:t>
            </w:r>
          </w:p>
          <w:p w14:paraId="0A8F4750" w14:textId="2DAB3F20" w:rsidR="007914D1" w:rsidRPr="00BB1E47" w:rsidRDefault="009560C3" w:rsidP="007914D1">
            <w:pPr>
              <w:pStyle w:val="Body"/>
            </w:pPr>
            <w:r w:rsidRPr="00BB1E47">
              <w:t>P</w:t>
            </w:r>
            <w:r w:rsidR="0071081F" w:rsidRPr="00BB1E47">
              <w:t xml:space="preserve">lease advise at the time of submission </w:t>
            </w:r>
            <w:r w:rsidR="005D53C3" w:rsidRPr="00BB1E47">
              <w:t>whether you give</w:t>
            </w:r>
            <w:r w:rsidR="008C1CA0" w:rsidRPr="00BB1E47">
              <w:t xml:space="preserve"> </w:t>
            </w:r>
            <w:r w:rsidR="005D53C3" w:rsidRPr="00BB1E47">
              <w:t xml:space="preserve">permission to the </w:t>
            </w:r>
            <w:r w:rsidR="008C1CA0" w:rsidRPr="00BB1E47">
              <w:t xml:space="preserve">Department of Health to </w:t>
            </w:r>
            <w:r w:rsidR="007E0BFC" w:rsidRPr="00BB1E47">
              <w:t xml:space="preserve">publish your </w:t>
            </w:r>
            <w:r w:rsidR="008C1CA0" w:rsidRPr="00BB1E47">
              <w:t>submission</w:t>
            </w:r>
            <w:r w:rsidR="007E0BFC" w:rsidRPr="00BB1E47">
              <w:t xml:space="preserve">, or quote from it </w:t>
            </w:r>
            <w:r w:rsidR="008C1CA0" w:rsidRPr="00BB1E47">
              <w:t xml:space="preserve">in the final report and/or any products related to the review. </w:t>
            </w:r>
          </w:p>
          <w:p w14:paraId="1093E60A" w14:textId="59215C2F" w:rsidR="008C1CA0" w:rsidRPr="00BB1E47" w:rsidRDefault="00AA3735" w:rsidP="00B108AF">
            <w:pPr>
              <w:pStyle w:val="Body"/>
            </w:pPr>
            <w:r w:rsidRPr="00BB1E47">
              <w:t xml:space="preserve">Further updates on the review will be provided through the review website: </w:t>
            </w:r>
            <w:r w:rsidR="00C35FFA" w:rsidRPr="00BB1E47">
              <w:t xml:space="preserve"> </w:t>
            </w:r>
            <w:r w:rsidRPr="00BB1E47">
              <w:t xml:space="preserve">https://www.health.vic.gov.au/patient-care/non-emergency-patient-transport-review. </w:t>
            </w:r>
          </w:p>
        </w:tc>
      </w:tr>
    </w:tbl>
    <w:p w14:paraId="58886E8D" w14:textId="379545A8" w:rsidR="008C1CA0" w:rsidRPr="00BB1E47" w:rsidRDefault="004239D7" w:rsidP="00B37D1A">
      <w:pPr>
        <w:pStyle w:val="Heading1"/>
        <w:numPr>
          <w:ilvl w:val="0"/>
          <w:numId w:val="13"/>
        </w:numPr>
      </w:pPr>
      <w:bookmarkStart w:id="8" w:name="_Ref135671130"/>
      <w:bookmarkStart w:id="9" w:name="_Toc136433478"/>
      <w:r w:rsidRPr="00BB1E47">
        <w:lastRenderedPageBreak/>
        <w:t xml:space="preserve">How </w:t>
      </w:r>
      <w:r w:rsidR="00981E7F" w:rsidRPr="00BB1E47">
        <w:t xml:space="preserve">are </w:t>
      </w:r>
      <w:r w:rsidRPr="00BB1E47">
        <w:t xml:space="preserve">NEPT </w:t>
      </w:r>
      <w:r w:rsidR="00981E7F" w:rsidRPr="00BB1E47">
        <w:t>services set up in Victoria?</w:t>
      </w:r>
      <w:bookmarkEnd w:id="8"/>
      <w:bookmarkEnd w:id="9"/>
      <w:r w:rsidR="00981E7F" w:rsidRPr="00BB1E47">
        <w:t xml:space="preserve"> </w:t>
      </w:r>
    </w:p>
    <w:p w14:paraId="2B579C44" w14:textId="7A8E8D89" w:rsidR="009A5CCC" w:rsidRPr="00BB1E47" w:rsidRDefault="00751500" w:rsidP="00BB17D3">
      <w:pPr>
        <w:pStyle w:val="Heading2"/>
        <w:numPr>
          <w:ilvl w:val="1"/>
          <w:numId w:val="13"/>
        </w:numPr>
        <w:ind w:left="369" w:hanging="369"/>
      </w:pPr>
      <w:bookmarkStart w:id="10" w:name="_Toc136433479"/>
      <w:r w:rsidRPr="00BB1E47">
        <w:t>N</w:t>
      </w:r>
      <w:r w:rsidR="003A5294" w:rsidRPr="00BB1E47">
        <w:t>EPT services</w:t>
      </w:r>
      <w:r w:rsidR="00E74B72" w:rsidRPr="00BB1E47">
        <w:t xml:space="preserve"> play a critical role in Victoria’s health system</w:t>
      </w:r>
      <w:bookmarkEnd w:id="10"/>
    </w:p>
    <w:p w14:paraId="5225ABA7" w14:textId="77777777" w:rsidR="008C1CA0" w:rsidRPr="00BB1E47" w:rsidRDefault="008C1CA0" w:rsidP="008C1CA0">
      <w:pPr>
        <w:pStyle w:val="Bullet1"/>
      </w:pPr>
      <w:r w:rsidRPr="00BB1E47">
        <w:t xml:space="preserve">NEPT services are for patients who require transport to and from public health services. </w:t>
      </w:r>
    </w:p>
    <w:p w14:paraId="0A370D72" w14:textId="711410AC" w:rsidR="008C1CA0" w:rsidRPr="00BB1E47" w:rsidRDefault="008C1CA0" w:rsidP="008C1CA0">
      <w:pPr>
        <w:pStyle w:val="Bullet1"/>
        <w:numPr>
          <w:ilvl w:val="0"/>
          <w:numId w:val="10"/>
        </w:numPr>
        <w:rPr>
          <w:rFonts w:cs="Arial"/>
          <w:lang w:eastAsia="en-AU"/>
        </w:rPr>
      </w:pPr>
      <w:r w:rsidRPr="00BB1E47">
        <w:rPr>
          <w:rFonts w:cs="Arial"/>
        </w:rPr>
        <w:t xml:space="preserve">To </w:t>
      </w:r>
      <w:r w:rsidR="00495E31">
        <w:rPr>
          <w:rFonts w:cs="Arial"/>
        </w:rPr>
        <w:t>access</w:t>
      </w:r>
      <w:r w:rsidRPr="00BB1E47">
        <w:rPr>
          <w:rFonts w:cs="Arial"/>
        </w:rPr>
        <w:t xml:space="preserve"> NEPT, a patient must be assessed by an authorised health professional</w:t>
      </w:r>
      <w:r w:rsidRPr="00BB1E47">
        <w:rPr>
          <w:rStyle w:val="FootnoteReference"/>
          <w:rFonts w:cs="Arial"/>
        </w:rPr>
        <w:footnoteReference w:id="3"/>
      </w:r>
      <w:r w:rsidRPr="00BB1E47">
        <w:rPr>
          <w:rFonts w:cs="Arial"/>
        </w:rPr>
        <w:t xml:space="preserve"> </w:t>
      </w:r>
      <w:r w:rsidR="00407505" w:rsidRPr="00BB1E47">
        <w:rPr>
          <w:rFonts w:cs="Arial"/>
        </w:rPr>
        <w:t xml:space="preserve">prior to transport </w:t>
      </w:r>
      <w:r w:rsidRPr="00BB1E47">
        <w:rPr>
          <w:rFonts w:cs="Arial"/>
        </w:rPr>
        <w:t xml:space="preserve">as meeting </w:t>
      </w:r>
      <w:r w:rsidR="005B4126" w:rsidRPr="00BB1E47">
        <w:rPr>
          <w:rFonts w:cs="Arial"/>
        </w:rPr>
        <w:t>key</w:t>
      </w:r>
      <w:r w:rsidR="00643928" w:rsidRPr="00BB1E47">
        <w:rPr>
          <w:rFonts w:cs="Arial"/>
        </w:rPr>
        <w:t xml:space="preserve"> eligibility</w:t>
      </w:r>
      <w:r w:rsidR="005B4126" w:rsidRPr="00BB1E47">
        <w:rPr>
          <w:rFonts w:cs="Arial"/>
        </w:rPr>
        <w:t xml:space="preserve"> </w:t>
      </w:r>
      <w:r w:rsidRPr="00BB1E47">
        <w:rPr>
          <w:rFonts w:cs="Arial"/>
        </w:rPr>
        <w:t>criteria</w:t>
      </w:r>
      <w:r w:rsidR="00643928" w:rsidRPr="00BB1E47">
        <w:rPr>
          <w:rFonts w:cs="Arial"/>
        </w:rPr>
        <w:t>. These include</w:t>
      </w:r>
      <w:r w:rsidR="00314DAF">
        <w:rPr>
          <w:rFonts w:cs="Arial"/>
        </w:rPr>
        <w:t>:</w:t>
      </w:r>
    </w:p>
    <w:p w14:paraId="07066DD9" w14:textId="24FA1161" w:rsidR="00AA3735" w:rsidRPr="00BB1E47" w:rsidRDefault="00384050" w:rsidP="00E9640E">
      <w:pPr>
        <w:pStyle w:val="Bullet1"/>
        <w:numPr>
          <w:ilvl w:val="1"/>
          <w:numId w:val="25"/>
        </w:numPr>
        <w:rPr>
          <w:rFonts w:cs="Arial"/>
        </w:rPr>
      </w:pPr>
      <w:r>
        <w:rPr>
          <w:rFonts w:cs="Arial"/>
        </w:rPr>
        <w:t>t</w:t>
      </w:r>
      <w:r w:rsidR="00AA3735" w:rsidRPr="00BB1E47">
        <w:rPr>
          <w:rFonts w:cs="Arial"/>
        </w:rPr>
        <w:t>he patient does not need a time critical</w:t>
      </w:r>
      <w:r w:rsidR="006814F0" w:rsidRPr="00BB1E47">
        <w:rPr>
          <w:rFonts w:cs="Arial"/>
        </w:rPr>
        <w:t xml:space="preserve"> ambulance</w:t>
      </w:r>
      <w:r w:rsidR="00AA3735" w:rsidRPr="00BB1E47">
        <w:rPr>
          <w:rFonts w:cs="Arial"/>
        </w:rPr>
        <w:t xml:space="preserve"> response</w:t>
      </w:r>
    </w:p>
    <w:p w14:paraId="1CD5ED51" w14:textId="58F853B0" w:rsidR="005B4126" w:rsidRPr="00BB1E47" w:rsidRDefault="00384050" w:rsidP="00E9640E">
      <w:pPr>
        <w:pStyle w:val="Bullet1"/>
        <w:numPr>
          <w:ilvl w:val="1"/>
          <w:numId w:val="25"/>
        </w:numPr>
        <w:rPr>
          <w:rFonts w:cs="Arial"/>
        </w:rPr>
      </w:pPr>
      <w:r>
        <w:rPr>
          <w:rFonts w:cs="Arial"/>
        </w:rPr>
        <w:t>t</w:t>
      </w:r>
      <w:r w:rsidR="00AA3735" w:rsidRPr="00BB1E47">
        <w:rPr>
          <w:rFonts w:cs="Arial"/>
        </w:rPr>
        <w:t>here is a</w:t>
      </w:r>
      <w:r w:rsidR="005B4126" w:rsidRPr="00BB1E47">
        <w:rPr>
          <w:rFonts w:cs="Arial"/>
        </w:rPr>
        <w:t xml:space="preserve"> </w:t>
      </w:r>
      <w:r w:rsidR="00AA3735" w:rsidRPr="00BB1E47">
        <w:rPr>
          <w:rFonts w:cs="Arial"/>
        </w:rPr>
        <w:t xml:space="preserve">need </w:t>
      </w:r>
      <w:r w:rsidR="005B4126" w:rsidRPr="00BB1E47">
        <w:rPr>
          <w:rFonts w:cs="Arial"/>
        </w:rPr>
        <w:t>for clinical monitoring during transport</w:t>
      </w:r>
      <w:r w:rsidR="009B1F5E" w:rsidRPr="00BB1E47">
        <w:rPr>
          <w:rFonts w:cs="Arial"/>
        </w:rPr>
        <w:t>,</w:t>
      </w:r>
      <w:r w:rsidR="005B4126" w:rsidRPr="00BB1E47">
        <w:rPr>
          <w:rFonts w:cs="Arial"/>
        </w:rPr>
        <w:t xml:space="preserve"> and/or reduced mobility which requires stretcher transport</w:t>
      </w:r>
    </w:p>
    <w:p w14:paraId="55FDF9CB" w14:textId="6B5F3E96" w:rsidR="005B4126" w:rsidRPr="00BB1E47" w:rsidRDefault="00384050" w:rsidP="00E9640E">
      <w:pPr>
        <w:pStyle w:val="Bullet1"/>
        <w:numPr>
          <w:ilvl w:val="1"/>
          <w:numId w:val="25"/>
        </w:numPr>
        <w:rPr>
          <w:rFonts w:cs="Arial"/>
        </w:rPr>
      </w:pPr>
      <w:r>
        <w:rPr>
          <w:rFonts w:cs="Arial"/>
        </w:rPr>
        <w:t>t</w:t>
      </w:r>
      <w:r w:rsidR="00AA3735" w:rsidRPr="00BB1E47">
        <w:rPr>
          <w:rFonts w:cs="Arial"/>
        </w:rPr>
        <w:t>he</w:t>
      </w:r>
      <w:r w:rsidR="005B4126" w:rsidRPr="00BB1E47">
        <w:rPr>
          <w:rFonts w:cs="Arial"/>
        </w:rPr>
        <w:t xml:space="preserve"> patient</w:t>
      </w:r>
      <w:r w:rsidR="004D1CDE" w:rsidRPr="00BB1E47">
        <w:rPr>
          <w:rFonts w:cs="Arial"/>
        </w:rPr>
        <w:t>’</w:t>
      </w:r>
      <w:r w:rsidR="00AA3735" w:rsidRPr="00BB1E47">
        <w:rPr>
          <w:rFonts w:cs="Arial"/>
        </w:rPr>
        <w:t>s condition</w:t>
      </w:r>
      <w:r w:rsidR="005B4126" w:rsidRPr="00BB1E47">
        <w:rPr>
          <w:rFonts w:cs="Arial"/>
        </w:rPr>
        <w:t xml:space="preserve"> is not likely to deteriorate or become time critical during transport</w:t>
      </w:r>
      <w:r w:rsidR="00EE237F">
        <w:rPr>
          <w:rFonts w:cs="Arial"/>
        </w:rPr>
        <w:t>.</w:t>
      </w:r>
      <w:r w:rsidRPr="00BB1E47">
        <w:rPr>
          <w:rStyle w:val="FootnoteReference"/>
          <w:rFonts w:cs="Arial"/>
        </w:rPr>
        <w:footnoteReference w:id="4"/>
      </w:r>
    </w:p>
    <w:p w14:paraId="6AD8FED8" w14:textId="73A77F74" w:rsidR="008C1CA0" w:rsidRPr="00BB1E47" w:rsidRDefault="008C1CA0" w:rsidP="008C1CA0">
      <w:pPr>
        <w:pStyle w:val="Bullet1"/>
        <w:numPr>
          <w:ilvl w:val="0"/>
          <w:numId w:val="10"/>
        </w:numPr>
        <w:rPr>
          <w:rFonts w:cs="Arial"/>
        </w:rPr>
      </w:pPr>
      <w:r w:rsidRPr="00BB1E47">
        <w:rPr>
          <w:rFonts w:cs="Arial"/>
        </w:rPr>
        <w:t>A wide range of Victorians use NEPT services (see</w:t>
      </w:r>
      <w:r w:rsidR="00047C55" w:rsidRPr="00BB1E47">
        <w:rPr>
          <w:rFonts w:cs="Arial"/>
        </w:rPr>
        <w:t xml:space="preserve"> </w:t>
      </w:r>
      <w:r w:rsidR="00047C55" w:rsidRPr="00BB1E47">
        <w:rPr>
          <w:rFonts w:cs="Arial"/>
        </w:rPr>
        <w:fldChar w:fldCharType="begin"/>
      </w:r>
      <w:r w:rsidR="00047C55" w:rsidRPr="00BB1E47">
        <w:rPr>
          <w:rFonts w:cs="Arial"/>
        </w:rPr>
        <w:instrText xml:space="preserve"> REF _Ref135036076 \h </w:instrText>
      </w:r>
      <w:r w:rsidR="00BB1E47">
        <w:rPr>
          <w:rFonts w:cs="Arial"/>
        </w:rPr>
        <w:instrText xml:space="preserve"> \* MERGEFORMAT </w:instrText>
      </w:r>
      <w:r w:rsidR="00047C55" w:rsidRPr="00BB1E47">
        <w:rPr>
          <w:rFonts w:cs="Arial"/>
        </w:rPr>
      </w:r>
      <w:r w:rsidR="00047C55" w:rsidRPr="00BB1E47">
        <w:rPr>
          <w:rFonts w:cs="Arial"/>
        </w:rPr>
        <w:fldChar w:fldCharType="separate"/>
      </w:r>
      <w:r w:rsidR="003D510C" w:rsidRPr="00BB1E47">
        <w:t xml:space="preserve">Box </w:t>
      </w:r>
      <w:r w:rsidR="003D510C">
        <w:rPr>
          <w:noProof/>
        </w:rPr>
        <w:t>1</w:t>
      </w:r>
      <w:r w:rsidR="00047C55" w:rsidRPr="00BB1E47">
        <w:rPr>
          <w:rFonts w:cs="Arial"/>
        </w:rPr>
        <w:fldChar w:fldCharType="end"/>
      </w:r>
      <w:r w:rsidRPr="00BB1E47">
        <w:rPr>
          <w:rFonts w:cs="Arial"/>
        </w:rPr>
        <w:t>).</w:t>
      </w:r>
    </w:p>
    <w:p w14:paraId="21B588E0" w14:textId="77777777" w:rsidR="008C1CA0" w:rsidRPr="00BB1E47" w:rsidRDefault="008C1CA0" w:rsidP="008C1CA0">
      <w:pPr>
        <w:pStyle w:val="Bullet1"/>
      </w:pPr>
      <w:r w:rsidRPr="00BB1E47">
        <w:t xml:space="preserve">NEPT transfers occur either in between hospitals, or between hospitals and the community. </w:t>
      </w:r>
    </w:p>
    <w:p w14:paraId="504E5E7C" w14:textId="67A1ACD6" w:rsidR="008C1CA0" w:rsidRPr="00BB1E47" w:rsidRDefault="008C1CA0" w:rsidP="004412D3">
      <w:pPr>
        <w:pStyle w:val="Bullet1"/>
      </w:pPr>
      <w:r w:rsidRPr="00BB1E47">
        <w:t>Most transfers are by road, with a small number undertaken by air services.</w:t>
      </w:r>
      <w:r w:rsidR="00250EB5">
        <w:rPr>
          <w:rStyle w:val="FootnoteReference"/>
        </w:rPr>
        <w:footnoteReference w:id="5"/>
      </w:r>
    </w:p>
    <w:p w14:paraId="2054ACCA" w14:textId="5C1578EF" w:rsidR="00F761EA" w:rsidRPr="00BB1E47" w:rsidRDefault="00F761EA" w:rsidP="00047C55">
      <w:pPr>
        <w:pStyle w:val="Tablecaption"/>
      </w:pPr>
      <w:bookmarkStart w:id="11" w:name="_Ref135036076"/>
      <w:r w:rsidRPr="00BB1E47">
        <w:t xml:space="preserve">Box </w:t>
      </w:r>
      <w:r>
        <w:fldChar w:fldCharType="begin"/>
      </w:r>
      <w:r>
        <w:instrText>SEQ Box \* ARABIC</w:instrText>
      </w:r>
      <w:r>
        <w:fldChar w:fldCharType="separate"/>
      </w:r>
      <w:r w:rsidR="003D510C">
        <w:rPr>
          <w:noProof/>
        </w:rPr>
        <w:t>1</w:t>
      </w:r>
      <w:r>
        <w:fldChar w:fldCharType="end"/>
      </w:r>
      <w:bookmarkEnd w:id="11"/>
      <w:r w:rsidR="009774A3" w:rsidRPr="00BB1E47">
        <w:t>:</w:t>
      </w:r>
      <w:r w:rsidRPr="00BB1E47">
        <w:t xml:space="preserve"> </w:t>
      </w:r>
      <w:r w:rsidR="00047C55" w:rsidRPr="00BB1E47">
        <w:t xml:space="preserve">Who </w:t>
      </w:r>
      <w:r w:rsidR="009774A3" w:rsidRPr="00BB1E47">
        <w:t>u</w:t>
      </w:r>
      <w:r w:rsidR="00047C55" w:rsidRPr="00BB1E47">
        <w:t>ses NEPT?</w:t>
      </w:r>
    </w:p>
    <w:tbl>
      <w:tblPr>
        <w:tblStyle w:val="TableGrid"/>
        <w:tblW w:w="0" w:type="auto"/>
        <w:tblInd w:w="-5" w:type="dxa"/>
        <w:tblLook w:val="04A0" w:firstRow="1" w:lastRow="0" w:firstColumn="1" w:lastColumn="0" w:noHBand="0" w:noVBand="1"/>
      </w:tblPr>
      <w:tblGrid>
        <w:gridCol w:w="10029"/>
      </w:tblGrid>
      <w:tr w:rsidR="008C1CA0" w:rsidRPr="00BB1E47" w14:paraId="66708848" w14:textId="77777777" w:rsidTr="000801F8">
        <w:tc>
          <w:tcPr>
            <w:tcW w:w="10029" w:type="dxa"/>
          </w:tcPr>
          <w:p w14:paraId="2B48D539" w14:textId="77777777" w:rsidR="008C1CA0" w:rsidRPr="00BB1E47" w:rsidRDefault="008C1CA0" w:rsidP="00B108AF">
            <w:pPr>
              <w:pStyle w:val="Tabletext"/>
            </w:pPr>
            <w:r w:rsidRPr="00BB1E47">
              <w:t>People from all over Victoria rely on safe, timely and affordable NEPT services to access public health services. Common user examples include:</w:t>
            </w:r>
          </w:p>
          <w:p w14:paraId="2428C1F4" w14:textId="489987D3" w:rsidR="008C1CA0" w:rsidRPr="00BB1E47" w:rsidRDefault="008C1CA0" w:rsidP="00E9640E">
            <w:pPr>
              <w:pStyle w:val="Tablebullet1"/>
              <w:numPr>
                <w:ilvl w:val="0"/>
                <w:numId w:val="31"/>
              </w:numPr>
            </w:pPr>
            <w:r w:rsidRPr="00BB1E47">
              <w:t xml:space="preserve">A frail patient living in a remote area who needs to travel to a metropolitan specialist health </w:t>
            </w:r>
            <w:proofErr w:type="spellStart"/>
            <w:proofErr w:type="gramStart"/>
            <w:r w:rsidRPr="00BB1E47">
              <w:t>service,but</w:t>
            </w:r>
            <w:proofErr w:type="spellEnd"/>
            <w:proofErr w:type="gramEnd"/>
            <w:r w:rsidRPr="00BB1E47">
              <w:t xml:space="preserve"> cannot make the long road journey and </w:t>
            </w:r>
            <w:r w:rsidR="002168B1" w:rsidRPr="00BB1E47">
              <w:t>must</w:t>
            </w:r>
            <w:r w:rsidRPr="00BB1E47">
              <w:t xml:space="preserve"> be transported and cared for by a NEPT flight nurse. </w:t>
            </w:r>
          </w:p>
          <w:p w14:paraId="4AA563BD" w14:textId="24B77E66" w:rsidR="008C1CA0" w:rsidRPr="00BB1E47" w:rsidRDefault="008C1CA0" w:rsidP="00E9640E">
            <w:pPr>
              <w:pStyle w:val="Tablebullet1"/>
              <w:numPr>
                <w:ilvl w:val="0"/>
                <w:numId w:val="31"/>
              </w:numPr>
            </w:pPr>
            <w:r w:rsidRPr="00BB1E47">
              <w:t>A patient who has recently suffered a heart attack, is now stable, and is being transferred from their local treating hospital to another hospital for specialist care.</w:t>
            </w:r>
          </w:p>
          <w:p w14:paraId="45F0290B" w14:textId="77777777" w:rsidR="008C1CA0" w:rsidRPr="00BB1E47" w:rsidRDefault="008C1CA0" w:rsidP="00E9640E">
            <w:pPr>
              <w:pStyle w:val="Tablebullet1"/>
              <w:numPr>
                <w:ilvl w:val="0"/>
                <w:numId w:val="31"/>
              </w:numPr>
            </w:pPr>
            <w:r w:rsidRPr="00BB1E47">
              <w:t xml:space="preserve">A frail aged care facility resident who needs to attend a specialist appointment at their local </w:t>
            </w:r>
            <w:proofErr w:type="gramStart"/>
            <w:r w:rsidRPr="00BB1E47">
              <w:t>hospital, but</w:t>
            </w:r>
            <w:proofErr w:type="gramEnd"/>
            <w:r w:rsidRPr="00BB1E47">
              <w:t xml:space="preserve"> can only be transported laying down and so cannot safely travel seated in a taxi or facility van. </w:t>
            </w:r>
          </w:p>
          <w:p w14:paraId="29636D9A" w14:textId="77777777" w:rsidR="008C1CA0" w:rsidRPr="00BB1E47" w:rsidRDefault="008C1CA0" w:rsidP="00E9640E">
            <w:pPr>
              <w:pStyle w:val="Tablebullet1"/>
              <w:numPr>
                <w:ilvl w:val="0"/>
                <w:numId w:val="31"/>
              </w:numPr>
            </w:pPr>
            <w:r w:rsidRPr="00BB1E47">
              <w:t>A patient who has had a severe infection and needs to be expertly managed with complex infusions while travelling from a regional hospital to a specialist hospital in Melbourne.</w:t>
            </w:r>
          </w:p>
        </w:tc>
      </w:tr>
    </w:tbl>
    <w:p w14:paraId="72280B80" w14:textId="77777777" w:rsidR="008C1CA0" w:rsidRPr="00BB1E47" w:rsidRDefault="008C1CA0" w:rsidP="00BB17D3">
      <w:pPr>
        <w:pStyle w:val="Heading3"/>
      </w:pPr>
      <w:r w:rsidRPr="00BB1E47">
        <w:t>There are two kinds of NEPT transfers</w:t>
      </w:r>
    </w:p>
    <w:p w14:paraId="054E2996" w14:textId="59357E94" w:rsidR="008C1CA0" w:rsidRPr="00BB1E47" w:rsidRDefault="008C1CA0" w:rsidP="008C1CA0">
      <w:pPr>
        <w:pStyle w:val="Bullet1"/>
      </w:pPr>
      <w:r w:rsidRPr="00BB1E47">
        <w:t>There are two kinds of NEPT transfers: planned and unplanned.</w:t>
      </w:r>
    </w:p>
    <w:p w14:paraId="229E0B2D" w14:textId="1390572D" w:rsidR="008C1CA0" w:rsidRPr="00BB1E47" w:rsidRDefault="008C1CA0" w:rsidP="008C1CA0">
      <w:pPr>
        <w:pStyle w:val="Bullet1"/>
      </w:pPr>
      <w:r w:rsidRPr="00BB1E47">
        <w:t>Planned NEPT typically involve</w:t>
      </w:r>
      <w:r w:rsidR="000503DB" w:rsidRPr="00BB1E47">
        <w:t xml:space="preserve">s </w:t>
      </w:r>
      <w:r w:rsidRPr="00BB1E47">
        <w:t>transpo</w:t>
      </w:r>
      <w:r w:rsidR="00EE15DB" w:rsidRPr="00BB1E47">
        <w:t>rting</w:t>
      </w:r>
      <w:r w:rsidRPr="00BB1E47">
        <w:t xml:space="preserve"> people between hospitals, from hospitals home to the community, or from the community to specialist appointments.</w:t>
      </w:r>
      <w:r w:rsidR="005E1709" w:rsidRPr="00BB1E47">
        <w:rPr>
          <w:rStyle w:val="FootnoteReference"/>
        </w:rPr>
        <w:footnoteReference w:id="6"/>
      </w:r>
      <w:r w:rsidRPr="00BB1E47">
        <w:t xml:space="preserve"> </w:t>
      </w:r>
    </w:p>
    <w:p w14:paraId="241F9338" w14:textId="04FD2999" w:rsidR="008C1CA0" w:rsidRPr="00BB1E47" w:rsidRDefault="008C1CA0" w:rsidP="008C1CA0">
      <w:pPr>
        <w:pStyle w:val="Bullet2"/>
      </w:pPr>
      <w:r w:rsidRPr="00BB1E47">
        <w:t xml:space="preserve">Planned NEPT </w:t>
      </w:r>
      <w:r w:rsidR="000503DB" w:rsidRPr="00BB1E47">
        <w:t xml:space="preserve">is </w:t>
      </w:r>
      <w:r w:rsidRPr="00BB1E47">
        <w:t xml:space="preserve">booked in advance and </w:t>
      </w:r>
      <w:r w:rsidR="007359B9" w:rsidRPr="00BB1E47">
        <w:t>the</w:t>
      </w:r>
      <w:r w:rsidRPr="00BB1E47">
        <w:t xml:space="preserve"> patients have already been assessed in-person by an authorised health professional. </w:t>
      </w:r>
    </w:p>
    <w:p w14:paraId="6A5F84F6" w14:textId="23F4904F" w:rsidR="008C1CA0" w:rsidRPr="00BB1E47" w:rsidRDefault="008C1CA0" w:rsidP="008C1CA0">
      <w:pPr>
        <w:pStyle w:val="Bullet1"/>
      </w:pPr>
      <w:r w:rsidRPr="00BB1E47">
        <w:t>Unplanned NEPT typically originate</w:t>
      </w:r>
      <w:r w:rsidR="000503DB" w:rsidRPr="00BB1E47">
        <w:t xml:space="preserve">s </w:t>
      </w:r>
      <w:r w:rsidRPr="00BB1E47">
        <w:t xml:space="preserve">in Triple Zero calls from the community. </w:t>
      </w:r>
    </w:p>
    <w:p w14:paraId="6D7CC55B" w14:textId="393BD0C2" w:rsidR="008C1CA0" w:rsidRPr="00BB1E47" w:rsidRDefault="002E4D64" w:rsidP="008C1CA0">
      <w:pPr>
        <w:pStyle w:val="Bullet2"/>
      </w:pPr>
      <w:r w:rsidRPr="00BB1E47">
        <w:t>Triple Zero</w:t>
      </w:r>
      <w:r w:rsidR="008C1CA0" w:rsidRPr="00BB1E47">
        <w:t xml:space="preserve"> calls are assessed and triaged by an Emergency Services Telecommunications Authority (ESTA) call taker. </w:t>
      </w:r>
    </w:p>
    <w:p w14:paraId="66AC14CA" w14:textId="552B01C3" w:rsidR="008C1CA0" w:rsidRPr="00BB1E47" w:rsidRDefault="008C1CA0" w:rsidP="008C1CA0">
      <w:pPr>
        <w:pStyle w:val="Bullet2"/>
      </w:pPr>
      <w:r w:rsidRPr="00BB1E47">
        <w:lastRenderedPageBreak/>
        <w:t xml:space="preserve">Calls that are identified through the ESTA call-taking process as lower acuity and less urgent are directed to Ambulance Victoria (AV)’s secondary triage service, which provides further assessment over the phone. This process determines </w:t>
      </w:r>
      <w:r w:rsidR="00DD0BCF" w:rsidRPr="00BB1E47">
        <w:t>whether</w:t>
      </w:r>
      <w:r w:rsidRPr="00BB1E47">
        <w:t xml:space="preserve"> a NEPT response</w:t>
      </w:r>
      <w:r w:rsidR="008C3199" w:rsidRPr="00BB1E47">
        <w:t xml:space="preserve"> is appropriate for the patient</w:t>
      </w:r>
      <w:r w:rsidRPr="00BB1E47">
        <w:t xml:space="preserve">. </w:t>
      </w:r>
    </w:p>
    <w:p w14:paraId="72A67667" w14:textId="3371EBA7" w:rsidR="008C1CA0" w:rsidRPr="00BB1E47" w:rsidRDefault="008C1CA0" w:rsidP="008C1CA0">
      <w:pPr>
        <w:pStyle w:val="Bullet2"/>
      </w:pPr>
      <w:r w:rsidRPr="00BB1E47">
        <w:t xml:space="preserve">AV then directs NEPT crews to </w:t>
      </w:r>
      <w:r w:rsidR="00A91410" w:rsidRPr="00BB1E47">
        <w:t>travel to</w:t>
      </w:r>
      <w:r w:rsidR="00B17290" w:rsidRPr="00BB1E47">
        <w:t xml:space="preserve"> the patient</w:t>
      </w:r>
      <w:r w:rsidR="00A91410" w:rsidRPr="00BB1E47">
        <w:t xml:space="preserve"> </w:t>
      </w:r>
      <w:r w:rsidR="00CF7DB0" w:rsidRPr="00BB1E47">
        <w:t xml:space="preserve">to </w:t>
      </w:r>
      <w:r w:rsidRPr="00BB1E47">
        <w:t xml:space="preserve">provide further assessment </w:t>
      </w:r>
      <w:r w:rsidR="00A91410" w:rsidRPr="00BB1E47">
        <w:t>and</w:t>
      </w:r>
      <w:r w:rsidRPr="00BB1E47">
        <w:t xml:space="preserve"> transport to hospital. </w:t>
      </w:r>
    </w:p>
    <w:p w14:paraId="77193245" w14:textId="2D89ECCF" w:rsidR="008C1CA0" w:rsidRPr="00BB1E47" w:rsidRDefault="008C1CA0" w:rsidP="008C1CA0">
      <w:pPr>
        <w:pStyle w:val="Bullet1"/>
      </w:pPr>
      <w:r w:rsidRPr="00BB1E47">
        <w:t>Planned transfers make up the majority of NEPT in Victoria –</w:t>
      </w:r>
      <w:r w:rsidR="00E03DF8">
        <w:t>approximately</w:t>
      </w:r>
      <w:r w:rsidR="005C77EB">
        <w:t xml:space="preserve"> </w:t>
      </w:r>
      <w:r w:rsidR="00E65C68">
        <w:t>8</w:t>
      </w:r>
      <w:r w:rsidR="00E03DF8">
        <w:t>1</w:t>
      </w:r>
      <w:r w:rsidR="005C77EB">
        <w:t xml:space="preserve">% of all NEPT services in Victoria </w:t>
      </w:r>
      <w:r w:rsidR="00F75DD1">
        <w:t>2021-22.</w:t>
      </w:r>
    </w:p>
    <w:p w14:paraId="1CAA6DCA" w14:textId="64198FC8" w:rsidR="008C1CA0" w:rsidRPr="00BB1E47" w:rsidRDefault="00227507" w:rsidP="008C1CA0">
      <w:pPr>
        <w:pStyle w:val="Bullet1"/>
      </w:pPr>
      <w:r w:rsidRPr="00BB1E47">
        <w:t>Both p</w:t>
      </w:r>
      <w:r w:rsidR="007914D1" w:rsidRPr="00BB1E47">
        <w:t>lanned</w:t>
      </w:r>
      <w:r w:rsidR="008C1CA0" w:rsidRPr="00BB1E47">
        <w:t xml:space="preserve"> and unplanned transfers range in their clinical complexity, from low to high acuity. </w:t>
      </w:r>
    </w:p>
    <w:p w14:paraId="5142A770" w14:textId="66BAB7BF" w:rsidR="008C1CA0" w:rsidRPr="00BB1E47" w:rsidRDefault="008C1CA0" w:rsidP="008C1CA0">
      <w:pPr>
        <w:pStyle w:val="Bullet2"/>
      </w:pPr>
      <w:r w:rsidRPr="00BB1E47">
        <w:t xml:space="preserve">The lack of prior in-person assessment for unplanned transfers can increase their risk, with NEPT crews typically the first </w:t>
      </w:r>
      <w:r w:rsidR="00C75267" w:rsidRPr="00BB1E47">
        <w:t xml:space="preserve">health professionals </w:t>
      </w:r>
      <w:r w:rsidRPr="00BB1E47">
        <w:t>to physically assess a patient in</w:t>
      </w:r>
      <w:r w:rsidR="00914798" w:rsidRPr="00BB1E47">
        <w:t>-</w:t>
      </w:r>
      <w:r w:rsidRPr="00BB1E47">
        <w:t xml:space="preserve">person. </w:t>
      </w:r>
    </w:p>
    <w:p w14:paraId="051E515A" w14:textId="2427FD5F" w:rsidR="008C1CA0" w:rsidRPr="00BB1E47" w:rsidRDefault="008C1CA0" w:rsidP="008C1CA0">
      <w:pPr>
        <w:pStyle w:val="Bullet2"/>
      </w:pPr>
      <w:r w:rsidRPr="00BB1E47">
        <w:t xml:space="preserve">Planned transfers have had prior in-person assessment by an authorised clinician before the NEPT crew arrives. However, the clinical complexity of these transfers can still be high. </w:t>
      </w:r>
    </w:p>
    <w:p w14:paraId="77239F1E" w14:textId="77777777" w:rsidR="008C1CA0" w:rsidRPr="00BB1E47" w:rsidRDefault="008C1CA0" w:rsidP="00BB17D3">
      <w:pPr>
        <w:pStyle w:val="Heading3"/>
      </w:pPr>
      <w:r w:rsidRPr="00BB1E47">
        <w:t>Both kinds of NEPT play a critical role</w:t>
      </w:r>
    </w:p>
    <w:p w14:paraId="2C9C2F4C" w14:textId="60E4F63C" w:rsidR="008C1CA0" w:rsidRPr="00BB1E47" w:rsidRDefault="008C1CA0" w:rsidP="008C1CA0">
      <w:pPr>
        <w:pStyle w:val="Bullet1"/>
      </w:pPr>
      <w:r w:rsidRPr="00BB1E47">
        <w:t xml:space="preserve">NEPT is a </w:t>
      </w:r>
      <w:r w:rsidR="6F12F8CD">
        <w:t>significant</w:t>
      </w:r>
      <w:r w:rsidRPr="00BB1E47">
        <w:t xml:space="preserve"> industry </w:t>
      </w:r>
      <w:r w:rsidR="0089493B" w:rsidRPr="00BB1E47">
        <w:t>in</w:t>
      </w:r>
      <w:r w:rsidRPr="00BB1E47">
        <w:t xml:space="preserve"> Victoria. Every year, health services and AV spend about $</w:t>
      </w:r>
      <w:r w:rsidR="00A02DA7">
        <w:t>155</w:t>
      </w:r>
      <w:r w:rsidRPr="00BB1E47">
        <w:t xml:space="preserve"> million on NEPT services. This funds more than </w:t>
      </w:r>
      <w:r w:rsidR="00F75DD1">
        <w:t>385,000</w:t>
      </w:r>
      <w:r w:rsidRPr="00BB1E47">
        <w:t xml:space="preserve"> transports a year and employs about 2,000 frontline workers. </w:t>
      </w:r>
    </w:p>
    <w:p w14:paraId="7ECF3193" w14:textId="77777777" w:rsidR="008C1CA0" w:rsidRPr="00BB1E47" w:rsidRDefault="008C1CA0" w:rsidP="008C1CA0">
      <w:pPr>
        <w:pStyle w:val="Bullet1"/>
      </w:pPr>
      <w:r w:rsidRPr="00BB1E47">
        <w:t>NEPT plays a vital role in getting Victorians to public health services. Without NEPT services:</w:t>
      </w:r>
    </w:p>
    <w:p w14:paraId="6DADD2BB" w14:textId="2041262B" w:rsidR="008C1CA0" w:rsidRPr="00BB1E47" w:rsidRDefault="008C1CA0" w:rsidP="008C1CA0">
      <w:pPr>
        <w:pStyle w:val="Bullet2"/>
      </w:pPr>
      <w:r w:rsidRPr="00BB1E47">
        <w:t xml:space="preserve">patients who need help </w:t>
      </w:r>
      <w:r w:rsidR="00CC7E70" w:rsidRPr="00BB1E47">
        <w:t xml:space="preserve">with transport to </w:t>
      </w:r>
      <w:r w:rsidR="0068321D">
        <w:t>access healthcare</w:t>
      </w:r>
      <w:r w:rsidRPr="00BB1E47">
        <w:t xml:space="preserve">, but not a lights-and-sirens response, could face long waits </w:t>
      </w:r>
    </w:p>
    <w:p w14:paraId="407A335D" w14:textId="6ED80F8B" w:rsidR="008C1CA0" w:rsidRPr="00BB1E47" w:rsidRDefault="008C1CA0" w:rsidP="008C1CA0">
      <w:pPr>
        <w:pStyle w:val="Bullet2"/>
      </w:pPr>
      <w:r w:rsidRPr="00BB1E47">
        <w:t>patients who need non-urgent clinical assistance during travel would have to be transported either by ambulance (at a higher cost) or a non-clinical transport service (which does not provide the required level of care)</w:t>
      </w:r>
      <w:r w:rsidRPr="00BB1E47">
        <w:rPr>
          <w:rStyle w:val="FootnoteReference"/>
        </w:rPr>
        <w:footnoteReference w:id="7"/>
      </w:r>
      <w:r w:rsidRPr="00BB1E47">
        <w:t xml:space="preserve"> </w:t>
      </w:r>
    </w:p>
    <w:p w14:paraId="2B115220" w14:textId="201880BD" w:rsidR="008C1CA0" w:rsidRPr="00BB1E47" w:rsidRDefault="008C1CA0" w:rsidP="008C1CA0">
      <w:pPr>
        <w:pStyle w:val="Bullet2"/>
      </w:pPr>
      <w:r w:rsidRPr="00BB1E47">
        <w:t>some patients may have to make their own arrangements, with the potential for prohibitive costs for patients living in rural Victoria</w:t>
      </w:r>
      <w:r w:rsidR="00BC3A2D" w:rsidRPr="00BB1E47">
        <w:t xml:space="preserve"> or requiring regular transports</w:t>
      </w:r>
      <w:r w:rsidRPr="00BB1E47">
        <w:t xml:space="preserve">. </w:t>
      </w:r>
    </w:p>
    <w:p w14:paraId="52885936" w14:textId="77777777" w:rsidR="008C1CA0" w:rsidRPr="00BB1E47" w:rsidRDefault="008C1CA0" w:rsidP="008C1CA0">
      <w:pPr>
        <w:pStyle w:val="Bullet1"/>
      </w:pPr>
      <w:r w:rsidRPr="00BB1E47">
        <w:t>NEPT also plays an important role in supporting health system capacity, enabling other patients to access care faster, including:</w:t>
      </w:r>
    </w:p>
    <w:p w14:paraId="53D34050" w14:textId="77777777" w:rsidR="008C1CA0" w:rsidRPr="00BB1E47" w:rsidRDefault="008C1CA0" w:rsidP="008C1CA0">
      <w:pPr>
        <w:pStyle w:val="Bullet2"/>
      </w:pPr>
      <w:r w:rsidRPr="00BB1E47">
        <w:t xml:space="preserve">the diversion of non-time-critical Triple Zero requests to NEPT supports AV to focus on emergency cases that require time critical medical attention </w:t>
      </w:r>
    </w:p>
    <w:p w14:paraId="6A5712C7" w14:textId="5CE8C58F" w:rsidR="008C1CA0" w:rsidRPr="00BB1E47" w:rsidRDefault="008C1CA0" w:rsidP="008C1CA0">
      <w:pPr>
        <w:pStyle w:val="Bullet2"/>
      </w:pPr>
      <w:r w:rsidRPr="00BB1E47">
        <w:t>in public emergencies, NEPT services can also take on the lowest acuity ambulance callouts in situations where demand exceeds ambulance capacity, such as during the 21 November 2016 thunderstorm asthma event when Triple Zero calls suddenly increased by 73</w:t>
      </w:r>
      <w:r w:rsidR="001730C4">
        <w:t>%</w:t>
      </w:r>
      <w:r w:rsidRPr="00BB1E47">
        <w:rPr>
          <w:rStyle w:val="FootnoteReference"/>
        </w:rPr>
        <w:footnoteReference w:id="8"/>
      </w:r>
    </w:p>
    <w:p w14:paraId="297854B4" w14:textId="77777777" w:rsidR="008C1CA0" w:rsidRPr="00BB1E47" w:rsidRDefault="008C1CA0" w:rsidP="008C1CA0">
      <w:pPr>
        <w:pStyle w:val="Bullet2"/>
      </w:pPr>
      <w:r w:rsidRPr="00BB1E47">
        <w:t>NEPT transfers from hospitals play a vital role by freeing up beds and reducing discharge delays, improving system-wide efficiency, and increasing the operational capacity and timeliness of health services.</w:t>
      </w:r>
    </w:p>
    <w:p w14:paraId="5725273E" w14:textId="182D367E" w:rsidR="00BE32C1" w:rsidRPr="00BB1E47" w:rsidRDefault="003C5BAC" w:rsidP="00BB17D3">
      <w:pPr>
        <w:pStyle w:val="Heading2"/>
        <w:numPr>
          <w:ilvl w:val="1"/>
          <w:numId w:val="13"/>
        </w:numPr>
        <w:ind w:left="369" w:hanging="369"/>
      </w:pPr>
      <w:bookmarkStart w:id="12" w:name="_Toc136433480"/>
      <w:bookmarkStart w:id="13" w:name="_Ref134278801"/>
      <w:bookmarkStart w:id="14" w:name="_Ref134278875"/>
      <w:bookmarkStart w:id="15" w:name="_Toc134633523"/>
      <w:r w:rsidRPr="00BB1E47">
        <w:t xml:space="preserve">Over 2,000 skilled workers deliver </w:t>
      </w:r>
      <w:r w:rsidR="008C1CA0" w:rsidRPr="00BB1E47">
        <w:t xml:space="preserve">NEPT </w:t>
      </w:r>
      <w:r w:rsidR="00BE32C1" w:rsidRPr="00BB1E47">
        <w:t>in Victoria</w:t>
      </w:r>
      <w:bookmarkEnd w:id="12"/>
    </w:p>
    <w:bookmarkEnd w:id="13"/>
    <w:bookmarkEnd w:id="14"/>
    <w:bookmarkEnd w:id="15"/>
    <w:p w14:paraId="72C4EAF5" w14:textId="77777777" w:rsidR="008C1CA0" w:rsidRPr="00CC2A95" w:rsidRDefault="008C1CA0" w:rsidP="00CC2A95">
      <w:pPr>
        <w:pStyle w:val="Bullet1"/>
      </w:pPr>
      <w:r w:rsidRPr="00BB1E47">
        <w:t xml:space="preserve">Victoria’s NEPT workforce plays an essential role in the patient journey; supporting patients to move safely and comfortably between health services and the community. </w:t>
      </w:r>
    </w:p>
    <w:p w14:paraId="60F82ADF" w14:textId="77777777" w:rsidR="00121A93" w:rsidRPr="00BB1E47" w:rsidRDefault="008C1CA0" w:rsidP="008C1CA0">
      <w:pPr>
        <w:pStyle w:val="Bullet1"/>
      </w:pPr>
      <w:r w:rsidRPr="00BB1E47">
        <w:lastRenderedPageBreak/>
        <w:t xml:space="preserve">The size of the frontline workforce is significant with around </w:t>
      </w:r>
      <w:r w:rsidR="00591C29" w:rsidRPr="00BB1E47">
        <w:t xml:space="preserve">2000 staff. </w:t>
      </w:r>
    </w:p>
    <w:p w14:paraId="0776ACFF" w14:textId="3244CD81" w:rsidR="008C1CA0" w:rsidRPr="00BB1E47" w:rsidRDefault="00591C29" w:rsidP="00121A93">
      <w:pPr>
        <w:pStyle w:val="Bullet2"/>
      </w:pPr>
      <w:r w:rsidRPr="00BB1E47">
        <w:t xml:space="preserve">This includes around </w:t>
      </w:r>
      <w:r w:rsidR="008C1CA0" w:rsidRPr="00BB1E47">
        <w:t>1</w:t>
      </w:r>
      <w:r w:rsidR="00121A93" w:rsidRPr="00BB1E47">
        <w:t>,</w:t>
      </w:r>
      <w:r w:rsidR="008C1CA0" w:rsidRPr="00BB1E47">
        <w:t xml:space="preserve">300 patient transport officers, 500 ambulance attendants, 100 registered nurses, 60 critical care nurses and 30 enrolled nurses (see </w:t>
      </w:r>
      <w:r w:rsidR="00BE2746" w:rsidRPr="00BB1E47">
        <w:fldChar w:fldCharType="begin"/>
      </w:r>
      <w:r w:rsidR="00BE2746" w:rsidRPr="00BB1E47">
        <w:instrText xml:space="preserve"> REF _Ref134785394 \h </w:instrText>
      </w:r>
      <w:r w:rsidR="00BB1E47">
        <w:instrText xml:space="preserve"> \* MERGEFORMAT </w:instrText>
      </w:r>
      <w:r w:rsidR="00BE2746" w:rsidRPr="00BB1E47">
        <w:fldChar w:fldCharType="separate"/>
      </w:r>
      <w:r w:rsidR="003D510C" w:rsidRPr="00BB1E47">
        <w:t xml:space="preserve">Table </w:t>
      </w:r>
      <w:r w:rsidR="003D510C">
        <w:rPr>
          <w:bCs/>
          <w:noProof/>
          <w:sz w:val="22"/>
          <w:szCs w:val="22"/>
        </w:rPr>
        <w:t>1</w:t>
      </w:r>
      <w:r w:rsidR="00BE2746" w:rsidRPr="00BB1E47">
        <w:fldChar w:fldCharType="end"/>
      </w:r>
      <w:r w:rsidR="00BE2746" w:rsidRPr="00BB1E47">
        <w:t>).</w:t>
      </w:r>
      <w:r w:rsidR="004C3FB9" w:rsidRPr="00BB1E47">
        <w:rPr>
          <w:rStyle w:val="FootnoteReference"/>
          <w:szCs w:val="21"/>
        </w:rPr>
        <w:footnoteReference w:id="9"/>
      </w:r>
    </w:p>
    <w:p w14:paraId="12B21954" w14:textId="46CE807D" w:rsidR="00121A93" w:rsidRPr="00BB1E47" w:rsidRDefault="00D61C74" w:rsidP="00121A93">
      <w:pPr>
        <w:pStyle w:val="Bullet2"/>
      </w:pPr>
      <w:r w:rsidRPr="00BB1E47">
        <w:t xml:space="preserve">This </w:t>
      </w:r>
      <w:r w:rsidR="00E4140F" w:rsidRPr="00BB1E47">
        <w:t xml:space="preserve">is a significant workforce. By way of comparison, AV </w:t>
      </w:r>
      <w:r w:rsidR="001C61B9" w:rsidRPr="00BB1E47">
        <w:t xml:space="preserve">currently </w:t>
      </w:r>
      <w:r w:rsidR="00E4140F" w:rsidRPr="00BB1E47">
        <w:t xml:space="preserve">employs </w:t>
      </w:r>
      <w:r w:rsidR="001C61B9" w:rsidRPr="00BB1E47">
        <w:t>around 5,000 on-road clinical staff.</w:t>
      </w:r>
      <w:r w:rsidR="001C61B9" w:rsidRPr="00BB1E47">
        <w:rPr>
          <w:rStyle w:val="FootnoteReference"/>
        </w:rPr>
        <w:footnoteReference w:id="10"/>
      </w:r>
    </w:p>
    <w:p w14:paraId="20F8B389" w14:textId="77777777" w:rsidR="00272BFE" w:rsidRPr="00BB1E47" w:rsidRDefault="00272BFE" w:rsidP="00BB17D3">
      <w:pPr>
        <w:pStyle w:val="Heading3"/>
      </w:pPr>
      <w:r w:rsidRPr="00BB1E47">
        <w:t>Most NEPT workers are employed by private providers rather than AV</w:t>
      </w:r>
    </w:p>
    <w:p w14:paraId="000C586E" w14:textId="1A790BE8" w:rsidR="00272BFE" w:rsidRPr="00BB1E47" w:rsidRDefault="00272BFE" w:rsidP="00272BFE">
      <w:pPr>
        <w:pStyle w:val="Bullet1"/>
      </w:pPr>
      <w:r w:rsidRPr="00BB1E47">
        <w:t>The workforce is predominantly employed by the private providers who deliver the bulk of NEPT services in Victoria.</w:t>
      </w:r>
      <w:r w:rsidRPr="00BB1E47">
        <w:rPr>
          <w:rStyle w:val="FootnoteReference"/>
        </w:rPr>
        <w:footnoteReference w:id="11"/>
      </w:r>
      <w:r w:rsidR="00722863" w:rsidRPr="00BB1E47">
        <w:t xml:space="preserve"> </w:t>
      </w:r>
      <w:r w:rsidR="00BD5A95" w:rsidRPr="00BB1E47">
        <w:t>Just over</w:t>
      </w:r>
      <w:r w:rsidR="00B30B3F" w:rsidRPr="00BB1E47">
        <w:t xml:space="preserve"> </w:t>
      </w:r>
      <w:r w:rsidR="00401740" w:rsidRPr="00BB1E47">
        <w:t>5</w:t>
      </w:r>
      <w:r w:rsidRPr="00BB1E47">
        <w:t>% of NEPT workers (around 110) are directly employed by AV across NEPT and clinic transport services</w:t>
      </w:r>
      <w:r w:rsidR="00154BDF" w:rsidRPr="00BB1E47">
        <w:t>.</w:t>
      </w:r>
      <w:r w:rsidR="00154BDF" w:rsidRPr="00BB1E47">
        <w:rPr>
          <w:rStyle w:val="FootnoteReference"/>
        </w:rPr>
        <w:footnoteReference w:id="12"/>
      </w:r>
      <w:r w:rsidR="00154BDF" w:rsidRPr="00BB1E47">
        <w:t xml:space="preserve"> </w:t>
      </w:r>
    </w:p>
    <w:p w14:paraId="36F81504" w14:textId="7301D673" w:rsidR="00402416" w:rsidRPr="00BB1E47" w:rsidRDefault="00722863" w:rsidP="00272BFE">
      <w:pPr>
        <w:pStyle w:val="Bullet1"/>
      </w:pPr>
      <w:r w:rsidRPr="00BB1E47">
        <w:t xml:space="preserve">There is no standardised Enterprise Bargaining Agreement for the private NEPT workforce. </w:t>
      </w:r>
      <w:proofErr w:type="gramStart"/>
      <w:r w:rsidR="00402416" w:rsidRPr="00BB1E47">
        <w:t>The</w:t>
      </w:r>
      <w:r w:rsidR="003C44D6" w:rsidRPr="00BB1E47">
        <w:t xml:space="preserve"> majority </w:t>
      </w:r>
      <w:r w:rsidR="008B0195" w:rsidRPr="00BB1E47">
        <w:t>of</w:t>
      </w:r>
      <w:proofErr w:type="gramEnd"/>
      <w:r w:rsidR="008B0195" w:rsidRPr="00BB1E47">
        <w:t xml:space="preserve"> workers </w:t>
      </w:r>
      <w:r w:rsidRPr="00BB1E47">
        <w:t xml:space="preserve">are </w:t>
      </w:r>
      <w:r w:rsidR="003C44D6" w:rsidRPr="00BB1E47">
        <w:t>employed on casual contracts</w:t>
      </w:r>
      <w:r w:rsidR="00402416" w:rsidRPr="00BB1E47">
        <w:t>,</w:t>
      </w:r>
      <w:r w:rsidR="003C44D6" w:rsidRPr="00BB1E47">
        <w:t xml:space="preserve"> with varying pay and conditions, as discussed in Section </w:t>
      </w:r>
      <w:r w:rsidR="002E6939" w:rsidRPr="00BB1E47">
        <w:fldChar w:fldCharType="begin"/>
      </w:r>
      <w:r w:rsidR="002E6939" w:rsidRPr="00BB1E47">
        <w:instrText xml:space="preserve"> REF _Ref135570322 \r \h </w:instrText>
      </w:r>
      <w:r w:rsidR="00BB1E47">
        <w:instrText xml:space="preserve"> \* MERGEFORMAT </w:instrText>
      </w:r>
      <w:r w:rsidR="002E6939" w:rsidRPr="00BB1E47">
        <w:fldChar w:fldCharType="separate"/>
      </w:r>
      <w:r w:rsidR="003D510C">
        <w:t>3.5</w:t>
      </w:r>
      <w:r w:rsidR="002E6939" w:rsidRPr="00BB1E47">
        <w:fldChar w:fldCharType="end"/>
      </w:r>
      <w:r w:rsidR="002E6939" w:rsidRPr="00BB1E47">
        <w:t xml:space="preserve">. </w:t>
      </w:r>
      <w:r w:rsidR="00402416" w:rsidRPr="00BB1E47">
        <w:t xml:space="preserve"> </w:t>
      </w:r>
    </w:p>
    <w:p w14:paraId="2441FA26" w14:textId="1F4E99B1" w:rsidR="002E6939" w:rsidRPr="00BB1E47" w:rsidRDefault="00272BFE" w:rsidP="00272BFE">
      <w:pPr>
        <w:pStyle w:val="Bullet1"/>
      </w:pPr>
      <w:r w:rsidRPr="00BB1E47">
        <w:t>Many members of the workforce are employed by AV at varying points in their career</w:t>
      </w:r>
      <w:r w:rsidR="00B63EF3">
        <w:t>s</w:t>
      </w:r>
      <w:r w:rsidRPr="00BB1E47">
        <w:t xml:space="preserve">. </w:t>
      </w:r>
    </w:p>
    <w:p w14:paraId="74A91646" w14:textId="4646F524" w:rsidR="00272BFE" w:rsidRPr="00BB1E47" w:rsidRDefault="00272BFE" w:rsidP="002E6939">
      <w:pPr>
        <w:pStyle w:val="Bullet2"/>
      </w:pPr>
      <w:r w:rsidRPr="00BB1E47">
        <w:t xml:space="preserve">The NEPT sector can be a pathway into </w:t>
      </w:r>
      <w:r w:rsidR="000F11E2">
        <w:t xml:space="preserve">other </w:t>
      </w:r>
      <w:r w:rsidRPr="00BB1E47">
        <w:t>roles</w:t>
      </w:r>
      <w:r w:rsidR="000F11E2">
        <w:t>, particular</w:t>
      </w:r>
      <w:r w:rsidR="00FF2ADC">
        <w:t>ly</w:t>
      </w:r>
      <w:r w:rsidRPr="00BB1E47">
        <w:t xml:space="preserve"> for people early in their careers, as well as a pathway for </w:t>
      </w:r>
      <w:r w:rsidR="00B55CCD">
        <w:t>people</w:t>
      </w:r>
      <w:r w:rsidR="000B3403">
        <w:t xml:space="preserve"> </w:t>
      </w:r>
      <w:r w:rsidRPr="00BB1E47">
        <w:t>seeking a lower-intensity workload at later stages of their careers.</w:t>
      </w:r>
      <w:r w:rsidRPr="00BB1E47">
        <w:rPr>
          <w:rStyle w:val="FootnoteReference"/>
        </w:rPr>
        <w:footnoteReference w:id="13"/>
      </w:r>
      <w:r w:rsidRPr="00BB1E47">
        <w:t xml:space="preserve"> </w:t>
      </w:r>
    </w:p>
    <w:p w14:paraId="28C6EDA0" w14:textId="601896CF" w:rsidR="00D02BFA" w:rsidRPr="00BB1E47" w:rsidRDefault="00D02BFA" w:rsidP="002E6939">
      <w:pPr>
        <w:pStyle w:val="Bullet2"/>
      </w:pPr>
      <w:r w:rsidRPr="00BB1E47">
        <w:t xml:space="preserve">Some AV employees looking for additional work may also do shifts with private NEPT providers. </w:t>
      </w:r>
    </w:p>
    <w:p w14:paraId="15C882FB" w14:textId="61B66F25" w:rsidR="00272BFE" w:rsidRPr="00BB1E47" w:rsidRDefault="00272BFE" w:rsidP="00D02BFA">
      <w:pPr>
        <w:pStyle w:val="Bullet2"/>
      </w:pPr>
      <w:r w:rsidRPr="00BB1E47">
        <w:t xml:space="preserve">Paramedics </w:t>
      </w:r>
      <w:r w:rsidR="0056478E" w:rsidRPr="00BB1E47">
        <w:t>work in</w:t>
      </w:r>
      <w:r w:rsidRPr="00BB1E47">
        <w:t xml:space="preserve"> the NEPT sector as Patient Transport Officers or Ambulance Transport Attendants (see below)</w:t>
      </w:r>
      <w:r w:rsidR="0056478E" w:rsidRPr="00BB1E47">
        <w:t xml:space="preserve">. This </w:t>
      </w:r>
      <w:r w:rsidR="00B63EF3">
        <w:t xml:space="preserve">is </w:t>
      </w:r>
      <w:r w:rsidR="0056478E" w:rsidRPr="00BB1E47">
        <w:t>because</w:t>
      </w:r>
      <w:r w:rsidRPr="00BB1E47">
        <w:t xml:space="preserve"> there is no defined role</w:t>
      </w:r>
      <w:r w:rsidR="00A745DE">
        <w:t xml:space="preserve"> nor scope of practice</w:t>
      </w:r>
      <w:r w:rsidRPr="00BB1E47">
        <w:t xml:space="preserve"> for paramedics within the NEPT sector at present.   </w:t>
      </w:r>
    </w:p>
    <w:p w14:paraId="37DF767F" w14:textId="527DEE57" w:rsidR="00272BFE" w:rsidRPr="00BB1E47" w:rsidRDefault="00181F2A" w:rsidP="00BB17D3">
      <w:pPr>
        <w:pStyle w:val="Heading3"/>
      </w:pPr>
      <w:r w:rsidRPr="00BB1E47">
        <w:t xml:space="preserve">Regulations set the skill requirements for </w:t>
      </w:r>
      <w:r w:rsidR="00272BFE" w:rsidRPr="00BB1E47">
        <w:t xml:space="preserve">NEPT workers </w:t>
      </w:r>
    </w:p>
    <w:p w14:paraId="6ED76D01" w14:textId="15241E70" w:rsidR="008C1CA0" w:rsidRPr="00BB1E47" w:rsidRDefault="008C1CA0" w:rsidP="008C1CA0">
      <w:pPr>
        <w:pStyle w:val="Bullet1"/>
      </w:pPr>
      <w:r w:rsidRPr="00BB1E47">
        <w:t xml:space="preserve">To ensure the safety of both the NEPT workforce and patients using NEPT services, regulations require the workforce to have appropriate skills, competencies, and knowledge, including ongoing training and professional development. </w:t>
      </w:r>
    </w:p>
    <w:p w14:paraId="597DAC4F" w14:textId="466F3251" w:rsidR="008C1CA0" w:rsidRPr="00BB1E47" w:rsidRDefault="00B169BE" w:rsidP="00AB3BDD">
      <w:pPr>
        <w:pStyle w:val="Bullet2"/>
      </w:pPr>
      <w:r w:rsidRPr="00BB1E47">
        <w:t>This includes</w:t>
      </w:r>
      <w:r w:rsidR="008C1CA0" w:rsidRPr="00BB1E47">
        <w:t xml:space="preserve"> a core set of capabilities such as patient assessment and the principles of trauma care, a</w:t>
      </w:r>
      <w:r w:rsidR="00D02225">
        <w:t>s well as</w:t>
      </w:r>
      <w:r w:rsidR="008C1CA0" w:rsidRPr="00BB1E47">
        <w:t xml:space="preserve"> the safe provision of certain controlled medicines.</w:t>
      </w:r>
      <w:r w:rsidR="008C1CA0" w:rsidRPr="00BB1E47">
        <w:rPr>
          <w:rStyle w:val="FootnoteReference"/>
        </w:rPr>
        <w:footnoteReference w:id="14"/>
      </w:r>
      <w:r w:rsidR="008C1CA0" w:rsidRPr="00BB1E47">
        <w:t xml:space="preserve"> </w:t>
      </w:r>
    </w:p>
    <w:p w14:paraId="454830BC" w14:textId="4B4D2324" w:rsidR="007914D1" w:rsidRPr="00BB1E47" w:rsidRDefault="008C1CA0" w:rsidP="00B77758">
      <w:pPr>
        <w:pStyle w:val="Bullet1"/>
      </w:pPr>
      <w:r w:rsidRPr="00BB1E47">
        <w:t>Beyond these core capabilities, the level of qualification</w:t>
      </w:r>
      <w:r w:rsidR="00340F42" w:rsidRPr="00BB1E47">
        <w:t>s</w:t>
      </w:r>
      <w:r w:rsidRPr="00BB1E47">
        <w:t xml:space="preserve"> and required skillset </w:t>
      </w:r>
      <w:r w:rsidR="00340F42" w:rsidRPr="00BB1E47">
        <w:t xml:space="preserve">for </w:t>
      </w:r>
      <w:r w:rsidRPr="00BB1E47">
        <w:t xml:space="preserve">NEPT workers </w:t>
      </w:r>
      <w:r w:rsidR="00340F42" w:rsidRPr="00BB1E47">
        <w:t xml:space="preserve">vary </w:t>
      </w:r>
      <w:r w:rsidRPr="00BB1E47">
        <w:t>depending on the classification of the role outlined in Victoria’s NEPT Clinical Practice Protocols</w:t>
      </w:r>
      <w:r w:rsidR="009E3629" w:rsidRPr="00BB1E47">
        <w:t xml:space="preserve"> (</w:t>
      </w:r>
      <w:r w:rsidR="00C06EE9" w:rsidRPr="00BB1E47">
        <w:fldChar w:fldCharType="begin"/>
      </w:r>
      <w:r w:rsidR="00C06EE9" w:rsidRPr="00BB1E47">
        <w:instrText xml:space="preserve"> REF _Ref134785394 \h </w:instrText>
      </w:r>
      <w:r w:rsidR="00BB1E47">
        <w:instrText xml:space="preserve"> \* MERGEFORMAT </w:instrText>
      </w:r>
      <w:r w:rsidR="00C06EE9" w:rsidRPr="00BB1E47">
        <w:fldChar w:fldCharType="separate"/>
      </w:r>
      <w:r w:rsidR="003D510C" w:rsidRPr="00BB1E47">
        <w:t xml:space="preserve">Table </w:t>
      </w:r>
      <w:r w:rsidR="003D510C">
        <w:rPr>
          <w:bCs/>
          <w:noProof/>
          <w:sz w:val="22"/>
          <w:szCs w:val="22"/>
        </w:rPr>
        <w:t>1</w:t>
      </w:r>
      <w:r w:rsidR="00C06EE9" w:rsidRPr="00BB1E47">
        <w:fldChar w:fldCharType="end"/>
      </w:r>
      <w:r w:rsidR="009E3629" w:rsidRPr="00BB1E47">
        <w:t>)</w:t>
      </w:r>
      <w:r w:rsidR="00B85095" w:rsidRPr="00BB1E47">
        <w:t>.</w:t>
      </w:r>
    </w:p>
    <w:p w14:paraId="4E4E76DD" w14:textId="3AC90585" w:rsidR="00C93505" w:rsidRPr="00BB1E47" w:rsidRDefault="00C123CA" w:rsidP="008C1CA0">
      <w:pPr>
        <w:pStyle w:val="Bullet1"/>
      </w:pPr>
      <w:r w:rsidRPr="00BB1E47">
        <w:t xml:space="preserve">The minimum staffing requirements for </w:t>
      </w:r>
      <w:r w:rsidR="001618A8" w:rsidRPr="00BB1E47">
        <w:t xml:space="preserve">NEPT </w:t>
      </w:r>
      <w:r w:rsidR="00136411" w:rsidRPr="00BB1E47">
        <w:t xml:space="preserve">differ by </w:t>
      </w:r>
      <w:r w:rsidR="001618A8" w:rsidRPr="00BB1E47">
        <w:t>patient acuit</w:t>
      </w:r>
      <w:r w:rsidR="00136411" w:rsidRPr="00BB1E47">
        <w:t xml:space="preserve">y </w:t>
      </w:r>
      <w:r w:rsidR="001618A8" w:rsidRPr="00BB1E47">
        <w:t xml:space="preserve">and transport </w:t>
      </w:r>
      <w:r w:rsidR="00D30CE5" w:rsidRPr="00BB1E47">
        <w:t>platform and</w:t>
      </w:r>
      <w:r w:rsidR="00136411" w:rsidRPr="00BB1E47">
        <w:t xml:space="preserve"> </w:t>
      </w:r>
      <w:r w:rsidR="001618A8" w:rsidRPr="00BB1E47">
        <w:t xml:space="preserve">are determined by the </w:t>
      </w:r>
      <w:r w:rsidR="00495F2C" w:rsidRPr="00BB1E47">
        <w:t>r</w:t>
      </w:r>
      <w:r w:rsidR="005B7BD2" w:rsidRPr="00BB1E47">
        <w:t>egulations</w:t>
      </w:r>
      <w:r w:rsidR="00495F2C" w:rsidRPr="00BB1E47">
        <w:t xml:space="preserve"> and </w:t>
      </w:r>
      <w:r w:rsidR="00FE0D1C" w:rsidRPr="00BB1E47">
        <w:t>C</w:t>
      </w:r>
      <w:r w:rsidR="00495F2C" w:rsidRPr="00BB1E47">
        <w:t xml:space="preserve">linical </w:t>
      </w:r>
      <w:r w:rsidR="00FE0D1C" w:rsidRPr="00BB1E47">
        <w:t>P</w:t>
      </w:r>
      <w:r w:rsidR="00495F2C" w:rsidRPr="00BB1E47">
        <w:t xml:space="preserve">ractice </w:t>
      </w:r>
      <w:r w:rsidR="00FE0D1C" w:rsidRPr="00BB1E47">
        <w:t>P</w:t>
      </w:r>
      <w:r w:rsidR="00495F2C" w:rsidRPr="00BB1E47">
        <w:t>rotocols</w:t>
      </w:r>
      <w:r w:rsidR="00FE0D1C" w:rsidRPr="00BB1E47">
        <w:rPr>
          <w:b/>
          <w:bCs/>
        </w:rPr>
        <w:t xml:space="preserve"> </w:t>
      </w:r>
      <w:r w:rsidR="00B00E7B" w:rsidRPr="00BB1E47">
        <w:t>(</w:t>
      </w:r>
      <w:r w:rsidR="00C06EE9" w:rsidRPr="00BB1E47">
        <w:t xml:space="preserve">see </w:t>
      </w:r>
      <w:r w:rsidR="00C06EE9" w:rsidRPr="00BB1E47">
        <w:fldChar w:fldCharType="begin"/>
      </w:r>
      <w:r w:rsidR="00C06EE9" w:rsidRPr="00BB1E47">
        <w:instrText xml:space="preserve"> REF _Ref134785343 \h </w:instrText>
      </w:r>
      <w:r w:rsidR="000307DD" w:rsidRPr="00BB1E47">
        <w:instrText xml:space="preserve"> \* MERGEFORMAT </w:instrText>
      </w:r>
      <w:r w:rsidR="00C06EE9" w:rsidRPr="00BB1E47">
        <w:fldChar w:fldCharType="separate"/>
      </w:r>
      <w:r w:rsidR="003D510C" w:rsidRPr="00BB1E47">
        <w:t>Table</w:t>
      </w:r>
      <w:r w:rsidR="003D510C" w:rsidRPr="003D510C">
        <w:rPr>
          <w:bCs/>
        </w:rPr>
        <w:t xml:space="preserve"> </w:t>
      </w:r>
      <w:r w:rsidR="003D510C" w:rsidRPr="003D510C">
        <w:rPr>
          <w:bCs/>
          <w:noProof/>
          <w:szCs w:val="21"/>
        </w:rPr>
        <w:t>2</w:t>
      </w:r>
      <w:r w:rsidR="00C06EE9" w:rsidRPr="00BB1E47">
        <w:fldChar w:fldCharType="end"/>
      </w:r>
      <w:r w:rsidR="00B00E7B" w:rsidRPr="00BB1E47">
        <w:t>)</w:t>
      </w:r>
      <w:r w:rsidR="00B55743" w:rsidRPr="00BB1E47">
        <w:t>.</w:t>
      </w:r>
    </w:p>
    <w:p w14:paraId="79D175B9" w14:textId="6C621940" w:rsidR="008C1CA0" w:rsidRPr="00BB1E47" w:rsidRDefault="008C1CA0" w:rsidP="00181F2A">
      <w:pPr>
        <w:pStyle w:val="Tablecaption"/>
        <w:rPr>
          <w:b w:val="0"/>
          <w:bCs/>
          <w:sz w:val="22"/>
          <w:szCs w:val="22"/>
        </w:rPr>
      </w:pPr>
      <w:bookmarkStart w:id="16" w:name="_Ref134785394"/>
      <w:bookmarkStart w:id="17" w:name="_Ref134783768"/>
      <w:r w:rsidRPr="00BB1E47">
        <w:lastRenderedPageBreak/>
        <w:t xml:space="preserve">Table </w:t>
      </w:r>
      <w:r w:rsidRPr="00BB1E47">
        <w:rPr>
          <w:b w:val="0"/>
          <w:bCs/>
          <w:sz w:val="22"/>
          <w:szCs w:val="22"/>
        </w:rPr>
        <w:fldChar w:fldCharType="begin"/>
      </w:r>
      <w:r w:rsidRPr="00BB1E47">
        <w:rPr>
          <w:bCs/>
          <w:sz w:val="22"/>
          <w:szCs w:val="22"/>
        </w:rPr>
        <w:instrText xml:space="preserve"> SEQ Table \* ARABIC </w:instrText>
      </w:r>
      <w:r w:rsidRPr="00BB1E47">
        <w:rPr>
          <w:b w:val="0"/>
          <w:bCs/>
          <w:sz w:val="22"/>
          <w:szCs w:val="22"/>
        </w:rPr>
        <w:fldChar w:fldCharType="separate"/>
      </w:r>
      <w:r w:rsidR="003D510C">
        <w:rPr>
          <w:bCs/>
          <w:noProof/>
          <w:sz w:val="22"/>
          <w:szCs w:val="22"/>
        </w:rPr>
        <w:t>1</w:t>
      </w:r>
      <w:r w:rsidRPr="00BB1E47">
        <w:rPr>
          <w:b w:val="0"/>
          <w:bCs/>
          <w:sz w:val="22"/>
          <w:szCs w:val="22"/>
        </w:rPr>
        <w:fldChar w:fldCharType="end"/>
      </w:r>
      <w:bookmarkEnd w:id="16"/>
      <w:r w:rsidR="000307DD" w:rsidRPr="00BB1E47">
        <w:rPr>
          <w:b w:val="0"/>
          <w:bCs/>
          <w:sz w:val="22"/>
          <w:szCs w:val="22"/>
        </w:rPr>
        <w:t>:</w:t>
      </w:r>
      <w:r w:rsidRPr="00BB1E47">
        <w:rPr>
          <w:bCs/>
          <w:sz w:val="22"/>
          <w:szCs w:val="22"/>
        </w:rPr>
        <w:t xml:space="preserve"> NEPT workforce minimum qualifications</w:t>
      </w:r>
      <w:bookmarkStart w:id="18" w:name="_Ref135144584"/>
      <w:bookmarkEnd w:id="17"/>
      <w:r w:rsidR="002A1DE3" w:rsidRPr="00BB1E47">
        <w:rPr>
          <w:rStyle w:val="FootnoteReference"/>
          <w:sz w:val="22"/>
          <w:szCs w:val="22"/>
        </w:rPr>
        <w:footnoteReference w:id="15"/>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583"/>
        <w:gridCol w:w="5200"/>
      </w:tblGrid>
      <w:tr w:rsidR="008C1CA0" w:rsidRPr="00BB1E47" w14:paraId="1F97DAA7" w14:textId="77777777" w:rsidTr="00181F2A">
        <w:trPr>
          <w:trHeight w:val="70"/>
          <w:tblHeader/>
        </w:trPr>
        <w:tc>
          <w:tcPr>
            <w:tcW w:w="4583" w:type="dxa"/>
            <w:shd w:val="clear" w:color="auto" w:fill="F2F2F2" w:themeFill="background1" w:themeFillShade="F2"/>
          </w:tcPr>
          <w:p w14:paraId="739E2DE5" w14:textId="77777777" w:rsidR="008C1CA0" w:rsidRPr="00BB1E47" w:rsidRDefault="008C1CA0" w:rsidP="00181F2A">
            <w:pPr>
              <w:pStyle w:val="Tablecolhead"/>
              <w:keepNext/>
              <w:keepLines/>
              <w:rPr>
                <w:color w:val="auto"/>
                <w:lang w:val="en-US"/>
              </w:rPr>
            </w:pPr>
            <w:r w:rsidRPr="00BB1E47">
              <w:rPr>
                <w:color w:val="auto"/>
                <w:lang w:val="en-US"/>
              </w:rPr>
              <w:t>Classification</w:t>
            </w:r>
          </w:p>
        </w:tc>
        <w:tc>
          <w:tcPr>
            <w:tcW w:w="5200" w:type="dxa"/>
            <w:shd w:val="clear" w:color="auto" w:fill="F2F2F2" w:themeFill="background1" w:themeFillShade="F2"/>
          </w:tcPr>
          <w:p w14:paraId="1653956B" w14:textId="77777777" w:rsidR="008C1CA0" w:rsidRPr="00BB1E47" w:rsidRDefault="008C1CA0" w:rsidP="00181F2A">
            <w:pPr>
              <w:pStyle w:val="Tablecolhead"/>
              <w:keepNext/>
              <w:keepLines/>
              <w:rPr>
                <w:color w:val="auto"/>
                <w:lang w:val="en-US"/>
              </w:rPr>
            </w:pPr>
            <w:r w:rsidRPr="00BB1E47">
              <w:rPr>
                <w:color w:val="auto"/>
                <w:lang w:val="en-US"/>
              </w:rPr>
              <w:t>Minimum professional qualification</w:t>
            </w:r>
          </w:p>
        </w:tc>
      </w:tr>
      <w:tr w:rsidR="008C1CA0" w:rsidRPr="00BB1E47" w14:paraId="3EB1CF0A" w14:textId="77777777" w:rsidTr="00485C90">
        <w:tc>
          <w:tcPr>
            <w:tcW w:w="4583" w:type="dxa"/>
            <w:shd w:val="clear" w:color="auto" w:fill="auto"/>
          </w:tcPr>
          <w:p w14:paraId="1FABF5A9" w14:textId="2A7B8473" w:rsidR="008C1CA0" w:rsidRPr="00BB1E47" w:rsidRDefault="008C1CA0" w:rsidP="00181F2A">
            <w:pPr>
              <w:pStyle w:val="Tabletext"/>
              <w:keepNext/>
              <w:keepLines/>
              <w:rPr>
                <w:lang w:val="en-US"/>
              </w:rPr>
            </w:pPr>
            <w:r w:rsidRPr="00BB1E47">
              <w:rPr>
                <w:lang w:val="en-US"/>
              </w:rPr>
              <w:t xml:space="preserve">Patient transport </w:t>
            </w:r>
            <w:proofErr w:type="spellStart"/>
            <w:r w:rsidRPr="00BB1E47">
              <w:rPr>
                <w:lang w:val="en-US"/>
              </w:rPr>
              <w:t>officer</w:t>
            </w:r>
            <w:proofErr w:type="spellEnd"/>
            <w:r w:rsidR="00C72BD8" w:rsidRPr="00BB1E47">
              <w:rPr>
                <w:lang w:val="en-US"/>
              </w:rPr>
              <w:t xml:space="preserve"> (</w:t>
            </w:r>
            <w:r w:rsidR="00FE0D1C" w:rsidRPr="00BB1E47">
              <w:rPr>
                <w:lang w:val="en-US"/>
              </w:rPr>
              <w:t>PTO</w:t>
            </w:r>
            <w:r w:rsidR="00C72BD8" w:rsidRPr="00BB1E47">
              <w:rPr>
                <w:lang w:val="en-US"/>
              </w:rPr>
              <w:t>)</w:t>
            </w:r>
          </w:p>
        </w:tc>
        <w:tc>
          <w:tcPr>
            <w:tcW w:w="5200" w:type="dxa"/>
            <w:shd w:val="clear" w:color="auto" w:fill="auto"/>
          </w:tcPr>
          <w:p w14:paraId="22FC28B1" w14:textId="77777777" w:rsidR="008C1CA0" w:rsidRPr="00BB1E47" w:rsidRDefault="008C1CA0" w:rsidP="00181F2A">
            <w:pPr>
              <w:pStyle w:val="Tabletext"/>
              <w:keepNext/>
              <w:keepLines/>
              <w:rPr>
                <w:lang w:val="en-US"/>
              </w:rPr>
            </w:pPr>
            <w:r w:rsidRPr="00BB1E47">
              <w:rPr>
                <w:lang w:val="en-US"/>
              </w:rPr>
              <w:t>Certificate III in Non-Emergency Patient Transport*</w:t>
            </w:r>
          </w:p>
        </w:tc>
      </w:tr>
      <w:tr w:rsidR="008C1CA0" w:rsidRPr="00BB1E47" w14:paraId="41D1F060" w14:textId="77777777" w:rsidTr="00485C90">
        <w:tc>
          <w:tcPr>
            <w:tcW w:w="4583" w:type="dxa"/>
            <w:shd w:val="clear" w:color="auto" w:fill="auto"/>
          </w:tcPr>
          <w:p w14:paraId="46608A13" w14:textId="5BF9462F" w:rsidR="008C1CA0" w:rsidRPr="00BB1E47" w:rsidRDefault="00C020FF" w:rsidP="00181F2A">
            <w:pPr>
              <w:pStyle w:val="Tabletext"/>
              <w:keepNext/>
              <w:keepLines/>
              <w:rPr>
                <w:lang w:val="en-US"/>
              </w:rPr>
            </w:pPr>
            <w:r w:rsidRPr="00BB1E47">
              <w:rPr>
                <w:lang w:val="en-US"/>
              </w:rPr>
              <w:t xml:space="preserve">(Endorsed) </w:t>
            </w:r>
            <w:r w:rsidR="008C1CA0" w:rsidRPr="00BB1E47">
              <w:rPr>
                <w:lang w:val="en-US"/>
              </w:rPr>
              <w:t>Enrolled nurse division 2</w:t>
            </w:r>
            <w:r w:rsidRPr="00BB1E47">
              <w:rPr>
                <w:lang w:val="en-US"/>
              </w:rPr>
              <w:t xml:space="preserve"> (EN/EEN)</w:t>
            </w:r>
          </w:p>
        </w:tc>
        <w:tc>
          <w:tcPr>
            <w:tcW w:w="5200" w:type="dxa"/>
            <w:shd w:val="clear" w:color="auto" w:fill="auto"/>
          </w:tcPr>
          <w:p w14:paraId="009DD3C6" w14:textId="77777777" w:rsidR="008C1CA0" w:rsidRPr="00BB1E47" w:rsidRDefault="008C1CA0" w:rsidP="00181F2A">
            <w:pPr>
              <w:pStyle w:val="Tabletext"/>
              <w:keepNext/>
              <w:keepLines/>
              <w:rPr>
                <w:lang w:val="en-US"/>
              </w:rPr>
            </w:pPr>
            <w:r w:rsidRPr="00BB1E47">
              <w:rPr>
                <w:lang w:val="en-US"/>
              </w:rPr>
              <w:t>Diploma of Nursing*</w:t>
            </w:r>
          </w:p>
        </w:tc>
      </w:tr>
      <w:tr w:rsidR="008C1CA0" w:rsidRPr="00BB1E47" w14:paraId="14144C3C" w14:textId="77777777" w:rsidTr="00485C90">
        <w:tc>
          <w:tcPr>
            <w:tcW w:w="4583" w:type="dxa"/>
            <w:shd w:val="clear" w:color="auto" w:fill="auto"/>
          </w:tcPr>
          <w:p w14:paraId="2DFF7B7A" w14:textId="5133C5C9" w:rsidR="008C1CA0" w:rsidRPr="00BB1E47" w:rsidRDefault="008C1CA0" w:rsidP="00181F2A">
            <w:pPr>
              <w:pStyle w:val="Tabletext"/>
              <w:keepNext/>
              <w:keepLines/>
              <w:rPr>
                <w:lang w:val="en-US"/>
              </w:rPr>
            </w:pPr>
            <w:r w:rsidRPr="00BB1E47">
              <w:rPr>
                <w:lang w:val="en-US"/>
              </w:rPr>
              <w:t xml:space="preserve">Ambulance transport attendant </w:t>
            </w:r>
            <w:r w:rsidR="00C72BD8" w:rsidRPr="00BB1E47">
              <w:rPr>
                <w:lang w:val="en-US"/>
              </w:rPr>
              <w:t>(</w:t>
            </w:r>
            <w:r w:rsidR="00FE0D1C" w:rsidRPr="00BB1E47">
              <w:rPr>
                <w:lang w:val="en-US"/>
              </w:rPr>
              <w:t>ATA</w:t>
            </w:r>
            <w:r w:rsidR="00C72BD8" w:rsidRPr="00BB1E47">
              <w:rPr>
                <w:lang w:val="en-US"/>
              </w:rPr>
              <w:t>)</w:t>
            </w:r>
          </w:p>
        </w:tc>
        <w:tc>
          <w:tcPr>
            <w:tcW w:w="5200" w:type="dxa"/>
            <w:shd w:val="clear" w:color="auto" w:fill="auto"/>
          </w:tcPr>
          <w:p w14:paraId="3D30CC24" w14:textId="74022830" w:rsidR="008C1CA0" w:rsidRPr="00BB1E47" w:rsidRDefault="008936B9" w:rsidP="00181F2A">
            <w:pPr>
              <w:pStyle w:val="Tabletext"/>
              <w:keepNext/>
              <w:keepLines/>
              <w:rPr>
                <w:lang w:val="en-US"/>
              </w:rPr>
            </w:pPr>
            <w:r w:rsidRPr="00BB1E47">
              <w:t>Diploma of Emergency Health Care</w:t>
            </w:r>
            <w:r w:rsidR="008C1CA0" w:rsidRPr="00BB1E47">
              <w:rPr>
                <w:lang w:val="en-US"/>
              </w:rPr>
              <w:t>*</w:t>
            </w:r>
          </w:p>
        </w:tc>
      </w:tr>
      <w:tr w:rsidR="008C1CA0" w:rsidRPr="00BB1E47" w14:paraId="0EDE3273" w14:textId="77777777" w:rsidTr="00485C90">
        <w:tc>
          <w:tcPr>
            <w:tcW w:w="4583" w:type="dxa"/>
            <w:shd w:val="clear" w:color="auto" w:fill="auto"/>
          </w:tcPr>
          <w:p w14:paraId="69BD5463" w14:textId="26830709" w:rsidR="008C1CA0" w:rsidRPr="00BB1E47" w:rsidRDefault="008C1CA0" w:rsidP="00181F2A">
            <w:pPr>
              <w:pStyle w:val="Tabletext"/>
              <w:keepNext/>
              <w:keepLines/>
              <w:rPr>
                <w:lang w:val="en-US"/>
              </w:rPr>
            </w:pPr>
            <w:r w:rsidRPr="00BB1E47">
              <w:rPr>
                <w:lang w:val="en-US"/>
              </w:rPr>
              <w:t>Registered nurse division 1</w:t>
            </w:r>
            <w:r w:rsidR="000021E4" w:rsidRPr="00BB1E47">
              <w:rPr>
                <w:lang w:val="en-US"/>
              </w:rPr>
              <w:t xml:space="preserve"> (RN1)</w:t>
            </w:r>
          </w:p>
        </w:tc>
        <w:tc>
          <w:tcPr>
            <w:tcW w:w="5200" w:type="dxa"/>
            <w:shd w:val="clear" w:color="auto" w:fill="auto"/>
          </w:tcPr>
          <w:p w14:paraId="1F5B5BD1" w14:textId="77777777" w:rsidR="008C1CA0" w:rsidRPr="00BB1E47" w:rsidRDefault="008C1CA0" w:rsidP="00181F2A">
            <w:pPr>
              <w:pStyle w:val="Tabletext"/>
              <w:keepNext/>
              <w:keepLines/>
              <w:rPr>
                <w:lang w:val="en-US"/>
              </w:rPr>
            </w:pPr>
            <w:r w:rsidRPr="00BB1E47">
              <w:rPr>
                <w:lang w:val="en-US"/>
              </w:rPr>
              <w:t>Bachelor of Nursing*</w:t>
            </w:r>
          </w:p>
        </w:tc>
      </w:tr>
      <w:tr w:rsidR="008C1CA0" w:rsidRPr="00BB1E47" w14:paraId="6FE2BB12" w14:textId="77777777" w:rsidTr="00485C90">
        <w:tc>
          <w:tcPr>
            <w:tcW w:w="4583" w:type="dxa"/>
            <w:shd w:val="clear" w:color="auto" w:fill="auto"/>
          </w:tcPr>
          <w:p w14:paraId="7D42313A" w14:textId="3EACDEF3" w:rsidR="008C1CA0" w:rsidRPr="00BB1E47" w:rsidRDefault="008B3CF9" w:rsidP="00181F2A">
            <w:pPr>
              <w:pStyle w:val="Tabletext"/>
              <w:keepNext/>
              <w:keepLines/>
              <w:rPr>
                <w:lang w:val="en-US"/>
              </w:rPr>
            </w:pPr>
            <w:r w:rsidRPr="00BB1E47">
              <w:t>Registered Nurse Critical Care</w:t>
            </w:r>
            <w:r w:rsidR="00C020FF" w:rsidRPr="00BB1E47">
              <w:t xml:space="preserve"> (CCRN)</w:t>
            </w:r>
          </w:p>
        </w:tc>
        <w:tc>
          <w:tcPr>
            <w:tcW w:w="5200" w:type="dxa"/>
            <w:shd w:val="clear" w:color="auto" w:fill="auto"/>
          </w:tcPr>
          <w:p w14:paraId="6F677AE6" w14:textId="17420598" w:rsidR="008C1CA0" w:rsidRPr="00BB1E47" w:rsidRDefault="002E2527" w:rsidP="00181F2A">
            <w:pPr>
              <w:pStyle w:val="Tabletext"/>
              <w:keepNext/>
              <w:keepLines/>
              <w:rPr>
                <w:lang w:val="en-US"/>
              </w:rPr>
            </w:pPr>
            <w:r w:rsidRPr="00BB1E47">
              <w:t>Bachelor of Nursing and post-graduate certificate and experience in a critical care area</w:t>
            </w:r>
          </w:p>
        </w:tc>
      </w:tr>
    </w:tbl>
    <w:p w14:paraId="5AD4E2E6" w14:textId="337F1071" w:rsidR="00DA2791" w:rsidRPr="00BB1E47" w:rsidRDefault="008C1CA0" w:rsidP="00181F2A">
      <w:pPr>
        <w:pStyle w:val="Bullet1"/>
        <w:keepNext/>
        <w:keepLines/>
        <w:numPr>
          <w:ilvl w:val="0"/>
          <w:numId w:val="0"/>
        </w:numPr>
        <w:ind w:left="284" w:hanging="284"/>
        <w:rPr>
          <w:rFonts w:cs="Arial"/>
          <w:sz w:val="18"/>
          <w:szCs w:val="16"/>
        </w:rPr>
      </w:pPr>
      <w:r w:rsidRPr="00BB1E47">
        <w:rPr>
          <w:rFonts w:ascii="Yu Gothic Light" w:hAnsi="Yu Gothic Light" w:cs="Yu Gothic Light"/>
          <w:color w:val="008080"/>
          <w:sz w:val="18"/>
          <w:szCs w:val="16"/>
          <w:lang w:val="en-US"/>
        </w:rPr>
        <w:t xml:space="preserve">    </w:t>
      </w:r>
      <w:r w:rsidRPr="00BB1E47">
        <w:rPr>
          <w:rFonts w:cs="Arial"/>
          <w:sz w:val="18"/>
          <w:szCs w:val="16"/>
        </w:rPr>
        <w:t xml:space="preserve">* </w:t>
      </w:r>
      <w:proofErr w:type="gramStart"/>
      <w:r w:rsidRPr="00BB1E47">
        <w:rPr>
          <w:rFonts w:cs="Arial"/>
          <w:sz w:val="18"/>
          <w:szCs w:val="16"/>
        </w:rPr>
        <w:t>or</w:t>
      </w:r>
      <w:proofErr w:type="gramEnd"/>
      <w:r w:rsidRPr="00BB1E47">
        <w:rPr>
          <w:rFonts w:cs="Arial"/>
          <w:sz w:val="18"/>
          <w:szCs w:val="16"/>
        </w:rPr>
        <w:t xml:space="preserve"> equivalent</w:t>
      </w:r>
    </w:p>
    <w:p w14:paraId="68467C87" w14:textId="0B0F4404" w:rsidR="007E69CD" w:rsidRPr="00BB1E47" w:rsidRDefault="00DA2791" w:rsidP="00C020FF">
      <w:pPr>
        <w:pStyle w:val="Tablecaption"/>
      </w:pPr>
      <w:bookmarkStart w:id="19" w:name="_Ref134785343"/>
      <w:bookmarkStart w:id="20" w:name="_Ref134785337"/>
      <w:r w:rsidRPr="00BB1E47">
        <w:t xml:space="preserve">Table </w:t>
      </w:r>
      <w:r w:rsidR="00FE0D1C" w:rsidRPr="00BB1E47">
        <w:fldChar w:fldCharType="begin"/>
      </w:r>
      <w:r w:rsidR="00FE0D1C" w:rsidRPr="00BB1E47">
        <w:rPr>
          <w:szCs w:val="21"/>
        </w:rPr>
        <w:instrText xml:space="preserve"> SEQ Table \* ARABIC </w:instrText>
      </w:r>
      <w:r w:rsidR="00FE0D1C" w:rsidRPr="00BB1E47">
        <w:fldChar w:fldCharType="separate"/>
      </w:r>
      <w:r w:rsidR="003D510C">
        <w:rPr>
          <w:noProof/>
          <w:szCs w:val="21"/>
        </w:rPr>
        <w:t>2</w:t>
      </w:r>
      <w:r w:rsidR="00FE0D1C" w:rsidRPr="00BB1E47">
        <w:fldChar w:fldCharType="end"/>
      </w:r>
      <w:bookmarkEnd w:id="19"/>
      <w:r w:rsidR="000307DD" w:rsidRPr="00BB1E47">
        <w:t>:</w:t>
      </w:r>
      <w:r w:rsidRPr="00BB1E47">
        <w:t xml:space="preserve"> NEPT </w:t>
      </w:r>
      <w:r w:rsidR="00EB3956" w:rsidRPr="00BB1E47">
        <w:rPr>
          <w:bCs/>
        </w:rPr>
        <w:t>crew-mix</w:t>
      </w:r>
      <w:r w:rsidR="00256312" w:rsidRPr="00BB1E47">
        <w:t xml:space="preserve"> requirements</w:t>
      </w:r>
      <w:bookmarkEnd w:id="20"/>
      <w:r w:rsidR="00D4257B" w:rsidRPr="00BB1E47">
        <w:rPr>
          <w:rStyle w:val="FootnoteReference"/>
        </w:rPr>
        <w:footnoteReference w:id="16"/>
      </w:r>
    </w:p>
    <w:tbl>
      <w:tblPr>
        <w:tblStyle w:val="TableGrid"/>
        <w:tblW w:w="0" w:type="auto"/>
        <w:tblLook w:val="04A0" w:firstRow="1" w:lastRow="0" w:firstColumn="1" w:lastColumn="0" w:noHBand="0" w:noVBand="1"/>
      </w:tblPr>
      <w:tblGrid>
        <w:gridCol w:w="2547"/>
        <w:gridCol w:w="7229"/>
      </w:tblGrid>
      <w:tr w:rsidR="0065728B" w:rsidRPr="00BB1E47" w14:paraId="4CF51D8D" w14:textId="77777777" w:rsidTr="00C020FF">
        <w:tc>
          <w:tcPr>
            <w:tcW w:w="2547" w:type="dxa"/>
            <w:shd w:val="clear" w:color="auto" w:fill="F2F2F2" w:themeFill="background1" w:themeFillShade="F2"/>
          </w:tcPr>
          <w:p w14:paraId="56476A55" w14:textId="08A8A4E7" w:rsidR="0065728B" w:rsidRPr="00BB1E47" w:rsidRDefault="003C77C6" w:rsidP="007E69CD">
            <w:pPr>
              <w:pStyle w:val="Body"/>
              <w:rPr>
                <w:b/>
              </w:rPr>
            </w:pPr>
            <w:r w:rsidRPr="00BB1E47">
              <w:rPr>
                <w:b/>
              </w:rPr>
              <w:t>Acuity</w:t>
            </w:r>
          </w:p>
        </w:tc>
        <w:tc>
          <w:tcPr>
            <w:tcW w:w="7229" w:type="dxa"/>
            <w:shd w:val="clear" w:color="auto" w:fill="F2F2F2" w:themeFill="background1" w:themeFillShade="F2"/>
          </w:tcPr>
          <w:p w14:paraId="0CC7181F" w14:textId="6EDF6929" w:rsidR="0065728B" w:rsidRPr="00BB1E47" w:rsidRDefault="00F20EEB" w:rsidP="007E69CD">
            <w:pPr>
              <w:pStyle w:val="Body"/>
              <w:rPr>
                <w:b/>
              </w:rPr>
            </w:pPr>
            <w:r w:rsidRPr="00BB1E47">
              <w:rPr>
                <w:b/>
              </w:rPr>
              <w:t>Minimum crew member required to travel in patient compartment</w:t>
            </w:r>
          </w:p>
        </w:tc>
      </w:tr>
      <w:tr w:rsidR="0065728B" w:rsidRPr="00BB1E47" w14:paraId="27CAC9F7" w14:textId="77777777" w:rsidTr="00C020FF">
        <w:tc>
          <w:tcPr>
            <w:tcW w:w="2547" w:type="dxa"/>
          </w:tcPr>
          <w:p w14:paraId="727B7E37" w14:textId="03B2E340" w:rsidR="0065728B" w:rsidRPr="00BB1E47" w:rsidRDefault="00C020FF" w:rsidP="007E69CD">
            <w:pPr>
              <w:pStyle w:val="Body"/>
            </w:pPr>
            <w:r w:rsidRPr="00BB1E47">
              <w:t>Low</w:t>
            </w:r>
          </w:p>
        </w:tc>
        <w:tc>
          <w:tcPr>
            <w:tcW w:w="7229" w:type="dxa"/>
          </w:tcPr>
          <w:p w14:paraId="06A5F593" w14:textId="00C4C22E" w:rsidR="0065728B" w:rsidRPr="00BB1E47" w:rsidRDefault="00C020FF" w:rsidP="007E69CD">
            <w:pPr>
              <w:pStyle w:val="Body"/>
            </w:pPr>
            <w:r w:rsidRPr="00BB1E47">
              <w:t>PTO</w:t>
            </w:r>
          </w:p>
        </w:tc>
      </w:tr>
      <w:tr w:rsidR="0065728B" w:rsidRPr="00BB1E47" w14:paraId="5268951D" w14:textId="77777777" w:rsidTr="00C020FF">
        <w:tc>
          <w:tcPr>
            <w:tcW w:w="2547" w:type="dxa"/>
          </w:tcPr>
          <w:p w14:paraId="29B2E019" w14:textId="175A0D78" w:rsidR="0065728B" w:rsidRPr="00BB1E47" w:rsidRDefault="00C020FF" w:rsidP="007E69CD">
            <w:pPr>
              <w:pStyle w:val="Body"/>
            </w:pPr>
            <w:r w:rsidRPr="00BB1E47">
              <w:t>Medium</w:t>
            </w:r>
          </w:p>
        </w:tc>
        <w:tc>
          <w:tcPr>
            <w:tcW w:w="7229" w:type="dxa"/>
          </w:tcPr>
          <w:p w14:paraId="74C37541" w14:textId="77777777" w:rsidR="00C020FF" w:rsidRPr="00BB1E47" w:rsidRDefault="00C020FF" w:rsidP="00C020FF">
            <w:pPr>
              <w:pStyle w:val="Tabletext"/>
            </w:pPr>
            <w:r w:rsidRPr="00BB1E47">
              <w:t>ATA (unplanned ambulance or interfacility transport)</w:t>
            </w:r>
          </w:p>
          <w:p w14:paraId="097640F4" w14:textId="77777777" w:rsidR="00C020FF" w:rsidRPr="00BB1E47" w:rsidRDefault="00C020FF" w:rsidP="00C020FF">
            <w:pPr>
              <w:pStyle w:val="Tabletext"/>
            </w:pPr>
            <w:r w:rsidRPr="00BB1E47">
              <w:t>EN/EEN (interfacility transport or if trained and endorsed unplanned ambulance)</w:t>
            </w:r>
          </w:p>
          <w:p w14:paraId="4E4BF0FA" w14:textId="18A695F4" w:rsidR="0065728B" w:rsidRPr="00BB1E47" w:rsidRDefault="00C020FF" w:rsidP="007E69CD">
            <w:pPr>
              <w:pStyle w:val="Body"/>
            </w:pPr>
            <w:r w:rsidRPr="00BB1E47">
              <w:t>RN1 (interfacility transport or if trained and endorsed unplanned ambulance)</w:t>
            </w:r>
          </w:p>
        </w:tc>
      </w:tr>
      <w:tr w:rsidR="00C020FF" w:rsidRPr="00BB1E47" w14:paraId="3888D2F6" w14:textId="77777777" w:rsidTr="00E17DB1">
        <w:tc>
          <w:tcPr>
            <w:tcW w:w="2547" w:type="dxa"/>
          </w:tcPr>
          <w:p w14:paraId="22B7EE92" w14:textId="49D365CA" w:rsidR="00C020FF" w:rsidRPr="00BB1E47" w:rsidRDefault="00C020FF" w:rsidP="00C020FF">
            <w:pPr>
              <w:pStyle w:val="Body"/>
            </w:pPr>
            <w:r w:rsidRPr="00BB1E47">
              <w:t>High</w:t>
            </w:r>
          </w:p>
        </w:tc>
        <w:tc>
          <w:tcPr>
            <w:tcW w:w="7229" w:type="dxa"/>
          </w:tcPr>
          <w:p w14:paraId="05480F8A" w14:textId="4DF4E068" w:rsidR="00C020FF" w:rsidRPr="00BB1E47" w:rsidRDefault="00C020FF" w:rsidP="00C020FF">
            <w:pPr>
              <w:pStyle w:val="Body"/>
            </w:pPr>
            <w:r w:rsidRPr="00BB1E47">
              <w:t>CCRN</w:t>
            </w:r>
          </w:p>
        </w:tc>
      </w:tr>
    </w:tbl>
    <w:p w14:paraId="514CB361" w14:textId="77777777" w:rsidR="007E69CD" w:rsidRPr="00BB1E47" w:rsidRDefault="007E69CD" w:rsidP="007E69CD">
      <w:pPr>
        <w:pStyle w:val="Body"/>
      </w:pPr>
    </w:p>
    <w:p w14:paraId="01B0FD93" w14:textId="49A31752" w:rsidR="008C1CA0" w:rsidRPr="00BB1E47" w:rsidRDefault="008C1CA0" w:rsidP="00E9640E">
      <w:pPr>
        <w:pStyle w:val="Heading2"/>
      </w:pPr>
      <w:bookmarkStart w:id="21" w:name="_Toc134633524"/>
      <w:bookmarkStart w:id="22" w:name="_Ref135601339"/>
      <w:bookmarkStart w:id="23" w:name="_Toc136433481"/>
      <w:r w:rsidRPr="00BB1E47">
        <w:t xml:space="preserve">The Department of Health’s </w:t>
      </w:r>
      <w:r w:rsidR="00DB0180" w:rsidRPr="00BB1E47">
        <w:t xml:space="preserve">NEPT </w:t>
      </w:r>
      <w:r w:rsidRPr="00BB1E47">
        <w:t>role focusse</w:t>
      </w:r>
      <w:r w:rsidR="00DB0180" w:rsidRPr="00BB1E47">
        <w:t xml:space="preserve">s </w:t>
      </w:r>
      <w:r w:rsidRPr="00BB1E47">
        <w:t>on regulation</w:t>
      </w:r>
      <w:bookmarkEnd w:id="21"/>
      <w:bookmarkEnd w:id="22"/>
      <w:bookmarkEnd w:id="23"/>
      <w:r w:rsidRPr="00BB1E47">
        <w:t xml:space="preserve"> </w:t>
      </w:r>
    </w:p>
    <w:p w14:paraId="03B2914B" w14:textId="203139B2" w:rsidR="00A438FE" w:rsidRPr="00BB1E47" w:rsidRDefault="008C1CA0" w:rsidP="00B37D1A">
      <w:pPr>
        <w:pStyle w:val="Body"/>
        <w:numPr>
          <w:ilvl w:val="0"/>
          <w:numId w:val="14"/>
        </w:numPr>
      </w:pPr>
      <w:r w:rsidRPr="00BB1E47">
        <w:t xml:space="preserve">The Department of Health (the department) is the steward of Victoria’s health system and has a range of levers at its disposal to manage and shape the system (as discussed further in </w:t>
      </w:r>
      <w:r w:rsidR="005933FC" w:rsidRPr="00BB1E47">
        <w:t xml:space="preserve">Section </w:t>
      </w:r>
      <w:r w:rsidR="005933FC" w:rsidRPr="00BB1E47">
        <w:fldChar w:fldCharType="begin"/>
      </w:r>
      <w:r w:rsidR="005933FC" w:rsidRPr="00BB1E47">
        <w:instrText xml:space="preserve"> REF _Ref135603215 \r \p \h </w:instrText>
      </w:r>
      <w:r w:rsidR="00BB1E47">
        <w:instrText xml:space="preserve"> \* MERGEFORMAT </w:instrText>
      </w:r>
      <w:r w:rsidR="005933FC" w:rsidRPr="00BB1E47">
        <w:fldChar w:fldCharType="separate"/>
      </w:r>
      <w:r w:rsidR="003D510C">
        <w:t>4.4 below</w:t>
      </w:r>
      <w:r w:rsidR="005933FC" w:rsidRPr="00BB1E47">
        <w:fldChar w:fldCharType="end"/>
      </w:r>
      <w:r w:rsidRPr="00BB1E47">
        <w:t xml:space="preserve">). </w:t>
      </w:r>
    </w:p>
    <w:p w14:paraId="7DFC9E68" w14:textId="1C1F9C0E" w:rsidR="008C1CA0" w:rsidRPr="00BB1E47" w:rsidRDefault="008C1CA0" w:rsidP="00B37D1A">
      <w:pPr>
        <w:pStyle w:val="Body"/>
        <w:numPr>
          <w:ilvl w:val="0"/>
          <w:numId w:val="14"/>
        </w:numPr>
      </w:pPr>
      <w:r w:rsidRPr="00BB1E47">
        <w:t>As this section shows, the department does not directly commission NEPT services and the main levers it employs in relation to NEPT are regulatory.</w:t>
      </w:r>
    </w:p>
    <w:p w14:paraId="5F55E9DA" w14:textId="77777777" w:rsidR="008C1CA0" w:rsidRPr="00BB1E47" w:rsidRDefault="008C1CA0" w:rsidP="00BB17D3">
      <w:pPr>
        <w:pStyle w:val="Heading3"/>
      </w:pPr>
      <w:r w:rsidRPr="00BB1E47">
        <w:t>The department’s main role in relation to NEPT services is a regulatory one</w:t>
      </w:r>
    </w:p>
    <w:p w14:paraId="7DF93A84" w14:textId="547AB438" w:rsidR="008C1CA0" w:rsidRPr="00BB1E47" w:rsidRDefault="008C1CA0" w:rsidP="008C1CA0">
      <w:pPr>
        <w:pStyle w:val="Bullet1"/>
        <w:numPr>
          <w:ilvl w:val="0"/>
          <w:numId w:val="10"/>
        </w:numPr>
      </w:pPr>
      <w:r w:rsidRPr="00BB1E47">
        <w:t xml:space="preserve">The department’s regulatory powers are based on three instruments: the </w:t>
      </w:r>
      <w:r w:rsidRPr="00BB1E47">
        <w:rPr>
          <w:rStyle w:val="Emphasis"/>
        </w:rPr>
        <w:t xml:space="preserve">Non-Emergency Patient Transport and First Aid Services Act 2003 </w:t>
      </w:r>
      <w:r w:rsidRPr="00BB1E47">
        <w:t xml:space="preserve">(the Act), the Non-Emergency Patient Transport Regulations 2016 (the Regulations) and the Non-Emergency Patient Transport Clinical Practice Protocols </w:t>
      </w:r>
      <w:r w:rsidR="00F70A1A" w:rsidRPr="00BB1E47">
        <w:t>20</w:t>
      </w:r>
      <w:r w:rsidR="00921950" w:rsidRPr="00BB1E47">
        <w:t>23</w:t>
      </w:r>
      <w:r w:rsidRPr="00BB1E47">
        <w:t xml:space="preserve"> edition</w:t>
      </w:r>
      <w:r w:rsidR="00F70A1A" w:rsidRPr="00BB1E47">
        <w:t xml:space="preserve">. </w:t>
      </w:r>
    </w:p>
    <w:p w14:paraId="5D46D07D" w14:textId="7A0CDC6F" w:rsidR="008C1CA0" w:rsidRPr="00BB1E47" w:rsidRDefault="008C1CA0" w:rsidP="008C1CA0">
      <w:pPr>
        <w:pStyle w:val="Bullet1"/>
      </w:pPr>
      <w:r w:rsidRPr="00BB1E47">
        <w:t xml:space="preserve">With these powers, the department determines who can provide NEPT services </w:t>
      </w:r>
      <w:r w:rsidR="00F13923" w:rsidRPr="00BB1E47">
        <w:t xml:space="preserve">by </w:t>
      </w:r>
      <w:r w:rsidR="00446F87" w:rsidRPr="00BB1E47">
        <w:t xml:space="preserve">granting </w:t>
      </w:r>
      <w:r w:rsidRPr="00BB1E47">
        <w:t>NEPT licences,</w:t>
      </w:r>
      <w:r w:rsidRPr="00BB1E47">
        <w:rPr>
          <w:rStyle w:val="FootnoteReference"/>
        </w:rPr>
        <w:footnoteReference w:id="17"/>
      </w:r>
      <w:r w:rsidRPr="00BB1E47">
        <w:t xml:space="preserve"> </w:t>
      </w:r>
      <w:r w:rsidR="00BE52FD" w:rsidRPr="00BB1E47">
        <w:t xml:space="preserve">and </w:t>
      </w:r>
      <w:r w:rsidRPr="00BB1E47">
        <w:t xml:space="preserve">the regulatory framework </w:t>
      </w:r>
      <w:r w:rsidR="007914D1" w:rsidRPr="00BB1E47">
        <w:t>prescrib</w:t>
      </w:r>
      <w:r w:rsidR="00BE52FD" w:rsidRPr="00BB1E47">
        <w:t>es</w:t>
      </w:r>
      <w:r w:rsidRPr="00BB1E47">
        <w:t xml:space="preserve"> standards for NEPT</w:t>
      </w:r>
      <w:r w:rsidR="008B1D6B" w:rsidRPr="00BB1E47">
        <w:t xml:space="preserve"> services</w:t>
      </w:r>
      <w:r w:rsidR="007914D1" w:rsidRPr="00BB1E47">
        <w:t>.</w:t>
      </w:r>
      <w:r w:rsidRPr="00BB1E47">
        <w:t xml:space="preserve"> This includes the minimum and maximum patient acuity that can be serviced with NEPT, how patients </w:t>
      </w:r>
      <w:r w:rsidR="0002392B" w:rsidRPr="00BB1E47">
        <w:t>are</w:t>
      </w:r>
      <w:r w:rsidRPr="00BB1E47">
        <w:t xml:space="preserve"> </w:t>
      </w:r>
      <w:proofErr w:type="gramStart"/>
      <w:r w:rsidRPr="00BB1E47">
        <w:t>transported</w:t>
      </w:r>
      <w:proofErr w:type="gramEnd"/>
      <w:r w:rsidRPr="00BB1E47">
        <w:t xml:space="preserve"> and vehicles staffed, accreditation and quality assurance, vehicles and equipment, and infection control.</w:t>
      </w:r>
    </w:p>
    <w:p w14:paraId="00B9330A" w14:textId="5A7177E6" w:rsidR="008C1CA0" w:rsidRPr="00BB1E47" w:rsidRDefault="008C1CA0" w:rsidP="008C1CA0">
      <w:pPr>
        <w:pStyle w:val="Bullet1"/>
      </w:pPr>
      <w:r w:rsidRPr="00BB1E47">
        <w:lastRenderedPageBreak/>
        <w:t>The department is also responsible for holding providers to account for complying with regulations. It does this using a combination of education, assessments, and statutory enforcement powers. Compliance is monitored proactively through snap inspections</w:t>
      </w:r>
      <w:r w:rsidR="00DE5F2A" w:rsidRPr="00BB1E47">
        <w:t>,</w:t>
      </w:r>
      <w:r w:rsidR="00C1362B" w:rsidRPr="00BB1E47">
        <w:t xml:space="preserve"> </w:t>
      </w:r>
      <w:r w:rsidRPr="00BB1E47">
        <w:t>standardised assessments during licence renewal periods, and reactively in response to complaints. Administrative action (notice to comply, notice to produce and licence suspensions) is the primary mechanism to enforce compliance.</w:t>
      </w:r>
      <w:r w:rsidRPr="00BB1E47">
        <w:rPr>
          <w:rStyle w:val="FootnoteReference"/>
        </w:rPr>
        <w:footnoteReference w:id="18"/>
      </w:r>
      <w:r w:rsidRPr="00BB1E47">
        <w:t xml:space="preserve"> </w:t>
      </w:r>
    </w:p>
    <w:p w14:paraId="5BE7C220" w14:textId="77777777" w:rsidR="008C1CA0" w:rsidRPr="00BB1E47" w:rsidRDefault="008C1CA0" w:rsidP="00BB17D3">
      <w:pPr>
        <w:pStyle w:val="Heading3"/>
      </w:pPr>
      <w:bookmarkStart w:id="24" w:name="_Toc134633526"/>
      <w:r w:rsidRPr="00BB1E47">
        <w:t>The department does not directly purchase NEPT services</w:t>
      </w:r>
      <w:bookmarkEnd w:id="24"/>
      <w:r w:rsidRPr="00BB1E47">
        <w:t xml:space="preserve"> </w:t>
      </w:r>
    </w:p>
    <w:p w14:paraId="650F2801" w14:textId="77777777" w:rsidR="008C1CA0" w:rsidRPr="00BB1E47" w:rsidRDefault="008C1CA0" w:rsidP="008C1CA0">
      <w:pPr>
        <w:pStyle w:val="Bullet1"/>
      </w:pPr>
      <w:r w:rsidRPr="00BB1E47">
        <w:t xml:space="preserve">The department does not directly purchase NEPT services. Instead, it funds AV and public health services, who may then use the funding to contract NEPT services. </w:t>
      </w:r>
    </w:p>
    <w:p w14:paraId="117EA6A0" w14:textId="4279E542" w:rsidR="008C1CA0" w:rsidRPr="00BB1E47" w:rsidRDefault="008C1CA0" w:rsidP="008C1CA0">
      <w:pPr>
        <w:pStyle w:val="Bullet2"/>
      </w:pPr>
      <w:r w:rsidRPr="00BB1E47">
        <w:t xml:space="preserve">AV receives </w:t>
      </w:r>
      <w:r w:rsidR="00903592">
        <w:t>funding</w:t>
      </w:r>
      <w:r w:rsidRPr="00BB1E47">
        <w:t xml:space="preserve"> from DH for both emergency (ambulance</w:t>
      </w:r>
      <w:r w:rsidR="008F326A">
        <w:t xml:space="preserve"> and </w:t>
      </w:r>
      <w:r w:rsidR="00CC0325">
        <w:t>air ambulance</w:t>
      </w:r>
      <w:r w:rsidRPr="00BB1E47">
        <w:t>) and non-emergency (NEPT and other) services</w:t>
      </w:r>
      <w:r w:rsidR="00F438E9">
        <w:t>.</w:t>
      </w:r>
    </w:p>
    <w:p w14:paraId="42CB100E" w14:textId="4EFF1BCC" w:rsidR="008C1CA0" w:rsidRPr="00BB1E47" w:rsidRDefault="008C1CA0" w:rsidP="008C1CA0">
      <w:pPr>
        <w:pStyle w:val="Bullet2"/>
      </w:pPr>
      <w:r w:rsidRPr="00BB1E47">
        <w:t xml:space="preserve">Health services receive activity-based funding from DH, which is to cover </w:t>
      </w:r>
      <w:proofErr w:type="gramStart"/>
      <w:r w:rsidRPr="00BB1E47">
        <w:t>all of</w:t>
      </w:r>
      <w:proofErr w:type="gramEnd"/>
      <w:r w:rsidRPr="00BB1E47">
        <w:t xml:space="preserve"> the costs associated with patient care including the transport of patients.</w:t>
      </w:r>
    </w:p>
    <w:p w14:paraId="0333D151" w14:textId="27A440B0" w:rsidR="008C1CA0" w:rsidRPr="00BB1E47" w:rsidRDefault="008C1CA0">
      <w:pPr>
        <w:pStyle w:val="Bullet1"/>
      </w:pPr>
      <w:r w:rsidRPr="00BB1E47">
        <w:t xml:space="preserve">This funding ensures that eligible patients with concession cards in Victoria do not incur any charge when using </w:t>
      </w:r>
      <w:r w:rsidR="00816FE1" w:rsidRPr="00BB1E47">
        <w:t>clinically</w:t>
      </w:r>
      <w:r w:rsidR="00CB4404" w:rsidRPr="00BB1E47">
        <w:t xml:space="preserve"> </w:t>
      </w:r>
      <w:r w:rsidR="00816FE1" w:rsidRPr="00BB1E47">
        <w:t>necessary</w:t>
      </w:r>
      <w:r w:rsidR="00796E44" w:rsidRPr="00BB1E47">
        <w:t xml:space="preserve"> </w:t>
      </w:r>
      <w:r w:rsidRPr="00BB1E47">
        <w:t>NEPT services. Patients who are not eligible for concession cards and are not covered by other arrangements such as the Membership Subscription Scheme or W</w:t>
      </w:r>
      <w:r w:rsidR="00C904A3">
        <w:t>orkSafe</w:t>
      </w:r>
      <w:r w:rsidRPr="00BB1E47">
        <w:t xml:space="preserve"> are charged in line with the Ambulance Services Payment Guidelines.</w:t>
      </w:r>
      <w:r w:rsidRPr="00BB1E47">
        <w:rPr>
          <w:rStyle w:val="FootnoteReference"/>
        </w:rPr>
        <w:footnoteReference w:id="19"/>
      </w:r>
    </w:p>
    <w:p w14:paraId="74943E99" w14:textId="1A8D3B59" w:rsidR="00DD7F5C" w:rsidRPr="00BB1E47" w:rsidRDefault="00DD7F5C" w:rsidP="00BB17D3">
      <w:pPr>
        <w:pStyle w:val="Heading3"/>
      </w:pPr>
      <w:proofErr w:type="spellStart"/>
      <w:r w:rsidRPr="00BB1E47">
        <w:t>HealthShare</w:t>
      </w:r>
      <w:proofErr w:type="spellEnd"/>
      <w:r w:rsidRPr="00BB1E47">
        <w:t xml:space="preserve"> Victoria facilitates contracting</w:t>
      </w:r>
      <w:r w:rsidR="007F18EE" w:rsidRPr="00BB1E47">
        <w:t xml:space="preserve">, but not </w:t>
      </w:r>
      <w:proofErr w:type="gramStart"/>
      <w:r w:rsidR="007F18EE" w:rsidRPr="00BB1E47">
        <w:t>bulk-purchas</w:t>
      </w:r>
      <w:r w:rsidR="004C5FD4" w:rsidRPr="00BB1E47">
        <w:t>ing</w:t>
      </w:r>
      <w:proofErr w:type="gramEnd"/>
      <w:r w:rsidR="004C5FD4" w:rsidRPr="00BB1E47">
        <w:t xml:space="preserve">, of </w:t>
      </w:r>
      <w:r w:rsidR="007F18EE" w:rsidRPr="00BB1E47">
        <w:t>NEPT</w:t>
      </w:r>
    </w:p>
    <w:p w14:paraId="3D494BD9" w14:textId="4A8CEA63" w:rsidR="00F5643E" w:rsidRPr="00BB1E47" w:rsidRDefault="004C5FD4" w:rsidP="008C1CA0">
      <w:pPr>
        <w:pStyle w:val="Bullet1"/>
      </w:pPr>
      <w:r w:rsidRPr="00BB1E47">
        <w:t>As noted above,</w:t>
      </w:r>
      <w:r w:rsidR="008C1CA0" w:rsidRPr="00BB1E47">
        <w:t xml:space="preserve"> </w:t>
      </w:r>
      <w:r w:rsidR="00B24055" w:rsidRPr="00BB1E47">
        <w:t xml:space="preserve">the </w:t>
      </w:r>
      <w:r w:rsidR="00C454B9">
        <w:t>purchasing</w:t>
      </w:r>
      <w:r w:rsidR="008C1CA0" w:rsidRPr="00BB1E47">
        <w:t xml:space="preserve"> and </w:t>
      </w:r>
      <w:r w:rsidR="00B24055" w:rsidRPr="00BB1E47">
        <w:t>performance management</w:t>
      </w:r>
      <w:r w:rsidR="008C1CA0" w:rsidRPr="00BB1E47">
        <w:t xml:space="preserve"> of contracted NEPT services is decentralised</w:t>
      </w:r>
      <w:r w:rsidRPr="00BB1E47">
        <w:t xml:space="preserve"> to health services and </w:t>
      </w:r>
      <w:r w:rsidR="00F5643E" w:rsidRPr="00BB1E47">
        <w:t>AV.</w:t>
      </w:r>
    </w:p>
    <w:p w14:paraId="75F1B6F0" w14:textId="15F64782" w:rsidR="008C1CA0" w:rsidRPr="00BB1E47" w:rsidRDefault="00F5643E" w:rsidP="008C1CA0">
      <w:pPr>
        <w:pStyle w:val="Bullet1"/>
      </w:pPr>
      <w:r w:rsidRPr="00BB1E47">
        <w:t xml:space="preserve">However, </w:t>
      </w:r>
      <w:r w:rsidR="008C1CA0" w:rsidRPr="00BB1E47">
        <w:t xml:space="preserve">a centralised contracting approach </w:t>
      </w:r>
      <w:r w:rsidRPr="00BB1E47">
        <w:t xml:space="preserve">is </w:t>
      </w:r>
      <w:r w:rsidR="008C1CA0" w:rsidRPr="00BB1E47">
        <w:t>run</w:t>
      </w:r>
      <w:r w:rsidRPr="00BB1E47">
        <w:t xml:space="preserve"> for health services</w:t>
      </w:r>
      <w:r w:rsidR="008C1CA0" w:rsidRPr="00BB1E47">
        <w:t xml:space="preserve"> by </w:t>
      </w:r>
      <w:proofErr w:type="spellStart"/>
      <w:r w:rsidR="008C1CA0" w:rsidRPr="00BB1E47">
        <w:t>HealthShare</w:t>
      </w:r>
      <w:proofErr w:type="spellEnd"/>
      <w:r w:rsidR="008C1CA0" w:rsidRPr="00BB1E47">
        <w:t xml:space="preserve"> Victoria (HSV). </w:t>
      </w:r>
    </w:p>
    <w:p w14:paraId="5503FCF7" w14:textId="06A7DA2D" w:rsidR="008C1CA0" w:rsidRPr="00BB1E47" w:rsidRDefault="008C1CA0" w:rsidP="008C1CA0">
      <w:pPr>
        <w:pStyle w:val="Bullet2"/>
      </w:pPr>
      <w:r w:rsidRPr="00BB1E47">
        <w:t xml:space="preserve">HSV is responsible for </w:t>
      </w:r>
      <w:r w:rsidR="006F27B8" w:rsidRPr="00BB1E47">
        <w:t>procurement and contracting negotiations</w:t>
      </w:r>
      <w:r w:rsidRPr="00BB1E47">
        <w:t xml:space="preserve"> on behalf of all health services, to maximise their collective purchasing power and </w:t>
      </w:r>
      <w:r w:rsidRPr="00BB1E47">
        <w:rPr>
          <w:rFonts w:cs="Arial"/>
          <w:color w:val="000000"/>
          <w:shd w:val="clear" w:color="auto" w:fill="FFFFFF"/>
        </w:rPr>
        <w:t xml:space="preserve">achieve greater value in the procurement of </w:t>
      </w:r>
      <w:r w:rsidR="0075023B" w:rsidRPr="00BB1E47">
        <w:rPr>
          <w:rFonts w:cs="Arial"/>
          <w:color w:val="000000"/>
          <w:shd w:val="clear" w:color="auto" w:fill="FFFFFF"/>
        </w:rPr>
        <w:t xml:space="preserve">a range of </w:t>
      </w:r>
      <w:r w:rsidRPr="00BB1E47">
        <w:rPr>
          <w:rFonts w:cs="Arial"/>
          <w:color w:val="000000"/>
          <w:shd w:val="clear" w:color="auto" w:fill="FFFFFF"/>
        </w:rPr>
        <w:t xml:space="preserve">goods, </w:t>
      </w:r>
      <w:proofErr w:type="gramStart"/>
      <w:r w:rsidRPr="00BB1E47">
        <w:rPr>
          <w:rFonts w:cs="Arial"/>
          <w:color w:val="000000"/>
          <w:shd w:val="clear" w:color="auto" w:fill="FFFFFF"/>
        </w:rPr>
        <w:t>services</w:t>
      </w:r>
      <w:proofErr w:type="gramEnd"/>
      <w:r w:rsidRPr="00BB1E47">
        <w:rPr>
          <w:rFonts w:cs="Arial"/>
          <w:color w:val="000000"/>
          <w:shd w:val="clear" w:color="auto" w:fill="FFFFFF"/>
        </w:rPr>
        <w:t xml:space="preserve"> and equipment </w:t>
      </w:r>
      <w:r w:rsidR="0075023B" w:rsidRPr="00BB1E47">
        <w:rPr>
          <w:rFonts w:cs="Arial"/>
          <w:color w:val="000000"/>
          <w:shd w:val="clear" w:color="auto" w:fill="FFFFFF"/>
        </w:rPr>
        <w:t xml:space="preserve">that </w:t>
      </w:r>
      <w:r w:rsidRPr="00BB1E47">
        <w:rPr>
          <w:rFonts w:cs="Arial"/>
          <w:color w:val="000000"/>
          <w:shd w:val="clear" w:color="auto" w:fill="FFFFFF"/>
        </w:rPr>
        <w:t>health services need</w:t>
      </w:r>
      <w:r w:rsidR="004D7CF1" w:rsidRPr="00BB1E47">
        <w:rPr>
          <w:rFonts w:cs="Arial"/>
          <w:color w:val="000000"/>
          <w:shd w:val="clear" w:color="auto" w:fill="FFFFFF"/>
        </w:rPr>
        <w:t>, including NEPT</w:t>
      </w:r>
      <w:r w:rsidRPr="00BB1E47">
        <w:rPr>
          <w:rFonts w:cs="Arial"/>
          <w:color w:val="000000"/>
          <w:shd w:val="clear" w:color="auto" w:fill="FFFFFF"/>
        </w:rPr>
        <w:t>.</w:t>
      </w:r>
    </w:p>
    <w:p w14:paraId="4FDDF977" w14:textId="77777777" w:rsidR="00BB1251" w:rsidRPr="00BB1E47" w:rsidRDefault="008C1CA0" w:rsidP="00BB1251">
      <w:pPr>
        <w:pStyle w:val="Bullet1"/>
      </w:pPr>
      <w:r w:rsidRPr="00BB1E47">
        <w:rPr>
          <w:color w:val="000000"/>
          <w:shd w:val="clear" w:color="auto" w:fill="FFFFFF"/>
        </w:rPr>
        <w:t xml:space="preserve">HSV has established a state-wide contract with a panel of </w:t>
      </w:r>
      <w:r w:rsidRPr="00BB1E47">
        <w:t xml:space="preserve">four NEPT providers. </w:t>
      </w:r>
    </w:p>
    <w:p w14:paraId="0947D85C" w14:textId="09511547" w:rsidR="00127C45" w:rsidRPr="00BB1E47" w:rsidRDefault="00127C45" w:rsidP="00127C45">
      <w:pPr>
        <w:pStyle w:val="Bullet2"/>
        <w:rPr>
          <w:rFonts w:cs="Arial"/>
        </w:rPr>
      </w:pPr>
      <w:r w:rsidRPr="00BB1E47">
        <w:rPr>
          <w:rFonts w:cs="Arial"/>
        </w:rPr>
        <w:t xml:space="preserve">Health services are free to choose which provider(s) on the panel they wish to work with. </w:t>
      </w:r>
      <w:r w:rsidRPr="00BB1E47">
        <w:rPr>
          <w:rFonts w:cs="Arial"/>
          <w:color w:val="000000"/>
          <w:shd w:val="clear" w:color="auto" w:fill="FFFFFF"/>
        </w:rPr>
        <w:t xml:space="preserve">They </w:t>
      </w:r>
      <w:r w:rsidRPr="00BB1E47">
        <w:rPr>
          <w:rFonts w:cs="Arial"/>
        </w:rPr>
        <w:t xml:space="preserve">may engage a provider using the HSV </w:t>
      </w:r>
      <w:proofErr w:type="gramStart"/>
      <w:r w:rsidRPr="00BB1E47">
        <w:rPr>
          <w:rFonts w:cs="Arial"/>
        </w:rPr>
        <w:t>contract, or</w:t>
      </w:r>
      <w:proofErr w:type="gramEnd"/>
      <w:r w:rsidRPr="00BB1E47">
        <w:rPr>
          <w:rFonts w:cs="Arial"/>
        </w:rPr>
        <w:t xml:space="preserve"> develop a local service agreement with the provider that builds on the state-wide contract and adds, for example, additional local key performance indicators</w:t>
      </w:r>
      <w:r w:rsidR="003238BC" w:rsidRPr="00BB1E47">
        <w:rPr>
          <w:rFonts w:cs="Arial"/>
        </w:rPr>
        <w:t>, and/or local volume-based discounts if the health service</w:t>
      </w:r>
      <w:r w:rsidR="003F47A2" w:rsidRPr="00BB1E47">
        <w:rPr>
          <w:rFonts w:cs="Arial"/>
        </w:rPr>
        <w:t xml:space="preserve">’s NEPT use </w:t>
      </w:r>
      <w:r w:rsidR="003238BC" w:rsidRPr="00BB1E47">
        <w:rPr>
          <w:rFonts w:cs="Arial"/>
        </w:rPr>
        <w:t xml:space="preserve">reaches a given volume. </w:t>
      </w:r>
    </w:p>
    <w:p w14:paraId="103E07B9" w14:textId="0E8D8B31" w:rsidR="00024677" w:rsidRPr="00BB1E47" w:rsidRDefault="00024677" w:rsidP="00024677">
      <w:pPr>
        <w:pStyle w:val="Bullet2"/>
        <w:rPr>
          <w:rFonts w:cs="Arial"/>
        </w:rPr>
      </w:pPr>
      <w:r w:rsidRPr="00BB1E47">
        <w:rPr>
          <w:rFonts w:cs="Arial"/>
          <w:color w:val="000000"/>
          <w:shd w:val="clear" w:color="auto" w:fill="FFFFFF"/>
        </w:rPr>
        <w:t>AV is not required to use the state-wide panel and manages its own procurement and contracting of NEPT services with providers directly.</w:t>
      </w:r>
    </w:p>
    <w:p w14:paraId="1B3103FC" w14:textId="19B6ACDE" w:rsidR="004B094E" w:rsidRPr="00BB1E47" w:rsidRDefault="004B094E" w:rsidP="004B094E">
      <w:pPr>
        <w:pStyle w:val="Bullet1"/>
      </w:pPr>
      <w:r w:rsidRPr="00BB1E47">
        <w:rPr>
          <w:color w:val="000000"/>
          <w:shd w:val="clear" w:color="auto" w:fill="FFFFFF"/>
        </w:rPr>
        <w:t xml:space="preserve">HSV contracts offer concessional pricing, but </w:t>
      </w:r>
      <w:r w:rsidR="00BD16BF" w:rsidRPr="00BB1E47">
        <w:rPr>
          <w:color w:val="000000"/>
          <w:shd w:val="clear" w:color="auto" w:fill="FFFFFF"/>
        </w:rPr>
        <w:t xml:space="preserve">stops short of </w:t>
      </w:r>
      <w:r w:rsidRPr="00BB1E47">
        <w:rPr>
          <w:color w:val="000000"/>
          <w:shd w:val="clear" w:color="auto" w:fill="FFFFFF"/>
        </w:rPr>
        <w:t xml:space="preserve">bulk-purchasing </w:t>
      </w:r>
    </w:p>
    <w:p w14:paraId="65B6B04E" w14:textId="77777777" w:rsidR="00BD16BF" w:rsidRPr="00BB1E47" w:rsidRDefault="00D564CB" w:rsidP="00D564CB">
      <w:pPr>
        <w:pStyle w:val="Bullet2"/>
      </w:pPr>
      <w:r w:rsidRPr="00BB1E47">
        <w:t xml:space="preserve">The HSV contract saves health services from having to work through their own procurement processes for NEPT, reducing duplication of administrative costs. </w:t>
      </w:r>
    </w:p>
    <w:p w14:paraId="30E48BA1" w14:textId="6F651BC7" w:rsidR="00D564CB" w:rsidRPr="00BB1E47" w:rsidRDefault="00BD16BF" w:rsidP="00D564CB">
      <w:pPr>
        <w:pStyle w:val="Bullet2"/>
      </w:pPr>
      <w:r w:rsidRPr="00BB1E47">
        <w:t xml:space="preserve">The contract also </w:t>
      </w:r>
      <w:r w:rsidR="00C75E4C" w:rsidRPr="00BB1E47">
        <w:t xml:space="preserve">achieves </w:t>
      </w:r>
      <w:r w:rsidR="00D564CB" w:rsidRPr="00BB1E47">
        <w:t>concessional pricing</w:t>
      </w:r>
      <w:r w:rsidR="00C75E4C" w:rsidRPr="00BB1E47">
        <w:t>, but not the volume-based discounts that can be achieved under a bulk-purchasing</w:t>
      </w:r>
      <w:r w:rsidR="00D564CB" w:rsidRPr="00BB1E47">
        <w:t xml:space="preserve"> </w:t>
      </w:r>
      <w:r w:rsidR="00C75E4C" w:rsidRPr="00BB1E47">
        <w:t>agreement.</w:t>
      </w:r>
    </w:p>
    <w:p w14:paraId="1BD3666B" w14:textId="64FEE285" w:rsidR="00386123" w:rsidRPr="00BB1E47" w:rsidRDefault="00932D0C" w:rsidP="00D564CB">
      <w:pPr>
        <w:pStyle w:val="Bullet2"/>
      </w:pPr>
      <w:r w:rsidRPr="00BB1E47">
        <w:t>Bulk-purchasing agreements have been negotiated by HSV for some services it procures for health services</w:t>
      </w:r>
      <w:r w:rsidR="00386123" w:rsidRPr="00BB1E47">
        <w:t xml:space="preserve"> (</w:t>
      </w:r>
      <w:r w:rsidRPr="00BB1E47">
        <w:t>such as waste management</w:t>
      </w:r>
      <w:r w:rsidR="00386123" w:rsidRPr="00BB1E47">
        <w:t xml:space="preserve">, </w:t>
      </w:r>
      <w:r w:rsidRPr="00BB1E47">
        <w:t xml:space="preserve">where </w:t>
      </w:r>
      <w:r w:rsidR="00386123" w:rsidRPr="00BB1E47">
        <w:t>successful bidders are awarded geographic zones in which they are the primary provider).</w:t>
      </w:r>
    </w:p>
    <w:p w14:paraId="23CD23B1" w14:textId="4309B9A9" w:rsidR="008E472E" w:rsidRPr="00BB1E47" w:rsidRDefault="00386123" w:rsidP="003F47A2">
      <w:pPr>
        <w:pStyle w:val="Bullet2"/>
      </w:pPr>
      <w:r w:rsidRPr="00BB1E47">
        <w:lastRenderedPageBreak/>
        <w:t xml:space="preserve">Under the HSV NEPT contract, health services retain </w:t>
      </w:r>
      <w:r w:rsidR="004D0F21">
        <w:t xml:space="preserve">the </w:t>
      </w:r>
      <w:r w:rsidRPr="00BB1E47">
        <w:t xml:space="preserve">choice of NEPT provider </w:t>
      </w:r>
      <w:r w:rsidR="00750275" w:rsidRPr="00BB1E47">
        <w:t xml:space="preserve">and the ability to switch between them, so that volumes for providers are not guaranteed. </w:t>
      </w:r>
    </w:p>
    <w:p w14:paraId="0CA6A0E3" w14:textId="5D8B606E" w:rsidR="008C1CA0" w:rsidRPr="00BB1E47" w:rsidRDefault="00E7344C" w:rsidP="00E9640E">
      <w:pPr>
        <w:pStyle w:val="Heading2"/>
      </w:pPr>
      <w:bookmarkStart w:id="25" w:name="_Toc136433482"/>
      <w:bookmarkStart w:id="26" w:name="_Ref134278950"/>
      <w:bookmarkStart w:id="27" w:name="_Toc134633527"/>
      <w:r w:rsidRPr="00BB1E47">
        <w:t>There are multiple p</w:t>
      </w:r>
      <w:r w:rsidR="008C1CA0" w:rsidRPr="00BB1E47">
        <w:t>urchasing arrangements for NEPT</w:t>
      </w:r>
      <w:bookmarkEnd w:id="25"/>
      <w:r w:rsidR="008C1CA0" w:rsidRPr="00BB1E47">
        <w:t xml:space="preserve"> </w:t>
      </w:r>
      <w:bookmarkEnd w:id="26"/>
      <w:bookmarkEnd w:id="27"/>
    </w:p>
    <w:p w14:paraId="43892CFD" w14:textId="79891B13" w:rsidR="00C12D0F" w:rsidRDefault="00C12D0F" w:rsidP="00C64C0D">
      <w:pPr>
        <w:pStyle w:val="Bullet1"/>
        <w:numPr>
          <w:ilvl w:val="0"/>
          <w:numId w:val="10"/>
        </w:numPr>
        <w:rPr>
          <w:rStyle w:val="normaltextrun"/>
        </w:rPr>
      </w:pPr>
      <w:r>
        <w:rPr>
          <w:rStyle w:val="normaltextrun"/>
        </w:rPr>
        <w:t xml:space="preserve">AV and health services are both responsible for securing NEPT services for patients. </w:t>
      </w:r>
      <w:r w:rsidR="00857E2D">
        <w:rPr>
          <w:rStyle w:val="normaltextrun"/>
        </w:rPr>
        <w:t>7</w:t>
      </w:r>
      <w:r w:rsidR="00EF5093">
        <w:rPr>
          <w:rStyle w:val="normaltextrun"/>
        </w:rPr>
        <w:t>0</w:t>
      </w:r>
      <w:r>
        <w:rPr>
          <w:rStyle w:val="normaltextrun"/>
        </w:rPr>
        <w:t>% of NEPT services sit under AV</w:t>
      </w:r>
      <w:r w:rsidR="000B532C">
        <w:rPr>
          <w:rStyle w:val="normaltextrun"/>
        </w:rPr>
        <w:t xml:space="preserve"> (</w:t>
      </w:r>
      <w:r>
        <w:rPr>
          <w:rStyle w:val="normaltextrun"/>
        </w:rPr>
        <w:t xml:space="preserve">which </w:t>
      </w:r>
      <w:r w:rsidR="000B532C">
        <w:rPr>
          <w:rStyle w:val="normaltextrun"/>
        </w:rPr>
        <w:t>delivers some of these directly but secures most through outsourcing arrangements). Health services are responsible for the remaining</w:t>
      </w:r>
      <w:r w:rsidR="00EF5093">
        <w:rPr>
          <w:rStyle w:val="normaltextrun"/>
        </w:rPr>
        <w:t xml:space="preserve"> </w:t>
      </w:r>
      <w:r w:rsidR="00857E2D">
        <w:rPr>
          <w:rStyle w:val="normaltextrun"/>
        </w:rPr>
        <w:t>3</w:t>
      </w:r>
      <w:r w:rsidR="00EF5093">
        <w:rPr>
          <w:rStyle w:val="normaltextrun"/>
        </w:rPr>
        <w:t>0</w:t>
      </w:r>
      <w:r w:rsidR="000B532C">
        <w:rPr>
          <w:rStyle w:val="normaltextrun"/>
        </w:rPr>
        <w:t>% of all NEPT services.</w:t>
      </w:r>
      <w:r w:rsidR="00C64C0D" w:rsidRPr="00BB1E47">
        <w:rPr>
          <w:rStyle w:val="FootnoteReference"/>
        </w:rPr>
        <w:footnoteReference w:id="20"/>
      </w:r>
    </w:p>
    <w:p w14:paraId="407A455D" w14:textId="23BA053B" w:rsidR="008C1CA0" w:rsidRPr="00BB1E47" w:rsidRDefault="00566972" w:rsidP="008C1CA0">
      <w:pPr>
        <w:pStyle w:val="Bullet1"/>
        <w:numPr>
          <w:ilvl w:val="0"/>
          <w:numId w:val="10"/>
        </w:numPr>
        <w:rPr>
          <w:rStyle w:val="normaltextrun"/>
        </w:rPr>
      </w:pPr>
      <w:r w:rsidRPr="00BB1E47">
        <w:rPr>
          <w:rStyle w:val="normaltextrun"/>
        </w:rPr>
        <w:t>T</w:t>
      </w:r>
      <w:r w:rsidR="008C1CA0" w:rsidRPr="00BB1E47">
        <w:rPr>
          <w:rStyle w:val="normaltextrun"/>
        </w:rPr>
        <w:t xml:space="preserve">he split of responsibilities between AV and health services has been criticised as overly complex. </w:t>
      </w:r>
    </w:p>
    <w:p w14:paraId="2DC3E903" w14:textId="13EE7A24" w:rsidR="008C1CA0" w:rsidRPr="00BB1E47" w:rsidRDefault="008C1CA0" w:rsidP="008C1CA0">
      <w:pPr>
        <w:pStyle w:val="Bullet1"/>
        <w:numPr>
          <w:ilvl w:val="0"/>
          <w:numId w:val="10"/>
        </w:numPr>
        <w:rPr>
          <w:rStyle w:val="normaltextrun"/>
        </w:rPr>
      </w:pPr>
      <w:r w:rsidRPr="00BB1E47">
        <w:rPr>
          <w:rStyle w:val="normaltextrun"/>
        </w:rPr>
        <w:t>AV purchases all unplanned NEPT</w:t>
      </w:r>
      <w:r w:rsidR="00DB1B47">
        <w:rPr>
          <w:rStyle w:val="normaltextrun"/>
        </w:rPr>
        <w:t xml:space="preserve"> (w</w:t>
      </w:r>
      <w:r w:rsidR="00B90483">
        <w:rPr>
          <w:rStyle w:val="normaltextrun"/>
        </w:rPr>
        <w:t>hich it then either subcontracts or delivers internally)</w:t>
      </w:r>
      <w:r w:rsidRPr="00BB1E47">
        <w:rPr>
          <w:rStyle w:val="normaltextrun"/>
        </w:rPr>
        <w:t>, while health services and AV share responsibility for purchasing planned NEPT</w:t>
      </w:r>
      <w:r w:rsidRPr="00BB1E47" w:rsidDel="003E0617">
        <w:rPr>
          <w:rStyle w:val="normaltextrun"/>
        </w:rPr>
        <w:t>.</w:t>
      </w:r>
    </w:p>
    <w:p w14:paraId="388A1077" w14:textId="3B17A0AF" w:rsidR="004D3B89" w:rsidRPr="00BB1E47" w:rsidRDefault="008C1CA0" w:rsidP="008C1CA0">
      <w:pPr>
        <w:pStyle w:val="Bullet1"/>
        <w:rPr>
          <w:rStyle w:val="normaltextrun"/>
          <w:rFonts w:ascii="Times New Roman" w:eastAsia="Times New Roman" w:hAnsi="Times New Roman"/>
          <w:sz w:val="20"/>
          <w:lang w:eastAsia="en-AU"/>
        </w:rPr>
      </w:pPr>
      <w:r w:rsidRPr="00BB1E47">
        <w:rPr>
          <w:rStyle w:val="normaltextrun"/>
        </w:rPr>
        <w:t xml:space="preserve">The split of responsibilities for planned NEPT </w:t>
      </w:r>
      <w:r w:rsidR="00D03F4E" w:rsidRPr="00BB1E47">
        <w:rPr>
          <w:rStyle w:val="normaltextrun"/>
        </w:rPr>
        <w:t>varies depending</w:t>
      </w:r>
      <w:r w:rsidRPr="00BB1E47">
        <w:rPr>
          <w:rStyle w:val="normaltextrun"/>
        </w:rPr>
        <w:t xml:space="preserve"> on the type of patient and the direction of the transfer (see </w:t>
      </w:r>
      <w:r w:rsidR="00E32CFB" w:rsidRPr="00BB1E47">
        <w:rPr>
          <w:rStyle w:val="normaltextrun"/>
        </w:rPr>
        <w:fldChar w:fldCharType="begin"/>
      </w:r>
      <w:r w:rsidR="00E32CFB" w:rsidRPr="00BB1E47">
        <w:rPr>
          <w:rStyle w:val="normaltextrun"/>
        </w:rPr>
        <w:instrText xml:space="preserve"> REF _Ref135036338 \h </w:instrText>
      </w:r>
      <w:r w:rsidR="00BB1E47">
        <w:rPr>
          <w:rStyle w:val="normaltextrun"/>
        </w:rPr>
        <w:instrText xml:space="preserve"> \* MERGEFORMAT </w:instrText>
      </w:r>
      <w:r w:rsidR="00E32CFB" w:rsidRPr="00BB1E47">
        <w:rPr>
          <w:rStyle w:val="normaltextrun"/>
        </w:rPr>
      </w:r>
      <w:r w:rsidR="00E32CFB" w:rsidRPr="00BB1E47">
        <w:rPr>
          <w:rStyle w:val="normaltextrun"/>
        </w:rPr>
        <w:fldChar w:fldCharType="separate"/>
      </w:r>
      <w:r w:rsidR="003D510C" w:rsidRPr="00BB1E47">
        <w:t xml:space="preserve">Table </w:t>
      </w:r>
      <w:r w:rsidR="003D510C">
        <w:rPr>
          <w:bCs/>
          <w:noProof/>
          <w:sz w:val="22"/>
          <w:szCs w:val="22"/>
        </w:rPr>
        <w:t>3</w:t>
      </w:r>
      <w:r w:rsidR="00E32CFB" w:rsidRPr="00BB1E47">
        <w:rPr>
          <w:rStyle w:val="normaltextrun"/>
        </w:rPr>
        <w:fldChar w:fldCharType="end"/>
      </w:r>
      <w:r w:rsidR="00596DFA" w:rsidRPr="00BB1E47">
        <w:rPr>
          <w:rStyle w:val="normaltextrun"/>
        </w:rPr>
        <w:t xml:space="preserve"> </w:t>
      </w:r>
      <w:r w:rsidR="00596DFA" w:rsidRPr="00BB1E47">
        <w:rPr>
          <w:rStyle w:val="normaltextrun"/>
        </w:rPr>
        <w:fldChar w:fldCharType="begin"/>
      </w:r>
      <w:r w:rsidR="00596DFA" w:rsidRPr="00BB1E47">
        <w:rPr>
          <w:rStyle w:val="normaltextrun"/>
        </w:rPr>
        <w:instrText xml:space="preserve"> REF _Ref135678524 \p \h </w:instrText>
      </w:r>
      <w:r w:rsidR="00BB1E47">
        <w:rPr>
          <w:rStyle w:val="normaltextrun"/>
        </w:rPr>
        <w:instrText xml:space="preserve"> \* MERGEFORMAT </w:instrText>
      </w:r>
      <w:r w:rsidR="00596DFA" w:rsidRPr="00BB1E47">
        <w:rPr>
          <w:rStyle w:val="normaltextrun"/>
        </w:rPr>
      </w:r>
      <w:r w:rsidR="00596DFA" w:rsidRPr="00BB1E47">
        <w:rPr>
          <w:rStyle w:val="normaltextrun"/>
        </w:rPr>
        <w:fldChar w:fldCharType="separate"/>
      </w:r>
      <w:r w:rsidR="003D510C">
        <w:rPr>
          <w:rStyle w:val="normaltextrun"/>
        </w:rPr>
        <w:t>below</w:t>
      </w:r>
      <w:r w:rsidR="00596DFA" w:rsidRPr="00BB1E47">
        <w:rPr>
          <w:rStyle w:val="normaltextrun"/>
        </w:rPr>
        <w:fldChar w:fldCharType="end"/>
      </w:r>
      <w:r w:rsidR="004D3B89" w:rsidRPr="00BB1E47">
        <w:rPr>
          <w:rStyle w:val="normaltextrun"/>
        </w:rPr>
        <w:t>)</w:t>
      </w:r>
      <w:r w:rsidR="00384483">
        <w:rPr>
          <w:rStyle w:val="normaltextrun"/>
        </w:rPr>
        <w:t>.</w:t>
      </w:r>
    </w:p>
    <w:p w14:paraId="488C4BE5" w14:textId="6DC071A0" w:rsidR="004D3B89" w:rsidRPr="00BB1E47" w:rsidRDefault="004D3B89" w:rsidP="004D3B89">
      <w:pPr>
        <w:pStyle w:val="Bullet2"/>
        <w:rPr>
          <w:rStyle w:val="normaltextrun"/>
        </w:rPr>
      </w:pPr>
      <w:r w:rsidRPr="00BB1E47">
        <w:rPr>
          <w:rStyle w:val="normaltextrun"/>
        </w:rPr>
        <w:t>AV is the default purchaser of planned NEPT for patients with concession entitlements in most instances, and the purchaser of inter-hospital transfers by exception (</w:t>
      </w:r>
      <w:proofErr w:type="gramStart"/>
      <w:r w:rsidRPr="00BB1E47">
        <w:rPr>
          <w:rStyle w:val="normaltextrun"/>
        </w:rPr>
        <w:t>e.g.</w:t>
      </w:r>
      <w:proofErr w:type="gramEnd"/>
      <w:r w:rsidRPr="00BB1E47">
        <w:rPr>
          <w:rStyle w:val="normaltextrun"/>
        </w:rPr>
        <w:t xml:space="preserve"> for admitted patients under TAC/VWA schemes)</w:t>
      </w:r>
      <w:r w:rsidR="00384483">
        <w:rPr>
          <w:rStyle w:val="normaltextrun"/>
        </w:rPr>
        <w:t>.</w:t>
      </w:r>
      <w:r w:rsidR="00C44CED">
        <w:rPr>
          <w:rStyle w:val="FootnoteReference"/>
        </w:rPr>
        <w:footnoteReference w:id="21"/>
      </w:r>
      <w:r w:rsidRPr="00BB1E47">
        <w:rPr>
          <w:rStyle w:val="normaltextrun"/>
        </w:rPr>
        <w:t xml:space="preserve"> </w:t>
      </w:r>
    </w:p>
    <w:p w14:paraId="68D39186" w14:textId="35E1978A" w:rsidR="006E517F" w:rsidRPr="00BB1E47" w:rsidRDefault="004D3B89" w:rsidP="006E517F">
      <w:pPr>
        <w:pStyle w:val="Bullet2"/>
        <w:rPr>
          <w:rStyle w:val="normaltextrun"/>
        </w:rPr>
      </w:pPr>
      <w:r w:rsidRPr="00BB1E47">
        <w:rPr>
          <w:rStyle w:val="normaltextrun"/>
        </w:rPr>
        <w:t xml:space="preserve">Public health services are the purchasers of inter-hospital transfers in other instances. </w:t>
      </w:r>
    </w:p>
    <w:p w14:paraId="14E265C7" w14:textId="02573E54" w:rsidR="00B90483" w:rsidRPr="00BB1E47" w:rsidRDefault="00B90483" w:rsidP="00B90483">
      <w:pPr>
        <w:pStyle w:val="Bullet1"/>
        <w:rPr>
          <w:rStyle w:val="normaltextrun"/>
        </w:rPr>
      </w:pPr>
      <w:r>
        <w:rPr>
          <w:rStyle w:val="normaltextrun"/>
        </w:rPr>
        <w:t xml:space="preserve">In some </w:t>
      </w:r>
      <w:proofErr w:type="gramStart"/>
      <w:r>
        <w:rPr>
          <w:rStyle w:val="normaltextrun"/>
        </w:rPr>
        <w:t>cases</w:t>
      </w:r>
      <w:proofErr w:type="gramEnd"/>
      <w:r>
        <w:rPr>
          <w:rStyle w:val="normaltextrun"/>
        </w:rPr>
        <w:t xml:space="preserve"> </w:t>
      </w:r>
      <w:r w:rsidR="00E05154">
        <w:rPr>
          <w:rStyle w:val="normaltextrun"/>
        </w:rPr>
        <w:t xml:space="preserve">purchasing and payment responsibilities are </w:t>
      </w:r>
      <w:r w:rsidR="000C3138">
        <w:rPr>
          <w:rStyle w:val="normaltextrun"/>
        </w:rPr>
        <w:t xml:space="preserve">also </w:t>
      </w:r>
      <w:r w:rsidR="00E05154">
        <w:rPr>
          <w:rStyle w:val="normaltextrun"/>
        </w:rPr>
        <w:t>split</w:t>
      </w:r>
      <w:r w:rsidR="000C3138">
        <w:rPr>
          <w:rStyle w:val="normaltextrun"/>
        </w:rPr>
        <w:t>. F</w:t>
      </w:r>
      <w:r w:rsidR="00E05154">
        <w:rPr>
          <w:rStyle w:val="normaltextrun"/>
        </w:rPr>
        <w:t>or example</w:t>
      </w:r>
      <w:r w:rsidR="000C3138">
        <w:rPr>
          <w:rStyle w:val="normaltextrun"/>
        </w:rPr>
        <w:t>,</w:t>
      </w:r>
      <w:r w:rsidR="00E05154">
        <w:rPr>
          <w:rStyle w:val="normaltextrun"/>
        </w:rPr>
        <w:t xml:space="preserve"> </w:t>
      </w:r>
      <w:r w:rsidR="000A6EEE">
        <w:rPr>
          <w:rStyle w:val="normaltextrun"/>
        </w:rPr>
        <w:t xml:space="preserve">AV is responsible for purchasing </w:t>
      </w:r>
      <w:r w:rsidR="000C3138">
        <w:rPr>
          <w:rStyle w:val="normaltextrun"/>
        </w:rPr>
        <w:t xml:space="preserve">NEPT for patients covered by </w:t>
      </w:r>
      <w:r w:rsidR="00035DA7">
        <w:rPr>
          <w:rStyle w:val="normaltextrun"/>
        </w:rPr>
        <w:t>the Transport Accident Commission (</w:t>
      </w:r>
      <w:r w:rsidR="000C3138">
        <w:rPr>
          <w:rStyle w:val="normaltextrun"/>
        </w:rPr>
        <w:t>TAC</w:t>
      </w:r>
      <w:r w:rsidR="00035DA7">
        <w:rPr>
          <w:rStyle w:val="normaltextrun"/>
        </w:rPr>
        <w:t>)</w:t>
      </w:r>
      <w:r w:rsidR="000C3138">
        <w:rPr>
          <w:rStyle w:val="normaltextrun"/>
        </w:rPr>
        <w:t xml:space="preserve">, and then seeks reimbursement from </w:t>
      </w:r>
      <w:r w:rsidR="00A65A59">
        <w:rPr>
          <w:rStyle w:val="normaltextrun"/>
        </w:rPr>
        <w:t>this scheme</w:t>
      </w:r>
      <w:r w:rsidR="000C3138">
        <w:rPr>
          <w:rStyle w:val="normaltextrun"/>
        </w:rPr>
        <w:t xml:space="preserve">. </w:t>
      </w:r>
    </w:p>
    <w:p w14:paraId="4FCEE4F7" w14:textId="5A79D083" w:rsidR="008C1CA0" w:rsidRPr="00BB1E47" w:rsidRDefault="008C1CA0" w:rsidP="004D3B89">
      <w:pPr>
        <w:pStyle w:val="Bullet1"/>
        <w:numPr>
          <w:ilvl w:val="0"/>
          <w:numId w:val="0"/>
        </w:numPr>
        <w:ind w:left="284"/>
        <w:rPr>
          <w:rStyle w:val="normaltextrun"/>
        </w:rPr>
      </w:pPr>
    </w:p>
    <w:p w14:paraId="66D1B22B" w14:textId="172161B6" w:rsidR="008C1CA0" w:rsidRPr="00BB1E47" w:rsidRDefault="008C1CA0" w:rsidP="00B751C8">
      <w:pPr>
        <w:pStyle w:val="Tablecaption"/>
        <w:rPr>
          <w:b w:val="0"/>
          <w:bCs/>
          <w:sz w:val="22"/>
          <w:szCs w:val="22"/>
        </w:rPr>
      </w:pPr>
      <w:bookmarkStart w:id="28" w:name="_Ref135036338"/>
      <w:bookmarkStart w:id="29" w:name="_Ref135678524"/>
      <w:r w:rsidRPr="00BB1E47">
        <w:lastRenderedPageBreak/>
        <w:t xml:space="preserve">Table </w:t>
      </w:r>
      <w:r w:rsidRPr="00BB1E47">
        <w:fldChar w:fldCharType="begin"/>
      </w:r>
      <w:r w:rsidRPr="00BB1E47">
        <w:rPr>
          <w:bCs/>
          <w:sz w:val="22"/>
          <w:szCs w:val="22"/>
        </w:rPr>
        <w:instrText xml:space="preserve"> SEQ Table \* ARABIC </w:instrText>
      </w:r>
      <w:r w:rsidRPr="00BB1E47">
        <w:fldChar w:fldCharType="separate"/>
      </w:r>
      <w:r w:rsidR="003D510C">
        <w:rPr>
          <w:bCs/>
          <w:noProof/>
          <w:sz w:val="22"/>
          <w:szCs w:val="22"/>
        </w:rPr>
        <w:t>3</w:t>
      </w:r>
      <w:r w:rsidRPr="00BB1E47">
        <w:fldChar w:fldCharType="end"/>
      </w:r>
      <w:bookmarkEnd w:id="28"/>
      <w:r w:rsidRPr="00BB1E47">
        <w:t xml:space="preserve"> Purchasing Responsibility</w:t>
      </w:r>
      <w:r w:rsidRPr="00BB1E47">
        <w:rPr>
          <w:rStyle w:val="FootnoteReference"/>
        </w:rPr>
        <w:footnoteReference w:id="22"/>
      </w:r>
      <w:r w:rsidR="007210A2" w:rsidRPr="00BB1E47">
        <w:rPr>
          <w:bCs/>
          <w:sz w:val="22"/>
          <w:szCs w:val="22"/>
        </w:rPr>
        <w:t xml:space="preserve"> </w:t>
      </w:r>
      <w:bookmarkEnd w:id="29"/>
    </w:p>
    <w:tbl>
      <w:tblPr>
        <w:tblStyle w:val="TableGrid"/>
        <w:tblW w:w="5000" w:type="pct"/>
        <w:tblLook w:val="04A0" w:firstRow="1" w:lastRow="0" w:firstColumn="1" w:lastColumn="0" w:noHBand="0" w:noVBand="1"/>
      </w:tblPr>
      <w:tblGrid>
        <w:gridCol w:w="1839"/>
        <w:gridCol w:w="3519"/>
        <w:gridCol w:w="2575"/>
        <w:gridCol w:w="2261"/>
      </w:tblGrid>
      <w:tr w:rsidR="008C1CA0" w:rsidRPr="00BB1E47" w14:paraId="1DFA9C3C" w14:textId="77777777" w:rsidTr="00727E48">
        <w:trPr>
          <w:cantSplit/>
          <w:trHeight w:val="354"/>
        </w:trPr>
        <w:tc>
          <w:tcPr>
            <w:tcW w:w="902" w:type="pct"/>
            <w:vMerge w:val="restart"/>
            <w:shd w:val="clear" w:color="auto" w:fill="F2F2F2" w:themeFill="background1" w:themeFillShade="F2"/>
            <w:vAlign w:val="center"/>
          </w:tcPr>
          <w:p w14:paraId="15AD092B" w14:textId="77777777" w:rsidR="008C1CA0" w:rsidRPr="00BB1E47" w:rsidRDefault="008C1CA0" w:rsidP="00B108AF">
            <w:pPr>
              <w:pStyle w:val="Tablecolhead"/>
              <w:keepNext/>
              <w:rPr>
                <w:szCs w:val="21"/>
              </w:rPr>
            </w:pPr>
            <w:bookmarkStart w:id="30" w:name="_Ref134617124"/>
            <w:r w:rsidRPr="00BB1E47">
              <w:t>Transfer type</w:t>
            </w:r>
          </w:p>
        </w:tc>
        <w:tc>
          <w:tcPr>
            <w:tcW w:w="1726" w:type="pct"/>
            <w:vMerge w:val="restart"/>
            <w:shd w:val="clear" w:color="auto" w:fill="F2F2F2" w:themeFill="background1" w:themeFillShade="F2"/>
            <w:vAlign w:val="center"/>
          </w:tcPr>
          <w:p w14:paraId="2A457F87" w14:textId="77777777" w:rsidR="008C1CA0" w:rsidRPr="00BB1E47" w:rsidRDefault="008C1CA0" w:rsidP="00B108AF">
            <w:pPr>
              <w:pStyle w:val="Tablecolhead"/>
              <w:keepNext/>
              <w:rPr>
                <w:szCs w:val="21"/>
              </w:rPr>
            </w:pPr>
            <w:r w:rsidRPr="00BB1E47">
              <w:t>Patient type</w:t>
            </w:r>
          </w:p>
        </w:tc>
        <w:tc>
          <w:tcPr>
            <w:tcW w:w="2372" w:type="pct"/>
            <w:gridSpan w:val="2"/>
            <w:shd w:val="clear" w:color="auto" w:fill="F2F2F2" w:themeFill="background1" w:themeFillShade="F2"/>
          </w:tcPr>
          <w:p w14:paraId="473A2DC4" w14:textId="77777777" w:rsidR="008C1CA0" w:rsidRPr="00BB1E47" w:rsidDel="008C4FB5" w:rsidRDefault="008C1CA0" w:rsidP="00B108AF">
            <w:pPr>
              <w:pStyle w:val="Tablecolhead"/>
              <w:keepNext/>
              <w:rPr>
                <w:szCs w:val="21"/>
              </w:rPr>
            </w:pPr>
            <w:r w:rsidRPr="00BB1E47">
              <w:rPr>
                <w:szCs w:val="21"/>
              </w:rPr>
              <w:t>Purchasing responsibility</w:t>
            </w:r>
          </w:p>
        </w:tc>
      </w:tr>
      <w:tr w:rsidR="008C1CA0" w:rsidRPr="00BB1E47" w14:paraId="2662C877" w14:textId="77777777" w:rsidTr="00727E48">
        <w:trPr>
          <w:cantSplit/>
          <w:trHeight w:val="368"/>
        </w:trPr>
        <w:tc>
          <w:tcPr>
            <w:tcW w:w="902" w:type="pct"/>
            <w:vMerge/>
          </w:tcPr>
          <w:p w14:paraId="32487015" w14:textId="77777777" w:rsidR="008C1CA0" w:rsidRPr="00BB1E47" w:rsidRDefault="008C1CA0" w:rsidP="00B108AF">
            <w:pPr>
              <w:pStyle w:val="Tablecolhead"/>
              <w:keepNext/>
            </w:pPr>
          </w:p>
        </w:tc>
        <w:tc>
          <w:tcPr>
            <w:tcW w:w="1726" w:type="pct"/>
            <w:vMerge/>
          </w:tcPr>
          <w:p w14:paraId="200097A5" w14:textId="77777777" w:rsidR="008C1CA0" w:rsidRPr="00BB1E47" w:rsidRDefault="008C1CA0" w:rsidP="00B108AF">
            <w:pPr>
              <w:pStyle w:val="Tablecolhead"/>
              <w:keepNext/>
            </w:pPr>
          </w:p>
        </w:tc>
        <w:tc>
          <w:tcPr>
            <w:tcW w:w="1263" w:type="pct"/>
            <w:shd w:val="clear" w:color="auto" w:fill="F2F2F2" w:themeFill="background1" w:themeFillShade="F2"/>
          </w:tcPr>
          <w:p w14:paraId="51C64964" w14:textId="77777777" w:rsidR="008C1CA0" w:rsidRPr="00BB1E47" w:rsidRDefault="008C1CA0" w:rsidP="00B108AF">
            <w:pPr>
              <w:pStyle w:val="Tablecolhead"/>
              <w:keepNext/>
            </w:pPr>
            <w:r w:rsidRPr="00BB1E47">
              <w:rPr>
                <w:szCs w:val="21"/>
              </w:rPr>
              <w:t>AV</w:t>
            </w:r>
          </w:p>
        </w:tc>
        <w:tc>
          <w:tcPr>
            <w:tcW w:w="1109" w:type="pct"/>
            <w:shd w:val="clear" w:color="auto" w:fill="F2F2F2" w:themeFill="background1" w:themeFillShade="F2"/>
          </w:tcPr>
          <w:p w14:paraId="3EFA60DD" w14:textId="77777777" w:rsidR="008C1CA0" w:rsidRPr="00BB1E47" w:rsidRDefault="008C1CA0" w:rsidP="00B108AF">
            <w:pPr>
              <w:pStyle w:val="Tablecolhead"/>
              <w:keepNext/>
            </w:pPr>
            <w:r w:rsidRPr="00BB1E47">
              <w:rPr>
                <w:szCs w:val="21"/>
              </w:rPr>
              <w:t>Health service</w:t>
            </w:r>
          </w:p>
        </w:tc>
      </w:tr>
      <w:tr w:rsidR="008C1CA0" w:rsidRPr="00BB1E47" w14:paraId="67D8EB2E" w14:textId="77777777" w:rsidTr="005861D4">
        <w:trPr>
          <w:cantSplit/>
          <w:trHeight w:val="256"/>
        </w:trPr>
        <w:tc>
          <w:tcPr>
            <w:tcW w:w="902" w:type="pct"/>
            <w:vAlign w:val="center"/>
          </w:tcPr>
          <w:p w14:paraId="201C5568" w14:textId="15D5FE1A" w:rsidR="00B55306" w:rsidRDefault="008C1CA0" w:rsidP="00B108AF">
            <w:pPr>
              <w:pStyle w:val="Tabletext"/>
              <w:keepNext/>
            </w:pPr>
            <w:r>
              <w:t>Unplanned</w:t>
            </w:r>
            <w:r w:rsidR="008D512B">
              <w:t xml:space="preserve"> </w:t>
            </w:r>
          </w:p>
          <w:p w14:paraId="36B15054" w14:textId="03B0F4C8" w:rsidR="008C1CA0" w:rsidRPr="00BB1E47" w:rsidRDefault="008D512B" w:rsidP="00B108AF">
            <w:pPr>
              <w:pStyle w:val="Tabletext"/>
              <w:keepNext/>
            </w:pPr>
            <w:r>
              <w:t>(</w:t>
            </w:r>
            <w:r w:rsidR="0094180C">
              <w:t>000</w:t>
            </w:r>
            <w:r w:rsidR="00B55306">
              <w:t>-</w:t>
            </w:r>
            <w:r w:rsidR="0094180C">
              <w:t>derived</w:t>
            </w:r>
            <w:r>
              <w:t>)</w:t>
            </w:r>
          </w:p>
        </w:tc>
        <w:tc>
          <w:tcPr>
            <w:tcW w:w="1726" w:type="pct"/>
            <w:vAlign w:val="center"/>
          </w:tcPr>
          <w:p w14:paraId="4B636ADA" w14:textId="77777777" w:rsidR="008C1CA0" w:rsidRPr="00BB1E47" w:rsidRDefault="008C1CA0" w:rsidP="00B108AF">
            <w:pPr>
              <w:pStyle w:val="Tabletext"/>
              <w:keepNext/>
            </w:pPr>
            <w:r w:rsidRPr="00BB1E47">
              <w:t>All</w:t>
            </w:r>
          </w:p>
        </w:tc>
        <w:tc>
          <w:tcPr>
            <w:tcW w:w="1263" w:type="pct"/>
            <w:vAlign w:val="center"/>
          </w:tcPr>
          <w:p w14:paraId="4006F9D9" w14:textId="77777777" w:rsidR="008C1CA0" w:rsidRPr="00BB1E47" w:rsidRDefault="008C1CA0" w:rsidP="00B61E87">
            <w:pPr>
              <w:pStyle w:val="Tabletext"/>
              <w:keepNext/>
              <w:jc w:val="center"/>
              <w:rPr>
                <w:rFonts w:eastAsia="Wingdings"/>
              </w:rPr>
            </w:pPr>
            <w:r w:rsidRPr="00BB1E47">
              <w:rPr>
                <w:rFonts w:ascii="Wingdings" w:eastAsia="Wingdings" w:hAnsi="Wingdings" w:cs="Wingdings"/>
              </w:rPr>
              <w:t>ü</w:t>
            </w:r>
          </w:p>
        </w:tc>
        <w:tc>
          <w:tcPr>
            <w:tcW w:w="1109" w:type="pct"/>
            <w:vAlign w:val="center"/>
          </w:tcPr>
          <w:p w14:paraId="66ABCCB3" w14:textId="77777777" w:rsidR="008C1CA0" w:rsidRPr="00BB1E47" w:rsidRDefault="008C1CA0" w:rsidP="00B61E87">
            <w:pPr>
              <w:pStyle w:val="Tabletext"/>
              <w:keepNext/>
              <w:jc w:val="center"/>
              <w:rPr>
                <w:rFonts w:eastAsia="Wingdings"/>
              </w:rPr>
            </w:pPr>
          </w:p>
        </w:tc>
      </w:tr>
      <w:tr w:rsidR="00412920" w:rsidRPr="00BB1E47" w14:paraId="6E861972" w14:textId="77777777" w:rsidTr="00DD3418">
        <w:trPr>
          <w:cantSplit/>
          <w:trHeight w:val="40"/>
        </w:trPr>
        <w:tc>
          <w:tcPr>
            <w:tcW w:w="902" w:type="pct"/>
            <w:vMerge w:val="restart"/>
            <w:vAlign w:val="center"/>
          </w:tcPr>
          <w:p w14:paraId="10CAA002" w14:textId="77777777" w:rsidR="008D7368" w:rsidRPr="00BB1E47" w:rsidRDefault="00412920" w:rsidP="00B61E87">
            <w:pPr>
              <w:pStyle w:val="Tabletext"/>
              <w:keepNext/>
              <w:rPr>
                <w:szCs w:val="21"/>
              </w:rPr>
            </w:pPr>
            <w:r w:rsidRPr="00BB1E47">
              <w:rPr>
                <w:szCs w:val="21"/>
              </w:rPr>
              <w:t>Planned – Transfers to/from community</w:t>
            </w:r>
          </w:p>
          <w:p w14:paraId="1F8C4CFD" w14:textId="2432DC2B" w:rsidR="00412920" w:rsidRPr="00BB1E47" w:rsidRDefault="00412920" w:rsidP="00B108AF">
            <w:pPr>
              <w:pStyle w:val="Tabletext"/>
              <w:keepNext/>
              <w:rPr>
                <w:szCs w:val="21"/>
              </w:rPr>
            </w:pPr>
          </w:p>
        </w:tc>
        <w:tc>
          <w:tcPr>
            <w:tcW w:w="1726" w:type="pct"/>
            <w:vAlign w:val="center"/>
          </w:tcPr>
          <w:p w14:paraId="647241DA" w14:textId="4C9734E0" w:rsidR="00412920" w:rsidRPr="00BB1E47" w:rsidRDefault="00412920" w:rsidP="00B108AF">
            <w:pPr>
              <w:pStyle w:val="Tabletext"/>
              <w:keepNext/>
            </w:pPr>
            <w:r w:rsidRPr="00BB1E47">
              <w:t xml:space="preserve">General patient </w:t>
            </w:r>
          </w:p>
        </w:tc>
        <w:tc>
          <w:tcPr>
            <w:tcW w:w="1263" w:type="pct"/>
            <w:vAlign w:val="center"/>
          </w:tcPr>
          <w:p w14:paraId="0E552E07" w14:textId="3FBD5358" w:rsidR="00412920" w:rsidRPr="00BB1E47" w:rsidRDefault="00412920" w:rsidP="00B61E87">
            <w:pPr>
              <w:pStyle w:val="Tabletext"/>
              <w:keepNext/>
              <w:jc w:val="center"/>
              <w:rPr>
                <w:rFonts w:ascii="Wingdings" w:eastAsia="Wingdings" w:hAnsi="Wingdings" w:cs="Wingdings"/>
              </w:rPr>
            </w:pPr>
          </w:p>
        </w:tc>
        <w:tc>
          <w:tcPr>
            <w:tcW w:w="1109" w:type="pct"/>
            <w:vAlign w:val="center"/>
          </w:tcPr>
          <w:p w14:paraId="74D3703F" w14:textId="2AF06B9B" w:rsidR="00412920" w:rsidRPr="00BB1E47" w:rsidRDefault="00412920" w:rsidP="00B61E87">
            <w:pPr>
              <w:pStyle w:val="Tabletext"/>
              <w:keepNext/>
              <w:jc w:val="center"/>
            </w:pPr>
            <w:r w:rsidRPr="00BB1E47">
              <w:rPr>
                <w:rFonts w:ascii="Wingdings" w:eastAsia="Wingdings" w:hAnsi="Wingdings" w:cs="Wingdings"/>
              </w:rPr>
              <w:t>ü</w:t>
            </w:r>
          </w:p>
        </w:tc>
      </w:tr>
      <w:tr w:rsidR="008C1CA0" w:rsidRPr="00BB1E47" w14:paraId="2068A5AE" w14:textId="77777777" w:rsidTr="00727E48">
        <w:trPr>
          <w:cantSplit/>
          <w:trHeight w:val="808"/>
        </w:trPr>
        <w:tc>
          <w:tcPr>
            <w:tcW w:w="902" w:type="pct"/>
            <w:vMerge/>
            <w:vAlign w:val="center"/>
          </w:tcPr>
          <w:p w14:paraId="07C34318" w14:textId="721326F9" w:rsidR="008C1CA0" w:rsidRPr="00BB1E47" w:rsidRDefault="008C1CA0" w:rsidP="00B108AF">
            <w:pPr>
              <w:pStyle w:val="Tabletext"/>
              <w:keepNext/>
            </w:pPr>
          </w:p>
        </w:tc>
        <w:tc>
          <w:tcPr>
            <w:tcW w:w="1726" w:type="pct"/>
            <w:vAlign w:val="center"/>
          </w:tcPr>
          <w:p w14:paraId="68F19B1A" w14:textId="571C7FF4" w:rsidR="008C1CA0" w:rsidRPr="00BB1E47" w:rsidRDefault="008C1CA0" w:rsidP="00B108AF">
            <w:pPr>
              <w:pStyle w:val="Tabletext"/>
              <w:keepNext/>
            </w:pPr>
            <w:r w:rsidRPr="00BB1E47">
              <w:t>Concession patient* attending a public admitted facility or emergency department</w:t>
            </w:r>
          </w:p>
        </w:tc>
        <w:tc>
          <w:tcPr>
            <w:tcW w:w="1263" w:type="pct"/>
            <w:vAlign w:val="center"/>
          </w:tcPr>
          <w:p w14:paraId="17D814CE"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1109" w:type="pct"/>
            <w:vAlign w:val="center"/>
          </w:tcPr>
          <w:p w14:paraId="57A2ECF0" w14:textId="77777777" w:rsidR="008C1CA0" w:rsidRPr="00BB1E47" w:rsidRDefault="008C1CA0" w:rsidP="00B61E87">
            <w:pPr>
              <w:pStyle w:val="Tabletext"/>
              <w:keepNext/>
              <w:jc w:val="center"/>
            </w:pPr>
          </w:p>
        </w:tc>
      </w:tr>
      <w:tr w:rsidR="008C1CA0" w:rsidRPr="00BB1E47" w14:paraId="52E5A4B4" w14:textId="77777777" w:rsidTr="00727E48">
        <w:trPr>
          <w:cantSplit/>
          <w:trHeight w:val="254"/>
        </w:trPr>
        <w:tc>
          <w:tcPr>
            <w:tcW w:w="902" w:type="pct"/>
            <w:vMerge/>
            <w:vAlign w:val="center"/>
          </w:tcPr>
          <w:p w14:paraId="69A8CCAA" w14:textId="77777777" w:rsidR="008C1CA0" w:rsidRPr="00BB1E47" w:rsidRDefault="008C1CA0" w:rsidP="00B108AF">
            <w:pPr>
              <w:pStyle w:val="Tabletext"/>
              <w:keepNext/>
            </w:pPr>
          </w:p>
        </w:tc>
        <w:tc>
          <w:tcPr>
            <w:tcW w:w="1726" w:type="pct"/>
            <w:vAlign w:val="center"/>
          </w:tcPr>
          <w:p w14:paraId="0BC08867" w14:textId="77777777" w:rsidR="008C1CA0" w:rsidRPr="00BB1E47" w:rsidRDefault="008C1CA0" w:rsidP="00B108AF">
            <w:pPr>
              <w:pStyle w:val="Tabletext"/>
              <w:keepNext/>
            </w:pPr>
            <w:r w:rsidRPr="00BB1E47">
              <w:t>Concession patient attending HIP/specialist clinic</w:t>
            </w:r>
          </w:p>
        </w:tc>
        <w:tc>
          <w:tcPr>
            <w:tcW w:w="1263" w:type="pct"/>
            <w:vAlign w:val="center"/>
          </w:tcPr>
          <w:p w14:paraId="743D8772" w14:textId="77777777" w:rsidR="008C1CA0" w:rsidRPr="00BB1E47" w:rsidRDefault="008C1CA0" w:rsidP="00B61E87">
            <w:pPr>
              <w:pStyle w:val="Tabletext"/>
              <w:keepNext/>
              <w:jc w:val="center"/>
            </w:pPr>
          </w:p>
        </w:tc>
        <w:tc>
          <w:tcPr>
            <w:tcW w:w="1109" w:type="pct"/>
            <w:vAlign w:val="center"/>
          </w:tcPr>
          <w:p w14:paraId="77820ACF" w14:textId="77777777" w:rsidR="008C1CA0" w:rsidRPr="00BB1E47" w:rsidRDefault="008C1CA0" w:rsidP="00B61E87">
            <w:pPr>
              <w:pStyle w:val="Tabletext"/>
              <w:keepNext/>
              <w:jc w:val="center"/>
            </w:pPr>
            <w:r w:rsidRPr="00BB1E47">
              <w:rPr>
                <w:rFonts w:ascii="Wingdings" w:eastAsia="Wingdings" w:hAnsi="Wingdings" w:cs="Wingdings"/>
              </w:rPr>
              <w:t>ü</w:t>
            </w:r>
          </w:p>
        </w:tc>
      </w:tr>
      <w:tr w:rsidR="00412920" w:rsidRPr="00BB1E47" w14:paraId="171E32FA" w14:textId="77777777" w:rsidTr="00727E48">
        <w:trPr>
          <w:cantSplit/>
          <w:trHeight w:val="254"/>
        </w:trPr>
        <w:tc>
          <w:tcPr>
            <w:tcW w:w="902" w:type="pct"/>
            <w:vMerge/>
            <w:vAlign w:val="center"/>
          </w:tcPr>
          <w:p w14:paraId="7FEA2B8B" w14:textId="77777777" w:rsidR="00412920" w:rsidRPr="00BB1E47" w:rsidRDefault="00412920" w:rsidP="00B108AF">
            <w:pPr>
              <w:pStyle w:val="Tabletext"/>
              <w:keepNext/>
            </w:pPr>
          </w:p>
        </w:tc>
        <w:tc>
          <w:tcPr>
            <w:tcW w:w="1726" w:type="pct"/>
            <w:vAlign w:val="center"/>
          </w:tcPr>
          <w:p w14:paraId="55956310" w14:textId="216BE337" w:rsidR="00412920" w:rsidRPr="00BB1E47" w:rsidRDefault="00412920" w:rsidP="00B108AF">
            <w:pPr>
              <w:pStyle w:val="Tabletext"/>
              <w:keepNext/>
            </w:pPr>
            <w:r w:rsidRPr="00BB1E47">
              <w:t>TA</w:t>
            </w:r>
            <w:r w:rsidR="00B1170E" w:rsidRPr="00BB1E47">
              <w:t>C, DVA or VWA</w:t>
            </w:r>
          </w:p>
        </w:tc>
        <w:tc>
          <w:tcPr>
            <w:tcW w:w="1263" w:type="pct"/>
            <w:vAlign w:val="center"/>
          </w:tcPr>
          <w:p w14:paraId="5F06487C" w14:textId="2ED281D2" w:rsidR="00412920" w:rsidRPr="00BB1E47" w:rsidRDefault="00B1170E" w:rsidP="00B61E87">
            <w:pPr>
              <w:pStyle w:val="Tabletext"/>
              <w:keepNext/>
              <w:jc w:val="center"/>
            </w:pPr>
            <w:r w:rsidRPr="00BB1E47">
              <w:rPr>
                <w:rFonts w:ascii="Wingdings" w:eastAsia="Wingdings" w:hAnsi="Wingdings" w:cs="Wingdings"/>
              </w:rPr>
              <w:t>ü</w:t>
            </w:r>
          </w:p>
        </w:tc>
        <w:tc>
          <w:tcPr>
            <w:tcW w:w="1109" w:type="pct"/>
            <w:vAlign w:val="center"/>
          </w:tcPr>
          <w:p w14:paraId="0F179790" w14:textId="450F5311" w:rsidR="00412920" w:rsidRPr="00BB1E47" w:rsidRDefault="00412920" w:rsidP="00B61E87">
            <w:pPr>
              <w:pStyle w:val="Tabletext"/>
              <w:keepNext/>
              <w:jc w:val="center"/>
              <w:rPr>
                <w:rFonts w:ascii="Wingdings" w:eastAsia="Wingdings" w:hAnsi="Wingdings" w:cs="Wingdings"/>
              </w:rPr>
            </w:pPr>
          </w:p>
        </w:tc>
      </w:tr>
      <w:tr w:rsidR="008C1CA0" w:rsidRPr="00BB1E47" w14:paraId="0A29021A" w14:textId="77777777" w:rsidTr="00727E48">
        <w:trPr>
          <w:cantSplit/>
          <w:trHeight w:val="808"/>
        </w:trPr>
        <w:tc>
          <w:tcPr>
            <w:tcW w:w="902" w:type="pct"/>
            <w:vMerge w:val="restart"/>
            <w:vAlign w:val="center"/>
          </w:tcPr>
          <w:p w14:paraId="4EEC70D2" w14:textId="5DCD076F" w:rsidR="008C1CA0" w:rsidRPr="00BB1E47" w:rsidRDefault="008C1CA0" w:rsidP="00B108AF">
            <w:pPr>
              <w:pStyle w:val="Tabletext"/>
              <w:keepNext/>
            </w:pPr>
            <w:r w:rsidRPr="00BB1E47">
              <w:rPr>
                <w:szCs w:val="21"/>
              </w:rPr>
              <w:t>Planned – Inter-hospital transfer</w:t>
            </w:r>
          </w:p>
        </w:tc>
        <w:tc>
          <w:tcPr>
            <w:tcW w:w="1726" w:type="pct"/>
            <w:vAlign w:val="center"/>
          </w:tcPr>
          <w:p w14:paraId="5FB1038D" w14:textId="20254FE7" w:rsidR="008C1CA0" w:rsidRPr="00BB1E47" w:rsidRDefault="008C1CA0" w:rsidP="00B108AF">
            <w:pPr>
              <w:pStyle w:val="Tabletext"/>
              <w:keepNext/>
            </w:pPr>
            <w:r w:rsidRPr="00BB1E47">
              <w:t>General</w:t>
            </w:r>
            <w:r w:rsidR="00484A78" w:rsidRPr="00BB1E47">
              <w:t>, Concession</w:t>
            </w:r>
            <w:r w:rsidRPr="00BB1E47">
              <w:t xml:space="preserve"> </w:t>
            </w:r>
            <w:r w:rsidR="00DE22A9" w:rsidRPr="00BB1E47">
              <w:t xml:space="preserve">or DVA </w:t>
            </w:r>
            <w:r w:rsidRPr="00BB1E47">
              <w:t>patient attending a public admitted facility or emergency department</w:t>
            </w:r>
          </w:p>
        </w:tc>
        <w:tc>
          <w:tcPr>
            <w:tcW w:w="1263" w:type="pct"/>
            <w:vAlign w:val="center"/>
          </w:tcPr>
          <w:p w14:paraId="24E21B34" w14:textId="77777777" w:rsidR="008C1CA0" w:rsidRPr="00BB1E47" w:rsidRDefault="008C1CA0" w:rsidP="00B61E87">
            <w:pPr>
              <w:pStyle w:val="Tabletext"/>
              <w:keepNext/>
              <w:jc w:val="center"/>
            </w:pPr>
          </w:p>
        </w:tc>
        <w:tc>
          <w:tcPr>
            <w:tcW w:w="1109" w:type="pct"/>
            <w:vAlign w:val="center"/>
          </w:tcPr>
          <w:p w14:paraId="113A71B6" w14:textId="77777777" w:rsidR="008C1CA0" w:rsidRPr="00BB1E47" w:rsidRDefault="008C1CA0" w:rsidP="00B61E87">
            <w:pPr>
              <w:pStyle w:val="Tabletext"/>
              <w:keepNext/>
              <w:jc w:val="center"/>
            </w:pPr>
            <w:r w:rsidRPr="00BB1E47">
              <w:rPr>
                <w:rFonts w:ascii="Wingdings" w:eastAsia="Wingdings" w:hAnsi="Wingdings" w:cs="Wingdings"/>
              </w:rPr>
              <w:t>ü</w:t>
            </w:r>
          </w:p>
        </w:tc>
      </w:tr>
      <w:tr w:rsidR="008C1CA0" w:rsidRPr="00BB1E47" w14:paraId="01870157" w14:textId="77777777" w:rsidTr="00727E48">
        <w:trPr>
          <w:cantSplit/>
          <w:trHeight w:val="837"/>
        </w:trPr>
        <w:tc>
          <w:tcPr>
            <w:tcW w:w="902" w:type="pct"/>
            <w:vMerge/>
            <w:vAlign w:val="center"/>
          </w:tcPr>
          <w:p w14:paraId="62424EA6" w14:textId="77777777" w:rsidR="008C1CA0" w:rsidRPr="00BB1E47" w:rsidRDefault="008C1CA0" w:rsidP="00B108AF">
            <w:pPr>
              <w:pStyle w:val="Tabletext"/>
              <w:keepNext/>
            </w:pPr>
          </w:p>
        </w:tc>
        <w:tc>
          <w:tcPr>
            <w:tcW w:w="1726" w:type="pct"/>
            <w:vAlign w:val="center"/>
          </w:tcPr>
          <w:p w14:paraId="24D020C8" w14:textId="55893823" w:rsidR="008C1CA0" w:rsidRPr="00BB1E47" w:rsidRDefault="6AFED210" w:rsidP="00B108AF">
            <w:pPr>
              <w:pStyle w:val="Tabletext"/>
              <w:keepNext/>
            </w:pPr>
            <w:r w:rsidRPr="00BB1E47">
              <w:t xml:space="preserve">Concession patient attending a </w:t>
            </w:r>
            <w:r w:rsidR="1E8C1C29" w:rsidRPr="00BB1E47">
              <w:t>non-admitted facility</w:t>
            </w:r>
          </w:p>
        </w:tc>
        <w:tc>
          <w:tcPr>
            <w:tcW w:w="1263" w:type="pct"/>
            <w:vAlign w:val="center"/>
          </w:tcPr>
          <w:p w14:paraId="5F865067"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1109" w:type="pct"/>
            <w:vAlign w:val="center"/>
          </w:tcPr>
          <w:p w14:paraId="3EC75EA7" w14:textId="77777777" w:rsidR="008C1CA0" w:rsidRPr="00BB1E47" w:rsidRDefault="008C1CA0" w:rsidP="00B61E87">
            <w:pPr>
              <w:pStyle w:val="Tabletext"/>
              <w:keepNext/>
              <w:jc w:val="center"/>
            </w:pPr>
          </w:p>
        </w:tc>
      </w:tr>
      <w:tr w:rsidR="008C1CA0" w:rsidRPr="00BB1E47" w14:paraId="1A83DC4D" w14:textId="77777777" w:rsidTr="00727E48">
        <w:trPr>
          <w:cantSplit/>
          <w:trHeight w:val="368"/>
        </w:trPr>
        <w:tc>
          <w:tcPr>
            <w:tcW w:w="902" w:type="pct"/>
            <w:vMerge/>
            <w:vAlign w:val="center"/>
          </w:tcPr>
          <w:p w14:paraId="1C64EEBA" w14:textId="77777777" w:rsidR="008C1CA0" w:rsidRPr="00BB1E47" w:rsidRDefault="008C1CA0" w:rsidP="00B108AF">
            <w:pPr>
              <w:pStyle w:val="Tabletext"/>
              <w:keepNext/>
            </w:pPr>
          </w:p>
        </w:tc>
        <w:tc>
          <w:tcPr>
            <w:tcW w:w="1726" w:type="pct"/>
            <w:vAlign w:val="center"/>
          </w:tcPr>
          <w:p w14:paraId="6727103D" w14:textId="77777777" w:rsidR="008C1CA0" w:rsidRPr="00BB1E47" w:rsidRDefault="008C1CA0" w:rsidP="00B108AF">
            <w:pPr>
              <w:pStyle w:val="Tabletext"/>
              <w:keepNext/>
            </w:pPr>
            <w:r w:rsidRPr="00BB1E47">
              <w:t>TAC or VWA</w:t>
            </w:r>
          </w:p>
        </w:tc>
        <w:tc>
          <w:tcPr>
            <w:tcW w:w="1263" w:type="pct"/>
            <w:vAlign w:val="center"/>
          </w:tcPr>
          <w:p w14:paraId="60A6D69D"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1109" w:type="pct"/>
            <w:vAlign w:val="center"/>
          </w:tcPr>
          <w:p w14:paraId="7B8438CC" w14:textId="6A869C48" w:rsidR="008C1CA0" w:rsidRPr="00BB1E47" w:rsidRDefault="008C1CA0" w:rsidP="00B61E87">
            <w:pPr>
              <w:pStyle w:val="Tabletext"/>
              <w:keepNext/>
              <w:jc w:val="center"/>
              <w:rPr>
                <w:rFonts w:eastAsia="Wingdings"/>
              </w:rPr>
            </w:pPr>
          </w:p>
        </w:tc>
      </w:tr>
    </w:tbl>
    <w:bookmarkEnd w:id="30"/>
    <w:p w14:paraId="4FA748EB" w14:textId="58071D60" w:rsidR="008C1CA0" w:rsidRPr="00BB1E47" w:rsidRDefault="008C1CA0" w:rsidP="008C1CA0">
      <w:pPr>
        <w:pStyle w:val="Tablefigurenote"/>
      </w:pPr>
      <w:r w:rsidRPr="00623AA8">
        <w:t>*</w:t>
      </w:r>
      <w:r w:rsidRPr="00BB1E47">
        <w:t xml:space="preserve"> Concession classification includes Pensioner, Health Care Card holders and compulsory mental health patients</w:t>
      </w:r>
    </w:p>
    <w:p w14:paraId="5FA53C21" w14:textId="77777777" w:rsidR="008C1CA0" w:rsidRPr="00BB1E47" w:rsidRDefault="008C1CA0" w:rsidP="00E9640E">
      <w:pPr>
        <w:pStyle w:val="Heading2"/>
      </w:pPr>
      <w:bookmarkStart w:id="31" w:name="_Toc132619011"/>
      <w:bookmarkStart w:id="32" w:name="_Toc134633528"/>
      <w:bookmarkStart w:id="33" w:name="_Ref134640497"/>
      <w:bookmarkStart w:id="34" w:name="_Toc136433483"/>
      <w:r w:rsidRPr="00BB1E47">
        <w:t>There are many providers of NEPT in Victoria</w:t>
      </w:r>
      <w:bookmarkEnd w:id="31"/>
      <w:bookmarkEnd w:id="32"/>
      <w:bookmarkEnd w:id="33"/>
      <w:bookmarkEnd w:id="34"/>
    </w:p>
    <w:p w14:paraId="6100B93E" w14:textId="48C5AB6A" w:rsidR="008C1CA0" w:rsidRPr="00BB1E47" w:rsidRDefault="008C1CA0" w:rsidP="008C1CA0">
      <w:pPr>
        <w:pStyle w:val="Bullet1"/>
        <w:numPr>
          <w:ilvl w:val="0"/>
          <w:numId w:val="10"/>
        </w:numPr>
        <w:rPr>
          <w:rFonts w:cs="Arial"/>
          <w:szCs w:val="21"/>
        </w:rPr>
      </w:pPr>
      <w:r w:rsidRPr="00BB1E47">
        <w:rPr>
          <w:rFonts w:cs="Arial"/>
        </w:rPr>
        <w:t xml:space="preserve">In total, 13 private providers are licenced to deliver NEPT services in Victoria, with a fleet of approximately </w:t>
      </w:r>
      <w:r w:rsidR="00A8005C">
        <w:rPr>
          <w:rFonts w:cs="Arial"/>
        </w:rPr>
        <w:t>4</w:t>
      </w:r>
      <w:r w:rsidRPr="00BB1E47">
        <w:rPr>
          <w:rFonts w:cs="Arial"/>
        </w:rPr>
        <w:t>50 stretcher vehicles.</w:t>
      </w:r>
      <w:r w:rsidRPr="00BB1E47">
        <w:rPr>
          <w:rStyle w:val="FootnoteReference"/>
        </w:rPr>
        <w:footnoteReference w:id="23"/>
      </w:r>
      <w:r w:rsidRPr="00BB1E47">
        <w:rPr>
          <w:rFonts w:cs="Arial"/>
          <w:vertAlign w:val="superscript"/>
        </w:rPr>
        <w:t xml:space="preserve"> </w:t>
      </w:r>
    </w:p>
    <w:p w14:paraId="73CF7801" w14:textId="70B5CB21" w:rsidR="008C1CA0" w:rsidRPr="00BB1E47" w:rsidRDefault="008C1CA0" w:rsidP="008C1CA0">
      <w:pPr>
        <w:pStyle w:val="Bullet1"/>
        <w:rPr>
          <w:rFonts w:cs="Arial"/>
          <w:szCs w:val="21"/>
        </w:rPr>
      </w:pPr>
      <w:r w:rsidRPr="00BB1E47">
        <w:rPr>
          <w:rFonts w:cs="Arial"/>
          <w:szCs w:val="21"/>
        </w:rPr>
        <w:t>Of the 13 private providers, six provide NEPT services for AV and public health services. AV contracts all six, while public health services (under the HSV panel arrangements) contract four providers.</w:t>
      </w:r>
      <w:r w:rsidRPr="00BB1E47">
        <w:rPr>
          <w:rStyle w:val="FootnoteReference"/>
          <w:rFonts w:cs="Arial"/>
          <w:szCs w:val="21"/>
        </w:rPr>
        <w:footnoteReference w:id="24"/>
      </w:r>
      <w:r w:rsidRPr="00BB1E47">
        <w:rPr>
          <w:rFonts w:cs="Arial"/>
          <w:szCs w:val="21"/>
        </w:rPr>
        <w:t xml:space="preserve"> </w:t>
      </w:r>
    </w:p>
    <w:p w14:paraId="793BC18F" w14:textId="714B80A1" w:rsidR="008C1CA0" w:rsidRPr="00BB1E47" w:rsidRDefault="008C1CA0" w:rsidP="008C1CA0">
      <w:pPr>
        <w:pStyle w:val="Bullet1"/>
        <w:rPr>
          <w:rFonts w:cs="Arial"/>
          <w:szCs w:val="21"/>
        </w:rPr>
      </w:pPr>
      <w:r w:rsidRPr="00BB1E47">
        <w:rPr>
          <w:rFonts w:cs="Arial"/>
        </w:rPr>
        <w:t xml:space="preserve">AV deliver </w:t>
      </w:r>
      <w:r w:rsidR="003A4DB5" w:rsidRPr="00BB1E47">
        <w:rPr>
          <w:rFonts w:cs="Arial"/>
        </w:rPr>
        <w:t>some</w:t>
      </w:r>
      <w:r w:rsidRPr="00BB1E47">
        <w:rPr>
          <w:rFonts w:cs="Arial"/>
        </w:rPr>
        <w:t xml:space="preserve"> NEPT services in-house</w:t>
      </w:r>
      <w:r w:rsidR="003A4DB5" w:rsidRPr="00BB1E47">
        <w:rPr>
          <w:rFonts w:cs="Arial"/>
        </w:rPr>
        <w:t xml:space="preserve"> </w:t>
      </w:r>
      <w:r w:rsidR="001F3FE3">
        <w:rPr>
          <w:rFonts w:cs="Arial"/>
        </w:rPr>
        <w:t>(</w:t>
      </w:r>
      <w:r w:rsidR="00DE572B">
        <w:rPr>
          <w:rFonts w:cs="Arial"/>
        </w:rPr>
        <w:t>approximately</w:t>
      </w:r>
      <w:r w:rsidR="00E410C9">
        <w:rPr>
          <w:rFonts w:cs="Arial"/>
        </w:rPr>
        <w:t xml:space="preserve"> 30%</w:t>
      </w:r>
      <w:r w:rsidR="00FD0943">
        <w:rPr>
          <w:rFonts w:cs="Arial"/>
        </w:rPr>
        <w:t xml:space="preserve"> of the t</w:t>
      </w:r>
      <w:r w:rsidR="005A0347">
        <w:rPr>
          <w:rFonts w:cs="Arial"/>
        </w:rPr>
        <w:t>otal volume they are responsible for</w:t>
      </w:r>
      <w:r w:rsidR="00845AC5">
        <w:rPr>
          <w:rFonts w:cs="Arial"/>
        </w:rPr>
        <w:t xml:space="preserve">) </w:t>
      </w:r>
      <w:r w:rsidRPr="00BB1E47">
        <w:rPr>
          <w:rFonts w:cs="Arial"/>
        </w:rPr>
        <w:t>as do some health services.</w:t>
      </w:r>
      <w:r w:rsidRPr="00BB1E47">
        <w:rPr>
          <w:rStyle w:val="FootnoteReference"/>
          <w:rFonts w:cs="Arial"/>
        </w:rPr>
        <w:footnoteReference w:id="25"/>
      </w:r>
      <w:r w:rsidRPr="00BB1E47">
        <w:rPr>
          <w:rFonts w:cs="Arial"/>
        </w:rPr>
        <w:t xml:space="preserve"> </w:t>
      </w:r>
    </w:p>
    <w:p w14:paraId="388B80C2" w14:textId="075DACD0" w:rsidR="00C105B1" w:rsidRPr="00BB1E47" w:rsidRDefault="008C1CA0" w:rsidP="0087204C">
      <w:pPr>
        <w:pStyle w:val="Bullet1"/>
        <w:rPr>
          <w:rFonts w:cs="Arial"/>
        </w:rPr>
      </w:pPr>
      <w:r w:rsidRPr="00BB1E47">
        <w:rPr>
          <w:rFonts w:cs="Arial"/>
        </w:rPr>
        <w:t>AV has a default role as the provider of last resort in the absence of the private market.</w:t>
      </w:r>
      <w:r w:rsidRPr="00BB1E47">
        <w:rPr>
          <w:rStyle w:val="FootnoteReference"/>
        </w:rPr>
        <w:footnoteReference w:id="26"/>
      </w:r>
      <w:r w:rsidRPr="00BB1E47">
        <w:rPr>
          <w:rFonts w:cs="Arial"/>
        </w:rPr>
        <w:t xml:space="preserve"> As the private sector is generally very ‘thin’ in rural and remote areas, the AV </w:t>
      </w:r>
      <w:r w:rsidRPr="00BB1E47">
        <w:t>fleet</w:t>
      </w:r>
      <w:r w:rsidRPr="00BB1E47">
        <w:rPr>
          <w:rFonts w:cs="Arial"/>
        </w:rPr>
        <w:t xml:space="preserve"> is often used in this context. </w:t>
      </w:r>
      <w:r w:rsidR="00001274">
        <w:rPr>
          <w:rFonts w:cs="Arial"/>
        </w:rPr>
        <w:t xml:space="preserve">If </w:t>
      </w:r>
      <w:r w:rsidR="007D1489">
        <w:rPr>
          <w:rFonts w:cs="Arial"/>
        </w:rPr>
        <w:t xml:space="preserve">AV NEPT cannot </w:t>
      </w:r>
      <w:r w:rsidR="001047FD">
        <w:rPr>
          <w:rFonts w:cs="Arial"/>
        </w:rPr>
        <w:t>service</w:t>
      </w:r>
      <w:r w:rsidR="004A3FFA">
        <w:rPr>
          <w:rFonts w:cs="Arial"/>
        </w:rPr>
        <w:t xml:space="preserve"> these cases</w:t>
      </w:r>
      <w:r w:rsidR="003D2CD0">
        <w:rPr>
          <w:rFonts w:cs="Arial"/>
        </w:rPr>
        <w:t xml:space="preserve">, </w:t>
      </w:r>
      <w:r w:rsidR="004A3FFA">
        <w:rPr>
          <w:rFonts w:cs="Arial"/>
        </w:rPr>
        <w:t>they</w:t>
      </w:r>
      <w:r w:rsidR="003D2CD0">
        <w:rPr>
          <w:rFonts w:cs="Arial"/>
        </w:rPr>
        <w:t xml:space="preserve"> spill to AV</w:t>
      </w:r>
      <w:r w:rsidR="004A3FFA">
        <w:rPr>
          <w:rFonts w:cs="Arial"/>
        </w:rPr>
        <w:t>’s</w:t>
      </w:r>
      <w:r w:rsidR="003D2CD0">
        <w:rPr>
          <w:rFonts w:cs="Arial"/>
        </w:rPr>
        <w:t xml:space="preserve"> emergency </w:t>
      </w:r>
      <w:r w:rsidR="004A3FFA">
        <w:rPr>
          <w:rFonts w:cs="Arial"/>
        </w:rPr>
        <w:t xml:space="preserve">resources. </w:t>
      </w:r>
    </w:p>
    <w:p w14:paraId="5FA0A54B" w14:textId="783C89FF" w:rsidR="008C1CA0" w:rsidRPr="00BB1E47" w:rsidRDefault="008C1CA0" w:rsidP="00DE22A9">
      <w:pPr>
        <w:pStyle w:val="Bullet1"/>
        <w:rPr>
          <w:rFonts w:cs="Arial"/>
        </w:rPr>
      </w:pPr>
      <w:r w:rsidRPr="00BB1E47">
        <w:t xml:space="preserve">In metropolitan areas, AV contracts private providers to meet </w:t>
      </w:r>
      <w:r w:rsidR="00732E54" w:rsidRPr="00BB1E47">
        <w:t xml:space="preserve">a significant portion </w:t>
      </w:r>
      <w:r w:rsidRPr="00BB1E47">
        <w:t xml:space="preserve">of its NEPT requirements. </w:t>
      </w:r>
      <w:r w:rsidR="008968FB" w:rsidRPr="00BB1E47">
        <w:t xml:space="preserve">There is no </w:t>
      </w:r>
      <w:r w:rsidR="00065384" w:rsidRPr="00BB1E47">
        <w:t xml:space="preserve">clinical role delineation </w:t>
      </w:r>
      <w:r w:rsidR="005D57C5" w:rsidRPr="00BB1E47">
        <w:t xml:space="preserve">between AV </w:t>
      </w:r>
      <w:r w:rsidR="001B7DD1" w:rsidRPr="00BB1E47">
        <w:t xml:space="preserve">NEPT services </w:t>
      </w:r>
      <w:r w:rsidR="005D57C5" w:rsidRPr="00BB1E47">
        <w:t>and contracted NEPT services</w:t>
      </w:r>
      <w:r w:rsidR="007E5129" w:rsidRPr="00BB1E47">
        <w:t xml:space="preserve">; </w:t>
      </w:r>
      <w:r w:rsidR="00C105B1" w:rsidRPr="00BB1E47">
        <w:t xml:space="preserve">with </w:t>
      </w:r>
      <w:r w:rsidR="00DB434A" w:rsidRPr="00BB1E47">
        <w:t>workload allocated based on the availability of resources.</w:t>
      </w:r>
    </w:p>
    <w:p w14:paraId="30F20E4E" w14:textId="1C50C9F5" w:rsidR="008C1CA0" w:rsidRPr="00BB1E47" w:rsidRDefault="00DE22A9" w:rsidP="00E9640E">
      <w:pPr>
        <w:pStyle w:val="Heading2"/>
      </w:pPr>
      <w:bookmarkStart w:id="35" w:name="_Ref134476344"/>
      <w:bookmarkStart w:id="36" w:name="_Toc134633529"/>
      <w:bookmarkStart w:id="37" w:name="_Toc136433484"/>
      <w:r w:rsidRPr="00BB1E47">
        <w:lastRenderedPageBreak/>
        <w:t xml:space="preserve">There are </w:t>
      </w:r>
      <w:r w:rsidR="008C1CA0" w:rsidRPr="00BB1E47">
        <w:t>multiple booking and dispatching arrangements</w:t>
      </w:r>
      <w:bookmarkEnd w:id="35"/>
      <w:bookmarkEnd w:id="36"/>
      <w:bookmarkEnd w:id="37"/>
      <w:r w:rsidR="008C1CA0" w:rsidRPr="00BB1E47">
        <w:t xml:space="preserve"> </w:t>
      </w:r>
    </w:p>
    <w:p w14:paraId="511B9AEE" w14:textId="7B76FF0E" w:rsidR="008C1CA0" w:rsidRPr="00BB1E47" w:rsidRDefault="008C1CA0" w:rsidP="008C1CA0">
      <w:pPr>
        <w:pStyle w:val="Bullet1"/>
      </w:pPr>
      <w:r w:rsidRPr="00BB1E47">
        <w:t xml:space="preserve">As Section </w:t>
      </w:r>
      <w:r w:rsidRPr="00BB1E47">
        <w:fldChar w:fldCharType="begin"/>
      </w:r>
      <w:r w:rsidRPr="00BB1E47">
        <w:instrText xml:space="preserve"> REF _Ref134278950 \r \h  \* MERGEFORMAT </w:instrText>
      </w:r>
      <w:r w:rsidRPr="00BB1E47">
        <w:fldChar w:fldCharType="separate"/>
      </w:r>
      <w:r w:rsidR="003D510C">
        <w:t>2.4</w:t>
      </w:r>
      <w:r w:rsidRPr="00BB1E47">
        <w:fldChar w:fldCharType="end"/>
      </w:r>
      <w:r w:rsidRPr="00BB1E47">
        <w:t xml:space="preserve"> above described, AV and health services share responsibility for contracting planned NEPT services. </w:t>
      </w:r>
    </w:p>
    <w:p w14:paraId="2B137913" w14:textId="56BFAEB0" w:rsidR="008C1CA0" w:rsidRPr="00BB1E47" w:rsidRDefault="008C1CA0" w:rsidP="008C1CA0">
      <w:pPr>
        <w:pStyle w:val="Bullet1"/>
      </w:pPr>
      <w:r w:rsidRPr="00BB1E47">
        <w:t xml:space="preserve">This means that </w:t>
      </w:r>
      <w:r w:rsidR="00D560BA" w:rsidRPr="00BB1E47">
        <w:t xml:space="preserve">most </w:t>
      </w:r>
      <w:r w:rsidRPr="00BB1E47">
        <w:t xml:space="preserve">health services must book transfers for patients through two different mechanisms, depending on who is </w:t>
      </w:r>
      <w:r w:rsidR="0047341B" w:rsidRPr="00BB1E47">
        <w:t>purchasing</w:t>
      </w:r>
      <w:r w:rsidRPr="00BB1E47">
        <w:t xml:space="preserve"> the transfer</w:t>
      </w:r>
      <w:r w:rsidR="004334D1">
        <w:t>.</w:t>
      </w:r>
    </w:p>
    <w:p w14:paraId="251894DD" w14:textId="407334C4" w:rsidR="008C1CA0" w:rsidRPr="00BB1E47" w:rsidRDefault="008C1CA0" w:rsidP="00AC1CB7">
      <w:pPr>
        <w:pStyle w:val="Bullet2"/>
      </w:pPr>
      <w:r w:rsidRPr="00BB1E47">
        <w:t xml:space="preserve">For </w:t>
      </w:r>
      <w:r w:rsidR="000B16E3" w:rsidRPr="00BB1E47">
        <w:t>transfers</w:t>
      </w:r>
      <w:r w:rsidRPr="00BB1E47">
        <w:t xml:space="preserve"> </w:t>
      </w:r>
      <w:r w:rsidR="000F2C0F" w:rsidRPr="00BB1E47">
        <w:t>purchased</w:t>
      </w:r>
      <w:r w:rsidRPr="00BB1E47">
        <w:t xml:space="preserve"> by health services, transfers are booked directly with private providers, which have </w:t>
      </w:r>
      <w:r w:rsidRPr="00BB1E47">
        <w:rPr>
          <w:rFonts w:cs="Arial"/>
          <w:szCs w:val="21"/>
        </w:rPr>
        <w:t>their</w:t>
      </w:r>
      <w:r w:rsidRPr="00BB1E47">
        <w:t xml:space="preserve"> own call-taking and dispatching arrangements</w:t>
      </w:r>
      <w:r w:rsidR="00C4385F">
        <w:t>.</w:t>
      </w:r>
      <w:r w:rsidRPr="00BB1E47">
        <w:t xml:space="preserve"> </w:t>
      </w:r>
      <w:r w:rsidR="00C72E3B">
        <w:t>This includes the Hospital Based Vehicle program</w:t>
      </w:r>
      <w:r w:rsidR="0011415A">
        <w:t>,</w:t>
      </w:r>
      <w:r w:rsidR="006F5100">
        <w:t xml:space="preserve"> opera</w:t>
      </w:r>
      <w:r w:rsidR="00E20B10">
        <w:t>ting</w:t>
      </w:r>
      <w:r w:rsidR="006F5100">
        <w:t xml:space="preserve"> </w:t>
      </w:r>
      <w:r w:rsidR="00236A1E">
        <w:t xml:space="preserve">across </w:t>
      </w:r>
      <w:r w:rsidR="0011415A">
        <w:t>eight major metropolitan health services</w:t>
      </w:r>
      <w:r w:rsidR="003B1BEA">
        <w:t>, whic</w:t>
      </w:r>
      <w:r w:rsidR="00E20B10">
        <w:t xml:space="preserve">h </w:t>
      </w:r>
      <w:r w:rsidR="00273B5B">
        <w:t>uses</w:t>
      </w:r>
      <w:r w:rsidR="00B74C29">
        <w:t xml:space="preserve"> </w:t>
      </w:r>
      <w:r w:rsidR="009A784F">
        <w:t>separate booking systems</w:t>
      </w:r>
      <w:r w:rsidR="0016467E">
        <w:t xml:space="preserve"> depending on which contractor </w:t>
      </w:r>
      <w:r w:rsidR="005056A9">
        <w:t xml:space="preserve">is </w:t>
      </w:r>
      <w:r w:rsidR="00C312CE">
        <w:t>allocated</w:t>
      </w:r>
      <w:r w:rsidR="0016467E">
        <w:t xml:space="preserve"> </w:t>
      </w:r>
      <w:r w:rsidR="00C42884">
        <w:t>to</w:t>
      </w:r>
      <w:r w:rsidR="0016467E">
        <w:t xml:space="preserve"> </w:t>
      </w:r>
      <w:r w:rsidR="00C312CE">
        <w:t>th</w:t>
      </w:r>
      <w:r w:rsidR="009F25B0">
        <w:t>at</w:t>
      </w:r>
      <w:r w:rsidR="0016467E">
        <w:t xml:space="preserve"> service. </w:t>
      </w:r>
    </w:p>
    <w:p w14:paraId="3D2FFF37" w14:textId="041FE8E2" w:rsidR="008C1CA0" w:rsidRPr="00BB1E47" w:rsidRDefault="00C65C01" w:rsidP="00AC1CB7">
      <w:pPr>
        <w:pStyle w:val="Bullet2"/>
      </w:pPr>
      <w:r w:rsidRPr="00BB1E47">
        <w:t xml:space="preserve">When AV is responsible for </w:t>
      </w:r>
      <w:r w:rsidR="0091440A">
        <w:t>triaging</w:t>
      </w:r>
      <w:r w:rsidR="0091440A" w:rsidRPr="00BB1E47">
        <w:t xml:space="preserve"> </w:t>
      </w:r>
      <w:r w:rsidRPr="00BB1E47">
        <w:t>NEPT</w:t>
      </w:r>
      <w:r w:rsidR="008C1CA0" w:rsidRPr="00BB1E47">
        <w:t>, health services book the transfer through ESTA</w:t>
      </w:r>
      <w:r w:rsidR="008C1CA0" w:rsidRPr="00BB1E47">
        <w:rPr>
          <w:rStyle w:val="FootnoteReference"/>
        </w:rPr>
        <w:footnoteReference w:id="27"/>
      </w:r>
      <w:r w:rsidR="008C1CA0" w:rsidRPr="00BB1E47">
        <w:t xml:space="preserve"> using either</w:t>
      </w:r>
      <w:r w:rsidR="00630A49" w:rsidRPr="00BB1E47">
        <w:t xml:space="preserve"> </w:t>
      </w:r>
      <w:r w:rsidR="008C1CA0" w:rsidRPr="00BB1E47">
        <w:t>an online booking form</w:t>
      </w:r>
      <w:r w:rsidR="008C1CA0" w:rsidRPr="00BB1E47">
        <w:rPr>
          <w:rStyle w:val="FootnoteReference"/>
        </w:rPr>
        <w:footnoteReference w:id="28"/>
      </w:r>
      <w:r w:rsidR="00630A49" w:rsidRPr="00BB1E47">
        <w:t xml:space="preserve">  or </w:t>
      </w:r>
      <w:r w:rsidR="008C1CA0" w:rsidRPr="00BB1E47">
        <w:t xml:space="preserve">a ‘1300’ number for same-day </w:t>
      </w:r>
      <w:r w:rsidR="002D057F">
        <w:t>bookings and patients with</w:t>
      </w:r>
      <w:r w:rsidR="008C1CA0" w:rsidRPr="00BB1E47">
        <w:t xml:space="preserve"> mental health </w:t>
      </w:r>
      <w:r w:rsidR="002D057F">
        <w:t xml:space="preserve">related needs. </w:t>
      </w:r>
      <w:r w:rsidR="00630A49" w:rsidRPr="00BB1E47">
        <w:t xml:space="preserve"> </w:t>
      </w:r>
    </w:p>
    <w:p w14:paraId="4CD8EB7B" w14:textId="420E043F" w:rsidR="00DE22A9" w:rsidRPr="00BB1E47" w:rsidRDefault="003B4246" w:rsidP="00DE22A9">
      <w:pPr>
        <w:pStyle w:val="Bullet1"/>
      </w:pPr>
      <w:r>
        <w:t>H</w:t>
      </w:r>
      <w:r w:rsidR="008C1CA0" w:rsidRPr="00BB1E47">
        <w:t xml:space="preserve">ealth services are required to book </w:t>
      </w:r>
      <w:r w:rsidR="003771E5" w:rsidRPr="00BB1E47">
        <w:t xml:space="preserve">NEPT purchased by AV </w:t>
      </w:r>
      <w:r w:rsidR="008C1CA0" w:rsidRPr="00BB1E47">
        <w:t xml:space="preserve">directly through AV using one of the above </w:t>
      </w:r>
      <w:r w:rsidR="00C45BD3" w:rsidRPr="00BB1E47">
        <w:t>two</w:t>
      </w:r>
      <w:r w:rsidR="008C1CA0" w:rsidRPr="00BB1E47">
        <w:t xml:space="preserve"> channels</w:t>
      </w:r>
      <w:r w:rsidR="00152016" w:rsidRPr="00BB1E47">
        <w:t>,</w:t>
      </w:r>
      <w:r w:rsidR="008C1CA0" w:rsidRPr="00BB1E47">
        <w:t xml:space="preserve"> even if AV will ultimately contract the same NEPT provider </w:t>
      </w:r>
      <w:r w:rsidR="00796E44" w:rsidRPr="00BB1E47">
        <w:t>th</w:t>
      </w:r>
      <w:r w:rsidR="00A0142A" w:rsidRPr="00BB1E47">
        <w:t>at</w:t>
      </w:r>
      <w:r w:rsidR="00796E44" w:rsidRPr="00BB1E47">
        <w:t xml:space="preserve"> </w:t>
      </w:r>
      <w:r w:rsidR="00A0142A" w:rsidRPr="00BB1E47">
        <w:t>would be contracted by</w:t>
      </w:r>
      <w:r w:rsidR="008C1CA0" w:rsidRPr="00BB1E47">
        <w:t xml:space="preserve"> health </w:t>
      </w:r>
      <w:r w:rsidR="00796E44" w:rsidRPr="00BB1E47">
        <w:t>service</w:t>
      </w:r>
      <w:r w:rsidR="00A0142A" w:rsidRPr="00BB1E47">
        <w:t>s</w:t>
      </w:r>
      <w:r w:rsidR="008C1CA0" w:rsidRPr="00BB1E47">
        <w:t xml:space="preserve"> directly.</w:t>
      </w:r>
    </w:p>
    <w:p w14:paraId="38CEA307" w14:textId="04925DFD" w:rsidR="008C1CA0" w:rsidRPr="00BB1E47" w:rsidRDefault="008C1CA0" w:rsidP="00E9640E">
      <w:pPr>
        <w:pStyle w:val="Heading2"/>
      </w:pPr>
      <w:bookmarkStart w:id="38" w:name="_Toc134633530"/>
      <w:bookmarkStart w:id="39" w:name="_Toc136433485"/>
      <w:r w:rsidRPr="00BB1E47">
        <w:t>NEPT is interlinked with other sectors of the Victorian health system</w:t>
      </w:r>
      <w:bookmarkEnd w:id="38"/>
      <w:bookmarkEnd w:id="39"/>
      <w:r w:rsidRPr="00BB1E47">
        <w:t xml:space="preserve"> </w:t>
      </w:r>
    </w:p>
    <w:p w14:paraId="6A51191C" w14:textId="0C659CA3" w:rsidR="008C1CA0" w:rsidRPr="00BB1E47" w:rsidRDefault="008C1CA0" w:rsidP="00E9640E">
      <w:pPr>
        <w:pStyle w:val="Bullet1"/>
        <w:numPr>
          <w:ilvl w:val="0"/>
          <w:numId w:val="26"/>
        </w:numPr>
        <w:rPr>
          <w:rFonts w:cs="Arial"/>
          <w:szCs w:val="21"/>
        </w:rPr>
      </w:pPr>
      <w:r w:rsidRPr="00BB1E47">
        <w:rPr>
          <w:rFonts w:cs="Arial"/>
          <w:szCs w:val="21"/>
        </w:rPr>
        <w:t xml:space="preserve">There are critical interdependencies between NEPT services and other sectors of the Victorian healthcare system that </w:t>
      </w:r>
      <w:r w:rsidR="00750079" w:rsidRPr="00BB1E47">
        <w:rPr>
          <w:rFonts w:cs="Arial"/>
          <w:szCs w:val="21"/>
        </w:rPr>
        <w:t>must</w:t>
      </w:r>
      <w:r w:rsidR="002E0EA3" w:rsidRPr="00BB1E47">
        <w:rPr>
          <w:rFonts w:cs="Arial"/>
          <w:szCs w:val="21"/>
        </w:rPr>
        <w:t xml:space="preserve"> be</w:t>
      </w:r>
      <w:r w:rsidRPr="00BB1E47">
        <w:rPr>
          <w:rFonts w:cs="Arial"/>
          <w:szCs w:val="21"/>
        </w:rPr>
        <w:t xml:space="preserve"> considered </w:t>
      </w:r>
      <w:r w:rsidR="002E0EA3" w:rsidRPr="00BB1E47">
        <w:rPr>
          <w:rFonts w:cs="Arial"/>
          <w:szCs w:val="21"/>
        </w:rPr>
        <w:t xml:space="preserve">when </w:t>
      </w:r>
      <w:r w:rsidRPr="00BB1E47">
        <w:rPr>
          <w:rFonts w:cs="Arial"/>
          <w:szCs w:val="21"/>
        </w:rPr>
        <w:t>planning for potential changes to the NEPT sector.</w:t>
      </w:r>
    </w:p>
    <w:p w14:paraId="443D31A5" w14:textId="77777777" w:rsidR="008C1CA0" w:rsidRPr="00BB1E47" w:rsidRDefault="008C1CA0" w:rsidP="00E9640E">
      <w:pPr>
        <w:pStyle w:val="Bullet1"/>
        <w:numPr>
          <w:ilvl w:val="0"/>
          <w:numId w:val="26"/>
        </w:numPr>
      </w:pPr>
      <w:r w:rsidRPr="00BB1E47">
        <w:rPr>
          <w:rFonts w:cs="Arial"/>
          <w:szCs w:val="21"/>
        </w:rPr>
        <w:t xml:space="preserve">First, many NEPT providers deliver other essential healthcare services. </w:t>
      </w:r>
    </w:p>
    <w:p w14:paraId="7AA6650C" w14:textId="4D82C30B" w:rsidR="008C1CA0" w:rsidRPr="00BB1E47" w:rsidRDefault="008C1CA0" w:rsidP="008C1CA0">
      <w:pPr>
        <w:pStyle w:val="Bullet2"/>
      </w:pPr>
      <w:r w:rsidRPr="00BB1E47">
        <w:rPr>
          <w:rFonts w:cs="Arial"/>
          <w:szCs w:val="21"/>
        </w:rPr>
        <w:t xml:space="preserve">These include </w:t>
      </w:r>
      <w:r w:rsidRPr="00BB1E47">
        <w:t>delivery of NEPT for private hospitals, along with first aid services at community events,</w:t>
      </w:r>
      <w:r w:rsidRPr="00BB1E47">
        <w:rPr>
          <w:rStyle w:val="FootnoteReference"/>
        </w:rPr>
        <w:footnoteReference w:id="29"/>
      </w:r>
      <w:r w:rsidRPr="00BB1E47">
        <w:t xml:space="preserve"> first aid and mental health training, and other functions such as COVID-19 testing services and drug and alcohol testing. </w:t>
      </w:r>
    </w:p>
    <w:p w14:paraId="5C7F82F5" w14:textId="34EAD4BF" w:rsidR="008C1CA0" w:rsidRPr="00BB1E47" w:rsidRDefault="008C1CA0" w:rsidP="008C1CA0">
      <w:pPr>
        <w:pStyle w:val="Bullet2"/>
      </w:pPr>
      <w:r w:rsidRPr="00BB1E47">
        <w:t xml:space="preserve">In general, public NEPT is a core part of these providers’ </w:t>
      </w:r>
      <w:proofErr w:type="gramStart"/>
      <w:r w:rsidRPr="00BB1E47">
        <w:t xml:space="preserve">businesses, </w:t>
      </w:r>
      <w:r w:rsidR="00B55CB6">
        <w:t>and</w:t>
      </w:r>
      <w:proofErr w:type="gramEnd"/>
      <w:r w:rsidR="00B55CB6">
        <w:t xml:space="preserve"> may </w:t>
      </w:r>
      <w:r w:rsidRPr="00BB1E47">
        <w:t>generat</w:t>
      </w:r>
      <w:r w:rsidR="00B55CB6">
        <w:t>e</w:t>
      </w:r>
      <w:r w:rsidRPr="00BB1E47">
        <w:t xml:space="preserve"> revenue to cross-subsidise the other essential functions. This means that</w:t>
      </w:r>
      <w:r w:rsidR="00B55CB6">
        <w:t xml:space="preserve"> any</w:t>
      </w:r>
      <w:r w:rsidRPr="00BB1E47">
        <w:t xml:space="preserve"> shifts to the composition of the NEPT sector might impact the sustainability of business practices across these other services.</w:t>
      </w:r>
    </w:p>
    <w:p w14:paraId="22CFC5C0" w14:textId="77777777" w:rsidR="008C1CA0" w:rsidRPr="00BB1E47" w:rsidRDefault="008C1CA0" w:rsidP="008C1CA0">
      <w:pPr>
        <w:pStyle w:val="Bullet1"/>
      </w:pPr>
      <w:r w:rsidRPr="00BB1E47">
        <w:t xml:space="preserve">Second, NEPT indirectly impacts other patient transport services in Victoria. </w:t>
      </w:r>
    </w:p>
    <w:p w14:paraId="17E21AF0" w14:textId="7C1D4747" w:rsidR="008C1CA0" w:rsidRPr="00BB1E47" w:rsidRDefault="008C1CA0" w:rsidP="008C1CA0">
      <w:pPr>
        <w:pStyle w:val="Bullet2"/>
        <w:rPr>
          <w:szCs w:val="21"/>
        </w:rPr>
      </w:pPr>
      <w:r w:rsidRPr="00BB1E47">
        <w:rPr>
          <w:lang w:eastAsia="en-AU"/>
        </w:rPr>
        <w:t>These include emergency (ambulance) services and non-clinical transport (see</w:t>
      </w:r>
      <w:r w:rsidR="005933FC" w:rsidRPr="00BB1E47">
        <w:rPr>
          <w:lang w:eastAsia="en-AU"/>
        </w:rPr>
        <w:t xml:space="preserve"> </w:t>
      </w:r>
      <w:r w:rsidR="005933FC" w:rsidRPr="00BB1E47">
        <w:rPr>
          <w:lang w:eastAsia="en-AU"/>
        </w:rPr>
        <w:fldChar w:fldCharType="begin"/>
      </w:r>
      <w:r w:rsidR="005933FC" w:rsidRPr="00BB1E47">
        <w:rPr>
          <w:lang w:eastAsia="en-AU"/>
        </w:rPr>
        <w:instrText xml:space="preserve"> REF _Ref135603243 \h </w:instrText>
      </w:r>
      <w:r w:rsidR="00BB1E47">
        <w:rPr>
          <w:lang w:eastAsia="en-AU"/>
        </w:rPr>
        <w:instrText xml:space="preserve"> \* MERGEFORMAT </w:instrText>
      </w:r>
      <w:r w:rsidR="005933FC" w:rsidRPr="00BB1E47">
        <w:rPr>
          <w:lang w:eastAsia="en-AU"/>
        </w:rPr>
      </w:r>
      <w:r w:rsidR="005933FC" w:rsidRPr="00BB1E47">
        <w:rPr>
          <w:lang w:eastAsia="en-AU"/>
        </w:rPr>
        <w:fldChar w:fldCharType="separate"/>
      </w:r>
      <w:r w:rsidR="003D510C" w:rsidRPr="00BB1E47">
        <w:t xml:space="preserve">Figure </w:t>
      </w:r>
      <w:r w:rsidR="003D510C">
        <w:rPr>
          <w:noProof/>
        </w:rPr>
        <w:t>1</w:t>
      </w:r>
      <w:r w:rsidR="005933FC" w:rsidRPr="00BB1E47">
        <w:rPr>
          <w:lang w:eastAsia="en-AU"/>
        </w:rPr>
        <w:fldChar w:fldCharType="end"/>
      </w:r>
      <w:r w:rsidR="00F100CC" w:rsidRPr="00BB1E47">
        <w:rPr>
          <w:lang w:eastAsia="en-AU"/>
        </w:rPr>
        <w:t xml:space="preserve"> </w:t>
      </w:r>
      <w:r w:rsidR="00F100CC" w:rsidRPr="00BB1E47">
        <w:rPr>
          <w:lang w:eastAsia="en-AU"/>
        </w:rPr>
        <w:fldChar w:fldCharType="begin"/>
      </w:r>
      <w:r w:rsidR="00F100CC" w:rsidRPr="00BB1E47">
        <w:rPr>
          <w:lang w:eastAsia="en-AU"/>
        </w:rPr>
        <w:instrText xml:space="preserve"> REF _Ref135678490 \p \h </w:instrText>
      </w:r>
      <w:r w:rsidR="00BB1E47">
        <w:rPr>
          <w:lang w:eastAsia="en-AU"/>
        </w:rPr>
        <w:instrText xml:space="preserve"> \* MERGEFORMAT </w:instrText>
      </w:r>
      <w:r w:rsidR="00F100CC" w:rsidRPr="00BB1E47">
        <w:rPr>
          <w:lang w:eastAsia="en-AU"/>
        </w:rPr>
      </w:r>
      <w:r w:rsidR="00F100CC" w:rsidRPr="00BB1E47">
        <w:rPr>
          <w:lang w:eastAsia="en-AU"/>
        </w:rPr>
        <w:fldChar w:fldCharType="separate"/>
      </w:r>
      <w:r w:rsidR="003D510C">
        <w:rPr>
          <w:lang w:eastAsia="en-AU"/>
        </w:rPr>
        <w:t>below</w:t>
      </w:r>
      <w:r w:rsidR="00F100CC" w:rsidRPr="00BB1E47">
        <w:rPr>
          <w:lang w:eastAsia="en-AU"/>
        </w:rPr>
        <w:fldChar w:fldCharType="end"/>
      </w:r>
      <w:r w:rsidR="00AD6B9D">
        <w:rPr>
          <w:lang w:eastAsia="en-AU"/>
        </w:rPr>
        <w:t>)</w:t>
      </w:r>
      <w:r w:rsidRPr="00BB1E47">
        <w:rPr>
          <w:lang w:eastAsia="en-AU"/>
        </w:rPr>
        <w:t>.</w:t>
      </w:r>
    </w:p>
    <w:p w14:paraId="583027E7" w14:textId="77777777" w:rsidR="008C1CA0" w:rsidRPr="00BB1E47" w:rsidRDefault="008C1CA0" w:rsidP="008C1CA0">
      <w:pPr>
        <w:pStyle w:val="Bullet2"/>
        <w:rPr>
          <w:szCs w:val="21"/>
        </w:rPr>
      </w:pPr>
      <w:r w:rsidRPr="00BB1E47">
        <w:rPr>
          <w:lang w:eastAsia="en-AU"/>
        </w:rPr>
        <w:t xml:space="preserve">Any potential instability in the NEPT sector has spill-over consequences for these services, which would need to absorb any unmet demand.  </w:t>
      </w:r>
    </w:p>
    <w:p w14:paraId="4A77A408" w14:textId="586FF8D5" w:rsidR="008C1CA0" w:rsidRPr="00BB1E47" w:rsidRDefault="008C1CA0" w:rsidP="008C1CA0">
      <w:pPr>
        <w:pStyle w:val="Tablecaption"/>
      </w:pPr>
      <w:bookmarkStart w:id="40" w:name="_Ref135603243"/>
      <w:bookmarkStart w:id="41" w:name="_Ref135678490"/>
      <w:r w:rsidRPr="00BB1E47">
        <w:lastRenderedPageBreak/>
        <w:t xml:space="preserve">Figure </w:t>
      </w:r>
      <w:r>
        <w:fldChar w:fldCharType="begin"/>
      </w:r>
      <w:r>
        <w:instrText>SEQ Figure \* ARABIC</w:instrText>
      </w:r>
      <w:r>
        <w:fldChar w:fldCharType="separate"/>
      </w:r>
      <w:r w:rsidR="003D510C">
        <w:rPr>
          <w:noProof/>
        </w:rPr>
        <w:t>1</w:t>
      </w:r>
      <w:r>
        <w:fldChar w:fldCharType="end"/>
      </w:r>
      <w:bookmarkEnd w:id="40"/>
      <w:r w:rsidRPr="00BB1E47">
        <w:t>: Summary of patient transport in Victoria</w:t>
      </w:r>
      <w:bookmarkEnd w:id="41"/>
    </w:p>
    <w:p w14:paraId="6ADC9BF3" w14:textId="77777777" w:rsidR="008C1CA0" w:rsidRPr="00BB1E47" w:rsidRDefault="008C1CA0" w:rsidP="00596DFA">
      <w:pPr>
        <w:pStyle w:val="Body"/>
        <w:spacing w:before="240"/>
        <w:rPr>
          <w:noProof/>
        </w:rPr>
      </w:pPr>
      <w:r w:rsidRPr="00BB1E47">
        <w:rPr>
          <w:noProof/>
        </w:rPr>
        <w:drawing>
          <wp:inline distT="0" distB="0" distL="0" distR="0" wp14:anchorId="6DBB09B7" wp14:editId="1D69DE89">
            <wp:extent cx="6447790" cy="2893274"/>
            <wp:effectExtent l="0" t="0" r="0" b="2540"/>
            <wp:docPr id="3" name="Picture 3" descr="This figure provides an overview of patient transport in Victoria, noting that this comprises of emergency patient transport, non-emergency patient transport and non clinical patient transport. &#10;&#10;Further detail is provided for non emergency transport booking and triage noting that these comprise of planned and unplanned NEPT. &#10;&#10;The image also notes that transfer types are split between interhospital transports and community transports. &#10;&#10;The image also notes that the clinincal requirements for NEPT include assessment by a clinician, patient acuity assessed as low, medium or high and the patient being haemodynamically stable for trans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provides an overview of patient transport in Victoria, noting that this comprises of emergency patient transport, non-emergency patient transport and non clinical patient transport. &#10;&#10;Further detail is provided for non emergency transport booking and triage noting that these comprise of planned and unplanned NEPT. &#10;&#10;The image also notes that transfer types are split between interhospital transports and community transports. &#10;&#10;The image also notes that the clinincal requirements for NEPT include assessment by a clinician, patient acuity assessed as low, medium or high and the patient being haemodynamically stable for transport.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61777" cy="2899550"/>
                    </a:xfrm>
                    <a:prstGeom prst="rect">
                      <a:avLst/>
                    </a:prstGeom>
                    <a:noFill/>
                  </pic:spPr>
                </pic:pic>
              </a:graphicData>
            </a:graphic>
          </wp:inline>
        </w:drawing>
      </w:r>
    </w:p>
    <w:p w14:paraId="2C579956" w14:textId="77777777" w:rsidR="008C1CA0" w:rsidRPr="00BB1E47" w:rsidRDefault="008C1CA0" w:rsidP="00E9640E">
      <w:pPr>
        <w:pStyle w:val="Heading2"/>
      </w:pPr>
      <w:bookmarkStart w:id="42" w:name="_Ref134281345"/>
      <w:bookmarkStart w:id="43" w:name="_Toc134633531"/>
      <w:bookmarkStart w:id="44" w:name="_Toc136433486"/>
      <w:r w:rsidRPr="00BB1E47">
        <w:t>NEPT in Victoria has changed a lot over time</w:t>
      </w:r>
      <w:bookmarkEnd w:id="42"/>
      <w:bookmarkEnd w:id="43"/>
      <w:bookmarkEnd w:id="44"/>
      <w:r w:rsidRPr="00BB1E47">
        <w:t xml:space="preserve"> </w:t>
      </w:r>
    </w:p>
    <w:p w14:paraId="3F6F284B" w14:textId="689B2325" w:rsidR="00F94EC7" w:rsidRPr="00BB1E47" w:rsidRDefault="008C1CA0" w:rsidP="008C1CA0">
      <w:pPr>
        <w:pStyle w:val="Bullet1"/>
        <w:rPr>
          <w:szCs w:val="21"/>
        </w:rPr>
      </w:pPr>
      <w:r w:rsidRPr="00BB1E47">
        <w:t xml:space="preserve">The NEPT sector </w:t>
      </w:r>
      <w:r w:rsidR="00F94EC7" w:rsidRPr="00BB1E47">
        <w:t>underwent</w:t>
      </w:r>
      <w:r w:rsidRPr="00BB1E47">
        <w:t xml:space="preserve"> transformative change over the past three decades,</w:t>
      </w:r>
      <w:r w:rsidR="001D783E" w:rsidRPr="00BB1E47">
        <w:t xml:space="preserve"> initially</w:t>
      </w:r>
      <w:r w:rsidRPr="00BB1E47">
        <w:t xml:space="preserve"> moving from an integrated public service to an outsourced one with very limited regulatory or clinical governance overlay. </w:t>
      </w:r>
    </w:p>
    <w:p w14:paraId="37A24CFD" w14:textId="1AE59CAD" w:rsidR="008C1CA0" w:rsidRPr="00BB1E47" w:rsidRDefault="008C1CA0" w:rsidP="008C1CA0">
      <w:pPr>
        <w:pStyle w:val="Bullet1"/>
        <w:rPr>
          <w:szCs w:val="21"/>
        </w:rPr>
      </w:pPr>
      <w:r w:rsidRPr="00BB1E47">
        <w:t xml:space="preserve">In recent years </w:t>
      </w:r>
      <w:r w:rsidR="00F94EC7" w:rsidRPr="00BB1E47">
        <w:t>the sector has</w:t>
      </w:r>
      <w:r w:rsidRPr="00BB1E47">
        <w:t xml:space="preserve"> changed with much stronger regulation and clinical governance of and within the sector, occurring in tandem with significant market consolidation.  </w:t>
      </w:r>
    </w:p>
    <w:p w14:paraId="68704A18" w14:textId="4BA7B6B1" w:rsidR="008C1CA0" w:rsidRPr="00BB1E47" w:rsidRDefault="008C1CA0" w:rsidP="00BB17D3">
      <w:pPr>
        <w:pStyle w:val="Heading3"/>
      </w:pPr>
      <w:bookmarkStart w:id="45" w:name="_Toc134633532"/>
      <w:r w:rsidRPr="00BB1E47">
        <w:t>Regulation of the NEPT sector has strengthened</w:t>
      </w:r>
      <w:bookmarkEnd w:id="45"/>
    </w:p>
    <w:p w14:paraId="36D75FCC" w14:textId="1168CEC9" w:rsidR="008C1CA0" w:rsidRPr="00BB1E47" w:rsidRDefault="008C1CA0" w:rsidP="008C1CA0">
      <w:pPr>
        <w:pStyle w:val="Bullet1"/>
      </w:pPr>
      <w:r w:rsidRPr="00BB1E47">
        <w:rPr>
          <w:b/>
          <w:bCs/>
        </w:rPr>
        <w:t>Before 1993</w:t>
      </w:r>
      <w:r w:rsidRPr="00BB1E47">
        <w:t xml:space="preserve">, NEPT was a public service delivered by the former Metropolitan Ambulance Services (MAS), which provided both emergency and non-emergency patient transport. There was criticism of this model, </w:t>
      </w:r>
      <w:r w:rsidR="00F94EC7" w:rsidRPr="00BB1E47">
        <w:t>with</w:t>
      </w:r>
      <w:r w:rsidR="00796E44" w:rsidRPr="00BB1E47">
        <w:t xml:space="preserve"> </w:t>
      </w:r>
      <w:r w:rsidR="00EE4785" w:rsidRPr="00BB1E47">
        <w:t xml:space="preserve">MAS seen to </w:t>
      </w:r>
      <w:r w:rsidR="00976D12" w:rsidRPr="00BB1E47">
        <w:t>prioritise</w:t>
      </w:r>
      <w:r w:rsidRPr="00BB1E47">
        <w:t xml:space="preserve"> emergency services over NEPT</w:t>
      </w:r>
      <w:r w:rsidR="00976D12" w:rsidRPr="00BB1E47">
        <w:t>,</w:t>
      </w:r>
      <w:r w:rsidR="00E158FB" w:rsidRPr="00BB1E47">
        <w:t xml:space="preserve"> </w:t>
      </w:r>
      <w:r w:rsidRPr="00BB1E47">
        <w:t>causing delays in access to routine care.</w:t>
      </w:r>
    </w:p>
    <w:p w14:paraId="7F82F038" w14:textId="3641CBBD" w:rsidR="008C1CA0" w:rsidRPr="00BB1E47" w:rsidRDefault="008C1CA0" w:rsidP="008C1CA0">
      <w:pPr>
        <w:pStyle w:val="Bullet1"/>
        <w:numPr>
          <w:ilvl w:val="0"/>
          <w:numId w:val="10"/>
        </w:numPr>
        <w:rPr>
          <w:szCs w:val="21"/>
        </w:rPr>
      </w:pPr>
      <w:r w:rsidRPr="00BB1E47">
        <w:rPr>
          <w:b/>
          <w:bCs/>
        </w:rPr>
        <w:t>In 1993</w:t>
      </w:r>
      <w:r w:rsidRPr="00BB1E47">
        <w:t>, the Victorian Government separated NEPT from emergency ambulance services and privatised the former</w:t>
      </w:r>
      <w:r w:rsidRPr="00BB1E47">
        <w:rPr>
          <w:szCs w:val="21"/>
        </w:rPr>
        <w:t>.</w:t>
      </w:r>
      <w:r w:rsidRPr="00BB1E47">
        <w:rPr>
          <w:rStyle w:val="FootnoteReference"/>
          <w:rFonts w:cs="Arial"/>
          <w:i/>
          <w:iCs/>
        </w:rPr>
        <w:footnoteReference w:id="30"/>
      </w:r>
      <w:r w:rsidRPr="00BB1E47">
        <w:rPr>
          <w:szCs w:val="21"/>
        </w:rPr>
        <w:t xml:space="preserve"> </w:t>
      </w:r>
      <w:r w:rsidRPr="00BB1E47">
        <w:t>Initially, NEPT was managed solely by MAS through direct contractual arrangements.</w:t>
      </w:r>
      <w:r w:rsidRPr="00BB1E47">
        <w:rPr>
          <w:rStyle w:val="FootnoteReference"/>
        </w:rPr>
        <w:footnoteReference w:id="31"/>
      </w:r>
      <w:r w:rsidRPr="00BB1E47">
        <w:t xml:space="preserve"> But as private volumes grew beyond MAS</w:t>
      </w:r>
      <w:r w:rsidR="00082679" w:rsidRPr="00BB1E47">
        <w:t>’</w:t>
      </w:r>
      <w:r w:rsidRPr="00BB1E47">
        <w:t xml:space="preserve"> contracted services, this ‘second tier’ of NEPT became effectively unmanaged from a clinical governance perspective, with private NEPT providers simply regulated under the </w:t>
      </w:r>
      <w:r w:rsidRPr="00BB1E47">
        <w:rPr>
          <w:i/>
          <w:iCs/>
        </w:rPr>
        <w:t>Transport Act 1983</w:t>
      </w:r>
      <w:r w:rsidRPr="00BB1E47">
        <w:t xml:space="preserve"> and licensed by the Taxi Directorate. </w:t>
      </w:r>
    </w:p>
    <w:p w14:paraId="38B76B61" w14:textId="13D2DD5D" w:rsidR="008C1CA0" w:rsidRPr="00BB1E47" w:rsidRDefault="008C1CA0" w:rsidP="008C1CA0">
      <w:pPr>
        <w:pStyle w:val="Bullet1"/>
        <w:rPr>
          <w:szCs w:val="21"/>
        </w:rPr>
      </w:pPr>
      <w:r w:rsidRPr="00BB1E47">
        <w:rPr>
          <w:b/>
          <w:bCs/>
        </w:rPr>
        <w:t xml:space="preserve">In 2003, </w:t>
      </w:r>
      <w:r w:rsidRPr="00BB1E47">
        <w:t>the</w:t>
      </w:r>
      <w:r w:rsidRPr="00BB1E47">
        <w:rPr>
          <w:b/>
          <w:bCs/>
        </w:rPr>
        <w:t xml:space="preserve"> </w:t>
      </w:r>
      <w:r w:rsidRPr="00BB1E47">
        <w:rPr>
          <w:i/>
          <w:iCs/>
        </w:rPr>
        <w:t>Non-Emergency Patient Transport Act 2003</w:t>
      </w:r>
      <w:r w:rsidRPr="00BB1E47">
        <w:t xml:space="preserve"> was introduced</w:t>
      </w:r>
      <w:r w:rsidR="00C00032" w:rsidRPr="00BB1E47">
        <w:t>.</w:t>
      </w:r>
      <w:r w:rsidRPr="00BB1E47">
        <w:t xml:space="preserve"> This legislation recognised the industry’s unique characteristics and mandated that all NEPT providers must hold a licence in Victoria. </w:t>
      </w:r>
    </w:p>
    <w:p w14:paraId="770598E1" w14:textId="27D8643A" w:rsidR="008C1CA0" w:rsidRPr="00BB1E47" w:rsidRDefault="008C1CA0" w:rsidP="008C1CA0">
      <w:pPr>
        <w:pStyle w:val="Bullet1"/>
        <w:rPr>
          <w:szCs w:val="21"/>
        </w:rPr>
      </w:pPr>
      <w:r w:rsidRPr="00BB1E47">
        <w:rPr>
          <w:b/>
        </w:rPr>
        <w:t>In 2021</w:t>
      </w:r>
      <w:r w:rsidRPr="00BB1E47">
        <w:t xml:space="preserve">, amendments were made to the NEPT Regulations to strengthen the requirements for safety and quality of care. These regulations set minimum standards </w:t>
      </w:r>
      <w:r w:rsidR="0043035D" w:rsidRPr="00BB1E47">
        <w:t xml:space="preserve">for NEPT </w:t>
      </w:r>
      <w:r w:rsidRPr="00BB1E47">
        <w:t>to minimise risks to patients without imposing onerous costs on licence holders.</w:t>
      </w:r>
      <w:r w:rsidRPr="00BB1E47">
        <w:rPr>
          <w:rStyle w:val="FootnoteReference"/>
          <w:szCs w:val="21"/>
        </w:rPr>
        <w:footnoteReference w:id="32"/>
      </w:r>
      <w:r w:rsidRPr="00BB1E47">
        <w:t xml:space="preserve"> The Department of Health assesses compliance standards and provides education. </w:t>
      </w:r>
    </w:p>
    <w:p w14:paraId="2CC6F1AA" w14:textId="77777777" w:rsidR="008C1CA0" w:rsidRPr="00BB1E47" w:rsidRDefault="008C1CA0" w:rsidP="00BB17D3">
      <w:pPr>
        <w:pStyle w:val="Heading3"/>
      </w:pPr>
      <w:bookmarkStart w:id="46" w:name="_Toc134633533"/>
      <w:r w:rsidRPr="00BB1E47">
        <w:lastRenderedPageBreak/>
        <w:t>The private NEPT market has expanded, then consolidated again</w:t>
      </w:r>
      <w:bookmarkEnd w:id="46"/>
    </w:p>
    <w:p w14:paraId="6731DF65" w14:textId="22149364" w:rsidR="008C1CA0" w:rsidRPr="00BB1E47" w:rsidRDefault="008C1CA0" w:rsidP="008C1CA0">
      <w:pPr>
        <w:pStyle w:val="Bullet1"/>
        <w:rPr>
          <w:szCs w:val="21"/>
        </w:rPr>
      </w:pPr>
      <w:r w:rsidRPr="00BB1E47">
        <w:t>The composition of the private NEPT market has fluctuated significantly over time (see</w:t>
      </w:r>
      <w:r w:rsidR="005933FC" w:rsidRPr="00BB1E47">
        <w:t xml:space="preserve"> </w:t>
      </w:r>
      <w:r w:rsidR="005933FC" w:rsidRPr="00BB1E47">
        <w:fldChar w:fldCharType="begin"/>
      </w:r>
      <w:r w:rsidR="005933FC" w:rsidRPr="00BB1E47">
        <w:instrText xml:space="preserve"> REF _Ref135603259 \h </w:instrText>
      </w:r>
      <w:r w:rsidR="00BB1E47">
        <w:instrText xml:space="preserve"> \* MERGEFORMAT </w:instrText>
      </w:r>
      <w:r w:rsidR="005933FC" w:rsidRPr="00BB1E47">
        <w:fldChar w:fldCharType="separate"/>
      </w:r>
      <w:r w:rsidR="003D510C" w:rsidRPr="00BB1E47">
        <w:t xml:space="preserve">Figure </w:t>
      </w:r>
      <w:r w:rsidR="003D510C">
        <w:rPr>
          <w:noProof/>
        </w:rPr>
        <w:t>2</w:t>
      </w:r>
      <w:r w:rsidR="005933FC" w:rsidRPr="00BB1E47">
        <w:fldChar w:fldCharType="end"/>
      </w:r>
      <w:r w:rsidR="00596DFA" w:rsidRPr="00BB1E47">
        <w:t xml:space="preserve"> </w:t>
      </w:r>
      <w:r w:rsidR="00596DFA" w:rsidRPr="00BB1E47">
        <w:fldChar w:fldCharType="begin"/>
      </w:r>
      <w:r w:rsidR="00596DFA" w:rsidRPr="00BB1E47">
        <w:instrText xml:space="preserve"> REF _Ref135678556 \p \h </w:instrText>
      </w:r>
      <w:r w:rsidR="00BB1E47">
        <w:instrText xml:space="preserve"> \* MERGEFORMAT </w:instrText>
      </w:r>
      <w:r w:rsidR="00596DFA" w:rsidRPr="00BB1E47">
        <w:fldChar w:fldCharType="separate"/>
      </w:r>
      <w:r w:rsidR="003D510C">
        <w:t>below</w:t>
      </w:r>
      <w:r w:rsidR="00596DFA" w:rsidRPr="00BB1E47">
        <w:fldChar w:fldCharType="end"/>
      </w:r>
      <w:r w:rsidRPr="00BB1E47">
        <w:t xml:space="preserve">). </w:t>
      </w:r>
    </w:p>
    <w:p w14:paraId="7F542152" w14:textId="77777777" w:rsidR="008C1CA0" w:rsidRPr="00BB1E47" w:rsidRDefault="008C1CA0" w:rsidP="008C1CA0">
      <w:pPr>
        <w:pStyle w:val="Bullet1"/>
      </w:pPr>
      <w:r w:rsidRPr="00BB1E47">
        <w:t>In 2012, there were 14 licensed providers, with half of them receiving contracted work from AV. Volumes were relatively concentrated, with one provider securing more than 40% of the tender market.</w:t>
      </w:r>
      <w:r w:rsidRPr="00BB1E47">
        <w:rPr>
          <w:rStyle w:val="FootnoteReference"/>
          <w:rFonts w:cs="Arial"/>
        </w:rPr>
        <w:footnoteReference w:id="33"/>
      </w:r>
      <w:r w:rsidRPr="00BB1E47">
        <w:t xml:space="preserve">  </w:t>
      </w:r>
    </w:p>
    <w:p w14:paraId="598F3BC0" w14:textId="3B1B5256" w:rsidR="008C1CA0" w:rsidRPr="00BB1E47" w:rsidRDefault="008C1CA0" w:rsidP="008C1CA0">
      <w:pPr>
        <w:pStyle w:val="Bullet1"/>
        <w:rPr>
          <w:rFonts w:cs="Arial"/>
        </w:rPr>
      </w:pPr>
      <w:r w:rsidRPr="00BB1E47">
        <w:t xml:space="preserve">Between 2012 and 2021 the number of licensed providers grew to 20, </w:t>
      </w:r>
      <w:r w:rsidR="00A30391" w:rsidRPr="00BB1E47">
        <w:t>before</w:t>
      </w:r>
      <w:r w:rsidRPr="00BB1E47">
        <w:t xml:space="preserve"> a period of consolidation. In the last two years, the volume of providers reduced from 20 to 13, with five licenses cancelled or suspended due to non-operation or minimal operation.</w:t>
      </w:r>
      <w:r w:rsidR="00762F7E" w:rsidRPr="00BB1E47">
        <w:rPr>
          <w:rStyle w:val="FootnoteReference"/>
        </w:rPr>
        <w:footnoteReference w:id="34"/>
      </w:r>
      <w:r w:rsidRPr="00BB1E47">
        <w:t xml:space="preserve"> </w:t>
      </w:r>
    </w:p>
    <w:p w14:paraId="66F4236B" w14:textId="77777777" w:rsidR="008C1CA0" w:rsidRPr="00BB1E47" w:rsidRDefault="008C1CA0" w:rsidP="008C1CA0">
      <w:pPr>
        <w:pStyle w:val="Bullet1"/>
        <w:rPr>
          <w:rFonts w:cs="Arial"/>
        </w:rPr>
      </w:pPr>
      <w:r w:rsidRPr="00BB1E47">
        <w:t>At present, the majority of NEPT services are delivered by six of the 13 registered providers.</w:t>
      </w:r>
      <w:r w:rsidRPr="00BB1E47">
        <w:rPr>
          <w:rStyle w:val="FootnoteReference"/>
        </w:rPr>
        <w:footnoteReference w:id="35"/>
      </w:r>
    </w:p>
    <w:p w14:paraId="3EFFA493" w14:textId="18E9DABA" w:rsidR="008C1CA0" w:rsidRPr="00BB1E47" w:rsidRDefault="008C1CA0" w:rsidP="003B4D54">
      <w:pPr>
        <w:pStyle w:val="Tablecaption"/>
      </w:pPr>
      <w:bookmarkStart w:id="47" w:name="_Ref135603259"/>
      <w:bookmarkStart w:id="48" w:name="_Ref135678556"/>
      <w:r w:rsidRPr="00BB1E47">
        <w:t xml:space="preserve">Figure </w:t>
      </w:r>
      <w:r>
        <w:fldChar w:fldCharType="begin"/>
      </w:r>
      <w:r>
        <w:instrText>SEQ Figure \* ARABIC</w:instrText>
      </w:r>
      <w:r>
        <w:fldChar w:fldCharType="separate"/>
      </w:r>
      <w:r w:rsidR="003D510C">
        <w:rPr>
          <w:noProof/>
        </w:rPr>
        <w:t>2</w:t>
      </w:r>
      <w:r>
        <w:fldChar w:fldCharType="end"/>
      </w:r>
      <w:bookmarkEnd w:id="47"/>
      <w:r w:rsidRPr="00BB1E47">
        <w:t>: Evolution of the private NEPT market in Victoria</w:t>
      </w:r>
      <w:bookmarkEnd w:id="48"/>
    </w:p>
    <w:p w14:paraId="70597A09" w14:textId="77777777" w:rsidR="008C1CA0" w:rsidRPr="00BB1E47" w:rsidRDefault="008C1CA0" w:rsidP="003B4D54">
      <w:pPr>
        <w:jc w:val="center"/>
        <w:rPr>
          <w:noProof/>
        </w:rPr>
      </w:pPr>
      <w:r w:rsidRPr="00BB1E47">
        <w:rPr>
          <w:noProof/>
        </w:rPr>
        <w:drawing>
          <wp:inline distT="0" distB="0" distL="0" distR="0" wp14:anchorId="6D20FB1C" wp14:editId="018AFABA">
            <wp:extent cx="5167746" cy="2237509"/>
            <wp:effectExtent l="0" t="0" r="13970" b="10795"/>
            <wp:docPr id="58" name="Chart 58" descr="This graph show that Licensed providers in Victoria numbered 13 in 2023, 20 in 2021 and 14 in 2013. &#10;&#10;This graph also shows that AV contractors numbered 6, 7 and 7 in 2023, 2021 and 2013. &#10;&#10;The graph also shows that HSV panel members numbered 8 in 2021 and 4 in 2023. ">
              <a:extLst xmlns:a="http://schemas.openxmlformats.org/drawingml/2006/main">
                <a:ext uri="{FF2B5EF4-FFF2-40B4-BE49-F238E27FC236}">
                  <a16:creationId xmlns:a16="http://schemas.microsoft.com/office/drawing/2014/main" id="{9A8CD473-D68A-4EAF-8A71-F1C43E15A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3AB94EB" w14:textId="78654580" w:rsidR="008C1CA0" w:rsidRPr="00BB1E47" w:rsidRDefault="008C1CA0" w:rsidP="00BB17D3">
      <w:pPr>
        <w:pStyle w:val="Heading3"/>
      </w:pPr>
      <w:bookmarkStart w:id="49" w:name="_Toc134633534"/>
      <w:r w:rsidRPr="00BB1E47">
        <w:t>NEPT provider responsibilities have evolved</w:t>
      </w:r>
      <w:bookmarkEnd w:id="49"/>
      <w:r w:rsidR="00E23095" w:rsidRPr="00BB1E47">
        <w:t xml:space="preserve"> over time</w:t>
      </w:r>
    </w:p>
    <w:p w14:paraId="44565E1D" w14:textId="77777777" w:rsidR="00E76579" w:rsidRPr="00BB1E47" w:rsidRDefault="008C1CA0" w:rsidP="00756DAC">
      <w:pPr>
        <w:pStyle w:val="Bullet1"/>
      </w:pPr>
      <w:r w:rsidRPr="00BB1E47">
        <w:t xml:space="preserve">There have also been significant changes in the responsibilities of NEPT providers. As noted above, the quality and safety standards NEPT providers </w:t>
      </w:r>
      <w:r w:rsidR="00E76579" w:rsidRPr="00BB1E47">
        <w:t xml:space="preserve">must </w:t>
      </w:r>
      <w:r w:rsidRPr="00BB1E47">
        <w:t xml:space="preserve">meet have strengthened significantly. </w:t>
      </w:r>
    </w:p>
    <w:p w14:paraId="1B0A678A" w14:textId="32935E7D" w:rsidR="008F7824" w:rsidRPr="00BB1E47" w:rsidRDefault="008C1CA0" w:rsidP="00756DAC">
      <w:pPr>
        <w:pStyle w:val="Bullet1"/>
      </w:pPr>
      <w:r w:rsidRPr="00BB1E47">
        <w:t xml:space="preserve">NEPT provider responsibilities in relation to </w:t>
      </w:r>
      <w:r w:rsidR="00864AF2" w:rsidRPr="00BB1E47">
        <w:t xml:space="preserve">the </w:t>
      </w:r>
      <w:r w:rsidRPr="00BB1E47">
        <w:t xml:space="preserve">delivery of public duties </w:t>
      </w:r>
      <w:r w:rsidR="00864AF2" w:rsidRPr="00BB1E47">
        <w:t xml:space="preserve">and support of major incidents </w:t>
      </w:r>
      <w:r w:rsidRPr="00BB1E47">
        <w:t>have also shifted.</w:t>
      </w:r>
      <w:r w:rsidR="00E76579" w:rsidRPr="00BB1E47">
        <w:t xml:space="preserve"> </w:t>
      </w:r>
      <w:r w:rsidR="001C19C0" w:rsidRPr="00BB1E47">
        <w:t xml:space="preserve">The 2021 amendments to the </w:t>
      </w:r>
      <w:r w:rsidR="001C19C0" w:rsidRPr="00851228">
        <w:rPr>
          <w:i/>
          <w:iCs/>
        </w:rPr>
        <w:t>Non-Emergency Patient Transport Act 2003</w:t>
      </w:r>
      <w:r w:rsidR="001C19C0" w:rsidRPr="00BB1E47">
        <w:t xml:space="preserve"> removed the previous ‘standby’ provision for NEPT services</w:t>
      </w:r>
      <w:r w:rsidR="00537CB4" w:rsidRPr="00BB1E47">
        <w:t>.</w:t>
      </w:r>
      <w:r w:rsidR="008F7824" w:rsidRPr="00BB1E47">
        <w:t xml:space="preserve"> </w:t>
      </w:r>
    </w:p>
    <w:p w14:paraId="4DF0A7A8" w14:textId="45CDFDCD" w:rsidR="00537CB4" w:rsidRPr="00BB1E47" w:rsidRDefault="00537CB4" w:rsidP="00756DAC">
      <w:pPr>
        <w:pStyle w:val="Bullet2"/>
        <w:rPr>
          <w:rFonts w:cs="Arial"/>
          <w:szCs w:val="21"/>
        </w:rPr>
      </w:pPr>
      <w:r w:rsidRPr="00BB1E47">
        <w:rPr>
          <w:rFonts w:cs="Arial"/>
          <w:szCs w:val="21"/>
        </w:rPr>
        <w:t xml:space="preserve">Under </w:t>
      </w:r>
      <w:r w:rsidR="009F1FFD" w:rsidRPr="00BB1E47">
        <w:rPr>
          <w:rFonts w:cs="Arial"/>
          <w:szCs w:val="21"/>
        </w:rPr>
        <w:t>this</w:t>
      </w:r>
      <w:r w:rsidR="00693108">
        <w:rPr>
          <w:rFonts w:cs="Arial"/>
          <w:szCs w:val="21"/>
        </w:rPr>
        <w:t xml:space="preserve"> provision</w:t>
      </w:r>
      <w:r w:rsidRPr="00BB1E47">
        <w:rPr>
          <w:rFonts w:cs="Arial"/>
          <w:szCs w:val="21"/>
        </w:rPr>
        <w:t xml:space="preserve">, NEPT providers were accredited to provide staff and vehicles to attend public events </w:t>
      </w:r>
      <w:r w:rsidR="00033FE3" w:rsidRPr="00BB1E47">
        <w:rPr>
          <w:rFonts w:cs="Arial"/>
          <w:szCs w:val="21"/>
        </w:rPr>
        <w:t>and</w:t>
      </w:r>
      <w:r w:rsidRPr="00BB1E47">
        <w:rPr>
          <w:rFonts w:cs="Arial"/>
          <w:szCs w:val="21"/>
        </w:rPr>
        <w:t xml:space="preserve"> provide stand-by services to </w:t>
      </w:r>
      <w:r w:rsidR="00033FE3" w:rsidRPr="00BB1E47">
        <w:rPr>
          <w:rFonts w:cs="Arial"/>
          <w:szCs w:val="21"/>
        </w:rPr>
        <w:t xml:space="preserve">eventgoers </w:t>
      </w:r>
      <w:r w:rsidR="000B2F6F">
        <w:rPr>
          <w:rFonts w:cs="Arial"/>
          <w:szCs w:val="21"/>
        </w:rPr>
        <w:t>experiencing</w:t>
      </w:r>
      <w:r w:rsidR="00033FE3" w:rsidRPr="00BB1E47">
        <w:rPr>
          <w:rFonts w:cs="Arial"/>
          <w:szCs w:val="21"/>
        </w:rPr>
        <w:t xml:space="preserve"> unexpected</w:t>
      </w:r>
      <w:r w:rsidRPr="00BB1E47">
        <w:rPr>
          <w:rFonts w:cs="Arial"/>
          <w:szCs w:val="21"/>
        </w:rPr>
        <w:t xml:space="preserve"> illness or injury</w:t>
      </w:r>
      <w:r w:rsidR="00033FE3" w:rsidRPr="00BB1E47">
        <w:rPr>
          <w:rFonts w:cs="Arial"/>
          <w:szCs w:val="21"/>
        </w:rPr>
        <w:t>.</w:t>
      </w:r>
    </w:p>
    <w:p w14:paraId="4CFB82A1" w14:textId="3163F602" w:rsidR="00DB40E3" w:rsidRPr="00BB1E47" w:rsidRDefault="00DB40E3" w:rsidP="00756DAC">
      <w:pPr>
        <w:pStyle w:val="Bullet2"/>
        <w:rPr>
          <w:rFonts w:cs="Arial"/>
          <w:szCs w:val="21"/>
        </w:rPr>
      </w:pPr>
      <w:r w:rsidRPr="00CF4E17">
        <w:rPr>
          <w:rFonts w:cs="Arial"/>
          <w:szCs w:val="21"/>
        </w:rPr>
        <w:t xml:space="preserve">However, </w:t>
      </w:r>
      <w:r w:rsidR="00F45868">
        <w:rPr>
          <w:rFonts w:cs="Arial"/>
          <w:szCs w:val="21"/>
        </w:rPr>
        <w:t>it was possible for</w:t>
      </w:r>
      <w:r w:rsidR="00B973A2">
        <w:rPr>
          <w:rFonts w:cs="Arial"/>
          <w:szCs w:val="21"/>
        </w:rPr>
        <w:t xml:space="preserve"> </w:t>
      </w:r>
      <w:r w:rsidR="00B973A2" w:rsidRPr="00BB1E47">
        <w:rPr>
          <w:rFonts w:cs="Arial"/>
          <w:szCs w:val="21"/>
        </w:rPr>
        <w:t>licence holders</w:t>
      </w:r>
      <w:r w:rsidR="00DB4D3B" w:rsidRPr="00BB1E47">
        <w:rPr>
          <w:rFonts w:cs="Arial"/>
          <w:szCs w:val="21"/>
        </w:rPr>
        <w:t xml:space="preserve"> </w:t>
      </w:r>
      <w:r w:rsidR="00F45868">
        <w:rPr>
          <w:rFonts w:cs="Arial"/>
          <w:szCs w:val="21"/>
        </w:rPr>
        <w:t xml:space="preserve">to </w:t>
      </w:r>
      <w:r w:rsidR="00DB4D3B">
        <w:rPr>
          <w:rFonts w:cs="Arial"/>
          <w:szCs w:val="21"/>
        </w:rPr>
        <w:t>subvert</w:t>
      </w:r>
      <w:r w:rsidR="00DB4D3B" w:rsidRPr="00BB1E47">
        <w:rPr>
          <w:rFonts w:cs="Arial"/>
          <w:szCs w:val="21"/>
        </w:rPr>
        <w:t xml:space="preserve"> the intent </w:t>
      </w:r>
      <w:r w:rsidR="006638F8" w:rsidRPr="00BB1E47">
        <w:rPr>
          <w:rFonts w:cs="Arial"/>
          <w:szCs w:val="21"/>
        </w:rPr>
        <w:t xml:space="preserve">of this provision by </w:t>
      </w:r>
      <w:r w:rsidR="00CE1CEE" w:rsidRPr="00BB1E47">
        <w:rPr>
          <w:rFonts w:cs="Arial"/>
          <w:szCs w:val="21"/>
        </w:rPr>
        <w:t xml:space="preserve">obtaining a NEPT licence </w:t>
      </w:r>
      <w:r w:rsidR="00692AD5">
        <w:rPr>
          <w:rFonts w:cs="Arial"/>
          <w:szCs w:val="21"/>
        </w:rPr>
        <w:t>with no plan</w:t>
      </w:r>
      <w:r w:rsidR="00CE1CEE" w:rsidRPr="00BB1E47">
        <w:rPr>
          <w:rFonts w:cs="Arial"/>
          <w:szCs w:val="21"/>
        </w:rPr>
        <w:t xml:space="preserve"> to </w:t>
      </w:r>
      <w:proofErr w:type="gramStart"/>
      <w:r w:rsidR="00692AD5">
        <w:rPr>
          <w:rFonts w:cs="Arial"/>
          <w:szCs w:val="21"/>
        </w:rPr>
        <w:t xml:space="preserve">actually </w:t>
      </w:r>
      <w:r w:rsidR="00CE1CEE" w:rsidRPr="00BB1E47">
        <w:rPr>
          <w:rFonts w:cs="Arial"/>
          <w:szCs w:val="21"/>
        </w:rPr>
        <w:t>transport</w:t>
      </w:r>
      <w:proofErr w:type="gramEnd"/>
      <w:r w:rsidR="00CE1CEE" w:rsidRPr="00BB1E47">
        <w:rPr>
          <w:rFonts w:cs="Arial"/>
          <w:szCs w:val="21"/>
        </w:rPr>
        <w:t xml:space="preserve"> patients</w:t>
      </w:r>
      <w:r w:rsidR="00F45868">
        <w:rPr>
          <w:rFonts w:cs="Arial"/>
          <w:szCs w:val="21"/>
        </w:rPr>
        <w:t>. This would</w:t>
      </w:r>
      <w:r w:rsidR="005A3CB2" w:rsidRPr="00BB1E47">
        <w:rPr>
          <w:rFonts w:cs="Arial"/>
          <w:szCs w:val="21"/>
        </w:rPr>
        <w:t xml:space="preserve"> </w:t>
      </w:r>
      <w:r w:rsidR="00692AD5">
        <w:rPr>
          <w:rFonts w:cs="Arial"/>
          <w:szCs w:val="21"/>
        </w:rPr>
        <w:t>give the provider</w:t>
      </w:r>
      <w:r w:rsidR="005B58CB" w:rsidRPr="00BB1E47">
        <w:rPr>
          <w:rFonts w:cs="Arial"/>
          <w:szCs w:val="21"/>
        </w:rPr>
        <w:t xml:space="preserve"> </w:t>
      </w:r>
      <w:r w:rsidR="00EE7497" w:rsidRPr="00BB1E47">
        <w:rPr>
          <w:rFonts w:cs="Arial"/>
          <w:szCs w:val="21"/>
        </w:rPr>
        <w:t xml:space="preserve">access </w:t>
      </w:r>
      <w:r w:rsidR="00692AD5">
        <w:rPr>
          <w:rFonts w:cs="Arial"/>
          <w:szCs w:val="21"/>
        </w:rPr>
        <w:t xml:space="preserve">to </w:t>
      </w:r>
      <w:r w:rsidR="00EE7497" w:rsidRPr="00BB1E47">
        <w:rPr>
          <w:rFonts w:cs="Arial"/>
          <w:szCs w:val="21"/>
        </w:rPr>
        <w:t>approved scheduled medicines</w:t>
      </w:r>
      <w:r w:rsidR="00692AD5">
        <w:rPr>
          <w:rFonts w:cs="Arial"/>
          <w:szCs w:val="21"/>
        </w:rPr>
        <w:t>, which would be</w:t>
      </w:r>
      <w:r w:rsidR="00EE7497" w:rsidRPr="00BB1E47">
        <w:rPr>
          <w:rFonts w:cs="Arial"/>
          <w:szCs w:val="21"/>
        </w:rPr>
        <w:t xml:space="preserve"> a competitive advantage </w:t>
      </w:r>
      <w:r w:rsidR="00CF1C5D" w:rsidRPr="00BB1E47">
        <w:rPr>
          <w:rFonts w:cs="Arial"/>
          <w:szCs w:val="21"/>
        </w:rPr>
        <w:t>over</w:t>
      </w:r>
      <w:r w:rsidR="00E808F4" w:rsidRPr="00BB1E47">
        <w:rPr>
          <w:rFonts w:cs="Arial"/>
          <w:szCs w:val="21"/>
        </w:rPr>
        <w:t xml:space="preserve"> other first aid providers</w:t>
      </w:r>
      <w:r w:rsidR="00933666" w:rsidRPr="00BB1E47">
        <w:rPr>
          <w:rFonts w:cs="Arial"/>
          <w:szCs w:val="21"/>
        </w:rPr>
        <w:t>. This create</w:t>
      </w:r>
      <w:r w:rsidR="00501511" w:rsidRPr="00BB1E47">
        <w:rPr>
          <w:rFonts w:cs="Arial"/>
          <w:szCs w:val="21"/>
        </w:rPr>
        <w:t>d</w:t>
      </w:r>
      <w:r w:rsidR="00933666" w:rsidRPr="00BB1E47">
        <w:rPr>
          <w:rFonts w:cs="Arial"/>
          <w:szCs w:val="21"/>
        </w:rPr>
        <w:t xml:space="preserve"> a potential risk for </w:t>
      </w:r>
      <w:r w:rsidR="00F31E1B" w:rsidRPr="00BB1E47">
        <w:rPr>
          <w:rFonts w:cs="Arial"/>
          <w:szCs w:val="21"/>
        </w:rPr>
        <w:t>event attendees</w:t>
      </w:r>
      <w:r w:rsidR="00245072" w:rsidRPr="00BB1E47">
        <w:rPr>
          <w:rFonts w:cs="Arial"/>
          <w:szCs w:val="21"/>
        </w:rPr>
        <w:t xml:space="preserve"> </w:t>
      </w:r>
      <w:r w:rsidR="00CF5172" w:rsidRPr="00BB1E47">
        <w:rPr>
          <w:rFonts w:cs="Arial"/>
          <w:szCs w:val="21"/>
        </w:rPr>
        <w:t>as</w:t>
      </w:r>
      <w:r w:rsidR="00245072" w:rsidRPr="00BB1E47">
        <w:rPr>
          <w:rFonts w:cs="Arial"/>
          <w:szCs w:val="21"/>
        </w:rPr>
        <w:t xml:space="preserve"> the previous regulations </w:t>
      </w:r>
      <w:r w:rsidR="000962C4" w:rsidRPr="00BB1E47">
        <w:rPr>
          <w:rFonts w:cs="Arial"/>
          <w:szCs w:val="21"/>
        </w:rPr>
        <w:t>only covered the minimum requirements for patient transport</w:t>
      </w:r>
      <w:r w:rsidR="00444064" w:rsidRPr="00BB1E47">
        <w:rPr>
          <w:rFonts w:cs="Arial"/>
          <w:szCs w:val="21"/>
        </w:rPr>
        <w:t>, rather than first aid treatment with scheduled medicines</w:t>
      </w:r>
      <w:r w:rsidR="00235C74">
        <w:rPr>
          <w:rStyle w:val="FootnoteReference"/>
          <w:rFonts w:cs="Arial"/>
          <w:szCs w:val="21"/>
        </w:rPr>
        <w:footnoteReference w:id="36"/>
      </w:r>
      <w:r w:rsidR="00444064" w:rsidRPr="00BB1E47">
        <w:rPr>
          <w:rFonts w:cs="Arial"/>
          <w:szCs w:val="21"/>
        </w:rPr>
        <w:t xml:space="preserve">. </w:t>
      </w:r>
    </w:p>
    <w:p w14:paraId="2A19FE69" w14:textId="5BAD9066" w:rsidR="009355C5" w:rsidRPr="00BB1E47" w:rsidRDefault="008F7824" w:rsidP="00756DAC">
      <w:pPr>
        <w:pStyle w:val="Bullet2"/>
        <w:rPr>
          <w:rFonts w:cs="Arial"/>
          <w:szCs w:val="21"/>
        </w:rPr>
      </w:pPr>
      <w:r w:rsidRPr="00BB1E47">
        <w:rPr>
          <w:rFonts w:cs="Arial"/>
          <w:szCs w:val="21"/>
        </w:rPr>
        <w:t>The amendments</w:t>
      </w:r>
      <w:r w:rsidR="001C19C0" w:rsidRPr="00BB1E47">
        <w:rPr>
          <w:rFonts w:cs="Arial"/>
          <w:szCs w:val="21"/>
        </w:rPr>
        <w:t xml:space="preserve"> created a separate set of regulations – the</w:t>
      </w:r>
      <w:r w:rsidR="001C19C0" w:rsidRPr="00851228">
        <w:rPr>
          <w:rFonts w:cs="Arial"/>
          <w:i/>
          <w:iCs/>
          <w:szCs w:val="21"/>
        </w:rPr>
        <w:t xml:space="preserve"> Non-Emergency Patient Transport and First Aid Services (First Aid Services) Regulations 2021 </w:t>
      </w:r>
      <w:r w:rsidR="001C19C0" w:rsidRPr="00BB1E47">
        <w:rPr>
          <w:rFonts w:cs="Arial"/>
          <w:szCs w:val="21"/>
        </w:rPr>
        <w:t xml:space="preserve">- to set minimum standards for the event first aid and medical sector. </w:t>
      </w:r>
    </w:p>
    <w:p w14:paraId="2FBC75F5" w14:textId="4166941C" w:rsidR="004535D4" w:rsidRPr="00BB1E47" w:rsidRDefault="004535D4" w:rsidP="00756DAC">
      <w:pPr>
        <w:pStyle w:val="Bullet2"/>
      </w:pPr>
      <w:r w:rsidRPr="00BB1E47">
        <w:rPr>
          <w:rFonts w:cs="Arial"/>
          <w:szCs w:val="21"/>
        </w:rPr>
        <w:lastRenderedPageBreak/>
        <w:t>These</w:t>
      </w:r>
      <w:r w:rsidRPr="00BB1E47">
        <w:t xml:space="preserve"> amendments and the licensing and regulation of the first aid sector replaced stand-by accreditation of NEPT licensees</w:t>
      </w:r>
      <w:r w:rsidR="00E93F38" w:rsidRPr="00BB1E47">
        <w:t>.</w:t>
      </w:r>
    </w:p>
    <w:p w14:paraId="791AF406" w14:textId="2F7889D7" w:rsidR="00E7344C" w:rsidRPr="00BB1E47" w:rsidRDefault="00E7344C" w:rsidP="00756DAC">
      <w:pPr>
        <w:pStyle w:val="Bullet1"/>
      </w:pPr>
      <w:bookmarkStart w:id="50" w:name="_Toc135394526"/>
      <w:bookmarkEnd w:id="50"/>
      <w:r w:rsidRPr="00BB1E47">
        <w:t xml:space="preserve">NEPT providers </w:t>
      </w:r>
      <w:r w:rsidR="00DC7B23" w:rsidRPr="00BB1E47">
        <w:t>have also come to play an important role in emergency response</w:t>
      </w:r>
      <w:r w:rsidR="00E76579" w:rsidRPr="00BB1E47">
        <w:t>s</w:t>
      </w:r>
      <w:r w:rsidR="00DC7B23" w:rsidRPr="00BB1E47">
        <w:t xml:space="preserve"> under the State Emergency Management Plan. </w:t>
      </w:r>
    </w:p>
    <w:p w14:paraId="6CC2A75C" w14:textId="645F99ED" w:rsidR="007C5B88" w:rsidRPr="00BB1E47" w:rsidRDefault="00864AF2" w:rsidP="00AF02C6">
      <w:pPr>
        <w:pStyle w:val="Bullet2"/>
      </w:pPr>
      <w:r w:rsidRPr="00BB1E47">
        <w:t xml:space="preserve">During emergencies or major </w:t>
      </w:r>
      <w:proofErr w:type="gramStart"/>
      <w:r w:rsidRPr="00BB1E47">
        <w:t>incidents</w:t>
      </w:r>
      <w:proofErr w:type="gramEnd"/>
      <w:r w:rsidR="007C5B88" w:rsidRPr="00BB1E47">
        <w:t xml:space="preserve"> the State Health Commander or Ambulance Victoria Emergency Management Director may </w:t>
      </w:r>
      <w:r w:rsidRPr="00BB1E47">
        <w:t>c</w:t>
      </w:r>
      <w:r w:rsidR="007C5B88" w:rsidRPr="00BB1E47">
        <w:t>ommand non-emergency patient transport</w:t>
      </w:r>
      <w:r w:rsidRPr="00BB1E47">
        <w:t>.</w:t>
      </w:r>
    </w:p>
    <w:p w14:paraId="36C711EA" w14:textId="469E0A1A" w:rsidR="00E7344C" w:rsidRPr="00BB1E47" w:rsidRDefault="007C5B88" w:rsidP="00E9640E">
      <w:pPr>
        <w:pStyle w:val="ListParagraph"/>
        <w:numPr>
          <w:ilvl w:val="0"/>
          <w:numId w:val="24"/>
        </w:numPr>
        <w:spacing w:after="0" w:line="240" w:lineRule="auto"/>
        <w:contextualSpacing w:val="0"/>
        <w:rPr>
          <w:rFonts w:ascii="Arial" w:eastAsia="Times" w:hAnsi="Arial" w:cs="Times New Roman"/>
        </w:rPr>
      </w:pPr>
      <w:r w:rsidRPr="00BB1E47">
        <w:rPr>
          <w:rFonts w:ascii="Arial" w:eastAsia="Times" w:hAnsi="Arial" w:cs="Times New Roman"/>
        </w:rPr>
        <w:t>As part of AV’s three tier escalation process,</w:t>
      </w:r>
      <w:r w:rsidR="00393746" w:rsidRPr="00BB1E47">
        <w:rPr>
          <w:rStyle w:val="FootnoteReference"/>
          <w:rFonts w:ascii="Arial" w:eastAsia="Times" w:hAnsi="Arial" w:cs="Times New Roman"/>
        </w:rPr>
        <w:footnoteReference w:id="37"/>
      </w:r>
      <w:r w:rsidRPr="00BB1E47">
        <w:rPr>
          <w:rFonts w:ascii="Arial" w:eastAsia="Times" w:hAnsi="Arial" w:cs="Times New Roman"/>
        </w:rPr>
        <w:t xml:space="preserve"> NEPT services may </w:t>
      </w:r>
      <w:r w:rsidR="00874DA9">
        <w:rPr>
          <w:rFonts w:ascii="Arial" w:eastAsia="Times" w:hAnsi="Arial" w:cs="Times New Roman"/>
        </w:rPr>
        <w:t>take on increased responsibilities</w:t>
      </w:r>
      <w:r w:rsidR="00033FE3" w:rsidRPr="00BB1E47">
        <w:rPr>
          <w:rFonts w:ascii="Arial" w:eastAsia="Times" w:hAnsi="Arial" w:cs="Times New Roman"/>
        </w:rPr>
        <w:t xml:space="preserve">. </w:t>
      </w:r>
    </w:p>
    <w:p w14:paraId="730BA3B6" w14:textId="417F3005" w:rsidR="008C1CA0" w:rsidRPr="00BB1E47" w:rsidRDefault="008C1CA0" w:rsidP="00E9640E">
      <w:pPr>
        <w:pStyle w:val="Heading2"/>
      </w:pPr>
      <w:bookmarkStart w:id="51" w:name="_Toc134633535"/>
      <w:bookmarkStart w:id="52" w:name="_Toc136433487"/>
      <w:r w:rsidRPr="00BB1E47">
        <w:t>Victoria’s approach to NEPT is different to other jurisdictions’</w:t>
      </w:r>
      <w:bookmarkEnd w:id="51"/>
      <w:bookmarkEnd w:id="52"/>
    </w:p>
    <w:p w14:paraId="209461D3" w14:textId="4AEA92DC" w:rsidR="008C1CA0" w:rsidRPr="00BB1E47" w:rsidRDefault="008C1CA0" w:rsidP="005D49FE">
      <w:pPr>
        <w:pStyle w:val="Bullet1"/>
      </w:pPr>
      <w:r w:rsidRPr="00BB1E47">
        <w:t xml:space="preserve">A mix of purchasing, delivery and regulatory approaches to NEPT are in place around Australia </w:t>
      </w:r>
      <w:r w:rsidR="005A2868" w:rsidRPr="00BB1E47">
        <w:t>(</w:t>
      </w:r>
      <w:r w:rsidR="00596DFA" w:rsidRPr="00BB1E47">
        <w:t xml:space="preserve">see </w:t>
      </w:r>
      <w:r w:rsidR="005A2868" w:rsidRPr="00BB1E47">
        <w:fldChar w:fldCharType="begin"/>
      </w:r>
      <w:r w:rsidR="005A2868" w:rsidRPr="00BB1E47">
        <w:instrText xml:space="preserve"> REF _Ref135036450 \h </w:instrText>
      </w:r>
      <w:r w:rsidR="00BB1E47">
        <w:instrText xml:space="preserve"> \* MERGEFORMAT </w:instrText>
      </w:r>
      <w:r w:rsidR="005A2868" w:rsidRPr="00BB1E47">
        <w:fldChar w:fldCharType="separate"/>
      </w:r>
      <w:r w:rsidR="003D510C" w:rsidRPr="00BB1E47">
        <w:t xml:space="preserve">Table </w:t>
      </w:r>
      <w:r w:rsidR="003D510C">
        <w:rPr>
          <w:bCs/>
          <w:noProof/>
          <w:sz w:val="22"/>
          <w:szCs w:val="22"/>
        </w:rPr>
        <w:t>4</w:t>
      </w:r>
      <w:r w:rsidR="005A2868" w:rsidRPr="00BB1E47">
        <w:fldChar w:fldCharType="end"/>
      </w:r>
      <w:r w:rsidR="00596DFA" w:rsidRPr="00BB1E47">
        <w:t xml:space="preserve"> </w:t>
      </w:r>
      <w:r w:rsidR="00596DFA" w:rsidRPr="00BB1E47">
        <w:fldChar w:fldCharType="begin"/>
      </w:r>
      <w:r w:rsidR="00596DFA" w:rsidRPr="00BB1E47">
        <w:instrText xml:space="preserve"> REF _Ref135678589 \p \h </w:instrText>
      </w:r>
      <w:r w:rsidR="00BB1E47">
        <w:instrText xml:space="preserve"> \* MERGEFORMAT </w:instrText>
      </w:r>
      <w:r w:rsidR="00596DFA" w:rsidRPr="00BB1E47">
        <w:fldChar w:fldCharType="separate"/>
      </w:r>
      <w:r w:rsidR="003D510C">
        <w:t>below</w:t>
      </w:r>
      <w:r w:rsidR="00596DFA" w:rsidRPr="00BB1E47">
        <w:fldChar w:fldCharType="end"/>
      </w:r>
      <w:r w:rsidR="005A2868" w:rsidRPr="00BB1E47">
        <w:t>).</w:t>
      </w:r>
    </w:p>
    <w:p w14:paraId="1C9DE154" w14:textId="39DAEC95" w:rsidR="00A57342" w:rsidRPr="00BB1E47" w:rsidRDefault="00C958F2" w:rsidP="00A57342">
      <w:pPr>
        <w:pStyle w:val="Bullet1"/>
      </w:pPr>
      <w:r w:rsidRPr="00BB1E47">
        <w:t>Half of</w:t>
      </w:r>
      <w:r w:rsidR="00A57342" w:rsidRPr="00BB1E47">
        <w:t xml:space="preserve"> </w:t>
      </w:r>
      <w:r w:rsidRPr="00BB1E47">
        <w:t xml:space="preserve">the states and territories </w:t>
      </w:r>
      <w:r w:rsidR="00A57342" w:rsidRPr="00BB1E47">
        <w:t xml:space="preserve">in Australia deliver their NEPT services through a public entity. </w:t>
      </w:r>
    </w:p>
    <w:p w14:paraId="6FDA0890" w14:textId="69DE287C" w:rsidR="00A57342" w:rsidRPr="00BB1E47" w:rsidRDefault="00A57342" w:rsidP="00A57342">
      <w:pPr>
        <w:pStyle w:val="Bullet2"/>
      </w:pPr>
      <w:r w:rsidRPr="00BB1E47">
        <w:t xml:space="preserve">In South Australia, </w:t>
      </w:r>
      <w:proofErr w:type="gramStart"/>
      <w:r w:rsidRPr="00BB1E47">
        <w:t>Queensland</w:t>
      </w:r>
      <w:proofErr w:type="gramEnd"/>
      <w:r w:rsidRPr="00BB1E47">
        <w:t xml:space="preserve"> and </w:t>
      </w:r>
      <w:r w:rsidR="00C958F2" w:rsidRPr="00BB1E47">
        <w:t xml:space="preserve">the </w:t>
      </w:r>
      <w:r w:rsidRPr="00BB1E47">
        <w:t>ACT the state ambulance services deliver NEPT.</w:t>
      </w:r>
    </w:p>
    <w:p w14:paraId="1A876D3B" w14:textId="5158BF30" w:rsidR="00A57342" w:rsidRPr="00BB1E47" w:rsidRDefault="00A57342" w:rsidP="00A57342">
      <w:pPr>
        <w:pStyle w:val="Bullet2"/>
      </w:pPr>
      <w:r w:rsidRPr="00BB1E47">
        <w:t>In NSW</w:t>
      </w:r>
      <w:r w:rsidR="00DF0E2F">
        <w:t>,</w:t>
      </w:r>
      <w:r w:rsidRPr="00BB1E47">
        <w:t xml:space="preserve"> NEPT has been recently </w:t>
      </w:r>
      <w:r w:rsidRPr="00BB1E47">
        <w:rPr>
          <w:rFonts w:cs="Arial"/>
        </w:rPr>
        <w:t>separated</w:t>
      </w:r>
      <w:r w:rsidRPr="00BB1E47">
        <w:t xml:space="preserve"> from ambulance services and delivered by a statutory body with broader health supply chain delivery responsibilities. </w:t>
      </w:r>
    </w:p>
    <w:p w14:paraId="777993EC" w14:textId="2F1DF673" w:rsidR="008C1CA0" w:rsidRPr="00BB1E47" w:rsidRDefault="00D57BE6" w:rsidP="005D49FE">
      <w:pPr>
        <w:pStyle w:val="Bullet1"/>
      </w:pPr>
      <w:r w:rsidRPr="00BB1E47">
        <w:t>The rest of the states and territories</w:t>
      </w:r>
      <w:r w:rsidR="00AF41C5">
        <w:t xml:space="preserve"> (including </w:t>
      </w:r>
      <w:r w:rsidR="00AF41C5" w:rsidRPr="00BB1E47">
        <w:t xml:space="preserve">Tasmania, Western </w:t>
      </w:r>
      <w:proofErr w:type="gramStart"/>
      <w:r w:rsidR="00AF41C5" w:rsidRPr="00BB1E47">
        <w:t>Australia</w:t>
      </w:r>
      <w:proofErr w:type="gramEnd"/>
      <w:r w:rsidR="00AF41C5" w:rsidRPr="00BB1E47">
        <w:t xml:space="preserve"> and</w:t>
      </w:r>
      <w:r w:rsidR="002E50D9">
        <w:t xml:space="preserve"> the</w:t>
      </w:r>
      <w:r w:rsidR="00AF41C5" w:rsidRPr="00BB1E47">
        <w:t xml:space="preserve"> Northern Territory</w:t>
      </w:r>
      <w:r w:rsidR="00C546B9">
        <w:t>)</w:t>
      </w:r>
      <w:r w:rsidR="00AF41C5" w:rsidRPr="00BB1E47">
        <w:t xml:space="preserve"> </w:t>
      </w:r>
      <w:r w:rsidRPr="00BB1E47">
        <w:t xml:space="preserve">contract </w:t>
      </w:r>
      <w:r w:rsidR="008C1CA0" w:rsidRPr="00BB1E47">
        <w:t>NEPT services from private providers</w:t>
      </w:r>
      <w:r w:rsidR="00AF41C5">
        <w:t xml:space="preserve">. </w:t>
      </w:r>
      <w:r w:rsidR="008C1CA0" w:rsidRPr="00BB1E47">
        <w:t>However, Victoria is unique in terms of the size and competitiveness of its private NEPT sector. Outside of Victoria, jurisdictions either:</w:t>
      </w:r>
    </w:p>
    <w:p w14:paraId="0E2CAE63" w14:textId="6C19F15F" w:rsidR="008C1CA0" w:rsidRPr="00BB1E47" w:rsidRDefault="008C1CA0" w:rsidP="007D11AE">
      <w:pPr>
        <w:pStyle w:val="Bullet2"/>
        <w:rPr>
          <w:rFonts w:cs="Arial"/>
        </w:rPr>
      </w:pPr>
      <w:r w:rsidRPr="00BB1E47">
        <w:rPr>
          <w:rFonts w:cs="Arial"/>
        </w:rPr>
        <w:t xml:space="preserve">contract with </w:t>
      </w:r>
      <w:r w:rsidRPr="00BB1E47">
        <w:rPr>
          <w:rStyle w:val="normaltextrun"/>
          <w:rFonts w:cs="Arial"/>
        </w:rPr>
        <w:t>fewer</w:t>
      </w:r>
      <w:r w:rsidRPr="00BB1E47">
        <w:rPr>
          <w:rFonts w:cs="Arial"/>
        </w:rPr>
        <w:t xml:space="preserve"> providers (one in the case of the Northern Territory and three in Western Australia</w:t>
      </w:r>
      <w:r w:rsidR="008317D2" w:rsidRPr="00BB1E47">
        <w:rPr>
          <w:rFonts w:cs="Arial"/>
        </w:rPr>
        <w:t xml:space="preserve">, in contrast to Victoria where AV and health services contract </w:t>
      </w:r>
      <w:r w:rsidR="00A57342" w:rsidRPr="00BB1E47">
        <w:rPr>
          <w:rFonts w:cs="Arial"/>
        </w:rPr>
        <w:t xml:space="preserve">with </w:t>
      </w:r>
      <w:r w:rsidR="008317D2" w:rsidRPr="00BB1E47">
        <w:rPr>
          <w:rFonts w:cs="Arial"/>
        </w:rPr>
        <w:t>up to six providers</w:t>
      </w:r>
      <w:r w:rsidRPr="00BB1E47">
        <w:rPr>
          <w:rFonts w:cs="Arial"/>
        </w:rPr>
        <w:t xml:space="preserve">) or </w:t>
      </w:r>
    </w:p>
    <w:p w14:paraId="632AC3EF" w14:textId="77777777" w:rsidR="008C1CA0" w:rsidRPr="00BB1E47" w:rsidRDefault="008C1CA0" w:rsidP="007D11AE">
      <w:pPr>
        <w:pStyle w:val="Bullet2"/>
        <w:rPr>
          <w:rFonts w:cs="Arial"/>
        </w:rPr>
      </w:pPr>
      <w:r w:rsidRPr="00BB1E47">
        <w:rPr>
          <w:rFonts w:cs="Arial"/>
        </w:rPr>
        <w:t xml:space="preserve">manage a much smaller NEPT market (low acuity services only in the case of Tasmania, in contrast to Victoria where NEPT providers </w:t>
      </w:r>
      <w:r w:rsidRPr="00BB1E47">
        <w:rPr>
          <w:rStyle w:val="normaltextrun"/>
          <w:rFonts w:cs="Arial"/>
        </w:rPr>
        <w:t>deliver</w:t>
      </w:r>
      <w:r w:rsidRPr="00BB1E47">
        <w:rPr>
          <w:rFonts w:cs="Arial"/>
        </w:rPr>
        <w:t xml:space="preserve"> low, </w:t>
      </w:r>
      <w:proofErr w:type="gramStart"/>
      <w:r w:rsidRPr="00BB1E47">
        <w:rPr>
          <w:rFonts w:cs="Arial"/>
        </w:rPr>
        <w:t>medium</w:t>
      </w:r>
      <w:proofErr w:type="gramEnd"/>
      <w:r w:rsidRPr="00BB1E47">
        <w:rPr>
          <w:rFonts w:cs="Arial"/>
        </w:rPr>
        <w:t xml:space="preserve"> and high acuity services). </w:t>
      </w:r>
    </w:p>
    <w:p w14:paraId="7AAB9BF6" w14:textId="4685A342" w:rsidR="008C1CA0" w:rsidRPr="00BB1E47" w:rsidRDefault="008C1CA0" w:rsidP="005D49FE">
      <w:pPr>
        <w:pStyle w:val="Bullet1"/>
      </w:pPr>
      <w:r w:rsidRPr="00BB1E47">
        <w:t xml:space="preserve">Victoria is also the only state or territory to have standalone regulation that is specific to its NEPT sector. Other jurisdictions regulate their NEPT sectors under their wider health legislation and/or accompanying regulation and policies (see </w:t>
      </w:r>
      <w:r w:rsidR="004F3C3D" w:rsidRPr="00BB1E47">
        <w:fldChar w:fldCharType="begin"/>
      </w:r>
      <w:r w:rsidR="004F3C3D" w:rsidRPr="00BB1E47">
        <w:instrText xml:space="preserve"> REF _Ref134687717 \h  \* MERGEFORMAT </w:instrText>
      </w:r>
      <w:r w:rsidR="004F3C3D" w:rsidRPr="00BB1E47">
        <w:fldChar w:fldCharType="separate"/>
      </w:r>
      <w:r w:rsidR="003D510C" w:rsidRPr="00BB1E47">
        <w:t>Appendix 2: Jurisdictional comparison of procurement arrangements</w:t>
      </w:r>
      <w:r w:rsidR="004F3C3D" w:rsidRPr="00BB1E47">
        <w:fldChar w:fldCharType="end"/>
      </w:r>
      <w:r w:rsidR="009B6F4F" w:rsidRPr="00BB1E47">
        <w:t>).</w:t>
      </w:r>
    </w:p>
    <w:p w14:paraId="3B974F3D" w14:textId="77777777" w:rsidR="00DF48D6" w:rsidRPr="00BB1E47" w:rsidRDefault="008C1CA0" w:rsidP="005D49FE">
      <w:pPr>
        <w:pStyle w:val="Bullet1"/>
      </w:pPr>
      <w:r w:rsidRPr="00BB1E47">
        <w:t xml:space="preserve">Not all jurisdictions use NEPT to support emergency </w:t>
      </w:r>
      <w:r w:rsidR="008D32D9" w:rsidRPr="00BB1E47">
        <w:t xml:space="preserve">Triple Zero </w:t>
      </w:r>
      <w:r w:rsidR="00796E44" w:rsidRPr="00BB1E47">
        <w:t>calls.</w:t>
      </w:r>
      <w:r w:rsidRPr="00BB1E47">
        <w:t xml:space="preserve"> </w:t>
      </w:r>
    </w:p>
    <w:p w14:paraId="5B64679B" w14:textId="5E37A69F" w:rsidR="00DF48D6" w:rsidRPr="00BB1E47" w:rsidRDefault="008C1CA0" w:rsidP="00DF48D6">
      <w:pPr>
        <w:pStyle w:val="Bullet2"/>
      </w:pPr>
      <w:r w:rsidRPr="00BB1E47">
        <w:t xml:space="preserve">In Victoria and Queensland, </w:t>
      </w:r>
      <w:r w:rsidR="00E87A88">
        <w:t xml:space="preserve">following </w:t>
      </w:r>
      <w:r w:rsidRPr="00BB1E47">
        <w:t>secondary triage</w:t>
      </w:r>
      <w:r w:rsidR="00E87A88">
        <w:t>, a</w:t>
      </w:r>
      <w:r w:rsidRPr="00BB1E47">
        <w:t xml:space="preserve"> NEPT </w:t>
      </w:r>
      <w:r w:rsidR="00E87A88">
        <w:t>service may be dispatched</w:t>
      </w:r>
      <w:r w:rsidRPr="00BB1E47">
        <w:t xml:space="preserve"> to patients not requiring an emergency response. </w:t>
      </w:r>
    </w:p>
    <w:p w14:paraId="07990D0D" w14:textId="1B5D0A64" w:rsidR="008C1CA0" w:rsidRPr="00BB1E47" w:rsidRDefault="008C1CA0" w:rsidP="00DF48D6">
      <w:pPr>
        <w:pStyle w:val="Bullet2"/>
      </w:pPr>
      <w:r w:rsidRPr="00BB1E47">
        <w:t xml:space="preserve">In contrast, secondary triage services in South Australia do not make use of NEPT and redirect patients to other care pathways. </w:t>
      </w:r>
    </w:p>
    <w:p w14:paraId="15966AF7" w14:textId="58D3CA36" w:rsidR="008C1CA0" w:rsidRPr="00BB1E47" w:rsidRDefault="008C1CA0" w:rsidP="004412D3">
      <w:pPr>
        <w:pStyle w:val="Tablecaption"/>
        <w:rPr>
          <w:b w:val="0"/>
          <w:bCs/>
          <w:sz w:val="22"/>
          <w:szCs w:val="22"/>
        </w:rPr>
      </w:pPr>
      <w:bookmarkStart w:id="53" w:name="_Ref135036450"/>
      <w:bookmarkStart w:id="54" w:name="_Ref135678589"/>
      <w:r w:rsidRPr="00BB1E47">
        <w:lastRenderedPageBreak/>
        <w:t xml:space="preserve">Table </w:t>
      </w:r>
      <w:r w:rsidRPr="00BB1E47">
        <w:fldChar w:fldCharType="begin"/>
      </w:r>
      <w:r w:rsidRPr="00BB1E47">
        <w:rPr>
          <w:bCs/>
          <w:sz w:val="22"/>
          <w:szCs w:val="22"/>
        </w:rPr>
        <w:instrText xml:space="preserve"> SEQ Table \* ARABIC </w:instrText>
      </w:r>
      <w:r w:rsidRPr="00BB1E47">
        <w:fldChar w:fldCharType="separate"/>
      </w:r>
      <w:r w:rsidR="003D510C">
        <w:rPr>
          <w:bCs/>
          <w:noProof/>
          <w:sz w:val="22"/>
          <w:szCs w:val="22"/>
        </w:rPr>
        <w:t>4</w:t>
      </w:r>
      <w:r w:rsidRPr="00BB1E47">
        <w:fldChar w:fldCharType="end"/>
      </w:r>
      <w:bookmarkEnd w:id="53"/>
      <w:r w:rsidR="00596DFA" w:rsidRPr="00BB1E47">
        <w:t>:</w:t>
      </w:r>
      <w:r w:rsidRPr="00BB1E47">
        <w:t xml:space="preserve"> Jurisdictional arrangements for NEPT delivery*</w:t>
      </w:r>
      <w:bookmarkEnd w:id="54"/>
    </w:p>
    <w:tbl>
      <w:tblPr>
        <w:tblStyle w:val="TableGrid"/>
        <w:tblW w:w="9757" w:type="dxa"/>
        <w:tblInd w:w="-5" w:type="dxa"/>
        <w:tblLayout w:type="fixed"/>
        <w:tblLook w:val="04A0" w:firstRow="1" w:lastRow="0" w:firstColumn="1" w:lastColumn="0" w:noHBand="0" w:noVBand="1"/>
      </w:tblPr>
      <w:tblGrid>
        <w:gridCol w:w="3969"/>
        <w:gridCol w:w="629"/>
        <w:gridCol w:w="737"/>
        <w:gridCol w:w="737"/>
        <w:gridCol w:w="737"/>
        <w:gridCol w:w="737"/>
        <w:gridCol w:w="737"/>
        <w:gridCol w:w="737"/>
        <w:gridCol w:w="737"/>
      </w:tblGrid>
      <w:tr w:rsidR="008C1CA0" w:rsidRPr="00BB1E47" w14:paraId="5114E9A7" w14:textId="77777777" w:rsidTr="00B108AF">
        <w:trPr>
          <w:cantSplit/>
          <w:tblHeader/>
        </w:trPr>
        <w:tc>
          <w:tcPr>
            <w:tcW w:w="3969" w:type="dxa"/>
            <w:tcBorders>
              <w:bottom w:val="single" w:sz="4" w:space="0" w:color="auto"/>
            </w:tcBorders>
          </w:tcPr>
          <w:p w14:paraId="469244E5" w14:textId="77777777" w:rsidR="008C1CA0" w:rsidRPr="00BB1E47" w:rsidRDefault="008C1CA0" w:rsidP="00B108AF">
            <w:pPr>
              <w:pStyle w:val="Tabletext"/>
              <w:keepNext/>
            </w:pPr>
          </w:p>
        </w:tc>
        <w:tc>
          <w:tcPr>
            <w:tcW w:w="629" w:type="dxa"/>
            <w:tcBorders>
              <w:bottom w:val="single" w:sz="4" w:space="0" w:color="auto"/>
            </w:tcBorders>
            <w:shd w:val="clear" w:color="auto" w:fill="D9D9D9" w:themeFill="background1" w:themeFillShade="D9"/>
          </w:tcPr>
          <w:p w14:paraId="7469E3BF" w14:textId="77777777" w:rsidR="008C1CA0" w:rsidRPr="00BB1E47" w:rsidRDefault="008C1CA0" w:rsidP="00B108AF">
            <w:pPr>
              <w:pStyle w:val="Tablecolhead"/>
              <w:keepNext/>
            </w:pPr>
            <w:r w:rsidRPr="00BB1E47">
              <w:t>Vic</w:t>
            </w:r>
          </w:p>
        </w:tc>
        <w:tc>
          <w:tcPr>
            <w:tcW w:w="737" w:type="dxa"/>
            <w:tcBorders>
              <w:bottom w:val="single" w:sz="4" w:space="0" w:color="auto"/>
            </w:tcBorders>
          </w:tcPr>
          <w:p w14:paraId="1D531F6F" w14:textId="77777777" w:rsidR="008C1CA0" w:rsidRPr="00BB1E47" w:rsidRDefault="008C1CA0" w:rsidP="00B108AF">
            <w:pPr>
              <w:pStyle w:val="Tablecolhead"/>
              <w:keepNext/>
            </w:pPr>
            <w:r w:rsidRPr="00BB1E47">
              <w:t>NSW</w:t>
            </w:r>
          </w:p>
        </w:tc>
        <w:tc>
          <w:tcPr>
            <w:tcW w:w="737" w:type="dxa"/>
            <w:tcBorders>
              <w:bottom w:val="single" w:sz="4" w:space="0" w:color="auto"/>
            </w:tcBorders>
          </w:tcPr>
          <w:p w14:paraId="18E9A158" w14:textId="77777777" w:rsidR="008C1CA0" w:rsidRPr="00BB1E47" w:rsidRDefault="008C1CA0" w:rsidP="00B108AF">
            <w:pPr>
              <w:pStyle w:val="Tablecolhead"/>
              <w:keepNext/>
            </w:pPr>
            <w:r w:rsidRPr="00BB1E47">
              <w:t>Qld</w:t>
            </w:r>
          </w:p>
        </w:tc>
        <w:tc>
          <w:tcPr>
            <w:tcW w:w="737" w:type="dxa"/>
            <w:tcBorders>
              <w:bottom w:val="single" w:sz="4" w:space="0" w:color="auto"/>
            </w:tcBorders>
          </w:tcPr>
          <w:p w14:paraId="55DF7366" w14:textId="77777777" w:rsidR="008C1CA0" w:rsidRPr="00BB1E47" w:rsidRDefault="008C1CA0" w:rsidP="00B108AF">
            <w:pPr>
              <w:pStyle w:val="Tablecolhead"/>
              <w:keepNext/>
            </w:pPr>
            <w:r w:rsidRPr="00BB1E47">
              <w:t>SA</w:t>
            </w:r>
          </w:p>
        </w:tc>
        <w:tc>
          <w:tcPr>
            <w:tcW w:w="737" w:type="dxa"/>
            <w:tcBorders>
              <w:bottom w:val="single" w:sz="4" w:space="0" w:color="auto"/>
            </w:tcBorders>
          </w:tcPr>
          <w:p w14:paraId="785B065D" w14:textId="77777777" w:rsidR="008C1CA0" w:rsidRPr="00BB1E47" w:rsidRDefault="008C1CA0" w:rsidP="00B108AF">
            <w:pPr>
              <w:pStyle w:val="Tablecolhead"/>
              <w:keepNext/>
            </w:pPr>
            <w:r w:rsidRPr="00BB1E47">
              <w:t>WA</w:t>
            </w:r>
          </w:p>
        </w:tc>
        <w:tc>
          <w:tcPr>
            <w:tcW w:w="737" w:type="dxa"/>
            <w:tcBorders>
              <w:bottom w:val="single" w:sz="4" w:space="0" w:color="auto"/>
            </w:tcBorders>
          </w:tcPr>
          <w:p w14:paraId="571016B8" w14:textId="77777777" w:rsidR="008C1CA0" w:rsidRPr="00BB1E47" w:rsidRDefault="008C1CA0" w:rsidP="00B108AF">
            <w:pPr>
              <w:pStyle w:val="Tablecolhead"/>
              <w:keepNext/>
            </w:pPr>
            <w:r w:rsidRPr="00BB1E47">
              <w:t>NT</w:t>
            </w:r>
          </w:p>
        </w:tc>
        <w:tc>
          <w:tcPr>
            <w:tcW w:w="737" w:type="dxa"/>
            <w:tcBorders>
              <w:bottom w:val="single" w:sz="4" w:space="0" w:color="auto"/>
            </w:tcBorders>
          </w:tcPr>
          <w:p w14:paraId="1F447147" w14:textId="77777777" w:rsidR="008C1CA0" w:rsidRPr="00BB1E47" w:rsidRDefault="008C1CA0" w:rsidP="00B108AF">
            <w:pPr>
              <w:pStyle w:val="Tablecolhead"/>
              <w:keepNext/>
            </w:pPr>
            <w:r w:rsidRPr="00BB1E47">
              <w:t>Tas</w:t>
            </w:r>
          </w:p>
        </w:tc>
        <w:tc>
          <w:tcPr>
            <w:tcW w:w="737" w:type="dxa"/>
            <w:tcBorders>
              <w:bottom w:val="single" w:sz="4" w:space="0" w:color="auto"/>
            </w:tcBorders>
          </w:tcPr>
          <w:p w14:paraId="1FBA81DE" w14:textId="77777777" w:rsidR="008C1CA0" w:rsidRPr="00BB1E47" w:rsidRDefault="008C1CA0" w:rsidP="00B108AF">
            <w:pPr>
              <w:pStyle w:val="Tablecolhead"/>
              <w:keepNext/>
            </w:pPr>
            <w:r w:rsidRPr="00BB1E47">
              <w:t>ACT</w:t>
            </w:r>
          </w:p>
        </w:tc>
      </w:tr>
      <w:tr w:rsidR="008C1CA0" w:rsidRPr="00BB1E47" w14:paraId="1A3D333B" w14:textId="77777777" w:rsidTr="00B108AF">
        <w:trPr>
          <w:cantSplit/>
        </w:trPr>
        <w:tc>
          <w:tcPr>
            <w:tcW w:w="3969" w:type="dxa"/>
            <w:tcBorders>
              <w:right w:val="nil"/>
            </w:tcBorders>
          </w:tcPr>
          <w:p w14:paraId="2A549ADD" w14:textId="77777777" w:rsidR="008C1CA0" w:rsidRPr="00BB1E47" w:rsidRDefault="008C1CA0" w:rsidP="00B108AF">
            <w:pPr>
              <w:pStyle w:val="Tabletext"/>
              <w:keepNext/>
            </w:pPr>
            <w:r w:rsidRPr="00BB1E47">
              <w:rPr>
                <w:b/>
                <w:bCs/>
              </w:rPr>
              <w:t>Delivery approach</w:t>
            </w:r>
          </w:p>
        </w:tc>
        <w:tc>
          <w:tcPr>
            <w:tcW w:w="629" w:type="dxa"/>
            <w:tcBorders>
              <w:left w:val="nil"/>
              <w:right w:val="nil"/>
            </w:tcBorders>
          </w:tcPr>
          <w:p w14:paraId="0AC5D90B" w14:textId="77777777" w:rsidR="008C1CA0" w:rsidRPr="00BB1E47" w:rsidRDefault="008C1CA0" w:rsidP="00B108AF">
            <w:pPr>
              <w:pStyle w:val="Tabletext"/>
              <w:keepNext/>
            </w:pPr>
          </w:p>
        </w:tc>
        <w:tc>
          <w:tcPr>
            <w:tcW w:w="737" w:type="dxa"/>
            <w:tcBorders>
              <w:left w:val="nil"/>
              <w:right w:val="nil"/>
            </w:tcBorders>
          </w:tcPr>
          <w:p w14:paraId="63243CC8" w14:textId="77777777" w:rsidR="008C1CA0" w:rsidRPr="00BB1E47" w:rsidRDefault="008C1CA0" w:rsidP="00B108AF">
            <w:pPr>
              <w:pStyle w:val="Tabletext"/>
              <w:keepNext/>
            </w:pPr>
          </w:p>
        </w:tc>
        <w:tc>
          <w:tcPr>
            <w:tcW w:w="737" w:type="dxa"/>
            <w:tcBorders>
              <w:left w:val="nil"/>
              <w:right w:val="nil"/>
            </w:tcBorders>
          </w:tcPr>
          <w:p w14:paraId="003CB0EF" w14:textId="77777777" w:rsidR="008C1CA0" w:rsidRPr="00BB1E47" w:rsidRDefault="008C1CA0" w:rsidP="00B108AF">
            <w:pPr>
              <w:pStyle w:val="Tabletext"/>
              <w:keepNext/>
            </w:pPr>
          </w:p>
        </w:tc>
        <w:tc>
          <w:tcPr>
            <w:tcW w:w="737" w:type="dxa"/>
            <w:tcBorders>
              <w:left w:val="nil"/>
              <w:right w:val="nil"/>
            </w:tcBorders>
          </w:tcPr>
          <w:p w14:paraId="335C5FFF" w14:textId="77777777" w:rsidR="008C1CA0" w:rsidRPr="00BB1E47" w:rsidRDefault="008C1CA0" w:rsidP="00B108AF">
            <w:pPr>
              <w:pStyle w:val="Tabletext"/>
              <w:keepNext/>
            </w:pPr>
          </w:p>
        </w:tc>
        <w:tc>
          <w:tcPr>
            <w:tcW w:w="737" w:type="dxa"/>
            <w:tcBorders>
              <w:left w:val="nil"/>
              <w:right w:val="nil"/>
            </w:tcBorders>
          </w:tcPr>
          <w:p w14:paraId="79DB82B1" w14:textId="77777777" w:rsidR="008C1CA0" w:rsidRPr="00BB1E47" w:rsidRDefault="008C1CA0" w:rsidP="00B108AF">
            <w:pPr>
              <w:pStyle w:val="Tabletext"/>
              <w:keepNext/>
            </w:pPr>
          </w:p>
        </w:tc>
        <w:tc>
          <w:tcPr>
            <w:tcW w:w="737" w:type="dxa"/>
            <w:tcBorders>
              <w:left w:val="nil"/>
              <w:right w:val="nil"/>
            </w:tcBorders>
          </w:tcPr>
          <w:p w14:paraId="7531AC58" w14:textId="77777777" w:rsidR="008C1CA0" w:rsidRPr="00BB1E47" w:rsidRDefault="008C1CA0" w:rsidP="00B108AF">
            <w:pPr>
              <w:pStyle w:val="Tabletext"/>
              <w:keepNext/>
            </w:pPr>
          </w:p>
        </w:tc>
        <w:tc>
          <w:tcPr>
            <w:tcW w:w="737" w:type="dxa"/>
            <w:tcBorders>
              <w:left w:val="nil"/>
              <w:right w:val="nil"/>
            </w:tcBorders>
          </w:tcPr>
          <w:p w14:paraId="0DADA97A" w14:textId="77777777" w:rsidR="008C1CA0" w:rsidRPr="00BB1E47" w:rsidRDefault="008C1CA0" w:rsidP="00B108AF">
            <w:pPr>
              <w:pStyle w:val="Tabletext"/>
              <w:keepNext/>
            </w:pPr>
          </w:p>
        </w:tc>
        <w:tc>
          <w:tcPr>
            <w:tcW w:w="737" w:type="dxa"/>
            <w:tcBorders>
              <w:left w:val="nil"/>
            </w:tcBorders>
          </w:tcPr>
          <w:p w14:paraId="5A4B6A63" w14:textId="77777777" w:rsidR="008C1CA0" w:rsidRPr="00BB1E47" w:rsidRDefault="008C1CA0" w:rsidP="00B108AF">
            <w:pPr>
              <w:pStyle w:val="Tabletext"/>
              <w:keepNext/>
            </w:pPr>
          </w:p>
        </w:tc>
      </w:tr>
      <w:tr w:rsidR="008D0174" w:rsidRPr="00BB1E47" w14:paraId="6E379D99" w14:textId="77777777" w:rsidTr="00B61E87">
        <w:trPr>
          <w:cantSplit/>
        </w:trPr>
        <w:tc>
          <w:tcPr>
            <w:tcW w:w="3969" w:type="dxa"/>
          </w:tcPr>
          <w:p w14:paraId="38E31B0D" w14:textId="77777777" w:rsidR="008C1CA0" w:rsidRPr="00BB1E47" w:rsidRDefault="008C1CA0" w:rsidP="00B108AF">
            <w:pPr>
              <w:pStyle w:val="Tabletext"/>
              <w:keepNext/>
            </w:pPr>
            <w:r w:rsidRPr="00BB1E47">
              <w:t xml:space="preserve">Primarily outsourced </w:t>
            </w:r>
          </w:p>
        </w:tc>
        <w:tc>
          <w:tcPr>
            <w:tcW w:w="629" w:type="dxa"/>
            <w:shd w:val="clear" w:color="auto" w:fill="D9D9D9" w:themeFill="background1" w:themeFillShade="D9"/>
            <w:vAlign w:val="center"/>
          </w:tcPr>
          <w:p w14:paraId="7B919989"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vAlign w:val="center"/>
          </w:tcPr>
          <w:p w14:paraId="1BBC187B" w14:textId="77777777" w:rsidR="008C1CA0" w:rsidRPr="00BB1E47" w:rsidRDefault="008C1CA0" w:rsidP="00B61E87">
            <w:pPr>
              <w:pStyle w:val="Tabletext"/>
              <w:keepNext/>
              <w:jc w:val="center"/>
            </w:pPr>
          </w:p>
        </w:tc>
        <w:tc>
          <w:tcPr>
            <w:tcW w:w="737" w:type="dxa"/>
            <w:vAlign w:val="center"/>
          </w:tcPr>
          <w:p w14:paraId="1A03D5F7" w14:textId="77777777" w:rsidR="008C1CA0" w:rsidRPr="00BB1E47" w:rsidRDefault="008C1CA0" w:rsidP="00B61E87">
            <w:pPr>
              <w:pStyle w:val="Tabletext"/>
              <w:keepNext/>
              <w:jc w:val="center"/>
            </w:pPr>
          </w:p>
        </w:tc>
        <w:tc>
          <w:tcPr>
            <w:tcW w:w="737" w:type="dxa"/>
            <w:vAlign w:val="center"/>
          </w:tcPr>
          <w:p w14:paraId="20342FD0" w14:textId="77777777" w:rsidR="008C1CA0" w:rsidRPr="00BB1E47" w:rsidRDefault="008C1CA0" w:rsidP="00B61E87">
            <w:pPr>
              <w:pStyle w:val="Tabletext"/>
              <w:keepNext/>
              <w:jc w:val="center"/>
            </w:pPr>
          </w:p>
        </w:tc>
        <w:tc>
          <w:tcPr>
            <w:tcW w:w="737" w:type="dxa"/>
            <w:shd w:val="clear" w:color="auto" w:fill="F2F2F2" w:themeFill="background1" w:themeFillShade="F2"/>
            <w:vAlign w:val="center"/>
          </w:tcPr>
          <w:p w14:paraId="0D1AF231"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shd w:val="clear" w:color="auto" w:fill="F2F2F2" w:themeFill="background1" w:themeFillShade="F2"/>
            <w:vAlign w:val="center"/>
          </w:tcPr>
          <w:p w14:paraId="5DC9FB0B"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vAlign w:val="center"/>
          </w:tcPr>
          <w:p w14:paraId="28B0CC82" w14:textId="77777777" w:rsidR="008C1CA0" w:rsidRPr="00BB1E47" w:rsidRDefault="008C1CA0" w:rsidP="00B61E87">
            <w:pPr>
              <w:pStyle w:val="Tabletext"/>
              <w:keepNext/>
              <w:jc w:val="center"/>
            </w:pPr>
          </w:p>
        </w:tc>
        <w:tc>
          <w:tcPr>
            <w:tcW w:w="737" w:type="dxa"/>
            <w:vAlign w:val="center"/>
          </w:tcPr>
          <w:p w14:paraId="21A26634" w14:textId="77777777" w:rsidR="008C1CA0" w:rsidRPr="00BB1E47" w:rsidRDefault="008C1CA0" w:rsidP="00B61E87">
            <w:pPr>
              <w:pStyle w:val="Tabletext"/>
              <w:keepNext/>
              <w:jc w:val="center"/>
            </w:pPr>
          </w:p>
        </w:tc>
      </w:tr>
      <w:tr w:rsidR="00B31031" w:rsidRPr="00BB1E47" w14:paraId="5CA22914" w14:textId="77777777" w:rsidTr="00B61E87">
        <w:trPr>
          <w:cantSplit/>
        </w:trPr>
        <w:tc>
          <w:tcPr>
            <w:tcW w:w="3969" w:type="dxa"/>
            <w:tcBorders>
              <w:bottom w:val="single" w:sz="4" w:space="0" w:color="auto"/>
            </w:tcBorders>
          </w:tcPr>
          <w:p w14:paraId="66A5E613" w14:textId="77777777" w:rsidR="008C1CA0" w:rsidRPr="00BB1E47" w:rsidRDefault="008C1CA0" w:rsidP="00B108AF">
            <w:pPr>
              <w:pStyle w:val="Tabletext"/>
              <w:keepNext/>
            </w:pPr>
            <w:r w:rsidRPr="00BB1E47">
              <w:t xml:space="preserve">Primarily insourced </w:t>
            </w:r>
          </w:p>
        </w:tc>
        <w:tc>
          <w:tcPr>
            <w:tcW w:w="629" w:type="dxa"/>
            <w:tcBorders>
              <w:bottom w:val="single" w:sz="4" w:space="0" w:color="auto"/>
            </w:tcBorders>
            <w:vAlign w:val="center"/>
          </w:tcPr>
          <w:p w14:paraId="05784B89" w14:textId="77777777" w:rsidR="008C1CA0" w:rsidRPr="00BB1E47" w:rsidRDefault="008C1CA0" w:rsidP="00B61E87">
            <w:pPr>
              <w:pStyle w:val="Tabletext"/>
              <w:keepNext/>
              <w:jc w:val="center"/>
            </w:pPr>
          </w:p>
        </w:tc>
        <w:tc>
          <w:tcPr>
            <w:tcW w:w="737" w:type="dxa"/>
            <w:tcBorders>
              <w:bottom w:val="single" w:sz="4" w:space="0" w:color="auto"/>
            </w:tcBorders>
            <w:shd w:val="clear" w:color="auto" w:fill="F2F2F2" w:themeFill="background1" w:themeFillShade="F2"/>
            <w:vAlign w:val="center"/>
          </w:tcPr>
          <w:p w14:paraId="72F67812"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7469384E"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03A20C97"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vAlign w:val="center"/>
          </w:tcPr>
          <w:p w14:paraId="7AC9A0E5" w14:textId="77777777" w:rsidR="008C1CA0" w:rsidRPr="00BB1E47" w:rsidRDefault="008C1CA0" w:rsidP="00B61E87">
            <w:pPr>
              <w:pStyle w:val="Tabletext"/>
              <w:keepNext/>
              <w:jc w:val="center"/>
            </w:pPr>
          </w:p>
        </w:tc>
        <w:tc>
          <w:tcPr>
            <w:tcW w:w="737" w:type="dxa"/>
            <w:tcBorders>
              <w:bottom w:val="single" w:sz="4" w:space="0" w:color="auto"/>
            </w:tcBorders>
            <w:vAlign w:val="center"/>
          </w:tcPr>
          <w:p w14:paraId="242E5932" w14:textId="77777777" w:rsidR="008C1CA0" w:rsidRPr="00BB1E47" w:rsidRDefault="008C1CA0" w:rsidP="00B61E87">
            <w:pPr>
              <w:pStyle w:val="Tabletext"/>
              <w:keepNext/>
              <w:jc w:val="center"/>
            </w:pPr>
          </w:p>
        </w:tc>
        <w:tc>
          <w:tcPr>
            <w:tcW w:w="737" w:type="dxa"/>
            <w:tcBorders>
              <w:bottom w:val="single" w:sz="4" w:space="0" w:color="auto"/>
            </w:tcBorders>
            <w:shd w:val="clear" w:color="auto" w:fill="F2F2F2" w:themeFill="background1" w:themeFillShade="F2"/>
            <w:vAlign w:val="center"/>
          </w:tcPr>
          <w:p w14:paraId="21208B23"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78868B7D" w14:textId="77777777" w:rsidR="008C1CA0" w:rsidRPr="00BB1E47" w:rsidRDefault="008C1CA0" w:rsidP="00B61E87">
            <w:pPr>
              <w:pStyle w:val="Tabletext"/>
              <w:keepNext/>
              <w:jc w:val="center"/>
            </w:pPr>
            <w:r w:rsidRPr="00BB1E47">
              <w:rPr>
                <w:rFonts w:ascii="Wingdings" w:eastAsia="Wingdings" w:hAnsi="Wingdings" w:cs="Wingdings"/>
              </w:rPr>
              <w:t>ü</w:t>
            </w:r>
          </w:p>
        </w:tc>
      </w:tr>
      <w:tr w:rsidR="008C1CA0" w:rsidRPr="00BB1E47" w14:paraId="40C15316" w14:textId="77777777" w:rsidTr="00B61E87">
        <w:trPr>
          <w:cantSplit/>
        </w:trPr>
        <w:tc>
          <w:tcPr>
            <w:tcW w:w="3969" w:type="dxa"/>
            <w:tcBorders>
              <w:right w:val="nil"/>
            </w:tcBorders>
          </w:tcPr>
          <w:p w14:paraId="540EC90B" w14:textId="77777777" w:rsidR="008C1CA0" w:rsidRPr="00BB1E47" w:rsidRDefault="008C1CA0" w:rsidP="00B108AF">
            <w:pPr>
              <w:pStyle w:val="Tabletext"/>
              <w:keepNext/>
            </w:pPr>
            <w:r w:rsidRPr="00BB1E47">
              <w:rPr>
                <w:b/>
                <w:bCs/>
              </w:rPr>
              <w:t>Role of ambulance services</w:t>
            </w:r>
          </w:p>
        </w:tc>
        <w:tc>
          <w:tcPr>
            <w:tcW w:w="629" w:type="dxa"/>
            <w:tcBorders>
              <w:left w:val="nil"/>
              <w:right w:val="nil"/>
            </w:tcBorders>
            <w:vAlign w:val="center"/>
          </w:tcPr>
          <w:p w14:paraId="56439099" w14:textId="77777777" w:rsidR="008C1CA0" w:rsidRPr="00BB1E47" w:rsidRDefault="008C1CA0" w:rsidP="00B61E87">
            <w:pPr>
              <w:pStyle w:val="Tabletext"/>
              <w:keepNext/>
              <w:jc w:val="center"/>
            </w:pPr>
          </w:p>
        </w:tc>
        <w:tc>
          <w:tcPr>
            <w:tcW w:w="737" w:type="dxa"/>
            <w:tcBorders>
              <w:left w:val="nil"/>
              <w:right w:val="nil"/>
            </w:tcBorders>
            <w:vAlign w:val="center"/>
          </w:tcPr>
          <w:p w14:paraId="790F231B" w14:textId="77777777" w:rsidR="008C1CA0" w:rsidRPr="00BB1E47" w:rsidRDefault="008C1CA0" w:rsidP="00B61E87">
            <w:pPr>
              <w:pStyle w:val="Tabletext"/>
              <w:keepNext/>
              <w:jc w:val="center"/>
            </w:pPr>
          </w:p>
        </w:tc>
        <w:tc>
          <w:tcPr>
            <w:tcW w:w="737" w:type="dxa"/>
            <w:tcBorders>
              <w:left w:val="nil"/>
              <w:right w:val="nil"/>
            </w:tcBorders>
            <w:vAlign w:val="center"/>
          </w:tcPr>
          <w:p w14:paraId="54C2C7BB" w14:textId="77777777" w:rsidR="008C1CA0" w:rsidRPr="00BB1E47" w:rsidRDefault="008C1CA0" w:rsidP="00B61E87">
            <w:pPr>
              <w:pStyle w:val="Tabletext"/>
              <w:keepNext/>
              <w:jc w:val="center"/>
            </w:pPr>
          </w:p>
        </w:tc>
        <w:tc>
          <w:tcPr>
            <w:tcW w:w="737" w:type="dxa"/>
            <w:tcBorders>
              <w:left w:val="nil"/>
              <w:right w:val="nil"/>
            </w:tcBorders>
            <w:vAlign w:val="center"/>
          </w:tcPr>
          <w:p w14:paraId="4F7533C3" w14:textId="77777777" w:rsidR="008C1CA0" w:rsidRPr="00BB1E47" w:rsidRDefault="008C1CA0" w:rsidP="00B61E87">
            <w:pPr>
              <w:pStyle w:val="Tabletext"/>
              <w:keepNext/>
              <w:jc w:val="center"/>
            </w:pPr>
          </w:p>
        </w:tc>
        <w:tc>
          <w:tcPr>
            <w:tcW w:w="737" w:type="dxa"/>
            <w:tcBorders>
              <w:left w:val="nil"/>
              <w:right w:val="nil"/>
            </w:tcBorders>
            <w:vAlign w:val="center"/>
          </w:tcPr>
          <w:p w14:paraId="5E4FB015" w14:textId="77777777" w:rsidR="008C1CA0" w:rsidRPr="00BB1E47" w:rsidRDefault="008C1CA0" w:rsidP="00B61E87">
            <w:pPr>
              <w:pStyle w:val="Tabletext"/>
              <w:keepNext/>
              <w:jc w:val="center"/>
            </w:pPr>
          </w:p>
        </w:tc>
        <w:tc>
          <w:tcPr>
            <w:tcW w:w="737" w:type="dxa"/>
            <w:tcBorders>
              <w:left w:val="nil"/>
              <w:right w:val="nil"/>
            </w:tcBorders>
            <w:vAlign w:val="center"/>
          </w:tcPr>
          <w:p w14:paraId="3222F337" w14:textId="77777777" w:rsidR="008C1CA0" w:rsidRPr="00BB1E47" w:rsidRDefault="008C1CA0" w:rsidP="00B61E87">
            <w:pPr>
              <w:pStyle w:val="Tabletext"/>
              <w:keepNext/>
              <w:jc w:val="center"/>
            </w:pPr>
          </w:p>
        </w:tc>
        <w:tc>
          <w:tcPr>
            <w:tcW w:w="737" w:type="dxa"/>
            <w:tcBorders>
              <w:left w:val="nil"/>
              <w:right w:val="nil"/>
            </w:tcBorders>
            <w:vAlign w:val="center"/>
          </w:tcPr>
          <w:p w14:paraId="01D959CE" w14:textId="77777777" w:rsidR="008C1CA0" w:rsidRPr="00BB1E47" w:rsidRDefault="008C1CA0" w:rsidP="00B61E87">
            <w:pPr>
              <w:pStyle w:val="Tabletext"/>
              <w:keepNext/>
              <w:jc w:val="center"/>
            </w:pPr>
          </w:p>
        </w:tc>
        <w:tc>
          <w:tcPr>
            <w:tcW w:w="737" w:type="dxa"/>
            <w:tcBorders>
              <w:left w:val="nil"/>
            </w:tcBorders>
            <w:vAlign w:val="center"/>
          </w:tcPr>
          <w:p w14:paraId="0A56D8A1" w14:textId="77777777" w:rsidR="008C1CA0" w:rsidRPr="00BB1E47" w:rsidRDefault="008C1CA0" w:rsidP="00B61E87">
            <w:pPr>
              <w:pStyle w:val="Tabletext"/>
              <w:keepNext/>
              <w:jc w:val="center"/>
            </w:pPr>
          </w:p>
        </w:tc>
      </w:tr>
      <w:tr w:rsidR="00B31031" w:rsidRPr="00BB1E47" w14:paraId="41B4D5F2" w14:textId="77777777" w:rsidTr="00B61E87">
        <w:trPr>
          <w:cantSplit/>
        </w:trPr>
        <w:tc>
          <w:tcPr>
            <w:tcW w:w="3969" w:type="dxa"/>
          </w:tcPr>
          <w:p w14:paraId="539D3F1C" w14:textId="77777777" w:rsidR="008C1CA0" w:rsidRPr="00BB1E47" w:rsidRDefault="008C1CA0" w:rsidP="00B108AF">
            <w:pPr>
              <w:pStyle w:val="Tabletext"/>
              <w:keepNext/>
            </w:pPr>
            <w:r w:rsidRPr="00BB1E47">
              <w:t xml:space="preserve">They mostly deliver it </w:t>
            </w:r>
          </w:p>
        </w:tc>
        <w:tc>
          <w:tcPr>
            <w:tcW w:w="629" w:type="dxa"/>
            <w:vAlign w:val="center"/>
          </w:tcPr>
          <w:p w14:paraId="528AF4B4" w14:textId="77777777" w:rsidR="008C1CA0" w:rsidRPr="00BB1E47" w:rsidRDefault="008C1CA0" w:rsidP="00B61E87">
            <w:pPr>
              <w:pStyle w:val="Tabletext"/>
              <w:keepNext/>
              <w:jc w:val="center"/>
            </w:pPr>
          </w:p>
        </w:tc>
        <w:tc>
          <w:tcPr>
            <w:tcW w:w="737" w:type="dxa"/>
            <w:vAlign w:val="center"/>
          </w:tcPr>
          <w:p w14:paraId="37DA8DEF" w14:textId="77777777" w:rsidR="008C1CA0" w:rsidRPr="00BB1E47" w:rsidRDefault="008C1CA0" w:rsidP="00B61E87">
            <w:pPr>
              <w:pStyle w:val="Tabletext"/>
              <w:keepNext/>
              <w:jc w:val="center"/>
            </w:pPr>
          </w:p>
        </w:tc>
        <w:tc>
          <w:tcPr>
            <w:tcW w:w="737" w:type="dxa"/>
            <w:shd w:val="clear" w:color="auto" w:fill="F2F2F2" w:themeFill="background1" w:themeFillShade="F2"/>
            <w:vAlign w:val="center"/>
          </w:tcPr>
          <w:p w14:paraId="5683DCEB"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shd w:val="clear" w:color="auto" w:fill="F2F2F2" w:themeFill="background1" w:themeFillShade="F2"/>
            <w:vAlign w:val="center"/>
          </w:tcPr>
          <w:p w14:paraId="1BBF0E12"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vAlign w:val="center"/>
          </w:tcPr>
          <w:p w14:paraId="0B8B9532" w14:textId="77777777" w:rsidR="008C1CA0" w:rsidRPr="00BB1E47" w:rsidRDefault="008C1CA0" w:rsidP="00B61E87">
            <w:pPr>
              <w:pStyle w:val="Tabletext"/>
              <w:keepNext/>
              <w:jc w:val="center"/>
            </w:pPr>
          </w:p>
        </w:tc>
        <w:tc>
          <w:tcPr>
            <w:tcW w:w="737" w:type="dxa"/>
            <w:shd w:val="clear" w:color="auto" w:fill="F2F2F2" w:themeFill="background1" w:themeFillShade="F2"/>
            <w:vAlign w:val="center"/>
          </w:tcPr>
          <w:p w14:paraId="04E74BAD"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shd w:val="clear" w:color="auto" w:fill="F2F2F2" w:themeFill="background1" w:themeFillShade="F2"/>
            <w:vAlign w:val="center"/>
          </w:tcPr>
          <w:p w14:paraId="384EDB47"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shd w:val="clear" w:color="auto" w:fill="F2F2F2" w:themeFill="background1" w:themeFillShade="F2"/>
            <w:vAlign w:val="center"/>
          </w:tcPr>
          <w:p w14:paraId="443F0BCF" w14:textId="77777777" w:rsidR="008C1CA0" w:rsidRPr="00BB1E47" w:rsidRDefault="008C1CA0" w:rsidP="00B61E87">
            <w:pPr>
              <w:pStyle w:val="Tabletext"/>
              <w:keepNext/>
              <w:jc w:val="center"/>
            </w:pPr>
            <w:r w:rsidRPr="00BB1E47">
              <w:rPr>
                <w:rFonts w:ascii="Wingdings" w:eastAsia="Wingdings" w:hAnsi="Wingdings" w:cs="Wingdings"/>
              </w:rPr>
              <w:t>ü</w:t>
            </w:r>
          </w:p>
        </w:tc>
      </w:tr>
      <w:tr w:rsidR="008C1CA0" w:rsidRPr="00BB1E47" w14:paraId="5BF22604" w14:textId="77777777" w:rsidTr="00B61E87">
        <w:trPr>
          <w:cantSplit/>
        </w:trPr>
        <w:tc>
          <w:tcPr>
            <w:tcW w:w="3969" w:type="dxa"/>
          </w:tcPr>
          <w:p w14:paraId="51808545" w14:textId="77777777" w:rsidR="008C1CA0" w:rsidRPr="00BB1E47" w:rsidRDefault="008C1CA0" w:rsidP="00B108AF">
            <w:pPr>
              <w:pStyle w:val="Tabletext"/>
              <w:keepNext/>
            </w:pPr>
            <w:r w:rsidRPr="00BB1E47">
              <w:t>They mostly subcontract it</w:t>
            </w:r>
          </w:p>
        </w:tc>
        <w:tc>
          <w:tcPr>
            <w:tcW w:w="629" w:type="dxa"/>
            <w:shd w:val="clear" w:color="auto" w:fill="D9D9D9" w:themeFill="background1" w:themeFillShade="D9"/>
            <w:vAlign w:val="center"/>
          </w:tcPr>
          <w:p w14:paraId="4A859889"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vAlign w:val="center"/>
          </w:tcPr>
          <w:p w14:paraId="02398BE7" w14:textId="77777777" w:rsidR="008C1CA0" w:rsidRPr="00BB1E47" w:rsidRDefault="008C1CA0" w:rsidP="00B61E87">
            <w:pPr>
              <w:pStyle w:val="Tabletext"/>
              <w:keepNext/>
              <w:jc w:val="center"/>
            </w:pPr>
          </w:p>
        </w:tc>
        <w:tc>
          <w:tcPr>
            <w:tcW w:w="737" w:type="dxa"/>
            <w:vAlign w:val="center"/>
          </w:tcPr>
          <w:p w14:paraId="74B8BF02" w14:textId="77777777" w:rsidR="008C1CA0" w:rsidRPr="00BB1E47" w:rsidRDefault="008C1CA0" w:rsidP="00B61E87">
            <w:pPr>
              <w:pStyle w:val="Tabletext"/>
              <w:keepNext/>
              <w:jc w:val="center"/>
            </w:pPr>
          </w:p>
        </w:tc>
        <w:tc>
          <w:tcPr>
            <w:tcW w:w="737" w:type="dxa"/>
            <w:vAlign w:val="center"/>
          </w:tcPr>
          <w:p w14:paraId="6E84A25E" w14:textId="77777777" w:rsidR="008C1CA0" w:rsidRPr="00BB1E47" w:rsidRDefault="008C1CA0" w:rsidP="00B61E87">
            <w:pPr>
              <w:pStyle w:val="Tabletext"/>
              <w:keepNext/>
              <w:jc w:val="center"/>
            </w:pPr>
          </w:p>
        </w:tc>
        <w:tc>
          <w:tcPr>
            <w:tcW w:w="737" w:type="dxa"/>
            <w:vAlign w:val="center"/>
          </w:tcPr>
          <w:p w14:paraId="7155DD9E" w14:textId="77777777" w:rsidR="008C1CA0" w:rsidRPr="00BB1E47" w:rsidRDefault="008C1CA0" w:rsidP="00B61E87">
            <w:pPr>
              <w:pStyle w:val="Tabletext"/>
              <w:keepNext/>
              <w:jc w:val="center"/>
            </w:pPr>
          </w:p>
        </w:tc>
        <w:tc>
          <w:tcPr>
            <w:tcW w:w="737" w:type="dxa"/>
            <w:vAlign w:val="center"/>
          </w:tcPr>
          <w:p w14:paraId="0623DEC7" w14:textId="77777777" w:rsidR="008C1CA0" w:rsidRPr="00BB1E47" w:rsidRDefault="008C1CA0" w:rsidP="00B61E87">
            <w:pPr>
              <w:pStyle w:val="Tabletext"/>
              <w:keepNext/>
              <w:jc w:val="center"/>
            </w:pPr>
          </w:p>
        </w:tc>
        <w:tc>
          <w:tcPr>
            <w:tcW w:w="737" w:type="dxa"/>
            <w:vAlign w:val="center"/>
          </w:tcPr>
          <w:p w14:paraId="29262CD2" w14:textId="77777777" w:rsidR="008C1CA0" w:rsidRPr="00BB1E47" w:rsidRDefault="008C1CA0" w:rsidP="00B61E87">
            <w:pPr>
              <w:pStyle w:val="Tabletext"/>
              <w:keepNext/>
              <w:jc w:val="center"/>
            </w:pPr>
          </w:p>
        </w:tc>
        <w:tc>
          <w:tcPr>
            <w:tcW w:w="737" w:type="dxa"/>
            <w:vAlign w:val="center"/>
          </w:tcPr>
          <w:p w14:paraId="3892346E" w14:textId="77777777" w:rsidR="008C1CA0" w:rsidRPr="00BB1E47" w:rsidRDefault="008C1CA0" w:rsidP="00B61E87">
            <w:pPr>
              <w:pStyle w:val="Tabletext"/>
              <w:keepNext/>
              <w:jc w:val="center"/>
            </w:pPr>
          </w:p>
        </w:tc>
      </w:tr>
      <w:tr w:rsidR="008D0174" w:rsidRPr="00BB1E47" w14:paraId="2F906463" w14:textId="77777777" w:rsidTr="00B61E87">
        <w:trPr>
          <w:cantSplit/>
          <w:trHeight w:val="63"/>
        </w:trPr>
        <w:tc>
          <w:tcPr>
            <w:tcW w:w="3969" w:type="dxa"/>
          </w:tcPr>
          <w:p w14:paraId="73A96149" w14:textId="77777777" w:rsidR="008C1CA0" w:rsidRPr="00BB1E47" w:rsidRDefault="008C1CA0" w:rsidP="00B108AF">
            <w:pPr>
              <w:pStyle w:val="Tabletext"/>
              <w:keepNext/>
            </w:pPr>
            <w:r w:rsidRPr="00BB1E47">
              <w:t>They are one of many subcontractors</w:t>
            </w:r>
          </w:p>
        </w:tc>
        <w:tc>
          <w:tcPr>
            <w:tcW w:w="629" w:type="dxa"/>
            <w:vAlign w:val="center"/>
          </w:tcPr>
          <w:p w14:paraId="440614B2" w14:textId="77777777" w:rsidR="008C1CA0" w:rsidRPr="00BB1E47" w:rsidRDefault="008C1CA0" w:rsidP="00B61E87">
            <w:pPr>
              <w:pStyle w:val="Tabletext"/>
              <w:keepNext/>
              <w:jc w:val="center"/>
            </w:pPr>
          </w:p>
        </w:tc>
        <w:tc>
          <w:tcPr>
            <w:tcW w:w="737" w:type="dxa"/>
            <w:shd w:val="clear" w:color="auto" w:fill="FFFFFF" w:themeFill="background1"/>
            <w:vAlign w:val="center"/>
          </w:tcPr>
          <w:p w14:paraId="3854CF26" w14:textId="77777777" w:rsidR="008C1CA0" w:rsidRPr="00BB1E47" w:rsidRDefault="008C1CA0" w:rsidP="00B61E87">
            <w:pPr>
              <w:pStyle w:val="Tabletext"/>
              <w:keepNext/>
              <w:jc w:val="center"/>
            </w:pPr>
          </w:p>
        </w:tc>
        <w:tc>
          <w:tcPr>
            <w:tcW w:w="737" w:type="dxa"/>
            <w:vAlign w:val="center"/>
          </w:tcPr>
          <w:p w14:paraId="289BC085" w14:textId="77777777" w:rsidR="008C1CA0" w:rsidRPr="00BB1E47" w:rsidRDefault="008C1CA0" w:rsidP="00B61E87">
            <w:pPr>
              <w:pStyle w:val="Tabletext"/>
              <w:keepNext/>
              <w:jc w:val="center"/>
            </w:pPr>
          </w:p>
        </w:tc>
        <w:tc>
          <w:tcPr>
            <w:tcW w:w="737" w:type="dxa"/>
            <w:vAlign w:val="center"/>
          </w:tcPr>
          <w:p w14:paraId="7A356E60" w14:textId="77777777" w:rsidR="008C1CA0" w:rsidRPr="00BB1E47" w:rsidRDefault="008C1CA0" w:rsidP="00B61E87">
            <w:pPr>
              <w:pStyle w:val="Tabletext"/>
              <w:keepNext/>
              <w:jc w:val="center"/>
            </w:pPr>
          </w:p>
        </w:tc>
        <w:tc>
          <w:tcPr>
            <w:tcW w:w="737" w:type="dxa"/>
            <w:shd w:val="clear" w:color="auto" w:fill="F2F2F2" w:themeFill="background1" w:themeFillShade="F2"/>
            <w:vAlign w:val="center"/>
          </w:tcPr>
          <w:p w14:paraId="6ED864B0"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shd w:val="clear" w:color="auto" w:fill="FFFFFF" w:themeFill="background1"/>
            <w:vAlign w:val="center"/>
          </w:tcPr>
          <w:p w14:paraId="7E9BB20A" w14:textId="77777777" w:rsidR="008C1CA0" w:rsidRPr="00BB1E47" w:rsidRDefault="008C1CA0" w:rsidP="00B61E87">
            <w:pPr>
              <w:pStyle w:val="Tabletext"/>
              <w:keepNext/>
              <w:jc w:val="center"/>
            </w:pPr>
          </w:p>
        </w:tc>
        <w:tc>
          <w:tcPr>
            <w:tcW w:w="737" w:type="dxa"/>
            <w:vAlign w:val="center"/>
          </w:tcPr>
          <w:p w14:paraId="360A1E72" w14:textId="77777777" w:rsidR="008C1CA0" w:rsidRPr="00BB1E47" w:rsidRDefault="008C1CA0" w:rsidP="00B61E87">
            <w:pPr>
              <w:pStyle w:val="Tabletext"/>
              <w:keepNext/>
              <w:jc w:val="center"/>
            </w:pPr>
          </w:p>
        </w:tc>
        <w:tc>
          <w:tcPr>
            <w:tcW w:w="737" w:type="dxa"/>
            <w:vAlign w:val="center"/>
          </w:tcPr>
          <w:p w14:paraId="3D3EDC26" w14:textId="77777777" w:rsidR="008C1CA0" w:rsidRPr="00BB1E47" w:rsidRDefault="008C1CA0" w:rsidP="00B61E87">
            <w:pPr>
              <w:pStyle w:val="Tabletext"/>
              <w:keepNext/>
              <w:jc w:val="center"/>
            </w:pPr>
          </w:p>
        </w:tc>
      </w:tr>
      <w:tr w:rsidR="008D0174" w:rsidRPr="00BB1E47" w14:paraId="22E1A1F0" w14:textId="77777777" w:rsidTr="00B61E87">
        <w:trPr>
          <w:cantSplit/>
          <w:trHeight w:val="63"/>
        </w:trPr>
        <w:tc>
          <w:tcPr>
            <w:tcW w:w="3969" w:type="dxa"/>
            <w:tcBorders>
              <w:bottom w:val="single" w:sz="4" w:space="0" w:color="auto"/>
            </w:tcBorders>
          </w:tcPr>
          <w:p w14:paraId="516807D9" w14:textId="77777777" w:rsidR="008C1CA0" w:rsidRPr="00BB1E47" w:rsidRDefault="008C1CA0" w:rsidP="00B108AF">
            <w:pPr>
              <w:pStyle w:val="Tabletext"/>
              <w:keepNext/>
            </w:pPr>
            <w:r w:rsidRPr="00BB1E47">
              <w:t>They are fully separate</w:t>
            </w:r>
          </w:p>
        </w:tc>
        <w:tc>
          <w:tcPr>
            <w:tcW w:w="629" w:type="dxa"/>
            <w:tcBorders>
              <w:bottom w:val="single" w:sz="4" w:space="0" w:color="auto"/>
            </w:tcBorders>
            <w:vAlign w:val="center"/>
          </w:tcPr>
          <w:p w14:paraId="1F020087" w14:textId="77777777" w:rsidR="008C1CA0" w:rsidRPr="00BB1E47" w:rsidRDefault="008C1CA0" w:rsidP="00B61E87">
            <w:pPr>
              <w:pStyle w:val="Tabletext"/>
              <w:keepNext/>
              <w:jc w:val="center"/>
            </w:pPr>
          </w:p>
        </w:tc>
        <w:tc>
          <w:tcPr>
            <w:tcW w:w="737" w:type="dxa"/>
            <w:tcBorders>
              <w:bottom w:val="single" w:sz="4" w:space="0" w:color="auto"/>
            </w:tcBorders>
            <w:shd w:val="clear" w:color="auto" w:fill="F2F2F2" w:themeFill="background1" w:themeFillShade="F2"/>
            <w:vAlign w:val="center"/>
          </w:tcPr>
          <w:p w14:paraId="2ADAF5B7"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tcBorders>
              <w:bottom w:val="single" w:sz="4" w:space="0" w:color="auto"/>
            </w:tcBorders>
            <w:vAlign w:val="center"/>
          </w:tcPr>
          <w:p w14:paraId="2D112993" w14:textId="77777777" w:rsidR="008C1CA0" w:rsidRPr="00BB1E47" w:rsidRDefault="008C1CA0" w:rsidP="00B61E87">
            <w:pPr>
              <w:pStyle w:val="Tabletext"/>
              <w:keepNext/>
              <w:jc w:val="center"/>
            </w:pPr>
          </w:p>
        </w:tc>
        <w:tc>
          <w:tcPr>
            <w:tcW w:w="737" w:type="dxa"/>
            <w:tcBorders>
              <w:bottom w:val="single" w:sz="4" w:space="0" w:color="auto"/>
            </w:tcBorders>
            <w:vAlign w:val="center"/>
          </w:tcPr>
          <w:p w14:paraId="0674B9CF" w14:textId="77777777" w:rsidR="008C1CA0" w:rsidRPr="00BB1E47" w:rsidRDefault="008C1CA0" w:rsidP="00B61E87">
            <w:pPr>
              <w:pStyle w:val="Tabletext"/>
              <w:keepNext/>
              <w:jc w:val="center"/>
            </w:pPr>
          </w:p>
        </w:tc>
        <w:tc>
          <w:tcPr>
            <w:tcW w:w="737" w:type="dxa"/>
            <w:tcBorders>
              <w:bottom w:val="single" w:sz="4" w:space="0" w:color="auto"/>
            </w:tcBorders>
            <w:shd w:val="clear" w:color="auto" w:fill="FFFFFF" w:themeFill="background1"/>
            <w:vAlign w:val="center"/>
          </w:tcPr>
          <w:p w14:paraId="4708DFAA"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shd w:val="clear" w:color="auto" w:fill="FFFFFF" w:themeFill="background1"/>
            <w:vAlign w:val="center"/>
          </w:tcPr>
          <w:p w14:paraId="3A794FB4"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vAlign w:val="center"/>
          </w:tcPr>
          <w:p w14:paraId="5AF38927" w14:textId="77777777" w:rsidR="008C1CA0" w:rsidRPr="00BB1E47" w:rsidRDefault="008C1CA0" w:rsidP="00B61E87">
            <w:pPr>
              <w:pStyle w:val="Tabletext"/>
              <w:keepNext/>
              <w:jc w:val="center"/>
            </w:pPr>
          </w:p>
        </w:tc>
        <w:tc>
          <w:tcPr>
            <w:tcW w:w="737" w:type="dxa"/>
            <w:tcBorders>
              <w:bottom w:val="single" w:sz="4" w:space="0" w:color="auto"/>
            </w:tcBorders>
            <w:vAlign w:val="center"/>
          </w:tcPr>
          <w:p w14:paraId="4BE17210" w14:textId="77777777" w:rsidR="008C1CA0" w:rsidRPr="00BB1E47" w:rsidRDefault="008C1CA0" w:rsidP="00B61E87">
            <w:pPr>
              <w:pStyle w:val="Tabletext"/>
              <w:keepNext/>
              <w:jc w:val="center"/>
            </w:pPr>
          </w:p>
        </w:tc>
      </w:tr>
      <w:tr w:rsidR="008C1CA0" w:rsidRPr="00BB1E47" w14:paraId="3FA7BD46" w14:textId="77777777" w:rsidTr="00B61E87">
        <w:trPr>
          <w:cantSplit/>
        </w:trPr>
        <w:tc>
          <w:tcPr>
            <w:tcW w:w="3969" w:type="dxa"/>
            <w:tcBorders>
              <w:right w:val="nil"/>
            </w:tcBorders>
          </w:tcPr>
          <w:p w14:paraId="450E2AA9" w14:textId="77777777" w:rsidR="008C1CA0" w:rsidRPr="00BB1E47" w:rsidRDefault="008C1CA0" w:rsidP="00B108AF">
            <w:pPr>
              <w:pStyle w:val="Tabletext"/>
              <w:keepNext/>
            </w:pPr>
            <w:r w:rsidRPr="00BB1E47">
              <w:rPr>
                <w:b/>
                <w:bCs/>
              </w:rPr>
              <w:t>Regulatory approach</w:t>
            </w:r>
          </w:p>
        </w:tc>
        <w:tc>
          <w:tcPr>
            <w:tcW w:w="629" w:type="dxa"/>
            <w:tcBorders>
              <w:left w:val="nil"/>
              <w:right w:val="nil"/>
            </w:tcBorders>
            <w:vAlign w:val="center"/>
          </w:tcPr>
          <w:p w14:paraId="4B877142" w14:textId="77777777" w:rsidR="008C1CA0" w:rsidRPr="00BB1E47" w:rsidRDefault="008C1CA0" w:rsidP="00B61E87">
            <w:pPr>
              <w:pStyle w:val="Tabletext"/>
              <w:keepNext/>
              <w:jc w:val="center"/>
            </w:pPr>
          </w:p>
        </w:tc>
        <w:tc>
          <w:tcPr>
            <w:tcW w:w="737" w:type="dxa"/>
            <w:tcBorders>
              <w:left w:val="nil"/>
              <w:right w:val="nil"/>
            </w:tcBorders>
            <w:vAlign w:val="center"/>
          </w:tcPr>
          <w:p w14:paraId="2610BEFB"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6B7B5A07" w14:textId="77777777" w:rsidR="008C1CA0" w:rsidRPr="00BB1E47" w:rsidRDefault="008C1CA0" w:rsidP="00B61E87">
            <w:pPr>
              <w:pStyle w:val="Tabletext"/>
              <w:keepNext/>
              <w:jc w:val="center"/>
            </w:pPr>
          </w:p>
        </w:tc>
        <w:tc>
          <w:tcPr>
            <w:tcW w:w="737" w:type="dxa"/>
            <w:tcBorders>
              <w:left w:val="nil"/>
              <w:right w:val="nil"/>
            </w:tcBorders>
            <w:vAlign w:val="center"/>
          </w:tcPr>
          <w:p w14:paraId="7639BD3E" w14:textId="77777777" w:rsidR="008C1CA0" w:rsidRPr="00BB1E47" w:rsidRDefault="008C1CA0" w:rsidP="00B61E87">
            <w:pPr>
              <w:pStyle w:val="Tabletext"/>
              <w:keepNext/>
              <w:jc w:val="center"/>
            </w:pPr>
          </w:p>
        </w:tc>
        <w:tc>
          <w:tcPr>
            <w:tcW w:w="737" w:type="dxa"/>
            <w:tcBorders>
              <w:left w:val="nil"/>
              <w:right w:val="nil"/>
            </w:tcBorders>
            <w:vAlign w:val="center"/>
          </w:tcPr>
          <w:p w14:paraId="201DF9B9"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3901EDF9"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1A13330A" w14:textId="77777777" w:rsidR="008C1CA0" w:rsidRPr="00BB1E47" w:rsidRDefault="008C1CA0" w:rsidP="00B61E87">
            <w:pPr>
              <w:pStyle w:val="Tabletext"/>
              <w:keepNext/>
              <w:jc w:val="center"/>
            </w:pPr>
          </w:p>
        </w:tc>
        <w:tc>
          <w:tcPr>
            <w:tcW w:w="737" w:type="dxa"/>
            <w:tcBorders>
              <w:left w:val="nil"/>
            </w:tcBorders>
            <w:vAlign w:val="center"/>
          </w:tcPr>
          <w:p w14:paraId="6D99C858" w14:textId="77777777" w:rsidR="008C1CA0" w:rsidRPr="00BB1E47" w:rsidRDefault="008C1CA0" w:rsidP="00B61E87">
            <w:pPr>
              <w:pStyle w:val="Tabletext"/>
              <w:keepNext/>
              <w:jc w:val="center"/>
            </w:pPr>
          </w:p>
        </w:tc>
      </w:tr>
      <w:tr w:rsidR="008C1CA0" w:rsidRPr="00BB1E47" w14:paraId="1FCAE7AE" w14:textId="77777777" w:rsidTr="00B61E87">
        <w:trPr>
          <w:cantSplit/>
        </w:trPr>
        <w:tc>
          <w:tcPr>
            <w:tcW w:w="3969" w:type="dxa"/>
          </w:tcPr>
          <w:p w14:paraId="2114F016" w14:textId="70E164D9" w:rsidR="008C1CA0" w:rsidRPr="00BB1E47" w:rsidRDefault="008C1CA0" w:rsidP="00B108AF">
            <w:pPr>
              <w:pStyle w:val="Tabletext"/>
              <w:keepNext/>
            </w:pPr>
            <w:r w:rsidRPr="00BB1E47">
              <w:t xml:space="preserve">NEPT-specific </w:t>
            </w:r>
            <w:r w:rsidR="00796E44" w:rsidRPr="00BB1E47">
              <w:t>regulation</w:t>
            </w:r>
            <w:r w:rsidR="00742F30" w:rsidRPr="00BB1E47">
              <w:t>s</w:t>
            </w:r>
          </w:p>
        </w:tc>
        <w:tc>
          <w:tcPr>
            <w:tcW w:w="629" w:type="dxa"/>
            <w:shd w:val="clear" w:color="auto" w:fill="D9D9D9" w:themeFill="background1" w:themeFillShade="D9"/>
            <w:vAlign w:val="center"/>
          </w:tcPr>
          <w:p w14:paraId="3B4B44AC"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vAlign w:val="center"/>
          </w:tcPr>
          <w:p w14:paraId="51965BAA"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10477927" w14:textId="77777777" w:rsidR="008C1CA0" w:rsidRPr="00BB1E47" w:rsidRDefault="008C1CA0" w:rsidP="00B61E87">
            <w:pPr>
              <w:pStyle w:val="Tabletext"/>
              <w:keepNext/>
              <w:jc w:val="center"/>
            </w:pPr>
          </w:p>
        </w:tc>
        <w:tc>
          <w:tcPr>
            <w:tcW w:w="737" w:type="dxa"/>
            <w:vAlign w:val="center"/>
          </w:tcPr>
          <w:p w14:paraId="20FF9254" w14:textId="77777777" w:rsidR="008C1CA0" w:rsidRPr="00BB1E47" w:rsidRDefault="008C1CA0" w:rsidP="00B61E87">
            <w:pPr>
              <w:pStyle w:val="Tabletext"/>
              <w:keepNext/>
              <w:jc w:val="center"/>
            </w:pPr>
          </w:p>
        </w:tc>
        <w:tc>
          <w:tcPr>
            <w:tcW w:w="737" w:type="dxa"/>
            <w:vAlign w:val="center"/>
          </w:tcPr>
          <w:p w14:paraId="079D6D19"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3D6EFD9F"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660496AC" w14:textId="77777777" w:rsidR="008C1CA0" w:rsidRPr="00BB1E47" w:rsidRDefault="008C1CA0" w:rsidP="00B61E87">
            <w:pPr>
              <w:pStyle w:val="Tabletext"/>
              <w:keepNext/>
              <w:jc w:val="center"/>
            </w:pPr>
          </w:p>
        </w:tc>
        <w:tc>
          <w:tcPr>
            <w:tcW w:w="737" w:type="dxa"/>
            <w:vAlign w:val="center"/>
          </w:tcPr>
          <w:p w14:paraId="5915437D" w14:textId="77777777" w:rsidR="008C1CA0" w:rsidRPr="00BB1E47" w:rsidRDefault="008C1CA0" w:rsidP="00B61E87">
            <w:pPr>
              <w:pStyle w:val="Tabletext"/>
              <w:keepNext/>
              <w:jc w:val="center"/>
            </w:pPr>
          </w:p>
        </w:tc>
      </w:tr>
      <w:tr w:rsidR="00E64306" w:rsidRPr="00BB1E47" w14:paraId="44AF4186" w14:textId="77777777" w:rsidTr="00B61E87">
        <w:trPr>
          <w:cantSplit/>
        </w:trPr>
        <w:tc>
          <w:tcPr>
            <w:tcW w:w="3969" w:type="dxa"/>
            <w:tcBorders>
              <w:bottom w:val="single" w:sz="4" w:space="0" w:color="auto"/>
            </w:tcBorders>
          </w:tcPr>
          <w:p w14:paraId="4626CCD0" w14:textId="4B323B34" w:rsidR="008C1CA0" w:rsidRPr="00BB1E47" w:rsidRDefault="008C1CA0" w:rsidP="00B108AF">
            <w:pPr>
              <w:pStyle w:val="Tabletext"/>
              <w:keepNext/>
            </w:pPr>
            <w:r w:rsidRPr="00BB1E47">
              <w:t xml:space="preserve">NEPT under health </w:t>
            </w:r>
            <w:r w:rsidR="00796E44" w:rsidRPr="00BB1E47">
              <w:t>regulation</w:t>
            </w:r>
            <w:r w:rsidR="00EF03B1" w:rsidRPr="00BB1E47">
              <w:t>s</w:t>
            </w:r>
          </w:p>
        </w:tc>
        <w:tc>
          <w:tcPr>
            <w:tcW w:w="629" w:type="dxa"/>
            <w:tcBorders>
              <w:bottom w:val="single" w:sz="4" w:space="0" w:color="auto"/>
            </w:tcBorders>
            <w:vAlign w:val="center"/>
          </w:tcPr>
          <w:p w14:paraId="598C0FCB" w14:textId="77777777" w:rsidR="008C1CA0" w:rsidRPr="00BB1E47" w:rsidRDefault="008C1CA0" w:rsidP="00B61E87">
            <w:pPr>
              <w:pStyle w:val="Tabletext"/>
              <w:keepNext/>
              <w:jc w:val="center"/>
            </w:pPr>
          </w:p>
        </w:tc>
        <w:tc>
          <w:tcPr>
            <w:tcW w:w="737" w:type="dxa"/>
            <w:tcBorders>
              <w:bottom w:val="single" w:sz="4" w:space="0" w:color="auto"/>
            </w:tcBorders>
            <w:shd w:val="clear" w:color="auto" w:fill="F2F2F2" w:themeFill="background1" w:themeFillShade="F2"/>
            <w:vAlign w:val="center"/>
          </w:tcPr>
          <w:p w14:paraId="6D46BC7B"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4DB99D70"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64D9BB1C"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0FEC10D1"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6E4DEE20"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3EB5376A"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shd w:val="clear" w:color="auto" w:fill="F2F2F2" w:themeFill="background1" w:themeFillShade="F2"/>
            <w:vAlign w:val="center"/>
          </w:tcPr>
          <w:p w14:paraId="491BA5AA" w14:textId="77777777" w:rsidR="008C1CA0" w:rsidRPr="00BB1E47" w:rsidRDefault="008C1CA0" w:rsidP="00B61E87">
            <w:pPr>
              <w:pStyle w:val="Tabletext"/>
              <w:keepNext/>
              <w:jc w:val="center"/>
            </w:pPr>
            <w:r w:rsidRPr="00BB1E47">
              <w:rPr>
                <w:rFonts w:ascii="Wingdings" w:eastAsia="Wingdings" w:hAnsi="Wingdings" w:cs="Wingdings"/>
              </w:rPr>
              <w:t>ü</w:t>
            </w:r>
          </w:p>
        </w:tc>
      </w:tr>
      <w:tr w:rsidR="008C1CA0" w:rsidRPr="00BB1E47" w14:paraId="3942676A" w14:textId="77777777" w:rsidTr="00B61E87">
        <w:trPr>
          <w:cantSplit/>
        </w:trPr>
        <w:tc>
          <w:tcPr>
            <w:tcW w:w="3969" w:type="dxa"/>
            <w:tcBorders>
              <w:right w:val="nil"/>
            </w:tcBorders>
          </w:tcPr>
          <w:p w14:paraId="1271988F" w14:textId="77777777" w:rsidR="008C1CA0" w:rsidRPr="00BB1E47" w:rsidRDefault="008C1CA0" w:rsidP="00B108AF">
            <w:pPr>
              <w:pStyle w:val="Tabletext"/>
              <w:keepNext/>
            </w:pPr>
            <w:r w:rsidRPr="00BB1E47">
              <w:rPr>
                <w:b/>
                <w:bCs/>
              </w:rPr>
              <w:t xml:space="preserve">Service consolidation </w:t>
            </w:r>
          </w:p>
        </w:tc>
        <w:tc>
          <w:tcPr>
            <w:tcW w:w="629" w:type="dxa"/>
            <w:tcBorders>
              <w:left w:val="nil"/>
              <w:right w:val="nil"/>
            </w:tcBorders>
            <w:vAlign w:val="center"/>
          </w:tcPr>
          <w:p w14:paraId="2AF6687D" w14:textId="77777777" w:rsidR="008C1CA0" w:rsidRPr="00BB1E47" w:rsidRDefault="008C1CA0" w:rsidP="00B61E87">
            <w:pPr>
              <w:pStyle w:val="Tabletext"/>
              <w:keepNext/>
              <w:jc w:val="center"/>
            </w:pPr>
          </w:p>
        </w:tc>
        <w:tc>
          <w:tcPr>
            <w:tcW w:w="737" w:type="dxa"/>
            <w:tcBorders>
              <w:left w:val="nil"/>
              <w:right w:val="nil"/>
            </w:tcBorders>
            <w:vAlign w:val="center"/>
          </w:tcPr>
          <w:p w14:paraId="4A134246"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5FE2607A"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0A9C1B7D"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21D744DB"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5A79531C"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7B7632EF"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tcBorders>
            <w:vAlign w:val="center"/>
          </w:tcPr>
          <w:p w14:paraId="008CEBE5" w14:textId="77777777" w:rsidR="008C1CA0" w:rsidRPr="00BB1E47" w:rsidRDefault="008C1CA0" w:rsidP="00B61E87">
            <w:pPr>
              <w:pStyle w:val="Tabletext"/>
              <w:keepNext/>
              <w:jc w:val="center"/>
              <w:rPr>
                <w:rFonts w:ascii="Myriad Pro" w:eastAsia="Myriad Pro" w:hAnsi="Myriad Pro" w:cs="Myriad Pro"/>
              </w:rPr>
            </w:pPr>
          </w:p>
        </w:tc>
      </w:tr>
      <w:tr w:rsidR="00B31031" w:rsidRPr="00BB1E47" w14:paraId="7F8E3658" w14:textId="77777777" w:rsidTr="00796C26">
        <w:trPr>
          <w:cantSplit/>
        </w:trPr>
        <w:tc>
          <w:tcPr>
            <w:tcW w:w="3969" w:type="dxa"/>
          </w:tcPr>
          <w:p w14:paraId="43862254" w14:textId="77777777" w:rsidR="008C1CA0" w:rsidRPr="00BB1E47" w:rsidRDefault="008C1CA0" w:rsidP="00B108AF">
            <w:pPr>
              <w:pStyle w:val="Tabletext"/>
              <w:keepNext/>
            </w:pPr>
            <w:r w:rsidRPr="00BB1E47">
              <w:t xml:space="preserve">Single provider </w:t>
            </w:r>
          </w:p>
        </w:tc>
        <w:tc>
          <w:tcPr>
            <w:tcW w:w="629" w:type="dxa"/>
            <w:shd w:val="clear" w:color="auto" w:fill="auto"/>
            <w:vAlign w:val="center"/>
          </w:tcPr>
          <w:p w14:paraId="0BDFC723" w14:textId="382B7397" w:rsidR="008C1CA0" w:rsidRPr="00BB1E47" w:rsidRDefault="008C1CA0" w:rsidP="00B61E87">
            <w:pPr>
              <w:pStyle w:val="Tabletext"/>
              <w:keepNext/>
              <w:jc w:val="center"/>
            </w:pPr>
          </w:p>
        </w:tc>
        <w:tc>
          <w:tcPr>
            <w:tcW w:w="737" w:type="dxa"/>
            <w:shd w:val="clear" w:color="auto" w:fill="F2F2F2" w:themeFill="background1" w:themeFillShade="F2"/>
            <w:vAlign w:val="center"/>
          </w:tcPr>
          <w:p w14:paraId="22E73C4B"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1C00D407"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66D2CEA8"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vAlign w:val="center"/>
          </w:tcPr>
          <w:p w14:paraId="404EF320" w14:textId="77777777" w:rsidR="008C1CA0" w:rsidRPr="00BB1E47" w:rsidRDefault="008C1CA0" w:rsidP="00B61E87">
            <w:pPr>
              <w:pStyle w:val="Tabletext"/>
              <w:keepNext/>
              <w:jc w:val="center"/>
              <w:rPr>
                <w:rFonts w:ascii="Myriad Pro" w:eastAsia="Myriad Pro" w:hAnsi="Myriad Pro" w:cs="Myriad Pro"/>
              </w:rPr>
            </w:pPr>
          </w:p>
        </w:tc>
        <w:tc>
          <w:tcPr>
            <w:tcW w:w="737" w:type="dxa"/>
            <w:shd w:val="clear" w:color="auto" w:fill="F2F2F2" w:themeFill="background1" w:themeFillShade="F2"/>
            <w:vAlign w:val="center"/>
          </w:tcPr>
          <w:p w14:paraId="2FD1E246"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vAlign w:val="center"/>
          </w:tcPr>
          <w:p w14:paraId="21E2747E" w14:textId="77777777" w:rsidR="008C1CA0" w:rsidRPr="00BB1E47" w:rsidRDefault="008C1CA0" w:rsidP="00B61E87">
            <w:pPr>
              <w:pStyle w:val="Tabletext"/>
              <w:keepNext/>
              <w:jc w:val="center"/>
              <w:rPr>
                <w:rFonts w:ascii="Myriad Pro" w:eastAsia="Myriad Pro" w:hAnsi="Myriad Pro" w:cs="Myriad Pro"/>
              </w:rPr>
            </w:pPr>
          </w:p>
        </w:tc>
        <w:tc>
          <w:tcPr>
            <w:tcW w:w="737" w:type="dxa"/>
            <w:shd w:val="clear" w:color="auto" w:fill="F2F2F2" w:themeFill="background1" w:themeFillShade="F2"/>
            <w:vAlign w:val="center"/>
          </w:tcPr>
          <w:p w14:paraId="079BD02E"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r>
      <w:tr w:rsidR="00B31031" w:rsidRPr="00BB1E47" w14:paraId="53DCF27B" w14:textId="77777777" w:rsidTr="00B61E87">
        <w:trPr>
          <w:cantSplit/>
        </w:trPr>
        <w:tc>
          <w:tcPr>
            <w:tcW w:w="3969" w:type="dxa"/>
          </w:tcPr>
          <w:p w14:paraId="0DC7D2AC" w14:textId="77777777" w:rsidR="008C1CA0" w:rsidRPr="00BB1E47" w:rsidRDefault="008C1CA0" w:rsidP="00B108AF">
            <w:pPr>
              <w:pStyle w:val="Tabletext"/>
              <w:keepNext/>
            </w:pPr>
            <w:r w:rsidRPr="00BB1E47">
              <w:t>2-3 providers</w:t>
            </w:r>
          </w:p>
        </w:tc>
        <w:tc>
          <w:tcPr>
            <w:tcW w:w="629" w:type="dxa"/>
            <w:vAlign w:val="center"/>
          </w:tcPr>
          <w:p w14:paraId="45E9B7F9" w14:textId="77777777" w:rsidR="008C1CA0" w:rsidRPr="00BB1E47" w:rsidRDefault="008C1CA0" w:rsidP="00B61E87">
            <w:pPr>
              <w:pStyle w:val="Tabletext"/>
              <w:keepNext/>
              <w:jc w:val="center"/>
            </w:pPr>
          </w:p>
        </w:tc>
        <w:tc>
          <w:tcPr>
            <w:tcW w:w="737" w:type="dxa"/>
            <w:vAlign w:val="center"/>
          </w:tcPr>
          <w:p w14:paraId="32439ABB"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6693D884"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50E61EF6" w14:textId="77777777" w:rsidR="008C1CA0" w:rsidRPr="00BB1E47" w:rsidRDefault="008C1CA0" w:rsidP="00B61E87">
            <w:pPr>
              <w:pStyle w:val="Tabletext"/>
              <w:keepNext/>
              <w:jc w:val="center"/>
              <w:rPr>
                <w:rFonts w:ascii="Myriad Pro" w:eastAsia="Myriad Pro" w:hAnsi="Myriad Pro" w:cs="Myriad Pro"/>
              </w:rPr>
            </w:pPr>
          </w:p>
        </w:tc>
        <w:tc>
          <w:tcPr>
            <w:tcW w:w="737" w:type="dxa"/>
            <w:shd w:val="clear" w:color="auto" w:fill="F2F2F2" w:themeFill="background1" w:themeFillShade="F2"/>
            <w:vAlign w:val="center"/>
          </w:tcPr>
          <w:p w14:paraId="273EA97F"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vAlign w:val="center"/>
          </w:tcPr>
          <w:p w14:paraId="29F936B8"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58B4F28E"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30CA16E4" w14:textId="77777777" w:rsidR="008C1CA0" w:rsidRPr="00BB1E47" w:rsidRDefault="008C1CA0" w:rsidP="00B61E87">
            <w:pPr>
              <w:pStyle w:val="Tabletext"/>
              <w:keepNext/>
              <w:jc w:val="center"/>
              <w:rPr>
                <w:rFonts w:ascii="Myriad Pro" w:eastAsia="Myriad Pro" w:hAnsi="Myriad Pro" w:cs="Myriad Pro"/>
              </w:rPr>
            </w:pPr>
          </w:p>
        </w:tc>
      </w:tr>
      <w:tr w:rsidR="008D0174" w:rsidRPr="00BB1E47" w14:paraId="4E52EAD9" w14:textId="77777777" w:rsidTr="00B61E87">
        <w:trPr>
          <w:cantSplit/>
        </w:trPr>
        <w:tc>
          <w:tcPr>
            <w:tcW w:w="3969" w:type="dxa"/>
            <w:tcBorders>
              <w:bottom w:val="single" w:sz="4" w:space="0" w:color="auto"/>
            </w:tcBorders>
          </w:tcPr>
          <w:p w14:paraId="5E4F47BA" w14:textId="77777777" w:rsidR="008C1CA0" w:rsidRPr="00BB1E47" w:rsidRDefault="008C1CA0" w:rsidP="00B108AF">
            <w:pPr>
              <w:pStyle w:val="Tabletext"/>
              <w:keepNext/>
            </w:pPr>
            <w:r w:rsidRPr="00BB1E47">
              <w:t>4+ providers</w:t>
            </w:r>
          </w:p>
        </w:tc>
        <w:tc>
          <w:tcPr>
            <w:tcW w:w="629" w:type="dxa"/>
            <w:tcBorders>
              <w:bottom w:val="single" w:sz="4" w:space="0" w:color="auto"/>
            </w:tcBorders>
            <w:shd w:val="clear" w:color="auto" w:fill="D9D9D9" w:themeFill="background1" w:themeFillShade="D9"/>
            <w:vAlign w:val="center"/>
          </w:tcPr>
          <w:p w14:paraId="227F8BC1" w14:textId="77777777" w:rsidR="008C1CA0" w:rsidRPr="00BB1E47" w:rsidRDefault="008C1CA0" w:rsidP="00B61E87">
            <w:pPr>
              <w:pStyle w:val="Tabletext"/>
              <w:keepNext/>
              <w:jc w:val="center"/>
            </w:pPr>
            <w:r w:rsidRPr="00BB1E47">
              <w:rPr>
                <w:rFonts w:ascii="Wingdings" w:eastAsia="Wingdings" w:hAnsi="Wingdings" w:cs="Wingdings"/>
              </w:rPr>
              <w:t>ü</w:t>
            </w:r>
          </w:p>
        </w:tc>
        <w:tc>
          <w:tcPr>
            <w:tcW w:w="737" w:type="dxa"/>
            <w:tcBorders>
              <w:bottom w:val="single" w:sz="4" w:space="0" w:color="auto"/>
            </w:tcBorders>
            <w:vAlign w:val="center"/>
          </w:tcPr>
          <w:p w14:paraId="12213525"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vAlign w:val="center"/>
          </w:tcPr>
          <w:p w14:paraId="1F00919A"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vAlign w:val="center"/>
          </w:tcPr>
          <w:p w14:paraId="73DE8D85"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vAlign w:val="center"/>
          </w:tcPr>
          <w:p w14:paraId="3BE81995"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vAlign w:val="center"/>
          </w:tcPr>
          <w:p w14:paraId="522A431E"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bottom w:val="single" w:sz="4" w:space="0" w:color="auto"/>
            </w:tcBorders>
            <w:shd w:val="clear" w:color="auto" w:fill="F2F2F2" w:themeFill="background1" w:themeFillShade="F2"/>
            <w:vAlign w:val="center"/>
          </w:tcPr>
          <w:p w14:paraId="3A5DB582"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tcBorders>
              <w:bottom w:val="single" w:sz="4" w:space="0" w:color="auto"/>
            </w:tcBorders>
            <w:vAlign w:val="center"/>
          </w:tcPr>
          <w:p w14:paraId="38090D60" w14:textId="77777777" w:rsidR="008C1CA0" w:rsidRPr="00BB1E47" w:rsidRDefault="008C1CA0" w:rsidP="00B61E87">
            <w:pPr>
              <w:pStyle w:val="Tabletext"/>
              <w:keepNext/>
              <w:jc w:val="center"/>
              <w:rPr>
                <w:rFonts w:ascii="Myriad Pro" w:eastAsia="Myriad Pro" w:hAnsi="Myriad Pro" w:cs="Myriad Pro"/>
              </w:rPr>
            </w:pPr>
          </w:p>
        </w:tc>
      </w:tr>
      <w:tr w:rsidR="008C1CA0" w:rsidRPr="00BB1E47" w14:paraId="441A3560" w14:textId="77777777" w:rsidTr="00B61E87">
        <w:trPr>
          <w:cantSplit/>
        </w:trPr>
        <w:tc>
          <w:tcPr>
            <w:tcW w:w="3969" w:type="dxa"/>
            <w:tcBorders>
              <w:right w:val="nil"/>
            </w:tcBorders>
          </w:tcPr>
          <w:p w14:paraId="5E0871E7" w14:textId="77777777" w:rsidR="008C1CA0" w:rsidRPr="00BB1E47" w:rsidRDefault="008C1CA0" w:rsidP="00B108AF">
            <w:pPr>
              <w:pStyle w:val="Tabletext"/>
              <w:keepNext/>
            </w:pPr>
            <w:r w:rsidRPr="00BB1E47">
              <w:rPr>
                <w:b/>
                <w:bCs/>
              </w:rPr>
              <w:t>Rural service provision</w:t>
            </w:r>
          </w:p>
        </w:tc>
        <w:tc>
          <w:tcPr>
            <w:tcW w:w="629" w:type="dxa"/>
            <w:tcBorders>
              <w:left w:val="nil"/>
              <w:right w:val="nil"/>
            </w:tcBorders>
            <w:vAlign w:val="center"/>
          </w:tcPr>
          <w:p w14:paraId="05069A6A"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695E92C5"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6C318D98"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4411EDFD"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7EE3E0CB"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0733BC71"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right w:val="nil"/>
            </w:tcBorders>
            <w:vAlign w:val="center"/>
          </w:tcPr>
          <w:p w14:paraId="66D0F5B8" w14:textId="77777777" w:rsidR="008C1CA0" w:rsidRPr="00BB1E47" w:rsidRDefault="008C1CA0" w:rsidP="00B61E87">
            <w:pPr>
              <w:pStyle w:val="Tabletext"/>
              <w:keepNext/>
              <w:jc w:val="center"/>
              <w:rPr>
                <w:rFonts w:ascii="Myriad Pro" w:eastAsia="Myriad Pro" w:hAnsi="Myriad Pro" w:cs="Myriad Pro"/>
              </w:rPr>
            </w:pPr>
          </w:p>
        </w:tc>
        <w:tc>
          <w:tcPr>
            <w:tcW w:w="737" w:type="dxa"/>
            <w:tcBorders>
              <w:left w:val="nil"/>
            </w:tcBorders>
            <w:vAlign w:val="center"/>
          </w:tcPr>
          <w:p w14:paraId="796F764C" w14:textId="77777777" w:rsidR="008C1CA0" w:rsidRPr="00BB1E47" w:rsidRDefault="008C1CA0" w:rsidP="00B61E87">
            <w:pPr>
              <w:pStyle w:val="Tabletext"/>
              <w:keepNext/>
              <w:jc w:val="center"/>
              <w:rPr>
                <w:rFonts w:ascii="Myriad Pro" w:eastAsia="Myriad Pro" w:hAnsi="Myriad Pro" w:cs="Myriad Pro"/>
              </w:rPr>
            </w:pPr>
          </w:p>
        </w:tc>
      </w:tr>
      <w:tr w:rsidR="00E64306" w:rsidRPr="00BB1E47" w14:paraId="44BD546B" w14:textId="77777777" w:rsidTr="00B61E87">
        <w:trPr>
          <w:cantSplit/>
        </w:trPr>
        <w:tc>
          <w:tcPr>
            <w:tcW w:w="3969" w:type="dxa"/>
          </w:tcPr>
          <w:p w14:paraId="3C7E6FC7" w14:textId="77777777" w:rsidR="008C1CA0" w:rsidRPr="00BB1E47" w:rsidRDefault="008C1CA0" w:rsidP="00B108AF">
            <w:pPr>
              <w:pStyle w:val="Tabletext"/>
              <w:keepNext/>
            </w:pPr>
            <w:r w:rsidRPr="00BB1E47">
              <w:t xml:space="preserve">Single provider responsible </w:t>
            </w:r>
          </w:p>
        </w:tc>
        <w:tc>
          <w:tcPr>
            <w:tcW w:w="629" w:type="dxa"/>
            <w:vAlign w:val="center"/>
          </w:tcPr>
          <w:p w14:paraId="5992FF35" w14:textId="77777777" w:rsidR="008C1CA0" w:rsidRPr="00BB1E47" w:rsidRDefault="008C1CA0" w:rsidP="00B61E87">
            <w:pPr>
              <w:pStyle w:val="Tabletext"/>
              <w:keepNext/>
              <w:jc w:val="center"/>
              <w:rPr>
                <w:rFonts w:ascii="Myriad Pro" w:eastAsia="Myriad Pro" w:hAnsi="Myriad Pro" w:cs="Myriad Pro"/>
              </w:rPr>
            </w:pPr>
          </w:p>
        </w:tc>
        <w:tc>
          <w:tcPr>
            <w:tcW w:w="737" w:type="dxa"/>
            <w:shd w:val="clear" w:color="auto" w:fill="F2F2F2" w:themeFill="background1" w:themeFillShade="F2"/>
            <w:vAlign w:val="center"/>
          </w:tcPr>
          <w:p w14:paraId="77556CE4"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233F6276"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51B1179E"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11E3DE92"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6DDE362B"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00D0F321"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shd w:val="clear" w:color="auto" w:fill="F2F2F2" w:themeFill="background1" w:themeFillShade="F2"/>
            <w:vAlign w:val="center"/>
          </w:tcPr>
          <w:p w14:paraId="6B0BF4DB"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r>
      <w:tr w:rsidR="008D0174" w:rsidRPr="00BB1E47" w14:paraId="0AC7EB0A" w14:textId="77777777" w:rsidTr="00B61E87">
        <w:trPr>
          <w:cantSplit/>
        </w:trPr>
        <w:tc>
          <w:tcPr>
            <w:tcW w:w="3969" w:type="dxa"/>
          </w:tcPr>
          <w:p w14:paraId="2E5C709A" w14:textId="77777777" w:rsidR="008C1CA0" w:rsidRPr="00BB1E47" w:rsidRDefault="008C1CA0" w:rsidP="00B108AF">
            <w:pPr>
              <w:pStyle w:val="Tabletext"/>
              <w:keepNext/>
            </w:pPr>
            <w:r w:rsidRPr="00BB1E47">
              <w:t xml:space="preserve">Multiple providers </w:t>
            </w:r>
          </w:p>
        </w:tc>
        <w:tc>
          <w:tcPr>
            <w:tcW w:w="629" w:type="dxa"/>
            <w:shd w:val="clear" w:color="auto" w:fill="D9D9D9" w:themeFill="background1" w:themeFillShade="D9"/>
            <w:vAlign w:val="center"/>
          </w:tcPr>
          <w:p w14:paraId="2B5894B8"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vAlign w:val="center"/>
          </w:tcPr>
          <w:p w14:paraId="004E2958"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5194C7EB"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53C66FFE"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7EC34188" w14:textId="77777777" w:rsidR="008C1CA0" w:rsidRPr="00BB1E47" w:rsidRDefault="008C1CA0" w:rsidP="00B61E87">
            <w:pPr>
              <w:pStyle w:val="Tabletext"/>
              <w:keepNext/>
              <w:jc w:val="center"/>
              <w:rPr>
                <w:rFonts w:ascii="Myriad Pro" w:eastAsia="Myriad Pro" w:hAnsi="Myriad Pro" w:cs="Myriad Pro"/>
              </w:rPr>
            </w:pPr>
          </w:p>
        </w:tc>
        <w:tc>
          <w:tcPr>
            <w:tcW w:w="737" w:type="dxa"/>
            <w:vAlign w:val="center"/>
          </w:tcPr>
          <w:p w14:paraId="23B5EB94" w14:textId="77777777" w:rsidR="008C1CA0" w:rsidRPr="00BB1E47" w:rsidRDefault="008C1CA0" w:rsidP="00B61E87">
            <w:pPr>
              <w:pStyle w:val="Tabletext"/>
              <w:keepNext/>
              <w:jc w:val="center"/>
              <w:rPr>
                <w:rFonts w:ascii="Myriad Pro" w:eastAsia="Myriad Pro" w:hAnsi="Myriad Pro" w:cs="Myriad Pro"/>
              </w:rPr>
            </w:pPr>
          </w:p>
        </w:tc>
        <w:tc>
          <w:tcPr>
            <w:tcW w:w="737" w:type="dxa"/>
            <w:shd w:val="clear" w:color="auto" w:fill="F2F2F2" w:themeFill="background1" w:themeFillShade="F2"/>
            <w:vAlign w:val="center"/>
          </w:tcPr>
          <w:p w14:paraId="151B5945" w14:textId="77777777" w:rsidR="008C1CA0" w:rsidRPr="00BB1E47" w:rsidRDefault="008C1CA0" w:rsidP="00B61E87">
            <w:pPr>
              <w:pStyle w:val="Tabletext"/>
              <w:keepNext/>
              <w:jc w:val="center"/>
              <w:rPr>
                <w:rFonts w:ascii="Myriad Pro" w:eastAsia="Myriad Pro" w:hAnsi="Myriad Pro" w:cs="Myriad Pro"/>
              </w:rPr>
            </w:pPr>
            <w:r w:rsidRPr="00BB1E47">
              <w:rPr>
                <w:rFonts w:ascii="Wingdings" w:eastAsia="Wingdings" w:hAnsi="Wingdings" w:cs="Wingdings"/>
              </w:rPr>
              <w:t>ü</w:t>
            </w:r>
          </w:p>
        </w:tc>
        <w:tc>
          <w:tcPr>
            <w:tcW w:w="737" w:type="dxa"/>
            <w:vAlign w:val="center"/>
          </w:tcPr>
          <w:p w14:paraId="553C7100" w14:textId="77777777" w:rsidR="008C1CA0" w:rsidRPr="00BB1E47" w:rsidRDefault="008C1CA0" w:rsidP="00B61E87">
            <w:pPr>
              <w:pStyle w:val="Tabletext"/>
              <w:keepNext/>
              <w:jc w:val="center"/>
              <w:rPr>
                <w:rFonts w:ascii="Myriad Pro" w:eastAsia="Myriad Pro" w:hAnsi="Myriad Pro" w:cs="Myriad Pro"/>
              </w:rPr>
            </w:pPr>
          </w:p>
        </w:tc>
      </w:tr>
    </w:tbl>
    <w:p w14:paraId="32909089" w14:textId="7F453AC7" w:rsidR="008C1CA0" w:rsidRPr="00BB1E47" w:rsidRDefault="00796E44" w:rsidP="008C1CA0">
      <w:pPr>
        <w:pStyle w:val="Tablefigurenote"/>
      </w:pPr>
      <w:r w:rsidRPr="00BB1E47">
        <w:t xml:space="preserve">*See </w:t>
      </w:r>
      <w:r w:rsidR="00F7222B" w:rsidRPr="00BB1E47">
        <w:rPr>
          <w:i/>
          <w:iCs/>
        </w:rPr>
        <w:fldChar w:fldCharType="begin"/>
      </w:r>
      <w:r w:rsidR="00F7222B" w:rsidRPr="00BB1E47">
        <w:rPr>
          <w:i/>
          <w:iCs/>
        </w:rPr>
        <w:instrText xml:space="preserve"> REF _Ref134690157 \h  \* MERGEFORMAT </w:instrText>
      </w:r>
      <w:r w:rsidR="00F7222B" w:rsidRPr="00BB1E47">
        <w:rPr>
          <w:i/>
          <w:iCs/>
        </w:rPr>
      </w:r>
      <w:r w:rsidR="00F7222B" w:rsidRPr="00BB1E47">
        <w:rPr>
          <w:i/>
          <w:iCs/>
        </w:rPr>
        <w:fldChar w:fldCharType="separate"/>
      </w:r>
      <w:r w:rsidR="003D510C" w:rsidRPr="003D510C">
        <w:rPr>
          <w:i/>
          <w:iCs/>
        </w:rPr>
        <w:t>Appendix 2: Jurisdictional comparison of procurement arrangements</w:t>
      </w:r>
      <w:r w:rsidR="00F7222B" w:rsidRPr="00BB1E47">
        <w:rPr>
          <w:i/>
          <w:iCs/>
        </w:rPr>
        <w:fldChar w:fldCharType="end"/>
      </w:r>
      <w:r w:rsidRPr="00BB1E47">
        <w:rPr>
          <w:i/>
          <w:iCs/>
        </w:rPr>
        <w:t xml:space="preserve"> </w:t>
      </w:r>
      <w:r w:rsidRPr="00BB1E47">
        <w:t>for further detail</w:t>
      </w:r>
    </w:p>
    <w:p w14:paraId="6F05B08F" w14:textId="77777777" w:rsidR="008C1CA0" w:rsidRPr="00BB1E47" w:rsidRDefault="008C1CA0" w:rsidP="008C1CA0">
      <w:pPr>
        <w:pStyle w:val="Tablefigurenote"/>
      </w:pPr>
    </w:p>
    <w:tbl>
      <w:tblPr>
        <w:tblStyle w:val="TableGrid"/>
        <w:tblW w:w="0" w:type="auto"/>
        <w:tblLook w:val="04A0" w:firstRow="1" w:lastRow="0" w:firstColumn="1" w:lastColumn="0" w:noHBand="0" w:noVBand="1"/>
      </w:tblPr>
      <w:tblGrid>
        <w:gridCol w:w="10194"/>
      </w:tblGrid>
      <w:tr w:rsidR="008C1CA0" w:rsidRPr="00BB1E47" w14:paraId="53244BE4" w14:textId="77777777" w:rsidTr="00503A30">
        <w:trPr>
          <w:trHeight w:val="1188"/>
        </w:trPr>
        <w:tc>
          <w:tcPr>
            <w:tcW w:w="10194" w:type="dxa"/>
            <w:shd w:val="clear" w:color="auto" w:fill="DBE5F1" w:themeFill="accent1" w:themeFillTint="33"/>
          </w:tcPr>
          <w:p w14:paraId="48534127" w14:textId="2DB76184" w:rsidR="008C1CA0" w:rsidRPr="00BB1E47" w:rsidRDefault="008C1CA0" w:rsidP="00C10F08">
            <w:pPr>
              <w:pStyle w:val="Body"/>
              <w:keepNext/>
              <w:keepLines/>
              <w:rPr>
                <w:b/>
                <w:bCs/>
              </w:rPr>
            </w:pPr>
            <w:r w:rsidRPr="00BB1E47">
              <w:rPr>
                <w:b/>
                <w:bCs/>
              </w:rPr>
              <w:t xml:space="preserve">Consultation questions </w:t>
            </w:r>
            <w:proofErr w:type="gramStart"/>
            <w:r w:rsidRPr="00BB1E47">
              <w:rPr>
                <w:b/>
                <w:bCs/>
              </w:rPr>
              <w:t xml:space="preserve">– </w:t>
            </w:r>
            <w:r w:rsidR="00354BAD">
              <w:rPr>
                <w:b/>
                <w:bCs/>
              </w:rPr>
              <w:t xml:space="preserve"> </w:t>
            </w:r>
            <w:r w:rsidR="00354BAD" w:rsidRPr="00354BAD">
              <w:rPr>
                <w:b/>
                <w:bCs/>
                <w:i/>
                <w:iCs/>
              </w:rPr>
              <w:t>How</w:t>
            </w:r>
            <w:proofErr w:type="gramEnd"/>
            <w:r w:rsidR="00354BAD" w:rsidRPr="00354BAD">
              <w:rPr>
                <w:b/>
                <w:bCs/>
                <w:i/>
                <w:iCs/>
              </w:rPr>
              <w:t xml:space="preserve"> are NEPT services set up in Victoria?</w:t>
            </w:r>
          </w:p>
          <w:p w14:paraId="3CF761E4" w14:textId="77777777" w:rsidR="008C1CA0" w:rsidRPr="00BB1E47" w:rsidRDefault="008C1CA0" w:rsidP="00503A30">
            <w:pPr>
              <w:pStyle w:val="Bullet1"/>
              <w:keepNext/>
              <w:keepLines/>
              <w:numPr>
                <w:ilvl w:val="0"/>
                <w:numId w:val="24"/>
              </w:numPr>
            </w:pPr>
            <w:r w:rsidRPr="00BB1E47">
              <w:t xml:space="preserve">Have the essential features of the Victorian NEPT sector been captured in this chapter? </w:t>
            </w:r>
          </w:p>
          <w:p w14:paraId="797330CE" w14:textId="703442E4" w:rsidR="00312381" w:rsidRPr="00BB1E47" w:rsidRDefault="008C1CA0" w:rsidP="00503A30">
            <w:pPr>
              <w:pStyle w:val="Bullet1"/>
              <w:keepNext/>
              <w:keepLines/>
              <w:numPr>
                <w:ilvl w:val="0"/>
                <w:numId w:val="24"/>
              </w:numPr>
            </w:pPr>
            <w:r w:rsidRPr="00BB1E47">
              <w:t xml:space="preserve">What additional features of the sector do you feel are important for the review to consider? </w:t>
            </w:r>
          </w:p>
        </w:tc>
      </w:tr>
    </w:tbl>
    <w:p w14:paraId="5F977C4E" w14:textId="77777777" w:rsidR="00E76579" w:rsidRPr="00BB1E47" w:rsidRDefault="00E76579" w:rsidP="00E76579">
      <w:pPr>
        <w:pStyle w:val="Body"/>
      </w:pPr>
      <w:bookmarkStart w:id="55" w:name="_Toc134633536"/>
    </w:p>
    <w:p w14:paraId="03FB1FBA" w14:textId="77777777" w:rsidR="00E76579" w:rsidRPr="00BB1E47" w:rsidRDefault="00E76579">
      <w:pPr>
        <w:spacing w:after="0" w:line="240" w:lineRule="auto"/>
        <w:rPr>
          <w:rFonts w:eastAsia="MS Gothic" w:cs="Arial"/>
          <w:bCs/>
          <w:color w:val="201547"/>
          <w:kern w:val="32"/>
          <w:sz w:val="40"/>
          <w:szCs w:val="40"/>
        </w:rPr>
      </w:pPr>
      <w:r w:rsidRPr="00BB1E47">
        <w:br w:type="page"/>
      </w:r>
    </w:p>
    <w:p w14:paraId="7E9C7E2F" w14:textId="5188B100" w:rsidR="008C1CA0" w:rsidRPr="00BB1E47" w:rsidRDefault="008C1CA0" w:rsidP="00B37D1A">
      <w:pPr>
        <w:pStyle w:val="Heading1"/>
        <w:numPr>
          <w:ilvl w:val="0"/>
          <w:numId w:val="13"/>
        </w:numPr>
      </w:pPr>
      <w:bookmarkStart w:id="56" w:name="_Ref135671118"/>
      <w:bookmarkStart w:id="57" w:name="_Toc136433488"/>
      <w:r w:rsidRPr="00BB1E47">
        <w:lastRenderedPageBreak/>
        <w:t>How is the sector currently performing?</w:t>
      </w:r>
      <w:bookmarkEnd w:id="55"/>
      <w:bookmarkEnd w:id="56"/>
      <w:bookmarkEnd w:id="57"/>
    </w:p>
    <w:p w14:paraId="54A1D82B" w14:textId="003DCC35" w:rsidR="008C1CA0" w:rsidRPr="00BB1E47" w:rsidRDefault="008C1CA0" w:rsidP="00E9640E">
      <w:pPr>
        <w:pStyle w:val="Heading2"/>
      </w:pPr>
      <w:bookmarkStart w:id="58" w:name="_Ref134279189"/>
      <w:bookmarkStart w:id="59" w:name="_Toc134633537"/>
      <w:bookmarkStart w:id="60" w:name="_Toc136433489"/>
      <w:bookmarkStart w:id="61" w:name="_Toc132619016"/>
      <w:r w:rsidRPr="00BB1E47">
        <w:t xml:space="preserve">Quality and safety </w:t>
      </w:r>
      <w:r w:rsidR="00447F4A" w:rsidRPr="00BB1E47">
        <w:t>appear</w:t>
      </w:r>
      <w:r w:rsidRPr="00BB1E47">
        <w:t xml:space="preserve"> strong, with </w:t>
      </w:r>
      <w:r w:rsidR="00447F4A" w:rsidRPr="00BB1E47">
        <w:t xml:space="preserve">regulatory </w:t>
      </w:r>
      <w:r w:rsidRPr="00BB1E47">
        <w:t xml:space="preserve">compliance high and adverse </w:t>
      </w:r>
      <w:r w:rsidR="00447F4A" w:rsidRPr="00BB1E47">
        <w:t>events</w:t>
      </w:r>
      <w:r w:rsidRPr="00BB1E47">
        <w:t xml:space="preserve"> rare</w:t>
      </w:r>
      <w:bookmarkEnd w:id="58"/>
      <w:bookmarkEnd w:id="59"/>
      <w:bookmarkEnd w:id="60"/>
    </w:p>
    <w:p w14:paraId="5FEED6A4" w14:textId="4D5B091F" w:rsidR="008C1CA0" w:rsidRPr="00BB1E47" w:rsidRDefault="008C1CA0" w:rsidP="00BB17D3">
      <w:pPr>
        <w:pStyle w:val="Heading3"/>
      </w:pPr>
      <w:bookmarkStart w:id="62" w:name="_Toc134633538"/>
      <w:bookmarkEnd w:id="61"/>
      <w:r w:rsidRPr="00BB1E47">
        <w:t>Assessed compliance to new regulatory standards is high</w:t>
      </w:r>
      <w:bookmarkEnd w:id="62"/>
    </w:p>
    <w:p w14:paraId="68AD366E" w14:textId="77777777" w:rsidR="008C1CA0" w:rsidRPr="00BB1E47" w:rsidRDefault="008C1CA0" w:rsidP="00B37D1A">
      <w:pPr>
        <w:pStyle w:val="Bullet1"/>
        <w:numPr>
          <w:ilvl w:val="0"/>
          <w:numId w:val="14"/>
        </w:numPr>
      </w:pPr>
      <w:r w:rsidRPr="00BB1E47">
        <w:t>The vast majority of NEPT providers deliver a safe and high-quality service for patients in Victoria, with service standards improving, through regulatory reform and increased scrutiny, and maturity of the sector.</w:t>
      </w:r>
    </w:p>
    <w:p w14:paraId="580E0688" w14:textId="77777777" w:rsidR="008C1CA0" w:rsidRPr="00BB1E47" w:rsidRDefault="008C1CA0" w:rsidP="00B37D1A">
      <w:pPr>
        <w:pStyle w:val="Bullet1"/>
        <w:numPr>
          <w:ilvl w:val="0"/>
          <w:numId w:val="14"/>
        </w:numPr>
      </w:pPr>
      <w:r w:rsidRPr="00BB1E47">
        <w:t xml:space="preserve">The department monitors the regulatory compliance of NEPT proactively through ‘snap’ or no-notice NEPT inspections, workforce engagement, and responding to complaints or issues identified by complainants and during licence renewal processes. </w:t>
      </w:r>
    </w:p>
    <w:p w14:paraId="2D1D70D1" w14:textId="77777777" w:rsidR="008C1CA0" w:rsidRPr="00BB1E47" w:rsidRDefault="008C1CA0" w:rsidP="00B37D1A">
      <w:pPr>
        <w:pStyle w:val="Bullet1"/>
        <w:numPr>
          <w:ilvl w:val="0"/>
          <w:numId w:val="14"/>
        </w:numPr>
      </w:pPr>
      <w:r w:rsidRPr="00BB1E47">
        <w:t xml:space="preserve">Over the last 12 months, the department has conducted 42 no-notice inspections of NEPT vehicles and equipment across Victoria. </w:t>
      </w:r>
    </w:p>
    <w:p w14:paraId="5D7DBA7F" w14:textId="77777777" w:rsidR="008C1CA0" w:rsidRPr="00BB1E47" w:rsidRDefault="008C1CA0" w:rsidP="007D11AE">
      <w:pPr>
        <w:pStyle w:val="Bullet2"/>
      </w:pPr>
      <w:r w:rsidRPr="00BB1E47">
        <w:t xml:space="preserve">These inspections review compliance against regulatory standards for NEPT vehicles and assess whether vehicles are </w:t>
      </w:r>
      <w:r w:rsidRPr="00BB1E47">
        <w:rPr>
          <w:rStyle w:val="normaltextrun"/>
        </w:rPr>
        <w:t>appropriately</w:t>
      </w:r>
      <w:r w:rsidRPr="00BB1E47">
        <w:t xml:space="preserve"> equipped and in working order. </w:t>
      </w:r>
    </w:p>
    <w:p w14:paraId="3B68794C" w14:textId="77777777" w:rsidR="008C1CA0" w:rsidRPr="00BB1E47" w:rsidRDefault="008C1CA0" w:rsidP="007D11AE">
      <w:pPr>
        <w:pStyle w:val="Bullet2"/>
      </w:pPr>
      <w:r w:rsidRPr="00BB1E47">
        <w:t xml:space="preserve">These </w:t>
      </w:r>
      <w:r w:rsidRPr="00BB1E47">
        <w:rPr>
          <w:rStyle w:val="normaltextrun"/>
        </w:rPr>
        <w:t>inspections</w:t>
      </w:r>
      <w:r w:rsidRPr="00BB1E47">
        <w:t xml:space="preserve"> have identified high levels of compliance to regulatory standards across NEPT fleets. </w:t>
      </w:r>
    </w:p>
    <w:p w14:paraId="32022650" w14:textId="77777777" w:rsidR="008C1CA0" w:rsidRPr="00BB1E47" w:rsidRDefault="008C1CA0" w:rsidP="00B37D1A">
      <w:pPr>
        <w:pStyle w:val="Bullet1"/>
        <w:numPr>
          <w:ilvl w:val="0"/>
          <w:numId w:val="14"/>
        </w:numPr>
      </w:pPr>
      <w:r w:rsidRPr="00BB1E47">
        <w:t>Additional inspections carried out as part of the licence renewal process include an assessment of back-of-house processes such as clinical governance, record keeping and other administrative activities. These inspections have also identified high levels of overall compliance across the sector.</w:t>
      </w:r>
    </w:p>
    <w:p w14:paraId="6A204EFF" w14:textId="77F3E9E0" w:rsidR="008C1CA0" w:rsidRPr="00BB1E47" w:rsidRDefault="008C1CA0">
      <w:pPr>
        <w:pStyle w:val="Bullet2"/>
      </w:pPr>
      <w:r w:rsidRPr="00BB1E47">
        <w:t xml:space="preserve">For example, the 2021 regulatory changes require provider investment in vehicles and equipment to meet minimum standards. The first transition period to expire was for the provision of lifting cushions which were required to be in all NEPT vehicles by 30 November 2022. Inspections </w:t>
      </w:r>
      <w:r w:rsidRPr="00BB1E47">
        <w:rPr>
          <w:rStyle w:val="normaltextrun"/>
        </w:rPr>
        <w:t>have</w:t>
      </w:r>
      <w:r w:rsidRPr="00BB1E47">
        <w:t xml:space="preserve"> indicated full compliance with this standard across the sector, with work underway to meet the other standards before the respective transition periods expire. </w:t>
      </w:r>
    </w:p>
    <w:p w14:paraId="748379CE" w14:textId="35F4221F" w:rsidR="008C1CA0" w:rsidRPr="00BB1E47" w:rsidRDefault="008C1CA0" w:rsidP="00BB17D3">
      <w:pPr>
        <w:pStyle w:val="Heading3"/>
      </w:pPr>
      <w:r w:rsidRPr="00BB1E47">
        <w:t>Patient safety processes are being strengthened</w:t>
      </w:r>
    </w:p>
    <w:p w14:paraId="72E4C6A0" w14:textId="77777777" w:rsidR="008C1CA0" w:rsidRPr="00BB1E47" w:rsidRDefault="008C1CA0" w:rsidP="005A2868">
      <w:pPr>
        <w:pStyle w:val="Bullet1"/>
      </w:pPr>
      <w:r w:rsidRPr="00BB1E47">
        <w:t xml:space="preserve">Adverse patient safety events are incidents which result in harm or injury to a patient. </w:t>
      </w:r>
    </w:p>
    <w:p w14:paraId="4DA4CC74" w14:textId="77777777" w:rsidR="008C1CA0" w:rsidRPr="00BB1E47" w:rsidRDefault="008C1CA0" w:rsidP="005A2868">
      <w:pPr>
        <w:pStyle w:val="Bullet1"/>
      </w:pPr>
      <w:r w:rsidRPr="00BB1E47">
        <w:t>These events occur in all modern health systems. Australian research suggests that around one in every 10 patients suffers a complication of care during their hospital stay, with half of those complications avoidable.</w:t>
      </w:r>
      <w:r w:rsidRPr="00BB1E47">
        <w:rPr>
          <w:rStyle w:val="FootnoteReference"/>
        </w:rPr>
        <w:footnoteReference w:id="38"/>
      </w:r>
      <w:r w:rsidRPr="00BB1E47">
        <w:rPr>
          <w:vertAlign w:val="superscript"/>
        </w:rPr>
        <w:t xml:space="preserve"> </w:t>
      </w:r>
    </w:p>
    <w:p w14:paraId="4644605F" w14:textId="77777777" w:rsidR="008C1CA0" w:rsidRPr="00BB1E47" w:rsidRDefault="008C1CA0" w:rsidP="005A2868">
      <w:pPr>
        <w:pStyle w:val="Bullet1"/>
      </w:pPr>
      <w:r w:rsidRPr="00BB1E47">
        <w:t>Since 2016 the Victorian health system has enacted extensive reforms to ensure that such events are closely monitored to continuously improve patient safety and system performance.</w:t>
      </w:r>
      <w:r w:rsidRPr="00BB1E47">
        <w:rPr>
          <w:rStyle w:val="FootnoteReference"/>
        </w:rPr>
        <w:footnoteReference w:id="39"/>
      </w:r>
      <w:r w:rsidRPr="00BB1E47">
        <w:t xml:space="preserve">  </w:t>
      </w:r>
    </w:p>
    <w:p w14:paraId="4831FB5F" w14:textId="4176D13A" w:rsidR="008C1CA0" w:rsidRPr="00BB1E47" w:rsidRDefault="008C1CA0" w:rsidP="001339B8">
      <w:pPr>
        <w:pStyle w:val="Bullet1"/>
      </w:pPr>
      <w:r w:rsidRPr="00BB1E47">
        <w:t xml:space="preserve">Since the 2021 regulatory reforms, this oversight has </w:t>
      </w:r>
      <w:r w:rsidR="007F71B6" w:rsidRPr="00BB1E47">
        <w:t xml:space="preserve">now also </w:t>
      </w:r>
      <w:r w:rsidRPr="00BB1E47">
        <w:t xml:space="preserve">been </w:t>
      </w:r>
      <w:r w:rsidR="00116339" w:rsidRPr="00BB1E47">
        <w:t>strengthened in</w:t>
      </w:r>
      <w:r w:rsidRPr="00BB1E47">
        <w:t xml:space="preserve"> the NEPT sector. </w:t>
      </w:r>
    </w:p>
    <w:p w14:paraId="68C458F1" w14:textId="3D75828B" w:rsidR="008C1CA0" w:rsidRPr="00BB1E47" w:rsidRDefault="008C1CA0" w:rsidP="007D11AE">
      <w:pPr>
        <w:pStyle w:val="Bullet2"/>
      </w:pPr>
      <w:r w:rsidRPr="00BB1E47">
        <w:t xml:space="preserve">The most serious adverse events </w:t>
      </w:r>
      <w:r w:rsidR="00253F95" w:rsidRPr="00BB1E47">
        <w:t>(</w:t>
      </w:r>
      <w:r w:rsidRPr="00BB1E47">
        <w:t>sentinel events</w:t>
      </w:r>
      <w:r w:rsidR="00253F95" w:rsidRPr="00BB1E47">
        <w:t>)</w:t>
      </w:r>
      <w:r w:rsidR="00F37C23" w:rsidRPr="00BB1E47">
        <w:rPr>
          <w:rStyle w:val="FootnoteReference"/>
        </w:rPr>
        <w:footnoteReference w:id="40"/>
      </w:r>
      <w:r w:rsidR="00385CCA" w:rsidRPr="00BB1E47">
        <w:t xml:space="preserve"> </w:t>
      </w:r>
      <w:r w:rsidR="00253F95" w:rsidRPr="00BB1E47">
        <w:t xml:space="preserve">are </w:t>
      </w:r>
      <w:r w:rsidRPr="00BB1E47">
        <w:t>managed in line with Safer Care Victoria’s sentinel events process for the wider health system</w:t>
      </w:r>
      <w:r w:rsidR="00820BA6" w:rsidRPr="00BB1E47">
        <w:t xml:space="preserve">. This </w:t>
      </w:r>
      <w:r w:rsidR="00043DAF" w:rsidRPr="00BB1E47">
        <w:t xml:space="preserve">requires providers to report the event within </w:t>
      </w:r>
      <w:r w:rsidR="00854CE0" w:rsidRPr="00BB1E47">
        <w:lastRenderedPageBreak/>
        <w:t>24 hours</w:t>
      </w:r>
      <w:r w:rsidR="00043DAF" w:rsidRPr="00BB1E47">
        <w:t xml:space="preserve"> and conduct</w:t>
      </w:r>
      <w:r w:rsidR="00854CE0" w:rsidRPr="00BB1E47">
        <w:t xml:space="preserve"> </w:t>
      </w:r>
      <w:r w:rsidR="00043DAF" w:rsidRPr="00BB1E47">
        <w:t>a</w:t>
      </w:r>
      <w:r w:rsidRPr="00BB1E47">
        <w:t xml:space="preserve"> detailed root cause analysis, open disclosure to patients and families, and review of internal policies and processes to learn from such incidents and further improve safety. </w:t>
      </w:r>
    </w:p>
    <w:p w14:paraId="29811DFE" w14:textId="17501352" w:rsidR="00F37C23" w:rsidRPr="00BB1E47" w:rsidRDefault="00820BA6">
      <w:pPr>
        <w:pStyle w:val="Bullet2"/>
      </w:pPr>
      <w:r w:rsidRPr="00BB1E47">
        <w:t>Other a</w:t>
      </w:r>
      <w:r w:rsidR="00F37C23" w:rsidRPr="00BB1E47">
        <w:t>dverse events</w:t>
      </w:r>
      <w:r w:rsidR="00604E5F" w:rsidRPr="00BB1E47">
        <w:rPr>
          <w:rStyle w:val="FootnoteReference"/>
        </w:rPr>
        <w:footnoteReference w:id="41"/>
      </w:r>
      <w:r w:rsidR="00F37C23" w:rsidRPr="00BB1E47">
        <w:t xml:space="preserve"> must now be reported to the department through provider annual reports</w:t>
      </w:r>
      <w:r w:rsidRPr="00BB1E47">
        <w:t>, and p</w:t>
      </w:r>
      <w:r w:rsidR="00F37C23" w:rsidRPr="00BB1E47">
        <w:t xml:space="preserve">roviders </w:t>
      </w:r>
      <w:r w:rsidRPr="00BB1E47">
        <w:t xml:space="preserve">must have </w:t>
      </w:r>
      <w:r w:rsidR="00F37C23" w:rsidRPr="00BB1E47">
        <w:t xml:space="preserve">quality assurance plans in place detailing their </w:t>
      </w:r>
      <w:r w:rsidR="00F86099" w:rsidRPr="00BB1E47">
        <w:t xml:space="preserve">approaches for </w:t>
      </w:r>
      <w:r w:rsidR="00F37C23" w:rsidRPr="00BB1E47">
        <w:t xml:space="preserve">management and handling of </w:t>
      </w:r>
      <w:r w:rsidR="00F37C23" w:rsidRPr="00BB1E47">
        <w:rPr>
          <w:rStyle w:val="normaltextrun"/>
        </w:rPr>
        <w:t>adverse</w:t>
      </w:r>
      <w:r w:rsidR="00F37C23" w:rsidRPr="00BB1E47">
        <w:t xml:space="preserve"> events.</w:t>
      </w:r>
    </w:p>
    <w:p w14:paraId="2BEB60C2" w14:textId="77777777" w:rsidR="008D623A" w:rsidRPr="00BB1E47" w:rsidRDefault="008D623A" w:rsidP="008D623A">
      <w:pPr>
        <w:pStyle w:val="Bullet2"/>
      </w:pPr>
      <w:r w:rsidRPr="00BB1E47">
        <w:t xml:space="preserve">Adverse events which occur following the dispatch of unplanned NEPT services by AV are </w:t>
      </w:r>
      <w:r w:rsidRPr="00BB1E47">
        <w:rPr>
          <w:rStyle w:val="normaltextrun"/>
        </w:rPr>
        <w:t>continuing</w:t>
      </w:r>
      <w:r w:rsidRPr="00BB1E47">
        <w:t xml:space="preserve"> to be managed separately by AV in line with their internal clinical governance processes. </w:t>
      </w:r>
    </w:p>
    <w:p w14:paraId="644762C2" w14:textId="1A7EBC03" w:rsidR="00123BD6" w:rsidRPr="00BB1E47" w:rsidRDefault="00D836C1" w:rsidP="00D836C1">
      <w:pPr>
        <w:pStyle w:val="Bullet1"/>
      </w:pPr>
      <w:r w:rsidRPr="00BB1E47">
        <w:t>Adverse events in NEPT services are relatively infrequent, in line with the comparatively low acuity of these services. In 2021-22</w:t>
      </w:r>
      <w:r w:rsidR="00123BD6" w:rsidRPr="00BB1E47">
        <w:t>:</w:t>
      </w:r>
    </w:p>
    <w:p w14:paraId="0DC651BD" w14:textId="5016D010" w:rsidR="00123BD6" w:rsidRPr="00BB1E47" w:rsidRDefault="00123BD6" w:rsidP="00123BD6">
      <w:pPr>
        <w:pStyle w:val="Bullet2"/>
      </w:pPr>
      <w:r w:rsidRPr="00BB1E47">
        <w:t>no sentinel events directly related to NEPT care or service delivery were reported</w:t>
      </w:r>
      <w:r w:rsidR="002E7045" w:rsidRPr="00BB1E47">
        <w:rPr>
          <w:rStyle w:val="FootnoteReference"/>
        </w:rPr>
        <w:footnoteReference w:id="42"/>
      </w:r>
    </w:p>
    <w:p w14:paraId="04E36BFE" w14:textId="05B5D40D" w:rsidR="00D836C1" w:rsidRPr="00BB1E47" w:rsidRDefault="00D836C1" w:rsidP="00123BD6">
      <w:pPr>
        <w:pStyle w:val="Bullet2"/>
      </w:pPr>
      <w:r w:rsidRPr="00BB1E47">
        <w:t>53 adverse safety events were reported by providers to DH</w:t>
      </w:r>
      <w:r w:rsidR="00442D40" w:rsidRPr="00BB1E47">
        <w:t>,</w:t>
      </w:r>
      <w:r w:rsidR="006E7E37" w:rsidRPr="00BB1E47">
        <w:rPr>
          <w:rStyle w:val="FootnoteReference"/>
        </w:rPr>
        <w:footnoteReference w:id="43"/>
      </w:r>
      <w:r w:rsidR="00442D40" w:rsidRPr="00BB1E47">
        <w:t xml:space="preserve"> with </w:t>
      </w:r>
      <w:r w:rsidR="00FA1255" w:rsidRPr="00BB1E47">
        <w:t>around</w:t>
      </w:r>
      <w:r w:rsidR="00442D40" w:rsidRPr="00BB1E47">
        <w:t xml:space="preserve"> </w:t>
      </w:r>
      <w:r w:rsidR="00DE3A0C" w:rsidRPr="00BB1E47">
        <w:t>25 relating to patient safety</w:t>
      </w:r>
      <w:r w:rsidR="00071879" w:rsidRPr="00BB1E47">
        <w:t>.</w:t>
      </w:r>
      <w:r w:rsidRPr="00BB1E47">
        <w:rPr>
          <w:rStyle w:val="FootnoteReference"/>
        </w:rPr>
        <w:footnoteReference w:id="44"/>
      </w:r>
      <w:r w:rsidRPr="00BB1E47">
        <w:t xml:space="preserve"> </w:t>
      </w:r>
    </w:p>
    <w:p w14:paraId="6D296AA2" w14:textId="136EBCE8" w:rsidR="008C1CA0" w:rsidRPr="00BB1E47" w:rsidRDefault="008C1CA0" w:rsidP="00E9640E">
      <w:pPr>
        <w:pStyle w:val="Heading2"/>
      </w:pPr>
      <w:bookmarkStart w:id="63" w:name="_Ref134352028"/>
      <w:bookmarkStart w:id="64" w:name="_Toc134633539"/>
      <w:bookmarkStart w:id="65" w:name="_Toc136433490"/>
      <w:r w:rsidRPr="00BB1E47">
        <w:t>Access is variable, due to gaps in supply and collection delays</w:t>
      </w:r>
      <w:bookmarkEnd w:id="63"/>
      <w:bookmarkEnd w:id="64"/>
      <w:bookmarkEnd w:id="65"/>
    </w:p>
    <w:p w14:paraId="68ECC77A" w14:textId="77777777" w:rsidR="008C1CA0" w:rsidRPr="00BB1E47" w:rsidRDefault="008C1CA0" w:rsidP="00BB17D3">
      <w:pPr>
        <w:pStyle w:val="Heading3"/>
      </w:pPr>
      <w:bookmarkStart w:id="66" w:name="_Toc134633540"/>
      <w:r w:rsidRPr="00BB1E47">
        <w:t>Timeliness of services is variable</w:t>
      </w:r>
      <w:bookmarkEnd w:id="66"/>
    </w:p>
    <w:p w14:paraId="5EAD929F" w14:textId="2FE45EA0" w:rsidR="008C1CA0" w:rsidRPr="00BB1E47" w:rsidRDefault="008C1CA0" w:rsidP="00B37D1A">
      <w:pPr>
        <w:pStyle w:val="Bullet1"/>
        <w:numPr>
          <w:ilvl w:val="0"/>
          <w:numId w:val="14"/>
        </w:numPr>
      </w:pPr>
      <w:r w:rsidRPr="00BB1E47">
        <w:t xml:space="preserve">Health services report that the timeliness of NEPT services is highly variable. </w:t>
      </w:r>
    </w:p>
    <w:p w14:paraId="0DFFDBD9" w14:textId="2A9BB782" w:rsidR="008C1CA0" w:rsidRPr="00BB1E47" w:rsidRDefault="00E4520D" w:rsidP="00B37D1A">
      <w:pPr>
        <w:pStyle w:val="Bullet1"/>
        <w:numPr>
          <w:ilvl w:val="0"/>
          <w:numId w:val="14"/>
        </w:numPr>
      </w:pPr>
      <w:r w:rsidRPr="00BB1E47">
        <w:t>Delays to NEPT services adver</w:t>
      </w:r>
      <w:r w:rsidR="00FE67D3" w:rsidRPr="00BB1E47">
        <w:t>sely impact</w:t>
      </w:r>
      <w:r w:rsidR="008C1CA0" w:rsidRPr="00BB1E47">
        <w:t xml:space="preserve"> patients and their families. Patients remain waiting in hospital or transit lounges for longer than necessary, and in some cases miss essential appointments due to delayed pick-ups from the community</w:t>
      </w:r>
      <w:r w:rsidR="006224EF" w:rsidRPr="00BB1E47">
        <w:t>.</w:t>
      </w:r>
      <w:r w:rsidR="008C1CA0" w:rsidRPr="00BB1E47">
        <w:t xml:space="preserve"> </w:t>
      </w:r>
    </w:p>
    <w:p w14:paraId="55B45865" w14:textId="36B5842E" w:rsidR="008C1CA0" w:rsidRPr="00BB1E47" w:rsidRDefault="008C1CA0" w:rsidP="00B37D1A">
      <w:pPr>
        <w:pStyle w:val="Bullet1"/>
        <w:numPr>
          <w:ilvl w:val="0"/>
          <w:numId w:val="14"/>
        </w:numPr>
      </w:pPr>
      <w:r w:rsidRPr="00BB1E47">
        <w:t>Delayed NEPT services also impede patient flow, by reducing health service</w:t>
      </w:r>
      <w:r w:rsidR="00C85068">
        <w:t>s</w:t>
      </w:r>
      <w:r w:rsidRPr="00BB1E47">
        <w:t xml:space="preserve"> ability to free up patient beds and admit new patients. A recent departmental bed audit survey found that waiting for interhospital transfers were common reasons for delayed discharge from acute and subacute wards.</w:t>
      </w:r>
      <w:r w:rsidR="00FE4F6C" w:rsidRPr="00BB1E47">
        <w:rPr>
          <w:rStyle w:val="FootnoteReference"/>
        </w:rPr>
        <w:footnoteReference w:id="45"/>
      </w:r>
    </w:p>
    <w:p w14:paraId="02B00ACA" w14:textId="77777777" w:rsidR="008C1CA0" w:rsidRPr="00BB1E47" w:rsidRDefault="008C1CA0" w:rsidP="00B37D1A">
      <w:pPr>
        <w:pStyle w:val="Bullet1"/>
        <w:numPr>
          <w:ilvl w:val="0"/>
          <w:numId w:val="14"/>
        </w:numPr>
      </w:pPr>
      <w:r w:rsidRPr="00BB1E47">
        <w:t xml:space="preserve">Health services report particular frustration in managing delays when there is limited ability to track expected NEPT pick-up times and scheduling changes. This has been reported as a particular challenge when services are booked through ESTA for AV-funded patients, as health services do not directly contract with the provider and receive limited updates on progress of the request. </w:t>
      </w:r>
    </w:p>
    <w:p w14:paraId="369A90AB" w14:textId="37B81ECA" w:rsidR="008C1CA0" w:rsidRPr="00BB1E47" w:rsidRDefault="008C1CA0" w:rsidP="00B37D1A">
      <w:pPr>
        <w:pStyle w:val="Bullet1"/>
        <w:numPr>
          <w:ilvl w:val="0"/>
          <w:numId w:val="14"/>
        </w:numPr>
      </w:pPr>
      <w:r w:rsidRPr="00BB1E47">
        <w:t xml:space="preserve">Delays may also be a particular challenge for patients being discharged to aged care facilities, where patients are often not accepted after 5pm. </w:t>
      </w:r>
      <w:r w:rsidR="00C076B7">
        <w:t>P</w:t>
      </w:r>
      <w:r w:rsidRPr="00BB1E47">
        <w:t xml:space="preserve">atients may be faced with an extra night in hospital if not picked up in time to meet the cut-off time of the aged care facility.  </w:t>
      </w:r>
    </w:p>
    <w:p w14:paraId="62ACCD2F" w14:textId="77777777" w:rsidR="008C1CA0" w:rsidRPr="00BB1E47" w:rsidRDefault="008C1CA0" w:rsidP="00B37D1A">
      <w:pPr>
        <w:pStyle w:val="Bullet1"/>
        <w:numPr>
          <w:ilvl w:val="0"/>
          <w:numId w:val="14"/>
        </w:numPr>
      </w:pPr>
      <w:r w:rsidRPr="00BB1E47">
        <w:t xml:space="preserve">Health services can also contribute to delays in cases where patients are not ready for transport, or the receiving health service is not ready to receive a patient when the NEPT provider arrives. </w:t>
      </w:r>
    </w:p>
    <w:p w14:paraId="1A48657C" w14:textId="77777777" w:rsidR="008C1CA0" w:rsidRPr="00BB1E47" w:rsidRDefault="008C1CA0" w:rsidP="00BB17D3">
      <w:pPr>
        <w:pStyle w:val="Heading3"/>
      </w:pPr>
      <w:bookmarkStart w:id="67" w:name="_Toc134633541"/>
      <w:r w:rsidRPr="00BB1E47">
        <w:t>Supply gaps have caused spillbacks to emergency services</w:t>
      </w:r>
      <w:bookmarkEnd w:id="67"/>
    </w:p>
    <w:p w14:paraId="33225BA3" w14:textId="2E72BC26" w:rsidR="00E87E2E" w:rsidRPr="00BB1E47" w:rsidRDefault="008C1CA0">
      <w:pPr>
        <w:pStyle w:val="Bullet1"/>
        <w:numPr>
          <w:ilvl w:val="0"/>
          <w:numId w:val="10"/>
        </w:numPr>
      </w:pPr>
      <w:r w:rsidRPr="00BB1E47">
        <w:t xml:space="preserve">Where NEPT providers are unable </w:t>
      </w:r>
      <w:proofErr w:type="gramStart"/>
      <w:r w:rsidRPr="00BB1E47">
        <w:t>or unwilling to meet demand, there</w:t>
      </w:r>
      <w:proofErr w:type="gramEnd"/>
      <w:r w:rsidRPr="00BB1E47">
        <w:t xml:space="preserve"> are spillbacks of both planned and unplanned NEPT demand to emergency services. </w:t>
      </w:r>
      <w:r w:rsidR="007A73D6" w:rsidRPr="00BB1E47">
        <w:t xml:space="preserve">Spillback pressures </w:t>
      </w:r>
      <w:r w:rsidR="000953D1" w:rsidRPr="00BB1E47">
        <w:t>have increased</w:t>
      </w:r>
      <w:r w:rsidR="003D3D25" w:rsidRPr="00BB1E47">
        <w:t xml:space="preserve"> in recent years </w:t>
      </w:r>
      <w:r w:rsidR="00047037" w:rsidRPr="00BB1E47">
        <w:t xml:space="preserve">as a </w:t>
      </w:r>
      <w:r w:rsidR="00047037" w:rsidRPr="00BB1E47">
        <w:lastRenderedPageBreak/>
        <w:t>result of</w:t>
      </w:r>
      <w:r w:rsidR="003D3D25" w:rsidRPr="00BB1E47">
        <w:t xml:space="preserve"> the rapid growth in demand for NEPT services</w:t>
      </w:r>
      <w:r w:rsidR="00B3552E" w:rsidRPr="00BB1E47">
        <w:t xml:space="preserve"> </w:t>
      </w:r>
      <w:r w:rsidR="00AA34B7" w:rsidRPr="00BB1E47">
        <w:t xml:space="preserve">which has </w:t>
      </w:r>
      <w:r w:rsidR="00BF79CC" w:rsidRPr="00BB1E47">
        <w:t>outpaced allocated resourcing and rostered shifts</w:t>
      </w:r>
      <w:r w:rsidR="00B3552E" w:rsidRPr="00BB1E47">
        <w:t xml:space="preserve"> </w:t>
      </w:r>
      <w:r w:rsidR="000156AA" w:rsidRPr="00BB1E47">
        <w:t xml:space="preserve">(explored </w:t>
      </w:r>
      <w:r w:rsidR="00845356" w:rsidRPr="00BB1E47">
        <w:t>further</w:t>
      </w:r>
      <w:r w:rsidR="000156AA" w:rsidRPr="00BB1E47">
        <w:t xml:space="preserve"> in </w:t>
      </w:r>
      <w:r w:rsidR="00E87E2E" w:rsidRPr="00BB1E47">
        <w:t>S</w:t>
      </w:r>
      <w:r w:rsidR="000156AA" w:rsidRPr="00BB1E47">
        <w:t xml:space="preserve">ections </w:t>
      </w:r>
      <w:r w:rsidR="008C6904" w:rsidRPr="00BB1E47">
        <w:fldChar w:fldCharType="begin"/>
      </w:r>
      <w:r w:rsidR="008C6904" w:rsidRPr="00BB1E47">
        <w:instrText xml:space="preserve"> REF _Ref135599427 \r \h </w:instrText>
      </w:r>
      <w:r w:rsidR="00BB1E47">
        <w:instrText xml:space="preserve"> \* MERGEFORMAT </w:instrText>
      </w:r>
      <w:r w:rsidR="008C6904" w:rsidRPr="00BB1E47">
        <w:fldChar w:fldCharType="separate"/>
      </w:r>
      <w:r w:rsidR="003D510C">
        <w:t>4.2</w:t>
      </w:r>
      <w:r w:rsidR="008C6904" w:rsidRPr="00BB1E47">
        <w:fldChar w:fldCharType="end"/>
      </w:r>
      <w:r w:rsidR="008C6904" w:rsidRPr="00BB1E47">
        <w:t xml:space="preserve"> and </w:t>
      </w:r>
      <w:r w:rsidR="008C6904" w:rsidRPr="00BB1E47">
        <w:fldChar w:fldCharType="begin"/>
      </w:r>
      <w:r w:rsidR="008C6904" w:rsidRPr="00BB1E47">
        <w:instrText xml:space="preserve"> REF _Ref135599429 \r \h </w:instrText>
      </w:r>
      <w:r w:rsidR="00BB1E47">
        <w:instrText xml:space="preserve"> \* MERGEFORMAT </w:instrText>
      </w:r>
      <w:r w:rsidR="008C6904" w:rsidRPr="00BB1E47">
        <w:fldChar w:fldCharType="separate"/>
      </w:r>
      <w:r w:rsidR="003D510C">
        <w:t>4.3</w:t>
      </w:r>
      <w:r w:rsidR="008C6904" w:rsidRPr="00BB1E47">
        <w:fldChar w:fldCharType="end"/>
      </w:r>
      <w:r w:rsidR="008C6904" w:rsidRPr="00BB1E47">
        <w:t xml:space="preserve">). </w:t>
      </w:r>
    </w:p>
    <w:p w14:paraId="0B59D290" w14:textId="0840E88E" w:rsidR="008C1CA0" w:rsidRPr="00BB1E47" w:rsidRDefault="003F1CD7">
      <w:pPr>
        <w:pStyle w:val="Bullet1"/>
        <w:numPr>
          <w:ilvl w:val="0"/>
          <w:numId w:val="10"/>
        </w:numPr>
      </w:pPr>
      <w:r w:rsidRPr="00BB1E47">
        <w:t>U</w:t>
      </w:r>
      <w:r w:rsidR="00AF5606" w:rsidRPr="00BB1E47">
        <w:t>nplanned NEPT services</w:t>
      </w:r>
      <w:r w:rsidR="00386B98" w:rsidRPr="00BB1E47">
        <w:t xml:space="preserve"> </w:t>
      </w:r>
      <w:r w:rsidR="0006788E" w:rsidRPr="00BB1E47">
        <w:t xml:space="preserve">directed to </w:t>
      </w:r>
      <w:r w:rsidR="00EA03EC" w:rsidRPr="00BB1E47">
        <w:rPr>
          <w:rStyle w:val="normaltextrun"/>
        </w:rPr>
        <w:t>private</w:t>
      </w:r>
      <w:r w:rsidR="008B56B0" w:rsidRPr="00BB1E47">
        <w:t xml:space="preserve"> NEPT </w:t>
      </w:r>
      <w:proofErr w:type="gramStart"/>
      <w:r w:rsidR="008B56B0" w:rsidRPr="00BB1E47">
        <w:t>providers</w:t>
      </w:r>
      <w:proofErr w:type="gramEnd"/>
      <w:r w:rsidR="008B56B0" w:rsidRPr="00BB1E47">
        <w:t xml:space="preserve"> but</w:t>
      </w:r>
      <w:r w:rsidR="00386B98" w:rsidRPr="00BB1E47">
        <w:t xml:space="preserve"> </w:t>
      </w:r>
      <w:r w:rsidR="001E42BD" w:rsidRPr="00BB1E47">
        <w:t xml:space="preserve">which </w:t>
      </w:r>
      <w:r w:rsidR="008C1CA0" w:rsidRPr="00BB1E47">
        <w:t>spilled over to AV emergency crews</w:t>
      </w:r>
      <w:r w:rsidR="00386B98" w:rsidRPr="00BB1E47">
        <w:t xml:space="preserve"> </w:t>
      </w:r>
      <w:r w:rsidRPr="00BB1E47">
        <w:t>increased from</w:t>
      </w:r>
      <w:r w:rsidR="00386B98" w:rsidRPr="00BB1E47">
        <w:t xml:space="preserve"> 2.6</w:t>
      </w:r>
      <w:r w:rsidR="003E56EA">
        <w:t>3</w:t>
      </w:r>
      <w:r w:rsidRPr="00BB1E47">
        <w:t xml:space="preserve">% </w:t>
      </w:r>
      <w:r w:rsidR="00386B98" w:rsidRPr="00BB1E47">
        <w:t>of total NEPT services</w:t>
      </w:r>
      <w:r w:rsidRPr="00BB1E47">
        <w:t xml:space="preserve"> in 2020 to</w:t>
      </w:r>
      <w:r w:rsidR="00386B98" w:rsidRPr="00BB1E47">
        <w:t xml:space="preserve"> </w:t>
      </w:r>
      <w:r w:rsidR="00F04C46">
        <w:t>2.74</w:t>
      </w:r>
      <w:r w:rsidR="00386B98" w:rsidRPr="00BB1E47">
        <w:t>%</w:t>
      </w:r>
      <w:r w:rsidRPr="00BB1E47">
        <w:t xml:space="preserve"> in 2022</w:t>
      </w:r>
      <w:r w:rsidR="008C1CA0" w:rsidRPr="00BB1E47">
        <w:t>.</w:t>
      </w:r>
      <w:r w:rsidR="008C1CA0" w:rsidRPr="00BB1E47">
        <w:rPr>
          <w:rStyle w:val="FootnoteReference"/>
        </w:rPr>
        <w:footnoteReference w:id="46"/>
      </w:r>
      <w:r w:rsidR="008C1CA0" w:rsidRPr="00BB1E47">
        <w:t xml:space="preserve"> </w:t>
      </w:r>
    </w:p>
    <w:p w14:paraId="43E0EF55" w14:textId="7188DAC1" w:rsidR="001F31A0" w:rsidRPr="00BB1E47" w:rsidRDefault="001F31A0" w:rsidP="001F31A0">
      <w:pPr>
        <w:pStyle w:val="Bullet2"/>
      </w:pPr>
      <w:r w:rsidRPr="00BB1E47">
        <w:t xml:space="preserve">While less frequent, planned NEPT services also spill to emergency services. The </w:t>
      </w:r>
      <w:r w:rsidR="00947DF2">
        <w:t>proportion</w:t>
      </w:r>
      <w:r w:rsidR="00947DF2" w:rsidRPr="00BB1E47">
        <w:t xml:space="preserve"> </w:t>
      </w:r>
      <w:r w:rsidRPr="00BB1E47">
        <w:t>of these increased from 0.65% in 2020 to 0.96% of total NEPT services in 2022.</w:t>
      </w:r>
      <w:r w:rsidRPr="00BB1E47">
        <w:rPr>
          <w:rStyle w:val="FootnoteReference"/>
          <w:rFonts w:cs="Arial"/>
          <w:sz w:val="20"/>
        </w:rPr>
        <w:footnoteReference w:id="47"/>
      </w:r>
      <w:r w:rsidRPr="00BB1E47">
        <w:t xml:space="preserve"> </w:t>
      </w:r>
    </w:p>
    <w:p w14:paraId="72E71901" w14:textId="01E47DA8" w:rsidR="008C1CA0" w:rsidRPr="00BB1E47" w:rsidRDefault="008C1CA0" w:rsidP="007D11AE">
      <w:pPr>
        <w:pStyle w:val="Bullet2"/>
      </w:pPr>
      <w:r w:rsidRPr="00BB1E47">
        <w:t xml:space="preserve">For total NEPT </w:t>
      </w:r>
      <w:r w:rsidRPr="00BB1E47">
        <w:rPr>
          <w:rStyle w:val="normaltextrun"/>
        </w:rPr>
        <w:t>services</w:t>
      </w:r>
      <w:r w:rsidRPr="00BB1E47">
        <w:t xml:space="preserve"> (planned and unplanned) that spilled to emergency </w:t>
      </w:r>
      <w:r w:rsidR="006A1DAF" w:rsidRPr="00BB1E47">
        <w:t>crews</w:t>
      </w:r>
      <w:r w:rsidRPr="00BB1E47">
        <w:t xml:space="preserve"> in 2022, 87% </w:t>
      </w:r>
      <w:r w:rsidR="00FE1272" w:rsidRPr="00BB1E47">
        <w:t xml:space="preserve">of the spills </w:t>
      </w:r>
      <w:r w:rsidRPr="00BB1E47">
        <w:t xml:space="preserve">occurred in rural areas. 71% of these rural spills were unplanned </w:t>
      </w:r>
      <w:proofErr w:type="gramStart"/>
      <w:r w:rsidR="00FE1272" w:rsidRPr="00BB1E47">
        <w:t xml:space="preserve">transfers, </w:t>
      </w:r>
      <w:r w:rsidRPr="00BB1E47">
        <w:t>and</w:t>
      </w:r>
      <w:proofErr w:type="gramEnd"/>
      <w:r w:rsidRPr="00BB1E47">
        <w:t xml:space="preserve"> were directed to NEPT following triage but then re-directed to emergency crews when no NEPT options were available. This indicates that spillbacks are largely happening due to market failure: a lack of private sector coverage in rural areas means that AV are forced to intervene. </w:t>
      </w:r>
      <w:r w:rsidR="0069672E">
        <w:t>Th</w:t>
      </w:r>
      <w:r w:rsidR="00737048">
        <w:t>is</w:t>
      </w:r>
      <w:r w:rsidR="0069672E">
        <w:t xml:space="preserve"> may also be occurring due to </w:t>
      </w:r>
      <w:r w:rsidR="00502D07">
        <w:t xml:space="preserve">a </w:t>
      </w:r>
      <w:r w:rsidR="00680DF6">
        <w:t xml:space="preserve">resourcing </w:t>
      </w:r>
      <w:r w:rsidR="00502D07">
        <w:t>mismatch between</w:t>
      </w:r>
      <w:r w:rsidR="00680DF6">
        <w:t xml:space="preserve"> acuity platforms</w:t>
      </w:r>
      <w:r w:rsidR="00FE616B">
        <w:t xml:space="preserve">, such as </w:t>
      </w:r>
      <w:r w:rsidR="00664E44">
        <w:t xml:space="preserve">AV servicing rural areas with </w:t>
      </w:r>
      <w:r w:rsidR="00A60A8B">
        <w:t xml:space="preserve">mostly </w:t>
      </w:r>
      <w:r w:rsidR="004B5A77">
        <w:t>single stretcher medium acuity where the service demand is</w:t>
      </w:r>
      <w:r w:rsidR="009146AD">
        <w:t xml:space="preserve"> for</w:t>
      </w:r>
      <w:r w:rsidR="004B5A77">
        <w:t xml:space="preserve"> low acuity multiple load</w:t>
      </w:r>
      <w:r w:rsidR="009146AD">
        <w:t xml:space="preserve"> resources. </w:t>
      </w:r>
    </w:p>
    <w:p w14:paraId="5AF423C5" w14:textId="18121A8E" w:rsidR="008C1CA0" w:rsidRPr="00BB1E47" w:rsidRDefault="008C1CA0" w:rsidP="008C1CA0">
      <w:pPr>
        <w:pStyle w:val="Bullet1"/>
        <w:numPr>
          <w:ilvl w:val="0"/>
          <w:numId w:val="10"/>
        </w:numPr>
      </w:pPr>
      <w:r w:rsidRPr="00BB1E47">
        <w:t xml:space="preserve">Spillbacks are highly undesirable as they make paramedics unavailable for other emergency callouts. </w:t>
      </w:r>
      <w:r w:rsidR="00E33024" w:rsidRPr="00BB1E47">
        <w:t>Their</w:t>
      </w:r>
      <w:r w:rsidR="006A1DAF" w:rsidRPr="00BB1E47">
        <w:t xml:space="preserve"> effect is felt most severely in rural area</w:t>
      </w:r>
      <w:r w:rsidR="003D5DAB" w:rsidRPr="00BB1E47">
        <w:t>s where</w:t>
      </w:r>
      <w:r w:rsidR="006B1E98" w:rsidRPr="00BB1E47">
        <w:t xml:space="preserve"> significantly longer</w:t>
      </w:r>
      <w:r w:rsidR="00CB4D33" w:rsidRPr="00BB1E47">
        <w:t xml:space="preserve"> journey</w:t>
      </w:r>
      <w:r w:rsidR="006B1E98" w:rsidRPr="00BB1E47">
        <w:t xml:space="preserve"> times may </w:t>
      </w:r>
      <w:r w:rsidR="00CB4D33" w:rsidRPr="00BB1E47">
        <w:t xml:space="preserve">prevent </w:t>
      </w:r>
      <w:r w:rsidR="00F91BBA" w:rsidRPr="00BB1E47">
        <w:t>emergency</w:t>
      </w:r>
      <w:r w:rsidR="006469E1" w:rsidRPr="00BB1E47">
        <w:t xml:space="preserve"> crews </w:t>
      </w:r>
      <w:r w:rsidR="006B1E98" w:rsidRPr="00BB1E47">
        <w:t>from responding to other incidents for several hours.</w:t>
      </w:r>
      <w:r w:rsidR="00262096" w:rsidRPr="00BB1E47">
        <w:t xml:space="preserve"> </w:t>
      </w:r>
      <w:r w:rsidRPr="00BB1E47">
        <w:t xml:space="preserve">This significantly increases </w:t>
      </w:r>
      <w:proofErr w:type="gramStart"/>
      <w:r w:rsidRPr="00BB1E47">
        <w:t>costs, and</w:t>
      </w:r>
      <w:proofErr w:type="gramEnd"/>
      <w:r w:rsidRPr="00BB1E47">
        <w:t xml:space="preserve"> can result in patients who need ambulances waiting longer to be seen. It can be frustrating for the ambulance workforce to provide back-up NEPT, as their skills are not put to best use. </w:t>
      </w:r>
    </w:p>
    <w:p w14:paraId="630D30B4" w14:textId="62E1C1CB" w:rsidR="008C1CA0" w:rsidRPr="00BB1E47" w:rsidRDefault="008C1CA0" w:rsidP="00E9640E">
      <w:pPr>
        <w:pStyle w:val="Heading2"/>
      </w:pPr>
      <w:bookmarkStart w:id="68" w:name="_Toc132619019"/>
      <w:bookmarkStart w:id="69" w:name="_Toc134633542"/>
      <w:bookmarkStart w:id="70" w:name="_Toc136433491"/>
      <w:r w:rsidRPr="00BB1E47">
        <w:t>Cos</w:t>
      </w:r>
      <w:r w:rsidR="00071102" w:rsidRPr="00BB1E47">
        <w:t>t growth is</w:t>
      </w:r>
      <w:r w:rsidRPr="00BB1E47">
        <w:t xml:space="preserve"> putting pressure on providers </w:t>
      </w:r>
      <w:bookmarkEnd w:id="68"/>
      <w:r w:rsidRPr="00BB1E47">
        <w:t>and health services</w:t>
      </w:r>
      <w:bookmarkEnd w:id="69"/>
      <w:bookmarkEnd w:id="70"/>
    </w:p>
    <w:p w14:paraId="0C125810" w14:textId="2947BD95" w:rsidR="008C1CA0" w:rsidRPr="00BB1E47" w:rsidRDefault="008C1CA0" w:rsidP="00B37D1A">
      <w:pPr>
        <w:pStyle w:val="Bullet1"/>
        <w:numPr>
          <w:ilvl w:val="0"/>
          <w:numId w:val="15"/>
        </w:numPr>
      </w:pPr>
      <w:r w:rsidRPr="00BB1E47">
        <w:t>NEPT providers report facing increased operating costs</w:t>
      </w:r>
      <w:r w:rsidR="0015343F" w:rsidRPr="00BB1E47">
        <w:t>,</w:t>
      </w:r>
      <w:r w:rsidRPr="00BB1E47">
        <w:t xml:space="preserve"> with </w:t>
      </w:r>
      <w:r w:rsidR="0015343F" w:rsidRPr="00BB1E47">
        <w:t xml:space="preserve">flow on </w:t>
      </w:r>
      <w:r w:rsidRPr="00BB1E47">
        <w:t xml:space="preserve">impacts </w:t>
      </w:r>
      <w:r w:rsidR="0015343F" w:rsidRPr="00BB1E47">
        <w:t>reported by health services</w:t>
      </w:r>
      <w:r w:rsidRPr="00BB1E47">
        <w:t xml:space="preserve">. </w:t>
      </w:r>
    </w:p>
    <w:p w14:paraId="26E801B5" w14:textId="77777777" w:rsidR="0015343F" w:rsidRPr="00BB1E47" w:rsidRDefault="0015343F" w:rsidP="00B37D1A">
      <w:pPr>
        <w:pStyle w:val="Bullet1"/>
        <w:numPr>
          <w:ilvl w:val="0"/>
          <w:numId w:val="15"/>
        </w:numPr>
        <w:rPr>
          <w:lang w:eastAsia="en-AU"/>
        </w:rPr>
      </w:pPr>
      <w:r w:rsidRPr="00BB1E47">
        <w:t xml:space="preserve">According to provider reports, </w:t>
      </w:r>
    </w:p>
    <w:p w14:paraId="3503811F" w14:textId="627D5F79" w:rsidR="0015343F" w:rsidRPr="00BB1E47" w:rsidRDefault="0015343F" w:rsidP="007D11AE">
      <w:pPr>
        <w:pStyle w:val="Bullet2"/>
        <w:rPr>
          <w:lang w:eastAsia="en-AU"/>
        </w:rPr>
      </w:pPr>
      <w:r w:rsidRPr="00BB1E47">
        <w:t>i</w:t>
      </w:r>
      <w:r w:rsidR="008C1CA0" w:rsidRPr="00BB1E47">
        <w:t>nflationary pressures are leading to increased provider costs in areas such as fuel and workforce wages</w:t>
      </w:r>
    </w:p>
    <w:p w14:paraId="3DA169A7" w14:textId="77777777" w:rsidR="00161B5A" w:rsidRPr="00BB1E47" w:rsidRDefault="0037268A" w:rsidP="0037268A">
      <w:pPr>
        <w:pStyle w:val="Bullet2"/>
        <w:rPr>
          <w:lang w:eastAsia="en-AU"/>
        </w:rPr>
      </w:pPr>
      <w:bookmarkStart w:id="71" w:name="_Hlk135130146"/>
      <w:r w:rsidRPr="00BB1E47">
        <w:t xml:space="preserve">operational pressures have been further exacerbated since by the COVID-19 pandemic, which has required </w:t>
      </w:r>
      <w:r w:rsidRPr="00BB1E47">
        <w:rPr>
          <w:rStyle w:val="normaltextrun"/>
        </w:rPr>
        <w:t>providers</w:t>
      </w:r>
      <w:r w:rsidRPr="00BB1E47">
        <w:t xml:space="preserve"> to rapidly adapt to social distancing and broader infection prevention and control requirements, including stricter PPE, cleaning</w:t>
      </w:r>
      <w:r w:rsidR="00161B5A" w:rsidRPr="00BB1E47">
        <w:t>,</w:t>
      </w:r>
      <w:r w:rsidRPr="00BB1E47">
        <w:t xml:space="preserve"> and contamination requirements</w:t>
      </w:r>
    </w:p>
    <w:bookmarkEnd w:id="71"/>
    <w:p w14:paraId="198EBC20" w14:textId="7973078D" w:rsidR="008C1CA0" w:rsidRPr="00BB1E47" w:rsidRDefault="008C1CA0" w:rsidP="007D11AE">
      <w:pPr>
        <w:pStyle w:val="Bullet2"/>
        <w:rPr>
          <w:lang w:eastAsia="en-AU"/>
        </w:rPr>
      </w:pPr>
      <w:r w:rsidRPr="00BB1E47">
        <w:t xml:space="preserve">NEPT providers continue to experience workforce shortages, arising from furlough and increased workload and demand from AV. </w:t>
      </w:r>
    </w:p>
    <w:p w14:paraId="13D3CF73" w14:textId="39840F80" w:rsidR="008C1CA0" w:rsidRPr="00BB1E47" w:rsidRDefault="008C1CA0" w:rsidP="00B37D1A">
      <w:pPr>
        <w:pStyle w:val="Bullet1"/>
        <w:numPr>
          <w:ilvl w:val="0"/>
          <w:numId w:val="15"/>
        </w:numPr>
      </w:pPr>
      <w:r w:rsidRPr="00BB1E47">
        <w:t xml:space="preserve">Following on from the 2021 regulatory changes, NEPT providers also </w:t>
      </w:r>
      <w:r w:rsidR="0015343F" w:rsidRPr="00BB1E47">
        <w:t xml:space="preserve">report making </w:t>
      </w:r>
      <w:r w:rsidRPr="00BB1E47">
        <w:t>significant capital investment to ensure compliance standards are met.</w:t>
      </w:r>
    </w:p>
    <w:p w14:paraId="24CB21BF" w14:textId="36B61130" w:rsidR="008C1CA0" w:rsidRPr="00BB1E47" w:rsidRDefault="008C1CA0" w:rsidP="00071102">
      <w:pPr>
        <w:pStyle w:val="Bullet1"/>
        <w:numPr>
          <w:ilvl w:val="0"/>
          <w:numId w:val="15"/>
        </w:numPr>
      </w:pPr>
      <w:r w:rsidRPr="00BB1E47">
        <w:t xml:space="preserve">Overall, NEPT providers report absorbing an increasing proportion of these operating costs, which is placing strain on the sector. </w:t>
      </w:r>
      <w:r w:rsidR="008B0195" w:rsidRPr="00BB1E47">
        <w:t>Some health services</w:t>
      </w:r>
      <w:r w:rsidRPr="00BB1E47">
        <w:t xml:space="preserve"> report</w:t>
      </w:r>
      <w:r w:rsidR="008B0195" w:rsidRPr="00BB1E47">
        <w:t xml:space="preserve"> increasing pass-through </w:t>
      </w:r>
      <w:r w:rsidR="0015343F" w:rsidRPr="00BB1E47">
        <w:t xml:space="preserve">of </w:t>
      </w:r>
      <w:r w:rsidRPr="00BB1E47">
        <w:t>these costs</w:t>
      </w:r>
      <w:r w:rsidR="0015343F" w:rsidRPr="00BB1E47">
        <w:t xml:space="preserve">. </w:t>
      </w:r>
      <w:r w:rsidRPr="00BB1E47">
        <w:t xml:space="preserve"> </w:t>
      </w:r>
    </w:p>
    <w:p w14:paraId="16A7F233" w14:textId="6D23C57A" w:rsidR="004F2B4A" w:rsidRPr="00BB1E47" w:rsidRDefault="004F2B4A" w:rsidP="000945CA">
      <w:pPr>
        <w:pStyle w:val="Heading2"/>
      </w:pPr>
      <w:bookmarkStart w:id="72" w:name="_Ref135679319"/>
      <w:bookmarkStart w:id="73" w:name="_Toc136433492"/>
      <w:r w:rsidRPr="00BB1E47">
        <w:t>The environmental impact of the sector is significant</w:t>
      </w:r>
      <w:bookmarkEnd w:id="72"/>
      <w:bookmarkEnd w:id="73"/>
      <w:r w:rsidRPr="00BB1E47">
        <w:t xml:space="preserve"> </w:t>
      </w:r>
    </w:p>
    <w:p w14:paraId="46F24B91" w14:textId="77777777" w:rsidR="00F63AE1" w:rsidRPr="00BB1E47" w:rsidRDefault="004E0041" w:rsidP="0056263A">
      <w:pPr>
        <w:pStyle w:val="Bullet1"/>
        <w:numPr>
          <w:ilvl w:val="0"/>
          <w:numId w:val="15"/>
        </w:numPr>
      </w:pPr>
      <w:r w:rsidRPr="00BB1E47">
        <w:t xml:space="preserve">Like many other parts of the health system, </w:t>
      </w:r>
      <w:r w:rsidR="00AE299B" w:rsidRPr="00BB1E47">
        <w:t xml:space="preserve">NEPT services </w:t>
      </w:r>
      <w:r w:rsidR="00225342" w:rsidRPr="00BB1E47">
        <w:t>are a contributor to Victoria’s climate emissions.</w:t>
      </w:r>
      <w:r w:rsidR="00CE7B1B" w:rsidRPr="00BB1E47">
        <w:t xml:space="preserve"> </w:t>
      </w:r>
    </w:p>
    <w:p w14:paraId="21CC4717" w14:textId="77777777" w:rsidR="00D0369E" w:rsidRPr="00BB1E47" w:rsidRDefault="00163BFC" w:rsidP="00D0369E">
      <w:pPr>
        <w:pStyle w:val="Bullet1"/>
        <w:numPr>
          <w:ilvl w:val="0"/>
          <w:numId w:val="15"/>
        </w:numPr>
      </w:pPr>
      <w:r w:rsidRPr="00BB1E47">
        <w:t xml:space="preserve">There are more than 450 </w:t>
      </w:r>
      <w:r w:rsidR="00885438" w:rsidRPr="00BB1E47">
        <w:t xml:space="preserve">vehicles across </w:t>
      </w:r>
      <w:r w:rsidR="0040753A" w:rsidRPr="00BB1E47">
        <w:t>private providers</w:t>
      </w:r>
      <w:r w:rsidR="0056263A" w:rsidRPr="00BB1E47">
        <w:t>,</w:t>
      </w:r>
      <w:r w:rsidR="0040753A" w:rsidRPr="00BB1E47">
        <w:t xml:space="preserve"> each of which has travell</w:t>
      </w:r>
      <w:r w:rsidR="00AC3FAD" w:rsidRPr="00BB1E47">
        <w:t xml:space="preserve">ed an </w:t>
      </w:r>
      <w:r w:rsidR="00DD213B" w:rsidRPr="00BB1E47">
        <w:t>average of 245,0</w:t>
      </w:r>
      <w:r w:rsidR="000B31AC" w:rsidRPr="00BB1E47">
        <w:t>0</w:t>
      </w:r>
      <w:r w:rsidR="00DD213B" w:rsidRPr="00BB1E47">
        <w:t xml:space="preserve">0 kms </w:t>
      </w:r>
      <w:r w:rsidR="00AC75FA" w:rsidRPr="00BB1E47">
        <w:t xml:space="preserve">– </w:t>
      </w:r>
      <w:r w:rsidR="00716816" w:rsidRPr="00BB1E47">
        <w:t>the equivalent of 2</w:t>
      </w:r>
      <w:r w:rsidR="004E1B05" w:rsidRPr="00BB1E47">
        <w:t>9</w:t>
      </w:r>
      <w:r w:rsidR="00716816" w:rsidRPr="00BB1E47">
        <w:t xml:space="preserve">0 </w:t>
      </w:r>
      <w:r w:rsidR="0056263A" w:rsidRPr="00BB1E47">
        <w:t>trips to the moon</w:t>
      </w:r>
      <w:r w:rsidR="00595B1C" w:rsidRPr="00BB1E47">
        <w:t>.</w:t>
      </w:r>
    </w:p>
    <w:p w14:paraId="6A073A7D" w14:textId="49572C19" w:rsidR="0097720E" w:rsidRPr="00BB1E47" w:rsidRDefault="0097720E" w:rsidP="00D0369E">
      <w:pPr>
        <w:pStyle w:val="Bullet1"/>
        <w:numPr>
          <w:ilvl w:val="0"/>
          <w:numId w:val="15"/>
        </w:numPr>
      </w:pPr>
      <w:r w:rsidRPr="00BB1E47">
        <w:lastRenderedPageBreak/>
        <w:t xml:space="preserve">AV has </w:t>
      </w:r>
      <w:r w:rsidR="00D01956" w:rsidRPr="00BB1E47">
        <w:t>committed to achieve net zero carbon emissions by 204</w:t>
      </w:r>
      <w:r w:rsidR="005E0CC0" w:rsidRPr="00BB1E47">
        <w:t xml:space="preserve">5. </w:t>
      </w:r>
      <w:r w:rsidR="008140A0" w:rsidRPr="00BB1E47">
        <w:t xml:space="preserve">All AV sites have been powered by renewable energy since 2022, </w:t>
      </w:r>
      <w:r w:rsidR="00E15386" w:rsidRPr="00BB1E47">
        <w:t>with a transition to</w:t>
      </w:r>
      <w:r w:rsidR="00D01956" w:rsidRPr="00BB1E47">
        <w:t xml:space="preserve"> hybrid </w:t>
      </w:r>
      <w:r w:rsidR="00E15386" w:rsidRPr="00BB1E47">
        <w:t xml:space="preserve">and electric </w:t>
      </w:r>
      <w:r w:rsidR="00D01956" w:rsidRPr="00BB1E47">
        <w:t xml:space="preserve">vehicles </w:t>
      </w:r>
      <w:r w:rsidR="00E15386" w:rsidRPr="00BB1E47">
        <w:t>in progress</w:t>
      </w:r>
      <w:r w:rsidR="00D01956" w:rsidRPr="00BB1E47">
        <w:t>.</w:t>
      </w:r>
      <w:r w:rsidR="00D0369E" w:rsidRPr="00BB1E47">
        <w:rPr>
          <w:rStyle w:val="FootnoteReference"/>
        </w:rPr>
        <w:footnoteReference w:id="48"/>
      </w:r>
    </w:p>
    <w:p w14:paraId="499229E8" w14:textId="4B665C97" w:rsidR="00163BFC" w:rsidRPr="00BB1E47" w:rsidRDefault="00A44D54" w:rsidP="0056263A">
      <w:pPr>
        <w:pStyle w:val="Bullet1"/>
        <w:numPr>
          <w:ilvl w:val="0"/>
          <w:numId w:val="15"/>
        </w:numPr>
      </w:pPr>
      <w:r w:rsidRPr="00BB1E47">
        <w:t xml:space="preserve">While a number of </w:t>
      </w:r>
      <w:r w:rsidR="00E15386" w:rsidRPr="00BB1E47">
        <w:t xml:space="preserve">private </w:t>
      </w:r>
      <w:r w:rsidRPr="00BB1E47">
        <w:t xml:space="preserve">providers have pledged to </w:t>
      </w:r>
      <w:r w:rsidR="004E1B05" w:rsidRPr="00BB1E47">
        <w:t xml:space="preserve">reach net zero emissions, </w:t>
      </w:r>
      <w:r w:rsidR="00253072" w:rsidRPr="00BB1E47">
        <w:t>targets and timelines across the sector are mixed</w:t>
      </w:r>
      <w:r w:rsidR="002E1780" w:rsidRPr="00BB1E47">
        <w:t xml:space="preserve"> and some providers have no </w:t>
      </w:r>
      <w:proofErr w:type="gramStart"/>
      <w:r w:rsidR="002E1780" w:rsidRPr="00BB1E47">
        <w:t>publicly</w:t>
      </w:r>
      <w:r w:rsidR="0056263A" w:rsidRPr="00BB1E47">
        <w:t>-</w:t>
      </w:r>
      <w:r w:rsidR="002E1780" w:rsidRPr="00BB1E47">
        <w:t>committed</w:t>
      </w:r>
      <w:proofErr w:type="gramEnd"/>
      <w:r w:rsidR="002E1780" w:rsidRPr="00BB1E47">
        <w:t xml:space="preserve"> emissions target</w:t>
      </w:r>
      <w:r w:rsidR="0056263A" w:rsidRPr="00BB1E47">
        <w:t>s</w:t>
      </w:r>
      <w:r w:rsidR="00253072" w:rsidRPr="00BB1E47">
        <w:t xml:space="preserve">. </w:t>
      </w:r>
    </w:p>
    <w:p w14:paraId="0DB4AEDF" w14:textId="0F175E13" w:rsidR="008C1CA0" w:rsidRPr="00BB1E47" w:rsidRDefault="008C1CA0" w:rsidP="00E9640E">
      <w:pPr>
        <w:pStyle w:val="Heading2"/>
      </w:pPr>
      <w:bookmarkStart w:id="74" w:name="_Ref135570322"/>
      <w:bookmarkStart w:id="75" w:name="_Toc136433493"/>
      <w:proofErr w:type="gramStart"/>
      <w:r w:rsidRPr="00BB1E47">
        <w:t>Workforce</w:t>
      </w:r>
      <w:proofErr w:type="gramEnd"/>
      <w:r w:rsidRPr="00BB1E47">
        <w:t xml:space="preserve"> pay and conditions </w:t>
      </w:r>
      <w:r w:rsidR="00DE22A9" w:rsidRPr="00BB1E47">
        <w:t>vary</w:t>
      </w:r>
      <w:r w:rsidRPr="00BB1E47">
        <w:t xml:space="preserve">, </w:t>
      </w:r>
      <w:bookmarkEnd w:id="74"/>
      <w:r w:rsidR="00071102" w:rsidRPr="00BB1E47">
        <w:t>creating broader challenges</w:t>
      </w:r>
      <w:bookmarkEnd w:id="75"/>
    </w:p>
    <w:p w14:paraId="67A56053" w14:textId="481D7BDA" w:rsidR="008C1CA0" w:rsidRPr="00BB1E47" w:rsidRDefault="008C1CA0" w:rsidP="008C1CA0">
      <w:pPr>
        <w:pStyle w:val="Bullet1"/>
        <w:numPr>
          <w:ilvl w:val="0"/>
          <w:numId w:val="10"/>
        </w:numPr>
      </w:pPr>
      <w:r w:rsidRPr="00BB1E47">
        <w:t>Industrial partners report that the fragmented nature of NEPT services in Victoria results in varied pay and conditions across the sector</w:t>
      </w:r>
      <w:r w:rsidR="00816D0D" w:rsidRPr="00BB1E47">
        <w:t xml:space="preserve">, with </w:t>
      </w:r>
      <w:r w:rsidR="002649A7" w:rsidRPr="00BB1E47">
        <w:t>these</w:t>
      </w:r>
      <w:r w:rsidRPr="00BB1E47">
        <w:t xml:space="preserve"> </w:t>
      </w:r>
      <w:r w:rsidR="00816D0D" w:rsidRPr="00BB1E47">
        <w:t xml:space="preserve">reportedly </w:t>
      </w:r>
      <w:r w:rsidRPr="00BB1E47">
        <w:t xml:space="preserve">often poorer than for the AV </w:t>
      </w:r>
      <w:r w:rsidR="00CD3512" w:rsidRPr="00BB1E47">
        <w:t>NEPT</w:t>
      </w:r>
      <w:r w:rsidR="00785A20" w:rsidRPr="00BB1E47">
        <w:t xml:space="preserve"> </w:t>
      </w:r>
      <w:r w:rsidRPr="00BB1E47">
        <w:t>workforce</w:t>
      </w:r>
      <w:r w:rsidR="00163083" w:rsidRPr="00BB1E47">
        <w:t>.</w:t>
      </w:r>
      <w:r w:rsidRPr="00BB1E47">
        <w:t xml:space="preserve"> </w:t>
      </w:r>
    </w:p>
    <w:p w14:paraId="464685A3" w14:textId="33AD7CB1" w:rsidR="004952C6" w:rsidRPr="00BB1E47" w:rsidRDefault="00785A20" w:rsidP="00DE53D2">
      <w:pPr>
        <w:pStyle w:val="Bullet1"/>
        <w:numPr>
          <w:ilvl w:val="0"/>
          <w:numId w:val="10"/>
        </w:numPr>
      </w:pPr>
      <w:r w:rsidRPr="00BB1E47">
        <w:t>The majority of the NEPT workforce (around 85%) are employed on casual contracts.</w:t>
      </w:r>
      <w:r w:rsidRPr="00BB1E47">
        <w:rPr>
          <w:rStyle w:val="FootnoteReference"/>
        </w:rPr>
        <w:footnoteReference w:id="49"/>
      </w:r>
      <w:r w:rsidRPr="00BB1E47">
        <w:t xml:space="preserve"> Such contracts limit the workforce’s ability to access paid leave, paid sick leave</w:t>
      </w:r>
      <w:r w:rsidR="00C86204" w:rsidRPr="00BB1E47">
        <w:rPr>
          <w:rStyle w:val="FootnoteReference"/>
        </w:rPr>
        <w:footnoteReference w:id="50"/>
      </w:r>
      <w:r w:rsidR="00C86204" w:rsidRPr="00BB1E47">
        <w:t xml:space="preserve"> </w:t>
      </w:r>
      <w:r w:rsidRPr="00BB1E47">
        <w:t xml:space="preserve">and guaranteed </w:t>
      </w:r>
      <w:r w:rsidR="00404F42" w:rsidRPr="00BB1E47">
        <w:t xml:space="preserve">hours </w:t>
      </w:r>
      <w:r w:rsidRPr="00BB1E47">
        <w:t>of work</w:t>
      </w:r>
      <w:r w:rsidR="0075613A" w:rsidRPr="00BB1E47">
        <w:t>.</w:t>
      </w:r>
      <w:r w:rsidR="0075613A" w:rsidRPr="00BB1E47">
        <w:rPr>
          <w:rStyle w:val="FootnoteReference"/>
        </w:rPr>
        <w:footnoteReference w:id="51"/>
      </w:r>
    </w:p>
    <w:p w14:paraId="7511F457" w14:textId="4CB13B8E" w:rsidR="00F976E2" w:rsidRPr="00BB1E47" w:rsidRDefault="007C01DE" w:rsidP="004952C6">
      <w:pPr>
        <w:pStyle w:val="Bullet1"/>
        <w:numPr>
          <w:ilvl w:val="1"/>
          <w:numId w:val="10"/>
        </w:numPr>
      </w:pPr>
      <w:r w:rsidRPr="00BB1E47">
        <w:t>While casual</w:t>
      </w:r>
      <w:r w:rsidR="00EC4BD4" w:rsidRPr="00BB1E47">
        <w:t xml:space="preserve"> workers may receive additional pay (or loading</w:t>
      </w:r>
      <w:r w:rsidR="003C27DF" w:rsidRPr="00BB1E47">
        <w:t>s</w:t>
      </w:r>
      <w:r w:rsidR="00EC4BD4" w:rsidRPr="00BB1E47">
        <w:t xml:space="preserve">) to compensate for </w:t>
      </w:r>
      <w:r w:rsidR="003C27DF" w:rsidRPr="00BB1E47">
        <w:t>the lack of these</w:t>
      </w:r>
      <w:r w:rsidR="00EC4BD4" w:rsidRPr="00BB1E47">
        <w:t xml:space="preserve"> entitlements</w:t>
      </w:r>
      <w:r w:rsidRPr="00BB1E47">
        <w:t xml:space="preserve">, </w:t>
      </w:r>
      <w:r w:rsidR="006C7D04" w:rsidRPr="00BB1E47">
        <w:t xml:space="preserve">the instability </w:t>
      </w:r>
      <w:r w:rsidR="00B6798D" w:rsidRPr="00BB1E47">
        <w:t xml:space="preserve">generated by </w:t>
      </w:r>
      <w:r w:rsidR="00F976E2" w:rsidRPr="00BB1E47">
        <w:t>these</w:t>
      </w:r>
      <w:r w:rsidR="00B6798D" w:rsidRPr="00BB1E47">
        <w:t xml:space="preserve"> contracts has seen calls for </w:t>
      </w:r>
      <w:r w:rsidR="0019057D" w:rsidRPr="00BB1E47">
        <w:t>NEPT providers to decrease the proportion of their workforce employed under</w:t>
      </w:r>
      <w:r w:rsidR="00B6798D" w:rsidRPr="00BB1E47">
        <w:t xml:space="preserve"> </w:t>
      </w:r>
      <w:r w:rsidR="00B72342" w:rsidRPr="00BB1E47">
        <w:t>casual arrangements</w:t>
      </w:r>
      <w:r w:rsidR="00B72342" w:rsidRPr="00BB1E47">
        <w:rPr>
          <w:rStyle w:val="FootnoteReference"/>
        </w:rPr>
        <w:footnoteReference w:id="52"/>
      </w:r>
      <w:r w:rsidR="00B72342" w:rsidRPr="00BB1E47">
        <w:t xml:space="preserve">. </w:t>
      </w:r>
    </w:p>
    <w:p w14:paraId="7FB639D8" w14:textId="2CEC68F6" w:rsidR="006D4EE1" w:rsidRPr="00BB1E47" w:rsidRDefault="00613899" w:rsidP="004952C6">
      <w:pPr>
        <w:pStyle w:val="Bullet1"/>
        <w:numPr>
          <w:ilvl w:val="1"/>
          <w:numId w:val="10"/>
        </w:numPr>
      </w:pPr>
      <w:r w:rsidRPr="00BB1E47">
        <w:t>So</w:t>
      </w:r>
      <w:r w:rsidR="00D605FE" w:rsidRPr="00BB1E47">
        <w:t xml:space="preserve">me providers </w:t>
      </w:r>
      <w:r w:rsidR="00E25134" w:rsidRPr="00BB1E47">
        <w:t xml:space="preserve">are responding </w:t>
      </w:r>
      <w:r w:rsidR="00DF7F5C" w:rsidRPr="00BB1E47">
        <w:t xml:space="preserve">positively </w:t>
      </w:r>
      <w:r w:rsidR="00E25134" w:rsidRPr="00BB1E47">
        <w:t>to this call for change</w:t>
      </w:r>
      <w:r w:rsidRPr="00BB1E47">
        <w:t xml:space="preserve"> and have committed to increase their permanently employ</w:t>
      </w:r>
      <w:r w:rsidR="00F976E2" w:rsidRPr="00BB1E47">
        <w:t>ed</w:t>
      </w:r>
      <w:r w:rsidRPr="00BB1E47">
        <w:t xml:space="preserve"> workforce, however th</w:t>
      </w:r>
      <w:r w:rsidR="000F102D" w:rsidRPr="00BB1E47">
        <w:t>is</w:t>
      </w:r>
      <w:r w:rsidRPr="00BB1E47">
        <w:t xml:space="preserve"> </w:t>
      </w:r>
      <w:r w:rsidR="000F102D" w:rsidRPr="00BB1E47">
        <w:t>approach</w:t>
      </w:r>
      <w:r w:rsidRPr="00BB1E47">
        <w:t xml:space="preserve"> is </w:t>
      </w:r>
      <w:r w:rsidR="000F102D" w:rsidRPr="00BB1E47">
        <w:t>not uniform</w:t>
      </w:r>
      <w:r w:rsidRPr="00BB1E47">
        <w:t xml:space="preserve"> across providers</w:t>
      </w:r>
      <w:r w:rsidR="000F102D" w:rsidRPr="00BB1E47">
        <w:t>.</w:t>
      </w:r>
      <w:r w:rsidR="00DF7F5C" w:rsidRPr="00BB1E47">
        <w:rPr>
          <w:rStyle w:val="FootnoteReference"/>
        </w:rPr>
        <w:footnoteReference w:id="53"/>
      </w:r>
    </w:p>
    <w:p w14:paraId="3DFB4490" w14:textId="34F45CB8" w:rsidR="00D31F3C" w:rsidRPr="00BB1E47" w:rsidRDefault="009E568C" w:rsidP="00BB4FE7">
      <w:pPr>
        <w:pStyle w:val="Bullet1"/>
        <w:numPr>
          <w:ilvl w:val="0"/>
          <w:numId w:val="10"/>
        </w:numPr>
      </w:pPr>
      <w:r w:rsidRPr="00BB1E47">
        <w:t xml:space="preserve">NEPT workers </w:t>
      </w:r>
      <w:r w:rsidR="004952C6" w:rsidRPr="00BB1E47">
        <w:t>also</w:t>
      </w:r>
      <w:r w:rsidRPr="00BB1E47">
        <w:t xml:space="preserve"> move between employers frequently, </w:t>
      </w:r>
      <w:r w:rsidR="004862FA" w:rsidRPr="00BB1E47">
        <w:t>but there is limited portability of entitlements such as sick leave.</w:t>
      </w:r>
      <w:r w:rsidR="007D667E" w:rsidRPr="00BB1E47">
        <w:rPr>
          <w:rStyle w:val="FootnoteReference"/>
        </w:rPr>
        <w:footnoteReference w:id="54"/>
      </w:r>
      <w:r w:rsidR="007D667E" w:rsidRPr="00BB1E47">
        <w:t xml:space="preserve"> </w:t>
      </w:r>
    </w:p>
    <w:p w14:paraId="4FBC86BE" w14:textId="43D5B23B" w:rsidR="008C1CA0" w:rsidRPr="00BB1E47" w:rsidRDefault="008C1CA0" w:rsidP="008C1CA0">
      <w:pPr>
        <w:pStyle w:val="Bullet1"/>
        <w:numPr>
          <w:ilvl w:val="0"/>
          <w:numId w:val="10"/>
        </w:numPr>
      </w:pPr>
      <w:r w:rsidRPr="00BB1E47">
        <w:t xml:space="preserve">Industrial partners have also highlighted that broader working conditions are often poorer. </w:t>
      </w:r>
    </w:p>
    <w:p w14:paraId="0E8A0A15" w14:textId="7823617D" w:rsidR="008C1CA0" w:rsidRPr="00BB1E47" w:rsidRDefault="008C1CA0" w:rsidP="007D11AE">
      <w:pPr>
        <w:pStyle w:val="Bullet2"/>
      </w:pPr>
      <w:r w:rsidRPr="00BB1E47">
        <w:t xml:space="preserve">As one example, while both AV and ESTA have comprehensive mental health support programmes for their employees, </w:t>
      </w:r>
      <w:r w:rsidRPr="00BB1E47">
        <w:rPr>
          <w:rStyle w:val="normaltextrun"/>
        </w:rPr>
        <w:t>similar</w:t>
      </w:r>
      <w:r w:rsidRPr="00BB1E47">
        <w:t xml:space="preserve"> programmes for NEPT workers in private providers are limited. This is despite exposure to many of the same risk</w:t>
      </w:r>
      <w:r w:rsidR="00997348" w:rsidRPr="00BB1E47">
        <w:t>s</w:t>
      </w:r>
      <w:r w:rsidRPr="00BB1E47">
        <w:t xml:space="preserve"> as public sector emergency workers.</w:t>
      </w:r>
      <w:r w:rsidRPr="00BB1E47">
        <w:rPr>
          <w:rStyle w:val="FootnoteReference"/>
        </w:rPr>
        <w:footnoteReference w:id="55"/>
      </w:r>
      <w:r w:rsidRPr="00BB1E47">
        <w:t xml:space="preserve"> </w:t>
      </w:r>
    </w:p>
    <w:p w14:paraId="61952869" w14:textId="77777777" w:rsidR="005E158B" w:rsidRDefault="008C1CA0" w:rsidP="008C1CA0">
      <w:pPr>
        <w:pStyle w:val="Bullet1"/>
        <w:numPr>
          <w:ilvl w:val="0"/>
          <w:numId w:val="10"/>
        </w:numPr>
      </w:pPr>
      <w:r w:rsidRPr="00BB1E47">
        <w:t xml:space="preserve">NEPT workers employed by private providers have also expressed discontent at being ineligible for incentives </w:t>
      </w:r>
      <w:r w:rsidRPr="00BB1E47">
        <w:rPr>
          <w:rStyle w:val="normaltextrun"/>
        </w:rPr>
        <w:t>such</w:t>
      </w:r>
      <w:r w:rsidRPr="00BB1E47">
        <w:t xml:space="preserve"> as the Hospital Surge Support Allowance paid to public sector healthcare workers (including AV employees).</w:t>
      </w:r>
      <w:r w:rsidR="00ED5323" w:rsidRPr="00BB1E47">
        <w:t xml:space="preserve"> </w:t>
      </w:r>
    </w:p>
    <w:p w14:paraId="148A43F3" w14:textId="41D2163B" w:rsidR="008C1CA0" w:rsidRPr="00BB1E47" w:rsidRDefault="00294A78" w:rsidP="008C1CA0">
      <w:pPr>
        <w:pStyle w:val="Bullet1"/>
        <w:numPr>
          <w:ilvl w:val="0"/>
          <w:numId w:val="10"/>
        </w:numPr>
      </w:pPr>
      <w:r>
        <w:t xml:space="preserve">The </w:t>
      </w:r>
      <w:r w:rsidR="008C1CA0" w:rsidRPr="00BB1E47">
        <w:t xml:space="preserve">disparities </w:t>
      </w:r>
      <w:r>
        <w:t xml:space="preserve">in pay and conditions </w:t>
      </w:r>
      <w:r w:rsidR="008C1CA0" w:rsidRPr="00BB1E47">
        <w:t>have, in some instances, led to strike action by patient transport officers within some providers.</w:t>
      </w:r>
      <w:r w:rsidR="008C1CA0" w:rsidRPr="00BB1E47">
        <w:rPr>
          <w:vertAlign w:val="superscript"/>
        </w:rPr>
        <w:footnoteReference w:id="56"/>
      </w:r>
    </w:p>
    <w:p w14:paraId="175D70DC" w14:textId="7614BC8A" w:rsidR="008C1CA0" w:rsidRPr="00BB1E47" w:rsidRDefault="008C1CA0" w:rsidP="008C1CA0">
      <w:pPr>
        <w:pStyle w:val="Bullet1"/>
        <w:numPr>
          <w:ilvl w:val="0"/>
          <w:numId w:val="10"/>
        </w:numPr>
      </w:pPr>
      <w:r w:rsidRPr="00BB1E47">
        <w:lastRenderedPageBreak/>
        <w:t xml:space="preserve">These varying conditions may also contribute to ongoing challenges with workforce attrition in the private sector. Private providers report a significant and ongoing flow of staff moving from private providers to AV.  </w:t>
      </w:r>
    </w:p>
    <w:p w14:paraId="76BF6882" w14:textId="77777777" w:rsidR="008C1CA0" w:rsidRPr="00BB1E47" w:rsidRDefault="008C1CA0" w:rsidP="008C1CA0">
      <w:pPr>
        <w:pStyle w:val="Body"/>
        <w:rPr>
          <w:rFonts w:cs="Arial"/>
          <w:sz w:val="20"/>
        </w:rPr>
      </w:pPr>
    </w:p>
    <w:p w14:paraId="6F0D7F8A" w14:textId="77777777" w:rsidR="00093C81" w:rsidRPr="00BB1E47" w:rsidRDefault="008C1CA0" w:rsidP="008C1CA0">
      <w:pPr>
        <w:spacing w:after="160" w:line="259" w:lineRule="auto"/>
      </w:pPr>
      <w:r w:rsidRPr="00BB1E47">
        <w:rPr>
          <w:noProof/>
        </w:rPr>
        <mc:AlternateContent>
          <mc:Choice Requires="wps">
            <w:drawing>
              <wp:inline distT="0" distB="0" distL="0" distR="0" wp14:anchorId="48B8ABB1" wp14:editId="4BC15396">
                <wp:extent cx="6334125" cy="1871932"/>
                <wp:effectExtent l="0" t="0" r="9525" b="0"/>
                <wp:docPr id="4" name="Text Box 4"/>
                <wp:cNvGraphicFramePr/>
                <a:graphic xmlns:a="http://schemas.openxmlformats.org/drawingml/2006/main">
                  <a:graphicData uri="http://schemas.microsoft.com/office/word/2010/wordprocessingShape">
                    <wps:wsp>
                      <wps:cNvSpPr txBox="1"/>
                      <wps:spPr>
                        <a:xfrm>
                          <a:off x="0" y="0"/>
                          <a:ext cx="6334125" cy="1871932"/>
                        </a:xfrm>
                        <a:prstGeom prst="rect">
                          <a:avLst/>
                        </a:prstGeom>
                        <a:solidFill>
                          <a:schemeClr val="accent1">
                            <a:lumMod val="20000"/>
                            <a:lumOff val="80000"/>
                          </a:schemeClr>
                        </a:solidFill>
                        <a:ln w="6350">
                          <a:noFill/>
                        </a:ln>
                      </wps:spPr>
                      <wps:txbx>
                        <w:txbxContent>
                          <w:p w14:paraId="0040CF9A" w14:textId="262AA5AF"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s – </w:t>
                            </w:r>
                            <w:r w:rsidR="00354BAD" w:rsidRPr="00354BAD">
                              <w:rPr>
                                <w:b/>
                                <w:bCs/>
                                <w:i/>
                                <w:iCs/>
                              </w:rPr>
                              <w:t>How is the sector currently performing?</w:t>
                            </w:r>
                          </w:p>
                          <w:p w14:paraId="516908E2" w14:textId="1D46ECDC" w:rsidR="008C1CA0" w:rsidRDefault="008C1CA0" w:rsidP="00503A30">
                            <w:pPr>
                              <w:pStyle w:val="Bullet1"/>
                              <w:numPr>
                                <w:ilvl w:val="0"/>
                                <w:numId w:val="57"/>
                              </w:numPr>
                            </w:pPr>
                            <w:r w:rsidRPr="003A7EB3">
                              <w:t xml:space="preserve">Do you agree with the </w:t>
                            </w:r>
                            <w:r w:rsidR="00655D55">
                              <w:t>summary of the key</w:t>
                            </w:r>
                            <w:r w:rsidRPr="003A7EB3">
                              <w:t xml:space="preserve"> </w:t>
                            </w:r>
                            <w:r w:rsidR="00F55027">
                              <w:t xml:space="preserve">strengths and </w:t>
                            </w:r>
                            <w:r w:rsidR="00655D55">
                              <w:t xml:space="preserve">current </w:t>
                            </w:r>
                            <w:r w:rsidRPr="003A7EB3">
                              <w:t xml:space="preserve">challenges facing the NEPT sector </w:t>
                            </w:r>
                            <w:r w:rsidR="00655D55">
                              <w:t xml:space="preserve">that has been </w:t>
                            </w:r>
                            <w:r w:rsidRPr="003A7EB3">
                              <w:t>outlined in this discussion paper?</w:t>
                            </w:r>
                          </w:p>
                          <w:p w14:paraId="69E4E8BB" w14:textId="09C018AA" w:rsidR="009026E9" w:rsidRDefault="00F55027" w:rsidP="00503A30">
                            <w:pPr>
                              <w:pStyle w:val="Bullet1"/>
                              <w:numPr>
                                <w:ilvl w:val="0"/>
                                <w:numId w:val="57"/>
                              </w:numPr>
                            </w:pPr>
                            <w:r>
                              <w:t xml:space="preserve">Are the current quality and safety standards for NEPT services in Victoria appropriate for the sector, and appropriately </w:t>
                            </w:r>
                            <w:r w:rsidR="00DE60CE">
                              <w:t xml:space="preserve">enforced? </w:t>
                            </w:r>
                          </w:p>
                          <w:p w14:paraId="0A49BC27" w14:textId="2637FE75" w:rsidR="008C1CA0" w:rsidRDefault="009026E9" w:rsidP="00503A30">
                            <w:pPr>
                              <w:pStyle w:val="Bullet1"/>
                              <w:numPr>
                                <w:ilvl w:val="0"/>
                                <w:numId w:val="57"/>
                              </w:numPr>
                            </w:pPr>
                            <w:r>
                              <w:t xml:space="preserve">Does this </w:t>
                            </w:r>
                            <w:r w:rsidR="004E44C2">
                              <w:t>discussion paper</w:t>
                            </w:r>
                            <w:r>
                              <w:t xml:space="preserve"> fairly reflect the </w:t>
                            </w:r>
                            <w:r w:rsidR="00763C8A">
                              <w:t xml:space="preserve">pressures on </w:t>
                            </w:r>
                            <w:r>
                              <w:t xml:space="preserve">timeliness </w:t>
                            </w:r>
                            <w:r w:rsidR="00763C8A">
                              <w:t xml:space="preserve">and costs </w:t>
                            </w:r>
                            <w:r>
                              <w:t xml:space="preserve">of NEPT services? </w:t>
                            </w:r>
                          </w:p>
                          <w:p w14:paraId="33351B42" w14:textId="749174BA" w:rsidR="00473A5F" w:rsidRDefault="00473A5F" w:rsidP="00503A30">
                            <w:pPr>
                              <w:pStyle w:val="Bullet1"/>
                              <w:numPr>
                                <w:ilvl w:val="0"/>
                                <w:numId w:val="57"/>
                              </w:numPr>
                            </w:pPr>
                            <w:r>
                              <w:t xml:space="preserve">Have the sector’s environmental impacts and policies been fully captured? </w:t>
                            </w:r>
                          </w:p>
                          <w:p w14:paraId="4590DC3A" w14:textId="2FD66286" w:rsidR="00763C8A" w:rsidRPr="00384161" w:rsidRDefault="00316C69" w:rsidP="00503A30">
                            <w:pPr>
                              <w:pStyle w:val="Bullet1"/>
                              <w:numPr>
                                <w:ilvl w:val="0"/>
                                <w:numId w:val="57"/>
                              </w:numPr>
                            </w:pPr>
                            <w:r>
                              <w:t>Have</w:t>
                            </w:r>
                            <w:r w:rsidR="00763C8A">
                              <w:t xml:space="preserve"> </w:t>
                            </w:r>
                            <w:r>
                              <w:t xml:space="preserve">the issues regarding </w:t>
                            </w:r>
                            <w:r w:rsidR="00763C8A">
                              <w:t xml:space="preserve">workforce pay and conditions </w:t>
                            </w:r>
                            <w:r>
                              <w:t>been fairly reflected?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B8ABB1" id="_x0000_t202" coordsize="21600,21600" o:spt="202" path="m,l,21600r21600,l21600,xe">
                <v:stroke joinstyle="miter"/>
                <v:path gradientshapeok="t" o:connecttype="rect"/>
              </v:shapetype>
              <v:shape id="Text Box 4" o:spid="_x0000_s1026" type="#_x0000_t202" style="width:498.75pt;height:1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" fillcolor="#dbe5f1 [660]" stroked="f" strokeweight=".5pt">
                <v:textbox>
                  <w:txbxContent>
                    <w:p w14:paraId="0040CF9A" w14:textId="262AA5AF"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s – </w:t>
                      </w:r>
                      <w:r w:rsidR="00354BAD" w:rsidRPr="00354BAD">
                        <w:rPr>
                          <w:b/>
                          <w:bCs/>
                          <w:i/>
                          <w:iCs/>
                        </w:rPr>
                        <w:t>How is the sector currently performing?</w:t>
                      </w:r>
                    </w:p>
                    <w:p w14:paraId="516908E2" w14:textId="1D46ECDC" w:rsidR="008C1CA0" w:rsidRDefault="008C1CA0" w:rsidP="00503A30">
                      <w:pPr>
                        <w:pStyle w:val="Bullet1"/>
                        <w:numPr>
                          <w:ilvl w:val="0"/>
                          <w:numId w:val="57"/>
                        </w:numPr>
                      </w:pPr>
                      <w:r w:rsidRPr="003A7EB3">
                        <w:t xml:space="preserve">Do you agree with the </w:t>
                      </w:r>
                      <w:r w:rsidR="00655D55">
                        <w:t>summary of the key</w:t>
                      </w:r>
                      <w:r w:rsidRPr="003A7EB3">
                        <w:t xml:space="preserve"> </w:t>
                      </w:r>
                      <w:r w:rsidR="00F55027">
                        <w:t xml:space="preserve">strengths and </w:t>
                      </w:r>
                      <w:r w:rsidR="00655D55">
                        <w:t xml:space="preserve">current </w:t>
                      </w:r>
                      <w:r w:rsidRPr="003A7EB3">
                        <w:t xml:space="preserve">challenges facing the NEPT sector </w:t>
                      </w:r>
                      <w:r w:rsidR="00655D55">
                        <w:t xml:space="preserve">that has been </w:t>
                      </w:r>
                      <w:r w:rsidRPr="003A7EB3">
                        <w:t>outlined in this discussion paper?</w:t>
                      </w:r>
                    </w:p>
                    <w:p w14:paraId="69E4E8BB" w14:textId="09C018AA" w:rsidR="009026E9" w:rsidRDefault="00F55027" w:rsidP="00503A30">
                      <w:pPr>
                        <w:pStyle w:val="Bullet1"/>
                        <w:numPr>
                          <w:ilvl w:val="0"/>
                          <w:numId w:val="57"/>
                        </w:numPr>
                      </w:pPr>
                      <w:r>
                        <w:t xml:space="preserve">Are the current quality and safety standards for NEPT services in Victoria appropriate for the sector, and appropriately </w:t>
                      </w:r>
                      <w:r w:rsidR="00DE60CE">
                        <w:t xml:space="preserve">enforced? </w:t>
                      </w:r>
                    </w:p>
                    <w:p w14:paraId="0A49BC27" w14:textId="2637FE75" w:rsidR="008C1CA0" w:rsidRDefault="009026E9" w:rsidP="00503A30">
                      <w:pPr>
                        <w:pStyle w:val="Bullet1"/>
                        <w:numPr>
                          <w:ilvl w:val="0"/>
                          <w:numId w:val="57"/>
                        </w:numPr>
                      </w:pPr>
                      <w:r>
                        <w:t xml:space="preserve">Does this </w:t>
                      </w:r>
                      <w:r w:rsidR="004E44C2">
                        <w:t>discussion paper</w:t>
                      </w:r>
                      <w:r>
                        <w:t xml:space="preserve"> fairly reflect the </w:t>
                      </w:r>
                      <w:r w:rsidR="00763C8A">
                        <w:t xml:space="preserve">pressures on </w:t>
                      </w:r>
                      <w:r>
                        <w:t xml:space="preserve">timeliness </w:t>
                      </w:r>
                      <w:r w:rsidR="00763C8A">
                        <w:t xml:space="preserve">and costs </w:t>
                      </w:r>
                      <w:r>
                        <w:t xml:space="preserve">of NEPT services? </w:t>
                      </w:r>
                    </w:p>
                    <w:p w14:paraId="33351B42" w14:textId="749174BA" w:rsidR="00473A5F" w:rsidRDefault="00473A5F" w:rsidP="00503A30">
                      <w:pPr>
                        <w:pStyle w:val="Bullet1"/>
                        <w:numPr>
                          <w:ilvl w:val="0"/>
                          <w:numId w:val="57"/>
                        </w:numPr>
                      </w:pPr>
                      <w:r>
                        <w:t xml:space="preserve">Have the sector’s environmental impacts and policies been fully captured? </w:t>
                      </w:r>
                    </w:p>
                    <w:p w14:paraId="4590DC3A" w14:textId="2FD66286" w:rsidR="00763C8A" w:rsidRPr="00384161" w:rsidRDefault="00316C69" w:rsidP="00503A30">
                      <w:pPr>
                        <w:pStyle w:val="Bullet1"/>
                        <w:numPr>
                          <w:ilvl w:val="0"/>
                          <w:numId w:val="57"/>
                        </w:numPr>
                      </w:pPr>
                      <w:r>
                        <w:t>Have</w:t>
                      </w:r>
                      <w:r w:rsidR="00763C8A">
                        <w:t xml:space="preserve"> </w:t>
                      </w:r>
                      <w:r>
                        <w:t xml:space="preserve">the issues regarding </w:t>
                      </w:r>
                      <w:r w:rsidR="00763C8A">
                        <w:t xml:space="preserve">workforce pay and conditions </w:t>
                      </w:r>
                      <w:r>
                        <w:t>been fairly reflected?</w:t>
                      </w:r>
                    </w:p>
                  </w:txbxContent>
                </v:textbox>
                <w10:anchorlock/>
              </v:shape>
            </w:pict>
          </mc:Fallback>
        </mc:AlternateContent>
      </w:r>
    </w:p>
    <w:p w14:paraId="28193319" w14:textId="7FC7D1DC" w:rsidR="008C1CA0" w:rsidRPr="00BB1E47" w:rsidRDefault="008C1CA0" w:rsidP="00093C81">
      <w:pPr>
        <w:spacing w:after="160" w:line="259" w:lineRule="auto"/>
        <w:rPr>
          <w:rFonts w:eastAsia="Arial Rounded MT Bold"/>
        </w:rPr>
      </w:pPr>
      <w:r w:rsidRPr="00BB1E47">
        <w:br w:type="page"/>
      </w:r>
    </w:p>
    <w:p w14:paraId="69CA00E6" w14:textId="77777777" w:rsidR="008C1CA0" w:rsidRPr="00BB1E47" w:rsidRDefault="008C1CA0" w:rsidP="00B37D1A">
      <w:pPr>
        <w:pStyle w:val="Heading1"/>
        <w:numPr>
          <w:ilvl w:val="0"/>
          <w:numId w:val="13"/>
        </w:numPr>
      </w:pPr>
      <w:bookmarkStart w:id="76" w:name="_Toc132619022"/>
      <w:bookmarkStart w:id="77" w:name="_Toc134633544"/>
      <w:bookmarkStart w:id="78" w:name="_Toc136433494"/>
      <w:r w:rsidRPr="00BB1E47">
        <w:lastRenderedPageBreak/>
        <w:t>What is causing these problems?</w:t>
      </w:r>
      <w:bookmarkEnd w:id="76"/>
      <w:bookmarkEnd w:id="77"/>
      <w:bookmarkEnd w:id="78"/>
    </w:p>
    <w:p w14:paraId="059167F3" w14:textId="77777777" w:rsidR="008C1CA0" w:rsidRPr="00BB1E47" w:rsidRDefault="008C1CA0" w:rsidP="00E9640E">
      <w:pPr>
        <w:pStyle w:val="Heading2"/>
      </w:pPr>
      <w:bookmarkStart w:id="79" w:name="_Toc134633545"/>
      <w:bookmarkStart w:id="80" w:name="_Ref135671020"/>
      <w:bookmarkStart w:id="81" w:name="_Ref135685299"/>
      <w:bookmarkStart w:id="82" w:name="_Toc136433495"/>
      <w:bookmarkStart w:id="83" w:name="_Toc132619023"/>
      <w:r w:rsidRPr="00BB1E47">
        <w:t>Market fragmentation drives up costs and slows down transfers</w:t>
      </w:r>
      <w:bookmarkEnd w:id="79"/>
      <w:bookmarkEnd w:id="80"/>
      <w:bookmarkEnd w:id="81"/>
      <w:bookmarkEnd w:id="82"/>
      <w:r w:rsidRPr="00BB1E47">
        <w:t xml:space="preserve"> </w:t>
      </w:r>
    </w:p>
    <w:p w14:paraId="364D9A70" w14:textId="5103514E" w:rsidR="008C1CA0" w:rsidRPr="00BB1E47" w:rsidRDefault="008C1CA0" w:rsidP="00B37D1A">
      <w:pPr>
        <w:pStyle w:val="Bullet1"/>
        <w:numPr>
          <w:ilvl w:val="0"/>
          <w:numId w:val="16"/>
        </w:numPr>
      </w:pPr>
      <w:r w:rsidRPr="00BB1E47">
        <w:t xml:space="preserve">Challenges with costs and timeliness are partly due to recent pressures, like the COVID-19 pandemic and </w:t>
      </w:r>
      <w:r w:rsidR="00316C69" w:rsidRPr="00BB1E47">
        <w:t xml:space="preserve">global </w:t>
      </w:r>
      <w:r w:rsidRPr="00BB1E47">
        <w:t xml:space="preserve">inflation. </w:t>
      </w:r>
      <w:r w:rsidR="00DE22A9" w:rsidRPr="00BB1E47">
        <w:t>They</w:t>
      </w:r>
      <w:r w:rsidRPr="00BB1E47">
        <w:t xml:space="preserve"> are also partly due to the inherent inefficiency of Victoria’s NEPT market design.</w:t>
      </w:r>
    </w:p>
    <w:p w14:paraId="5A2A8743" w14:textId="77777777" w:rsidR="008C1CA0" w:rsidRPr="00BB1E47" w:rsidRDefault="008C1CA0" w:rsidP="00B37D1A">
      <w:pPr>
        <w:pStyle w:val="Bullet1"/>
        <w:numPr>
          <w:ilvl w:val="0"/>
          <w:numId w:val="16"/>
        </w:numPr>
      </w:pPr>
      <w:r w:rsidRPr="00BB1E47">
        <w:t xml:space="preserve">The high volume of private providers in the market has created competitive pressure, keeping prices down. But it has also fragmented the market, creating duplication and diseconomies of scale that push costs up. </w:t>
      </w:r>
    </w:p>
    <w:p w14:paraId="2C94079B" w14:textId="0F9C74E3" w:rsidR="008C1CA0" w:rsidRPr="00BB1E47" w:rsidRDefault="008C1CA0" w:rsidP="00B37D1A">
      <w:pPr>
        <w:pStyle w:val="Bullet1"/>
        <w:numPr>
          <w:ilvl w:val="0"/>
          <w:numId w:val="16"/>
        </w:numPr>
      </w:pPr>
      <w:r w:rsidRPr="00BB1E47">
        <w:t xml:space="preserve">This section describes three forms of fragmentation in the Victorian market: duplication of overheads for NEPT providers, inefficiencies in transport routes, and administrative complexity for AV and health services. </w:t>
      </w:r>
      <w:r w:rsidR="00F80155" w:rsidRPr="00BB1E47">
        <w:t xml:space="preserve">It shows that some of these inefficiencies are inevitable, and others have arisen in response to the way the market is managed. </w:t>
      </w:r>
    </w:p>
    <w:p w14:paraId="45F49F39" w14:textId="77777777" w:rsidR="008C1CA0" w:rsidRPr="00BB1E47" w:rsidRDefault="008C1CA0" w:rsidP="00BB17D3">
      <w:pPr>
        <w:pStyle w:val="Heading3"/>
      </w:pPr>
      <w:bookmarkStart w:id="84" w:name="_Toc134633546"/>
      <w:r w:rsidRPr="00BB1E47">
        <w:t>There is duplication of operational overheads</w:t>
      </w:r>
      <w:bookmarkEnd w:id="84"/>
    </w:p>
    <w:p w14:paraId="548D2659" w14:textId="77777777" w:rsidR="008C1CA0" w:rsidRPr="00BB1E47" w:rsidRDefault="008C1CA0" w:rsidP="008C1CA0">
      <w:pPr>
        <w:pStyle w:val="Bullet1"/>
        <w:numPr>
          <w:ilvl w:val="0"/>
          <w:numId w:val="10"/>
        </w:numPr>
      </w:pPr>
      <w:r w:rsidRPr="00BB1E47">
        <w:t xml:space="preserve">A major advantage of single-provider NEPT systems is their economies of scale in procurement and services. Common functions can be performed once, rather than many times over. This reduces the cost of functions like asset procurement and maintenance, workforce recruitment and training, booking and route planning systems, and administrative and managerial overheads. </w:t>
      </w:r>
    </w:p>
    <w:p w14:paraId="4604F99A" w14:textId="77777777" w:rsidR="008C1CA0" w:rsidRPr="00BB1E47" w:rsidRDefault="008C1CA0" w:rsidP="008C1CA0">
      <w:pPr>
        <w:pStyle w:val="Bullet1"/>
        <w:numPr>
          <w:ilvl w:val="0"/>
          <w:numId w:val="10"/>
        </w:numPr>
      </w:pPr>
      <w:r w:rsidRPr="00BB1E47">
        <w:t xml:space="preserve">Victoria’s multi-provider system has the benefit of facilitating competition, but overhead costs are duplicated across every provider under current arrangements, reducing overall efficiency. </w:t>
      </w:r>
    </w:p>
    <w:p w14:paraId="47E8578C" w14:textId="140E970B" w:rsidR="008C1CA0" w:rsidRPr="00BB1E47" w:rsidRDefault="00DE22A9" w:rsidP="008C1CA0">
      <w:pPr>
        <w:pStyle w:val="Bullet1"/>
        <w:numPr>
          <w:ilvl w:val="0"/>
          <w:numId w:val="10"/>
        </w:numPr>
      </w:pPr>
      <w:r w:rsidRPr="00BB1E47">
        <w:t xml:space="preserve">This duplication is not inevitable, as there are ways of minimising duplication in </w:t>
      </w:r>
      <w:r w:rsidR="008C1CA0" w:rsidRPr="00BB1E47">
        <w:t>a multi-provider system</w:t>
      </w:r>
      <w:r w:rsidR="00657003">
        <w:t>.</w:t>
      </w:r>
      <w:r w:rsidR="008C1CA0" w:rsidRPr="00BB1E47">
        <w:rPr>
          <w:vertAlign w:val="superscript"/>
        </w:rPr>
        <w:footnoteReference w:id="57"/>
      </w:r>
      <w:r w:rsidR="008C1CA0" w:rsidRPr="00BB1E47">
        <w:rPr>
          <w:vertAlign w:val="superscript"/>
        </w:rPr>
        <w:t xml:space="preserve"> </w:t>
      </w:r>
    </w:p>
    <w:p w14:paraId="37735E17" w14:textId="43F79623" w:rsidR="008C1CA0" w:rsidRPr="00BB1E47" w:rsidRDefault="008C1CA0" w:rsidP="008C1CA0">
      <w:pPr>
        <w:pStyle w:val="Bullet1"/>
        <w:numPr>
          <w:ilvl w:val="1"/>
          <w:numId w:val="9"/>
        </w:numPr>
      </w:pPr>
      <w:r w:rsidRPr="00BB1E47">
        <w:t>In parts of the Victorian</w:t>
      </w:r>
      <w:r w:rsidR="00DE22A9" w:rsidRPr="00BB1E47">
        <w:t xml:space="preserve"> public</w:t>
      </w:r>
      <w:r w:rsidRPr="00BB1E47">
        <w:t xml:space="preserve"> health system there are multiple providers but consolidation of shared functions. For example:</w:t>
      </w:r>
    </w:p>
    <w:p w14:paraId="5FED7617" w14:textId="0EC52ACF" w:rsidR="008C1CA0" w:rsidRPr="00BB1E47" w:rsidRDefault="00DE22A9" w:rsidP="00B37D1A">
      <w:pPr>
        <w:pStyle w:val="Bullet1"/>
        <w:numPr>
          <w:ilvl w:val="1"/>
          <w:numId w:val="12"/>
        </w:numPr>
        <w:ind w:left="1208" w:hanging="357"/>
      </w:pPr>
      <w:r w:rsidRPr="00BB1E47">
        <w:t>r</w:t>
      </w:r>
      <w:r w:rsidR="008C1CA0" w:rsidRPr="00BB1E47">
        <w:t>ural and regional health services are required to jointly procure information and communications technology services through five regional alliances based on a joint venture model</w:t>
      </w:r>
      <w:r w:rsidR="008C1CA0" w:rsidRPr="00BB1E47">
        <w:rPr>
          <w:rStyle w:val="FootnoteReference"/>
        </w:rPr>
        <w:footnoteReference w:id="58"/>
      </w:r>
      <w:r w:rsidR="008C1CA0" w:rsidRPr="00BB1E47">
        <w:t xml:space="preserve"> </w:t>
      </w:r>
    </w:p>
    <w:p w14:paraId="33D8331D" w14:textId="1FEA6332" w:rsidR="008C1CA0" w:rsidRPr="00BB1E47" w:rsidRDefault="008C1CA0" w:rsidP="00B37D1A">
      <w:pPr>
        <w:pStyle w:val="Bullet1"/>
        <w:numPr>
          <w:ilvl w:val="1"/>
          <w:numId w:val="12"/>
        </w:numPr>
        <w:ind w:left="1208" w:hanging="357"/>
      </w:pPr>
      <w:r w:rsidRPr="00BB1E47">
        <w:t xml:space="preserve">HSV </w:t>
      </w:r>
      <w:r w:rsidR="00FD68FD" w:rsidRPr="00BB1E47">
        <w:t xml:space="preserve">supports </w:t>
      </w:r>
      <w:r w:rsidR="00783711" w:rsidRPr="00BB1E47">
        <w:t xml:space="preserve">efficient procurement across </w:t>
      </w:r>
      <w:r w:rsidRPr="00BB1E47">
        <w:t>the health sector (including AV</w:t>
      </w:r>
      <w:r w:rsidR="00785A20" w:rsidRPr="00BB1E47">
        <w:t>)</w:t>
      </w:r>
      <w:r w:rsidR="00FE7AF6" w:rsidRPr="00BB1E47">
        <w:rPr>
          <w:rFonts w:cs="Arial"/>
          <w:color w:val="000000"/>
          <w:shd w:val="clear" w:color="auto" w:fill="FFFFFF"/>
        </w:rPr>
        <w:t xml:space="preserve">, as described in </w:t>
      </w:r>
      <w:r w:rsidR="00FE7AF6" w:rsidRPr="00BB1E47">
        <w:t xml:space="preserve">Section </w:t>
      </w:r>
      <w:r w:rsidR="00FE7AF6" w:rsidRPr="00BB1E47">
        <w:fldChar w:fldCharType="begin"/>
      </w:r>
      <w:r w:rsidR="00FE7AF6" w:rsidRPr="00BB1E47">
        <w:instrText xml:space="preserve"> REF _Ref135601339 \r \h </w:instrText>
      </w:r>
      <w:r w:rsidR="00BB1E47">
        <w:instrText xml:space="preserve"> \* MERGEFORMAT </w:instrText>
      </w:r>
      <w:r w:rsidR="00FE7AF6" w:rsidRPr="00BB1E47">
        <w:fldChar w:fldCharType="separate"/>
      </w:r>
      <w:r w:rsidR="003D510C">
        <w:t>2.3</w:t>
      </w:r>
      <w:r w:rsidR="00FE7AF6" w:rsidRPr="00BB1E47">
        <w:fldChar w:fldCharType="end"/>
      </w:r>
      <w:r w:rsidR="00FE7AF6" w:rsidRPr="00BB1E47">
        <w:rPr>
          <w:rFonts w:cs="Arial"/>
          <w:color w:val="000000"/>
          <w:shd w:val="clear" w:color="auto" w:fill="FFFFFF"/>
        </w:rPr>
        <w:t xml:space="preserve">. </w:t>
      </w:r>
      <w:r w:rsidRPr="00BB1E47">
        <w:t>This saves each organisation from needing a full-size procurement team</w:t>
      </w:r>
      <w:r w:rsidR="00BE626C" w:rsidRPr="00BB1E47">
        <w:t>, and f</w:t>
      </w:r>
      <w:r w:rsidR="00917090" w:rsidRPr="00BB1E47">
        <w:t xml:space="preserve">or some </w:t>
      </w:r>
      <w:r w:rsidR="00B23505" w:rsidRPr="00BB1E47">
        <w:t xml:space="preserve">goods and </w:t>
      </w:r>
      <w:r w:rsidR="00917090" w:rsidRPr="00BB1E47">
        <w:t>services (</w:t>
      </w:r>
      <w:r w:rsidR="00BE626C" w:rsidRPr="00BB1E47">
        <w:t xml:space="preserve">such as </w:t>
      </w:r>
      <w:r w:rsidR="00B23505" w:rsidRPr="00BB1E47">
        <w:t>medical consumable</w:t>
      </w:r>
      <w:r w:rsidR="006C1F8A" w:rsidRPr="00BB1E47">
        <w:t>s</w:t>
      </w:r>
      <w:r w:rsidR="00B23505" w:rsidRPr="00BB1E47">
        <w:t xml:space="preserve"> and </w:t>
      </w:r>
      <w:r w:rsidR="00BE626C" w:rsidRPr="00BB1E47">
        <w:t>waste management</w:t>
      </w:r>
      <w:r w:rsidR="00917090" w:rsidRPr="00BB1E47">
        <w:t>) there are also savings through bulk-purchasing.</w:t>
      </w:r>
      <w:r w:rsidR="00917090" w:rsidRPr="00BB1E47">
        <w:rPr>
          <w:rStyle w:val="FootnoteReference"/>
        </w:rPr>
        <w:footnoteReference w:id="59"/>
      </w:r>
      <w:r w:rsidRPr="00BB1E47">
        <w:t xml:space="preserve"> </w:t>
      </w:r>
    </w:p>
    <w:p w14:paraId="082DA273" w14:textId="36A31466" w:rsidR="008C1CA0" w:rsidRPr="00BB1E47" w:rsidRDefault="008C1CA0" w:rsidP="008C1CA0">
      <w:pPr>
        <w:pStyle w:val="Bullet1"/>
        <w:numPr>
          <w:ilvl w:val="1"/>
          <w:numId w:val="9"/>
        </w:numPr>
      </w:pPr>
      <w:r w:rsidRPr="00BB1E47">
        <w:t xml:space="preserve">In some jurisdictions, organisations </w:t>
      </w:r>
      <w:r w:rsidR="00DE22A9" w:rsidRPr="00BB1E47">
        <w:t xml:space="preserve">that are </w:t>
      </w:r>
      <w:r w:rsidRPr="00BB1E47">
        <w:t xml:space="preserve">like HSV also provide expansive shared services, in addition to bulk procurement. </w:t>
      </w:r>
    </w:p>
    <w:p w14:paraId="59BDD11F" w14:textId="520182D3" w:rsidR="008C1CA0" w:rsidRPr="00BB1E47" w:rsidRDefault="008C1CA0" w:rsidP="00B37D1A">
      <w:pPr>
        <w:pStyle w:val="Bullet1"/>
        <w:numPr>
          <w:ilvl w:val="1"/>
          <w:numId w:val="12"/>
        </w:numPr>
        <w:ind w:left="1208" w:hanging="357"/>
      </w:pPr>
      <w:r w:rsidRPr="00BB1E47">
        <w:t xml:space="preserve">For example, </w:t>
      </w:r>
      <w:proofErr w:type="spellStart"/>
      <w:r w:rsidRPr="00BB1E47">
        <w:t>HealthShare</w:t>
      </w:r>
      <w:proofErr w:type="spellEnd"/>
      <w:r w:rsidRPr="00BB1E47">
        <w:t xml:space="preserve"> NSW delivers all core accounting services, linen, uniforms and laundry, patient food, innovation prototyping, and emergency vehicle cleaning and restocking for the NSW Local Health Districts and other health agencies. </w:t>
      </w:r>
    </w:p>
    <w:p w14:paraId="59ED71D4" w14:textId="03EAFECF" w:rsidR="006279CD" w:rsidRPr="00BB1E47" w:rsidRDefault="00910560" w:rsidP="00694BCC">
      <w:pPr>
        <w:pStyle w:val="Bullet1"/>
        <w:numPr>
          <w:ilvl w:val="1"/>
          <w:numId w:val="9"/>
        </w:numPr>
      </w:pPr>
      <w:r w:rsidRPr="00BB1E47">
        <w:t xml:space="preserve">In the private sector, organisations may </w:t>
      </w:r>
      <w:r w:rsidR="00E50BFB" w:rsidRPr="00BB1E47">
        <w:t xml:space="preserve">also </w:t>
      </w:r>
      <w:r w:rsidR="006B3571" w:rsidRPr="00BB1E47">
        <w:t xml:space="preserve">seek </w:t>
      </w:r>
      <w:r w:rsidR="0028070E" w:rsidRPr="00BB1E47">
        <w:t xml:space="preserve">the </w:t>
      </w:r>
      <w:r w:rsidR="006B3571" w:rsidRPr="00BB1E47">
        <w:t xml:space="preserve">support of specialist procurement organisations </w:t>
      </w:r>
      <w:r w:rsidR="005D35D1" w:rsidRPr="00BB1E47">
        <w:t xml:space="preserve">to achieve economies of scale </w:t>
      </w:r>
      <w:r w:rsidR="00197CE7" w:rsidRPr="00BB1E47">
        <w:t>for common good and services</w:t>
      </w:r>
      <w:r w:rsidR="007B60A5" w:rsidRPr="00BB1E47">
        <w:t>.</w:t>
      </w:r>
    </w:p>
    <w:p w14:paraId="2607FBAF" w14:textId="15030B44" w:rsidR="006279CD" w:rsidRPr="00BB1E47" w:rsidRDefault="00197CE7" w:rsidP="00694BCC">
      <w:pPr>
        <w:pStyle w:val="Bullet1"/>
        <w:numPr>
          <w:ilvl w:val="1"/>
          <w:numId w:val="12"/>
        </w:numPr>
        <w:ind w:left="1208" w:hanging="357"/>
      </w:pPr>
      <w:r w:rsidRPr="00BB1E47">
        <w:t xml:space="preserve">Organisations such as Procurement Australia </w:t>
      </w:r>
      <w:r w:rsidR="00CD66C4" w:rsidRPr="00BB1E47">
        <w:t>support multiple</w:t>
      </w:r>
      <w:r w:rsidR="00752A1A" w:rsidRPr="00BB1E47">
        <w:t xml:space="preserve"> private</w:t>
      </w:r>
      <w:r w:rsidR="00CD66C4" w:rsidRPr="00BB1E47">
        <w:t xml:space="preserve"> organisations, including those in </w:t>
      </w:r>
      <w:r w:rsidR="000F25C5" w:rsidRPr="00BB1E47">
        <w:t xml:space="preserve">health and aged care </w:t>
      </w:r>
      <w:r w:rsidR="00752A1A" w:rsidRPr="00BB1E47">
        <w:t>to streamline procurement</w:t>
      </w:r>
      <w:r w:rsidR="00E43F9F" w:rsidRPr="00BB1E47">
        <w:t>.</w:t>
      </w:r>
      <w:r w:rsidR="00534CA9" w:rsidRPr="00BB1E47">
        <w:rPr>
          <w:rStyle w:val="FootnoteReference"/>
        </w:rPr>
        <w:footnoteReference w:id="60"/>
      </w:r>
      <w:r w:rsidR="00752A1A" w:rsidRPr="00BB1E47">
        <w:t xml:space="preserve"> </w:t>
      </w:r>
    </w:p>
    <w:p w14:paraId="58FF4925" w14:textId="2C833A8A" w:rsidR="00CC54F8" w:rsidRPr="00BB1E47" w:rsidRDefault="00CC54F8" w:rsidP="00CC54F8">
      <w:pPr>
        <w:pStyle w:val="Bullet1"/>
        <w:numPr>
          <w:ilvl w:val="0"/>
          <w:numId w:val="10"/>
        </w:numPr>
      </w:pPr>
      <w:r w:rsidRPr="00BB1E47">
        <w:lastRenderedPageBreak/>
        <w:t xml:space="preserve">More could likely be done to reduce provider overheads, with shared benefits across the system. </w:t>
      </w:r>
    </w:p>
    <w:p w14:paraId="22FCD72A" w14:textId="584DF165" w:rsidR="008C1CA0" w:rsidRPr="00BB1E47" w:rsidRDefault="008C1CA0" w:rsidP="00BB17D3">
      <w:pPr>
        <w:pStyle w:val="Heading3"/>
      </w:pPr>
      <w:bookmarkStart w:id="85" w:name="_Toc134633547"/>
      <w:r w:rsidRPr="00BB1E47">
        <w:t>There are inefficiencies in scheduling and route planning</w:t>
      </w:r>
      <w:bookmarkEnd w:id="85"/>
    </w:p>
    <w:p w14:paraId="5223FA1E" w14:textId="77777777" w:rsidR="006F3BB6" w:rsidRPr="00BB1E47" w:rsidRDefault="008C1CA0" w:rsidP="008C1CA0">
      <w:pPr>
        <w:pStyle w:val="Bullet1"/>
        <w:numPr>
          <w:ilvl w:val="0"/>
          <w:numId w:val="10"/>
        </w:numPr>
      </w:pPr>
      <w:r w:rsidRPr="00BB1E47">
        <w:t xml:space="preserve">High and reliable patient volumes are critical for the efficiency of patient transport services. </w:t>
      </w:r>
      <w:r w:rsidR="006F3BB6" w:rsidRPr="00BB1E47">
        <w:t xml:space="preserve">They: </w:t>
      </w:r>
    </w:p>
    <w:p w14:paraId="0315931E" w14:textId="77777777" w:rsidR="006F3BB6" w:rsidRPr="00BB1E47" w:rsidRDefault="008C1CA0" w:rsidP="006F3BB6">
      <w:pPr>
        <w:pStyle w:val="Bullet1"/>
        <w:numPr>
          <w:ilvl w:val="1"/>
          <w:numId w:val="10"/>
        </w:numPr>
      </w:pPr>
      <w:r w:rsidRPr="00BB1E47">
        <w:t>enable overheads to be spread across a larger revenue base</w:t>
      </w:r>
      <w:r w:rsidR="006F3BB6" w:rsidRPr="00BB1E47">
        <w:t xml:space="preserve"> (lowering the cost per trip)</w:t>
      </w:r>
      <w:r w:rsidRPr="00BB1E47">
        <w:t xml:space="preserve"> </w:t>
      </w:r>
    </w:p>
    <w:p w14:paraId="58D71982" w14:textId="3B372F2B" w:rsidR="008C1CA0" w:rsidRPr="00BB1E47" w:rsidRDefault="008C1CA0" w:rsidP="006F3BB6">
      <w:pPr>
        <w:pStyle w:val="Bullet1"/>
        <w:numPr>
          <w:ilvl w:val="1"/>
          <w:numId w:val="10"/>
        </w:numPr>
      </w:pPr>
      <w:r w:rsidRPr="00BB1E47">
        <w:t xml:space="preserve">reduce the time that transport vehicles are empty or only half-full </w:t>
      </w:r>
      <w:r w:rsidR="006F3BB6" w:rsidRPr="00BB1E47">
        <w:t xml:space="preserve">(incurring fuel and workforce costs while earning no or limited revenue) </w:t>
      </w:r>
      <w:r w:rsidRPr="00BB1E47">
        <w:t xml:space="preserve">when they travel between </w:t>
      </w:r>
      <w:r w:rsidR="00DE22A9" w:rsidRPr="00BB1E47">
        <w:t>collection / drop-off points</w:t>
      </w:r>
      <w:r w:rsidRPr="00BB1E47">
        <w:t xml:space="preserve">. </w:t>
      </w:r>
    </w:p>
    <w:p w14:paraId="730A45B7" w14:textId="77777777" w:rsidR="000843D3" w:rsidRPr="00BB1E47" w:rsidRDefault="008C1CA0" w:rsidP="0029576C">
      <w:pPr>
        <w:pStyle w:val="Bullet1"/>
        <w:numPr>
          <w:ilvl w:val="0"/>
          <w:numId w:val="10"/>
        </w:numPr>
      </w:pPr>
      <w:r w:rsidRPr="00BB1E47">
        <w:t xml:space="preserve">In Victoria, with six providers delivering NEPT for public health services and AV, </w:t>
      </w:r>
      <w:r w:rsidR="00DE22A9" w:rsidRPr="00BB1E47">
        <w:t xml:space="preserve">individual </w:t>
      </w:r>
      <w:r w:rsidRPr="00BB1E47">
        <w:t xml:space="preserve">provider volumes are inherently limited. </w:t>
      </w:r>
    </w:p>
    <w:p w14:paraId="47ED9EA4" w14:textId="77777777" w:rsidR="006304E8" w:rsidRPr="00BB1E47" w:rsidRDefault="008C1CA0" w:rsidP="007C6C76">
      <w:pPr>
        <w:pStyle w:val="Bullet1"/>
        <w:numPr>
          <w:ilvl w:val="0"/>
          <w:numId w:val="10"/>
        </w:numPr>
      </w:pPr>
      <w:r w:rsidRPr="00BB1E47">
        <w:t xml:space="preserve">Further, there is no coordination of volumes to maximise what economies of scale can be achieved. </w:t>
      </w:r>
    </w:p>
    <w:p w14:paraId="4EFA735B" w14:textId="4B1E3AAC" w:rsidR="008C1CA0" w:rsidRPr="00BB1E47" w:rsidRDefault="008C1CA0" w:rsidP="006304E8">
      <w:pPr>
        <w:pStyle w:val="Bullet2"/>
      </w:pPr>
      <w:r w:rsidRPr="00BB1E47">
        <w:t xml:space="preserve">Victoria’s </w:t>
      </w:r>
      <w:r w:rsidRPr="00BB1E47" w:rsidDel="0083628A">
        <w:t>7</w:t>
      </w:r>
      <w:r w:rsidR="00F34E97">
        <w:t>5</w:t>
      </w:r>
      <w:r w:rsidRPr="00BB1E47">
        <w:t xml:space="preserve"> health services can each choose their preferred NEPT provider</w:t>
      </w:r>
      <w:r w:rsidR="00B1090D" w:rsidRPr="00BB1E47">
        <w:t xml:space="preserve"> from the four on the HSV panel</w:t>
      </w:r>
      <w:r w:rsidRPr="00BB1E47">
        <w:t>, with no requirement to use the same provider</w:t>
      </w:r>
      <w:r w:rsidR="00DE22A9" w:rsidRPr="00BB1E47">
        <w:t xml:space="preserve"> that</w:t>
      </w:r>
      <w:r w:rsidRPr="00BB1E47">
        <w:t xml:space="preserve"> AV or other health services </w:t>
      </w:r>
      <w:r w:rsidR="00B1090D" w:rsidRPr="00BB1E47">
        <w:t>use</w:t>
      </w:r>
      <w:r w:rsidRPr="00BB1E47">
        <w:t xml:space="preserve"> in their area. </w:t>
      </w:r>
    </w:p>
    <w:p w14:paraId="79284FCF" w14:textId="773C97DF" w:rsidR="008C1CA0" w:rsidRPr="00BB1E47" w:rsidRDefault="008C1CA0" w:rsidP="00964264">
      <w:pPr>
        <w:pStyle w:val="Bullet2"/>
      </w:pPr>
      <w:r w:rsidRPr="00BB1E47">
        <w:t xml:space="preserve">AV </w:t>
      </w:r>
      <w:r w:rsidR="009F2394" w:rsidRPr="00BB1E47">
        <w:t xml:space="preserve">does contract on a geographic basis, with providers awarded </w:t>
      </w:r>
      <w:r w:rsidR="00E428E9" w:rsidRPr="00BB1E47">
        <w:t>the right to be its ‘preferred’</w:t>
      </w:r>
      <w:r w:rsidR="00C35D17" w:rsidRPr="00BB1E47">
        <w:rPr>
          <w:rStyle w:val="FootnoteReference"/>
        </w:rPr>
        <w:footnoteReference w:id="61"/>
      </w:r>
      <w:r w:rsidR="00E428E9" w:rsidRPr="00BB1E47">
        <w:t xml:space="preserve"> operator for unplanned NEPT</w:t>
      </w:r>
      <w:r w:rsidR="006C77BE" w:rsidRPr="00BB1E47">
        <w:t xml:space="preserve"> in each of 17 </w:t>
      </w:r>
      <w:r w:rsidR="006B109F" w:rsidRPr="00BB1E47">
        <w:t>zones</w:t>
      </w:r>
      <w:r w:rsidR="00964264" w:rsidRPr="00BB1E47">
        <w:t>, but with limited coordination of neighbouring zones so that there are often still m</w:t>
      </w:r>
      <w:r w:rsidR="00A7563A" w:rsidRPr="00BB1E47">
        <w:t xml:space="preserve">ultiple AV </w:t>
      </w:r>
      <w:r w:rsidR="00964264" w:rsidRPr="00BB1E47">
        <w:t xml:space="preserve">contractors </w:t>
      </w:r>
      <w:proofErr w:type="gramStart"/>
      <w:r w:rsidR="00964264" w:rsidRPr="00BB1E47">
        <w:t>in a given</w:t>
      </w:r>
      <w:proofErr w:type="gramEnd"/>
      <w:r w:rsidR="00964264" w:rsidRPr="00BB1E47">
        <w:t xml:space="preserve"> </w:t>
      </w:r>
      <w:r w:rsidR="00A7563A" w:rsidRPr="00BB1E47">
        <w:t>geographic corridor</w:t>
      </w:r>
      <w:r w:rsidR="004F28E0" w:rsidRPr="00BB1E47">
        <w:t xml:space="preserve">. </w:t>
      </w:r>
      <w:r w:rsidR="00E428E9" w:rsidRPr="00BB1E47">
        <w:t xml:space="preserve"> </w:t>
      </w:r>
    </w:p>
    <w:p w14:paraId="62673FF5" w14:textId="6E248025" w:rsidR="00C35D17" w:rsidRPr="00BB1E47" w:rsidRDefault="008C1CA0" w:rsidP="00D07DC6">
      <w:pPr>
        <w:pStyle w:val="Bullet1"/>
        <w:numPr>
          <w:ilvl w:val="0"/>
          <w:numId w:val="10"/>
        </w:numPr>
      </w:pPr>
      <w:r w:rsidRPr="00BB1E47">
        <w:t xml:space="preserve">This has resulted in a situation where there are multiple providers in almost every region of Victoria, and as many as </w:t>
      </w:r>
      <w:r w:rsidR="00584484" w:rsidRPr="00BB1E47">
        <w:t>four</w:t>
      </w:r>
      <w:r w:rsidRPr="00BB1E47">
        <w:t xml:space="preserve"> in some</w:t>
      </w:r>
      <w:r w:rsidR="753D8B36">
        <w:t>.</w:t>
      </w:r>
      <w:r w:rsidRPr="00BB1E47">
        <w:rPr>
          <w:rStyle w:val="FootnoteReference"/>
        </w:rPr>
        <w:footnoteReference w:id="62"/>
      </w:r>
      <w:r w:rsidRPr="00BB1E47">
        <w:t xml:space="preserve"> </w:t>
      </w:r>
      <w:r w:rsidR="00925C48" w:rsidRPr="00BB1E47">
        <w:t xml:space="preserve">In one region </w:t>
      </w:r>
      <w:r w:rsidR="2F3C9D97" w:rsidRPr="00BB1E47">
        <w:t xml:space="preserve">all </w:t>
      </w:r>
      <w:r w:rsidR="00C35D17" w:rsidRPr="00BB1E47">
        <w:t xml:space="preserve">health services </w:t>
      </w:r>
      <w:r w:rsidR="006E34E8" w:rsidRPr="00BB1E47">
        <w:t xml:space="preserve">use the </w:t>
      </w:r>
      <w:r w:rsidR="00E7211D" w:rsidRPr="00BB1E47">
        <w:t>same</w:t>
      </w:r>
      <w:r w:rsidR="00C35D17" w:rsidRPr="00BB1E47">
        <w:t xml:space="preserve"> provider to deliver their planned NEPT</w:t>
      </w:r>
      <w:r w:rsidR="006E34E8" w:rsidRPr="00BB1E47">
        <w:t xml:space="preserve">, </w:t>
      </w:r>
      <w:r w:rsidR="541A1276" w:rsidRPr="00BB1E47">
        <w:t>but</w:t>
      </w:r>
      <w:r w:rsidR="006E34E8" w:rsidRPr="00BB1E47">
        <w:t xml:space="preserve"> </w:t>
      </w:r>
      <w:r w:rsidR="00C35D17" w:rsidRPr="00BB1E47">
        <w:t xml:space="preserve">AV </w:t>
      </w:r>
      <w:r w:rsidR="006E34E8" w:rsidRPr="00BB1E47">
        <w:t xml:space="preserve">still </w:t>
      </w:r>
      <w:r w:rsidR="00C35D17" w:rsidRPr="00BB1E47">
        <w:t xml:space="preserve">contracts </w:t>
      </w:r>
      <w:r w:rsidR="00D07DC6" w:rsidRPr="00BB1E47">
        <w:t xml:space="preserve">a different provider </w:t>
      </w:r>
      <w:r w:rsidR="00C35D17" w:rsidRPr="00BB1E47">
        <w:t>to deliver its unplanned NEPT</w:t>
      </w:r>
      <w:r w:rsidR="00D07DC6" w:rsidRPr="00BB1E47">
        <w:t xml:space="preserve"> in this region</w:t>
      </w:r>
      <w:r w:rsidR="380E74ED" w:rsidRPr="00BB1E47">
        <w:t xml:space="preserve">. </w:t>
      </w:r>
    </w:p>
    <w:p w14:paraId="399450A7" w14:textId="09F3EFD1" w:rsidR="00F958EE" w:rsidRPr="00BB1E47" w:rsidRDefault="00F958EE" w:rsidP="00F958EE">
      <w:pPr>
        <w:pStyle w:val="Bullet1"/>
        <w:numPr>
          <w:ilvl w:val="0"/>
          <w:numId w:val="10"/>
        </w:numPr>
      </w:pPr>
      <w:r w:rsidRPr="00BB1E47">
        <w:t xml:space="preserve">With no geographical coordination for these providers, the chance of vacant return trips and poor vehicle and crew utilisation increases (see </w:t>
      </w:r>
      <w:r w:rsidRPr="00BB1E47">
        <w:fldChar w:fldCharType="begin"/>
      </w:r>
      <w:r w:rsidRPr="00BB1E47">
        <w:instrText xml:space="preserve"> REF _Ref135680234 \h </w:instrText>
      </w:r>
      <w:r w:rsidR="00BB1E47">
        <w:instrText xml:space="preserve"> \* MERGEFORMAT </w:instrText>
      </w:r>
      <w:r w:rsidRPr="00BB1E47">
        <w:fldChar w:fldCharType="separate"/>
      </w:r>
      <w:r w:rsidR="003D510C" w:rsidRPr="00BB1E47">
        <w:t xml:space="preserve">Figure </w:t>
      </w:r>
      <w:r w:rsidR="003D510C">
        <w:rPr>
          <w:noProof/>
        </w:rPr>
        <w:t>3</w:t>
      </w:r>
      <w:r w:rsidRPr="00BB1E47">
        <w:fldChar w:fldCharType="end"/>
      </w:r>
      <w:r w:rsidRPr="00BB1E47">
        <w:t xml:space="preserve"> </w:t>
      </w:r>
      <w:r w:rsidRPr="00BB1E47">
        <w:fldChar w:fldCharType="begin"/>
      </w:r>
      <w:r w:rsidRPr="00BB1E47">
        <w:instrText xml:space="preserve"> REF _Ref135680248 \p \h </w:instrText>
      </w:r>
      <w:r w:rsidR="00BB1E47">
        <w:instrText xml:space="preserve"> \* MERGEFORMAT </w:instrText>
      </w:r>
      <w:r w:rsidRPr="00BB1E47">
        <w:fldChar w:fldCharType="separate"/>
      </w:r>
      <w:r w:rsidR="003D510C">
        <w:t>below</w:t>
      </w:r>
      <w:r w:rsidRPr="00BB1E47">
        <w:fldChar w:fldCharType="end"/>
      </w:r>
      <w:r w:rsidRPr="00BB1E47">
        <w:t>). This inefficiency is greatest in rural areas where one-way trips can average three hours</w:t>
      </w:r>
      <w:r w:rsidR="00CD0BB3">
        <w:t>.</w:t>
      </w:r>
      <w:r w:rsidRPr="00BB1E47">
        <w:rPr>
          <w:rStyle w:val="FootnoteReference"/>
        </w:rPr>
        <w:footnoteReference w:id="63"/>
      </w:r>
    </w:p>
    <w:p w14:paraId="49717508" w14:textId="2CD37785" w:rsidR="008C1CA0" w:rsidRPr="00BB1E47" w:rsidRDefault="008C1CA0" w:rsidP="008C1CA0">
      <w:pPr>
        <w:pStyle w:val="Bullet1"/>
        <w:numPr>
          <w:ilvl w:val="0"/>
          <w:numId w:val="10"/>
        </w:numPr>
      </w:pPr>
      <w:r w:rsidRPr="00BB1E47">
        <w:t>NEPT providers often rely on both AV and direct contracts from health services to achieve sustainable volumes. But both AV and some health services also provide their own NEPT services, which further dilutes volumes for NEPT providers</w:t>
      </w:r>
      <w:r w:rsidR="00DE22A9" w:rsidRPr="00BB1E47">
        <w:t xml:space="preserve"> (</w:t>
      </w:r>
      <w:r w:rsidRPr="00BB1E47">
        <w:t>but is considered</w:t>
      </w:r>
      <w:r w:rsidR="00E34CB6" w:rsidRPr="00BB1E47">
        <w:t xml:space="preserve"> </w:t>
      </w:r>
      <w:r w:rsidRPr="00BB1E47">
        <w:t>by AV and those health services to be unavoidable</w:t>
      </w:r>
      <w:r w:rsidR="00DE22A9" w:rsidRPr="00BB1E47">
        <w:t>)</w:t>
      </w:r>
      <w:r w:rsidRPr="00BB1E47">
        <w:t>.</w:t>
      </w:r>
    </w:p>
    <w:p w14:paraId="3EF19981" w14:textId="2C0CF953" w:rsidR="008C1CA0" w:rsidRPr="00BB1E47" w:rsidRDefault="008C1CA0" w:rsidP="007D11AE">
      <w:pPr>
        <w:pStyle w:val="Bullet2"/>
      </w:pPr>
      <w:r w:rsidRPr="00BB1E47">
        <w:t xml:space="preserve">This fragmentation and dilution of volumes undermines the efficiency of private providers, increasing the volume of return trips </w:t>
      </w:r>
      <w:r w:rsidRPr="00BB1E47">
        <w:rPr>
          <w:rStyle w:val="normaltextrun"/>
        </w:rPr>
        <w:t>with</w:t>
      </w:r>
      <w:r w:rsidRPr="00BB1E47">
        <w:t xml:space="preserve"> empty vehicles</w:t>
      </w:r>
      <w:r w:rsidRPr="00BB1E47">
        <w:rPr>
          <w:iCs/>
        </w:rPr>
        <w:t>.</w:t>
      </w:r>
      <w:r w:rsidRPr="00BB1E47">
        <w:t xml:space="preserve"> It also dilutes provider volumes in already thin rural markets</w:t>
      </w:r>
      <w:r w:rsidR="00E34CB6" w:rsidRPr="00BB1E47">
        <w:t>,</w:t>
      </w:r>
      <w:r w:rsidRPr="00BB1E47">
        <w:t xml:space="preserve"> increasing costs to the point where providers</w:t>
      </w:r>
      <w:r w:rsidR="000222A3" w:rsidRPr="00BB1E47">
        <w:t xml:space="preserve"> either</w:t>
      </w:r>
      <w:r w:rsidRPr="00BB1E47">
        <w:t xml:space="preserve"> </w:t>
      </w:r>
      <w:r w:rsidR="00E34CB6" w:rsidRPr="00BB1E47">
        <w:t>withdraw from</w:t>
      </w:r>
      <w:r w:rsidRPr="00BB1E47">
        <w:t xml:space="preserve"> markets altogether, or charge prohibitively high prices to cover costs. In either case service provision will typically default to AV as provider of last resort. In 2022, there were 13,200 transfers that were eligible to be delivered by NEPT providers but ‘spilled’ to AV, with 87% percent of these occurring in rural areas. </w:t>
      </w:r>
    </w:p>
    <w:p w14:paraId="559ACCD8" w14:textId="14914D17" w:rsidR="008C1CA0" w:rsidRPr="00BB1E47" w:rsidRDefault="008C1CA0" w:rsidP="007D11AE">
      <w:pPr>
        <w:pStyle w:val="Bullet2"/>
      </w:pPr>
      <w:r w:rsidRPr="00BB1E47">
        <w:t>In single-provider systems these challenges are minimised for obvious reasons</w:t>
      </w:r>
      <w:r w:rsidR="00426290" w:rsidRPr="00BB1E47">
        <w:t>,</w:t>
      </w:r>
      <w:r w:rsidRPr="00BB1E47">
        <w:t xml:space="preserve"> but they </w:t>
      </w:r>
      <w:r w:rsidR="00DE22A9" w:rsidRPr="00BB1E47">
        <w:t xml:space="preserve">can be minimised </w:t>
      </w:r>
      <w:r w:rsidRPr="00BB1E47">
        <w:t>in multi-</w:t>
      </w:r>
      <w:r w:rsidRPr="00BB1E47">
        <w:rPr>
          <w:rStyle w:val="normaltextrun"/>
        </w:rPr>
        <w:t>provider</w:t>
      </w:r>
      <w:r w:rsidRPr="00BB1E47">
        <w:t xml:space="preserve"> systems </w:t>
      </w:r>
      <w:r w:rsidR="00DE22A9" w:rsidRPr="00BB1E47">
        <w:t>too</w:t>
      </w:r>
      <w:r w:rsidRPr="00BB1E47">
        <w:t>. For example, Western Australia allows metropolitan health services to select from a panel of four private providers to meet their low and medium</w:t>
      </w:r>
      <w:r w:rsidR="00DE22A9" w:rsidRPr="00BB1E47">
        <w:t xml:space="preserve"> acuity</w:t>
      </w:r>
      <w:r w:rsidRPr="00BB1E47">
        <w:t xml:space="preserve"> NEPT needs</w:t>
      </w:r>
      <w:r w:rsidR="00DE22A9" w:rsidRPr="00BB1E47">
        <w:t xml:space="preserve"> </w:t>
      </w:r>
      <w:r w:rsidRPr="00BB1E47">
        <w:t>but requires all country health services to use a single provider.</w:t>
      </w:r>
      <w:r w:rsidRPr="00BB1E47">
        <w:rPr>
          <w:rStyle w:val="FootnoteReference"/>
        </w:rPr>
        <w:footnoteReference w:id="64"/>
      </w:r>
    </w:p>
    <w:p w14:paraId="63AE8FDC" w14:textId="77777777" w:rsidR="008C1CA0" w:rsidRPr="00BB1E47" w:rsidRDefault="008C1CA0" w:rsidP="008C1CA0">
      <w:pPr>
        <w:pStyle w:val="Bullet1"/>
        <w:numPr>
          <w:ilvl w:val="0"/>
          <w:numId w:val="10"/>
        </w:numPr>
      </w:pPr>
      <w:r w:rsidRPr="00BB1E47">
        <w:t xml:space="preserve">Limitations in booking systems mean that NEPT requests are not booked or allocated with route efficiency in mind. </w:t>
      </w:r>
    </w:p>
    <w:p w14:paraId="3AD1E6DB" w14:textId="7E29FE10" w:rsidR="008C1CA0" w:rsidRPr="00BB1E47" w:rsidRDefault="008C1CA0" w:rsidP="007D11AE">
      <w:pPr>
        <w:pStyle w:val="Bullet2"/>
      </w:pPr>
      <w:r w:rsidRPr="00BB1E47">
        <w:t>For example, when allocating a NEPT request to a private provider, AV has limited visibility of the provider</w:t>
      </w:r>
      <w:r w:rsidR="00DE22A9" w:rsidRPr="00BB1E47">
        <w:t>’</w:t>
      </w:r>
      <w:r w:rsidRPr="00BB1E47">
        <w:t xml:space="preserve">s existing </w:t>
      </w:r>
      <w:r w:rsidRPr="00BB1E47">
        <w:rPr>
          <w:rStyle w:val="normaltextrun"/>
        </w:rPr>
        <w:t>bookings</w:t>
      </w:r>
      <w:r w:rsidRPr="00BB1E47">
        <w:t xml:space="preserve">. This limits AV’s ability to allocate a job which would slot into existing trips and avoid the need for a return trip with a vacant vehicle. </w:t>
      </w:r>
    </w:p>
    <w:p w14:paraId="6B4595BB" w14:textId="1DC17A57" w:rsidR="008C1CA0" w:rsidRPr="00BB1E47" w:rsidRDefault="008C1CA0" w:rsidP="007D11AE">
      <w:pPr>
        <w:pStyle w:val="Bullet2"/>
      </w:pPr>
      <w:r w:rsidRPr="00BB1E47">
        <w:lastRenderedPageBreak/>
        <w:t xml:space="preserve">While the majority of NEPT services are planned (rather than unplanned), </w:t>
      </w:r>
      <w:r w:rsidR="00001E51" w:rsidRPr="00BB1E47">
        <w:t>most</w:t>
      </w:r>
      <w:r w:rsidRPr="00BB1E47">
        <w:t xml:space="preserve"> trips are booked on the </w:t>
      </w:r>
      <w:r w:rsidRPr="00BB1E47">
        <w:rPr>
          <w:rStyle w:val="normaltextrun"/>
        </w:rPr>
        <w:t>day</w:t>
      </w:r>
      <w:r w:rsidRPr="00BB1E47">
        <w:t xml:space="preserve"> transport is required rather than in advance. This </w:t>
      </w:r>
      <w:r w:rsidR="009F1F57" w:rsidRPr="00BB1E47">
        <w:t xml:space="preserve">puts </w:t>
      </w:r>
      <w:r w:rsidRPr="00BB1E47">
        <w:t xml:space="preserve">further limits </w:t>
      </w:r>
      <w:r w:rsidR="009F1F57" w:rsidRPr="00BB1E47">
        <w:t xml:space="preserve">on </w:t>
      </w:r>
      <w:r w:rsidRPr="00BB1E47">
        <w:t xml:space="preserve">providers’ ability to plan and efficiently allocate resources.  </w:t>
      </w:r>
    </w:p>
    <w:p w14:paraId="40400DE1" w14:textId="69C56BA7" w:rsidR="00764D31" w:rsidRPr="00BB1E47" w:rsidRDefault="0027599D" w:rsidP="009774A3">
      <w:pPr>
        <w:pStyle w:val="Heading3"/>
      </w:pPr>
      <w:r w:rsidRPr="00BB1E47">
        <w:t xml:space="preserve">Inefficiency </w:t>
      </w:r>
      <w:r w:rsidR="00F64BDB" w:rsidRPr="00BB1E47">
        <w:t>in route</w:t>
      </w:r>
      <w:r w:rsidR="008D6F00" w:rsidRPr="00BB1E47">
        <w:t xml:space="preserve"> scheduling</w:t>
      </w:r>
      <w:r w:rsidR="00F64BDB" w:rsidRPr="00BB1E47">
        <w:t xml:space="preserve"> exacerbates the </w:t>
      </w:r>
      <w:r w:rsidR="00652448" w:rsidRPr="00BB1E47">
        <w:t xml:space="preserve">environmental impact </w:t>
      </w:r>
      <w:r w:rsidR="00F64BDB" w:rsidRPr="00BB1E47">
        <w:t xml:space="preserve">of NEPT </w:t>
      </w:r>
    </w:p>
    <w:p w14:paraId="289071B0" w14:textId="15B3D870" w:rsidR="00A811CC" w:rsidRPr="00BB1E47" w:rsidRDefault="00A811CC" w:rsidP="00E9640E">
      <w:pPr>
        <w:pStyle w:val="Bullet2"/>
        <w:numPr>
          <w:ilvl w:val="0"/>
          <w:numId w:val="29"/>
        </w:numPr>
      </w:pPr>
      <w:r w:rsidRPr="00BB1E47">
        <w:t xml:space="preserve">As Section </w:t>
      </w:r>
      <w:r w:rsidRPr="00BB1E47">
        <w:fldChar w:fldCharType="begin"/>
      </w:r>
      <w:r w:rsidRPr="00BB1E47">
        <w:instrText xml:space="preserve"> REF _Ref135679319 \r \p \h </w:instrText>
      </w:r>
      <w:r w:rsidR="00BB1E47">
        <w:instrText xml:space="preserve"> \* MERGEFORMAT </w:instrText>
      </w:r>
      <w:r w:rsidRPr="00BB1E47">
        <w:fldChar w:fldCharType="separate"/>
      </w:r>
      <w:r w:rsidR="003D510C">
        <w:t>3.4 above</w:t>
      </w:r>
      <w:r w:rsidRPr="00BB1E47">
        <w:fldChar w:fldCharType="end"/>
      </w:r>
      <w:r w:rsidRPr="00BB1E47">
        <w:t xml:space="preserve"> noted, the NEPT sector has a significant environmental impact. </w:t>
      </w:r>
    </w:p>
    <w:p w14:paraId="31B0638F" w14:textId="723D494C" w:rsidR="00A811CC" w:rsidRPr="00BB1E47" w:rsidRDefault="00A811CC" w:rsidP="00E9640E">
      <w:pPr>
        <w:pStyle w:val="Bullet2"/>
        <w:numPr>
          <w:ilvl w:val="0"/>
          <w:numId w:val="29"/>
        </w:numPr>
      </w:pPr>
      <w:r w:rsidRPr="00BB1E47">
        <w:t>Inefficient</w:t>
      </w:r>
      <w:r w:rsidR="00652448" w:rsidRPr="00BB1E47">
        <w:t xml:space="preserve"> use of NEPT resources </w:t>
      </w:r>
      <w:r w:rsidRPr="00BB1E47">
        <w:t xml:space="preserve">exacerbates this, leading to additional and potentially unnecessary kilometres travelled due to </w:t>
      </w:r>
      <w:r w:rsidR="00652448" w:rsidRPr="00BB1E47">
        <w:t>empty return trip</w:t>
      </w:r>
      <w:r w:rsidRPr="00BB1E47">
        <w:t xml:space="preserve">s </w:t>
      </w:r>
      <w:r w:rsidR="00E83129" w:rsidRPr="00BB1E47">
        <w:t>(</w:t>
      </w:r>
      <w:r w:rsidR="00A3249F" w:rsidRPr="00BB1E47">
        <w:t xml:space="preserve">see </w:t>
      </w:r>
      <w:r w:rsidR="00363794" w:rsidRPr="00BB1E47">
        <w:fldChar w:fldCharType="begin"/>
      </w:r>
      <w:r w:rsidR="00363794" w:rsidRPr="00BB1E47">
        <w:instrText xml:space="preserve"> REF _Ref135668928 \h </w:instrText>
      </w:r>
      <w:r w:rsidR="00BB1E47">
        <w:instrText xml:space="preserve"> \* MERGEFORMAT </w:instrText>
      </w:r>
      <w:r w:rsidR="00363794" w:rsidRPr="00BB1E47">
        <w:fldChar w:fldCharType="separate"/>
      </w:r>
      <w:r w:rsidR="003D510C" w:rsidRPr="00BB1E47">
        <w:t xml:space="preserve">Figure </w:t>
      </w:r>
      <w:r w:rsidR="003D510C">
        <w:rPr>
          <w:noProof/>
        </w:rPr>
        <w:t>3</w:t>
      </w:r>
      <w:r w:rsidR="003D510C" w:rsidRPr="00BB1E47">
        <w:rPr>
          <w:noProof/>
        </w:rPr>
        <w:t xml:space="preserve">: When transfers are not coordinated, </w:t>
      </w:r>
      <w:r w:rsidR="00363794" w:rsidRPr="00BB1E47">
        <w:fldChar w:fldCharType="end"/>
      </w:r>
      <w:r w:rsidR="00A3249F" w:rsidRPr="00BB1E47">
        <w:t xml:space="preserve"> </w:t>
      </w:r>
      <w:r w:rsidRPr="00BB1E47">
        <w:t>and underloaded vehicles</w:t>
      </w:r>
      <w:r w:rsidR="008D6F00" w:rsidRPr="00BB1E47">
        <w:t xml:space="preserve"> (i.e.</w:t>
      </w:r>
      <w:r w:rsidR="006B230D" w:rsidRPr="00BB1E47">
        <w:t>,</w:t>
      </w:r>
      <w:r w:rsidR="008D6F00" w:rsidRPr="00BB1E47">
        <w:t xml:space="preserve"> vehicles that have a single patient when it is safe and appropriate to double-load)</w:t>
      </w:r>
      <w:r w:rsidRPr="00BB1E47">
        <w:t>.</w:t>
      </w:r>
      <w:r w:rsidRPr="00BB1E47">
        <w:rPr>
          <w:rStyle w:val="FootnoteReference"/>
        </w:rPr>
        <w:footnoteReference w:id="65"/>
      </w:r>
    </w:p>
    <w:p w14:paraId="0EEB3D14" w14:textId="42653CA6" w:rsidR="00652448" w:rsidRPr="00BB1E47" w:rsidRDefault="00F64BDB" w:rsidP="00E9640E">
      <w:pPr>
        <w:pStyle w:val="Bullet2"/>
        <w:numPr>
          <w:ilvl w:val="0"/>
          <w:numId w:val="29"/>
        </w:numPr>
      </w:pPr>
      <w:r w:rsidRPr="00BB1E47">
        <w:t>This increases</w:t>
      </w:r>
      <w:r w:rsidR="00BA7528" w:rsidRPr="00BB1E47">
        <w:t xml:space="preserve"> the total emissions across the sector</w:t>
      </w:r>
      <w:r w:rsidRPr="00BB1E47">
        <w:t xml:space="preserve">, with variable policies in place to </w:t>
      </w:r>
      <w:r w:rsidR="008D6F00" w:rsidRPr="00BB1E47">
        <w:t xml:space="preserve">limit these (for example through electric vehicles) or offset them. </w:t>
      </w:r>
    </w:p>
    <w:p w14:paraId="2E1A7B4A" w14:textId="556730A9" w:rsidR="006A272E" w:rsidRPr="00BB1E47" w:rsidRDefault="006A272E" w:rsidP="00E9640E">
      <w:pPr>
        <w:pStyle w:val="Bullet2"/>
        <w:numPr>
          <w:ilvl w:val="0"/>
          <w:numId w:val="29"/>
        </w:numPr>
      </w:pPr>
      <w:r w:rsidRPr="00BB1E47">
        <w:t xml:space="preserve">The inefficiency also has broader impacts </w:t>
      </w:r>
      <w:r w:rsidR="00D26813" w:rsidRPr="00BB1E47">
        <w:t xml:space="preserve">on the sector, </w:t>
      </w:r>
      <w:r w:rsidR="006B230D" w:rsidRPr="00BB1E47">
        <w:t xml:space="preserve">which is struggling to contain costs and maintain a timely supply of services amid surging demand and workforce shortages. </w:t>
      </w:r>
    </w:p>
    <w:p w14:paraId="472A803A" w14:textId="23707E3A" w:rsidR="00572846" w:rsidRPr="00BB1E47" w:rsidRDefault="00572846" w:rsidP="00572846">
      <w:pPr>
        <w:pStyle w:val="Heading3"/>
      </w:pPr>
      <w:r w:rsidRPr="00BB1E47">
        <w:t xml:space="preserve">There is administrative complexity and duplication in NEPT service purchasing </w:t>
      </w:r>
    </w:p>
    <w:p w14:paraId="448614BA" w14:textId="75CAE2BA" w:rsidR="00572846" w:rsidRPr="00BB1E47" w:rsidRDefault="00572846" w:rsidP="00572846">
      <w:pPr>
        <w:pStyle w:val="Bullet1"/>
        <w:numPr>
          <w:ilvl w:val="0"/>
          <w:numId w:val="10"/>
        </w:numPr>
      </w:pPr>
      <w:r w:rsidRPr="00BB1E47">
        <w:t xml:space="preserve">The fragmentation of responsibilities for purchasing NEPT between health services and AV (as described in Section </w:t>
      </w:r>
      <w:r w:rsidRPr="00693108">
        <w:fldChar w:fldCharType="begin"/>
      </w:r>
      <w:r w:rsidRPr="00BB1E47">
        <w:instrText xml:space="preserve"> REF _Ref134278950 \r \h </w:instrText>
      </w:r>
      <w:r w:rsidR="00BB1E47">
        <w:instrText xml:space="preserve"> \* MERGEFORMAT </w:instrText>
      </w:r>
      <w:r w:rsidRPr="00693108">
        <w:fldChar w:fldCharType="separate"/>
      </w:r>
      <w:r w:rsidR="003D510C">
        <w:t>2.4</w:t>
      </w:r>
      <w:r w:rsidRPr="00693108">
        <w:fldChar w:fldCharType="end"/>
      </w:r>
      <w:r w:rsidRPr="00BB1E47">
        <w:t xml:space="preserve">) creates administrative complexity and duplication at multiple levels. </w:t>
      </w:r>
    </w:p>
    <w:p w14:paraId="66D5ED5F" w14:textId="77777777" w:rsidR="00572846" w:rsidRPr="00BB1E47" w:rsidRDefault="00572846" w:rsidP="00572846">
      <w:pPr>
        <w:pStyle w:val="Bullet1"/>
        <w:numPr>
          <w:ilvl w:val="1"/>
          <w:numId w:val="10"/>
        </w:numPr>
      </w:pPr>
      <w:r w:rsidRPr="00BB1E47">
        <w:t>AV does not use HSV’s panel for NEPT procurement, instead running its own procurement and contract management processes with duplication of function and personnel.</w:t>
      </w:r>
      <w:r w:rsidRPr="00BB1E47">
        <w:rPr>
          <w:rStyle w:val="FootnoteReference"/>
        </w:rPr>
        <w:footnoteReference w:id="66"/>
      </w:r>
    </w:p>
    <w:p w14:paraId="3800527E" w14:textId="6C545D55" w:rsidR="00572846" w:rsidRPr="00BB1E47" w:rsidRDefault="00572846" w:rsidP="00572846">
      <w:pPr>
        <w:pStyle w:val="Bullet1"/>
        <w:numPr>
          <w:ilvl w:val="1"/>
          <w:numId w:val="10"/>
        </w:numPr>
      </w:pPr>
      <w:r w:rsidRPr="00BB1E47">
        <w:t xml:space="preserve">The requirement for most health services to request NEPT transfers through AV channels for some patients and directly from their provider for other patients (as described in Section </w:t>
      </w:r>
      <w:r w:rsidRPr="00BB1E47">
        <w:fldChar w:fldCharType="begin"/>
      </w:r>
      <w:r w:rsidRPr="00BB1E47">
        <w:instrText xml:space="preserve"> REF _Ref134476344 \r \h </w:instrText>
      </w:r>
      <w:r w:rsidR="00BB1E47">
        <w:instrText xml:space="preserve"> \* MERGEFORMAT </w:instrText>
      </w:r>
      <w:r w:rsidRPr="00BB1E47">
        <w:fldChar w:fldCharType="separate"/>
      </w:r>
      <w:r w:rsidR="003D510C">
        <w:t>2.6</w:t>
      </w:r>
      <w:r w:rsidRPr="00BB1E47">
        <w:fldChar w:fldCharType="end"/>
      </w:r>
      <w:r w:rsidRPr="00BB1E47">
        <w:t xml:space="preserve">) further duplicates costs, with the need for additional booking systems and training of staff to use them.  </w:t>
      </w:r>
    </w:p>
    <w:p w14:paraId="7F6984B6" w14:textId="77777777" w:rsidR="00572846" w:rsidRPr="00BB1E47" w:rsidRDefault="00572846" w:rsidP="00572846">
      <w:pPr>
        <w:pStyle w:val="Bullet1"/>
        <w:numPr>
          <w:ilvl w:val="0"/>
          <w:numId w:val="10"/>
        </w:numPr>
      </w:pPr>
      <w:r w:rsidRPr="00BB1E47">
        <w:t>This creates confusion for operational and clinical staff at health services, which increases administrative costs and has led to health services allocating scarce resources to resolve billing disputes arising from complex funding arrangements.</w:t>
      </w:r>
    </w:p>
    <w:p w14:paraId="7E6F353A" w14:textId="075DBEB0" w:rsidR="008C1CA0" w:rsidRPr="00BB1E47" w:rsidRDefault="0015343F" w:rsidP="009311A2">
      <w:pPr>
        <w:pStyle w:val="Tablecaption"/>
      </w:pPr>
      <w:bookmarkStart w:id="86" w:name="_Ref135680234"/>
      <w:bookmarkStart w:id="87" w:name="_Ref135668928"/>
      <w:bookmarkStart w:id="88" w:name="_Ref135680248"/>
      <w:r w:rsidRPr="00BB1E47">
        <w:lastRenderedPageBreak/>
        <w:t xml:space="preserve">Figure </w:t>
      </w:r>
      <w:r>
        <w:fldChar w:fldCharType="begin"/>
      </w:r>
      <w:r>
        <w:instrText>SEQ Figure \* ARABIC</w:instrText>
      </w:r>
      <w:r>
        <w:fldChar w:fldCharType="separate"/>
      </w:r>
      <w:r w:rsidR="003D510C">
        <w:rPr>
          <w:noProof/>
        </w:rPr>
        <w:t>3</w:t>
      </w:r>
      <w:r>
        <w:fldChar w:fldCharType="end"/>
      </w:r>
      <w:bookmarkEnd w:id="86"/>
      <w:r w:rsidR="001E226B" w:rsidRPr="00BB1E47">
        <w:t>:</w:t>
      </w:r>
      <w:r w:rsidRPr="00BB1E47">
        <w:t xml:space="preserve"> </w:t>
      </w:r>
      <w:r w:rsidR="001E226B" w:rsidRPr="00BB1E47">
        <w:t xml:space="preserve">When </w:t>
      </w:r>
      <w:r w:rsidR="00DF1079" w:rsidRPr="00BB1E47">
        <w:t xml:space="preserve">transfers </w:t>
      </w:r>
      <w:r w:rsidR="00BB39D0" w:rsidRPr="00BB1E47">
        <w:t xml:space="preserve">are not coordinated, </w:t>
      </w:r>
      <w:bookmarkEnd w:id="87"/>
      <w:r w:rsidR="006A272E" w:rsidRPr="00BB1E47">
        <w:t>services are less efficient</w:t>
      </w:r>
      <w:bookmarkEnd w:id="88"/>
      <w:r w:rsidR="006A272E" w:rsidRPr="00BB1E47">
        <w:t xml:space="preserve"> </w:t>
      </w:r>
    </w:p>
    <w:p w14:paraId="207C49C0" w14:textId="77777777" w:rsidR="00594061" w:rsidRPr="00BB1E47" w:rsidRDefault="008C1CA0" w:rsidP="00594061">
      <w:pPr>
        <w:pStyle w:val="Body"/>
        <w:keepNext/>
      </w:pPr>
      <w:r w:rsidRPr="00BB1E47">
        <w:rPr>
          <w:noProof/>
        </w:rPr>
        <w:drawing>
          <wp:inline distT="0" distB="0" distL="0" distR="0" wp14:anchorId="3391D540" wp14:editId="52B08D2A">
            <wp:extent cx="6297512" cy="3352800"/>
            <wp:effectExtent l="0" t="0" r="8255" b="0"/>
            <wp:docPr id="12" name="Picture 12" descr="This figure shows an illustrated NEPT vehicle from a provider arriving at a hospital empty to pick up a patient. &#10;The figure also shows an illustrated NEPT vehicle from a different provider arriving with a patient but leaving emp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figure shows an illustrated NEPT vehicle from a provider arriving at a hospital empty to pick up a patient. &#10;The figure also shows an illustrated NEPT vehicle from a different provider arriving with a patient but leaving empt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8223" cy="3358503"/>
                    </a:xfrm>
                    <a:prstGeom prst="rect">
                      <a:avLst/>
                    </a:prstGeom>
                    <a:noFill/>
                  </pic:spPr>
                </pic:pic>
              </a:graphicData>
            </a:graphic>
          </wp:inline>
        </w:drawing>
      </w:r>
    </w:p>
    <w:p w14:paraId="7A94E9A2" w14:textId="45DA8DEA" w:rsidR="008C1CA0" w:rsidRPr="00BB1E47" w:rsidRDefault="008C1CA0" w:rsidP="00B54EBD">
      <w:pPr>
        <w:pStyle w:val="Body"/>
      </w:pPr>
    </w:p>
    <w:p w14:paraId="3DD3EAB5" w14:textId="77777777" w:rsidR="008C1CA0" w:rsidRPr="00BB1E47" w:rsidRDefault="008C1CA0" w:rsidP="008C1CA0">
      <w:pPr>
        <w:pStyle w:val="Body"/>
        <w:rPr>
          <w:rFonts w:cs="Arial"/>
          <w:sz w:val="20"/>
        </w:rPr>
      </w:pPr>
      <w:r w:rsidRPr="00BB1E47">
        <w:rPr>
          <w:noProof/>
        </w:rPr>
        <mc:AlternateContent>
          <mc:Choice Requires="wps">
            <w:drawing>
              <wp:inline distT="0" distB="0" distL="0" distR="0" wp14:anchorId="57E7233C" wp14:editId="5A246A3C">
                <wp:extent cx="6334125" cy="1419225"/>
                <wp:effectExtent l="0" t="0" r="9525" b="9525"/>
                <wp:docPr id="27" name="Text Box 27"/>
                <wp:cNvGraphicFramePr/>
                <a:graphic xmlns:a="http://schemas.openxmlformats.org/drawingml/2006/main">
                  <a:graphicData uri="http://schemas.microsoft.com/office/word/2010/wordprocessingShape">
                    <wps:wsp>
                      <wps:cNvSpPr txBox="1"/>
                      <wps:spPr>
                        <a:xfrm>
                          <a:off x="0" y="0"/>
                          <a:ext cx="6334125" cy="1419225"/>
                        </a:xfrm>
                        <a:prstGeom prst="rect">
                          <a:avLst/>
                        </a:prstGeom>
                        <a:solidFill>
                          <a:schemeClr val="accent1">
                            <a:lumMod val="20000"/>
                            <a:lumOff val="80000"/>
                          </a:schemeClr>
                        </a:solidFill>
                        <a:ln w="6350">
                          <a:noFill/>
                        </a:ln>
                      </wps:spPr>
                      <wps:txbx>
                        <w:txbxContent>
                          <w:p w14:paraId="6692DE0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8630A2">
                              <w:rPr>
                                <w:b/>
                                <w:i/>
                                <w:iCs/>
                              </w:rPr>
                              <w:t>Market fragmentation</w:t>
                            </w:r>
                          </w:p>
                          <w:p w14:paraId="2B5BFE18" w14:textId="77777777" w:rsidR="008C1CA0" w:rsidRPr="0068259D" w:rsidRDefault="008C1CA0" w:rsidP="00C70C6B">
                            <w:pPr>
                              <w:pStyle w:val="Body"/>
                              <w:numPr>
                                <w:ilvl w:val="0"/>
                                <w:numId w:val="58"/>
                              </w:numPr>
                            </w:pPr>
                            <w:r w:rsidRPr="0068259D">
                              <w:t>What are the most appropriate options for addressing the existing challenges of complexity, duplication</w:t>
                            </w:r>
                            <w:r>
                              <w:t>, and inefficiency</w:t>
                            </w:r>
                            <w:r w:rsidRPr="0068259D">
                              <w:t xml:space="preserve"> associated with market fragmentation? </w:t>
                            </w:r>
                          </w:p>
                          <w:p w14:paraId="4C909039" w14:textId="77777777" w:rsidR="008C1CA0" w:rsidRPr="0068259D" w:rsidRDefault="008C1CA0" w:rsidP="00C70C6B">
                            <w:pPr>
                              <w:pStyle w:val="Body"/>
                              <w:numPr>
                                <w:ilvl w:val="0"/>
                                <w:numId w:val="58"/>
                              </w:numPr>
                            </w:pPr>
                            <w:r w:rsidRPr="0068259D">
                              <w:t>What other examples can be drawn upon to guide best practice in this area?</w:t>
                            </w:r>
                          </w:p>
                          <w:p w14:paraId="7DC19DFA" w14:textId="47B3BAFD" w:rsidR="008E72C1" w:rsidRPr="0068259D" w:rsidRDefault="00AA6AA6" w:rsidP="00C70C6B">
                            <w:pPr>
                              <w:pStyle w:val="Body"/>
                              <w:numPr>
                                <w:ilvl w:val="0"/>
                                <w:numId w:val="58"/>
                              </w:numPr>
                            </w:pPr>
                            <w:r>
                              <w:t>W</w:t>
                            </w:r>
                            <w:r w:rsidR="00255C0B">
                              <w:t>hich changes would have the biggest impact on the environmental sustainability of the sector</w:t>
                            </w:r>
                            <w:r w:rsidR="003E1663">
                              <w:t>, and create efficiencies enabling reinvestment</w:t>
                            </w:r>
                            <w:r w:rsidR="00255C0B">
                              <w:t xml:space="preserve">? </w:t>
                            </w:r>
                          </w:p>
                          <w:p w14:paraId="57EDA173" w14:textId="77777777" w:rsidR="008C1CA0" w:rsidRDefault="008C1CA0" w:rsidP="00590011">
                            <w:pPr>
                              <w:pStyle w:val="Bod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E7233C" id="Text Box 27" o:spid="_x0000_s1027" type="#_x0000_t202" style="width:498.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" fillcolor="#dbe5f1 [660]" stroked="f" strokeweight=".5pt">
                <v:textbox>
                  <w:txbxContent>
                    <w:p w14:paraId="6692DE0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8630A2">
                        <w:rPr>
                          <w:b/>
                          <w:i/>
                          <w:iCs/>
                        </w:rPr>
                        <w:t>Market fragmentation</w:t>
                      </w:r>
                    </w:p>
                    <w:p w14:paraId="2B5BFE18" w14:textId="77777777" w:rsidR="008C1CA0" w:rsidRPr="0068259D" w:rsidRDefault="008C1CA0" w:rsidP="00C70C6B">
                      <w:pPr>
                        <w:pStyle w:val="Body"/>
                        <w:numPr>
                          <w:ilvl w:val="0"/>
                          <w:numId w:val="58"/>
                        </w:numPr>
                      </w:pPr>
                      <w:r w:rsidRPr="0068259D">
                        <w:t>What are the most appropriate options for addressing the existing challenges of complexity, duplication</w:t>
                      </w:r>
                      <w:r>
                        <w:t>, and inefficiency</w:t>
                      </w:r>
                      <w:r w:rsidRPr="0068259D">
                        <w:t xml:space="preserve"> associated with market fragmentation? </w:t>
                      </w:r>
                    </w:p>
                    <w:p w14:paraId="4C909039" w14:textId="77777777" w:rsidR="008C1CA0" w:rsidRPr="0068259D" w:rsidRDefault="008C1CA0" w:rsidP="00C70C6B">
                      <w:pPr>
                        <w:pStyle w:val="Body"/>
                        <w:numPr>
                          <w:ilvl w:val="0"/>
                          <w:numId w:val="58"/>
                        </w:numPr>
                      </w:pPr>
                      <w:r w:rsidRPr="0068259D">
                        <w:t>What other examples can be drawn upon to guide best practice in this area?</w:t>
                      </w:r>
                    </w:p>
                    <w:p w14:paraId="7DC19DFA" w14:textId="47B3BAFD" w:rsidR="008E72C1" w:rsidRPr="0068259D" w:rsidRDefault="00AA6AA6" w:rsidP="00C70C6B">
                      <w:pPr>
                        <w:pStyle w:val="Body"/>
                        <w:numPr>
                          <w:ilvl w:val="0"/>
                          <w:numId w:val="58"/>
                        </w:numPr>
                      </w:pPr>
                      <w:r>
                        <w:t>W</w:t>
                      </w:r>
                      <w:r w:rsidR="00255C0B">
                        <w:t>hich changes would have the biggest impact on the environmental sustainability of the sector</w:t>
                      </w:r>
                      <w:r w:rsidR="003E1663">
                        <w:t>, and create efficiencies enabling reinvestment</w:t>
                      </w:r>
                      <w:r w:rsidR="00255C0B">
                        <w:t xml:space="preserve">? </w:t>
                      </w:r>
                    </w:p>
                    <w:p w14:paraId="57EDA173" w14:textId="77777777" w:rsidR="008C1CA0" w:rsidRDefault="008C1CA0" w:rsidP="00590011">
                      <w:pPr>
                        <w:pStyle w:val="Body"/>
                      </w:pPr>
                    </w:p>
                  </w:txbxContent>
                </v:textbox>
                <w10:anchorlock/>
              </v:shape>
            </w:pict>
          </mc:Fallback>
        </mc:AlternateContent>
      </w:r>
    </w:p>
    <w:p w14:paraId="7A00A7B4" w14:textId="5D1763F4" w:rsidR="008C1CA0" w:rsidRPr="00BB1E47" w:rsidRDefault="008C1CA0" w:rsidP="00E9640E">
      <w:pPr>
        <w:pStyle w:val="Heading2"/>
      </w:pPr>
      <w:bookmarkStart w:id="89" w:name="_Ref135599427"/>
      <w:bookmarkStart w:id="90" w:name="_Toc136433496"/>
      <w:bookmarkEnd w:id="83"/>
      <w:r w:rsidRPr="00BB1E47">
        <w:t>There is excess demand, not all of it appropriate</w:t>
      </w:r>
      <w:bookmarkEnd w:id="89"/>
      <w:bookmarkEnd w:id="90"/>
    </w:p>
    <w:p w14:paraId="062E8E1E" w14:textId="4B081269" w:rsidR="008C1CA0" w:rsidRPr="00BB1E47" w:rsidRDefault="00FE281B" w:rsidP="008C1CA0">
      <w:pPr>
        <w:pStyle w:val="Bullet1"/>
        <w:numPr>
          <w:ilvl w:val="0"/>
          <w:numId w:val="10"/>
        </w:numPr>
      </w:pPr>
      <w:r w:rsidRPr="00BB1E47">
        <w:t>Delays in</w:t>
      </w:r>
      <w:r w:rsidR="008C1CA0" w:rsidRPr="00BB1E47">
        <w:t xml:space="preserve"> NEPT </w:t>
      </w:r>
      <w:r w:rsidRPr="00BB1E47">
        <w:t>services are</w:t>
      </w:r>
      <w:r w:rsidR="008C1CA0" w:rsidRPr="00BB1E47">
        <w:t xml:space="preserve"> partly attributable to excess demand.</w:t>
      </w:r>
    </w:p>
    <w:p w14:paraId="1C580282" w14:textId="77777777" w:rsidR="00DE2C97" w:rsidRPr="00BB1E47" w:rsidRDefault="008C1CA0" w:rsidP="008C1CA0">
      <w:pPr>
        <w:pStyle w:val="Bullet1"/>
        <w:numPr>
          <w:ilvl w:val="0"/>
          <w:numId w:val="10"/>
        </w:numPr>
      </w:pPr>
      <w:r w:rsidRPr="00BB1E47">
        <w:t>State-wide planned NEPT services provided</w:t>
      </w:r>
      <w:r w:rsidR="00C97A7A" w:rsidRPr="00BB1E47">
        <w:t xml:space="preserve"> </w:t>
      </w:r>
      <w:r w:rsidRPr="00BB1E47">
        <w:t xml:space="preserve">or </w:t>
      </w:r>
      <w:r w:rsidR="00314B7F" w:rsidRPr="00BB1E47">
        <w:t>purchased</w:t>
      </w:r>
      <w:r w:rsidRPr="00BB1E47">
        <w:t xml:space="preserve"> by AV have grown an average of 6.9% per annum between 2015 and 2019. </w:t>
      </w:r>
    </w:p>
    <w:p w14:paraId="76768518" w14:textId="77777777" w:rsidR="00DE2C97" w:rsidRPr="00BB1E47" w:rsidRDefault="008C1CA0" w:rsidP="00DE2C97">
      <w:pPr>
        <w:pStyle w:val="Bullet1"/>
        <w:numPr>
          <w:ilvl w:val="1"/>
          <w:numId w:val="10"/>
        </w:numPr>
      </w:pPr>
      <w:r w:rsidRPr="00BB1E47">
        <w:t>Low acuity NEPT services grew by an average of 7.7% per annum over the same period, largely underpinned by a 27.1% increase per annum in rural areas</w:t>
      </w:r>
      <w:r w:rsidR="000B7E3D" w:rsidRPr="00BB1E47">
        <w:t>.</w:t>
      </w:r>
      <w:r w:rsidRPr="00BB1E47">
        <w:rPr>
          <w:rStyle w:val="FootnoteReference"/>
          <w:rFonts w:cs="Arial"/>
          <w:sz w:val="20"/>
        </w:rPr>
        <w:footnoteReference w:id="67"/>
      </w:r>
      <w:r w:rsidRPr="00BB1E47">
        <w:t xml:space="preserve"> </w:t>
      </w:r>
    </w:p>
    <w:p w14:paraId="2ADEC8E4" w14:textId="37E109CE" w:rsidR="008C1CA0" w:rsidRPr="00BB1E47" w:rsidRDefault="008C1CA0" w:rsidP="00DE2C97">
      <w:pPr>
        <w:pStyle w:val="Bullet1"/>
        <w:numPr>
          <w:ilvl w:val="1"/>
          <w:numId w:val="10"/>
        </w:numPr>
      </w:pPr>
      <w:r w:rsidRPr="00BB1E47">
        <w:t xml:space="preserve">As a comparison, </w:t>
      </w:r>
      <w:r w:rsidR="00033C1D">
        <w:t xml:space="preserve">total </w:t>
      </w:r>
      <w:r w:rsidRPr="00BB1E47">
        <w:t>demand for Triple Zero grew at 4-5% per annum over the same period.</w:t>
      </w:r>
      <w:r w:rsidR="003E7689">
        <w:rPr>
          <w:rStyle w:val="FootnoteReference"/>
        </w:rPr>
        <w:footnoteReference w:id="68"/>
      </w:r>
      <w:r w:rsidRPr="00BB1E47">
        <w:t xml:space="preserve"> </w:t>
      </w:r>
    </w:p>
    <w:p w14:paraId="3FCD9FA1" w14:textId="76759727" w:rsidR="008C1CA0" w:rsidRPr="00BB1E47" w:rsidDel="0065536F" w:rsidRDefault="00850060" w:rsidP="008C1CA0">
      <w:pPr>
        <w:pStyle w:val="Bullet1"/>
        <w:numPr>
          <w:ilvl w:val="0"/>
          <w:numId w:val="10"/>
        </w:numPr>
      </w:pPr>
      <w:r w:rsidRPr="00BB1E47">
        <w:t>S</w:t>
      </w:r>
      <w:r w:rsidR="008C1CA0" w:rsidRPr="00BB1E47">
        <w:t xml:space="preserve">ome of this demand </w:t>
      </w:r>
      <w:r w:rsidRPr="00BB1E47">
        <w:t>may be</w:t>
      </w:r>
      <w:r w:rsidR="008C1CA0" w:rsidRPr="00BB1E47">
        <w:t xml:space="preserve"> inappropriate and could be met more appropriately through other means. </w:t>
      </w:r>
    </w:p>
    <w:p w14:paraId="4E71C44C" w14:textId="794E71B6" w:rsidR="008C1CA0" w:rsidRPr="00BB1E47" w:rsidRDefault="008C1CA0" w:rsidP="007D11AE">
      <w:pPr>
        <w:pStyle w:val="Bullet2"/>
      </w:pPr>
      <w:r w:rsidRPr="00BB1E47">
        <w:rPr>
          <w:rStyle w:val="normaltextrun"/>
        </w:rPr>
        <w:t>Inappropriate</w:t>
      </w:r>
      <w:r w:rsidRPr="00BB1E47">
        <w:t xml:space="preserve"> demand for NEPT services occurs when patients </w:t>
      </w:r>
      <w:r w:rsidR="00E8507D" w:rsidRPr="00BB1E47">
        <w:t>are incorrectly assigned to</w:t>
      </w:r>
      <w:r w:rsidRPr="00BB1E47">
        <w:t xml:space="preserve"> NEPT</w:t>
      </w:r>
      <w:r w:rsidR="00A12E96" w:rsidRPr="00BB1E47">
        <w:t>,</w:t>
      </w:r>
      <w:r w:rsidRPr="00BB1E47">
        <w:t xml:space="preserve"> despite not meeting the criteria and thresholds for it. </w:t>
      </w:r>
    </w:p>
    <w:p w14:paraId="7D846528" w14:textId="151CFD49" w:rsidR="008C1CA0" w:rsidRPr="00BB1E47" w:rsidRDefault="008C1CA0" w:rsidP="007D11AE">
      <w:pPr>
        <w:pStyle w:val="Bullet2"/>
      </w:pPr>
      <w:r w:rsidRPr="00BB1E47">
        <w:t xml:space="preserve">Inappropriate demand </w:t>
      </w:r>
      <w:r w:rsidR="00DE22A9" w:rsidRPr="00BB1E47">
        <w:t>increases</w:t>
      </w:r>
      <w:r w:rsidRPr="00BB1E47">
        <w:t xml:space="preserve"> pressure on the system, meaning </w:t>
      </w:r>
      <w:r w:rsidR="00DE22A9" w:rsidRPr="00BB1E47">
        <w:t xml:space="preserve">more </w:t>
      </w:r>
      <w:r w:rsidRPr="00BB1E47">
        <w:t xml:space="preserve">patients who appropriately require NEPT </w:t>
      </w:r>
      <w:r w:rsidR="00785A20" w:rsidRPr="00BB1E47">
        <w:t>service</w:t>
      </w:r>
      <w:r w:rsidR="00190997" w:rsidRPr="00BB1E47">
        <w:t>s</w:t>
      </w:r>
      <w:r w:rsidRPr="00BB1E47">
        <w:t xml:space="preserve"> wait longer or miss out</w:t>
      </w:r>
      <w:r w:rsidR="00B6695A" w:rsidRPr="00BB1E47">
        <w:t xml:space="preserve">. Crews must choose between </w:t>
      </w:r>
      <w:r w:rsidRPr="00BB1E47">
        <w:t>refusing to transport the patient (</w:t>
      </w:r>
      <w:r w:rsidRPr="00BB1E47">
        <w:rPr>
          <w:rStyle w:val="normaltextrun"/>
        </w:rPr>
        <w:t>significantly</w:t>
      </w:r>
      <w:r w:rsidRPr="00BB1E47">
        <w:t xml:space="preserve"> delaying </w:t>
      </w:r>
      <w:r w:rsidR="006A66F5" w:rsidRPr="00BB1E47">
        <w:t>the patien</w:t>
      </w:r>
      <w:r w:rsidR="005D7F74" w:rsidRPr="00BB1E47">
        <w:t>t’s</w:t>
      </w:r>
      <w:r w:rsidR="006A66F5" w:rsidRPr="00BB1E47">
        <w:t xml:space="preserve"> </w:t>
      </w:r>
      <w:r w:rsidRPr="00BB1E47">
        <w:t xml:space="preserve">onwards journey) or breaching NEPT regulations by </w:t>
      </w:r>
      <w:r w:rsidRPr="00BB1E47">
        <w:lastRenderedPageBreak/>
        <w:t xml:space="preserve">providing a NEPT transport inappropriately (which delays access to NEPT for other patients, with flow on consequences for the system). </w:t>
      </w:r>
    </w:p>
    <w:p w14:paraId="372A98EC" w14:textId="12A0C4FB" w:rsidR="008E701C" w:rsidRPr="00BB1E47" w:rsidRDefault="00963528" w:rsidP="00963528">
      <w:pPr>
        <w:pStyle w:val="Bullet1"/>
        <w:numPr>
          <w:ilvl w:val="0"/>
          <w:numId w:val="10"/>
        </w:numPr>
      </w:pPr>
      <w:r w:rsidRPr="00BB1E47">
        <w:t xml:space="preserve">NEPT services may also be dispatched to patients whose needs are subsequently found to be too acute for management by NEPT. </w:t>
      </w:r>
    </w:p>
    <w:p w14:paraId="375E9D52" w14:textId="4D91E030" w:rsidR="008E701C" w:rsidRPr="00BB1E47" w:rsidRDefault="00963528" w:rsidP="000B7E3D">
      <w:pPr>
        <w:pStyle w:val="Bullet1"/>
        <w:numPr>
          <w:ilvl w:val="1"/>
          <w:numId w:val="10"/>
        </w:numPr>
      </w:pPr>
      <w:r w:rsidRPr="00BB1E47">
        <w:t>In the most recent 12-month reporting period</w:t>
      </w:r>
      <w:r w:rsidR="004E5D82" w:rsidRPr="00BB1E47">
        <w:t>,</w:t>
      </w:r>
      <w:r w:rsidRPr="00BB1E47">
        <w:t xml:space="preserve"> there were 1,523 incidents in which dispatched NEPT crews subsequently assessed the patient as requiring transport by emergency ambulance</w:t>
      </w:r>
      <w:r w:rsidR="00652E5F" w:rsidRPr="00BB1E47">
        <w:t>.</w:t>
      </w:r>
      <w:r w:rsidRPr="00BB1E47">
        <w:rPr>
          <w:rStyle w:val="FootnoteReference"/>
        </w:rPr>
        <w:footnoteReference w:id="69"/>
      </w:r>
      <w:r w:rsidRPr="00BB1E47">
        <w:t xml:space="preserve"> </w:t>
      </w:r>
    </w:p>
    <w:p w14:paraId="708D6248" w14:textId="6D022ED5" w:rsidR="00963528" w:rsidRPr="00BB1E47" w:rsidRDefault="00963528" w:rsidP="000B7E3D">
      <w:pPr>
        <w:pStyle w:val="Bullet1"/>
        <w:numPr>
          <w:ilvl w:val="1"/>
          <w:numId w:val="10"/>
        </w:numPr>
      </w:pPr>
      <w:r w:rsidRPr="00BB1E47">
        <w:t>Such incidents occur when pre-assessments do not correctly identify patient acuity,</w:t>
      </w:r>
      <w:r w:rsidRPr="00BB1E47">
        <w:rPr>
          <w:rStyle w:val="FootnoteReference"/>
        </w:rPr>
        <w:footnoteReference w:id="70"/>
      </w:r>
      <w:r w:rsidRPr="00BB1E47">
        <w:t xml:space="preserve"> or the patient further deteriorates after a NEPT service is dispatched. In such instances, NEPT crews will provide interim care until an emergency ambulance arrives. </w:t>
      </w:r>
    </w:p>
    <w:p w14:paraId="0B50A956" w14:textId="20BB5CAE" w:rsidR="008C1CA0" w:rsidRPr="00BB1E47" w:rsidRDefault="008C1CA0" w:rsidP="008C1CA0">
      <w:pPr>
        <w:pStyle w:val="Bullet1"/>
        <w:numPr>
          <w:ilvl w:val="0"/>
          <w:numId w:val="10"/>
        </w:numPr>
      </w:pPr>
      <w:r w:rsidRPr="00BB1E47">
        <w:t>In the case of low acuity patients, NEPT providers may be inappropriately assigned to transport patients who could safely be transported through other means.</w:t>
      </w:r>
    </w:p>
    <w:p w14:paraId="307D0DDA" w14:textId="77777777" w:rsidR="008C1CA0" w:rsidRPr="00BB1E47" w:rsidRDefault="008C1CA0" w:rsidP="007D11AE">
      <w:pPr>
        <w:pStyle w:val="Bullet2"/>
      </w:pPr>
      <w:r w:rsidRPr="00BB1E47">
        <w:t xml:space="preserve">Alternative means include transport provided by family, accessible </w:t>
      </w:r>
      <w:proofErr w:type="gramStart"/>
      <w:r w:rsidRPr="00BB1E47">
        <w:t>taxis</w:t>
      </w:r>
      <w:proofErr w:type="gramEnd"/>
      <w:r w:rsidRPr="00BB1E47">
        <w:t xml:space="preserve"> and ride-sharing services,</w:t>
      </w:r>
      <w:r w:rsidRPr="00BB1E47">
        <w:rPr>
          <w:rStyle w:val="FootnoteReference"/>
        </w:rPr>
        <w:footnoteReference w:id="71"/>
      </w:r>
      <w:r w:rsidRPr="00BB1E47">
        <w:t xml:space="preserve"> or non-clinical community transport services. </w:t>
      </w:r>
    </w:p>
    <w:p w14:paraId="48893438" w14:textId="77777777" w:rsidR="008C1CA0" w:rsidRPr="00BB1E47" w:rsidRDefault="008C1CA0" w:rsidP="007D11AE">
      <w:pPr>
        <w:pStyle w:val="Bullet2"/>
      </w:pPr>
      <w:r w:rsidRPr="00BB1E47">
        <w:rPr>
          <w:rStyle w:val="normaltextrun"/>
        </w:rPr>
        <w:t>Community</w:t>
      </w:r>
      <w:r w:rsidRPr="00BB1E47">
        <w:t xml:space="preserve"> transport services are funded by local councils and the Department of Health, which contract the Australian Red Cross to deliver 60,000 transports per year.</w:t>
      </w:r>
      <w:r w:rsidRPr="00BB1E47">
        <w:rPr>
          <w:rStyle w:val="FootnoteReference"/>
        </w:rPr>
        <w:footnoteReference w:id="72"/>
      </w:r>
    </w:p>
    <w:p w14:paraId="52A521E2" w14:textId="573E998F" w:rsidR="008C1CA0" w:rsidRPr="00BB1E47" w:rsidRDefault="008C1CA0" w:rsidP="007D11AE">
      <w:pPr>
        <w:pStyle w:val="Bullet2"/>
      </w:pPr>
      <w:r w:rsidRPr="00BB1E47">
        <w:t>In recent years, the supply of community transport services has shrunk, in part due to reductions in funding by local councils, and in part due to the impact of the pandemic on volunteer-based</w:t>
      </w:r>
      <w:r w:rsidR="005761E4" w:rsidRPr="00BB1E47">
        <w:t xml:space="preserve"> workforces</w:t>
      </w:r>
      <w:r w:rsidRPr="00BB1E47">
        <w:t xml:space="preserve">. </w:t>
      </w:r>
    </w:p>
    <w:p w14:paraId="79F6D944" w14:textId="2107D5F1" w:rsidR="002C3389" w:rsidRPr="00BB1E47" w:rsidRDefault="002C3389" w:rsidP="002C3389">
      <w:pPr>
        <w:pStyle w:val="Bullet1"/>
      </w:pPr>
      <w:r w:rsidRPr="00BB1E47">
        <w:t xml:space="preserve">The right financial incentives may not be in place to ensure that patients are always connected with the right transport for them. </w:t>
      </w:r>
    </w:p>
    <w:p w14:paraId="2E86CF73" w14:textId="3E008F33" w:rsidR="00DE22A9" w:rsidRPr="00BB1E47" w:rsidRDefault="00DE22A9" w:rsidP="007D11AE">
      <w:pPr>
        <w:pStyle w:val="Bullet2"/>
      </w:pPr>
      <w:r w:rsidRPr="00BB1E47">
        <w:t xml:space="preserve">AV funds </w:t>
      </w:r>
      <w:r w:rsidRPr="00BB1E47">
        <w:rPr>
          <w:rStyle w:val="normaltextrun"/>
        </w:rPr>
        <w:t>NEPT</w:t>
      </w:r>
      <w:r w:rsidRPr="00BB1E47">
        <w:t xml:space="preserve"> providers on a per-shift basis which has advantages for unplanned </w:t>
      </w:r>
      <w:proofErr w:type="gramStart"/>
      <w:r w:rsidRPr="00BB1E47">
        <w:t xml:space="preserve">NEPT, </w:t>
      </w:r>
      <w:r w:rsidR="003828D0" w:rsidRPr="00BB1E47">
        <w:t>but</w:t>
      </w:r>
      <w:proofErr w:type="gramEnd"/>
      <w:r w:rsidR="003828D0" w:rsidRPr="00BB1E47">
        <w:t xml:space="preserve"> </w:t>
      </w:r>
      <w:r w:rsidRPr="00BB1E47">
        <w:t xml:space="preserve">does not reward providers for maximising transfer volumes. </w:t>
      </w:r>
    </w:p>
    <w:p w14:paraId="2411B744" w14:textId="6D82DB79" w:rsidR="00DE22A9" w:rsidRPr="00BB1E47" w:rsidRDefault="00DE22A9" w:rsidP="008C1CA0">
      <w:pPr>
        <w:pStyle w:val="Bullet2"/>
      </w:pPr>
      <w:r w:rsidRPr="00BB1E47">
        <w:t>HSV contracts used by health services fund NEPT providers</w:t>
      </w:r>
      <w:r w:rsidR="00FB4806">
        <w:t xml:space="preserve"> both on a per-shift basis and</w:t>
      </w:r>
      <w:r w:rsidRPr="00BB1E47">
        <w:t xml:space="preserve"> on a per transport basis, </w:t>
      </w:r>
      <w:r w:rsidR="00384483">
        <w:t>with the latter meaning</w:t>
      </w:r>
      <w:r w:rsidRPr="00BB1E47">
        <w:t xml:space="preserve"> that transports are still paid for even if patient</w:t>
      </w:r>
      <w:r w:rsidR="00A07BB7" w:rsidRPr="00BB1E47">
        <w:t>s do</w:t>
      </w:r>
      <w:r w:rsidRPr="00BB1E47">
        <w:t xml:space="preserve"> not meet the threshold for a NEPT response. </w:t>
      </w:r>
    </w:p>
    <w:p w14:paraId="56A77AB9" w14:textId="3AC68129" w:rsidR="00DE404D" w:rsidRPr="00BB1E47" w:rsidRDefault="00DE404D" w:rsidP="00DE404D">
      <w:pPr>
        <w:pStyle w:val="Bullet1"/>
        <w:numPr>
          <w:ilvl w:val="0"/>
          <w:numId w:val="0"/>
        </w:numPr>
      </w:pPr>
    </w:p>
    <w:p w14:paraId="56B06F36" w14:textId="77777777" w:rsidR="008C1CA0" w:rsidRPr="00BB1E47" w:rsidRDefault="008C1CA0" w:rsidP="008C1CA0">
      <w:pPr>
        <w:pStyle w:val="Bullet1"/>
        <w:numPr>
          <w:ilvl w:val="0"/>
          <w:numId w:val="0"/>
        </w:numPr>
      </w:pPr>
      <w:r w:rsidRPr="00BB1E47">
        <w:rPr>
          <w:noProof/>
        </w:rPr>
        <mc:AlternateContent>
          <mc:Choice Requires="wps">
            <w:drawing>
              <wp:inline distT="0" distB="0" distL="0" distR="0" wp14:anchorId="79D0AC89" wp14:editId="420C61CE">
                <wp:extent cx="6334125" cy="1252847"/>
                <wp:effectExtent l="0" t="0" r="9525" b="5080"/>
                <wp:docPr id="29" name="Text Box 29"/>
                <wp:cNvGraphicFramePr/>
                <a:graphic xmlns:a="http://schemas.openxmlformats.org/drawingml/2006/main">
                  <a:graphicData uri="http://schemas.microsoft.com/office/word/2010/wordprocessingShape">
                    <wps:wsp>
                      <wps:cNvSpPr txBox="1"/>
                      <wps:spPr>
                        <a:xfrm>
                          <a:off x="0" y="0"/>
                          <a:ext cx="6334125" cy="1252847"/>
                        </a:xfrm>
                        <a:prstGeom prst="rect">
                          <a:avLst/>
                        </a:prstGeom>
                        <a:solidFill>
                          <a:schemeClr val="accent1">
                            <a:lumMod val="20000"/>
                            <a:lumOff val="80000"/>
                          </a:schemeClr>
                        </a:solidFill>
                        <a:ln w="6350">
                          <a:noFill/>
                        </a:ln>
                      </wps:spPr>
                      <wps:txbx>
                        <w:txbxContent>
                          <w:p w14:paraId="52579876"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FD52DB">
                              <w:rPr>
                                <w:b/>
                                <w:i/>
                                <w:iCs/>
                              </w:rPr>
                              <w:t>Growth in demand</w:t>
                            </w:r>
                          </w:p>
                          <w:p w14:paraId="0580D5FD" w14:textId="77777777" w:rsidR="008C1CA0" w:rsidRPr="0075208A" w:rsidRDefault="008C1CA0" w:rsidP="00C70C6B">
                            <w:pPr>
                              <w:pStyle w:val="Body"/>
                              <w:numPr>
                                <w:ilvl w:val="0"/>
                                <w:numId w:val="59"/>
                              </w:numPr>
                            </w:pPr>
                            <w:r>
                              <w:t xml:space="preserve">What </w:t>
                            </w:r>
                            <w:r w:rsidRPr="0068259D">
                              <w:t xml:space="preserve">measures could </w:t>
                            </w:r>
                            <w:r>
                              <w:t>be taken to</w:t>
                            </w:r>
                            <w:r w:rsidRPr="0068259D">
                              <w:t xml:space="preserve"> ensure NEPT services are appropriately authorised and booked? </w:t>
                            </w:r>
                          </w:p>
                          <w:p w14:paraId="3A9E0CB3" w14:textId="3C9E15CD" w:rsidR="008C1CA0" w:rsidRPr="0068259D" w:rsidRDefault="008C1CA0" w:rsidP="00C70C6B">
                            <w:pPr>
                              <w:pStyle w:val="Body"/>
                              <w:numPr>
                                <w:ilvl w:val="0"/>
                                <w:numId w:val="59"/>
                              </w:numPr>
                            </w:pPr>
                            <w:r w:rsidRPr="0068259D">
                              <w:t>How could the assessment of patient</w:t>
                            </w:r>
                            <w:r w:rsidR="00CF4B18">
                              <w:t xml:space="preserve"> </w:t>
                            </w:r>
                            <w:r w:rsidR="00567AA1">
                              <w:t>needs (</w:t>
                            </w:r>
                            <w:r w:rsidRPr="0068259D">
                              <w:t>acuity</w:t>
                            </w:r>
                            <w:r w:rsidR="00567AA1">
                              <w:t>)</w:t>
                            </w:r>
                            <w:r w:rsidR="00CF4B18">
                              <w:t xml:space="preserve"> be improved</w:t>
                            </w:r>
                            <w:r w:rsidRPr="0068259D">
                              <w:t xml:space="preserve">? </w:t>
                            </w:r>
                          </w:p>
                          <w:p w14:paraId="5C59F4EF" w14:textId="788B993C" w:rsidR="008C1CA0" w:rsidRPr="0068259D" w:rsidRDefault="008C1CA0" w:rsidP="00C70C6B">
                            <w:pPr>
                              <w:pStyle w:val="Body"/>
                              <w:numPr>
                                <w:ilvl w:val="0"/>
                                <w:numId w:val="59"/>
                              </w:numPr>
                            </w:pPr>
                            <w:r>
                              <w:t xml:space="preserve">To what extent do sectors beyond NEPT need to change to address excess demand and pressures on the NEPT sector? </w:t>
                            </w:r>
                          </w:p>
                          <w:p w14:paraId="021660BA" w14:textId="77777777" w:rsidR="008C1CA0" w:rsidRPr="0068259D" w:rsidRDefault="008C1CA0" w:rsidP="008C1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D0AC89" id="Text Box 29" o:spid="_x0000_s1028" type="#_x0000_t202" style="width:498.75pt;height:9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" fillcolor="#dbe5f1 [660]" stroked="f" strokeweight=".5pt">
                <v:textbox>
                  <w:txbxContent>
                    <w:p w14:paraId="52579876"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FD52DB">
                        <w:rPr>
                          <w:b/>
                          <w:i/>
                          <w:iCs/>
                        </w:rPr>
                        <w:t>Growth in demand</w:t>
                      </w:r>
                    </w:p>
                    <w:p w14:paraId="0580D5FD" w14:textId="77777777" w:rsidR="008C1CA0" w:rsidRPr="0075208A" w:rsidRDefault="008C1CA0" w:rsidP="00C70C6B">
                      <w:pPr>
                        <w:pStyle w:val="Body"/>
                        <w:numPr>
                          <w:ilvl w:val="0"/>
                          <w:numId w:val="59"/>
                        </w:numPr>
                      </w:pPr>
                      <w:r>
                        <w:t xml:space="preserve">What </w:t>
                      </w:r>
                      <w:r w:rsidRPr="0068259D">
                        <w:t xml:space="preserve">measures could </w:t>
                      </w:r>
                      <w:r>
                        <w:t>be taken to</w:t>
                      </w:r>
                      <w:r w:rsidRPr="0068259D">
                        <w:t xml:space="preserve"> ensure NEPT services are appropriately authorised and booked? </w:t>
                      </w:r>
                    </w:p>
                    <w:p w14:paraId="3A9E0CB3" w14:textId="3C9E15CD" w:rsidR="008C1CA0" w:rsidRPr="0068259D" w:rsidRDefault="008C1CA0" w:rsidP="00C70C6B">
                      <w:pPr>
                        <w:pStyle w:val="Body"/>
                        <w:numPr>
                          <w:ilvl w:val="0"/>
                          <w:numId w:val="59"/>
                        </w:numPr>
                      </w:pPr>
                      <w:r w:rsidRPr="0068259D">
                        <w:t>How could the assessment of patient</w:t>
                      </w:r>
                      <w:r w:rsidR="00CF4B18">
                        <w:t xml:space="preserve"> </w:t>
                      </w:r>
                      <w:r w:rsidR="00567AA1">
                        <w:t>needs (</w:t>
                      </w:r>
                      <w:r w:rsidRPr="0068259D">
                        <w:t>acuity</w:t>
                      </w:r>
                      <w:r w:rsidR="00567AA1">
                        <w:t>)</w:t>
                      </w:r>
                      <w:r w:rsidR="00CF4B18">
                        <w:t xml:space="preserve"> be improved</w:t>
                      </w:r>
                      <w:r w:rsidRPr="0068259D">
                        <w:t xml:space="preserve">? </w:t>
                      </w:r>
                    </w:p>
                    <w:p w14:paraId="5C59F4EF" w14:textId="788B993C" w:rsidR="008C1CA0" w:rsidRPr="0068259D" w:rsidRDefault="008C1CA0" w:rsidP="00C70C6B">
                      <w:pPr>
                        <w:pStyle w:val="Body"/>
                        <w:numPr>
                          <w:ilvl w:val="0"/>
                          <w:numId w:val="59"/>
                        </w:numPr>
                      </w:pPr>
                      <w:r>
                        <w:t xml:space="preserve">To what extent do sectors beyond NEPT need to change to address excess demand and pressures on the NEPT sector? </w:t>
                      </w:r>
                    </w:p>
                    <w:p w14:paraId="021660BA" w14:textId="77777777" w:rsidR="008C1CA0" w:rsidRPr="0068259D" w:rsidRDefault="008C1CA0" w:rsidP="008C1CA0"/>
                  </w:txbxContent>
                </v:textbox>
                <w10:anchorlock/>
              </v:shape>
            </w:pict>
          </mc:Fallback>
        </mc:AlternateContent>
      </w:r>
    </w:p>
    <w:p w14:paraId="34C2C298" w14:textId="77777777" w:rsidR="008C1CA0" w:rsidRPr="00BB1E47" w:rsidRDefault="008C1CA0" w:rsidP="00E9640E">
      <w:pPr>
        <w:pStyle w:val="Heading2"/>
      </w:pPr>
      <w:bookmarkStart w:id="91" w:name="_Toc132619026"/>
      <w:bookmarkStart w:id="92" w:name="_Toc134633550"/>
      <w:bookmarkStart w:id="93" w:name="_Ref135569367"/>
      <w:bookmarkStart w:id="94" w:name="_Ref135599429"/>
      <w:bookmarkStart w:id="95" w:name="_Ref135671002"/>
      <w:bookmarkStart w:id="96" w:name="_Toc136433497"/>
      <w:r w:rsidRPr="00BB1E47">
        <w:t>There is insufficient supply to meet surging demand</w:t>
      </w:r>
      <w:bookmarkEnd w:id="91"/>
      <w:bookmarkEnd w:id="92"/>
      <w:bookmarkEnd w:id="93"/>
      <w:bookmarkEnd w:id="94"/>
      <w:bookmarkEnd w:id="95"/>
      <w:bookmarkEnd w:id="96"/>
    </w:p>
    <w:p w14:paraId="2EB012E4" w14:textId="7ED0CBC9" w:rsidR="008C1CA0" w:rsidRPr="00BB1E47" w:rsidRDefault="008C1CA0" w:rsidP="00B37D1A">
      <w:pPr>
        <w:pStyle w:val="Bullet1"/>
        <w:numPr>
          <w:ilvl w:val="0"/>
          <w:numId w:val="17"/>
        </w:numPr>
      </w:pPr>
      <w:r w:rsidRPr="00BB1E47">
        <w:t>This rapid increase in NEPT demand has not been met by a corresponding increase in supply</w:t>
      </w:r>
      <w:r w:rsidR="00EE008A" w:rsidRPr="00BB1E47">
        <w:t>. This</w:t>
      </w:r>
      <w:r w:rsidRPr="00BB1E47">
        <w:t xml:space="preserve"> has led to collection delays and increasing rates of spillbacks as described in Section </w:t>
      </w:r>
      <w:r w:rsidRPr="00BB1E47">
        <w:fldChar w:fldCharType="begin"/>
      </w:r>
      <w:r w:rsidRPr="00BB1E47">
        <w:instrText xml:space="preserve"> REF _Ref134352028 \r \h </w:instrText>
      </w:r>
      <w:r w:rsidR="00BB1E47">
        <w:instrText xml:space="preserve"> \* MERGEFORMAT </w:instrText>
      </w:r>
      <w:r w:rsidRPr="00BB1E47">
        <w:fldChar w:fldCharType="separate"/>
      </w:r>
      <w:r w:rsidR="003D510C">
        <w:t>3.2</w:t>
      </w:r>
      <w:r w:rsidRPr="00BB1E47">
        <w:fldChar w:fldCharType="end"/>
      </w:r>
      <w:r w:rsidRPr="00BB1E47">
        <w:t xml:space="preserve">. </w:t>
      </w:r>
    </w:p>
    <w:p w14:paraId="33D18E38" w14:textId="77777777" w:rsidR="008C1CA0" w:rsidRPr="00BB1E47" w:rsidRDefault="008C1CA0" w:rsidP="00B37D1A">
      <w:pPr>
        <w:pStyle w:val="Bullet1"/>
        <w:numPr>
          <w:ilvl w:val="0"/>
          <w:numId w:val="17"/>
        </w:numPr>
      </w:pPr>
      <w:r w:rsidRPr="00BB1E47">
        <w:t>These problems are due to several factors.</w:t>
      </w:r>
    </w:p>
    <w:p w14:paraId="0949C893" w14:textId="118E13A9" w:rsidR="008C1CA0" w:rsidRPr="00BB1E47" w:rsidRDefault="008C1CA0" w:rsidP="007D11AE">
      <w:pPr>
        <w:pStyle w:val="Bullet2"/>
      </w:pPr>
      <w:r w:rsidRPr="00BB1E47">
        <w:t>Supply constraints: demand has surged during the pandemic, but there are long lead-in times to secure specialist vehicles and equipment which are required to meet the standards set out in the regulations. In addition, workforce shortages pose a significant challenge to capacity.</w:t>
      </w:r>
    </w:p>
    <w:p w14:paraId="6EA054CA" w14:textId="71E57633" w:rsidR="008C1CA0" w:rsidRPr="00BB1E47" w:rsidRDefault="008C1CA0" w:rsidP="007D11AE">
      <w:pPr>
        <w:pStyle w:val="Bullet2"/>
      </w:pPr>
      <w:r w:rsidRPr="00BB1E47">
        <w:lastRenderedPageBreak/>
        <w:t xml:space="preserve">Investment uncertainty: while the aim of this review is to strengthen the sector and provide long term </w:t>
      </w:r>
      <w:r w:rsidRPr="00BB1E47">
        <w:rPr>
          <w:rStyle w:val="normaltextrun"/>
        </w:rPr>
        <w:t>certainty</w:t>
      </w:r>
      <w:r w:rsidRPr="00BB1E47">
        <w:t xml:space="preserve"> on reform directions, it is recognised that the announcement of the review has generated uncertainty for the sector, with </w:t>
      </w:r>
      <w:r w:rsidR="005B0222" w:rsidRPr="00BB1E47">
        <w:t>implications for</w:t>
      </w:r>
      <w:r w:rsidRPr="00BB1E47">
        <w:t xml:space="preserve"> planning and managing future investment. </w:t>
      </w:r>
    </w:p>
    <w:p w14:paraId="17E1BBBA" w14:textId="77777777" w:rsidR="008C1CA0" w:rsidRPr="00BB1E47" w:rsidRDefault="008C1CA0" w:rsidP="00B37D1A">
      <w:pPr>
        <w:pStyle w:val="Bullet1"/>
        <w:numPr>
          <w:ilvl w:val="0"/>
          <w:numId w:val="17"/>
        </w:numPr>
      </w:pPr>
      <w:r w:rsidRPr="00BB1E47">
        <w:t xml:space="preserve">Supply gaps have particularly impacted rural areas, where providers are struggling with diseconomies of scale. </w:t>
      </w:r>
    </w:p>
    <w:p w14:paraId="49EB893D" w14:textId="77777777" w:rsidR="008C1CA0" w:rsidRPr="00BB1E47" w:rsidRDefault="008C1CA0" w:rsidP="008C1CA0">
      <w:pPr>
        <w:pStyle w:val="Body"/>
      </w:pPr>
    </w:p>
    <w:p w14:paraId="506D32A0" w14:textId="7A3E702D" w:rsidR="0015343F" w:rsidRPr="00BB1E47" w:rsidRDefault="008C1CA0" w:rsidP="0015343F">
      <w:pPr>
        <w:pStyle w:val="Body"/>
        <w:rPr>
          <w:rFonts w:cs="Arial"/>
          <w:sz w:val="20"/>
        </w:rPr>
      </w:pPr>
      <w:r w:rsidRPr="00BB1E47">
        <w:rPr>
          <w:noProof/>
        </w:rPr>
        <mc:AlternateContent>
          <mc:Choice Requires="wps">
            <w:drawing>
              <wp:inline distT="0" distB="0" distL="0" distR="0" wp14:anchorId="75351C1E" wp14:editId="7010E5CA">
                <wp:extent cx="6334125" cy="621102"/>
                <wp:effectExtent l="0" t="0" r="9525" b="7620"/>
                <wp:docPr id="30" name="Text Box 30"/>
                <wp:cNvGraphicFramePr/>
                <a:graphic xmlns:a="http://schemas.openxmlformats.org/drawingml/2006/main">
                  <a:graphicData uri="http://schemas.microsoft.com/office/word/2010/wordprocessingShape">
                    <wps:wsp>
                      <wps:cNvSpPr txBox="1"/>
                      <wps:spPr>
                        <a:xfrm>
                          <a:off x="0" y="0"/>
                          <a:ext cx="6334125" cy="621102"/>
                        </a:xfrm>
                        <a:prstGeom prst="rect">
                          <a:avLst/>
                        </a:prstGeom>
                        <a:solidFill>
                          <a:schemeClr val="accent1">
                            <a:lumMod val="20000"/>
                            <a:lumOff val="80000"/>
                          </a:schemeClr>
                        </a:solidFill>
                        <a:ln w="6350">
                          <a:noFill/>
                        </a:ln>
                      </wps:spPr>
                      <wps:txbx>
                        <w:txbxContent>
                          <w:p w14:paraId="2F89624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FD52DB">
                              <w:rPr>
                                <w:b/>
                                <w:i/>
                                <w:iCs/>
                              </w:rPr>
                              <w:t>Insufficient supply</w:t>
                            </w:r>
                          </w:p>
                          <w:p w14:paraId="448B8201" w14:textId="77777777" w:rsidR="008C1CA0" w:rsidRPr="0068259D" w:rsidRDefault="008C1CA0" w:rsidP="00C70C6B">
                            <w:pPr>
                              <w:pStyle w:val="Body"/>
                              <w:numPr>
                                <w:ilvl w:val="0"/>
                                <w:numId w:val="60"/>
                              </w:numPr>
                            </w:pPr>
                            <w:r w:rsidRPr="00384161">
                              <w:t xml:space="preserve">What actions could be taken to </w:t>
                            </w:r>
                            <w:r>
                              <w:t>resolve gaps in supply, given current</w:t>
                            </w:r>
                            <w:r w:rsidRPr="00384161">
                              <w:t xml:space="preserve"> constraints?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351C1E" id="Text Box 30" o:spid="_x0000_s1029" type="#_x0000_t202" style="width:498.7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" fillcolor="#dbe5f1 [660]" stroked="f" strokeweight=".5pt">
                <v:textbox>
                  <w:txbxContent>
                    <w:p w14:paraId="2F89624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FD52DB">
                        <w:rPr>
                          <w:b/>
                          <w:i/>
                          <w:iCs/>
                        </w:rPr>
                        <w:t>Insufficient supply</w:t>
                      </w:r>
                    </w:p>
                    <w:p w14:paraId="448B8201" w14:textId="77777777" w:rsidR="008C1CA0" w:rsidRPr="0068259D" w:rsidRDefault="008C1CA0" w:rsidP="00C70C6B">
                      <w:pPr>
                        <w:pStyle w:val="Body"/>
                        <w:numPr>
                          <w:ilvl w:val="0"/>
                          <w:numId w:val="60"/>
                        </w:numPr>
                      </w:pPr>
                      <w:r w:rsidRPr="00384161">
                        <w:t xml:space="preserve">What actions could be taken to </w:t>
                      </w:r>
                      <w:r>
                        <w:t>resolve gaps in supply, given current</w:t>
                      </w:r>
                      <w:r w:rsidRPr="00384161">
                        <w:t xml:space="preserve"> constraints?</w:t>
                      </w:r>
                    </w:p>
                  </w:txbxContent>
                </v:textbox>
                <w10:anchorlock/>
              </v:shape>
            </w:pict>
          </mc:Fallback>
        </mc:AlternateContent>
      </w:r>
    </w:p>
    <w:p w14:paraId="41E23960" w14:textId="786F93C3" w:rsidR="008C1CA0" w:rsidRPr="00BB1E47" w:rsidRDefault="008C1CA0" w:rsidP="00E9640E">
      <w:pPr>
        <w:pStyle w:val="Heading2"/>
      </w:pPr>
      <w:bookmarkStart w:id="97" w:name="_Ref135603215"/>
      <w:bookmarkStart w:id="98" w:name="_Toc136433498"/>
      <w:r w:rsidRPr="00BB1E47">
        <w:t xml:space="preserve">DH </w:t>
      </w:r>
      <w:r w:rsidR="00997C1E">
        <w:t>could better exercise</w:t>
      </w:r>
      <w:r w:rsidR="0015343F" w:rsidRPr="00BB1E47">
        <w:t xml:space="preserve"> </w:t>
      </w:r>
      <w:r w:rsidRPr="00BB1E47">
        <w:t>its system steward role</w:t>
      </w:r>
      <w:bookmarkEnd w:id="97"/>
      <w:bookmarkEnd w:id="98"/>
      <w:r w:rsidRPr="00BB1E47">
        <w:t xml:space="preserve"> </w:t>
      </w:r>
    </w:p>
    <w:p w14:paraId="1EBFF1CB" w14:textId="60B42E90" w:rsidR="008C1CA0" w:rsidRPr="00BB1E47" w:rsidRDefault="00525CA2" w:rsidP="008C1CA0">
      <w:pPr>
        <w:pStyle w:val="Bullet1"/>
        <w:numPr>
          <w:ilvl w:val="0"/>
          <w:numId w:val="10"/>
        </w:numPr>
      </w:pPr>
      <w:r w:rsidRPr="00BB1E47">
        <w:t>DH</w:t>
      </w:r>
      <w:r w:rsidR="008C1CA0" w:rsidRPr="00BB1E47">
        <w:t xml:space="preserve"> is the steward of Victoria’s public health system. It is responsible for setting system strategy and </w:t>
      </w:r>
      <w:proofErr w:type="gramStart"/>
      <w:r w:rsidR="008C1CA0" w:rsidRPr="00BB1E47">
        <w:t>direction, and</w:t>
      </w:r>
      <w:proofErr w:type="gramEnd"/>
      <w:r w:rsidR="008C1CA0" w:rsidRPr="00BB1E47">
        <w:t xml:space="preserve"> using its various levers to drive</w:t>
      </w:r>
      <w:r w:rsidRPr="00BB1E47">
        <w:t xml:space="preserve"> system</w:t>
      </w:r>
      <w:r w:rsidR="008C1CA0" w:rsidRPr="00BB1E47">
        <w:t xml:space="preserve"> delivery against strategy. </w:t>
      </w:r>
    </w:p>
    <w:p w14:paraId="44ABAB06" w14:textId="602D2F2E" w:rsidR="008C1CA0" w:rsidRPr="00BB1E47" w:rsidRDefault="008C1CA0" w:rsidP="008C1CA0">
      <w:pPr>
        <w:pStyle w:val="Bullet1"/>
        <w:numPr>
          <w:ilvl w:val="0"/>
          <w:numId w:val="10"/>
        </w:numPr>
      </w:pPr>
      <w:r w:rsidRPr="00BB1E47">
        <w:t>These levers are expansive, and include system and workforce planning, operational policy</w:t>
      </w:r>
      <w:r w:rsidR="007D0290" w:rsidRPr="00BB1E47">
        <w:t>,</w:t>
      </w:r>
      <w:r w:rsidR="00B92B44" w:rsidRPr="00BB1E47">
        <w:t xml:space="preserve"> </w:t>
      </w:r>
      <w:r w:rsidRPr="00BB1E47">
        <w:t>service design, regulation, funding, performance management, and reform and improvement support.</w:t>
      </w:r>
    </w:p>
    <w:p w14:paraId="35E53C61" w14:textId="0AF49BCE" w:rsidR="008C1CA0" w:rsidRPr="00BB1E47" w:rsidRDefault="008C1CA0">
      <w:pPr>
        <w:pStyle w:val="Bullet1"/>
        <w:numPr>
          <w:ilvl w:val="0"/>
          <w:numId w:val="10"/>
        </w:numPr>
      </w:pPr>
      <w:r w:rsidRPr="00BB1E47">
        <w:t xml:space="preserve">In recent years, </w:t>
      </w:r>
      <w:r w:rsidR="00525CA2" w:rsidRPr="00BB1E47">
        <w:t>DH</w:t>
      </w:r>
      <w:r w:rsidRPr="00BB1E47">
        <w:t xml:space="preserve"> has strengthened its role in the NEPT market, </w:t>
      </w:r>
      <w:proofErr w:type="gramStart"/>
      <w:r w:rsidRPr="00BB1E47">
        <w:t>in particular with</w:t>
      </w:r>
      <w:proofErr w:type="gramEnd"/>
      <w:r w:rsidRPr="00BB1E47">
        <w:t xml:space="preserve"> the regulatory changes described in Section</w:t>
      </w:r>
      <w:r w:rsidR="005933FC" w:rsidRPr="00BB1E47">
        <w:t xml:space="preserve"> </w:t>
      </w:r>
      <w:r w:rsidR="005933FC" w:rsidRPr="00BB1E47">
        <w:fldChar w:fldCharType="begin"/>
      </w:r>
      <w:r w:rsidR="005933FC" w:rsidRPr="00BB1E47">
        <w:instrText xml:space="preserve"> REF _Ref134279189 \r \p \h </w:instrText>
      </w:r>
      <w:r w:rsidR="00BB1E47">
        <w:instrText xml:space="preserve"> \* MERGEFORMAT </w:instrText>
      </w:r>
      <w:r w:rsidR="005933FC" w:rsidRPr="00BB1E47">
        <w:fldChar w:fldCharType="separate"/>
      </w:r>
      <w:r w:rsidR="003D510C">
        <w:t>3.1 above</w:t>
      </w:r>
      <w:r w:rsidR="005933FC" w:rsidRPr="00BB1E47">
        <w:fldChar w:fldCharType="end"/>
      </w:r>
      <w:r w:rsidRPr="00BB1E47">
        <w:t>.</w:t>
      </w:r>
      <w:r w:rsidR="00525CA2" w:rsidRPr="00BB1E47">
        <w:t xml:space="preserve"> </w:t>
      </w:r>
      <w:r w:rsidRPr="00BB1E47">
        <w:t xml:space="preserve">This has </w:t>
      </w:r>
      <w:r w:rsidR="00525CA2" w:rsidRPr="00BB1E47">
        <w:t xml:space="preserve">been accompanied by </w:t>
      </w:r>
      <w:r w:rsidRPr="00BB1E47">
        <w:t xml:space="preserve">improved engagement with the sector through regular sector forums, communiques, and phone calls. </w:t>
      </w:r>
    </w:p>
    <w:p w14:paraId="364A1D78" w14:textId="08DC84AE" w:rsidR="008C1CA0" w:rsidRPr="00BB1E47" w:rsidRDefault="008C1CA0" w:rsidP="008C1CA0">
      <w:pPr>
        <w:pStyle w:val="Bullet1"/>
        <w:numPr>
          <w:ilvl w:val="0"/>
          <w:numId w:val="10"/>
        </w:numPr>
      </w:pPr>
      <w:r w:rsidRPr="00BB1E47">
        <w:t xml:space="preserve">However, in </w:t>
      </w:r>
      <w:r w:rsidR="00A8047A" w:rsidRPr="00BB1E47">
        <w:t>terms of procurement and commissioning</w:t>
      </w:r>
      <w:r w:rsidRPr="00BB1E47">
        <w:t xml:space="preserve"> DH has fully devolved its role in relation to NEPT to HSV, AV and public health services</w:t>
      </w:r>
      <w:r w:rsidR="001A314D" w:rsidRPr="00BB1E47">
        <w:t>. It</w:t>
      </w:r>
      <w:r w:rsidRPr="00BB1E47">
        <w:t xml:space="preserve"> does not play a strategic commissioning role in relation to the sector</w:t>
      </w:r>
      <w:r w:rsidR="0009317A" w:rsidRPr="00BB1E47">
        <w:t xml:space="preserve">, </w:t>
      </w:r>
      <w:r w:rsidR="00C80674" w:rsidRPr="00BB1E47">
        <w:t xml:space="preserve">despite the significant opportunity to shape it using the </w:t>
      </w:r>
      <w:r w:rsidR="00426505" w:rsidRPr="00BB1E47">
        <w:t>$</w:t>
      </w:r>
      <w:r w:rsidR="00A02DA7">
        <w:t>155</w:t>
      </w:r>
      <w:r w:rsidR="00426505" w:rsidRPr="00BB1E47">
        <w:t xml:space="preserve"> million in funding </w:t>
      </w:r>
      <w:r w:rsidR="00C80674" w:rsidRPr="00BB1E47">
        <w:t xml:space="preserve">annually (albeit indirectly) </w:t>
      </w:r>
      <w:r w:rsidR="00426505" w:rsidRPr="00BB1E47">
        <w:t>provided to it</w:t>
      </w:r>
      <w:r w:rsidR="00794DB3" w:rsidRPr="00BB1E47">
        <w:t xml:space="preserve">. </w:t>
      </w:r>
      <w:r w:rsidRPr="00BB1E47">
        <w:t xml:space="preserve"> </w:t>
      </w:r>
    </w:p>
    <w:p w14:paraId="54596254" w14:textId="6357EAB9" w:rsidR="008C1CA0" w:rsidRPr="00BB1E47" w:rsidRDefault="008C1CA0" w:rsidP="008C1CA0">
      <w:pPr>
        <w:pStyle w:val="Bullet1"/>
        <w:numPr>
          <w:ilvl w:val="0"/>
          <w:numId w:val="10"/>
        </w:numPr>
      </w:pPr>
      <w:r w:rsidRPr="00BB1E47">
        <w:t xml:space="preserve">This has contributed to missed opportunities to drive efficiencies, </w:t>
      </w:r>
      <w:r w:rsidR="00525CA2" w:rsidRPr="00BB1E47">
        <w:t xml:space="preserve">including by improving coordination across AV, health services and HSV to reduce complexity and duplication and drive economies of scale. </w:t>
      </w:r>
    </w:p>
    <w:p w14:paraId="21A8491F" w14:textId="48601CDD" w:rsidR="00136BCB" w:rsidRPr="00BB1E47" w:rsidRDefault="0015227A" w:rsidP="008C1CA0">
      <w:pPr>
        <w:pStyle w:val="Bullet1"/>
        <w:numPr>
          <w:ilvl w:val="0"/>
          <w:numId w:val="10"/>
        </w:numPr>
      </w:pPr>
      <w:r w:rsidRPr="00BB1E47">
        <w:t xml:space="preserve">As </w:t>
      </w:r>
      <w:r w:rsidR="001668F0">
        <w:t>S</w:t>
      </w:r>
      <w:r w:rsidRPr="00BB1E47">
        <w:t xml:space="preserve">ection </w:t>
      </w:r>
      <w:r w:rsidRPr="00BB1E47">
        <w:fldChar w:fldCharType="begin"/>
      </w:r>
      <w:r w:rsidRPr="00BB1E47">
        <w:instrText xml:space="preserve"> REF _Ref134645512 \r \h  \* MERGEFORMAT </w:instrText>
      </w:r>
      <w:r w:rsidRPr="00BB1E47">
        <w:fldChar w:fldCharType="separate"/>
      </w:r>
      <w:r w:rsidR="003D510C">
        <w:t>5.2</w:t>
      </w:r>
      <w:r w:rsidRPr="00BB1E47">
        <w:fldChar w:fldCharType="end"/>
      </w:r>
      <w:r w:rsidRPr="00BB1E47">
        <w:t xml:space="preserve"> shows, </w:t>
      </w:r>
      <w:r w:rsidR="00136BCB" w:rsidRPr="00BB1E47">
        <w:t xml:space="preserve">other </w:t>
      </w:r>
      <w:r w:rsidRPr="00BB1E47">
        <w:t>jurisdictions</w:t>
      </w:r>
      <w:r w:rsidR="00136BCB" w:rsidRPr="00BB1E47">
        <w:t xml:space="preserve"> have undertaken significant </w:t>
      </w:r>
      <w:r w:rsidRPr="00BB1E47">
        <w:t xml:space="preserve">structural </w:t>
      </w:r>
      <w:r w:rsidR="00136BCB" w:rsidRPr="00BB1E47">
        <w:t xml:space="preserve">reform </w:t>
      </w:r>
      <w:r w:rsidRPr="00BB1E47">
        <w:t xml:space="preserve">and operational improvements </w:t>
      </w:r>
      <w:r w:rsidR="00136BCB" w:rsidRPr="00BB1E47">
        <w:t xml:space="preserve">of </w:t>
      </w:r>
      <w:r w:rsidRPr="00BB1E47">
        <w:t xml:space="preserve">their own </w:t>
      </w:r>
      <w:r w:rsidR="00136BCB" w:rsidRPr="00BB1E47">
        <w:t>NEPT</w:t>
      </w:r>
      <w:r w:rsidRPr="00BB1E47">
        <w:t xml:space="preserve"> system to improve performance. To date </w:t>
      </w:r>
      <w:r w:rsidR="00136BCB" w:rsidRPr="00BB1E47">
        <w:t xml:space="preserve">Victoria has not </w:t>
      </w:r>
      <w:r w:rsidRPr="00BB1E47">
        <w:t>pursued similar reform or improvement, beyond regulatory change</w:t>
      </w:r>
      <w:r w:rsidR="00136BCB" w:rsidRPr="00BB1E47">
        <w:t xml:space="preserve">. </w:t>
      </w:r>
    </w:p>
    <w:p w14:paraId="02B01651" w14:textId="77777777" w:rsidR="008C1CA0" w:rsidRPr="00BB1E47" w:rsidRDefault="008C1CA0" w:rsidP="008C1CA0">
      <w:pPr>
        <w:pStyle w:val="Body"/>
      </w:pPr>
    </w:p>
    <w:p w14:paraId="28A97CE8" w14:textId="0BEFBB12" w:rsidR="008C1CA0" w:rsidRPr="00BB1E47" w:rsidRDefault="008C1CA0" w:rsidP="008C1CA0">
      <w:pPr>
        <w:pStyle w:val="Body"/>
      </w:pPr>
      <w:r w:rsidRPr="00BB1E47">
        <w:rPr>
          <w:noProof/>
        </w:rPr>
        <mc:AlternateContent>
          <mc:Choice Requires="wps">
            <w:drawing>
              <wp:inline distT="0" distB="0" distL="0" distR="0" wp14:anchorId="2AA4AA9C" wp14:editId="534C5AF0">
                <wp:extent cx="6334125" cy="1041621"/>
                <wp:effectExtent l="0" t="0" r="9525" b="6350"/>
                <wp:docPr id="31" name="Text Box 31"/>
                <wp:cNvGraphicFramePr/>
                <a:graphic xmlns:a="http://schemas.openxmlformats.org/drawingml/2006/main">
                  <a:graphicData uri="http://schemas.microsoft.com/office/word/2010/wordprocessingShape">
                    <wps:wsp>
                      <wps:cNvSpPr txBox="1"/>
                      <wps:spPr>
                        <a:xfrm>
                          <a:off x="0" y="0"/>
                          <a:ext cx="6334125" cy="1041621"/>
                        </a:xfrm>
                        <a:prstGeom prst="rect">
                          <a:avLst/>
                        </a:prstGeom>
                        <a:solidFill>
                          <a:schemeClr val="accent1">
                            <a:lumMod val="20000"/>
                            <a:lumOff val="80000"/>
                          </a:schemeClr>
                        </a:solidFill>
                        <a:ln w="6350">
                          <a:noFill/>
                        </a:ln>
                      </wps:spPr>
                      <wps:txbx>
                        <w:txbxContent>
                          <w:p w14:paraId="37072CCA" w14:textId="4166AFA9"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w:t>
                            </w:r>
                            <w:r w:rsidR="00F05B25" w:rsidRPr="00F05B25">
                              <w:rPr>
                                <w:b/>
                                <w:i/>
                                <w:iCs/>
                              </w:rPr>
                              <w:t>S</w:t>
                            </w:r>
                            <w:r w:rsidRPr="002B2658">
                              <w:rPr>
                                <w:b/>
                                <w:i/>
                                <w:iCs/>
                              </w:rPr>
                              <w:t>ystem stewardship</w:t>
                            </w:r>
                          </w:p>
                          <w:p w14:paraId="294E25B7" w14:textId="77777777" w:rsidR="008C1CA0" w:rsidRDefault="008C1CA0" w:rsidP="00C70C6B">
                            <w:pPr>
                              <w:pStyle w:val="Body"/>
                              <w:numPr>
                                <w:ilvl w:val="0"/>
                                <w:numId w:val="62"/>
                              </w:numPr>
                            </w:pPr>
                            <w:r w:rsidRPr="004D3E51">
                              <w:t xml:space="preserve">How </w:t>
                            </w:r>
                            <w:r w:rsidRPr="0068259D">
                              <w:t>can</w:t>
                            </w:r>
                            <w:r w:rsidRPr="004D3E51">
                              <w:t xml:space="preserve"> the department use its role as system steward to create the best conditions for an effective NE</w:t>
                            </w:r>
                            <w:r>
                              <w:t>P</w:t>
                            </w:r>
                            <w:r w:rsidRPr="004D3E51">
                              <w:t>T market?</w:t>
                            </w:r>
                          </w:p>
                          <w:p w14:paraId="36099946" w14:textId="77777777" w:rsidR="008C1CA0" w:rsidRPr="004D48AD" w:rsidRDefault="008C1CA0" w:rsidP="00C70C6B">
                            <w:pPr>
                              <w:pStyle w:val="Body"/>
                              <w:numPr>
                                <w:ilvl w:val="0"/>
                                <w:numId w:val="62"/>
                              </w:numPr>
                            </w:pPr>
                            <w:r>
                              <w:t xml:space="preserve">How else can the Department positively influence the NEPT sector and associated challenges?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A4AA9C" id="Text Box 31" o:spid="_x0000_s1030" type="#_x0000_t202" style="width:498.7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" fillcolor="#dbe5f1 [660]" stroked="f" strokeweight=".5pt">
                <v:textbox>
                  <w:txbxContent>
                    <w:p w14:paraId="37072CCA" w14:textId="4166AFA9"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w:t>
                      </w:r>
                      <w:r w:rsidR="00F05B25" w:rsidRPr="00F05B25">
                        <w:rPr>
                          <w:b/>
                          <w:i/>
                          <w:iCs/>
                        </w:rPr>
                        <w:t>S</w:t>
                      </w:r>
                      <w:r w:rsidRPr="002B2658">
                        <w:rPr>
                          <w:b/>
                          <w:i/>
                          <w:iCs/>
                        </w:rPr>
                        <w:t>ystem stewardship</w:t>
                      </w:r>
                    </w:p>
                    <w:p w14:paraId="294E25B7" w14:textId="77777777" w:rsidR="008C1CA0" w:rsidRDefault="008C1CA0" w:rsidP="00C70C6B">
                      <w:pPr>
                        <w:pStyle w:val="Body"/>
                        <w:numPr>
                          <w:ilvl w:val="0"/>
                          <w:numId w:val="62"/>
                        </w:numPr>
                      </w:pPr>
                      <w:r w:rsidRPr="004D3E51">
                        <w:t xml:space="preserve">How </w:t>
                      </w:r>
                      <w:r w:rsidRPr="0068259D">
                        <w:t>can</w:t>
                      </w:r>
                      <w:r w:rsidRPr="004D3E51">
                        <w:t xml:space="preserve"> the department use its role as system steward to create the best conditions for an effective NE</w:t>
                      </w:r>
                      <w:r>
                        <w:t>P</w:t>
                      </w:r>
                      <w:r w:rsidRPr="004D3E51">
                        <w:t>T market?</w:t>
                      </w:r>
                    </w:p>
                    <w:p w14:paraId="36099946" w14:textId="77777777" w:rsidR="008C1CA0" w:rsidRPr="004D48AD" w:rsidRDefault="008C1CA0" w:rsidP="00C70C6B">
                      <w:pPr>
                        <w:pStyle w:val="Body"/>
                        <w:numPr>
                          <w:ilvl w:val="0"/>
                          <w:numId w:val="62"/>
                        </w:numPr>
                      </w:pPr>
                      <w:r>
                        <w:t xml:space="preserve">How else can the Department positively influence the NEPT sector and associated challenges? </w:t>
                      </w:r>
                    </w:p>
                  </w:txbxContent>
                </v:textbox>
                <w10:anchorlock/>
              </v:shape>
            </w:pict>
          </mc:Fallback>
        </mc:AlternateContent>
      </w:r>
    </w:p>
    <w:p w14:paraId="09299020" w14:textId="038150E3" w:rsidR="008C1CA0" w:rsidRPr="00BB1E47" w:rsidRDefault="008C1CA0" w:rsidP="00E9640E">
      <w:pPr>
        <w:pStyle w:val="Heading2"/>
      </w:pPr>
      <w:bookmarkStart w:id="99" w:name="_Toc134633552"/>
      <w:bookmarkStart w:id="100" w:name="_Ref135670991"/>
      <w:bookmarkStart w:id="101" w:name="_Toc136433499"/>
      <w:r w:rsidRPr="00BB1E47">
        <w:t xml:space="preserve">There is a lack of coordinated workforce planning for </w:t>
      </w:r>
      <w:r w:rsidR="003D59B9" w:rsidRPr="00BB1E47">
        <w:t>NEP</w:t>
      </w:r>
      <w:bookmarkEnd w:id="99"/>
      <w:r w:rsidR="003D59B9" w:rsidRPr="00BB1E47">
        <w:t>T</w:t>
      </w:r>
      <w:bookmarkEnd w:id="100"/>
      <w:bookmarkEnd w:id="101"/>
      <w:r w:rsidRPr="00BB1E47">
        <w:t xml:space="preserve"> </w:t>
      </w:r>
    </w:p>
    <w:p w14:paraId="1A8AC5D0" w14:textId="77777777" w:rsidR="008C1CA0" w:rsidRPr="00BB1E47" w:rsidRDefault="008C1CA0" w:rsidP="008C1CA0">
      <w:pPr>
        <w:pStyle w:val="Bullet1"/>
        <w:numPr>
          <w:ilvl w:val="0"/>
          <w:numId w:val="10"/>
        </w:numPr>
        <w:rPr>
          <w:rStyle w:val="Hyperlink"/>
          <w:color w:val="auto"/>
          <w:u w:val="none"/>
        </w:rPr>
      </w:pPr>
      <w:r w:rsidRPr="00BB1E47">
        <w:rPr>
          <w:rStyle w:val="Hyperlink"/>
          <w:color w:val="auto"/>
          <w:u w:val="none"/>
        </w:rPr>
        <w:t xml:space="preserve">Workforce planning, development, and coordination across the NEPT sector remains the responsibility of individual providers with limited state-wide coordination and planning at present. </w:t>
      </w:r>
    </w:p>
    <w:p w14:paraId="58D37A27" w14:textId="63446924" w:rsidR="008C1CA0" w:rsidRPr="00BB1E47" w:rsidDel="00800504" w:rsidRDefault="008C1CA0" w:rsidP="008C1CA0">
      <w:pPr>
        <w:pStyle w:val="Bullet1"/>
        <w:numPr>
          <w:ilvl w:val="0"/>
          <w:numId w:val="10"/>
        </w:numPr>
        <w:rPr>
          <w:rStyle w:val="Hyperlink"/>
          <w:color w:val="auto"/>
          <w:u w:val="none"/>
        </w:rPr>
      </w:pPr>
      <w:r w:rsidRPr="00BB1E47">
        <w:t>This</w:t>
      </w:r>
      <w:r w:rsidRPr="00BB1E47">
        <w:rPr>
          <w:rStyle w:val="Hyperlink"/>
          <w:color w:val="auto"/>
          <w:u w:val="none"/>
        </w:rPr>
        <w:t xml:space="preserve"> contrasts to the workforce planning and development undertaken by AV for paramedics. With just under 5,000 on road clinical staff concentrated in one organisation, AV </w:t>
      </w:r>
      <w:r w:rsidR="00006AD2" w:rsidRPr="00BB1E47">
        <w:rPr>
          <w:rStyle w:val="Hyperlink"/>
          <w:color w:val="auto"/>
          <w:u w:val="none"/>
        </w:rPr>
        <w:t>can undertake</w:t>
      </w:r>
      <w:r w:rsidRPr="00BB1E47">
        <w:rPr>
          <w:rStyle w:val="Hyperlink"/>
          <w:color w:val="auto"/>
          <w:u w:val="none"/>
        </w:rPr>
        <w:t xml:space="preserve"> coordinated planning and recruitment for the sector – recruiting 716 paramedics in 2021-22 alone. This scale also </w:t>
      </w:r>
      <w:r w:rsidRPr="00BB1E47">
        <w:t>provides</w:t>
      </w:r>
      <w:r w:rsidRPr="00BB1E47">
        <w:rPr>
          <w:rStyle w:val="Hyperlink"/>
          <w:color w:val="auto"/>
          <w:u w:val="none"/>
        </w:rPr>
        <w:t xml:space="preserve"> the opportunity to trial new service models, roles, and career development pathways</w:t>
      </w:r>
      <w:r w:rsidR="000F7F44" w:rsidRPr="00BB1E47">
        <w:rPr>
          <w:rStyle w:val="Hyperlink"/>
          <w:color w:val="auto"/>
          <w:u w:val="none"/>
        </w:rPr>
        <w:t>.</w:t>
      </w:r>
      <w:r w:rsidRPr="00BB1E47">
        <w:rPr>
          <w:rStyle w:val="FootnoteReference"/>
        </w:rPr>
        <w:footnoteReference w:id="73"/>
      </w:r>
    </w:p>
    <w:p w14:paraId="6FDB53F6" w14:textId="1C527AA7" w:rsidR="0059726F" w:rsidRPr="00BB1E47" w:rsidRDefault="0059726F" w:rsidP="008C1CA0">
      <w:pPr>
        <w:pStyle w:val="Bullet1"/>
        <w:numPr>
          <w:ilvl w:val="0"/>
          <w:numId w:val="10"/>
        </w:numPr>
      </w:pPr>
      <w:r w:rsidRPr="00BB1E47">
        <w:rPr>
          <w:rStyle w:val="Hyperlink"/>
          <w:color w:val="auto"/>
          <w:u w:val="none"/>
        </w:rPr>
        <w:lastRenderedPageBreak/>
        <w:t>While the expected</w:t>
      </w:r>
      <w:r w:rsidRPr="00BB1E47">
        <w:t xml:space="preserve"> knowledge and training requirements for the NEPT workforce are laid out in Clinical Practice Protocols, DH does not play a substantive role in supporting the attraction, development, or retention of the NEPT workforce – this remains the responsibility of providers.</w:t>
      </w:r>
      <w:r w:rsidR="00D21810" w:rsidRPr="00BB1E47">
        <w:rPr>
          <w:rStyle w:val="FootnoteReference"/>
        </w:rPr>
        <w:footnoteReference w:id="74"/>
      </w:r>
    </w:p>
    <w:p w14:paraId="37BF7D57" w14:textId="74DA1297" w:rsidR="00E87D39" w:rsidRPr="00BB1E47" w:rsidRDefault="008C1CA0" w:rsidP="00E87D39">
      <w:pPr>
        <w:pStyle w:val="Bullet1"/>
        <w:numPr>
          <w:ilvl w:val="0"/>
          <w:numId w:val="10"/>
        </w:numPr>
        <w:rPr>
          <w:rStyle w:val="Hyperlink"/>
          <w:color w:val="auto"/>
          <w:u w:val="none"/>
        </w:rPr>
      </w:pPr>
      <w:r w:rsidRPr="00BB1E47">
        <w:t xml:space="preserve">This limits opportunities for </w:t>
      </w:r>
      <w:r w:rsidRPr="00BB1E47">
        <w:rPr>
          <w:rStyle w:val="Hyperlink"/>
          <w:color w:val="auto"/>
          <w:u w:val="none"/>
        </w:rPr>
        <w:t>coordinated career development and growth across the wider NEPT and paramedical sector.</w:t>
      </w:r>
      <w:r w:rsidR="007B10FA" w:rsidRPr="00BB1E47">
        <w:rPr>
          <w:rStyle w:val="FootnoteReference"/>
        </w:rPr>
        <w:footnoteReference w:id="75"/>
      </w:r>
      <w:r w:rsidRPr="00BB1E47">
        <w:rPr>
          <w:rStyle w:val="Hyperlink"/>
          <w:color w:val="auto"/>
          <w:u w:val="none"/>
        </w:rPr>
        <w:t xml:space="preserve"> </w:t>
      </w:r>
      <w:r w:rsidR="001E20B5" w:rsidRPr="00BB1E47">
        <w:rPr>
          <w:rStyle w:val="Hyperlink"/>
          <w:color w:val="auto"/>
          <w:u w:val="none"/>
        </w:rPr>
        <w:t>This gap is heightened by the fact</w:t>
      </w:r>
      <w:r w:rsidRPr="00BB1E47">
        <w:rPr>
          <w:rStyle w:val="Hyperlink"/>
          <w:color w:val="auto"/>
          <w:u w:val="none"/>
        </w:rPr>
        <w:t xml:space="preserve"> that approximately 85% of the NEPT workforce are under casual </w:t>
      </w:r>
      <w:r w:rsidR="00592243" w:rsidRPr="00BB1E47">
        <w:rPr>
          <w:rStyle w:val="Hyperlink"/>
          <w:color w:val="auto"/>
          <w:u w:val="none"/>
        </w:rPr>
        <w:t xml:space="preserve">employment </w:t>
      </w:r>
      <w:r w:rsidRPr="00BB1E47">
        <w:rPr>
          <w:rStyle w:val="Hyperlink"/>
          <w:color w:val="auto"/>
          <w:u w:val="none"/>
        </w:rPr>
        <w:t>arrangements.</w:t>
      </w:r>
      <w:r w:rsidRPr="00BB1E47">
        <w:rPr>
          <w:rStyle w:val="FootnoteReference"/>
        </w:rPr>
        <w:footnoteReference w:id="76"/>
      </w:r>
      <w:r w:rsidR="00E87D39" w:rsidRPr="00BB1E47">
        <w:rPr>
          <w:rStyle w:val="Hyperlink"/>
          <w:color w:val="auto"/>
          <w:u w:val="none"/>
        </w:rPr>
        <w:t xml:space="preserve"> </w:t>
      </w:r>
    </w:p>
    <w:p w14:paraId="4F52872B" w14:textId="77777777" w:rsidR="008C1CA0" w:rsidRPr="00BB1E47" w:rsidRDefault="008C1CA0" w:rsidP="008C1CA0">
      <w:pPr>
        <w:pStyle w:val="Bullet1"/>
        <w:numPr>
          <w:ilvl w:val="0"/>
          <w:numId w:val="0"/>
        </w:numPr>
        <w:ind w:left="284"/>
        <w:rPr>
          <w:rStyle w:val="Hyperlink"/>
        </w:rPr>
      </w:pPr>
    </w:p>
    <w:p w14:paraId="2C185FAE" w14:textId="77777777" w:rsidR="008C1CA0" w:rsidRPr="00BB1E47" w:rsidRDefault="008C1CA0" w:rsidP="008C1CA0">
      <w:pPr>
        <w:pStyle w:val="Body"/>
      </w:pPr>
      <w:r w:rsidRPr="00BB1E47">
        <w:rPr>
          <w:noProof/>
        </w:rPr>
        <mc:AlternateContent>
          <mc:Choice Requires="wps">
            <w:drawing>
              <wp:inline distT="0" distB="0" distL="0" distR="0" wp14:anchorId="3766C528" wp14:editId="33497A09">
                <wp:extent cx="6334125" cy="1115568"/>
                <wp:effectExtent l="0" t="0" r="9525" b="8890"/>
                <wp:docPr id="32" name="Text Box 32"/>
                <wp:cNvGraphicFramePr/>
                <a:graphic xmlns:a="http://schemas.openxmlformats.org/drawingml/2006/main">
                  <a:graphicData uri="http://schemas.microsoft.com/office/word/2010/wordprocessingShape">
                    <wps:wsp>
                      <wps:cNvSpPr txBox="1"/>
                      <wps:spPr>
                        <a:xfrm>
                          <a:off x="0" y="0"/>
                          <a:ext cx="6334125" cy="1115568"/>
                        </a:xfrm>
                        <a:prstGeom prst="rect">
                          <a:avLst/>
                        </a:prstGeom>
                        <a:solidFill>
                          <a:schemeClr val="accent1">
                            <a:lumMod val="20000"/>
                            <a:lumOff val="80000"/>
                          </a:schemeClr>
                        </a:solidFill>
                        <a:ln w="6350">
                          <a:noFill/>
                        </a:ln>
                      </wps:spPr>
                      <wps:txbx>
                        <w:txbxContent>
                          <w:p w14:paraId="2949EA5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s – </w:t>
                            </w:r>
                            <w:r w:rsidRPr="007728D4">
                              <w:rPr>
                                <w:b/>
                                <w:bCs/>
                                <w:i/>
                                <w:iCs/>
                              </w:rPr>
                              <w:t>Improve workforce planning</w:t>
                            </w:r>
                          </w:p>
                          <w:p w14:paraId="13AF281B" w14:textId="77777777" w:rsidR="008C1CA0" w:rsidRDefault="008C1CA0" w:rsidP="00C70C6B">
                            <w:pPr>
                              <w:pStyle w:val="Body"/>
                              <w:numPr>
                                <w:ilvl w:val="0"/>
                                <w:numId w:val="61"/>
                              </w:numPr>
                            </w:pPr>
                            <w:r w:rsidRPr="002E19A8">
                              <w:t xml:space="preserve">What steps </w:t>
                            </w:r>
                            <w:r w:rsidRPr="0068259D">
                              <w:t>could</w:t>
                            </w:r>
                            <w:r w:rsidRPr="002E19A8">
                              <w:t xml:space="preserve"> be taken to improve workforce planning across the NEPT sector?  </w:t>
                            </w:r>
                          </w:p>
                          <w:p w14:paraId="4629D362" w14:textId="5DF7309F" w:rsidR="008C1CA0" w:rsidRPr="002E19A8" w:rsidRDefault="00457DF3" w:rsidP="00C70C6B">
                            <w:pPr>
                              <w:pStyle w:val="Body"/>
                              <w:numPr>
                                <w:ilvl w:val="0"/>
                                <w:numId w:val="61"/>
                              </w:numPr>
                            </w:pPr>
                            <w:r>
                              <w:t xml:space="preserve">What changes to </w:t>
                            </w:r>
                            <w:r w:rsidR="00C83ECE">
                              <w:t>workforce conditions would have the great</w:t>
                            </w:r>
                            <w:r w:rsidR="00AC02E3">
                              <w:t>est</w:t>
                            </w:r>
                            <w:r w:rsidR="00C83ECE">
                              <w:t xml:space="preserve"> impact in reducing attrition and attracting </w:t>
                            </w:r>
                            <w:r w:rsidR="00FB3C6C">
                              <w:t xml:space="preserve">people to join the sector?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66C528" id="Text Box 32" o:spid="_x0000_s1031" type="#_x0000_t202" style="width:498.75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" fillcolor="#dbe5f1 [660]" stroked="f" strokeweight=".5pt">
                <v:textbox>
                  <w:txbxContent>
                    <w:p w14:paraId="2949EA53"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s – </w:t>
                      </w:r>
                      <w:r w:rsidRPr="007728D4">
                        <w:rPr>
                          <w:b/>
                          <w:bCs/>
                          <w:i/>
                          <w:iCs/>
                        </w:rPr>
                        <w:t>Improve workforce planning</w:t>
                      </w:r>
                    </w:p>
                    <w:p w14:paraId="13AF281B" w14:textId="77777777" w:rsidR="008C1CA0" w:rsidRDefault="008C1CA0" w:rsidP="00C70C6B">
                      <w:pPr>
                        <w:pStyle w:val="Body"/>
                        <w:numPr>
                          <w:ilvl w:val="0"/>
                          <w:numId w:val="61"/>
                        </w:numPr>
                      </w:pPr>
                      <w:r w:rsidRPr="002E19A8">
                        <w:t xml:space="preserve">What steps </w:t>
                      </w:r>
                      <w:r w:rsidRPr="0068259D">
                        <w:t>could</w:t>
                      </w:r>
                      <w:r w:rsidRPr="002E19A8">
                        <w:t xml:space="preserve"> be taken to improve workforce planning across the NEPT sector?  </w:t>
                      </w:r>
                    </w:p>
                    <w:p w14:paraId="4629D362" w14:textId="5DF7309F" w:rsidR="008C1CA0" w:rsidRPr="002E19A8" w:rsidRDefault="00457DF3" w:rsidP="00C70C6B">
                      <w:pPr>
                        <w:pStyle w:val="Body"/>
                        <w:numPr>
                          <w:ilvl w:val="0"/>
                          <w:numId w:val="61"/>
                        </w:numPr>
                      </w:pPr>
                      <w:r>
                        <w:t xml:space="preserve">What changes to </w:t>
                      </w:r>
                      <w:r w:rsidR="00C83ECE">
                        <w:t>workforce conditions would have the great</w:t>
                      </w:r>
                      <w:r w:rsidR="00AC02E3">
                        <w:t>est</w:t>
                      </w:r>
                      <w:r w:rsidR="00C83ECE">
                        <w:t xml:space="preserve"> impact in reducing attrition and attracting </w:t>
                      </w:r>
                      <w:r w:rsidR="00FB3C6C">
                        <w:t xml:space="preserve">people to join the sector? </w:t>
                      </w:r>
                    </w:p>
                  </w:txbxContent>
                </v:textbox>
                <w10:anchorlock/>
              </v:shape>
            </w:pict>
          </mc:Fallback>
        </mc:AlternateContent>
      </w:r>
    </w:p>
    <w:p w14:paraId="3E1B4EA2" w14:textId="63D2FDCD" w:rsidR="008C1CA0" w:rsidRPr="00BB1E47" w:rsidRDefault="0015227A" w:rsidP="00E9640E">
      <w:pPr>
        <w:pStyle w:val="Heading2"/>
      </w:pPr>
      <w:bookmarkStart w:id="102" w:name="_Ref135670981"/>
      <w:bookmarkStart w:id="103" w:name="_Toc136433500"/>
      <w:r w:rsidRPr="00BB1E47">
        <w:t>L</w:t>
      </w:r>
      <w:r w:rsidR="008C1CA0" w:rsidRPr="00BB1E47">
        <w:t xml:space="preserve">ow acuity NEPT patients </w:t>
      </w:r>
      <w:r w:rsidRPr="00BB1E47">
        <w:t>are not always connected with the right transport for their needs</w:t>
      </w:r>
      <w:bookmarkEnd w:id="102"/>
      <w:bookmarkEnd w:id="103"/>
    </w:p>
    <w:p w14:paraId="38A46E13" w14:textId="09AC944D" w:rsidR="008C1CA0" w:rsidRPr="00BB1E47" w:rsidRDefault="008C1CA0" w:rsidP="00B37D1A">
      <w:pPr>
        <w:pStyle w:val="Bullet1"/>
        <w:numPr>
          <w:ilvl w:val="0"/>
          <w:numId w:val="18"/>
        </w:numPr>
      </w:pPr>
      <w:r w:rsidRPr="00BB1E47">
        <w:t xml:space="preserve">There is often a misalignment between true patient acuity and services delivered, which can result in </w:t>
      </w:r>
      <w:r w:rsidR="0015227A" w:rsidRPr="00BB1E47">
        <w:t>‘</w:t>
      </w:r>
      <w:r w:rsidRPr="00BB1E47">
        <w:t>overservicing</w:t>
      </w:r>
      <w:r w:rsidR="0015227A" w:rsidRPr="00BB1E47">
        <w:t>’</w:t>
      </w:r>
      <w:r w:rsidRPr="00BB1E47">
        <w:t xml:space="preserve">, </w:t>
      </w:r>
      <w:r w:rsidR="0015227A" w:rsidRPr="00BB1E47">
        <w:t xml:space="preserve">increasing </w:t>
      </w:r>
      <w:r w:rsidRPr="00BB1E47">
        <w:t xml:space="preserve">costs and bottlenecks across the system. </w:t>
      </w:r>
    </w:p>
    <w:p w14:paraId="7BE371BF" w14:textId="4E082ECD" w:rsidR="0015227A" w:rsidRPr="00BB1E47" w:rsidRDefault="0015227A" w:rsidP="00B37D1A">
      <w:pPr>
        <w:pStyle w:val="Bullet1"/>
        <w:numPr>
          <w:ilvl w:val="0"/>
          <w:numId w:val="18"/>
        </w:numPr>
      </w:pPr>
      <w:r w:rsidRPr="00BB1E47">
        <w:t>This section discusses two forms of ‘overservicing’</w:t>
      </w:r>
    </w:p>
    <w:p w14:paraId="10124CB9" w14:textId="6A72BF8C" w:rsidR="0015227A" w:rsidRPr="00BB1E47" w:rsidRDefault="0015227A" w:rsidP="007D11AE">
      <w:pPr>
        <w:pStyle w:val="Bullet2"/>
      </w:pPr>
      <w:r w:rsidRPr="00BB1E47">
        <w:rPr>
          <w:rStyle w:val="normaltextrun"/>
        </w:rPr>
        <w:t>inappropriate</w:t>
      </w:r>
      <w:r w:rsidRPr="00BB1E47">
        <w:t xml:space="preserve"> over-servicing, where low acuity patients are assigned medium acuity NEPT responses</w:t>
      </w:r>
    </w:p>
    <w:p w14:paraId="7D5CACE1" w14:textId="4E38E6DC" w:rsidR="0015227A" w:rsidRPr="00BB1E47" w:rsidRDefault="0015227A" w:rsidP="007D11AE">
      <w:pPr>
        <w:pStyle w:val="Bullet2"/>
      </w:pPr>
      <w:r w:rsidRPr="00BB1E47">
        <w:t xml:space="preserve">appropriate over-servicing, where </w:t>
      </w:r>
      <w:r w:rsidR="00AF24C1" w:rsidRPr="00BB1E47">
        <w:t xml:space="preserve">the crewing </w:t>
      </w:r>
      <w:r w:rsidR="004C4639" w:rsidRPr="00BB1E47">
        <w:t xml:space="preserve">mix </w:t>
      </w:r>
      <w:r w:rsidR="00E90FD3" w:rsidRPr="00BB1E47">
        <w:t xml:space="preserve">meets the regulations but could </w:t>
      </w:r>
      <w:r w:rsidR="004C4639" w:rsidRPr="00BB1E47">
        <w:t xml:space="preserve">exceed what a patient requires (for example, </w:t>
      </w:r>
      <w:r w:rsidRPr="00BB1E47">
        <w:t xml:space="preserve">low acuity patients are assigned a two-clinician low acuity NEPT response, </w:t>
      </w:r>
      <w:r w:rsidRPr="00BB1E47">
        <w:rPr>
          <w:rStyle w:val="normaltextrun"/>
        </w:rPr>
        <w:t>which</w:t>
      </w:r>
      <w:r w:rsidRPr="00BB1E47">
        <w:t xml:space="preserve"> is required under the regulations but may not be needed in all cases</w:t>
      </w:r>
      <w:r w:rsidR="00E90FD3" w:rsidRPr="00BB1E47">
        <w:t>)</w:t>
      </w:r>
      <w:r w:rsidRPr="00BB1E47">
        <w:t xml:space="preserve">. </w:t>
      </w:r>
    </w:p>
    <w:p w14:paraId="09F8F704" w14:textId="1EE294FE" w:rsidR="0015227A" w:rsidRPr="00BB1E47" w:rsidRDefault="0015227A" w:rsidP="00BB17D3">
      <w:pPr>
        <w:pStyle w:val="Heading3"/>
      </w:pPr>
      <w:r w:rsidRPr="00BB1E47">
        <w:t>Low acuity patients often inappropriately receive a medium acuity NEPT response</w:t>
      </w:r>
    </w:p>
    <w:p w14:paraId="3AD45D52" w14:textId="05783CB4" w:rsidR="0015227A" w:rsidRPr="00BB1E47" w:rsidRDefault="0015227A" w:rsidP="00B37D1A">
      <w:pPr>
        <w:pStyle w:val="Bullet1"/>
        <w:numPr>
          <w:ilvl w:val="0"/>
          <w:numId w:val="18"/>
        </w:numPr>
      </w:pPr>
      <w:r w:rsidRPr="00BB1E47">
        <w:t xml:space="preserve">Overservicing has </w:t>
      </w:r>
      <w:r w:rsidR="00BC6C83" w:rsidRPr="00BB1E47">
        <w:t>multiple</w:t>
      </w:r>
      <w:r w:rsidRPr="00BB1E47">
        <w:t xml:space="preserve"> causes:</w:t>
      </w:r>
    </w:p>
    <w:p w14:paraId="000CE417" w14:textId="7B1F6512" w:rsidR="0015227A" w:rsidRPr="00BB1E47" w:rsidRDefault="0015227A" w:rsidP="007D11AE">
      <w:pPr>
        <w:pStyle w:val="Bullet2"/>
      </w:pPr>
      <w:r w:rsidRPr="00BB1E47">
        <w:t xml:space="preserve">the clinical thresholds between low, </w:t>
      </w:r>
      <w:proofErr w:type="gramStart"/>
      <w:r w:rsidRPr="00BB1E47">
        <w:t>medium</w:t>
      </w:r>
      <w:proofErr w:type="gramEnd"/>
      <w:r w:rsidRPr="00BB1E47">
        <w:t xml:space="preserve"> and high acuity are not clearly articulated </w:t>
      </w:r>
      <w:r w:rsidR="00C80FC8" w:rsidRPr="00BB1E47">
        <w:t>and there are</w:t>
      </w:r>
      <w:r w:rsidRPr="00BB1E47">
        <w:t xml:space="preserve"> reports of </w:t>
      </w:r>
      <w:r w:rsidRPr="00BB1E47">
        <w:rPr>
          <w:rStyle w:val="normaltextrun"/>
        </w:rPr>
        <w:t>mixed</w:t>
      </w:r>
      <w:r w:rsidRPr="00BB1E47">
        <w:t xml:space="preserve"> interpretations across the industry (particularly for low acuity patients)</w:t>
      </w:r>
    </w:p>
    <w:p w14:paraId="166886BB" w14:textId="1DB361A6" w:rsidR="007E7B00" w:rsidRPr="00BB1E47" w:rsidRDefault="0015227A" w:rsidP="00A56A88">
      <w:pPr>
        <w:pStyle w:val="Bullet2"/>
      </w:pPr>
      <w:r w:rsidRPr="00BB1E47">
        <w:t xml:space="preserve">there </w:t>
      </w:r>
      <w:proofErr w:type="gramStart"/>
      <w:r w:rsidRPr="00BB1E47">
        <w:rPr>
          <w:rStyle w:val="normaltextrun"/>
        </w:rPr>
        <w:t>is</w:t>
      </w:r>
      <w:proofErr w:type="gramEnd"/>
      <w:r w:rsidRPr="00BB1E47">
        <w:t xml:space="preserve"> limited validation of </w:t>
      </w:r>
      <w:r w:rsidR="001B1392">
        <w:t xml:space="preserve">patient needs via </w:t>
      </w:r>
      <w:r w:rsidRPr="00BB1E47">
        <w:t>acuity assessments during the booking process. In the case of bookings made via ESTA, all planned NEPT requests are accepted regardless of how the requestor answers the standardised questions</w:t>
      </w:r>
      <w:r w:rsidR="00A5219B" w:rsidRPr="00BB1E47">
        <w:t>.</w:t>
      </w:r>
      <w:r w:rsidRPr="00BB1E47">
        <w:rPr>
          <w:rStyle w:val="FootnoteReference"/>
        </w:rPr>
        <w:footnoteReference w:id="77"/>
      </w:r>
    </w:p>
    <w:p w14:paraId="27D89D82" w14:textId="57A350B1" w:rsidR="00EC6E64" w:rsidRPr="00BB1E47" w:rsidRDefault="008C1CA0" w:rsidP="00EC6E64">
      <w:pPr>
        <w:pStyle w:val="Bullet2"/>
        <w:numPr>
          <w:ilvl w:val="0"/>
          <w:numId w:val="18"/>
        </w:numPr>
      </w:pPr>
      <w:r w:rsidRPr="00BB1E47">
        <w:t xml:space="preserve">The inappropriate identification of patients as medium acuity during the intake/booking stage leads to </w:t>
      </w:r>
      <w:r w:rsidR="00780AA7" w:rsidRPr="00BB1E47">
        <w:t>the</w:t>
      </w:r>
      <w:r w:rsidR="00830B87" w:rsidRPr="00BB1E47">
        <w:t xml:space="preserve"> dispatch of</w:t>
      </w:r>
      <w:r w:rsidRPr="00BB1E47">
        <w:t xml:space="preserve"> medium acuity NEPT services when follow-up assessments determine cases are </w:t>
      </w:r>
      <w:proofErr w:type="gramStart"/>
      <w:r w:rsidRPr="00BB1E47">
        <w:t>actually low</w:t>
      </w:r>
      <w:proofErr w:type="gramEnd"/>
      <w:r w:rsidRPr="00BB1E47">
        <w:t xml:space="preserve"> acuity. </w:t>
      </w:r>
    </w:p>
    <w:p w14:paraId="2C25C4A1" w14:textId="20D1EE38" w:rsidR="008C1CA0" w:rsidRPr="00BB1E47" w:rsidRDefault="0015227A" w:rsidP="007D11AE">
      <w:pPr>
        <w:pStyle w:val="Bullet2"/>
      </w:pPr>
      <w:r w:rsidRPr="00BB1E47">
        <w:t>m</w:t>
      </w:r>
      <w:r w:rsidR="008C1CA0" w:rsidRPr="00BB1E47">
        <w:t xml:space="preserve">edium and high acuity patients require active management or intervention, whereas low acuity patients only require visual monitoring </w:t>
      </w:r>
    </w:p>
    <w:p w14:paraId="3FF51DC5" w14:textId="30AC96BD" w:rsidR="008C1CA0" w:rsidRPr="00BB1E47" w:rsidRDefault="0015227A" w:rsidP="007D11AE">
      <w:pPr>
        <w:pStyle w:val="Bullet2"/>
      </w:pPr>
      <w:r w:rsidRPr="00BB1E47">
        <w:lastRenderedPageBreak/>
        <w:t>due to their higher complexity, m</w:t>
      </w:r>
      <w:r w:rsidR="008C1CA0" w:rsidRPr="00BB1E47">
        <w:t xml:space="preserve">edium and high acuity transports must be single loaded (whereas two low acuity patients </w:t>
      </w:r>
      <w:r w:rsidR="008C1CA0" w:rsidRPr="00BB1E47">
        <w:rPr>
          <w:rStyle w:val="normaltextrun"/>
        </w:rPr>
        <w:t>can</w:t>
      </w:r>
      <w:r w:rsidR="008C1CA0" w:rsidRPr="00BB1E47">
        <w:t xml:space="preserve"> be multi-loaded) and staff must receive additional training in defibrillator operation and electrocardiogram interpretation</w:t>
      </w:r>
    </w:p>
    <w:p w14:paraId="3983DAC5" w14:textId="5EFFB792" w:rsidR="008C1CA0" w:rsidRPr="00BB1E47" w:rsidRDefault="0015227A" w:rsidP="007D11AE">
      <w:pPr>
        <w:pStyle w:val="Bullet2"/>
      </w:pPr>
      <w:r w:rsidRPr="00BB1E47">
        <w:t>t</w:t>
      </w:r>
      <w:r w:rsidR="008C1CA0" w:rsidRPr="00BB1E47">
        <w:t xml:space="preserve">his results in a higher service response </w:t>
      </w:r>
      <w:r w:rsidR="008C1CA0" w:rsidRPr="00BB1E47">
        <w:rPr>
          <w:rStyle w:val="normaltextrun"/>
        </w:rPr>
        <w:t>than</w:t>
      </w:r>
      <w:r w:rsidR="008C1CA0" w:rsidRPr="00BB1E47">
        <w:t xml:space="preserve"> necessary and an inefficient use of resources. </w:t>
      </w:r>
    </w:p>
    <w:p w14:paraId="18301DF7" w14:textId="5596CB1B" w:rsidR="00DE4FB4" w:rsidRPr="00BB1E47" w:rsidRDefault="00FD052D" w:rsidP="001F3D10">
      <w:pPr>
        <w:pStyle w:val="Bullet2"/>
        <w:numPr>
          <w:ilvl w:val="0"/>
          <w:numId w:val="18"/>
        </w:numPr>
      </w:pPr>
      <w:r w:rsidRPr="00BB1E47">
        <w:t xml:space="preserve">As a result of this inaccurate </w:t>
      </w:r>
      <w:r w:rsidR="00A56A88" w:rsidRPr="00BB1E47">
        <w:t xml:space="preserve">assessment </w:t>
      </w:r>
      <w:r w:rsidRPr="00BB1E47">
        <w:t>of acuity</w:t>
      </w:r>
      <w:r w:rsidR="00895ADC" w:rsidRPr="00BB1E47">
        <w:t>,</w:t>
      </w:r>
      <w:r w:rsidR="008F48A5" w:rsidRPr="00BB1E47">
        <w:t xml:space="preserve"> all </w:t>
      </w:r>
      <w:r w:rsidR="00927ED3" w:rsidRPr="00BB1E47">
        <w:t xml:space="preserve">AV </w:t>
      </w:r>
      <w:r w:rsidR="008F48A5" w:rsidRPr="00BB1E47">
        <w:t>baseload shifts</w:t>
      </w:r>
      <w:r w:rsidR="00927ED3" w:rsidRPr="00BB1E47">
        <w:t xml:space="preserve"> are staffed to medium acuity levels</w:t>
      </w:r>
      <w:r w:rsidR="001D355F" w:rsidRPr="00BB1E47">
        <w:t xml:space="preserve">. </w:t>
      </w:r>
      <w:r w:rsidR="00456535" w:rsidRPr="00BB1E47">
        <w:t xml:space="preserve">AV </w:t>
      </w:r>
      <w:r w:rsidR="000753E0">
        <w:t>estimates</w:t>
      </w:r>
      <w:r w:rsidR="00661E29" w:rsidRPr="00BB1E47">
        <w:t xml:space="preserve"> that</w:t>
      </w:r>
      <w:r w:rsidR="00F46591" w:rsidRPr="00BB1E47">
        <w:t xml:space="preserve">, if properly assessed, </w:t>
      </w:r>
      <w:r w:rsidR="00661E29" w:rsidRPr="00BB1E47">
        <w:t>up to</w:t>
      </w:r>
      <w:r w:rsidR="00F5141D" w:rsidRPr="00BB1E47">
        <w:t xml:space="preserve"> </w:t>
      </w:r>
      <w:r w:rsidR="00C3462C">
        <w:t xml:space="preserve">90% </w:t>
      </w:r>
      <w:r w:rsidR="00E25917">
        <w:t>of booked cases</w:t>
      </w:r>
      <w:r w:rsidR="00F46591" w:rsidRPr="00BB1E47">
        <w:t xml:space="preserve"> </w:t>
      </w:r>
      <w:r w:rsidR="00F46591" w:rsidRPr="00693108">
        <w:t>may be</w:t>
      </w:r>
      <w:r w:rsidR="00F5141D" w:rsidRPr="00693108">
        <w:t xml:space="preserve"> low</w:t>
      </w:r>
      <w:r w:rsidR="00F5141D" w:rsidRPr="00BB1E47">
        <w:t xml:space="preserve"> acuity.</w:t>
      </w:r>
      <w:r w:rsidR="005C623D" w:rsidRPr="00BB1E47">
        <w:rPr>
          <w:rStyle w:val="FootnoteReference"/>
        </w:rPr>
        <w:footnoteReference w:id="78"/>
      </w:r>
      <w:r w:rsidR="001F3D10">
        <w:t xml:space="preserve"> </w:t>
      </w:r>
      <w:proofErr w:type="gramStart"/>
      <w:r w:rsidR="001F3D10">
        <w:t>This contrasts</w:t>
      </w:r>
      <w:proofErr w:type="gramEnd"/>
      <w:r w:rsidR="001F3D10">
        <w:t xml:space="preserve"> to the relatively low </w:t>
      </w:r>
      <w:r w:rsidR="00577332">
        <w:t xml:space="preserve">reported </w:t>
      </w:r>
      <w:r w:rsidR="001F3D10">
        <w:t xml:space="preserve">incidence of </w:t>
      </w:r>
      <w:r w:rsidR="00FF652A">
        <w:t>NEPT transfers</w:t>
      </w:r>
      <w:r w:rsidR="00577332">
        <w:t xml:space="preserve">, which upon crew arrival, are reported to be of higher acuity than noted on dispatch (around 3,053 </w:t>
      </w:r>
      <w:r w:rsidR="008B25B7">
        <w:t>incidents in 2021-22).</w:t>
      </w:r>
      <w:r w:rsidR="008B25B7">
        <w:rPr>
          <w:rStyle w:val="FootnoteReference"/>
        </w:rPr>
        <w:footnoteReference w:id="79"/>
      </w:r>
    </w:p>
    <w:p w14:paraId="40FCD01F" w14:textId="039539D9" w:rsidR="0015227A" w:rsidRPr="00BB1E47" w:rsidRDefault="008C1CA0" w:rsidP="00B37D1A">
      <w:pPr>
        <w:pStyle w:val="Bullet1"/>
        <w:numPr>
          <w:ilvl w:val="0"/>
          <w:numId w:val="18"/>
        </w:numPr>
      </w:pPr>
      <w:r w:rsidRPr="00BB1E47">
        <w:t xml:space="preserve">The combination of these findings has resulted in a reorganisation of the ESTA booking process and the implementation of an online booking form in early 2023. It is anticipated that this process will more accurately determine patient acuity and deliver services on that basis, rather than being at the discretion of booking health service for example. </w:t>
      </w:r>
    </w:p>
    <w:p w14:paraId="18C900BB" w14:textId="0EF646B3" w:rsidR="008C1CA0" w:rsidRPr="00BB1E47" w:rsidRDefault="00540535" w:rsidP="00BB1E47">
      <w:pPr>
        <w:pStyle w:val="Heading3"/>
      </w:pPr>
      <w:bookmarkStart w:id="104" w:name="_Ref135670958"/>
      <w:r w:rsidRPr="00BB1E47">
        <w:t xml:space="preserve">Crew composition may not be </w:t>
      </w:r>
      <w:r w:rsidR="000055E0" w:rsidRPr="00BB1E47">
        <w:t>optimal</w:t>
      </w:r>
      <w:r w:rsidR="0015227A" w:rsidRPr="00BB1E47">
        <w:t xml:space="preserve"> </w:t>
      </w:r>
      <w:bookmarkEnd w:id="104"/>
    </w:p>
    <w:p w14:paraId="1C35F38C" w14:textId="77777777" w:rsidR="00530BA7" w:rsidRPr="00BB1E47" w:rsidRDefault="00486B45" w:rsidP="00391A63">
      <w:pPr>
        <w:pStyle w:val="Bullet1"/>
      </w:pPr>
      <w:r w:rsidRPr="00BB1E47">
        <w:t>A</w:t>
      </w:r>
      <w:r w:rsidR="00A95AC5" w:rsidRPr="00BB1E47">
        <w:t>cross jurisdictions</w:t>
      </w:r>
      <w:r w:rsidRPr="00BB1E47">
        <w:t xml:space="preserve"> there are a range of models </w:t>
      </w:r>
      <w:r w:rsidR="00CB7916" w:rsidRPr="00BB1E47">
        <w:t xml:space="preserve">for staffing NEPT services. </w:t>
      </w:r>
    </w:p>
    <w:p w14:paraId="557B2A2F" w14:textId="498C08AF" w:rsidR="00856DA1" w:rsidRPr="00BB1E47" w:rsidRDefault="00CB7916" w:rsidP="00530BA7">
      <w:pPr>
        <w:pStyle w:val="Bullet2"/>
      </w:pPr>
      <w:r w:rsidRPr="00BB1E47">
        <w:t xml:space="preserve">In </w:t>
      </w:r>
      <w:r w:rsidR="00856DA1" w:rsidRPr="00BB1E47">
        <w:t xml:space="preserve">Victoria, the </w:t>
      </w:r>
      <w:r w:rsidR="00F05B25" w:rsidRPr="00BB1E47">
        <w:t>NEPT regulations require</w:t>
      </w:r>
      <w:r w:rsidR="006A28D2" w:rsidRPr="00BB1E47">
        <w:t xml:space="preserve"> patients to </w:t>
      </w:r>
      <w:r w:rsidR="00856DA1" w:rsidRPr="00BB1E47">
        <w:t xml:space="preserve">always </w:t>
      </w:r>
      <w:r w:rsidR="006A28D2" w:rsidRPr="00BB1E47">
        <w:t>be transported by two</w:t>
      </w:r>
      <w:r w:rsidR="00856DA1" w:rsidRPr="00BB1E47">
        <w:t xml:space="preserve"> trained</w:t>
      </w:r>
      <w:r w:rsidR="006A28D2" w:rsidRPr="00BB1E47">
        <w:t xml:space="preserve"> crew members</w:t>
      </w:r>
      <w:r w:rsidR="008007D0" w:rsidRPr="00BB1E47">
        <w:t xml:space="preserve">, with one </w:t>
      </w:r>
      <w:r w:rsidR="00CD05DF" w:rsidRPr="00BB1E47">
        <w:t>traveling in the patient compartment with the patient.</w:t>
      </w:r>
      <w:r w:rsidR="00CD05DF" w:rsidRPr="00BB1E47">
        <w:rPr>
          <w:rStyle w:val="FootnoteReference"/>
        </w:rPr>
        <w:footnoteReference w:id="80"/>
      </w:r>
      <w:r w:rsidR="00391A63" w:rsidRPr="00BB1E47">
        <w:t xml:space="preserve"> Both crew members must have skills, </w:t>
      </w:r>
      <w:proofErr w:type="gramStart"/>
      <w:r w:rsidR="00391A63" w:rsidRPr="00BB1E47">
        <w:t>competencies</w:t>
      </w:r>
      <w:proofErr w:type="gramEnd"/>
      <w:r w:rsidR="00391A63" w:rsidRPr="00BB1E47">
        <w:t xml:space="preserve"> and knowledge appropriate for ensuring that the patient's clinical needs can be met for the duration of the transport.</w:t>
      </w:r>
      <w:r w:rsidR="00391A63" w:rsidRPr="00BB1E47">
        <w:rPr>
          <w:rStyle w:val="FootnoteReference"/>
        </w:rPr>
        <w:footnoteReference w:id="81"/>
      </w:r>
    </w:p>
    <w:p w14:paraId="6105C8C2" w14:textId="681FAA92" w:rsidR="0051562F" w:rsidRDefault="0051562F" w:rsidP="00530BA7">
      <w:pPr>
        <w:pStyle w:val="Bullet2"/>
      </w:pPr>
      <w:r w:rsidRPr="00BB1E47">
        <w:t>In some jurisdictions such as New South Wales, a different model is followed where one crew member may be a driver with minimal training,</w:t>
      </w:r>
      <w:r w:rsidR="006F1AB2" w:rsidRPr="00BB1E47">
        <w:rPr>
          <w:rStyle w:val="FootnoteReference"/>
        </w:rPr>
        <w:t xml:space="preserve"> </w:t>
      </w:r>
      <w:r w:rsidR="006F1AB2" w:rsidRPr="00BB1E47">
        <w:rPr>
          <w:rStyle w:val="FootnoteReference"/>
        </w:rPr>
        <w:footnoteReference w:id="82"/>
      </w:r>
      <w:r w:rsidR="006F1AB2" w:rsidRPr="00BB1E47">
        <w:t xml:space="preserve"> </w:t>
      </w:r>
      <w:r w:rsidRPr="00BB1E47">
        <w:t xml:space="preserve"> while the other is clinically trained at PTO level or above</w:t>
      </w:r>
      <w:r w:rsidR="006F1AB2" w:rsidRPr="00BB1E47">
        <w:t xml:space="preserve"> (see case study below)</w:t>
      </w:r>
      <w:r w:rsidR="00E201ED">
        <w:t>.</w:t>
      </w:r>
    </w:p>
    <w:p w14:paraId="35F3B117" w14:textId="77777777" w:rsidR="009A1632" w:rsidRPr="00BB1E47" w:rsidRDefault="009A1632" w:rsidP="00384483">
      <w:pPr>
        <w:pStyle w:val="Bullet1"/>
        <w:numPr>
          <w:ilvl w:val="0"/>
          <w:numId w:val="0"/>
        </w:numPr>
      </w:pPr>
    </w:p>
    <w:tbl>
      <w:tblPr>
        <w:tblStyle w:val="TableGrid"/>
        <w:tblW w:w="0" w:type="auto"/>
        <w:tblInd w:w="-5" w:type="dxa"/>
        <w:tblLook w:val="04A0" w:firstRow="1" w:lastRow="0" w:firstColumn="1" w:lastColumn="0" w:noHBand="0" w:noVBand="1"/>
      </w:tblPr>
      <w:tblGrid>
        <w:gridCol w:w="9802"/>
      </w:tblGrid>
      <w:tr w:rsidR="0051562F" w:rsidRPr="00BB1E47" w14:paraId="2AB3B986" w14:textId="77777777">
        <w:trPr>
          <w:trHeight w:val="707"/>
        </w:trPr>
        <w:tc>
          <w:tcPr>
            <w:tcW w:w="9802" w:type="dxa"/>
            <w:shd w:val="clear" w:color="auto" w:fill="F2F2F2" w:themeFill="background1" w:themeFillShade="F2"/>
          </w:tcPr>
          <w:p w14:paraId="60DD876F" w14:textId="77777777" w:rsidR="0051562F" w:rsidRPr="00BB1E47" w:rsidRDefault="0051562F">
            <w:pPr>
              <w:pStyle w:val="Bullet1"/>
              <w:numPr>
                <w:ilvl w:val="0"/>
                <w:numId w:val="0"/>
              </w:numPr>
              <w:rPr>
                <w:b/>
                <w:bCs/>
              </w:rPr>
            </w:pPr>
            <w:r w:rsidRPr="00BB1E47">
              <w:rPr>
                <w:b/>
                <w:bCs/>
              </w:rPr>
              <w:t>Case Study: Crew Composition in New South Wales</w:t>
            </w:r>
            <w:r w:rsidRPr="00BB1E47">
              <w:rPr>
                <w:rStyle w:val="FootnoteReference"/>
                <w:b/>
                <w:bCs/>
              </w:rPr>
              <w:footnoteReference w:id="83"/>
            </w:r>
          </w:p>
          <w:p w14:paraId="2DA1A37D" w14:textId="77777777" w:rsidR="0051562F" w:rsidRPr="00BB1E47" w:rsidRDefault="0051562F">
            <w:pPr>
              <w:pStyle w:val="Bullet1"/>
              <w:numPr>
                <w:ilvl w:val="0"/>
                <w:numId w:val="0"/>
              </w:numPr>
              <w:ind w:left="284" w:hanging="284"/>
            </w:pPr>
          </w:p>
          <w:p w14:paraId="2D09B70C" w14:textId="77777777" w:rsidR="0051562F" w:rsidRPr="00BB1E47" w:rsidRDefault="0051562F" w:rsidP="00E9640E">
            <w:pPr>
              <w:pStyle w:val="Bullet1"/>
              <w:numPr>
                <w:ilvl w:val="0"/>
                <w:numId w:val="28"/>
              </w:numPr>
            </w:pPr>
            <w:r w:rsidRPr="00BB1E47">
              <w:t xml:space="preserve">NEPT provision in New South Wales is split across three classes (B-D). Class B patients are the most acute patients managed by NEPT in NSW and may require active treatment during transfer. Class D patients are the least acute – they are not anticipated to require active treatment and have a low risk of deterioration during transport. </w:t>
            </w:r>
          </w:p>
          <w:p w14:paraId="68C00985" w14:textId="041853A8" w:rsidR="0051562F" w:rsidRPr="00BB1E47" w:rsidRDefault="0051562F" w:rsidP="00E9640E">
            <w:pPr>
              <w:pStyle w:val="Bullet1"/>
              <w:numPr>
                <w:ilvl w:val="0"/>
                <w:numId w:val="28"/>
              </w:numPr>
            </w:pPr>
            <w:r w:rsidRPr="00BB1E47">
              <w:t xml:space="preserve">Across each of these three categories minimum staffing levels require at least one </w:t>
            </w:r>
            <w:r w:rsidR="005C5478" w:rsidRPr="00BB1E47">
              <w:t xml:space="preserve">clinically trained crew member </w:t>
            </w:r>
            <w:r w:rsidRPr="00BB1E47">
              <w:t xml:space="preserve">and one driver for the NEPT transfer. </w:t>
            </w:r>
          </w:p>
          <w:p w14:paraId="12538F78" w14:textId="1C38BD8D" w:rsidR="0051562F" w:rsidRPr="00BB1E47" w:rsidRDefault="0051562F" w:rsidP="00FB4806">
            <w:pPr>
              <w:pStyle w:val="Bullet1"/>
              <w:numPr>
                <w:ilvl w:val="0"/>
                <w:numId w:val="28"/>
              </w:numPr>
            </w:pPr>
            <w:r w:rsidRPr="00BB1E47">
              <w:t xml:space="preserve">Across all NEPT classes, the driver may be a PTO, a trainee </w:t>
            </w:r>
            <w:proofErr w:type="gramStart"/>
            <w:r w:rsidRPr="00BB1E47">
              <w:t>PTO</w:t>
            </w:r>
            <w:proofErr w:type="gramEnd"/>
            <w:r w:rsidRPr="00BB1E47">
              <w:t xml:space="preserve"> or a driver (whose minimum training requirement is an appropriate driving license).</w:t>
            </w:r>
          </w:p>
        </w:tc>
      </w:tr>
    </w:tbl>
    <w:p w14:paraId="4BE115BB" w14:textId="77777777" w:rsidR="0051562F" w:rsidRPr="00BB1E47" w:rsidRDefault="0051562F" w:rsidP="0051562F">
      <w:pPr>
        <w:pStyle w:val="Bullet1"/>
        <w:numPr>
          <w:ilvl w:val="0"/>
          <w:numId w:val="0"/>
        </w:numPr>
        <w:ind w:left="284"/>
      </w:pPr>
    </w:p>
    <w:p w14:paraId="46477047" w14:textId="1E579835" w:rsidR="006A0FB0" w:rsidRPr="00BB1E47" w:rsidRDefault="0051562F" w:rsidP="006A0FB0">
      <w:pPr>
        <w:pStyle w:val="Bullet1"/>
      </w:pPr>
      <w:r w:rsidRPr="00BB1E47">
        <w:t xml:space="preserve">While </w:t>
      </w:r>
      <w:r w:rsidR="0099117B" w:rsidRPr="00BB1E47">
        <w:t>Victoria’s</w:t>
      </w:r>
      <w:r w:rsidR="00621E85" w:rsidRPr="00BB1E47">
        <w:t xml:space="preserve"> requirement </w:t>
      </w:r>
      <w:r w:rsidRPr="00BB1E47">
        <w:t xml:space="preserve">for two trained crew members </w:t>
      </w:r>
      <w:r w:rsidR="0099117B" w:rsidRPr="00BB1E47">
        <w:t>to accompany NEPT patients</w:t>
      </w:r>
      <w:r w:rsidR="00621E85" w:rsidRPr="00BB1E47">
        <w:t xml:space="preserve"> </w:t>
      </w:r>
      <w:r w:rsidR="00B40C32" w:rsidRPr="00BB1E47">
        <w:t xml:space="preserve">plays an important role in ensuring </w:t>
      </w:r>
      <w:r w:rsidR="00AF3EBF" w:rsidRPr="00BB1E47">
        <w:t>safe transfers for some patients</w:t>
      </w:r>
      <w:r w:rsidR="007C3DDC" w:rsidRPr="00BB1E47">
        <w:t xml:space="preserve">, </w:t>
      </w:r>
      <w:r w:rsidR="005B65CE" w:rsidRPr="00BB1E47">
        <w:t xml:space="preserve">there </w:t>
      </w:r>
      <w:r w:rsidR="0099117B" w:rsidRPr="00BB1E47">
        <w:t xml:space="preserve">may </w:t>
      </w:r>
      <w:r w:rsidR="005B65CE" w:rsidRPr="00BB1E47">
        <w:t>be</w:t>
      </w:r>
      <w:r w:rsidR="00F5687D" w:rsidRPr="00BB1E47">
        <w:t xml:space="preserve"> </w:t>
      </w:r>
      <w:r w:rsidR="00AF3EBF" w:rsidRPr="00BB1E47">
        <w:t>some instances where</w:t>
      </w:r>
      <w:r w:rsidR="006A0FB0" w:rsidRPr="00BB1E47" w:rsidDel="00B0683E">
        <w:t xml:space="preserve"> </w:t>
      </w:r>
      <w:r w:rsidR="006A0FB0" w:rsidRPr="00BB1E47">
        <w:t xml:space="preserve">it is no </w:t>
      </w:r>
      <w:r w:rsidR="006A0FB0" w:rsidRPr="00BB1E47">
        <w:lastRenderedPageBreak/>
        <w:t xml:space="preserve">longer necessary for the second crew member (the driver) to have </w:t>
      </w:r>
      <w:r w:rsidR="00946260" w:rsidRPr="00BB1E47">
        <w:t>tr</w:t>
      </w:r>
      <w:r w:rsidR="00273EB1" w:rsidRPr="00BB1E47">
        <w:t xml:space="preserve">aining related to patient care </w:t>
      </w:r>
      <w:r w:rsidR="007C3DDC" w:rsidRPr="00BB1E47">
        <w:t>when transporting low acuity patients</w:t>
      </w:r>
      <w:r w:rsidR="006A0FB0" w:rsidRPr="00BB1E47">
        <w:t>.</w:t>
      </w:r>
      <w:r w:rsidR="005B57D3" w:rsidRPr="00BB1E47">
        <w:rPr>
          <w:rStyle w:val="FootnoteReference"/>
        </w:rPr>
        <w:footnoteReference w:id="84"/>
      </w:r>
      <w:r w:rsidR="006A0FB0" w:rsidRPr="00BB1E47">
        <w:t xml:space="preserve"> </w:t>
      </w:r>
      <w:r w:rsidR="00B136EE" w:rsidRPr="00BB1E47">
        <w:t xml:space="preserve"> </w:t>
      </w:r>
    </w:p>
    <w:p w14:paraId="68C09986" w14:textId="56D8952C" w:rsidR="009F0C73" w:rsidRPr="00BB1E47" w:rsidRDefault="005D027E" w:rsidP="007D11AE">
      <w:pPr>
        <w:pStyle w:val="Bullet2"/>
      </w:pPr>
      <w:r w:rsidRPr="00BB1E47">
        <w:rPr>
          <w:rStyle w:val="normaltextrun"/>
        </w:rPr>
        <w:t>Contemporary</w:t>
      </w:r>
      <w:r w:rsidRPr="00BB1E47">
        <w:t xml:space="preserve"> technology now enables the crew member travelling in the patient compartment to be remotely assisted, should it be needed, by specialist clinicians</w:t>
      </w:r>
      <w:r w:rsidR="00627391" w:rsidRPr="00BB1E47">
        <w:t>. For example,</w:t>
      </w:r>
      <w:r w:rsidR="009F0C73" w:rsidRPr="00BB1E47">
        <w:t xml:space="preserve"> </w:t>
      </w:r>
      <w:r w:rsidRPr="00BB1E47">
        <w:t xml:space="preserve">the </w:t>
      </w:r>
      <w:r w:rsidRPr="00BB1E47" w:rsidDel="00D371CE">
        <w:t>Victorian</w:t>
      </w:r>
      <w:r w:rsidRPr="00BB1E47">
        <w:t xml:space="preserve"> Virtual Emergency Department</w:t>
      </w:r>
      <w:r w:rsidR="009F0C73" w:rsidRPr="00BB1E47">
        <w:t xml:space="preserve"> (VVED) offers a dedicated pathway for AV staff to </w:t>
      </w:r>
      <w:r w:rsidR="00B533DC" w:rsidRPr="00BB1E47">
        <w:t xml:space="preserve">rapidly </w:t>
      </w:r>
      <w:r w:rsidR="009F0C73" w:rsidRPr="00BB1E47">
        <w:t xml:space="preserve">access </w:t>
      </w:r>
      <w:r w:rsidR="009F0C73" w:rsidRPr="00BB1E47" w:rsidDel="00D371CE">
        <w:t>th</w:t>
      </w:r>
      <w:r w:rsidR="009F0C73" w:rsidRPr="00BB1E47" w:rsidDel="00627391">
        <w:t>e</w:t>
      </w:r>
      <w:r w:rsidR="009F0C73" w:rsidRPr="00BB1E47">
        <w:t xml:space="preserve"> service when infield.</w:t>
      </w:r>
    </w:p>
    <w:p w14:paraId="745B4BA9" w14:textId="2A3B6E9B" w:rsidR="009F0C73" w:rsidRPr="00BB1E47" w:rsidRDefault="009F0C73" w:rsidP="007D11AE">
      <w:pPr>
        <w:pStyle w:val="Bullet2"/>
      </w:pPr>
      <w:r w:rsidRPr="00BB1E47">
        <w:t xml:space="preserve">This pathway would inevitably give NEPT crew members access to more highly skilled clinical advice (from </w:t>
      </w:r>
      <w:r w:rsidRPr="00BB1E47">
        <w:rPr>
          <w:rStyle w:val="normaltextrun"/>
        </w:rPr>
        <w:t>doctors</w:t>
      </w:r>
      <w:r w:rsidRPr="00BB1E47">
        <w:t xml:space="preserve"> and nurses trained in </w:t>
      </w:r>
      <w:r w:rsidR="0035566A" w:rsidRPr="00BB1E47">
        <w:t>specialist medical fields</w:t>
      </w:r>
      <w:r w:rsidRPr="00BB1E47">
        <w:t xml:space="preserve">) than a peer NEPT worker in the vehicle. </w:t>
      </w:r>
    </w:p>
    <w:p w14:paraId="133C6A86" w14:textId="301D3141" w:rsidR="009D4C0F" w:rsidRPr="00BB1E47" w:rsidRDefault="009F0C73" w:rsidP="007D11AE">
      <w:pPr>
        <w:pStyle w:val="Bullet2"/>
      </w:pPr>
      <w:r w:rsidRPr="00BB1E47">
        <w:t xml:space="preserve">Virtual support would offer a third (or more) pair of </w:t>
      </w:r>
      <w:proofErr w:type="gramStart"/>
      <w:r w:rsidRPr="00BB1E47">
        <w:t>hands, and</w:t>
      </w:r>
      <w:proofErr w:type="gramEnd"/>
      <w:r w:rsidRPr="00BB1E47">
        <w:t xml:space="preserve"> enable the driving crew member to focus </w:t>
      </w:r>
      <w:r w:rsidRPr="00BB1E47">
        <w:rPr>
          <w:rStyle w:val="normaltextrun"/>
        </w:rPr>
        <w:t>on</w:t>
      </w:r>
      <w:r w:rsidRPr="00BB1E47">
        <w:t xml:space="preserve"> bringing the patient safely to hospital without delay or distraction. </w:t>
      </w:r>
    </w:p>
    <w:p w14:paraId="61924E21" w14:textId="48A53C08" w:rsidR="009F0C73" w:rsidRPr="00BB1E47" w:rsidRDefault="009F0C73" w:rsidP="00E9640E">
      <w:pPr>
        <w:pStyle w:val="Bullet2"/>
        <w:numPr>
          <w:ilvl w:val="0"/>
          <w:numId w:val="23"/>
        </w:numPr>
      </w:pPr>
      <w:r w:rsidRPr="00BB1E47">
        <w:t>Exceptions to this approach may involve:</w:t>
      </w:r>
    </w:p>
    <w:p w14:paraId="1E5ED6B9" w14:textId="77777777" w:rsidR="009F0C73" w:rsidRPr="00BB1E47" w:rsidRDefault="009F0C73" w:rsidP="007D11AE">
      <w:pPr>
        <w:pStyle w:val="Bullet2"/>
      </w:pPr>
      <w:r w:rsidRPr="00BB1E47">
        <w:t>transfers in rural and regional areas, where there is a risk of mobile phone blackspots</w:t>
      </w:r>
    </w:p>
    <w:p w14:paraId="6EF3A032" w14:textId="2004B28C" w:rsidR="005D027E" w:rsidRPr="00BB1E47" w:rsidRDefault="009F0C73" w:rsidP="00223C87">
      <w:pPr>
        <w:pStyle w:val="Bullet2"/>
      </w:pPr>
      <w:r w:rsidRPr="00BB1E47">
        <w:t>unplanned NEPT</w:t>
      </w:r>
      <w:r w:rsidR="008B7F2E" w:rsidRPr="00BB1E47">
        <w:t>,</w:t>
      </w:r>
      <w:r w:rsidRPr="00BB1E47">
        <w:t xml:space="preserve"> where patient assessment has occurred over the phone rather than in-person by an authorised clinician, with a greater risk the patient proves more complex than anticipated. </w:t>
      </w:r>
    </w:p>
    <w:p w14:paraId="3FAD7915" w14:textId="364F05AD" w:rsidR="001110FA" w:rsidRPr="00BB1E47" w:rsidRDefault="001110FA" w:rsidP="0055162B">
      <w:pPr>
        <w:pStyle w:val="Bullet1"/>
      </w:pPr>
      <w:r w:rsidRPr="00BB1E47">
        <w:t xml:space="preserve">Any changes to these staffing requirements would need to be carefully considered for </w:t>
      </w:r>
      <w:r w:rsidR="00123392" w:rsidRPr="00BB1E47">
        <w:t xml:space="preserve">any potential risk to </w:t>
      </w:r>
      <w:r w:rsidRPr="00BB1E47">
        <w:t>patient safety</w:t>
      </w:r>
      <w:r w:rsidR="00123392" w:rsidRPr="00BB1E47">
        <w:t xml:space="preserve"> and guard</w:t>
      </w:r>
      <w:r w:rsidR="00645A18" w:rsidRPr="00BB1E47">
        <w:t>rails to manage this</w:t>
      </w:r>
      <w:r w:rsidR="00123392" w:rsidRPr="00BB1E47">
        <w:t xml:space="preserve">, alongside broader potential benefits </w:t>
      </w:r>
      <w:r w:rsidR="00645A18" w:rsidRPr="00BB1E47">
        <w:t xml:space="preserve">to </w:t>
      </w:r>
      <w:r w:rsidR="00045067" w:rsidRPr="00BB1E47">
        <w:t xml:space="preserve">the system such as </w:t>
      </w:r>
      <w:r w:rsidR="00EE4036" w:rsidRPr="00BB1E47">
        <w:t>mitigated supply constraints</w:t>
      </w:r>
      <w:r w:rsidRPr="00BB1E47">
        <w:t xml:space="preserve">. </w:t>
      </w:r>
    </w:p>
    <w:p w14:paraId="3372005C" w14:textId="77777777" w:rsidR="00391A63" w:rsidRPr="00BB1E47" w:rsidRDefault="00391A63" w:rsidP="009F0C73">
      <w:pPr>
        <w:pStyle w:val="Bullet1"/>
        <w:numPr>
          <w:ilvl w:val="0"/>
          <w:numId w:val="0"/>
        </w:numPr>
      </w:pPr>
    </w:p>
    <w:p w14:paraId="6122EC50" w14:textId="27B1649D" w:rsidR="008C1CA0" w:rsidRPr="00BB1E47" w:rsidRDefault="008C1CA0" w:rsidP="00D4249B">
      <w:pPr>
        <w:pStyle w:val="Bullet1"/>
        <w:numPr>
          <w:ilvl w:val="0"/>
          <w:numId w:val="0"/>
        </w:numPr>
        <w:ind w:left="284" w:hanging="284"/>
      </w:pPr>
      <w:r w:rsidRPr="00BB1E47">
        <w:rPr>
          <w:noProof/>
        </w:rPr>
        <mc:AlternateContent>
          <mc:Choice Requires="wps">
            <w:drawing>
              <wp:inline distT="0" distB="0" distL="0" distR="0" wp14:anchorId="140EB6C0" wp14:editId="24DB84BC">
                <wp:extent cx="6334125" cy="952500"/>
                <wp:effectExtent l="0" t="0" r="9525" b="0"/>
                <wp:docPr id="33" name="Text Box 33"/>
                <wp:cNvGraphicFramePr/>
                <a:graphic xmlns:a="http://schemas.openxmlformats.org/drawingml/2006/main">
                  <a:graphicData uri="http://schemas.microsoft.com/office/word/2010/wordprocessingShape">
                    <wps:wsp>
                      <wps:cNvSpPr txBox="1"/>
                      <wps:spPr>
                        <a:xfrm>
                          <a:off x="0" y="0"/>
                          <a:ext cx="6334125" cy="952500"/>
                        </a:xfrm>
                        <a:prstGeom prst="rect">
                          <a:avLst/>
                        </a:prstGeom>
                        <a:solidFill>
                          <a:schemeClr val="accent1">
                            <a:lumMod val="20000"/>
                            <a:lumOff val="80000"/>
                          </a:schemeClr>
                        </a:solidFill>
                        <a:ln w="6350">
                          <a:noFill/>
                        </a:ln>
                      </wps:spPr>
                      <wps:txbx>
                        <w:txbxContent>
                          <w:p w14:paraId="41A23EE5" w14:textId="1A980BC9"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 </w:t>
                            </w:r>
                            <w:r w:rsidR="0015227A">
                              <w:rPr>
                                <w:b/>
                                <w:bCs/>
                              </w:rPr>
                              <w:t>–</w:t>
                            </w:r>
                            <w:r>
                              <w:rPr>
                                <w:b/>
                                <w:bCs/>
                              </w:rPr>
                              <w:t xml:space="preserve"> </w:t>
                            </w:r>
                            <w:r w:rsidR="0015227A">
                              <w:rPr>
                                <w:b/>
                                <w:bCs/>
                                <w:i/>
                                <w:iCs/>
                              </w:rPr>
                              <w:t>connecting patients to the right transport</w:t>
                            </w:r>
                          </w:p>
                          <w:p w14:paraId="08539BAE" w14:textId="77777777" w:rsidR="008C1CA0" w:rsidRPr="00BB1E47" w:rsidRDefault="008C1CA0" w:rsidP="00E9640E">
                            <w:pPr>
                              <w:pStyle w:val="Tablebullet1"/>
                              <w:numPr>
                                <w:ilvl w:val="0"/>
                                <w:numId w:val="31"/>
                              </w:numPr>
                            </w:pPr>
                            <w:r w:rsidRPr="002E19A8">
                              <w:t xml:space="preserve">What steps could </w:t>
                            </w:r>
                            <w:r w:rsidRPr="0068259D">
                              <w:t>be</w:t>
                            </w:r>
                            <w:r w:rsidRPr="002E19A8">
                              <w:t xml:space="preserve"> taken to </w:t>
                            </w:r>
                            <w:r>
                              <w:t xml:space="preserve">ensure patients are connected to the most appropriate transport for </w:t>
                            </w:r>
                            <w:r w:rsidRPr="00BB1E47">
                              <w:t xml:space="preserve">their needs? </w:t>
                            </w:r>
                          </w:p>
                          <w:p w14:paraId="5C38D7B6" w14:textId="33CDA0F2" w:rsidR="00223C87" w:rsidRPr="00BB1E47" w:rsidRDefault="004A2E34" w:rsidP="00E9640E">
                            <w:pPr>
                              <w:pStyle w:val="Tablebullet1"/>
                              <w:numPr>
                                <w:ilvl w:val="0"/>
                                <w:numId w:val="31"/>
                              </w:numPr>
                            </w:pPr>
                            <w:r w:rsidRPr="00BB1E47">
                              <w:t xml:space="preserve">What is the appropriate </w:t>
                            </w:r>
                            <w:r w:rsidR="001565A9" w:rsidRPr="00BB1E47">
                              <w:t xml:space="preserve">crew skill-mix in lower acuity NEPT transfers? </w:t>
                            </w:r>
                          </w:p>
                          <w:p w14:paraId="0A881671" w14:textId="77777777" w:rsidR="008C1CA0" w:rsidRPr="002E19A8" w:rsidRDefault="008C1CA0" w:rsidP="008C1CA0">
                            <w:pPr>
                              <w:pStyle w:val="Bullet1"/>
                              <w:numPr>
                                <w:ilvl w:val="0"/>
                                <w:numId w:val="0"/>
                              </w:numPr>
                              <w:rPr>
                                <w:rFonts w:eastAsia="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0EB6C0" id="Text Box 33" o:spid="_x0000_s1032" type="#_x0000_t202" style="width:49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" fillcolor="#dbe5f1 [660]" stroked="f" strokeweight=".5pt">
                <v:textbox>
                  <w:txbxContent>
                    <w:p w14:paraId="41A23EE5" w14:textId="1A980BC9"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 xml:space="preserve"> </w:t>
                      </w:r>
                      <w:r w:rsidR="0015227A">
                        <w:rPr>
                          <w:b/>
                          <w:bCs/>
                        </w:rPr>
                        <w:t>–</w:t>
                      </w:r>
                      <w:r>
                        <w:rPr>
                          <w:b/>
                          <w:bCs/>
                        </w:rPr>
                        <w:t xml:space="preserve"> </w:t>
                      </w:r>
                      <w:r w:rsidR="0015227A">
                        <w:rPr>
                          <w:b/>
                          <w:bCs/>
                          <w:i/>
                          <w:iCs/>
                        </w:rPr>
                        <w:t>connecting patients to the right transport</w:t>
                      </w:r>
                    </w:p>
                    <w:p w14:paraId="08539BAE" w14:textId="77777777" w:rsidR="008C1CA0" w:rsidRPr="00BB1E47" w:rsidRDefault="008C1CA0" w:rsidP="00E9640E">
                      <w:pPr>
                        <w:pStyle w:val="Tablebullet1"/>
                        <w:numPr>
                          <w:ilvl w:val="0"/>
                          <w:numId w:val="31"/>
                        </w:numPr>
                      </w:pPr>
                      <w:r w:rsidRPr="002E19A8">
                        <w:t xml:space="preserve">What steps could </w:t>
                      </w:r>
                      <w:r w:rsidRPr="0068259D">
                        <w:t>be</w:t>
                      </w:r>
                      <w:r w:rsidRPr="002E19A8">
                        <w:t xml:space="preserve"> taken to </w:t>
                      </w:r>
                      <w:r>
                        <w:t xml:space="preserve">ensure patients are connected to the most appropriate transport for </w:t>
                      </w:r>
                      <w:r w:rsidRPr="00BB1E47">
                        <w:t xml:space="preserve">their needs? </w:t>
                      </w:r>
                    </w:p>
                    <w:p w14:paraId="5C38D7B6" w14:textId="33CDA0F2" w:rsidR="00223C87" w:rsidRPr="00BB1E47" w:rsidRDefault="004A2E34" w:rsidP="00E9640E">
                      <w:pPr>
                        <w:pStyle w:val="Tablebullet1"/>
                        <w:numPr>
                          <w:ilvl w:val="0"/>
                          <w:numId w:val="31"/>
                        </w:numPr>
                      </w:pPr>
                      <w:r w:rsidRPr="00BB1E47">
                        <w:t xml:space="preserve">What is the appropriate </w:t>
                      </w:r>
                      <w:r w:rsidR="001565A9" w:rsidRPr="00BB1E47">
                        <w:t xml:space="preserve">crew skill-mix in lower acuity NEPT transfers? </w:t>
                      </w:r>
                    </w:p>
                    <w:p w14:paraId="0A881671" w14:textId="77777777" w:rsidR="008C1CA0" w:rsidRPr="002E19A8" w:rsidRDefault="008C1CA0" w:rsidP="008C1CA0">
                      <w:pPr>
                        <w:pStyle w:val="Bullet1"/>
                        <w:numPr>
                          <w:ilvl w:val="0"/>
                          <w:numId w:val="0"/>
                        </w:numPr>
                        <w:rPr>
                          <w:rFonts w:eastAsia="Myriad Pro"/>
                        </w:rPr>
                      </w:pPr>
                    </w:p>
                  </w:txbxContent>
                </v:textbox>
                <w10:anchorlock/>
              </v:shape>
            </w:pict>
          </mc:Fallback>
        </mc:AlternateContent>
      </w:r>
    </w:p>
    <w:p w14:paraId="13D09E4B" w14:textId="6FDE0BAD" w:rsidR="008C1CA0" w:rsidRPr="00BB1E47" w:rsidRDefault="008C1CA0" w:rsidP="00E9640E">
      <w:pPr>
        <w:pStyle w:val="Heading2"/>
      </w:pPr>
      <w:bookmarkStart w:id="105" w:name="_Toc134633554"/>
      <w:bookmarkStart w:id="106" w:name="_Ref135670941"/>
      <w:bookmarkStart w:id="107" w:name="_Toc136433501"/>
      <w:r w:rsidRPr="00BB1E47">
        <w:t>There are barriers to competition under existing arrangements</w:t>
      </w:r>
      <w:bookmarkEnd w:id="105"/>
      <w:bookmarkEnd w:id="106"/>
      <w:bookmarkEnd w:id="107"/>
    </w:p>
    <w:p w14:paraId="455565EF" w14:textId="779D297A" w:rsidR="008C1CA0" w:rsidRPr="00BB1E47" w:rsidRDefault="008C1CA0" w:rsidP="008C1CA0">
      <w:pPr>
        <w:pStyle w:val="Bullet1"/>
        <w:numPr>
          <w:ilvl w:val="0"/>
          <w:numId w:val="10"/>
        </w:numPr>
      </w:pPr>
      <w:r w:rsidRPr="00BB1E47">
        <w:t xml:space="preserve">When public NEPT services were privatised in 1993 (see Section </w:t>
      </w:r>
      <w:r w:rsidRPr="00BB1E47">
        <w:fldChar w:fldCharType="begin"/>
      </w:r>
      <w:r w:rsidRPr="00BB1E47">
        <w:instrText xml:space="preserve"> REF _Ref134281345 \r \h </w:instrText>
      </w:r>
      <w:r w:rsidR="00BB1E47">
        <w:instrText xml:space="preserve"> \* MERGEFORMAT </w:instrText>
      </w:r>
      <w:r w:rsidRPr="00BB1E47">
        <w:fldChar w:fldCharType="separate"/>
      </w:r>
      <w:r w:rsidR="003D510C">
        <w:t>2.8</w:t>
      </w:r>
      <w:r w:rsidRPr="00BB1E47">
        <w:fldChar w:fldCharType="end"/>
      </w:r>
      <w:r w:rsidRPr="00BB1E47">
        <w:t xml:space="preserve">), it was anticipated that increased competition in the marketplace would drive up efficiency and value for purchasers of NEPT services. </w:t>
      </w:r>
    </w:p>
    <w:p w14:paraId="78344E9F" w14:textId="77777777" w:rsidR="008C1CA0" w:rsidRPr="00BB1E47" w:rsidRDefault="008C1CA0" w:rsidP="008C1CA0">
      <w:pPr>
        <w:pStyle w:val="Bullet1"/>
        <w:numPr>
          <w:ilvl w:val="0"/>
          <w:numId w:val="10"/>
        </w:numPr>
      </w:pPr>
      <w:r w:rsidRPr="00BB1E47">
        <w:t xml:space="preserve">There are some signs that this is the case, as competition has supported competitive pricing across NEPT providers with reported cost savings for purchasers, even if at times it occurs at the expense of the financial viability of the provider and/or pay and conditions for the workforce. </w:t>
      </w:r>
    </w:p>
    <w:p w14:paraId="09B930F0" w14:textId="77777777" w:rsidR="008C1CA0" w:rsidRPr="00BB1E47" w:rsidRDefault="008C1CA0" w:rsidP="008C1CA0">
      <w:pPr>
        <w:pStyle w:val="Bullet1"/>
        <w:numPr>
          <w:ilvl w:val="0"/>
          <w:numId w:val="10"/>
        </w:numPr>
      </w:pPr>
      <w:proofErr w:type="gramStart"/>
      <w:r w:rsidRPr="00BB1E47">
        <w:t>However</w:t>
      </w:r>
      <w:proofErr w:type="gramEnd"/>
      <w:r w:rsidRPr="00BB1E47">
        <w:t xml:space="preserve"> there are some intrinsic challenges which limit the competitiveness of the marketplace.</w:t>
      </w:r>
    </w:p>
    <w:p w14:paraId="20970E61" w14:textId="50E810FB" w:rsidR="008C1CA0" w:rsidRPr="00BB1E47" w:rsidRDefault="008C1CA0" w:rsidP="008C1CA0">
      <w:pPr>
        <w:pStyle w:val="Bullet1"/>
        <w:numPr>
          <w:ilvl w:val="0"/>
          <w:numId w:val="10"/>
        </w:numPr>
      </w:pPr>
      <w:r w:rsidRPr="00BB1E47">
        <w:t>First, there are barriers to market entry, due to the high capital and logistic costs of setting up as a new provider. There has only been one new entrant to the NEPT market in the past five years</w:t>
      </w:r>
      <w:r w:rsidR="00714A33" w:rsidRPr="00BB1E47">
        <w:t>,</w:t>
      </w:r>
      <w:r w:rsidRPr="00BB1E47">
        <w:t xml:space="preserve"> </w:t>
      </w:r>
      <w:r w:rsidR="00714A33" w:rsidRPr="00BB1E47">
        <w:t>and</w:t>
      </w:r>
      <w:r w:rsidRPr="00BB1E47">
        <w:t xml:space="preserve"> this entrant has not claimed a significant share of the market.  </w:t>
      </w:r>
    </w:p>
    <w:p w14:paraId="5E0F52A3" w14:textId="4815299A" w:rsidR="008C1CA0" w:rsidRPr="00BB1E47" w:rsidRDefault="008C1CA0" w:rsidP="008C1CA0">
      <w:pPr>
        <w:pStyle w:val="Bullet1"/>
        <w:numPr>
          <w:ilvl w:val="0"/>
          <w:numId w:val="10"/>
        </w:numPr>
      </w:pPr>
      <w:r w:rsidRPr="00BB1E47">
        <w:t>Second, there are switching costs for purchasers</w:t>
      </w:r>
      <w:r w:rsidR="001C40A2">
        <w:t>.</w:t>
      </w:r>
    </w:p>
    <w:p w14:paraId="0CE22849" w14:textId="77777777" w:rsidR="008C1CA0" w:rsidRPr="00BB1E47" w:rsidRDefault="008C1CA0" w:rsidP="007D11AE">
      <w:pPr>
        <w:pStyle w:val="Bullet2"/>
      </w:pPr>
      <w:r w:rsidRPr="00BB1E47">
        <w:t xml:space="preserve">Health </w:t>
      </w:r>
      <w:r w:rsidRPr="00BB1E47">
        <w:rPr>
          <w:rStyle w:val="normaltextrun"/>
        </w:rPr>
        <w:t>services</w:t>
      </w:r>
      <w:r w:rsidRPr="00BB1E47">
        <w:t xml:space="preserve"> contracting directly with a private provider are required to align with and adopt that provider’s booking procedures and practices. </w:t>
      </w:r>
    </w:p>
    <w:p w14:paraId="5B302FAA" w14:textId="687DAA79" w:rsidR="008C1CA0" w:rsidRPr="00BB1E47" w:rsidRDefault="008C1CA0" w:rsidP="007D11AE">
      <w:pPr>
        <w:pStyle w:val="Bullet2"/>
      </w:pPr>
      <w:r w:rsidRPr="00BB1E47">
        <w:t xml:space="preserve">Any move to a new provider, or any attempt to work with multiple providers, requires investment from the NEPT </w:t>
      </w:r>
      <w:r w:rsidRPr="00BB1E47">
        <w:rPr>
          <w:rStyle w:val="normaltextrun"/>
        </w:rPr>
        <w:t>purchaser</w:t>
      </w:r>
      <w:r w:rsidRPr="00BB1E47">
        <w:t xml:space="preserve"> to train their staff and adopt new booking processes and procedures</w:t>
      </w:r>
      <w:r w:rsidR="00DA1308">
        <w:t>.</w:t>
      </w:r>
      <w:r w:rsidRPr="00BB1E47">
        <w:t xml:space="preserve"> </w:t>
      </w:r>
    </w:p>
    <w:p w14:paraId="68DD9FBB" w14:textId="46B2D0C5" w:rsidR="008C1CA0" w:rsidRPr="00BB1E47" w:rsidRDefault="008C1CA0" w:rsidP="00E71AC6">
      <w:pPr>
        <w:pStyle w:val="Bullet2"/>
      </w:pPr>
      <w:proofErr w:type="gramStart"/>
      <w:r w:rsidRPr="00BB1E47">
        <w:t>In order to</w:t>
      </w:r>
      <w:proofErr w:type="gramEnd"/>
      <w:r w:rsidRPr="00BB1E47">
        <w:t xml:space="preserve"> move to a new provider, or adopt multiple providers, health services must consider the cost and </w:t>
      </w:r>
      <w:r w:rsidRPr="00BB1E47">
        <w:rPr>
          <w:rStyle w:val="normaltextrun"/>
        </w:rPr>
        <w:t>implications</w:t>
      </w:r>
      <w:r w:rsidRPr="00BB1E47">
        <w:t xml:space="preserve"> of retraining and updating staff knowledge and local procedures against and potential cost savings</w:t>
      </w:r>
      <w:r w:rsidR="0090440C" w:rsidRPr="00BB1E47">
        <w:t>.</w:t>
      </w:r>
    </w:p>
    <w:p w14:paraId="1469485A" w14:textId="77777777" w:rsidR="00E71AC6" w:rsidRPr="00BB1E47" w:rsidRDefault="00E71AC6" w:rsidP="00E71AC6">
      <w:pPr>
        <w:pStyle w:val="Bullet2"/>
        <w:numPr>
          <w:ilvl w:val="0"/>
          <w:numId w:val="0"/>
        </w:numPr>
        <w:ind w:left="567"/>
      </w:pPr>
    </w:p>
    <w:p w14:paraId="1945A985" w14:textId="77777777" w:rsidR="008C1CA0" w:rsidRPr="00BB1E47" w:rsidRDefault="008C1CA0" w:rsidP="008C1CA0">
      <w:pPr>
        <w:pStyle w:val="Bullet1"/>
        <w:numPr>
          <w:ilvl w:val="0"/>
          <w:numId w:val="0"/>
        </w:numPr>
        <w:ind w:left="284" w:hanging="284"/>
      </w:pPr>
      <w:r w:rsidRPr="00BB1E47">
        <w:rPr>
          <w:noProof/>
        </w:rPr>
        <w:lastRenderedPageBreak/>
        <mc:AlternateContent>
          <mc:Choice Requires="wps">
            <w:drawing>
              <wp:inline distT="0" distB="0" distL="0" distR="0" wp14:anchorId="0A153A92" wp14:editId="147FF57E">
                <wp:extent cx="6334125" cy="819510"/>
                <wp:effectExtent l="0" t="0" r="9525" b="0"/>
                <wp:docPr id="34" name="Text Box 34"/>
                <wp:cNvGraphicFramePr/>
                <a:graphic xmlns:a="http://schemas.openxmlformats.org/drawingml/2006/main">
                  <a:graphicData uri="http://schemas.microsoft.com/office/word/2010/wordprocessingShape">
                    <wps:wsp>
                      <wps:cNvSpPr txBox="1"/>
                      <wps:spPr>
                        <a:xfrm>
                          <a:off x="0" y="0"/>
                          <a:ext cx="6334125" cy="819510"/>
                        </a:xfrm>
                        <a:prstGeom prst="rect">
                          <a:avLst/>
                        </a:prstGeom>
                        <a:solidFill>
                          <a:schemeClr val="accent1">
                            <a:lumMod val="20000"/>
                            <a:lumOff val="80000"/>
                          </a:schemeClr>
                        </a:solidFill>
                        <a:ln w="6350">
                          <a:noFill/>
                        </a:ln>
                      </wps:spPr>
                      <wps:txbx>
                        <w:txbxContent>
                          <w:p w14:paraId="21D19151"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C75B8C">
                              <w:rPr>
                                <w:b/>
                                <w:i/>
                                <w:iCs/>
                              </w:rPr>
                              <w:t>Barriers to competition</w:t>
                            </w:r>
                          </w:p>
                          <w:p w14:paraId="7FC0A6F7" w14:textId="77777777" w:rsidR="008C1CA0" w:rsidRPr="00B8407C" w:rsidRDefault="008C1CA0" w:rsidP="00C70C6B">
                            <w:pPr>
                              <w:pStyle w:val="Body"/>
                              <w:numPr>
                                <w:ilvl w:val="0"/>
                                <w:numId w:val="63"/>
                              </w:numPr>
                              <w:ind w:left="360"/>
                            </w:pPr>
                            <w:r>
                              <w:t xml:space="preserve">How can </w:t>
                            </w:r>
                            <w:r w:rsidRPr="0068259D">
                              <w:t>competitiveness</w:t>
                            </w:r>
                            <w:r>
                              <w:t xml:space="preserve"> within the NEPT sector be improved, either within the current model or under alternative arrangements? </w:t>
                            </w:r>
                          </w:p>
                          <w:p w14:paraId="1CD24A11" w14:textId="77777777" w:rsidR="008C1CA0" w:rsidRPr="002E19A8" w:rsidRDefault="008C1CA0" w:rsidP="00C70C6B">
                            <w:pPr>
                              <w:pStyle w:val="Bullet1"/>
                              <w:numPr>
                                <w:ilvl w:val="0"/>
                                <w:numId w:val="0"/>
                              </w:numPr>
                              <w:rPr>
                                <w:rFonts w:eastAsia="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153A92" id="Text Box 34" o:spid="_x0000_s1033" type="#_x0000_t202" style="width:498.75pt;height: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" fillcolor="#dbe5f1 [660]" stroked="f" strokeweight=".5pt">
                <v:textbox>
                  <w:txbxContent>
                    <w:p w14:paraId="21D19151"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sidRPr="00C75B8C">
                        <w:rPr>
                          <w:b/>
                          <w:i/>
                          <w:iCs/>
                        </w:rPr>
                        <w:t>Barriers to competition</w:t>
                      </w:r>
                    </w:p>
                    <w:p w14:paraId="7FC0A6F7" w14:textId="77777777" w:rsidR="008C1CA0" w:rsidRPr="00B8407C" w:rsidRDefault="008C1CA0" w:rsidP="00C70C6B">
                      <w:pPr>
                        <w:pStyle w:val="Body"/>
                        <w:numPr>
                          <w:ilvl w:val="0"/>
                          <w:numId w:val="63"/>
                        </w:numPr>
                        <w:ind w:left="360"/>
                      </w:pPr>
                      <w:r>
                        <w:t xml:space="preserve">How can </w:t>
                      </w:r>
                      <w:r w:rsidRPr="0068259D">
                        <w:t>competitiveness</w:t>
                      </w:r>
                      <w:r>
                        <w:t xml:space="preserve"> within the NEPT sector be improved, either within the current model or under alternative arrangements? </w:t>
                      </w:r>
                    </w:p>
                    <w:p w14:paraId="1CD24A11" w14:textId="77777777" w:rsidR="008C1CA0" w:rsidRPr="002E19A8" w:rsidRDefault="008C1CA0" w:rsidP="00C70C6B">
                      <w:pPr>
                        <w:pStyle w:val="Bullet1"/>
                        <w:numPr>
                          <w:ilvl w:val="0"/>
                          <w:numId w:val="0"/>
                        </w:numPr>
                        <w:rPr>
                          <w:rFonts w:eastAsia="Myriad Pro"/>
                        </w:rPr>
                      </w:pPr>
                    </w:p>
                  </w:txbxContent>
                </v:textbox>
                <w10:anchorlock/>
              </v:shape>
            </w:pict>
          </mc:Fallback>
        </mc:AlternateContent>
      </w:r>
    </w:p>
    <w:p w14:paraId="473D30E5" w14:textId="77777777" w:rsidR="0015343F" w:rsidRPr="00BB1E47" w:rsidRDefault="0015343F" w:rsidP="00E9640E">
      <w:pPr>
        <w:pStyle w:val="Heading2"/>
      </w:pPr>
      <w:bookmarkStart w:id="108" w:name="_Ref135670893"/>
      <w:bookmarkStart w:id="109" w:name="_Ref135670903"/>
      <w:bookmarkStart w:id="110" w:name="_Ref135670919"/>
      <w:bookmarkStart w:id="111" w:name="_Ref135670932"/>
      <w:bookmarkStart w:id="112" w:name="_Toc136433502"/>
      <w:bookmarkStart w:id="113" w:name="_Toc132619021"/>
      <w:bookmarkStart w:id="114" w:name="_Toc134633555"/>
      <w:r w:rsidRPr="00BB1E47">
        <w:t>There is limited use of contemporary technology</w:t>
      </w:r>
      <w:bookmarkEnd w:id="108"/>
      <w:bookmarkEnd w:id="109"/>
      <w:bookmarkEnd w:id="110"/>
      <w:bookmarkEnd w:id="111"/>
      <w:bookmarkEnd w:id="112"/>
    </w:p>
    <w:p w14:paraId="11898C1F" w14:textId="710C586E" w:rsidR="0015343F" w:rsidRPr="00BB1E47" w:rsidRDefault="0015343F" w:rsidP="0015343F">
      <w:pPr>
        <w:pStyle w:val="Bullet1"/>
        <w:numPr>
          <w:ilvl w:val="0"/>
          <w:numId w:val="10"/>
        </w:numPr>
      </w:pPr>
      <w:r w:rsidRPr="00BB1E47">
        <w:t>Compared to other jurisdictions and sectors, use of contemporary technology is relatively limited in the NEPT sector. For example,</w:t>
      </w:r>
    </w:p>
    <w:p w14:paraId="717FCF4F" w14:textId="11946C4F" w:rsidR="0015343F" w:rsidRPr="00BB1E47" w:rsidRDefault="000D1E2A" w:rsidP="007D11AE">
      <w:pPr>
        <w:pStyle w:val="Bullet2"/>
      </w:pPr>
      <w:r>
        <w:t>h</w:t>
      </w:r>
      <w:r w:rsidR="0015343F" w:rsidRPr="00BB1E47">
        <w:t xml:space="preserve">ealth services awaiting NEPT collections and drop-offs have no visibility of the expected arrival time of a vehicle, in contrast to widely available tracking technology most Australians enjoy from other transport and logistics services (for example, Australia Post and other delivery services; Uber, taxis </w:t>
      </w:r>
      <w:r w:rsidR="0015343F" w:rsidRPr="00BB1E47">
        <w:rPr>
          <w:rStyle w:val="normaltextrun"/>
        </w:rPr>
        <w:t>and</w:t>
      </w:r>
      <w:r w:rsidR="0015343F" w:rsidRPr="00BB1E47">
        <w:t xml:space="preserve"> other ride sharing services), and to the NSW NEPT system which has had two-way tracking since 2014 (see Section </w:t>
      </w:r>
      <w:r w:rsidR="0015343F" w:rsidRPr="00BB1E47">
        <w:fldChar w:fldCharType="begin"/>
      </w:r>
      <w:r w:rsidR="0015343F" w:rsidRPr="00BB1E47">
        <w:instrText xml:space="preserve"> REF _Ref134649397 \r \h </w:instrText>
      </w:r>
      <w:r w:rsidR="00BB1E47">
        <w:instrText xml:space="preserve"> \* MERGEFORMAT </w:instrText>
      </w:r>
      <w:r w:rsidR="0015343F" w:rsidRPr="00BB1E47">
        <w:fldChar w:fldCharType="separate"/>
      </w:r>
      <w:r w:rsidR="003D510C">
        <w:t>5.2</w:t>
      </w:r>
      <w:r w:rsidR="0015343F" w:rsidRPr="00BB1E47">
        <w:fldChar w:fldCharType="end"/>
      </w:r>
      <w:r w:rsidR="0015343F" w:rsidRPr="00BB1E47">
        <w:t>)</w:t>
      </w:r>
    </w:p>
    <w:p w14:paraId="354B38F2" w14:textId="0E1A4E60" w:rsidR="0015343F" w:rsidRPr="00BB1E47" w:rsidRDefault="000D1E2A" w:rsidP="007D11AE">
      <w:pPr>
        <w:pStyle w:val="Bullet2"/>
      </w:pPr>
      <w:r>
        <w:t>s</w:t>
      </w:r>
      <w:r w:rsidR="0015343F" w:rsidRPr="00BB1E47">
        <w:t xml:space="preserve">ystem-wide NEPT data collections are minimal, in contrast to other jurisdictions (for example, the NHS which has </w:t>
      </w:r>
      <w:r w:rsidR="0015343F" w:rsidRPr="00BB1E47">
        <w:rPr>
          <w:rStyle w:val="normaltextrun"/>
        </w:rPr>
        <w:t>just</w:t>
      </w:r>
      <w:r w:rsidR="0015343F" w:rsidRPr="00BB1E47">
        <w:t xml:space="preserve"> introduced a national collection – see Section </w:t>
      </w:r>
      <w:r w:rsidR="0015343F" w:rsidRPr="00BB1E47">
        <w:fldChar w:fldCharType="begin"/>
      </w:r>
      <w:r w:rsidR="0015343F" w:rsidRPr="00BB1E47">
        <w:instrText xml:space="preserve"> REF _Ref134649397 \r \h </w:instrText>
      </w:r>
      <w:r w:rsidR="00BB1E47">
        <w:instrText xml:space="preserve"> \* MERGEFORMAT </w:instrText>
      </w:r>
      <w:r w:rsidR="0015343F" w:rsidRPr="00BB1E47">
        <w:fldChar w:fldCharType="separate"/>
      </w:r>
      <w:r w:rsidR="003D510C">
        <w:t>5.2</w:t>
      </w:r>
      <w:r w:rsidR="0015343F" w:rsidRPr="00BB1E47">
        <w:fldChar w:fldCharType="end"/>
      </w:r>
      <w:r w:rsidR="0015343F" w:rsidRPr="00BB1E47">
        <w:t xml:space="preserve">) able to use these data to analyse and improve service performance (for example, like NSW which has built a NEPT simulation model to reduce use of alternative providers and lower costs). </w:t>
      </w:r>
    </w:p>
    <w:p w14:paraId="0FD63378" w14:textId="77777777" w:rsidR="0015343F" w:rsidRPr="00BB1E47" w:rsidRDefault="0015343F" w:rsidP="0015343F">
      <w:pPr>
        <w:pStyle w:val="Bullet1"/>
        <w:numPr>
          <w:ilvl w:val="0"/>
          <w:numId w:val="10"/>
        </w:numPr>
      </w:pPr>
      <w:r w:rsidRPr="00BB1E47">
        <w:t xml:space="preserve">Investment in technology has transition costs, with providers (and often users) needing to redesign workflows and systems, train staff to use them, and invest and maintain capital. </w:t>
      </w:r>
    </w:p>
    <w:p w14:paraId="7022E0A7" w14:textId="6FD72357" w:rsidR="0015343F" w:rsidRPr="00BB1E47" w:rsidRDefault="0015343F" w:rsidP="0015343F">
      <w:pPr>
        <w:pStyle w:val="Bullet1"/>
        <w:numPr>
          <w:ilvl w:val="0"/>
          <w:numId w:val="10"/>
        </w:numPr>
      </w:pPr>
      <w:r w:rsidRPr="00BB1E47">
        <w:t>These investments have longer-term benefits but are challenging to offset against a small revenue base for low-volume providers, or to finance when there is longer-term uncertainty about the future of the sector.</w:t>
      </w:r>
    </w:p>
    <w:p w14:paraId="0E52D122" w14:textId="77777777" w:rsidR="0015343F" w:rsidRPr="00BB1E47" w:rsidRDefault="0015343F" w:rsidP="0015343F">
      <w:pPr>
        <w:pStyle w:val="Bullet1"/>
        <w:numPr>
          <w:ilvl w:val="0"/>
          <w:numId w:val="0"/>
        </w:numPr>
        <w:ind w:left="284" w:hanging="284"/>
      </w:pPr>
    </w:p>
    <w:p w14:paraId="667D35AB" w14:textId="32B29AA1" w:rsidR="0015343F" w:rsidRPr="00BB1E47" w:rsidRDefault="0015343F" w:rsidP="0015343F">
      <w:pPr>
        <w:pStyle w:val="Bullet1"/>
        <w:numPr>
          <w:ilvl w:val="0"/>
          <w:numId w:val="0"/>
        </w:numPr>
        <w:ind w:left="284" w:hanging="284"/>
      </w:pPr>
      <w:r w:rsidRPr="00BB1E47">
        <w:rPr>
          <w:noProof/>
        </w:rPr>
        <mc:AlternateContent>
          <mc:Choice Requires="wps">
            <w:drawing>
              <wp:inline distT="0" distB="0" distL="0" distR="0" wp14:anchorId="08E2D52E" wp14:editId="0BF9AA69">
                <wp:extent cx="6334125" cy="819510"/>
                <wp:effectExtent l="0" t="0" r="9525" b="0"/>
                <wp:docPr id="300130535" name="Text Box 300130535"/>
                <wp:cNvGraphicFramePr/>
                <a:graphic xmlns:a="http://schemas.openxmlformats.org/drawingml/2006/main">
                  <a:graphicData uri="http://schemas.microsoft.com/office/word/2010/wordprocessingShape">
                    <wps:wsp>
                      <wps:cNvSpPr txBox="1"/>
                      <wps:spPr>
                        <a:xfrm>
                          <a:off x="0" y="0"/>
                          <a:ext cx="6334125" cy="819510"/>
                        </a:xfrm>
                        <a:prstGeom prst="rect">
                          <a:avLst/>
                        </a:prstGeom>
                        <a:solidFill>
                          <a:schemeClr val="accent1">
                            <a:lumMod val="20000"/>
                            <a:lumOff val="80000"/>
                          </a:schemeClr>
                        </a:solidFill>
                        <a:ln w="6350">
                          <a:noFill/>
                        </a:ln>
                      </wps:spPr>
                      <wps:txbx>
                        <w:txbxContent>
                          <w:p w14:paraId="7A7417F4" w14:textId="72F4C63A" w:rsidR="0015343F" w:rsidRPr="00BD0445" w:rsidRDefault="0015343F" w:rsidP="0015343F">
                            <w:pPr>
                              <w:rPr>
                                <w:b/>
                              </w:rPr>
                            </w:pPr>
                            <w:r>
                              <w:rPr>
                                <w:b/>
                              </w:rPr>
                              <w:t>Consultation</w:t>
                            </w:r>
                            <w:r w:rsidRPr="00BD0445">
                              <w:rPr>
                                <w:b/>
                              </w:rPr>
                              <w:t xml:space="preserve"> </w:t>
                            </w:r>
                            <w:r>
                              <w:rPr>
                                <w:b/>
                              </w:rPr>
                              <w:t>q</w:t>
                            </w:r>
                            <w:r w:rsidRPr="00BD0445">
                              <w:rPr>
                                <w:b/>
                                <w:bCs/>
                              </w:rPr>
                              <w:t>uestion</w:t>
                            </w:r>
                            <w:r>
                              <w:rPr>
                                <w:b/>
                                <w:bCs/>
                              </w:rPr>
                              <w:t>s</w:t>
                            </w:r>
                            <w:r>
                              <w:rPr>
                                <w:b/>
                              </w:rPr>
                              <w:t xml:space="preserve"> – </w:t>
                            </w:r>
                            <w:r>
                              <w:rPr>
                                <w:b/>
                                <w:i/>
                                <w:iCs/>
                              </w:rPr>
                              <w:t xml:space="preserve">Use of contemporary technology </w:t>
                            </w:r>
                          </w:p>
                          <w:p w14:paraId="7B0BCD52" w14:textId="77777777" w:rsidR="0015343F" w:rsidRDefault="0015343F" w:rsidP="00C70C6B">
                            <w:pPr>
                              <w:pStyle w:val="Bullet1"/>
                              <w:numPr>
                                <w:ilvl w:val="0"/>
                                <w:numId w:val="64"/>
                              </w:numPr>
                              <w:rPr>
                                <w:rFonts w:eastAsia="Myriad Pro"/>
                              </w:rPr>
                            </w:pPr>
                            <w:r>
                              <w:rPr>
                                <w:rFonts w:eastAsia="Myriad Pro"/>
                              </w:rPr>
                              <w:t>What technological investments would most improve the performance of the NEPT sector?</w:t>
                            </w:r>
                          </w:p>
                          <w:p w14:paraId="0ED0CDDC" w14:textId="77777777" w:rsidR="0015343F" w:rsidRDefault="0015343F" w:rsidP="00C70C6B">
                            <w:pPr>
                              <w:pStyle w:val="Bullet1"/>
                              <w:numPr>
                                <w:ilvl w:val="0"/>
                                <w:numId w:val="64"/>
                              </w:numPr>
                            </w:pPr>
                            <w:r>
                              <w:rPr>
                                <w:rFonts w:eastAsia="Myriad Pro"/>
                              </w:rPr>
                              <w:t>How can these be realised?</w:t>
                            </w:r>
                          </w:p>
                          <w:p w14:paraId="5A595318" w14:textId="77777777" w:rsidR="0015343F" w:rsidRPr="002E19A8" w:rsidRDefault="0015343F" w:rsidP="0015343F">
                            <w:pPr>
                              <w:pStyle w:val="Bullet1"/>
                              <w:numPr>
                                <w:ilvl w:val="0"/>
                                <w:numId w:val="0"/>
                              </w:numPr>
                              <w:rPr>
                                <w:rFonts w:eastAsia="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E2D52E" id="Text Box 300130535" o:spid="_x0000_s1034" type="#_x0000_t202" style="width:498.75pt;height: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" fillcolor="#dbe5f1 [660]" stroked="f" strokeweight=".5pt">
                <v:textbox>
                  <w:txbxContent>
                    <w:p w14:paraId="7A7417F4" w14:textId="72F4C63A" w:rsidR="0015343F" w:rsidRPr="00BD0445" w:rsidRDefault="0015343F" w:rsidP="0015343F">
                      <w:pPr>
                        <w:rPr>
                          <w:b/>
                        </w:rPr>
                      </w:pPr>
                      <w:r>
                        <w:rPr>
                          <w:b/>
                        </w:rPr>
                        <w:t>Consultation</w:t>
                      </w:r>
                      <w:r w:rsidRPr="00BD0445">
                        <w:rPr>
                          <w:b/>
                        </w:rPr>
                        <w:t xml:space="preserve"> </w:t>
                      </w:r>
                      <w:r>
                        <w:rPr>
                          <w:b/>
                        </w:rPr>
                        <w:t>q</w:t>
                      </w:r>
                      <w:r w:rsidRPr="00BD0445">
                        <w:rPr>
                          <w:b/>
                          <w:bCs/>
                        </w:rPr>
                        <w:t>uestion</w:t>
                      </w:r>
                      <w:r>
                        <w:rPr>
                          <w:b/>
                          <w:bCs/>
                        </w:rPr>
                        <w:t>s</w:t>
                      </w:r>
                      <w:r>
                        <w:rPr>
                          <w:b/>
                        </w:rPr>
                        <w:t xml:space="preserve"> – </w:t>
                      </w:r>
                      <w:r>
                        <w:rPr>
                          <w:b/>
                          <w:i/>
                          <w:iCs/>
                        </w:rPr>
                        <w:t xml:space="preserve">Use of contemporary technology </w:t>
                      </w:r>
                    </w:p>
                    <w:p w14:paraId="7B0BCD52" w14:textId="77777777" w:rsidR="0015343F" w:rsidRDefault="0015343F" w:rsidP="00C70C6B">
                      <w:pPr>
                        <w:pStyle w:val="Bullet1"/>
                        <w:numPr>
                          <w:ilvl w:val="0"/>
                          <w:numId w:val="64"/>
                        </w:numPr>
                        <w:rPr>
                          <w:rFonts w:eastAsia="Myriad Pro"/>
                        </w:rPr>
                      </w:pPr>
                      <w:r>
                        <w:rPr>
                          <w:rFonts w:eastAsia="Myriad Pro"/>
                        </w:rPr>
                        <w:t>What technological investments would most improve the performance of the NEPT sector?</w:t>
                      </w:r>
                    </w:p>
                    <w:p w14:paraId="0ED0CDDC" w14:textId="77777777" w:rsidR="0015343F" w:rsidRDefault="0015343F" w:rsidP="00C70C6B">
                      <w:pPr>
                        <w:pStyle w:val="Bullet1"/>
                        <w:numPr>
                          <w:ilvl w:val="0"/>
                          <w:numId w:val="64"/>
                        </w:numPr>
                      </w:pPr>
                      <w:r>
                        <w:rPr>
                          <w:rFonts w:eastAsia="Myriad Pro"/>
                        </w:rPr>
                        <w:t>How can these be realised?</w:t>
                      </w:r>
                    </w:p>
                    <w:p w14:paraId="5A595318" w14:textId="77777777" w:rsidR="0015343F" w:rsidRPr="002E19A8" w:rsidRDefault="0015343F" w:rsidP="0015343F">
                      <w:pPr>
                        <w:pStyle w:val="Bullet1"/>
                        <w:numPr>
                          <w:ilvl w:val="0"/>
                          <w:numId w:val="0"/>
                        </w:numPr>
                        <w:rPr>
                          <w:rFonts w:eastAsia="Myriad Pro"/>
                        </w:rPr>
                      </w:pPr>
                    </w:p>
                  </w:txbxContent>
                </v:textbox>
                <w10:anchorlock/>
              </v:shape>
            </w:pict>
          </mc:Fallback>
        </mc:AlternateContent>
      </w:r>
    </w:p>
    <w:p w14:paraId="2B28C27F" w14:textId="67FED336" w:rsidR="008C1CA0" w:rsidRPr="00BB1E47" w:rsidRDefault="008C1CA0" w:rsidP="00E9640E">
      <w:pPr>
        <w:pStyle w:val="Heading2"/>
      </w:pPr>
      <w:bookmarkStart w:id="115" w:name="_Toc136433503"/>
      <w:r w:rsidRPr="00BB1E47">
        <w:t>The NEPT sector is not well-positioned to meet future needs</w:t>
      </w:r>
      <w:bookmarkEnd w:id="115"/>
      <w:r w:rsidRPr="00BB1E47">
        <w:t xml:space="preserve"> </w:t>
      </w:r>
      <w:bookmarkEnd w:id="113"/>
      <w:bookmarkEnd w:id="114"/>
    </w:p>
    <w:p w14:paraId="55BA4BB7" w14:textId="77777777" w:rsidR="008C1CA0" w:rsidRPr="00BB1E47" w:rsidRDefault="008C1CA0" w:rsidP="008C1CA0">
      <w:pPr>
        <w:pStyle w:val="Bullet1"/>
        <w:numPr>
          <w:ilvl w:val="0"/>
          <w:numId w:val="10"/>
        </w:numPr>
      </w:pPr>
      <w:r w:rsidRPr="00BB1E47">
        <w:t xml:space="preserve">This discussion paper has described the key challenges and strengths impacting the NEPT sector’s ability to meet the needs of patients, the workforce, and the broader health system. </w:t>
      </w:r>
    </w:p>
    <w:p w14:paraId="66F7938E" w14:textId="15C2FF74" w:rsidR="008C1CA0" w:rsidRPr="00BB1E47" w:rsidRDefault="008C1CA0" w:rsidP="008C1CA0">
      <w:pPr>
        <w:pStyle w:val="Bullet1"/>
        <w:numPr>
          <w:ilvl w:val="0"/>
          <w:numId w:val="10"/>
        </w:numPr>
      </w:pPr>
      <w:r w:rsidRPr="00BB1E47">
        <w:t xml:space="preserve">The NEPT sector delivers high-quality services to Victorian patients and plays a critical role in the health system. Victoria’s uniquely competitive NEPT marketplace helps to ensure NEPT purchasers </w:t>
      </w:r>
      <w:proofErr w:type="gramStart"/>
      <w:r w:rsidRPr="00BB1E47">
        <w:t>are able to</w:t>
      </w:r>
      <w:proofErr w:type="gramEnd"/>
      <w:r w:rsidRPr="00BB1E47">
        <w:t xml:space="preserve"> access these services at a lower cost</w:t>
      </w:r>
      <w:r w:rsidR="009F0C73" w:rsidRPr="00BB1E47">
        <w:t>.</w:t>
      </w:r>
    </w:p>
    <w:p w14:paraId="42E493E4" w14:textId="2C2DA303" w:rsidR="008C1CA0" w:rsidRPr="00BB1E47" w:rsidRDefault="008C1CA0" w:rsidP="008C1CA0">
      <w:pPr>
        <w:pStyle w:val="Bullet1"/>
        <w:numPr>
          <w:ilvl w:val="0"/>
          <w:numId w:val="10"/>
        </w:numPr>
      </w:pPr>
      <w:r w:rsidRPr="00BB1E47">
        <w:t xml:space="preserve">Recent regulatory reform has encouraged best practice quality and safety by setting minimum standards and compliance mechanisms. NEPT providers have worked hard </w:t>
      </w:r>
      <w:r w:rsidR="009F0C73" w:rsidRPr="00BB1E47">
        <w:t xml:space="preserve">and invested resources </w:t>
      </w:r>
      <w:r w:rsidRPr="00BB1E47">
        <w:t xml:space="preserve">to comply with these new standards and ensure the continued quality and safety of their NEPT services. </w:t>
      </w:r>
    </w:p>
    <w:p w14:paraId="560A5B7B" w14:textId="69F672AE" w:rsidR="008C1CA0" w:rsidRPr="00BB1E47" w:rsidRDefault="008C1CA0" w:rsidP="008C1CA0">
      <w:pPr>
        <w:pStyle w:val="Bullet1"/>
        <w:numPr>
          <w:ilvl w:val="0"/>
          <w:numId w:val="10"/>
        </w:numPr>
      </w:pPr>
      <w:r w:rsidRPr="00BB1E47">
        <w:t xml:space="preserve">At the same time, market fragmentation, diseconomies of scale and duplicated overheads create inefficiencies in the system. </w:t>
      </w:r>
      <w:r w:rsidR="009F0C73" w:rsidRPr="00BB1E47">
        <w:t xml:space="preserve">These add costs, which have been recently </w:t>
      </w:r>
      <w:r w:rsidRPr="00BB1E47">
        <w:t xml:space="preserve">exacerbated by high inflation, pressures from the COVID-19 pandemic, and the 2021 regulatory changes. </w:t>
      </w:r>
    </w:p>
    <w:p w14:paraId="66646CBA" w14:textId="536B29EA" w:rsidR="008C1CA0" w:rsidRPr="00BB1E47" w:rsidRDefault="00037B8A" w:rsidP="008C1CA0">
      <w:pPr>
        <w:pStyle w:val="Bullet1"/>
        <w:numPr>
          <w:ilvl w:val="0"/>
          <w:numId w:val="10"/>
        </w:numPr>
      </w:pPr>
      <w:r>
        <w:t>It has been observed that</w:t>
      </w:r>
      <w:r w:rsidR="008C1CA0" w:rsidRPr="00BB1E47" w:rsidDel="006F718F">
        <w:t xml:space="preserve"> excess</w:t>
      </w:r>
      <w:r w:rsidR="008C1CA0" w:rsidRPr="00BB1E47">
        <w:t xml:space="preserve"> demand for NEPT services, coupled with overservicing in certain areas, has led to an insufficient supply of NEPT services for patients who most need the service.</w:t>
      </w:r>
      <w:r w:rsidR="008C1CA0" w:rsidRPr="00BB1E47" w:rsidDel="008C2C9D">
        <w:t xml:space="preserve"> </w:t>
      </w:r>
      <w:r w:rsidR="008C1CA0" w:rsidRPr="00BB1E47">
        <w:t xml:space="preserve">This limits their ability to easily access essential services. </w:t>
      </w:r>
    </w:p>
    <w:p w14:paraId="35ABFCC1" w14:textId="77777777" w:rsidR="008C1CA0" w:rsidRPr="00BB1E47" w:rsidRDefault="008C1CA0" w:rsidP="008C1CA0">
      <w:pPr>
        <w:pStyle w:val="Bullet1"/>
        <w:numPr>
          <w:ilvl w:val="0"/>
          <w:numId w:val="10"/>
        </w:numPr>
      </w:pPr>
      <w:r w:rsidRPr="00BB1E47">
        <w:t xml:space="preserve">These supply and demand issues have significant flow-on effects across the health system. When NEPT cases ‘spill-over’ into emergency services it detracts from AV’s ability to deliver responsive emergency </w:t>
      </w:r>
      <w:r w:rsidRPr="00BB1E47">
        <w:lastRenderedPageBreak/>
        <w:t xml:space="preserve">care and can cause delays for those most urgently in need. Where there are blockages to admitting and discharging patients, this has a cascading impact on patient flow across individual services and the overall health system. </w:t>
      </w:r>
    </w:p>
    <w:p w14:paraId="220C4225" w14:textId="44D3F31A" w:rsidR="008C1CA0" w:rsidRPr="00BB1E47" w:rsidRDefault="008C1CA0" w:rsidP="008C1CA0">
      <w:pPr>
        <w:pStyle w:val="Bullet1"/>
        <w:numPr>
          <w:ilvl w:val="0"/>
          <w:numId w:val="10"/>
        </w:numPr>
      </w:pPr>
      <w:r w:rsidRPr="00BB1E47">
        <w:t xml:space="preserve">At the core of Victoria’s NEPT services is a </w:t>
      </w:r>
      <w:r w:rsidR="009F0C73" w:rsidRPr="00BB1E47">
        <w:t>skilled</w:t>
      </w:r>
      <w:r w:rsidRPr="00BB1E47">
        <w:t xml:space="preserve"> NEPT workforce dedicated to delivering quality patient care. The majority of the NEPT workforce are under casual contract arrangements which create financial vulnerability for individuals and families, and limits career development opportunities. </w:t>
      </w:r>
    </w:p>
    <w:p w14:paraId="6041AD1E" w14:textId="262105F9" w:rsidR="009F0C73" w:rsidRPr="00BB1E47" w:rsidRDefault="008C1CA0" w:rsidP="00AC4DED">
      <w:pPr>
        <w:pStyle w:val="Bullet1"/>
        <w:numPr>
          <w:ilvl w:val="0"/>
          <w:numId w:val="10"/>
        </w:numPr>
      </w:pPr>
      <w:r w:rsidRPr="00BB1E47">
        <w:t xml:space="preserve">In summary, while there are considerable strengths of the NEPT sector under current arrangements, there </w:t>
      </w:r>
      <w:r w:rsidR="009F0C73" w:rsidRPr="00BB1E47">
        <w:t>is also significant room for improvement to advance</w:t>
      </w:r>
      <w:r w:rsidRPr="00BB1E47">
        <w:t xml:space="preserve"> access, efficiency, quality, safety, </w:t>
      </w:r>
      <w:r w:rsidR="007716E7" w:rsidRPr="00BB1E47">
        <w:t xml:space="preserve">financial and environmental sustainability, </w:t>
      </w:r>
      <w:r w:rsidRPr="00BB1E47">
        <w:t xml:space="preserve">and </w:t>
      </w:r>
      <w:r w:rsidR="009F0C73" w:rsidRPr="00BB1E47">
        <w:t>patient and workforce experience</w:t>
      </w:r>
      <w:r w:rsidRPr="00BB1E47">
        <w:t>. </w:t>
      </w:r>
      <w:r w:rsidR="009F0C73" w:rsidRPr="00BB1E47">
        <w:br w:type="page"/>
      </w:r>
    </w:p>
    <w:p w14:paraId="64A75A95" w14:textId="03698814" w:rsidR="008C1CA0" w:rsidRPr="00BB1E47" w:rsidRDefault="00981E7F" w:rsidP="00B37D1A">
      <w:pPr>
        <w:pStyle w:val="Heading1"/>
        <w:numPr>
          <w:ilvl w:val="0"/>
          <w:numId w:val="13"/>
        </w:numPr>
      </w:pPr>
      <w:bookmarkStart w:id="116" w:name="_Toc134633556"/>
      <w:bookmarkStart w:id="117" w:name="_Toc136433504"/>
      <w:r w:rsidRPr="00BB1E47">
        <w:lastRenderedPageBreak/>
        <w:t>What are the f</w:t>
      </w:r>
      <w:r w:rsidR="008C1CA0" w:rsidRPr="00BB1E47">
        <w:t>uture options for reform</w:t>
      </w:r>
      <w:bookmarkEnd w:id="116"/>
      <w:r w:rsidR="001C65F4">
        <w:t>?</w:t>
      </w:r>
      <w:bookmarkEnd w:id="117"/>
    </w:p>
    <w:p w14:paraId="034AE00C" w14:textId="49CC9713" w:rsidR="008C1CA0" w:rsidRPr="00BB1E47" w:rsidRDefault="008C1CA0" w:rsidP="00E9640E">
      <w:pPr>
        <w:pStyle w:val="Heading2"/>
      </w:pPr>
      <w:bookmarkStart w:id="118" w:name="_Toc134633557"/>
      <w:bookmarkStart w:id="119" w:name="_Toc136433505"/>
      <w:bookmarkStart w:id="120" w:name="_Toc132619030"/>
      <w:r w:rsidRPr="00BB1E47">
        <w:t xml:space="preserve">There are </w:t>
      </w:r>
      <w:r w:rsidR="009F0C73" w:rsidRPr="00BB1E47">
        <w:t>many</w:t>
      </w:r>
      <w:r w:rsidRPr="00BB1E47">
        <w:t xml:space="preserve"> opportunities to strengthen the NEPT sector</w:t>
      </w:r>
      <w:bookmarkEnd w:id="118"/>
      <w:bookmarkEnd w:id="119"/>
      <w:r w:rsidRPr="00BB1E47">
        <w:t xml:space="preserve"> </w:t>
      </w:r>
      <w:bookmarkEnd w:id="120"/>
    </w:p>
    <w:p w14:paraId="112C32AA" w14:textId="24291191" w:rsidR="007C5C75" w:rsidRPr="00BB1E47" w:rsidRDefault="008C1CA0" w:rsidP="007C5C75">
      <w:pPr>
        <w:pStyle w:val="Bullet1"/>
        <w:numPr>
          <w:ilvl w:val="0"/>
          <w:numId w:val="10"/>
        </w:numPr>
      </w:pPr>
      <w:r w:rsidRPr="00BB1E47">
        <w:t xml:space="preserve">The questions outlined in this review ask respondents to consider the opportunities for reform and improvement </w:t>
      </w:r>
      <w:r w:rsidR="007C5C75">
        <w:t xml:space="preserve">to deliver better </w:t>
      </w:r>
      <w:r w:rsidR="007C5C75" w:rsidRPr="00BB1E47">
        <w:t xml:space="preserve">outcomes for patients, health service operations, and the experience of the NEPT workforce </w:t>
      </w:r>
    </w:p>
    <w:p w14:paraId="2251C2A7" w14:textId="77777777" w:rsidR="008C1CA0" w:rsidRPr="00BB1E47" w:rsidRDefault="008C1CA0" w:rsidP="008C1CA0">
      <w:pPr>
        <w:pStyle w:val="Bullet1"/>
        <w:numPr>
          <w:ilvl w:val="0"/>
          <w:numId w:val="10"/>
        </w:numPr>
      </w:pPr>
      <w:r w:rsidRPr="00BB1E47">
        <w:t xml:space="preserve">These responses, alongside focused sector engagement and commissioned technical expertise, will help to inform the final recommendations of the review. </w:t>
      </w:r>
    </w:p>
    <w:p w14:paraId="6AB42034" w14:textId="01BB272E" w:rsidR="009F0C73" w:rsidRPr="00BB1E47" w:rsidRDefault="009F0C73" w:rsidP="00BB17D3">
      <w:pPr>
        <w:pStyle w:val="Heading3"/>
      </w:pPr>
      <w:r w:rsidRPr="00BB1E47">
        <w:t>Insourcing is one reform option the review will consider</w:t>
      </w:r>
    </w:p>
    <w:p w14:paraId="35A53FD5" w14:textId="1678AD70" w:rsidR="008C1CA0" w:rsidRPr="00BB1E47" w:rsidRDefault="008C1CA0" w:rsidP="008C1CA0">
      <w:pPr>
        <w:pStyle w:val="Bullet1"/>
        <w:numPr>
          <w:ilvl w:val="0"/>
          <w:numId w:val="10"/>
        </w:numPr>
      </w:pPr>
      <w:r w:rsidRPr="00BB1E47">
        <w:t xml:space="preserve">One option that will be explored over the course of the review is to transition towards </w:t>
      </w:r>
      <w:r w:rsidR="00C91014" w:rsidRPr="00BB1E47">
        <w:t>a partial or full</w:t>
      </w:r>
      <w:r w:rsidRPr="00BB1E47">
        <w:t xml:space="preserve"> in-sourcing model for NEPT service provision.</w:t>
      </w:r>
      <w:r w:rsidR="00C91014" w:rsidRPr="00BB1E47">
        <w:rPr>
          <w:rStyle w:val="FootnoteReference"/>
        </w:rPr>
        <w:footnoteReference w:id="85"/>
      </w:r>
      <w:r w:rsidRPr="00BB1E47">
        <w:t xml:space="preserve"> </w:t>
      </w:r>
    </w:p>
    <w:p w14:paraId="1F8EACF1" w14:textId="77777777" w:rsidR="008C1CA0" w:rsidRPr="00BB1E47" w:rsidRDefault="008C1CA0" w:rsidP="008C1CA0">
      <w:pPr>
        <w:pStyle w:val="Bullet1"/>
        <w:numPr>
          <w:ilvl w:val="0"/>
          <w:numId w:val="10"/>
        </w:numPr>
      </w:pPr>
      <w:r w:rsidRPr="00BB1E47">
        <w:t>In-sourcing could take a variety of forms, including:</w:t>
      </w:r>
    </w:p>
    <w:p w14:paraId="3F8D55DE" w14:textId="4F1E7610" w:rsidR="008C1CA0" w:rsidRPr="00BB1E47" w:rsidRDefault="00A16BD5" w:rsidP="007D11AE">
      <w:pPr>
        <w:pStyle w:val="Bullet2"/>
      </w:pPr>
      <w:r>
        <w:rPr>
          <w:rStyle w:val="normaltextrun"/>
        </w:rPr>
        <w:t>r</w:t>
      </w:r>
      <w:r w:rsidR="008C1CA0" w:rsidRPr="00BB1E47">
        <w:rPr>
          <w:rStyle w:val="normaltextrun"/>
        </w:rPr>
        <w:t>eintegration</w:t>
      </w:r>
      <w:r w:rsidR="008C1CA0" w:rsidRPr="00BB1E47">
        <w:t xml:space="preserve"> of NEPT alongside AV’s existing operations</w:t>
      </w:r>
    </w:p>
    <w:p w14:paraId="2C2407F5" w14:textId="588587AD" w:rsidR="008C1CA0" w:rsidRPr="00BB1E47" w:rsidRDefault="00A16BD5" w:rsidP="007D11AE">
      <w:pPr>
        <w:pStyle w:val="Bullet2"/>
      </w:pPr>
      <w:r>
        <w:rPr>
          <w:rStyle w:val="normaltextrun"/>
        </w:rPr>
        <w:t>d</w:t>
      </w:r>
      <w:r w:rsidR="008C1CA0" w:rsidRPr="00BB1E47">
        <w:rPr>
          <w:rStyle w:val="normaltextrun"/>
        </w:rPr>
        <w:t>elivery</w:t>
      </w:r>
      <w:r w:rsidR="008C1CA0" w:rsidRPr="00BB1E47">
        <w:t xml:space="preserve"> of NEPT services through a</w:t>
      </w:r>
      <w:r w:rsidR="009F0C73" w:rsidRPr="00BB1E47">
        <w:t xml:space="preserve">nother </w:t>
      </w:r>
      <w:r w:rsidR="008C1CA0" w:rsidRPr="00BB1E47">
        <w:t xml:space="preserve">public agency </w:t>
      </w:r>
    </w:p>
    <w:p w14:paraId="7D520177" w14:textId="1F8FBB44" w:rsidR="008C1CA0" w:rsidRPr="00BB1E47" w:rsidRDefault="008C1CA0" w:rsidP="007D11AE">
      <w:pPr>
        <w:pStyle w:val="Bullet2"/>
      </w:pPr>
      <w:r w:rsidRPr="00BB1E47">
        <w:t xml:space="preserve">NEPT </w:t>
      </w:r>
      <w:r w:rsidRPr="00BB1E47">
        <w:rPr>
          <w:rStyle w:val="normaltextrun"/>
        </w:rPr>
        <w:t>services</w:t>
      </w:r>
      <w:r w:rsidRPr="00BB1E47">
        <w:t xml:space="preserve"> located within a newly established public entity which may commission, regulate, manage and service</w:t>
      </w:r>
      <w:r w:rsidR="009F0C73" w:rsidRPr="00BB1E47">
        <w:t xml:space="preserve">. </w:t>
      </w:r>
    </w:p>
    <w:p w14:paraId="4413C724" w14:textId="192902F2" w:rsidR="009F0C73" w:rsidRPr="00BB1E47" w:rsidRDefault="009F0C73" w:rsidP="009F0C73">
      <w:pPr>
        <w:pStyle w:val="Bullet1"/>
        <w:numPr>
          <w:ilvl w:val="0"/>
          <w:numId w:val="10"/>
        </w:numPr>
      </w:pPr>
      <w:r w:rsidRPr="00BB1E47">
        <w:t xml:space="preserve">In-sourcing could potentially involve a combination of the above changes, for example with planned and unplanned NEPT split into separate agencies. </w:t>
      </w:r>
    </w:p>
    <w:p w14:paraId="53D92CB7" w14:textId="760C83E7" w:rsidR="005E66AE" w:rsidRPr="00BB1E47" w:rsidRDefault="005E66AE" w:rsidP="009F0C73">
      <w:pPr>
        <w:pStyle w:val="Bullet1"/>
        <w:numPr>
          <w:ilvl w:val="0"/>
          <w:numId w:val="10"/>
        </w:numPr>
      </w:pPr>
      <w:r w:rsidRPr="00BB1E47">
        <w:t xml:space="preserve">The review will carefully consider the relative strengths and weaknesses of </w:t>
      </w:r>
      <w:r w:rsidR="00EF1AB5" w:rsidRPr="00BB1E47">
        <w:t>insourcing approaches</w:t>
      </w:r>
      <w:r w:rsidR="00AD1CCC" w:rsidRPr="00BB1E47">
        <w:t xml:space="preserve">, </w:t>
      </w:r>
      <w:r w:rsidR="006437C3" w:rsidRPr="00BB1E47">
        <w:t xml:space="preserve">and their broader system impact. </w:t>
      </w:r>
      <w:r w:rsidR="00AD1CCC" w:rsidRPr="00BB1E47">
        <w:t xml:space="preserve"> </w:t>
      </w:r>
    </w:p>
    <w:p w14:paraId="60CD6EC9" w14:textId="77777777" w:rsidR="00EB22F1" w:rsidRPr="00BB1E47" w:rsidRDefault="00EB22F1" w:rsidP="00BB17D3">
      <w:pPr>
        <w:pStyle w:val="Heading3"/>
      </w:pPr>
      <w:r w:rsidRPr="00BB1E47">
        <w:t xml:space="preserve">The review will also explore other improvement opportunities </w:t>
      </w:r>
    </w:p>
    <w:p w14:paraId="3731481B" w14:textId="44690B93" w:rsidR="008C1CA0" w:rsidRPr="00BB1E47" w:rsidRDefault="008C1CA0" w:rsidP="008C1CA0">
      <w:pPr>
        <w:pStyle w:val="Bullet1"/>
        <w:numPr>
          <w:ilvl w:val="0"/>
          <w:numId w:val="10"/>
        </w:numPr>
      </w:pPr>
      <w:r w:rsidRPr="00BB1E47">
        <w:t xml:space="preserve">Alternatively, there are several options for reform which would retain </w:t>
      </w:r>
      <w:r w:rsidR="00491A40" w:rsidRPr="00BB1E47">
        <w:t>outsourcing of NEPT</w:t>
      </w:r>
      <w:r w:rsidRPr="00BB1E47">
        <w:t xml:space="preserve"> whilst strengthening procurement and contracting arrangements to </w:t>
      </w:r>
      <w:r w:rsidR="00491A40" w:rsidRPr="00BB1E47">
        <w:t>improve</w:t>
      </w:r>
      <w:r w:rsidRPr="00BB1E47">
        <w:t xml:space="preserve"> efficiency and </w:t>
      </w:r>
      <w:r w:rsidR="00491A40" w:rsidRPr="00BB1E47">
        <w:t xml:space="preserve">performance, </w:t>
      </w:r>
      <w:r w:rsidR="00404FD2" w:rsidRPr="00BB1E47">
        <w:t>and deliver broader benefits</w:t>
      </w:r>
      <w:r w:rsidRPr="00BB1E47">
        <w:t xml:space="preserve"> to </w:t>
      </w:r>
      <w:r w:rsidR="00404FD2" w:rsidRPr="00BB1E47">
        <w:t xml:space="preserve">patients, the </w:t>
      </w:r>
      <w:proofErr w:type="gramStart"/>
      <w:r w:rsidR="00404FD2" w:rsidRPr="00BB1E47">
        <w:t>workforce</w:t>
      </w:r>
      <w:proofErr w:type="gramEnd"/>
      <w:r w:rsidR="00404FD2" w:rsidRPr="00BB1E47">
        <w:t xml:space="preserve"> and the system. </w:t>
      </w:r>
      <w:r w:rsidR="00F61A8E" w:rsidRPr="00BB1E47">
        <w:t xml:space="preserve">Some examples are listed below. </w:t>
      </w:r>
    </w:p>
    <w:p w14:paraId="329F0E53" w14:textId="77777777" w:rsidR="00F61A8E" w:rsidRPr="00BB1E47" w:rsidRDefault="008C1CA0" w:rsidP="00F61A8E">
      <w:pPr>
        <w:pStyle w:val="Bullet1"/>
        <w:numPr>
          <w:ilvl w:val="0"/>
          <w:numId w:val="10"/>
        </w:numPr>
      </w:pPr>
      <w:r w:rsidRPr="00BB1E47">
        <w:t xml:space="preserve">Consolidating contracts within geographic regions: </w:t>
      </w:r>
    </w:p>
    <w:p w14:paraId="623DC1DE" w14:textId="4147B868" w:rsidR="00F61A8E" w:rsidRPr="00BB1E47" w:rsidRDefault="008C1CA0" w:rsidP="00F61A8E">
      <w:pPr>
        <w:pStyle w:val="Bullet1"/>
        <w:numPr>
          <w:ilvl w:val="1"/>
          <w:numId w:val="10"/>
        </w:numPr>
      </w:pPr>
      <w:r w:rsidRPr="00BB1E47">
        <w:t>under current arrangements multiple providers may operate within a local area and make the same / similar trips in the area</w:t>
      </w:r>
    </w:p>
    <w:p w14:paraId="78A7FF2F" w14:textId="1C100DC8" w:rsidR="008C1CA0" w:rsidRPr="00BB1E47" w:rsidRDefault="00522897" w:rsidP="00F61A8E">
      <w:pPr>
        <w:pStyle w:val="Bullet1"/>
        <w:numPr>
          <w:ilvl w:val="1"/>
          <w:numId w:val="10"/>
        </w:numPr>
      </w:pPr>
      <w:r>
        <w:t>c</w:t>
      </w:r>
      <w:r w:rsidR="009F0C73" w:rsidRPr="00BB1E47">
        <w:t xml:space="preserve">onsolidating to a single provider per </w:t>
      </w:r>
      <w:r w:rsidR="009F0C73" w:rsidRPr="00BB1E47">
        <w:rPr>
          <w:rStyle w:val="normaltextrun"/>
        </w:rPr>
        <w:t>regio</w:t>
      </w:r>
      <w:r w:rsidR="00967532" w:rsidRPr="00BB1E47">
        <w:rPr>
          <w:rStyle w:val="normaltextrun"/>
        </w:rPr>
        <w:t>n</w:t>
      </w:r>
      <w:r w:rsidR="00967532" w:rsidRPr="00BB1E47">
        <w:t xml:space="preserve"> and/or geographic corridor offers an</w:t>
      </w:r>
      <w:r w:rsidR="008C1CA0" w:rsidRPr="00BB1E47">
        <w:t xml:space="preserve"> opportunity to efficiently plan routes and </w:t>
      </w:r>
      <w:r w:rsidR="00FA7255" w:rsidRPr="00BB1E47">
        <w:t>optimise vehicle</w:t>
      </w:r>
      <w:r w:rsidR="008C1CA0" w:rsidRPr="00BB1E47">
        <w:t xml:space="preserve"> </w:t>
      </w:r>
      <w:r w:rsidR="00FA7255" w:rsidRPr="00BB1E47">
        <w:t xml:space="preserve">use </w:t>
      </w:r>
      <w:r w:rsidR="008C1CA0" w:rsidRPr="00BB1E47">
        <w:t>(</w:t>
      </w:r>
      <w:r w:rsidR="00FA7255" w:rsidRPr="00BB1E47">
        <w:t xml:space="preserve">e.g., </w:t>
      </w:r>
      <w:r w:rsidR="008C1CA0" w:rsidRPr="00BB1E47">
        <w:t>by reducing the number of empty return trips</w:t>
      </w:r>
      <w:r w:rsidR="008660A4" w:rsidRPr="00BB1E47">
        <w:t xml:space="preserve">). </w:t>
      </w:r>
      <w:r w:rsidR="008C1CA0" w:rsidRPr="00BB1E47">
        <w:t xml:space="preserve"> </w:t>
      </w:r>
    </w:p>
    <w:p w14:paraId="7A425413" w14:textId="77777777" w:rsidR="00F61A8E" w:rsidRPr="00BB1E47" w:rsidRDefault="008C1CA0" w:rsidP="00F61A8E">
      <w:pPr>
        <w:pStyle w:val="Bullet1"/>
        <w:numPr>
          <w:ilvl w:val="0"/>
          <w:numId w:val="10"/>
        </w:numPr>
      </w:pPr>
      <w:r w:rsidRPr="00BB1E47">
        <w:t xml:space="preserve">Offering centralised procurement of assets and delivery of training: </w:t>
      </w:r>
    </w:p>
    <w:p w14:paraId="5FF5A3EF" w14:textId="4A6C4C4E" w:rsidR="008C1CA0" w:rsidRPr="00BB1E47" w:rsidRDefault="008C1CA0" w:rsidP="00F61A8E">
      <w:pPr>
        <w:pStyle w:val="Bullet1"/>
        <w:numPr>
          <w:ilvl w:val="1"/>
          <w:numId w:val="10"/>
        </w:numPr>
      </w:pPr>
      <w:r w:rsidRPr="00BB1E47">
        <w:t xml:space="preserve">utilising centralised purchasing power to </w:t>
      </w:r>
      <w:r w:rsidRPr="00BB1E47">
        <w:rPr>
          <w:rStyle w:val="normaltextrun"/>
        </w:rPr>
        <w:t>support</w:t>
      </w:r>
      <w:r w:rsidRPr="00BB1E47">
        <w:t xml:space="preserve"> NEPT providers to procure required assets and deliver workforce training</w:t>
      </w:r>
      <w:r w:rsidR="00967532" w:rsidRPr="00BB1E47">
        <w:t xml:space="preserve"> more efficiently</w:t>
      </w:r>
      <w:r w:rsidR="008660A4" w:rsidRPr="00BB1E47">
        <w:t xml:space="preserve">. </w:t>
      </w:r>
    </w:p>
    <w:p w14:paraId="023BBDCB" w14:textId="77777777" w:rsidR="009E2605" w:rsidRPr="00BB1E47" w:rsidRDefault="008C1CA0" w:rsidP="00FA7255">
      <w:pPr>
        <w:pStyle w:val="Bullet1"/>
      </w:pPr>
      <w:r w:rsidRPr="00BB1E47">
        <w:t xml:space="preserve">Streamlining booking and purchasing arrangements: </w:t>
      </w:r>
    </w:p>
    <w:p w14:paraId="6D9EFD62" w14:textId="3BF6B2F2" w:rsidR="008C1CA0" w:rsidRPr="00BB1E47" w:rsidRDefault="008C1CA0" w:rsidP="007D11AE">
      <w:pPr>
        <w:pStyle w:val="Bullet2"/>
      </w:pPr>
      <w:r w:rsidRPr="00BB1E47">
        <w:t xml:space="preserve">identifying opportunities to simplify existing arrangements </w:t>
      </w:r>
      <w:r w:rsidRPr="00BB1E47">
        <w:rPr>
          <w:rStyle w:val="normaltextrun"/>
        </w:rPr>
        <w:t>which</w:t>
      </w:r>
      <w:r w:rsidRPr="00BB1E47">
        <w:t xml:space="preserve"> include multiple points of access, differing models of governance and oversight, and varying payment mechanisms. </w:t>
      </w:r>
    </w:p>
    <w:p w14:paraId="2877AC53" w14:textId="77777777" w:rsidR="009300EC" w:rsidRPr="00BB1E47" w:rsidRDefault="008C1CA0" w:rsidP="009300EC">
      <w:pPr>
        <w:pStyle w:val="Bullet1"/>
      </w:pPr>
      <w:r w:rsidRPr="00BB1E47">
        <w:t xml:space="preserve">Exploring social procurement conditions: </w:t>
      </w:r>
    </w:p>
    <w:p w14:paraId="076B9895" w14:textId="7DCB7CA4" w:rsidR="008C1CA0" w:rsidRPr="00BB1E47" w:rsidRDefault="008C1CA0" w:rsidP="009300EC">
      <w:pPr>
        <w:pStyle w:val="Bullet2"/>
      </w:pPr>
      <w:r w:rsidRPr="00BB1E47">
        <w:t>opportunities to maximise social procurement across NEPT contracts</w:t>
      </w:r>
      <w:r w:rsidR="00967532" w:rsidRPr="00BB1E47">
        <w:t xml:space="preserve">, including </w:t>
      </w:r>
      <w:r w:rsidR="00967532" w:rsidRPr="00BB1E47">
        <w:rPr>
          <w:rStyle w:val="normaltextrun"/>
        </w:rPr>
        <w:t>through</w:t>
      </w:r>
      <w:r w:rsidR="00967532" w:rsidRPr="00BB1E47">
        <w:t xml:space="preserve"> employment terms and conditions</w:t>
      </w:r>
      <w:r w:rsidR="002E0A0C" w:rsidRPr="00BB1E47">
        <w:t xml:space="preserve"> (such as the provision of break and rest facilities when on-shift and reviewing pay and contractual arrangements)</w:t>
      </w:r>
      <w:r w:rsidR="009300EC" w:rsidRPr="00BB1E47">
        <w:t xml:space="preserve"> and </w:t>
      </w:r>
      <w:r w:rsidR="00B94D81" w:rsidRPr="00BB1E47">
        <w:t xml:space="preserve">environmental sustainability provisions. </w:t>
      </w:r>
    </w:p>
    <w:p w14:paraId="2715B5EC" w14:textId="0E7574B0" w:rsidR="0015343F" w:rsidRPr="00BB1E47" w:rsidRDefault="0015343F" w:rsidP="00BB17D3">
      <w:pPr>
        <w:pStyle w:val="Heading3"/>
      </w:pPr>
      <w:r w:rsidRPr="00BB1E47">
        <w:lastRenderedPageBreak/>
        <w:t xml:space="preserve">The review will also explore other improvement opportunities </w:t>
      </w:r>
    </w:p>
    <w:p w14:paraId="55FE5EF1" w14:textId="79831DBF" w:rsidR="008C1CA0" w:rsidRPr="00BB1E47" w:rsidRDefault="008C1CA0" w:rsidP="008C1CA0">
      <w:pPr>
        <w:pStyle w:val="Bullet1"/>
        <w:numPr>
          <w:ilvl w:val="0"/>
          <w:numId w:val="10"/>
        </w:numPr>
      </w:pPr>
      <w:r w:rsidRPr="00BB1E47">
        <w:t xml:space="preserve">Across each of these reform options there is also the opportunity to consider further sector improvements </w:t>
      </w:r>
      <w:r w:rsidR="00017CC8" w:rsidRPr="00BB1E47">
        <w:t>independently of the procurement model. Some examples are listed below.</w:t>
      </w:r>
      <w:r w:rsidRPr="00BB1E47">
        <w:t xml:space="preserve"> </w:t>
      </w:r>
    </w:p>
    <w:p w14:paraId="740B3AD6" w14:textId="6B66797D" w:rsidR="00A10D44" w:rsidRPr="00BB1E47" w:rsidRDefault="008C1CA0" w:rsidP="00A10D44">
      <w:pPr>
        <w:pStyle w:val="Bullet1"/>
        <w:numPr>
          <w:ilvl w:val="0"/>
          <w:numId w:val="10"/>
        </w:numPr>
      </w:pPr>
      <w:r w:rsidRPr="00BB1E47">
        <w:t>Improved scheduling and coordination models to improve efficiency</w:t>
      </w:r>
      <w:r w:rsidR="00696858" w:rsidRPr="00BB1E47">
        <w:t xml:space="preserve">, including: </w:t>
      </w:r>
    </w:p>
    <w:p w14:paraId="40A242AD" w14:textId="77777777" w:rsidR="00696858" w:rsidRPr="00BB1E47" w:rsidRDefault="00696858" w:rsidP="00A10D44">
      <w:pPr>
        <w:pStyle w:val="Bullet1"/>
        <w:numPr>
          <w:ilvl w:val="1"/>
          <w:numId w:val="10"/>
        </w:numPr>
      </w:pPr>
      <w:r w:rsidRPr="00BB1E47">
        <w:t>exploration</w:t>
      </w:r>
      <w:r w:rsidR="008C1CA0" w:rsidRPr="00BB1E47">
        <w:t xml:space="preserve"> of options to decrease the ratio of </w:t>
      </w:r>
      <w:r w:rsidR="00816CB0" w:rsidRPr="00BB1E47">
        <w:t xml:space="preserve">planned </w:t>
      </w:r>
      <w:r w:rsidR="008C1CA0" w:rsidRPr="00BB1E47">
        <w:t>NEPT services booked on the day</w:t>
      </w:r>
      <w:r w:rsidR="0015343F" w:rsidRPr="00BB1E47">
        <w:t xml:space="preserve"> of travel,</w:t>
      </w:r>
      <w:r w:rsidR="008C1CA0" w:rsidRPr="00BB1E47">
        <w:t xml:space="preserve"> and </w:t>
      </w:r>
    </w:p>
    <w:p w14:paraId="1A8D3705" w14:textId="54E06C29" w:rsidR="008C1CA0" w:rsidRPr="00BB1E47" w:rsidRDefault="008C1CA0" w:rsidP="00A10D44">
      <w:pPr>
        <w:pStyle w:val="Bullet1"/>
        <w:numPr>
          <w:ilvl w:val="1"/>
          <w:numId w:val="10"/>
        </w:numPr>
      </w:pPr>
      <w:r w:rsidRPr="00BB1E47">
        <w:t>consideration of a reservation-style scheduling that optimises pick-up and drop-offs on the same route.</w:t>
      </w:r>
    </w:p>
    <w:p w14:paraId="36AF9671" w14:textId="77777777" w:rsidR="00696858" w:rsidRPr="00BB1E47" w:rsidRDefault="008C1CA0" w:rsidP="00696858">
      <w:pPr>
        <w:pStyle w:val="Bullet1"/>
        <w:numPr>
          <w:ilvl w:val="0"/>
          <w:numId w:val="10"/>
        </w:numPr>
      </w:pPr>
      <w:r w:rsidRPr="00BB1E47">
        <w:t xml:space="preserve">Matching NEPT service provision to patient acuity: </w:t>
      </w:r>
    </w:p>
    <w:p w14:paraId="091095F0" w14:textId="77777777" w:rsidR="00696858" w:rsidRPr="00BB1E47" w:rsidRDefault="008C1CA0" w:rsidP="00696858">
      <w:pPr>
        <w:pStyle w:val="Bullet1"/>
        <w:numPr>
          <w:ilvl w:val="1"/>
          <w:numId w:val="10"/>
        </w:numPr>
      </w:pPr>
      <w:r w:rsidRPr="00BB1E47">
        <w:t xml:space="preserve">options to reduce over-servicing by AV and health services </w:t>
      </w:r>
      <w:r w:rsidR="00696858" w:rsidRPr="00BB1E47">
        <w:t>for patients who need a lower-acuity service than the one provided</w:t>
      </w:r>
    </w:p>
    <w:p w14:paraId="419E3EA9" w14:textId="7425DEC9" w:rsidR="00E84980" w:rsidRPr="00BB1E47" w:rsidRDefault="00E84980" w:rsidP="00696858">
      <w:pPr>
        <w:pStyle w:val="Bullet1"/>
        <w:numPr>
          <w:ilvl w:val="1"/>
          <w:numId w:val="10"/>
        </w:numPr>
      </w:pPr>
      <w:r w:rsidRPr="00BB1E47">
        <w:t>revisiting crewing requirements for low acuity patients</w:t>
      </w:r>
    </w:p>
    <w:p w14:paraId="5AE2C47B" w14:textId="5811E580" w:rsidR="008C1CA0" w:rsidRPr="00BB1E47" w:rsidRDefault="008C1CA0" w:rsidP="00696858">
      <w:pPr>
        <w:pStyle w:val="Bullet1"/>
        <w:numPr>
          <w:ilvl w:val="1"/>
          <w:numId w:val="10"/>
        </w:numPr>
      </w:pPr>
      <w:r w:rsidRPr="00BB1E47">
        <w:t xml:space="preserve">growing the role of the community transport sector to provide transport in cases where NEPT is </w:t>
      </w:r>
      <w:r w:rsidRPr="00BB1E47">
        <w:rPr>
          <w:rStyle w:val="normaltextrun"/>
        </w:rPr>
        <w:t>not</w:t>
      </w:r>
      <w:r w:rsidRPr="00BB1E47">
        <w:t xml:space="preserve"> required.</w:t>
      </w:r>
    </w:p>
    <w:p w14:paraId="7B3C24AF" w14:textId="122EDE12" w:rsidR="00750DD0" w:rsidRPr="00BB1E47" w:rsidRDefault="00CA00E8" w:rsidP="00E84980">
      <w:pPr>
        <w:pStyle w:val="Bullet1"/>
        <w:numPr>
          <w:ilvl w:val="0"/>
          <w:numId w:val="10"/>
        </w:numPr>
      </w:pPr>
      <w:r w:rsidRPr="00BB1E47">
        <w:t>Reducing</w:t>
      </w:r>
      <w:r w:rsidR="004E35AC" w:rsidRPr="00BB1E47">
        <w:t xml:space="preserve"> emissions</w:t>
      </w:r>
      <w:r w:rsidR="00D858A8" w:rsidRPr="00BB1E47">
        <w:t xml:space="preserve">: </w:t>
      </w:r>
      <w:r w:rsidR="008B0D7F" w:rsidRPr="00BB1E47">
        <w:t xml:space="preserve">with a </w:t>
      </w:r>
      <w:r w:rsidR="00EF7BF1" w:rsidRPr="00BB1E47">
        <w:t>large</w:t>
      </w:r>
      <w:r w:rsidR="008B0D7F" w:rsidRPr="00BB1E47">
        <w:t xml:space="preserve"> fleet </w:t>
      </w:r>
      <w:r w:rsidR="003D07B6" w:rsidRPr="00BB1E47">
        <w:t>covering</w:t>
      </w:r>
      <w:r w:rsidR="00EF7BF1" w:rsidRPr="00BB1E47">
        <w:t xml:space="preserve"> significant distances, </w:t>
      </w:r>
      <w:r w:rsidR="004653E1" w:rsidRPr="00BB1E47">
        <w:t xml:space="preserve">there are opportunities to improve </w:t>
      </w:r>
      <w:r w:rsidR="00EE07FF" w:rsidRPr="00BB1E47">
        <w:t xml:space="preserve">the </w:t>
      </w:r>
      <w:r w:rsidR="00756E23" w:rsidRPr="00BB1E47">
        <w:t>sector</w:t>
      </w:r>
      <w:r w:rsidR="00E84980" w:rsidRPr="00BB1E47">
        <w:t>’</w:t>
      </w:r>
      <w:r w:rsidR="00756E23" w:rsidRPr="00BB1E47">
        <w:t xml:space="preserve">s </w:t>
      </w:r>
      <w:r w:rsidR="006267D9" w:rsidRPr="00BB1E47">
        <w:t>environmental sustainability</w:t>
      </w:r>
      <w:r w:rsidR="00CB0618" w:rsidRPr="00BB1E47">
        <w:t xml:space="preserve"> through fleet renewal and </w:t>
      </w:r>
      <w:r w:rsidR="00D6657F" w:rsidRPr="00BB1E47">
        <w:t>other initiatives.</w:t>
      </w:r>
    </w:p>
    <w:p w14:paraId="6B4413E6" w14:textId="1200B2B7" w:rsidR="008C1CA0" w:rsidRPr="00BB1E47" w:rsidRDefault="008C1CA0" w:rsidP="00E84980">
      <w:pPr>
        <w:pStyle w:val="Bullet1"/>
        <w:numPr>
          <w:ilvl w:val="0"/>
          <w:numId w:val="10"/>
        </w:numPr>
      </w:pPr>
      <w:r w:rsidRPr="00BB1E47">
        <w:t>Improved DH system stewardship: increasing the role and responsibilities of DH in relation to</w:t>
      </w:r>
      <w:r w:rsidR="0015343F" w:rsidRPr="00BB1E47">
        <w:t xml:space="preserve"> strategic</w:t>
      </w:r>
      <w:r w:rsidRPr="00BB1E47">
        <w:t xml:space="preserve"> planning, </w:t>
      </w:r>
      <w:proofErr w:type="gramStart"/>
      <w:r w:rsidRPr="00BB1E47">
        <w:t>commissioning</w:t>
      </w:r>
      <w:proofErr w:type="gramEnd"/>
      <w:r w:rsidRPr="00BB1E47">
        <w:t xml:space="preserve"> and procuring NEPT services</w:t>
      </w:r>
      <w:r w:rsidR="00E84980" w:rsidRPr="00BB1E47">
        <w:t>, including through more active coordination of funded agencies purchasing NEPT services to achieve strategic aims.</w:t>
      </w:r>
      <w:r w:rsidRPr="00BB1E47">
        <w:t xml:space="preserve"> </w:t>
      </w:r>
    </w:p>
    <w:p w14:paraId="49CF2F9A" w14:textId="5904B0F5" w:rsidR="008C1CA0" w:rsidRPr="00BB1E47" w:rsidRDefault="008C1CA0" w:rsidP="00E9640E">
      <w:pPr>
        <w:pStyle w:val="Heading2"/>
      </w:pPr>
      <w:bookmarkStart w:id="121" w:name="_Toc134633559"/>
      <w:bookmarkStart w:id="122" w:name="_Ref134645512"/>
      <w:bookmarkStart w:id="123" w:name="_Ref134649397"/>
      <w:bookmarkStart w:id="124" w:name="_Toc136433506"/>
      <w:r w:rsidRPr="00BB1E47">
        <w:t>Victoria can also learn from reform</w:t>
      </w:r>
      <w:r w:rsidR="00071102" w:rsidRPr="00BB1E47">
        <w:t xml:space="preserve">s in </w:t>
      </w:r>
      <w:r w:rsidRPr="00BB1E47">
        <w:t>other health systems</w:t>
      </w:r>
      <w:bookmarkEnd w:id="121"/>
      <w:bookmarkEnd w:id="122"/>
      <w:bookmarkEnd w:id="123"/>
      <w:bookmarkEnd w:id="124"/>
    </w:p>
    <w:p w14:paraId="2C61F566" w14:textId="77777777" w:rsidR="008C1CA0" w:rsidRPr="00BB1E47" w:rsidRDefault="008C1CA0" w:rsidP="0015343F">
      <w:pPr>
        <w:pStyle w:val="Bullet1"/>
        <w:numPr>
          <w:ilvl w:val="0"/>
          <w:numId w:val="10"/>
        </w:numPr>
      </w:pPr>
      <w:r w:rsidRPr="00BB1E47">
        <w:t xml:space="preserve">In recent years, other health systems have conducted reviews and reform initiatives that have considered the quality and effectiveness of NEPT provision. </w:t>
      </w:r>
    </w:p>
    <w:p w14:paraId="45100459" w14:textId="202ED17C" w:rsidR="008C1CA0" w:rsidRPr="00BB1E47" w:rsidRDefault="008C1CA0" w:rsidP="0015343F">
      <w:pPr>
        <w:pStyle w:val="Bullet1"/>
        <w:numPr>
          <w:ilvl w:val="0"/>
          <w:numId w:val="10"/>
        </w:numPr>
      </w:pPr>
      <w:r w:rsidRPr="00BB1E47">
        <w:t xml:space="preserve">In Australia, </w:t>
      </w:r>
      <w:r w:rsidR="0015343F" w:rsidRPr="00BB1E47">
        <w:t>NEPT</w:t>
      </w:r>
      <w:r w:rsidRPr="00BB1E47">
        <w:t xml:space="preserve"> reform initiatives have </w:t>
      </w:r>
      <w:r w:rsidR="0015343F" w:rsidRPr="00BB1E47">
        <w:t>included development of</w:t>
      </w:r>
      <w:r w:rsidRPr="00BB1E47">
        <w:t xml:space="preserve"> automated scheduling and dispatch systems, patient transport simulation models, and patient access coordination hubs. </w:t>
      </w:r>
    </w:p>
    <w:p w14:paraId="1283B050" w14:textId="22F2C947" w:rsidR="008C1CA0" w:rsidRPr="00BB1E47" w:rsidRDefault="008C1CA0" w:rsidP="007D11AE">
      <w:pPr>
        <w:pStyle w:val="Bullet2"/>
      </w:pPr>
      <w:r w:rsidRPr="00BB1E47">
        <w:t xml:space="preserve">In </w:t>
      </w:r>
      <w:r w:rsidRPr="00BB1E47">
        <w:rPr>
          <w:rStyle w:val="normaltextrun"/>
        </w:rPr>
        <w:t>2014</w:t>
      </w:r>
      <w:r w:rsidRPr="00BB1E47">
        <w:t xml:space="preserve">, New South Wales began the process of separating emergency and non-emergency transport services. This led to the development of the Patient Transport Service (PTS) which has an </w:t>
      </w:r>
      <w:r w:rsidRPr="00BB1E47">
        <w:rPr>
          <w:b/>
          <w:bCs/>
        </w:rPr>
        <w:t>automated scheduling and dispatch system</w:t>
      </w:r>
      <w:r w:rsidRPr="00BB1E47">
        <w:t xml:space="preserve"> allowing for real-time two-way tracking of services (see </w:t>
      </w:r>
      <w:r w:rsidRPr="00BB1E47">
        <w:fldChar w:fldCharType="begin"/>
      </w:r>
      <w:r w:rsidRPr="00BB1E47">
        <w:rPr>
          <w:i/>
        </w:rPr>
        <w:instrText xml:space="preserve"> REF _Ref134459254 \h  \* MERGEFORMAT </w:instrText>
      </w:r>
      <w:r w:rsidRPr="00BB1E47">
        <w:fldChar w:fldCharType="separate"/>
      </w:r>
      <w:r w:rsidR="003D510C" w:rsidRPr="00BB1E47">
        <w:t xml:space="preserve">Box </w:t>
      </w:r>
      <w:r w:rsidR="003D510C">
        <w:rPr>
          <w:noProof/>
        </w:rPr>
        <w:t>2</w:t>
      </w:r>
      <w:r w:rsidRPr="00BB1E47">
        <w:fldChar w:fldCharType="end"/>
      </w:r>
      <w:r w:rsidRPr="00BB1E47">
        <w:t>).</w:t>
      </w:r>
    </w:p>
    <w:p w14:paraId="610FA8B4" w14:textId="51C91D7F" w:rsidR="008C1CA0" w:rsidRPr="00BB1E47" w:rsidRDefault="008C1CA0" w:rsidP="007D11AE">
      <w:pPr>
        <w:pStyle w:val="Bullet2"/>
      </w:pPr>
      <w:r w:rsidRPr="00BB1E47">
        <w:t xml:space="preserve">In 2018, New South Wales commissioned the development of a </w:t>
      </w:r>
      <w:r w:rsidRPr="00BB1E47">
        <w:rPr>
          <w:b/>
          <w:bCs/>
        </w:rPr>
        <w:t>patient transport simulation</w:t>
      </w:r>
      <w:r w:rsidRPr="00BB1E47">
        <w:t xml:space="preserve"> model to reduce the use of alternative service providers. The model optimised transport routes and identified 48 journeys per week that could be accommodated within the core </w:t>
      </w:r>
      <w:proofErr w:type="spellStart"/>
      <w:r w:rsidRPr="00BB1E47">
        <w:t>HealthShare</w:t>
      </w:r>
      <w:proofErr w:type="spellEnd"/>
      <w:r w:rsidRPr="00BB1E47">
        <w:t xml:space="preserve"> NSW capacity by adding 176 vehicle hours, resulting in reduced costs of the services overall (see </w:t>
      </w:r>
      <w:r w:rsidRPr="00BB1E47">
        <w:fldChar w:fldCharType="begin"/>
      </w:r>
      <w:r w:rsidRPr="00BB1E47">
        <w:rPr>
          <w:i/>
        </w:rPr>
        <w:instrText xml:space="preserve"> REF _Ref134461165 \h  \* MERGEFORMAT </w:instrText>
      </w:r>
      <w:r w:rsidRPr="00BB1E47">
        <w:fldChar w:fldCharType="separate"/>
      </w:r>
      <w:r w:rsidR="003D510C" w:rsidRPr="00BB1E47">
        <w:t xml:space="preserve">Box </w:t>
      </w:r>
      <w:r w:rsidR="003D510C">
        <w:rPr>
          <w:noProof/>
        </w:rPr>
        <w:t>3</w:t>
      </w:r>
      <w:r w:rsidRPr="00BB1E47">
        <w:fldChar w:fldCharType="end"/>
      </w:r>
      <w:r w:rsidRPr="00BB1E47">
        <w:t>).</w:t>
      </w:r>
    </w:p>
    <w:p w14:paraId="30C7F1B6" w14:textId="1B10F90B" w:rsidR="008C1CA0" w:rsidRPr="00BB1E47" w:rsidRDefault="008C1CA0" w:rsidP="007D11AE">
      <w:pPr>
        <w:pStyle w:val="Bullet2"/>
      </w:pPr>
      <w:r w:rsidRPr="00BB1E47">
        <w:t xml:space="preserve">Since 2017, Queensland Health has continued the expansion and roll-out of the </w:t>
      </w:r>
      <w:r w:rsidRPr="00BB1E47">
        <w:rPr>
          <w:b/>
          <w:bCs/>
        </w:rPr>
        <w:t>Patient Access Coordination Hub</w:t>
      </w:r>
      <w:r w:rsidRPr="00BB1E47">
        <w:t xml:space="preserve"> (PACH) model. The PACH enhances operational performance and assist with patient flow using a real-time intelligence system. This provides visibility of the patient journey, facilitating interhospital transfers and planned transport across the health system (see </w:t>
      </w:r>
      <w:r w:rsidRPr="00BB1E47">
        <w:fldChar w:fldCharType="begin"/>
      </w:r>
      <w:r w:rsidRPr="00BB1E47">
        <w:rPr>
          <w:i/>
        </w:rPr>
        <w:instrText xml:space="preserve"> REF _Ref134462806 \h  \* MERGEFORMAT </w:instrText>
      </w:r>
      <w:r w:rsidRPr="00BB1E47">
        <w:fldChar w:fldCharType="separate"/>
      </w:r>
      <w:r w:rsidR="003D510C" w:rsidRPr="00BB1E47">
        <w:t xml:space="preserve">Box </w:t>
      </w:r>
      <w:r w:rsidR="003D510C">
        <w:rPr>
          <w:noProof/>
        </w:rPr>
        <w:t>4</w:t>
      </w:r>
      <w:r w:rsidRPr="00BB1E47">
        <w:fldChar w:fldCharType="end"/>
      </w:r>
      <w:r w:rsidRPr="00BB1E47">
        <w:t>).</w:t>
      </w:r>
    </w:p>
    <w:p w14:paraId="01909150" w14:textId="77777777" w:rsidR="008C1CA0" w:rsidRPr="00BB1E47" w:rsidRDefault="008C1CA0" w:rsidP="008C1CA0">
      <w:pPr>
        <w:pStyle w:val="Bullet1"/>
        <w:numPr>
          <w:ilvl w:val="0"/>
          <w:numId w:val="9"/>
        </w:numPr>
      </w:pPr>
      <w:r w:rsidRPr="00BB1E47">
        <w:t xml:space="preserve">In the United Kingdom, a review led to the establishment of a national framework for non-emergency patient transport. </w:t>
      </w:r>
    </w:p>
    <w:p w14:paraId="40699895" w14:textId="025E3E63" w:rsidR="008C1CA0" w:rsidRPr="00BB1E47" w:rsidRDefault="008C1CA0" w:rsidP="00040A12">
      <w:pPr>
        <w:pStyle w:val="Bullet2"/>
      </w:pPr>
      <w:r w:rsidRPr="00BB1E47">
        <w:t xml:space="preserve">In 2021, the NHS review in the United Kingdom set out a </w:t>
      </w:r>
      <w:r w:rsidRPr="00BB1E47">
        <w:rPr>
          <w:b/>
        </w:rPr>
        <w:t>national framework</w:t>
      </w:r>
      <w:r w:rsidRPr="00BB1E47">
        <w:t xml:space="preserve"> to ensure a responsive, fair, and </w:t>
      </w:r>
      <w:r w:rsidRPr="00BB1E47">
        <w:rPr>
          <w:rStyle w:val="normaltextrun"/>
        </w:rPr>
        <w:t>sustainable</w:t>
      </w:r>
      <w:r w:rsidRPr="00BB1E47">
        <w:t xml:space="preserve"> patient transport sector. Following a public submission process, an updated eligibility criteria was published and included a universal commitment of transport support for patients attending in-centre haemodialysis. In addition, a national patient transport dataset has been established to monitor performance of the sector (see</w:t>
      </w:r>
      <w:r w:rsidRPr="00BB1E47">
        <w:rPr>
          <w:i/>
        </w:rPr>
        <w:t xml:space="preserve"> </w:t>
      </w:r>
      <w:r w:rsidRPr="00BB1E47">
        <w:fldChar w:fldCharType="begin"/>
      </w:r>
      <w:r w:rsidRPr="00BB1E47">
        <w:rPr>
          <w:i/>
        </w:rPr>
        <w:instrText xml:space="preserve"> REF _Ref134462532 \h  \* MERGEFORMAT </w:instrText>
      </w:r>
      <w:r w:rsidRPr="00BB1E47">
        <w:fldChar w:fldCharType="separate"/>
      </w:r>
      <w:r w:rsidR="003D510C" w:rsidRPr="00BB1E47">
        <w:t xml:space="preserve">Box </w:t>
      </w:r>
      <w:r w:rsidR="003D510C">
        <w:rPr>
          <w:noProof/>
        </w:rPr>
        <w:t>5</w:t>
      </w:r>
      <w:r w:rsidRPr="00BB1E47">
        <w:fldChar w:fldCharType="end"/>
      </w:r>
      <w:r w:rsidRPr="00BB1E47">
        <w:rPr>
          <w:i/>
        </w:rPr>
        <w:t>).</w:t>
      </w:r>
    </w:p>
    <w:p w14:paraId="2E0F7511" w14:textId="6EDE1BB5" w:rsidR="008C1CA0" w:rsidRPr="00BB1E47" w:rsidRDefault="008C1CA0" w:rsidP="009311A2">
      <w:pPr>
        <w:pStyle w:val="Tablecaption"/>
      </w:pPr>
      <w:bookmarkStart w:id="125" w:name="_Ref134459254"/>
      <w:r w:rsidRPr="00BB1E47">
        <w:lastRenderedPageBreak/>
        <w:t xml:space="preserve">Box </w:t>
      </w:r>
      <w:r>
        <w:fldChar w:fldCharType="begin"/>
      </w:r>
      <w:r>
        <w:instrText>SEQ Box \* ARABIC</w:instrText>
      </w:r>
      <w:r>
        <w:fldChar w:fldCharType="separate"/>
      </w:r>
      <w:r w:rsidR="003D510C">
        <w:rPr>
          <w:noProof/>
        </w:rPr>
        <w:t>2</w:t>
      </w:r>
      <w:r>
        <w:fldChar w:fldCharType="end"/>
      </w:r>
      <w:bookmarkEnd w:id="125"/>
      <w:r w:rsidRPr="00BB1E47">
        <w:t xml:space="preserve">: New South Wales (Australia) case study – Greater Metropolitan Hub </w:t>
      </w:r>
    </w:p>
    <w:tbl>
      <w:tblPr>
        <w:tblStyle w:val="TableGrid"/>
        <w:tblW w:w="0" w:type="auto"/>
        <w:tblInd w:w="-5" w:type="dxa"/>
        <w:tblLook w:val="04A0" w:firstRow="1" w:lastRow="0" w:firstColumn="1" w:lastColumn="0" w:noHBand="0" w:noVBand="1"/>
      </w:tblPr>
      <w:tblGrid>
        <w:gridCol w:w="9802"/>
      </w:tblGrid>
      <w:tr w:rsidR="008C1CA0" w:rsidRPr="00BB1E47" w14:paraId="16DD9102" w14:textId="77777777" w:rsidTr="00040A12">
        <w:trPr>
          <w:trHeight w:val="707"/>
        </w:trPr>
        <w:tc>
          <w:tcPr>
            <w:tcW w:w="9802" w:type="dxa"/>
            <w:shd w:val="clear" w:color="auto" w:fill="F2F2F2" w:themeFill="background1" w:themeFillShade="F2"/>
          </w:tcPr>
          <w:p w14:paraId="220AE2BF" w14:textId="77777777" w:rsidR="008C1CA0" w:rsidRPr="00BB1E47" w:rsidRDefault="008C1CA0" w:rsidP="00B108AF">
            <w:pPr>
              <w:pStyle w:val="Bullet1"/>
              <w:numPr>
                <w:ilvl w:val="0"/>
                <w:numId w:val="0"/>
              </w:numPr>
              <w:rPr>
                <w:b/>
                <w:bCs/>
              </w:rPr>
            </w:pPr>
            <w:r w:rsidRPr="00BB1E47">
              <w:rPr>
                <w:b/>
                <w:bCs/>
              </w:rPr>
              <w:t>Case Study: Automated scheduling and dispatch service for New South Wales 2014</w:t>
            </w:r>
            <w:r w:rsidRPr="00BB1E47">
              <w:rPr>
                <w:rStyle w:val="FootnoteReference"/>
                <w:b/>
                <w:bCs/>
              </w:rPr>
              <w:footnoteReference w:id="86"/>
            </w:r>
          </w:p>
          <w:p w14:paraId="16A97D80" w14:textId="77777777" w:rsidR="008C1CA0" w:rsidRPr="00BB1E47" w:rsidRDefault="008C1CA0" w:rsidP="00E9640E">
            <w:pPr>
              <w:pStyle w:val="Bullet1"/>
              <w:numPr>
                <w:ilvl w:val="0"/>
                <w:numId w:val="22"/>
              </w:numPr>
            </w:pPr>
            <w:r w:rsidRPr="00BB1E47">
              <w:t xml:space="preserve">The Greater Metropolitan Hub centralises the scheduling and coordination of Patient Transport Services (PTS) in greater metropolitan Sydney and Hunter New England. </w:t>
            </w:r>
          </w:p>
          <w:p w14:paraId="7F404F3E" w14:textId="77777777" w:rsidR="008C1CA0" w:rsidRPr="00BB1E47" w:rsidRDefault="008C1CA0" w:rsidP="00E9640E">
            <w:pPr>
              <w:pStyle w:val="Bullet1"/>
              <w:numPr>
                <w:ilvl w:val="0"/>
                <w:numId w:val="22"/>
              </w:numPr>
            </w:pPr>
            <w:r w:rsidRPr="00BB1E47">
              <w:t xml:space="preserve">The technology handles routine scheduling and dispatching by reviewing the capabilities, </w:t>
            </w:r>
            <w:proofErr w:type="gramStart"/>
            <w:r w:rsidRPr="00BB1E47">
              <w:t>availability</w:t>
            </w:r>
            <w:proofErr w:type="gramEnd"/>
            <w:r w:rsidRPr="00BB1E47">
              <w:t xml:space="preserve"> and location of patient transport vehicles, and scheduling the optimal combination of transport. This auto-scheduling is based on rules defined by the PTS and allows the booking hub team to focus on any transports that fall outside the ‘norm’ and communicating with health services to facilitate the request. </w:t>
            </w:r>
          </w:p>
          <w:p w14:paraId="612D031E" w14:textId="77777777" w:rsidR="008C1CA0" w:rsidRPr="00BB1E47" w:rsidRDefault="008C1CA0" w:rsidP="00E9640E">
            <w:pPr>
              <w:pStyle w:val="Bullet1"/>
              <w:numPr>
                <w:ilvl w:val="0"/>
                <w:numId w:val="22"/>
              </w:numPr>
            </w:pPr>
            <w:r w:rsidRPr="00BB1E47">
              <w:t xml:space="preserve">The Greater Metropolitan Hub has been integrated with the existing Patient Flow Portal used by NSW Health facilities. The real-time information sharing allows clinicians and administrators to track the status of the </w:t>
            </w:r>
            <w:proofErr w:type="gramStart"/>
            <w:r w:rsidRPr="00BB1E47">
              <w:t>request, and</w:t>
            </w:r>
            <w:proofErr w:type="gramEnd"/>
            <w:r w:rsidRPr="00BB1E47">
              <w:t xml:space="preserve"> reduces the number of phone calls and miscommunication that previously occurred. This system was developed in partnership between PTS leaders and </w:t>
            </w:r>
            <w:proofErr w:type="spellStart"/>
            <w:r w:rsidRPr="00BB1E47">
              <w:t>Logis</w:t>
            </w:r>
            <w:proofErr w:type="spellEnd"/>
            <w:r w:rsidRPr="00BB1E47">
              <w:t xml:space="preserve"> Solutions.  </w:t>
            </w:r>
          </w:p>
        </w:tc>
      </w:tr>
    </w:tbl>
    <w:p w14:paraId="4D10BDE9" w14:textId="77777777" w:rsidR="008C1CA0" w:rsidRPr="00BB1E47" w:rsidRDefault="008C1CA0" w:rsidP="008C1CA0">
      <w:pPr>
        <w:pStyle w:val="Caption"/>
      </w:pPr>
    </w:p>
    <w:p w14:paraId="165278BA" w14:textId="00616F54" w:rsidR="008C1CA0" w:rsidRPr="00BB1E47" w:rsidRDefault="008C1CA0" w:rsidP="009311A2">
      <w:pPr>
        <w:pStyle w:val="Tablecaption"/>
      </w:pPr>
      <w:bookmarkStart w:id="126" w:name="_Ref134461165"/>
      <w:bookmarkStart w:id="127" w:name="_Ref134459272"/>
      <w:r w:rsidRPr="00BB1E47">
        <w:t xml:space="preserve">Box </w:t>
      </w:r>
      <w:r>
        <w:fldChar w:fldCharType="begin"/>
      </w:r>
      <w:r>
        <w:instrText>SEQ Box \* ARABIC</w:instrText>
      </w:r>
      <w:r>
        <w:fldChar w:fldCharType="separate"/>
      </w:r>
      <w:r w:rsidR="003D510C">
        <w:rPr>
          <w:noProof/>
        </w:rPr>
        <w:t>3</w:t>
      </w:r>
      <w:r>
        <w:fldChar w:fldCharType="end"/>
      </w:r>
      <w:bookmarkEnd w:id="126"/>
      <w:r w:rsidRPr="00BB1E47">
        <w:t>: New South Wales (Australia) case study – Patient transport simulation model</w:t>
      </w:r>
    </w:p>
    <w:tbl>
      <w:tblPr>
        <w:tblStyle w:val="TableGrid"/>
        <w:tblW w:w="0" w:type="auto"/>
        <w:tblInd w:w="-5" w:type="dxa"/>
        <w:tblLook w:val="04A0" w:firstRow="1" w:lastRow="0" w:firstColumn="1" w:lastColumn="0" w:noHBand="0" w:noVBand="1"/>
      </w:tblPr>
      <w:tblGrid>
        <w:gridCol w:w="9802"/>
      </w:tblGrid>
      <w:tr w:rsidR="008C1CA0" w:rsidRPr="00BB1E47" w14:paraId="508EDE87" w14:textId="77777777" w:rsidTr="00040A12">
        <w:trPr>
          <w:trHeight w:val="680"/>
        </w:trPr>
        <w:tc>
          <w:tcPr>
            <w:tcW w:w="9802" w:type="dxa"/>
            <w:shd w:val="clear" w:color="auto" w:fill="F2F2F2" w:themeFill="background1" w:themeFillShade="F2"/>
          </w:tcPr>
          <w:p w14:paraId="74EE2C51" w14:textId="77777777" w:rsidR="008C1CA0" w:rsidRPr="00BB1E47" w:rsidRDefault="008C1CA0" w:rsidP="00B108AF">
            <w:pPr>
              <w:pStyle w:val="Bullet1"/>
              <w:numPr>
                <w:ilvl w:val="0"/>
                <w:numId w:val="0"/>
              </w:numPr>
              <w:rPr>
                <w:b/>
                <w:bCs/>
              </w:rPr>
            </w:pPr>
            <w:r w:rsidRPr="00BB1E47">
              <w:rPr>
                <w:b/>
                <w:bCs/>
              </w:rPr>
              <w:t>Case Study: A patient transport simulation model for New South Wales 2018</w:t>
            </w:r>
            <w:r w:rsidRPr="00BB1E47">
              <w:rPr>
                <w:rStyle w:val="FootnoteReference"/>
                <w:b/>
                <w:bCs/>
              </w:rPr>
              <w:footnoteReference w:id="87"/>
            </w:r>
          </w:p>
          <w:p w14:paraId="70271AD4" w14:textId="77777777" w:rsidR="008C1CA0" w:rsidRPr="00BB1E47" w:rsidRDefault="008C1CA0" w:rsidP="00E9640E">
            <w:pPr>
              <w:pStyle w:val="Bullet1"/>
              <w:numPr>
                <w:ilvl w:val="0"/>
                <w:numId w:val="21"/>
              </w:numPr>
            </w:pPr>
            <w:r w:rsidRPr="00BB1E47">
              <w:t xml:space="preserve">In 2018, </w:t>
            </w:r>
            <w:proofErr w:type="spellStart"/>
            <w:r w:rsidRPr="00BB1E47">
              <w:t>HealthShare</w:t>
            </w:r>
            <w:proofErr w:type="spellEnd"/>
            <w:r w:rsidRPr="00BB1E47">
              <w:t xml:space="preserve"> NSW commissioned operational researchers to explore resourcing options for its PTS. In 2016/17, the PTS delivered 200 patient transports per week with 492 vehicle hours. Over this period, the PTS were unable to keep up with demand and subsequently passed on the request to alternative providers at great additional cost. </w:t>
            </w:r>
          </w:p>
          <w:p w14:paraId="273D3D84" w14:textId="77777777" w:rsidR="008C1CA0" w:rsidRPr="00BB1E47" w:rsidRDefault="008C1CA0" w:rsidP="00E9640E">
            <w:pPr>
              <w:pStyle w:val="Bullet1"/>
              <w:numPr>
                <w:ilvl w:val="0"/>
                <w:numId w:val="21"/>
              </w:numPr>
            </w:pPr>
            <w:r w:rsidRPr="00BB1E47">
              <w:t xml:space="preserve">A patient transport simulation model was developed, considering factors such as vehicle type and crew mix, shift patterns, and the distribution and volume of patient journeys. An algorithm was developed to generate vehicle </w:t>
            </w:r>
            <w:proofErr w:type="gramStart"/>
            <w:r w:rsidRPr="00BB1E47">
              <w:t>routes, and</w:t>
            </w:r>
            <w:proofErr w:type="gramEnd"/>
            <w:r w:rsidRPr="00BB1E47">
              <w:t xml:space="preserve"> was improved using a ‘cost function’ to determine the ‘better’ route (including factors such as impacts on patient care and timeliness). </w:t>
            </w:r>
          </w:p>
          <w:p w14:paraId="736DA639" w14:textId="1E3A53BF" w:rsidR="008C1CA0" w:rsidRPr="00BB1E47" w:rsidRDefault="008C1CA0" w:rsidP="00E9640E">
            <w:pPr>
              <w:pStyle w:val="Body"/>
              <w:numPr>
                <w:ilvl w:val="0"/>
                <w:numId w:val="21"/>
              </w:numPr>
            </w:pPr>
            <w:r w:rsidRPr="00BB1E47">
              <w:t xml:space="preserve">The model showed that there </w:t>
            </w:r>
            <w:r w:rsidR="0015343F" w:rsidRPr="00BB1E47">
              <w:t>were</w:t>
            </w:r>
            <w:r w:rsidRPr="00BB1E47">
              <w:t xml:space="preserve"> an additional 60 journeys per week which were given to alternative services, and by adjusting the simulation, 80%</w:t>
            </w:r>
            <w:r w:rsidR="0015343F" w:rsidRPr="00BB1E47">
              <w:t xml:space="preserve"> </w:t>
            </w:r>
            <w:r w:rsidRPr="00BB1E47">
              <w:t xml:space="preserve">of these journeys could be accommodated within the core </w:t>
            </w:r>
            <w:proofErr w:type="spellStart"/>
            <w:r w:rsidRPr="00BB1E47">
              <w:t>HealthShare</w:t>
            </w:r>
            <w:proofErr w:type="spellEnd"/>
            <w:r w:rsidRPr="00BB1E47">
              <w:t xml:space="preserve"> capacity by adding 176 vehicle hours. As a result, the additional cost of using alternative providers has significantly </w:t>
            </w:r>
            <w:r w:rsidR="0015343F" w:rsidRPr="00BB1E47">
              <w:t>decreased</w:t>
            </w:r>
            <w:r w:rsidRPr="00BB1E47">
              <w:t>.</w:t>
            </w:r>
          </w:p>
        </w:tc>
      </w:tr>
    </w:tbl>
    <w:p w14:paraId="3D9EA65B" w14:textId="554FA750" w:rsidR="008C1CA0" w:rsidRPr="00BB1E47" w:rsidRDefault="008C1CA0" w:rsidP="009311A2">
      <w:pPr>
        <w:pStyle w:val="Tablecaption"/>
      </w:pPr>
      <w:bookmarkStart w:id="128" w:name="_Ref134462806"/>
      <w:bookmarkStart w:id="129" w:name="_Ref134461183"/>
      <w:r w:rsidRPr="00BB1E47">
        <w:t xml:space="preserve">Box </w:t>
      </w:r>
      <w:r>
        <w:fldChar w:fldCharType="begin"/>
      </w:r>
      <w:r>
        <w:instrText>SEQ Box \* ARABIC</w:instrText>
      </w:r>
      <w:r>
        <w:fldChar w:fldCharType="separate"/>
      </w:r>
      <w:r w:rsidR="003D510C">
        <w:rPr>
          <w:noProof/>
        </w:rPr>
        <w:t>4</w:t>
      </w:r>
      <w:r>
        <w:fldChar w:fldCharType="end"/>
      </w:r>
      <w:bookmarkEnd w:id="128"/>
      <w:r w:rsidRPr="00BB1E47">
        <w:t>: Queensland (Australia) case study – Queensland Patient Access Coordination Hub</w:t>
      </w:r>
      <w:r w:rsidRPr="00BB1E47">
        <w:rPr>
          <w:rStyle w:val="FootnoteReference"/>
        </w:rPr>
        <w:footnoteReference w:id="88"/>
      </w:r>
    </w:p>
    <w:tbl>
      <w:tblPr>
        <w:tblStyle w:val="TableGrid"/>
        <w:tblW w:w="0" w:type="auto"/>
        <w:tblInd w:w="-5" w:type="dxa"/>
        <w:tblLook w:val="04A0" w:firstRow="1" w:lastRow="0" w:firstColumn="1" w:lastColumn="0" w:noHBand="0" w:noVBand="1"/>
      </w:tblPr>
      <w:tblGrid>
        <w:gridCol w:w="9802"/>
      </w:tblGrid>
      <w:tr w:rsidR="008C1CA0" w:rsidRPr="00BB1E47" w14:paraId="43D90910" w14:textId="77777777" w:rsidTr="00040A12">
        <w:trPr>
          <w:trHeight w:val="1408"/>
        </w:trPr>
        <w:tc>
          <w:tcPr>
            <w:tcW w:w="9802" w:type="dxa"/>
            <w:shd w:val="clear" w:color="auto" w:fill="F2F2F2" w:themeFill="background1" w:themeFillShade="F2"/>
          </w:tcPr>
          <w:p w14:paraId="0A60D325" w14:textId="77777777" w:rsidR="008C1CA0" w:rsidRPr="00BB1E47" w:rsidRDefault="008C1CA0" w:rsidP="00B108AF">
            <w:pPr>
              <w:pStyle w:val="Bullet1"/>
              <w:numPr>
                <w:ilvl w:val="0"/>
                <w:numId w:val="0"/>
              </w:numPr>
              <w:rPr>
                <w:b/>
                <w:bCs/>
              </w:rPr>
            </w:pPr>
            <w:r w:rsidRPr="00BB1E47">
              <w:rPr>
                <w:b/>
                <w:bCs/>
              </w:rPr>
              <w:t xml:space="preserve">Case Study: Queensland Patient Access Coordination Hub </w:t>
            </w:r>
          </w:p>
          <w:p w14:paraId="3F90DD00" w14:textId="77777777" w:rsidR="008C1CA0" w:rsidRPr="00BB1E47" w:rsidRDefault="008C1CA0" w:rsidP="00E9640E">
            <w:pPr>
              <w:pStyle w:val="Bullet1"/>
              <w:numPr>
                <w:ilvl w:val="0"/>
                <w:numId w:val="20"/>
              </w:numPr>
            </w:pPr>
            <w:r w:rsidRPr="00BB1E47">
              <w:t xml:space="preserve">Since 2017, Queensland has been implementing Patient Access Coordination Hubs (PACH) across the state. The PACH model was designed to enhance operational performance and assist with patient flow using real-time intelligence. Visibility is provided across the patient journey from ambulance operations, through to the emergency department, to admission and subsequent discharge. </w:t>
            </w:r>
          </w:p>
          <w:p w14:paraId="337B296F" w14:textId="77777777" w:rsidR="008C1CA0" w:rsidRPr="00BB1E47" w:rsidRDefault="008C1CA0" w:rsidP="00E9640E">
            <w:pPr>
              <w:pStyle w:val="Bullet1"/>
              <w:numPr>
                <w:ilvl w:val="0"/>
                <w:numId w:val="20"/>
              </w:numPr>
            </w:pPr>
            <w:r w:rsidRPr="00BB1E47">
              <w:lastRenderedPageBreak/>
              <w:t xml:space="preserve">The PACH is staffed by Queensland Ambulance Services (QAS) and Queensland Health officers who collaborate and use real-time data to make informed decisions that assist in the management of the patient journey, whilst enhancing the coordination of patient flows. </w:t>
            </w:r>
          </w:p>
          <w:p w14:paraId="16F15866" w14:textId="77777777" w:rsidR="008C1CA0" w:rsidRPr="00BB1E47" w:rsidRDefault="008C1CA0" w:rsidP="00E9640E">
            <w:pPr>
              <w:pStyle w:val="Bullet1"/>
              <w:numPr>
                <w:ilvl w:val="0"/>
                <w:numId w:val="20"/>
              </w:numPr>
            </w:pPr>
            <w:r w:rsidRPr="00BB1E47">
              <w:t>The technology enables both planned and real-time visibility of interfacility transfers and medically authorised transports to health facilities. This has increased patient flow into the community, improved ED capacity and patient flows within hospitals.</w:t>
            </w:r>
          </w:p>
        </w:tc>
      </w:tr>
    </w:tbl>
    <w:p w14:paraId="688A49B2" w14:textId="7F0A820B" w:rsidR="008C1CA0" w:rsidRPr="00BB1E47" w:rsidRDefault="008C1CA0" w:rsidP="004412D3">
      <w:pPr>
        <w:pStyle w:val="Tablecaption"/>
      </w:pPr>
      <w:bookmarkStart w:id="130" w:name="_Ref134462532"/>
      <w:r w:rsidRPr="00BB1E47">
        <w:lastRenderedPageBreak/>
        <w:t xml:space="preserve">Box </w:t>
      </w:r>
      <w:r>
        <w:fldChar w:fldCharType="begin"/>
      </w:r>
      <w:r>
        <w:instrText>SEQ Box \* ARABIC</w:instrText>
      </w:r>
      <w:r>
        <w:fldChar w:fldCharType="separate"/>
      </w:r>
      <w:r w:rsidR="003D510C">
        <w:rPr>
          <w:noProof/>
        </w:rPr>
        <w:t>5</w:t>
      </w:r>
      <w:r>
        <w:fldChar w:fldCharType="end"/>
      </w:r>
      <w:bookmarkEnd w:id="127"/>
      <w:bookmarkEnd w:id="129"/>
      <w:bookmarkEnd w:id="130"/>
      <w:r w:rsidRPr="00BB1E47">
        <w:t>: NHS (United Kingdom) case study – National framework to support NEPTS</w:t>
      </w:r>
    </w:p>
    <w:tbl>
      <w:tblPr>
        <w:tblStyle w:val="TableGrid"/>
        <w:tblW w:w="0" w:type="auto"/>
        <w:tblInd w:w="-5" w:type="dxa"/>
        <w:tblLook w:val="04A0" w:firstRow="1" w:lastRow="0" w:firstColumn="1" w:lastColumn="0" w:noHBand="0" w:noVBand="1"/>
      </w:tblPr>
      <w:tblGrid>
        <w:gridCol w:w="9802"/>
      </w:tblGrid>
      <w:tr w:rsidR="008C1CA0" w:rsidRPr="00BB1E47" w14:paraId="55323462" w14:textId="77777777" w:rsidTr="00040A12">
        <w:tc>
          <w:tcPr>
            <w:tcW w:w="9802" w:type="dxa"/>
            <w:shd w:val="clear" w:color="auto" w:fill="F2F2F2" w:themeFill="background1" w:themeFillShade="F2"/>
          </w:tcPr>
          <w:p w14:paraId="1C3A19E4" w14:textId="77777777" w:rsidR="008C1CA0" w:rsidRPr="00BB1E47" w:rsidRDefault="008C1CA0" w:rsidP="00B108AF">
            <w:pPr>
              <w:pStyle w:val="Bullet1"/>
              <w:numPr>
                <w:ilvl w:val="0"/>
                <w:numId w:val="0"/>
              </w:numPr>
              <w:rPr>
                <w:b/>
                <w:bCs/>
              </w:rPr>
            </w:pPr>
            <w:r w:rsidRPr="00BB1E47">
              <w:rPr>
                <w:b/>
                <w:bCs/>
              </w:rPr>
              <w:t>Case Study: NHS Improving non-emergency patient transport services report 2021</w:t>
            </w:r>
            <w:r w:rsidRPr="00BB1E47">
              <w:rPr>
                <w:rStyle w:val="FootnoteReference"/>
                <w:b/>
                <w:bCs/>
              </w:rPr>
              <w:footnoteReference w:id="89"/>
            </w:r>
          </w:p>
          <w:p w14:paraId="7C000CB4" w14:textId="77777777" w:rsidR="008C1CA0" w:rsidRPr="00BB1E47" w:rsidRDefault="008C1CA0" w:rsidP="00B108AF">
            <w:pPr>
              <w:pStyle w:val="Bullet1"/>
              <w:numPr>
                <w:ilvl w:val="0"/>
                <w:numId w:val="0"/>
              </w:numPr>
            </w:pPr>
            <w:r w:rsidRPr="00BB1E47">
              <w:t xml:space="preserve">The 2021 Review of Non-Emergency Patient Transport Services (NEPTS) in the UK set out a new national framework to support the aim of NEPTS becoming more responsive, </w:t>
            </w:r>
            <w:proofErr w:type="gramStart"/>
            <w:r w:rsidRPr="00BB1E47">
              <w:t>fair</w:t>
            </w:r>
            <w:proofErr w:type="gramEnd"/>
            <w:r w:rsidRPr="00BB1E47">
              <w:t xml:space="preserve"> and sustainable. The framework has five components:</w:t>
            </w:r>
          </w:p>
          <w:p w14:paraId="28F43D2B" w14:textId="0446A175" w:rsidR="008C1CA0" w:rsidRPr="00BB1E47" w:rsidRDefault="008C1CA0" w:rsidP="00E9640E">
            <w:pPr>
              <w:pStyle w:val="Bullet1"/>
              <w:numPr>
                <w:ilvl w:val="0"/>
                <w:numId w:val="20"/>
              </w:numPr>
            </w:pPr>
            <w:r w:rsidRPr="00BB1E47">
              <w:t xml:space="preserve">More consistent </w:t>
            </w:r>
            <w:r w:rsidR="0015343F" w:rsidRPr="00BB1E47">
              <w:t xml:space="preserve">patient </w:t>
            </w:r>
            <w:r w:rsidRPr="00BB1E47">
              <w:t>eligibility</w:t>
            </w:r>
            <w:r w:rsidR="0015343F" w:rsidRPr="00BB1E47">
              <w:t xml:space="preserve"> for planned services</w:t>
            </w:r>
            <w:r w:rsidRPr="00BB1E47">
              <w:t>.</w:t>
            </w:r>
            <w:r w:rsidRPr="00BB1E47">
              <w:rPr>
                <w:rStyle w:val="FootnoteReference"/>
              </w:rPr>
              <w:footnoteReference w:id="90"/>
            </w:r>
          </w:p>
          <w:p w14:paraId="3CDB6420" w14:textId="77777777" w:rsidR="008C1CA0" w:rsidRPr="00BB1E47" w:rsidRDefault="008C1CA0" w:rsidP="00E9640E">
            <w:pPr>
              <w:pStyle w:val="Bullet1"/>
              <w:numPr>
                <w:ilvl w:val="0"/>
                <w:numId w:val="20"/>
              </w:numPr>
            </w:pPr>
            <w:r w:rsidRPr="00BB1E47">
              <w:t xml:space="preserve">Support for wider transport planning and journeys for all patients. This recognises the need to integrate NEPTS with health system components and funding schemes beyond NEPTS. Legislative changes to this effect will be introduced shortly. </w:t>
            </w:r>
          </w:p>
          <w:p w14:paraId="479D00BB" w14:textId="77777777" w:rsidR="008C1CA0" w:rsidRPr="00BB1E47" w:rsidRDefault="008C1CA0" w:rsidP="00E9640E">
            <w:pPr>
              <w:pStyle w:val="Bullet1"/>
              <w:numPr>
                <w:ilvl w:val="0"/>
                <w:numId w:val="20"/>
              </w:numPr>
            </w:pPr>
            <w:r w:rsidRPr="00BB1E47">
              <w:t>Greater transparency on performance to drive outcomes and enable learning, including articulated key performance criteria. This resulted in the introduction of the first national dataset for NEPTS.</w:t>
            </w:r>
            <w:r w:rsidRPr="00BB1E47">
              <w:rPr>
                <w:rStyle w:val="FootnoteReference"/>
              </w:rPr>
              <w:footnoteReference w:id="91"/>
            </w:r>
            <w:r w:rsidRPr="00BB1E47">
              <w:t xml:space="preserve"> </w:t>
            </w:r>
          </w:p>
          <w:p w14:paraId="6D31EF5B" w14:textId="1B7D2EC5" w:rsidR="008C1CA0" w:rsidRPr="00BB1E47" w:rsidRDefault="008C1CA0" w:rsidP="00E9640E">
            <w:pPr>
              <w:pStyle w:val="Bullet1"/>
              <w:numPr>
                <w:ilvl w:val="0"/>
                <w:numId w:val="20"/>
              </w:numPr>
            </w:pPr>
            <w:r w:rsidRPr="00BB1E47">
              <w:t>A staged path to net zero carbon emissions for the NHS patient transport sector</w:t>
            </w:r>
            <w:r w:rsidR="003705A0" w:rsidRPr="00BB1E47">
              <w:t>, with 100% of vehicles used to deliver the contract to be zero-emission vehicles by 203</w:t>
            </w:r>
            <w:r w:rsidR="00597C0A" w:rsidRPr="00BB1E47">
              <w:t>5</w:t>
            </w:r>
            <w:r w:rsidR="003705A0" w:rsidRPr="00BB1E47">
              <w:t xml:space="preserve">. </w:t>
            </w:r>
          </w:p>
          <w:p w14:paraId="502276BE" w14:textId="370209E7" w:rsidR="008C1CA0" w:rsidRPr="00BB1E47" w:rsidRDefault="008C1CA0" w:rsidP="00E9640E">
            <w:pPr>
              <w:pStyle w:val="Bullet1"/>
              <w:numPr>
                <w:ilvl w:val="0"/>
                <w:numId w:val="20"/>
              </w:numPr>
            </w:pPr>
            <w:r w:rsidRPr="00BB1E47">
              <w:t>Improved procurement and contract management, which will include core standards and model specifications across the sector</w:t>
            </w:r>
          </w:p>
        </w:tc>
      </w:tr>
    </w:tbl>
    <w:p w14:paraId="021079E2" w14:textId="77777777" w:rsidR="008C1CA0" w:rsidRPr="00BB1E47" w:rsidRDefault="008C1CA0" w:rsidP="008C1CA0">
      <w:pPr>
        <w:pStyle w:val="Body"/>
      </w:pPr>
    </w:p>
    <w:p w14:paraId="4D208441" w14:textId="77777777" w:rsidR="008C1CA0" w:rsidRPr="00BB1E47" w:rsidRDefault="008C1CA0" w:rsidP="008C1CA0">
      <w:pPr>
        <w:pStyle w:val="Bullet2"/>
        <w:numPr>
          <w:ilvl w:val="0"/>
          <w:numId w:val="0"/>
        </w:numPr>
        <w:ind w:left="360" w:hanging="360"/>
      </w:pPr>
      <w:r w:rsidRPr="00BB1E47">
        <w:rPr>
          <w:noProof/>
        </w:rPr>
        <mc:AlternateContent>
          <mc:Choice Requires="wps">
            <w:drawing>
              <wp:inline distT="0" distB="0" distL="0" distR="0" wp14:anchorId="73D1B6E2" wp14:editId="040B2423">
                <wp:extent cx="6334125" cy="1871331"/>
                <wp:effectExtent l="0" t="0" r="9525" b="0"/>
                <wp:docPr id="9" name="Text Box 9"/>
                <wp:cNvGraphicFramePr/>
                <a:graphic xmlns:a="http://schemas.openxmlformats.org/drawingml/2006/main">
                  <a:graphicData uri="http://schemas.microsoft.com/office/word/2010/wordprocessingShape">
                    <wps:wsp>
                      <wps:cNvSpPr txBox="1"/>
                      <wps:spPr>
                        <a:xfrm>
                          <a:off x="0" y="0"/>
                          <a:ext cx="6334125" cy="1871331"/>
                        </a:xfrm>
                        <a:prstGeom prst="rect">
                          <a:avLst/>
                        </a:prstGeom>
                        <a:solidFill>
                          <a:schemeClr val="accent1">
                            <a:lumMod val="20000"/>
                            <a:lumOff val="80000"/>
                          </a:schemeClr>
                        </a:solidFill>
                        <a:ln w="6350">
                          <a:noFill/>
                        </a:ln>
                      </wps:spPr>
                      <wps:txbx>
                        <w:txbxContent>
                          <w:p w14:paraId="4A703D3A"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Pr>
                                <w:b/>
                                <w:i/>
                                <w:iCs/>
                              </w:rPr>
                              <w:t>Future options for reform</w:t>
                            </w:r>
                          </w:p>
                          <w:p w14:paraId="4EE9A5BF" w14:textId="77777777" w:rsidR="008C1CA0" w:rsidRPr="0068259D" w:rsidRDefault="008C1CA0" w:rsidP="00C70C6B">
                            <w:pPr>
                              <w:pStyle w:val="Body"/>
                              <w:numPr>
                                <w:ilvl w:val="0"/>
                                <w:numId w:val="65"/>
                              </w:numPr>
                            </w:pPr>
                            <w:r w:rsidRPr="0068259D">
                              <w:t xml:space="preserve">What are your views on the reform options outlined? </w:t>
                            </w:r>
                          </w:p>
                          <w:p w14:paraId="74887BC2" w14:textId="77777777" w:rsidR="008C1CA0" w:rsidRPr="0068259D" w:rsidRDefault="008C1CA0" w:rsidP="00C70C6B">
                            <w:pPr>
                              <w:pStyle w:val="Body"/>
                              <w:numPr>
                                <w:ilvl w:val="0"/>
                                <w:numId w:val="65"/>
                              </w:numPr>
                            </w:pPr>
                            <w:r w:rsidRPr="0068259D">
                              <w:t xml:space="preserve">Which offer the biggest potential benefits for Victorians? </w:t>
                            </w:r>
                          </w:p>
                          <w:p w14:paraId="3300A67B" w14:textId="77777777" w:rsidR="008C1CA0" w:rsidRPr="0068259D" w:rsidRDefault="008C1CA0" w:rsidP="00C70C6B">
                            <w:pPr>
                              <w:pStyle w:val="Body"/>
                              <w:numPr>
                                <w:ilvl w:val="0"/>
                                <w:numId w:val="65"/>
                              </w:numPr>
                            </w:pPr>
                            <w:r w:rsidRPr="0068259D">
                              <w:t>What is missing from these options?</w:t>
                            </w:r>
                          </w:p>
                          <w:p w14:paraId="3AFF90D4" w14:textId="77777777" w:rsidR="008C1CA0" w:rsidRPr="0068259D" w:rsidRDefault="008C1CA0" w:rsidP="00C70C6B">
                            <w:pPr>
                              <w:pStyle w:val="Body"/>
                              <w:numPr>
                                <w:ilvl w:val="0"/>
                                <w:numId w:val="65"/>
                              </w:numPr>
                            </w:pPr>
                            <w:r>
                              <w:t xml:space="preserve">What factors need to be considered when implementing any reform options, to ensure feasibility and sustainability, and to manage risk of unintended consequences? </w:t>
                            </w:r>
                          </w:p>
                          <w:p w14:paraId="2557CFA1" w14:textId="5AA96F69" w:rsidR="0042272A" w:rsidRPr="0068259D" w:rsidRDefault="00F33DAA" w:rsidP="00C70C6B">
                            <w:pPr>
                              <w:pStyle w:val="Body"/>
                              <w:numPr>
                                <w:ilvl w:val="0"/>
                                <w:numId w:val="65"/>
                              </w:numPr>
                            </w:pPr>
                            <w:r>
                              <w:t xml:space="preserve">How can potential solutions </w:t>
                            </w:r>
                            <w:r w:rsidR="00603E8A">
                              <w:t>account for differences between metropolitan and rural areas?</w:t>
                            </w:r>
                          </w:p>
                          <w:p w14:paraId="7963EE2D" w14:textId="77777777" w:rsidR="008C1CA0" w:rsidRPr="002E19A8" w:rsidRDefault="008C1CA0" w:rsidP="008C1CA0">
                            <w:pPr>
                              <w:pStyle w:val="Bullet1"/>
                              <w:numPr>
                                <w:ilvl w:val="0"/>
                                <w:numId w:val="0"/>
                              </w:numPr>
                              <w:rPr>
                                <w:rFonts w:eastAsia="Myriad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D1B6E2" id="Text Box 9" o:spid="_x0000_s1035" type="#_x0000_t202" style="width:498.7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" fillcolor="#dbe5f1 [660]" stroked="f" strokeweight=".5pt">
                <v:textbox>
                  <w:txbxContent>
                    <w:p w14:paraId="4A703D3A" w14:textId="77777777" w:rsidR="008C1CA0" w:rsidRPr="00BD0445" w:rsidRDefault="008C1CA0" w:rsidP="008C1CA0">
                      <w:pPr>
                        <w:rPr>
                          <w:b/>
                        </w:rPr>
                      </w:pPr>
                      <w:r>
                        <w:rPr>
                          <w:b/>
                        </w:rPr>
                        <w:t>Consultation</w:t>
                      </w:r>
                      <w:r w:rsidRPr="00BD0445">
                        <w:rPr>
                          <w:b/>
                        </w:rPr>
                        <w:t xml:space="preserve"> </w:t>
                      </w:r>
                      <w:r>
                        <w:rPr>
                          <w:b/>
                        </w:rPr>
                        <w:t>q</w:t>
                      </w:r>
                      <w:r w:rsidRPr="00BD0445">
                        <w:rPr>
                          <w:b/>
                          <w:bCs/>
                        </w:rPr>
                        <w:t>uestion</w:t>
                      </w:r>
                      <w:r>
                        <w:rPr>
                          <w:b/>
                          <w:bCs/>
                        </w:rPr>
                        <w:t>s</w:t>
                      </w:r>
                      <w:r>
                        <w:rPr>
                          <w:b/>
                        </w:rPr>
                        <w:t xml:space="preserve"> – </w:t>
                      </w:r>
                      <w:r>
                        <w:rPr>
                          <w:b/>
                          <w:i/>
                          <w:iCs/>
                        </w:rPr>
                        <w:t>Future options for reform</w:t>
                      </w:r>
                    </w:p>
                    <w:p w14:paraId="4EE9A5BF" w14:textId="77777777" w:rsidR="008C1CA0" w:rsidRPr="0068259D" w:rsidRDefault="008C1CA0" w:rsidP="00C70C6B">
                      <w:pPr>
                        <w:pStyle w:val="Body"/>
                        <w:numPr>
                          <w:ilvl w:val="0"/>
                          <w:numId w:val="65"/>
                        </w:numPr>
                      </w:pPr>
                      <w:r w:rsidRPr="0068259D">
                        <w:t xml:space="preserve">What are your views on the reform options outlined? </w:t>
                      </w:r>
                    </w:p>
                    <w:p w14:paraId="74887BC2" w14:textId="77777777" w:rsidR="008C1CA0" w:rsidRPr="0068259D" w:rsidRDefault="008C1CA0" w:rsidP="00C70C6B">
                      <w:pPr>
                        <w:pStyle w:val="Body"/>
                        <w:numPr>
                          <w:ilvl w:val="0"/>
                          <w:numId w:val="65"/>
                        </w:numPr>
                      </w:pPr>
                      <w:r w:rsidRPr="0068259D">
                        <w:t xml:space="preserve">Which offer the biggest potential benefits for Victorians? </w:t>
                      </w:r>
                    </w:p>
                    <w:p w14:paraId="3300A67B" w14:textId="77777777" w:rsidR="008C1CA0" w:rsidRPr="0068259D" w:rsidRDefault="008C1CA0" w:rsidP="00C70C6B">
                      <w:pPr>
                        <w:pStyle w:val="Body"/>
                        <w:numPr>
                          <w:ilvl w:val="0"/>
                          <w:numId w:val="65"/>
                        </w:numPr>
                      </w:pPr>
                      <w:r w:rsidRPr="0068259D">
                        <w:t>What is missing from these options?</w:t>
                      </w:r>
                    </w:p>
                    <w:p w14:paraId="3AFF90D4" w14:textId="77777777" w:rsidR="008C1CA0" w:rsidRPr="0068259D" w:rsidRDefault="008C1CA0" w:rsidP="00C70C6B">
                      <w:pPr>
                        <w:pStyle w:val="Body"/>
                        <w:numPr>
                          <w:ilvl w:val="0"/>
                          <w:numId w:val="65"/>
                        </w:numPr>
                      </w:pPr>
                      <w:r>
                        <w:t xml:space="preserve">What factors need to be considered when implementing any reform options, to ensure feasibility and sustainability, and to manage risk of unintended consequences? </w:t>
                      </w:r>
                    </w:p>
                    <w:p w14:paraId="2557CFA1" w14:textId="5AA96F69" w:rsidR="0042272A" w:rsidRPr="0068259D" w:rsidRDefault="00F33DAA" w:rsidP="00C70C6B">
                      <w:pPr>
                        <w:pStyle w:val="Body"/>
                        <w:numPr>
                          <w:ilvl w:val="0"/>
                          <w:numId w:val="65"/>
                        </w:numPr>
                      </w:pPr>
                      <w:r>
                        <w:t xml:space="preserve">How can potential solutions </w:t>
                      </w:r>
                      <w:r w:rsidR="00603E8A">
                        <w:t>account for differences between metropolitan and rural areas?</w:t>
                      </w:r>
                    </w:p>
                    <w:p w14:paraId="7963EE2D" w14:textId="77777777" w:rsidR="008C1CA0" w:rsidRPr="002E19A8" w:rsidRDefault="008C1CA0" w:rsidP="008C1CA0">
                      <w:pPr>
                        <w:pStyle w:val="Bullet1"/>
                        <w:numPr>
                          <w:ilvl w:val="0"/>
                          <w:numId w:val="0"/>
                        </w:numPr>
                        <w:rPr>
                          <w:rFonts w:eastAsia="Myriad Pro"/>
                        </w:rPr>
                      </w:pPr>
                    </w:p>
                  </w:txbxContent>
                </v:textbox>
                <w10:anchorlock/>
              </v:shape>
            </w:pict>
          </mc:Fallback>
        </mc:AlternateContent>
      </w:r>
    </w:p>
    <w:p w14:paraId="3A855C20" w14:textId="77777777" w:rsidR="0015343F" w:rsidRPr="00BB1E47" w:rsidRDefault="0015343F">
      <w:pPr>
        <w:spacing w:after="0" w:line="240" w:lineRule="auto"/>
        <w:rPr>
          <w:rFonts w:eastAsia="MS Gothic" w:cs="Arial"/>
          <w:bCs/>
          <w:color w:val="201547"/>
          <w:kern w:val="32"/>
          <w:sz w:val="40"/>
          <w:szCs w:val="40"/>
        </w:rPr>
      </w:pPr>
      <w:bookmarkStart w:id="131" w:name="_Toc132619031"/>
      <w:bookmarkStart w:id="132" w:name="_Toc134633560"/>
      <w:bookmarkStart w:id="133" w:name="_Toc132205910"/>
      <w:bookmarkStart w:id="134" w:name="_Toc132619032"/>
      <w:r w:rsidRPr="00BB1E47">
        <w:br w:type="page"/>
      </w:r>
    </w:p>
    <w:p w14:paraId="737E9172" w14:textId="7FA00FA6" w:rsidR="008C1CA0" w:rsidRPr="00BB1E47" w:rsidRDefault="008C1CA0" w:rsidP="00B37D1A">
      <w:pPr>
        <w:pStyle w:val="Heading1"/>
        <w:numPr>
          <w:ilvl w:val="0"/>
          <w:numId w:val="13"/>
        </w:numPr>
      </w:pPr>
      <w:bookmarkStart w:id="135" w:name="_Toc136433507"/>
      <w:r w:rsidRPr="00BB1E47">
        <w:lastRenderedPageBreak/>
        <w:t>Consultation questions</w:t>
      </w:r>
      <w:bookmarkEnd w:id="131"/>
      <w:r w:rsidRPr="00BB1E47">
        <w:t xml:space="preserve"> and public submissions</w:t>
      </w:r>
      <w:bookmarkEnd w:id="132"/>
      <w:bookmarkEnd w:id="135"/>
    </w:p>
    <w:p w14:paraId="599EBF78" w14:textId="36658023" w:rsidR="008C1CA0" w:rsidRPr="00BB1E47" w:rsidRDefault="008C1CA0" w:rsidP="00E9640E">
      <w:pPr>
        <w:pStyle w:val="Heading2"/>
      </w:pPr>
      <w:bookmarkStart w:id="136" w:name="_Toc134633561"/>
      <w:bookmarkStart w:id="137" w:name="_Toc136433508"/>
      <w:r w:rsidRPr="00BB1E47">
        <w:t>Focus of public submissions</w:t>
      </w:r>
      <w:bookmarkEnd w:id="133"/>
      <w:bookmarkEnd w:id="134"/>
      <w:bookmarkEnd w:id="136"/>
      <w:bookmarkEnd w:id="137"/>
    </w:p>
    <w:p w14:paraId="3A243E94" w14:textId="66471A0B" w:rsidR="008C1CA0" w:rsidRPr="00BB1E47" w:rsidRDefault="008C1CA0" w:rsidP="008C1CA0">
      <w:pPr>
        <w:pStyle w:val="Body"/>
      </w:pPr>
      <w:r w:rsidRPr="00BB1E47">
        <w:t>The department invites stakeholders to join the public submission process and provide solution-focused responses. The feedback received from these submissions will be used to inform the advice in the review’s final report</w:t>
      </w:r>
      <w:r w:rsidR="00516397" w:rsidRPr="00BB1E47">
        <w:t xml:space="preserve"> to the Victorian Government</w:t>
      </w:r>
      <w:r w:rsidRPr="00BB1E47">
        <w:t xml:space="preserve">. </w:t>
      </w:r>
    </w:p>
    <w:p w14:paraId="5FEBBE52" w14:textId="71634518" w:rsidR="00DC7C5F" w:rsidRPr="00BB1E47" w:rsidRDefault="008C1CA0" w:rsidP="00516397">
      <w:pPr>
        <w:pStyle w:val="Bullet1"/>
        <w:numPr>
          <w:ilvl w:val="0"/>
          <w:numId w:val="0"/>
        </w:numPr>
      </w:pPr>
      <w:r w:rsidRPr="00BB1E47">
        <w:t xml:space="preserve">We strongly encourage respondents to focus submissions on the key questions outlined in this discussion paper and potential options for reform. </w:t>
      </w:r>
      <w:r w:rsidR="0027748E" w:rsidRPr="00BB1E47">
        <w:t>While</w:t>
      </w:r>
      <w:r w:rsidR="00C93424" w:rsidRPr="00BB1E47">
        <w:t xml:space="preserve"> </w:t>
      </w:r>
      <w:r w:rsidR="0027748E" w:rsidRPr="00BB1E47">
        <w:t xml:space="preserve">a range of different </w:t>
      </w:r>
      <w:r w:rsidR="000B6154" w:rsidRPr="00BB1E47">
        <w:t xml:space="preserve">issues </w:t>
      </w:r>
      <w:r w:rsidR="0027748E" w:rsidRPr="00BB1E47">
        <w:t xml:space="preserve">have been raised </w:t>
      </w:r>
      <w:r w:rsidR="000B6154" w:rsidRPr="00BB1E47">
        <w:t xml:space="preserve">in the discussion paper, </w:t>
      </w:r>
      <w:r w:rsidR="00C93288" w:rsidRPr="00BB1E47">
        <w:t xml:space="preserve">stakeholders are </w:t>
      </w:r>
      <w:r w:rsidR="0027748E" w:rsidRPr="00BB1E47">
        <w:t xml:space="preserve">encouraged </w:t>
      </w:r>
      <w:r w:rsidR="00C93288" w:rsidRPr="00BB1E47">
        <w:t xml:space="preserve">to </w:t>
      </w:r>
      <w:r w:rsidR="0027748E" w:rsidRPr="00BB1E47">
        <w:t>focus on the</w:t>
      </w:r>
      <w:r w:rsidR="009C18E2" w:rsidRPr="00BB1E47">
        <w:t xml:space="preserve"> questions that are</w:t>
      </w:r>
      <w:r w:rsidR="00C912F2" w:rsidRPr="00BB1E47">
        <w:t xml:space="preserve"> </w:t>
      </w:r>
      <w:r w:rsidR="0027748E" w:rsidRPr="00BB1E47">
        <w:t xml:space="preserve">most </w:t>
      </w:r>
      <w:r w:rsidR="00C912F2" w:rsidRPr="00BB1E47">
        <w:t>relevant to them</w:t>
      </w:r>
      <w:r w:rsidR="00A86BD3" w:rsidRPr="00BB1E47">
        <w:t>.</w:t>
      </w:r>
    </w:p>
    <w:p w14:paraId="0AE7BE66" w14:textId="77777777" w:rsidR="008C1CA0" w:rsidRPr="00BB1E47" w:rsidRDefault="008C1CA0" w:rsidP="00E9640E">
      <w:pPr>
        <w:pStyle w:val="Heading2"/>
      </w:pPr>
      <w:bookmarkStart w:id="138" w:name="_Toc134633562"/>
      <w:bookmarkStart w:id="139" w:name="_Toc136433509"/>
      <w:r w:rsidRPr="00BB1E47">
        <w:t>Summary of questions</w:t>
      </w:r>
      <w:bookmarkEnd w:id="138"/>
      <w:bookmarkEnd w:id="139"/>
      <w:r w:rsidRPr="00BB1E47">
        <w:t xml:space="preserve"> </w:t>
      </w:r>
    </w:p>
    <w:p w14:paraId="213301CC" w14:textId="1E282B2F" w:rsidR="008C1CA0" w:rsidRPr="00BB1E47" w:rsidRDefault="008C1CA0" w:rsidP="008C1CA0">
      <w:pPr>
        <w:pStyle w:val="Body"/>
      </w:pPr>
      <w:r w:rsidRPr="00BB1E47">
        <w:t xml:space="preserve">The consultation questions provided throughout the document are summarised in </w:t>
      </w:r>
      <w:r w:rsidR="007D1354" w:rsidRPr="007D1354">
        <w:fldChar w:fldCharType="begin"/>
      </w:r>
      <w:r w:rsidR="007D1354" w:rsidRPr="007D1354">
        <w:instrText xml:space="preserve"> REF _Ref136254800 \h  \* MERGEFORMAT </w:instrText>
      </w:r>
      <w:r w:rsidR="007D1354" w:rsidRPr="007D1354">
        <w:fldChar w:fldCharType="separate"/>
      </w:r>
      <w:r w:rsidR="003D510C" w:rsidRPr="003D510C">
        <w:t xml:space="preserve">Table </w:t>
      </w:r>
      <w:r w:rsidR="003D510C" w:rsidRPr="003D510C">
        <w:rPr>
          <w:noProof/>
        </w:rPr>
        <w:t>5</w:t>
      </w:r>
      <w:r w:rsidR="007D1354" w:rsidRPr="007D1354">
        <w:fldChar w:fldCharType="end"/>
      </w:r>
      <w:r w:rsidR="007D1354" w:rsidRPr="007D1354">
        <w:t xml:space="preserve"> </w:t>
      </w:r>
      <w:r w:rsidRPr="00BB1E47">
        <w:t>below for convenience.</w:t>
      </w:r>
    </w:p>
    <w:p w14:paraId="3F2B6010" w14:textId="77777777" w:rsidR="00AF5AF4" w:rsidRPr="00BB1E47" w:rsidRDefault="00AF5AF4">
      <w:pPr>
        <w:spacing w:after="0" w:line="240" w:lineRule="auto"/>
        <w:rPr>
          <w:rFonts w:eastAsia="Times"/>
          <w:b/>
          <w:bCs/>
        </w:rPr>
      </w:pPr>
      <w:r w:rsidRPr="00BB1E47">
        <w:rPr>
          <w:b/>
          <w:bCs/>
        </w:rPr>
        <w:br w:type="page"/>
      </w:r>
    </w:p>
    <w:p w14:paraId="05892619" w14:textId="72345EFB" w:rsidR="00785A20" w:rsidRPr="00BB1E47" w:rsidRDefault="00785A20" w:rsidP="00AF5AF4">
      <w:pPr>
        <w:pStyle w:val="Body"/>
        <w:rPr>
          <w:b/>
        </w:rPr>
      </w:pPr>
      <w:bookmarkStart w:id="140" w:name="_Ref136254800"/>
      <w:r w:rsidRPr="00BB1E47">
        <w:rPr>
          <w:b/>
        </w:rPr>
        <w:lastRenderedPageBreak/>
        <w:t xml:space="preserve">Table </w:t>
      </w:r>
      <w:r w:rsidR="0064450E" w:rsidRPr="00BB1E47">
        <w:rPr>
          <w:b/>
        </w:rPr>
        <w:fldChar w:fldCharType="begin"/>
      </w:r>
      <w:r w:rsidR="0064450E" w:rsidRPr="00BB1E47">
        <w:rPr>
          <w:b/>
        </w:rPr>
        <w:instrText xml:space="preserve"> SEQ Table \* ARABIC </w:instrText>
      </w:r>
      <w:r w:rsidR="0064450E" w:rsidRPr="00BB1E47">
        <w:rPr>
          <w:b/>
        </w:rPr>
        <w:fldChar w:fldCharType="separate"/>
      </w:r>
      <w:r w:rsidR="003D510C">
        <w:rPr>
          <w:b/>
          <w:noProof/>
        </w:rPr>
        <w:t>5</w:t>
      </w:r>
      <w:r w:rsidR="0064450E" w:rsidRPr="00BB1E47">
        <w:rPr>
          <w:b/>
        </w:rPr>
        <w:fldChar w:fldCharType="end"/>
      </w:r>
      <w:bookmarkEnd w:id="140"/>
      <w:r w:rsidRPr="00BB1E47">
        <w:rPr>
          <w:b/>
        </w:rPr>
        <w:t>: Summary of consultation questions</w:t>
      </w:r>
    </w:p>
    <w:tbl>
      <w:tblPr>
        <w:tblStyle w:val="TableGrid"/>
        <w:tblW w:w="0" w:type="auto"/>
        <w:tblLook w:val="04A0" w:firstRow="1" w:lastRow="0" w:firstColumn="1" w:lastColumn="0" w:noHBand="0" w:noVBand="1"/>
      </w:tblPr>
      <w:tblGrid>
        <w:gridCol w:w="2830"/>
        <w:gridCol w:w="7364"/>
      </w:tblGrid>
      <w:tr w:rsidR="00BE4063" w:rsidRPr="00BB1E47" w14:paraId="318C0B65" w14:textId="77777777" w:rsidTr="00A65B8C">
        <w:trPr>
          <w:tblHeader/>
        </w:trPr>
        <w:tc>
          <w:tcPr>
            <w:tcW w:w="2830" w:type="dxa"/>
          </w:tcPr>
          <w:p w14:paraId="31EDE9FD" w14:textId="4602D3D5" w:rsidR="00BE4063" w:rsidRPr="00BB1E47" w:rsidRDefault="00BE4063" w:rsidP="00D94BBC">
            <w:pPr>
              <w:pStyle w:val="Tablecolhead"/>
            </w:pPr>
            <w:r w:rsidRPr="00BB1E47">
              <w:t>Section</w:t>
            </w:r>
          </w:p>
        </w:tc>
        <w:tc>
          <w:tcPr>
            <w:tcW w:w="7364" w:type="dxa"/>
          </w:tcPr>
          <w:p w14:paraId="0F364F47" w14:textId="75856C5D" w:rsidR="00BE4063" w:rsidRPr="00BB1E47" w:rsidRDefault="00BE4063" w:rsidP="00D94BBC">
            <w:pPr>
              <w:pStyle w:val="Tablecolhead"/>
            </w:pPr>
            <w:r w:rsidRPr="00BB1E47">
              <w:t>Consultation questions</w:t>
            </w:r>
          </w:p>
        </w:tc>
      </w:tr>
      <w:tr w:rsidR="00BE4063" w:rsidRPr="00BB1E47" w14:paraId="1A4709FE" w14:textId="77777777" w:rsidTr="00A65B8C">
        <w:tc>
          <w:tcPr>
            <w:tcW w:w="2830" w:type="dxa"/>
          </w:tcPr>
          <w:p w14:paraId="649DE8CC" w14:textId="70D867F1" w:rsidR="00BE4063" w:rsidRPr="00354BAD" w:rsidRDefault="00BE4063" w:rsidP="00BE4063">
            <w:pPr>
              <w:pStyle w:val="Body"/>
              <w:rPr>
                <w:bCs/>
              </w:rPr>
            </w:pPr>
            <w:r w:rsidRPr="00BB1E47">
              <w:rPr>
                <w:rFonts w:eastAsia="Myriad Pro"/>
                <w:b/>
              </w:rPr>
              <w:fldChar w:fldCharType="begin"/>
            </w:r>
            <w:r w:rsidRPr="00BB1E47">
              <w:rPr>
                <w:rFonts w:eastAsia="Myriad Pro"/>
                <w:b/>
              </w:rPr>
              <w:instrText xml:space="preserve"> REF _Ref135671130 \h  \* MERGEFORMAT </w:instrText>
            </w:r>
            <w:r w:rsidRPr="00BB1E47">
              <w:rPr>
                <w:rFonts w:eastAsia="Myriad Pro"/>
                <w:b/>
              </w:rPr>
            </w:r>
            <w:r w:rsidRPr="00BB1E47">
              <w:rPr>
                <w:rFonts w:eastAsia="Myriad Pro"/>
                <w:b/>
              </w:rPr>
              <w:fldChar w:fldCharType="separate"/>
            </w:r>
            <w:r w:rsidR="003D510C" w:rsidRPr="00BB1E47">
              <w:t>How are NEPT services set up in Victoria?</w:t>
            </w:r>
            <w:r w:rsidRPr="00BB1E47">
              <w:rPr>
                <w:rFonts w:eastAsia="Myriad Pro"/>
                <w:b/>
              </w:rPr>
              <w:fldChar w:fldCharType="end"/>
            </w:r>
            <w:r w:rsidR="00354BAD">
              <w:rPr>
                <w:rFonts w:eastAsia="Myriad Pro"/>
                <w:b/>
              </w:rPr>
              <w:t xml:space="preserve"> </w:t>
            </w:r>
            <w:r w:rsidR="00354BAD">
              <w:rPr>
                <w:rFonts w:eastAsia="Myriad Pro"/>
                <w:b/>
              </w:rPr>
              <w:br/>
            </w:r>
          </w:p>
        </w:tc>
        <w:tc>
          <w:tcPr>
            <w:tcW w:w="7364" w:type="dxa"/>
          </w:tcPr>
          <w:p w14:paraId="4ED0B0A0" w14:textId="77777777" w:rsidR="00BE4063" w:rsidRPr="00BB1E47" w:rsidRDefault="00BE4063" w:rsidP="00BE4063">
            <w:pPr>
              <w:pStyle w:val="Bullet1"/>
              <w:keepNext/>
              <w:keepLines/>
              <w:rPr>
                <w:rFonts w:eastAsia="Myriad Pro"/>
              </w:rPr>
            </w:pPr>
            <w:r w:rsidRPr="00BB1E47">
              <w:t xml:space="preserve">Have the essential features of the Victorian NEPT sector been captured in this chapter? </w:t>
            </w:r>
          </w:p>
          <w:p w14:paraId="18F8C26A" w14:textId="3714B91A" w:rsidR="00BE4063" w:rsidRPr="00BB1E47" w:rsidRDefault="00BE4063" w:rsidP="000B43C1">
            <w:pPr>
              <w:pStyle w:val="Bullet1"/>
              <w:rPr>
                <w:b/>
              </w:rPr>
            </w:pPr>
            <w:r w:rsidRPr="00BB1E47">
              <w:t>What additional features of the sector do you feel are important for the review to consider?</w:t>
            </w:r>
          </w:p>
        </w:tc>
      </w:tr>
      <w:tr w:rsidR="00BE4063" w:rsidRPr="00BB1E47" w14:paraId="52E85B4D" w14:textId="77777777" w:rsidTr="00A65B8C">
        <w:tc>
          <w:tcPr>
            <w:tcW w:w="2830" w:type="dxa"/>
          </w:tcPr>
          <w:p w14:paraId="32571291" w14:textId="7E292770"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_Ref135671118 \h  \* MERGEFORMAT </w:instrText>
            </w:r>
            <w:r w:rsidRPr="00BB1E47">
              <w:rPr>
                <w:rFonts w:eastAsia="Myriad Pro"/>
                <w:b/>
              </w:rPr>
            </w:r>
            <w:r w:rsidRPr="00BB1E47">
              <w:rPr>
                <w:rFonts w:eastAsia="Myriad Pro"/>
                <w:b/>
              </w:rPr>
              <w:fldChar w:fldCharType="separate"/>
            </w:r>
            <w:r w:rsidR="003D510C" w:rsidRPr="00BB1E47">
              <w:t>How is the sector currently performing?</w:t>
            </w:r>
            <w:r w:rsidRPr="00BB1E47">
              <w:rPr>
                <w:rFonts w:eastAsia="Myriad Pro"/>
                <w:b/>
              </w:rPr>
              <w:fldChar w:fldCharType="end"/>
            </w:r>
          </w:p>
        </w:tc>
        <w:tc>
          <w:tcPr>
            <w:tcW w:w="7364" w:type="dxa"/>
          </w:tcPr>
          <w:p w14:paraId="7C36CAA8" w14:textId="77777777" w:rsidR="00BE4063" w:rsidRPr="00BB1E47" w:rsidRDefault="00BE4063" w:rsidP="00BE4063">
            <w:pPr>
              <w:pStyle w:val="Bullet1"/>
              <w:numPr>
                <w:ilvl w:val="0"/>
                <w:numId w:val="30"/>
              </w:numPr>
            </w:pPr>
            <w:r w:rsidRPr="00BB1E47">
              <w:t>Do you agree with the summary of the key strengths and current challenges facing the NEPT sector that has been outlined in this discussion paper?</w:t>
            </w:r>
          </w:p>
          <w:p w14:paraId="5D099A06" w14:textId="77777777" w:rsidR="00BE4063" w:rsidRPr="00BB1E47" w:rsidRDefault="00BE4063" w:rsidP="00BE4063">
            <w:pPr>
              <w:pStyle w:val="Bullet1"/>
              <w:numPr>
                <w:ilvl w:val="0"/>
                <w:numId w:val="30"/>
              </w:numPr>
            </w:pPr>
            <w:r w:rsidRPr="00BB1E47">
              <w:t xml:space="preserve">Are the current quality and safety standards for NEPT services in Victoria appropriate for the sector, and appropriately enforced? </w:t>
            </w:r>
          </w:p>
          <w:p w14:paraId="5466AFEB" w14:textId="77777777" w:rsidR="00BE4063" w:rsidRPr="00BB1E47" w:rsidRDefault="00BE4063" w:rsidP="00BE4063">
            <w:pPr>
              <w:pStyle w:val="Bullet1"/>
              <w:numPr>
                <w:ilvl w:val="0"/>
                <w:numId w:val="30"/>
              </w:numPr>
            </w:pPr>
            <w:r w:rsidRPr="00BB1E47">
              <w:t xml:space="preserve">Does this discussion paper fairly reflect the pressures on timeliness and costs of NEPT services? </w:t>
            </w:r>
          </w:p>
          <w:p w14:paraId="0277BF1D" w14:textId="77777777" w:rsidR="00BE4063" w:rsidRPr="00BB1E47" w:rsidRDefault="00BE4063" w:rsidP="00BE4063">
            <w:pPr>
              <w:pStyle w:val="Bullet1"/>
              <w:numPr>
                <w:ilvl w:val="0"/>
                <w:numId w:val="30"/>
              </w:numPr>
            </w:pPr>
            <w:r w:rsidRPr="00BB1E47">
              <w:t>Have the sector’s environmental impacts and policies been fully captured?</w:t>
            </w:r>
          </w:p>
          <w:p w14:paraId="51700E7B" w14:textId="46EB6EDC" w:rsidR="00BE4063" w:rsidRPr="00BB1E47" w:rsidRDefault="00BE4063" w:rsidP="000B43C1">
            <w:pPr>
              <w:pStyle w:val="Body"/>
              <w:numPr>
                <w:ilvl w:val="0"/>
                <w:numId w:val="30"/>
              </w:numPr>
              <w:rPr>
                <w:b/>
              </w:rPr>
            </w:pPr>
            <w:r w:rsidRPr="00BB1E47">
              <w:t>Have the issues regarding workforce pay and conditions been fairly reflected?</w:t>
            </w:r>
          </w:p>
        </w:tc>
      </w:tr>
      <w:tr w:rsidR="00BE4063" w:rsidRPr="00BB1E47" w14:paraId="21304B80" w14:textId="77777777" w:rsidTr="00A65B8C">
        <w:tc>
          <w:tcPr>
            <w:tcW w:w="2830" w:type="dxa"/>
          </w:tcPr>
          <w:p w14:paraId="370371EA" w14:textId="1FB48749"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_Ref135671020 \h  \* MERGEFORMAT </w:instrText>
            </w:r>
            <w:r w:rsidRPr="00BB1E47">
              <w:rPr>
                <w:rFonts w:eastAsia="Myriad Pro"/>
                <w:b/>
              </w:rPr>
            </w:r>
            <w:r w:rsidRPr="00BB1E47">
              <w:rPr>
                <w:rFonts w:eastAsia="Myriad Pro"/>
                <w:b/>
              </w:rPr>
              <w:fldChar w:fldCharType="separate"/>
            </w:r>
            <w:r w:rsidR="003D510C" w:rsidRPr="00BB1E47">
              <w:t>Market fragmentation drives up costs and slows down transfers</w:t>
            </w:r>
            <w:r w:rsidRPr="00BB1E47">
              <w:rPr>
                <w:rFonts w:eastAsia="Myriad Pro"/>
                <w:b/>
              </w:rPr>
              <w:fldChar w:fldCharType="end"/>
            </w:r>
          </w:p>
        </w:tc>
        <w:tc>
          <w:tcPr>
            <w:tcW w:w="7364" w:type="dxa"/>
          </w:tcPr>
          <w:p w14:paraId="5B543073" w14:textId="77777777" w:rsidR="00BE4063" w:rsidRPr="00BB1E47" w:rsidRDefault="00BE4063" w:rsidP="00BE4063">
            <w:pPr>
              <w:pStyle w:val="Body"/>
              <w:numPr>
                <w:ilvl w:val="0"/>
                <w:numId w:val="30"/>
              </w:numPr>
            </w:pPr>
            <w:r w:rsidRPr="00BB1E47">
              <w:t xml:space="preserve">What are the most appropriate options for addressing the existing challenges of complexity, duplication, and inefficiency associated with market fragmentation? </w:t>
            </w:r>
          </w:p>
          <w:p w14:paraId="47D3968D" w14:textId="77777777" w:rsidR="00BE4063" w:rsidRPr="00BB1E47" w:rsidDel="008E72C1" w:rsidRDefault="00BE4063" w:rsidP="00BE4063">
            <w:pPr>
              <w:pStyle w:val="Body"/>
              <w:numPr>
                <w:ilvl w:val="0"/>
                <w:numId w:val="30"/>
              </w:numPr>
            </w:pPr>
            <w:r w:rsidRPr="00BB1E47">
              <w:t>What other examples can be drawn upon to guide best practice in this area?</w:t>
            </w:r>
          </w:p>
          <w:p w14:paraId="1A35E8CA" w14:textId="1B4372D8" w:rsidR="00BE4063" w:rsidRPr="00BB1E47" w:rsidRDefault="00BE4063" w:rsidP="000B43C1">
            <w:pPr>
              <w:pStyle w:val="Body"/>
              <w:numPr>
                <w:ilvl w:val="0"/>
                <w:numId w:val="30"/>
              </w:numPr>
              <w:rPr>
                <w:b/>
              </w:rPr>
            </w:pPr>
            <w:r w:rsidRPr="00BB1E47">
              <w:t xml:space="preserve">Which changes would have the biggest impact on the environmental sustainability of the sector, and create efficiencies enabling reinvestment? </w:t>
            </w:r>
          </w:p>
        </w:tc>
      </w:tr>
      <w:tr w:rsidR="00BE4063" w:rsidRPr="00BB1E47" w14:paraId="4872DCB1" w14:textId="77777777" w:rsidTr="00A65B8C">
        <w:tc>
          <w:tcPr>
            <w:tcW w:w="2830" w:type="dxa"/>
          </w:tcPr>
          <w:p w14:paraId="54CD373A" w14:textId="291709E7"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_Ref135599427 \h  \* MERGEFORMAT </w:instrText>
            </w:r>
            <w:r w:rsidRPr="00BB1E47">
              <w:rPr>
                <w:rFonts w:eastAsia="Myriad Pro"/>
                <w:b/>
              </w:rPr>
            </w:r>
            <w:r w:rsidRPr="00BB1E47">
              <w:rPr>
                <w:rFonts w:eastAsia="Myriad Pro"/>
                <w:b/>
              </w:rPr>
              <w:fldChar w:fldCharType="separate"/>
            </w:r>
            <w:r w:rsidR="003D510C" w:rsidRPr="00BB1E47">
              <w:t>There is excess demand, not all of it appropriate</w:t>
            </w:r>
            <w:r w:rsidRPr="00BB1E47">
              <w:rPr>
                <w:rFonts w:eastAsia="Myriad Pro"/>
                <w:b/>
              </w:rPr>
              <w:fldChar w:fldCharType="end"/>
            </w:r>
          </w:p>
        </w:tc>
        <w:tc>
          <w:tcPr>
            <w:tcW w:w="7364" w:type="dxa"/>
          </w:tcPr>
          <w:p w14:paraId="704B1582" w14:textId="77777777" w:rsidR="00BE4063" w:rsidRPr="00BB1E47" w:rsidRDefault="00BE4063" w:rsidP="00BE4063">
            <w:pPr>
              <w:pStyle w:val="Tablebullet1"/>
              <w:numPr>
                <w:ilvl w:val="0"/>
                <w:numId w:val="31"/>
              </w:numPr>
            </w:pPr>
            <w:r w:rsidRPr="00BB1E47">
              <w:t xml:space="preserve">What measures could be taken to ensure NEPT services are appropriately authorised and booked? </w:t>
            </w:r>
          </w:p>
          <w:p w14:paraId="0B851816" w14:textId="77777777" w:rsidR="00BE4063" w:rsidRPr="00BB1E47" w:rsidRDefault="00BE4063" w:rsidP="00BE4063">
            <w:pPr>
              <w:pStyle w:val="Tablebullet1"/>
              <w:numPr>
                <w:ilvl w:val="0"/>
                <w:numId w:val="31"/>
              </w:numPr>
            </w:pPr>
            <w:r w:rsidRPr="00BB1E47">
              <w:t xml:space="preserve">How could we improve the assessment of patient acuity? </w:t>
            </w:r>
          </w:p>
          <w:p w14:paraId="5FCCA215" w14:textId="0BF9C136" w:rsidR="00BE4063" w:rsidRPr="00BB1E47" w:rsidRDefault="00BE4063" w:rsidP="000B43C1">
            <w:pPr>
              <w:pStyle w:val="Body"/>
              <w:numPr>
                <w:ilvl w:val="0"/>
                <w:numId w:val="31"/>
              </w:numPr>
              <w:rPr>
                <w:b/>
              </w:rPr>
            </w:pPr>
            <w:r w:rsidRPr="00BB1E47">
              <w:t xml:space="preserve">To what extent do sectors beyond NEPT need to change to address excess demand and pressures on the NEPT sector? </w:t>
            </w:r>
          </w:p>
        </w:tc>
      </w:tr>
      <w:tr w:rsidR="00BE4063" w:rsidRPr="00BB1E47" w14:paraId="660AB3A9" w14:textId="77777777" w:rsidTr="00A65B8C">
        <w:tc>
          <w:tcPr>
            <w:tcW w:w="2830" w:type="dxa"/>
          </w:tcPr>
          <w:p w14:paraId="79893CB4" w14:textId="6B76E05D"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_Ref135671002 \h  \* MERGEFORMAT </w:instrText>
            </w:r>
            <w:r w:rsidRPr="00BB1E47">
              <w:rPr>
                <w:rFonts w:eastAsia="Myriad Pro"/>
                <w:b/>
              </w:rPr>
            </w:r>
            <w:r w:rsidRPr="00BB1E47">
              <w:rPr>
                <w:rFonts w:eastAsia="Myriad Pro"/>
                <w:b/>
              </w:rPr>
              <w:fldChar w:fldCharType="separate"/>
            </w:r>
            <w:r w:rsidR="003D510C" w:rsidRPr="00BB1E47">
              <w:t>There is insufficient supply to meet surging demand</w:t>
            </w:r>
            <w:r w:rsidRPr="00BB1E47">
              <w:rPr>
                <w:rFonts w:eastAsia="Myriad Pro"/>
                <w:b/>
              </w:rPr>
              <w:fldChar w:fldCharType="end"/>
            </w:r>
          </w:p>
        </w:tc>
        <w:tc>
          <w:tcPr>
            <w:tcW w:w="7364" w:type="dxa"/>
          </w:tcPr>
          <w:p w14:paraId="20EAAD65" w14:textId="53A2F7E1" w:rsidR="00BE4063" w:rsidRPr="00BB1E47" w:rsidRDefault="00BE4063" w:rsidP="000B43C1">
            <w:pPr>
              <w:pStyle w:val="Body"/>
              <w:numPr>
                <w:ilvl w:val="0"/>
                <w:numId w:val="32"/>
              </w:numPr>
              <w:rPr>
                <w:b/>
              </w:rPr>
            </w:pPr>
            <w:r w:rsidRPr="00BB1E47">
              <w:t>What actions could be taken to resolve gaps in supply, given current constraints?</w:t>
            </w:r>
          </w:p>
        </w:tc>
      </w:tr>
      <w:tr w:rsidR="00BE4063" w:rsidRPr="00BB1E47" w14:paraId="57900B9B" w14:textId="77777777" w:rsidTr="00A65B8C">
        <w:tc>
          <w:tcPr>
            <w:tcW w:w="2830" w:type="dxa"/>
          </w:tcPr>
          <w:p w14:paraId="439B4E89" w14:textId="2E6A1ABC"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_Ref135603215 \h  \* MERGEFORMAT </w:instrText>
            </w:r>
            <w:r w:rsidRPr="00BB1E47">
              <w:rPr>
                <w:rFonts w:eastAsia="Myriad Pro"/>
                <w:b/>
              </w:rPr>
            </w:r>
            <w:r w:rsidRPr="00BB1E47">
              <w:rPr>
                <w:rFonts w:eastAsia="Myriad Pro"/>
                <w:b/>
              </w:rPr>
              <w:fldChar w:fldCharType="separate"/>
            </w:r>
            <w:r w:rsidR="003D510C" w:rsidRPr="00BB1E47">
              <w:t xml:space="preserve">DH </w:t>
            </w:r>
            <w:r w:rsidR="003D510C">
              <w:t>could better exercise</w:t>
            </w:r>
            <w:r w:rsidR="003D510C" w:rsidRPr="00BB1E47">
              <w:t xml:space="preserve"> its system steward role</w:t>
            </w:r>
            <w:r w:rsidRPr="00BB1E47">
              <w:rPr>
                <w:rFonts w:eastAsia="Myriad Pro"/>
                <w:b/>
              </w:rPr>
              <w:fldChar w:fldCharType="end"/>
            </w:r>
          </w:p>
        </w:tc>
        <w:tc>
          <w:tcPr>
            <w:tcW w:w="7364" w:type="dxa"/>
          </w:tcPr>
          <w:p w14:paraId="28B1BDA3" w14:textId="77777777" w:rsidR="00BE4063" w:rsidRPr="00BB1E47" w:rsidRDefault="00BE4063" w:rsidP="00BE4063">
            <w:pPr>
              <w:pStyle w:val="Tablebullet1"/>
              <w:numPr>
                <w:ilvl w:val="0"/>
                <w:numId w:val="31"/>
              </w:numPr>
            </w:pPr>
            <w:r w:rsidRPr="00BB1E47">
              <w:t>How can the department use its role as system steward to create the best conditions for an effective NEPT market?</w:t>
            </w:r>
          </w:p>
          <w:p w14:paraId="3820A613" w14:textId="45C4E8F0" w:rsidR="00BE4063" w:rsidRPr="00BB1E47" w:rsidRDefault="00BE4063" w:rsidP="000B43C1">
            <w:pPr>
              <w:pStyle w:val="Body"/>
              <w:numPr>
                <w:ilvl w:val="0"/>
                <w:numId w:val="31"/>
              </w:numPr>
              <w:rPr>
                <w:b/>
              </w:rPr>
            </w:pPr>
            <w:r w:rsidRPr="00BB1E47">
              <w:t xml:space="preserve">How else can the Department positively influence the NEPT sector and associated challenges? </w:t>
            </w:r>
          </w:p>
        </w:tc>
      </w:tr>
      <w:tr w:rsidR="00BE4063" w:rsidRPr="00BB1E47" w14:paraId="6F651CB6" w14:textId="77777777" w:rsidTr="00A65B8C">
        <w:tc>
          <w:tcPr>
            <w:tcW w:w="2830" w:type="dxa"/>
          </w:tcPr>
          <w:p w14:paraId="4C1A17F1" w14:textId="47FF1250"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_Ref135670991 \h  \* MERGEFORMAT </w:instrText>
            </w:r>
            <w:r w:rsidRPr="00BB1E47">
              <w:rPr>
                <w:rFonts w:eastAsia="Myriad Pro"/>
                <w:b/>
              </w:rPr>
            </w:r>
            <w:r w:rsidRPr="00BB1E47">
              <w:rPr>
                <w:rFonts w:eastAsia="Myriad Pro"/>
                <w:b/>
              </w:rPr>
              <w:fldChar w:fldCharType="separate"/>
            </w:r>
            <w:r w:rsidR="003D510C" w:rsidRPr="00BB1E47">
              <w:t>There is a lack of coordinated workforce planning for NEPT</w:t>
            </w:r>
            <w:r w:rsidRPr="00BB1E47">
              <w:rPr>
                <w:rFonts w:eastAsia="Myriad Pro"/>
                <w:b/>
              </w:rPr>
              <w:fldChar w:fldCharType="end"/>
            </w:r>
          </w:p>
        </w:tc>
        <w:tc>
          <w:tcPr>
            <w:tcW w:w="7364" w:type="dxa"/>
          </w:tcPr>
          <w:p w14:paraId="7F409D86" w14:textId="77777777" w:rsidR="00BE4063" w:rsidRPr="00BB1E47" w:rsidRDefault="00BE4063" w:rsidP="00BE4063">
            <w:pPr>
              <w:pStyle w:val="Tablebullet1"/>
              <w:numPr>
                <w:ilvl w:val="0"/>
                <w:numId w:val="31"/>
              </w:numPr>
            </w:pPr>
            <w:r w:rsidRPr="00BB1E47">
              <w:t xml:space="preserve">What steps could be taken to improve workforce planning across the NEPT sector?  </w:t>
            </w:r>
          </w:p>
          <w:p w14:paraId="20156234" w14:textId="6CE82286" w:rsidR="00BE4063" w:rsidRPr="00BB1E47" w:rsidRDefault="00BE4063" w:rsidP="000B43C1">
            <w:pPr>
              <w:pStyle w:val="Body"/>
              <w:numPr>
                <w:ilvl w:val="0"/>
                <w:numId w:val="31"/>
              </w:numPr>
              <w:rPr>
                <w:b/>
              </w:rPr>
            </w:pPr>
            <w:r w:rsidRPr="00BB1E47">
              <w:t xml:space="preserve">What changes to workforce conditions would have the greatest impact in reducing attrition and attracting people to join the sector? </w:t>
            </w:r>
          </w:p>
        </w:tc>
      </w:tr>
      <w:tr w:rsidR="00BE4063" w:rsidRPr="00BB1E47" w14:paraId="78AF3E38" w14:textId="77777777" w:rsidTr="00A65B8C">
        <w:tc>
          <w:tcPr>
            <w:tcW w:w="2830" w:type="dxa"/>
          </w:tcPr>
          <w:p w14:paraId="40029CE1" w14:textId="78B00231"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_Ref135670958 \h  \* MERGEFORMAT </w:instrText>
            </w:r>
            <w:r w:rsidRPr="00BB1E47">
              <w:rPr>
                <w:rFonts w:eastAsia="Myriad Pro"/>
                <w:b/>
              </w:rPr>
            </w:r>
            <w:r w:rsidRPr="00BB1E47">
              <w:rPr>
                <w:rFonts w:eastAsia="Myriad Pro"/>
                <w:b/>
              </w:rPr>
              <w:fldChar w:fldCharType="separate"/>
            </w:r>
            <w:r w:rsidR="003D510C" w:rsidRPr="00BB1E47">
              <w:t xml:space="preserve">Crew composition may not be optimal </w:t>
            </w:r>
            <w:r w:rsidRPr="00BB1E47">
              <w:rPr>
                <w:rFonts w:eastAsia="Myriad Pro"/>
                <w:b/>
              </w:rPr>
              <w:fldChar w:fldCharType="end"/>
            </w:r>
          </w:p>
        </w:tc>
        <w:tc>
          <w:tcPr>
            <w:tcW w:w="7364" w:type="dxa"/>
          </w:tcPr>
          <w:p w14:paraId="20D2627D" w14:textId="77777777" w:rsidR="00BE4063" w:rsidRPr="00BB1E47" w:rsidRDefault="00BE4063" w:rsidP="00BE4063">
            <w:pPr>
              <w:pStyle w:val="Tablebullet1"/>
              <w:numPr>
                <w:ilvl w:val="0"/>
                <w:numId w:val="31"/>
              </w:numPr>
              <w:rPr>
                <w:rFonts w:eastAsia="Myriad Pro"/>
                <w:b/>
              </w:rPr>
            </w:pPr>
            <w:r w:rsidRPr="00BB1E47">
              <w:t>What steps could be taken to ensure patients are connected to the most appropriate transport for their needs?</w:t>
            </w:r>
          </w:p>
          <w:p w14:paraId="3F49437F" w14:textId="42191759" w:rsidR="00BE4063" w:rsidRPr="00BB1E47" w:rsidRDefault="00BE4063" w:rsidP="000B43C1">
            <w:pPr>
              <w:pStyle w:val="Body"/>
              <w:numPr>
                <w:ilvl w:val="0"/>
                <w:numId w:val="31"/>
              </w:numPr>
              <w:rPr>
                <w:b/>
              </w:rPr>
            </w:pPr>
            <w:r w:rsidRPr="00693108">
              <w:t xml:space="preserve">What is the appropriate crew skill-mix in lower acuity NEPT transfers? </w:t>
            </w:r>
          </w:p>
        </w:tc>
      </w:tr>
      <w:tr w:rsidR="00BE4063" w:rsidRPr="00BB1E47" w14:paraId="3394102E" w14:textId="77777777" w:rsidTr="00A65B8C">
        <w:tc>
          <w:tcPr>
            <w:tcW w:w="2830" w:type="dxa"/>
          </w:tcPr>
          <w:p w14:paraId="2B0896C1" w14:textId="1BF218BD" w:rsidR="00BE4063" w:rsidRPr="00BB1E47" w:rsidRDefault="00BE4063" w:rsidP="00BE4063">
            <w:pPr>
              <w:pStyle w:val="Body"/>
              <w:rPr>
                <w:b/>
              </w:rPr>
            </w:pPr>
            <w:r w:rsidRPr="00BB1E47">
              <w:rPr>
                <w:rFonts w:eastAsia="Myriad Pro"/>
                <w:b/>
              </w:rPr>
              <w:lastRenderedPageBreak/>
              <w:fldChar w:fldCharType="begin"/>
            </w:r>
            <w:r w:rsidRPr="00BB1E47">
              <w:rPr>
                <w:rFonts w:eastAsia="Myriad Pro"/>
                <w:b/>
              </w:rPr>
              <w:instrText xml:space="preserve"> REF _Ref135670941 \h  \* MERGEFORMAT </w:instrText>
            </w:r>
            <w:r w:rsidRPr="00BB1E47">
              <w:rPr>
                <w:rFonts w:eastAsia="Myriad Pro"/>
                <w:b/>
              </w:rPr>
            </w:r>
            <w:r w:rsidRPr="00BB1E47">
              <w:rPr>
                <w:rFonts w:eastAsia="Myriad Pro"/>
                <w:b/>
              </w:rPr>
              <w:fldChar w:fldCharType="separate"/>
            </w:r>
            <w:r w:rsidR="003D510C" w:rsidRPr="00BB1E47">
              <w:t>There are barriers to competition under existing arrangements</w:t>
            </w:r>
            <w:r w:rsidRPr="00BB1E47">
              <w:rPr>
                <w:rFonts w:eastAsia="Myriad Pro"/>
                <w:b/>
              </w:rPr>
              <w:fldChar w:fldCharType="end"/>
            </w:r>
          </w:p>
        </w:tc>
        <w:tc>
          <w:tcPr>
            <w:tcW w:w="7364" w:type="dxa"/>
          </w:tcPr>
          <w:p w14:paraId="038C2C81" w14:textId="6A7EF300" w:rsidR="00BE4063" w:rsidRPr="00BB1E47" w:rsidRDefault="00BE4063" w:rsidP="00DF3F23">
            <w:pPr>
              <w:pStyle w:val="Body"/>
              <w:numPr>
                <w:ilvl w:val="0"/>
                <w:numId w:val="33"/>
              </w:numPr>
              <w:rPr>
                <w:b/>
              </w:rPr>
            </w:pPr>
            <w:r w:rsidRPr="00BB1E47">
              <w:rPr>
                <w:rFonts w:eastAsia="Myriad Pro"/>
              </w:rPr>
              <w:t>How can competitiveness within the NEPT sector be improved</w:t>
            </w:r>
            <w:r w:rsidRPr="00BB1E47">
              <w:t>, either within the current model or under alternative arrangements?</w:t>
            </w:r>
          </w:p>
        </w:tc>
      </w:tr>
      <w:tr w:rsidR="00BE4063" w:rsidRPr="00BB1E47" w14:paraId="09D328C5" w14:textId="77777777" w:rsidTr="00A65B8C">
        <w:tc>
          <w:tcPr>
            <w:tcW w:w="2830" w:type="dxa"/>
          </w:tcPr>
          <w:p w14:paraId="2C43C957" w14:textId="6DA2B39C" w:rsidR="00BE4063" w:rsidRPr="00BB1E47" w:rsidRDefault="00BE4063" w:rsidP="00BE4063">
            <w:pPr>
              <w:pStyle w:val="Body"/>
              <w:rPr>
                <w:b/>
              </w:rPr>
            </w:pPr>
            <w:r w:rsidRPr="00BB1E47">
              <w:rPr>
                <w:rFonts w:eastAsia="Myriad Pro"/>
                <w:b/>
              </w:rPr>
              <w:fldChar w:fldCharType="begin"/>
            </w:r>
            <w:r w:rsidRPr="00BB1E47">
              <w:rPr>
                <w:rFonts w:eastAsia="Myriad Pro"/>
                <w:b/>
              </w:rPr>
              <w:instrText xml:space="preserve"> REF _Ref135670932 \h  \* MERGEFORMAT </w:instrText>
            </w:r>
            <w:r w:rsidRPr="00BB1E47">
              <w:rPr>
                <w:rFonts w:eastAsia="Myriad Pro"/>
                <w:b/>
              </w:rPr>
            </w:r>
            <w:r w:rsidRPr="00BB1E47">
              <w:rPr>
                <w:rFonts w:eastAsia="Myriad Pro"/>
                <w:b/>
              </w:rPr>
              <w:fldChar w:fldCharType="separate"/>
            </w:r>
            <w:r w:rsidR="003D510C" w:rsidRPr="00BB1E47">
              <w:t>There is limited use of contemporary technology</w:t>
            </w:r>
            <w:r w:rsidRPr="00BB1E47">
              <w:rPr>
                <w:rFonts w:eastAsia="Myriad Pro"/>
                <w:b/>
              </w:rPr>
              <w:fldChar w:fldCharType="end"/>
            </w:r>
          </w:p>
        </w:tc>
        <w:tc>
          <w:tcPr>
            <w:tcW w:w="7364" w:type="dxa"/>
          </w:tcPr>
          <w:p w14:paraId="75B64FCD" w14:textId="77777777" w:rsidR="00BE4063" w:rsidRPr="00BB1E47" w:rsidRDefault="00BE4063" w:rsidP="00BE4063">
            <w:pPr>
              <w:pStyle w:val="Tablebullet1"/>
              <w:numPr>
                <w:ilvl w:val="0"/>
                <w:numId w:val="31"/>
              </w:numPr>
              <w:rPr>
                <w:rFonts w:eastAsia="Myriad Pro"/>
              </w:rPr>
            </w:pPr>
            <w:r w:rsidRPr="00BB1E47">
              <w:rPr>
                <w:rFonts w:eastAsia="Myriad Pro"/>
              </w:rPr>
              <w:t>What technological investments would most improve the performance of the NEPT sector?</w:t>
            </w:r>
          </w:p>
          <w:p w14:paraId="6E20666D" w14:textId="77777777" w:rsidR="00BE4063" w:rsidRPr="00BB1E47" w:rsidRDefault="00BE4063" w:rsidP="00BE4063">
            <w:pPr>
              <w:pStyle w:val="Tablebullet1"/>
              <w:numPr>
                <w:ilvl w:val="0"/>
                <w:numId w:val="31"/>
              </w:numPr>
              <w:rPr>
                <w:rFonts w:eastAsia="Myriad Pro"/>
              </w:rPr>
            </w:pPr>
            <w:r w:rsidRPr="00BB1E47">
              <w:rPr>
                <w:rFonts w:eastAsia="Myriad Pro"/>
              </w:rPr>
              <w:t>How can these be realised?</w:t>
            </w:r>
          </w:p>
          <w:p w14:paraId="3F8FC707" w14:textId="77777777" w:rsidR="00BE4063" w:rsidRPr="00BB1E47" w:rsidRDefault="00BE4063" w:rsidP="00BE4063">
            <w:pPr>
              <w:pStyle w:val="Body"/>
              <w:rPr>
                <w:b/>
              </w:rPr>
            </w:pPr>
          </w:p>
        </w:tc>
      </w:tr>
      <w:tr w:rsidR="00BE4063" w:rsidRPr="00BB1E47" w14:paraId="7AD0967D" w14:textId="77777777" w:rsidTr="00A65B8C">
        <w:tc>
          <w:tcPr>
            <w:tcW w:w="2830" w:type="dxa"/>
          </w:tcPr>
          <w:p w14:paraId="6C0666A5" w14:textId="77777777" w:rsidR="00BE4063" w:rsidRPr="00BB1E47" w:rsidRDefault="00BE4063" w:rsidP="00BE4063">
            <w:pPr>
              <w:keepNext/>
              <w:keepLines/>
              <w:rPr>
                <w:rFonts w:eastAsia="Myriad Pro"/>
              </w:rPr>
            </w:pPr>
            <w:r w:rsidRPr="00BB1E47">
              <w:rPr>
                <w:rFonts w:eastAsia="Myriad Pro"/>
              </w:rPr>
              <w:t xml:space="preserve">Future options for reform </w:t>
            </w:r>
          </w:p>
          <w:p w14:paraId="565FBB32" w14:textId="77777777" w:rsidR="00BE4063" w:rsidRPr="00BB1E47" w:rsidRDefault="00BE4063" w:rsidP="00BE4063">
            <w:pPr>
              <w:pStyle w:val="Body"/>
              <w:rPr>
                <w:b/>
              </w:rPr>
            </w:pPr>
          </w:p>
        </w:tc>
        <w:tc>
          <w:tcPr>
            <w:tcW w:w="7364" w:type="dxa"/>
          </w:tcPr>
          <w:p w14:paraId="4C9CBC4E" w14:textId="77777777" w:rsidR="00BE4063" w:rsidRPr="00BB1E47" w:rsidRDefault="00BE4063" w:rsidP="00BE4063">
            <w:pPr>
              <w:pStyle w:val="Tablebullet1"/>
              <w:numPr>
                <w:ilvl w:val="0"/>
                <w:numId w:val="31"/>
              </w:numPr>
              <w:rPr>
                <w:rStyle w:val="Hyperlink"/>
                <w:color w:val="auto"/>
                <w:u w:val="none"/>
              </w:rPr>
            </w:pPr>
            <w:r w:rsidRPr="00BB1E47">
              <w:rPr>
                <w:rStyle w:val="Hyperlink"/>
                <w:color w:val="auto"/>
                <w:u w:val="none"/>
              </w:rPr>
              <w:t xml:space="preserve">What are your views on the reform options outlined? </w:t>
            </w:r>
          </w:p>
          <w:p w14:paraId="33F0D99F" w14:textId="77777777" w:rsidR="00BE4063" w:rsidRPr="00BB1E47" w:rsidRDefault="00BE4063" w:rsidP="00BE4063">
            <w:pPr>
              <w:pStyle w:val="Tablebullet1"/>
              <w:numPr>
                <w:ilvl w:val="0"/>
                <w:numId w:val="31"/>
              </w:numPr>
              <w:rPr>
                <w:rStyle w:val="Hyperlink"/>
                <w:color w:val="auto"/>
                <w:u w:val="none"/>
              </w:rPr>
            </w:pPr>
            <w:r w:rsidRPr="00BB1E47">
              <w:rPr>
                <w:rStyle w:val="Hyperlink"/>
                <w:color w:val="auto"/>
                <w:u w:val="none"/>
              </w:rPr>
              <w:t xml:space="preserve">Which offer the biggest potential benefits for Victorians? </w:t>
            </w:r>
          </w:p>
          <w:p w14:paraId="39D98812" w14:textId="77777777" w:rsidR="00BE4063" w:rsidRPr="00BB1E47" w:rsidRDefault="00BE4063" w:rsidP="00BE4063">
            <w:pPr>
              <w:pStyle w:val="Tablebullet1"/>
              <w:numPr>
                <w:ilvl w:val="0"/>
                <w:numId w:val="31"/>
              </w:numPr>
              <w:rPr>
                <w:rStyle w:val="Hyperlink"/>
                <w:color w:val="auto"/>
                <w:u w:val="none"/>
              </w:rPr>
            </w:pPr>
            <w:r w:rsidRPr="00BB1E47">
              <w:rPr>
                <w:rStyle w:val="Hyperlink"/>
                <w:color w:val="auto"/>
                <w:u w:val="none"/>
              </w:rPr>
              <w:t>What is missing from these options?</w:t>
            </w:r>
          </w:p>
          <w:p w14:paraId="6945F62D" w14:textId="77777777" w:rsidR="00BE4063" w:rsidRPr="00BB1E47" w:rsidRDefault="00BE4063" w:rsidP="00BE4063">
            <w:pPr>
              <w:pStyle w:val="Tablebullet1"/>
              <w:numPr>
                <w:ilvl w:val="0"/>
                <w:numId w:val="31"/>
              </w:numPr>
              <w:rPr>
                <w:rStyle w:val="Hyperlink"/>
                <w:color w:val="auto"/>
                <w:u w:val="none"/>
              </w:rPr>
            </w:pPr>
            <w:r w:rsidRPr="00BB1E47">
              <w:rPr>
                <w:rStyle w:val="Hyperlink"/>
                <w:color w:val="auto"/>
                <w:u w:val="none"/>
              </w:rPr>
              <w:t xml:space="preserve">What factors need to be considered when implementing any reform options, to ensure feasibility and sustainability, and to manage risk of unintended consequences? </w:t>
            </w:r>
          </w:p>
          <w:p w14:paraId="319D4E46" w14:textId="3C01FBCF" w:rsidR="00BE4063" w:rsidRPr="00BB1E47" w:rsidRDefault="00BE4063" w:rsidP="00DF3F23">
            <w:pPr>
              <w:pStyle w:val="Body"/>
              <w:numPr>
                <w:ilvl w:val="0"/>
                <w:numId w:val="31"/>
              </w:numPr>
              <w:rPr>
                <w:b/>
              </w:rPr>
            </w:pPr>
            <w:r w:rsidRPr="00BB1E47">
              <w:rPr>
                <w:rStyle w:val="Hyperlink"/>
                <w:color w:val="auto"/>
                <w:u w:val="none"/>
              </w:rPr>
              <w:t>How can potential solutions account for differences between metropolitan and rural areas?</w:t>
            </w:r>
          </w:p>
        </w:tc>
      </w:tr>
    </w:tbl>
    <w:p w14:paraId="0F409141" w14:textId="77777777" w:rsidR="00BE4063" w:rsidRPr="00BB1E47" w:rsidRDefault="00BE4063" w:rsidP="00AF5AF4">
      <w:pPr>
        <w:pStyle w:val="Body"/>
        <w:rPr>
          <w:b/>
        </w:rPr>
      </w:pPr>
    </w:p>
    <w:p w14:paraId="687AA47B" w14:textId="77777777" w:rsidR="00702DA2" w:rsidRPr="00BB1E47" w:rsidRDefault="00702DA2" w:rsidP="00AF5AF4">
      <w:pPr>
        <w:pStyle w:val="Body"/>
        <w:rPr>
          <w:b/>
        </w:rPr>
      </w:pPr>
    </w:p>
    <w:p w14:paraId="46B2E08F" w14:textId="77777777" w:rsidR="008C1CA0" w:rsidRPr="00BB1E47" w:rsidRDefault="008C1CA0" w:rsidP="008C1CA0">
      <w:pPr>
        <w:pStyle w:val="Body"/>
      </w:pPr>
    </w:p>
    <w:p w14:paraId="18CF691D" w14:textId="77777777" w:rsidR="0015343F" w:rsidRPr="00BB1E47" w:rsidRDefault="0015343F">
      <w:pPr>
        <w:spacing w:after="0" w:line="240" w:lineRule="auto"/>
        <w:rPr>
          <w:rFonts w:eastAsia="MS Gothic" w:cs="Arial"/>
          <w:bCs/>
          <w:color w:val="201547"/>
          <w:kern w:val="32"/>
          <w:sz w:val="40"/>
          <w:szCs w:val="40"/>
        </w:rPr>
      </w:pPr>
      <w:bookmarkStart w:id="141" w:name="_Toc132619033"/>
      <w:bookmarkStart w:id="142" w:name="_Toc134633563"/>
      <w:r w:rsidRPr="00BB1E47">
        <w:br w:type="page"/>
      </w:r>
    </w:p>
    <w:p w14:paraId="575D9ECC" w14:textId="6EDC7CBF" w:rsidR="008C1CA0" w:rsidRPr="00BB1E47" w:rsidRDefault="008C1CA0" w:rsidP="00B37D1A">
      <w:pPr>
        <w:pStyle w:val="Heading1"/>
        <w:numPr>
          <w:ilvl w:val="0"/>
          <w:numId w:val="13"/>
        </w:numPr>
      </w:pPr>
      <w:bookmarkStart w:id="143" w:name="_Toc136433510"/>
      <w:r w:rsidRPr="00BB1E47">
        <w:lastRenderedPageBreak/>
        <w:t>Next Steps</w:t>
      </w:r>
      <w:bookmarkEnd w:id="141"/>
      <w:bookmarkEnd w:id="142"/>
      <w:bookmarkEnd w:id="143"/>
    </w:p>
    <w:p w14:paraId="3DA1D193" w14:textId="77777777" w:rsidR="008C1CA0" w:rsidRPr="00BB1E47" w:rsidRDefault="008C1CA0" w:rsidP="00E9640E">
      <w:pPr>
        <w:pStyle w:val="Heading2"/>
      </w:pPr>
      <w:bookmarkStart w:id="144" w:name="_Toc132205912"/>
      <w:bookmarkStart w:id="145" w:name="_Toc132619034"/>
      <w:bookmarkStart w:id="146" w:name="_Toc134633564"/>
      <w:bookmarkStart w:id="147" w:name="_Toc136433511"/>
      <w:r w:rsidRPr="00BB1E47">
        <w:t>Process and timelines</w:t>
      </w:r>
      <w:bookmarkEnd w:id="144"/>
      <w:bookmarkEnd w:id="145"/>
      <w:bookmarkEnd w:id="146"/>
      <w:bookmarkEnd w:id="147"/>
    </w:p>
    <w:p w14:paraId="03F1C99A" w14:textId="77777777" w:rsidR="008C1CA0" w:rsidRPr="00BB1E47" w:rsidRDefault="008C1CA0" w:rsidP="00E9640E">
      <w:pPr>
        <w:pStyle w:val="Bullet1"/>
        <w:numPr>
          <w:ilvl w:val="0"/>
          <w:numId w:val="19"/>
        </w:numPr>
      </w:pPr>
      <w:r w:rsidRPr="00BB1E47">
        <w:t>All NEPT sector stakeholders are invited to participate in the public submission process and wider sector engagement that will take place over the coming weeks.</w:t>
      </w:r>
    </w:p>
    <w:p w14:paraId="6DCFBA36" w14:textId="77777777" w:rsidR="008C1CA0" w:rsidRPr="00BB1E47" w:rsidRDefault="008C1CA0" w:rsidP="00E9640E">
      <w:pPr>
        <w:pStyle w:val="Bullet1"/>
        <w:numPr>
          <w:ilvl w:val="0"/>
          <w:numId w:val="19"/>
        </w:numPr>
      </w:pPr>
      <w:r w:rsidRPr="00BB1E47">
        <w:t xml:space="preserve">Responses to the consultation, alongside wider sector engagement and independent technical analysis, will inform the final review report and accompanying recommendations that will be presented to government by December 2023 in line with the review’s terms of reference. </w:t>
      </w:r>
    </w:p>
    <w:p w14:paraId="55279C55" w14:textId="1A2C74EC" w:rsidR="008C1CA0" w:rsidRPr="00BB1E47" w:rsidRDefault="008C1CA0" w:rsidP="00E9640E">
      <w:pPr>
        <w:pStyle w:val="Bullet1"/>
        <w:numPr>
          <w:ilvl w:val="0"/>
          <w:numId w:val="19"/>
        </w:numPr>
      </w:pPr>
      <w:r w:rsidRPr="00BB1E47">
        <w:t xml:space="preserve">Further updates will be made available over the course of the </w:t>
      </w:r>
      <w:r w:rsidR="00024B6F">
        <w:t>r</w:t>
      </w:r>
      <w:r w:rsidRPr="00BB1E47">
        <w:t xml:space="preserve">eview through  </w:t>
      </w:r>
      <w:hyperlink r:id="rId28" w:history="1">
        <w:r w:rsidRPr="00BB1E47">
          <w:rPr>
            <w:rStyle w:val="Hyperlink"/>
          </w:rPr>
          <w:t>https://www.health.vic.gov.au/patient-care/non-emergency-patient-transport-review</w:t>
        </w:r>
      </w:hyperlink>
      <w:r w:rsidRPr="00BB1E47">
        <w:t xml:space="preserve"> </w:t>
      </w:r>
    </w:p>
    <w:p w14:paraId="6BA54650" w14:textId="77777777" w:rsidR="008C1CA0" w:rsidRPr="00BB1E47" w:rsidRDefault="008C1CA0" w:rsidP="008C1CA0">
      <w:pPr>
        <w:pStyle w:val="Body"/>
      </w:pPr>
    </w:p>
    <w:p w14:paraId="5CC74072" w14:textId="018C0ED2" w:rsidR="00473293" w:rsidRPr="00BB1E47" w:rsidRDefault="00473293" w:rsidP="00E05FCB">
      <w:pPr>
        <w:pStyle w:val="Tablecaption"/>
        <w:rPr>
          <w:szCs w:val="21"/>
        </w:rPr>
      </w:pPr>
      <w:r w:rsidRPr="00BB1E47">
        <w:t xml:space="preserve">Table </w:t>
      </w:r>
      <w:r w:rsidRPr="00BB1E47">
        <w:rPr>
          <w:szCs w:val="21"/>
        </w:rPr>
        <w:fldChar w:fldCharType="begin"/>
      </w:r>
      <w:r w:rsidRPr="00BB1E47">
        <w:rPr>
          <w:szCs w:val="21"/>
        </w:rPr>
        <w:instrText xml:space="preserve"> SEQ Table \* ARABIC </w:instrText>
      </w:r>
      <w:r w:rsidRPr="00BB1E47">
        <w:rPr>
          <w:szCs w:val="21"/>
        </w:rPr>
        <w:fldChar w:fldCharType="separate"/>
      </w:r>
      <w:r w:rsidR="003D510C">
        <w:rPr>
          <w:noProof/>
          <w:szCs w:val="21"/>
        </w:rPr>
        <w:t>6</w:t>
      </w:r>
      <w:r w:rsidRPr="00BB1E47">
        <w:rPr>
          <w:szCs w:val="21"/>
        </w:rPr>
        <w:fldChar w:fldCharType="end"/>
      </w:r>
      <w:r w:rsidRPr="00BB1E47">
        <w:rPr>
          <w:szCs w:val="21"/>
        </w:rPr>
        <w:t xml:space="preserve"> Indicative timelines for NEPT review</w:t>
      </w:r>
    </w:p>
    <w:tbl>
      <w:tblPr>
        <w:tblStyle w:val="TableGrid"/>
        <w:tblW w:w="0" w:type="auto"/>
        <w:tblInd w:w="284" w:type="dxa"/>
        <w:tblLook w:val="04A0" w:firstRow="1" w:lastRow="0" w:firstColumn="1" w:lastColumn="0" w:noHBand="0" w:noVBand="1"/>
      </w:tblPr>
      <w:tblGrid>
        <w:gridCol w:w="3539"/>
        <w:gridCol w:w="3293"/>
      </w:tblGrid>
      <w:tr w:rsidR="007C3BE4" w:rsidRPr="00BB1E47" w14:paraId="71770351" w14:textId="77777777" w:rsidTr="20B86724">
        <w:tc>
          <w:tcPr>
            <w:tcW w:w="3539" w:type="dxa"/>
          </w:tcPr>
          <w:p w14:paraId="1272D140" w14:textId="77777777" w:rsidR="007C3BE4" w:rsidRPr="00BB1E47" w:rsidRDefault="007C3BE4">
            <w:pPr>
              <w:pStyle w:val="Bullet1"/>
              <w:numPr>
                <w:ilvl w:val="0"/>
                <w:numId w:val="0"/>
              </w:numPr>
              <w:rPr>
                <w:b/>
                <w:bCs/>
              </w:rPr>
            </w:pPr>
            <w:r w:rsidRPr="00BB1E47">
              <w:rPr>
                <w:b/>
                <w:bCs/>
              </w:rPr>
              <w:t>Milestone</w:t>
            </w:r>
          </w:p>
        </w:tc>
        <w:tc>
          <w:tcPr>
            <w:tcW w:w="3293" w:type="dxa"/>
          </w:tcPr>
          <w:p w14:paraId="59D23CE5" w14:textId="107C8DC5" w:rsidR="007C3BE4" w:rsidRPr="00BB1E47" w:rsidRDefault="00CF1A00">
            <w:pPr>
              <w:pStyle w:val="Bullet1"/>
              <w:numPr>
                <w:ilvl w:val="0"/>
                <w:numId w:val="0"/>
              </w:numPr>
              <w:rPr>
                <w:b/>
                <w:bCs/>
              </w:rPr>
            </w:pPr>
            <w:r>
              <w:rPr>
                <w:b/>
                <w:bCs/>
              </w:rPr>
              <w:t>D</w:t>
            </w:r>
            <w:r w:rsidR="007C3BE4" w:rsidRPr="20B86724">
              <w:rPr>
                <w:b/>
                <w:bCs/>
              </w:rPr>
              <w:t>ate</w:t>
            </w:r>
          </w:p>
        </w:tc>
      </w:tr>
      <w:tr w:rsidR="007C3BE4" w:rsidRPr="00BB1E47" w14:paraId="16FF6FD4" w14:textId="77777777" w:rsidTr="20B86724">
        <w:tc>
          <w:tcPr>
            <w:tcW w:w="3539" w:type="dxa"/>
          </w:tcPr>
          <w:p w14:paraId="7DC72A5D" w14:textId="77777777" w:rsidR="007C3BE4" w:rsidRPr="00BB1E47" w:rsidRDefault="007C3BE4">
            <w:pPr>
              <w:pStyle w:val="Bullet1"/>
              <w:numPr>
                <w:ilvl w:val="0"/>
                <w:numId w:val="0"/>
              </w:numPr>
            </w:pPr>
            <w:r w:rsidRPr="00BB1E47">
              <w:t>Release of discussion paper</w:t>
            </w:r>
          </w:p>
        </w:tc>
        <w:tc>
          <w:tcPr>
            <w:tcW w:w="3293" w:type="dxa"/>
          </w:tcPr>
          <w:p w14:paraId="5CB1405F" w14:textId="7EDAD9CF" w:rsidR="007C3BE4" w:rsidRPr="00BB1E47" w:rsidRDefault="00855F23">
            <w:pPr>
              <w:pStyle w:val="Bullet1"/>
              <w:numPr>
                <w:ilvl w:val="0"/>
                <w:numId w:val="0"/>
              </w:numPr>
            </w:pPr>
            <w:r>
              <w:t xml:space="preserve">31 </w:t>
            </w:r>
            <w:r w:rsidR="007C3BE4" w:rsidRPr="00BB1E47">
              <w:t>May 2023</w:t>
            </w:r>
          </w:p>
        </w:tc>
      </w:tr>
      <w:tr w:rsidR="007C3BE4" w:rsidRPr="00BB1E47" w14:paraId="0A28C04D" w14:textId="77777777" w:rsidTr="20B86724">
        <w:tc>
          <w:tcPr>
            <w:tcW w:w="3539" w:type="dxa"/>
          </w:tcPr>
          <w:p w14:paraId="6071E065" w14:textId="77777777" w:rsidR="007C3BE4" w:rsidRPr="00BB1E47" w:rsidRDefault="007C3BE4">
            <w:pPr>
              <w:pStyle w:val="Bullet1"/>
              <w:numPr>
                <w:ilvl w:val="0"/>
                <w:numId w:val="0"/>
              </w:numPr>
            </w:pPr>
            <w:r w:rsidRPr="00BB1E47">
              <w:t>Close of public submission process</w:t>
            </w:r>
          </w:p>
        </w:tc>
        <w:tc>
          <w:tcPr>
            <w:tcW w:w="3293" w:type="dxa"/>
          </w:tcPr>
          <w:p w14:paraId="0BBA6E5E" w14:textId="608201A5" w:rsidR="007C3BE4" w:rsidRPr="00BB1E47" w:rsidRDefault="00A61A88">
            <w:pPr>
              <w:pStyle w:val="Bullet1"/>
              <w:numPr>
                <w:ilvl w:val="0"/>
                <w:numId w:val="0"/>
              </w:numPr>
            </w:pPr>
            <w:r>
              <w:t>14 July</w:t>
            </w:r>
            <w:r w:rsidR="32710488">
              <w:t xml:space="preserve"> </w:t>
            </w:r>
            <w:r w:rsidR="007C3BE4">
              <w:t>2023</w:t>
            </w:r>
          </w:p>
        </w:tc>
      </w:tr>
      <w:tr w:rsidR="007C3BE4" w:rsidRPr="00BB1E47" w14:paraId="6D3CCB8C" w14:textId="77777777" w:rsidTr="20B86724">
        <w:tc>
          <w:tcPr>
            <w:tcW w:w="3539" w:type="dxa"/>
          </w:tcPr>
          <w:p w14:paraId="58660DA2" w14:textId="4D4B47E7" w:rsidR="007C3BE4" w:rsidRPr="00BB1E47" w:rsidRDefault="00FE3867">
            <w:pPr>
              <w:pStyle w:val="Bullet1"/>
              <w:numPr>
                <w:ilvl w:val="0"/>
                <w:numId w:val="0"/>
              </w:numPr>
            </w:pPr>
            <w:r>
              <w:t>S</w:t>
            </w:r>
            <w:r w:rsidR="007C3BE4" w:rsidRPr="00BB1E47">
              <w:t xml:space="preserve">ector engagement </w:t>
            </w:r>
          </w:p>
        </w:tc>
        <w:tc>
          <w:tcPr>
            <w:tcW w:w="3293" w:type="dxa"/>
          </w:tcPr>
          <w:p w14:paraId="5E25DA83" w14:textId="0A832E8C" w:rsidR="007C3BE4" w:rsidRPr="00BB1E47" w:rsidRDefault="001D3569">
            <w:pPr>
              <w:pStyle w:val="Bullet1"/>
              <w:numPr>
                <w:ilvl w:val="0"/>
                <w:numId w:val="0"/>
              </w:numPr>
            </w:pPr>
            <w:r>
              <w:t xml:space="preserve">June - </w:t>
            </w:r>
            <w:r w:rsidR="007C3BE4" w:rsidRPr="00BB1E47">
              <w:t>July 2023</w:t>
            </w:r>
          </w:p>
        </w:tc>
      </w:tr>
      <w:tr w:rsidR="007C3BE4" w:rsidRPr="00BB1E47" w14:paraId="275A8043" w14:textId="77777777" w:rsidTr="20B86724">
        <w:tc>
          <w:tcPr>
            <w:tcW w:w="3539" w:type="dxa"/>
          </w:tcPr>
          <w:p w14:paraId="5059B2A5" w14:textId="21A815B4" w:rsidR="007C3BE4" w:rsidRPr="00BB1E47" w:rsidRDefault="007C3BE4">
            <w:pPr>
              <w:pStyle w:val="Bullet1"/>
              <w:numPr>
                <w:ilvl w:val="0"/>
                <w:numId w:val="0"/>
              </w:numPr>
            </w:pPr>
            <w:r w:rsidRPr="00BB1E47">
              <w:t xml:space="preserve">Independent </w:t>
            </w:r>
            <w:r w:rsidR="0062368A">
              <w:t xml:space="preserve">options </w:t>
            </w:r>
            <w:r w:rsidRPr="00BB1E47">
              <w:t>analysis</w:t>
            </w:r>
          </w:p>
        </w:tc>
        <w:tc>
          <w:tcPr>
            <w:tcW w:w="3293" w:type="dxa"/>
          </w:tcPr>
          <w:p w14:paraId="1C27364A" w14:textId="77777777" w:rsidR="007C3BE4" w:rsidRPr="00BB1E47" w:rsidRDefault="007C3BE4">
            <w:pPr>
              <w:pStyle w:val="Bullet1"/>
              <w:numPr>
                <w:ilvl w:val="0"/>
                <w:numId w:val="0"/>
              </w:numPr>
            </w:pPr>
            <w:r w:rsidRPr="00BB1E47">
              <w:t>August 2023</w:t>
            </w:r>
          </w:p>
        </w:tc>
      </w:tr>
      <w:tr w:rsidR="007C3BE4" w:rsidRPr="00BB1E47" w14:paraId="2C651615" w14:textId="77777777" w:rsidTr="20B86724">
        <w:tc>
          <w:tcPr>
            <w:tcW w:w="3539" w:type="dxa"/>
          </w:tcPr>
          <w:p w14:paraId="55F759D6" w14:textId="77777777" w:rsidR="007C3BE4" w:rsidRPr="00BB1E47" w:rsidRDefault="007C3BE4">
            <w:pPr>
              <w:pStyle w:val="Bullet1"/>
              <w:numPr>
                <w:ilvl w:val="0"/>
                <w:numId w:val="0"/>
              </w:numPr>
            </w:pPr>
            <w:r w:rsidRPr="00BB1E47">
              <w:t>Report to government</w:t>
            </w:r>
          </w:p>
        </w:tc>
        <w:tc>
          <w:tcPr>
            <w:tcW w:w="3293" w:type="dxa"/>
          </w:tcPr>
          <w:p w14:paraId="0D3E5C3C" w14:textId="77777777" w:rsidR="007C3BE4" w:rsidRPr="00BB1E47" w:rsidRDefault="007C3BE4">
            <w:pPr>
              <w:pStyle w:val="Bullet1"/>
              <w:numPr>
                <w:ilvl w:val="0"/>
                <w:numId w:val="0"/>
              </w:numPr>
            </w:pPr>
            <w:r w:rsidRPr="00BB1E47">
              <w:t>December 2023</w:t>
            </w:r>
          </w:p>
        </w:tc>
      </w:tr>
    </w:tbl>
    <w:p w14:paraId="728643CD" w14:textId="77777777" w:rsidR="007C3BE4" w:rsidRPr="00BB1E47" w:rsidRDefault="007C3BE4" w:rsidP="008C1CA0">
      <w:pPr>
        <w:pStyle w:val="Body"/>
      </w:pPr>
    </w:p>
    <w:p w14:paraId="3E87584F" w14:textId="77777777" w:rsidR="008C1CA0" w:rsidRPr="00BB1E47" w:rsidRDefault="008C1CA0" w:rsidP="008C1CA0">
      <w:pPr>
        <w:pStyle w:val="Body"/>
        <w:rPr>
          <w:b/>
        </w:rPr>
      </w:pPr>
      <w:r w:rsidRPr="00BB1E47">
        <w:rPr>
          <w:b/>
        </w:rPr>
        <w:t>Contact details</w:t>
      </w:r>
    </w:p>
    <w:p w14:paraId="6953A23E" w14:textId="17E1EE02" w:rsidR="008C1CA0" w:rsidRPr="00BB1E47" w:rsidRDefault="008C1CA0" w:rsidP="008C1CA0">
      <w:pPr>
        <w:pStyle w:val="Body"/>
      </w:pPr>
      <w:r w:rsidRPr="00BB1E47">
        <w:t xml:space="preserve">For further information, please contact </w:t>
      </w:r>
      <w:hyperlink r:id="rId29" w:history="1">
        <w:r w:rsidRPr="00BB1E47">
          <w:rPr>
            <w:rStyle w:val="Hyperlink"/>
          </w:rPr>
          <w:t>neptreview@health.vic.gov.au</w:t>
        </w:r>
      </w:hyperlink>
      <w:r w:rsidRPr="00BB1E47">
        <w:t xml:space="preserve"> </w:t>
      </w:r>
    </w:p>
    <w:p w14:paraId="488412AB" w14:textId="77777777" w:rsidR="008C1CA0" w:rsidRPr="00BB1E47" w:rsidRDefault="008C1CA0" w:rsidP="008C1CA0">
      <w:pPr>
        <w:spacing w:after="160" w:line="259" w:lineRule="auto"/>
        <w:rPr>
          <w:rFonts w:eastAsia="Arial Rounded MT Bold" w:cs="Arial"/>
          <w:color w:val="201547"/>
          <w:kern w:val="32"/>
          <w:sz w:val="28"/>
          <w:szCs w:val="40"/>
        </w:rPr>
      </w:pPr>
      <w:bookmarkStart w:id="148" w:name="_Toc132619035"/>
      <w:r w:rsidRPr="00BB1E47">
        <w:br w:type="page"/>
      </w:r>
    </w:p>
    <w:p w14:paraId="0DCD046A" w14:textId="098EFC38" w:rsidR="008C1CA0" w:rsidRPr="00BB1E47" w:rsidRDefault="008C1CA0" w:rsidP="00B37D1A">
      <w:pPr>
        <w:pStyle w:val="Heading1"/>
        <w:numPr>
          <w:ilvl w:val="0"/>
          <w:numId w:val="13"/>
        </w:numPr>
      </w:pPr>
      <w:bookmarkStart w:id="149" w:name="_Toc134633565"/>
      <w:bookmarkStart w:id="150" w:name="_Toc136433512"/>
      <w:r w:rsidRPr="00BB1E47">
        <w:lastRenderedPageBreak/>
        <w:t>Appendices</w:t>
      </w:r>
      <w:bookmarkEnd w:id="148"/>
      <w:bookmarkEnd w:id="149"/>
      <w:bookmarkEnd w:id="150"/>
    </w:p>
    <w:p w14:paraId="0D2F0544" w14:textId="77777777" w:rsidR="008C1CA0" w:rsidRPr="00BB1E47" w:rsidRDefault="008C1CA0" w:rsidP="00E9640E">
      <w:pPr>
        <w:pStyle w:val="Heading2"/>
      </w:pPr>
      <w:bookmarkStart w:id="151" w:name="_Toc132205914"/>
      <w:bookmarkStart w:id="152" w:name="_Toc132619036"/>
      <w:bookmarkStart w:id="153" w:name="_Toc134633566"/>
      <w:bookmarkStart w:id="154" w:name="_Toc136433513"/>
      <w:r w:rsidRPr="00BB1E47">
        <w:t>Appendix 1: Abbreviations</w:t>
      </w:r>
      <w:bookmarkEnd w:id="151"/>
      <w:bookmarkEnd w:id="152"/>
      <w:bookmarkEnd w:id="153"/>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7062"/>
        <w:gridCol w:w="1013"/>
      </w:tblGrid>
      <w:tr w:rsidR="0025761B" w:rsidRPr="00BB1E47" w14:paraId="2C1AAA1B" w14:textId="77777777" w:rsidTr="00185E4C">
        <w:tc>
          <w:tcPr>
            <w:tcW w:w="2268" w:type="dxa"/>
          </w:tcPr>
          <w:p w14:paraId="04488838" w14:textId="73BBE500" w:rsidR="00BB1E47" w:rsidRDefault="00BB1E47" w:rsidP="00185E4C">
            <w:pPr>
              <w:pStyle w:val="Body"/>
            </w:pPr>
            <w:r>
              <w:t>AAV</w:t>
            </w:r>
          </w:p>
          <w:p w14:paraId="4AB0DE2B" w14:textId="2C3E8973" w:rsidR="0025761B" w:rsidRPr="00BB1E47" w:rsidRDefault="0025761B" w:rsidP="00185E4C">
            <w:pPr>
              <w:pStyle w:val="Body"/>
            </w:pPr>
            <w:r w:rsidRPr="00BB1E47">
              <w:t>ARV</w:t>
            </w:r>
          </w:p>
        </w:tc>
        <w:tc>
          <w:tcPr>
            <w:tcW w:w="7926" w:type="dxa"/>
            <w:gridSpan w:val="2"/>
          </w:tcPr>
          <w:p w14:paraId="3989EE49" w14:textId="2CDE2EF6" w:rsidR="00BB1E47" w:rsidRDefault="00BB1E47" w:rsidP="00185E4C">
            <w:pPr>
              <w:pStyle w:val="Body"/>
            </w:pPr>
            <w:r>
              <w:t>Air Ambulance Victoria</w:t>
            </w:r>
          </w:p>
          <w:p w14:paraId="7E4805FD" w14:textId="1E308818" w:rsidR="0025761B" w:rsidRPr="00BB1E47" w:rsidRDefault="0025761B" w:rsidP="00185E4C">
            <w:pPr>
              <w:pStyle w:val="Body"/>
            </w:pPr>
            <w:r w:rsidRPr="00BB1E47">
              <w:t>Adult Retrievals Victoria</w:t>
            </w:r>
          </w:p>
        </w:tc>
      </w:tr>
      <w:tr w:rsidR="00B55743" w:rsidRPr="00BB1E47" w14:paraId="3E7A5F74" w14:textId="77777777" w:rsidTr="00185E4C">
        <w:tc>
          <w:tcPr>
            <w:tcW w:w="2268" w:type="dxa"/>
          </w:tcPr>
          <w:p w14:paraId="1ACF5A1C" w14:textId="466C833C" w:rsidR="00B55743" w:rsidRPr="00BB1E47" w:rsidRDefault="00DB4098" w:rsidP="00185E4C">
            <w:pPr>
              <w:pStyle w:val="Body"/>
            </w:pPr>
            <w:r w:rsidRPr="00BB1E47">
              <w:t>ATA</w:t>
            </w:r>
          </w:p>
        </w:tc>
        <w:tc>
          <w:tcPr>
            <w:tcW w:w="7926" w:type="dxa"/>
            <w:gridSpan w:val="2"/>
          </w:tcPr>
          <w:p w14:paraId="1FC0B206" w14:textId="6C0CD9DB" w:rsidR="00B55743" w:rsidRPr="00BB1E47" w:rsidRDefault="00DB4098" w:rsidP="00185E4C">
            <w:pPr>
              <w:pStyle w:val="Body"/>
            </w:pPr>
            <w:r w:rsidRPr="00BB1E47">
              <w:t xml:space="preserve">Ambulance </w:t>
            </w:r>
            <w:r w:rsidR="00CA1349" w:rsidRPr="00BB1E47">
              <w:t>Transport Attendan</w:t>
            </w:r>
            <w:r w:rsidR="00660B0E" w:rsidRPr="00BB1E47">
              <w:t>t</w:t>
            </w:r>
          </w:p>
        </w:tc>
      </w:tr>
      <w:tr w:rsidR="008C1CA0" w:rsidRPr="00BB1E47" w14:paraId="12D190C0" w14:textId="77777777" w:rsidTr="00B108AF">
        <w:tc>
          <w:tcPr>
            <w:tcW w:w="2268" w:type="dxa"/>
          </w:tcPr>
          <w:p w14:paraId="5FE9C25D" w14:textId="77777777" w:rsidR="008C1CA0" w:rsidRPr="00BB1E47" w:rsidRDefault="008C1CA0" w:rsidP="00B108AF">
            <w:pPr>
              <w:pStyle w:val="Body"/>
            </w:pPr>
            <w:r w:rsidRPr="00BB1E47">
              <w:t>AV</w:t>
            </w:r>
          </w:p>
        </w:tc>
        <w:tc>
          <w:tcPr>
            <w:tcW w:w="7926" w:type="dxa"/>
            <w:gridSpan w:val="2"/>
          </w:tcPr>
          <w:p w14:paraId="25D260A0" w14:textId="77777777" w:rsidR="008C1CA0" w:rsidRPr="00BB1E47" w:rsidRDefault="008C1CA0" w:rsidP="00B108AF">
            <w:pPr>
              <w:pStyle w:val="Body"/>
            </w:pPr>
            <w:r w:rsidRPr="00BB1E47">
              <w:t>Ambulance Victoria</w:t>
            </w:r>
          </w:p>
        </w:tc>
      </w:tr>
      <w:tr w:rsidR="00C020FF" w:rsidRPr="00BB1E47" w14:paraId="7726FB13" w14:textId="77777777" w:rsidTr="00B108AF">
        <w:tc>
          <w:tcPr>
            <w:tcW w:w="2268" w:type="dxa"/>
          </w:tcPr>
          <w:p w14:paraId="4F63F7FE" w14:textId="2D7B0389" w:rsidR="00C020FF" w:rsidRPr="00BB1E47" w:rsidRDefault="00C020FF" w:rsidP="00B108AF">
            <w:pPr>
              <w:pStyle w:val="Body"/>
            </w:pPr>
            <w:r w:rsidRPr="00BB1E47">
              <w:t>CCRN</w:t>
            </w:r>
          </w:p>
        </w:tc>
        <w:tc>
          <w:tcPr>
            <w:tcW w:w="7926" w:type="dxa"/>
            <w:gridSpan w:val="2"/>
          </w:tcPr>
          <w:p w14:paraId="492DA530" w14:textId="4D2E18A3" w:rsidR="00C020FF" w:rsidRPr="00BB1E47" w:rsidRDefault="00C020FF" w:rsidP="00B108AF">
            <w:pPr>
              <w:pStyle w:val="Body"/>
            </w:pPr>
            <w:r w:rsidRPr="00BB1E47">
              <w:t>Registered Nurse Critical Care</w:t>
            </w:r>
          </w:p>
        </w:tc>
      </w:tr>
      <w:tr w:rsidR="008C1CA0" w:rsidRPr="00BB1E47" w14:paraId="6358781F" w14:textId="77777777" w:rsidTr="00B108AF">
        <w:tc>
          <w:tcPr>
            <w:tcW w:w="2268" w:type="dxa"/>
          </w:tcPr>
          <w:p w14:paraId="0CAAD930" w14:textId="77777777" w:rsidR="008C1CA0" w:rsidRPr="00BB1E47" w:rsidRDefault="008C1CA0" w:rsidP="00B108AF">
            <w:pPr>
              <w:pStyle w:val="Body"/>
            </w:pPr>
            <w:r w:rsidRPr="00BB1E47">
              <w:t>CSO</w:t>
            </w:r>
          </w:p>
        </w:tc>
        <w:tc>
          <w:tcPr>
            <w:tcW w:w="7926" w:type="dxa"/>
            <w:gridSpan w:val="2"/>
          </w:tcPr>
          <w:p w14:paraId="115ACC33" w14:textId="77777777" w:rsidR="008C1CA0" w:rsidRPr="00BB1E47" w:rsidRDefault="008C1CA0" w:rsidP="00B108AF">
            <w:pPr>
              <w:pStyle w:val="Body"/>
            </w:pPr>
            <w:r w:rsidRPr="00BB1E47">
              <w:t>Community Service Obligation</w:t>
            </w:r>
          </w:p>
        </w:tc>
      </w:tr>
      <w:tr w:rsidR="008C1CA0" w:rsidRPr="00BB1E47" w14:paraId="3FC082C6" w14:textId="77777777" w:rsidTr="00B108AF">
        <w:tc>
          <w:tcPr>
            <w:tcW w:w="2268" w:type="dxa"/>
          </w:tcPr>
          <w:p w14:paraId="540534EC" w14:textId="77777777" w:rsidR="008C1CA0" w:rsidRPr="00BB1E47" w:rsidRDefault="008C1CA0" w:rsidP="00B108AF">
            <w:pPr>
              <w:pStyle w:val="Body"/>
            </w:pPr>
            <w:r w:rsidRPr="00BB1E47">
              <w:t>DH</w:t>
            </w:r>
          </w:p>
        </w:tc>
        <w:tc>
          <w:tcPr>
            <w:tcW w:w="7926" w:type="dxa"/>
            <w:gridSpan w:val="2"/>
          </w:tcPr>
          <w:p w14:paraId="66CC1EA5" w14:textId="77777777" w:rsidR="008C1CA0" w:rsidRPr="00BB1E47" w:rsidRDefault="008C1CA0" w:rsidP="00B108AF">
            <w:pPr>
              <w:pStyle w:val="Body"/>
            </w:pPr>
            <w:r w:rsidRPr="00BB1E47">
              <w:t>Department of Health (Victoria)</w:t>
            </w:r>
          </w:p>
        </w:tc>
      </w:tr>
      <w:tr w:rsidR="008C1CA0" w:rsidRPr="00BB1E47" w14:paraId="3FB174D7" w14:textId="77777777" w:rsidTr="00B108AF">
        <w:tc>
          <w:tcPr>
            <w:tcW w:w="2268" w:type="dxa"/>
          </w:tcPr>
          <w:p w14:paraId="5765AFCF" w14:textId="77777777" w:rsidR="008C1CA0" w:rsidRPr="00BB1E47" w:rsidRDefault="008C1CA0" w:rsidP="00B108AF">
            <w:pPr>
              <w:pStyle w:val="Body"/>
            </w:pPr>
            <w:r w:rsidRPr="00BB1E47">
              <w:t>DVA</w:t>
            </w:r>
          </w:p>
        </w:tc>
        <w:tc>
          <w:tcPr>
            <w:tcW w:w="7926" w:type="dxa"/>
            <w:gridSpan w:val="2"/>
          </w:tcPr>
          <w:p w14:paraId="731675C8" w14:textId="77777777" w:rsidR="008C1CA0" w:rsidRPr="00BB1E47" w:rsidRDefault="008C1CA0" w:rsidP="00B108AF">
            <w:pPr>
              <w:pStyle w:val="Body"/>
            </w:pPr>
            <w:r w:rsidRPr="00BB1E47">
              <w:t>Department of Veterans’ Affairs (Commonwealth)</w:t>
            </w:r>
          </w:p>
        </w:tc>
      </w:tr>
      <w:tr w:rsidR="008C1CA0" w:rsidRPr="00BB1E47" w14:paraId="1F337F50" w14:textId="77777777" w:rsidTr="00B108AF">
        <w:tc>
          <w:tcPr>
            <w:tcW w:w="2268" w:type="dxa"/>
          </w:tcPr>
          <w:p w14:paraId="15DC2743" w14:textId="77777777" w:rsidR="008C1CA0" w:rsidRPr="00BB1E47" w:rsidRDefault="008C1CA0" w:rsidP="00B108AF">
            <w:pPr>
              <w:pStyle w:val="Body"/>
            </w:pPr>
            <w:r w:rsidRPr="00BB1E47">
              <w:t>EBA</w:t>
            </w:r>
          </w:p>
        </w:tc>
        <w:tc>
          <w:tcPr>
            <w:tcW w:w="7926" w:type="dxa"/>
            <w:gridSpan w:val="2"/>
          </w:tcPr>
          <w:p w14:paraId="39DAEFEF" w14:textId="77777777" w:rsidR="008C1CA0" w:rsidRPr="00BB1E47" w:rsidRDefault="008C1CA0" w:rsidP="00B108AF">
            <w:pPr>
              <w:pStyle w:val="Body"/>
            </w:pPr>
            <w:r w:rsidRPr="00BB1E47">
              <w:t>Enterprise bargaining agreement</w:t>
            </w:r>
          </w:p>
        </w:tc>
      </w:tr>
      <w:tr w:rsidR="00C020FF" w:rsidRPr="00BB1E47" w14:paraId="5BC04228" w14:textId="77777777" w:rsidTr="00B108AF">
        <w:tc>
          <w:tcPr>
            <w:tcW w:w="2268" w:type="dxa"/>
          </w:tcPr>
          <w:p w14:paraId="0D80D598" w14:textId="7752256E" w:rsidR="00C020FF" w:rsidRPr="00BB1E47" w:rsidRDefault="00C020FF" w:rsidP="00B108AF">
            <w:pPr>
              <w:pStyle w:val="Body"/>
            </w:pPr>
            <w:r w:rsidRPr="00BB1E47">
              <w:rPr>
                <w:lang w:val="en-US"/>
              </w:rPr>
              <w:t>EN/EEN</w:t>
            </w:r>
          </w:p>
        </w:tc>
        <w:tc>
          <w:tcPr>
            <w:tcW w:w="7926" w:type="dxa"/>
            <w:gridSpan w:val="2"/>
          </w:tcPr>
          <w:p w14:paraId="228ECFA2" w14:textId="5D2B1A7B" w:rsidR="00C020FF" w:rsidRPr="00BB1E47" w:rsidRDefault="00C020FF" w:rsidP="00B108AF">
            <w:pPr>
              <w:pStyle w:val="Body"/>
            </w:pPr>
            <w:r w:rsidRPr="00BB1E47">
              <w:rPr>
                <w:lang w:val="en-US"/>
              </w:rPr>
              <w:t>(Endorsed) Enrolled nurse division 2</w:t>
            </w:r>
          </w:p>
        </w:tc>
      </w:tr>
      <w:tr w:rsidR="008C1CA0" w:rsidRPr="00BB1E47" w14:paraId="00086463" w14:textId="77777777" w:rsidTr="00B108AF">
        <w:tc>
          <w:tcPr>
            <w:tcW w:w="2268" w:type="dxa"/>
          </w:tcPr>
          <w:p w14:paraId="15A7F196" w14:textId="77777777" w:rsidR="008C1CA0" w:rsidRPr="00BB1E47" w:rsidRDefault="008C1CA0" w:rsidP="00B108AF">
            <w:pPr>
              <w:pStyle w:val="Body"/>
            </w:pPr>
            <w:r w:rsidRPr="00BB1E47">
              <w:t>ESTA</w:t>
            </w:r>
          </w:p>
        </w:tc>
        <w:tc>
          <w:tcPr>
            <w:tcW w:w="7926" w:type="dxa"/>
            <w:gridSpan w:val="2"/>
          </w:tcPr>
          <w:p w14:paraId="66EBD2F1" w14:textId="77777777" w:rsidR="008C1CA0" w:rsidRPr="00BB1E47" w:rsidRDefault="008C1CA0" w:rsidP="00B108AF">
            <w:pPr>
              <w:pStyle w:val="Body"/>
            </w:pPr>
            <w:r w:rsidRPr="00BB1E47">
              <w:t xml:space="preserve">Emergency Services Telecommunications Authority </w:t>
            </w:r>
          </w:p>
        </w:tc>
      </w:tr>
      <w:tr w:rsidR="008C1CA0" w:rsidRPr="00BB1E47" w14:paraId="630EFEE1" w14:textId="77777777" w:rsidTr="00B108AF">
        <w:tc>
          <w:tcPr>
            <w:tcW w:w="2268" w:type="dxa"/>
          </w:tcPr>
          <w:p w14:paraId="5CFFCE9A" w14:textId="77777777" w:rsidR="008C1CA0" w:rsidRPr="00BB1E47" w:rsidRDefault="008C1CA0" w:rsidP="00B108AF">
            <w:pPr>
              <w:pStyle w:val="Body"/>
            </w:pPr>
            <w:r w:rsidRPr="00BB1E47">
              <w:t>HIP</w:t>
            </w:r>
          </w:p>
        </w:tc>
        <w:tc>
          <w:tcPr>
            <w:tcW w:w="7926" w:type="dxa"/>
            <w:gridSpan w:val="2"/>
          </w:tcPr>
          <w:p w14:paraId="5CA5E354" w14:textId="77777777" w:rsidR="008C1CA0" w:rsidRPr="00BB1E47" w:rsidRDefault="008C1CA0" w:rsidP="00B108AF">
            <w:pPr>
              <w:pStyle w:val="Body"/>
            </w:pPr>
            <w:r w:rsidRPr="00BB1E47">
              <w:t>Health Independence Programs</w:t>
            </w:r>
          </w:p>
        </w:tc>
      </w:tr>
      <w:tr w:rsidR="008C1CA0" w:rsidRPr="00BB1E47" w14:paraId="69D2380B" w14:textId="77777777" w:rsidTr="00B108AF">
        <w:tc>
          <w:tcPr>
            <w:tcW w:w="2268" w:type="dxa"/>
          </w:tcPr>
          <w:p w14:paraId="5154F71F" w14:textId="77777777" w:rsidR="008C1CA0" w:rsidRPr="00BB1E47" w:rsidRDefault="008C1CA0" w:rsidP="00B108AF">
            <w:pPr>
              <w:pStyle w:val="Body"/>
            </w:pPr>
            <w:r w:rsidRPr="00BB1E47">
              <w:t>HSV</w:t>
            </w:r>
          </w:p>
        </w:tc>
        <w:tc>
          <w:tcPr>
            <w:tcW w:w="7926" w:type="dxa"/>
            <w:gridSpan w:val="2"/>
          </w:tcPr>
          <w:p w14:paraId="439943FE" w14:textId="77777777" w:rsidR="008C1CA0" w:rsidRPr="00BB1E47" w:rsidRDefault="008C1CA0" w:rsidP="00B108AF">
            <w:pPr>
              <w:pStyle w:val="Body"/>
              <w:rPr>
                <w:color w:val="FF0000"/>
              </w:rPr>
            </w:pPr>
            <w:proofErr w:type="spellStart"/>
            <w:r w:rsidRPr="00BB1E47">
              <w:t>HealthShare</w:t>
            </w:r>
            <w:proofErr w:type="spellEnd"/>
            <w:r w:rsidRPr="00BB1E47">
              <w:t xml:space="preserve"> Victoria</w:t>
            </w:r>
          </w:p>
        </w:tc>
      </w:tr>
      <w:tr w:rsidR="008C1CA0" w:rsidRPr="00BB1E47" w14:paraId="21FC40A2" w14:textId="77777777" w:rsidTr="00B108AF">
        <w:tc>
          <w:tcPr>
            <w:tcW w:w="2268" w:type="dxa"/>
          </w:tcPr>
          <w:p w14:paraId="40BCF6DB" w14:textId="77777777" w:rsidR="008C1CA0" w:rsidRPr="00BB1E47" w:rsidRDefault="008C1CA0" w:rsidP="00B108AF">
            <w:pPr>
              <w:pStyle w:val="Body"/>
            </w:pPr>
            <w:r w:rsidRPr="00BB1E47">
              <w:t>HTS</w:t>
            </w:r>
          </w:p>
        </w:tc>
        <w:tc>
          <w:tcPr>
            <w:tcW w:w="7926" w:type="dxa"/>
            <w:gridSpan w:val="2"/>
          </w:tcPr>
          <w:p w14:paraId="2C5708E0" w14:textId="77777777" w:rsidR="008C1CA0" w:rsidRPr="00BB1E47" w:rsidRDefault="008C1CA0" w:rsidP="00B108AF">
            <w:pPr>
              <w:pStyle w:val="Body"/>
            </w:pPr>
            <w:r w:rsidRPr="00BB1E47">
              <w:t>Health Transport Services (Tasmania)</w:t>
            </w:r>
          </w:p>
        </w:tc>
      </w:tr>
      <w:tr w:rsidR="008C1CA0" w:rsidRPr="00BB1E47" w14:paraId="19852164" w14:textId="77777777" w:rsidTr="00B108AF">
        <w:tc>
          <w:tcPr>
            <w:tcW w:w="2268" w:type="dxa"/>
          </w:tcPr>
          <w:p w14:paraId="654856B9" w14:textId="77777777" w:rsidR="008C1CA0" w:rsidRPr="00BB1E47" w:rsidRDefault="008C1CA0" w:rsidP="00B108AF">
            <w:pPr>
              <w:pStyle w:val="Body"/>
            </w:pPr>
            <w:r w:rsidRPr="00BB1E47">
              <w:t>MAS</w:t>
            </w:r>
          </w:p>
        </w:tc>
        <w:tc>
          <w:tcPr>
            <w:tcW w:w="7926" w:type="dxa"/>
            <w:gridSpan w:val="2"/>
          </w:tcPr>
          <w:p w14:paraId="2333E92D" w14:textId="77777777" w:rsidR="008C1CA0" w:rsidRPr="00BB1E47" w:rsidRDefault="008C1CA0" w:rsidP="00B108AF">
            <w:pPr>
              <w:pStyle w:val="Body"/>
            </w:pPr>
            <w:r w:rsidRPr="00BB1E47">
              <w:t>Metropolitan Ambulance Services (former)</w:t>
            </w:r>
          </w:p>
        </w:tc>
      </w:tr>
      <w:tr w:rsidR="008C1CA0" w:rsidRPr="00BB1E47" w14:paraId="548CB24F" w14:textId="77777777" w:rsidTr="00B108AF">
        <w:tc>
          <w:tcPr>
            <w:tcW w:w="2268" w:type="dxa"/>
          </w:tcPr>
          <w:p w14:paraId="235EBC17" w14:textId="77777777" w:rsidR="008C1CA0" w:rsidRPr="00BB1E47" w:rsidRDefault="008C1CA0" w:rsidP="00B108AF">
            <w:pPr>
              <w:pStyle w:val="Body"/>
            </w:pPr>
            <w:r w:rsidRPr="00BB1E47">
              <w:t>NEPT</w:t>
            </w:r>
          </w:p>
        </w:tc>
        <w:tc>
          <w:tcPr>
            <w:tcW w:w="7926" w:type="dxa"/>
            <w:gridSpan w:val="2"/>
          </w:tcPr>
          <w:p w14:paraId="04629221" w14:textId="77777777" w:rsidR="008C1CA0" w:rsidRPr="00BB1E47" w:rsidRDefault="008C1CA0" w:rsidP="00B108AF">
            <w:pPr>
              <w:pStyle w:val="Body"/>
            </w:pPr>
            <w:r w:rsidRPr="00BB1E47">
              <w:t>Non-Emergency Patient Transport</w:t>
            </w:r>
          </w:p>
        </w:tc>
      </w:tr>
      <w:tr w:rsidR="008C1CA0" w:rsidRPr="00BB1E47" w14:paraId="166A88A2" w14:textId="77777777" w:rsidTr="00B108AF">
        <w:tc>
          <w:tcPr>
            <w:tcW w:w="2268" w:type="dxa"/>
          </w:tcPr>
          <w:p w14:paraId="34A174FD" w14:textId="77777777" w:rsidR="008C1CA0" w:rsidRPr="00BB1E47" w:rsidRDefault="008C1CA0" w:rsidP="00B108AF">
            <w:pPr>
              <w:pStyle w:val="Body"/>
            </w:pPr>
            <w:r w:rsidRPr="00BB1E47">
              <w:t>PACH</w:t>
            </w:r>
          </w:p>
        </w:tc>
        <w:tc>
          <w:tcPr>
            <w:tcW w:w="7926" w:type="dxa"/>
            <w:gridSpan w:val="2"/>
          </w:tcPr>
          <w:p w14:paraId="3111E427" w14:textId="77777777" w:rsidR="008C1CA0" w:rsidRPr="00BB1E47" w:rsidRDefault="008C1CA0" w:rsidP="00B108AF">
            <w:pPr>
              <w:pStyle w:val="Body"/>
            </w:pPr>
            <w:r w:rsidRPr="00BB1E47">
              <w:t>Patient Access Coordination Hub (Queensland)</w:t>
            </w:r>
          </w:p>
        </w:tc>
      </w:tr>
      <w:tr w:rsidR="0027748E" w:rsidRPr="00BB1E47" w14:paraId="039312AD" w14:textId="77777777" w:rsidTr="00185E4C">
        <w:trPr>
          <w:gridAfter w:val="1"/>
          <w:wAfter w:w="1178" w:type="dxa"/>
        </w:trPr>
        <w:tc>
          <w:tcPr>
            <w:tcW w:w="2268" w:type="dxa"/>
          </w:tcPr>
          <w:p w14:paraId="131F54C4" w14:textId="6A177FA7" w:rsidR="0025761B" w:rsidRPr="00BB1E47" w:rsidRDefault="0025761B" w:rsidP="00185E4C">
            <w:pPr>
              <w:pStyle w:val="Body"/>
            </w:pPr>
            <w:r w:rsidRPr="00BB1E47">
              <w:t>PIPER</w:t>
            </w:r>
          </w:p>
        </w:tc>
        <w:tc>
          <w:tcPr>
            <w:tcW w:w="7926" w:type="dxa"/>
          </w:tcPr>
          <w:p w14:paraId="3403AFB5" w14:textId="130F669A" w:rsidR="0025761B" w:rsidRPr="00BB1E47" w:rsidRDefault="0025761B" w:rsidP="00185E4C">
            <w:pPr>
              <w:pStyle w:val="Body"/>
            </w:pPr>
            <w:r w:rsidRPr="00BB1E47">
              <w:t>Paed</w:t>
            </w:r>
            <w:r w:rsidR="006E2F15" w:rsidRPr="00BB1E47">
              <w:t xml:space="preserve">iatric Infant Perinatal Emergency Retrieval </w:t>
            </w:r>
          </w:p>
        </w:tc>
      </w:tr>
      <w:tr w:rsidR="0027748E" w:rsidRPr="00BB1E47" w14:paraId="3BD88105" w14:textId="77777777" w:rsidTr="00185E4C">
        <w:trPr>
          <w:gridAfter w:val="1"/>
          <w:wAfter w:w="1178" w:type="dxa"/>
        </w:trPr>
        <w:tc>
          <w:tcPr>
            <w:tcW w:w="2268" w:type="dxa"/>
          </w:tcPr>
          <w:p w14:paraId="25132126" w14:textId="39B56CA1" w:rsidR="000C6F39" w:rsidRPr="00BB1E47" w:rsidRDefault="000C6F39" w:rsidP="00185E4C">
            <w:pPr>
              <w:pStyle w:val="Body"/>
            </w:pPr>
            <w:r w:rsidRPr="00BB1E47">
              <w:t>PTO</w:t>
            </w:r>
          </w:p>
        </w:tc>
        <w:tc>
          <w:tcPr>
            <w:tcW w:w="7926" w:type="dxa"/>
          </w:tcPr>
          <w:p w14:paraId="69EB7CCE" w14:textId="6691B8D2" w:rsidR="000C6F39" w:rsidRPr="00BB1E47" w:rsidRDefault="000C6F39" w:rsidP="00185E4C">
            <w:pPr>
              <w:pStyle w:val="Body"/>
            </w:pPr>
            <w:r w:rsidRPr="00BB1E47">
              <w:t>Patient Transport Officer</w:t>
            </w:r>
          </w:p>
        </w:tc>
      </w:tr>
      <w:tr w:rsidR="008C1CA0" w:rsidRPr="00BB1E47" w14:paraId="7E0860BC" w14:textId="77777777" w:rsidTr="00B108AF">
        <w:tc>
          <w:tcPr>
            <w:tcW w:w="2268" w:type="dxa"/>
          </w:tcPr>
          <w:p w14:paraId="100867E0" w14:textId="77777777" w:rsidR="008C1CA0" w:rsidRPr="00BB1E47" w:rsidRDefault="008C1CA0" w:rsidP="00B108AF">
            <w:pPr>
              <w:pStyle w:val="Body"/>
            </w:pPr>
            <w:r w:rsidRPr="00BB1E47">
              <w:t>PTS</w:t>
            </w:r>
          </w:p>
        </w:tc>
        <w:tc>
          <w:tcPr>
            <w:tcW w:w="7926" w:type="dxa"/>
            <w:gridSpan w:val="2"/>
          </w:tcPr>
          <w:p w14:paraId="2D85B89E" w14:textId="77777777" w:rsidR="008C1CA0" w:rsidRPr="00BB1E47" w:rsidRDefault="008C1CA0" w:rsidP="00B108AF">
            <w:pPr>
              <w:pStyle w:val="Body"/>
            </w:pPr>
            <w:r w:rsidRPr="00BB1E47">
              <w:t>Patient Transport Service (New South Wales)</w:t>
            </w:r>
          </w:p>
        </w:tc>
      </w:tr>
      <w:tr w:rsidR="0027748E" w:rsidRPr="00BB1E47" w14:paraId="50D1554D" w14:textId="77777777" w:rsidTr="00185E4C">
        <w:trPr>
          <w:gridAfter w:val="1"/>
          <w:wAfter w:w="1178" w:type="dxa"/>
        </w:trPr>
        <w:tc>
          <w:tcPr>
            <w:tcW w:w="2268" w:type="dxa"/>
          </w:tcPr>
          <w:p w14:paraId="1628A6B3" w14:textId="6FFCB489" w:rsidR="00660B0E" w:rsidRPr="00BB1E47" w:rsidRDefault="00660B0E" w:rsidP="00185E4C">
            <w:pPr>
              <w:pStyle w:val="Body"/>
            </w:pPr>
            <w:r w:rsidRPr="00BB1E47">
              <w:t>RN1</w:t>
            </w:r>
          </w:p>
        </w:tc>
        <w:tc>
          <w:tcPr>
            <w:tcW w:w="7926" w:type="dxa"/>
          </w:tcPr>
          <w:p w14:paraId="308FD135" w14:textId="62500AAD" w:rsidR="00660B0E" w:rsidRPr="00BB1E47" w:rsidRDefault="00B80B65" w:rsidP="00185E4C">
            <w:pPr>
              <w:pStyle w:val="Body"/>
            </w:pPr>
            <w:r w:rsidRPr="00BB1E47">
              <w:t>Registered Nurse Division 1</w:t>
            </w:r>
          </w:p>
        </w:tc>
      </w:tr>
      <w:tr w:rsidR="008C1CA0" w:rsidRPr="00BB1E47" w14:paraId="7401C396" w14:textId="77777777" w:rsidTr="00B108AF">
        <w:tc>
          <w:tcPr>
            <w:tcW w:w="2268" w:type="dxa"/>
          </w:tcPr>
          <w:p w14:paraId="2273F63F" w14:textId="77777777" w:rsidR="008C1CA0" w:rsidRPr="00BB1E47" w:rsidRDefault="008C1CA0" w:rsidP="00B108AF">
            <w:pPr>
              <w:pStyle w:val="Body"/>
            </w:pPr>
            <w:r w:rsidRPr="00BB1E47">
              <w:t>TAC</w:t>
            </w:r>
          </w:p>
        </w:tc>
        <w:tc>
          <w:tcPr>
            <w:tcW w:w="7926" w:type="dxa"/>
            <w:gridSpan w:val="2"/>
          </w:tcPr>
          <w:p w14:paraId="55BAA2BB" w14:textId="77777777" w:rsidR="008C1CA0" w:rsidRPr="00BB1E47" w:rsidRDefault="008C1CA0" w:rsidP="00B108AF">
            <w:pPr>
              <w:pStyle w:val="Body"/>
            </w:pPr>
            <w:r w:rsidRPr="00BB1E47">
              <w:t>Transport Accident Commission</w:t>
            </w:r>
          </w:p>
        </w:tc>
      </w:tr>
      <w:tr w:rsidR="008C1CA0" w:rsidRPr="00BB1E47" w14:paraId="099A76E8" w14:textId="77777777" w:rsidTr="00B108AF">
        <w:tc>
          <w:tcPr>
            <w:tcW w:w="2268" w:type="dxa"/>
          </w:tcPr>
          <w:p w14:paraId="02B941AA" w14:textId="77777777" w:rsidR="008C1CA0" w:rsidRPr="00BB1E47" w:rsidRDefault="008C1CA0" w:rsidP="00B108AF">
            <w:pPr>
              <w:pStyle w:val="Body"/>
            </w:pPr>
            <w:r w:rsidRPr="00BB1E47">
              <w:t>VAU</w:t>
            </w:r>
          </w:p>
        </w:tc>
        <w:tc>
          <w:tcPr>
            <w:tcW w:w="7926" w:type="dxa"/>
            <w:gridSpan w:val="2"/>
          </w:tcPr>
          <w:p w14:paraId="1818C717" w14:textId="77777777" w:rsidR="008C1CA0" w:rsidRPr="00BB1E47" w:rsidRDefault="008C1CA0" w:rsidP="00B108AF">
            <w:pPr>
              <w:pStyle w:val="Body"/>
            </w:pPr>
            <w:r w:rsidRPr="00BB1E47">
              <w:t>Victorian Ambulance Union</w:t>
            </w:r>
          </w:p>
        </w:tc>
      </w:tr>
      <w:tr w:rsidR="008C1CA0" w:rsidRPr="00BB1E47" w14:paraId="737D349D" w14:textId="77777777" w:rsidTr="00B108AF">
        <w:tc>
          <w:tcPr>
            <w:tcW w:w="2268" w:type="dxa"/>
          </w:tcPr>
          <w:p w14:paraId="05D05995" w14:textId="77777777" w:rsidR="008C1CA0" w:rsidRPr="00BB1E47" w:rsidRDefault="008C1CA0" w:rsidP="00B108AF">
            <w:pPr>
              <w:pStyle w:val="Body"/>
            </w:pPr>
            <w:r w:rsidRPr="00BB1E47">
              <w:t>VWA</w:t>
            </w:r>
          </w:p>
        </w:tc>
        <w:tc>
          <w:tcPr>
            <w:tcW w:w="7926" w:type="dxa"/>
            <w:gridSpan w:val="2"/>
          </w:tcPr>
          <w:p w14:paraId="25095E8E" w14:textId="77777777" w:rsidR="008C1CA0" w:rsidRPr="00BB1E47" w:rsidRDefault="008C1CA0" w:rsidP="00B108AF">
            <w:pPr>
              <w:pStyle w:val="Body"/>
            </w:pPr>
            <w:r w:rsidRPr="00BB1E47">
              <w:t xml:space="preserve">Victorian </w:t>
            </w:r>
            <w:proofErr w:type="spellStart"/>
            <w:r w:rsidRPr="00BB1E47">
              <w:t>WorkCover</w:t>
            </w:r>
            <w:proofErr w:type="spellEnd"/>
            <w:r w:rsidRPr="00BB1E47">
              <w:t xml:space="preserve"> Authority</w:t>
            </w:r>
          </w:p>
        </w:tc>
      </w:tr>
      <w:tr w:rsidR="008C1CA0" w:rsidRPr="00BB1E47" w14:paraId="367405B5" w14:textId="77777777" w:rsidTr="00B108AF">
        <w:tc>
          <w:tcPr>
            <w:tcW w:w="2268" w:type="dxa"/>
          </w:tcPr>
          <w:p w14:paraId="255872BB" w14:textId="77777777" w:rsidR="008C1CA0" w:rsidRPr="00BB1E47" w:rsidRDefault="008C1CA0" w:rsidP="00B108AF">
            <w:pPr>
              <w:pStyle w:val="Body"/>
            </w:pPr>
          </w:p>
        </w:tc>
        <w:tc>
          <w:tcPr>
            <w:tcW w:w="7926" w:type="dxa"/>
            <w:gridSpan w:val="2"/>
          </w:tcPr>
          <w:p w14:paraId="4D3647F9" w14:textId="77777777" w:rsidR="008C1CA0" w:rsidRPr="00BB1E47" w:rsidRDefault="008C1CA0" w:rsidP="00B108AF">
            <w:pPr>
              <w:pStyle w:val="Body"/>
            </w:pPr>
          </w:p>
        </w:tc>
      </w:tr>
      <w:tr w:rsidR="008C1CA0" w:rsidRPr="00BB1E47" w14:paraId="0E01027E" w14:textId="77777777" w:rsidTr="00B108AF">
        <w:tc>
          <w:tcPr>
            <w:tcW w:w="2268" w:type="dxa"/>
          </w:tcPr>
          <w:p w14:paraId="1C0BB9F6" w14:textId="77777777" w:rsidR="008C1CA0" w:rsidRPr="00BB1E47" w:rsidRDefault="008C1CA0" w:rsidP="00B108AF">
            <w:pPr>
              <w:pStyle w:val="Body"/>
            </w:pPr>
            <w:r w:rsidRPr="00BB1E47">
              <w:t>the Act</w:t>
            </w:r>
          </w:p>
        </w:tc>
        <w:tc>
          <w:tcPr>
            <w:tcW w:w="7926" w:type="dxa"/>
            <w:gridSpan w:val="2"/>
          </w:tcPr>
          <w:p w14:paraId="08E9D79B" w14:textId="77777777" w:rsidR="008C1CA0" w:rsidRPr="00BB1E47" w:rsidRDefault="008C1CA0" w:rsidP="00B108AF">
            <w:pPr>
              <w:pStyle w:val="Body"/>
            </w:pPr>
            <w:r w:rsidRPr="00BB1E47">
              <w:rPr>
                <w:i/>
                <w:iCs/>
              </w:rPr>
              <w:t>Non-Emergency Patient Transport and First Aid Services Act 2003</w:t>
            </w:r>
          </w:p>
        </w:tc>
      </w:tr>
      <w:tr w:rsidR="008C1CA0" w:rsidRPr="00BB1E47" w14:paraId="7FB01E7D" w14:textId="77777777" w:rsidTr="00B108AF">
        <w:tc>
          <w:tcPr>
            <w:tcW w:w="2268" w:type="dxa"/>
          </w:tcPr>
          <w:p w14:paraId="57C9638E" w14:textId="77777777" w:rsidR="008C1CA0" w:rsidRPr="00BB1E47" w:rsidRDefault="008C1CA0" w:rsidP="00B108AF">
            <w:pPr>
              <w:pStyle w:val="Body"/>
            </w:pPr>
            <w:r w:rsidRPr="00BB1E47">
              <w:t>the Regulations</w:t>
            </w:r>
          </w:p>
        </w:tc>
        <w:tc>
          <w:tcPr>
            <w:tcW w:w="7926" w:type="dxa"/>
            <w:gridSpan w:val="2"/>
          </w:tcPr>
          <w:p w14:paraId="63FD18DF" w14:textId="6251383C" w:rsidR="008C1CA0" w:rsidRPr="00BB1E47" w:rsidRDefault="008C1CA0" w:rsidP="00B108AF">
            <w:pPr>
              <w:pStyle w:val="Body"/>
            </w:pPr>
            <w:r w:rsidRPr="00BB1E47">
              <w:t>Non-Emergency Patient Transport Regulations 2016 (incorporating 2021 amendments)</w:t>
            </w:r>
          </w:p>
        </w:tc>
      </w:tr>
    </w:tbl>
    <w:p w14:paraId="2FBE8B37" w14:textId="60FC7D63" w:rsidR="0015343F" w:rsidRPr="00BB1E47" w:rsidRDefault="0015343F" w:rsidP="00E9640E">
      <w:pPr>
        <w:pStyle w:val="Heading2"/>
        <w:sectPr w:rsidR="0015343F" w:rsidRPr="00BB1E47" w:rsidSect="0015343F">
          <w:footerReference w:type="default" r:id="rId30"/>
          <w:headerReference w:type="first" r:id="rId31"/>
          <w:pgSz w:w="11906" w:h="16838" w:code="9"/>
          <w:pgMar w:top="1418" w:right="851" w:bottom="1418" w:left="851" w:header="680" w:footer="851" w:gutter="0"/>
          <w:cols w:space="340"/>
          <w:docGrid w:linePitch="360"/>
        </w:sectPr>
      </w:pPr>
      <w:bookmarkStart w:id="155" w:name="_Toc134633567"/>
    </w:p>
    <w:p w14:paraId="05CCCC06" w14:textId="0AA3BB6E" w:rsidR="008C1CA0" w:rsidRPr="00BB1E47" w:rsidRDefault="008C1CA0" w:rsidP="00E9640E">
      <w:pPr>
        <w:pStyle w:val="Heading2"/>
      </w:pPr>
      <w:bookmarkStart w:id="156" w:name="_Ref134687525"/>
      <w:bookmarkStart w:id="157" w:name="_Ref134687579"/>
      <w:bookmarkStart w:id="158" w:name="_Ref134687717"/>
      <w:bookmarkStart w:id="159" w:name="_Ref134690157"/>
      <w:bookmarkStart w:id="160" w:name="_Toc136433514"/>
      <w:r w:rsidRPr="00BB1E47">
        <w:lastRenderedPageBreak/>
        <w:t>Appendix 2: Jurisdictional comparison of procurement arrangements</w:t>
      </w:r>
      <w:bookmarkEnd w:id="155"/>
      <w:bookmarkEnd w:id="156"/>
      <w:bookmarkEnd w:id="157"/>
      <w:bookmarkEnd w:id="158"/>
      <w:bookmarkEnd w:id="159"/>
      <w:bookmarkEnd w:id="160"/>
      <w:r w:rsidRPr="00BB1E47">
        <w:t xml:space="preserve"> </w:t>
      </w:r>
    </w:p>
    <w:tbl>
      <w:tblPr>
        <w:tblStyle w:val="TableGrid"/>
        <w:tblW w:w="13887" w:type="dxa"/>
        <w:tblInd w:w="142" w:type="dxa"/>
        <w:tblLook w:val="04A0" w:firstRow="1" w:lastRow="0" w:firstColumn="1" w:lastColumn="0" w:noHBand="0" w:noVBand="1"/>
      </w:tblPr>
      <w:tblGrid>
        <w:gridCol w:w="1419"/>
        <w:gridCol w:w="1558"/>
        <w:gridCol w:w="2099"/>
        <w:gridCol w:w="1723"/>
        <w:gridCol w:w="1701"/>
        <w:gridCol w:w="1843"/>
        <w:gridCol w:w="3544"/>
      </w:tblGrid>
      <w:tr w:rsidR="008C1CA0" w:rsidRPr="00BB1E47" w14:paraId="36E25393" w14:textId="77777777" w:rsidTr="005E7C0E">
        <w:trPr>
          <w:trHeight w:val="739"/>
          <w:tblHeader/>
        </w:trPr>
        <w:tc>
          <w:tcPr>
            <w:tcW w:w="1419" w:type="dxa"/>
            <w:shd w:val="clear" w:color="auto" w:fill="F2F2F2" w:themeFill="background1" w:themeFillShade="F2"/>
          </w:tcPr>
          <w:p w14:paraId="1CBBB642" w14:textId="77777777" w:rsidR="008C1CA0" w:rsidRPr="00BB1E47" w:rsidRDefault="008C1CA0" w:rsidP="00B108AF">
            <w:pPr>
              <w:pStyle w:val="Body"/>
              <w:rPr>
                <w:b/>
                <w:bCs/>
                <w:szCs w:val="21"/>
              </w:rPr>
            </w:pPr>
            <w:r w:rsidRPr="00BB1E47">
              <w:rPr>
                <w:b/>
                <w:bCs/>
                <w:szCs w:val="21"/>
              </w:rPr>
              <w:t>Jurisdiction &amp; service name</w:t>
            </w:r>
          </w:p>
        </w:tc>
        <w:tc>
          <w:tcPr>
            <w:tcW w:w="1558" w:type="dxa"/>
            <w:shd w:val="clear" w:color="auto" w:fill="F2F2F2" w:themeFill="background1" w:themeFillShade="F2"/>
          </w:tcPr>
          <w:p w14:paraId="684BBEAB" w14:textId="77777777" w:rsidR="008C1CA0" w:rsidRPr="00BB1E47" w:rsidRDefault="008C1CA0" w:rsidP="00B108AF">
            <w:pPr>
              <w:pStyle w:val="Body"/>
              <w:rPr>
                <w:b/>
                <w:bCs/>
                <w:szCs w:val="21"/>
              </w:rPr>
            </w:pPr>
            <w:r w:rsidRPr="00BB1E47">
              <w:rPr>
                <w:b/>
                <w:bCs/>
                <w:szCs w:val="21"/>
              </w:rPr>
              <w:t>Contract administrator</w:t>
            </w:r>
          </w:p>
        </w:tc>
        <w:tc>
          <w:tcPr>
            <w:tcW w:w="2099" w:type="dxa"/>
            <w:shd w:val="clear" w:color="auto" w:fill="F2F2F2" w:themeFill="background1" w:themeFillShade="F2"/>
          </w:tcPr>
          <w:p w14:paraId="3CDE84E8" w14:textId="77777777" w:rsidR="008C1CA0" w:rsidRPr="00BB1E47" w:rsidRDefault="008C1CA0" w:rsidP="00B108AF">
            <w:pPr>
              <w:pStyle w:val="Body"/>
              <w:rPr>
                <w:b/>
                <w:bCs/>
                <w:szCs w:val="21"/>
              </w:rPr>
            </w:pPr>
            <w:r w:rsidRPr="00BB1E47">
              <w:rPr>
                <w:b/>
                <w:bCs/>
                <w:szCs w:val="21"/>
              </w:rPr>
              <w:t>Type of contract</w:t>
            </w:r>
          </w:p>
        </w:tc>
        <w:tc>
          <w:tcPr>
            <w:tcW w:w="1723" w:type="dxa"/>
            <w:shd w:val="clear" w:color="auto" w:fill="F2F2F2" w:themeFill="background1" w:themeFillShade="F2"/>
          </w:tcPr>
          <w:p w14:paraId="3F9D8981" w14:textId="77777777" w:rsidR="008C1CA0" w:rsidRPr="00BB1E47" w:rsidRDefault="008C1CA0" w:rsidP="00B108AF">
            <w:pPr>
              <w:pStyle w:val="Body"/>
              <w:rPr>
                <w:b/>
                <w:bCs/>
                <w:szCs w:val="21"/>
              </w:rPr>
            </w:pPr>
            <w:r w:rsidRPr="00BB1E47">
              <w:rPr>
                <w:b/>
                <w:bCs/>
                <w:szCs w:val="21"/>
              </w:rPr>
              <w:t>Provider/s</w:t>
            </w:r>
          </w:p>
        </w:tc>
        <w:tc>
          <w:tcPr>
            <w:tcW w:w="1701" w:type="dxa"/>
            <w:shd w:val="clear" w:color="auto" w:fill="F2F2F2" w:themeFill="background1" w:themeFillShade="F2"/>
          </w:tcPr>
          <w:p w14:paraId="19B0EFCF" w14:textId="77777777" w:rsidR="008C1CA0" w:rsidRPr="00BB1E47" w:rsidRDefault="008C1CA0" w:rsidP="00B108AF">
            <w:pPr>
              <w:pStyle w:val="Body"/>
              <w:rPr>
                <w:b/>
                <w:bCs/>
                <w:szCs w:val="21"/>
              </w:rPr>
            </w:pPr>
            <w:r w:rsidRPr="00BB1E47">
              <w:rPr>
                <w:b/>
                <w:bCs/>
                <w:szCs w:val="21"/>
              </w:rPr>
              <w:t>Key legislative instruments and/or policies</w:t>
            </w:r>
          </w:p>
        </w:tc>
        <w:tc>
          <w:tcPr>
            <w:tcW w:w="1843" w:type="dxa"/>
            <w:shd w:val="clear" w:color="auto" w:fill="F2F2F2" w:themeFill="background1" w:themeFillShade="F2"/>
          </w:tcPr>
          <w:p w14:paraId="33EC98CA" w14:textId="52F79F64" w:rsidR="008C1CA0" w:rsidRPr="00BB1E47" w:rsidRDefault="0015343F" w:rsidP="00B108AF">
            <w:pPr>
              <w:pStyle w:val="Body"/>
              <w:rPr>
                <w:b/>
                <w:bCs/>
                <w:szCs w:val="21"/>
              </w:rPr>
            </w:pPr>
            <w:r w:rsidRPr="00BB1E47">
              <w:rPr>
                <w:b/>
                <w:bCs/>
                <w:szCs w:val="21"/>
              </w:rPr>
              <w:t>Funding approach</w:t>
            </w:r>
          </w:p>
        </w:tc>
        <w:tc>
          <w:tcPr>
            <w:tcW w:w="3544" w:type="dxa"/>
            <w:shd w:val="clear" w:color="auto" w:fill="F2F2F2" w:themeFill="background1" w:themeFillShade="F2"/>
          </w:tcPr>
          <w:p w14:paraId="16AE46E4" w14:textId="77777777" w:rsidR="008C1CA0" w:rsidRPr="00BB1E47" w:rsidRDefault="008C1CA0" w:rsidP="00B108AF">
            <w:pPr>
              <w:pStyle w:val="Body"/>
              <w:rPr>
                <w:b/>
                <w:bCs/>
                <w:szCs w:val="21"/>
              </w:rPr>
            </w:pPr>
            <w:r w:rsidRPr="00BB1E47">
              <w:rPr>
                <w:b/>
                <w:bCs/>
                <w:szCs w:val="21"/>
              </w:rPr>
              <w:t>Summary of patient transport servicing across regions</w:t>
            </w:r>
          </w:p>
        </w:tc>
      </w:tr>
      <w:tr w:rsidR="008C1CA0" w:rsidRPr="00BB1E47" w14:paraId="2F768EC8" w14:textId="77777777" w:rsidTr="005E7C0E">
        <w:trPr>
          <w:trHeight w:val="1495"/>
        </w:trPr>
        <w:tc>
          <w:tcPr>
            <w:tcW w:w="1419" w:type="dxa"/>
          </w:tcPr>
          <w:p w14:paraId="23ACF177" w14:textId="77777777" w:rsidR="008C1CA0" w:rsidRPr="00BB1E47" w:rsidRDefault="008C1CA0" w:rsidP="00B108AF">
            <w:pPr>
              <w:pStyle w:val="Body"/>
              <w:rPr>
                <w:b/>
                <w:bCs/>
                <w:szCs w:val="21"/>
              </w:rPr>
            </w:pPr>
            <w:r w:rsidRPr="00BB1E47">
              <w:rPr>
                <w:b/>
                <w:bCs/>
                <w:szCs w:val="21"/>
              </w:rPr>
              <w:t>Victoria</w:t>
            </w:r>
          </w:p>
          <w:p w14:paraId="3CB82B83" w14:textId="77777777" w:rsidR="008C1CA0" w:rsidRPr="00BB1E47" w:rsidRDefault="008C1CA0" w:rsidP="00B108AF">
            <w:pPr>
              <w:pStyle w:val="Body"/>
              <w:rPr>
                <w:szCs w:val="21"/>
              </w:rPr>
            </w:pPr>
            <w:r w:rsidRPr="00BB1E47">
              <w:rPr>
                <w:szCs w:val="21"/>
              </w:rPr>
              <w:t>NEPT</w:t>
            </w:r>
          </w:p>
        </w:tc>
        <w:tc>
          <w:tcPr>
            <w:tcW w:w="1558" w:type="dxa"/>
          </w:tcPr>
          <w:p w14:paraId="006A0CCC" w14:textId="77777777" w:rsidR="008C1CA0" w:rsidRPr="00BB1E47" w:rsidRDefault="008C1CA0" w:rsidP="00B108AF">
            <w:pPr>
              <w:pStyle w:val="Body"/>
              <w:rPr>
                <w:szCs w:val="21"/>
              </w:rPr>
            </w:pPr>
            <w:r w:rsidRPr="00BB1E47">
              <w:rPr>
                <w:szCs w:val="21"/>
              </w:rPr>
              <w:t xml:space="preserve">Victorian Department of Health </w:t>
            </w:r>
          </w:p>
        </w:tc>
        <w:tc>
          <w:tcPr>
            <w:tcW w:w="2099" w:type="dxa"/>
          </w:tcPr>
          <w:p w14:paraId="7F79972B" w14:textId="77777777" w:rsidR="008C1CA0" w:rsidRPr="00BB1E47" w:rsidRDefault="008C1CA0" w:rsidP="00B108AF">
            <w:pPr>
              <w:pStyle w:val="Body"/>
              <w:rPr>
                <w:szCs w:val="21"/>
              </w:rPr>
            </w:pPr>
            <w:r w:rsidRPr="00BB1E47">
              <w:t>Service agreement with statutory body, who then administer private provider contracts</w:t>
            </w:r>
          </w:p>
          <w:p w14:paraId="76A93B24" w14:textId="77777777" w:rsidR="008C1CA0" w:rsidRPr="00BB1E47" w:rsidRDefault="008C1CA0" w:rsidP="00B108AF">
            <w:pPr>
              <w:pStyle w:val="Body"/>
            </w:pPr>
          </w:p>
          <w:p w14:paraId="554EB94E" w14:textId="77777777" w:rsidR="008C1CA0" w:rsidRPr="00BB1E47" w:rsidRDefault="008C1CA0" w:rsidP="00B108AF">
            <w:pPr>
              <w:pStyle w:val="Body"/>
              <w:rPr>
                <w:szCs w:val="21"/>
              </w:rPr>
            </w:pPr>
            <w:r w:rsidRPr="00BB1E47">
              <w:t xml:space="preserve">Other contracts </w:t>
            </w:r>
          </w:p>
        </w:tc>
        <w:tc>
          <w:tcPr>
            <w:tcW w:w="1723" w:type="dxa"/>
          </w:tcPr>
          <w:p w14:paraId="4827CE76" w14:textId="77777777" w:rsidR="008C1CA0" w:rsidRPr="00BB1E47" w:rsidRDefault="008C1CA0" w:rsidP="00B108AF">
            <w:pPr>
              <w:pStyle w:val="Body"/>
            </w:pPr>
            <w:r w:rsidRPr="00BB1E47">
              <w:t>AV via 6 private providers</w:t>
            </w:r>
          </w:p>
          <w:p w14:paraId="3A2858A3" w14:textId="77777777" w:rsidR="008C1CA0" w:rsidRPr="00BB1E47" w:rsidRDefault="008C1CA0" w:rsidP="00B108AF">
            <w:pPr>
              <w:pStyle w:val="Body"/>
            </w:pPr>
            <w:r w:rsidRPr="00BB1E47">
              <w:t>HSV via 4 private providers</w:t>
            </w:r>
          </w:p>
          <w:p w14:paraId="38DD41E7" w14:textId="77777777" w:rsidR="008C1CA0" w:rsidRPr="00BB1E47" w:rsidRDefault="008C1CA0" w:rsidP="00B108AF">
            <w:pPr>
              <w:pStyle w:val="Body"/>
              <w:rPr>
                <w:szCs w:val="21"/>
              </w:rPr>
            </w:pPr>
            <w:r w:rsidRPr="00BB1E47">
              <w:t>Individual health services</w:t>
            </w:r>
          </w:p>
        </w:tc>
        <w:tc>
          <w:tcPr>
            <w:tcW w:w="1701" w:type="dxa"/>
          </w:tcPr>
          <w:p w14:paraId="1B3608D9" w14:textId="77777777" w:rsidR="008C1CA0" w:rsidRPr="00BB1E47" w:rsidRDefault="008C1CA0" w:rsidP="00B108AF">
            <w:pPr>
              <w:pStyle w:val="Body"/>
              <w:rPr>
                <w:i/>
                <w:iCs/>
                <w:szCs w:val="21"/>
              </w:rPr>
            </w:pPr>
            <w:r w:rsidRPr="00BB1E47">
              <w:rPr>
                <w:i/>
                <w:iCs/>
                <w:szCs w:val="21"/>
              </w:rPr>
              <w:t>Non-Emergency Patient Transport Act 2003</w:t>
            </w:r>
          </w:p>
        </w:tc>
        <w:tc>
          <w:tcPr>
            <w:tcW w:w="1843" w:type="dxa"/>
          </w:tcPr>
          <w:p w14:paraId="69A04E94" w14:textId="14A92AC5" w:rsidR="008C1CA0" w:rsidRPr="00BB1E47" w:rsidRDefault="0015343F" w:rsidP="00B108AF">
            <w:pPr>
              <w:pStyle w:val="Body"/>
              <w:rPr>
                <w:szCs w:val="21"/>
              </w:rPr>
            </w:pPr>
            <w:r w:rsidRPr="00BB1E47">
              <w:rPr>
                <w:szCs w:val="21"/>
              </w:rPr>
              <w:t>Block grant (AV)</w:t>
            </w:r>
          </w:p>
          <w:p w14:paraId="45F36327" w14:textId="04DEC606" w:rsidR="008C1CA0" w:rsidRPr="00BB1E47" w:rsidRDefault="0015343F" w:rsidP="00B108AF">
            <w:pPr>
              <w:pStyle w:val="Body"/>
            </w:pPr>
            <w:r w:rsidRPr="00BB1E47">
              <w:t>NWAU (h</w:t>
            </w:r>
            <w:r w:rsidR="008C1CA0" w:rsidRPr="00BB1E47">
              <w:t>ealth services</w:t>
            </w:r>
            <w:r w:rsidRPr="00BB1E47">
              <w:t xml:space="preserve">) </w:t>
            </w:r>
          </w:p>
        </w:tc>
        <w:tc>
          <w:tcPr>
            <w:tcW w:w="3544" w:type="dxa"/>
          </w:tcPr>
          <w:p w14:paraId="252FA26A" w14:textId="77777777" w:rsidR="008C1CA0" w:rsidRPr="00BB1E47" w:rsidRDefault="008C1CA0" w:rsidP="00B108AF">
            <w:pPr>
              <w:pStyle w:val="Body"/>
              <w:rPr>
                <w:szCs w:val="21"/>
              </w:rPr>
            </w:pPr>
            <w:r w:rsidRPr="00BB1E47">
              <w:rPr>
                <w:szCs w:val="21"/>
              </w:rPr>
              <w:t xml:space="preserve">Multiple providers in almost every region of Victoria </w:t>
            </w:r>
          </w:p>
        </w:tc>
      </w:tr>
      <w:tr w:rsidR="008C1CA0" w:rsidRPr="00BB1E47" w14:paraId="1BD9442C" w14:textId="77777777" w:rsidTr="005E7C0E">
        <w:trPr>
          <w:trHeight w:val="2"/>
        </w:trPr>
        <w:tc>
          <w:tcPr>
            <w:tcW w:w="1419" w:type="dxa"/>
          </w:tcPr>
          <w:p w14:paraId="72505310" w14:textId="77777777" w:rsidR="008C1CA0" w:rsidRPr="00BB1E47" w:rsidRDefault="008C1CA0" w:rsidP="00B108AF">
            <w:pPr>
              <w:pStyle w:val="Body"/>
              <w:rPr>
                <w:b/>
                <w:bCs/>
                <w:szCs w:val="21"/>
              </w:rPr>
            </w:pPr>
            <w:r w:rsidRPr="00BB1E47">
              <w:rPr>
                <w:b/>
                <w:bCs/>
                <w:szCs w:val="21"/>
              </w:rPr>
              <w:t>Tasmania</w:t>
            </w:r>
          </w:p>
          <w:p w14:paraId="0E8F86CD" w14:textId="77777777" w:rsidR="008C1CA0" w:rsidRPr="00BB1E47" w:rsidRDefault="008C1CA0" w:rsidP="00B108AF">
            <w:pPr>
              <w:pStyle w:val="Body"/>
              <w:rPr>
                <w:b/>
                <w:bCs/>
                <w:szCs w:val="21"/>
              </w:rPr>
            </w:pPr>
            <w:r w:rsidRPr="00BB1E47">
              <w:rPr>
                <w:szCs w:val="21"/>
              </w:rPr>
              <w:t>Health Transport Services (HTS)</w:t>
            </w:r>
          </w:p>
        </w:tc>
        <w:tc>
          <w:tcPr>
            <w:tcW w:w="1558" w:type="dxa"/>
          </w:tcPr>
          <w:p w14:paraId="33330EDC" w14:textId="77777777" w:rsidR="008C1CA0" w:rsidRPr="00BB1E47" w:rsidRDefault="008C1CA0" w:rsidP="00B108AF">
            <w:pPr>
              <w:pStyle w:val="Body"/>
              <w:rPr>
                <w:szCs w:val="21"/>
              </w:rPr>
            </w:pPr>
            <w:r w:rsidRPr="00BB1E47">
              <w:rPr>
                <w:szCs w:val="21"/>
              </w:rPr>
              <w:t>Ambulance Tasmania (Department of Health Tas)</w:t>
            </w:r>
          </w:p>
        </w:tc>
        <w:tc>
          <w:tcPr>
            <w:tcW w:w="2099" w:type="dxa"/>
          </w:tcPr>
          <w:p w14:paraId="48CDE417" w14:textId="77777777" w:rsidR="008C1CA0" w:rsidRPr="00BB1E47" w:rsidRDefault="008C1CA0" w:rsidP="00B108AF">
            <w:pPr>
              <w:pStyle w:val="Body"/>
              <w:rPr>
                <w:szCs w:val="21"/>
              </w:rPr>
            </w:pPr>
            <w:r w:rsidRPr="00BB1E47">
              <w:rPr>
                <w:szCs w:val="21"/>
              </w:rPr>
              <w:t>Service agreement with statutory body, and administers private provider contracts for overflow service</w:t>
            </w:r>
          </w:p>
        </w:tc>
        <w:tc>
          <w:tcPr>
            <w:tcW w:w="1723" w:type="dxa"/>
          </w:tcPr>
          <w:p w14:paraId="1DB41BDA" w14:textId="77777777" w:rsidR="008C1CA0" w:rsidRPr="00BB1E47" w:rsidRDefault="008C1CA0" w:rsidP="00B108AF">
            <w:pPr>
              <w:pStyle w:val="Body"/>
              <w:rPr>
                <w:szCs w:val="21"/>
              </w:rPr>
            </w:pPr>
            <w:r w:rsidRPr="00BB1E47">
              <w:rPr>
                <w:szCs w:val="21"/>
              </w:rPr>
              <w:t>Ambulance Tasmania (mainly)</w:t>
            </w:r>
          </w:p>
          <w:p w14:paraId="219D3757" w14:textId="77777777" w:rsidR="008C1CA0" w:rsidRPr="00BB1E47" w:rsidRDefault="008C1CA0" w:rsidP="00B108AF">
            <w:pPr>
              <w:pStyle w:val="Body"/>
              <w:rPr>
                <w:szCs w:val="21"/>
              </w:rPr>
            </w:pPr>
            <w:r w:rsidRPr="00BB1E47">
              <w:rPr>
                <w:szCs w:val="21"/>
              </w:rPr>
              <w:t>5 private providers</w:t>
            </w:r>
            <w:r w:rsidRPr="00BB1E47">
              <w:rPr>
                <w:rStyle w:val="FootnoteReference"/>
                <w:szCs w:val="21"/>
              </w:rPr>
              <w:footnoteReference w:id="92"/>
            </w:r>
          </w:p>
        </w:tc>
        <w:tc>
          <w:tcPr>
            <w:tcW w:w="1701" w:type="dxa"/>
          </w:tcPr>
          <w:p w14:paraId="2760C07A" w14:textId="77777777" w:rsidR="008C1CA0" w:rsidRPr="00BB1E47" w:rsidRDefault="008C1CA0" w:rsidP="00B108AF">
            <w:pPr>
              <w:pStyle w:val="Body"/>
              <w:rPr>
                <w:i/>
                <w:iCs/>
              </w:rPr>
            </w:pPr>
            <w:r w:rsidRPr="00BB1E47">
              <w:rPr>
                <w:i/>
                <w:iCs/>
              </w:rPr>
              <w:t>Ambulance Services Act 1982</w:t>
            </w:r>
          </w:p>
        </w:tc>
        <w:tc>
          <w:tcPr>
            <w:tcW w:w="1843" w:type="dxa"/>
          </w:tcPr>
          <w:p w14:paraId="45C4C0D1" w14:textId="77777777" w:rsidR="008C1CA0" w:rsidRPr="00BB1E47" w:rsidRDefault="008C1CA0" w:rsidP="00B108AF">
            <w:pPr>
              <w:pStyle w:val="Body"/>
              <w:rPr>
                <w:szCs w:val="21"/>
              </w:rPr>
            </w:pPr>
            <w:r w:rsidRPr="00693108">
              <w:rPr>
                <w:szCs w:val="21"/>
              </w:rPr>
              <w:t>Costs met by Tasmania Government based on NWAU</w:t>
            </w:r>
          </w:p>
        </w:tc>
        <w:tc>
          <w:tcPr>
            <w:tcW w:w="3544" w:type="dxa"/>
          </w:tcPr>
          <w:p w14:paraId="2825EA1E" w14:textId="77777777" w:rsidR="008C1CA0" w:rsidRPr="00BB1E47" w:rsidRDefault="008C1CA0" w:rsidP="00B108AF">
            <w:pPr>
              <w:pStyle w:val="Body"/>
            </w:pPr>
            <w:r w:rsidRPr="00BB1E47">
              <w:t>HTS is an integrated state-wide service operating from five geographical stations</w:t>
            </w:r>
          </w:p>
          <w:p w14:paraId="519352B8" w14:textId="77777777" w:rsidR="008C1CA0" w:rsidRPr="00BB1E47" w:rsidRDefault="008C1CA0" w:rsidP="00B108AF">
            <w:pPr>
              <w:pStyle w:val="Body"/>
            </w:pPr>
            <w:r w:rsidRPr="00BB1E47">
              <w:t>Five private providers exist as an overflow service for Ambulance Tasmania</w:t>
            </w:r>
          </w:p>
        </w:tc>
      </w:tr>
      <w:tr w:rsidR="008C1CA0" w:rsidRPr="00BB1E47" w14:paraId="57AFC4FF" w14:textId="77777777" w:rsidTr="005E7C0E">
        <w:trPr>
          <w:trHeight w:val="732"/>
        </w:trPr>
        <w:tc>
          <w:tcPr>
            <w:tcW w:w="1419" w:type="dxa"/>
          </w:tcPr>
          <w:p w14:paraId="791911F7" w14:textId="77777777" w:rsidR="008C1CA0" w:rsidRPr="00BB1E47" w:rsidRDefault="008C1CA0" w:rsidP="00B108AF">
            <w:pPr>
              <w:pStyle w:val="Body"/>
              <w:rPr>
                <w:b/>
                <w:bCs/>
                <w:szCs w:val="21"/>
              </w:rPr>
            </w:pPr>
            <w:r w:rsidRPr="00BB1E47">
              <w:rPr>
                <w:b/>
                <w:bCs/>
                <w:szCs w:val="21"/>
              </w:rPr>
              <w:t>Western Australia</w:t>
            </w:r>
          </w:p>
          <w:p w14:paraId="51D32398" w14:textId="77777777" w:rsidR="008C1CA0" w:rsidRPr="00BB1E47" w:rsidRDefault="008C1CA0" w:rsidP="00B108AF">
            <w:pPr>
              <w:pStyle w:val="Body"/>
              <w:rPr>
                <w:szCs w:val="21"/>
              </w:rPr>
            </w:pPr>
            <w:r w:rsidRPr="00BB1E47">
              <w:rPr>
                <w:szCs w:val="21"/>
              </w:rPr>
              <w:t>NEPT</w:t>
            </w:r>
          </w:p>
        </w:tc>
        <w:tc>
          <w:tcPr>
            <w:tcW w:w="1558" w:type="dxa"/>
          </w:tcPr>
          <w:p w14:paraId="2C096998" w14:textId="77777777" w:rsidR="008C1CA0" w:rsidRPr="00BB1E47" w:rsidRDefault="008C1CA0" w:rsidP="00B108AF">
            <w:pPr>
              <w:pStyle w:val="Body"/>
              <w:rPr>
                <w:szCs w:val="21"/>
              </w:rPr>
            </w:pPr>
            <w:r w:rsidRPr="00BB1E47">
              <w:rPr>
                <w:szCs w:val="21"/>
              </w:rPr>
              <w:t>West Australian Department of Health</w:t>
            </w:r>
          </w:p>
        </w:tc>
        <w:tc>
          <w:tcPr>
            <w:tcW w:w="2099" w:type="dxa"/>
          </w:tcPr>
          <w:p w14:paraId="0024AADD" w14:textId="77777777" w:rsidR="008C1CA0" w:rsidRPr="00BB1E47" w:rsidRDefault="008C1CA0" w:rsidP="00B108AF">
            <w:pPr>
              <w:pStyle w:val="Body"/>
              <w:rPr>
                <w:szCs w:val="21"/>
              </w:rPr>
            </w:pPr>
            <w:r w:rsidRPr="00BB1E47">
              <w:rPr>
                <w:szCs w:val="21"/>
              </w:rPr>
              <w:t>Panel Contract</w:t>
            </w:r>
          </w:p>
        </w:tc>
        <w:tc>
          <w:tcPr>
            <w:tcW w:w="1723" w:type="dxa"/>
          </w:tcPr>
          <w:p w14:paraId="19BB8E12" w14:textId="77777777" w:rsidR="008C1CA0" w:rsidRPr="00BB1E47" w:rsidRDefault="008C1CA0" w:rsidP="00B108AF">
            <w:pPr>
              <w:pStyle w:val="Body"/>
              <w:rPr>
                <w:szCs w:val="21"/>
              </w:rPr>
            </w:pPr>
            <w:r w:rsidRPr="00BB1E47">
              <w:rPr>
                <w:szCs w:val="21"/>
              </w:rPr>
              <w:t xml:space="preserve">3 private providers (National Patient Transport Group, St John Ambulance </w:t>
            </w:r>
            <w:r w:rsidRPr="00BB1E47">
              <w:rPr>
                <w:szCs w:val="21"/>
              </w:rPr>
              <w:lastRenderedPageBreak/>
              <w:t>Australia, Wilson Medic One)</w:t>
            </w:r>
          </w:p>
        </w:tc>
        <w:tc>
          <w:tcPr>
            <w:tcW w:w="1701" w:type="dxa"/>
          </w:tcPr>
          <w:p w14:paraId="4B45FB57" w14:textId="77777777" w:rsidR="008C1CA0" w:rsidRPr="00BB1E47" w:rsidRDefault="008C1CA0" w:rsidP="00B108AF">
            <w:pPr>
              <w:pStyle w:val="Body"/>
            </w:pPr>
            <w:r w:rsidRPr="00BB1E47">
              <w:lastRenderedPageBreak/>
              <w:t>Road-based Inter-Hospital Patient Transport Services Policy 2021</w:t>
            </w:r>
          </w:p>
        </w:tc>
        <w:tc>
          <w:tcPr>
            <w:tcW w:w="1843" w:type="dxa"/>
          </w:tcPr>
          <w:p w14:paraId="56C826A8" w14:textId="77777777" w:rsidR="008C1CA0" w:rsidRPr="00BB1E47" w:rsidRDefault="008C1CA0" w:rsidP="00B108AF">
            <w:pPr>
              <w:pStyle w:val="Body"/>
              <w:rPr>
                <w:szCs w:val="21"/>
              </w:rPr>
            </w:pPr>
            <w:r w:rsidRPr="00BB1E47">
              <w:rPr>
                <w:szCs w:val="21"/>
              </w:rPr>
              <w:t xml:space="preserve">Costs met by the WA Government; funded by the ordering/ sending hospital (as part of Panel Contract) </w:t>
            </w:r>
          </w:p>
        </w:tc>
        <w:tc>
          <w:tcPr>
            <w:tcW w:w="3544" w:type="dxa"/>
          </w:tcPr>
          <w:p w14:paraId="577FD638" w14:textId="648A60A1" w:rsidR="008C1CA0" w:rsidRPr="00BB1E47" w:rsidRDefault="008C1CA0" w:rsidP="00B108AF">
            <w:pPr>
              <w:pStyle w:val="Body"/>
              <w:rPr>
                <w:szCs w:val="21"/>
              </w:rPr>
            </w:pPr>
            <w:r w:rsidRPr="00BB1E47">
              <w:rPr>
                <w:szCs w:val="21"/>
              </w:rPr>
              <w:t>Metropolitan services can choose from 3 providers (for low &amp; medium acuity patients)</w:t>
            </w:r>
            <w:r w:rsidRPr="00BB1E47">
              <w:rPr>
                <w:rStyle w:val="FootnoteReference"/>
                <w:szCs w:val="21"/>
              </w:rPr>
              <w:footnoteReference w:id="93"/>
            </w:r>
          </w:p>
          <w:p w14:paraId="5E49FE5B" w14:textId="77777777" w:rsidR="008C1CA0" w:rsidRPr="00BB1E47" w:rsidRDefault="008C1CA0" w:rsidP="00B108AF">
            <w:pPr>
              <w:pStyle w:val="Body"/>
              <w:rPr>
                <w:szCs w:val="21"/>
              </w:rPr>
            </w:pPr>
            <w:r w:rsidRPr="00BB1E47">
              <w:rPr>
                <w:szCs w:val="21"/>
              </w:rPr>
              <w:t xml:space="preserve">All high acuity road based inter-Hospital NEPT &amp; WA Country Health Services must purchase </w:t>
            </w:r>
            <w:r w:rsidRPr="00BB1E47">
              <w:rPr>
                <w:szCs w:val="21"/>
              </w:rPr>
              <w:lastRenderedPageBreak/>
              <w:t>from one provider (St John Ambulance Australia)</w:t>
            </w:r>
          </w:p>
        </w:tc>
      </w:tr>
      <w:tr w:rsidR="008C1CA0" w:rsidRPr="00BB1E47" w14:paraId="15E84959" w14:textId="77777777" w:rsidTr="005E7C0E">
        <w:trPr>
          <w:trHeight w:val="1"/>
        </w:trPr>
        <w:tc>
          <w:tcPr>
            <w:tcW w:w="1419" w:type="dxa"/>
          </w:tcPr>
          <w:p w14:paraId="0D253F9C" w14:textId="77777777" w:rsidR="008C1CA0" w:rsidRPr="00BB1E47" w:rsidRDefault="008C1CA0" w:rsidP="00B108AF">
            <w:pPr>
              <w:pStyle w:val="Body"/>
              <w:rPr>
                <w:b/>
                <w:bCs/>
                <w:szCs w:val="21"/>
              </w:rPr>
            </w:pPr>
            <w:r w:rsidRPr="00BB1E47">
              <w:rPr>
                <w:b/>
                <w:bCs/>
                <w:szCs w:val="21"/>
              </w:rPr>
              <w:lastRenderedPageBreak/>
              <w:t>Northern Territory</w:t>
            </w:r>
          </w:p>
          <w:p w14:paraId="6905F665" w14:textId="77777777" w:rsidR="008C1CA0" w:rsidRPr="00BB1E47" w:rsidRDefault="008C1CA0" w:rsidP="00B108AF">
            <w:pPr>
              <w:pStyle w:val="Body"/>
              <w:rPr>
                <w:szCs w:val="21"/>
              </w:rPr>
            </w:pPr>
            <w:r w:rsidRPr="00BB1E47">
              <w:rPr>
                <w:szCs w:val="21"/>
              </w:rPr>
              <w:t>Patient Transport Service</w:t>
            </w:r>
          </w:p>
        </w:tc>
        <w:tc>
          <w:tcPr>
            <w:tcW w:w="1558" w:type="dxa"/>
          </w:tcPr>
          <w:p w14:paraId="24CA7FC6" w14:textId="77777777" w:rsidR="008C1CA0" w:rsidRPr="00BB1E47" w:rsidRDefault="008C1CA0" w:rsidP="00B108AF">
            <w:pPr>
              <w:pStyle w:val="Body"/>
              <w:rPr>
                <w:szCs w:val="21"/>
              </w:rPr>
            </w:pPr>
            <w:r w:rsidRPr="00BB1E47">
              <w:rPr>
                <w:szCs w:val="21"/>
              </w:rPr>
              <w:t>Northern Territory Government</w:t>
            </w:r>
          </w:p>
        </w:tc>
        <w:tc>
          <w:tcPr>
            <w:tcW w:w="2099" w:type="dxa"/>
          </w:tcPr>
          <w:p w14:paraId="079484CF" w14:textId="77777777" w:rsidR="008C1CA0" w:rsidRPr="00BB1E47" w:rsidRDefault="008C1CA0" w:rsidP="00B108AF">
            <w:pPr>
              <w:pStyle w:val="Body"/>
              <w:rPr>
                <w:szCs w:val="21"/>
              </w:rPr>
            </w:pPr>
            <w:r w:rsidRPr="00BB1E47">
              <w:rPr>
                <w:szCs w:val="21"/>
              </w:rPr>
              <w:t>Service agreement with private provider</w:t>
            </w:r>
          </w:p>
        </w:tc>
        <w:tc>
          <w:tcPr>
            <w:tcW w:w="1723" w:type="dxa"/>
          </w:tcPr>
          <w:p w14:paraId="67B79D50" w14:textId="77777777" w:rsidR="008C1CA0" w:rsidRPr="00BB1E47" w:rsidRDefault="008C1CA0" w:rsidP="00B108AF">
            <w:pPr>
              <w:pStyle w:val="Body"/>
              <w:rPr>
                <w:szCs w:val="21"/>
              </w:rPr>
            </w:pPr>
            <w:r w:rsidRPr="00BB1E47">
              <w:rPr>
                <w:szCs w:val="21"/>
              </w:rPr>
              <w:t>1 private provider (St John Ambulance)</w:t>
            </w:r>
          </w:p>
        </w:tc>
        <w:tc>
          <w:tcPr>
            <w:tcW w:w="1701" w:type="dxa"/>
          </w:tcPr>
          <w:p w14:paraId="0A1AF509" w14:textId="77777777" w:rsidR="008C1CA0" w:rsidRPr="00BB1E47" w:rsidRDefault="008C1CA0" w:rsidP="00B108AF">
            <w:pPr>
              <w:pStyle w:val="Body"/>
              <w:rPr>
                <w:i/>
                <w:iCs/>
                <w:szCs w:val="21"/>
              </w:rPr>
            </w:pPr>
            <w:r w:rsidRPr="00BB1E47">
              <w:rPr>
                <w:i/>
                <w:iCs/>
                <w:szCs w:val="21"/>
              </w:rPr>
              <w:t>Northern Territory of Australia Medical Services Act 2018</w:t>
            </w:r>
          </w:p>
        </w:tc>
        <w:tc>
          <w:tcPr>
            <w:tcW w:w="1843" w:type="dxa"/>
          </w:tcPr>
          <w:p w14:paraId="47370E1F" w14:textId="77777777" w:rsidR="008C1CA0" w:rsidRPr="00BB1E47" w:rsidRDefault="008C1CA0" w:rsidP="00B108AF">
            <w:pPr>
              <w:pStyle w:val="Body"/>
              <w:rPr>
                <w:szCs w:val="21"/>
              </w:rPr>
            </w:pPr>
            <w:r w:rsidRPr="00BB1E47">
              <w:rPr>
                <w:szCs w:val="21"/>
              </w:rPr>
              <w:t xml:space="preserve">Costs met by NT Government </w:t>
            </w:r>
          </w:p>
        </w:tc>
        <w:tc>
          <w:tcPr>
            <w:tcW w:w="3544" w:type="dxa"/>
          </w:tcPr>
          <w:p w14:paraId="2625896A" w14:textId="77777777" w:rsidR="008C1CA0" w:rsidRPr="00BB1E47" w:rsidRDefault="008C1CA0" w:rsidP="00B108AF">
            <w:pPr>
              <w:pStyle w:val="Body"/>
              <w:rPr>
                <w:szCs w:val="21"/>
              </w:rPr>
            </w:pPr>
            <w:r w:rsidRPr="00BB1E47">
              <w:rPr>
                <w:szCs w:val="21"/>
              </w:rPr>
              <w:t xml:space="preserve">Provides state-wide service, with five bases across Northern Territory. </w:t>
            </w:r>
          </w:p>
          <w:p w14:paraId="09156C4C" w14:textId="77777777" w:rsidR="008C1CA0" w:rsidRPr="00BB1E47" w:rsidRDefault="008C1CA0" w:rsidP="00B108AF">
            <w:pPr>
              <w:pStyle w:val="Body"/>
              <w:rPr>
                <w:szCs w:val="21"/>
              </w:rPr>
            </w:pPr>
            <w:r w:rsidRPr="00BB1E47">
              <w:rPr>
                <w:szCs w:val="21"/>
              </w:rPr>
              <w:t xml:space="preserve">Bases in Darwin and Alice Springs have hoist vehicles with additional seats for passengers </w:t>
            </w:r>
            <w:r w:rsidRPr="00BB1E47">
              <w:rPr>
                <w:rStyle w:val="FootnoteReference"/>
                <w:szCs w:val="21"/>
              </w:rPr>
              <w:footnoteReference w:id="94"/>
            </w:r>
          </w:p>
        </w:tc>
      </w:tr>
      <w:tr w:rsidR="008C1CA0" w:rsidRPr="00BB1E47" w14:paraId="7CF18E84" w14:textId="77777777" w:rsidTr="005E7C0E">
        <w:trPr>
          <w:trHeight w:val="1"/>
        </w:trPr>
        <w:tc>
          <w:tcPr>
            <w:tcW w:w="1419" w:type="dxa"/>
          </w:tcPr>
          <w:p w14:paraId="0B52957B" w14:textId="77777777" w:rsidR="008C1CA0" w:rsidRPr="00BB1E47" w:rsidRDefault="008C1CA0" w:rsidP="00B108AF">
            <w:pPr>
              <w:pStyle w:val="Body"/>
              <w:rPr>
                <w:b/>
                <w:bCs/>
                <w:szCs w:val="21"/>
              </w:rPr>
            </w:pPr>
            <w:r w:rsidRPr="00BB1E47">
              <w:rPr>
                <w:b/>
                <w:bCs/>
                <w:szCs w:val="21"/>
              </w:rPr>
              <w:t xml:space="preserve">South Australia </w:t>
            </w:r>
          </w:p>
          <w:p w14:paraId="7A3D415C" w14:textId="77777777" w:rsidR="008C1CA0" w:rsidRPr="00BB1E47" w:rsidRDefault="008C1CA0" w:rsidP="00B108AF">
            <w:pPr>
              <w:pStyle w:val="Body"/>
              <w:rPr>
                <w:szCs w:val="21"/>
              </w:rPr>
            </w:pPr>
            <w:r w:rsidRPr="00BB1E47">
              <w:rPr>
                <w:szCs w:val="21"/>
              </w:rPr>
              <w:t>SA Ambulance Patient Transport Services</w:t>
            </w:r>
          </w:p>
        </w:tc>
        <w:tc>
          <w:tcPr>
            <w:tcW w:w="1558" w:type="dxa"/>
          </w:tcPr>
          <w:p w14:paraId="1B0150AC" w14:textId="77777777" w:rsidR="008C1CA0" w:rsidRPr="00BB1E47" w:rsidRDefault="008C1CA0" w:rsidP="00B108AF">
            <w:pPr>
              <w:pStyle w:val="Body"/>
              <w:rPr>
                <w:szCs w:val="21"/>
              </w:rPr>
            </w:pPr>
            <w:r w:rsidRPr="00BB1E47">
              <w:rPr>
                <w:szCs w:val="21"/>
              </w:rPr>
              <w:t>Department for Health and Wellbeing (SA Health)</w:t>
            </w:r>
          </w:p>
        </w:tc>
        <w:tc>
          <w:tcPr>
            <w:tcW w:w="2099" w:type="dxa"/>
          </w:tcPr>
          <w:p w14:paraId="1C809FD7" w14:textId="77777777" w:rsidR="008C1CA0" w:rsidRPr="00BB1E47" w:rsidRDefault="008C1CA0" w:rsidP="00B108AF">
            <w:pPr>
              <w:pStyle w:val="Body"/>
              <w:rPr>
                <w:szCs w:val="21"/>
              </w:rPr>
            </w:pPr>
            <w:r w:rsidRPr="00BB1E47">
              <w:rPr>
                <w:szCs w:val="21"/>
              </w:rPr>
              <w:t>Service agreement with statutory body*</w:t>
            </w:r>
          </w:p>
          <w:p w14:paraId="0D80CE47" w14:textId="77777777" w:rsidR="008C1CA0" w:rsidRPr="00BB1E47" w:rsidRDefault="008C1CA0" w:rsidP="00B108AF">
            <w:pPr>
              <w:pStyle w:val="Body"/>
              <w:rPr>
                <w:szCs w:val="21"/>
              </w:rPr>
            </w:pPr>
            <w:r w:rsidRPr="00BB1E47">
              <w:rPr>
                <w:szCs w:val="21"/>
              </w:rPr>
              <w:t>*</w:t>
            </w:r>
            <w:r w:rsidRPr="00BB1E47">
              <w:rPr>
                <w:i/>
                <w:iCs/>
                <w:szCs w:val="21"/>
              </w:rPr>
              <w:t>May accredit private providers</w:t>
            </w:r>
          </w:p>
        </w:tc>
        <w:tc>
          <w:tcPr>
            <w:tcW w:w="1723" w:type="dxa"/>
          </w:tcPr>
          <w:p w14:paraId="21764519" w14:textId="77777777" w:rsidR="008C1CA0" w:rsidRPr="00BB1E47" w:rsidRDefault="008C1CA0" w:rsidP="00B108AF">
            <w:pPr>
              <w:pStyle w:val="Body"/>
              <w:rPr>
                <w:szCs w:val="21"/>
              </w:rPr>
            </w:pPr>
            <w:r w:rsidRPr="00BB1E47">
              <w:rPr>
                <w:szCs w:val="21"/>
              </w:rPr>
              <w:t xml:space="preserve">SA Ambulance Service </w:t>
            </w:r>
          </w:p>
        </w:tc>
        <w:tc>
          <w:tcPr>
            <w:tcW w:w="1701" w:type="dxa"/>
          </w:tcPr>
          <w:p w14:paraId="5145989D" w14:textId="77777777" w:rsidR="008C1CA0" w:rsidRPr="00BB1E47" w:rsidRDefault="008C1CA0" w:rsidP="00B108AF">
            <w:pPr>
              <w:pStyle w:val="Body"/>
              <w:rPr>
                <w:i/>
                <w:iCs/>
              </w:rPr>
            </w:pPr>
            <w:r w:rsidRPr="00BB1E47">
              <w:rPr>
                <w:i/>
                <w:iCs/>
              </w:rPr>
              <w:t>Health Care (Governance) Amendment Act 2021</w:t>
            </w:r>
          </w:p>
        </w:tc>
        <w:tc>
          <w:tcPr>
            <w:tcW w:w="1843" w:type="dxa"/>
          </w:tcPr>
          <w:p w14:paraId="75FC9247" w14:textId="77777777" w:rsidR="008C1CA0" w:rsidRPr="00BB1E47" w:rsidRDefault="008C1CA0" w:rsidP="00B108AF">
            <w:pPr>
              <w:pStyle w:val="Body"/>
              <w:rPr>
                <w:szCs w:val="21"/>
              </w:rPr>
            </w:pPr>
            <w:r w:rsidRPr="00BB1E47">
              <w:rPr>
                <w:szCs w:val="21"/>
              </w:rPr>
              <w:t>Costs incurred by patient (user-pays service, with subsidises available for concession card holders)</w:t>
            </w:r>
          </w:p>
        </w:tc>
        <w:tc>
          <w:tcPr>
            <w:tcW w:w="3544" w:type="dxa"/>
          </w:tcPr>
          <w:p w14:paraId="7584A66D" w14:textId="77777777" w:rsidR="008C1CA0" w:rsidRPr="00BB1E47" w:rsidRDefault="008C1CA0" w:rsidP="00B108AF">
            <w:pPr>
              <w:pStyle w:val="Body"/>
              <w:rPr>
                <w:szCs w:val="21"/>
              </w:rPr>
            </w:pPr>
            <w:r w:rsidRPr="00BB1E47">
              <w:rPr>
                <w:szCs w:val="21"/>
              </w:rPr>
              <w:t>Provides state-wide services, with several base stations across South Australia</w:t>
            </w:r>
          </w:p>
        </w:tc>
      </w:tr>
      <w:tr w:rsidR="008C1CA0" w:rsidRPr="00BB1E47" w14:paraId="574FA135" w14:textId="77777777" w:rsidTr="005E7C0E">
        <w:trPr>
          <w:trHeight w:val="1"/>
        </w:trPr>
        <w:tc>
          <w:tcPr>
            <w:tcW w:w="1419" w:type="dxa"/>
          </w:tcPr>
          <w:p w14:paraId="59F565F2" w14:textId="77777777" w:rsidR="008C1CA0" w:rsidRPr="00BB1E47" w:rsidRDefault="008C1CA0" w:rsidP="00B108AF">
            <w:pPr>
              <w:pStyle w:val="Body"/>
              <w:rPr>
                <w:b/>
                <w:bCs/>
                <w:szCs w:val="21"/>
              </w:rPr>
            </w:pPr>
            <w:r w:rsidRPr="00BB1E47">
              <w:rPr>
                <w:b/>
                <w:bCs/>
                <w:szCs w:val="21"/>
              </w:rPr>
              <w:t>Queensland</w:t>
            </w:r>
          </w:p>
          <w:p w14:paraId="3654E8D4" w14:textId="77777777" w:rsidR="008C1CA0" w:rsidRPr="00BB1E47" w:rsidRDefault="008C1CA0" w:rsidP="00B108AF">
            <w:pPr>
              <w:pStyle w:val="Body"/>
              <w:rPr>
                <w:szCs w:val="21"/>
              </w:rPr>
            </w:pPr>
            <w:r w:rsidRPr="00BB1E47">
              <w:rPr>
                <w:szCs w:val="21"/>
              </w:rPr>
              <w:t>Non-emergency medical transport</w:t>
            </w:r>
          </w:p>
        </w:tc>
        <w:tc>
          <w:tcPr>
            <w:tcW w:w="1558" w:type="dxa"/>
          </w:tcPr>
          <w:p w14:paraId="182C1403" w14:textId="372A3468" w:rsidR="008C1CA0" w:rsidRPr="00BB1E47" w:rsidRDefault="008C1CA0" w:rsidP="0015343F">
            <w:pPr>
              <w:pStyle w:val="Body"/>
              <w:rPr>
                <w:szCs w:val="21"/>
              </w:rPr>
            </w:pPr>
            <w:r w:rsidRPr="00BB1E47">
              <w:rPr>
                <w:szCs w:val="21"/>
              </w:rPr>
              <w:t>Queensland Health &amp;</w:t>
            </w:r>
            <w:r w:rsidR="0015343F" w:rsidRPr="00BB1E47">
              <w:rPr>
                <w:szCs w:val="21"/>
              </w:rPr>
              <w:t xml:space="preserve"> </w:t>
            </w:r>
            <w:r w:rsidRPr="00BB1E47">
              <w:rPr>
                <w:szCs w:val="21"/>
              </w:rPr>
              <w:t>Department of Community Safety</w:t>
            </w:r>
          </w:p>
        </w:tc>
        <w:tc>
          <w:tcPr>
            <w:tcW w:w="2099" w:type="dxa"/>
          </w:tcPr>
          <w:p w14:paraId="6E08658B" w14:textId="77777777" w:rsidR="008C1CA0" w:rsidRPr="00BB1E47" w:rsidRDefault="008C1CA0" w:rsidP="00B108AF">
            <w:pPr>
              <w:pStyle w:val="Body"/>
              <w:rPr>
                <w:szCs w:val="21"/>
              </w:rPr>
            </w:pPr>
            <w:r w:rsidRPr="00BB1E47">
              <w:rPr>
                <w:szCs w:val="21"/>
              </w:rPr>
              <w:t>Service agreement with statutory body*</w:t>
            </w:r>
          </w:p>
        </w:tc>
        <w:tc>
          <w:tcPr>
            <w:tcW w:w="1723" w:type="dxa"/>
          </w:tcPr>
          <w:p w14:paraId="532C7703" w14:textId="77777777" w:rsidR="008C1CA0" w:rsidRPr="00BB1E47" w:rsidRDefault="008C1CA0" w:rsidP="00B108AF">
            <w:pPr>
              <w:pStyle w:val="Body"/>
              <w:rPr>
                <w:szCs w:val="21"/>
              </w:rPr>
            </w:pPr>
            <w:r w:rsidRPr="00BB1E47">
              <w:rPr>
                <w:szCs w:val="21"/>
              </w:rPr>
              <w:t>Queensland Ambulance Service*</w:t>
            </w:r>
          </w:p>
          <w:p w14:paraId="6BDE8F1F" w14:textId="77777777" w:rsidR="008C1CA0" w:rsidRPr="00BB1E47" w:rsidRDefault="008C1CA0" w:rsidP="00B108AF">
            <w:pPr>
              <w:pStyle w:val="Body"/>
              <w:rPr>
                <w:szCs w:val="21"/>
              </w:rPr>
            </w:pPr>
          </w:p>
        </w:tc>
        <w:tc>
          <w:tcPr>
            <w:tcW w:w="1701" w:type="dxa"/>
          </w:tcPr>
          <w:p w14:paraId="54257AB7" w14:textId="77777777" w:rsidR="008C1CA0" w:rsidRPr="00BB1E47" w:rsidRDefault="008C1CA0" w:rsidP="00B108AF">
            <w:pPr>
              <w:pStyle w:val="Body"/>
            </w:pPr>
            <w:r w:rsidRPr="00BB1E47">
              <w:t>The Ambulance Service Regulations 2015</w:t>
            </w:r>
          </w:p>
        </w:tc>
        <w:tc>
          <w:tcPr>
            <w:tcW w:w="1843" w:type="dxa"/>
          </w:tcPr>
          <w:p w14:paraId="3CE1B265" w14:textId="77777777" w:rsidR="008C1CA0" w:rsidRPr="00BB1E47" w:rsidRDefault="008C1CA0" w:rsidP="00B108AF">
            <w:pPr>
              <w:pStyle w:val="Body"/>
              <w:rPr>
                <w:szCs w:val="21"/>
              </w:rPr>
            </w:pPr>
            <w:r w:rsidRPr="00BB1E47">
              <w:rPr>
                <w:szCs w:val="21"/>
              </w:rPr>
              <w:t>Costs met by the Queensland Government</w:t>
            </w:r>
          </w:p>
        </w:tc>
        <w:tc>
          <w:tcPr>
            <w:tcW w:w="3544" w:type="dxa"/>
          </w:tcPr>
          <w:p w14:paraId="3985A675" w14:textId="77777777" w:rsidR="008C1CA0" w:rsidRPr="00BB1E47" w:rsidRDefault="008C1CA0" w:rsidP="00B108AF">
            <w:pPr>
              <w:pStyle w:val="Body"/>
              <w:rPr>
                <w:szCs w:val="21"/>
              </w:rPr>
            </w:pPr>
            <w:r w:rsidRPr="00BB1E47">
              <w:rPr>
                <w:szCs w:val="21"/>
              </w:rPr>
              <w:t xml:space="preserve">Provides state-wide services across eight geographical </w:t>
            </w:r>
            <w:proofErr w:type="gramStart"/>
            <w:r w:rsidRPr="00BB1E47">
              <w:rPr>
                <w:szCs w:val="21"/>
              </w:rPr>
              <w:t>regions;</w:t>
            </w:r>
            <w:proofErr w:type="gramEnd"/>
            <w:r w:rsidRPr="00BB1E47">
              <w:rPr>
                <w:szCs w:val="21"/>
              </w:rPr>
              <w:t xml:space="preserve"> through 8 Operations Centres responsible for emergency call taking, operational deployment and dispatch, and coordination of non-urgent patient transport services</w:t>
            </w:r>
            <w:r w:rsidRPr="00BB1E47">
              <w:rPr>
                <w:rStyle w:val="FootnoteReference"/>
                <w:szCs w:val="21"/>
              </w:rPr>
              <w:footnoteReference w:id="95"/>
            </w:r>
          </w:p>
        </w:tc>
      </w:tr>
      <w:tr w:rsidR="008C1CA0" w:rsidRPr="00BB1E47" w14:paraId="35B822F6" w14:textId="77777777" w:rsidTr="005E7C0E">
        <w:trPr>
          <w:trHeight w:val="4"/>
        </w:trPr>
        <w:tc>
          <w:tcPr>
            <w:tcW w:w="1419" w:type="dxa"/>
          </w:tcPr>
          <w:p w14:paraId="24E84BC4" w14:textId="77777777" w:rsidR="008C1CA0" w:rsidRPr="00BB1E47" w:rsidRDefault="008C1CA0" w:rsidP="00B108AF">
            <w:pPr>
              <w:pStyle w:val="Body"/>
              <w:rPr>
                <w:b/>
                <w:bCs/>
                <w:szCs w:val="21"/>
              </w:rPr>
            </w:pPr>
            <w:r w:rsidRPr="00BB1E47">
              <w:rPr>
                <w:b/>
                <w:bCs/>
                <w:szCs w:val="21"/>
              </w:rPr>
              <w:lastRenderedPageBreak/>
              <w:t>New South Wales</w:t>
            </w:r>
          </w:p>
          <w:p w14:paraId="7EAF6C0D" w14:textId="77777777" w:rsidR="008C1CA0" w:rsidRPr="00BB1E47" w:rsidRDefault="008C1CA0" w:rsidP="00B108AF">
            <w:pPr>
              <w:pStyle w:val="Body"/>
              <w:rPr>
                <w:szCs w:val="21"/>
              </w:rPr>
            </w:pPr>
            <w:r w:rsidRPr="00BB1E47">
              <w:rPr>
                <w:szCs w:val="21"/>
              </w:rPr>
              <w:t>Patient Transport Services</w:t>
            </w:r>
          </w:p>
        </w:tc>
        <w:tc>
          <w:tcPr>
            <w:tcW w:w="1558" w:type="dxa"/>
          </w:tcPr>
          <w:p w14:paraId="2AD1245D" w14:textId="77777777" w:rsidR="008C1CA0" w:rsidRPr="00BB1E47" w:rsidRDefault="008C1CA0" w:rsidP="00B108AF">
            <w:pPr>
              <w:pStyle w:val="Body"/>
              <w:rPr>
                <w:szCs w:val="21"/>
              </w:rPr>
            </w:pPr>
            <w:r w:rsidRPr="00BB1E47">
              <w:rPr>
                <w:szCs w:val="21"/>
              </w:rPr>
              <w:t>NSW Health</w:t>
            </w:r>
          </w:p>
        </w:tc>
        <w:tc>
          <w:tcPr>
            <w:tcW w:w="2099" w:type="dxa"/>
          </w:tcPr>
          <w:p w14:paraId="346CBE28" w14:textId="77777777" w:rsidR="008C1CA0" w:rsidRPr="00BB1E47" w:rsidRDefault="008C1CA0" w:rsidP="00B108AF">
            <w:pPr>
              <w:pStyle w:val="Body"/>
              <w:rPr>
                <w:szCs w:val="21"/>
              </w:rPr>
            </w:pPr>
            <w:r w:rsidRPr="00BB1E47">
              <w:rPr>
                <w:szCs w:val="21"/>
              </w:rPr>
              <w:t>Service agreement with statutory body</w:t>
            </w:r>
          </w:p>
        </w:tc>
        <w:tc>
          <w:tcPr>
            <w:tcW w:w="1723" w:type="dxa"/>
          </w:tcPr>
          <w:p w14:paraId="4AC7CB1D" w14:textId="77777777" w:rsidR="008C1CA0" w:rsidRPr="00BB1E47" w:rsidRDefault="008C1CA0" w:rsidP="00B108AF">
            <w:pPr>
              <w:pStyle w:val="Body"/>
              <w:rPr>
                <w:szCs w:val="21"/>
              </w:rPr>
            </w:pPr>
            <w:proofErr w:type="spellStart"/>
            <w:r w:rsidRPr="00BB1E47">
              <w:rPr>
                <w:szCs w:val="21"/>
              </w:rPr>
              <w:t>HealthShare</w:t>
            </w:r>
            <w:proofErr w:type="spellEnd"/>
            <w:r w:rsidRPr="00BB1E47">
              <w:rPr>
                <w:szCs w:val="21"/>
              </w:rPr>
              <w:t xml:space="preserve"> NSW*</w:t>
            </w:r>
          </w:p>
        </w:tc>
        <w:tc>
          <w:tcPr>
            <w:tcW w:w="1701" w:type="dxa"/>
          </w:tcPr>
          <w:p w14:paraId="6DC7F56B" w14:textId="77777777" w:rsidR="008C1CA0" w:rsidRPr="00BB1E47" w:rsidRDefault="008C1CA0" w:rsidP="00B108AF">
            <w:pPr>
              <w:pStyle w:val="Body"/>
              <w:rPr>
                <w:i/>
                <w:iCs/>
                <w:szCs w:val="21"/>
              </w:rPr>
            </w:pPr>
            <w:r w:rsidRPr="00BB1E47">
              <w:rPr>
                <w:i/>
                <w:iCs/>
                <w:szCs w:val="21"/>
              </w:rPr>
              <w:t>Health Services Amendment (Ambulance Services) Act 2015</w:t>
            </w:r>
          </w:p>
          <w:p w14:paraId="2B1EFA91" w14:textId="77777777" w:rsidR="008C1CA0" w:rsidRPr="00BB1E47" w:rsidRDefault="008C1CA0" w:rsidP="00B108AF">
            <w:pPr>
              <w:pStyle w:val="Body"/>
              <w:rPr>
                <w:i/>
                <w:iCs/>
                <w:szCs w:val="21"/>
              </w:rPr>
            </w:pPr>
            <w:r w:rsidRPr="00BB1E47">
              <w:rPr>
                <w:szCs w:val="21"/>
              </w:rPr>
              <w:t>Service Specifications for Transport Providers, Patient Transport Service 2018</w:t>
            </w:r>
          </w:p>
        </w:tc>
        <w:tc>
          <w:tcPr>
            <w:tcW w:w="1843" w:type="dxa"/>
          </w:tcPr>
          <w:p w14:paraId="5E7F4758" w14:textId="77777777" w:rsidR="008C1CA0" w:rsidRPr="00BB1E47" w:rsidRDefault="008C1CA0" w:rsidP="00B108AF">
            <w:pPr>
              <w:pStyle w:val="Body"/>
              <w:rPr>
                <w:szCs w:val="21"/>
              </w:rPr>
            </w:pPr>
            <w:r w:rsidRPr="00BB1E47">
              <w:rPr>
                <w:szCs w:val="21"/>
              </w:rPr>
              <w:t>Costs met by the NSW Government</w:t>
            </w:r>
          </w:p>
        </w:tc>
        <w:tc>
          <w:tcPr>
            <w:tcW w:w="3544" w:type="dxa"/>
          </w:tcPr>
          <w:p w14:paraId="53E0DD6C" w14:textId="77777777" w:rsidR="008C1CA0" w:rsidRPr="00BB1E47" w:rsidRDefault="008C1CA0" w:rsidP="00B108AF">
            <w:pPr>
              <w:pStyle w:val="Body"/>
              <w:rPr>
                <w:szCs w:val="21"/>
              </w:rPr>
            </w:pPr>
            <w:r w:rsidRPr="00BB1E47">
              <w:rPr>
                <w:szCs w:val="21"/>
              </w:rPr>
              <w:t>Provides state-wide services across greater metropolitan Sydney and Hunter New England.</w:t>
            </w:r>
          </w:p>
          <w:p w14:paraId="749B6BFF" w14:textId="567F7257" w:rsidR="008C1CA0" w:rsidRPr="00BB1E47" w:rsidRDefault="008C1CA0" w:rsidP="00B108AF">
            <w:pPr>
              <w:pStyle w:val="Body"/>
              <w:rPr>
                <w:szCs w:val="21"/>
              </w:rPr>
            </w:pPr>
            <w:r w:rsidRPr="00BB1E47">
              <w:rPr>
                <w:szCs w:val="21"/>
              </w:rPr>
              <w:t xml:space="preserve">The Greater Metropolitan Booking Hub coordinates the booking and dispatching of non-urgent </w:t>
            </w:r>
            <w:r w:rsidR="0015343F" w:rsidRPr="00BB1E47">
              <w:rPr>
                <w:szCs w:val="21"/>
              </w:rPr>
              <w:t>NEPT</w:t>
            </w:r>
            <w:r w:rsidRPr="00BB1E47">
              <w:rPr>
                <w:szCs w:val="21"/>
              </w:rPr>
              <w:t xml:space="preserve"> bookings in greater metropolitan Sydney and Hunter New England.</w:t>
            </w:r>
          </w:p>
          <w:p w14:paraId="098B07D5" w14:textId="77777777" w:rsidR="008C1CA0" w:rsidRPr="00BB1E47" w:rsidRDefault="008C1CA0" w:rsidP="00B108AF">
            <w:pPr>
              <w:pStyle w:val="Body"/>
              <w:rPr>
                <w:szCs w:val="21"/>
              </w:rPr>
            </w:pPr>
            <w:r w:rsidRPr="00BB1E47">
              <w:rPr>
                <w:szCs w:val="21"/>
              </w:rPr>
              <w:t>The Greater Metropolitan Booking Hub also provides technical and after-hours operational support to Regional Satellites in Port Macquarie, Tamworth, Dubbo, Wagga Wagga and Goulburn</w:t>
            </w:r>
            <w:r w:rsidRPr="00BB1E47">
              <w:rPr>
                <w:rStyle w:val="FootnoteReference"/>
                <w:szCs w:val="21"/>
              </w:rPr>
              <w:footnoteReference w:id="96"/>
            </w:r>
          </w:p>
        </w:tc>
      </w:tr>
      <w:tr w:rsidR="008C1CA0" w14:paraId="4DA51107" w14:textId="77777777" w:rsidTr="005E7C0E">
        <w:trPr>
          <w:trHeight w:val="1390"/>
        </w:trPr>
        <w:tc>
          <w:tcPr>
            <w:tcW w:w="1419" w:type="dxa"/>
          </w:tcPr>
          <w:p w14:paraId="74221420" w14:textId="77777777" w:rsidR="008C1CA0" w:rsidRPr="00BB1E47" w:rsidRDefault="008C1CA0" w:rsidP="00B108AF">
            <w:pPr>
              <w:pStyle w:val="Body"/>
              <w:rPr>
                <w:b/>
                <w:bCs/>
                <w:szCs w:val="21"/>
              </w:rPr>
            </w:pPr>
            <w:r w:rsidRPr="00BB1E47">
              <w:rPr>
                <w:b/>
                <w:bCs/>
                <w:szCs w:val="21"/>
              </w:rPr>
              <w:t>Australian Capital Territory</w:t>
            </w:r>
          </w:p>
          <w:p w14:paraId="5A6B0AE1" w14:textId="77777777" w:rsidR="008C1CA0" w:rsidRPr="00BB1E47" w:rsidRDefault="008C1CA0" w:rsidP="00B108AF">
            <w:pPr>
              <w:pStyle w:val="Body"/>
              <w:rPr>
                <w:szCs w:val="21"/>
              </w:rPr>
            </w:pPr>
            <w:r w:rsidRPr="00BB1E47">
              <w:rPr>
                <w:szCs w:val="21"/>
              </w:rPr>
              <w:t>NEPT</w:t>
            </w:r>
          </w:p>
        </w:tc>
        <w:tc>
          <w:tcPr>
            <w:tcW w:w="1558" w:type="dxa"/>
          </w:tcPr>
          <w:p w14:paraId="578D524C" w14:textId="77777777" w:rsidR="008C1CA0" w:rsidRPr="00BB1E47" w:rsidRDefault="008C1CA0" w:rsidP="00B108AF">
            <w:pPr>
              <w:pStyle w:val="Body"/>
              <w:rPr>
                <w:szCs w:val="21"/>
              </w:rPr>
            </w:pPr>
            <w:r w:rsidRPr="00BB1E47">
              <w:rPr>
                <w:szCs w:val="21"/>
              </w:rPr>
              <w:t xml:space="preserve">ACT Emergency Services Agency (part of ACT Government) </w:t>
            </w:r>
          </w:p>
        </w:tc>
        <w:tc>
          <w:tcPr>
            <w:tcW w:w="2099" w:type="dxa"/>
          </w:tcPr>
          <w:p w14:paraId="639B1169" w14:textId="77777777" w:rsidR="008C1CA0" w:rsidRPr="00BB1E47" w:rsidRDefault="008C1CA0" w:rsidP="00B108AF">
            <w:pPr>
              <w:pStyle w:val="Body"/>
              <w:rPr>
                <w:szCs w:val="21"/>
              </w:rPr>
            </w:pPr>
            <w:r w:rsidRPr="00BB1E47">
              <w:rPr>
                <w:szCs w:val="21"/>
              </w:rPr>
              <w:t>N/A</w:t>
            </w:r>
          </w:p>
        </w:tc>
        <w:tc>
          <w:tcPr>
            <w:tcW w:w="1723" w:type="dxa"/>
          </w:tcPr>
          <w:p w14:paraId="4EF7E740" w14:textId="77777777" w:rsidR="008C1CA0" w:rsidRPr="00BB1E47" w:rsidRDefault="008C1CA0" w:rsidP="00B108AF">
            <w:pPr>
              <w:pStyle w:val="Body"/>
              <w:rPr>
                <w:szCs w:val="21"/>
              </w:rPr>
            </w:pPr>
            <w:r w:rsidRPr="00BB1E47">
              <w:rPr>
                <w:szCs w:val="21"/>
              </w:rPr>
              <w:t>ACT Ambulance (operational service of ACT Emergency Services Agency)</w:t>
            </w:r>
          </w:p>
        </w:tc>
        <w:tc>
          <w:tcPr>
            <w:tcW w:w="1701" w:type="dxa"/>
          </w:tcPr>
          <w:p w14:paraId="176F50A1" w14:textId="77777777" w:rsidR="008C1CA0" w:rsidRPr="00BB1E47" w:rsidRDefault="008C1CA0" w:rsidP="00B108AF">
            <w:pPr>
              <w:pStyle w:val="Body"/>
              <w:rPr>
                <w:rStyle w:val="Emphasis"/>
              </w:rPr>
            </w:pPr>
            <w:r w:rsidRPr="00BB1E47">
              <w:rPr>
                <w:rStyle w:val="Emphasis"/>
              </w:rPr>
              <w:t>Emergencies Act 2004</w:t>
            </w:r>
          </w:p>
        </w:tc>
        <w:tc>
          <w:tcPr>
            <w:tcW w:w="1843" w:type="dxa"/>
          </w:tcPr>
          <w:p w14:paraId="2474E3D1" w14:textId="77777777" w:rsidR="008C1CA0" w:rsidRPr="00BB1E47" w:rsidRDefault="008C1CA0" w:rsidP="00B108AF">
            <w:pPr>
              <w:pStyle w:val="Body"/>
              <w:rPr>
                <w:szCs w:val="21"/>
              </w:rPr>
            </w:pPr>
            <w:r w:rsidRPr="00BB1E47">
              <w:rPr>
                <w:szCs w:val="21"/>
              </w:rPr>
              <w:t>Costs met by the ACT Government</w:t>
            </w:r>
          </w:p>
        </w:tc>
        <w:tc>
          <w:tcPr>
            <w:tcW w:w="3544" w:type="dxa"/>
          </w:tcPr>
          <w:p w14:paraId="33548CA9" w14:textId="77777777" w:rsidR="008C1CA0" w:rsidRDefault="008C1CA0" w:rsidP="00B108AF">
            <w:pPr>
              <w:pStyle w:val="Body"/>
              <w:rPr>
                <w:szCs w:val="21"/>
              </w:rPr>
            </w:pPr>
            <w:r w:rsidRPr="00BB1E47">
              <w:rPr>
                <w:szCs w:val="21"/>
              </w:rPr>
              <w:t>Provides services across the jurisdiction</w:t>
            </w:r>
            <w:r>
              <w:rPr>
                <w:szCs w:val="21"/>
              </w:rPr>
              <w:t xml:space="preserve"> </w:t>
            </w:r>
          </w:p>
        </w:tc>
      </w:tr>
    </w:tbl>
    <w:p w14:paraId="5AEC7F68" w14:textId="77777777" w:rsidR="00134DA0" w:rsidRPr="008C1CA0" w:rsidRDefault="00134DA0" w:rsidP="008C1CA0"/>
    <w:sectPr w:rsidR="00134DA0" w:rsidRPr="008C1CA0" w:rsidSect="0015343F">
      <w:headerReference w:type="first" r:id="rId32"/>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B2BE" w14:textId="77777777" w:rsidR="0047377F" w:rsidRDefault="0047377F">
      <w:r>
        <w:separator/>
      </w:r>
    </w:p>
  </w:endnote>
  <w:endnote w:type="continuationSeparator" w:id="0">
    <w:p w14:paraId="1A0C71AC" w14:textId="77777777" w:rsidR="0047377F" w:rsidRDefault="0047377F">
      <w:r>
        <w:continuationSeparator/>
      </w:r>
    </w:p>
  </w:endnote>
  <w:endnote w:type="continuationNotice" w:id="1">
    <w:p w14:paraId="1F874639" w14:textId="77777777" w:rsidR="0047377F" w:rsidRDefault="00473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790F" w14:textId="77777777" w:rsidR="000B0E19" w:rsidRDefault="000B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93FE" w14:textId="0A23CCFF" w:rsidR="008C1CA0" w:rsidRPr="00F65AA9" w:rsidRDefault="008C1CA0" w:rsidP="00F8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1543" w14:textId="3171B73E" w:rsidR="000B0E19" w:rsidRDefault="000B0E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6556" w14:textId="728F9A6A"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EB4B" w14:textId="77777777" w:rsidR="0047377F" w:rsidRDefault="0047377F" w:rsidP="002862F1">
      <w:pPr>
        <w:spacing w:before="120"/>
      </w:pPr>
      <w:r>
        <w:separator/>
      </w:r>
    </w:p>
  </w:footnote>
  <w:footnote w:type="continuationSeparator" w:id="0">
    <w:p w14:paraId="4F08F24C" w14:textId="77777777" w:rsidR="0047377F" w:rsidRDefault="0047377F">
      <w:r>
        <w:continuationSeparator/>
      </w:r>
    </w:p>
  </w:footnote>
  <w:footnote w:type="continuationNotice" w:id="1">
    <w:p w14:paraId="4170E68C" w14:textId="77777777" w:rsidR="0047377F" w:rsidRDefault="0047377F">
      <w:pPr>
        <w:spacing w:after="0" w:line="240" w:lineRule="auto"/>
      </w:pPr>
    </w:p>
  </w:footnote>
  <w:footnote w:id="2">
    <w:p w14:paraId="614725DE" w14:textId="77777777" w:rsidR="008C1CA0" w:rsidRPr="004B5F12" w:rsidRDefault="008C1CA0" w:rsidP="000D1783">
      <w:pPr>
        <w:pStyle w:val="Body"/>
        <w:spacing w:line="240" w:lineRule="auto"/>
        <w:rPr>
          <w:rFonts w:cs="Arial"/>
          <w:sz w:val="18"/>
          <w:szCs w:val="18"/>
        </w:rPr>
      </w:pPr>
      <w:r w:rsidRPr="004B5F12">
        <w:rPr>
          <w:rStyle w:val="FootnoteReference"/>
          <w:rFonts w:cs="Arial"/>
          <w:sz w:val="18"/>
          <w:szCs w:val="18"/>
        </w:rPr>
        <w:footnoteRef/>
      </w:r>
      <w:r w:rsidRPr="004B5F12">
        <w:rPr>
          <w:rFonts w:cs="Arial"/>
          <w:sz w:val="18"/>
          <w:szCs w:val="18"/>
        </w:rPr>
        <w:t xml:space="preserve"> On 14 April 2023, the Victorian Government released the terms of reference for a review of non-emergency patient transport services in Victoria. </w:t>
      </w:r>
      <w:hyperlink r:id="rId1" w:history="1">
        <w:r w:rsidRPr="004B5F12">
          <w:rPr>
            <w:rStyle w:val="Hyperlink"/>
            <w:rFonts w:cs="Arial"/>
            <w:sz w:val="18"/>
            <w:szCs w:val="18"/>
          </w:rPr>
          <w:t>https://www.health.vic.gov.au/patient-care/non-emergency-patient-transport-review</w:t>
        </w:r>
      </w:hyperlink>
      <w:r w:rsidRPr="004B5F12">
        <w:rPr>
          <w:rFonts w:cs="Arial"/>
          <w:sz w:val="18"/>
          <w:szCs w:val="18"/>
        </w:rPr>
        <w:t xml:space="preserve"> </w:t>
      </w:r>
    </w:p>
  </w:footnote>
  <w:footnote w:id="3">
    <w:p w14:paraId="01849B41" w14:textId="77777777" w:rsidR="008C1CA0" w:rsidRDefault="008C1CA0" w:rsidP="000D1783">
      <w:pPr>
        <w:pStyle w:val="FootnoteText"/>
        <w:spacing w:line="240" w:lineRule="auto"/>
      </w:pPr>
      <w:r>
        <w:rPr>
          <w:rStyle w:val="FootnoteReference"/>
        </w:rPr>
        <w:footnoteRef/>
      </w:r>
      <w:r>
        <w:t xml:space="preserve"> </w:t>
      </w:r>
      <w:r>
        <w:rPr>
          <w:szCs w:val="21"/>
          <w:lang w:eastAsia="en-AU"/>
        </w:rPr>
        <w:t xml:space="preserve">a </w:t>
      </w:r>
      <w:r w:rsidRPr="005515C2">
        <w:t xml:space="preserve">registered medical practitioner, a registered nurse, or a </w:t>
      </w:r>
      <w:r>
        <w:t xml:space="preserve">registered paramedic. </w:t>
      </w:r>
    </w:p>
  </w:footnote>
  <w:footnote w:id="4">
    <w:p w14:paraId="403D8630" w14:textId="77777777" w:rsidR="00384050" w:rsidRDefault="00384050" w:rsidP="00384050">
      <w:pPr>
        <w:pStyle w:val="FootnoteText"/>
        <w:spacing w:line="240" w:lineRule="auto"/>
      </w:pPr>
      <w:r>
        <w:rPr>
          <w:rStyle w:val="FootnoteReference"/>
        </w:rPr>
        <w:footnoteRef/>
      </w:r>
      <w:r>
        <w:t xml:space="preserve"> Source: Victorian Department of Health. (2021). </w:t>
      </w:r>
      <w:proofErr w:type="spellStart"/>
      <w:proofErr w:type="gramStart"/>
      <w:r w:rsidRPr="00BC203B">
        <w:rPr>
          <w:i/>
        </w:rPr>
        <w:t>Non Emergency</w:t>
      </w:r>
      <w:proofErr w:type="spellEnd"/>
      <w:proofErr w:type="gramEnd"/>
      <w:r w:rsidRPr="00BC203B">
        <w:rPr>
          <w:i/>
        </w:rPr>
        <w:t xml:space="preserve"> Patient Transport Regulations 2016 (incorporating 2021 amendments</w:t>
      </w:r>
      <w:r w:rsidRPr="00BC203B">
        <w:rPr>
          <w:i/>
          <w:iCs/>
        </w:rPr>
        <w:t>)</w:t>
      </w:r>
      <w:r>
        <w:rPr>
          <w:i/>
          <w:iCs/>
        </w:rPr>
        <w:t>.</w:t>
      </w:r>
      <w:r>
        <w:rPr>
          <w:i/>
        </w:rPr>
        <w:t xml:space="preserve"> </w:t>
      </w:r>
      <w:hyperlink r:id="rId2" w:history="1">
        <w:r w:rsidRPr="00E61D53">
          <w:rPr>
            <w:rStyle w:val="Hyperlink"/>
          </w:rPr>
          <w:t>https://www.health.vic.gov.au/patient-care/nept-legislation-and-clinical-practice-protocols</w:t>
        </w:r>
      </w:hyperlink>
      <w:r>
        <w:t xml:space="preserve"> </w:t>
      </w:r>
      <w:r w:rsidRPr="00573C19">
        <w:t xml:space="preserve"> </w:t>
      </w:r>
      <w:r>
        <w:t xml:space="preserve"> </w:t>
      </w:r>
    </w:p>
  </w:footnote>
  <w:footnote w:id="5">
    <w:p w14:paraId="40708ADF" w14:textId="14AC5413" w:rsidR="00250EB5" w:rsidRDefault="00250EB5">
      <w:pPr>
        <w:pStyle w:val="FootnoteText"/>
      </w:pPr>
      <w:r>
        <w:rPr>
          <w:rStyle w:val="FootnoteReference"/>
        </w:rPr>
        <w:footnoteRef/>
      </w:r>
      <w:r>
        <w:t xml:space="preserve"> </w:t>
      </w:r>
      <w:r w:rsidR="00E56DEF">
        <w:t xml:space="preserve">NEPT transfers by air are carried out by </w:t>
      </w:r>
      <w:r w:rsidR="00870047">
        <w:t xml:space="preserve">the </w:t>
      </w:r>
      <w:r w:rsidR="00870047" w:rsidRPr="00870047">
        <w:t>Royal Flying Doctor Service</w:t>
      </w:r>
      <w:r w:rsidR="00870047">
        <w:t>.</w:t>
      </w:r>
      <w:r w:rsidR="0005479B">
        <w:t xml:space="preserve"> </w:t>
      </w:r>
      <w:r w:rsidR="00870047">
        <w:t xml:space="preserve">Air Ambulance Victoria </w:t>
      </w:r>
      <w:r w:rsidR="00927C38">
        <w:t>services are focussed on</w:t>
      </w:r>
      <w:r w:rsidR="0005479B">
        <w:t xml:space="preserve"> </w:t>
      </w:r>
      <w:r w:rsidR="0005479B" w:rsidRPr="0005479B">
        <w:t>emergency response</w:t>
      </w:r>
    </w:p>
  </w:footnote>
  <w:footnote w:id="6">
    <w:p w14:paraId="2C79878E" w14:textId="0DA26A5C" w:rsidR="005E1709" w:rsidRDefault="005E1709" w:rsidP="000D1783">
      <w:pPr>
        <w:pStyle w:val="FootnoteText"/>
        <w:spacing w:line="240" w:lineRule="auto"/>
      </w:pPr>
      <w:r>
        <w:rPr>
          <w:rStyle w:val="FootnoteReference"/>
        </w:rPr>
        <w:footnoteRef/>
      </w:r>
      <w:r>
        <w:t xml:space="preserve"> </w:t>
      </w:r>
      <w:r w:rsidRPr="005E1709">
        <w:t>such as outpatients, radiological, cancer treatment and other specialist appointments</w:t>
      </w:r>
      <w:r>
        <w:t>.</w:t>
      </w:r>
    </w:p>
  </w:footnote>
  <w:footnote w:id="7">
    <w:p w14:paraId="13B1EC58" w14:textId="78333F58"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rPr>
          <w:szCs w:val="18"/>
        </w:rPr>
        <w:t>For example,</w:t>
      </w:r>
      <w:r w:rsidRPr="004B5F12">
        <w:rPr>
          <w:szCs w:val="18"/>
        </w:rPr>
        <w:t xml:space="preserve"> </w:t>
      </w:r>
      <w:r>
        <w:rPr>
          <w:szCs w:val="18"/>
        </w:rPr>
        <w:t>community transport</w:t>
      </w:r>
      <w:r w:rsidRPr="004B5F12" w:rsidDel="00DE0CA6">
        <w:rPr>
          <w:szCs w:val="18"/>
        </w:rPr>
        <w:t xml:space="preserve"> </w:t>
      </w:r>
      <w:r w:rsidRPr="004B5F12">
        <w:rPr>
          <w:szCs w:val="18"/>
        </w:rPr>
        <w:t>servic</w:t>
      </w:r>
      <w:r>
        <w:rPr>
          <w:szCs w:val="18"/>
        </w:rPr>
        <w:t>ing low acuity/</w:t>
      </w:r>
      <w:r w:rsidRPr="004B5F12">
        <w:rPr>
          <w:szCs w:val="18"/>
        </w:rPr>
        <w:t xml:space="preserve">non-clinical non-urgent cases. </w:t>
      </w:r>
      <w:r>
        <w:rPr>
          <w:szCs w:val="18"/>
        </w:rPr>
        <w:t xml:space="preserve">In addition, </w:t>
      </w:r>
      <w:r w:rsidR="00045292">
        <w:rPr>
          <w:szCs w:val="18"/>
        </w:rPr>
        <w:t>the Department of Health</w:t>
      </w:r>
      <w:r w:rsidRPr="004B5F12">
        <w:rPr>
          <w:szCs w:val="18"/>
        </w:rPr>
        <w:t xml:space="preserve"> has a contract with Red Cross to provide medically necessary transports, for vulnerable cohorts who do not qualify for NEPT but have no other transport options.  </w:t>
      </w:r>
    </w:p>
  </w:footnote>
  <w:footnote w:id="8">
    <w:p w14:paraId="2BC49FE5" w14:textId="647797F6" w:rsidR="008C1CA0" w:rsidRDefault="008C1CA0" w:rsidP="000D1783">
      <w:pPr>
        <w:pStyle w:val="FootnoteText"/>
        <w:spacing w:line="240" w:lineRule="auto"/>
      </w:pPr>
      <w:r>
        <w:rPr>
          <w:rStyle w:val="FootnoteReference"/>
        </w:rPr>
        <w:footnoteRef/>
      </w:r>
      <w:r>
        <w:t xml:space="preserve"> Source: Emergency Management Victoria. (2017). </w:t>
      </w:r>
      <w:r w:rsidRPr="000E751B">
        <w:rPr>
          <w:i/>
        </w:rPr>
        <w:t>Emergency Management Victoria Operational Review 2016-17</w:t>
      </w:r>
      <w:r w:rsidRPr="000E751B">
        <w:rPr>
          <w:i/>
          <w:iCs/>
        </w:rPr>
        <w:t>.</w:t>
      </w:r>
      <w:r>
        <w:t xml:space="preserve"> </w:t>
      </w:r>
      <w:hyperlink r:id="rId3" w:history="1">
        <w:r w:rsidR="007E22D6" w:rsidRPr="00E61D53">
          <w:rPr>
            <w:rStyle w:val="Hyperlink"/>
          </w:rPr>
          <w:t>https://www.emv.vic.gov.au/publications/emergency-management-operational-review-2016-17</w:t>
        </w:r>
      </w:hyperlink>
      <w:r w:rsidR="007E22D6">
        <w:t xml:space="preserve"> </w:t>
      </w:r>
    </w:p>
  </w:footnote>
  <w:footnote w:id="9">
    <w:p w14:paraId="459A6630" w14:textId="6D2A819E" w:rsidR="004C3FB9" w:rsidRPr="004B5F12" w:rsidRDefault="004C3FB9" w:rsidP="000D1783">
      <w:pPr>
        <w:pStyle w:val="FootnoteText"/>
        <w:spacing w:line="240" w:lineRule="auto"/>
        <w:rPr>
          <w:szCs w:val="18"/>
        </w:rPr>
      </w:pPr>
      <w:r w:rsidRPr="004B5F12">
        <w:rPr>
          <w:rStyle w:val="FootnoteReference"/>
          <w:szCs w:val="18"/>
        </w:rPr>
        <w:footnoteRef/>
      </w:r>
      <w:r w:rsidRPr="004B5F12">
        <w:rPr>
          <w:szCs w:val="18"/>
        </w:rPr>
        <w:t xml:space="preserve"> </w:t>
      </w:r>
      <w:r>
        <w:rPr>
          <w:szCs w:val="18"/>
        </w:rPr>
        <w:t xml:space="preserve">Source: </w:t>
      </w:r>
      <w:r w:rsidRPr="004B5F12">
        <w:rPr>
          <w:szCs w:val="18"/>
        </w:rPr>
        <w:t xml:space="preserve">NEPT provider </w:t>
      </w:r>
      <w:r>
        <w:rPr>
          <w:szCs w:val="18"/>
        </w:rPr>
        <w:t>a</w:t>
      </w:r>
      <w:r w:rsidRPr="004B5F12">
        <w:rPr>
          <w:szCs w:val="18"/>
        </w:rPr>
        <w:t xml:space="preserve">nnual </w:t>
      </w:r>
      <w:r w:rsidRPr="004C3FB9">
        <w:rPr>
          <w:szCs w:val="18"/>
        </w:rPr>
        <w:t xml:space="preserve">reporting </w:t>
      </w:r>
      <w:r w:rsidRPr="00CF4139">
        <w:rPr>
          <w:szCs w:val="18"/>
        </w:rPr>
        <w:t>2021</w:t>
      </w:r>
      <w:r w:rsidRPr="004C3FB9">
        <w:rPr>
          <w:szCs w:val="18"/>
        </w:rPr>
        <w:t>-22</w:t>
      </w:r>
      <w:r w:rsidRPr="004B5F12">
        <w:rPr>
          <w:szCs w:val="18"/>
        </w:rPr>
        <w:t xml:space="preserve"> </w:t>
      </w:r>
      <w:r>
        <w:rPr>
          <w:szCs w:val="18"/>
        </w:rPr>
        <w:t xml:space="preserve">collected by </w:t>
      </w:r>
      <w:r w:rsidRPr="004B5F12">
        <w:rPr>
          <w:szCs w:val="18"/>
        </w:rPr>
        <w:t xml:space="preserve">the </w:t>
      </w:r>
      <w:r>
        <w:rPr>
          <w:szCs w:val="18"/>
        </w:rPr>
        <w:t>Department of Health</w:t>
      </w:r>
    </w:p>
  </w:footnote>
  <w:footnote w:id="10">
    <w:p w14:paraId="7B241313" w14:textId="2292150B" w:rsidR="001C61B9" w:rsidRDefault="001C61B9" w:rsidP="000D1783">
      <w:pPr>
        <w:pStyle w:val="FootnoteText"/>
        <w:spacing w:line="240" w:lineRule="auto"/>
      </w:pPr>
      <w:r>
        <w:rPr>
          <w:rStyle w:val="FootnoteReference"/>
        </w:rPr>
        <w:footnoteRef/>
      </w:r>
      <w:r>
        <w:t xml:space="preserve"> </w:t>
      </w:r>
      <w:r w:rsidR="00CC239D">
        <w:t xml:space="preserve">Source: Ambulance Victoria </w:t>
      </w:r>
      <w:r w:rsidR="001A0E94">
        <w:t xml:space="preserve">(2022) </w:t>
      </w:r>
      <w:r w:rsidR="00CC239D" w:rsidRPr="001A0E94">
        <w:rPr>
          <w:i/>
          <w:iCs/>
        </w:rPr>
        <w:t xml:space="preserve">Ambulance Victoria </w:t>
      </w:r>
      <w:r w:rsidR="00CC239D" w:rsidRPr="001A0E94">
        <w:rPr>
          <w:i/>
        </w:rPr>
        <w:t>Annual Report 2021-22</w:t>
      </w:r>
      <w:r w:rsidR="00CC239D">
        <w:t xml:space="preserve">, at </w:t>
      </w:r>
      <w:hyperlink r:id="rId4" w:history="1">
        <w:r w:rsidR="007E22D6" w:rsidRPr="00E61D53">
          <w:rPr>
            <w:rStyle w:val="Hyperlink"/>
          </w:rPr>
          <w:t>https://www.ambulance.vic.gov.au/wp-content/uploads/2022/12/Ambulance-Victoria-Annual-Report-2021-22.pdf</w:t>
        </w:r>
      </w:hyperlink>
      <w:r w:rsidR="007E22D6">
        <w:t xml:space="preserve"> </w:t>
      </w:r>
    </w:p>
  </w:footnote>
  <w:footnote w:id="11">
    <w:p w14:paraId="79C09BA0" w14:textId="08399D56" w:rsidR="00272BFE" w:rsidRDefault="00272BFE" w:rsidP="000D1783">
      <w:pPr>
        <w:pStyle w:val="FootnoteText"/>
        <w:spacing w:line="240" w:lineRule="auto"/>
      </w:pPr>
      <w:r>
        <w:rPr>
          <w:rStyle w:val="FootnoteReference"/>
        </w:rPr>
        <w:footnoteRef/>
      </w:r>
      <w:r>
        <w:t xml:space="preserve"> Source: </w:t>
      </w:r>
      <w:r w:rsidRPr="004B5F12">
        <w:rPr>
          <w:szCs w:val="18"/>
        </w:rPr>
        <w:t xml:space="preserve">NEPT provider </w:t>
      </w:r>
      <w:r>
        <w:rPr>
          <w:szCs w:val="18"/>
        </w:rPr>
        <w:t>a</w:t>
      </w:r>
      <w:r w:rsidRPr="004B5F12">
        <w:rPr>
          <w:szCs w:val="18"/>
        </w:rPr>
        <w:t xml:space="preserve">nnual </w:t>
      </w:r>
      <w:r w:rsidRPr="004C3FB9">
        <w:rPr>
          <w:szCs w:val="18"/>
        </w:rPr>
        <w:t xml:space="preserve">reporting </w:t>
      </w:r>
      <w:r w:rsidRPr="00CF4139">
        <w:rPr>
          <w:szCs w:val="18"/>
        </w:rPr>
        <w:t>2021</w:t>
      </w:r>
      <w:r w:rsidRPr="004C3FB9">
        <w:rPr>
          <w:szCs w:val="18"/>
        </w:rPr>
        <w:t>-22</w:t>
      </w:r>
      <w:r>
        <w:t xml:space="preserve"> and AV reported figure</w:t>
      </w:r>
    </w:p>
  </w:footnote>
  <w:footnote w:id="12">
    <w:p w14:paraId="77B6490C" w14:textId="24349453" w:rsidR="00154BDF" w:rsidRDefault="00154BDF">
      <w:pPr>
        <w:pStyle w:val="FootnoteText"/>
      </w:pPr>
      <w:r>
        <w:rPr>
          <w:rStyle w:val="FootnoteReference"/>
        </w:rPr>
        <w:footnoteRef/>
      </w:r>
      <w:r>
        <w:t xml:space="preserve"> Source: NEPT provider annual reporting 2021-22</w:t>
      </w:r>
      <w:r w:rsidR="00004B4F">
        <w:t>; A</w:t>
      </w:r>
      <w:r w:rsidR="0003154F">
        <w:t>mbulance Victoria Annual Report 2021-22</w:t>
      </w:r>
    </w:p>
  </w:footnote>
  <w:footnote w:id="13">
    <w:p w14:paraId="60FCF356" w14:textId="1AF77EEB" w:rsidR="00272BFE" w:rsidRDefault="00272BFE" w:rsidP="000D1783">
      <w:pPr>
        <w:pStyle w:val="FootnoteText"/>
        <w:spacing w:line="240" w:lineRule="auto"/>
      </w:pPr>
      <w:r>
        <w:rPr>
          <w:rStyle w:val="FootnoteReference"/>
        </w:rPr>
        <w:footnoteRef/>
      </w:r>
      <w:r>
        <w:t xml:space="preserve"> NEPT providers report these pathways exacerbate the recruitment pressures they face, particularly in rural areas, as discussed in Section </w:t>
      </w:r>
      <w:r>
        <w:fldChar w:fldCharType="begin"/>
      </w:r>
      <w:r>
        <w:instrText xml:space="preserve"> REF _Ref135569367 \r \h </w:instrText>
      </w:r>
      <w:r w:rsidR="000D1783">
        <w:instrText xml:space="preserve"> \* MERGEFORMAT </w:instrText>
      </w:r>
      <w:r>
        <w:fldChar w:fldCharType="separate"/>
      </w:r>
      <w:r w:rsidR="00F75DD1">
        <w:t>4.3</w:t>
      </w:r>
      <w:r>
        <w:fldChar w:fldCharType="end"/>
      </w:r>
      <w:r>
        <w:t xml:space="preserve">. </w:t>
      </w:r>
    </w:p>
  </w:footnote>
  <w:footnote w:id="14">
    <w:p w14:paraId="22A162BA" w14:textId="7F5D9A21"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Currently, NEPT practitioners can administer </w:t>
      </w:r>
      <w:r w:rsidR="00903815">
        <w:rPr>
          <w:szCs w:val="18"/>
        </w:rPr>
        <w:t>five</w:t>
      </w:r>
      <w:r w:rsidR="00903815" w:rsidRPr="004B5F12">
        <w:rPr>
          <w:szCs w:val="18"/>
        </w:rPr>
        <w:t xml:space="preserve"> Schedule 4 medicines</w:t>
      </w:r>
      <w:r w:rsidR="001217D6">
        <w:rPr>
          <w:szCs w:val="18"/>
        </w:rPr>
        <w:t xml:space="preserve"> </w:t>
      </w:r>
      <w:r w:rsidR="00903815">
        <w:rPr>
          <w:szCs w:val="18"/>
        </w:rPr>
        <w:t>(</w:t>
      </w:r>
      <w:r w:rsidR="00903815" w:rsidRPr="0061302B">
        <w:rPr>
          <w:szCs w:val="18"/>
        </w:rPr>
        <w:t>Amiodarone</w:t>
      </w:r>
      <w:r w:rsidR="00903815">
        <w:rPr>
          <w:szCs w:val="18"/>
        </w:rPr>
        <w:t xml:space="preserve">, </w:t>
      </w:r>
      <w:r w:rsidR="00903815" w:rsidRPr="0061302B">
        <w:rPr>
          <w:szCs w:val="18"/>
        </w:rPr>
        <w:t>Ipratropium</w:t>
      </w:r>
      <w:r w:rsidR="00903815">
        <w:rPr>
          <w:szCs w:val="18"/>
        </w:rPr>
        <w:t xml:space="preserve">, </w:t>
      </w:r>
      <w:r w:rsidR="00903815" w:rsidRPr="0061302B">
        <w:rPr>
          <w:szCs w:val="18"/>
        </w:rPr>
        <w:t>Methoxyflurane</w:t>
      </w:r>
      <w:r w:rsidR="00903815">
        <w:rPr>
          <w:szCs w:val="18"/>
        </w:rPr>
        <w:t xml:space="preserve">, </w:t>
      </w:r>
      <w:r w:rsidR="00903815" w:rsidRPr="0061302B">
        <w:rPr>
          <w:szCs w:val="18"/>
        </w:rPr>
        <w:t>Ondansetron</w:t>
      </w:r>
      <w:r w:rsidR="00903815">
        <w:rPr>
          <w:szCs w:val="18"/>
        </w:rPr>
        <w:t xml:space="preserve">, </w:t>
      </w:r>
      <w:r w:rsidR="00903815" w:rsidRPr="0061302B">
        <w:rPr>
          <w:szCs w:val="18"/>
        </w:rPr>
        <w:t>Salbutamol</w:t>
      </w:r>
      <w:r w:rsidR="00903815">
        <w:rPr>
          <w:szCs w:val="18"/>
        </w:rPr>
        <w:t>).</w:t>
      </w:r>
      <w:r w:rsidR="00903815" w:rsidRPr="004B5F12">
        <w:rPr>
          <w:szCs w:val="18"/>
        </w:rPr>
        <w:t xml:space="preserve"> Administration of Schedule 8 medications is not currently a clinical option for NEPT staff under the Clinical Scope of Practice.</w:t>
      </w:r>
    </w:p>
  </w:footnote>
  <w:footnote w:id="15">
    <w:p w14:paraId="2B37D3C0" w14:textId="17764E57" w:rsidR="002A1DE3" w:rsidRDefault="002A1DE3" w:rsidP="000D1783">
      <w:pPr>
        <w:pStyle w:val="FootnoteText"/>
        <w:spacing w:line="240" w:lineRule="auto"/>
      </w:pPr>
      <w:r>
        <w:rPr>
          <w:rStyle w:val="FootnoteReference"/>
        </w:rPr>
        <w:footnoteRef/>
      </w:r>
      <w:r w:rsidR="001B1280">
        <w:t xml:space="preserve"> </w:t>
      </w:r>
      <w:r>
        <w:t>Non-Emergency Patient Transport</w:t>
      </w:r>
      <w:r w:rsidRPr="006123EC">
        <w:t xml:space="preserve"> Clinical Practice Protocols</w:t>
      </w:r>
      <w:r>
        <w:t xml:space="preserve"> 20</w:t>
      </w:r>
      <w:r w:rsidR="00921950">
        <w:t>23</w:t>
      </w:r>
      <w:r>
        <w:t xml:space="preserve"> edition</w:t>
      </w:r>
      <w:r w:rsidR="00BF4A60">
        <w:t xml:space="preserve">, Department of Health </w:t>
      </w:r>
    </w:p>
  </w:footnote>
  <w:footnote w:id="16">
    <w:p w14:paraId="64D66436" w14:textId="0A329082" w:rsidR="00D4257B" w:rsidRDefault="00D4257B" w:rsidP="000D1783">
      <w:pPr>
        <w:pStyle w:val="FootnoteText"/>
        <w:spacing w:line="240" w:lineRule="auto"/>
      </w:pPr>
      <w:r>
        <w:rPr>
          <w:rStyle w:val="FootnoteReference"/>
        </w:rPr>
        <w:footnoteRef/>
      </w:r>
      <w:r>
        <w:t xml:space="preserve"> </w:t>
      </w:r>
      <w:r w:rsidR="00921950">
        <w:t>Non-Emergency Patient Transport</w:t>
      </w:r>
      <w:r w:rsidR="00921950" w:rsidRPr="006123EC">
        <w:t xml:space="preserve"> Clinical Practice Protocols</w:t>
      </w:r>
      <w:r w:rsidR="00921950">
        <w:t xml:space="preserve"> 2023 edition</w:t>
      </w:r>
      <w:r w:rsidR="006F27B8">
        <w:t xml:space="preserve">, Department of Health </w:t>
      </w:r>
    </w:p>
  </w:footnote>
  <w:footnote w:id="17">
    <w:p w14:paraId="4B5CDAFB"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Section 5 of the NEPT Act makes it an offence for a person or a body corporate to operate a NEPT service unless they hold a licence and section 13 provides the Secretary of the Department of Health the authority to grant a NEPT license. The Act also provides inspection and enforcement powers to authorised officers, to require providers of NEPT services to produce vehicles and documents for inspection, for the purpose of monitoring compliance with the NEPT Act and regulations.</w:t>
      </w:r>
    </w:p>
  </w:footnote>
  <w:footnote w:id="18">
    <w:p w14:paraId="4449BB4E" w14:textId="77777777" w:rsidR="008C1CA0" w:rsidRDefault="008C1CA0" w:rsidP="000D1783">
      <w:pPr>
        <w:pStyle w:val="FootnoteText"/>
        <w:spacing w:line="240" w:lineRule="auto"/>
      </w:pPr>
      <w:r>
        <w:rPr>
          <w:rStyle w:val="FootnoteReference"/>
        </w:rPr>
        <w:footnoteRef/>
      </w:r>
      <w:r>
        <w:t xml:space="preserve"> There is no provision for issuing infringements within the Act or Regulations.</w:t>
      </w:r>
    </w:p>
  </w:footnote>
  <w:footnote w:id="19">
    <w:p w14:paraId="5BA37D4B" w14:textId="7AEDD9A4" w:rsidR="008C1CA0" w:rsidRDefault="008C1CA0" w:rsidP="000D1783">
      <w:pPr>
        <w:pStyle w:val="FootnoteText"/>
        <w:spacing w:line="240" w:lineRule="auto"/>
      </w:pPr>
      <w:r>
        <w:rPr>
          <w:rStyle w:val="FootnoteReference"/>
        </w:rPr>
        <w:footnoteRef/>
      </w:r>
      <w:r>
        <w:t xml:space="preserve"> </w:t>
      </w:r>
      <w:r w:rsidRPr="00FD3C61">
        <w:rPr>
          <w:szCs w:val="18"/>
        </w:rPr>
        <w:t xml:space="preserve">Victorian </w:t>
      </w:r>
      <w:r w:rsidR="004611CF">
        <w:rPr>
          <w:szCs w:val="18"/>
        </w:rPr>
        <w:t>WorkSafe</w:t>
      </w:r>
      <w:r w:rsidRPr="00FD3C61">
        <w:rPr>
          <w:szCs w:val="18"/>
        </w:rPr>
        <w:t xml:space="preserve"> patient</w:t>
      </w:r>
      <w:r>
        <w:rPr>
          <w:szCs w:val="18"/>
        </w:rPr>
        <w:t xml:space="preserve">s, </w:t>
      </w:r>
      <w:r w:rsidRPr="00FD3C61">
        <w:rPr>
          <w:szCs w:val="18"/>
        </w:rPr>
        <w:t>Department of Veterans’ Affairs Gold Card or White Card holder</w:t>
      </w:r>
      <w:r>
        <w:rPr>
          <w:szCs w:val="18"/>
        </w:rPr>
        <w:t>s and</w:t>
      </w:r>
      <w:r w:rsidRPr="005F0311">
        <w:rPr>
          <w:szCs w:val="18"/>
        </w:rPr>
        <w:t xml:space="preserve"> </w:t>
      </w:r>
      <w:r w:rsidRPr="00FD3C61">
        <w:rPr>
          <w:szCs w:val="18"/>
        </w:rPr>
        <w:t>Transport Accident Commission patient</w:t>
      </w:r>
      <w:r>
        <w:rPr>
          <w:szCs w:val="18"/>
        </w:rPr>
        <w:t xml:space="preserve">s are not charged for NEPT services – the relevant programmes are invoiced in line with </w:t>
      </w:r>
      <w:r w:rsidRPr="000A6FB1">
        <w:rPr>
          <w:szCs w:val="18"/>
        </w:rPr>
        <w:t>Ambulance services payment guidelines</w:t>
      </w:r>
    </w:p>
  </w:footnote>
  <w:footnote w:id="20">
    <w:p w14:paraId="0F42BC54" w14:textId="77777777" w:rsidR="00C64C0D" w:rsidRDefault="00C64C0D" w:rsidP="00C64C0D">
      <w:pPr>
        <w:pStyle w:val="FootnoteText"/>
        <w:spacing w:line="240" w:lineRule="auto"/>
      </w:pPr>
      <w:r>
        <w:rPr>
          <w:rStyle w:val="FootnoteReference"/>
        </w:rPr>
        <w:footnoteRef/>
      </w:r>
      <w:r>
        <w:t xml:space="preserve"> </w:t>
      </w:r>
      <w:r w:rsidRPr="00A536A3">
        <w:t>Both</w:t>
      </w:r>
      <w:r>
        <w:t xml:space="preserve"> AV and health services</w:t>
      </w:r>
      <w:r w:rsidRPr="00A536A3">
        <w:t xml:space="preserve"> engage private providers to meet most of their NEPT needs – see Section </w:t>
      </w:r>
      <w:r w:rsidRPr="00A536A3">
        <w:fldChar w:fldCharType="begin"/>
      </w:r>
      <w:r w:rsidRPr="00A536A3">
        <w:instrText xml:space="preserve"> REF _Ref134640497 \r \p \h </w:instrText>
      </w:r>
      <w:r>
        <w:instrText xml:space="preserve"> \* MERGEFORMAT </w:instrText>
      </w:r>
      <w:r w:rsidRPr="00A536A3">
        <w:fldChar w:fldCharType="separate"/>
      </w:r>
      <w:r>
        <w:t>2.5</w:t>
      </w:r>
      <w:r w:rsidRPr="00A536A3">
        <w:fldChar w:fldCharType="end"/>
      </w:r>
      <w:r w:rsidRPr="00A536A3">
        <w:t xml:space="preserve"> below.</w:t>
      </w:r>
      <w:r>
        <w:t xml:space="preserve"> Some health services use their own vehicles for certain transfers (e.g., between campuses) but this is comparatively rare. </w:t>
      </w:r>
    </w:p>
  </w:footnote>
  <w:footnote w:id="21">
    <w:p w14:paraId="7C3E0FDC" w14:textId="62EE94B7" w:rsidR="00C44CED" w:rsidRDefault="00C44CED" w:rsidP="00B02929">
      <w:pPr>
        <w:pStyle w:val="FootnoteText"/>
      </w:pPr>
      <w:r>
        <w:rPr>
          <w:rStyle w:val="FootnoteReference"/>
        </w:rPr>
        <w:footnoteRef/>
      </w:r>
      <w:r>
        <w:t xml:space="preserve"> </w:t>
      </w:r>
      <w:r w:rsidR="00E97B1B">
        <w:t xml:space="preserve">In 2015-16, a six-month pilot study was run involving three health services that trialled simplified purchasing arrangements for planned NEPT. Funding for concession patients was reassigned from AV to health services when transferring patients to the community. Under this arrangement, health services could select their preferred NEPT provider, rather than being required to use AV. </w:t>
      </w:r>
      <w:r w:rsidR="003E0617">
        <w:t>While there were overall efficiencies during the pilot</w:t>
      </w:r>
      <w:r w:rsidR="00B55306">
        <w:t>,</w:t>
      </w:r>
      <w:r w:rsidR="003E0617">
        <w:t xml:space="preserve"> on-time performance was mixed, d</w:t>
      </w:r>
      <w:r w:rsidR="003E0617" w:rsidRPr="003E0617">
        <w:t>eclining by 5% for pre-booked transfers but improving by 9% for same-day transfers.</w:t>
      </w:r>
      <w:r w:rsidR="003E0617">
        <w:t xml:space="preserve"> While there were significant cost saving for pilot sites</w:t>
      </w:r>
      <w:r w:rsidR="00B02929">
        <w:t>, this may not fully capture the true cost differential.</w:t>
      </w:r>
    </w:p>
  </w:footnote>
  <w:footnote w:id="22">
    <w:p w14:paraId="17399CCF" w14:textId="443F38DD" w:rsidR="008C1CA0" w:rsidRPr="000D1783" w:rsidRDefault="008C1CA0" w:rsidP="000D1783">
      <w:pPr>
        <w:spacing w:after="0" w:line="240" w:lineRule="auto"/>
        <w:rPr>
          <w:rFonts w:cs="Arial"/>
          <w:i/>
          <w:sz w:val="18"/>
          <w:szCs w:val="18"/>
        </w:rPr>
      </w:pPr>
      <w:r>
        <w:rPr>
          <w:rStyle w:val="FootnoteReference"/>
        </w:rPr>
        <w:footnoteRef/>
      </w:r>
      <w:r>
        <w:rPr>
          <w:rFonts w:cs="Arial"/>
          <w:sz w:val="18"/>
          <w:szCs w:val="18"/>
        </w:rPr>
        <w:t xml:space="preserve"> </w:t>
      </w:r>
      <w:r w:rsidRPr="00C073B0">
        <w:rPr>
          <w:rFonts w:cs="Arial"/>
          <w:sz w:val="18"/>
          <w:szCs w:val="18"/>
        </w:rPr>
        <w:t xml:space="preserve">This table excludes private health services. In all planned NEPT cases, health services have responsibility for booking NEPT services. Depending on the circumstances listed above, health services will either purchase NEPT services directly from the private market or request services through the ESTA booking system where AV is the purchaser. </w:t>
      </w:r>
      <w:r w:rsidRPr="00C073B0">
        <w:rPr>
          <w:sz w:val="18"/>
          <w:szCs w:val="16"/>
        </w:rPr>
        <w:t xml:space="preserve">Further detail on payment responsibilities can be found here: </w:t>
      </w:r>
      <w:hyperlink r:id="rId5" w:history="1">
        <w:r w:rsidRPr="00C073B0">
          <w:rPr>
            <w:rStyle w:val="Hyperlink"/>
            <w:sz w:val="18"/>
            <w:szCs w:val="16"/>
          </w:rPr>
          <w:t>https://www.health.vic.gov.au/patient-care/ambulance-services-payment-guidelines</w:t>
        </w:r>
      </w:hyperlink>
    </w:p>
  </w:footnote>
  <w:footnote w:id="23">
    <w:p w14:paraId="18416F64" w14:textId="6C13FAD8"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rsidRPr="00251DC8">
        <w:rPr>
          <w:szCs w:val="18"/>
        </w:rPr>
        <w:t xml:space="preserve">Source: </w:t>
      </w:r>
      <w:r w:rsidR="00C105B1" w:rsidRPr="004B5F12">
        <w:rPr>
          <w:szCs w:val="18"/>
        </w:rPr>
        <w:t xml:space="preserve">NEPT provider </w:t>
      </w:r>
      <w:r w:rsidR="00C105B1">
        <w:rPr>
          <w:szCs w:val="18"/>
        </w:rPr>
        <w:t>a</w:t>
      </w:r>
      <w:r w:rsidR="00C105B1" w:rsidRPr="004B5F12">
        <w:rPr>
          <w:szCs w:val="18"/>
        </w:rPr>
        <w:t xml:space="preserve">nnual </w:t>
      </w:r>
      <w:r w:rsidR="00C105B1" w:rsidRPr="004C3FB9">
        <w:rPr>
          <w:szCs w:val="18"/>
        </w:rPr>
        <w:t xml:space="preserve">reporting </w:t>
      </w:r>
      <w:r w:rsidR="00C105B1" w:rsidRPr="00CF4139">
        <w:rPr>
          <w:szCs w:val="18"/>
        </w:rPr>
        <w:t>2021</w:t>
      </w:r>
      <w:r w:rsidR="00C105B1" w:rsidRPr="004C3FB9">
        <w:rPr>
          <w:szCs w:val="18"/>
        </w:rPr>
        <w:t>-22</w:t>
      </w:r>
      <w:r w:rsidR="00C105B1" w:rsidRPr="004B5F12">
        <w:rPr>
          <w:szCs w:val="18"/>
        </w:rPr>
        <w:t xml:space="preserve"> </w:t>
      </w:r>
    </w:p>
  </w:footnote>
  <w:footnote w:id="24">
    <w:p w14:paraId="215B2007" w14:textId="77777777" w:rsidR="008C1CA0" w:rsidRDefault="008C1CA0" w:rsidP="000D1783">
      <w:pPr>
        <w:pStyle w:val="FootnoteText"/>
        <w:spacing w:line="240" w:lineRule="auto"/>
      </w:pPr>
      <w:r>
        <w:rPr>
          <w:rStyle w:val="FootnoteReference"/>
        </w:rPr>
        <w:footnoteRef/>
      </w:r>
      <w:r>
        <w:t xml:space="preserve"> </w:t>
      </w:r>
      <w:r w:rsidRPr="005B0D78">
        <w:t xml:space="preserve">In addition, </w:t>
      </w:r>
      <w:r>
        <w:t xml:space="preserve">some </w:t>
      </w:r>
      <w:r w:rsidRPr="005B0D78">
        <w:t xml:space="preserve">private hospitals </w:t>
      </w:r>
      <w:r>
        <w:t>(</w:t>
      </w:r>
      <w:r w:rsidRPr="005B0D78">
        <w:t xml:space="preserve">such as Epworth </w:t>
      </w:r>
      <w:r>
        <w:t xml:space="preserve">Healthcare - </w:t>
      </w:r>
      <w:r w:rsidRPr="005B0D78">
        <w:t>one of the 13 licensed providers in Victoria</w:t>
      </w:r>
      <w:r>
        <w:t xml:space="preserve">) </w:t>
      </w:r>
      <w:r w:rsidRPr="005B0D78">
        <w:t>runs an in-house fleet.</w:t>
      </w:r>
    </w:p>
  </w:footnote>
  <w:footnote w:id="25">
    <w:p w14:paraId="3FE87812" w14:textId="77777777" w:rsidR="008C1CA0" w:rsidRDefault="008C1CA0" w:rsidP="000D1783">
      <w:pPr>
        <w:pStyle w:val="FootnoteText"/>
        <w:spacing w:line="240" w:lineRule="auto"/>
      </w:pPr>
      <w:r>
        <w:rPr>
          <w:rStyle w:val="FootnoteReference"/>
        </w:rPr>
        <w:footnoteRef/>
      </w:r>
      <w:r>
        <w:t xml:space="preserve"> For example, hospitals may maintain their own small fleet to manage transfers between their own campuses. </w:t>
      </w:r>
    </w:p>
  </w:footnote>
  <w:footnote w:id="26">
    <w:p w14:paraId="545327F9" w14:textId="667C1702"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rsidRPr="007371D1">
        <w:rPr>
          <w:szCs w:val="18"/>
        </w:rPr>
        <w:t xml:space="preserve">Source: Department of Health (2021). </w:t>
      </w:r>
      <w:r w:rsidRPr="002A3C30">
        <w:rPr>
          <w:i/>
          <w:szCs w:val="18"/>
        </w:rPr>
        <w:t>NEPT Regulations 2021 Regulatory Impact Statement</w:t>
      </w:r>
      <w:r w:rsidR="002E3982" w:rsidRPr="002A3C30">
        <w:rPr>
          <w:i/>
          <w:szCs w:val="18"/>
        </w:rPr>
        <w:t>,</w:t>
      </w:r>
      <w:r w:rsidR="002E3982">
        <w:rPr>
          <w:szCs w:val="18"/>
        </w:rPr>
        <w:t xml:space="preserve"> p</w:t>
      </w:r>
      <w:r w:rsidR="0084079A">
        <w:rPr>
          <w:szCs w:val="18"/>
        </w:rPr>
        <w:t>.</w:t>
      </w:r>
      <w:r w:rsidR="008762BE">
        <w:rPr>
          <w:szCs w:val="18"/>
        </w:rPr>
        <w:t xml:space="preserve"> </w:t>
      </w:r>
      <w:r w:rsidR="0084079A">
        <w:rPr>
          <w:szCs w:val="18"/>
        </w:rPr>
        <w:t xml:space="preserve">22 </w:t>
      </w:r>
    </w:p>
  </w:footnote>
  <w:footnote w:id="27">
    <w:p w14:paraId="153168B5"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The ESTA process is underpinned by The Transport Framework which is a set of workflows used during the booking process to confirm the clinical state of the patient and identify the most appropriate transportation platform. </w:t>
      </w:r>
    </w:p>
  </w:footnote>
  <w:footnote w:id="28">
    <w:p w14:paraId="238A94CA" w14:textId="77777777" w:rsidR="008C1CA0" w:rsidRDefault="008C1CA0" w:rsidP="000D1783">
      <w:pPr>
        <w:pStyle w:val="FootnoteText"/>
        <w:spacing w:line="240" w:lineRule="auto"/>
      </w:pPr>
      <w:r>
        <w:rPr>
          <w:rStyle w:val="FootnoteReference"/>
        </w:rPr>
        <w:footnoteRef/>
      </w:r>
      <w:r>
        <w:t xml:space="preserve"> which automatically generates assessment of patient acuity</w:t>
      </w:r>
    </w:p>
  </w:footnote>
  <w:footnote w:id="29">
    <w:p w14:paraId="167AC33B" w14:textId="71BB5D9D" w:rsidR="008C1CA0" w:rsidRDefault="008C1CA0" w:rsidP="000D1783">
      <w:pPr>
        <w:pStyle w:val="FootnoteText"/>
        <w:spacing w:line="240" w:lineRule="auto"/>
      </w:pPr>
      <w:r>
        <w:rPr>
          <w:rStyle w:val="FootnoteReference"/>
        </w:rPr>
        <w:footnoteRef/>
      </w:r>
      <w:r>
        <w:t xml:space="preserve"> M</w:t>
      </w:r>
      <w:r w:rsidRPr="000322EC">
        <w:t xml:space="preserve">ore than half of Victorian NEPT </w:t>
      </w:r>
      <w:r>
        <w:t>p</w:t>
      </w:r>
      <w:r w:rsidRPr="000322EC">
        <w:t>roviders (8 of 13) supply first aid services at community events</w:t>
      </w:r>
      <w:r>
        <w:t>.</w:t>
      </w:r>
      <w:r w:rsidRPr="004B5F12">
        <w:rPr>
          <w:szCs w:val="18"/>
        </w:rPr>
        <w:t xml:space="preserve"> </w:t>
      </w:r>
      <w:r w:rsidR="00154B42">
        <w:rPr>
          <w:szCs w:val="18"/>
        </w:rPr>
        <w:t xml:space="preserve">Source: Licensed First Aid Services 2021-22 annual reporting collected by the Department of Health </w:t>
      </w:r>
    </w:p>
  </w:footnote>
  <w:footnote w:id="30">
    <w:p w14:paraId="6B266A50"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Source: ACIL Allen Consulting</w:t>
      </w:r>
      <w:r>
        <w:rPr>
          <w:szCs w:val="18"/>
        </w:rPr>
        <w:t xml:space="preserve"> (2013)</w:t>
      </w:r>
      <w:r w:rsidRPr="004B5F12">
        <w:rPr>
          <w:szCs w:val="18"/>
        </w:rPr>
        <w:t xml:space="preserve">, </w:t>
      </w:r>
      <w:r w:rsidRPr="002A3C30">
        <w:rPr>
          <w:i/>
          <w:szCs w:val="18"/>
        </w:rPr>
        <w:t>The NEPT Review Final Report</w:t>
      </w:r>
      <w:r w:rsidRPr="004B5F12">
        <w:rPr>
          <w:szCs w:val="18"/>
        </w:rPr>
        <w:t xml:space="preserve">, p. 23  </w:t>
      </w:r>
    </w:p>
  </w:footnote>
  <w:footnote w:id="31">
    <w:p w14:paraId="3BC96D48" w14:textId="3858308E" w:rsidR="008C1CA0" w:rsidRPr="004B5F12" w:rsidRDefault="008C1CA0" w:rsidP="000D1783">
      <w:pPr>
        <w:spacing w:line="240" w:lineRule="auto"/>
        <w:rPr>
          <w:rFonts w:cs="Arial"/>
          <w:sz w:val="18"/>
          <w:szCs w:val="18"/>
        </w:rPr>
      </w:pPr>
      <w:r w:rsidRPr="004B5F12">
        <w:rPr>
          <w:rStyle w:val="FootnoteReference"/>
          <w:rFonts w:cs="Arial"/>
          <w:sz w:val="18"/>
          <w:szCs w:val="18"/>
        </w:rPr>
        <w:footnoteRef/>
      </w:r>
      <w:r w:rsidRPr="004B5F12">
        <w:rPr>
          <w:rFonts w:cs="Arial"/>
          <w:sz w:val="18"/>
          <w:szCs w:val="18"/>
        </w:rPr>
        <w:t xml:space="preserve"> </w:t>
      </w:r>
      <w:r>
        <w:rPr>
          <w:rFonts w:cs="Arial"/>
          <w:sz w:val="18"/>
          <w:szCs w:val="18"/>
        </w:rPr>
        <w:t xml:space="preserve">Source: Higgins, C &amp; </w:t>
      </w:r>
      <w:proofErr w:type="spellStart"/>
      <w:r>
        <w:rPr>
          <w:rFonts w:cs="Arial"/>
          <w:sz w:val="18"/>
          <w:szCs w:val="18"/>
        </w:rPr>
        <w:t>Shugg</w:t>
      </w:r>
      <w:proofErr w:type="spellEnd"/>
      <w:r>
        <w:rPr>
          <w:rFonts w:cs="Arial"/>
          <w:sz w:val="18"/>
          <w:szCs w:val="18"/>
        </w:rPr>
        <w:t xml:space="preserve">, D (2008). </w:t>
      </w:r>
      <w:proofErr w:type="spellStart"/>
      <w:proofErr w:type="gramStart"/>
      <w:r>
        <w:rPr>
          <w:rFonts w:cs="Arial"/>
          <w:i/>
          <w:iCs/>
          <w:sz w:val="18"/>
          <w:szCs w:val="18"/>
        </w:rPr>
        <w:t>Non Emergency</w:t>
      </w:r>
      <w:proofErr w:type="spellEnd"/>
      <w:proofErr w:type="gramEnd"/>
      <w:r>
        <w:rPr>
          <w:rFonts w:cs="Arial"/>
          <w:i/>
          <w:iCs/>
          <w:sz w:val="18"/>
          <w:szCs w:val="18"/>
        </w:rPr>
        <w:t xml:space="preserve"> Patient Transport in Victoria: An </w:t>
      </w:r>
      <w:r w:rsidRPr="00AF39BD">
        <w:rPr>
          <w:rFonts w:cs="Arial"/>
          <w:sz w:val="18"/>
          <w:szCs w:val="18"/>
        </w:rPr>
        <w:t>overview</w:t>
      </w:r>
      <w:r>
        <w:rPr>
          <w:rFonts w:cs="Arial"/>
          <w:sz w:val="18"/>
          <w:szCs w:val="18"/>
        </w:rPr>
        <w:t xml:space="preserve">. Journal of Emergency Primary Health Care 6(4). </w:t>
      </w:r>
      <w:hyperlink r:id="rId6" w:history="1">
        <w:r w:rsidR="00FC3E68" w:rsidRPr="00E61D53">
          <w:rPr>
            <w:rStyle w:val="Hyperlink"/>
            <w:rFonts w:cs="Arial"/>
            <w:sz w:val="18"/>
            <w:szCs w:val="18"/>
          </w:rPr>
          <w:t>https://ajp.paramedics.org/index.php/ajp/article/view/473/473</w:t>
        </w:r>
      </w:hyperlink>
      <w:r w:rsidR="00FC3E68">
        <w:rPr>
          <w:rFonts w:cs="Arial"/>
          <w:sz w:val="18"/>
          <w:szCs w:val="18"/>
        </w:rPr>
        <w:t xml:space="preserve"> </w:t>
      </w:r>
    </w:p>
  </w:footnote>
  <w:footnote w:id="32">
    <w:p w14:paraId="3972447D" w14:textId="77777777" w:rsidR="008C1CA0" w:rsidRDefault="008C1CA0" w:rsidP="000D1783">
      <w:pPr>
        <w:pStyle w:val="FootnoteText"/>
        <w:spacing w:line="240" w:lineRule="auto"/>
      </w:pPr>
      <w:r>
        <w:rPr>
          <w:rStyle w:val="FootnoteReference"/>
        </w:rPr>
        <w:footnoteRef/>
      </w:r>
      <w:r>
        <w:t xml:space="preserve"> </w:t>
      </w:r>
      <w:r w:rsidRPr="00253DDE">
        <w:t xml:space="preserve">Specific changes in 2021 included: all medium and high acuity patient transports must be single loaded, all stretcher vehicles must be fitted with power lift stretchers only, life limits on NEPT vehicles cannot exceed 400,000kms and increased requirements for </w:t>
      </w:r>
      <w:r>
        <w:t xml:space="preserve">workforce </w:t>
      </w:r>
      <w:r w:rsidRPr="00253DDE">
        <w:t xml:space="preserve">skills maintenance. </w:t>
      </w:r>
    </w:p>
  </w:footnote>
  <w:footnote w:id="33">
    <w:p w14:paraId="6FBA4760"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t xml:space="preserve">AV put out its first state-wide tender to outsource NEPT services to private providers in 2012. </w:t>
      </w:r>
      <w:r w:rsidRPr="5EDC251E">
        <w:t xml:space="preserve">Prior to this, there was no coordinated process for AV to purchase NEPT from the private market. </w:t>
      </w:r>
      <w:r w:rsidRPr="004B5F12">
        <w:rPr>
          <w:szCs w:val="18"/>
        </w:rPr>
        <w:t xml:space="preserve">Source: ACIL Allen Consulting, </w:t>
      </w:r>
      <w:r w:rsidRPr="002A3C30">
        <w:rPr>
          <w:i/>
          <w:szCs w:val="18"/>
        </w:rPr>
        <w:t>NEPT review</w:t>
      </w:r>
      <w:r w:rsidRPr="004B5F12">
        <w:rPr>
          <w:szCs w:val="18"/>
        </w:rPr>
        <w:t xml:space="preserve">, p. 37. </w:t>
      </w:r>
    </w:p>
  </w:footnote>
  <w:footnote w:id="34">
    <w:p w14:paraId="2232879C" w14:textId="410EE9DC" w:rsidR="00762F7E" w:rsidRDefault="00762F7E">
      <w:pPr>
        <w:pStyle w:val="FootnoteText"/>
      </w:pPr>
      <w:r>
        <w:rPr>
          <w:rStyle w:val="FootnoteReference"/>
        </w:rPr>
        <w:footnoteRef/>
      </w:r>
      <w:r>
        <w:t xml:space="preserve"> This non-operation arose </w:t>
      </w:r>
      <w:r w:rsidR="00355A19">
        <w:t xml:space="preserve">from </w:t>
      </w:r>
      <w:r>
        <w:t>the abolishment of</w:t>
      </w:r>
      <w:r w:rsidR="00E07236">
        <w:t xml:space="preserve"> accreditation for</w:t>
      </w:r>
      <w:r>
        <w:t xml:space="preserve"> </w:t>
      </w:r>
      <w:r w:rsidR="00E07236">
        <w:t>‘</w:t>
      </w:r>
      <w:r>
        <w:t>standby</w:t>
      </w:r>
      <w:r w:rsidR="00E07236">
        <w:t>’</w:t>
      </w:r>
      <w:r>
        <w:t xml:space="preserve"> services </w:t>
      </w:r>
      <w:r w:rsidR="00E07236">
        <w:t xml:space="preserve">for NEPT through the 2021 reforms. </w:t>
      </w:r>
    </w:p>
  </w:footnote>
  <w:footnote w:id="35">
    <w:p w14:paraId="58511127" w14:textId="53A676A8"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Source: </w:t>
      </w:r>
      <w:r w:rsidR="002C3F6B">
        <w:rPr>
          <w:szCs w:val="18"/>
        </w:rPr>
        <w:t>NEPT provider annual reporting 2021-22</w:t>
      </w:r>
      <w:r w:rsidRPr="004B5F12">
        <w:rPr>
          <w:szCs w:val="18"/>
        </w:rPr>
        <w:t xml:space="preserve"> </w:t>
      </w:r>
    </w:p>
  </w:footnote>
  <w:footnote w:id="36">
    <w:p w14:paraId="62E16D09" w14:textId="0E0ED044" w:rsidR="00235C74" w:rsidRPr="00235C74" w:rsidRDefault="00235C74" w:rsidP="00235C74">
      <w:pPr>
        <w:pStyle w:val="FootnoteText"/>
        <w:spacing w:line="240" w:lineRule="auto"/>
        <w:rPr>
          <w:szCs w:val="18"/>
        </w:rPr>
      </w:pPr>
      <w:r>
        <w:rPr>
          <w:rStyle w:val="FootnoteReference"/>
        </w:rPr>
        <w:footnoteRef/>
      </w:r>
      <w:r>
        <w:t xml:space="preserve"> Source: </w:t>
      </w:r>
      <w:r w:rsidRPr="00851228">
        <w:rPr>
          <w:iCs/>
          <w:szCs w:val="18"/>
        </w:rPr>
        <w:t xml:space="preserve">NEPT Regulations </w:t>
      </w:r>
      <w:r w:rsidR="00851228">
        <w:rPr>
          <w:iCs/>
          <w:szCs w:val="18"/>
        </w:rPr>
        <w:t>(</w:t>
      </w:r>
      <w:r w:rsidRPr="00851228">
        <w:rPr>
          <w:iCs/>
          <w:szCs w:val="18"/>
        </w:rPr>
        <w:t>2021</w:t>
      </w:r>
      <w:r w:rsidR="00851228">
        <w:rPr>
          <w:iCs/>
          <w:szCs w:val="18"/>
        </w:rPr>
        <w:t>)</w:t>
      </w:r>
      <w:r w:rsidRPr="002A3C30">
        <w:rPr>
          <w:i/>
          <w:szCs w:val="18"/>
        </w:rPr>
        <w:t xml:space="preserve"> Regulatory Impact Statement,</w:t>
      </w:r>
      <w:r>
        <w:rPr>
          <w:szCs w:val="18"/>
        </w:rPr>
        <w:t xml:space="preserve"> p. 2</w:t>
      </w:r>
      <w:r w:rsidR="000B4718">
        <w:rPr>
          <w:szCs w:val="18"/>
        </w:rPr>
        <w:t>7</w:t>
      </w:r>
    </w:p>
  </w:footnote>
  <w:footnote w:id="37">
    <w:p w14:paraId="685956C6" w14:textId="673481AD" w:rsidR="00393746" w:rsidRDefault="00393746">
      <w:pPr>
        <w:pStyle w:val="FootnoteText"/>
      </w:pPr>
      <w:r>
        <w:rPr>
          <w:rStyle w:val="FootnoteReference"/>
        </w:rPr>
        <w:footnoteRef/>
      </w:r>
      <w:r>
        <w:t xml:space="preserve"> </w:t>
      </w:r>
      <w:r w:rsidR="009A69BC">
        <w:t>A ‘red escalation’ is when AV is</w:t>
      </w:r>
      <w:r w:rsidR="009A69BC" w:rsidRPr="009A69BC">
        <w:t xml:space="preserve"> experiencing </w:t>
      </w:r>
      <w:r w:rsidR="009A69BC">
        <w:t xml:space="preserve">a </w:t>
      </w:r>
      <w:r w:rsidR="009A69BC" w:rsidRPr="009A69BC">
        <w:t>severe impact on normal operations due to extreme workload or demand.</w:t>
      </w:r>
      <w:r w:rsidR="00C443F8">
        <w:t xml:space="preserve"> Source: Ambulance Victoria, ‘How we manage demand’. </w:t>
      </w:r>
      <w:hyperlink r:id="rId7" w:anchor=":~:text=A%20red%20escalation%20is%20a,to%20extreme%20workload%20or%20demand" w:history="1">
        <w:r w:rsidR="00C443F8" w:rsidRPr="0008205C">
          <w:rPr>
            <w:rStyle w:val="Hyperlink"/>
          </w:rPr>
          <w:t>https://www.ambulance.vic.gov.au/community/education/how-we-manage-demand/#:~:text=A%20red%20escalation%20is%20a,to%20extreme%20workload%20or%20demand</w:t>
        </w:r>
      </w:hyperlink>
      <w:r w:rsidR="00C443F8" w:rsidRPr="00C443F8">
        <w:t>.</w:t>
      </w:r>
      <w:r w:rsidR="00C443F8">
        <w:t xml:space="preserve"> </w:t>
      </w:r>
      <w:r>
        <w:t xml:space="preserve"> </w:t>
      </w:r>
    </w:p>
  </w:footnote>
  <w:footnote w:id="38">
    <w:p w14:paraId="390BF8EF" w14:textId="50E004FC" w:rsidR="008C1CA0" w:rsidRDefault="008C1CA0" w:rsidP="000D1783">
      <w:pPr>
        <w:pStyle w:val="FootnoteText"/>
        <w:spacing w:line="240" w:lineRule="auto"/>
      </w:pPr>
      <w:r>
        <w:rPr>
          <w:rStyle w:val="FootnoteReference"/>
        </w:rPr>
        <w:footnoteRef/>
      </w:r>
      <w:r>
        <w:t xml:space="preserve"> </w:t>
      </w:r>
      <w:r w:rsidR="00A8335E">
        <w:t>Source:</w:t>
      </w:r>
      <w:r w:rsidR="00161EBA">
        <w:t xml:space="preserve"> Department of Health</w:t>
      </w:r>
      <w:r w:rsidR="00082DD1">
        <w:t xml:space="preserve"> (2016</w:t>
      </w:r>
      <w:r w:rsidR="00082DD1" w:rsidRPr="00082DD1">
        <w:rPr>
          <w:i/>
          <w:iCs/>
        </w:rPr>
        <w:t>)</w:t>
      </w:r>
      <w:r w:rsidR="00161EBA" w:rsidRPr="00082DD1">
        <w:rPr>
          <w:i/>
          <w:iCs/>
        </w:rPr>
        <w:t>, Targeting zero: Report of the Review of Hospital Safety and Quality Assurance in Victoria</w:t>
      </w:r>
      <w:r w:rsidR="00161EBA">
        <w:t xml:space="preserve"> </w:t>
      </w:r>
      <w:r w:rsidR="00A8335E">
        <w:t xml:space="preserve"> </w:t>
      </w:r>
      <w:hyperlink r:id="rId8" w:history="1">
        <w:r w:rsidR="00161EBA" w:rsidRPr="00161EBA">
          <w:rPr>
            <w:rStyle w:val="Hyperlink"/>
          </w:rPr>
          <w:t>https://www.health.vic.gov.au/sites/default/files/migrated/files/collections/research-and-reports/h/hospital-safety-and-quality-assurance-in-victoria.pdf</w:t>
        </w:r>
      </w:hyperlink>
      <w:r>
        <w:t xml:space="preserve"> </w:t>
      </w:r>
    </w:p>
  </w:footnote>
  <w:footnote w:id="39">
    <w:p w14:paraId="1B59B4A7" w14:textId="2E5FE5A7" w:rsidR="008C1CA0" w:rsidRDefault="008C1CA0" w:rsidP="000D1783">
      <w:pPr>
        <w:pStyle w:val="FootnoteText"/>
        <w:spacing w:line="240" w:lineRule="auto"/>
      </w:pPr>
      <w:r>
        <w:rPr>
          <w:rStyle w:val="FootnoteReference"/>
        </w:rPr>
        <w:footnoteRef/>
      </w:r>
      <w:r w:rsidR="00674A57">
        <w:t xml:space="preserve"> Source: Department of Health (2016) </w:t>
      </w:r>
      <w:r w:rsidR="00674A57" w:rsidRPr="00674A57">
        <w:rPr>
          <w:i/>
          <w:iCs/>
        </w:rPr>
        <w:t>Better, Safer Care Delivering a world-leading healthcare system</w:t>
      </w:r>
      <w:r>
        <w:t xml:space="preserve"> </w:t>
      </w:r>
      <w:hyperlink r:id="rId9" w:history="1">
        <w:r w:rsidR="00FC3E68" w:rsidRPr="00E61D53">
          <w:rPr>
            <w:rStyle w:val="Hyperlink"/>
          </w:rPr>
          <w:t>https://www.health.vic.gov.au/sites/default/files/migrated/files/collections/factsheets/b/better-safer-care.pdf</w:t>
        </w:r>
      </w:hyperlink>
      <w:r w:rsidR="00FC3E68">
        <w:t xml:space="preserve"> </w:t>
      </w:r>
    </w:p>
  </w:footnote>
  <w:footnote w:id="40">
    <w:p w14:paraId="2EEF61BE" w14:textId="7FB2A646" w:rsidR="00F37C23" w:rsidRDefault="00F37C23">
      <w:pPr>
        <w:pStyle w:val="FootnoteText"/>
      </w:pPr>
      <w:r>
        <w:rPr>
          <w:rStyle w:val="FootnoteReference"/>
        </w:rPr>
        <w:footnoteRef/>
      </w:r>
      <w:r>
        <w:t xml:space="preserve"> </w:t>
      </w:r>
      <w:r w:rsidR="00F86099">
        <w:t>I</w:t>
      </w:r>
      <w:r w:rsidR="00F86099" w:rsidRPr="00F86099">
        <w:t xml:space="preserve">n Victoria </w:t>
      </w:r>
      <w:r w:rsidR="00F86099">
        <w:t xml:space="preserve">sentinel events </w:t>
      </w:r>
      <w:r w:rsidR="00F86099" w:rsidRPr="00F86099">
        <w:t>are assigned an incident severity rating (ISR) on a scale of one to four that guides the level of investigation required.</w:t>
      </w:r>
      <w:r w:rsidR="00F86099">
        <w:t xml:space="preserve"> Sentinel events (o</w:t>
      </w:r>
      <w:r w:rsidRPr="00F37C23">
        <w:t>ften referred to as ‘never events’</w:t>
      </w:r>
      <w:r w:rsidR="00F86099">
        <w:t xml:space="preserve">) are </w:t>
      </w:r>
      <w:r w:rsidRPr="00F37C23">
        <w:t>ISR level 1 incidents</w:t>
      </w:r>
      <w:r w:rsidR="00F86099">
        <w:t>, which</w:t>
      </w:r>
      <w:r w:rsidRPr="00F37C23">
        <w:t xml:space="preserve"> result in the death of, or serious physical or psychological injury of a patient.</w:t>
      </w:r>
    </w:p>
  </w:footnote>
  <w:footnote w:id="41">
    <w:p w14:paraId="7601E2B0" w14:textId="77777777" w:rsidR="00604E5F" w:rsidRDefault="00604E5F" w:rsidP="00604E5F">
      <w:pPr>
        <w:pStyle w:val="FootnoteText"/>
      </w:pPr>
      <w:r>
        <w:rPr>
          <w:rStyle w:val="FootnoteReference"/>
        </w:rPr>
        <w:footnoteRef/>
      </w:r>
      <w:r>
        <w:t xml:space="preserve"> ISR level 2-4 adverse events. </w:t>
      </w:r>
    </w:p>
  </w:footnote>
  <w:footnote w:id="42">
    <w:p w14:paraId="1638D2A7" w14:textId="27D9F102" w:rsidR="002E7045" w:rsidRDefault="002E7045">
      <w:pPr>
        <w:pStyle w:val="FootnoteText"/>
      </w:pPr>
      <w:r>
        <w:rPr>
          <w:rStyle w:val="FootnoteReference"/>
        </w:rPr>
        <w:footnoteRef/>
      </w:r>
      <w:r>
        <w:t xml:space="preserve"> Source: advice from Safer Care Victoria. </w:t>
      </w:r>
    </w:p>
  </w:footnote>
  <w:footnote w:id="43">
    <w:p w14:paraId="2B94A781" w14:textId="0A169D38" w:rsidR="006E7E37" w:rsidRDefault="006E7E37">
      <w:pPr>
        <w:pStyle w:val="FootnoteText"/>
      </w:pPr>
      <w:r>
        <w:rPr>
          <w:rStyle w:val="FootnoteReference"/>
        </w:rPr>
        <w:footnoteRef/>
      </w:r>
      <w:r>
        <w:t xml:space="preserve"> </w:t>
      </w:r>
      <w:r w:rsidRPr="006E7E37">
        <w:rPr>
          <w:szCs w:val="18"/>
        </w:rPr>
        <w:t>This figure</w:t>
      </w:r>
      <w:r>
        <w:rPr>
          <w:szCs w:val="18"/>
        </w:rPr>
        <w:t xml:space="preserve"> is limited to</w:t>
      </w:r>
      <w:r w:rsidRPr="006E7E37">
        <w:rPr>
          <w:szCs w:val="18"/>
        </w:rPr>
        <w:t xml:space="preserve"> </w:t>
      </w:r>
      <w:r>
        <w:rPr>
          <w:szCs w:val="18"/>
        </w:rPr>
        <w:t xml:space="preserve">adverse </w:t>
      </w:r>
      <w:r w:rsidRPr="006E7E37">
        <w:rPr>
          <w:szCs w:val="18"/>
        </w:rPr>
        <w:t>events where the provider perceives that they have primary carriage of an incident</w:t>
      </w:r>
      <w:r w:rsidR="00A67CD3">
        <w:rPr>
          <w:szCs w:val="18"/>
        </w:rPr>
        <w:t>. W</w:t>
      </w:r>
      <w:r w:rsidRPr="006E7E37">
        <w:rPr>
          <w:szCs w:val="18"/>
        </w:rPr>
        <w:t xml:space="preserve">here </w:t>
      </w:r>
      <w:r w:rsidR="00A67CD3">
        <w:rPr>
          <w:szCs w:val="18"/>
        </w:rPr>
        <w:t xml:space="preserve">it is attributed to </w:t>
      </w:r>
      <w:r w:rsidRPr="006E7E37">
        <w:rPr>
          <w:szCs w:val="18"/>
        </w:rPr>
        <w:t>issues relating to AV call-taking/dispatch</w:t>
      </w:r>
      <w:r w:rsidR="00A67CD3">
        <w:rPr>
          <w:szCs w:val="18"/>
        </w:rPr>
        <w:t xml:space="preserve">, </w:t>
      </w:r>
      <w:r w:rsidRPr="006E7E37">
        <w:rPr>
          <w:szCs w:val="18"/>
        </w:rPr>
        <w:t>or where clinical care is provided by another health service</w:t>
      </w:r>
      <w:r w:rsidR="00A67CD3">
        <w:rPr>
          <w:szCs w:val="18"/>
        </w:rPr>
        <w:t xml:space="preserve">, it is unlikely that the adverse event will be reported to the department. </w:t>
      </w:r>
    </w:p>
  </w:footnote>
  <w:footnote w:id="44">
    <w:p w14:paraId="4D16EBBF" w14:textId="353728F1" w:rsidR="00D836C1" w:rsidRDefault="00D836C1" w:rsidP="000D1783">
      <w:pPr>
        <w:pStyle w:val="FootnoteText"/>
        <w:spacing w:line="240" w:lineRule="auto"/>
      </w:pPr>
      <w:r>
        <w:rPr>
          <w:rStyle w:val="FootnoteReference"/>
        </w:rPr>
        <w:footnoteRef/>
      </w:r>
      <w:r>
        <w:t xml:space="preserve"> </w:t>
      </w:r>
      <w:r>
        <w:rPr>
          <w:szCs w:val="18"/>
        </w:rPr>
        <w:t xml:space="preserve">Source: </w:t>
      </w:r>
      <w:r w:rsidRPr="004B5F12">
        <w:rPr>
          <w:szCs w:val="18"/>
        </w:rPr>
        <w:t xml:space="preserve">NEPT provider </w:t>
      </w:r>
      <w:r>
        <w:rPr>
          <w:szCs w:val="18"/>
        </w:rPr>
        <w:t>A</w:t>
      </w:r>
      <w:r w:rsidRPr="004B5F12">
        <w:rPr>
          <w:szCs w:val="18"/>
        </w:rPr>
        <w:t xml:space="preserve">nnual </w:t>
      </w:r>
      <w:r>
        <w:rPr>
          <w:szCs w:val="18"/>
        </w:rPr>
        <w:t>R</w:t>
      </w:r>
      <w:r w:rsidRPr="004B5F12">
        <w:rPr>
          <w:szCs w:val="18"/>
        </w:rPr>
        <w:t>eporting</w:t>
      </w:r>
      <w:r>
        <w:rPr>
          <w:szCs w:val="18"/>
        </w:rPr>
        <w:t xml:space="preserve"> </w:t>
      </w:r>
      <w:r w:rsidRPr="00A45CD5">
        <w:rPr>
          <w:szCs w:val="18"/>
        </w:rPr>
        <w:t>2021</w:t>
      </w:r>
      <w:r w:rsidR="00BF3DAC">
        <w:rPr>
          <w:szCs w:val="18"/>
        </w:rPr>
        <w:t>-22</w:t>
      </w:r>
      <w:r w:rsidR="00D439F5">
        <w:rPr>
          <w:szCs w:val="18"/>
        </w:rPr>
        <w:t>.</w:t>
      </w:r>
      <w:r w:rsidR="007928BB">
        <w:rPr>
          <w:szCs w:val="18"/>
        </w:rPr>
        <w:t xml:space="preserve"> </w:t>
      </w:r>
      <w:r w:rsidR="00FA1255" w:rsidRPr="00A45CD5">
        <w:rPr>
          <w:szCs w:val="18"/>
        </w:rPr>
        <w:t xml:space="preserve">The remainder of the reported events were vehicle accidents and staff </w:t>
      </w:r>
      <w:r w:rsidR="00A42DAA" w:rsidRPr="00A45CD5">
        <w:rPr>
          <w:szCs w:val="18"/>
        </w:rPr>
        <w:t>injuries that were not distinguished from patient safety events in provider reporting</w:t>
      </w:r>
      <w:r w:rsidR="00A42DAA">
        <w:rPr>
          <w:szCs w:val="18"/>
        </w:rPr>
        <w:t>.</w:t>
      </w:r>
    </w:p>
  </w:footnote>
  <w:footnote w:id="45">
    <w:p w14:paraId="1FAE5197" w14:textId="77777777" w:rsidR="00FE4F6C" w:rsidRPr="004B5F12" w:rsidRDefault="00FE4F6C" w:rsidP="00FE4F6C">
      <w:pPr>
        <w:pStyle w:val="FootnoteText"/>
        <w:spacing w:line="240" w:lineRule="auto"/>
        <w:rPr>
          <w:szCs w:val="18"/>
        </w:rPr>
      </w:pPr>
      <w:r w:rsidRPr="004B5F12">
        <w:rPr>
          <w:rStyle w:val="FootnoteReference"/>
          <w:szCs w:val="18"/>
        </w:rPr>
        <w:footnoteRef/>
      </w:r>
      <w:r w:rsidRPr="004B5F12">
        <w:rPr>
          <w:szCs w:val="18"/>
        </w:rPr>
        <w:t xml:space="preserve"> </w:t>
      </w:r>
      <w:r>
        <w:rPr>
          <w:szCs w:val="18"/>
        </w:rPr>
        <w:t xml:space="preserve">Source: Department of Health internal analysis </w:t>
      </w:r>
    </w:p>
  </w:footnote>
  <w:footnote w:id="46">
    <w:p w14:paraId="00624302"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Secondary analysis o</w:t>
      </w:r>
      <w:r>
        <w:rPr>
          <w:szCs w:val="18"/>
        </w:rPr>
        <w:t>f</w:t>
      </w:r>
      <w:r w:rsidRPr="004B5F12">
        <w:rPr>
          <w:szCs w:val="18"/>
        </w:rPr>
        <w:t xml:space="preserve"> AV emergency spills data</w:t>
      </w:r>
    </w:p>
  </w:footnote>
  <w:footnote w:id="47">
    <w:p w14:paraId="69E3CAC0" w14:textId="77777777" w:rsidR="001F31A0" w:rsidRPr="004B5F12" w:rsidRDefault="001F31A0" w:rsidP="000D1783">
      <w:pPr>
        <w:pStyle w:val="FootnoteText"/>
        <w:spacing w:line="240" w:lineRule="auto"/>
        <w:rPr>
          <w:szCs w:val="18"/>
        </w:rPr>
      </w:pPr>
      <w:r w:rsidRPr="004B5F12">
        <w:rPr>
          <w:rStyle w:val="FootnoteReference"/>
          <w:szCs w:val="18"/>
        </w:rPr>
        <w:footnoteRef/>
      </w:r>
      <w:r w:rsidRPr="004B5F12">
        <w:rPr>
          <w:szCs w:val="18"/>
        </w:rPr>
        <w:t xml:space="preserve"> Secondary analysis o</w:t>
      </w:r>
      <w:r>
        <w:rPr>
          <w:szCs w:val="18"/>
        </w:rPr>
        <w:t>f</w:t>
      </w:r>
      <w:r w:rsidRPr="004B5F12">
        <w:rPr>
          <w:szCs w:val="18"/>
        </w:rPr>
        <w:t xml:space="preserve"> AV emergency spills data</w:t>
      </w:r>
    </w:p>
  </w:footnote>
  <w:footnote w:id="48">
    <w:p w14:paraId="304385F0" w14:textId="27DEEB29" w:rsidR="00D0369E" w:rsidRDefault="00D0369E">
      <w:pPr>
        <w:pStyle w:val="FootnoteText"/>
      </w:pPr>
      <w:r>
        <w:rPr>
          <w:rStyle w:val="FootnoteReference"/>
        </w:rPr>
        <w:footnoteRef/>
      </w:r>
      <w:r>
        <w:t xml:space="preserve"> </w:t>
      </w:r>
      <w:r w:rsidR="00FC3E68">
        <w:t xml:space="preserve">Source: </w:t>
      </w:r>
      <w:r w:rsidR="003A1494">
        <w:t xml:space="preserve">Ambulance Victoria, </w:t>
      </w:r>
      <w:r w:rsidR="003E019F">
        <w:t xml:space="preserve">‘Environment’. </w:t>
      </w:r>
      <w:hyperlink r:id="rId10" w:history="1">
        <w:r w:rsidR="00FC3E68" w:rsidRPr="00E61D53">
          <w:rPr>
            <w:rStyle w:val="Hyperlink"/>
          </w:rPr>
          <w:t>https://www.ambulance.vic.gov.au/about-us/sustainability/environment/</w:t>
        </w:r>
      </w:hyperlink>
      <w:r w:rsidR="00FC3E68">
        <w:t xml:space="preserve"> </w:t>
      </w:r>
    </w:p>
  </w:footnote>
  <w:footnote w:id="49">
    <w:p w14:paraId="314324E3" w14:textId="0FBD9823" w:rsidR="00785A20" w:rsidRDefault="00785A20" w:rsidP="000D1783">
      <w:pPr>
        <w:pStyle w:val="FootnoteText"/>
        <w:spacing w:line="240" w:lineRule="auto"/>
      </w:pPr>
      <w:r>
        <w:rPr>
          <w:rStyle w:val="FootnoteReference"/>
        </w:rPr>
        <w:footnoteRef/>
      </w:r>
      <w:r>
        <w:t xml:space="preserve"> </w:t>
      </w:r>
      <w:r w:rsidR="00161EBA">
        <w:t>Source: Department of Health (2021)</w:t>
      </w:r>
      <w:r>
        <w:t xml:space="preserve"> </w:t>
      </w:r>
      <w:r w:rsidRPr="00EE6BB0">
        <w:rPr>
          <w:i/>
        </w:rPr>
        <w:t xml:space="preserve">Non-Emergency Patient Transport Amendment Regulations 2021 Regulatory Impact </w:t>
      </w:r>
      <w:r w:rsidRPr="00EE6BB0">
        <w:rPr>
          <w:i/>
          <w:iCs/>
        </w:rPr>
        <w:t>Statemen</w:t>
      </w:r>
      <w:r w:rsidR="00880633">
        <w:t>t</w:t>
      </w:r>
      <w:r w:rsidR="00353942">
        <w:t>, p. 78</w:t>
      </w:r>
    </w:p>
  </w:footnote>
  <w:footnote w:id="50">
    <w:p w14:paraId="3A4BFA69" w14:textId="77777777" w:rsidR="00C86204" w:rsidRDefault="00C86204" w:rsidP="00C86204">
      <w:pPr>
        <w:pStyle w:val="FootnoteText"/>
        <w:spacing w:line="240" w:lineRule="auto"/>
      </w:pPr>
      <w:r>
        <w:rPr>
          <w:rStyle w:val="FootnoteReference"/>
        </w:rPr>
        <w:footnoteRef/>
      </w:r>
      <w:r>
        <w:t xml:space="preserve"> The Victorian Sick Pay Guarantee pilot programme pays eligible casual or self-employed workers up to 38 hours of personal and/or carer’s pay. The pilot focuses </w:t>
      </w:r>
      <w:r>
        <w:rPr>
          <w:color w:val="011A3C"/>
        </w:rPr>
        <w:t xml:space="preserve">on the industries with some of the highest rates of casual and contract workers who do not have access to sick pay, whose work hours are often unpredictable and low paid, and where vulnerable groups are overrepresented, such as people from culturally and linguistically diverse backgrounds, </w:t>
      </w:r>
      <w:proofErr w:type="gramStart"/>
      <w:r>
        <w:rPr>
          <w:color w:val="011A3C"/>
        </w:rPr>
        <w:t>women</w:t>
      </w:r>
      <w:proofErr w:type="gramEnd"/>
      <w:r>
        <w:rPr>
          <w:color w:val="011A3C"/>
        </w:rPr>
        <w:t xml:space="preserve"> and young people.</w:t>
      </w:r>
      <w:r>
        <w:t xml:space="preserve"> While the NEPT workforce is not eligible, the scheme will be </w:t>
      </w:r>
      <w:proofErr w:type="gramStart"/>
      <w:r>
        <w:t>evaluated</w:t>
      </w:r>
      <w:proofErr w:type="gramEnd"/>
      <w:r>
        <w:t xml:space="preserve"> and eligibility reviewed following the pilot. </w:t>
      </w:r>
    </w:p>
  </w:footnote>
  <w:footnote w:id="51">
    <w:p w14:paraId="21954E9F" w14:textId="32D09704" w:rsidR="0075613A" w:rsidRDefault="0075613A">
      <w:pPr>
        <w:pStyle w:val="FootnoteText"/>
      </w:pPr>
      <w:r>
        <w:rPr>
          <w:rStyle w:val="FootnoteReference"/>
        </w:rPr>
        <w:footnoteRef/>
      </w:r>
      <w:r>
        <w:t xml:space="preserve"> Casual employees are however entitled to long service leave</w:t>
      </w:r>
      <w:r w:rsidR="00676B59">
        <w:t xml:space="preserve">, under the Long Service Leave Act (2018). </w:t>
      </w:r>
      <w:r w:rsidR="00C82DB5">
        <w:t xml:space="preserve">See: </w:t>
      </w:r>
      <w:r w:rsidR="00676B59" w:rsidRPr="00676B59">
        <w:t>https://www.vic.gov.au/long-service-leave</w:t>
      </w:r>
    </w:p>
  </w:footnote>
  <w:footnote w:id="52">
    <w:p w14:paraId="1193FF33" w14:textId="2A25BF09" w:rsidR="00B72342" w:rsidRDefault="00B72342">
      <w:pPr>
        <w:pStyle w:val="FootnoteText"/>
      </w:pPr>
      <w:r>
        <w:rPr>
          <w:rStyle w:val="FootnoteReference"/>
        </w:rPr>
        <w:footnoteRef/>
      </w:r>
      <w:r>
        <w:t xml:space="preserve"> </w:t>
      </w:r>
      <w:r w:rsidR="00855ACA">
        <w:t>Source: Fair Work Commission</w:t>
      </w:r>
      <w:r w:rsidR="00AE2DC7">
        <w:t xml:space="preserve"> (2020),</w:t>
      </w:r>
      <w:r w:rsidR="00855ACA">
        <w:t xml:space="preserve"> </w:t>
      </w:r>
      <w:r w:rsidR="00AE2DC7" w:rsidRPr="00297897">
        <w:rPr>
          <w:i/>
        </w:rPr>
        <w:t>Ambulance and Patient Transport Industry Award 2020</w:t>
      </w:r>
      <w:r w:rsidR="00F976E2">
        <w:t>,</w:t>
      </w:r>
      <w:r w:rsidR="00AE2DC7">
        <w:t xml:space="preserve"> </w:t>
      </w:r>
      <w:r w:rsidR="007127FD">
        <w:t>Ch</w:t>
      </w:r>
      <w:r w:rsidR="00F976E2">
        <w:t>.</w:t>
      </w:r>
      <w:r w:rsidR="007127FD">
        <w:t>11</w:t>
      </w:r>
    </w:p>
  </w:footnote>
  <w:footnote w:id="53">
    <w:p w14:paraId="1D2F90A3" w14:textId="171C5E8B" w:rsidR="00DF7F5C" w:rsidRDefault="00DF7F5C">
      <w:pPr>
        <w:pStyle w:val="FootnoteText"/>
      </w:pPr>
      <w:r>
        <w:rPr>
          <w:rStyle w:val="FootnoteReference"/>
        </w:rPr>
        <w:footnoteRef/>
      </w:r>
      <w:r>
        <w:t xml:space="preserve"> </w:t>
      </w:r>
      <w:r w:rsidR="00130C62">
        <w:t>National Patient Transport committed in i</w:t>
      </w:r>
      <w:r w:rsidR="00CA0CA9">
        <w:t xml:space="preserve">ts 2019 </w:t>
      </w:r>
      <w:r w:rsidR="005C3C73">
        <w:t xml:space="preserve">enterprise agreement to increase the </w:t>
      </w:r>
      <w:r w:rsidR="0058527C">
        <w:t xml:space="preserve">proportion </w:t>
      </w:r>
      <w:r w:rsidR="00315CC1">
        <w:t xml:space="preserve">of permanent employees </w:t>
      </w:r>
      <w:r w:rsidR="00EE2522">
        <w:t>by 30%.</w:t>
      </w:r>
      <w:r w:rsidR="00D7714B">
        <w:t xml:space="preserve"> Source</w:t>
      </w:r>
      <w:r w:rsidR="00F976E2">
        <w:t xml:space="preserve">: Fair Work Commission (2019) </w:t>
      </w:r>
      <w:r w:rsidR="00F976E2" w:rsidRPr="00F976E2">
        <w:rPr>
          <w:i/>
          <w:iCs/>
        </w:rPr>
        <w:t xml:space="preserve">National Patient Transport </w:t>
      </w:r>
      <w:proofErr w:type="spellStart"/>
      <w:r w:rsidR="00F976E2" w:rsidRPr="00F976E2">
        <w:rPr>
          <w:i/>
          <w:iCs/>
        </w:rPr>
        <w:t>Ptd</w:t>
      </w:r>
      <w:proofErr w:type="spellEnd"/>
      <w:r w:rsidR="00F976E2" w:rsidRPr="00F976E2">
        <w:rPr>
          <w:i/>
          <w:iCs/>
        </w:rPr>
        <w:t xml:space="preserve"> Ltd Victorian Employees Enterprise Agreement 2019</w:t>
      </w:r>
      <w:r w:rsidR="00F976E2">
        <w:t>,</w:t>
      </w:r>
      <w:r w:rsidR="00D7714B">
        <w:t xml:space="preserve"> </w:t>
      </w:r>
      <w:r w:rsidR="009F12A0">
        <w:t>p.10</w:t>
      </w:r>
    </w:p>
  </w:footnote>
  <w:footnote w:id="54">
    <w:p w14:paraId="1D95E1AD" w14:textId="29CF051E" w:rsidR="007D667E" w:rsidRDefault="007D667E">
      <w:pPr>
        <w:pStyle w:val="FootnoteText"/>
      </w:pPr>
      <w:r>
        <w:rPr>
          <w:rStyle w:val="FootnoteReference"/>
        </w:rPr>
        <w:footnoteRef/>
      </w:r>
      <w:r>
        <w:t xml:space="preserve"> </w:t>
      </w:r>
      <w:r>
        <w:rPr>
          <w:rStyle w:val="Hyperlink"/>
          <w:color w:val="auto"/>
          <w:u w:val="none"/>
        </w:rPr>
        <w:t>Even if both providers have contracting arrangements with AV. Similarly, AV employees considering a move to a private provider may also risk losing their entitlements.</w:t>
      </w:r>
    </w:p>
  </w:footnote>
  <w:footnote w:id="55">
    <w:p w14:paraId="081431E7" w14:textId="700452D1" w:rsidR="008C1CA0" w:rsidRDefault="008C1CA0" w:rsidP="000D1783">
      <w:pPr>
        <w:pStyle w:val="FootnoteText"/>
        <w:spacing w:line="240" w:lineRule="auto"/>
      </w:pPr>
      <w:r>
        <w:rPr>
          <w:rStyle w:val="FootnoteReference"/>
        </w:rPr>
        <w:footnoteRef/>
      </w:r>
      <w:r>
        <w:t xml:space="preserve"> This variation in pay and conditions was illustrated in Victorian Ambulance Union’s (VAU) response to The Royal Commission into Victoria’s Mental Health System</w:t>
      </w:r>
      <w:r w:rsidR="00434386">
        <w:t>.</w:t>
      </w:r>
      <w:r w:rsidR="00353942">
        <w:t xml:space="preserve"> Source: </w:t>
      </w:r>
      <w:r w:rsidR="00880633">
        <w:t>VAU (2019</w:t>
      </w:r>
      <w:r w:rsidR="00880633" w:rsidRPr="00434386">
        <w:rPr>
          <w:i/>
          <w:iCs/>
        </w:rPr>
        <w:t>) Preliminary submission to the Royal Commission into Victoria’s Mental Health System</w:t>
      </w:r>
      <w:r w:rsidR="00880633">
        <w:t xml:space="preserve"> </w:t>
      </w:r>
      <w:hyperlink r:id="rId11" w:history="1">
        <w:r w:rsidR="00880633" w:rsidRPr="00880633">
          <w:rPr>
            <w:rStyle w:val="Hyperlink"/>
          </w:rPr>
          <w:t>http://rcvmhs.archive.royalcommission.vic.gov.au/Victorian_Ambulance_Union.pdf</w:t>
        </w:r>
      </w:hyperlink>
      <w:r>
        <w:t xml:space="preserve"> </w:t>
      </w:r>
    </w:p>
  </w:footnote>
  <w:footnote w:id="56">
    <w:p w14:paraId="09CB303B" w14:textId="224A2665"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St </w:t>
      </w:r>
      <w:r>
        <w:rPr>
          <w:szCs w:val="18"/>
        </w:rPr>
        <w:t>John’s</w:t>
      </w:r>
      <w:r w:rsidRPr="004B5F12">
        <w:rPr>
          <w:szCs w:val="18"/>
        </w:rPr>
        <w:t xml:space="preserve"> Ambulance members carried out protected strike action on 5 March 2023</w:t>
      </w:r>
      <w:r>
        <w:rPr>
          <w:szCs w:val="18"/>
        </w:rPr>
        <w:t>.</w:t>
      </w:r>
      <w:r w:rsidRPr="004B5F12">
        <w:rPr>
          <w:szCs w:val="18"/>
        </w:rPr>
        <w:t xml:space="preserve"> </w:t>
      </w:r>
      <w:r>
        <w:rPr>
          <w:szCs w:val="18"/>
        </w:rPr>
        <w:t xml:space="preserve">Source: Victorian Ambulance Union (2023). </w:t>
      </w:r>
      <w:r w:rsidRPr="00093762">
        <w:rPr>
          <w:i/>
          <w:iCs/>
          <w:szCs w:val="18"/>
        </w:rPr>
        <w:t>St John Members Protected Industrial Action FAQs.</w:t>
      </w:r>
      <w:r w:rsidRPr="00093762">
        <w:rPr>
          <w:i/>
          <w:szCs w:val="18"/>
        </w:rPr>
        <w:t xml:space="preserve"> </w:t>
      </w:r>
      <w:hyperlink r:id="rId12" w:history="1">
        <w:r w:rsidRPr="004B5F12">
          <w:rPr>
            <w:rStyle w:val="Hyperlink"/>
            <w:szCs w:val="18"/>
          </w:rPr>
          <w:t>https://vau.org.au/st-john-members-protected-industrial-action-faqs/</w:t>
        </w:r>
      </w:hyperlink>
      <w:r w:rsidRPr="004B5F12">
        <w:rPr>
          <w:szCs w:val="18"/>
        </w:rPr>
        <w:t xml:space="preserve">  </w:t>
      </w:r>
    </w:p>
  </w:footnote>
  <w:footnote w:id="57">
    <w:p w14:paraId="5305FB95" w14:textId="77777777" w:rsidR="008C1CA0" w:rsidRDefault="008C1CA0" w:rsidP="000D1783">
      <w:pPr>
        <w:pStyle w:val="FootnoteText"/>
        <w:spacing w:line="240" w:lineRule="auto"/>
      </w:pPr>
      <w:r>
        <w:rPr>
          <w:rStyle w:val="FootnoteReference"/>
        </w:rPr>
        <w:footnoteRef/>
      </w:r>
      <w:r>
        <w:t xml:space="preserve"> And single-provider systems also have downsides – including a lack of competitive pressures to keep costs down. </w:t>
      </w:r>
    </w:p>
  </w:footnote>
  <w:footnote w:id="58">
    <w:p w14:paraId="27916D27" w14:textId="3E2A6C35" w:rsidR="008C1CA0" w:rsidRDefault="008C1CA0" w:rsidP="000D1783">
      <w:pPr>
        <w:pStyle w:val="FootnoteText"/>
        <w:spacing w:line="240" w:lineRule="auto"/>
      </w:pPr>
      <w:r>
        <w:rPr>
          <w:rStyle w:val="FootnoteReference"/>
        </w:rPr>
        <w:footnoteRef/>
      </w:r>
      <w:r>
        <w:t xml:space="preserve"> </w:t>
      </w:r>
      <w:r w:rsidR="00987FB3">
        <w:t>Source: Department of Health (2022)</w:t>
      </w:r>
      <w:r w:rsidR="00FC3E68" w:rsidRPr="00FC3E68">
        <w:t xml:space="preserve"> </w:t>
      </w:r>
      <w:r w:rsidR="00FC3E68" w:rsidRPr="00FC3E68">
        <w:rPr>
          <w:i/>
          <w:iCs/>
        </w:rPr>
        <w:t xml:space="preserve">Rural public health care agencies’ information and communications technology (ICT) Alliance Policy </w:t>
      </w:r>
      <w:r w:rsidR="00987FB3">
        <w:t xml:space="preserve"> </w:t>
      </w:r>
      <w:hyperlink r:id="rId13" w:history="1">
        <w:r w:rsidR="00FC3E68" w:rsidRPr="00E61D53">
          <w:rPr>
            <w:rStyle w:val="Hyperlink"/>
          </w:rPr>
          <w:t>https://www.health.vic.gov.au/sites/default/files/2022-04/rural-public-health-care-agencies-ict-alliance-policy.docx</w:t>
        </w:r>
      </w:hyperlink>
      <w:r>
        <w:t xml:space="preserve"> </w:t>
      </w:r>
    </w:p>
  </w:footnote>
  <w:footnote w:id="59">
    <w:p w14:paraId="69670965" w14:textId="6D569869" w:rsidR="00917090" w:rsidRDefault="00917090">
      <w:pPr>
        <w:pStyle w:val="FootnoteText"/>
      </w:pPr>
      <w:r>
        <w:rPr>
          <w:rStyle w:val="FootnoteReference"/>
        </w:rPr>
        <w:footnoteRef/>
      </w:r>
      <w:r>
        <w:t xml:space="preserve"> See Section </w:t>
      </w:r>
      <w:r>
        <w:fldChar w:fldCharType="begin"/>
      </w:r>
      <w:r>
        <w:instrText xml:space="preserve"> REF _Ref135601339 \r \h </w:instrText>
      </w:r>
      <w:r>
        <w:fldChar w:fldCharType="separate"/>
      </w:r>
      <w:r w:rsidR="00F75DD1">
        <w:t>2.3</w:t>
      </w:r>
      <w:r>
        <w:fldChar w:fldCharType="end"/>
      </w:r>
    </w:p>
  </w:footnote>
  <w:footnote w:id="60">
    <w:p w14:paraId="2615CCC4" w14:textId="05F955A9" w:rsidR="00534CA9" w:rsidRDefault="00534CA9">
      <w:pPr>
        <w:pStyle w:val="FootnoteText"/>
      </w:pPr>
      <w:r>
        <w:rPr>
          <w:rStyle w:val="FootnoteReference"/>
        </w:rPr>
        <w:footnoteRef/>
      </w:r>
      <w:r w:rsidR="009B6DB9">
        <w:t xml:space="preserve"> Source: Procurement Australia, ‘Health and Care Consumables’.</w:t>
      </w:r>
      <w:r>
        <w:t xml:space="preserve"> </w:t>
      </w:r>
      <w:hyperlink r:id="rId14" w:history="1">
        <w:r w:rsidRPr="0008205C">
          <w:rPr>
            <w:rStyle w:val="Hyperlink"/>
          </w:rPr>
          <w:t>https://www.paltd.com.au/solutions/health-care</w:t>
        </w:r>
      </w:hyperlink>
      <w:r>
        <w:t xml:space="preserve"> </w:t>
      </w:r>
    </w:p>
  </w:footnote>
  <w:footnote w:id="61">
    <w:p w14:paraId="6A9B4F5A" w14:textId="7CE6695D" w:rsidR="00C35D17" w:rsidRDefault="00C35D17">
      <w:pPr>
        <w:pStyle w:val="FootnoteText"/>
      </w:pPr>
      <w:r>
        <w:rPr>
          <w:rStyle w:val="FootnoteReference"/>
        </w:rPr>
        <w:footnoteRef/>
      </w:r>
      <w:r>
        <w:t xml:space="preserve"> But not necessarily exclusive</w:t>
      </w:r>
    </w:p>
  </w:footnote>
  <w:footnote w:id="62">
    <w:p w14:paraId="790AFBF9" w14:textId="77777777" w:rsidR="008C1CA0" w:rsidRDefault="008C1CA0" w:rsidP="000D1783">
      <w:pPr>
        <w:pStyle w:val="FootnoteText"/>
        <w:spacing w:line="240" w:lineRule="auto"/>
      </w:pPr>
      <w:r>
        <w:rPr>
          <w:rStyle w:val="FootnoteReference"/>
        </w:rPr>
        <w:footnoteRef/>
      </w:r>
      <w:r>
        <w:t xml:space="preserve"> Data sourced from HSV NEPT service providers list 2023</w:t>
      </w:r>
    </w:p>
  </w:footnote>
  <w:footnote w:id="63">
    <w:p w14:paraId="09E6F84E" w14:textId="67890283" w:rsidR="00F958EE" w:rsidRDefault="00F958EE" w:rsidP="00F958EE">
      <w:pPr>
        <w:pStyle w:val="FootnoteText"/>
        <w:spacing w:line="240" w:lineRule="auto"/>
      </w:pPr>
      <w:r>
        <w:rPr>
          <w:rStyle w:val="FootnoteReference"/>
        </w:rPr>
        <w:footnoteRef/>
      </w:r>
      <w:r>
        <w:t xml:space="preserve"> </w:t>
      </w:r>
      <w:r w:rsidR="00220658">
        <w:t>Source: Ambulance Victoria internal analysis</w:t>
      </w:r>
    </w:p>
  </w:footnote>
  <w:footnote w:id="64">
    <w:p w14:paraId="5D1EB4DE" w14:textId="3ADCFE60" w:rsidR="008C1CA0" w:rsidRDefault="008C1CA0" w:rsidP="00690C22">
      <w:pPr>
        <w:pStyle w:val="FootnoteText"/>
        <w:spacing w:line="240" w:lineRule="auto"/>
      </w:pPr>
      <w:r>
        <w:rPr>
          <w:rStyle w:val="FootnoteReference"/>
        </w:rPr>
        <w:footnoteRef/>
      </w:r>
      <w:r>
        <w:t xml:space="preserve"> St John</w:t>
      </w:r>
      <w:r w:rsidR="002B5E30">
        <w:t xml:space="preserve"> Ambulance</w:t>
      </w:r>
      <w:r>
        <w:t>, which also delivers WA’s ambulance services</w:t>
      </w:r>
      <w:r w:rsidR="006E7D7E">
        <w:t xml:space="preserve"> Source:</w:t>
      </w:r>
      <w:r>
        <w:t xml:space="preserve"> </w:t>
      </w:r>
      <w:r w:rsidR="0081375D">
        <w:t>Government of Western Australia, Department of Health (2021)</w:t>
      </w:r>
      <w:r w:rsidR="00690C22">
        <w:t xml:space="preserve"> </w:t>
      </w:r>
      <w:r w:rsidR="00690C22" w:rsidRPr="00690C22">
        <w:rPr>
          <w:i/>
          <w:iCs/>
        </w:rPr>
        <w:t>Road Based Inter Hospital Patient Transport Services Policy</w:t>
      </w:r>
      <w:r w:rsidR="009473E3">
        <w:t xml:space="preserve"> </w:t>
      </w:r>
      <w:hyperlink r:id="rId15" w:history="1">
        <w:r w:rsidR="009473E3" w:rsidRPr="00E61D53">
          <w:rPr>
            <w:rStyle w:val="Hyperlink"/>
          </w:rPr>
          <w:t>https://www.health.wa.gov.au/~/media/Files/Corporate/Policy-Frameworks/Purchasing-and-Resource-Allocation/Policy/Road-Based-Inter-Hospital-Patient-Transport-Services-Policy/MP85-Road-Based-Inter-Hospital-Patient-Transport-Services-Policy.pdf</w:t>
        </w:r>
      </w:hyperlink>
      <w:r>
        <w:t xml:space="preserve"> </w:t>
      </w:r>
    </w:p>
  </w:footnote>
  <w:footnote w:id="65">
    <w:p w14:paraId="3A9EDB70" w14:textId="1147F681" w:rsidR="00A811CC" w:rsidRDefault="00A811CC">
      <w:pPr>
        <w:pStyle w:val="FootnoteText"/>
      </w:pPr>
      <w:r>
        <w:rPr>
          <w:rStyle w:val="FootnoteReference"/>
        </w:rPr>
        <w:footnoteRef/>
      </w:r>
      <w:r>
        <w:t xml:space="preserve"> For example, failing to double-load patients where it is appropriate to do so.</w:t>
      </w:r>
    </w:p>
  </w:footnote>
  <w:footnote w:id="66">
    <w:p w14:paraId="0E152B43" w14:textId="55119DA8" w:rsidR="00572846" w:rsidRDefault="00572846" w:rsidP="00572846">
      <w:pPr>
        <w:pStyle w:val="FootnoteText"/>
        <w:spacing w:line="240" w:lineRule="auto"/>
      </w:pPr>
      <w:r>
        <w:rPr>
          <w:rStyle w:val="FootnoteReference"/>
        </w:rPr>
        <w:footnoteRef/>
      </w:r>
      <w:r>
        <w:t xml:space="preserve"> AV is required to use HSV for other procurement </w:t>
      </w:r>
      <w:proofErr w:type="gramStart"/>
      <w:r>
        <w:t>functions,</w:t>
      </w:r>
      <w:r w:rsidR="00953707">
        <w:t xml:space="preserve"> </w:t>
      </w:r>
      <w:r>
        <w:t>but</w:t>
      </w:r>
      <w:proofErr w:type="gramEnd"/>
      <w:r>
        <w:t xml:space="preserve"> is not required to use the HSV NEPT panel as other public health services are. </w:t>
      </w:r>
    </w:p>
  </w:footnote>
  <w:footnote w:id="67">
    <w:p w14:paraId="7DC73D36" w14:textId="3D3D336E"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rsidR="00220658">
        <w:rPr>
          <w:szCs w:val="18"/>
        </w:rPr>
        <w:t>Source: Ambulance Victoria internal anal</w:t>
      </w:r>
      <w:r w:rsidR="00405390">
        <w:rPr>
          <w:szCs w:val="18"/>
        </w:rPr>
        <w:t xml:space="preserve">ysis </w:t>
      </w:r>
    </w:p>
  </w:footnote>
  <w:footnote w:id="68">
    <w:p w14:paraId="4F41E4A6" w14:textId="63DD03E5" w:rsidR="003E7689" w:rsidRDefault="003E7689">
      <w:pPr>
        <w:pStyle w:val="FootnoteText"/>
      </w:pPr>
      <w:r>
        <w:rPr>
          <w:rStyle w:val="FootnoteReference"/>
        </w:rPr>
        <w:footnoteRef/>
      </w:r>
      <w:r>
        <w:t xml:space="preserve"> </w:t>
      </w:r>
      <w:r w:rsidR="00962FDC">
        <w:t xml:space="preserve">Total growth of </w:t>
      </w:r>
      <w:r w:rsidR="001C62A9">
        <w:t>Triple Zero c</w:t>
      </w:r>
      <w:r w:rsidR="00E13790">
        <w:t xml:space="preserve">alls </w:t>
      </w:r>
      <w:r w:rsidR="0031478A">
        <w:t>2015-2019 Source: Ambulance Victoria</w:t>
      </w:r>
    </w:p>
  </w:footnote>
  <w:footnote w:id="69">
    <w:p w14:paraId="7B7B86CD" w14:textId="5918969B" w:rsidR="00963528" w:rsidRDefault="00963528" w:rsidP="000D1783">
      <w:pPr>
        <w:pStyle w:val="FootnoteText"/>
        <w:spacing w:line="240" w:lineRule="auto"/>
      </w:pPr>
      <w:r>
        <w:rPr>
          <w:rStyle w:val="FootnoteReference"/>
        </w:rPr>
        <w:footnoteRef/>
      </w:r>
      <w:r>
        <w:t xml:space="preserve"> NEPT provider </w:t>
      </w:r>
      <w:r w:rsidR="002E3982">
        <w:t>annual reporting 2021-22</w:t>
      </w:r>
      <w:r>
        <w:t xml:space="preserve">  </w:t>
      </w:r>
    </w:p>
  </w:footnote>
  <w:footnote w:id="70">
    <w:p w14:paraId="4CEF57EA" w14:textId="77777777" w:rsidR="00963528" w:rsidRDefault="00963528" w:rsidP="000D1783">
      <w:pPr>
        <w:pStyle w:val="FootnoteText"/>
        <w:spacing w:line="240" w:lineRule="auto"/>
      </w:pPr>
      <w:r>
        <w:rPr>
          <w:rStyle w:val="FootnoteReference"/>
        </w:rPr>
        <w:footnoteRef/>
      </w:r>
      <w:r>
        <w:t xml:space="preserve"> ESTA pre-assessments and AV secondary triage (for unplanned NEPT) or an authorised clinician (for planned NEPT)</w:t>
      </w:r>
    </w:p>
  </w:footnote>
  <w:footnote w:id="71">
    <w:p w14:paraId="6FB1CA4B" w14:textId="77777777" w:rsidR="008C1CA0" w:rsidRDefault="008C1CA0" w:rsidP="000D1783">
      <w:pPr>
        <w:pStyle w:val="FootnoteText"/>
        <w:spacing w:line="240" w:lineRule="auto"/>
      </w:pPr>
      <w:r>
        <w:rPr>
          <w:rStyle w:val="FootnoteReference"/>
        </w:rPr>
        <w:footnoteRef/>
      </w:r>
      <w:r>
        <w:t xml:space="preserve"> For example, Uber Health. </w:t>
      </w:r>
    </w:p>
  </w:footnote>
  <w:footnote w:id="72">
    <w:p w14:paraId="12AA87D9" w14:textId="77F3AFEB" w:rsidR="008C1CA0" w:rsidRDefault="008C1CA0" w:rsidP="000D1783">
      <w:pPr>
        <w:pStyle w:val="FootnoteText"/>
        <w:spacing w:line="240" w:lineRule="auto"/>
      </w:pPr>
      <w:r>
        <w:rPr>
          <w:rStyle w:val="FootnoteReference"/>
        </w:rPr>
        <w:footnoteRef/>
      </w:r>
      <w:r>
        <w:t xml:space="preserve"> </w:t>
      </w:r>
      <w:r w:rsidR="00E96903">
        <w:t xml:space="preserve">Source: Australian Red Cross (2022) </w:t>
      </w:r>
      <w:r w:rsidR="00E96903">
        <w:rPr>
          <w:i/>
          <w:iCs/>
        </w:rPr>
        <w:t xml:space="preserve">Annual Report 2021-22 </w:t>
      </w:r>
      <w:hyperlink r:id="rId16" w:history="1">
        <w:r w:rsidR="00E96903" w:rsidRPr="00BB7A2F">
          <w:rPr>
            <w:rStyle w:val="Hyperlink"/>
          </w:rPr>
          <w:t>https://www.redcross.org.au/globalassets/cms/publications/annual-reports/annual-report-2022.pdf</w:t>
        </w:r>
      </w:hyperlink>
      <w:r>
        <w:t xml:space="preserve"> </w:t>
      </w:r>
    </w:p>
  </w:footnote>
  <w:footnote w:id="73">
    <w:p w14:paraId="332A5930" w14:textId="77777777" w:rsidR="008C1CA0" w:rsidRDefault="008C1CA0" w:rsidP="000D1783">
      <w:pPr>
        <w:pStyle w:val="FootnoteText"/>
        <w:spacing w:line="240" w:lineRule="auto"/>
      </w:pPr>
      <w:r>
        <w:rPr>
          <w:rStyle w:val="FootnoteReference"/>
        </w:rPr>
        <w:footnoteRef/>
      </w:r>
      <w:r>
        <w:t xml:space="preserve"> Source: Ambulance Victoria (2022). </w:t>
      </w:r>
      <w:r w:rsidRPr="00B563EE">
        <w:rPr>
          <w:i/>
        </w:rPr>
        <w:t>Ambulance Victoria Annual Report 2021-22</w:t>
      </w:r>
      <w:r>
        <w:rPr>
          <w:i/>
          <w:iCs/>
        </w:rPr>
        <w:t>.</w:t>
      </w:r>
    </w:p>
  </w:footnote>
  <w:footnote w:id="74">
    <w:p w14:paraId="1864BF91" w14:textId="7B07A409" w:rsidR="00D21810" w:rsidRDefault="00D21810" w:rsidP="000D1783">
      <w:pPr>
        <w:pStyle w:val="FootnoteText"/>
        <w:spacing w:line="240" w:lineRule="auto"/>
      </w:pPr>
      <w:r>
        <w:rPr>
          <w:rStyle w:val="FootnoteReference"/>
        </w:rPr>
        <w:footnoteRef/>
      </w:r>
      <w:r>
        <w:t xml:space="preserve"> </w:t>
      </w:r>
      <w:r w:rsidR="003B305A">
        <w:t>It should be noted t</w:t>
      </w:r>
      <w:r w:rsidR="00653FB1">
        <w:t xml:space="preserve">he Victorian Government has recently made the Diploma </w:t>
      </w:r>
      <w:r w:rsidR="00973F44">
        <w:t xml:space="preserve">of Emergency Health </w:t>
      </w:r>
      <w:proofErr w:type="gramStart"/>
      <w:r w:rsidR="00973F44">
        <w:t>Care</w:t>
      </w:r>
      <w:r w:rsidR="006B2A35">
        <w:t xml:space="preserve"> free</w:t>
      </w:r>
      <w:proofErr w:type="gramEnd"/>
      <w:r w:rsidR="006B2A35">
        <w:t xml:space="preserve"> of charge</w:t>
      </w:r>
      <w:r w:rsidR="00C25EB8">
        <w:t xml:space="preserve">. See: </w:t>
      </w:r>
      <w:hyperlink r:id="rId17" w:history="1">
        <w:r w:rsidR="00C25EB8" w:rsidRPr="00767A87">
          <w:rPr>
            <w:rStyle w:val="Hyperlink"/>
          </w:rPr>
          <w:t>https://www.vic.gov.au/free-tafe</w:t>
        </w:r>
      </w:hyperlink>
      <w:r w:rsidR="00C25EB8">
        <w:t xml:space="preserve"> </w:t>
      </w:r>
    </w:p>
  </w:footnote>
  <w:footnote w:id="75">
    <w:p w14:paraId="4B6C124B" w14:textId="7925B4A4" w:rsidR="007B10FA" w:rsidRDefault="007B10FA">
      <w:pPr>
        <w:pStyle w:val="FootnoteText"/>
      </w:pPr>
      <w:r>
        <w:rPr>
          <w:rStyle w:val="FootnoteReference"/>
        </w:rPr>
        <w:footnoteRef/>
      </w:r>
      <w:r>
        <w:t xml:space="preserve"> </w:t>
      </w:r>
      <w:r w:rsidRPr="007B10FA">
        <w:t xml:space="preserve">Stronger workforce coordination presents an opportunity to link the NEPT and paramedic pathways for those interested in stepping up or down in scope of practice over their career.  </w:t>
      </w:r>
    </w:p>
  </w:footnote>
  <w:footnote w:id="76">
    <w:p w14:paraId="7AAC599B" w14:textId="77777777" w:rsidR="008C1CA0" w:rsidRPr="004B5F12" w:rsidRDefault="008C1CA0" w:rsidP="000D1783">
      <w:pPr>
        <w:pStyle w:val="FootnoteText"/>
        <w:spacing w:line="240" w:lineRule="auto"/>
        <w:rPr>
          <w:szCs w:val="18"/>
        </w:rPr>
      </w:pPr>
      <w:r w:rsidRPr="004B5F12">
        <w:rPr>
          <w:rStyle w:val="FootnoteReference"/>
          <w:szCs w:val="18"/>
        </w:rPr>
        <w:footnoteRef/>
      </w:r>
      <w:r w:rsidRPr="004B5F12">
        <w:rPr>
          <w:szCs w:val="18"/>
        </w:rPr>
        <w:t xml:space="preserve"> </w:t>
      </w:r>
      <w:r>
        <w:rPr>
          <w:szCs w:val="18"/>
        </w:rPr>
        <w:t>Source: Department of Health (2021).</w:t>
      </w:r>
      <w:r w:rsidRPr="004B5F12">
        <w:rPr>
          <w:szCs w:val="18"/>
        </w:rPr>
        <w:t xml:space="preserve"> </w:t>
      </w:r>
      <w:r w:rsidRPr="0083099C">
        <w:rPr>
          <w:i/>
          <w:szCs w:val="18"/>
        </w:rPr>
        <w:t>NEPT Regulations 2021 Regulatory Impact Statement</w:t>
      </w:r>
    </w:p>
  </w:footnote>
  <w:footnote w:id="77">
    <w:p w14:paraId="00710CC1" w14:textId="59FFC3A1" w:rsidR="0015227A" w:rsidRPr="00BB1E47" w:rsidRDefault="0015227A" w:rsidP="000D1783">
      <w:pPr>
        <w:pStyle w:val="FootnoteText"/>
        <w:spacing w:line="240" w:lineRule="auto"/>
        <w:rPr>
          <w:szCs w:val="18"/>
        </w:rPr>
      </w:pPr>
      <w:r w:rsidRPr="00BB1E47">
        <w:rPr>
          <w:szCs w:val="18"/>
        </w:rPr>
        <w:t xml:space="preserve">     </w:t>
      </w:r>
    </w:p>
  </w:footnote>
  <w:footnote w:id="78">
    <w:p w14:paraId="5574A176" w14:textId="44AD3F88" w:rsidR="005C623D" w:rsidRDefault="005C623D" w:rsidP="000D1783">
      <w:pPr>
        <w:pStyle w:val="FootnoteText"/>
        <w:spacing w:line="240" w:lineRule="auto"/>
      </w:pPr>
      <w:r w:rsidRPr="00BB1E47">
        <w:rPr>
          <w:rStyle w:val="FootnoteReference"/>
        </w:rPr>
        <w:footnoteRef/>
      </w:r>
      <w:r w:rsidRPr="00BB1E47">
        <w:t xml:space="preserve"> For unplanned NEPT transfers, </w:t>
      </w:r>
      <w:r w:rsidR="00912607" w:rsidRPr="00BB1E47">
        <w:t xml:space="preserve">in most cases </w:t>
      </w:r>
      <w:r w:rsidRPr="00BB1E47">
        <w:t>the patient will not have received an in-per</w:t>
      </w:r>
      <w:r w:rsidR="00912607" w:rsidRPr="00BB1E47">
        <w:t>s</w:t>
      </w:r>
      <w:r w:rsidRPr="00BB1E47">
        <w:t xml:space="preserve">on clinical assessment and in </w:t>
      </w:r>
      <w:r w:rsidR="00912607" w:rsidRPr="00BB1E47">
        <w:t xml:space="preserve">these </w:t>
      </w:r>
      <w:proofErr w:type="gramStart"/>
      <w:r w:rsidR="00912607" w:rsidRPr="00BB1E47">
        <w:t>instances</w:t>
      </w:r>
      <w:proofErr w:type="gramEnd"/>
      <w:r w:rsidRPr="00BB1E47">
        <w:t xml:space="preserve"> it may be appropriate to provide a skill-mix higher than</w:t>
      </w:r>
      <w:r w:rsidR="00A21654" w:rsidRPr="00BB1E47">
        <w:t xml:space="preserve"> based on</w:t>
      </w:r>
      <w:r w:rsidRPr="00BB1E47">
        <w:t xml:space="preserve"> the assessed acuity of the patient.</w:t>
      </w:r>
      <w:r>
        <w:t xml:space="preserve"> </w:t>
      </w:r>
    </w:p>
  </w:footnote>
  <w:footnote w:id="79">
    <w:p w14:paraId="0095E150" w14:textId="46A0638F" w:rsidR="008B25B7" w:rsidRDefault="008B25B7">
      <w:pPr>
        <w:pStyle w:val="FootnoteText"/>
      </w:pPr>
      <w:r>
        <w:rPr>
          <w:rStyle w:val="FootnoteReference"/>
        </w:rPr>
        <w:footnoteRef/>
      </w:r>
      <w:r>
        <w:t xml:space="preserve"> </w:t>
      </w:r>
      <w:r w:rsidRPr="00251DC8">
        <w:rPr>
          <w:szCs w:val="18"/>
        </w:rPr>
        <w:t xml:space="preserve">Source: </w:t>
      </w:r>
      <w:r w:rsidRPr="004B5F12">
        <w:rPr>
          <w:szCs w:val="18"/>
        </w:rPr>
        <w:t xml:space="preserve">NEPT provider </w:t>
      </w:r>
      <w:r>
        <w:rPr>
          <w:szCs w:val="18"/>
        </w:rPr>
        <w:t>a</w:t>
      </w:r>
      <w:r w:rsidRPr="004B5F12">
        <w:rPr>
          <w:szCs w:val="18"/>
        </w:rPr>
        <w:t xml:space="preserve">nnual </w:t>
      </w:r>
      <w:r w:rsidRPr="004C3FB9">
        <w:rPr>
          <w:szCs w:val="18"/>
        </w:rPr>
        <w:t xml:space="preserve">reporting </w:t>
      </w:r>
      <w:r w:rsidRPr="00CF4139">
        <w:rPr>
          <w:szCs w:val="18"/>
        </w:rPr>
        <w:t>2021</w:t>
      </w:r>
      <w:r w:rsidRPr="004C3FB9">
        <w:rPr>
          <w:szCs w:val="18"/>
        </w:rPr>
        <w:t>-22</w:t>
      </w:r>
    </w:p>
  </w:footnote>
  <w:footnote w:id="80">
    <w:p w14:paraId="17F64BF1" w14:textId="77777777" w:rsidR="00CD05DF" w:rsidRDefault="00CD05DF" w:rsidP="000D1783">
      <w:pPr>
        <w:pStyle w:val="FootnoteText"/>
        <w:spacing w:line="240" w:lineRule="auto"/>
      </w:pPr>
      <w:r>
        <w:rPr>
          <w:rStyle w:val="FootnoteReference"/>
        </w:rPr>
        <w:footnoteRef/>
      </w:r>
      <w:r>
        <w:t xml:space="preserve"> </w:t>
      </w:r>
      <w:r w:rsidR="002150DF">
        <w:t xml:space="preserve">Source: </w:t>
      </w:r>
      <w:r w:rsidR="002150DF" w:rsidRPr="00873B9B">
        <w:t>Non-Emergency Patient Transport Regulations 2016, incorporating amendments 2021 (Vic) S.R No. 28/2016; section 11(1)(b)</w:t>
      </w:r>
    </w:p>
  </w:footnote>
  <w:footnote w:id="81">
    <w:p w14:paraId="5ECC2AB3" w14:textId="77777777" w:rsidR="00391A63" w:rsidRDefault="00391A63" w:rsidP="000D1783">
      <w:pPr>
        <w:pStyle w:val="FootnoteText"/>
        <w:spacing w:line="240" w:lineRule="auto"/>
      </w:pPr>
      <w:r>
        <w:rPr>
          <w:rStyle w:val="FootnoteReference"/>
        </w:rPr>
        <w:footnoteRef/>
      </w:r>
      <w:r w:rsidRPr="00873B9B">
        <w:t xml:space="preserve"> </w:t>
      </w:r>
      <w:r w:rsidR="002150DF" w:rsidRPr="00873B9B">
        <w:t xml:space="preserve">Source: Non-Emergency Patient Transport Regulations 2016, incorporating amendments 2021 (Vic) S.R No. 28/2016; section </w:t>
      </w:r>
      <w:r w:rsidR="00C03C08" w:rsidRPr="00873B9B">
        <w:t>19(1)</w:t>
      </w:r>
    </w:p>
  </w:footnote>
  <w:footnote w:id="82">
    <w:p w14:paraId="405B9E84" w14:textId="77777777" w:rsidR="006F1AB2" w:rsidRDefault="006F1AB2" w:rsidP="006F1AB2">
      <w:pPr>
        <w:pStyle w:val="FootnoteText"/>
      </w:pPr>
      <w:r>
        <w:rPr>
          <w:rStyle w:val="FootnoteReference"/>
        </w:rPr>
        <w:footnoteRef/>
      </w:r>
      <w:r>
        <w:t xml:space="preserve"> Beyond skills in manual handling, to assist with loading and unloading of patients </w:t>
      </w:r>
    </w:p>
  </w:footnote>
  <w:footnote w:id="83">
    <w:p w14:paraId="7771856A" w14:textId="77777777" w:rsidR="0051562F" w:rsidRDefault="0051562F" w:rsidP="0051562F">
      <w:pPr>
        <w:pStyle w:val="FootnoteText"/>
      </w:pPr>
      <w:r>
        <w:rPr>
          <w:rStyle w:val="FootnoteReference"/>
        </w:rPr>
        <w:footnoteRef/>
      </w:r>
      <w:r>
        <w:t xml:space="preserve"> Source: </w:t>
      </w:r>
      <w:proofErr w:type="spellStart"/>
      <w:r>
        <w:t>HealthShare</w:t>
      </w:r>
      <w:proofErr w:type="spellEnd"/>
      <w:r>
        <w:t xml:space="preserve"> New South Wales (2023) </w:t>
      </w:r>
      <w:r w:rsidRPr="00D12E26">
        <w:rPr>
          <w:i/>
          <w:iCs/>
        </w:rPr>
        <w:t>Service Specifications for Transport Providers, Patient Transport Service</w:t>
      </w:r>
      <w:r>
        <w:rPr>
          <w:i/>
          <w:iCs/>
        </w:rPr>
        <w:t xml:space="preserve"> </w:t>
      </w:r>
      <w:hyperlink r:id="rId18" w:history="1">
        <w:r w:rsidRPr="003B0AD4">
          <w:rPr>
            <w:rStyle w:val="Hyperlink"/>
          </w:rPr>
          <w:t>https://www1.health.nsw.gov.au/pds/ActivePDSDocuments/PD2018_002.pdf</w:t>
        </w:r>
      </w:hyperlink>
      <w:r>
        <w:t>, p. 7</w:t>
      </w:r>
    </w:p>
  </w:footnote>
  <w:footnote w:id="84">
    <w:p w14:paraId="3C5CAE45" w14:textId="5E08503D" w:rsidR="005B57D3" w:rsidRDefault="005B57D3">
      <w:pPr>
        <w:pStyle w:val="FootnoteText"/>
      </w:pPr>
      <w:r>
        <w:rPr>
          <w:rStyle w:val="FootnoteReference"/>
        </w:rPr>
        <w:footnoteRef/>
      </w:r>
      <w:r>
        <w:t xml:space="preserve"> Training related to manual handling would still be necessary.</w:t>
      </w:r>
    </w:p>
  </w:footnote>
  <w:footnote w:id="85">
    <w:p w14:paraId="2EA2680C" w14:textId="37E0E1F4" w:rsidR="00C91014" w:rsidRDefault="00C91014">
      <w:pPr>
        <w:pStyle w:val="FootnoteText"/>
      </w:pPr>
      <w:r>
        <w:rPr>
          <w:rStyle w:val="FootnoteReference"/>
        </w:rPr>
        <w:footnoteRef/>
      </w:r>
      <w:r>
        <w:t xml:space="preserve"> noting the small volume of non-contracted NEPT services already provided by AV at present.</w:t>
      </w:r>
    </w:p>
  </w:footnote>
  <w:footnote w:id="86">
    <w:p w14:paraId="54A64857" w14:textId="77777777" w:rsidR="008C1CA0" w:rsidRPr="00F3036E" w:rsidRDefault="008C1CA0" w:rsidP="000D1783">
      <w:pPr>
        <w:pStyle w:val="FootnoteText"/>
        <w:spacing w:line="240" w:lineRule="auto"/>
      </w:pPr>
      <w:r>
        <w:rPr>
          <w:rStyle w:val="FootnoteReference"/>
        </w:rPr>
        <w:footnoteRef/>
      </w:r>
      <w:r>
        <w:t xml:space="preserve"> </w:t>
      </w:r>
      <w:r w:rsidRPr="00F3036E">
        <w:t xml:space="preserve">Source: NSW Health (2020). </w:t>
      </w:r>
      <w:r w:rsidRPr="00F3036E">
        <w:rPr>
          <w:i/>
          <w:iCs/>
        </w:rPr>
        <w:t xml:space="preserve">Patient Transport </w:t>
      </w:r>
      <w:r w:rsidRPr="00F3036E">
        <w:t xml:space="preserve">Service. </w:t>
      </w:r>
      <w:hyperlink r:id="rId19" w:history="1">
        <w:r w:rsidRPr="0012682A">
          <w:rPr>
            <w:rStyle w:val="Hyperlink"/>
          </w:rPr>
          <w:t>https://www.health.nsw.gov.au/pts/Pages/about-pts.aspx</w:t>
        </w:r>
      </w:hyperlink>
      <w:r>
        <w:t xml:space="preserve"> </w:t>
      </w:r>
      <w:r w:rsidRPr="00F3036E">
        <w:t xml:space="preserve">  </w:t>
      </w:r>
    </w:p>
    <w:p w14:paraId="0A3208AD" w14:textId="77777777" w:rsidR="008C1CA0" w:rsidRDefault="008C1CA0" w:rsidP="000D1783">
      <w:pPr>
        <w:pStyle w:val="FootnoteText"/>
        <w:spacing w:line="240" w:lineRule="auto"/>
      </w:pPr>
      <w:r w:rsidRPr="00F3036E">
        <w:t xml:space="preserve">Source: </w:t>
      </w:r>
      <w:proofErr w:type="spellStart"/>
      <w:r w:rsidRPr="00F3036E">
        <w:t>Logis</w:t>
      </w:r>
      <w:proofErr w:type="spellEnd"/>
      <w:r w:rsidRPr="00F3036E">
        <w:t xml:space="preserve"> Solutions (2015). </w:t>
      </w:r>
      <w:r w:rsidRPr="00F3036E">
        <w:rPr>
          <w:i/>
          <w:iCs/>
        </w:rPr>
        <w:t>NSW Health Patient Transport Service</w:t>
      </w:r>
      <w:r w:rsidRPr="00F3036E">
        <w:t xml:space="preserve"> </w:t>
      </w:r>
      <w:hyperlink r:id="rId20" w:history="1">
        <w:r w:rsidRPr="00F3036E">
          <w:rPr>
            <w:rStyle w:val="Hyperlink"/>
          </w:rPr>
          <w:t>https://logissolutions.net/case-studies/new-south-wales/</w:t>
        </w:r>
      </w:hyperlink>
      <w:r>
        <w:t xml:space="preserve"> </w:t>
      </w:r>
    </w:p>
  </w:footnote>
  <w:footnote w:id="87">
    <w:p w14:paraId="3C838ADF" w14:textId="77777777" w:rsidR="008C1CA0" w:rsidRDefault="008C1CA0" w:rsidP="000D1783">
      <w:pPr>
        <w:pStyle w:val="FootnoteText"/>
        <w:spacing w:line="240" w:lineRule="auto"/>
      </w:pPr>
      <w:r w:rsidRPr="00AC20F5">
        <w:rPr>
          <w:rStyle w:val="FootnoteReference"/>
        </w:rPr>
        <w:footnoteRef/>
      </w:r>
      <w:r w:rsidRPr="00AC20F5">
        <w:t xml:space="preserve"> Source: The Operational Research Society (2018). </w:t>
      </w:r>
      <w:r w:rsidRPr="00AC20F5">
        <w:rPr>
          <w:i/>
          <w:iCs/>
        </w:rPr>
        <w:t>Improving patient transport in New South Wales.</w:t>
      </w:r>
      <w:r w:rsidRPr="00AC20F5">
        <w:t xml:space="preserve"> </w:t>
      </w:r>
      <w:hyperlink r:id="rId21" w:history="1">
        <w:r w:rsidRPr="00AC20F5">
          <w:rPr>
            <w:rStyle w:val="Hyperlink"/>
          </w:rPr>
          <w:t>https://www.theorsociety.com/resource-centre/business-case-studies/improving-patient-transport-in-new-south-wales/</w:t>
        </w:r>
      </w:hyperlink>
      <w:r>
        <w:t xml:space="preserve"> </w:t>
      </w:r>
    </w:p>
  </w:footnote>
  <w:footnote w:id="88">
    <w:p w14:paraId="1D73656E" w14:textId="77777777" w:rsidR="008C1CA0" w:rsidRDefault="008C1CA0" w:rsidP="000D1783">
      <w:pPr>
        <w:pStyle w:val="FootnoteText"/>
        <w:spacing w:line="240" w:lineRule="auto"/>
      </w:pPr>
      <w:r>
        <w:rPr>
          <w:rStyle w:val="FootnoteReference"/>
        </w:rPr>
        <w:footnoteRef/>
      </w:r>
      <w:r>
        <w:t xml:space="preserve"> Source: Queensland Government (2022). </w:t>
      </w:r>
      <w:r w:rsidRPr="00702583">
        <w:rPr>
          <w:i/>
          <w:iCs/>
        </w:rPr>
        <w:t>Patient Access Coordination Hub</w:t>
      </w:r>
      <w:r>
        <w:t xml:space="preserve">. </w:t>
      </w:r>
      <w:hyperlink r:id="rId22" w:history="1">
        <w:r w:rsidRPr="0012682A">
          <w:rPr>
            <w:rStyle w:val="Hyperlink"/>
          </w:rPr>
          <w:t>https://clinicalexcellence.qld.gov.au/improvement-exchange/patient-access-coordination-hub-pach</w:t>
        </w:r>
      </w:hyperlink>
      <w:r>
        <w:t xml:space="preserve"> </w:t>
      </w:r>
    </w:p>
  </w:footnote>
  <w:footnote w:id="89">
    <w:p w14:paraId="6F06ED52" w14:textId="77777777" w:rsidR="008C1CA0" w:rsidRDefault="008C1CA0" w:rsidP="000D1783">
      <w:pPr>
        <w:pStyle w:val="FootnoteText"/>
        <w:spacing w:line="240" w:lineRule="auto"/>
      </w:pPr>
      <w:r>
        <w:rPr>
          <w:rStyle w:val="FootnoteReference"/>
        </w:rPr>
        <w:footnoteRef/>
      </w:r>
      <w:r>
        <w:t xml:space="preserve"> Source: NHS (2021). </w:t>
      </w:r>
      <w:r w:rsidRPr="004B7D7E">
        <w:rPr>
          <w:i/>
          <w:iCs/>
        </w:rPr>
        <w:t>Improving non-emergency patient transport services: Report of the non-emergency patient transport review.</w:t>
      </w:r>
      <w:r>
        <w:t xml:space="preserve"> </w:t>
      </w:r>
      <w:hyperlink r:id="rId23" w:history="1">
        <w:r w:rsidRPr="0012682A">
          <w:rPr>
            <w:rStyle w:val="Hyperlink"/>
          </w:rPr>
          <w:t>https://www.england.nhs.uk/publication/improving-non-emergency-patient-transport-services/</w:t>
        </w:r>
      </w:hyperlink>
      <w:r>
        <w:t xml:space="preserve"> </w:t>
      </w:r>
    </w:p>
  </w:footnote>
  <w:footnote w:id="90">
    <w:p w14:paraId="77CB641D" w14:textId="61EF3471" w:rsidR="008C1CA0" w:rsidRDefault="008C1CA0" w:rsidP="000D1783">
      <w:pPr>
        <w:pStyle w:val="FootnoteText"/>
        <w:spacing w:line="240" w:lineRule="auto"/>
      </w:pPr>
      <w:r>
        <w:rPr>
          <w:rStyle w:val="FootnoteReference"/>
        </w:rPr>
        <w:footnoteRef/>
      </w:r>
      <w:r>
        <w:t xml:space="preserve"> </w:t>
      </w:r>
      <w:r w:rsidR="0015343F">
        <w:t xml:space="preserve">Under eligibility criteria published in 2022, patients are likely to qualify for NEPTS if they meet one or more of the following: medical needs, cognitive or sensory impairment, significant mobility needs, travelling to use in-centre haemodialysis, concern for their wellbeing has been raised, or wider needs that have resulted in services or discharge being missed or severely delayed. </w:t>
      </w:r>
      <w:hyperlink r:id="rId24" w:history="1">
        <w:r w:rsidR="0015343F" w:rsidRPr="008D4307">
          <w:rPr>
            <w:rStyle w:val="Hyperlink"/>
          </w:rPr>
          <w:t>https://www.england.nhs.uk/wp-content/uploads/2022/05/B1244-nepts-eligibility-criteria.pdf</w:t>
        </w:r>
      </w:hyperlink>
      <w:r>
        <w:t xml:space="preserve"> </w:t>
      </w:r>
    </w:p>
  </w:footnote>
  <w:footnote w:id="91">
    <w:p w14:paraId="50CC9A28" w14:textId="6CA105C8" w:rsidR="008C1CA0" w:rsidRDefault="008C1CA0" w:rsidP="000D1783">
      <w:pPr>
        <w:pStyle w:val="FootnoteText"/>
        <w:spacing w:line="240" w:lineRule="auto"/>
      </w:pPr>
      <w:r>
        <w:rPr>
          <w:rStyle w:val="FootnoteReference"/>
        </w:rPr>
        <w:footnoteRef/>
      </w:r>
      <w:r>
        <w:t xml:space="preserve"> </w:t>
      </w:r>
      <w:r w:rsidR="00E029AB">
        <w:t xml:space="preserve">Source: </w:t>
      </w:r>
      <w:r w:rsidR="008126ED">
        <w:t>NHS Digital (2022)</w:t>
      </w:r>
      <w:r w:rsidR="008126ED" w:rsidRPr="008126ED">
        <w:t xml:space="preserve"> </w:t>
      </w:r>
      <w:r w:rsidR="008126ED" w:rsidRPr="008126ED">
        <w:rPr>
          <w:i/>
          <w:iCs/>
        </w:rPr>
        <w:t xml:space="preserve">Non-Emergency Patient Transport Services (Data Collection) Directions 2022 </w:t>
      </w:r>
      <w:hyperlink r:id="rId25" w:history="1">
        <w:r w:rsidR="008126ED" w:rsidRPr="00BB7A2F">
          <w:rPr>
            <w:rStyle w:val="Hyperlink"/>
          </w:rPr>
          <w:t>https://digital.nhs.uk/about-nhs-digital/corporate-information-and-documents/directions-and-data-provision-notices/nhs-england-directions/non-emergency-patient-transport-services-data-collection-directions-2022</w:t>
        </w:r>
      </w:hyperlink>
      <w:r w:rsidR="008126ED">
        <w:t xml:space="preserve"> </w:t>
      </w:r>
    </w:p>
  </w:footnote>
  <w:footnote w:id="92">
    <w:p w14:paraId="5442C07B" w14:textId="77777777" w:rsidR="008C1CA0" w:rsidRDefault="008C1CA0" w:rsidP="000D1783">
      <w:pPr>
        <w:pStyle w:val="FootnoteText"/>
        <w:spacing w:line="240" w:lineRule="auto"/>
      </w:pPr>
      <w:r>
        <w:rPr>
          <w:rStyle w:val="FootnoteReference"/>
        </w:rPr>
        <w:footnoteRef/>
      </w:r>
      <w:r>
        <w:t xml:space="preserve"> Source: Parliament of Tasmania (2022) </w:t>
      </w:r>
      <w:r w:rsidRPr="007B1044">
        <w:rPr>
          <w:i/>
          <w:iCs/>
        </w:rPr>
        <w:t>Report</w:t>
      </w:r>
      <w:r w:rsidRPr="007B1044">
        <w:rPr>
          <w:i/>
        </w:rPr>
        <w:t xml:space="preserve"> on Rural Health Services in Tasmania</w:t>
      </w:r>
      <w:r>
        <w:t xml:space="preserve"> </w:t>
      </w:r>
    </w:p>
  </w:footnote>
  <w:footnote w:id="93">
    <w:p w14:paraId="1FDF0142" w14:textId="77777777" w:rsidR="008C1CA0" w:rsidRPr="007B1044" w:rsidRDefault="008C1CA0" w:rsidP="000D1783">
      <w:pPr>
        <w:pStyle w:val="FootnoteText"/>
        <w:spacing w:line="240" w:lineRule="auto"/>
      </w:pPr>
      <w:r>
        <w:rPr>
          <w:rStyle w:val="FootnoteReference"/>
        </w:rPr>
        <w:footnoteRef/>
      </w:r>
      <w:r>
        <w:t xml:space="preserve"> This requirement does not apply to Fiona Stanley Hospital and the Rottnest Island Nursing Post. Source: Government of Western Australia (2021) </w:t>
      </w:r>
      <w:r>
        <w:rPr>
          <w:i/>
          <w:iCs/>
        </w:rPr>
        <w:t>Road Based Inter Hospital Patient Transport Services Policy</w:t>
      </w:r>
      <w:r>
        <w:t xml:space="preserve">. </w:t>
      </w:r>
    </w:p>
  </w:footnote>
  <w:footnote w:id="94">
    <w:p w14:paraId="493FFAE5" w14:textId="77777777" w:rsidR="008C1CA0" w:rsidRPr="00757452" w:rsidRDefault="008C1CA0" w:rsidP="000D1783">
      <w:pPr>
        <w:pStyle w:val="FootnoteText"/>
        <w:spacing w:line="240" w:lineRule="auto"/>
      </w:pPr>
      <w:r>
        <w:rPr>
          <w:rStyle w:val="FootnoteReference"/>
        </w:rPr>
        <w:footnoteRef/>
      </w:r>
      <w:r>
        <w:t xml:space="preserve"> St John Northern Territory (2023) </w:t>
      </w:r>
      <w:r>
        <w:rPr>
          <w:i/>
          <w:iCs/>
        </w:rPr>
        <w:t>Ambulance &amp; Patient Transfer</w:t>
      </w:r>
      <w:r>
        <w:t xml:space="preserve">. </w:t>
      </w:r>
      <w:hyperlink r:id="rId26" w:history="1">
        <w:r w:rsidRPr="006F5A10">
          <w:rPr>
            <w:rStyle w:val="Hyperlink"/>
          </w:rPr>
          <w:t>https://www.stjohnnt.org.au/services/ambulance-patient-transfer</w:t>
        </w:r>
      </w:hyperlink>
      <w:r>
        <w:t xml:space="preserve"> </w:t>
      </w:r>
    </w:p>
  </w:footnote>
  <w:footnote w:id="95">
    <w:p w14:paraId="36890CB1" w14:textId="77777777" w:rsidR="008C1CA0" w:rsidRPr="00D273AF" w:rsidRDefault="008C1CA0" w:rsidP="000D1783">
      <w:pPr>
        <w:pStyle w:val="FootnoteText"/>
        <w:spacing w:line="240" w:lineRule="auto"/>
      </w:pPr>
      <w:r>
        <w:rPr>
          <w:rStyle w:val="FootnoteReference"/>
        </w:rPr>
        <w:footnoteRef/>
      </w:r>
      <w:r>
        <w:t xml:space="preserve"> Queensland Government (2023) </w:t>
      </w:r>
      <w:r>
        <w:rPr>
          <w:i/>
          <w:iCs/>
        </w:rPr>
        <w:t>Queensland Ambulance Service Regions</w:t>
      </w:r>
      <w:r>
        <w:t xml:space="preserve">. </w:t>
      </w:r>
      <w:hyperlink r:id="rId27" w:history="1">
        <w:r w:rsidRPr="00465D30">
          <w:rPr>
            <w:rStyle w:val="Hyperlink"/>
          </w:rPr>
          <w:t>https://www.ambulance.qld.gov.au/LASN.html</w:t>
        </w:r>
      </w:hyperlink>
      <w:r>
        <w:t xml:space="preserve"> </w:t>
      </w:r>
    </w:p>
  </w:footnote>
  <w:footnote w:id="96">
    <w:p w14:paraId="42B8B28D" w14:textId="77777777" w:rsidR="008C1CA0" w:rsidRDefault="008C1CA0" w:rsidP="000D1783">
      <w:pPr>
        <w:pStyle w:val="FootnoteText"/>
        <w:spacing w:line="240" w:lineRule="auto"/>
      </w:pPr>
      <w:r>
        <w:rPr>
          <w:rStyle w:val="FootnoteReference"/>
        </w:rPr>
        <w:footnoteRef/>
      </w:r>
      <w:r>
        <w:t xml:space="preserve"> </w:t>
      </w:r>
      <w:r w:rsidRPr="00F3036E">
        <w:t xml:space="preserve">Source: NSW Health (2020). </w:t>
      </w:r>
      <w:r w:rsidRPr="00F3036E">
        <w:rPr>
          <w:i/>
          <w:iCs/>
        </w:rPr>
        <w:t xml:space="preserve">Patient Transport </w:t>
      </w:r>
      <w:r w:rsidRPr="00F3036E">
        <w:t xml:space="preserve">Service. </w:t>
      </w:r>
      <w:hyperlink r:id="rId28" w:history="1">
        <w:r w:rsidRPr="0012682A">
          <w:rPr>
            <w:rStyle w:val="Hyperlink"/>
          </w:rPr>
          <w:t>https://www.health.nsw.gov.au/pts/Pages/about-pts.aspx</w:t>
        </w:r>
      </w:hyperlink>
      <w:r>
        <w:t xml:space="preserve"> </w:t>
      </w:r>
      <w:r w:rsidRPr="00F3036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DE70" w14:textId="77777777" w:rsidR="000B0E19" w:rsidRDefault="000B0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B4DC" w14:textId="77777777" w:rsidR="008C1CA0" w:rsidRDefault="008C1CA0"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C2C76A0" w14:paraId="735AF7E9" w14:textId="77777777" w:rsidTr="4C2C76A0">
      <w:trPr>
        <w:trHeight w:val="300"/>
      </w:trPr>
      <w:tc>
        <w:tcPr>
          <w:tcW w:w="3400" w:type="dxa"/>
        </w:tcPr>
        <w:p w14:paraId="646BD779" w14:textId="21B0FC70" w:rsidR="4C2C76A0" w:rsidRDefault="4C2C76A0" w:rsidP="4C2C76A0">
          <w:pPr>
            <w:pStyle w:val="Header"/>
            <w:ind w:left="-115"/>
          </w:pPr>
        </w:p>
      </w:tc>
      <w:tc>
        <w:tcPr>
          <w:tcW w:w="3400" w:type="dxa"/>
        </w:tcPr>
        <w:p w14:paraId="1CC2E1DD" w14:textId="2C59CAC7" w:rsidR="4C2C76A0" w:rsidRDefault="4C2C76A0" w:rsidP="4C2C76A0">
          <w:pPr>
            <w:pStyle w:val="Header"/>
            <w:jc w:val="center"/>
          </w:pPr>
        </w:p>
      </w:tc>
      <w:tc>
        <w:tcPr>
          <w:tcW w:w="3400" w:type="dxa"/>
        </w:tcPr>
        <w:p w14:paraId="22172C33" w14:textId="507E32CB" w:rsidR="4C2C76A0" w:rsidRDefault="4C2C76A0" w:rsidP="4C2C76A0">
          <w:pPr>
            <w:pStyle w:val="Header"/>
            <w:ind w:right="-115"/>
            <w:jc w:val="right"/>
          </w:pPr>
        </w:p>
      </w:tc>
    </w:tr>
  </w:tbl>
  <w:p w14:paraId="6A7C3E06" w14:textId="1B5ACE90" w:rsidR="00172890" w:rsidRDefault="00172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20D0" w14:textId="78302BD9" w:rsidR="008C1CA0" w:rsidRPr="0051568D" w:rsidRDefault="008C1CA0" w:rsidP="0011701A">
    <w:pPr>
      <w:pStyle w:val="Header"/>
    </w:pPr>
    <w:r>
      <w:t>NEPT Review Discussion paper</w:t>
    </w:r>
    <w:r>
      <w:ptab w:relativeTo="margin" w:alignment="right" w:leader="none"/>
    </w:r>
    <w:r w:rsidRPr="4C2C76A0">
      <w:fldChar w:fldCharType="begin"/>
    </w:r>
    <w:r w:rsidRPr="007E1227">
      <w:rPr>
        <w:bCs/>
      </w:rPr>
      <w:instrText xml:space="preserve"> PAGE </w:instrText>
    </w:r>
    <w:r w:rsidRPr="4C2C76A0">
      <w:rPr>
        <w:b w:val="0"/>
        <w:bCs/>
      </w:rPr>
      <w:fldChar w:fldCharType="separate"/>
    </w:r>
    <w:r w:rsidRPr="007E1227">
      <w:rPr>
        <w:bCs/>
      </w:rPr>
      <w:t>3</w:t>
    </w:r>
    <w:r w:rsidRPr="4C2C76A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C2C76A0" w14:paraId="5DCFD3BB" w14:textId="77777777" w:rsidTr="4C2C76A0">
      <w:trPr>
        <w:trHeight w:val="300"/>
      </w:trPr>
      <w:tc>
        <w:tcPr>
          <w:tcW w:w="3400" w:type="dxa"/>
        </w:tcPr>
        <w:p w14:paraId="173EF018" w14:textId="0EDC6289" w:rsidR="4C2C76A0" w:rsidRDefault="4C2C76A0" w:rsidP="4C2C76A0">
          <w:pPr>
            <w:pStyle w:val="Header"/>
            <w:ind w:left="-115"/>
          </w:pPr>
        </w:p>
      </w:tc>
      <w:tc>
        <w:tcPr>
          <w:tcW w:w="3400" w:type="dxa"/>
        </w:tcPr>
        <w:p w14:paraId="72CA0B14" w14:textId="2366D150" w:rsidR="4C2C76A0" w:rsidRDefault="4C2C76A0" w:rsidP="4C2C76A0">
          <w:pPr>
            <w:pStyle w:val="Header"/>
            <w:jc w:val="center"/>
          </w:pPr>
        </w:p>
      </w:tc>
      <w:tc>
        <w:tcPr>
          <w:tcW w:w="3400" w:type="dxa"/>
        </w:tcPr>
        <w:p w14:paraId="376B3AA0" w14:textId="316DBABC" w:rsidR="4C2C76A0" w:rsidRDefault="4C2C76A0" w:rsidP="4C2C76A0">
          <w:pPr>
            <w:pStyle w:val="Header"/>
            <w:ind w:right="-115"/>
            <w:jc w:val="right"/>
          </w:pPr>
        </w:p>
      </w:tc>
    </w:tr>
  </w:tbl>
  <w:p w14:paraId="3AD95D4E" w14:textId="5161398D" w:rsidR="00172890" w:rsidRDefault="001728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4C2C76A0" w14:paraId="520F901C" w14:textId="77777777" w:rsidTr="4C2C76A0">
      <w:trPr>
        <w:trHeight w:val="300"/>
      </w:trPr>
      <w:tc>
        <w:tcPr>
          <w:tcW w:w="3400" w:type="dxa"/>
        </w:tcPr>
        <w:p w14:paraId="51C7291A" w14:textId="5D5130BD" w:rsidR="4C2C76A0" w:rsidRDefault="4C2C76A0" w:rsidP="4C2C76A0">
          <w:pPr>
            <w:pStyle w:val="Header"/>
            <w:ind w:left="-115"/>
          </w:pPr>
        </w:p>
      </w:tc>
      <w:tc>
        <w:tcPr>
          <w:tcW w:w="3400" w:type="dxa"/>
        </w:tcPr>
        <w:p w14:paraId="39081318" w14:textId="55B79106" w:rsidR="4C2C76A0" w:rsidRDefault="4C2C76A0" w:rsidP="4C2C76A0">
          <w:pPr>
            <w:pStyle w:val="Header"/>
            <w:jc w:val="center"/>
          </w:pPr>
        </w:p>
      </w:tc>
      <w:tc>
        <w:tcPr>
          <w:tcW w:w="3400" w:type="dxa"/>
        </w:tcPr>
        <w:p w14:paraId="562131F9" w14:textId="2E3F140E" w:rsidR="4C2C76A0" w:rsidRDefault="4C2C76A0" w:rsidP="4C2C76A0">
          <w:pPr>
            <w:pStyle w:val="Header"/>
            <w:ind w:right="-115"/>
            <w:jc w:val="right"/>
          </w:pPr>
        </w:p>
      </w:tc>
    </w:tr>
  </w:tbl>
  <w:p w14:paraId="535FAB55" w14:textId="4595B382" w:rsidR="00172890" w:rsidRDefault="001728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4C2C76A0" w14:paraId="70BE9967" w14:textId="77777777" w:rsidTr="4C2C76A0">
      <w:trPr>
        <w:trHeight w:val="300"/>
      </w:trPr>
      <w:tc>
        <w:tcPr>
          <w:tcW w:w="4665" w:type="dxa"/>
        </w:tcPr>
        <w:p w14:paraId="405D216C" w14:textId="6AD016B4" w:rsidR="4C2C76A0" w:rsidRDefault="4C2C76A0" w:rsidP="4C2C76A0">
          <w:pPr>
            <w:pStyle w:val="Header"/>
            <w:ind w:left="-115"/>
          </w:pPr>
        </w:p>
      </w:tc>
      <w:tc>
        <w:tcPr>
          <w:tcW w:w="4665" w:type="dxa"/>
        </w:tcPr>
        <w:p w14:paraId="3A12B272" w14:textId="6FB3B77B" w:rsidR="4C2C76A0" w:rsidRDefault="4C2C76A0" w:rsidP="4C2C76A0">
          <w:pPr>
            <w:pStyle w:val="Header"/>
            <w:jc w:val="center"/>
          </w:pPr>
        </w:p>
      </w:tc>
      <w:tc>
        <w:tcPr>
          <w:tcW w:w="4665" w:type="dxa"/>
        </w:tcPr>
        <w:p w14:paraId="6270E14C" w14:textId="22DC80D1" w:rsidR="4C2C76A0" w:rsidRDefault="4C2C76A0" w:rsidP="4C2C76A0">
          <w:pPr>
            <w:pStyle w:val="Header"/>
            <w:ind w:right="-115"/>
            <w:jc w:val="right"/>
          </w:pPr>
        </w:p>
      </w:tc>
    </w:tr>
  </w:tbl>
  <w:p w14:paraId="63A8B597" w14:textId="14B1D5FB" w:rsidR="00172890" w:rsidRDefault="0017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56F"/>
    <w:multiLevelType w:val="multilevel"/>
    <w:tmpl w:val="B944EC3E"/>
    <w:lvl w:ilvl="0">
      <w:start w:val="1"/>
      <w:numFmt w:val="decimal"/>
      <w:lvlText w:val="%1."/>
      <w:lvlJc w:val="left"/>
      <w:pPr>
        <w:ind w:left="360" w:hanging="360"/>
      </w:pPr>
      <w:rPr>
        <w:rFonts w:hint="default"/>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9B77E2"/>
    <w:multiLevelType w:val="hybridMultilevel"/>
    <w:tmpl w:val="EFB4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84A3D12"/>
    <w:multiLevelType w:val="hybridMultilevel"/>
    <w:tmpl w:val="39746A66"/>
    <w:lvl w:ilvl="0" w:tplc="3D263E0E">
      <w:start w:val="1"/>
      <w:numFmt w:val="bullet"/>
      <w:pStyle w:val="Healthbullet1lastline"/>
      <w:lvlText w:val="•"/>
      <w:lvlJc w:val="left"/>
      <w:pPr>
        <w:ind w:left="284" w:hanging="284"/>
      </w:pPr>
      <w:rPr>
        <w:rFonts w:ascii="Calibri Light" w:hAnsi="Calibri Light" w:cs="Calibri Light" w:hint="default"/>
        <w:color w:val="auto"/>
        <w:sz w:val="24"/>
        <w:szCs w:val="24"/>
      </w:rPr>
    </w:lvl>
    <w:lvl w:ilvl="1" w:tplc="D50E042A">
      <w:start w:val="1"/>
      <w:numFmt w:val="bullet"/>
      <w:lvlText w:val=""/>
      <w:lvlJc w:val="left"/>
      <w:pPr>
        <w:ind w:left="643" w:hanging="360"/>
      </w:pPr>
      <w:rPr>
        <w:rFonts w:ascii="Symbol" w:hAnsi="Symbol" w:hint="default"/>
      </w:rPr>
    </w:lvl>
    <w:lvl w:ilvl="2" w:tplc="04090005">
      <w:start w:val="1"/>
      <w:numFmt w:val="bullet"/>
      <w:lvlText w:val=""/>
      <w:lvlJc w:val="left"/>
      <w:pPr>
        <w:ind w:left="1068" w:hanging="360"/>
      </w:pPr>
      <w:rPr>
        <w:rFonts w:ascii="Myriad Pro" w:hAnsi="Myriad Pro" w:hint="default"/>
      </w:rPr>
    </w:lvl>
    <w:lvl w:ilvl="3" w:tplc="04090001">
      <w:start w:val="1"/>
      <w:numFmt w:val="bullet"/>
      <w:lvlText w:val=""/>
      <w:lvlJc w:val="left"/>
      <w:pPr>
        <w:ind w:left="2880" w:hanging="360"/>
      </w:pPr>
      <w:rPr>
        <w:rFonts w:ascii="Yu Gothic Light" w:hAnsi="Yu Gothic Light" w:hint="default"/>
      </w:rPr>
    </w:lvl>
    <w:lvl w:ilvl="4" w:tplc="04090003">
      <w:start w:val="1"/>
      <w:numFmt w:val="bullet"/>
      <w:lvlText w:val="o"/>
      <w:lvlJc w:val="left"/>
      <w:pPr>
        <w:ind w:left="3600" w:hanging="360"/>
      </w:pPr>
      <w:rPr>
        <w:rFonts w:ascii="Symbol" w:hAnsi="Symbol" w:cs="Calibri Light" w:hint="default"/>
      </w:rPr>
    </w:lvl>
    <w:lvl w:ilvl="5" w:tplc="04090005">
      <w:start w:val="1"/>
      <w:numFmt w:val="bullet"/>
      <w:lvlText w:val=""/>
      <w:lvlJc w:val="left"/>
      <w:pPr>
        <w:ind w:left="4320" w:hanging="360"/>
      </w:pPr>
      <w:rPr>
        <w:rFonts w:ascii="Myriad Pro" w:hAnsi="Myriad Pro" w:hint="default"/>
      </w:rPr>
    </w:lvl>
    <w:lvl w:ilvl="6" w:tplc="04090001">
      <w:start w:val="1"/>
      <w:numFmt w:val="bullet"/>
      <w:lvlText w:val=""/>
      <w:lvlJc w:val="left"/>
      <w:pPr>
        <w:ind w:left="5040" w:hanging="360"/>
      </w:pPr>
      <w:rPr>
        <w:rFonts w:ascii="Yu Gothic Light" w:hAnsi="Yu Gothic Light" w:hint="default"/>
      </w:rPr>
    </w:lvl>
    <w:lvl w:ilvl="7" w:tplc="04090003">
      <w:start w:val="1"/>
      <w:numFmt w:val="bullet"/>
      <w:lvlText w:val="o"/>
      <w:lvlJc w:val="left"/>
      <w:pPr>
        <w:ind w:left="5760" w:hanging="360"/>
      </w:pPr>
      <w:rPr>
        <w:rFonts w:ascii="Symbol" w:hAnsi="Symbol" w:cs="Calibri Light" w:hint="default"/>
      </w:rPr>
    </w:lvl>
    <w:lvl w:ilvl="8" w:tplc="04090005">
      <w:start w:val="1"/>
      <w:numFmt w:val="bullet"/>
      <w:lvlText w:val=""/>
      <w:lvlJc w:val="left"/>
      <w:pPr>
        <w:ind w:left="6480" w:hanging="360"/>
      </w:pPr>
      <w:rPr>
        <w:rFonts w:ascii="Myriad Pro" w:hAnsi="Myriad Pro"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3D3B3F"/>
    <w:multiLevelType w:val="multilevel"/>
    <w:tmpl w:val="96B4DF56"/>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4A6502"/>
    <w:multiLevelType w:val="hybridMultilevel"/>
    <w:tmpl w:val="F4B2D0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507C13"/>
    <w:multiLevelType w:val="hybridMultilevel"/>
    <w:tmpl w:val="8BD4AA6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7D36F6"/>
    <w:multiLevelType w:val="hybridMultilevel"/>
    <w:tmpl w:val="CB9E1486"/>
    <w:lvl w:ilvl="0" w:tplc="E8B2AD24">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890D1D"/>
    <w:multiLevelType w:val="multilevel"/>
    <w:tmpl w:val="B7B89E70"/>
    <w:name w:val="MyBullets"/>
    <w:lvl w:ilvl="0">
      <w:start w:val="7"/>
      <w:numFmt w:val="bullet"/>
      <w:pStyle w:val="ListBullet"/>
      <w:lvlText w:val="•"/>
      <w:lvlJc w:val="left"/>
      <w:pPr>
        <w:tabs>
          <w:tab w:val="num" w:pos="737"/>
        </w:tabs>
        <w:ind w:left="510" w:hanging="226"/>
      </w:pPr>
      <w:rPr>
        <w:rFonts w:ascii="Yu Mincho" w:hAnsi="Yu Mincho" w:cs="Calibri Light" w:hint="default"/>
        <w:color w:val="1E1E1E"/>
        <w:position w:val="0"/>
        <w:sz w:val="20"/>
      </w:rPr>
    </w:lvl>
    <w:lvl w:ilvl="1">
      <w:start w:val="5"/>
      <w:numFmt w:val="bullet"/>
      <w:pStyle w:val="ListBullet2"/>
      <w:lvlText w:val="–"/>
      <w:lvlJc w:val="left"/>
      <w:pPr>
        <w:tabs>
          <w:tab w:val="num" w:pos="737"/>
        </w:tabs>
        <w:ind w:left="737" w:hanging="227"/>
      </w:pPr>
      <w:rPr>
        <w:rFonts w:ascii="Yu Mincho" w:hAnsi="Yu Mincho" w:cs="Calibri Light" w:hint="default"/>
        <w:b w:val="0"/>
        <w:i w:val="0"/>
        <w:color w:val="002776"/>
        <w:position w:val="0"/>
        <w:sz w:val="20"/>
      </w:rPr>
    </w:lvl>
    <w:lvl w:ilvl="2">
      <w:start w:val="1"/>
      <w:numFmt w:val="bullet"/>
      <w:pStyle w:val="ListBullet3"/>
      <w:lvlText w:val="•"/>
      <w:lvlJc w:val="left"/>
      <w:pPr>
        <w:tabs>
          <w:tab w:val="num" w:pos="964"/>
        </w:tabs>
        <w:ind w:left="964" w:hanging="227"/>
      </w:pPr>
      <w:rPr>
        <w:rFonts w:ascii="Yu Mincho" w:hAnsi="Yu Mincho" w:cs="Calibri Light" w:hint="default"/>
        <w:color w:val="1E1E1E"/>
        <w:position w:val="0"/>
        <w:sz w:val="20"/>
      </w:rPr>
    </w:lvl>
    <w:lvl w:ilvl="3">
      <w:start w:val="1"/>
      <w:numFmt w:val="bullet"/>
      <w:pStyle w:val="ListBullet4"/>
      <w:lvlText w:val="-"/>
      <w:lvlJc w:val="left"/>
      <w:pPr>
        <w:tabs>
          <w:tab w:val="num" w:pos="1191"/>
        </w:tabs>
        <w:ind w:left="1191" w:hanging="227"/>
      </w:pPr>
      <w:rPr>
        <w:rFonts w:ascii="Yu Gothic Light" w:hAnsi="Yu Gothic Light" w:hint="default"/>
        <w:color w:val="1E1E1E"/>
      </w:rPr>
    </w:lvl>
    <w:lvl w:ilvl="4">
      <w:start w:val="1"/>
      <w:numFmt w:val="none"/>
      <w:lvlText w:val="-"/>
      <w:lvlJc w:val="left"/>
      <w:pPr>
        <w:ind w:left="-32767" w:firstLine="0"/>
      </w:pPr>
      <w:rPr>
        <w:color w:val="002776"/>
      </w:r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11" w15:restartNumberingAfterBreak="0">
    <w:nsid w:val="16672DAD"/>
    <w:multiLevelType w:val="hybridMultilevel"/>
    <w:tmpl w:val="19288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8B26ED"/>
    <w:multiLevelType w:val="multilevel"/>
    <w:tmpl w:val="96B4DF56"/>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B78011E"/>
    <w:multiLevelType w:val="hybridMultilevel"/>
    <w:tmpl w:val="4426E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862C0F"/>
    <w:multiLevelType w:val="multilevel"/>
    <w:tmpl w:val="B944EC3E"/>
    <w:lvl w:ilvl="0">
      <w:start w:val="1"/>
      <w:numFmt w:val="decimal"/>
      <w:lvlText w:val="%1."/>
      <w:lvlJc w:val="left"/>
      <w:pPr>
        <w:ind w:left="360" w:hanging="360"/>
      </w:pPr>
      <w:rPr>
        <w:rFonts w:hint="default"/>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C715E16"/>
    <w:multiLevelType w:val="hybridMultilevel"/>
    <w:tmpl w:val="7FE4AC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3D2905"/>
    <w:multiLevelType w:val="multilevel"/>
    <w:tmpl w:val="7302B0C2"/>
    <w:lvl w:ilvl="0">
      <w:start w:val="1"/>
      <w:numFmt w:val="bullet"/>
      <w:lvlText w:val="•"/>
      <w:lvlJc w:val="left"/>
      <w:pPr>
        <w:ind w:left="284" w:hanging="284"/>
      </w:pPr>
      <w:rPr>
        <w:rFonts w:ascii="MS Gothic" w:hAnsi="MS Gothic" w:hint="default"/>
      </w:rPr>
    </w:lvl>
    <w:lvl w:ilvl="1">
      <w:start w:val="1"/>
      <w:numFmt w:val="bullet"/>
      <w:lvlText w:val="−"/>
      <w:lvlJc w:val="left"/>
      <w:pPr>
        <w:ind w:left="644" w:hanging="360"/>
      </w:pPr>
      <w:rPr>
        <w:rFonts w:ascii="MS Gothic" w:hAnsi="MS Gothic"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o"/>
      <w:lvlJc w:val="left"/>
      <w:pPr>
        <w:ind w:left="360" w:hanging="360"/>
      </w:pPr>
      <w:rPr>
        <w:rFonts w:ascii="Symbol" w:hAnsi="Symbol" w:cs="Symbol"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F99662A"/>
    <w:multiLevelType w:val="hybridMultilevel"/>
    <w:tmpl w:val="6D04CC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19266B"/>
    <w:multiLevelType w:val="hybridMultilevel"/>
    <w:tmpl w:val="37C6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3009F0"/>
    <w:multiLevelType w:val="hybridMultilevel"/>
    <w:tmpl w:val="C660E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2D02FF"/>
    <w:multiLevelType w:val="multilevel"/>
    <w:tmpl w:val="0D42146A"/>
    <w:lvl w:ilvl="0">
      <w:start w:val="1"/>
      <w:numFmt w:val="decimal"/>
      <w:lvlText w:val="%1."/>
      <w:lvlJc w:val="left"/>
      <w:pPr>
        <w:ind w:left="360" w:hanging="360"/>
      </w:pPr>
      <w:rPr>
        <w:rFonts w:hint="default"/>
      </w:rPr>
    </w:lvl>
    <w:lvl w:ilvl="1">
      <w:start w:val="1"/>
      <w:numFmt w:val="decimal"/>
      <w:pStyle w:val="Heading2"/>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25D00F4"/>
    <w:multiLevelType w:val="hybridMultilevel"/>
    <w:tmpl w:val="75EC7B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936532"/>
    <w:multiLevelType w:val="multilevel"/>
    <w:tmpl w:val="8ABA825A"/>
    <w:lvl w:ilvl="0">
      <w:start w:val="1"/>
      <w:numFmt w:val="bullet"/>
      <w:lvlText w:val="•"/>
      <w:lvlJc w:val="left"/>
      <w:pPr>
        <w:ind w:left="284" w:hanging="284"/>
      </w:pPr>
      <w:rPr>
        <w:rFonts w:ascii="MS Gothic" w:hAnsi="MS Gothic" w:hint="default"/>
      </w:rPr>
    </w:lvl>
    <w:lvl w:ilvl="1">
      <w:start w:val="1"/>
      <w:numFmt w:val="bullet"/>
      <w:lvlText w:val="o"/>
      <w:lvlJc w:val="left"/>
      <w:pPr>
        <w:ind w:left="644" w:hanging="360"/>
      </w:pPr>
      <w:rPr>
        <w:rFonts w:ascii="Symbol" w:hAnsi="Symbol" w:cs="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o"/>
      <w:lvlJc w:val="left"/>
      <w:pPr>
        <w:ind w:left="360" w:hanging="360"/>
      </w:pPr>
      <w:rPr>
        <w:rFonts w:ascii="Symbol" w:hAnsi="Symbol" w:cs="Symbol"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294B6510"/>
    <w:multiLevelType w:val="hybridMultilevel"/>
    <w:tmpl w:val="A1F27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B11483"/>
    <w:multiLevelType w:val="hybridMultilevel"/>
    <w:tmpl w:val="5518E8E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B164E9"/>
    <w:multiLevelType w:val="hybridMultilevel"/>
    <w:tmpl w:val="1DFEE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ED0CE7"/>
    <w:multiLevelType w:val="hybridMultilevel"/>
    <w:tmpl w:val="5330BB40"/>
    <w:lvl w:ilvl="0" w:tplc="0C090001">
      <w:start w:val="1"/>
      <w:numFmt w:val="bullet"/>
      <w:lvlText w:val=""/>
      <w:lvlJc w:val="left"/>
      <w:pPr>
        <w:ind w:left="360" w:hanging="360"/>
      </w:pPr>
      <w:rPr>
        <w:rFonts w:ascii="Symbol" w:hAnsi="Symbol"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ED90302"/>
    <w:multiLevelType w:val="hybridMultilevel"/>
    <w:tmpl w:val="0DCCAB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5787B3F"/>
    <w:multiLevelType w:val="hybridMultilevel"/>
    <w:tmpl w:val="F4643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877588"/>
    <w:multiLevelType w:val="hybridMultilevel"/>
    <w:tmpl w:val="17F433E0"/>
    <w:lvl w:ilvl="0" w:tplc="0C090001">
      <w:start w:val="1"/>
      <w:numFmt w:val="bullet"/>
      <w:lvlText w:val=""/>
      <w:lvlJc w:val="left"/>
      <w:pPr>
        <w:ind w:left="360" w:hanging="360"/>
      </w:pPr>
      <w:rPr>
        <w:rFonts w:ascii="Yu Gothic Light" w:hAnsi="Yu Gothic Light" w:hint="default"/>
      </w:rPr>
    </w:lvl>
    <w:lvl w:ilvl="1" w:tplc="0C090003" w:tentative="1">
      <w:start w:val="1"/>
      <w:numFmt w:val="bullet"/>
      <w:lvlText w:val="o"/>
      <w:lvlJc w:val="left"/>
      <w:pPr>
        <w:ind w:left="1080" w:hanging="360"/>
      </w:pPr>
      <w:rPr>
        <w:rFonts w:ascii="Symbol" w:hAnsi="Symbol" w:cs="Symbol" w:hint="default"/>
      </w:rPr>
    </w:lvl>
    <w:lvl w:ilvl="2" w:tplc="0C090005" w:tentative="1">
      <w:start w:val="1"/>
      <w:numFmt w:val="bullet"/>
      <w:lvlText w:val=""/>
      <w:lvlJc w:val="left"/>
      <w:pPr>
        <w:ind w:left="1800" w:hanging="360"/>
      </w:pPr>
      <w:rPr>
        <w:rFonts w:ascii="Myriad Pro" w:hAnsi="Myriad Pro" w:hint="default"/>
      </w:rPr>
    </w:lvl>
    <w:lvl w:ilvl="3" w:tplc="0C090001" w:tentative="1">
      <w:start w:val="1"/>
      <w:numFmt w:val="bullet"/>
      <w:lvlText w:val=""/>
      <w:lvlJc w:val="left"/>
      <w:pPr>
        <w:ind w:left="2520" w:hanging="360"/>
      </w:pPr>
      <w:rPr>
        <w:rFonts w:ascii="Yu Gothic Light" w:hAnsi="Yu Gothic Light" w:hint="default"/>
      </w:rPr>
    </w:lvl>
    <w:lvl w:ilvl="4" w:tplc="0C090003" w:tentative="1">
      <w:start w:val="1"/>
      <w:numFmt w:val="bullet"/>
      <w:lvlText w:val="o"/>
      <w:lvlJc w:val="left"/>
      <w:pPr>
        <w:ind w:left="3240" w:hanging="360"/>
      </w:pPr>
      <w:rPr>
        <w:rFonts w:ascii="Symbol" w:hAnsi="Symbol" w:cs="Symbol" w:hint="default"/>
      </w:rPr>
    </w:lvl>
    <w:lvl w:ilvl="5" w:tplc="0C090005" w:tentative="1">
      <w:start w:val="1"/>
      <w:numFmt w:val="bullet"/>
      <w:lvlText w:val=""/>
      <w:lvlJc w:val="left"/>
      <w:pPr>
        <w:ind w:left="3960" w:hanging="360"/>
      </w:pPr>
      <w:rPr>
        <w:rFonts w:ascii="Myriad Pro" w:hAnsi="Myriad Pro" w:hint="default"/>
      </w:rPr>
    </w:lvl>
    <w:lvl w:ilvl="6" w:tplc="0C090001" w:tentative="1">
      <w:start w:val="1"/>
      <w:numFmt w:val="bullet"/>
      <w:lvlText w:val=""/>
      <w:lvlJc w:val="left"/>
      <w:pPr>
        <w:ind w:left="4680" w:hanging="360"/>
      </w:pPr>
      <w:rPr>
        <w:rFonts w:ascii="Yu Gothic Light" w:hAnsi="Yu Gothic Light" w:hint="default"/>
      </w:rPr>
    </w:lvl>
    <w:lvl w:ilvl="7" w:tplc="0C090003" w:tentative="1">
      <w:start w:val="1"/>
      <w:numFmt w:val="bullet"/>
      <w:lvlText w:val="o"/>
      <w:lvlJc w:val="left"/>
      <w:pPr>
        <w:ind w:left="5400" w:hanging="360"/>
      </w:pPr>
      <w:rPr>
        <w:rFonts w:ascii="Symbol" w:hAnsi="Symbol" w:cs="Symbol" w:hint="default"/>
      </w:rPr>
    </w:lvl>
    <w:lvl w:ilvl="8" w:tplc="0C090005" w:tentative="1">
      <w:start w:val="1"/>
      <w:numFmt w:val="bullet"/>
      <w:lvlText w:val=""/>
      <w:lvlJc w:val="left"/>
      <w:pPr>
        <w:ind w:left="6120" w:hanging="360"/>
      </w:pPr>
      <w:rPr>
        <w:rFonts w:ascii="Myriad Pro" w:hAnsi="Myriad Pro" w:hint="default"/>
      </w:rPr>
    </w:lvl>
  </w:abstractNum>
  <w:abstractNum w:abstractNumId="30" w15:restartNumberingAfterBreak="0">
    <w:nsid w:val="39BD516C"/>
    <w:multiLevelType w:val="hybridMultilevel"/>
    <w:tmpl w:val="E9FAB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A91110C"/>
    <w:multiLevelType w:val="hybridMultilevel"/>
    <w:tmpl w:val="723AB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0E2398"/>
    <w:multiLevelType w:val="hybridMultilevel"/>
    <w:tmpl w:val="85220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745620"/>
    <w:multiLevelType w:val="hybridMultilevel"/>
    <w:tmpl w:val="A4ACD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E0A3CF5"/>
    <w:multiLevelType w:val="hybridMultilevel"/>
    <w:tmpl w:val="831EA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3FC646D0"/>
    <w:multiLevelType w:val="hybridMultilevel"/>
    <w:tmpl w:val="C10C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8B41B2"/>
    <w:multiLevelType w:val="hybridMultilevel"/>
    <w:tmpl w:val="2BD05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1CC5EEB"/>
    <w:multiLevelType w:val="hybridMultilevel"/>
    <w:tmpl w:val="5D2E1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5B04102"/>
    <w:multiLevelType w:val="hybridMultilevel"/>
    <w:tmpl w:val="7062C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556E99"/>
    <w:multiLevelType w:val="hybridMultilevel"/>
    <w:tmpl w:val="7E4E0292"/>
    <w:lvl w:ilvl="0" w:tplc="0C090001">
      <w:start w:val="1"/>
      <w:numFmt w:val="bullet"/>
      <w:lvlText w:val=""/>
      <w:lvlJc w:val="left"/>
      <w:pPr>
        <w:ind w:left="360" w:hanging="360"/>
      </w:pPr>
      <w:rPr>
        <w:rFonts w:ascii="Yu Gothic Light" w:hAnsi="Yu Gothic Light" w:hint="default"/>
      </w:rPr>
    </w:lvl>
    <w:lvl w:ilvl="1" w:tplc="0C090003" w:tentative="1">
      <w:start w:val="1"/>
      <w:numFmt w:val="bullet"/>
      <w:lvlText w:val="o"/>
      <w:lvlJc w:val="left"/>
      <w:pPr>
        <w:ind w:left="1080" w:hanging="360"/>
      </w:pPr>
      <w:rPr>
        <w:rFonts w:ascii="Symbol" w:hAnsi="Symbol" w:cs="Symbol" w:hint="default"/>
      </w:rPr>
    </w:lvl>
    <w:lvl w:ilvl="2" w:tplc="0C090005" w:tentative="1">
      <w:start w:val="1"/>
      <w:numFmt w:val="bullet"/>
      <w:lvlText w:val=""/>
      <w:lvlJc w:val="left"/>
      <w:pPr>
        <w:ind w:left="1800" w:hanging="360"/>
      </w:pPr>
      <w:rPr>
        <w:rFonts w:ascii="Myriad Pro" w:hAnsi="Myriad Pro" w:hint="default"/>
      </w:rPr>
    </w:lvl>
    <w:lvl w:ilvl="3" w:tplc="0C090001" w:tentative="1">
      <w:start w:val="1"/>
      <w:numFmt w:val="bullet"/>
      <w:lvlText w:val=""/>
      <w:lvlJc w:val="left"/>
      <w:pPr>
        <w:ind w:left="2520" w:hanging="360"/>
      </w:pPr>
      <w:rPr>
        <w:rFonts w:ascii="Yu Gothic Light" w:hAnsi="Yu Gothic Light" w:hint="default"/>
      </w:rPr>
    </w:lvl>
    <w:lvl w:ilvl="4" w:tplc="0C090003" w:tentative="1">
      <w:start w:val="1"/>
      <w:numFmt w:val="bullet"/>
      <w:lvlText w:val="o"/>
      <w:lvlJc w:val="left"/>
      <w:pPr>
        <w:ind w:left="3240" w:hanging="360"/>
      </w:pPr>
      <w:rPr>
        <w:rFonts w:ascii="Symbol" w:hAnsi="Symbol" w:cs="Symbol" w:hint="default"/>
      </w:rPr>
    </w:lvl>
    <w:lvl w:ilvl="5" w:tplc="0C090005" w:tentative="1">
      <w:start w:val="1"/>
      <w:numFmt w:val="bullet"/>
      <w:lvlText w:val=""/>
      <w:lvlJc w:val="left"/>
      <w:pPr>
        <w:ind w:left="3960" w:hanging="360"/>
      </w:pPr>
      <w:rPr>
        <w:rFonts w:ascii="Myriad Pro" w:hAnsi="Myriad Pro" w:hint="default"/>
      </w:rPr>
    </w:lvl>
    <w:lvl w:ilvl="6" w:tplc="0C090001" w:tentative="1">
      <w:start w:val="1"/>
      <w:numFmt w:val="bullet"/>
      <w:lvlText w:val=""/>
      <w:lvlJc w:val="left"/>
      <w:pPr>
        <w:ind w:left="4680" w:hanging="360"/>
      </w:pPr>
      <w:rPr>
        <w:rFonts w:ascii="Yu Gothic Light" w:hAnsi="Yu Gothic Light" w:hint="default"/>
      </w:rPr>
    </w:lvl>
    <w:lvl w:ilvl="7" w:tplc="0C090003" w:tentative="1">
      <w:start w:val="1"/>
      <w:numFmt w:val="bullet"/>
      <w:lvlText w:val="o"/>
      <w:lvlJc w:val="left"/>
      <w:pPr>
        <w:ind w:left="5400" w:hanging="360"/>
      </w:pPr>
      <w:rPr>
        <w:rFonts w:ascii="Symbol" w:hAnsi="Symbol" w:cs="Symbol" w:hint="default"/>
      </w:rPr>
    </w:lvl>
    <w:lvl w:ilvl="8" w:tplc="0C090005" w:tentative="1">
      <w:start w:val="1"/>
      <w:numFmt w:val="bullet"/>
      <w:lvlText w:val=""/>
      <w:lvlJc w:val="left"/>
      <w:pPr>
        <w:ind w:left="6120" w:hanging="360"/>
      </w:pPr>
      <w:rPr>
        <w:rFonts w:ascii="Myriad Pro" w:hAnsi="Myriad Pro" w:hint="default"/>
      </w:rPr>
    </w:lvl>
  </w:abstractNum>
  <w:abstractNum w:abstractNumId="42" w15:restartNumberingAfterBreak="0">
    <w:nsid w:val="5331454A"/>
    <w:multiLevelType w:val="hybridMultilevel"/>
    <w:tmpl w:val="D6E00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3496B4D"/>
    <w:multiLevelType w:val="hybridMultilevel"/>
    <w:tmpl w:val="7ABA9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7F87B0F"/>
    <w:multiLevelType w:val="hybridMultilevel"/>
    <w:tmpl w:val="65D880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A7B71CF"/>
    <w:multiLevelType w:val="multilevel"/>
    <w:tmpl w:val="C0EEDE52"/>
    <w:lvl w:ilvl="0">
      <w:start w:val="1"/>
      <w:numFmt w:val="bullet"/>
      <w:lvlText w:val=""/>
      <w:lvlJc w:val="left"/>
      <w:pPr>
        <w:ind w:left="284" w:hanging="284"/>
      </w:pPr>
      <w:rPr>
        <w:rFonts w:ascii="Symbol" w:hAnsi="Symbol" w:hint="default"/>
      </w:rPr>
    </w:lvl>
    <w:lvl w:ilvl="1">
      <w:start w:val="1"/>
      <w:numFmt w:val="bullet"/>
      <w:lvlText w:val="o"/>
      <w:lvlJc w:val="left"/>
      <w:pPr>
        <w:ind w:left="644" w:hanging="360"/>
      </w:pPr>
      <w:rPr>
        <w:rFonts w:ascii="Symbol" w:hAnsi="Symbol" w:cs="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o"/>
      <w:lvlJc w:val="left"/>
      <w:pPr>
        <w:ind w:left="360" w:hanging="360"/>
      </w:pPr>
      <w:rPr>
        <w:rFonts w:ascii="Symbol" w:hAnsi="Symbol" w:cs="Symbol"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C903F53"/>
    <w:multiLevelType w:val="hybridMultilevel"/>
    <w:tmpl w:val="2CB46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04B6AE1"/>
    <w:multiLevelType w:val="multilevel"/>
    <w:tmpl w:val="3788C382"/>
    <w:lvl w:ilvl="0">
      <w:start w:val="1"/>
      <w:numFmt w:val="bullet"/>
      <w:lvlText w:val="•"/>
      <w:lvlJc w:val="left"/>
      <w:pPr>
        <w:ind w:left="852" w:hanging="284"/>
      </w:pPr>
      <w:rPr>
        <w:rFonts w:ascii="MS Gothic" w:hAnsi="MS Gothic" w:hint="default"/>
      </w:rPr>
    </w:lvl>
    <w:lvl w:ilvl="1">
      <w:numFmt w:val="bullet"/>
      <w:lvlText w:val="-"/>
      <w:lvlJc w:val="left"/>
      <w:pPr>
        <w:ind w:left="1210" w:hanging="360"/>
      </w:pPr>
      <w:rPr>
        <w:rFonts w:ascii="MS Gothic" w:eastAsiaTheme="minorHAnsi" w:hAnsi="MS Gothic" w:cs="MS Gothic" w:hint="default"/>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bullet"/>
      <w:lvlText w:val="o"/>
      <w:lvlJc w:val="left"/>
      <w:pPr>
        <w:ind w:left="928" w:hanging="360"/>
      </w:pPr>
      <w:rPr>
        <w:rFonts w:ascii="Symbol" w:hAnsi="Symbol" w:cs="Symbol"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50" w15:restartNumberingAfterBreak="0">
    <w:nsid w:val="616B1A0C"/>
    <w:multiLevelType w:val="hybridMultilevel"/>
    <w:tmpl w:val="E65AB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13492D"/>
    <w:multiLevelType w:val="multilevel"/>
    <w:tmpl w:val="B944EC3E"/>
    <w:lvl w:ilvl="0">
      <w:start w:val="1"/>
      <w:numFmt w:val="decimal"/>
      <w:lvlText w:val="%1."/>
      <w:lvlJc w:val="left"/>
      <w:pPr>
        <w:ind w:left="360" w:hanging="360"/>
      </w:pPr>
      <w:rPr>
        <w:rFonts w:hint="default"/>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4857F94"/>
    <w:multiLevelType w:val="hybridMultilevel"/>
    <w:tmpl w:val="42ECCBC4"/>
    <w:lvl w:ilvl="0" w:tplc="E8B2AD24">
      <w:numFmt w:val="bullet"/>
      <w:lvlText w:val="-"/>
      <w:lvlJc w:val="left"/>
      <w:pPr>
        <w:ind w:left="360" w:hanging="36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65C160C"/>
    <w:multiLevelType w:val="hybridMultilevel"/>
    <w:tmpl w:val="8F16E0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5" w15:restartNumberingAfterBreak="0">
    <w:nsid w:val="678400A4"/>
    <w:multiLevelType w:val="hybridMultilevel"/>
    <w:tmpl w:val="38CC3B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AEB04FD"/>
    <w:multiLevelType w:val="hybridMultilevel"/>
    <w:tmpl w:val="1A382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925D80"/>
    <w:multiLevelType w:val="multilevel"/>
    <w:tmpl w:val="0E16AB08"/>
    <w:lvl w:ilvl="0">
      <w:start w:val="1"/>
      <w:numFmt w:val="bullet"/>
      <w:lvlText w:val="•"/>
      <w:lvlJc w:val="left"/>
      <w:pPr>
        <w:ind w:left="284" w:hanging="284"/>
      </w:pPr>
      <w:rPr>
        <w:rFonts w:ascii="MS Gothic" w:hAnsi="MS Gothic"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o"/>
      <w:lvlJc w:val="left"/>
      <w:pPr>
        <w:ind w:left="360" w:hanging="360"/>
      </w:pPr>
      <w:rPr>
        <w:rFonts w:ascii="Symbol" w:hAnsi="Symbol" w:cs="Symbol"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6E731289"/>
    <w:multiLevelType w:val="hybridMultilevel"/>
    <w:tmpl w:val="A81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F00D9F"/>
    <w:multiLevelType w:val="hybridMultilevel"/>
    <w:tmpl w:val="81029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2365329"/>
    <w:multiLevelType w:val="multilevel"/>
    <w:tmpl w:val="96B4DF56"/>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70079994">
    <w:abstractNumId w:val="35"/>
  </w:num>
  <w:num w:numId="2" w16cid:durableId="1516917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823570">
    <w:abstractNumId w:val="45"/>
  </w:num>
  <w:num w:numId="4" w16cid:durableId="798383358">
    <w:abstractNumId w:val="44"/>
  </w:num>
  <w:num w:numId="5" w16cid:durableId="462847276">
    <w:abstractNumId w:val="52"/>
  </w:num>
  <w:num w:numId="6" w16cid:durableId="1954242508">
    <w:abstractNumId w:val="36"/>
  </w:num>
  <w:num w:numId="7" w16cid:durableId="1326318041">
    <w:abstractNumId w:val="5"/>
  </w:num>
  <w:num w:numId="8" w16cid:durableId="968558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6381893">
    <w:abstractNumId w:val="22"/>
  </w:num>
  <w:num w:numId="10" w16cid:durableId="185410056">
    <w:abstractNumId w:val="3"/>
  </w:num>
  <w:num w:numId="11" w16cid:durableId="2132357622">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2583056">
    <w:abstractNumId w:val="16"/>
  </w:num>
  <w:num w:numId="13" w16cid:durableId="817920619">
    <w:abstractNumId w:val="20"/>
  </w:num>
  <w:num w:numId="14" w16cid:durableId="998315653">
    <w:abstractNumId w:val="7"/>
  </w:num>
  <w:num w:numId="15" w16cid:durableId="1748385300">
    <w:abstractNumId w:val="30"/>
  </w:num>
  <w:num w:numId="16" w16cid:durableId="495266348">
    <w:abstractNumId w:val="21"/>
  </w:num>
  <w:num w:numId="17" w16cid:durableId="39862314">
    <w:abstractNumId w:val="31"/>
  </w:num>
  <w:num w:numId="18" w16cid:durableId="631206176">
    <w:abstractNumId w:val="15"/>
  </w:num>
  <w:num w:numId="19" w16cid:durableId="237785141">
    <w:abstractNumId w:val="28"/>
  </w:num>
  <w:num w:numId="20" w16cid:durableId="1014190740">
    <w:abstractNumId w:val="40"/>
  </w:num>
  <w:num w:numId="21" w16cid:durableId="686251414">
    <w:abstractNumId w:val="19"/>
  </w:num>
  <w:num w:numId="22" w16cid:durableId="162820566">
    <w:abstractNumId w:val="50"/>
  </w:num>
  <w:num w:numId="23" w16cid:durableId="857351048">
    <w:abstractNumId w:val="38"/>
  </w:num>
  <w:num w:numId="24" w16cid:durableId="783769707">
    <w:abstractNumId w:val="54"/>
  </w:num>
  <w:num w:numId="25" w16cid:durableId="1879931967">
    <w:abstractNumId w:val="57"/>
  </w:num>
  <w:num w:numId="26" w16cid:durableId="809782360">
    <w:abstractNumId w:val="47"/>
  </w:num>
  <w:num w:numId="27" w16cid:durableId="666788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8700571">
    <w:abstractNumId w:val="26"/>
  </w:num>
  <w:num w:numId="29" w16cid:durableId="1584797354">
    <w:abstractNumId w:val="42"/>
  </w:num>
  <w:num w:numId="30" w16cid:durableId="561138792">
    <w:abstractNumId w:val="13"/>
  </w:num>
  <w:num w:numId="31" w16cid:durableId="133446220">
    <w:abstractNumId w:val="12"/>
  </w:num>
  <w:num w:numId="32" w16cid:durableId="1774398970">
    <w:abstractNumId w:val="6"/>
  </w:num>
  <w:num w:numId="33" w16cid:durableId="390731179">
    <w:abstractNumId w:val="60"/>
  </w:num>
  <w:num w:numId="34" w16cid:durableId="1579485586">
    <w:abstractNumId w:val="46"/>
  </w:num>
  <w:num w:numId="35" w16cid:durableId="1591501715">
    <w:abstractNumId w:val="51"/>
  </w:num>
  <w:num w:numId="36" w16cid:durableId="1077484539">
    <w:abstractNumId w:val="29"/>
  </w:num>
  <w:num w:numId="37" w16cid:durableId="471950451">
    <w:abstractNumId w:val="41"/>
  </w:num>
  <w:num w:numId="38" w16cid:durableId="1320765307">
    <w:abstractNumId w:val="49"/>
  </w:num>
  <w:num w:numId="39" w16cid:durableId="5840693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6786906">
    <w:abstractNumId w:val="0"/>
  </w:num>
  <w:num w:numId="41" w16cid:durableId="1959338948">
    <w:abstractNumId w:val="14"/>
  </w:num>
  <w:num w:numId="42" w16cid:durableId="1291473069">
    <w:abstractNumId w:val="27"/>
  </w:num>
  <w:num w:numId="43" w16cid:durableId="985359600">
    <w:abstractNumId w:val="8"/>
  </w:num>
  <w:num w:numId="44" w16cid:durableId="639379485">
    <w:abstractNumId w:val="24"/>
  </w:num>
  <w:num w:numId="45" w16cid:durableId="591008569">
    <w:abstractNumId w:val="25"/>
  </w:num>
  <w:num w:numId="46" w16cid:durableId="849829411">
    <w:abstractNumId w:val="17"/>
  </w:num>
  <w:num w:numId="47" w16cid:durableId="738476278">
    <w:abstractNumId w:val="1"/>
  </w:num>
  <w:num w:numId="48" w16cid:durableId="1459686428">
    <w:abstractNumId w:val="11"/>
  </w:num>
  <w:num w:numId="49" w16cid:durableId="1125083153">
    <w:abstractNumId w:val="37"/>
  </w:num>
  <w:num w:numId="50" w16cid:durableId="313725808">
    <w:abstractNumId w:val="18"/>
  </w:num>
  <w:num w:numId="51" w16cid:durableId="1812745803">
    <w:abstractNumId w:val="9"/>
  </w:num>
  <w:num w:numId="52" w16cid:durableId="1705982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26214977">
    <w:abstractNumId w:val="55"/>
  </w:num>
  <w:num w:numId="54" w16cid:durableId="2104571075">
    <w:abstractNumId w:val="53"/>
  </w:num>
  <w:num w:numId="55" w16cid:durableId="1568413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1566574">
    <w:abstractNumId w:val="58"/>
  </w:num>
  <w:num w:numId="57" w16cid:durableId="107549943">
    <w:abstractNumId w:val="59"/>
  </w:num>
  <w:num w:numId="58" w16cid:durableId="401880104">
    <w:abstractNumId w:val="23"/>
  </w:num>
  <w:num w:numId="59" w16cid:durableId="987123972">
    <w:abstractNumId w:val="48"/>
  </w:num>
  <w:num w:numId="60" w16cid:durableId="881984252">
    <w:abstractNumId w:val="34"/>
  </w:num>
  <w:num w:numId="61" w16cid:durableId="1901281909">
    <w:abstractNumId w:val="43"/>
  </w:num>
  <w:num w:numId="62" w16cid:durableId="1122262673">
    <w:abstractNumId w:val="32"/>
  </w:num>
  <w:num w:numId="63" w16cid:durableId="1934126353">
    <w:abstractNumId w:val="56"/>
  </w:num>
  <w:num w:numId="64" w16cid:durableId="1856461831">
    <w:abstractNumId w:val="33"/>
  </w:num>
  <w:num w:numId="65" w16cid:durableId="70926103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0MDK2NDG1tLQwMTFS0lEKTi0uzszPAykwMqoFAHRvhHYtAAAA"/>
  </w:docVars>
  <w:rsids>
    <w:rsidRoot w:val="000004BD"/>
    <w:rsid w:val="000004BD"/>
    <w:rsid w:val="00000719"/>
    <w:rsid w:val="00001274"/>
    <w:rsid w:val="0000132E"/>
    <w:rsid w:val="00001E51"/>
    <w:rsid w:val="000021E4"/>
    <w:rsid w:val="0000248C"/>
    <w:rsid w:val="0000266A"/>
    <w:rsid w:val="000026FA"/>
    <w:rsid w:val="00002729"/>
    <w:rsid w:val="000029F7"/>
    <w:rsid w:val="00003403"/>
    <w:rsid w:val="000039D8"/>
    <w:rsid w:val="00004623"/>
    <w:rsid w:val="00004B4F"/>
    <w:rsid w:val="00004B52"/>
    <w:rsid w:val="00004BAC"/>
    <w:rsid w:val="00004D37"/>
    <w:rsid w:val="00005347"/>
    <w:rsid w:val="000055E0"/>
    <w:rsid w:val="0000691E"/>
    <w:rsid w:val="00006AD2"/>
    <w:rsid w:val="00007162"/>
    <w:rsid w:val="00007244"/>
    <w:rsid w:val="000072B6"/>
    <w:rsid w:val="000072FE"/>
    <w:rsid w:val="00007B19"/>
    <w:rsid w:val="0001021B"/>
    <w:rsid w:val="00010712"/>
    <w:rsid w:val="00010784"/>
    <w:rsid w:val="0001085D"/>
    <w:rsid w:val="000109B7"/>
    <w:rsid w:val="00010F6F"/>
    <w:rsid w:val="0001100C"/>
    <w:rsid w:val="000112DC"/>
    <w:rsid w:val="000115CD"/>
    <w:rsid w:val="0001189F"/>
    <w:rsid w:val="00011D89"/>
    <w:rsid w:val="00012048"/>
    <w:rsid w:val="00012320"/>
    <w:rsid w:val="000124A9"/>
    <w:rsid w:val="00012C4B"/>
    <w:rsid w:val="00013EED"/>
    <w:rsid w:val="00014D61"/>
    <w:rsid w:val="00014E38"/>
    <w:rsid w:val="000153B1"/>
    <w:rsid w:val="000154FD"/>
    <w:rsid w:val="000156AA"/>
    <w:rsid w:val="00015CE4"/>
    <w:rsid w:val="00016FBF"/>
    <w:rsid w:val="000170C4"/>
    <w:rsid w:val="000172FA"/>
    <w:rsid w:val="00017C16"/>
    <w:rsid w:val="00017CC8"/>
    <w:rsid w:val="00020235"/>
    <w:rsid w:val="00020A9A"/>
    <w:rsid w:val="00020B52"/>
    <w:rsid w:val="00020FD9"/>
    <w:rsid w:val="000220E1"/>
    <w:rsid w:val="00022271"/>
    <w:rsid w:val="000222A3"/>
    <w:rsid w:val="00022E5E"/>
    <w:rsid w:val="00023234"/>
    <w:rsid w:val="000235E8"/>
    <w:rsid w:val="0002392B"/>
    <w:rsid w:val="00023FEE"/>
    <w:rsid w:val="00024677"/>
    <w:rsid w:val="000246CE"/>
    <w:rsid w:val="00024B6F"/>
    <w:rsid w:val="00024D89"/>
    <w:rsid w:val="00025039"/>
    <w:rsid w:val="000250B6"/>
    <w:rsid w:val="0002526F"/>
    <w:rsid w:val="0002586A"/>
    <w:rsid w:val="00026B6D"/>
    <w:rsid w:val="000307DD"/>
    <w:rsid w:val="0003154F"/>
    <w:rsid w:val="00033C1D"/>
    <w:rsid w:val="00033D81"/>
    <w:rsid w:val="00033FE3"/>
    <w:rsid w:val="0003427C"/>
    <w:rsid w:val="00034461"/>
    <w:rsid w:val="000344B8"/>
    <w:rsid w:val="000351A5"/>
    <w:rsid w:val="0003540E"/>
    <w:rsid w:val="00035D41"/>
    <w:rsid w:val="00035DA7"/>
    <w:rsid w:val="0003619C"/>
    <w:rsid w:val="000363F3"/>
    <w:rsid w:val="00036808"/>
    <w:rsid w:val="000371B0"/>
    <w:rsid w:val="00037366"/>
    <w:rsid w:val="00037B8A"/>
    <w:rsid w:val="00037D0C"/>
    <w:rsid w:val="00037D8F"/>
    <w:rsid w:val="00037E92"/>
    <w:rsid w:val="00040A12"/>
    <w:rsid w:val="00041036"/>
    <w:rsid w:val="00041BF0"/>
    <w:rsid w:val="000422B8"/>
    <w:rsid w:val="00042C8A"/>
    <w:rsid w:val="00042EAD"/>
    <w:rsid w:val="000437CD"/>
    <w:rsid w:val="00043896"/>
    <w:rsid w:val="00043C94"/>
    <w:rsid w:val="00043DAF"/>
    <w:rsid w:val="00044E09"/>
    <w:rsid w:val="00045067"/>
    <w:rsid w:val="00045284"/>
    <w:rsid w:val="00045292"/>
    <w:rsid w:val="0004536B"/>
    <w:rsid w:val="0004580F"/>
    <w:rsid w:val="00045DCA"/>
    <w:rsid w:val="000466C6"/>
    <w:rsid w:val="0004673B"/>
    <w:rsid w:val="00046B68"/>
    <w:rsid w:val="00046E70"/>
    <w:rsid w:val="00047037"/>
    <w:rsid w:val="00047125"/>
    <w:rsid w:val="0004773F"/>
    <w:rsid w:val="00047C55"/>
    <w:rsid w:val="00050164"/>
    <w:rsid w:val="000503DB"/>
    <w:rsid w:val="000507C5"/>
    <w:rsid w:val="00050C85"/>
    <w:rsid w:val="00051ED1"/>
    <w:rsid w:val="000527DD"/>
    <w:rsid w:val="00053063"/>
    <w:rsid w:val="00053A93"/>
    <w:rsid w:val="00053F8D"/>
    <w:rsid w:val="0005479B"/>
    <w:rsid w:val="00055712"/>
    <w:rsid w:val="000559A4"/>
    <w:rsid w:val="00056D21"/>
    <w:rsid w:val="00056E9F"/>
    <w:rsid w:val="00057204"/>
    <w:rsid w:val="0005748D"/>
    <w:rsid w:val="000574E7"/>
    <w:rsid w:val="000578B2"/>
    <w:rsid w:val="00057C51"/>
    <w:rsid w:val="00060959"/>
    <w:rsid w:val="00060C8F"/>
    <w:rsid w:val="00061BF5"/>
    <w:rsid w:val="00061C40"/>
    <w:rsid w:val="00061E56"/>
    <w:rsid w:val="0006298A"/>
    <w:rsid w:val="000638EB"/>
    <w:rsid w:val="00063C9E"/>
    <w:rsid w:val="00065384"/>
    <w:rsid w:val="000655EE"/>
    <w:rsid w:val="00065BDB"/>
    <w:rsid w:val="00066251"/>
    <w:rsid w:val="000663CD"/>
    <w:rsid w:val="00066804"/>
    <w:rsid w:val="0006788E"/>
    <w:rsid w:val="00067A63"/>
    <w:rsid w:val="00067C34"/>
    <w:rsid w:val="00070602"/>
    <w:rsid w:val="0007080C"/>
    <w:rsid w:val="00070AD5"/>
    <w:rsid w:val="00070ED0"/>
    <w:rsid w:val="00071102"/>
    <w:rsid w:val="0007180E"/>
    <w:rsid w:val="00071879"/>
    <w:rsid w:val="00072D56"/>
    <w:rsid w:val="000733FE"/>
    <w:rsid w:val="00073C68"/>
    <w:rsid w:val="000740D3"/>
    <w:rsid w:val="00074219"/>
    <w:rsid w:val="0007496F"/>
    <w:rsid w:val="00074EAF"/>
    <w:rsid w:val="00074ED5"/>
    <w:rsid w:val="000753E0"/>
    <w:rsid w:val="000760FA"/>
    <w:rsid w:val="0007753C"/>
    <w:rsid w:val="00077960"/>
    <w:rsid w:val="00080098"/>
    <w:rsid w:val="000801F8"/>
    <w:rsid w:val="0008036F"/>
    <w:rsid w:val="00081479"/>
    <w:rsid w:val="00082679"/>
    <w:rsid w:val="00082DD1"/>
    <w:rsid w:val="00083362"/>
    <w:rsid w:val="00083523"/>
    <w:rsid w:val="000835C6"/>
    <w:rsid w:val="00083A3F"/>
    <w:rsid w:val="00084363"/>
    <w:rsid w:val="000843D3"/>
    <w:rsid w:val="000845C2"/>
    <w:rsid w:val="00084748"/>
    <w:rsid w:val="00084BE3"/>
    <w:rsid w:val="0008508E"/>
    <w:rsid w:val="000851BD"/>
    <w:rsid w:val="0008573C"/>
    <w:rsid w:val="00086B6A"/>
    <w:rsid w:val="00087951"/>
    <w:rsid w:val="0008797A"/>
    <w:rsid w:val="000879DF"/>
    <w:rsid w:val="00090D3F"/>
    <w:rsid w:val="00091098"/>
    <w:rsid w:val="000910CE"/>
    <w:rsid w:val="0009113B"/>
    <w:rsid w:val="00091984"/>
    <w:rsid w:val="00091CE1"/>
    <w:rsid w:val="0009200A"/>
    <w:rsid w:val="0009239C"/>
    <w:rsid w:val="0009317A"/>
    <w:rsid w:val="00093402"/>
    <w:rsid w:val="00093A8F"/>
    <w:rsid w:val="00093C81"/>
    <w:rsid w:val="0009415B"/>
    <w:rsid w:val="000945CA"/>
    <w:rsid w:val="00094815"/>
    <w:rsid w:val="00094AE2"/>
    <w:rsid w:val="00094DA3"/>
    <w:rsid w:val="000953D1"/>
    <w:rsid w:val="000956B1"/>
    <w:rsid w:val="000958A9"/>
    <w:rsid w:val="000962C4"/>
    <w:rsid w:val="000966FE"/>
    <w:rsid w:val="00096C87"/>
    <w:rsid w:val="00096CD1"/>
    <w:rsid w:val="00096DAA"/>
    <w:rsid w:val="0009736E"/>
    <w:rsid w:val="0009763C"/>
    <w:rsid w:val="00097D52"/>
    <w:rsid w:val="000A012C"/>
    <w:rsid w:val="000A039F"/>
    <w:rsid w:val="000A03B9"/>
    <w:rsid w:val="000A0862"/>
    <w:rsid w:val="000A0EB9"/>
    <w:rsid w:val="000A1151"/>
    <w:rsid w:val="000A1534"/>
    <w:rsid w:val="000A186C"/>
    <w:rsid w:val="000A1EA4"/>
    <w:rsid w:val="000A236F"/>
    <w:rsid w:val="000A2476"/>
    <w:rsid w:val="000A25CC"/>
    <w:rsid w:val="000A297F"/>
    <w:rsid w:val="000A2B74"/>
    <w:rsid w:val="000A2B9E"/>
    <w:rsid w:val="000A337D"/>
    <w:rsid w:val="000A3A72"/>
    <w:rsid w:val="000A5245"/>
    <w:rsid w:val="000A5946"/>
    <w:rsid w:val="000A5FFD"/>
    <w:rsid w:val="000A641A"/>
    <w:rsid w:val="000A6666"/>
    <w:rsid w:val="000A6EEE"/>
    <w:rsid w:val="000A73A9"/>
    <w:rsid w:val="000A7CCA"/>
    <w:rsid w:val="000A7D7B"/>
    <w:rsid w:val="000A7DC0"/>
    <w:rsid w:val="000B048A"/>
    <w:rsid w:val="000B0D92"/>
    <w:rsid w:val="000B0E19"/>
    <w:rsid w:val="000B0FA4"/>
    <w:rsid w:val="000B16E3"/>
    <w:rsid w:val="000B2F6F"/>
    <w:rsid w:val="000B31AC"/>
    <w:rsid w:val="000B3403"/>
    <w:rsid w:val="000B3482"/>
    <w:rsid w:val="000B39FE"/>
    <w:rsid w:val="000B3EDB"/>
    <w:rsid w:val="000B43C1"/>
    <w:rsid w:val="000B4678"/>
    <w:rsid w:val="000B4718"/>
    <w:rsid w:val="000B532C"/>
    <w:rsid w:val="000B543D"/>
    <w:rsid w:val="000B55F9"/>
    <w:rsid w:val="000B5BF7"/>
    <w:rsid w:val="000B6154"/>
    <w:rsid w:val="000B6BC8"/>
    <w:rsid w:val="000B70E3"/>
    <w:rsid w:val="000B7E3D"/>
    <w:rsid w:val="000C02FA"/>
    <w:rsid w:val="000C0303"/>
    <w:rsid w:val="000C090E"/>
    <w:rsid w:val="000C0E34"/>
    <w:rsid w:val="000C0F1D"/>
    <w:rsid w:val="000C174F"/>
    <w:rsid w:val="000C20FD"/>
    <w:rsid w:val="000C264F"/>
    <w:rsid w:val="000C30AF"/>
    <w:rsid w:val="000C3138"/>
    <w:rsid w:val="000C42EA"/>
    <w:rsid w:val="000C4546"/>
    <w:rsid w:val="000C49A4"/>
    <w:rsid w:val="000C505C"/>
    <w:rsid w:val="000C56E9"/>
    <w:rsid w:val="000C6052"/>
    <w:rsid w:val="000C61D0"/>
    <w:rsid w:val="000C64A2"/>
    <w:rsid w:val="000C692F"/>
    <w:rsid w:val="000C6C6F"/>
    <w:rsid w:val="000C6F39"/>
    <w:rsid w:val="000C6F6D"/>
    <w:rsid w:val="000C7494"/>
    <w:rsid w:val="000D05D3"/>
    <w:rsid w:val="000D1113"/>
    <w:rsid w:val="000D1242"/>
    <w:rsid w:val="000D1783"/>
    <w:rsid w:val="000D1807"/>
    <w:rsid w:val="000D1E2A"/>
    <w:rsid w:val="000D2050"/>
    <w:rsid w:val="000D2A85"/>
    <w:rsid w:val="000D2F73"/>
    <w:rsid w:val="000D305A"/>
    <w:rsid w:val="000D317A"/>
    <w:rsid w:val="000D3F3A"/>
    <w:rsid w:val="000D4566"/>
    <w:rsid w:val="000D5202"/>
    <w:rsid w:val="000D5395"/>
    <w:rsid w:val="000D57FF"/>
    <w:rsid w:val="000D6EB3"/>
    <w:rsid w:val="000E0442"/>
    <w:rsid w:val="000E0740"/>
    <w:rsid w:val="000E0970"/>
    <w:rsid w:val="000E097D"/>
    <w:rsid w:val="000E1910"/>
    <w:rsid w:val="000E21FC"/>
    <w:rsid w:val="000E30CA"/>
    <w:rsid w:val="000E354C"/>
    <w:rsid w:val="000E3CC7"/>
    <w:rsid w:val="000E49DA"/>
    <w:rsid w:val="000E4CC9"/>
    <w:rsid w:val="000E5748"/>
    <w:rsid w:val="000E6452"/>
    <w:rsid w:val="000E6B01"/>
    <w:rsid w:val="000E6BD4"/>
    <w:rsid w:val="000E6C98"/>
    <w:rsid w:val="000E6D6D"/>
    <w:rsid w:val="000F02F0"/>
    <w:rsid w:val="000F0A44"/>
    <w:rsid w:val="000F0B96"/>
    <w:rsid w:val="000F102D"/>
    <w:rsid w:val="000F11E2"/>
    <w:rsid w:val="000F193B"/>
    <w:rsid w:val="000F1A9C"/>
    <w:rsid w:val="000F1F1E"/>
    <w:rsid w:val="000F2259"/>
    <w:rsid w:val="000F2263"/>
    <w:rsid w:val="000F25C5"/>
    <w:rsid w:val="000F2C0F"/>
    <w:rsid w:val="000F2DDA"/>
    <w:rsid w:val="000F3894"/>
    <w:rsid w:val="000F3985"/>
    <w:rsid w:val="000F3CBA"/>
    <w:rsid w:val="000F3DAF"/>
    <w:rsid w:val="000F3ED5"/>
    <w:rsid w:val="000F41B2"/>
    <w:rsid w:val="000F4753"/>
    <w:rsid w:val="000F4B69"/>
    <w:rsid w:val="000F5213"/>
    <w:rsid w:val="000F5330"/>
    <w:rsid w:val="000F5AB3"/>
    <w:rsid w:val="000F5E17"/>
    <w:rsid w:val="000F5F4A"/>
    <w:rsid w:val="000F61C1"/>
    <w:rsid w:val="000F6D35"/>
    <w:rsid w:val="000F7138"/>
    <w:rsid w:val="000F7469"/>
    <w:rsid w:val="000F74A9"/>
    <w:rsid w:val="000F7673"/>
    <w:rsid w:val="000F7F2B"/>
    <w:rsid w:val="000F7F44"/>
    <w:rsid w:val="00100AEB"/>
    <w:rsid w:val="00100D42"/>
    <w:rsid w:val="00101001"/>
    <w:rsid w:val="0010100C"/>
    <w:rsid w:val="001027D8"/>
    <w:rsid w:val="00102DF3"/>
    <w:rsid w:val="00102F9B"/>
    <w:rsid w:val="00103276"/>
    <w:rsid w:val="0010392D"/>
    <w:rsid w:val="00104344"/>
    <w:rsid w:val="001043CE"/>
    <w:rsid w:val="0010447F"/>
    <w:rsid w:val="001047FD"/>
    <w:rsid w:val="00104FE3"/>
    <w:rsid w:val="001052BB"/>
    <w:rsid w:val="001057D5"/>
    <w:rsid w:val="00105842"/>
    <w:rsid w:val="00105A5E"/>
    <w:rsid w:val="00106221"/>
    <w:rsid w:val="0010651C"/>
    <w:rsid w:val="00106714"/>
    <w:rsid w:val="0010714F"/>
    <w:rsid w:val="001105CC"/>
    <w:rsid w:val="00110BDF"/>
    <w:rsid w:val="001110FA"/>
    <w:rsid w:val="00111A4D"/>
    <w:rsid w:val="00111D83"/>
    <w:rsid w:val="00111F70"/>
    <w:rsid w:val="001120C5"/>
    <w:rsid w:val="00112B04"/>
    <w:rsid w:val="00112B3D"/>
    <w:rsid w:val="001130B6"/>
    <w:rsid w:val="00113809"/>
    <w:rsid w:val="00113B99"/>
    <w:rsid w:val="0011415A"/>
    <w:rsid w:val="001141C8"/>
    <w:rsid w:val="00116339"/>
    <w:rsid w:val="0011701A"/>
    <w:rsid w:val="0011703D"/>
    <w:rsid w:val="00117AB6"/>
    <w:rsid w:val="00117B6C"/>
    <w:rsid w:val="0012030C"/>
    <w:rsid w:val="00120662"/>
    <w:rsid w:val="00120BD3"/>
    <w:rsid w:val="001213DE"/>
    <w:rsid w:val="00121693"/>
    <w:rsid w:val="001217D6"/>
    <w:rsid w:val="00121A93"/>
    <w:rsid w:val="00121C6B"/>
    <w:rsid w:val="00122284"/>
    <w:rsid w:val="001229AC"/>
    <w:rsid w:val="00122D4C"/>
    <w:rsid w:val="00122FEA"/>
    <w:rsid w:val="001232BD"/>
    <w:rsid w:val="00123392"/>
    <w:rsid w:val="00123BD6"/>
    <w:rsid w:val="001242EC"/>
    <w:rsid w:val="00124BAE"/>
    <w:rsid w:val="00124CD2"/>
    <w:rsid w:val="00124ED5"/>
    <w:rsid w:val="001252F0"/>
    <w:rsid w:val="001252F9"/>
    <w:rsid w:val="00126321"/>
    <w:rsid w:val="0012670E"/>
    <w:rsid w:val="00127096"/>
    <w:rsid w:val="00127510"/>
    <w:rsid w:val="001276FA"/>
    <w:rsid w:val="00127C45"/>
    <w:rsid w:val="0013064C"/>
    <w:rsid w:val="00130986"/>
    <w:rsid w:val="00130C62"/>
    <w:rsid w:val="00130E48"/>
    <w:rsid w:val="0013110B"/>
    <w:rsid w:val="00131386"/>
    <w:rsid w:val="00131B99"/>
    <w:rsid w:val="0013290B"/>
    <w:rsid w:val="001339B8"/>
    <w:rsid w:val="00134A12"/>
    <w:rsid w:val="00134DA0"/>
    <w:rsid w:val="00136026"/>
    <w:rsid w:val="00136411"/>
    <w:rsid w:val="001368D3"/>
    <w:rsid w:val="00136BCB"/>
    <w:rsid w:val="0013720B"/>
    <w:rsid w:val="0014008B"/>
    <w:rsid w:val="0014041A"/>
    <w:rsid w:val="00140827"/>
    <w:rsid w:val="00141050"/>
    <w:rsid w:val="00141298"/>
    <w:rsid w:val="001419E6"/>
    <w:rsid w:val="00141C21"/>
    <w:rsid w:val="0014255B"/>
    <w:rsid w:val="00144431"/>
    <w:rsid w:val="001447B3"/>
    <w:rsid w:val="00144C23"/>
    <w:rsid w:val="00145AD3"/>
    <w:rsid w:val="001474E7"/>
    <w:rsid w:val="00147D85"/>
    <w:rsid w:val="00147D93"/>
    <w:rsid w:val="0015035C"/>
    <w:rsid w:val="00150CBF"/>
    <w:rsid w:val="00151647"/>
    <w:rsid w:val="0015169F"/>
    <w:rsid w:val="00152016"/>
    <w:rsid w:val="00152073"/>
    <w:rsid w:val="0015227A"/>
    <w:rsid w:val="001524F0"/>
    <w:rsid w:val="001525B5"/>
    <w:rsid w:val="00152BD6"/>
    <w:rsid w:val="0015343F"/>
    <w:rsid w:val="001543F4"/>
    <w:rsid w:val="00154B42"/>
    <w:rsid w:val="00154BDF"/>
    <w:rsid w:val="00154E2D"/>
    <w:rsid w:val="0015508F"/>
    <w:rsid w:val="00155CC3"/>
    <w:rsid w:val="00155F87"/>
    <w:rsid w:val="00156598"/>
    <w:rsid w:val="001565A9"/>
    <w:rsid w:val="00156FE9"/>
    <w:rsid w:val="001574F8"/>
    <w:rsid w:val="00160FB5"/>
    <w:rsid w:val="00161837"/>
    <w:rsid w:val="001618A8"/>
    <w:rsid w:val="00161939"/>
    <w:rsid w:val="00161AA0"/>
    <w:rsid w:val="00161B5A"/>
    <w:rsid w:val="00161D2E"/>
    <w:rsid w:val="00161EBA"/>
    <w:rsid w:val="00161F3E"/>
    <w:rsid w:val="00162093"/>
    <w:rsid w:val="00162CA9"/>
    <w:rsid w:val="00162D88"/>
    <w:rsid w:val="00162FE9"/>
    <w:rsid w:val="00163083"/>
    <w:rsid w:val="00163BFC"/>
    <w:rsid w:val="00163D30"/>
    <w:rsid w:val="00163E56"/>
    <w:rsid w:val="001642AF"/>
    <w:rsid w:val="001644A5"/>
    <w:rsid w:val="0016467E"/>
    <w:rsid w:val="00164E1E"/>
    <w:rsid w:val="00165459"/>
    <w:rsid w:val="00165676"/>
    <w:rsid w:val="0016587A"/>
    <w:rsid w:val="00165928"/>
    <w:rsid w:val="00165A57"/>
    <w:rsid w:val="00165E17"/>
    <w:rsid w:val="001668F0"/>
    <w:rsid w:val="00166998"/>
    <w:rsid w:val="00170A7F"/>
    <w:rsid w:val="00170A92"/>
    <w:rsid w:val="00170ED1"/>
    <w:rsid w:val="001712C2"/>
    <w:rsid w:val="00171ABE"/>
    <w:rsid w:val="00171BE0"/>
    <w:rsid w:val="00171E5B"/>
    <w:rsid w:val="001727DD"/>
    <w:rsid w:val="00172890"/>
    <w:rsid w:val="00172BAF"/>
    <w:rsid w:val="001730C4"/>
    <w:rsid w:val="00173129"/>
    <w:rsid w:val="0017483D"/>
    <w:rsid w:val="00174FAD"/>
    <w:rsid w:val="00174FCD"/>
    <w:rsid w:val="00175410"/>
    <w:rsid w:val="00175A18"/>
    <w:rsid w:val="00176231"/>
    <w:rsid w:val="001771DD"/>
    <w:rsid w:val="0017723A"/>
    <w:rsid w:val="001774FB"/>
    <w:rsid w:val="00177995"/>
    <w:rsid w:val="00177A8C"/>
    <w:rsid w:val="001800A6"/>
    <w:rsid w:val="001805D9"/>
    <w:rsid w:val="0018121D"/>
    <w:rsid w:val="00181F2A"/>
    <w:rsid w:val="0018226A"/>
    <w:rsid w:val="00182905"/>
    <w:rsid w:val="00182934"/>
    <w:rsid w:val="00182A07"/>
    <w:rsid w:val="00183768"/>
    <w:rsid w:val="00183AD2"/>
    <w:rsid w:val="001840E0"/>
    <w:rsid w:val="00184270"/>
    <w:rsid w:val="00185410"/>
    <w:rsid w:val="00185E4C"/>
    <w:rsid w:val="00186673"/>
    <w:rsid w:val="00186B33"/>
    <w:rsid w:val="001873CA"/>
    <w:rsid w:val="00187623"/>
    <w:rsid w:val="00190194"/>
    <w:rsid w:val="0019057D"/>
    <w:rsid w:val="0019080D"/>
    <w:rsid w:val="00190997"/>
    <w:rsid w:val="00190F82"/>
    <w:rsid w:val="00192471"/>
    <w:rsid w:val="00192B52"/>
    <w:rsid w:val="00192E2B"/>
    <w:rsid w:val="00192F9D"/>
    <w:rsid w:val="001935FD"/>
    <w:rsid w:val="0019492E"/>
    <w:rsid w:val="00194C6B"/>
    <w:rsid w:val="0019539E"/>
    <w:rsid w:val="001954C0"/>
    <w:rsid w:val="00195A90"/>
    <w:rsid w:val="00195C4F"/>
    <w:rsid w:val="001968C9"/>
    <w:rsid w:val="00196EB8"/>
    <w:rsid w:val="00196EFB"/>
    <w:rsid w:val="00196FE7"/>
    <w:rsid w:val="001979FF"/>
    <w:rsid w:val="00197B17"/>
    <w:rsid w:val="00197CE7"/>
    <w:rsid w:val="001A0277"/>
    <w:rsid w:val="001A0C8F"/>
    <w:rsid w:val="001A0E94"/>
    <w:rsid w:val="001A16E6"/>
    <w:rsid w:val="001A1808"/>
    <w:rsid w:val="001A1950"/>
    <w:rsid w:val="001A1C54"/>
    <w:rsid w:val="001A25C6"/>
    <w:rsid w:val="001A2D04"/>
    <w:rsid w:val="001A3103"/>
    <w:rsid w:val="001A314D"/>
    <w:rsid w:val="001A3ACE"/>
    <w:rsid w:val="001A4BFA"/>
    <w:rsid w:val="001A57B8"/>
    <w:rsid w:val="001A5CF0"/>
    <w:rsid w:val="001A6229"/>
    <w:rsid w:val="001A75F2"/>
    <w:rsid w:val="001B058F"/>
    <w:rsid w:val="001B0F02"/>
    <w:rsid w:val="001B1280"/>
    <w:rsid w:val="001B1392"/>
    <w:rsid w:val="001B14B4"/>
    <w:rsid w:val="001B26CF"/>
    <w:rsid w:val="001B2A0C"/>
    <w:rsid w:val="001B3417"/>
    <w:rsid w:val="001B356A"/>
    <w:rsid w:val="001B373C"/>
    <w:rsid w:val="001B3800"/>
    <w:rsid w:val="001B5317"/>
    <w:rsid w:val="001B541F"/>
    <w:rsid w:val="001B5EDA"/>
    <w:rsid w:val="001B629A"/>
    <w:rsid w:val="001B6FF0"/>
    <w:rsid w:val="001B738B"/>
    <w:rsid w:val="001B7DD1"/>
    <w:rsid w:val="001C09DB"/>
    <w:rsid w:val="001C0ADE"/>
    <w:rsid w:val="001C0CE8"/>
    <w:rsid w:val="001C120E"/>
    <w:rsid w:val="001C19C0"/>
    <w:rsid w:val="001C1FF1"/>
    <w:rsid w:val="001C272F"/>
    <w:rsid w:val="001C277E"/>
    <w:rsid w:val="001C2A72"/>
    <w:rsid w:val="001C2BAE"/>
    <w:rsid w:val="001C3120"/>
    <w:rsid w:val="001C31B7"/>
    <w:rsid w:val="001C32EF"/>
    <w:rsid w:val="001C3AD0"/>
    <w:rsid w:val="001C40A2"/>
    <w:rsid w:val="001C4885"/>
    <w:rsid w:val="001C4F3B"/>
    <w:rsid w:val="001C5471"/>
    <w:rsid w:val="001C5970"/>
    <w:rsid w:val="001C61B9"/>
    <w:rsid w:val="001C62A9"/>
    <w:rsid w:val="001C65F4"/>
    <w:rsid w:val="001C691D"/>
    <w:rsid w:val="001D0388"/>
    <w:rsid w:val="001D0AAE"/>
    <w:rsid w:val="001D0B75"/>
    <w:rsid w:val="001D1775"/>
    <w:rsid w:val="001D1BB3"/>
    <w:rsid w:val="001D22E6"/>
    <w:rsid w:val="001D2831"/>
    <w:rsid w:val="001D355F"/>
    <w:rsid w:val="001D3569"/>
    <w:rsid w:val="001D37D2"/>
    <w:rsid w:val="001D39A5"/>
    <w:rsid w:val="001D3C09"/>
    <w:rsid w:val="001D3DD3"/>
    <w:rsid w:val="001D4400"/>
    <w:rsid w:val="001D44E8"/>
    <w:rsid w:val="001D475D"/>
    <w:rsid w:val="001D4BB6"/>
    <w:rsid w:val="001D5026"/>
    <w:rsid w:val="001D5D56"/>
    <w:rsid w:val="001D60EC"/>
    <w:rsid w:val="001D6F59"/>
    <w:rsid w:val="001D7108"/>
    <w:rsid w:val="001D72BE"/>
    <w:rsid w:val="001D74C9"/>
    <w:rsid w:val="001D7661"/>
    <w:rsid w:val="001D7711"/>
    <w:rsid w:val="001D783E"/>
    <w:rsid w:val="001E0164"/>
    <w:rsid w:val="001E045F"/>
    <w:rsid w:val="001E0506"/>
    <w:rsid w:val="001E0C5D"/>
    <w:rsid w:val="001E1A1D"/>
    <w:rsid w:val="001E1A9A"/>
    <w:rsid w:val="001E20B5"/>
    <w:rsid w:val="001E215E"/>
    <w:rsid w:val="001E226B"/>
    <w:rsid w:val="001E22B9"/>
    <w:rsid w:val="001E2984"/>
    <w:rsid w:val="001E2A36"/>
    <w:rsid w:val="001E3241"/>
    <w:rsid w:val="001E3E55"/>
    <w:rsid w:val="001E426C"/>
    <w:rsid w:val="001E42BD"/>
    <w:rsid w:val="001E44DF"/>
    <w:rsid w:val="001E49D2"/>
    <w:rsid w:val="001E5058"/>
    <w:rsid w:val="001E50AE"/>
    <w:rsid w:val="001E556C"/>
    <w:rsid w:val="001E5B15"/>
    <w:rsid w:val="001E5BDE"/>
    <w:rsid w:val="001E68A5"/>
    <w:rsid w:val="001E6BB0"/>
    <w:rsid w:val="001E7282"/>
    <w:rsid w:val="001E7A28"/>
    <w:rsid w:val="001F03A8"/>
    <w:rsid w:val="001F057C"/>
    <w:rsid w:val="001F1040"/>
    <w:rsid w:val="001F10F9"/>
    <w:rsid w:val="001F14D9"/>
    <w:rsid w:val="001F1E65"/>
    <w:rsid w:val="001F2EFA"/>
    <w:rsid w:val="001F2F05"/>
    <w:rsid w:val="001F31A0"/>
    <w:rsid w:val="001F341E"/>
    <w:rsid w:val="001F3826"/>
    <w:rsid w:val="001F38B8"/>
    <w:rsid w:val="001F3D10"/>
    <w:rsid w:val="001F3FE3"/>
    <w:rsid w:val="001F4C19"/>
    <w:rsid w:val="001F5343"/>
    <w:rsid w:val="001F5B3F"/>
    <w:rsid w:val="001F5BC7"/>
    <w:rsid w:val="001F5C4D"/>
    <w:rsid w:val="001F648F"/>
    <w:rsid w:val="001F65C0"/>
    <w:rsid w:val="001F681F"/>
    <w:rsid w:val="001F6E46"/>
    <w:rsid w:val="001F70EB"/>
    <w:rsid w:val="001F7186"/>
    <w:rsid w:val="001F7B27"/>
    <w:rsid w:val="001F7C91"/>
    <w:rsid w:val="00200176"/>
    <w:rsid w:val="00200356"/>
    <w:rsid w:val="00200845"/>
    <w:rsid w:val="0020144D"/>
    <w:rsid w:val="00201BFB"/>
    <w:rsid w:val="00202E9D"/>
    <w:rsid w:val="002033B7"/>
    <w:rsid w:val="00204307"/>
    <w:rsid w:val="00205F8E"/>
    <w:rsid w:val="00206463"/>
    <w:rsid w:val="002068BA"/>
    <w:rsid w:val="00206F2F"/>
    <w:rsid w:val="002075F9"/>
    <w:rsid w:val="00207920"/>
    <w:rsid w:val="002101B3"/>
    <w:rsid w:val="0021053D"/>
    <w:rsid w:val="00210A92"/>
    <w:rsid w:val="00210C2B"/>
    <w:rsid w:val="00210DE2"/>
    <w:rsid w:val="002124ED"/>
    <w:rsid w:val="00212E08"/>
    <w:rsid w:val="002134CF"/>
    <w:rsid w:val="002139B3"/>
    <w:rsid w:val="00213E35"/>
    <w:rsid w:val="002141DB"/>
    <w:rsid w:val="0021469F"/>
    <w:rsid w:val="00214AFB"/>
    <w:rsid w:val="002150DF"/>
    <w:rsid w:val="00216008"/>
    <w:rsid w:val="00216418"/>
    <w:rsid w:val="002168B1"/>
    <w:rsid w:val="00216C03"/>
    <w:rsid w:val="00216C8A"/>
    <w:rsid w:val="0021704A"/>
    <w:rsid w:val="00217598"/>
    <w:rsid w:val="00220500"/>
    <w:rsid w:val="00220658"/>
    <w:rsid w:val="00220C04"/>
    <w:rsid w:val="00221494"/>
    <w:rsid w:val="00221810"/>
    <w:rsid w:val="0022278D"/>
    <w:rsid w:val="002232AF"/>
    <w:rsid w:val="00223846"/>
    <w:rsid w:val="00223C87"/>
    <w:rsid w:val="00223DE3"/>
    <w:rsid w:val="00223F9E"/>
    <w:rsid w:val="00224415"/>
    <w:rsid w:val="00224B1E"/>
    <w:rsid w:val="00224B5C"/>
    <w:rsid w:val="00224BD4"/>
    <w:rsid w:val="00225342"/>
    <w:rsid w:val="00225917"/>
    <w:rsid w:val="00225EEC"/>
    <w:rsid w:val="002260D0"/>
    <w:rsid w:val="0022701F"/>
    <w:rsid w:val="00227507"/>
    <w:rsid w:val="00227C68"/>
    <w:rsid w:val="00230029"/>
    <w:rsid w:val="00230877"/>
    <w:rsid w:val="00230C88"/>
    <w:rsid w:val="0023141D"/>
    <w:rsid w:val="00231DB7"/>
    <w:rsid w:val="00231F75"/>
    <w:rsid w:val="002331C1"/>
    <w:rsid w:val="002333F5"/>
    <w:rsid w:val="00233724"/>
    <w:rsid w:val="002338F9"/>
    <w:rsid w:val="002346F3"/>
    <w:rsid w:val="00234A07"/>
    <w:rsid w:val="00234ADB"/>
    <w:rsid w:val="002350A8"/>
    <w:rsid w:val="00235C74"/>
    <w:rsid w:val="002365B4"/>
    <w:rsid w:val="00236A1E"/>
    <w:rsid w:val="00236CE3"/>
    <w:rsid w:val="00236D6D"/>
    <w:rsid w:val="00237D94"/>
    <w:rsid w:val="00241186"/>
    <w:rsid w:val="0024187F"/>
    <w:rsid w:val="00241A02"/>
    <w:rsid w:val="002426A4"/>
    <w:rsid w:val="002432E1"/>
    <w:rsid w:val="002433C6"/>
    <w:rsid w:val="00243C06"/>
    <w:rsid w:val="002443DA"/>
    <w:rsid w:val="00244A14"/>
    <w:rsid w:val="00245072"/>
    <w:rsid w:val="00245415"/>
    <w:rsid w:val="002454C6"/>
    <w:rsid w:val="00246207"/>
    <w:rsid w:val="00246C5E"/>
    <w:rsid w:val="00247639"/>
    <w:rsid w:val="00247728"/>
    <w:rsid w:val="002477B1"/>
    <w:rsid w:val="0025028D"/>
    <w:rsid w:val="00250960"/>
    <w:rsid w:val="00250EB5"/>
    <w:rsid w:val="00250F19"/>
    <w:rsid w:val="00251343"/>
    <w:rsid w:val="0025152C"/>
    <w:rsid w:val="00251B44"/>
    <w:rsid w:val="00251CA1"/>
    <w:rsid w:val="00251FA9"/>
    <w:rsid w:val="00253072"/>
    <w:rsid w:val="00253504"/>
    <w:rsid w:val="002536A4"/>
    <w:rsid w:val="00253B29"/>
    <w:rsid w:val="00253F83"/>
    <w:rsid w:val="00253F95"/>
    <w:rsid w:val="0025484A"/>
    <w:rsid w:val="00254F58"/>
    <w:rsid w:val="0025505B"/>
    <w:rsid w:val="0025511A"/>
    <w:rsid w:val="002554E0"/>
    <w:rsid w:val="00255C0B"/>
    <w:rsid w:val="00255FC7"/>
    <w:rsid w:val="00256312"/>
    <w:rsid w:val="00257033"/>
    <w:rsid w:val="002571A2"/>
    <w:rsid w:val="0025761B"/>
    <w:rsid w:val="00257BE5"/>
    <w:rsid w:val="002605D4"/>
    <w:rsid w:val="002608BA"/>
    <w:rsid w:val="00260B32"/>
    <w:rsid w:val="00260B63"/>
    <w:rsid w:val="002613BC"/>
    <w:rsid w:val="00262096"/>
    <w:rsid w:val="002620BC"/>
    <w:rsid w:val="0026260F"/>
    <w:rsid w:val="002626D3"/>
    <w:rsid w:val="00262802"/>
    <w:rsid w:val="00263259"/>
    <w:rsid w:val="00263A90"/>
    <w:rsid w:val="00263C1F"/>
    <w:rsid w:val="00263D31"/>
    <w:rsid w:val="0026408B"/>
    <w:rsid w:val="00264821"/>
    <w:rsid w:val="002649A7"/>
    <w:rsid w:val="0026527A"/>
    <w:rsid w:val="002653C9"/>
    <w:rsid w:val="00267C3E"/>
    <w:rsid w:val="002703A1"/>
    <w:rsid w:val="002709BB"/>
    <w:rsid w:val="0027113F"/>
    <w:rsid w:val="00272BFE"/>
    <w:rsid w:val="0027323A"/>
    <w:rsid w:val="00273B5B"/>
    <w:rsid w:val="00273BAC"/>
    <w:rsid w:val="00273D47"/>
    <w:rsid w:val="00273EB1"/>
    <w:rsid w:val="002749D6"/>
    <w:rsid w:val="0027520C"/>
    <w:rsid w:val="0027599D"/>
    <w:rsid w:val="00275D95"/>
    <w:rsid w:val="002763B3"/>
    <w:rsid w:val="0027748E"/>
    <w:rsid w:val="00277C9B"/>
    <w:rsid w:val="002802E3"/>
    <w:rsid w:val="0028060B"/>
    <w:rsid w:val="0028070E"/>
    <w:rsid w:val="00281080"/>
    <w:rsid w:val="0028112E"/>
    <w:rsid w:val="002811CA"/>
    <w:rsid w:val="0028124C"/>
    <w:rsid w:val="0028213D"/>
    <w:rsid w:val="00282941"/>
    <w:rsid w:val="00282F69"/>
    <w:rsid w:val="00283FA9"/>
    <w:rsid w:val="002844B0"/>
    <w:rsid w:val="002845CA"/>
    <w:rsid w:val="00284672"/>
    <w:rsid w:val="00285AEA"/>
    <w:rsid w:val="00285B40"/>
    <w:rsid w:val="002862F1"/>
    <w:rsid w:val="00290027"/>
    <w:rsid w:val="00290485"/>
    <w:rsid w:val="00290771"/>
    <w:rsid w:val="00291373"/>
    <w:rsid w:val="00291C53"/>
    <w:rsid w:val="002922C7"/>
    <w:rsid w:val="00292394"/>
    <w:rsid w:val="002925A7"/>
    <w:rsid w:val="00292A54"/>
    <w:rsid w:val="00292E09"/>
    <w:rsid w:val="00292ECD"/>
    <w:rsid w:val="00293DB0"/>
    <w:rsid w:val="00294769"/>
    <w:rsid w:val="00294A78"/>
    <w:rsid w:val="00294F4C"/>
    <w:rsid w:val="0029576C"/>
    <w:rsid w:val="0029597D"/>
    <w:rsid w:val="00295FD1"/>
    <w:rsid w:val="002962C3"/>
    <w:rsid w:val="002963FD"/>
    <w:rsid w:val="0029641D"/>
    <w:rsid w:val="00296820"/>
    <w:rsid w:val="0029752B"/>
    <w:rsid w:val="002975CD"/>
    <w:rsid w:val="0029767F"/>
    <w:rsid w:val="00297897"/>
    <w:rsid w:val="00297B78"/>
    <w:rsid w:val="00297DA9"/>
    <w:rsid w:val="002A08E6"/>
    <w:rsid w:val="002A0A0E"/>
    <w:rsid w:val="002A0A9C"/>
    <w:rsid w:val="002A0B99"/>
    <w:rsid w:val="002A1DE3"/>
    <w:rsid w:val="002A267F"/>
    <w:rsid w:val="002A2AEF"/>
    <w:rsid w:val="002A32FA"/>
    <w:rsid w:val="002A3C30"/>
    <w:rsid w:val="002A3CA8"/>
    <w:rsid w:val="002A4421"/>
    <w:rsid w:val="002A44E1"/>
    <w:rsid w:val="002A483C"/>
    <w:rsid w:val="002A4CB2"/>
    <w:rsid w:val="002A4E9D"/>
    <w:rsid w:val="002A528B"/>
    <w:rsid w:val="002A60E0"/>
    <w:rsid w:val="002A66BD"/>
    <w:rsid w:val="002A740E"/>
    <w:rsid w:val="002A7C59"/>
    <w:rsid w:val="002A7F06"/>
    <w:rsid w:val="002A7F4A"/>
    <w:rsid w:val="002B0061"/>
    <w:rsid w:val="002B0C7C"/>
    <w:rsid w:val="002B1158"/>
    <w:rsid w:val="002B1729"/>
    <w:rsid w:val="002B1AF3"/>
    <w:rsid w:val="002B1ED2"/>
    <w:rsid w:val="002B1F32"/>
    <w:rsid w:val="002B1F90"/>
    <w:rsid w:val="002B205F"/>
    <w:rsid w:val="002B27F7"/>
    <w:rsid w:val="002B2BE2"/>
    <w:rsid w:val="002B3523"/>
    <w:rsid w:val="002B36C7"/>
    <w:rsid w:val="002B3B68"/>
    <w:rsid w:val="002B4BFE"/>
    <w:rsid w:val="002B4DD4"/>
    <w:rsid w:val="002B5277"/>
    <w:rsid w:val="002B5375"/>
    <w:rsid w:val="002B591A"/>
    <w:rsid w:val="002B5E30"/>
    <w:rsid w:val="002B6095"/>
    <w:rsid w:val="002B714F"/>
    <w:rsid w:val="002B75D2"/>
    <w:rsid w:val="002B77C1"/>
    <w:rsid w:val="002B7879"/>
    <w:rsid w:val="002C0ED7"/>
    <w:rsid w:val="002C1DA9"/>
    <w:rsid w:val="002C2728"/>
    <w:rsid w:val="002C311D"/>
    <w:rsid w:val="002C3389"/>
    <w:rsid w:val="002C33E5"/>
    <w:rsid w:val="002C35E8"/>
    <w:rsid w:val="002C3BCA"/>
    <w:rsid w:val="002C3D54"/>
    <w:rsid w:val="002C3F6B"/>
    <w:rsid w:val="002C4934"/>
    <w:rsid w:val="002C4A9D"/>
    <w:rsid w:val="002C57CD"/>
    <w:rsid w:val="002C59D2"/>
    <w:rsid w:val="002C5A7B"/>
    <w:rsid w:val="002C641F"/>
    <w:rsid w:val="002C6C33"/>
    <w:rsid w:val="002C7179"/>
    <w:rsid w:val="002D057F"/>
    <w:rsid w:val="002D0606"/>
    <w:rsid w:val="002D0E61"/>
    <w:rsid w:val="002D12FE"/>
    <w:rsid w:val="002D1850"/>
    <w:rsid w:val="002D189A"/>
    <w:rsid w:val="002D1CCD"/>
    <w:rsid w:val="002D1DD6"/>
    <w:rsid w:val="002D1E0D"/>
    <w:rsid w:val="002D2E11"/>
    <w:rsid w:val="002D35FE"/>
    <w:rsid w:val="002D3877"/>
    <w:rsid w:val="002D3ED6"/>
    <w:rsid w:val="002D40BF"/>
    <w:rsid w:val="002D45E5"/>
    <w:rsid w:val="002D4D1B"/>
    <w:rsid w:val="002D4D2C"/>
    <w:rsid w:val="002D4DB6"/>
    <w:rsid w:val="002D5006"/>
    <w:rsid w:val="002D5924"/>
    <w:rsid w:val="002D5B99"/>
    <w:rsid w:val="002D61C3"/>
    <w:rsid w:val="002D6289"/>
    <w:rsid w:val="002D6A26"/>
    <w:rsid w:val="002E01D0"/>
    <w:rsid w:val="002E0657"/>
    <w:rsid w:val="002E065E"/>
    <w:rsid w:val="002E0A0C"/>
    <w:rsid w:val="002E0B03"/>
    <w:rsid w:val="002E0EA3"/>
    <w:rsid w:val="002E161D"/>
    <w:rsid w:val="002E1780"/>
    <w:rsid w:val="002E2527"/>
    <w:rsid w:val="002E3100"/>
    <w:rsid w:val="002E3982"/>
    <w:rsid w:val="002E425A"/>
    <w:rsid w:val="002E443B"/>
    <w:rsid w:val="002E479A"/>
    <w:rsid w:val="002E4881"/>
    <w:rsid w:val="002E4D64"/>
    <w:rsid w:val="002E4FAD"/>
    <w:rsid w:val="002E50D9"/>
    <w:rsid w:val="002E5BD9"/>
    <w:rsid w:val="002E6503"/>
    <w:rsid w:val="002E6939"/>
    <w:rsid w:val="002E695A"/>
    <w:rsid w:val="002E6A78"/>
    <w:rsid w:val="002E6B3B"/>
    <w:rsid w:val="002E6C3B"/>
    <w:rsid w:val="002E6C95"/>
    <w:rsid w:val="002E7045"/>
    <w:rsid w:val="002E7C36"/>
    <w:rsid w:val="002E7E1E"/>
    <w:rsid w:val="002E7FDB"/>
    <w:rsid w:val="002F0107"/>
    <w:rsid w:val="002F07A4"/>
    <w:rsid w:val="002F080B"/>
    <w:rsid w:val="002F085E"/>
    <w:rsid w:val="002F161A"/>
    <w:rsid w:val="002F18BF"/>
    <w:rsid w:val="002F2569"/>
    <w:rsid w:val="002F2665"/>
    <w:rsid w:val="002F2AFA"/>
    <w:rsid w:val="002F32BF"/>
    <w:rsid w:val="002F368C"/>
    <w:rsid w:val="002F3C91"/>
    <w:rsid w:val="002F3D32"/>
    <w:rsid w:val="002F4156"/>
    <w:rsid w:val="002F4977"/>
    <w:rsid w:val="002F4E6E"/>
    <w:rsid w:val="002F5491"/>
    <w:rsid w:val="002F5862"/>
    <w:rsid w:val="002F5F31"/>
    <w:rsid w:val="002F5F46"/>
    <w:rsid w:val="002F677F"/>
    <w:rsid w:val="002F707B"/>
    <w:rsid w:val="002F7312"/>
    <w:rsid w:val="002F7F4F"/>
    <w:rsid w:val="00300377"/>
    <w:rsid w:val="0030111D"/>
    <w:rsid w:val="00301192"/>
    <w:rsid w:val="003019CE"/>
    <w:rsid w:val="00302216"/>
    <w:rsid w:val="00302220"/>
    <w:rsid w:val="00303165"/>
    <w:rsid w:val="00303E53"/>
    <w:rsid w:val="00304097"/>
    <w:rsid w:val="00305CC1"/>
    <w:rsid w:val="00305E99"/>
    <w:rsid w:val="00306E5F"/>
    <w:rsid w:val="00307528"/>
    <w:rsid w:val="00307981"/>
    <w:rsid w:val="00307E14"/>
    <w:rsid w:val="0031166C"/>
    <w:rsid w:val="00311C42"/>
    <w:rsid w:val="00312381"/>
    <w:rsid w:val="00312979"/>
    <w:rsid w:val="00312D51"/>
    <w:rsid w:val="00312DCD"/>
    <w:rsid w:val="00312F85"/>
    <w:rsid w:val="0031384D"/>
    <w:rsid w:val="00313F90"/>
    <w:rsid w:val="00314054"/>
    <w:rsid w:val="0031478A"/>
    <w:rsid w:val="00314B7F"/>
    <w:rsid w:val="00314DAF"/>
    <w:rsid w:val="003154A7"/>
    <w:rsid w:val="0031559D"/>
    <w:rsid w:val="00315BD8"/>
    <w:rsid w:val="00315CC1"/>
    <w:rsid w:val="00315D1F"/>
    <w:rsid w:val="003161D9"/>
    <w:rsid w:val="003165C7"/>
    <w:rsid w:val="0031672B"/>
    <w:rsid w:val="00316AD0"/>
    <w:rsid w:val="00316B4A"/>
    <w:rsid w:val="00316C69"/>
    <w:rsid w:val="00316F27"/>
    <w:rsid w:val="003170C1"/>
    <w:rsid w:val="0031749A"/>
    <w:rsid w:val="00320A86"/>
    <w:rsid w:val="00320ABB"/>
    <w:rsid w:val="00320E8F"/>
    <w:rsid w:val="003211A0"/>
    <w:rsid w:val="003214F1"/>
    <w:rsid w:val="00321860"/>
    <w:rsid w:val="00321F56"/>
    <w:rsid w:val="0032263D"/>
    <w:rsid w:val="00322E4B"/>
    <w:rsid w:val="003238BC"/>
    <w:rsid w:val="00323FF4"/>
    <w:rsid w:val="003250EE"/>
    <w:rsid w:val="003250FD"/>
    <w:rsid w:val="00325AF3"/>
    <w:rsid w:val="00326653"/>
    <w:rsid w:val="00327084"/>
    <w:rsid w:val="0032738C"/>
    <w:rsid w:val="0032772D"/>
    <w:rsid w:val="00327870"/>
    <w:rsid w:val="00327F7F"/>
    <w:rsid w:val="00331586"/>
    <w:rsid w:val="0033249D"/>
    <w:rsid w:val="0033259D"/>
    <w:rsid w:val="00332B20"/>
    <w:rsid w:val="003333D2"/>
    <w:rsid w:val="00333FB7"/>
    <w:rsid w:val="003340E7"/>
    <w:rsid w:val="00336CB6"/>
    <w:rsid w:val="00336F43"/>
    <w:rsid w:val="003370F1"/>
    <w:rsid w:val="00340073"/>
    <w:rsid w:val="0034062C"/>
    <w:rsid w:val="003406C6"/>
    <w:rsid w:val="003408BC"/>
    <w:rsid w:val="00340CB0"/>
    <w:rsid w:val="00340F42"/>
    <w:rsid w:val="0034159A"/>
    <w:rsid w:val="003418CC"/>
    <w:rsid w:val="0034202D"/>
    <w:rsid w:val="00342AD1"/>
    <w:rsid w:val="00342B8A"/>
    <w:rsid w:val="0034311D"/>
    <w:rsid w:val="00344713"/>
    <w:rsid w:val="00344C20"/>
    <w:rsid w:val="00344DEF"/>
    <w:rsid w:val="00345913"/>
    <w:rsid w:val="003459BD"/>
    <w:rsid w:val="00345CB8"/>
    <w:rsid w:val="00345D65"/>
    <w:rsid w:val="003461CB"/>
    <w:rsid w:val="003475F8"/>
    <w:rsid w:val="00347FCD"/>
    <w:rsid w:val="00350371"/>
    <w:rsid w:val="00350902"/>
    <w:rsid w:val="00350D38"/>
    <w:rsid w:val="003513CC"/>
    <w:rsid w:val="00351AE8"/>
    <w:rsid w:val="00351B34"/>
    <w:rsid w:val="00351B36"/>
    <w:rsid w:val="00351C50"/>
    <w:rsid w:val="00353797"/>
    <w:rsid w:val="00353942"/>
    <w:rsid w:val="00353C06"/>
    <w:rsid w:val="0035420E"/>
    <w:rsid w:val="0035450E"/>
    <w:rsid w:val="00354808"/>
    <w:rsid w:val="00354BAD"/>
    <w:rsid w:val="0035566A"/>
    <w:rsid w:val="00355A19"/>
    <w:rsid w:val="00355E74"/>
    <w:rsid w:val="00356596"/>
    <w:rsid w:val="00357644"/>
    <w:rsid w:val="00357B4E"/>
    <w:rsid w:val="00357F42"/>
    <w:rsid w:val="00361DF9"/>
    <w:rsid w:val="003632E9"/>
    <w:rsid w:val="00363794"/>
    <w:rsid w:val="00364C2E"/>
    <w:rsid w:val="0036542A"/>
    <w:rsid w:val="00365C6B"/>
    <w:rsid w:val="00365DF1"/>
    <w:rsid w:val="00365F7E"/>
    <w:rsid w:val="0036671E"/>
    <w:rsid w:val="003668F2"/>
    <w:rsid w:val="00367530"/>
    <w:rsid w:val="00367570"/>
    <w:rsid w:val="00367C0B"/>
    <w:rsid w:val="0037008C"/>
    <w:rsid w:val="003705A0"/>
    <w:rsid w:val="003709BD"/>
    <w:rsid w:val="003716FD"/>
    <w:rsid w:val="0037172B"/>
    <w:rsid w:val="00371773"/>
    <w:rsid w:val="0037204B"/>
    <w:rsid w:val="003720E9"/>
    <w:rsid w:val="0037268A"/>
    <w:rsid w:val="003729FF"/>
    <w:rsid w:val="003730E7"/>
    <w:rsid w:val="00373890"/>
    <w:rsid w:val="00373C67"/>
    <w:rsid w:val="00373CE1"/>
    <w:rsid w:val="003744CF"/>
    <w:rsid w:val="00374717"/>
    <w:rsid w:val="003748C5"/>
    <w:rsid w:val="00375068"/>
    <w:rsid w:val="00375384"/>
    <w:rsid w:val="003754CA"/>
    <w:rsid w:val="003759CD"/>
    <w:rsid w:val="00376301"/>
    <w:rsid w:val="0037676C"/>
    <w:rsid w:val="003768E8"/>
    <w:rsid w:val="00376C01"/>
    <w:rsid w:val="00376DAA"/>
    <w:rsid w:val="00377000"/>
    <w:rsid w:val="003771AA"/>
    <w:rsid w:val="003771E5"/>
    <w:rsid w:val="00377551"/>
    <w:rsid w:val="00377954"/>
    <w:rsid w:val="00381043"/>
    <w:rsid w:val="003814BA"/>
    <w:rsid w:val="00381B94"/>
    <w:rsid w:val="0038250B"/>
    <w:rsid w:val="003828D0"/>
    <w:rsid w:val="003829E5"/>
    <w:rsid w:val="00382DBA"/>
    <w:rsid w:val="00382DE3"/>
    <w:rsid w:val="0038353E"/>
    <w:rsid w:val="00383B9F"/>
    <w:rsid w:val="00383C23"/>
    <w:rsid w:val="00384050"/>
    <w:rsid w:val="003841C6"/>
    <w:rsid w:val="003843D4"/>
    <w:rsid w:val="00384483"/>
    <w:rsid w:val="00384666"/>
    <w:rsid w:val="0038471B"/>
    <w:rsid w:val="00384DCB"/>
    <w:rsid w:val="00385589"/>
    <w:rsid w:val="00385CCA"/>
    <w:rsid w:val="00386109"/>
    <w:rsid w:val="00386123"/>
    <w:rsid w:val="00386944"/>
    <w:rsid w:val="00386B98"/>
    <w:rsid w:val="00387225"/>
    <w:rsid w:val="00390270"/>
    <w:rsid w:val="00390C15"/>
    <w:rsid w:val="00390EB4"/>
    <w:rsid w:val="00391466"/>
    <w:rsid w:val="003918E1"/>
    <w:rsid w:val="00391A63"/>
    <w:rsid w:val="00392073"/>
    <w:rsid w:val="00392192"/>
    <w:rsid w:val="00392EAC"/>
    <w:rsid w:val="00393746"/>
    <w:rsid w:val="00393CD4"/>
    <w:rsid w:val="003946C5"/>
    <w:rsid w:val="00395496"/>
    <w:rsid w:val="003956CC"/>
    <w:rsid w:val="00395716"/>
    <w:rsid w:val="00395C9A"/>
    <w:rsid w:val="00397AAF"/>
    <w:rsid w:val="003A01C4"/>
    <w:rsid w:val="003A05B3"/>
    <w:rsid w:val="003A0853"/>
    <w:rsid w:val="003A125F"/>
    <w:rsid w:val="003A1494"/>
    <w:rsid w:val="003A285C"/>
    <w:rsid w:val="003A2978"/>
    <w:rsid w:val="003A3732"/>
    <w:rsid w:val="003A38B3"/>
    <w:rsid w:val="003A3AC7"/>
    <w:rsid w:val="003A49BC"/>
    <w:rsid w:val="003A4B1F"/>
    <w:rsid w:val="003A4DB5"/>
    <w:rsid w:val="003A5294"/>
    <w:rsid w:val="003A53F3"/>
    <w:rsid w:val="003A5703"/>
    <w:rsid w:val="003A62FF"/>
    <w:rsid w:val="003A687E"/>
    <w:rsid w:val="003A6B67"/>
    <w:rsid w:val="003A6E6B"/>
    <w:rsid w:val="003A700B"/>
    <w:rsid w:val="003A78E6"/>
    <w:rsid w:val="003A7CB1"/>
    <w:rsid w:val="003A7D0A"/>
    <w:rsid w:val="003B0F6F"/>
    <w:rsid w:val="003B13B6"/>
    <w:rsid w:val="003B15E6"/>
    <w:rsid w:val="003B1BEA"/>
    <w:rsid w:val="003B2314"/>
    <w:rsid w:val="003B240B"/>
    <w:rsid w:val="003B305A"/>
    <w:rsid w:val="003B320B"/>
    <w:rsid w:val="003B33CD"/>
    <w:rsid w:val="003B36C4"/>
    <w:rsid w:val="003B408A"/>
    <w:rsid w:val="003B4246"/>
    <w:rsid w:val="003B4D54"/>
    <w:rsid w:val="003B5072"/>
    <w:rsid w:val="003B5733"/>
    <w:rsid w:val="003B583F"/>
    <w:rsid w:val="003B5A62"/>
    <w:rsid w:val="003B7855"/>
    <w:rsid w:val="003C0775"/>
    <w:rsid w:val="003C08A2"/>
    <w:rsid w:val="003C0F0E"/>
    <w:rsid w:val="003C16FF"/>
    <w:rsid w:val="003C18EF"/>
    <w:rsid w:val="003C1CAD"/>
    <w:rsid w:val="003C2045"/>
    <w:rsid w:val="003C27DF"/>
    <w:rsid w:val="003C304D"/>
    <w:rsid w:val="003C3DFE"/>
    <w:rsid w:val="003C3EF7"/>
    <w:rsid w:val="003C43A1"/>
    <w:rsid w:val="003C44D6"/>
    <w:rsid w:val="003C4FC0"/>
    <w:rsid w:val="003C50D8"/>
    <w:rsid w:val="003C5505"/>
    <w:rsid w:val="003C55F4"/>
    <w:rsid w:val="003C5644"/>
    <w:rsid w:val="003C5BAC"/>
    <w:rsid w:val="003C6B52"/>
    <w:rsid w:val="003C77C6"/>
    <w:rsid w:val="003C7897"/>
    <w:rsid w:val="003C7A3F"/>
    <w:rsid w:val="003C7BE5"/>
    <w:rsid w:val="003C7E8F"/>
    <w:rsid w:val="003D006D"/>
    <w:rsid w:val="003D00C8"/>
    <w:rsid w:val="003D01FC"/>
    <w:rsid w:val="003D0777"/>
    <w:rsid w:val="003D07B6"/>
    <w:rsid w:val="003D1201"/>
    <w:rsid w:val="003D14D4"/>
    <w:rsid w:val="003D1B69"/>
    <w:rsid w:val="003D1CDC"/>
    <w:rsid w:val="003D20DF"/>
    <w:rsid w:val="003D2766"/>
    <w:rsid w:val="003D2965"/>
    <w:rsid w:val="003D2A74"/>
    <w:rsid w:val="003D2CD0"/>
    <w:rsid w:val="003D344D"/>
    <w:rsid w:val="003D3D25"/>
    <w:rsid w:val="003D3E8F"/>
    <w:rsid w:val="003D4657"/>
    <w:rsid w:val="003D4695"/>
    <w:rsid w:val="003D510C"/>
    <w:rsid w:val="003D5412"/>
    <w:rsid w:val="003D59B9"/>
    <w:rsid w:val="003D5AB8"/>
    <w:rsid w:val="003D5DAB"/>
    <w:rsid w:val="003D6475"/>
    <w:rsid w:val="003D6591"/>
    <w:rsid w:val="003D719C"/>
    <w:rsid w:val="003E00C6"/>
    <w:rsid w:val="003E00CE"/>
    <w:rsid w:val="003E019F"/>
    <w:rsid w:val="003E01F8"/>
    <w:rsid w:val="003E0617"/>
    <w:rsid w:val="003E0BCE"/>
    <w:rsid w:val="003E0FF1"/>
    <w:rsid w:val="003E138F"/>
    <w:rsid w:val="003E13C8"/>
    <w:rsid w:val="003E1663"/>
    <w:rsid w:val="003E2506"/>
    <w:rsid w:val="003E2D07"/>
    <w:rsid w:val="003E2D39"/>
    <w:rsid w:val="003E3239"/>
    <w:rsid w:val="003E32A2"/>
    <w:rsid w:val="003E374A"/>
    <w:rsid w:val="003E375C"/>
    <w:rsid w:val="003E3786"/>
    <w:rsid w:val="003E3A85"/>
    <w:rsid w:val="003E4086"/>
    <w:rsid w:val="003E4235"/>
    <w:rsid w:val="003E4E00"/>
    <w:rsid w:val="003E50D4"/>
    <w:rsid w:val="003E5247"/>
    <w:rsid w:val="003E56EA"/>
    <w:rsid w:val="003E639E"/>
    <w:rsid w:val="003E6C2E"/>
    <w:rsid w:val="003E6CB4"/>
    <w:rsid w:val="003E71E5"/>
    <w:rsid w:val="003E7689"/>
    <w:rsid w:val="003E7D1A"/>
    <w:rsid w:val="003F0445"/>
    <w:rsid w:val="003F0841"/>
    <w:rsid w:val="003F0CF0"/>
    <w:rsid w:val="003F0E0B"/>
    <w:rsid w:val="003F14B1"/>
    <w:rsid w:val="003F184A"/>
    <w:rsid w:val="003F1CD7"/>
    <w:rsid w:val="003F1F89"/>
    <w:rsid w:val="003F205D"/>
    <w:rsid w:val="003F268B"/>
    <w:rsid w:val="003F279E"/>
    <w:rsid w:val="003F289E"/>
    <w:rsid w:val="003F2951"/>
    <w:rsid w:val="003F2B20"/>
    <w:rsid w:val="003F2E27"/>
    <w:rsid w:val="003F3187"/>
    <w:rsid w:val="003F3289"/>
    <w:rsid w:val="003F337D"/>
    <w:rsid w:val="003F3FDD"/>
    <w:rsid w:val="003F41F3"/>
    <w:rsid w:val="003F452C"/>
    <w:rsid w:val="003F47A2"/>
    <w:rsid w:val="003F4F41"/>
    <w:rsid w:val="003F54E0"/>
    <w:rsid w:val="003F5CB9"/>
    <w:rsid w:val="004013C7"/>
    <w:rsid w:val="0040158F"/>
    <w:rsid w:val="00401740"/>
    <w:rsid w:val="00401FCF"/>
    <w:rsid w:val="00402416"/>
    <w:rsid w:val="0040248F"/>
    <w:rsid w:val="004026A7"/>
    <w:rsid w:val="00402FE8"/>
    <w:rsid w:val="004030A8"/>
    <w:rsid w:val="004034D8"/>
    <w:rsid w:val="0040364F"/>
    <w:rsid w:val="00404798"/>
    <w:rsid w:val="00404F42"/>
    <w:rsid w:val="00404FD2"/>
    <w:rsid w:val="00405177"/>
    <w:rsid w:val="00405390"/>
    <w:rsid w:val="00405BA9"/>
    <w:rsid w:val="00406285"/>
    <w:rsid w:val="004066D2"/>
    <w:rsid w:val="004066E8"/>
    <w:rsid w:val="00406853"/>
    <w:rsid w:val="00407505"/>
    <w:rsid w:val="0040753A"/>
    <w:rsid w:val="0040763E"/>
    <w:rsid w:val="00407814"/>
    <w:rsid w:val="00407834"/>
    <w:rsid w:val="004109E2"/>
    <w:rsid w:val="004111A2"/>
    <w:rsid w:val="004112C6"/>
    <w:rsid w:val="00411CF5"/>
    <w:rsid w:val="00411D55"/>
    <w:rsid w:val="00412920"/>
    <w:rsid w:val="00412E8C"/>
    <w:rsid w:val="00413274"/>
    <w:rsid w:val="00413BB1"/>
    <w:rsid w:val="00413F93"/>
    <w:rsid w:val="004142E8"/>
    <w:rsid w:val="004148F9"/>
    <w:rsid w:val="00414D4A"/>
    <w:rsid w:val="004152F7"/>
    <w:rsid w:val="0041558E"/>
    <w:rsid w:val="00415B6F"/>
    <w:rsid w:val="00415D7D"/>
    <w:rsid w:val="0041677B"/>
    <w:rsid w:val="00416F5F"/>
    <w:rsid w:val="00417E7C"/>
    <w:rsid w:val="00417FC4"/>
    <w:rsid w:val="0042053F"/>
    <w:rsid w:val="0042084E"/>
    <w:rsid w:val="00421921"/>
    <w:rsid w:val="00421EEF"/>
    <w:rsid w:val="00422218"/>
    <w:rsid w:val="0042272A"/>
    <w:rsid w:val="00422896"/>
    <w:rsid w:val="004229E7"/>
    <w:rsid w:val="00422ADF"/>
    <w:rsid w:val="00422C06"/>
    <w:rsid w:val="00422C4B"/>
    <w:rsid w:val="004239D7"/>
    <w:rsid w:val="00424D65"/>
    <w:rsid w:val="00425E9B"/>
    <w:rsid w:val="00426290"/>
    <w:rsid w:val="00426505"/>
    <w:rsid w:val="00426632"/>
    <w:rsid w:val="00426AE6"/>
    <w:rsid w:val="00426F18"/>
    <w:rsid w:val="0043035D"/>
    <w:rsid w:val="004308E6"/>
    <w:rsid w:val="00431F65"/>
    <w:rsid w:val="0043239F"/>
    <w:rsid w:val="004334D1"/>
    <w:rsid w:val="00434386"/>
    <w:rsid w:val="00434492"/>
    <w:rsid w:val="0043560A"/>
    <w:rsid w:val="00435EFB"/>
    <w:rsid w:val="00435FB4"/>
    <w:rsid w:val="004365CD"/>
    <w:rsid w:val="00436CA2"/>
    <w:rsid w:val="004374EC"/>
    <w:rsid w:val="00440113"/>
    <w:rsid w:val="004403AA"/>
    <w:rsid w:val="004403C1"/>
    <w:rsid w:val="004406D6"/>
    <w:rsid w:val="004412D3"/>
    <w:rsid w:val="0044175A"/>
    <w:rsid w:val="00442227"/>
    <w:rsid w:val="00442614"/>
    <w:rsid w:val="00442C6C"/>
    <w:rsid w:val="00442D40"/>
    <w:rsid w:val="00443CBE"/>
    <w:rsid w:val="00443DF2"/>
    <w:rsid w:val="00443E8A"/>
    <w:rsid w:val="00444064"/>
    <w:rsid w:val="004441BC"/>
    <w:rsid w:val="00444357"/>
    <w:rsid w:val="0044503F"/>
    <w:rsid w:val="0044516C"/>
    <w:rsid w:val="0044541A"/>
    <w:rsid w:val="00445D96"/>
    <w:rsid w:val="004467C6"/>
    <w:rsid w:val="004468B4"/>
    <w:rsid w:val="00446B5F"/>
    <w:rsid w:val="00446F87"/>
    <w:rsid w:val="00447F4A"/>
    <w:rsid w:val="0045093E"/>
    <w:rsid w:val="00451CCF"/>
    <w:rsid w:val="0045230A"/>
    <w:rsid w:val="00452468"/>
    <w:rsid w:val="0045269A"/>
    <w:rsid w:val="004535D4"/>
    <w:rsid w:val="00453A80"/>
    <w:rsid w:val="00453D5A"/>
    <w:rsid w:val="00454A2B"/>
    <w:rsid w:val="00454AD0"/>
    <w:rsid w:val="00455A0C"/>
    <w:rsid w:val="00455D3F"/>
    <w:rsid w:val="00455E83"/>
    <w:rsid w:val="00456535"/>
    <w:rsid w:val="004567DD"/>
    <w:rsid w:val="00456AFE"/>
    <w:rsid w:val="0045717F"/>
    <w:rsid w:val="00457337"/>
    <w:rsid w:val="0045736D"/>
    <w:rsid w:val="00457709"/>
    <w:rsid w:val="00457DF3"/>
    <w:rsid w:val="00460046"/>
    <w:rsid w:val="004611CF"/>
    <w:rsid w:val="00461ACB"/>
    <w:rsid w:val="0046230D"/>
    <w:rsid w:val="00462A3E"/>
    <w:rsid w:val="00462E3D"/>
    <w:rsid w:val="004631ED"/>
    <w:rsid w:val="004638C1"/>
    <w:rsid w:val="004644DB"/>
    <w:rsid w:val="00464F36"/>
    <w:rsid w:val="004653E1"/>
    <w:rsid w:val="00466A20"/>
    <w:rsid w:val="00466E79"/>
    <w:rsid w:val="0046734B"/>
    <w:rsid w:val="00467CAB"/>
    <w:rsid w:val="00467E7F"/>
    <w:rsid w:val="00470B09"/>
    <w:rsid w:val="00470D7D"/>
    <w:rsid w:val="00473293"/>
    <w:rsid w:val="0047341B"/>
    <w:rsid w:val="0047372D"/>
    <w:rsid w:val="0047377F"/>
    <w:rsid w:val="00473840"/>
    <w:rsid w:val="00473A5F"/>
    <w:rsid w:val="00473BA3"/>
    <w:rsid w:val="004743DD"/>
    <w:rsid w:val="004746F1"/>
    <w:rsid w:val="0047476D"/>
    <w:rsid w:val="00474B12"/>
    <w:rsid w:val="00474B6A"/>
    <w:rsid w:val="00474CEA"/>
    <w:rsid w:val="0047560A"/>
    <w:rsid w:val="00476032"/>
    <w:rsid w:val="0047606B"/>
    <w:rsid w:val="00476A18"/>
    <w:rsid w:val="00477980"/>
    <w:rsid w:val="00477BF0"/>
    <w:rsid w:val="00480734"/>
    <w:rsid w:val="004808AF"/>
    <w:rsid w:val="0048155A"/>
    <w:rsid w:val="00481AAC"/>
    <w:rsid w:val="00481B0C"/>
    <w:rsid w:val="00481B81"/>
    <w:rsid w:val="00481B8F"/>
    <w:rsid w:val="00482560"/>
    <w:rsid w:val="00482D6F"/>
    <w:rsid w:val="00483968"/>
    <w:rsid w:val="00483C94"/>
    <w:rsid w:val="00483CD3"/>
    <w:rsid w:val="004843C7"/>
    <w:rsid w:val="00484A78"/>
    <w:rsid w:val="00484F86"/>
    <w:rsid w:val="0048571C"/>
    <w:rsid w:val="00485C2B"/>
    <w:rsid w:val="00485C90"/>
    <w:rsid w:val="004862FA"/>
    <w:rsid w:val="0048695F"/>
    <w:rsid w:val="00486B45"/>
    <w:rsid w:val="004876CC"/>
    <w:rsid w:val="00490746"/>
    <w:rsid w:val="00490852"/>
    <w:rsid w:val="00490936"/>
    <w:rsid w:val="004912F5"/>
    <w:rsid w:val="00491A40"/>
    <w:rsid w:val="00491C9C"/>
    <w:rsid w:val="00491CED"/>
    <w:rsid w:val="00492974"/>
    <w:rsid w:val="00492F30"/>
    <w:rsid w:val="004933A0"/>
    <w:rsid w:val="00493F3B"/>
    <w:rsid w:val="00493F8A"/>
    <w:rsid w:val="004946F4"/>
    <w:rsid w:val="0049487E"/>
    <w:rsid w:val="0049493D"/>
    <w:rsid w:val="0049493F"/>
    <w:rsid w:val="00494AD1"/>
    <w:rsid w:val="00494DF4"/>
    <w:rsid w:val="00494F9F"/>
    <w:rsid w:val="00495012"/>
    <w:rsid w:val="004952C6"/>
    <w:rsid w:val="00495E31"/>
    <w:rsid w:val="00495EE2"/>
    <w:rsid w:val="00495F2C"/>
    <w:rsid w:val="00496B91"/>
    <w:rsid w:val="00496C00"/>
    <w:rsid w:val="00496E69"/>
    <w:rsid w:val="0049735B"/>
    <w:rsid w:val="00497C6D"/>
    <w:rsid w:val="00497D21"/>
    <w:rsid w:val="004A0261"/>
    <w:rsid w:val="004A055D"/>
    <w:rsid w:val="004A0739"/>
    <w:rsid w:val="004A0894"/>
    <w:rsid w:val="004A08CB"/>
    <w:rsid w:val="004A0FC6"/>
    <w:rsid w:val="004A160D"/>
    <w:rsid w:val="004A2AA0"/>
    <w:rsid w:val="004A2BCA"/>
    <w:rsid w:val="004A2E34"/>
    <w:rsid w:val="004A315B"/>
    <w:rsid w:val="004A3E81"/>
    <w:rsid w:val="004A3FAE"/>
    <w:rsid w:val="004A3FFA"/>
    <w:rsid w:val="004A4195"/>
    <w:rsid w:val="004A485D"/>
    <w:rsid w:val="004A511F"/>
    <w:rsid w:val="004A5C62"/>
    <w:rsid w:val="004A5CE5"/>
    <w:rsid w:val="004A5E2B"/>
    <w:rsid w:val="004A6A11"/>
    <w:rsid w:val="004A6BF3"/>
    <w:rsid w:val="004A707D"/>
    <w:rsid w:val="004A729B"/>
    <w:rsid w:val="004A73FE"/>
    <w:rsid w:val="004A7C80"/>
    <w:rsid w:val="004A7E96"/>
    <w:rsid w:val="004B094E"/>
    <w:rsid w:val="004B1457"/>
    <w:rsid w:val="004B2DD9"/>
    <w:rsid w:val="004B34C2"/>
    <w:rsid w:val="004B5A77"/>
    <w:rsid w:val="004B60EC"/>
    <w:rsid w:val="004B6BE8"/>
    <w:rsid w:val="004B6DF9"/>
    <w:rsid w:val="004B7139"/>
    <w:rsid w:val="004B787F"/>
    <w:rsid w:val="004B7D29"/>
    <w:rsid w:val="004C01A9"/>
    <w:rsid w:val="004C0410"/>
    <w:rsid w:val="004C0764"/>
    <w:rsid w:val="004C2077"/>
    <w:rsid w:val="004C2591"/>
    <w:rsid w:val="004C322E"/>
    <w:rsid w:val="004C3348"/>
    <w:rsid w:val="004C37BA"/>
    <w:rsid w:val="004C3FB9"/>
    <w:rsid w:val="004C4639"/>
    <w:rsid w:val="004C4DB5"/>
    <w:rsid w:val="004C4FD9"/>
    <w:rsid w:val="004C5541"/>
    <w:rsid w:val="004C5FD4"/>
    <w:rsid w:val="004C67A5"/>
    <w:rsid w:val="004C6EEE"/>
    <w:rsid w:val="004C702B"/>
    <w:rsid w:val="004D0033"/>
    <w:rsid w:val="004D00A1"/>
    <w:rsid w:val="004D016B"/>
    <w:rsid w:val="004D0230"/>
    <w:rsid w:val="004D0415"/>
    <w:rsid w:val="004D05EC"/>
    <w:rsid w:val="004D0F21"/>
    <w:rsid w:val="004D12B9"/>
    <w:rsid w:val="004D1B22"/>
    <w:rsid w:val="004D1CDE"/>
    <w:rsid w:val="004D202B"/>
    <w:rsid w:val="004D2030"/>
    <w:rsid w:val="004D23CC"/>
    <w:rsid w:val="004D3431"/>
    <w:rsid w:val="004D36F2"/>
    <w:rsid w:val="004D3949"/>
    <w:rsid w:val="004D3B89"/>
    <w:rsid w:val="004D3C20"/>
    <w:rsid w:val="004D51B3"/>
    <w:rsid w:val="004D5BC6"/>
    <w:rsid w:val="004D64F0"/>
    <w:rsid w:val="004D656D"/>
    <w:rsid w:val="004D6579"/>
    <w:rsid w:val="004D6708"/>
    <w:rsid w:val="004D683E"/>
    <w:rsid w:val="004D6D5E"/>
    <w:rsid w:val="004D6E13"/>
    <w:rsid w:val="004D711C"/>
    <w:rsid w:val="004D7778"/>
    <w:rsid w:val="004D78AC"/>
    <w:rsid w:val="004D7CF1"/>
    <w:rsid w:val="004E0041"/>
    <w:rsid w:val="004E013F"/>
    <w:rsid w:val="004E026F"/>
    <w:rsid w:val="004E0678"/>
    <w:rsid w:val="004E1106"/>
    <w:rsid w:val="004E1264"/>
    <w:rsid w:val="004E138F"/>
    <w:rsid w:val="004E1B05"/>
    <w:rsid w:val="004E1D88"/>
    <w:rsid w:val="004E2180"/>
    <w:rsid w:val="004E26E4"/>
    <w:rsid w:val="004E2BBA"/>
    <w:rsid w:val="004E2E03"/>
    <w:rsid w:val="004E3594"/>
    <w:rsid w:val="004E35AC"/>
    <w:rsid w:val="004E393E"/>
    <w:rsid w:val="004E3D2B"/>
    <w:rsid w:val="004E44C2"/>
    <w:rsid w:val="004E4649"/>
    <w:rsid w:val="004E4991"/>
    <w:rsid w:val="004E4E40"/>
    <w:rsid w:val="004E54C0"/>
    <w:rsid w:val="004E5C2B"/>
    <w:rsid w:val="004E5CF6"/>
    <w:rsid w:val="004E5D82"/>
    <w:rsid w:val="004E64B5"/>
    <w:rsid w:val="004E6937"/>
    <w:rsid w:val="004E7210"/>
    <w:rsid w:val="004F00DD"/>
    <w:rsid w:val="004F0180"/>
    <w:rsid w:val="004F1841"/>
    <w:rsid w:val="004F1F87"/>
    <w:rsid w:val="004F2133"/>
    <w:rsid w:val="004F28E0"/>
    <w:rsid w:val="004F2971"/>
    <w:rsid w:val="004F2B4A"/>
    <w:rsid w:val="004F2E99"/>
    <w:rsid w:val="004F33C1"/>
    <w:rsid w:val="004F35C5"/>
    <w:rsid w:val="004F3863"/>
    <w:rsid w:val="004F3AE6"/>
    <w:rsid w:val="004F3C3D"/>
    <w:rsid w:val="004F3E16"/>
    <w:rsid w:val="004F4517"/>
    <w:rsid w:val="004F4D39"/>
    <w:rsid w:val="004F4F0F"/>
    <w:rsid w:val="004F51DD"/>
    <w:rsid w:val="004F5398"/>
    <w:rsid w:val="004F55F1"/>
    <w:rsid w:val="004F6153"/>
    <w:rsid w:val="004F6824"/>
    <w:rsid w:val="004F6936"/>
    <w:rsid w:val="004F693F"/>
    <w:rsid w:val="004F7842"/>
    <w:rsid w:val="005001D9"/>
    <w:rsid w:val="0050080F"/>
    <w:rsid w:val="00501445"/>
    <w:rsid w:val="00501511"/>
    <w:rsid w:val="00501F16"/>
    <w:rsid w:val="005020E6"/>
    <w:rsid w:val="005023A6"/>
    <w:rsid w:val="005026A2"/>
    <w:rsid w:val="00502D07"/>
    <w:rsid w:val="005035FC"/>
    <w:rsid w:val="00503A30"/>
    <w:rsid w:val="00503CCC"/>
    <w:rsid w:val="00503DC6"/>
    <w:rsid w:val="005043E3"/>
    <w:rsid w:val="00504460"/>
    <w:rsid w:val="00504736"/>
    <w:rsid w:val="00504F2E"/>
    <w:rsid w:val="00505691"/>
    <w:rsid w:val="005056A9"/>
    <w:rsid w:val="00505D33"/>
    <w:rsid w:val="005065CA"/>
    <w:rsid w:val="00506EC4"/>
    <w:rsid w:val="00506F5D"/>
    <w:rsid w:val="00510078"/>
    <w:rsid w:val="005107CF"/>
    <w:rsid w:val="005109DF"/>
    <w:rsid w:val="00510C37"/>
    <w:rsid w:val="00510FBB"/>
    <w:rsid w:val="005113B5"/>
    <w:rsid w:val="00511BED"/>
    <w:rsid w:val="00512296"/>
    <w:rsid w:val="005122AA"/>
    <w:rsid w:val="005126D0"/>
    <w:rsid w:val="005127CC"/>
    <w:rsid w:val="00513E05"/>
    <w:rsid w:val="00514005"/>
    <w:rsid w:val="005140CA"/>
    <w:rsid w:val="0051417F"/>
    <w:rsid w:val="0051495D"/>
    <w:rsid w:val="0051562F"/>
    <w:rsid w:val="0051568D"/>
    <w:rsid w:val="00515A20"/>
    <w:rsid w:val="00515DF3"/>
    <w:rsid w:val="00516397"/>
    <w:rsid w:val="005168BB"/>
    <w:rsid w:val="00516B45"/>
    <w:rsid w:val="00516F11"/>
    <w:rsid w:val="005171BF"/>
    <w:rsid w:val="0051759D"/>
    <w:rsid w:val="005201A2"/>
    <w:rsid w:val="005209B1"/>
    <w:rsid w:val="00521E67"/>
    <w:rsid w:val="00522897"/>
    <w:rsid w:val="00522FD6"/>
    <w:rsid w:val="00523407"/>
    <w:rsid w:val="00523EB2"/>
    <w:rsid w:val="0052425A"/>
    <w:rsid w:val="00524BA0"/>
    <w:rsid w:val="00525231"/>
    <w:rsid w:val="00525A9C"/>
    <w:rsid w:val="00525CA2"/>
    <w:rsid w:val="005264BC"/>
    <w:rsid w:val="00526817"/>
    <w:rsid w:val="00526AC7"/>
    <w:rsid w:val="00526C15"/>
    <w:rsid w:val="00526D5C"/>
    <w:rsid w:val="00527344"/>
    <w:rsid w:val="005277A0"/>
    <w:rsid w:val="005309C3"/>
    <w:rsid w:val="00530BA7"/>
    <w:rsid w:val="00530EE4"/>
    <w:rsid w:val="00530EF1"/>
    <w:rsid w:val="00531549"/>
    <w:rsid w:val="005316A9"/>
    <w:rsid w:val="00531C74"/>
    <w:rsid w:val="00531FEC"/>
    <w:rsid w:val="005338CA"/>
    <w:rsid w:val="00533B4D"/>
    <w:rsid w:val="00534CA9"/>
    <w:rsid w:val="00534D43"/>
    <w:rsid w:val="00535128"/>
    <w:rsid w:val="005355B3"/>
    <w:rsid w:val="00536395"/>
    <w:rsid w:val="00536499"/>
    <w:rsid w:val="0053698A"/>
    <w:rsid w:val="00537505"/>
    <w:rsid w:val="005378A0"/>
    <w:rsid w:val="005378B9"/>
    <w:rsid w:val="00537A60"/>
    <w:rsid w:val="00537CB4"/>
    <w:rsid w:val="005404DE"/>
    <w:rsid w:val="00540535"/>
    <w:rsid w:val="00540B49"/>
    <w:rsid w:val="0054100C"/>
    <w:rsid w:val="005421C3"/>
    <w:rsid w:val="00542B1D"/>
    <w:rsid w:val="00542B9F"/>
    <w:rsid w:val="00543903"/>
    <w:rsid w:val="00543F11"/>
    <w:rsid w:val="00544CC2"/>
    <w:rsid w:val="0054557F"/>
    <w:rsid w:val="0054596A"/>
    <w:rsid w:val="00546305"/>
    <w:rsid w:val="00546D92"/>
    <w:rsid w:val="00546F94"/>
    <w:rsid w:val="00547426"/>
    <w:rsid w:val="0054758A"/>
    <w:rsid w:val="00547872"/>
    <w:rsid w:val="00547A95"/>
    <w:rsid w:val="005509AB"/>
    <w:rsid w:val="0055119B"/>
    <w:rsid w:val="005515FB"/>
    <w:rsid w:val="0055162B"/>
    <w:rsid w:val="0055218E"/>
    <w:rsid w:val="005524BE"/>
    <w:rsid w:val="0055265E"/>
    <w:rsid w:val="00553263"/>
    <w:rsid w:val="0055361D"/>
    <w:rsid w:val="00553A54"/>
    <w:rsid w:val="00553CAE"/>
    <w:rsid w:val="005548B5"/>
    <w:rsid w:val="00554C28"/>
    <w:rsid w:val="00555BFC"/>
    <w:rsid w:val="0055662C"/>
    <w:rsid w:val="005576FE"/>
    <w:rsid w:val="00560779"/>
    <w:rsid w:val="00560B40"/>
    <w:rsid w:val="00560B73"/>
    <w:rsid w:val="005625BA"/>
    <w:rsid w:val="0056263A"/>
    <w:rsid w:val="00562B55"/>
    <w:rsid w:val="00563274"/>
    <w:rsid w:val="00563BB0"/>
    <w:rsid w:val="005640F9"/>
    <w:rsid w:val="0056478E"/>
    <w:rsid w:val="00564A97"/>
    <w:rsid w:val="00566972"/>
    <w:rsid w:val="00566C4C"/>
    <w:rsid w:val="00566CB1"/>
    <w:rsid w:val="00567AA1"/>
    <w:rsid w:val="00567FE8"/>
    <w:rsid w:val="00570CB4"/>
    <w:rsid w:val="00570E91"/>
    <w:rsid w:val="00571B3C"/>
    <w:rsid w:val="00572031"/>
    <w:rsid w:val="00572282"/>
    <w:rsid w:val="00572314"/>
    <w:rsid w:val="00572846"/>
    <w:rsid w:val="00572B96"/>
    <w:rsid w:val="00573861"/>
    <w:rsid w:val="00573CBE"/>
    <w:rsid w:val="00573CE3"/>
    <w:rsid w:val="00573EDD"/>
    <w:rsid w:val="00574231"/>
    <w:rsid w:val="00574622"/>
    <w:rsid w:val="005756D0"/>
    <w:rsid w:val="005761E4"/>
    <w:rsid w:val="00576434"/>
    <w:rsid w:val="00576E84"/>
    <w:rsid w:val="00577332"/>
    <w:rsid w:val="00577C79"/>
    <w:rsid w:val="00577D93"/>
    <w:rsid w:val="005801B8"/>
    <w:rsid w:val="00580394"/>
    <w:rsid w:val="005809CD"/>
    <w:rsid w:val="00580B7C"/>
    <w:rsid w:val="0058100D"/>
    <w:rsid w:val="0058159F"/>
    <w:rsid w:val="00581C46"/>
    <w:rsid w:val="00581F57"/>
    <w:rsid w:val="005828DC"/>
    <w:rsid w:val="00582B8C"/>
    <w:rsid w:val="00583127"/>
    <w:rsid w:val="005834C2"/>
    <w:rsid w:val="00583888"/>
    <w:rsid w:val="00583A8C"/>
    <w:rsid w:val="00584484"/>
    <w:rsid w:val="005850D7"/>
    <w:rsid w:val="0058511E"/>
    <w:rsid w:val="0058527C"/>
    <w:rsid w:val="005855B6"/>
    <w:rsid w:val="005861D4"/>
    <w:rsid w:val="005871D8"/>
    <w:rsid w:val="0058757E"/>
    <w:rsid w:val="00587B88"/>
    <w:rsid w:val="00587C2D"/>
    <w:rsid w:val="00590011"/>
    <w:rsid w:val="005909AD"/>
    <w:rsid w:val="00591C29"/>
    <w:rsid w:val="00592243"/>
    <w:rsid w:val="005927E5"/>
    <w:rsid w:val="00592A3A"/>
    <w:rsid w:val="00592E5C"/>
    <w:rsid w:val="0059325B"/>
    <w:rsid w:val="005933FC"/>
    <w:rsid w:val="0059375E"/>
    <w:rsid w:val="00594061"/>
    <w:rsid w:val="005941EA"/>
    <w:rsid w:val="00594266"/>
    <w:rsid w:val="00594DFB"/>
    <w:rsid w:val="005953FF"/>
    <w:rsid w:val="00595B1C"/>
    <w:rsid w:val="00595BE0"/>
    <w:rsid w:val="005966B8"/>
    <w:rsid w:val="00596A4B"/>
    <w:rsid w:val="00596B8F"/>
    <w:rsid w:val="00596DFA"/>
    <w:rsid w:val="00597067"/>
    <w:rsid w:val="0059726F"/>
    <w:rsid w:val="00597507"/>
    <w:rsid w:val="00597C0A"/>
    <w:rsid w:val="00597D5D"/>
    <w:rsid w:val="005A00A9"/>
    <w:rsid w:val="005A0199"/>
    <w:rsid w:val="005A0347"/>
    <w:rsid w:val="005A08C2"/>
    <w:rsid w:val="005A1175"/>
    <w:rsid w:val="005A1E4A"/>
    <w:rsid w:val="005A1E87"/>
    <w:rsid w:val="005A2868"/>
    <w:rsid w:val="005A387E"/>
    <w:rsid w:val="005A3CB2"/>
    <w:rsid w:val="005A3E4C"/>
    <w:rsid w:val="005A479D"/>
    <w:rsid w:val="005A4A6B"/>
    <w:rsid w:val="005A4B03"/>
    <w:rsid w:val="005A4DFC"/>
    <w:rsid w:val="005A4FB3"/>
    <w:rsid w:val="005A5AF9"/>
    <w:rsid w:val="005A744B"/>
    <w:rsid w:val="005A7812"/>
    <w:rsid w:val="005A792E"/>
    <w:rsid w:val="005B00D2"/>
    <w:rsid w:val="005B0222"/>
    <w:rsid w:val="005B02B2"/>
    <w:rsid w:val="005B10DD"/>
    <w:rsid w:val="005B1A43"/>
    <w:rsid w:val="005B1C6D"/>
    <w:rsid w:val="005B20AB"/>
    <w:rsid w:val="005B21B6"/>
    <w:rsid w:val="005B2D8F"/>
    <w:rsid w:val="005B3A08"/>
    <w:rsid w:val="005B3D43"/>
    <w:rsid w:val="005B4126"/>
    <w:rsid w:val="005B4E28"/>
    <w:rsid w:val="005B50E0"/>
    <w:rsid w:val="005B532A"/>
    <w:rsid w:val="005B57D3"/>
    <w:rsid w:val="005B58CB"/>
    <w:rsid w:val="005B65CE"/>
    <w:rsid w:val="005B6682"/>
    <w:rsid w:val="005B6925"/>
    <w:rsid w:val="005B71D7"/>
    <w:rsid w:val="005B7920"/>
    <w:rsid w:val="005B7A63"/>
    <w:rsid w:val="005B7BD2"/>
    <w:rsid w:val="005C038C"/>
    <w:rsid w:val="005C070F"/>
    <w:rsid w:val="005C0955"/>
    <w:rsid w:val="005C0B9F"/>
    <w:rsid w:val="005C1BB3"/>
    <w:rsid w:val="005C1C6D"/>
    <w:rsid w:val="005C2111"/>
    <w:rsid w:val="005C272A"/>
    <w:rsid w:val="005C33D1"/>
    <w:rsid w:val="005C3C73"/>
    <w:rsid w:val="005C45C3"/>
    <w:rsid w:val="005C45D6"/>
    <w:rsid w:val="005C49CF"/>
    <w:rsid w:val="005C49DA"/>
    <w:rsid w:val="005C4A6A"/>
    <w:rsid w:val="005C4C76"/>
    <w:rsid w:val="005C50F3"/>
    <w:rsid w:val="005C529D"/>
    <w:rsid w:val="005C5478"/>
    <w:rsid w:val="005C54B5"/>
    <w:rsid w:val="005C5652"/>
    <w:rsid w:val="005C5837"/>
    <w:rsid w:val="005C5B42"/>
    <w:rsid w:val="005C5D80"/>
    <w:rsid w:val="005C5D91"/>
    <w:rsid w:val="005C6048"/>
    <w:rsid w:val="005C623D"/>
    <w:rsid w:val="005C6552"/>
    <w:rsid w:val="005C65C5"/>
    <w:rsid w:val="005C6FEE"/>
    <w:rsid w:val="005C735D"/>
    <w:rsid w:val="005C77EB"/>
    <w:rsid w:val="005D027E"/>
    <w:rsid w:val="005D07B8"/>
    <w:rsid w:val="005D09C2"/>
    <w:rsid w:val="005D0CFD"/>
    <w:rsid w:val="005D0E37"/>
    <w:rsid w:val="005D275A"/>
    <w:rsid w:val="005D28E3"/>
    <w:rsid w:val="005D35D1"/>
    <w:rsid w:val="005D363F"/>
    <w:rsid w:val="005D4066"/>
    <w:rsid w:val="005D41D3"/>
    <w:rsid w:val="005D4270"/>
    <w:rsid w:val="005D4510"/>
    <w:rsid w:val="005D49FE"/>
    <w:rsid w:val="005D4D9C"/>
    <w:rsid w:val="005D53C3"/>
    <w:rsid w:val="005D5686"/>
    <w:rsid w:val="005D57C5"/>
    <w:rsid w:val="005D5C9D"/>
    <w:rsid w:val="005D6109"/>
    <w:rsid w:val="005D6597"/>
    <w:rsid w:val="005D6BBA"/>
    <w:rsid w:val="005D71BA"/>
    <w:rsid w:val="005D7E4A"/>
    <w:rsid w:val="005D7F74"/>
    <w:rsid w:val="005E0AAB"/>
    <w:rsid w:val="005E0CC0"/>
    <w:rsid w:val="005E14E7"/>
    <w:rsid w:val="005E158B"/>
    <w:rsid w:val="005E1709"/>
    <w:rsid w:val="005E1B71"/>
    <w:rsid w:val="005E1BC0"/>
    <w:rsid w:val="005E20FF"/>
    <w:rsid w:val="005E26A3"/>
    <w:rsid w:val="005E2840"/>
    <w:rsid w:val="005E28E0"/>
    <w:rsid w:val="005E2BEB"/>
    <w:rsid w:val="005E2ECB"/>
    <w:rsid w:val="005E4069"/>
    <w:rsid w:val="005E414E"/>
    <w:rsid w:val="005E4284"/>
    <w:rsid w:val="005E447E"/>
    <w:rsid w:val="005E49BE"/>
    <w:rsid w:val="005E4FD1"/>
    <w:rsid w:val="005E592A"/>
    <w:rsid w:val="005E6233"/>
    <w:rsid w:val="005E66AE"/>
    <w:rsid w:val="005E7525"/>
    <w:rsid w:val="005E7851"/>
    <w:rsid w:val="005E7B9F"/>
    <w:rsid w:val="005E7C0E"/>
    <w:rsid w:val="005F0775"/>
    <w:rsid w:val="005F0CF5"/>
    <w:rsid w:val="005F21EB"/>
    <w:rsid w:val="005F44CE"/>
    <w:rsid w:val="005F5640"/>
    <w:rsid w:val="005F5829"/>
    <w:rsid w:val="005F599A"/>
    <w:rsid w:val="005F607A"/>
    <w:rsid w:val="005F6E17"/>
    <w:rsid w:val="005F7204"/>
    <w:rsid w:val="006001D9"/>
    <w:rsid w:val="0060098D"/>
    <w:rsid w:val="00600F89"/>
    <w:rsid w:val="00600FFA"/>
    <w:rsid w:val="006020E6"/>
    <w:rsid w:val="00602692"/>
    <w:rsid w:val="00603DE2"/>
    <w:rsid w:val="00603E8A"/>
    <w:rsid w:val="00604405"/>
    <w:rsid w:val="006049EE"/>
    <w:rsid w:val="00604DA1"/>
    <w:rsid w:val="00604E5F"/>
    <w:rsid w:val="00605546"/>
    <w:rsid w:val="00605908"/>
    <w:rsid w:val="00605A54"/>
    <w:rsid w:val="00605DA8"/>
    <w:rsid w:val="00605E00"/>
    <w:rsid w:val="00606D58"/>
    <w:rsid w:val="006103DD"/>
    <w:rsid w:val="006104D1"/>
    <w:rsid w:val="00610A90"/>
    <w:rsid w:val="00610B59"/>
    <w:rsid w:val="00610C0B"/>
    <w:rsid w:val="00610C5A"/>
    <w:rsid w:val="00610D7C"/>
    <w:rsid w:val="00612F90"/>
    <w:rsid w:val="00613414"/>
    <w:rsid w:val="00613899"/>
    <w:rsid w:val="006149FA"/>
    <w:rsid w:val="00615CE2"/>
    <w:rsid w:val="006169AB"/>
    <w:rsid w:val="00617861"/>
    <w:rsid w:val="00620154"/>
    <w:rsid w:val="0062067A"/>
    <w:rsid w:val="00621176"/>
    <w:rsid w:val="006215C9"/>
    <w:rsid w:val="00621DF2"/>
    <w:rsid w:val="00621E85"/>
    <w:rsid w:val="00622443"/>
    <w:rsid w:val="006224EF"/>
    <w:rsid w:val="00622DE1"/>
    <w:rsid w:val="0062368A"/>
    <w:rsid w:val="006236F1"/>
    <w:rsid w:val="0062408D"/>
    <w:rsid w:val="006240CC"/>
    <w:rsid w:val="00624940"/>
    <w:rsid w:val="006254F8"/>
    <w:rsid w:val="006267D9"/>
    <w:rsid w:val="00626A7E"/>
    <w:rsid w:val="00627391"/>
    <w:rsid w:val="006273C8"/>
    <w:rsid w:val="006279CD"/>
    <w:rsid w:val="00627A10"/>
    <w:rsid w:val="00627DA7"/>
    <w:rsid w:val="00627F08"/>
    <w:rsid w:val="00627F1F"/>
    <w:rsid w:val="006304E8"/>
    <w:rsid w:val="006308CB"/>
    <w:rsid w:val="00630A49"/>
    <w:rsid w:val="00630C31"/>
    <w:rsid w:val="00630DA4"/>
    <w:rsid w:val="0063134F"/>
    <w:rsid w:val="006315B5"/>
    <w:rsid w:val="00631699"/>
    <w:rsid w:val="00632597"/>
    <w:rsid w:val="0063288D"/>
    <w:rsid w:val="0063293D"/>
    <w:rsid w:val="00632EB6"/>
    <w:rsid w:val="00632FE1"/>
    <w:rsid w:val="006358B4"/>
    <w:rsid w:val="00635E43"/>
    <w:rsid w:val="0063601E"/>
    <w:rsid w:val="0063794E"/>
    <w:rsid w:val="00637C29"/>
    <w:rsid w:val="006411FE"/>
    <w:rsid w:val="006419AA"/>
    <w:rsid w:val="00641A8E"/>
    <w:rsid w:val="00641ED9"/>
    <w:rsid w:val="00642B7D"/>
    <w:rsid w:val="006433A2"/>
    <w:rsid w:val="006434C4"/>
    <w:rsid w:val="00643522"/>
    <w:rsid w:val="006437C3"/>
    <w:rsid w:val="00643928"/>
    <w:rsid w:val="0064450E"/>
    <w:rsid w:val="00644636"/>
    <w:rsid w:val="00644B1F"/>
    <w:rsid w:val="00644B7E"/>
    <w:rsid w:val="00644C8D"/>
    <w:rsid w:val="006454E6"/>
    <w:rsid w:val="00645A18"/>
    <w:rsid w:val="00646235"/>
    <w:rsid w:val="006463B5"/>
    <w:rsid w:val="0064645D"/>
    <w:rsid w:val="006469E1"/>
    <w:rsid w:val="00646A68"/>
    <w:rsid w:val="00646D15"/>
    <w:rsid w:val="00647303"/>
    <w:rsid w:val="0064774D"/>
    <w:rsid w:val="00647DE5"/>
    <w:rsid w:val="006505BD"/>
    <w:rsid w:val="0065067B"/>
    <w:rsid w:val="006508EA"/>
    <w:rsid w:val="0065092E"/>
    <w:rsid w:val="00651086"/>
    <w:rsid w:val="00652448"/>
    <w:rsid w:val="00652E5F"/>
    <w:rsid w:val="006535FC"/>
    <w:rsid w:val="00653952"/>
    <w:rsid w:val="00653FB1"/>
    <w:rsid w:val="0065400B"/>
    <w:rsid w:val="006541E1"/>
    <w:rsid w:val="00654B67"/>
    <w:rsid w:val="006557A7"/>
    <w:rsid w:val="00655A59"/>
    <w:rsid w:val="00655ADF"/>
    <w:rsid w:val="00655C2A"/>
    <w:rsid w:val="00655D55"/>
    <w:rsid w:val="00655E91"/>
    <w:rsid w:val="006561F6"/>
    <w:rsid w:val="00656290"/>
    <w:rsid w:val="0065674B"/>
    <w:rsid w:val="00657003"/>
    <w:rsid w:val="00657188"/>
    <w:rsid w:val="0065728B"/>
    <w:rsid w:val="006608D8"/>
    <w:rsid w:val="006609BE"/>
    <w:rsid w:val="00660B0E"/>
    <w:rsid w:val="00660BDD"/>
    <w:rsid w:val="00660E87"/>
    <w:rsid w:val="00661B0B"/>
    <w:rsid w:val="00661BE2"/>
    <w:rsid w:val="00661E29"/>
    <w:rsid w:val="006621D7"/>
    <w:rsid w:val="00662705"/>
    <w:rsid w:val="0066302A"/>
    <w:rsid w:val="0066314C"/>
    <w:rsid w:val="006638B3"/>
    <w:rsid w:val="006638F8"/>
    <w:rsid w:val="00663DFC"/>
    <w:rsid w:val="0066404C"/>
    <w:rsid w:val="0066437D"/>
    <w:rsid w:val="006643F1"/>
    <w:rsid w:val="00664B44"/>
    <w:rsid w:val="00664BF4"/>
    <w:rsid w:val="00664E44"/>
    <w:rsid w:val="00665A41"/>
    <w:rsid w:val="00665F23"/>
    <w:rsid w:val="00666ECC"/>
    <w:rsid w:val="00667729"/>
    <w:rsid w:val="00667770"/>
    <w:rsid w:val="0066777A"/>
    <w:rsid w:val="00670597"/>
    <w:rsid w:val="00670600"/>
    <w:rsid w:val="006706D0"/>
    <w:rsid w:val="00670F15"/>
    <w:rsid w:val="00671106"/>
    <w:rsid w:val="006714B3"/>
    <w:rsid w:val="00671829"/>
    <w:rsid w:val="00672928"/>
    <w:rsid w:val="00672E4C"/>
    <w:rsid w:val="00673213"/>
    <w:rsid w:val="00674071"/>
    <w:rsid w:val="006741CB"/>
    <w:rsid w:val="006744F0"/>
    <w:rsid w:val="00674A57"/>
    <w:rsid w:val="00675271"/>
    <w:rsid w:val="00675678"/>
    <w:rsid w:val="00675F1C"/>
    <w:rsid w:val="00675F60"/>
    <w:rsid w:val="006760C6"/>
    <w:rsid w:val="00676B59"/>
    <w:rsid w:val="00677574"/>
    <w:rsid w:val="0068070E"/>
    <w:rsid w:val="0068078F"/>
    <w:rsid w:val="00680DF6"/>
    <w:rsid w:val="00680F67"/>
    <w:rsid w:val="006814F0"/>
    <w:rsid w:val="0068321D"/>
    <w:rsid w:val="00683273"/>
    <w:rsid w:val="006840FC"/>
    <w:rsid w:val="006844FB"/>
    <w:rsid w:val="0068454C"/>
    <w:rsid w:val="00684913"/>
    <w:rsid w:val="00684E5F"/>
    <w:rsid w:val="00685271"/>
    <w:rsid w:val="00685301"/>
    <w:rsid w:val="00685548"/>
    <w:rsid w:val="00685C5D"/>
    <w:rsid w:val="006879E5"/>
    <w:rsid w:val="00687F2E"/>
    <w:rsid w:val="00690B9B"/>
    <w:rsid w:val="00690C22"/>
    <w:rsid w:val="00690E14"/>
    <w:rsid w:val="00690F94"/>
    <w:rsid w:val="00690FB1"/>
    <w:rsid w:val="00691B62"/>
    <w:rsid w:val="00691C7E"/>
    <w:rsid w:val="00691E6D"/>
    <w:rsid w:val="00692AD5"/>
    <w:rsid w:val="00693108"/>
    <w:rsid w:val="006933B5"/>
    <w:rsid w:val="0069365C"/>
    <w:rsid w:val="00693D14"/>
    <w:rsid w:val="006947C6"/>
    <w:rsid w:val="00694942"/>
    <w:rsid w:val="00694BCC"/>
    <w:rsid w:val="0069519F"/>
    <w:rsid w:val="006951B6"/>
    <w:rsid w:val="0069573F"/>
    <w:rsid w:val="00695E46"/>
    <w:rsid w:val="006966C8"/>
    <w:rsid w:val="0069672E"/>
    <w:rsid w:val="006967EA"/>
    <w:rsid w:val="00696858"/>
    <w:rsid w:val="00696F27"/>
    <w:rsid w:val="006974FF"/>
    <w:rsid w:val="006978A0"/>
    <w:rsid w:val="00697EFD"/>
    <w:rsid w:val="006A0FB0"/>
    <w:rsid w:val="006A124D"/>
    <w:rsid w:val="006A18C2"/>
    <w:rsid w:val="006A1DAF"/>
    <w:rsid w:val="006A23B2"/>
    <w:rsid w:val="006A24E8"/>
    <w:rsid w:val="006A272E"/>
    <w:rsid w:val="006A28D2"/>
    <w:rsid w:val="006A2D8A"/>
    <w:rsid w:val="006A3383"/>
    <w:rsid w:val="006A45E3"/>
    <w:rsid w:val="006A5814"/>
    <w:rsid w:val="006A668F"/>
    <w:rsid w:val="006A66F5"/>
    <w:rsid w:val="006A6D10"/>
    <w:rsid w:val="006A7F6E"/>
    <w:rsid w:val="006B077C"/>
    <w:rsid w:val="006B0B85"/>
    <w:rsid w:val="006B109F"/>
    <w:rsid w:val="006B1104"/>
    <w:rsid w:val="006B155C"/>
    <w:rsid w:val="006B183A"/>
    <w:rsid w:val="006B1CBC"/>
    <w:rsid w:val="006B1E98"/>
    <w:rsid w:val="006B230D"/>
    <w:rsid w:val="006B2A35"/>
    <w:rsid w:val="006B34BB"/>
    <w:rsid w:val="006B3571"/>
    <w:rsid w:val="006B414B"/>
    <w:rsid w:val="006B608F"/>
    <w:rsid w:val="006B6266"/>
    <w:rsid w:val="006B6803"/>
    <w:rsid w:val="006B70A8"/>
    <w:rsid w:val="006B762A"/>
    <w:rsid w:val="006B777C"/>
    <w:rsid w:val="006C0B09"/>
    <w:rsid w:val="006C1358"/>
    <w:rsid w:val="006C1F8A"/>
    <w:rsid w:val="006C21C5"/>
    <w:rsid w:val="006C315D"/>
    <w:rsid w:val="006C35AF"/>
    <w:rsid w:val="006C3E06"/>
    <w:rsid w:val="006C412D"/>
    <w:rsid w:val="006C4997"/>
    <w:rsid w:val="006C5032"/>
    <w:rsid w:val="006C5093"/>
    <w:rsid w:val="006C6634"/>
    <w:rsid w:val="006C70A3"/>
    <w:rsid w:val="006C70FB"/>
    <w:rsid w:val="006C776B"/>
    <w:rsid w:val="006C77BE"/>
    <w:rsid w:val="006C7CAC"/>
    <w:rsid w:val="006C7D04"/>
    <w:rsid w:val="006D0F16"/>
    <w:rsid w:val="006D13A6"/>
    <w:rsid w:val="006D2A3F"/>
    <w:rsid w:val="006D2FA4"/>
    <w:rsid w:val="006D2FBC"/>
    <w:rsid w:val="006D2FC6"/>
    <w:rsid w:val="006D3C5E"/>
    <w:rsid w:val="006D4EE1"/>
    <w:rsid w:val="006D4FCB"/>
    <w:rsid w:val="006D5552"/>
    <w:rsid w:val="006D5C6D"/>
    <w:rsid w:val="006D5E91"/>
    <w:rsid w:val="006D66B5"/>
    <w:rsid w:val="006D689B"/>
    <w:rsid w:val="006D74E2"/>
    <w:rsid w:val="006D75B8"/>
    <w:rsid w:val="006D7DDA"/>
    <w:rsid w:val="006E0541"/>
    <w:rsid w:val="006E07FC"/>
    <w:rsid w:val="006E0828"/>
    <w:rsid w:val="006E0C64"/>
    <w:rsid w:val="006E138B"/>
    <w:rsid w:val="006E1532"/>
    <w:rsid w:val="006E1EF6"/>
    <w:rsid w:val="006E1F51"/>
    <w:rsid w:val="006E1F99"/>
    <w:rsid w:val="006E247C"/>
    <w:rsid w:val="006E2F15"/>
    <w:rsid w:val="006E34E8"/>
    <w:rsid w:val="006E46E5"/>
    <w:rsid w:val="006E477F"/>
    <w:rsid w:val="006E4D77"/>
    <w:rsid w:val="006E4DED"/>
    <w:rsid w:val="006E517F"/>
    <w:rsid w:val="006E51CA"/>
    <w:rsid w:val="006E5264"/>
    <w:rsid w:val="006E5B10"/>
    <w:rsid w:val="006E60EE"/>
    <w:rsid w:val="006E6B34"/>
    <w:rsid w:val="006E7CC0"/>
    <w:rsid w:val="006E7D7E"/>
    <w:rsid w:val="006E7E37"/>
    <w:rsid w:val="006F001B"/>
    <w:rsid w:val="006F0330"/>
    <w:rsid w:val="006F142A"/>
    <w:rsid w:val="006F1AB2"/>
    <w:rsid w:val="006F1C2B"/>
    <w:rsid w:val="006F1FDC"/>
    <w:rsid w:val="006F2206"/>
    <w:rsid w:val="006F2749"/>
    <w:rsid w:val="006F27B8"/>
    <w:rsid w:val="006F3BB6"/>
    <w:rsid w:val="006F41AB"/>
    <w:rsid w:val="006F4BEA"/>
    <w:rsid w:val="006F4ED4"/>
    <w:rsid w:val="006F5100"/>
    <w:rsid w:val="006F5F3A"/>
    <w:rsid w:val="006F6313"/>
    <w:rsid w:val="006F6538"/>
    <w:rsid w:val="006F6B8C"/>
    <w:rsid w:val="006F6EED"/>
    <w:rsid w:val="007001A8"/>
    <w:rsid w:val="007002F9"/>
    <w:rsid w:val="0070131B"/>
    <w:rsid w:val="007013EF"/>
    <w:rsid w:val="00701BA0"/>
    <w:rsid w:val="00702213"/>
    <w:rsid w:val="00702253"/>
    <w:rsid w:val="00702583"/>
    <w:rsid w:val="00702DA2"/>
    <w:rsid w:val="00704100"/>
    <w:rsid w:val="007047EC"/>
    <w:rsid w:val="00704B09"/>
    <w:rsid w:val="00705342"/>
    <w:rsid w:val="007055BD"/>
    <w:rsid w:val="00706AC6"/>
    <w:rsid w:val="00707CBE"/>
    <w:rsid w:val="007100E8"/>
    <w:rsid w:val="0071081F"/>
    <w:rsid w:val="00710E2D"/>
    <w:rsid w:val="00711033"/>
    <w:rsid w:val="00711FD2"/>
    <w:rsid w:val="007123F8"/>
    <w:rsid w:val="007127FD"/>
    <w:rsid w:val="00712C1B"/>
    <w:rsid w:val="00712D89"/>
    <w:rsid w:val="007132FD"/>
    <w:rsid w:val="00714A33"/>
    <w:rsid w:val="00714D08"/>
    <w:rsid w:val="00715518"/>
    <w:rsid w:val="007155B2"/>
    <w:rsid w:val="00715617"/>
    <w:rsid w:val="00716816"/>
    <w:rsid w:val="007173CA"/>
    <w:rsid w:val="00717633"/>
    <w:rsid w:val="007200F2"/>
    <w:rsid w:val="007208F7"/>
    <w:rsid w:val="007210A2"/>
    <w:rsid w:val="007216AA"/>
    <w:rsid w:val="00721A7C"/>
    <w:rsid w:val="00721AB5"/>
    <w:rsid w:val="00721CFB"/>
    <w:rsid w:val="00721DEF"/>
    <w:rsid w:val="0072251A"/>
    <w:rsid w:val="0072266A"/>
    <w:rsid w:val="00722803"/>
    <w:rsid w:val="00722863"/>
    <w:rsid w:val="007230BF"/>
    <w:rsid w:val="00724A43"/>
    <w:rsid w:val="00724F64"/>
    <w:rsid w:val="0072535D"/>
    <w:rsid w:val="007258C9"/>
    <w:rsid w:val="007258D1"/>
    <w:rsid w:val="00725D4C"/>
    <w:rsid w:val="007273AC"/>
    <w:rsid w:val="00727B72"/>
    <w:rsid w:val="00727E48"/>
    <w:rsid w:val="00730BA8"/>
    <w:rsid w:val="00730D24"/>
    <w:rsid w:val="00731AD4"/>
    <w:rsid w:val="00732011"/>
    <w:rsid w:val="00732D0B"/>
    <w:rsid w:val="00732E54"/>
    <w:rsid w:val="007334AF"/>
    <w:rsid w:val="00733C2C"/>
    <w:rsid w:val="0073446B"/>
    <w:rsid w:val="00734510"/>
    <w:rsid w:val="00734666"/>
    <w:rsid w:val="007346E4"/>
    <w:rsid w:val="00734709"/>
    <w:rsid w:val="007348D8"/>
    <w:rsid w:val="00734FCA"/>
    <w:rsid w:val="00735761"/>
    <w:rsid w:val="0073582E"/>
    <w:rsid w:val="007359B9"/>
    <w:rsid w:val="007360C2"/>
    <w:rsid w:val="00736EC6"/>
    <w:rsid w:val="00737048"/>
    <w:rsid w:val="0073756B"/>
    <w:rsid w:val="00740958"/>
    <w:rsid w:val="00740B6C"/>
    <w:rsid w:val="00740F22"/>
    <w:rsid w:val="00740FB0"/>
    <w:rsid w:val="007414B4"/>
    <w:rsid w:val="00741C6B"/>
    <w:rsid w:val="00741CF0"/>
    <w:rsid w:val="00741F1A"/>
    <w:rsid w:val="00742B0F"/>
    <w:rsid w:val="00742E47"/>
    <w:rsid w:val="00742F30"/>
    <w:rsid w:val="007447DA"/>
    <w:rsid w:val="00744E10"/>
    <w:rsid w:val="00744F5E"/>
    <w:rsid w:val="00745004"/>
    <w:rsid w:val="007450F8"/>
    <w:rsid w:val="0074583B"/>
    <w:rsid w:val="00745EAA"/>
    <w:rsid w:val="00746679"/>
    <w:rsid w:val="0074696E"/>
    <w:rsid w:val="00746975"/>
    <w:rsid w:val="00747525"/>
    <w:rsid w:val="00747F49"/>
    <w:rsid w:val="00750079"/>
    <w:rsid w:val="00750135"/>
    <w:rsid w:val="0075023B"/>
    <w:rsid w:val="00750275"/>
    <w:rsid w:val="00750DD0"/>
    <w:rsid w:val="00750E36"/>
    <w:rsid w:val="00750EC2"/>
    <w:rsid w:val="00751500"/>
    <w:rsid w:val="007518AC"/>
    <w:rsid w:val="00752A1A"/>
    <w:rsid w:val="00752B28"/>
    <w:rsid w:val="0075326F"/>
    <w:rsid w:val="007541A9"/>
    <w:rsid w:val="007548ED"/>
    <w:rsid w:val="00754E36"/>
    <w:rsid w:val="0075543B"/>
    <w:rsid w:val="0075613A"/>
    <w:rsid w:val="007569C7"/>
    <w:rsid w:val="00756C92"/>
    <w:rsid w:val="00756DAC"/>
    <w:rsid w:val="00756E23"/>
    <w:rsid w:val="0076029B"/>
    <w:rsid w:val="007619CC"/>
    <w:rsid w:val="00762254"/>
    <w:rsid w:val="00762D30"/>
    <w:rsid w:val="00762E30"/>
    <w:rsid w:val="00762F7E"/>
    <w:rsid w:val="00763139"/>
    <w:rsid w:val="00763C8A"/>
    <w:rsid w:val="00764D31"/>
    <w:rsid w:val="0076527A"/>
    <w:rsid w:val="00765DB6"/>
    <w:rsid w:val="00765F7B"/>
    <w:rsid w:val="0076617A"/>
    <w:rsid w:val="00766589"/>
    <w:rsid w:val="00766865"/>
    <w:rsid w:val="00767403"/>
    <w:rsid w:val="00770A21"/>
    <w:rsid w:val="00770E67"/>
    <w:rsid w:val="00770F37"/>
    <w:rsid w:val="007711A0"/>
    <w:rsid w:val="007716E7"/>
    <w:rsid w:val="0077179E"/>
    <w:rsid w:val="00771A4F"/>
    <w:rsid w:val="007721B6"/>
    <w:rsid w:val="007729F8"/>
    <w:rsid w:val="00772B29"/>
    <w:rsid w:val="00772D5E"/>
    <w:rsid w:val="0077343A"/>
    <w:rsid w:val="007735FF"/>
    <w:rsid w:val="00774122"/>
    <w:rsid w:val="007745F2"/>
    <w:rsid w:val="0077463E"/>
    <w:rsid w:val="007750DE"/>
    <w:rsid w:val="00775B3C"/>
    <w:rsid w:val="00776928"/>
    <w:rsid w:val="00776DB0"/>
    <w:rsid w:val="00776E0F"/>
    <w:rsid w:val="007774B1"/>
    <w:rsid w:val="007775BE"/>
    <w:rsid w:val="007779E0"/>
    <w:rsid w:val="00777BE1"/>
    <w:rsid w:val="0078010E"/>
    <w:rsid w:val="00780940"/>
    <w:rsid w:val="00780AA7"/>
    <w:rsid w:val="0078120D"/>
    <w:rsid w:val="00781C51"/>
    <w:rsid w:val="0078207E"/>
    <w:rsid w:val="007833D8"/>
    <w:rsid w:val="007836FA"/>
    <w:rsid w:val="00783711"/>
    <w:rsid w:val="00783754"/>
    <w:rsid w:val="00783F57"/>
    <w:rsid w:val="00784A7C"/>
    <w:rsid w:val="007852F9"/>
    <w:rsid w:val="007854CB"/>
    <w:rsid w:val="00785677"/>
    <w:rsid w:val="00785A20"/>
    <w:rsid w:val="0078696C"/>
    <w:rsid w:val="00786A19"/>
    <w:rsid w:val="00786CC2"/>
    <w:rsid w:val="00786E14"/>
    <w:rsid w:val="00786F16"/>
    <w:rsid w:val="00787086"/>
    <w:rsid w:val="00787776"/>
    <w:rsid w:val="00787FC2"/>
    <w:rsid w:val="00790687"/>
    <w:rsid w:val="00790B33"/>
    <w:rsid w:val="007914D1"/>
    <w:rsid w:val="00791BD7"/>
    <w:rsid w:val="00791DEA"/>
    <w:rsid w:val="007928BB"/>
    <w:rsid w:val="00792A88"/>
    <w:rsid w:val="00792E75"/>
    <w:rsid w:val="007932B7"/>
    <w:rsid w:val="007933F7"/>
    <w:rsid w:val="007935F6"/>
    <w:rsid w:val="0079435D"/>
    <w:rsid w:val="00794B6A"/>
    <w:rsid w:val="00794DB3"/>
    <w:rsid w:val="00794E0A"/>
    <w:rsid w:val="0079616D"/>
    <w:rsid w:val="007961ED"/>
    <w:rsid w:val="00796C26"/>
    <w:rsid w:val="00796E20"/>
    <w:rsid w:val="00796E44"/>
    <w:rsid w:val="007979C9"/>
    <w:rsid w:val="00797B66"/>
    <w:rsid w:val="00797C32"/>
    <w:rsid w:val="00797F9E"/>
    <w:rsid w:val="007A0138"/>
    <w:rsid w:val="007A0FCC"/>
    <w:rsid w:val="007A11E8"/>
    <w:rsid w:val="007A1B0E"/>
    <w:rsid w:val="007A1C33"/>
    <w:rsid w:val="007A1E19"/>
    <w:rsid w:val="007A2C6A"/>
    <w:rsid w:val="007A3515"/>
    <w:rsid w:val="007A36E1"/>
    <w:rsid w:val="007A4A6F"/>
    <w:rsid w:val="007A73D6"/>
    <w:rsid w:val="007A76D4"/>
    <w:rsid w:val="007A76FE"/>
    <w:rsid w:val="007A7E28"/>
    <w:rsid w:val="007B0914"/>
    <w:rsid w:val="007B0D71"/>
    <w:rsid w:val="007B10FA"/>
    <w:rsid w:val="007B1374"/>
    <w:rsid w:val="007B1608"/>
    <w:rsid w:val="007B1EC6"/>
    <w:rsid w:val="007B1F16"/>
    <w:rsid w:val="007B2F95"/>
    <w:rsid w:val="007B32E5"/>
    <w:rsid w:val="007B394A"/>
    <w:rsid w:val="007B39F4"/>
    <w:rsid w:val="007B3DB9"/>
    <w:rsid w:val="007B411E"/>
    <w:rsid w:val="007B4346"/>
    <w:rsid w:val="007B460D"/>
    <w:rsid w:val="007B589F"/>
    <w:rsid w:val="007B5A73"/>
    <w:rsid w:val="007B5FC0"/>
    <w:rsid w:val="007B60A5"/>
    <w:rsid w:val="007B6186"/>
    <w:rsid w:val="007B6D37"/>
    <w:rsid w:val="007B6E23"/>
    <w:rsid w:val="007B6F57"/>
    <w:rsid w:val="007B73BC"/>
    <w:rsid w:val="007B77CC"/>
    <w:rsid w:val="007B7B10"/>
    <w:rsid w:val="007C0113"/>
    <w:rsid w:val="007C01DE"/>
    <w:rsid w:val="007C024D"/>
    <w:rsid w:val="007C0742"/>
    <w:rsid w:val="007C0763"/>
    <w:rsid w:val="007C108B"/>
    <w:rsid w:val="007C110C"/>
    <w:rsid w:val="007C1838"/>
    <w:rsid w:val="007C20B9"/>
    <w:rsid w:val="007C2BD3"/>
    <w:rsid w:val="007C32F6"/>
    <w:rsid w:val="007C3AEB"/>
    <w:rsid w:val="007C3BE4"/>
    <w:rsid w:val="007C3DDC"/>
    <w:rsid w:val="007C42C0"/>
    <w:rsid w:val="007C496C"/>
    <w:rsid w:val="007C4AB3"/>
    <w:rsid w:val="007C541A"/>
    <w:rsid w:val="007C5925"/>
    <w:rsid w:val="007C5B88"/>
    <w:rsid w:val="007C5C75"/>
    <w:rsid w:val="007C6247"/>
    <w:rsid w:val="007C62A9"/>
    <w:rsid w:val="007C643A"/>
    <w:rsid w:val="007C66FD"/>
    <w:rsid w:val="007C693D"/>
    <w:rsid w:val="007C6B83"/>
    <w:rsid w:val="007C6C76"/>
    <w:rsid w:val="007C6C7D"/>
    <w:rsid w:val="007C7301"/>
    <w:rsid w:val="007C7859"/>
    <w:rsid w:val="007C7CCC"/>
    <w:rsid w:val="007C7F28"/>
    <w:rsid w:val="007D0290"/>
    <w:rsid w:val="007D0CC8"/>
    <w:rsid w:val="007D0F78"/>
    <w:rsid w:val="007D10FD"/>
    <w:rsid w:val="007D11AE"/>
    <w:rsid w:val="007D1354"/>
    <w:rsid w:val="007D1466"/>
    <w:rsid w:val="007D1489"/>
    <w:rsid w:val="007D2023"/>
    <w:rsid w:val="007D2891"/>
    <w:rsid w:val="007D2B6C"/>
    <w:rsid w:val="007D2BDE"/>
    <w:rsid w:val="007D2FB6"/>
    <w:rsid w:val="007D317E"/>
    <w:rsid w:val="007D42A3"/>
    <w:rsid w:val="007D49EB"/>
    <w:rsid w:val="007D4C3D"/>
    <w:rsid w:val="007D4F22"/>
    <w:rsid w:val="007D52AC"/>
    <w:rsid w:val="007D57D4"/>
    <w:rsid w:val="007D5E1C"/>
    <w:rsid w:val="007D620C"/>
    <w:rsid w:val="007D667E"/>
    <w:rsid w:val="007D7026"/>
    <w:rsid w:val="007D7071"/>
    <w:rsid w:val="007D7389"/>
    <w:rsid w:val="007D7717"/>
    <w:rsid w:val="007D77E5"/>
    <w:rsid w:val="007E0060"/>
    <w:rsid w:val="007E04BA"/>
    <w:rsid w:val="007E0BFC"/>
    <w:rsid w:val="007E0C82"/>
    <w:rsid w:val="007E0DE2"/>
    <w:rsid w:val="007E0F07"/>
    <w:rsid w:val="007E102E"/>
    <w:rsid w:val="007E1227"/>
    <w:rsid w:val="007E2058"/>
    <w:rsid w:val="007E228C"/>
    <w:rsid w:val="007E2293"/>
    <w:rsid w:val="007E22D6"/>
    <w:rsid w:val="007E2715"/>
    <w:rsid w:val="007E2882"/>
    <w:rsid w:val="007E35D8"/>
    <w:rsid w:val="007E3788"/>
    <w:rsid w:val="007E3B98"/>
    <w:rsid w:val="007E417A"/>
    <w:rsid w:val="007E424E"/>
    <w:rsid w:val="007E4AEA"/>
    <w:rsid w:val="007E5129"/>
    <w:rsid w:val="007E5519"/>
    <w:rsid w:val="007E5DBD"/>
    <w:rsid w:val="007E61DE"/>
    <w:rsid w:val="007E6704"/>
    <w:rsid w:val="007E69CD"/>
    <w:rsid w:val="007E6A75"/>
    <w:rsid w:val="007E71DD"/>
    <w:rsid w:val="007E731A"/>
    <w:rsid w:val="007E744C"/>
    <w:rsid w:val="007E785A"/>
    <w:rsid w:val="007E7B00"/>
    <w:rsid w:val="007E7DC3"/>
    <w:rsid w:val="007F0D44"/>
    <w:rsid w:val="007F117B"/>
    <w:rsid w:val="007F18EE"/>
    <w:rsid w:val="007F1C05"/>
    <w:rsid w:val="007F1E8B"/>
    <w:rsid w:val="007F1F9B"/>
    <w:rsid w:val="007F2F58"/>
    <w:rsid w:val="007F31B6"/>
    <w:rsid w:val="007F4B86"/>
    <w:rsid w:val="007F4D11"/>
    <w:rsid w:val="007F546C"/>
    <w:rsid w:val="007F59F4"/>
    <w:rsid w:val="007F624E"/>
    <w:rsid w:val="007F625F"/>
    <w:rsid w:val="007F665E"/>
    <w:rsid w:val="007F6699"/>
    <w:rsid w:val="007F67C0"/>
    <w:rsid w:val="007F70CF"/>
    <w:rsid w:val="007F71B6"/>
    <w:rsid w:val="007F7FD4"/>
    <w:rsid w:val="00800412"/>
    <w:rsid w:val="008007D0"/>
    <w:rsid w:val="00801187"/>
    <w:rsid w:val="00801DD5"/>
    <w:rsid w:val="00801F88"/>
    <w:rsid w:val="0080238A"/>
    <w:rsid w:val="00802452"/>
    <w:rsid w:val="00802C1E"/>
    <w:rsid w:val="00803A6E"/>
    <w:rsid w:val="00804373"/>
    <w:rsid w:val="008043E9"/>
    <w:rsid w:val="00804BD0"/>
    <w:rsid w:val="00804EFE"/>
    <w:rsid w:val="0080501E"/>
    <w:rsid w:val="008054E6"/>
    <w:rsid w:val="0080587B"/>
    <w:rsid w:val="00805A0E"/>
    <w:rsid w:val="00806468"/>
    <w:rsid w:val="008104EA"/>
    <w:rsid w:val="008105E2"/>
    <w:rsid w:val="00810C53"/>
    <w:rsid w:val="008119CA"/>
    <w:rsid w:val="00811F40"/>
    <w:rsid w:val="00812165"/>
    <w:rsid w:val="008122F6"/>
    <w:rsid w:val="008126ED"/>
    <w:rsid w:val="008130C4"/>
    <w:rsid w:val="0081375D"/>
    <w:rsid w:val="008138F8"/>
    <w:rsid w:val="00813974"/>
    <w:rsid w:val="0081405A"/>
    <w:rsid w:val="008140A0"/>
    <w:rsid w:val="00814628"/>
    <w:rsid w:val="00814836"/>
    <w:rsid w:val="008155F0"/>
    <w:rsid w:val="00816735"/>
    <w:rsid w:val="00816CB0"/>
    <w:rsid w:val="00816D0D"/>
    <w:rsid w:val="00816FE1"/>
    <w:rsid w:val="008170EC"/>
    <w:rsid w:val="00817687"/>
    <w:rsid w:val="008200ED"/>
    <w:rsid w:val="00820130"/>
    <w:rsid w:val="00820141"/>
    <w:rsid w:val="0082094B"/>
    <w:rsid w:val="00820BA6"/>
    <w:rsid w:val="00820E0C"/>
    <w:rsid w:val="00820EA2"/>
    <w:rsid w:val="008213F0"/>
    <w:rsid w:val="008217B0"/>
    <w:rsid w:val="00821B82"/>
    <w:rsid w:val="00823275"/>
    <w:rsid w:val="0082366F"/>
    <w:rsid w:val="0082396C"/>
    <w:rsid w:val="0082441D"/>
    <w:rsid w:val="0082551A"/>
    <w:rsid w:val="00825B84"/>
    <w:rsid w:val="00825FA9"/>
    <w:rsid w:val="0082605C"/>
    <w:rsid w:val="008260FF"/>
    <w:rsid w:val="00826780"/>
    <w:rsid w:val="00826D4C"/>
    <w:rsid w:val="008272B4"/>
    <w:rsid w:val="008279BE"/>
    <w:rsid w:val="00830708"/>
    <w:rsid w:val="00830B87"/>
    <w:rsid w:val="00830DE9"/>
    <w:rsid w:val="0083116D"/>
    <w:rsid w:val="008317D2"/>
    <w:rsid w:val="00831B8C"/>
    <w:rsid w:val="00832DCB"/>
    <w:rsid w:val="008330EF"/>
    <w:rsid w:val="008338A2"/>
    <w:rsid w:val="008353B3"/>
    <w:rsid w:val="008356DD"/>
    <w:rsid w:val="00835912"/>
    <w:rsid w:val="00835FAF"/>
    <w:rsid w:val="00836483"/>
    <w:rsid w:val="008368AD"/>
    <w:rsid w:val="0083768E"/>
    <w:rsid w:val="008406C9"/>
    <w:rsid w:val="00840719"/>
    <w:rsid w:val="0084079A"/>
    <w:rsid w:val="00840C56"/>
    <w:rsid w:val="00840E4B"/>
    <w:rsid w:val="00840E55"/>
    <w:rsid w:val="00841514"/>
    <w:rsid w:val="0084181C"/>
    <w:rsid w:val="00841AA9"/>
    <w:rsid w:val="008420DF"/>
    <w:rsid w:val="008421EF"/>
    <w:rsid w:val="00842668"/>
    <w:rsid w:val="00842814"/>
    <w:rsid w:val="008428A4"/>
    <w:rsid w:val="00842B4A"/>
    <w:rsid w:val="00843ECE"/>
    <w:rsid w:val="008440F1"/>
    <w:rsid w:val="008446A5"/>
    <w:rsid w:val="00844940"/>
    <w:rsid w:val="00844AA8"/>
    <w:rsid w:val="00844EA6"/>
    <w:rsid w:val="00845356"/>
    <w:rsid w:val="00845654"/>
    <w:rsid w:val="00845AC5"/>
    <w:rsid w:val="00845ADE"/>
    <w:rsid w:val="00846607"/>
    <w:rsid w:val="00847204"/>
    <w:rsid w:val="008474FE"/>
    <w:rsid w:val="00847548"/>
    <w:rsid w:val="00847CF8"/>
    <w:rsid w:val="00847F71"/>
    <w:rsid w:val="00850060"/>
    <w:rsid w:val="00850070"/>
    <w:rsid w:val="0085015C"/>
    <w:rsid w:val="008511D6"/>
    <w:rsid w:val="00851228"/>
    <w:rsid w:val="008533E5"/>
    <w:rsid w:val="008537F1"/>
    <w:rsid w:val="00853EE4"/>
    <w:rsid w:val="008546CA"/>
    <w:rsid w:val="00854CE0"/>
    <w:rsid w:val="0085524B"/>
    <w:rsid w:val="008554DA"/>
    <w:rsid w:val="00855535"/>
    <w:rsid w:val="00855920"/>
    <w:rsid w:val="00855ACA"/>
    <w:rsid w:val="00855B8C"/>
    <w:rsid w:val="00855F23"/>
    <w:rsid w:val="0085667B"/>
    <w:rsid w:val="0085681A"/>
    <w:rsid w:val="00856DA1"/>
    <w:rsid w:val="00857088"/>
    <w:rsid w:val="0085731B"/>
    <w:rsid w:val="008573A9"/>
    <w:rsid w:val="00857C5A"/>
    <w:rsid w:val="00857E2D"/>
    <w:rsid w:val="00860888"/>
    <w:rsid w:val="00860DEF"/>
    <w:rsid w:val="00860F27"/>
    <w:rsid w:val="00861038"/>
    <w:rsid w:val="00861268"/>
    <w:rsid w:val="00861300"/>
    <w:rsid w:val="00861B5E"/>
    <w:rsid w:val="0086255E"/>
    <w:rsid w:val="00862640"/>
    <w:rsid w:val="008629FF"/>
    <w:rsid w:val="00862E94"/>
    <w:rsid w:val="008633F0"/>
    <w:rsid w:val="00863C86"/>
    <w:rsid w:val="008646DF"/>
    <w:rsid w:val="00864AF2"/>
    <w:rsid w:val="00865155"/>
    <w:rsid w:val="008652EA"/>
    <w:rsid w:val="00865993"/>
    <w:rsid w:val="008660A4"/>
    <w:rsid w:val="00866E93"/>
    <w:rsid w:val="0086711A"/>
    <w:rsid w:val="00867D1A"/>
    <w:rsid w:val="00867D9D"/>
    <w:rsid w:val="00870047"/>
    <w:rsid w:val="00871B77"/>
    <w:rsid w:val="0087204C"/>
    <w:rsid w:val="0087267A"/>
    <w:rsid w:val="00872E0A"/>
    <w:rsid w:val="0087349C"/>
    <w:rsid w:val="0087355F"/>
    <w:rsid w:val="00873594"/>
    <w:rsid w:val="00873B88"/>
    <w:rsid w:val="00873B9B"/>
    <w:rsid w:val="00873F53"/>
    <w:rsid w:val="00874343"/>
    <w:rsid w:val="00874C24"/>
    <w:rsid w:val="00874DA9"/>
    <w:rsid w:val="00875285"/>
    <w:rsid w:val="00875FDC"/>
    <w:rsid w:val="00876038"/>
    <w:rsid w:val="008762BE"/>
    <w:rsid w:val="00876459"/>
    <w:rsid w:val="0087694D"/>
    <w:rsid w:val="00876AF2"/>
    <w:rsid w:val="008774EE"/>
    <w:rsid w:val="00877BD7"/>
    <w:rsid w:val="00877E2A"/>
    <w:rsid w:val="008805E4"/>
    <w:rsid w:val="00880633"/>
    <w:rsid w:val="00880F07"/>
    <w:rsid w:val="00881003"/>
    <w:rsid w:val="008815B8"/>
    <w:rsid w:val="008819BB"/>
    <w:rsid w:val="00881C60"/>
    <w:rsid w:val="008822E3"/>
    <w:rsid w:val="00882CF8"/>
    <w:rsid w:val="00883627"/>
    <w:rsid w:val="00883776"/>
    <w:rsid w:val="00883AB8"/>
    <w:rsid w:val="00884B62"/>
    <w:rsid w:val="0088529C"/>
    <w:rsid w:val="00885438"/>
    <w:rsid w:val="0088549C"/>
    <w:rsid w:val="00886D19"/>
    <w:rsid w:val="0088743C"/>
    <w:rsid w:val="00887903"/>
    <w:rsid w:val="00887F03"/>
    <w:rsid w:val="00890FB3"/>
    <w:rsid w:val="00891F38"/>
    <w:rsid w:val="0089269B"/>
    <w:rsid w:val="0089270A"/>
    <w:rsid w:val="00892760"/>
    <w:rsid w:val="0089289D"/>
    <w:rsid w:val="00892ED3"/>
    <w:rsid w:val="008933DE"/>
    <w:rsid w:val="008936B9"/>
    <w:rsid w:val="00893AF6"/>
    <w:rsid w:val="00894122"/>
    <w:rsid w:val="008945CC"/>
    <w:rsid w:val="00894714"/>
    <w:rsid w:val="0089478B"/>
    <w:rsid w:val="0089493B"/>
    <w:rsid w:val="00894BC4"/>
    <w:rsid w:val="00894CCB"/>
    <w:rsid w:val="00894E97"/>
    <w:rsid w:val="00895ADC"/>
    <w:rsid w:val="00896320"/>
    <w:rsid w:val="00896509"/>
    <w:rsid w:val="00896796"/>
    <w:rsid w:val="008968FB"/>
    <w:rsid w:val="0089790B"/>
    <w:rsid w:val="008A0FB3"/>
    <w:rsid w:val="008A1067"/>
    <w:rsid w:val="008A1A22"/>
    <w:rsid w:val="008A2479"/>
    <w:rsid w:val="008A28A8"/>
    <w:rsid w:val="008A2968"/>
    <w:rsid w:val="008A300F"/>
    <w:rsid w:val="008A3157"/>
    <w:rsid w:val="008A35A1"/>
    <w:rsid w:val="008A3983"/>
    <w:rsid w:val="008A39AE"/>
    <w:rsid w:val="008A41E0"/>
    <w:rsid w:val="008A436B"/>
    <w:rsid w:val="008A5226"/>
    <w:rsid w:val="008A5B32"/>
    <w:rsid w:val="008A5DE1"/>
    <w:rsid w:val="008A60F5"/>
    <w:rsid w:val="008A62B9"/>
    <w:rsid w:val="008A6B6A"/>
    <w:rsid w:val="008A6F1F"/>
    <w:rsid w:val="008A6FBD"/>
    <w:rsid w:val="008A724C"/>
    <w:rsid w:val="008A7F53"/>
    <w:rsid w:val="008B0195"/>
    <w:rsid w:val="008B06E2"/>
    <w:rsid w:val="008B0B71"/>
    <w:rsid w:val="008B0D7F"/>
    <w:rsid w:val="008B1D6B"/>
    <w:rsid w:val="008B25B7"/>
    <w:rsid w:val="008B2848"/>
    <w:rsid w:val="008B2B44"/>
    <w:rsid w:val="008B2BDE"/>
    <w:rsid w:val="008B2EE4"/>
    <w:rsid w:val="008B3143"/>
    <w:rsid w:val="008B36CD"/>
    <w:rsid w:val="008B3920"/>
    <w:rsid w:val="008B3CF9"/>
    <w:rsid w:val="008B406F"/>
    <w:rsid w:val="008B4321"/>
    <w:rsid w:val="008B4357"/>
    <w:rsid w:val="008B460E"/>
    <w:rsid w:val="008B4D3D"/>
    <w:rsid w:val="008B4E92"/>
    <w:rsid w:val="008B4F16"/>
    <w:rsid w:val="008B52C8"/>
    <w:rsid w:val="008B56B0"/>
    <w:rsid w:val="008B57C7"/>
    <w:rsid w:val="008B5963"/>
    <w:rsid w:val="008B5996"/>
    <w:rsid w:val="008B5DE4"/>
    <w:rsid w:val="008B5DEA"/>
    <w:rsid w:val="008B6761"/>
    <w:rsid w:val="008B6BD8"/>
    <w:rsid w:val="008B6EE7"/>
    <w:rsid w:val="008B7F2E"/>
    <w:rsid w:val="008C0443"/>
    <w:rsid w:val="008C04B0"/>
    <w:rsid w:val="008C1015"/>
    <w:rsid w:val="008C1434"/>
    <w:rsid w:val="008C1CA0"/>
    <w:rsid w:val="008C1CC6"/>
    <w:rsid w:val="008C22AA"/>
    <w:rsid w:val="008C2350"/>
    <w:rsid w:val="008C2A3F"/>
    <w:rsid w:val="008C2ED7"/>
    <w:rsid w:val="008C2F92"/>
    <w:rsid w:val="008C3199"/>
    <w:rsid w:val="008C3697"/>
    <w:rsid w:val="008C482D"/>
    <w:rsid w:val="008C49AC"/>
    <w:rsid w:val="008C5557"/>
    <w:rsid w:val="008C589D"/>
    <w:rsid w:val="008C6904"/>
    <w:rsid w:val="008C6D51"/>
    <w:rsid w:val="008C7860"/>
    <w:rsid w:val="008C7AD7"/>
    <w:rsid w:val="008D0174"/>
    <w:rsid w:val="008D05C8"/>
    <w:rsid w:val="008D09C9"/>
    <w:rsid w:val="008D0A66"/>
    <w:rsid w:val="008D0E2A"/>
    <w:rsid w:val="008D1821"/>
    <w:rsid w:val="008D2198"/>
    <w:rsid w:val="008D27CC"/>
    <w:rsid w:val="008D2846"/>
    <w:rsid w:val="008D2BB9"/>
    <w:rsid w:val="008D2C97"/>
    <w:rsid w:val="008D32D9"/>
    <w:rsid w:val="008D3C7B"/>
    <w:rsid w:val="008D4236"/>
    <w:rsid w:val="008D462F"/>
    <w:rsid w:val="008D4B34"/>
    <w:rsid w:val="008D512B"/>
    <w:rsid w:val="008D5361"/>
    <w:rsid w:val="008D5C2C"/>
    <w:rsid w:val="008D623A"/>
    <w:rsid w:val="008D691E"/>
    <w:rsid w:val="008D6DCF"/>
    <w:rsid w:val="008D6F00"/>
    <w:rsid w:val="008D7368"/>
    <w:rsid w:val="008D776D"/>
    <w:rsid w:val="008D7795"/>
    <w:rsid w:val="008D7C99"/>
    <w:rsid w:val="008D7DD8"/>
    <w:rsid w:val="008D7F48"/>
    <w:rsid w:val="008E0171"/>
    <w:rsid w:val="008E0258"/>
    <w:rsid w:val="008E07B6"/>
    <w:rsid w:val="008E09BF"/>
    <w:rsid w:val="008E1029"/>
    <w:rsid w:val="008E1851"/>
    <w:rsid w:val="008E297D"/>
    <w:rsid w:val="008E35A2"/>
    <w:rsid w:val="008E3DE9"/>
    <w:rsid w:val="008E4376"/>
    <w:rsid w:val="008E4525"/>
    <w:rsid w:val="008E472E"/>
    <w:rsid w:val="008E5381"/>
    <w:rsid w:val="008E5E3C"/>
    <w:rsid w:val="008E6149"/>
    <w:rsid w:val="008E701C"/>
    <w:rsid w:val="008E703D"/>
    <w:rsid w:val="008E70B9"/>
    <w:rsid w:val="008E72C1"/>
    <w:rsid w:val="008E7908"/>
    <w:rsid w:val="008E7A0A"/>
    <w:rsid w:val="008E7B49"/>
    <w:rsid w:val="008E7F72"/>
    <w:rsid w:val="008F00C3"/>
    <w:rsid w:val="008F0241"/>
    <w:rsid w:val="008F0C18"/>
    <w:rsid w:val="008F0D40"/>
    <w:rsid w:val="008F0F66"/>
    <w:rsid w:val="008F111F"/>
    <w:rsid w:val="008F1305"/>
    <w:rsid w:val="008F205B"/>
    <w:rsid w:val="008F326A"/>
    <w:rsid w:val="008F3D75"/>
    <w:rsid w:val="008F3E39"/>
    <w:rsid w:val="008F4226"/>
    <w:rsid w:val="008F449C"/>
    <w:rsid w:val="008F48A5"/>
    <w:rsid w:val="008F4BD5"/>
    <w:rsid w:val="008F4F93"/>
    <w:rsid w:val="008F517D"/>
    <w:rsid w:val="008F59F6"/>
    <w:rsid w:val="008F5CFD"/>
    <w:rsid w:val="008F5FEE"/>
    <w:rsid w:val="008F6822"/>
    <w:rsid w:val="008F692A"/>
    <w:rsid w:val="008F6FAA"/>
    <w:rsid w:val="008F7115"/>
    <w:rsid w:val="008F7824"/>
    <w:rsid w:val="008F7C5B"/>
    <w:rsid w:val="008F7CA4"/>
    <w:rsid w:val="00900719"/>
    <w:rsid w:val="0090075F"/>
    <w:rsid w:val="009016CE"/>
    <w:rsid w:val="00901728"/>
    <w:rsid w:val="009017AC"/>
    <w:rsid w:val="009024F7"/>
    <w:rsid w:val="009026E9"/>
    <w:rsid w:val="00902A9A"/>
    <w:rsid w:val="00902E71"/>
    <w:rsid w:val="009031B3"/>
    <w:rsid w:val="009034D2"/>
    <w:rsid w:val="00903592"/>
    <w:rsid w:val="00903815"/>
    <w:rsid w:val="0090412A"/>
    <w:rsid w:val="0090440C"/>
    <w:rsid w:val="00904A1C"/>
    <w:rsid w:val="00904AB4"/>
    <w:rsid w:val="00905030"/>
    <w:rsid w:val="00905DFE"/>
    <w:rsid w:val="009061AB"/>
    <w:rsid w:val="00906490"/>
    <w:rsid w:val="00907035"/>
    <w:rsid w:val="00907170"/>
    <w:rsid w:val="00907B0F"/>
    <w:rsid w:val="00907EC6"/>
    <w:rsid w:val="00910560"/>
    <w:rsid w:val="00910AE6"/>
    <w:rsid w:val="009111B2"/>
    <w:rsid w:val="00911218"/>
    <w:rsid w:val="00911386"/>
    <w:rsid w:val="0091193E"/>
    <w:rsid w:val="00911C42"/>
    <w:rsid w:val="00912126"/>
    <w:rsid w:val="009122C1"/>
    <w:rsid w:val="00912607"/>
    <w:rsid w:val="00912A85"/>
    <w:rsid w:val="00912CE3"/>
    <w:rsid w:val="00912EFB"/>
    <w:rsid w:val="009134AB"/>
    <w:rsid w:val="00914193"/>
    <w:rsid w:val="0091440A"/>
    <w:rsid w:val="0091447F"/>
    <w:rsid w:val="009146AD"/>
    <w:rsid w:val="00914798"/>
    <w:rsid w:val="00914BBE"/>
    <w:rsid w:val="00914C8D"/>
    <w:rsid w:val="009151F5"/>
    <w:rsid w:val="009155F3"/>
    <w:rsid w:val="0091560B"/>
    <w:rsid w:val="00915B3C"/>
    <w:rsid w:val="00915E57"/>
    <w:rsid w:val="00917090"/>
    <w:rsid w:val="00921950"/>
    <w:rsid w:val="00921CF2"/>
    <w:rsid w:val="009220CA"/>
    <w:rsid w:val="00922BEF"/>
    <w:rsid w:val="009239B6"/>
    <w:rsid w:val="009246CA"/>
    <w:rsid w:val="00924AE1"/>
    <w:rsid w:val="0092507F"/>
    <w:rsid w:val="00925203"/>
    <w:rsid w:val="00925488"/>
    <w:rsid w:val="00925521"/>
    <w:rsid w:val="00925A45"/>
    <w:rsid w:val="00925C48"/>
    <w:rsid w:val="009260C3"/>
    <w:rsid w:val="0092616F"/>
    <w:rsid w:val="009263AF"/>
    <w:rsid w:val="00926527"/>
    <w:rsid w:val="009269B1"/>
    <w:rsid w:val="0092724D"/>
    <w:rsid w:val="009272B3"/>
    <w:rsid w:val="009275A8"/>
    <w:rsid w:val="009275F6"/>
    <w:rsid w:val="00927C38"/>
    <w:rsid w:val="00927ED3"/>
    <w:rsid w:val="00927FF2"/>
    <w:rsid w:val="009300EC"/>
    <w:rsid w:val="00930D34"/>
    <w:rsid w:val="009311A2"/>
    <w:rsid w:val="0093124F"/>
    <w:rsid w:val="009315BE"/>
    <w:rsid w:val="00931F05"/>
    <w:rsid w:val="00932C8A"/>
    <w:rsid w:val="00932D0C"/>
    <w:rsid w:val="009331E7"/>
    <w:rsid w:val="0093338F"/>
    <w:rsid w:val="00933484"/>
    <w:rsid w:val="00933666"/>
    <w:rsid w:val="00933DD6"/>
    <w:rsid w:val="00934DF6"/>
    <w:rsid w:val="009355C5"/>
    <w:rsid w:val="00935861"/>
    <w:rsid w:val="009358EF"/>
    <w:rsid w:val="00935D73"/>
    <w:rsid w:val="00937BD9"/>
    <w:rsid w:val="00940BC1"/>
    <w:rsid w:val="0094141F"/>
    <w:rsid w:val="0094180C"/>
    <w:rsid w:val="009432E4"/>
    <w:rsid w:val="009436F1"/>
    <w:rsid w:val="00943A9C"/>
    <w:rsid w:val="00943E0F"/>
    <w:rsid w:val="009457A5"/>
    <w:rsid w:val="00945A5F"/>
    <w:rsid w:val="00946260"/>
    <w:rsid w:val="00946B04"/>
    <w:rsid w:val="009473E3"/>
    <w:rsid w:val="009476A0"/>
    <w:rsid w:val="00947DF2"/>
    <w:rsid w:val="00947E4B"/>
    <w:rsid w:val="009500BC"/>
    <w:rsid w:val="009506C6"/>
    <w:rsid w:val="00950A47"/>
    <w:rsid w:val="00950C7A"/>
    <w:rsid w:val="00950E2C"/>
    <w:rsid w:val="00951D50"/>
    <w:rsid w:val="009524A8"/>
    <w:rsid w:val="009525EB"/>
    <w:rsid w:val="00952EC7"/>
    <w:rsid w:val="00953707"/>
    <w:rsid w:val="00953C66"/>
    <w:rsid w:val="009541AC"/>
    <w:rsid w:val="0095470B"/>
    <w:rsid w:val="00954874"/>
    <w:rsid w:val="009560C3"/>
    <w:rsid w:val="0095615A"/>
    <w:rsid w:val="009566C0"/>
    <w:rsid w:val="00956CDA"/>
    <w:rsid w:val="0095748E"/>
    <w:rsid w:val="0095784E"/>
    <w:rsid w:val="0095785E"/>
    <w:rsid w:val="0095794B"/>
    <w:rsid w:val="00960059"/>
    <w:rsid w:val="0096113A"/>
    <w:rsid w:val="00961400"/>
    <w:rsid w:val="009619AB"/>
    <w:rsid w:val="00962345"/>
    <w:rsid w:val="0096236B"/>
    <w:rsid w:val="009628C4"/>
    <w:rsid w:val="00962A11"/>
    <w:rsid w:val="00962FDC"/>
    <w:rsid w:val="0096349D"/>
    <w:rsid w:val="00963528"/>
    <w:rsid w:val="00963646"/>
    <w:rsid w:val="0096387C"/>
    <w:rsid w:val="00964264"/>
    <w:rsid w:val="009643D9"/>
    <w:rsid w:val="009648DA"/>
    <w:rsid w:val="0096632D"/>
    <w:rsid w:val="00966BB1"/>
    <w:rsid w:val="00967532"/>
    <w:rsid w:val="009705C6"/>
    <w:rsid w:val="009718C7"/>
    <w:rsid w:val="00971EA8"/>
    <w:rsid w:val="00973F44"/>
    <w:rsid w:val="00973FA6"/>
    <w:rsid w:val="009746ED"/>
    <w:rsid w:val="009748A4"/>
    <w:rsid w:val="00974937"/>
    <w:rsid w:val="00974959"/>
    <w:rsid w:val="00974FA1"/>
    <w:rsid w:val="0097559F"/>
    <w:rsid w:val="009757B2"/>
    <w:rsid w:val="009760EE"/>
    <w:rsid w:val="00976D12"/>
    <w:rsid w:val="009771A0"/>
    <w:rsid w:val="0097720E"/>
    <w:rsid w:val="009774A3"/>
    <w:rsid w:val="0097761E"/>
    <w:rsid w:val="00977951"/>
    <w:rsid w:val="00977D5E"/>
    <w:rsid w:val="0098006B"/>
    <w:rsid w:val="00981AB9"/>
    <w:rsid w:val="00981AC6"/>
    <w:rsid w:val="00981E7F"/>
    <w:rsid w:val="00982197"/>
    <w:rsid w:val="00982454"/>
    <w:rsid w:val="00982522"/>
    <w:rsid w:val="0098273B"/>
    <w:rsid w:val="00982CF0"/>
    <w:rsid w:val="00983874"/>
    <w:rsid w:val="00984958"/>
    <w:rsid w:val="009853E1"/>
    <w:rsid w:val="00985826"/>
    <w:rsid w:val="009861A3"/>
    <w:rsid w:val="00986434"/>
    <w:rsid w:val="00986B2D"/>
    <w:rsid w:val="00986B92"/>
    <w:rsid w:val="00986E6B"/>
    <w:rsid w:val="00987FB3"/>
    <w:rsid w:val="00990032"/>
    <w:rsid w:val="00990961"/>
    <w:rsid w:val="00990B19"/>
    <w:rsid w:val="0099117B"/>
    <w:rsid w:val="0099153B"/>
    <w:rsid w:val="00991769"/>
    <w:rsid w:val="0099232C"/>
    <w:rsid w:val="00992A7E"/>
    <w:rsid w:val="00992DBB"/>
    <w:rsid w:val="009930E2"/>
    <w:rsid w:val="009939E8"/>
    <w:rsid w:val="00993A6C"/>
    <w:rsid w:val="00994386"/>
    <w:rsid w:val="00994BCB"/>
    <w:rsid w:val="00994DCF"/>
    <w:rsid w:val="0099508F"/>
    <w:rsid w:val="009956F7"/>
    <w:rsid w:val="009958A0"/>
    <w:rsid w:val="00996597"/>
    <w:rsid w:val="00996E8E"/>
    <w:rsid w:val="00997306"/>
    <w:rsid w:val="00997348"/>
    <w:rsid w:val="00997455"/>
    <w:rsid w:val="00997C1E"/>
    <w:rsid w:val="00997CDD"/>
    <w:rsid w:val="009A02F2"/>
    <w:rsid w:val="009A1348"/>
    <w:rsid w:val="009A13D8"/>
    <w:rsid w:val="009A1632"/>
    <w:rsid w:val="009A1A8E"/>
    <w:rsid w:val="009A1C9E"/>
    <w:rsid w:val="009A2716"/>
    <w:rsid w:val="009A279E"/>
    <w:rsid w:val="009A27BD"/>
    <w:rsid w:val="009A2B36"/>
    <w:rsid w:val="009A3015"/>
    <w:rsid w:val="009A3246"/>
    <w:rsid w:val="009A3490"/>
    <w:rsid w:val="009A3B00"/>
    <w:rsid w:val="009A3B16"/>
    <w:rsid w:val="009A3D53"/>
    <w:rsid w:val="009A3FC4"/>
    <w:rsid w:val="009A50AD"/>
    <w:rsid w:val="009A599A"/>
    <w:rsid w:val="009A5CCC"/>
    <w:rsid w:val="009A6489"/>
    <w:rsid w:val="009A64BB"/>
    <w:rsid w:val="009A660F"/>
    <w:rsid w:val="009A69BC"/>
    <w:rsid w:val="009A7342"/>
    <w:rsid w:val="009A784F"/>
    <w:rsid w:val="009B0616"/>
    <w:rsid w:val="009B0A6F"/>
    <w:rsid w:val="009B0A94"/>
    <w:rsid w:val="009B1551"/>
    <w:rsid w:val="009B1AD0"/>
    <w:rsid w:val="009B1F5E"/>
    <w:rsid w:val="009B212D"/>
    <w:rsid w:val="009B240C"/>
    <w:rsid w:val="009B2AE8"/>
    <w:rsid w:val="009B2D96"/>
    <w:rsid w:val="009B3546"/>
    <w:rsid w:val="009B3B5B"/>
    <w:rsid w:val="009B4E42"/>
    <w:rsid w:val="009B4F74"/>
    <w:rsid w:val="009B5731"/>
    <w:rsid w:val="009B59E9"/>
    <w:rsid w:val="009B6027"/>
    <w:rsid w:val="009B6DB9"/>
    <w:rsid w:val="009B6E80"/>
    <w:rsid w:val="009B6F4F"/>
    <w:rsid w:val="009B70AA"/>
    <w:rsid w:val="009B7265"/>
    <w:rsid w:val="009B76D8"/>
    <w:rsid w:val="009C0AFE"/>
    <w:rsid w:val="009C1848"/>
    <w:rsid w:val="009C18E2"/>
    <w:rsid w:val="009C1D6C"/>
    <w:rsid w:val="009C1E15"/>
    <w:rsid w:val="009C3F4A"/>
    <w:rsid w:val="009C3FCF"/>
    <w:rsid w:val="009C554E"/>
    <w:rsid w:val="009C57CA"/>
    <w:rsid w:val="009C5E77"/>
    <w:rsid w:val="009C6149"/>
    <w:rsid w:val="009C668C"/>
    <w:rsid w:val="009C6727"/>
    <w:rsid w:val="009C710F"/>
    <w:rsid w:val="009C72A0"/>
    <w:rsid w:val="009C7702"/>
    <w:rsid w:val="009C7A7E"/>
    <w:rsid w:val="009D02E8"/>
    <w:rsid w:val="009D0837"/>
    <w:rsid w:val="009D2404"/>
    <w:rsid w:val="009D2466"/>
    <w:rsid w:val="009D270D"/>
    <w:rsid w:val="009D3DDE"/>
    <w:rsid w:val="009D474B"/>
    <w:rsid w:val="009D4903"/>
    <w:rsid w:val="009D4911"/>
    <w:rsid w:val="009D4C0F"/>
    <w:rsid w:val="009D51D0"/>
    <w:rsid w:val="009D5602"/>
    <w:rsid w:val="009D6C14"/>
    <w:rsid w:val="009D70A4"/>
    <w:rsid w:val="009D7B14"/>
    <w:rsid w:val="009E0603"/>
    <w:rsid w:val="009E08D1"/>
    <w:rsid w:val="009E1234"/>
    <w:rsid w:val="009E12D0"/>
    <w:rsid w:val="009E1B95"/>
    <w:rsid w:val="009E240A"/>
    <w:rsid w:val="009E2605"/>
    <w:rsid w:val="009E2787"/>
    <w:rsid w:val="009E3629"/>
    <w:rsid w:val="009E474E"/>
    <w:rsid w:val="009E4786"/>
    <w:rsid w:val="009E496F"/>
    <w:rsid w:val="009E4B0D"/>
    <w:rsid w:val="009E4E38"/>
    <w:rsid w:val="009E4EBF"/>
    <w:rsid w:val="009E5250"/>
    <w:rsid w:val="009E5433"/>
    <w:rsid w:val="009E568C"/>
    <w:rsid w:val="009E674E"/>
    <w:rsid w:val="009E6F51"/>
    <w:rsid w:val="009E7007"/>
    <w:rsid w:val="009E7DFD"/>
    <w:rsid w:val="009E7F92"/>
    <w:rsid w:val="009F02A3"/>
    <w:rsid w:val="009F096D"/>
    <w:rsid w:val="009F0C73"/>
    <w:rsid w:val="009F12A0"/>
    <w:rsid w:val="009F1F57"/>
    <w:rsid w:val="009F1FFD"/>
    <w:rsid w:val="009F2394"/>
    <w:rsid w:val="009F24CB"/>
    <w:rsid w:val="009F25B0"/>
    <w:rsid w:val="009F2F27"/>
    <w:rsid w:val="009F34AA"/>
    <w:rsid w:val="009F4AAA"/>
    <w:rsid w:val="009F63B7"/>
    <w:rsid w:val="009F6419"/>
    <w:rsid w:val="009F6BCB"/>
    <w:rsid w:val="009F7716"/>
    <w:rsid w:val="009F7B78"/>
    <w:rsid w:val="009F7C7C"/>
    <w:rsid w:val="00A0057A"/>
    <w:rsid w:val="00A0086A"/>
    <w:rsid w:val="00A0137E"/>
    <w:rsid w:val="00A0142A"/>
    <w:rsid w:val="00A01875"/>
    <w:rsid w:val="00A029F9"/>
    <w:rsid w:val="00A02BBB"/>
    <w:rsid w:val="00A02DA7"/>
    <w:rsid w:val="00A02FA1"/>
    <w:rsid w:val="00A03695"/>
    <w:rsid w:val="00A0414A"/>
    <w:rsid w:val="00A0428F"/>
    <w:rsid w:val="00A04CCE"/>
    <w:rsid w:val="00A05255"/>
    <w:rsid w:val="00A0633D"/>
    <w:rsid w:val="00A06A9C"/>
    <w:rsid w:val="00A06D25"/>
    <w:rsid w:val="00A073C0"/>
    <w:rsid w:val="00A07421"/>
    <w:rsid w:val="00A076E8"/>
    <w:rsid w:val="00A0776B"/>
    <w:rsid w:val="00A07BB7"/>
    <w:rsid w:val="00A07E36"/>
    <w:rsid w:val="00A102B8"/>
    <w:rsid w:val="00A10D44"/>
    <w:rsid w:val="00A10FB9"/>
    <w:rsid w:val="00A11421"/>
    <w:rsid w:val="00A1147A"/>
    <w:rsid w:val="00A11ABD"/>
    <w:rsid w:val="00A12E96"/>
    <w:rsid w:val="00A12ED8"/>
    <w:rsid w:val="00A1389F"/>
    <w:rsid w:val="00A1499D"/>
    <w:rsid w:val="00A152CE"/>
    <w:rsid w:val="00A157B1"/>
    <w:rsid w:val="00A16028"/>
    <w:rsid w:val="00A1665A"/>
    <w:rsid w:val="00A16BD5"/>
    <w:rsid w:val="00A16D52"/>
    <w:rsid w:val="00A1790F"/>
    <w:rsid w:val="00A21654"/>
    <w:rsid w:val="00A2182A"/>
    <w:rsid w:val="00A22229"/>
    <w:rsid w:val="00A229DB"/>
    <w:rsid w:val="00A2395A"/>
    <w:rsid w:val="00A24442"/>
    <w:rsid w:val="00A26954"/>
    <w:rsid w:val="00A279B0"/>
    <w:rsid w:val="00A30058"/>
    <w:rsid w:val="00A30391"/>
    <w:rsid w:val="00A309BF"/>
    <w:rsid w:val="00A31777"/>
    <w:rsid w:val="00A31AE1"/>
    <w:rsid w:val="00A31AE6"/>
    <w:rsid w:val="00A31C42"/>
    <w:rsid w:val="00A31DA2"/>
    <w:rsid w:val="00A31DCD"/>
    <w:rsid w:val="00A3249F"/>
    <w:rsid w:val="00A32F6C"/>
    <w:rsid w:val="00A330BB"/>
    <w:rsid w:val="00A34004"/>
    <w:rsid w:val="00A352D2"/>
    <w:rsid w:val="00A35599"/>
    <w:rsid w:val="00A356FA"/>
    <w:rsid w:val="00A35D33"/>
    <w:rsid w:val="00A36859"/>
    <w:rsid w:val="00A370BA"/>
    <w:rsid w:val="00A37817"/>
    <w:rsid w:val="00A40941"/>
    <w:rsid w:val="00A40FB2"/>
    <w:rsid w:val="00A42DAA"/>
    <w:rsid w:val="00A4361B"/>
    <w:rsid w:val="00A438F0"/>
    <w:rsid w:val="00A438FE"/>
    <w:rsid w:val="00A44882"/>
    <w:rsid w:val="00A44D54"/>
    <w:rsid w:val="00A45125"/>
    <w:rsid w:val="00A45CD5"/>
    <w:rsid w:val="00A46321"/>
    <w:rsid w:val="00A46D99"/>
    <w:rsid w:val="00A47207"/>
    <w:rsid w:val="00A47DA7"/>
    <w:rsid w:val="00A5006D"/>
    <w:rsid w:val="00A501CC"/>
    <w:rsid w:val="00A51970"/>
    <w:rsid w:val="00A5219B"/>
    <w:rsid w:val="00A529AD"/>
    <w:rsid w:val="00A536A3"/>
    <w:rsid w:val="00A53731"/>
    <w:rsid w:val="00A54715"/>
    <w:rsid w:val="00A56A86"/>
    <w:rsid w:val="00A56A88"/>
    <w:rsid w:val="00A57342"/>
    <w:rsid w:val="00A5739E"/>
    <w:rsid w:val="00A57746"/>
    <w:rsid w:val="00A57D94"/>
    <w:rsid w:val="00A6061C"/>
    <w:rsid w:val="00A60A8B"/>
    <w:rsid w:val="00A61A88"/>
    <w:rsid w:val="00A61F0D"/>
    <w:rsid w:val="00A621FD"/>
    <w:rsid w:val="00A622FD"/>
    <w:rsid w:val="00A629AD"/>
    <w:rsid w:val="00A62D44"/>
    <w:rsid w:val="00A63224"/>
    <w:rsid w:val="00A63756"/>
    <w:rsid w:val="00A6387E"/>
    <w:rsid w:val="00A640A7"/>
    <w:rsid w:val="00A6416C"/>
    <w:rsid w:val="00A64966"/>
    <w:rsid w:val="00A657B9"/>
    <w:rsid w:val="00A65A59"/>
    <w:rsid w:val="00A65B8C"/>
    <w:rsid w:val="00A65EA8"/>
    <w:rsid w:val="00A65EAD"/>
    <w:rsid w:val="00A66176"/>
    <w:rsid w:val="00A66683"/>
    <w:rsid w:val="00A6695F"/>
    <w:rsid w:val="00A67127"/>
    <w:rsid w:val="00A67263"/>
    <w:rsid w:val="00A6751D"/>
    <w:rsid w:val="00A67CD3"/>
    <w:rsid w:val="00A703B2"/>
    <w:rsid w:val="00A70919"/>
    <w:rsid w:val="00A70952"/>
    <w:rsid w:val="00A70B5D"/>
    <w:rsid w:val="00A711D8"/>
    <w:rsid w:val="00A7161C"/>
    <w:rsid w:val="00A71670"/>
    <w:rsid w:val="00A718F0"/>
    <w:rsid w:val="00A720AC"/>
    <w:rsid w:val="00A72149"/>
    <w:rsid w:val="00A72FC6"/>
    <w:rsid w:val="00A7307E"/>
    <w:rsid w:val="00A7334C"/>
    <w:rsid w:val="00A73682"/>
    <w:rsid w:val="00A741DF"/>
    <w:rsid w:val="00A7442C"/>
    <w:rsid w:val="00A745DE"/>
    <w:rsid w:val="00A746B4"/>
    <w:rsid w:val="00A7563A"/>
    <w:rsid w:val="00A7588D"/>
    <w:rsid w:val="00A768D6"/>
    <w:rsid w:val="00A77343"/>
    <w:rsid w:val="00A77AA3"/>
    <w:rsid w:val="00A77FBD"/>
    <w:rsid w:val="00A8005C"/>
    <w:rsid w:val="00A8008D"/>
    <w:rsid w:val="00A80119"/>
    <w:rsid w:val="00A8047A"/>
    <w:rsid w:val="00A8079E"/>
    <w:rsid w:val="00A808CA"/>
    <w:rsid w:val="00A80E1F"/>
    <w:rsid w:val="00A81141"/>
    <w:rsid w:val="00A811CC"/>
    <w:rsid w:val="00A81485"/>
    <w:rsid w:val="00A8157D"/>
    <w:rsid w:val="00A81C84"/>
    <w:rsid w:val="00A8236D"/>
    <w:rsid w:val="00A82476"/>
    <w:rsid w:val="00A82CB1"/>
    <w:rsid w:val="00A8335E"/>
    <w:rsid w:val="00A841C3"/>
    <w:rsid w:val="00A844CF"/>
    <w:rsid w:val="00A84BE7"/>
    <w:rsid w:val="00A854EB"/>
    <w:rsid w:val="00A855D3"/>
    <w:rsid w:val="00A85BDF"/>
    <w:rsid w:val="00A86BD3"/>
    <w:rsid w:val="00A872E5"/>
    <w:rsid w:val="00A87351"/>
    <w:rsid w:val="00A874B0"/>
    <w:rsid w:val="00A901D5"/>
    <w:rsid w:val="00A90BC6"/>
    <w:rsid w:val="00A91406"/>
    <w:rsid w:val="00A91410"/>
    <w:rsid w:val="00A91625"/>
    <w:rsid w:val="00A92B67"/>
    <w:rsid w:val="00A92E0A"/>
    <w:rsid w:val="00A92F0F"/>
    <w:rsid w:val="00A9363A"/>
    <w:rsid w:val="00A93CA6"/>
    <w:rsid w:val="00A94FEF"/>
    <w:rsid w:val="00A953ED"/>
    <w:rsid w:val="00A95AC5"/>
    <w:rsid w:val="00A95E96"/>
    <w:rsid w:val="00A961B6"/>
    <w:rsid w:val="00A96A37"/>
    <w:rsid w:val="00A96E65"/>
    <w:rsid w:val="00A97C72"/>
    <w:rsid w:val="00AA01CA"/>
    <w:rsid w:val="00AA0652"/>
    <w:rsid w:val="00AA0EBE"/>
    <w:rsid w:val="00AA14B4"/>
    <w:rsid w:val="00AA1B0D"/>
    <w:rsid w:val="00AA20CF"/>
    <w:rsid w:val="00AA2536"/>
    <w:rsid w:val="00AA268E"/>
    <w:rsid w:val="00AA2833"/>
    <w:rsid w:val="00AA29F6"/>
    <w:rsid w:val="00AA2BED"/>
    <w:rsid w:val="00AA310B"/>
    <w:rsid w:val="00AA34B7"/>
    <w:rsid w:val="00AA3735"/>
    <w:rsid w:val="00AA3DA8"/>
    <w:rsid w:val="00AA5351"/>
    <w:rsid w:val="00AA6092"/>
    <w:rsid w:val="00AA63D4"/>
    <w:rsid w:val="00AA6548"/>
    <w:rsid w:val="00AA6AA6"/>
    <w:rsid w:val="00AA75FB"/>
    <w:rsid w:val="00AA7844"/>
    <w:rsid w:val="00AA7A52"/>
    <w:rsid w:val="00AA7FE0"/>
    <w:rsid w:val="00AB00C9"/>
    <w:rsid w:val="00AB06E8"/>
    <w:rsid w:val="00AB0895"/>
    <w:rsid w:val="00AB0AF6"/>
    <w:rsid w:val="00AB0B1D"/>
    <w:rsid w:val="00AB0C11"/>
    <w:rsid w:val="00AB1CD3"/>
    <w:rsid w:val="00AB2923"/>
    <w:rsid w:val="00AB2BD8"/>
    <w:rsid w:val="00AB337F"/>
    <w:rsid w:val="00AB352F"/>
    <w:rsid w:val="00AB3563"/>
    <w:rsid w:val="00AB3724"/>
    <w:rsid w:val="00AB3A67"/>
    <w:rsid w:val="00AB3BDD"/>
    <w:rsid w:val="00AB41A3"/>
    <w:rsid w:val="00AB4458"/>
    <w:rsid w:val="00AB4588"/>
    <w:rsid w:val="00AB4B14"/>
    <w:rsid w:val="00AB7314"/>
    <w:rsid w:val="00AB79AC"/>
    <w:rsid w:val="00AB7F77"/>
    <w:rsid w:val="00AC02E3"/>
    <w:rsid w:val="00AC0CD1"/>
    <w:rsid w:val="00AC1CB7"/>
    <w:rsid w:val="00AC1E04"/>
    <w:rsid w:val="00AC1E46"/>
    <w:rsid w:val="00AC2451"/>
    <w:rsid w:val="00AC274B"/>
    <w:rsid w:val="00AC38F0"/>
    <w:rsid w:val="00AC3FAD"/>
    <w:rsid w:val="00AC4764"/>
    <w:rsid w:val="00AC4825"/>
    <w:rsid w:val="00AC4DED"/>
    <w:rsid w:val="00AC5B9B"/>
    <w:rsid w:val="00AC6D36"/>
    <w:rsid w:val="00AC6DE1"/>
    <w:rsid w:val="00AC72E4"/>
    <w:rsid w:val="00AC7482"/>
    <w:rsid w:val="00AC75FA"/>
    <w:rsid w:val="00AD0CBA"/>
    <w:rsid w:val="00AD177A"/>
    <w:rsid w:val="00AD1CCC"/>
    <w:rsid w:val="00AD2087"/>
    <w:rsid w:val="00AD26E2"/>
    <w:rsid w:val="00AD3488"/>
    <w:rsid w:val="00AD3C49"/>
    <w:rsid w:val="00AD3E27"/>
    <w:rsid w:val="00AD42C7"/>
    <w:rsid w:val="00AD51A4"/>
    <w:rsid w:val="00AD55CC"/>
    <w:rsid w:val="00AD5EA4"/>
    <w:rsid w:val="00AD6179"/>
    <w:rsid w:val="00AD664F"/>
    <w:rsid w:val="00AD68D1"/>
    <w:rsid w:val="00AD6B9D"/>
    <w:rsid w:val="00AD6D02"/>
    <w:rsid w:val="00AD719D"/>
    <w:rsid w:val="00AD784C"/>
    <w:rsid w:val="00AE0132"/>
    <w:rsid w:val="00AE045D"/>
    <w:rsid w:val="00AE0BA2"/>
    <w:rsid w:val="00AE126A"/>
    <w:rsid w:val="00AE1BAE"/>
    <w:rsid w:val="00AE243A"/>
    <w:rsid w:val="00AE299B"/>
    <w:rsid w:val="00AE29B8"/>
    <w:rsid w:val="00AE2AA7"/>
    <w:rsid w:val="00AE2DC7"/>
    <w:rsid w:val="00AE3005"/>
    <w:rsid w:val="00AE3B5B"/>
    <w:rsid w:val="00AE3BD5"/>
    <w:rsid w:val="00AE3C9C"/>
    <w:rsid w:val="00AE3F65"/>
    <w:rsid w:val="00AE4008"/>
    <w:rsid w:val="00AE40F0"/>
    <w:rsid w:val="00AE498D"/>
    <w:rsid w:val="00AE4C4B"/>
    <w:rsid w:val="00AE59A0"/>
    <w:rsid w:val="00AE6398"/>
    <w:rsid w:val="00AE78C3"/>
    <w:rsid w:val="00AE7D2D"/>
    <w:rsid w:val="00AF0144"/>
    <w:rsid w:val="00AF02C6"/>
    <w:rsid w:val="00AF0C57"/>
    <w:rsid w:val="00AF24C1"/>
    <w:rsid w:val="00AF26F3"/>
    <w:rsid w:val="00AF2E95"/>
    <w:rsid w:val="00AF3107"/>
    <w:rsid w:val="00AF38D7"/>
    <w:rsid w:val="00AF3A01"/>
    <w:rsid w:val="00AF3EBF"/>
    <w:rsid w:val="00AF41C5"/>
    <w:rsid w:val="00AF48B8"/>
    <w:rsid w:val="00AF4FDF"/>
    <w:rsid w:val="00AF5606"/>
    <w:rsid w:val="00AF5AF4"/>
    <w:rsid w:val="00AF5D2A"/>
    <w:rsid w:val="00AF5F04"/>
    <w:rsid w:val="00AF6136"/>
    <w:rsid w:val="00AF696E"/>
    <w:rsid w:val="00AF6D88"/>
    <w:rsid w:val="00AF702D"/>
    <w:rsid w:val="00AF7200"/>
    <w:rsid w:val="00AF7304"/>
    <w:rsid w:val="00AF74DE"/>
    <w:rsid w:val="00AF7C51"/>
    <w:rsid w:val="00B00213"/>
    <w:rsid w:val="00B00672"/>
    <w:rsid w:val="00B00B56"/>
    <w:rsid w:val="00B00E7B"/>
    <w:rsid w:val="00B0113D"/>
    <w:rsid w:val="00B01524"/>
    <w:rsid w:val="00B015B3"/>
    <w:rsid w:val="00B01B4D"/>
    <w:rsid w:val="00B01C87"/>
    <w:rsid w:val="00B02929"/>
    <w:rsid w:val="00B02BD1"/>
    <w:rsid w:val="00B03092"/>
    <w:rsid w:val="00B03243"/>
    <w:rsid w:val="00B0354D"/>
    <w:rsid w:val="00B03A6B"/>
    <w:rsid w:val="00B03F0F"/>
    <w:rsid w:val="00B0428D"/>
    <w:rsid w:val="00B05C90"/>
    <w:rsid w:val="00B06399"/>
    <w:rsid w:val="00B06571"/>
    <w:rsid w:val="00B066D5"/>
    <w:rsid w:val="00B0683E"/>
    <w:rsid w:val="00B068BA"/>
    <w:rsid w:val="00B073FA"/>
    <w:rsid w:val="00B07704"/>
    <w:rsid w:val="00B0795E"/>
    <w:rsid w:val="00B07FF7"/>
    <w:rsid w:val="00B103D1"/>
    <w:rsid w:val="00B1054A"/>
    <w:rsid w:val="00B10696"/>
    <w:rsid w:val="00B10717"/>
    <w:rsid w:val="00B1071E"/>
    <w:rsid w:val="00B108AF"/>
    <w:rsid w:val="00B1090D"/>
    <w:rsid w:val="00B110BC"/>
    <w:rsid w:val="00B11580"/>
    <w:rsid w:val="00B1159A"/>
    <w:rsid w:val="00B1170E"/>
    <w:rsid w:val="00B12212"/>
    <w:rsid w:val="00B12EC8"/>
    <w:rsid w:val="00B136EE"/>
    <w:rsid w:val="00B13851"/>
    <w:rsid w:val="00B13B1C"/>
    <w:rsid w:val="00B13D9E"/>
    <w:rsid w:val="00B13FB2"/>
    <w:rsid w:val="00B14780"/>
    <w:rsid w:val="00B14E4F"/>
    <w:rsid w:val="00B15B28"/>
    <w:rsid w:val="00B15C42"/>
    <w:rsid w:val="00B166A2"/>
    <w:rsid w:val="00B169BE"/>
    <w:rsid w:val="00B16DEA"/>
    <w:rsid w:val="00B16E4D"/>
    <w:rsid w:val="00B17217"/>
    <w:rsid w:val="00B17290"/>
    <w:rsid w:val="00B173ED"/>
    <w:rsid w:val="00B20E9F"/>
    <w:rsid w:val="00B21F90"/>
    <w:rsid w:val="00B22291"/>
    <w:rsid w:val="00B22519"/>
    <w:rsid w:val="00B22812"/>
    <w:rsid w:val="00B22E41"/>
    <w:rsid w:val="00B23505"/>
    <w:rsid w:val="00B23F83"/>
    <w:rsid w:val="00B23F9A"/>
    <w:rsid w:val="00B24055"/>
    <w:rsid w:val="00B2417B"/>
    <w:rsid w:val="00B2439C"/>
    <w:rsid w:val="00B24E6F"/>
    <w:rsid w:val="00B259FD"/>
    <w:rsid w:val="00B26CB5"/>
    <w:rsid w:val="00B2752E"/>
    <w:rsid w:val="00B3011D"/>
    <w:rsid w:val="00B302B3"/>
    <w:rsid w:val="00B306C0"/>
    <w:rsid w:val="00B307CC"/>
    <w:rsid w:val="00B3080B"/>
    <w:rsid w:val="00B308D0"/>
    <w:rsid w:val="00B30B3F"/>
    <w:rsid w:val="00B31031"/>
    <w:rsid w:val="00B31E2A"/>
    <w:rsid w:val="00B326B7"/>
    <w:rsid w:val="00B3277F"/>
    <w:rsid w:val="00B32C83"/>
    <w:rsid w:val="00B33B86"/>
    <w:rsid w:val="00B3432E"/>
    <w:rsid w:val="00B345B9"/>
    <w:rsid w:val="00B3497E"/>
    <w:rsid w:val="00B3552E"/>
    <w:rsid w:val="00B35810"/>
    <w:rsid w:val="00B3588E"/>
    <w:rsid w:val="00B35AFD"/>
    <w:rsid w:val="00B363D7"/>
    <w:rsid w:val="00B36A64"/>
    <w:rsid w:val="00B374DD"/>
    <w:rsid w:val="00B37AED"/>
    <w:rsid w:val="00B37D1A"/>
    <w:rsid w:val="00B37D29"/>
    <w:rsid w:val="00B40548"/>
    <w:rsid w:val="00B40C32"/>
    <w:rsid w:val="00B41004"/>
    <w:rsid w:val="00B41F3D"/>
    <w:rsid w:val="00B4212F"/>
    <w:rsid w:val="00B4225F"/>
    <w:rsid w:val="00B431E8"/>
    <w:rsid w:val="00B4325E"/>
    <w:rsid w:val="00B45141"/>
    <w:rsid w:val="00B46074"/>
    <w:rsid w:val="00B4677F"/>
    <w:rsid w:val="00B46DE7"/>
    <w:rsid w:val="00B47692"/>
    <w:rsid w:val="00B47C67"/>
    <w:rsid w:val="00B50A7B"/>
    <w:rsid w:val="00B511A8"/>
    <w:rsid w:val="00B519CD"/>
    <w:rsid w:val="00B51CDF"/>
    <w:rsid w:val="00B5273A"/>
    <w:rsid w:val="00B53153"/>
    <w:rsid w:val="00B533DC"/>
    <w:rsid w:val="00B53540"/>
    <w:rsid w:val="00B537F0"/>
    <w:rsid w:val="00B53C42"/>
    <w:rsid w:val="00B54020"/>
    <w:rsid w:val="00B549D3"/>
    <w:rsid w:val="00B54DC8"/>
    <w:rsid w:val="00B54EBD"/>
    <w:rsid w:val="00B55006"/>
    <w:rsid w:val="00B55306"/>
    <w:rsid w:val="00B555C0"/>
    <w:rsid w:val="00B55743"/>
    <w:rsid w:val="00B55CB6"/>
    <w:rsid w:val="00B55CCD"/>
    <w:rsid w:val="00B56635"/>
    <w:rsid w:val="00B56743"/>
    <w:rsid w:val="00B567E2"/>
    <w:rsid w:val="00B56B05"/>
    <w:rsid w:val="00B56DDF"/>
    <w:rsid w:val="00B57329"/>
    <w:rsid w:val="00B6005A"/>
    <w:rsid w:val="00B60347"/>
    <w:rsid w:val="00B60A7A"/>
    <w:rsid w:val="00B60E61"/>
    <w:rsid w:val="00B61E87"/>
    <w:rsid w:val="00B6293E"/>
    <w:rsid w:val="00B62B50"/>
    <w:rsid w:val="00B62E0B"/>
    <w:rsid w:val="00B6337B"/>
    <w:rsid w:val="00B635B7"/>
    <w:rsid w:val="00B63842"/>
    <w:rsid w:val="00B63AE8"/>
    <w:rsid w:val="00B63B9E"/>
    <w:rsid w:val="00B63BF0"/>
    <w:rsid w:val="00B63EF3"/>
    <w:rsid w:val="00B64584"/>
    <w:rsid w:val="00B64815"/>
    <w:rsid w:val="00B64956"/>
    <w:rsid w:val="00B650A1"/>
    <w:rsid w:val="00B65346"/>
    <w:rsid w:val="00B6584B"/>
    <w:rsid w:val="00B65950"/>
    <w:rsid w:val="00B6695A"/>
    <w:rsid w:val="00B66D83"/>
    <w:rsid w:val="00B672C0"/>
    <w:rsid w:val="00B676FD"/>
    <w:rsid w:val="00B6798D"/>
    <w:rsid w:val="00B67B19"/>
    <w:rsid w:val="00B67CA2"/>
    <w:rsid w:val="00B704D8"/>
    <w:rsid w:val="00B71DD7"/>
    <w:rsid w:val="00B71F49"/>
    <w:rsid w:val="00B72342"/>
    <w:rsid w:val="00B7267D"/>
    <w:rsid w:val="00B72784"/>
    <w:rsid w:val="00B73185"/>
    <w:rsid w:val="00B7359C"/>
    <w:rsid w:val="00B74C29"/>
    <w:rsid w:val="00B75140"/>
    <w:rsid w:val="00B751C8"/>
    <w:rsid w:val="00B75646"/>
    <w:rsid w:val="00B75BEB"/>
    <w:rsid w:val="00B7638E"/>
    <w:rsid w:val="00B76499"/>
    <w:rsid w:val="00B76653"/>
    <w:rsid w:val="00B76EDA"/>
    <w:rsid w:val="00B776F6"/>
    <w:rsid w:val="00B77758"/>
    <w:rsid w:val="00B77E8E"/>
    <w:rsid w:val="00B803C4"/>
    <w:rsid w:val="00B80440"/>
    <w:rsid w:val="00B8048C"/>
    <w:rsid w:val="00B80807"/>
    <w:rsid w:val="00B80B65"/>
    <w:rsid w:val="00B81219"/>
    <w:rsid w:val="00B8129D"/>
    <w:rsid w:val="00B814B4"/>
    <w:rsid w:val="00B830C3"/>
    <w:rsid w:val="00B8363A"/>
    <w:rsid w:val="00B83BA3"/>
    <w:rsid w:val="00B84591"/>
    <w:rsid w:val="00B85095"/>
    <w:rsid w:val="00B8648D"/>
    <w:rsid w:val="00B86759"/>
    <w:rsid w:val="00B86807"/>
    <w:rsid w:val="00B86B81"/>
    <w:rsid w:val="00B86D98"/>
    <w:rsid w:val="00B870AD"/>
    <w:rsid w:val="00B87DB1"/>
    <w:rsid w:val="00B90483"/>
    <w:rsid w:val="00B90729"/>
    <w:rsid w:val="00B907DA"/>
    <w:rsid w:val="00B91503"/>
    <w:rsid w:val="00B92B44"/>
    <w:rsid w:val="00B94CD5"/>
    <w:rsid w:val="00B94D81"/>
    <w:rsid w:val="00B950BC"/>
    <w:rsid w:val="00B952E8"/>
    <w:rsid w:val="00B959D4"/>
    <w:rsid w:val="00B962BF"/>
    <w:rsid w:val="00B9654D"/>
    <w:rsid w:val="00B96BB0"/>
    <w:rsid w:val="00B9714C"/>
    <w:rsid w:val="00B973A2"/>
    <w:rsid w:val="00B9759E"/>
    <w:rsid w:val="00B976C4"/>
    <w:rsid w:val="00B97C77"/>
    <w:rsid w:val="00BA06F8"/>
    <w:rsid w:val="00BA0F61"/>
    <w:rsid w:val="00BA1078"/>
    <w:rsid w:val="00BA2139"/>
    <w:rsid w:val="00BA29AD"/>
    <w:rsid w:val="00BA2BF0"/>
    <w:rsid w:val="00BA2D0F"/>
    <w:rsid w:val="00BA33CF"/>
    <w:rsid w:val="00BA37B0"/>
    <w:rsid w:val="00BA395F"/>
    <w:rsid w:val="00BA3F8D"/>
    <w:rsid w:val="00BA44CF"/>
    <w:rsid w:val="00BA46C2"/>
    <w:rsid w:val="00BA4FDE"/>
    <w:rsid w:val="00BA526B"/>
    <w:rsid w:val="00BA5894"/>
    <w:rsid w:val="00BA59DF"/>
    <w:rsid w:val="00BA5B8E"/>
    <w:rsid w:val="00BA689C"/>
    <w:rsid w:val="00BA7528"/>
    <w:rsid w:val="00BA7941"/>
    <w:rsid w:val="00BA7B23"/>
    <w:rsid w:val="00BA7DB1"/>
    <w:rsid w:val="00BB0041"/>
    <w:rsid w:val="00BB0752"/>
    <w:rsid w:val="00BB1226"/>
    <w:rsid w:val="00BB1251"/>
    <w:rsid w:val="00BB17D3"/>
    <w:rsid w:val="00BB1B94"/>
    <w:rsid w:val="00BB1E47"/>
    <w:rsid w:val="00BB39D0"/>
    <w:rsid w:val="00BB3F77"/>
    <w:rsid w:val="00BB4552"/>
    <w:rsid w:val="00BB4FE7"/>
    <w:rsid w:val="00BB5750"/>
    <w:rsid w:val="00BB78C2"/>
    <w:rsid w:val="00BB7A10"/>
    <w:rsid w:val="00BC0098"/>
    <w:rsid w:val="00BC017A"/>
    <w:rsid w:val="00BC01DA"/>
    <w:rsid w:val="00BC0AE1"/>
    <w:rsid w:val="00BC1539"/>
    <w:rsid w:val="00BC26C6"/>
    <w:rsid w:val="00BC27C4"/>
    <w:rsid w:val="00BC3A2D"/>
    <w:rsid w:val="00BC3E8F"/>
    <w:rsid w:val="00BC4D63"/>
    <w:rsid w:val="00BC593E"/>
    <w:rsid w:val="00BC5EDA"/>
    <w:rsid w:val="00BC60BE"/>
    <w:rsid w:val="00BC63BD"/>
    <w:rsid w:val="00BC6C83"/>
    <w:rsid w:val="00BC6FA3"/>
    <w:rsid w:val="00BC6FED"/>
    <w:rsid w:val="00BC7468"/>
    <w:rsid w:val="00BC7D4F"/>
    <w:rsid w:val="00BC7ED7"/>
    <w:rsid w:val="00BD05BA"/>
    <w:rsid w:val="00BD16BF"/>
    <w:rsid w:val="00BD1743"/>
    <w:rsid w:val="00BD1845"/>
    <w:rsid w:val="00BD233E"/>
    <w:rsid w:val="00BD2850"/>
    <w:rsid w:val="00BD2959"/>
    <w:rsid w:val="00BD3A3C"/>
    <w:rsid w:val="00BD4970"/>
    <w:rsid w:val="00BD4C8E"/>
    <w:rsid w:val="00BD516A"/>
    <w:rsid w:val="00BD5A95"/>
    <w:rsid w:val="00BD773F"/>
    <w:rsid w:val="00BD7917"/>
    <w:rsid w:val="00BE0247"/>
    <w:rsid w:val="00BE0D0D"/>
    <w:rsid w:val="00BE214D"/>
    <w:rsid w:val="00BE2746"/>
    <w:rsid w:val="00BE28D2"/>
    <w:rsid w:val="00BE2AE6"/>
    <w:rsid w:val="00BE32C1"/>
    <w:rsid w:val="00BE33A7"/>
    <w:rsid w:val="00BE36BD"/>
    <w:rsid w:val="00BE3FC1"/>
    <w:rsid w:val="00BE4063"/>
    <w:rsid w:val="00BE4A64"/>
    <w:rsid w:val="00BE4C97"/>
    <w:rsid w:val="00BE4FD0"/>
    <w:rsid w:val="00BE52FD"/>
    <w:rsid w:val="00BE5393"/>
    <w:rsid w:val="00BE5461"/>
    <w:rsid w:val="00BE5E43"/>
    <w:rsid w:val="00BE5E7D"/>
    <w:rsid w:val="00BE626C"/>
    <w:rsid w:val="00BE62E6"/>
    <w:rsid w:val="00BE641A"/>
    <w:rsid w:val="00BE65F5"/>
    <w:rsid w:val="00BE6AA5"/>
    <w:rsid w:val="00BE6B4B"/>
    <w:rsid w:val="00BE714E"/>
    <w:rsid w:val="00BE75EA"/>
    <w:rsid w:val="00BE78AB"/>
    <w:rsid w:val="00BF032D"/>
    <w:rsid w:val="00BF0596"/>
    <w:rsid w:val="00BF0F4A"/>
    <w:rsid w:val="00BF1215"/>
    <w:rsid w:val="00BF12A0"/>
    <w:rsid w:val="00BF1557"/>
    <w:rsid w:val="00BF18FF"/>
    <w:rsid w:val="00BF1C1E"/>
    <w:rsid w:val="00BF25E2"/>
    <w:rsid w:val="00BF2D2E"/>
    <w:rsid w:val="00BF30B2"/>
    <w:rsid w:val="00BF3AB6"/>
    <w:rsid w:val="00BF3C53"/>
    <w:rsid w:val="00BF3DAC"/>
    <w:rsid w:val="00BF3F2E"/>
    <w:rsid w:val="00BF420E"/>
    <w:rsid w:val="00BF42B5"/>
    <w:rsid w:val="00BF47F7"/>
    <w:rsid w:val="00BF49B3"/>
    <w:rsid w:val="00BF4A60"/>
    <w:rsid w:val="00BF4F57"/>
    <w:rsid w:val="00BF4F5F"/>
    <w:rsid w:val="00BF557D"/>
    <w:rsid w:val="00BF56FB"/>
    <w:rsid w:val="00BF5A22"/>
    <w:rsid w:val="00BF6623"/>
    <w:rsid w:val="00BF79CC"/>
    <w:rsid w:val="00BF7F58"/>
    <w:rsid w:val="00C00032"/>
    <w:rsid w:val="00C01381"/>
    <w:rsid w:val="00C01405"/>
    <w:rsid w:val="00C01AB1"/>
    <w:rsid w:val="00C01D35"/>
    <w:rsid w:val="00C020FF"/>
    <w:rsid w:val="00C026A0"/>
    <w:rsid w:val="00C02A5C"/>
    <w:rsid w:val="00C02D9C"/>
    <w:rsid w:val="00C0309B"/>
    <w:rsid w:val="00C03C08"/>
    <w:rsid w:val="00C04F7E"/>
    <w:rsid w:val="00C05046"/>
    <w:rsid w:val="00C05384"/>
    <w:rsid w:val="00C05CA3"/>
    <w:rsid w:val="00C06137"/>
    <w:rsid w:val="00C06DD4"/>
    <w:rsid w:val="00C06EE9"/>
    <w:rsid w:val="00C072E9"/>
    <w:rsid w:val="00C07531"/>
    <w:rsid w:val="00C076B7"/>
    <w:rsid w:val="00C079B8"/>
    <w:rsid w:val="00C10031"/>
    <w:rsid w:val="00C10037"/>
    <w:rsid w:val="00C105B1"/>
    <w:rsid w:val="00C10F08"/>
    <w:rsid w:val="00C12271"/>
    <w:rsid w:val="00C123CA"/>
    <w:rsid w:val="00C123EA"/>
    <w:rsid w:val="00C12836"/>
    <w:rsid w:val="00C12A49"/>
    <w:rsid w:val="00C12D0F"/>
    <w:rsid w:val="00C133EE"/>
    <w:rsid w:val="00C1362B"/>
    <w:rsid w:val="00C1493D"/>
    <w:rsid w:val="00C149D0"/>
    <w:rsid w:val="00C14BF5"/>
    <w:rsid w:val="00C156F3"/>
    <w:rsid w:val="00C15C3A"/>
    <w:rsid w:val="00C15C88"/>
    <w:rsid w:val="00C163FE"/>
    <w:rsid w:val="00C203F6"/>
    <w:rsid w:val="00C20CFD"/>
    <w:rsid w:val="00C211D8"/>
    <w:rsid w:val="00C213F0"/>
    <w:rsid w:val="00C21AA6"/>
    <w:rsid w:val="00C21E2B"/>
    <w:rsid w:val="00C2310E"/>
    <w:rsid w:val="00C2464C"/>
    <w:rsid w:val="00C249EB"/>
    <w:rsid w:val="00C24E81"/>
    <w:rsid w:val="00C25183"/>
    <w:rsid w:val="00C251CD"/>
    <w:rsid w:val="00C2538A"/>
    <w:rsid w:val="00C2542A"/>
    <w:rsid w:val="00C25DF9"/>
    <w:rsid w:val="00C25EB8"/>
    <w:rsid w:val="00C26242"/>
    <w:rsid w:val="00C26588"/>
    <w:rsid w:val="00C26E49"/>
    <w:rsid w:val="00C27C49"/>
    <w:rsid w:val="00C27DE9"/>
    <w:rsid w:val="00C27ED2"/>
    <w:rsid w:val="00C30C73"/>
    <w:rsid w:val="00C310D7"/>
    <w:rsid w:val="00C312CE"/>
    <w:rsid w:val="00C316DB"/>
    <w:rsid w:val="00C32989"/>
    <w:rsid w:val="00C32E5F"/>
    <w:rsid w:val="00C33388"/>
    <w:rsid w:val="00C3462C"/>
    <w:rsid w:val="00C34A64"/>
    <w:rsid w:val="00C34B01"/>
    <w:rsid w:val="00C34EF4"/>
    <w:rsid w:val="00C35103"/>
    <w:rsid w:val="00C35484"/>
    <w:rsid w:val="00C3563A"/>
    <w:rsid w:val="00C35D17"/>
    <w:rsid w:val="00C35FFA"/>
    <w:rsid w:val="00C36EE6"/>
    <w:rsid w:val="00C36FCB"/>
    <w:rsid w:val="00C37D52"/>
    <w:rsid w:val="00C4032C"/>
    <w:rsid w:val="00C407E1"/>
    <w:rsid w:val="00C40873"/>
    <w:rsid w:val="00C4173A"/>
    <w:rsid w:val="00C42151"/>
    <w:rsid w:val="00C42884"/>
    <w:rsid w:val="00C431E5"/>
    <w:rsid w:val="00C4385F"/>
    <w:rsid w:val="00C443F8"/>
    <w:rsid w:val="00C4466E"/>
    <w:rsid w:val="00C44CED"/>
    <w:rsid w:val="00C45167"/>
    <w:rsid w:val="00C454B9"/>
    <w:rsid w:val="00C45BD3"/>
    <w:rsid w:val="00C46756"/>
    <w:rsid w:val="00C46D46"/>
    <w:rsid w:val="00C46E15"/>
    <w:rsid w:val="00C4722D"/>
    <w:rsid w:val="00C4756C"/>
    <w:rsid w:val="00C47B7E"/>
    <w:rsid w:val="00C47D3B"/>
    <w:rsid w:val="00C501E8"/>
    <w:rsid w:val="00C50874"/>
    <w:rsid w:val="00C50DED"/>
    <w:rsid w:val="00C51980"/>
    <w:rsid w:val="00C5231D"/>
    <w:rsid w:val="00C52A90"/>
    <w:rsid w:val="00C530AB"/>
    <w:rsid w:val="00C53A1B"/>
    <w:rsid w:val="00C53AE0"/>
    <w:rsid w:val="00C53DBC"/>
    <w:rsid w:val="00C53E58"/>
    <w:rsid w:val="00C542B4"/>
    <w:rsid w:val="00C546B9"/>
    <w:rsid w:val="00C552A8"/>
    <w:rsid w:val="00C55FC2"/>
    <w:rsid w:val="00C56218"/>
    <w:rsid w:val="00C564A9"/>
    <w:rsid w:val="00C57131"/>
    <w:rsid w:val="00C579A2"/>
    <w:rsid w:val="00C602FF"/>
    <w:rsid w:val="00C60B47"/>
    <w:rsid w:val="00C61174"/>
    <w:rsid w:val="00C6148F"/>
    <w:rsid w:val="00C61754"/>
    <w:rsid w:val="00C621B1"/>
    <w:rsid w:val="00C6280A"/>
    <w:rsid w:val="00C62F15"/>
    <w:rsid w:val="00C62F7A"/>
    <w:rsid w:val="00C63A72"/>
    <w:rsid w:val="00C63B9C"/>
    <w:rsid w:val="00C64292"/>
    <w:rsid w:val="00C64C0D"/>
    <w:rsid w:val="00C65634"/>
    <w:rsid w:val="00C656D9"/>
    <w:rsid w:val="00C657A9"/>
    <w:rsid w:val="00C65C01"/>
    <w:rsid w:val="00C66023"/>
    <w:rsid w:val="00C66529"/>
    <w:rsid w:val="00C6682F"/>
    <w:rsid w:val="00C668B0"/>
    <w:rsid w:val="00C670F9"/>
    <w:rsid w:val="00C67AAE"/>
    <w:rsid w:val="00C67BF4"/>
    <w:rsid w:val="00C67CDE"/>
    <w:rsid w:val="00C70091"/>
    <w:rsid w:val="00C702A1"/>
    <w:rsid w:val="00C707E3"/>
    <w:rsid w:val="00C70C6B"/>
    <w:rsid w:val="00C70F6B"/>
    <w:rsid w:val="00C71D5C"/>
    <w:rsid w:val="00C71EDC"/>
    <w:rsid w:val="00C7211C"/>
    <w:rsid w:val="00C7233F"/>
    <w:rsid w:val="00C7275E"/>
    <w:rsid w:val="00C7291C"/>
    <w:rsid w:val="00C72BD8"/>
    <w:rsid w:val="00C72E3B"/>
    <w:rsid w:val="00C745F2"/>
    <w:rsid w:val="00C74C5D"/>
    <w:rsid w:val="00C74FB4"/>
    <w:rsid w:val="00C75144"/>
    <w:rsid w:val="00C75253"/>
    <w:rsid w:val="00C75267"/>
    <w:rsid w:val="00C7544B"/>
    <w:rsid w:val="00C75B36"/>
    <w:rsid w:val="00C75E4C"/>
    <w:rsid w:val="00C75EEE"/>
    <w:rsid w:val="00C77AD8"/>
    <w:rsid w:val="00C77C8A"/>
    <w:rsid w:val="00C80674"/>
    <w:rsid w:val="00C80753"/>
    <w:rsid w:val="00C80FC8"/>
    <w:rsid w:val="00C81023"/>
    <w:rsid w:val="00C826A6"/>
    <w:rsid w:val="00C82DB5"/>
    <w:rsid w:val="00C83009"/>
    <w:rsid w:val="00C83966"/>
    <w:rsid w:val="00C83ECE"/>
    <w:rsid w:val="00C848EF"/>
    <w:rsid w:val="00C84E5E"/>
    <w:rsid w:val="00C85068"/>
    <w:rsid w:val="00C85E5D"/>
    <w:rsid w:val="00C86204"/>
    <w:rsid w:val="00C863C4"/>
    <w:rsid w:val="00C86694"/>
    <w:rsid w:val="00C86F25"/>
    <w:rsid w:val="00C87409"/>
    <w:rsid w:val="00C87457"/>
    <w:rsid w:val="00C8746D"/>
    <w:rsid w:val="00C87F30"/>
    <w:rsid w:val="00C904A3"/>
    <w:rsid w:val="00C91014"/>
    <w:rsid w:val="00C912F2"/>
    <w:rsid w:val="00C91891"/>
    <w:rsid w:val="00C920EA"/>
    <w:rsid w:val="00C92CEA"/>
    <w:rsid w:val="00C93288"/>
    <w:rsid w:val="00C93424"/>
    <w:rsid w:val="00C93505"/>
    <w:rsid w:val="00C93C3E"/>
    <w:rsid w:val="00C944E2"/>
    <w:rsid w:val="00C94952"/>
    <w:rsid w:val="00C958F2"/>
    <w:rsid w:val="00C96389"/>
    <w:rsid w:val="00C97A7A"/>
    <w:rsid w:val="00C97A8C"/>
    <w:rsid w:val="00CA00E8"/>
    <w:rsid w:val="00CA01C5"/>
    <w:rsid w:val="00CA0CA9"/>
    <w:rsid w:val="00CA0F93"/>
    <w:rsid w:val="00CA12E3"/>
    <w:rsid w:val="00CA1349"/>
    <w:rsid w:val="00CA1476"/>
    <w:rsid w:val="00CA2813"/>
    <w:rsid w:val="00CA3408"/>
    <w:rsid w:val="00CA3A6B"/>
    <w:rsid w:val="00CA5A0C"/>
    <w:rsid w:val="00CA6611"/>
    <w:rsid w:val="00CA666A"/>
    <w:rsid w:val="00CA6AE6"/>
    <w:rsid w:val="00CA72BB"/>
    <w:rsid w:val="00CA782F"/>
    <w:rsid w:val="00CB0618"/>
    <w:rsid w:val="00CB187B"/>
    <w:rsid w:val="00CB19D7"/>
    <w:rsid w:val="00CB1D35"/>
    <w:rsid w:val="00CB2332"/>
    <w:rsid w:val="00CB2474"/>
    <w:rsid w:val="00CB2486"/>
    <w:rsid w:val="00CB2835"/>
    <w:rsid w:val="00CB3285"/>
    <w:rsid w:val="00CB4404"/>
    <w:rsid w:val="00CB4500"/>
    <w:rsid w:val="00CB4686"/>
    <w:rsid w:val="00CB4CEC"/>
    <w:rsid w:val="00CB4D33"/>
    <w:rsid w:val="00CB5DB1"/>
    <w:rsid w:val="00CB601D"/>
    <w:rsid w:val="00CB68CB"/>
    <w:rsid w:val="00CB69D8"/>
    <w:rsid w:val="00CB71C4"/>
    <w:rsid w:val="00CB7299"/>
    <w:rsid w:val="00CB751F"/>
    <w:rsid w:val="00CB758B"/>
    <w:rsid w:val="00CB7800"/>
    <w:rsid w:val="00CB7916"/>
    <w:rsid w:val="00CB7EC1"/>
    <w:rsid w:val="00CB7FD0"/>
    <w:rsid w:val="00CC0325"/>
    <w:rsid w:val="00CC081C"/>
    <w:rsid w:val="00CC0C72"/>
    <w:rsid w:val="00CC101B"/>
    <w:rsid w:val="00CC1CC5"/>
    <w:rsid w:val="00CC239D"/>
    <w:rsid w:val="00CC2721"/>
    <w:rsid w:val="00CC27E8"/>
    <w:rsid w:val="00CC2A95"/>
    <w:rsid w:val="00CC2AAB"/>
    <w:rsid w:val="00CC2BFD"/>
    <w:rsid w:val="00CC2D45"/>
    <w:rsid w:val="00CC4A0A"/>
    <w:rsid w:val="00CC54F8"/>
    <w:rsid w:val="00CC5BD5"/>
    <w:rsid w:val="00CC667E"/>
    <w:rsid w:val="00CC6F55"/>
    <w:rsid w:val="00CC75DD"/>
    <w:rsid w:val="00CC7E70"/>
    <w:rsid w:val="00CD0061"/>
    <w:rsid w:val="00CD03AC"/>
    <w:rsid w:val="00CD0493"/>
    <w:rsid w:val="00CD05DF"/>
    <w:rsid w:val="00CD0BB3"/>
    <w:rsid w:val="00CD0ED7"/>
    <w:rsid w:val="00CD1323"/>
    <w:rsid w:val="00CD2424"/>
    <w:rsid w:val="00CD243B"/>
    <w:rsid w:val="00CD2606"/>
    <w:rsid w:val="00CD2B14"/>
    <w:rsid w:val="00CD3476"/>
    <w:rsid w:val="00CD3512"/>
    <w:rsid w:val="00CD3DAB"/>
    <w:rsid w:val="00CD480B"/>
    <w:rsid w:val="00CD51E3"/>
    <w:rsid w:val="00CD61D6"/>
    <w:rsid w:val="00CD61E4"/>
    <w:rsid w:val="00CD64DF"/>
    <w:rsid w:val="00CD6676"/>
    <w:rsid w:val="00CD66C4"/>
    <w:rsid w:val="00CD693D"/>
    <w:rsid w:val="00CD732A"/>
    <w:rsid w:val="00CD75C2"/>
    <w:rsid w:val="00CD7E29"/>
    <w:rsid w:val="00CE017B"/>
    <w:rsid w:val="00CE0B3D"/>
    <w:rsid w:val="00CE0C8E"/>
    <w:rsid w:val="00CE1CEE"/>
    <w:rsid w:val="00CE1E07"/>
    <w:rsid w:val="00CE225F"/>
    <w:rsid w:val="00CE2344"/>
    <w:rsid w:val="00CE3526"/>
    <w:rsid w:val="00CE36F0"/>
    <w:rsid w:val="00CE39E0"/>
    <w:rsid w:val="00CE4DD9"/>
    <w:rsid w:val="00CE521E"/>
    <w:rsid w:val="00CE68A0"/>
    <w:rsid w:val="00CE68D5"/>
    <w:rsid w:val="00CE6BFA"/>
    <w:rsid w:val="00CE7A39"/>
    <w:rsid w:val="00CE7B1B"/>
    <w:rsid w:val="00CF0730"/>
    <w:rsid w:val="00CF07E4"/>
    <w:rsid w:val="00CF1733"/>
    <w:rsid w:val="00CF1A00"/>
    <w:rsid w:val="00CF1C5D"/>
    <w:rsid w:val="00CF1D07"/>
    <w:rsid w:val="00CF1F22"/>
    <w:rsid w:val="00CF2019"/>
    <w:rsid w:val="00CF2622"/>
    <w:rsid w:val="00CF2728"/>
    <w:rsid w:val="00CF2F50"/>
    <w:rsid w:val="00CF3BD4"/>
    <w:rsid w:val="00CF4B18"/>
    <w:rsid w:val="00CF4BE9"/>
    <w:rsid w:val="00CF4D6C"/>
    <w:rsid w:val="00CF514D"/>
    <w:rsid w:val="00CF5172"/>
    <w:rsid w:val="00CF5910"/>
    <w:rsid w:val="00CF5B74"/>
    <w:rsid w:val="00CF6198"/>
    <w:rsid w:val="00CF6327"/>
    <w:rsid w:val="00CF75C2"/>
    <w:rsid w:val="00CF7DB0"/>
    <w:rsid w:val="00CF7DD5"/>
    <w:rsid w:val="00D00F68"/>
    <w:rsid w:val="00D017E0"/>
    <w:rsid w:val="00D01956"/>
    <w:rsid w:val="00D01F33"/>
    <w:rsid w:val="00D02225"/>
    <w:rsid w:val="00D02443"/>
    <w:rsid w:val="00D026A9"/>
    <w:rsid w:val="00D028FB"/>
    <w:rsid w:val="00D02919"/>
    <w:rsid w:val="00D02BFA"/>
    <w:rsid w:val="00D02F77"/>
    <w:rsid w:val="00D02F84"/>
    <w:rsid w:val="00D03177"/>
    <w:rsid w:val="00D03560"/>
    <w:rsid w:val="00D0369E"/>
    <w:rsid w:val="00D03938"/>
    <w:rsid w:val="00D03B07"/>
    <w:rsid w:val="00D03F4E"/>
    <w:rsid w:val="00D04388"/>
    <w:rsid w:val="00D048AA"/>
    <w:rsid w:val="00D04A66"/>
    <w:rsid w:val="00D04C61"/>
    <w:rsid w:val="00D05259"/>
    <w:rsid w:val="00D05500"/>
    <w:rsid w:val="00D05B8D"/>
    <w:rsid w:val="00D05E42"/>
    <w:rsid w:val="00D060DA"/>
    <w:rsid w:val="00D065A2"/>
    <w:rsid w:val="00D066E1"/>
    <w:rsid w:val="00D06CF1"/>
    <w:rsid w:val="00D07134"/>
    <w:rsid w:val="00D079AA"/>
    <w:rsid w:val="00D07DC6"/>
    <w:rsid w:val="00D07F00"/>
    <w:rsid w:val="00D110EE"/>
    <w:rsid w:val="00D1130F"/>
    <w:rsid w:val="00D12BB3"/>
    <w:rsid w:val="00D12E26"/>
    <w:rsid w:val="00D1306D"/>
    <w:rsid w:val="00D13412"/>
    <w:rsid w:val="00D13544"/>
    <w:rsid w:val="00D135BA"/>
    <w:rsid w:val="00D13844"/>
    <w:rsid w:val="00D138D3"/>
    <w:rsid w:val="00D13C0A"/>
    <w:rsid w:val="00D13F6A"/>
    <w:rsid w:val="00D142DF"/>
    <w:rsid w:val="00D150C0"/>
    <w:rsid w:val="00D17055"/>
    <w:rsid w:val="00D17B72"/>
    <w:rsid w:val="00D2125C"/>
    <w:rsid w:val="00D21810"/>
    <w:rsid w:val="00D22119"/>
    <w:rsid w:val="00D228D6"/>
    <w:rsid w:val="00D229AE"/>
    <w:rsid w:val="00D22BAB"/>
    <w:rsid w:val="00D23137"/>
    <w:rsid w:val="00D23B7C"/>
    <w:rsid w:val="00D242F3"/>
    <w:rsid w:val="00D24817"/>
    <w:rsid w:val="00D24A45"/>
    <w:rsid w:val="00D2587C"/>
    <w:rsid w:val="00D25887"/>
    <w:rsid w:val="00D25B83"/>
    <w:rsid w:val="00D25DE0"/>
    <w:rsid w:val="00D26207"/>
    <w:rsid w:val="00D26405"/>
    <w:rsid w:val="00D266B2"/>
    <w:rsid w:val="00D26813"/>
    <w:rsid w:val="00D26A9C"/>
    <w:rsid w:val="00D26BC3"/>
    <w:rsid w:val="00D306DB"/>
    <w:rsid w:val="00D30CE5"/>
    <w:rsid w:val="00D3185C"/>
    <w:rsid w:val="00D31955"/>
    <w:rsid w:val="00D31C86"/>
    <w:rsid w:val="00D31F3C"/>
    <w:rsid w:val="00D31FE1"/>
    <w:rsid w:val="00D3205F"/>
    <w:rsid w:val="00D32153"/>
    <w:rsid w:val="00D32A67"/>
    <w:rsid w:val="00D3318E"/>
    <w:rsid w:val="00D3351F"/>
    <w:rsid w:val="00D33970"/>
    <w:rsid w:val="00D33E72"/>
    <w:rsid w:val="00D348D1"/>
    <w:rsid w:val="00D34DAA"/>
    <w:rsid w:val="00D35302"/>
    <w:rsid w:val="00D35519"/>
    <w:rsid w:val="00D357E5"/>
    <w:rsid w:val="00D359E3"/>
    <w:rsid w:val="00D35BB0"/>
    <w:rsid w:val="00D35BD6"/>
    <w:rsid w:val="00D35C58"/>
    <w:rsid w:val="00D361B5"/>
    <w:rsid w:val="00D36B70"/>
    <w:rsid w:val="00D371CE"/>
    <w:rsid w:val="00D3778D"/>
    <w:rsid w:val="00D40330"/>
    <w:rsid w:val="00D405AC"/>
    <w:rsid w:val="00D41107"/>
    <w:rsid w:val="00D41123"/>
    <w:rsid w:val="00D411A2"/>
    <w:rsid w:val="00D4249B"/>
    <w:rsid w:val="00D4257B"/>
    <w:rsid w:val="00D427FC"/>
    <w:rsid w:val="00D42BF3"/>
    <w:rsid w:val="00D435D0"/>
    <w:rsid w:val="00D43925"/>
    <w:rsid w:val="00D439F5"/>
    <w:rsid w:val="00D4414B"/>
    <w:rsid w:val="00D441FA"/>
    <w:rsid w:val="00D442AE"/>
    <w:rsid w:val="00D44AF7"/>
    <w:rsid w:val="00D451B1"/>
    <w:rsid w:val="00D4589E"/>
    <w:rsid w:val="00D45F79"/>
    <w:rsid w:val="00D4606D"/>
    <w:rsid w:val="00D460FB"/>
    <w:rsid w:val="00D46C92"/>
    <w:rsid w:val="00D475A6"/>
    <w:rsid w:val="00D47FE0"/>
    <w:rsid w:val="00D50087"/>
    <w:rsid w:val="00D501D5"/>
    <w:rsid w:val="00D5083C"/>
    <w:rsid w:val="00D50B9C"/>
    <w:rsid w:val="00D51274"/>
    <w:rsid w:val="00D51BD8"/>
    <w:rsid w:val="00D522B5"/>
    <w:rsid w:val="00D52D73"/>
    <w:rsid w:val="00D52E58"/>
    <w:rsid w:val="00D534DD"/>
    <w:rsid w:val="00D5362B"/>
    <w:rsid w:val="00D53B8E"/>
    <w:rsid w:val="00D55B16"/>
    <w:rsid w:val="00D560BA"/>
    <w:rsid w:val="00D564CB"/>
    <w:rsid w:val="00D56AEA"/>
    <w:rsid w:val="00D56B20"/>
    <w:rsid w:val="00D56BE4"/>
    <w:rsid w:val="00D578B3"/>
    <w:rsid w:val="00D579B0"/>
    <w:rsid w:val="00D57B62"/>
    <w:rsid w:val="00D57BE6"/>
    <w:rsid w:val="00D605FE"/>
    <w:rsid w:val="00D60798"/>
    <w:rsid w:val="00D60943"/>
    <w:rsid w:val="00D61206"/>
    <w:rsid w:val="00D618F4"/>
    <w:rsid w:val="00D61ACD"/>
    <w:rsid w:val="00D61C74"/>
    <w:rsid w:val="00D620AF"/>
    <w:rsid w:val="00D6217B"/>
    <w:rsid w:val="00D62C17"/>
    <w:rsid w:val="00D64B66"/>
    <w:rsid w:val="00D64BA9"/>
    <w:rsid w:val="00D6500B"/>
    <w:rsid w:val="00D65650"/>
    <w:rsid w:val="00D65D24"/>
    <w:rsid w:val="00D65DD8"/>
    <w:rsid w:val="00D6657F"/>
    <w:rsid w:val="00D677E9"/>
    <w:rsid w:val="00D678A4"/>
    <w:rsid w:val="00D70BED"/>
    <w:rsid w:val="00D70F65"/>
    <w:rsid w:val="00D70FB4"/>
    <w:rsid w:val="00D70FC7"/>
    <w:rsid w:val="00D714CC"/>
    <w:rsid w:val="00D7178B"/>
    <w:rsid w:val="00D71AF7"/>
    <w:rsid w:val="00D71DCE"/>
    <w:rsid w:val="00D723D3"/>
    <w:rsid w:val="00D726CA"/>
    <w:rsid w:val="00D735E1"/>
    <w:rsid w:val="00D73B4E"/>
    <w:rsid w:val="00D74210"/>
    <w:rsid w:val="00D756EE"/>
    <w:rsid w:val="00D75D6E"/>
    <w:rsid w:val="00D75EA7"/>
    <w:rsid w:val="00D75FCA"/>
    <w:rsid w:val="00D76121"/>
    <w:rsid w:val="00D76642"/>
    <w:rsid w:val="00D76648"/>
    <w:rsid w:val="00D7679F"/>
    <w:rsid w:val="00D7714B"/>
    <w:rsid w:val="00D777FF"/>
    <w:rsid w:val="00D778A5"/>
    <w:rsid w:val="00D77FA2"/>
    <w:rsid w:val="00D80096"/>
    <w:rsid w:val="00D80B46"/>
    <w:rsid w:val="00D80D2A"/>
    <w:rsid w:val="00D8118D"/>
    <w:rsid w:val="00D81ADF"/>
    <w:rsid w:val="00D81DAF"/>
    <w:rsid w:val="00D81F21"/>
    <w:rsid w:val="00D82ACE"/>
    <w:rsid w:val="00D836C1"/>
    <w:rsid w:val="00D84387"/>
    <w:rsid w:val="00D845C3"/>
    <w:rsid w:val="00D84E70"/>
    <w:rsid w:val="00D850CA"/>
    <w:rsid w:val="00D8521A"/>
    <w:rsid w:val="00D85650"/>
    <w:rsid w:val="00D858A8"/>
    <w:rsid w:val="00D864EB"/>
    <w:rsid w:val="00D864F2"/>
    <w:rsid w:val="00D87683"/>
    <w:rsid w:val="00D9001A"/>
    <w:rsid w:val="00D90F00"/>
    <w:rsid w:val="00D924F7"/>
    <w:rsid w:val="00D92C94"/>
    <w:rsid w:val="00D92F95"/>
    <w:rsid w:val="00D93723"/>
    <w:rsid w:val="00D93ED2"/>
    <w:rsid w:val="00D943F8"/>
    <w:rsid w:val="00D94BBC"/>
    <w:rsid w:val="00D95470"/>
    <w:rsid w:val="00D95EB4"/>
    <w:rsid w:val="00D96763"/>
    <w:rsid w:val="00D96B55"/>
    <w:rsid w:val="00D96E53"/>
    <w:rsid w:val="00D96F89"/>
    <w:rsid w:val="00D9727B"/>
    <w:rsid w:val="00D977A7"/>
    <w:rsid w:val="00D97C32"/>
    <w:rsid w:val="00D97CB5"/>
    <w:rsid w:val="00DA00B8"/>
    <w:rsid w:val="00DA03FF"/>
    <w:rsid w:val="00DA048A"/>
    <w:rsid w:val="00DA07C4"/>
    <w:rsid w:val="00DA0AFB"/>
    <w:rsid w:val="00DA10D8"/>
    <w:rsid w:val="00DA11EC"/>
    <w:rsid w:val="00DA1308"/>
    <w:rsid w:val="00DA15A6"/>
    <w:rsid w:val="00DA1BE0"/>
    <w:rsid w:val="00DA2619"/>
    <w:rsid w:val="00DA2791"/>
    <w:rsid w:val="00DA3C89"/>
    <w:rsid w:val="00DA3CEF"/>
    <w:rsid w:val="00DA4239"/>
    <w:rsid w:val="00DA4811"/>
    <w:rsid w:val="00DA4974"/>
    <w:rsid w:val="00DA6088"/>
    <w:rsid w:val="00DA65DE"/>
    <w:rsid w:val="00DA65ED"/>
    <w:rsid w:val="00DA6F98"/>
    <w:rsid w:val="00DA70B8"/>
    <w:rsid w:val="00DA7400"/>
    <w:rsid w:val="00DB0180"/>
    <w:rsid w:val="00DB0B61"/>
    <w:rsid w:val="00DB1474"/>
    <w:rsid w:val="00DB1696"/>
    <w:rsid w:val="00DB1B47"/>
    <w:rsid w:val="00DB1DE8"/>
    <w:rsid w:val="00DB214C"/>
    <w:rsid w:val="00DB222D"/>
    <w:rsid w:val="00DB2824"/>
    <w:rsid w:val="00DB2962"/>
    <w:rsid w:val="00DB3A23"/>
    <w:rsid w:val="00DB3D09"/>
    <w:rsid w:val="00DB4098"/>
    <w:rsid w:val="00DB40E3"/>
    <w:rsid w:val="00DB42AE"/>
    <w:rsid w:val="00DB434A"/>
    <w:rsid w:val="00DB4D3B"/>
    <w:rsid w:val="00DB4F6D"/>
    <w:rsid w:val="00DB4FF3"/>
    <w:rsid w:val="00DB52FB"/>
    <w:rsid w:val="00DB5663"/>
    <w:rsid w:val="00DB5E5A"/>
    <w:rsid w:val="00DB63D1"/>
    <w:rsid w:val="00DB6BF9"/>
    <w:rsid w:val="00DB7460"/>
    <w:rsid w:val="00DB74CF"/>
    <w:rsid w:val="00DB757F"/>
    <w:rsid w:val="00DB7C89"/>
    <w:rsid w:val="00DB7CAB"/>
    <w:rsid w:val="00DC00D7"/>
    <w:rsid w:val="00DC0135"/>
    <w:rsid w:val="00DC013B"/>
    <w:rsid w:val="00DC090B"/>
    <w:rsid w:val="00DC0A41"/>
    <w:rsid w:val="00DC0C86"/>
    <w:rsid w:val="00DC13B3"/>
    <w:rsid w:val="00DC1679"/>
    <w:rsid w:val="00DC219B"/>
    <w:rsid w:val="00DC254F"/>
    <w:rsid w:val="00DC25B4"/>
    <w:rsid w:val="00DC274B"/>
    <w:rsid w:val="00DC2CF1"/>
    <w:rsid w:val="00DC2E1E"/>
    <w:rsid w:val="00DC2EFA"/>
    <w:rsid w:val="00DC303C"/>
    <w:rsid w:val="00DC3A05"/>
    <w:rsid w:val="00DC425F"/>
    <w:rsid w:val="00DC4EED"/>
    <w:rsid w:val="00DC4FCF"/>
    <w:rsid w:val="00DC50E0"/>
    <w:rsid w:val="00DC53D5"/>
    <w:rsid w:val="00DC5A7A"/>
    <w:rsid w:val="00DC60C3"/>
    <w:rsid w:val="00DC6386"/>
    <w:rsid w:val="00DC65D9"/>
    <w:rsid w:val="00DC7B23"/>
    <w:rsid w:val="00DC7C5F"/>
    <w:rsid w:val="00DD0419"/>
    <w:rsid w:val="00DD0656"/>
    <w:rsid w:val="00DD07AF"/>
    <w:rsid w:val="00DD0A69"/>
    <w:rsid w:val="00DD0BCF"/>
    <w:rsid w:val="00DD1130"/>
    <w:rsid w:val="00DD1951"/>
    <w:rsid w:val="00DD1B40"/>
    <w:rsid w:val="00DD1D6A"/>
    <w:rsid w:val="00DD213B"/>
    <w:rsid w:val="00DD3418"/>
    <w:rsid w:val="00DD3659"/>
    <w:rsid w:val="00DD487D"/>
    <w:rsid w:val="00DD4930"/>
    <w:rsid w:val="00DD4E83"/>
    <w:rsid w:val="00DD4F8F"/>
    <w:rsid w:val="00DD5803"/>
    <w:rsid w:val="00DD5B95"/>
    <w:rsid w:val="00DD6628"/>
    <w:rsid w:val="00DD6945"/>
    <w:rsid w:val="00DD7D57"/>
    <w:rsid w:val="00DD7F5C"/>
    <w:rsid w:val="00DE0175"/>
    <w:rsid w:val="00DE22A9"/>
    <w:rsid w:val="00DE2C97"/>
    <w:rsid w:val="00DE2D04"/>
    <w:rsid w:val="00DE3047"/>
    <w:rsid w:val="00DE315F"/>
    <w:rsid w:val="00DE3250"/>
    <w:rsid w:val="00DE3A0C"/>
    <w:rsid w:val="00DE3E26"/>
    <w:rsid w:val="00DE404D"/>
    <w:rsid w:val="00DE4172"/>
    <w:rsid w:val="00DE451A"/>
    <w:rsid w:val="00DE491A"/>
    <w:rsid w:val="00DE4FB4"/>
    <w:rsid w:val="00DE53D2"/>
    <w:rsid w:val="00DE572B"/>
    <w:rsid w:val="00DE5F2A"/>
    <w:rsid w:val="00DE6028"/>
    <w:rsid w:val="00DE60CE"/>
    <w:rsid w:val="00DE7278"/>
    <w:rsid w:val="00DE7281"/>
    <w:rsid w:val="00DE78A3"/>
    <w:rsid w:val="00DE7B6F"/>
    <w:rsid w:val="00DF0E2F"/>
    <w:rsid w:val="00DF1079"/>
    <w:rsid w:val="00DF166D"/>
    <w:rsid w:val="00DF19B6"/>
    <w:rsid w:val="00DF1A71"/>
    <w:rsid w:val="00DF1C0E"/>
    <w:rsid w:val="00DF1CE5"/>
    <w:rsid w:val="00DF20C2"/>
    <w:rsid w:val="00DF21CD"/>
    <w:rsid w:val="00DF2213"/>
    <w:rsid w:val="00DF3446"/>
    <w:rsid w:val="00DF3D9F"/>
    <w:rsid w:val="00DF3DB7"/>
    <w:rsid w:val="00DF3F23"/>
    <w:rsid w:val="00DF4806"/>
    <w:rsid w:val="00DF48D6"/>
    <w:rsid w:val="00DF4C9B"/>
    <w:rsid w:val="00DF4FAF"/>
    <w:rsid w:val="00DF50FC"/>
    <w:rsid w:val="00DF550A"/>
    <w:rsid w:val="00DF555A"/>
    <w:rsid w:val="00DF5DA0"/>
    <w:rsid w:val="00DF60F5"/>
    <w:rsid w:val="00DF6321"/>
    <w:rsid w:val="00DF671D"/>
    <w:rsid w:val="00DF68C7"/>
    <w:rsid w:val="00DF6BA4"/>
    <w:rsid w:val="00DF731A"/>
    <w:rsid w:val="00DF75B8"/>
    <w:rsid w:val="00DF7753"/>
    <w:rsid w:val="00DF798A"/>
    <w:rsid w:val="00DF7F5C"/>
    <w:rsid w:val="00E00343"/>
    <w:rsid w:val="00E00EE4"/>
    <w:rsid w:val="00E01ADD"/>
    <w:rsid w:val="00E029AB"/>
    <w:rsid w:val="00E02B6D"/>
    <w:rsid w:val="00E02F09"/>
    <w:rsid w:val="00E0371B"/>
    <w:rsid w:val="00E03C7E"/>
    <w:rsid w:val="00E03DF8"/>
    <w:rsid w:val="00E03E42"/>
    <w:rsid w:val="00E04303"/>
    <w:rsid w:val="00E04C71"/>
    <w:rsid w:val="00E05154"/>
    <w:rsid w:val="00E05746"/>
    <w:rsid w:val="00E05A6D"/>
    <w:rsid w:val="00E05F93"/>
    <w:rsid w:val="00E05FB4"/>
    <w:rsid w:val="00E05FCB"/>
    <w:rsid w:val="00E06A13"/>
    <w:rsid w:val="00E06B75"/>
    <w:rsid w:val="00E07236"/>
    <w:rsid w:val="00E07FBE"/>
    <w:rsid w:val="00E1023D"/>
    <w:rsid w:val="00E106C0"/>
    <w:rsid w:val="00E1081D"/>
    <w:rsid w:val="00E109B5"/>
    <w:rsid w:val="00E10A46"/>
    <w:rsid w:val="00E10A58"/>
    <w:rsid w:val="00E10F3B"/>
    <w:rsid w:val="00E11332"/>
    <w:rsid w:val="00E11352"/>
    <w:rsid w:val="00E11B6F"/>
    <w:rsid w:val="00E11BCC"/>
    <w:rsid w:val="00E11D61"/>
    <w:rsid w:val="00E125E6"/>
    <w:rsid w:val="00E13790"/>
    <w:rsid w:val="00E143DC"/>
    <w:rsid w:val="00E14D78"/>
    <w:rsid w:val="00E15386"/>
    <w:rsid w:val="00E153D7"/>
    <w:rsid w:val="00E158FB"/>
    <w:rsid w:val="00E15A77"/>
    <w:rsid w:val="00E16A4F"/>
    <w:rsid w:val="00E170DC"/>
    <w:rsid w:val="00E17546"/>
    <w:rsid w:val="00E17A7B"/>
    <w:rsid w:val="00E17C38"/>
    <w:rsid w:val="00E17DB1"/>
    <w:rsid w:val="00E201ED"/>
    <w:rsid w:val="00E208A9"/>
    <w:rsid w:val="00E20B10"/>
    <w:rsid w:val="00E210B5"/>
    <w:rsid w:val="00E21501"/>
    <w:rsid w:val="00E223A7"/>
    <w:rsid w:val="00E226A6"/>
    <w:rsid w:val="00E23095"/>
    <w:rsid w:val="00E23B0A"/>
    <w:rsid w:val="00E23D1D"/>
    <w:rsid w:val="00E23DA5"/>
    <w:rsid w:val="00E2435C"/>
    <w:rsid w:val="00E25134"/>
    <w:rsid w:val="00E2535A"/>
    <w:rsid w:val="00E25818"/>
    <w:rsid w:val="00E25917"/>
    <w:rsid w:val="00E25E5B"/>
    <w:rsid w:val="00E261B3"/>
    <w:rsid w:val="00E26547"/>
    <w:rsid w:val="00E26818"/>
    <w:rsid w:val="00E26E86"/>
    <w:rsid w:val="00E273C5"/>
    <w:rsid w:val="00E27697"/>
    <w:rsid w:val="00E27D49"/>
    <w:rsid w:val="00E27FFC"/>
    <w:rsid w:val="00E303E0"/>
    <w:rsid w:val="00E30B15"/>
    <w:rsid w:val="00E31552"/>
    <w:rsid w:val="00E32CE8"/>
    <w:rsid w:val="00E32CFB"/>
    <w:rsid w:val="00E33024"/>
    <w:rsid w:val="00E3302D"/>
    <w:rsid w:val="00E33237"/>
    <w:rsid w:val="00E33239"/>
    <w:rsid w:val="00E341D8"/>
    <w:rsid w:val="00E343D5"/>
    <w:rsid w:val="00E34886"/>
    <w:rsid w:val="00E34CB6"/>
    <w:rsid w:val="00E34D89"/>
    <w:rsid w:val="00E34EB8"/>
    <w:rsid w:val="00E3552C"/>
    <w:rsid w:val="00E35AA5"/>
    <w:rsid w:val="00E362DB"/>
    <w:rsid w:val="00E365AA"/>
    <w:rsid w:val="00E36D7C"/>
    <w:rsid w:val="00E40181"/>
    <w:rsid w:val="00E40ED3"/>
    <w:rsid w:val="00E410C9"/>
    <w:rsid w:val="00E4140F"/>
    <w:rsid w:val="00E41659"/>
    <w:rsid w:val="00E416A5"/>
    <w:rsid w:val="00E418F3"/>
    <w:rsid w:val="00E41E1E"/>
    <w:rsid w:val="00E41E20"/>
    <w:rsid w:val="00E428E9"/>
    <w:rsid w:val="00E42AD2"/>
    <w:rsid w:val="00E436C5"/>
    <w:rsid w:val="00E43F9F"/>
    <w:rsid w:val="00E442B5"/>
    <w:rsid w:val="00E44892"/>
    <w:rsid w:val="00E45192"/>
    <w:rsid w:val="00E4520D"/>
    <w:rsid w:val="00E45894"/>
    <w:rsid w:val="00E45958"/>
    <w:rsid w:val="00E464EC"/>
    <w:rsid w:val="00E4699E"/>
    <w:rsid w:val="00E469C6"/>
    <w:rsid w:val="00E469E9"/>
    <w:rsid w:val="00E47AA9"/>
    <w:rsid w:val="00E47E93"/>
    <w:rsid w:val="00E47F88"/>
    <w:rsid w:val="00E50179"/>
    <w:rsid w:val="00E503F4"/>
    <w:rsid w:val="00E50BFB"/>
    <w:rsid w:val="00E5275C"/>
    <w:rsid w:val="00E52BD5"/>
    <w:rsid w:val="00E52CBC"/>
    <w:rsid w:val="00E52DB3"/>
    <w:rsid w:val="00E5326D"/>
    <w:rsid w:val="00E54950"/>
    <w:rsid w:val="00E55697"/>
    <w:rsid w:val="00E564B0"/>
    <w:rsid w:val="00E56A01"/>
    <w:rsid w:val="00E56B95"/>
    <w:rsid w:val="00E56DEF"/>
    <w:rsid w:val="00E57B28"/>
    <w:rsid w:val="00E57BD9"/>
    <w:rsid w:val="00E603EB"/>
    <w:rsid w:val="00E61483"/>
    <w:rsid w:val="00E625AD"/>
    <w:rsid w:val="00E62622"/>
    <w:rsid w:val="00E6285F"/>
    <w:rsid w:val="00E62919"/>
    <w:rsid w:val="00E629A1"/>
    <w:rsid w:val="00E62DFB"/>
    <w:rsid w:val="00E63B50"/>
    <w:rsid w:val="00E64306"/>
    <w:rsid w:val="00E64DF2"/>
    <w:rsid w:val="00E65123"/>
    <w:rsid w:val="00E65C68"/>
    <w:rsid w:val="00E660D4"/>
    <w:rsid w:val="00E669B0"/>
    <w:rsid w:val="00E66DC1"/>
    <w:rsid w:val="00E66E5D"/>
    <w:rsid w:val="00E6794C"/>
    <w:rsid w:val="00E67DBA"/>
    <w:rsid w:val="00E67FDF"/>
    <w:rsid w:val="00E70CFE"/>
    <w:rsid w:val="00E71591"/>
    <w:rsid w:val="00E71795"/>
    <w:rsid w:val="00E7190E"/>
    <w:rsid w:val="00E7197B"/>
    <w:rsid w:val="00E71AC6"/>
    <w:rsid w:val="00E71CEB"/>
    <w:rsid w:val="00E7211D"/>
    <w:rsid w:val="00E7250E"/>
    <w:rsid w:val="00E7344C"/>
    <w:rsid w:val="00E742F7"/>
    <w:rsid w:val="00E7474F"/>
    <w:rsid w:val="00E74B72"/>
    <w:rsid w:val="00E75309"/>
    <w:rsid w:val="00E7574E"/>
    <w:rsid w:val="00E75FE8"/>
    <w:rsid w:val="00E760AE"/>
    <w:rsid w:val="00E76579"/>
    <w:rsid w:val="00E77350"/>
    <w:rsid w:val="00E77638"/>
    <w:rsid w:val="00E804A2"/>
    <w:rsid w:val="00E808F4"/>
    <w:rsid w:val="00E80A91"/>
    <w:rsid w:val="00E80B70"/>
    <w:rsid w:val="00E80DE3"/>
    <w:rsid w:val="00E80ED0"/>
    <w:rsid w:val="00E81D5B"/>
    <w:rsid w:val="00E81D69"/>
    <w:rsid w:val="00E822FF"/>
    <w:rsid w:val="00E82596"/>
    <w:rsid w:val="00E82B5F"/>
    <w:rsid w:val="00E82B87"/>
    <w:rsid w:val="00E82C55"/>
    <w:rsid w:val="00E82DC7"/>
    <w:rsid w:val="00E83129"/>
    <w:rsid w:val="00E83A38"/>
    <w:rsid w:val="00E83C92"/>
    <w:rsid w:val="00E840AB"/>
    <w:rsid w:val="00E8480F"/>
    <w:rsid w:val="00E84980"/>
    <w:rsid w:val="00E85007"/>
    <w:rsid w:val="00E8507D"/>
    <w:rsid w:val="00E85B3A"/>
    <w:rsid w:val="00E86B6F"/>
    <w:rsid w:val="00E86BDD"/>
    <w:rsid w:val="00E875B2"/>
    <w:rsid w:val="00E8787E"/>
    <w:rsid w:val="00E87A88"/>
    <w:rsid w:val="00E87D39"/>
    <w:rsid w:val="00E87E2E"/>
    <w:rsid w:val="00E90868"/>
    <w:rsid w:val="00E90F70"/>
    <w:rsid w:val="00E90FD3"/>
    <w:rsid w:val="00E91803"/>
    <w:rsid w:val="00E9234C"/>
    <w:rsid w:val="00E92472"/>
    <w:rsid w:val="00E92AC3"/>
    <w:rsid w:val="00E9324D"/>
    <w:rsid w:val="00E93AE2"/>
    <w:rsid w:val="00E93DAA"/>
    <w:rsid w:val="00E93F38"/>
    <w:rsid w:val="00E940ED"/>
    <w:rsid w:val="00E9430D"/>
    <w:rsid w:val="00E9443F"/>
    <w:rsid w:val="00E956E6"/>
    <w:rsid w:val="00E9573A"/>
    <w:rsid w:val="00E958A3"/>
    <w:rsid w:val="00E95E8C"/>
    <w:rsid w:val="00E961F4"/>
    <w:rsid w:val="00E9635C"/>
    <w:rsid w:val="00E96405"/>
    <w:rsid w:val="00E9640E"/>
    <w:rsid w:val="00E96903"/>
    <w:rsid w:val="00E973D5"/>
    <w:rsid w:val="00E97B1B"/>
    <w:rsid w:val="00EA0061"/>
    <w:rsid w:val="00EA03EC"/>
    <w:rsid w:val="00EA1360"/>
    <w:rsid w:val="00EA1C22"/>
    <w:rsid w:val="00EA252A"/>
    <w:rsid w:val="00EA2F6A"/>
    <w:rsid w:val="00EA3036"/>
    <w:rsid w:val="00EA3309"/>
    <w:rsid w:val="00EA341F"/>
    <w:rsid w:val="00EA58FA"/>
    <w:rsid w:val="00EA5E4D"/>
    <w:rsid w:val="00EA5E5C"/>
    <w:rsid w:val="00EA5F78"/>
    <w:rsid w:val="00EA65A7"/>
    <w:rsid w:val="00EA79BA"/>
    <w:rsid w:val="00EA7E78"/>
    <w:rsid w:val="00EB00E0"/>
    <w:rsid w:val="00EB05C7"/>
    <w:rsid w:val="00EB1F21"/>
    <w:rsid w:val="00EB22F1"/>
    <w:rsid w:val="00EB249F"/>
    <w:rsid w:val="00EB3956"/>
    <w:rsid w:val="00EB5240"/>
    <w:rsid w:val="00EB57D1"/>
    <w:rsid w:val="00EB586A"/>
    <w:rsid w:val="00EB5D58"/>
    <w:rsid w:val="00EB69B2"/>
    <w:rsid w:val="00EB70F0"/>
    <w:rsid w:val="00EB7180"/>
    <w:rsid w:val="00EC059F"/>
    <w:rsid w:val="00EC1969"/>
    <w:rsid w:val="00EC1F24"/>
    <w:rsid w:val="00EC220D"/>
    <w:rsid w:val="00EC22F6"/>
    <w:rsid w:val="00EC2332"/>
    <w:rsid w:val="00EC295A"/>
    <w:rsid w:val="00EC2CB0"/>
    <w:rsid w:val="00EC2F52"/>
    <w:rsid w:val="00EC3E71"/>
    <w:rsid w:val="00EC40D5"/>
    <w:rsid w:val="00EC424B"/>
    <w:rsid w:val="00EC472B"/>
    <w:rsid w:val="00EC4B86"/>
    <w:rsid w:val="00EC4BD4"/>
    <w:rsid w:val="00EC555E"/>
    <w:rsid w:val="00EC5825"/>
    <w:rsid w:val="00EC5A65"/>
    <w:rsid w:val="00EC61C8"/>
    <w:rsid w:val="00EC6573"/>
    <w:rsid w:val="00EC6B1A"/>
    <w:rsid w:val="00EC6E64"/>
    <w:rsid w:val="00EC7C2C"/>
    <w:rsid w:val="00ED1377"/>
    <w:rsid w:val="00ED1931"/>
    <w:rsid w:val="00ED19E9"/>
    <w:rsid w:val="00ED1AD6"/>
    <w:rsid w:val="00ED1B15"/>
    <w:rsid w:val="00ED277C"/>
    <w:rsid w:val="00ED322E"/>
    <w:rsid w:val="00ED3C20"/>
    <w:rsid w:val="00ED4280"/>
    <w:rsid w:val="00ED4620"/>
    <w:rsid w:val="00ED5323"/>
    <w:rsid w:val="00ED5588"/>
    <w:rsid w:val="00ED5ADD"/>
    <w:rsid w:val="00ED5B9B"/>
    <w:rsid w:val="00ED5EFE"/>
    <w:rsid w:val="00ED692E"/>
    <w:rsid w:val="00ED6BAD"/>
    <w:rsid w:val="00ED7447"/>
    <w:rsid w:val="00ED77D2"/>
    <w:rsid w:val="00EE008A"/>
    <w:rsid w:val="00EE00D6"/>
    <w:rsid w:val="00EE07FF"/>
    <w:rsid w:val="00EE0B86"/>
    <w:rsid w:val="00EE11E7"/>
    <w:rsid w:val="00EE13FE"/>
    <w:rsid w:val="00EE1488"/>
    <w:rsid w:val="00EE15DB"/>
    <w:rsid w:val="00EE237F"/>
    <w:rsid w:val="00EE2522"/>
    <w:rsid w:val="00EE29AD"/>
    <w:rsid w:val="00EE2EB5"/>
    <w:rsid w:val="00EE3059"/>
    <w:rsid w:val="00EE3540"/>
    <w:rsid w:val="00EE3A35"/>
    <w:rsid w:val="00EE3C8F"/>
    <w:rsid w:val="00EE3E24"/>
    <w:rsid w:val="00EE4036"/>
    <w:rsid w:val="00EE4345"/>
    <w:rsid w:val="00EE4785"/>
    <w:rsid w:val="00EE4B47"/>
    <w:rsid w:val="00EE4D5D"/>
    <w:rsid w:val="00EE5131"/>
    <w:rsid w:val="00EE5316"/>
    <w:rsid w:val="00EE609E"/>
    <w:rsid w:val="00EE6BB0"/>
    <w:rsid w:val="00EE6C27"/>
    <w:rsid w:val="00EE6ECC"/>
    <w:rsid w:val="00EE7497"/>
    <w:rsid w:val="00EF03B1"/>
    <w:rsid w:val="00EF0B83"/>
    <w:rsid w:val="00EF0F1D"/>
    <w:rsid w:val="00EF109B"/>
    <w:rsid w:val="00EF1718"/>
    <w:rsid w:val="00EF1AB5"/>
    <w:rsid w:val="00EF1F8E"/>
    <w:rsid w:val="00EF201C"/>
    <w:rsid w:val="00EF2029"/>
    <w:rsid w:val="00EF28CE"/>
    <w:rsid w:val="00EF2B4E"/>
    <w:rsid w:val="00EF2DD5"/>
    <w:rsid w:val="00EF3078"/>
    <w:rsid w:val="00EF36AF"/>
    <w:rsid w:val="00EF407D"/>
    <w:rsid w:val="00EF5093"/>
    <w:rsid w:val="00EF5697"/>
    <w:rsid w:val="00EF59A3"/>
    <w:rsid w:val="00EF6561"/>
    <w:rsid w:val="00EF6675"/>
    <w:rsid w:val="00EF6D46"/>
    <w:rsid w:val="00EF6F4A"/>
    <w:rsid w:val="00EF71AC"/>
    <w:rsid w:val="00EF7BF1"/>
    <w:rsid w:val="00EF7C2F"/>
    <w:rsid w:val="00F003FD"/>
    <w:rsid w:val="00F0090E"/>
    <w:rsid w:val="00F00CF2"/>
    <w:rsid w:val="00F00F1B"/>
    <w:rsid w:val="00F00F9C"/>
    <w:rsid w:val="00F01156"/>
    <w:rsid w:val="00F01E5F"/>
    <w:rsid w:val="00F01FAC"/>
    <w:rsid w:val="00F024F3"/>
    <w:rsid w:val="00F0273B"/>
    <w:rsid w:val="00F0290F"/>
    <w:rsid w:val="00F02ABA"/>
    <w:rsid w:val="00F03C88"/>
    <w:rsid w:val="00F0437A"/>
    <w:rsid w:val="00F0463A"/>
    <w:rsid w:val="00F04C46"/>
    <w:rsid w:val="00F04D2F"/>
    <w:rsid w:val="00F050A1"/>
    <w:rsid w:val="00F05B25"/>
    <w:rsid w:val="00F06C63"/>
    <w:rsid w:val="00F0707E"/>
    <w:rsid w:val="00F079B4"/>
    <w:rsid w:val="00F100CC"/>
    <w:rsid w:val="00F101B8"/>
    <w:rsid w:val="00F105CD"/>
    <w:rsid w:val="00F10B31"/>
    <w:rsid w:val="00F11037"/>
    <w:rsid w:val="00F11B20"/>
    <w:rsid w:val="00F11C5D"/>
    <w:rsid w:val="00F13923"/>
    <w:rsid w:val="00F147D2"/>
    <w:rsid w:val="00F15676"/>
    <w:rsid w:val="00F1610D"/>
    <w:rsid w:val="00F163AC"/>
    <w:rsid w:val="00F16A41"/>
    <w:rsid w:val="00F16B77"/>
    <w:rsid w:val="00F16F1B"/>
    <w:rsid w:val="00F171C6"/>
    <w:rsid w:val="00F20B14"/>
    <w:rsid w:val="00F20EEB"/>
    <w:rsid w:val="00F2163D"/>
    <w:rsid w:val="00F22110"/>
    <w:rsid w:val="00F222C9"/>
    <w:rsid w:val="00F2261A"/>
    <w:rsid w:val="00F22748"/>
    <w:rsid w:val="00F227A4"/>
    <w:rsid w:val="00F22A23"/>
    <w:rsid w:val="00F22E6D"/>
    <w:rsid w:val="00F22E6F"/>
    <w:rsid w:val="00F23FCA"/>
    <w:rsid w:val="00F250A9"/>
    <w:rsid w:val="00F25A3F"/>
    <w:rsid w:val="00F260BB"/>
    <w:rsid w:val="00F267AF"/>
    <w:rsid w:val="00F26896"/>
    <w:rsid w:val="00F307FA"/>
    <w:rsid w:val="00F30FF4"/>
    <w:rsid w:val="00F3122E"/>
    <w:rsid w:val="00F317D1"/>
    <w:rsid w:val="00F31E1B"/>
    <w:rsid w:val="00F32368"/>
    <w:rsid w:val="00F32718"/>
    <w:rsid w:val="00F32F09"/>
    <w:rsid w:val="00F331AD"/>
    <w:rsid w:val="00F33650"/>
    <w:rsid w:val="00F33DAA"/>
    <w:rsid w:val="00F33DCD"/>
    <w:rsid w:val="00F34331"/>
    <w:rsid w:val="00F34E97"/>
    <w:rsid w:val="00F350C3"/>
    <w:rsid w:val="00F35287"/>
    <w:rsid w:val="00F3531E"/>
    <w:rsid w:val="00F3574A"/>
    <w:rsid w:val="00F35B64"/>
    <w:rsid w:val="00F3680D"/>
    <w:rsid w:val="00F37BE2"/>
    <w:rsid w:val="00F37C23"/>
    <w:rsid w:val="00F40211"/>
    <w:rsid w:val="00F405E0"/>
    <w:rsid w:val="00F40A70"/>
    <w:rsid w:val="00F40B88"/>
    <w:rsid w:val="00F40C94"/>
    <w:rsid w:val="00F40DBF"/>
    <w:rsid w:val="00F40FD5"/>
    <w:rsid w:val="00F4147F"/>
    <w:rsid w:val="00F428C4"/>
    <w:rsid w:val="00F42EC0"/>
    <w:rsid w:val="00F433E7"/>
    <w:rsid w:val="00F43508"/>
    <w:rsid w:val="00F43618"/>
    <w:rsid w:val="00F438E9"/>
    <w:rsid w:val="00F43A37"/>
    <w:rsid w:val="00F43EE2"/>
    <w:rsid w:val="00F442DC"/>
    <w:rsid w:val="00F44621"/>
    <w:rsid w:val="00F44DA2"/>
    <w:rsid w:val="00F450C3"/>
    <w:rsid w:val="00F451AB"/>
    <w:rsid w:val="00F4520C"/>
    <w:rsid w:val="00F45868"/>
    <w:rsid w:val="00F45B4D"/>
    <w:rsid w:val="00F46138"/>
    <w:rsid w:val="00F4641B"/>
    <w:rsid w:val="00F46591"/>
    <w:rsid w:val="00F469FA"/>
    <w:rsid w:val="00F46EB8"/>
    <w:rsid w:val="00F4756D"/>
    <w:rsid w:val="00F501FF"/>
    <w:rsid w:val="00F504EE"/>
    <w:rsid w:val="00F50CD1"/>
    <w:rsid w:val="00F511E4"/>
    <w:rsid w:val="00F5141D"/>
    <w:rsid w:val="00F51BE0"/>
    <w:rsid w:val="00F51ED6"/>
    <w:rsid w:val="00F5212A"/>
    <w:rsid w:val="00F5268A"/>
    <w:rsid w:val="00F52D09"/>
    <w:rsid w:val="00F52D34"/>
    <w:rsid w:val="00F52E08"/>
    <w:rsid w:val="00F53368"/>
    <w:rsid w:val="00F53666"/>
    <w:rsid w:val="00F53A66"/>
    <w:rsid w:val="00F53DDD"/>
    <w:rsid w:val="00F54576"/>
    <w:rsid w:val="00F5462D"/>
    <w:rsid w:val="00F5463E"/>
    <w:rsid w:val="00F54ED2"/>
    <w:rsid w:val="00F55027"/>
    <w:rsid w:val="00F552BC"/>
    <w:rsid w:val="00F55339"/>
    <w:rsid w:val="00F55B21"/>
    <w:rsid w:val="00F561FD"/>
    <w:rsid w:val="00F5643E"/>
    <w:rsid w:val="00F5663D"/>
    <w:rsid w:val="00F5687D"/>
    <w:rsid w:val="00F56B97"/>
    <w:rsid w:val="00F56EF6"/>
    <w:rsid w:val="00F57435"/>
    <w:rsid w:val="00F60082"/>
    <w:rsid w:val="00F60508"/>
    <w:rsid w:val="00F6094B"/>
    <w:rsid w:val="00F60C26"/>
    <w:rsid w:val="00F61070"/>
    <w:rsid w:val="00F61410"/>
    <w:rsid w:val="00F61A8E"/>
    <w:rsid w:val="00F61A9F"/>
    <w:rsid w:val="00F61B5F"/>
    <w:rsid w:val="00F63178"/>
    <w:rsid w:val="00F63398"/>
    <w:rsid w:val="00F63552"/>
    <w:rsid w:val="00F63880"/>
    <w:rsid w:val="00F63AE1"/>
    <w:rsid w:val="00F63B4B"/>
    <w:rsid w:val="00F64491"/>
    <w:rsid w:val="00F645E7"/>
    <w:rsid w:val="00F64696"/>
    <w:rsid w:val="00F6483E"/>
    <w:rsid w:val="00F64BDB"/>
    <w:rsid w:val="00F64BE5"/>
    <w:rsid w:val="00F64F67"/>
    <w:rsid w:val="00F64FD5"/>
    <w:rsid w:val="00F65AA9"/>
    <w:rsid w:val="00F66936"/>
    <w:rsid w:val="00F66AD9"/>
    <w:rsid w:val="00F6768F"/>
    <w:rsid w:val="00F702F0"/>
    <w:rsid w:val="00F70394"/>
    <w:rsid w:val="00F70A1A"/>
    <w:rsid w:val="00F70DA6"/>
    <w:rsid w:val="00F71154"/>
    <w:rsid w:val="00F712D8"/>
    <w:rsid w:val="00F71A92"/>
    <w:rsid w:val="00F72152"/>
    <w:rsid w:val="00F7222B"/>
    <w:rsid w:val="00F72C2C"/>
    <w:rsid w:val="00F73DE2"/>
    <w:rsid w:val="00F74167"/>
    <w:rsid w:val="00F746A8"/>
    <w:rsid w:val="00F74C47"/>
    <w:rsid w:val="00F75B62"/>
    <w:rsid w:val="00F75D50"/>
    <w:rsid w:val="00F75DD1"/>
    <w:rsid w:val="00F761EA"/>
    <w:rsid w:val="00F76CAB"/>
    <w:rsid w:val="00F77242"/>
    <w:rsid w:val="00F772C6"/>
    <w:rsid w:val="00F80155"/>
    <w:rsid w:val="00F80442"/>
    <w:rsid w:val="00F8132F"/>
    <w:rsid w:val="00F8141C"/>
    <w:rsid w:val="00F81468"/>
    <w:rsid w:val="00F815B5"/>
    <w:rsid w:val="00F8205B"/>
    <w:rsid w:val="00F834DD"/>
    <w:rsid w:val="00F84FA0"/>
    <w:rsid w:val="00F85195"/>
    <w:rsid w:val="00F86099"/>
    <w:rsid w:val="00F86542"/>
    <w:rsid w:val="00F868E3"/>
    <w:rsid w:val="00F86BAA"/>
    <w:rsid w:val="00F873F9"/>
    <w:rsid w:val="00F874F1"/>
    <w:rsid w:val="00F87A77"/>
    <w:rsid w:val="00F87B09"/>
    <w:rsid w:val="00F90157"/>
    <w:rsid w:val="00F90413"/>
    <w:rsid w:val="00F91BBA"/>
    <w:rsid w:val="00F920A4"/>
    <w:rsid w:val="00F92192"/>
    <w:rsid w:val="00F925EA"/>
    <w:rsid w:val="00F92D12"/>
    <w:rsid w:val="00F9325A"/>
    <w:rsid w:val="00F938BA"/>
    <w:rsid w:val="00F93FE9"/>
    <w:rsid w:val="00F94EC7"/>
    <w:rsid w:val="00F94F57"/>
    <w:rsid w:val="00F95501"/>
    <w:rsid w:val="00F9550F"/>
    <w:rsid w:val="00F958EE"/>
    <w:rsid w:val="00F959EC"/>
    <w:rsid w:val="00F976E2"/>
    <w:rsid w:val="00F97919"/>
    <w:rsid w:val="00FA0829"/>
    <w:rsid w:val="00FA1255"/>
    <w:rsid w:val="00FA1404"/>
    <w:rsid w:val="00FA1E8C"/>
    <w:rsid w:val="00FA268B"/>
    <w:rsid w:val="00FA29B8"/>
    <w:rsid w:val="00FA2C46"/>
    <w:rsid w:val="00FA2EA2"/>
    <w:rsid w:val="00FA3525"/>
    <w:rsid w:val="00FA3E62"/>
    <w:rsid w:val="00FA3FD1"/>
    <w:rsid w:val="00FA4F0B"/>
    <w:rsid w:val="00FA50BD"/>
    <w:rsid w:val="00FA57A3"/>
    <w:rsid w:val="00FA5944"/>
    <w:rsid w:val="00FA5A53"/>
    <w:rsid w:val="00FA64BC"/>
    <w:rsid w:val="00FA65B3"/>
    <w:rsid w:val="00FA6CE5"/>
    <w:rsid w:val="00FA7201"/>
    <w:rsid w:val="00FA7255"/>
    <w:rsid w:val="00FA7E54"/>
    <w:rsid w:val="00FB0C76"/>
    <w:rsid w:val="00FB0FFA"/>
    <w:rsid w:val="00FB1188"/>
    <w:rsid w:val="00FB127A"/>
    <w:rsid w:val="00FB138A"/>
    <w:rsid w:val="00FB13E8"/>
    <w:rsid w:val="00FB2551"/>
    <w:rsid w:val="00FB3C6C"/>
    <w:rsid w:val="00FB4073"/>
    <w:rsid w:val="00FB42D2"/>
    <w:rsid w:val="00FB4769"/>
    <w:rsid w:val="00FB4806"/>
    <w:rsid w:val="00FB4CDA"/>
    <w:rsid w:val="00FB4EBC"/>
    <w:rsid w:val="00FB5499"/>
    <w:rsid w:val="00FB5699"/>
    <w:rsid w:val="00FB6481"/>
    <w:rsid w:val="00FB6D36"/>
    <w:rsid w:val="00FB7246"/>
    <w:rsid w:val="00FB792D"/>
    <w:rsid w:val="00FB7E99"/>
    <w:rsid w:val="00FC003C"/>
    <w:rsid w:val="00FC0638"/>
    <w:rsid w:val="00FC0965"/>
    <w:rsid w:val="00FC0C28"/>
    <w:rsid w:val="00FC0D6A"/>
    <w:rsid w:val="00FC0E6B"/>
    <w:rsid w:val="00FC0F81"/>
    <w:rsid w:val="00FC2359"/>
    <w:rsid w:val="00FC252F"/>
    <w:rsid w:val="00FC2BAB"/>
    <w:rsid w:val="00FC3015"/>
    <w:rsid w:val="00FC307B"/>
    <w:rsid w:val="00FC395C"/>
    <w:rsid w:val="00FC3E68"/>
    <w:rsid w:val="00FC4362"/>
    <w:rsid w:val="00FC46EB"/>
    <w:rsid w:val="00FC5C44"/>
    <w:rsid w:val="00FC5E8E"/>
    <w:rsid w:val="00FC5ED6"/>
    <w:rsid w:val="00FC6FD9"/>
    <w:rsid w:val="00FC7365"/>
    <w:rsid w:val="00FC79FB"/>
    <w:rsid w:val="00FD052D"/>
    <w:rsid w:val="00FD0943"/>
    <w:rsid w:val="00FD0E0C"/>
    <w:rsid w:val="00FD0FA8"/>
    <w:rsid w:val="00FD1203"/>
    <w:rsid w:val="00FD1893"/>
    <w:rsid w:val="00FD1B47"/>
    <w:rsid w:val="00FD2188"/>
    <w:rsid w:val="00FD26C6"/>
    <w:rsid w:val="00FD3500"/>
    <w:rsid w:val="00FD3766"/>
    <w:rsid w:val="00FD3C00"/>
    <w:rsid w:val="00FD45C5"/>
    <w:rsid w:val="00FD476E"/>
    <w:rsid w:val="00FD47C4"/>
    <w:rsid w:val="00FD5138"/>
    <w:rsid w:val="00FD5945"/>
    <w:rsid w:val="00FD63DC"/>
    <w:rsid w:val="00FD6481"/>
    <w:rsid w:val="00FD6491"/>
    <w:rsid w:val="00FD64A2"/>
    <w:rsid w:val="00FD6698"/>
    <w:rsid w:val="00FD68FD"/>
    <w:rsid w:val="00FD6A2A"/>
    <w:rsid w:val="00FD722A"/>
    <w:rsid w:val="00FD784C"/>
    <w:rsid w:val="00FE0D1C"/>
    <w:rsid w:val="00FE0DD4"/>
    <w:rsid w:val="00FE1272"/>
    <w:rsid w:val="00FE18B3"/>
    <w:rsid w:val="00FE1962"/>
    <w:rsid w:val="00FE244E"/>
    <w:rsid w:val="00FE281B"/>
    <w:rsid w:val="00FE2DCF"/>
    <w:rsid w:val="00FE3752"/>
    <w:rsid w:val="00FE3867"/>
    <w:rsid w:val="00FE3C53"/>
    <w:rsid w:val="00FE3FA7"/>
    <w:rsid w:val="00FE422A"/>
    <w:rsid w:val="00FE4AE7"/>
    <w:rsid w:val="00FE4F6C"/>
    <w:rsid w:val="00FE5472"/>
    <w:rsid w:val="00FE5527"/>
    <w:rsid w:val="00FE616B"/>
    <w:rsid w:val="00FE67D3"/>
    <w:rsid w:val="00FE68FA"/>
    <w:rsid w:val="00FE6A38"/>
    <w:rsid w:val="00FE7392"/>
    <w:rsid w:val="00FE7409"/>
    <w:rsid w:val="00FE77BB"/>
    <w:rsid w:val="00FE7AF6"/>
    <w:rsid w:val="00FF00BB"/>
    <w:rsid w:val="00FF0491"/>
    <w:rsid w:val="00FF087C"/>
    <w:rsid w:val="00FF0F40"/>
    <w:rsid w:val="00FF2A4E"/>
    <w:rsid w:val="00FF2ADC"/>
    <w:rsid w:val="00FF2FCE"/>
    <w:rsid w:val="00FF3549"/>
    <w:rsid w:val="00FF4D34"/>
    <w:rsid w:val="00FF4DE4"/>
    <w:rsid w:val="00FF4F7D"/>
    <w:rsid w:val="00FF54DF"/>
    <w:rsid w:val="00FF5A04"/>
    <w:rsid w:val="00FF5DF5"/>
    <w:rsid w:val="00FF64A6"/>
    <w:rsid w:val="00FF652A"/>
    <w:rsid w:val="00FF687F"/>
    <w:rsid w:val="00FF6B45"/>
    <w:rsid w:val="00FF6C6B"/>
    <w:rsid w:val="00FF6D9D"/>
    <w:rsid w:val="00FF7AA0"/>
    <w:rsid w:val="00FF7DD5"/>
    <w:rsid w:val="02454DE7"/>
    <w:rsid w:val="02945B9B"/>
    <w:rsid w:val="048FD546"/>
    <w:rsid w:val="0C6D19CB"/>
    <w:rsid w:val="0CA2A1E0"/>
    <w:rsid w:val="1A155E1E"/>
    <w:rsid w:val="1C2BAD27"/>
    <w:rsid w:val="1C314EB6"/>
    <w:rsid w:val="1E8C1C29"/>
    <w:rsid w:val="20B86724"/>
    <w:rsid w:val="2806AE6E"/>
    <w:rsid w:val="2F3C9D97"/>
    <w:rsid w:val="308F647C"/>
    <w:rsid w:val="32710488"/>
    <w:rsid w:val="34B659AC"/>
    <w:rsid w:val="380C98FC"/>
    <w:rsid w:val="380E74ED"/>
    <w:rsid w:val="3A374546"/>
    <w:rsid w:val="3CEE0CDC"/>
    <w:rsid w:val="429A2EB7"/>
    <w:rsid w:val="429CED82"/>
    <w:rsid w:val="494EF905"/>
    <w:rsid w:val="4C2C76A0"/>
    <w:rsid w:val="4D9A83F7"/>
    <w:rsid w:val="4E3E81E0"/>
    <w:rsid w:val="4FBE2A64"/>
    <w:rsid w:val="541A1276"/>
    <w:rsid w:val="54B78DEA"/>
    <w:rsid w:val="570F9C19"/>
    <w:rsid w:val="57535C84"/>
    <w:rsid w:val="5806FCAD"/>
    <w:rsid w:val="5BE5A05B"/>
    <w:rsid w:val="5C1EAD64"/>
    <w:rsid w:val="5FE107AC"/>
    <w:rsid w:val="60A3ABD1"/>
    <w:rsid w:val="617396F5"/>
    <w:rsid w:val="6237C6A8"/>
    <w:rsid w:val="64AA76DD"/>
    <w:rsid w:val="67358AF8"/>
    <w:rsid w:val="6AFED210"/>
    <w:rsid w:val="6CC2DC23"/>
    <w:rsid w:val="6CD2A684"/>
    <w:rsid w:val="6F12F8CD"/>
    <w:rsid w:val="71686DF9"/>
    <w:rsid w:val="724A0217"/>
    <w:rsid w:val="749A61BC"/>
    <w:rsid w:val="753D8B36"/>
    <w:rsid w:val="7A1081DC"/>
    <w:rsid w:val="7C5A46C6"/>
    <w:rsid w:val="7ED120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58E72B"/>
  <w15:docId w15:val="{3F7907C2-AABB-47ED-93E0-EDE69EE0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B17D3"/>
    <w:pPr>
      <w:keepNext/>
      <w:keepLines/>
      <w:numPr>
        <w:ilvl w:val="1"/>
        <w:numId w:val="27"/>
      </w:numPr>
      <w:spacing w:before="400" w:after="160" w:line="340" w:lineRule="atLeast"/>
      <w:outlineLvl w:val="1"/>
    </w:pPr>
    <w:rPr>
      <w:rFonts w:ascii="Arial" w:hAnsi="Arial"/>
      <w:b/>
      <w:bCs/>
      <w:color w:val="53565A"/>
      <w:sz w:val="28"/>
      <w:szCs w:val="24"/>
      <w:lang w:eastAsia="en-US"/>
    </w:rPr>
  </w:style>
  <w:style w:type="paragraph" w:styleId="Heading3">
    <w:name w:val="heading 3"/>
    <w:next w:val="Body"/>
    <w:link w:val="Heading3Char"/>
    <w:uiPriority w:val="1"/>
    <w:qFormat/>
    <w:rsid w:val="00BB17D3"/>
    <w:pPr>
      <w:keepNext/>
      <w:keepLines/>
      <w:spacing w:before="360" w:after="120" w:line="310" w:lineRule="atLeast"/>
      <w:outlineLvl w:val="2"/>
    </w:pPr>
    <w:rPr>
      <w:rFonts w:ascii="Arial" w:eastAsia="MS Gothic" w:hAnsi="Arial"/>
      <w:b/>
      <w:color w:val="53565A"/>
      <w:sz w:val="26"/>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B17D3"/>
    <w:rPr>
      <w:rFonts w:ascii="Arial" w:hAnsi="Arial"/>
      <w:b/>
      <w:bCs/>
      <w:color w:val="53565A"/>
      <w:sz w:val="28"/>
      <w:szCs w:val="24"/>
      <w:lang w:eastAsia="en-US"/>
    </w:rPr>
  </w:style>
  <w:style w:type="character" w:customStyle="1" w:styleId="Heading3Char">
    <w:name w:val="Heading 3 Char"/>
    <w:link w:val="Heading3"/>
    <w:uiPriority w:val="1"/>
    <w:rsid w:val="00BB17D3"/>
    <w:rPr>
      <w:rFonts w:ascii="Arial" w:eastAsia="MS Gothic" w:hAnsi="Arial"/>
      <w:b/>
      <w:color w:val="53565A"/>
      <w:sz w:val="26"/>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bCs/>
      <w:color w:val="53565A"/>
      <w:sz w:val="29"/>
      <w:szCs w:val="24"/>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Healthbullet1lastline">
    <w:name w:val="Health bullet 1 last line"/>
    <w:basedOn w:val="Normal"/>
    <w:rsid w:val="007914D1"/>
    <w:pPr>
      <w:numPr>
        <w:numId w:val="10"/>
      </w:numPr>
      <w:spacing w:line="270" w:lineRule="atLeast"/>
    </w:pPr>
    <w:rPr>
      <w:rFonts w:ascii="Calibri Light" w:eastAsia="MS Mincho" w:hAnsi="Calibri Light" w:cs="MS Mincho"/>
      <w:sz w:val="20"/>
      <w:szCs w:val="24"/>
    </w:rPr>
  </w:style>
  <w:style w:type="paragraph" w:styleId="Caption">
    <w:name w:val="caption"/>
    <w:basedOn w:val="Normal"/>
    <w:next w:val="Normal"/>
    <w:uiPriority w:val="35"/>
    <w:unhideWhenUsed/>
    <w:qFormat/>
    <w:rsid w:val="007914D1"/>
    <w:pPr>
      <w:spacing w:after="200" w:line="240" w:lineRule="auto"/>
    </w:pPr>
    <w:rPr>
      <w:i/>
      <w:iCs/>
      <w:color w:val="1F497D" w:themeColor="text2"/>
      <w:sz w:val="18"/>
      <w:szCs w:val="18"/>
    </w:rPr>
  </w:style>
  <w:style w:type="paragraph" w:styleId="ListParagraph">
    <w:name w:val="List Paragraph"/>
    <w:basedOn w:val="Normal"/>
    <w:uiPriority w:val="34"/>
    <w:qFormat/>
    <w:rsid w:val="007914D1"/>
    <w:pPr>
      <w:ind w:left="720"/>
      <w:contextualSpacing/>
    </w:pPr>
    <w:rPr>
      <w:rFonts w:ascii="Calibri Light" w:eastAsia="MS Mincho" w:hAnsi="Calibri Light" w:cs="MS Mincho"/>
    </w:rPr>
  </w:style>
  <w:style w:type="character" w:styleId="Mention">
    <w:name w:val="Mention"/>
    <w:basedOn w:val="DefaultParagraphFont"/>
    <w:uiPriority w:val="99"/>
    <w:unhideWhenUsed/>
    <w:rsid w:val="007914D1"/>
    <w:rPr>
      <w:color w:val="2B579A"/>
      <w:shd w:val="clear" w:color="auto" w:fill="E1DFDD"/>
    </w:rPr>
  </w:style>
  <w:style w:type="paragraph" w:customStyle="1" w:styleId="Box">
    <w:name w:val="Box"/>
    <w:basedOn w:val="Normal"/>
    <w:link w:val="BoxChar"/>
    <w:uiPriority w:val="11"/>
    <w:qFormat/>
    <w:rsid w:val="007914D1"/>
    <w:rPr>
      <w:rFonts w:ascii="Calibri Light" w:eastAsia="MS Mincho" w:hAnsi="Calibri Light" w:cs="MS Mincho"/>
      <w:sz w:val="20"/>
      <w:szCs w:val="18"/>
      <w:lang w:eastAsia="en-AU"/>
    </w:rPr>
  </w:style>
  <w:style w:type="character" w:customStyle="1" w:styleId="BoxChar">
    <w:name w:val="Box Char"/>
    <w:basedOn w:val="DefaultParagraphFont"/>
    <w:link w:val="Box"/>
    <w:uiPriority w:val="11"/>
    <w:rsid w:val="007914D1"/>
    <w:rPr>
      <w:rFonts w:ascii="Calibri Light" w:eastAsia="MS Mincho" w:hAnsi="Calibri Light" w:cs="MS Mincho"/>
      <w:szCs w:val="18"/>
    </w:rPr>
  </w:style>
  <w:style w:type="character" w:styleId="Emphasis">
    <w:name w:val="Emphasis"/>
    <w:uiPriority w:val="20"/>
    <w:qFormat/>
    <w:rsid w:val="007914D1"/>
    <w:rPr>
      <w:i/>
      <w:iCs/>
    </w:rPr>
  </w:style>
  <w:style w:type="character" w:customStyle="1" w:styleId="normaltextrun">
    <w:name w:val="normaltextrun"/>
    <w:basedOn w:val="DefaultParagraphFont"/>
    <w:rsid w:val="00796E44"/>
  </w:style>
  <w:style w:type="character" w:customStyle="1" w:styleId="HeaderChar">
    <w:name w:val="Header Char"/>
    <w:basedOn w:val="DefaultParagraphFont"/>
    <w:link w:val="Header"/>
    <w:uiPriority w:val="10"/>
    <w:rsid w:val="00785A20"/>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785A20"/>
    <w:rPr>
      <w:rFonts w:ascii="Arial" w:hAnsi="Arial" w:cs="Arial"/>
      <w:szCs w:val="18"/>
      <w:lang w:eastAsia="en-US"/>
    </w:rPr>
  </w:style>
  <w:style w:type="table" w:styleId="ListTable3-Accent1">
    <w:name w:val="List Table 3 Accent 1"/>
    <w:basedOn w:val="TableNormal"/>
    <w:uiPriority w:val="48"/>
    <w:rsid w:val="00785A20"/>
    <w:rPr>
      <w:rFonts w:ascii="MS Mincho" w:eastAsia="MS Mincho" w:hAnsi="MS Mincho" w:cs="MS Minch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Heading">
    <w:name w:val="TOC Heading"/>
    <w:basedOn w:val="Heading1"/>
    <w:next w:val="Normal"/>
    <w:uiPriority w:val="39"/>
    <w:unhideWhenUsed/>
    <w:qFormat/>
    <w:rsid w:val="00785A2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Letterbody">
    <w:name w:val="Letter body"/>
    <w:link w:val="LetterbodyChar"/>
    <w:qFormat/>
    <w:rsid w:val="00785A20"/>
    <w:pPr>
      <w:tabs>
        <w:tab w:val="left" w:pos="1333"/>
      </w:tabs>
      <w:spacing w:after="240" w:line="270" w:lineRule="atLeast"/>
    </w:pPr>
    <w:rPr>
      <w:rFonts w:ascii="Calibri Light" w:eastAsia="Yu Gothic Light" w:hAnsi="Calibri Light" w:cs="Calibri Light"/>
      <w:sz w:val="22"/>
      <w:szCs w:val="22"/>
      <w:lang w:eastAsia="en-US"/>
    </w:rPr>
  </w:style>
  <w:style w:type="character" w:customStyle="1" w:styleId="LetterbodyChar">
    <w:name w:val="Letter body Char"/>
    <w:basedOn w:val="DefaultParagraphFont"/>
    <w:link w:val="Letterbody"/>
    <w:rsid w:val="00785A20"/>
    <w:rPr>
      <w:rFonts w:ascii="Calibri Light" w:eastAsia="Yu Gothic Light" w:hAnsi="Calibri Light" w:cs="Calibri Light"/>
      <w:sz w:val="22"/>
      <w:szCs w:val="22"/>
      <w:lang w:eastAsia="en-US"/>
    </w:rPr>
  </w:style>
  <w:style w:type="paragraph" w:styleId="BodyText">
    <w:name w:val="Body Text"/>
    <w:basedOn w:val="Normal"/>
    <w:link w:val="BodyTextChar"/>
    <w:uiPriority w:val="99"/>
    <w:unhideWhenUsed/>
    <w:rsid w:val="00785A20"/>
    <w:pPr>
      <w:spacing w:before="60" w:line="240" w:lineRule="auto"/>
      <w:ind w:left="567" w:right="283"/>
    </w:pPr>
    <w:rPr>
      <w:rFonts w:ascii="Calibri Light" w:eastAsiaTheme="minorHAnsi" w:hAnsi="Calibri Light" w:cs="Arial"/>
      <w:sz w:val="22"/>
      <w:szCs w:val="22"/>
      <w:lang w:eastAsia="en-AU"/>
    </w:rPr>
  </w:style>
  <w:style w:type="character" w:customStyle="1" w:styleId="BodyTextChar">
    <w:name w:val="Body Text Char"/>
    <w:basedOn w:val="DefaultParagraphFont"/>
    <w:link w:val="BodyText"/>
    <w:uiPriority w:val="99"/>
    <w:rsid w:val="00785A20"/>
    <w:rPr>
      <w:rFonts w:ascii="Calibri Light" w:eastAsiaTheme="minorHAnsi" w:hAnsi="Calibri Light" w:cs="Arial"/>
      <w:sz w:val="22"/>
      <w:szCs w:val="22"/>
    </w:rPr>
  </w:style>
  <w:style w:type="paragraph" w:customStyle="1" w:styleId="DHHSbody">
    <w:name w:val="DHHS body"/>
    <w:link w:val="DHHSbodyChar"/>
    <w:qFormat/>
    <w:rsid w:val="00785A20"/>
    <w:pPr>
      <w:spacing w:after="120" w:line="270" w:lineRule="atLeast"/>
    </w:pPr>
    <w:rPr>
      <w:rFonts w:ascii="Calibri Light" w:eastAsia="Yu Mincho" w:hAnsi="Calibri Light" w:cs="MS Mincho"/>
      <w:lang w:eastAsia="en-US"/>
    </w:rPr>
  </w:style>
  <w:style w:type="paragraph" w:customStyle="1" w:styleId="DHHSbullet1">
    <w:name w:val="DHHS bullet 1"/>
    <w:basedOn w:val="DHHSbody"/>
    <w:qFormat/>
    <w:rsid w:val="00785A20"/>
    <w:pPr>
      <w:spacing w:after="40"/>
      <w:ind w:left="284" w:hanging="284"/>
    </w:pPr>
  </w:style>
  <w:style w:type="paragraph" w:customStyle="1" w:styleId="DHHSbullet2">
    <w:name w:val="DHHS bullet 2"/>
    <w:basedOn w:val="DHHSbody"/>
    <w:uiPriority w:val="2"/>
    <w:qFormat/>
    <w:rsid w:val="00785A20"/>
    <w:pPr>
      <w:spacing w:after="40"/>
      <w:ind w:left="567" w:hanging="283"/>
    </w:pPr>
  </w:style>
  <w:style w:type="paragraph" w:customStyle="1" w:styleId="DHHSbullet1lastline">
    <w:name w:val="DHHS bullet 1 last line"/>
    <w:basedOn w:val="DHHSbullet1"/>
    <w:qFormat/>
    <w:rsid w:val="00785A20"/>
    <w:pPr>
      <w:spacing w:after="120"/>
    </w:pPr>
  </w:style>
  <w:style w:type="paragraph" w:customStyle="1" w:styleId="DHHSbullet2lastline">
    <w:name w:val="DHHS bullet 2 last line"/>
    <w:basedOn w:val="DHHSbullet2"/>
    <w:uiPriority w:val="2"/>
    <w:qFormat/>
    <w:rsid w:val="00785A20"/>
    <w:pPr>
      <w:spacing w:after="120"/>
    </w:pPr>
  </w:style>
  <w:style w:type="paragraph" w:customStyle="1" w:styleId="DHHStablebullet">
    <w:name w:val="DHHS table bullet"/>
    <w:basedOn w:val="Normal"/>
    <w:uiPriority w:val="3"/>
    <w:qFormat/>
    <w:rsid w:val="00785A20"/>
    <w:pPr>
      <w:spacing w:before="80" w:after="60" w:line="240" w:lineRule="auto"/>
      <w:ind w:left="227" w:hanging="227"/>
    </w:pPr>
    <w:rPr>
      <w:rFonts w:ascii="Calibri Light" w:eastAsia="MS Mincho" w:hAnsi="Calibri Light" w:cs="MS Mincho"/>
      <w:sz w:val="20"/>
    </w:rPr>
  </w:style>
  <w:style w:type="paragraph" w:customStyle="1" w:styleId="DHHSbulletindent">
    <w:name w:val="DHHS bullet indent"/>
    <w:basedOn w:val="DHHSbody"/>
    <w:uiPriority w:val="4"/>
    <w:rsid w:val="00785A20"/>
    <w:pPr>
      <w:spacing w:after="40"/>
      <w:ind w:left="680" w:hanging="283"/>
    </w:pPr>
  </w:style>
  <w:style w:type="paragraph" w:customStyle="1" w:styleId="DHHSbulletindentlastline">
    <w:name w:val="DHHS bullet indent last line"/>
    <w:basedOn w:val="DHHSbody"/>
    <w:uiPriority w:val="4"/>
    <w:rsid w:val="00785A20"/>
    <w:pPr>
      <w:ind w:left="680" w:hanging="283"/>
    </w:pPr>
  </w:style>
  <w:style w:type="character" w:customStyle="1" w:styleId="eop">
    <w:name w:val="eop"/>
    <w:basedOn w:val="DefaultParagraphFont"/>
    <w:rsid w:val="00785A20"/>
  </w:style>
  <w:style w:type="paragraph" w:customStyle="1" w:styleId="paragraph">
    <w:name w:val="paragraph"/>
    <w:basedOn w:val="Normal"/>
    <w:rsid w:val="00785A20"/>
    <w:pPr>
      <w:spacing w:before="100" w:beforeAutospacing="1" w:after="100" w:afterAutospacing="1" w:line="240" w:lineRule="auto"/>
    </w:pPr>
    <w:rPr>
      <w:rFonts w:ascii="MS Mincho" w:eastAsia="MS Mincho" w:hAnsi="MS Mincho" w:cs="MS Mincho"/>
      <w:sz w:val="24"/>
      <w:szCs w:val="24"/>
      <w:lang w:eastAsia="en-AU"/>
    </w:rPr>
  </w:style>
  <w:style w:type="paragraph" w:styleId="ListBullet">
    <w:name w:val="List Bullet"/>
    <w:basedOn w:val="BodyText"/>
    <w:unhideWhenUsed/>
    <w:qFormat/>
    <w:rsid w:val="00785A20"/>
    <w:pPr>
      <w:numPr>
        <w:numId w:val="11"/>
      </w:numPr>
      <w:spacing w:after="210" w:line="260" w:lineRule="atLeast"/>
      <w:ind w:right="0"/>
    </w:pPr>
    <w:rPr>
      <w:rFonts w:eastAsia="Times New Roman" w:cs="Times New Roman"/>
      <w:color w:val="1E1E1E"/>
    </w:rPr>
  </w:style>
  <w:style w:type="paragraph" w:styleId="ListBullet2">
    <w:name w:val="List Bullet 2"/>
    <w:basedOn w:val="ListBullet"/>
    <w:semiHidden/>
    <w:unhideWhenUsed/>
    <w:qFormat/>
    <w:rsid w:val="00785A20"/>
    <w:pPr>
      <w:numPr>
        <w:ilvl w:val="1"/>
      </w:numPr>
    </w:pPr>
    <w:rPr>
      <w:rFonts w:eastAsia="Lucida Grande" w:cs="Lucida Grande"/>
    </w:rPr>
  </w:style>
  <w:style w:type="paragraph" w:styleId="ListBullet3">
    <w:name w:val="List Bullet 3"/>
    <w:basedOn w:val="ListBullet2"/>
    <w:unhideWhenUsed/>
    <w:qFormat/>
    <w:rsid w:val="00785A20"/>
    <w:pPr>
      <w:numPr>
        <w:ilvl w:val="2"/>
      </w:numPr>
    </w:pPr>
  </w:style>
  <w:style w:type="paragraph" w:styleId="ListBullet4">
    <w:name w:val="List Bullet 4"/>
    <w:basedOn w:val="Normal"/>
    <w:unhideWhenUsed/>
    <w:rsid w:val="00785A20"/>
    <w:pPr>
      <w:numPr>
        <w:ilvl w:val="3"/>
        <w:numId w:val="11"/>
      </w:numPr>
      <w:spacing w:after="40" w:line="260" w:lineRule="atLeast"/>
      <w:contextualSpacing/>
    </w:pPr>
    <w:rPr>
      <w:rFonts w:ascii="Calibri Light" w:eastAsia="MS Mincho" w:hAnsi="Calibri Light" w:cs="MS Mincho"/>
      <w:color w:val="1E1E1E"/>
      <w:sz w:val="22"/>
      <w:szCs w:val="22"/>
      <w:lang w:eastAsia="en-AU"/>
    </w:rPr>
  </w:style>
  <w:style w:type="character" w:customStyle="1" w:styleId="DHHSbodyChar">
    <w:name w:val="DHHS body Char"/>
    <w:basedOn w:val="DefaultParagraphFont"/>
    <w:link w:val="DHHSbody"/>
    <w:locked/>
    <w:rsid w:val="00785A20"/>
    <w:rPr>
      <w:rFonts w:ascii="Calibri Light" w:eastAsia="Yu Mincho" w:hAnsi="Calibri Light" w:cs="MS Mincho"/>
      <w:lang w:eastAsia="en-US"/>
    </w:rPr>
  </w:style>
  <w:style w:type="paragraph" w:customStyle="1" w:styleId="TableNumList2">
    <w:name w:val="TableNumList2"/>
    <w:basedOn w:val="Normal"/>
    <w:qFormat/>
    <w:rsid w:val="00785A20"/>
    <w:pPr>
      <w:spacing w:before="60" w:after="60" w:line="240" w:lineRule="auto"/>
      <w:ind w:left="567" w:hanging="567"/>
    </w:pPr>
    <w:rPr>
      <w:rFonts w:asciiTheme="minorHAnsi" w:eastAsiaTheme="minorHAnsi" w:hAnsiTheme="minorHAnsi" w:cstheme="minorBidi"/>
      <w:sz w:val="20"/>
    </w:rPr>
  </w:style>
  <w:style w:type="table" w:styleId="GridTable1Light-Accent1">
    <w:name w:val="Grid Table 1 Light Accent 1"/>
    <w:basedOn w:val="TableNormal"/>
    <w:uiPriority w:val="46"/>
    <w:rsid w:val="00785A20"/>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NumList1">
    <w:name w:val="TableNumList1"/>
    <w:basedOn w:val="Normal"/>
    <w:next w:val="TableNumList2"/>
    <w:qFormat/>
    <w:rsid w:val="00785A20"/>
    <w:pPr>
      <w:spacing w:before="60" w:after="60" w:line="240" w:lineRule="auto"/>
      <w:ind w:left="425" w:hanging="425"/>
    </w:pPr>
    <w:rPr>
      <w:rFonts w:asciiTheme="minorHAnsi" w:eastAsiaTheme="minorHAnsi" w:hAnsiTheme="minorHAnsi" w:cstheme="minorBidi"/>
      <w:b/>
      <w:sz w:val="20"/>
    </w:rPr>
  </w:style>
  <w:style w:type="paragraph" w:customStyle="1" w:styleId="Default">
    <w:name w:val="Default"/>
    <w:rsid w:val="00785A20"/>
    <w:pPr>
      <w:autoSpaceDE w:val="0"/>
      <w:autoSpaceDN w:val="0"/>
      <w:adjustRightInd w:val="0"/>
    </w:pPr>
    <w:rPr>
      <w:rFonts w:ascii="MS Mincho" w:eastAsia="MS Mincho" w:hAnsi="MS Mincho" w:cs="MS Mincho"/>
      <w:color w:val="000000"/>
      <w:sz w:val="24"/>
      <w:szCs w:val="24"/>
    </w:rPr>
  </w:style>
  <w:style w:type="paragraph" w:styleId="NormalWeb">
    <w:name w:val="Normal (Web)"/>
    <w:basedOn w:val="Normal"/>
    <w:uiPriority w:val="99"/>
    <w:semiHidden/>
    <w:unhideWhenUsed/>
    <w:rsid w:val="00785A20"/>
    <w:pPr>
      <w:spacing w:before="100" w:beforeAutospacing="1" w:after="100" w:afterAutospacing="1" w:line="240" w:lineRule="auto"/>
    </w:pPr>
    <w:rPr>
      <w:rFonts w:ascii="MS Mincho" w:eastAsia="MS Mincho" w:hAnsi="MS Mincho" w:cs="MS Mincho"/>
      <w:sz w:val="24"/>
      <w:szCs w:val="24"/>
      <w:lang w:eastAsia="en-AU"/>
    </w:rPr>
  </w:style>
  <w:style w:type="paragraph" w:customStyle="1" w:styleId="Pa3">
    <w:name w:val="Pa3"/>
    <w:basedOn w:val="Default"/>
    <w:next w:val="Default"/>
    <w:uiPriority w:val="99"/>
    <w:rsid w:val="00785A20"/>
    <w:pPr>
      <w:spacing w:line="191" w:lineRule="atLeast"/>
    </w:pPr>
    <w:rPr>
      <w:rFonts w:ascii="Calibri Light" w:hAnsi="Calibri Light"/>
      <w:color w:val="auto"/>
    </w:rPr>
  </w:style>
  <w:style w:type="character" w:customStyle="1" w:styleId="scxw4696186">
    <w:name w:val="scxw4696186"/>
    <w:basedOn w:val="DefaultParagraphFont"/>
    <w:rsid w:val="00785A20"/>
  </w:style>
  <w:style w:type="character" w:customStyle="1" w:styleId="cf01">
    <w:name w:val="cf01"/>
    <w:basedOn w:val="DefaultParagraphFont"/>
    <w:rsid w:val="00785A20"/>
    <w:rPr>
      <w:rFonts w:ascii="MS Gothic" w:hAnsi="MS Gothic" w:cs="MS Gothic" w:hint="default"/>
      <w:sz w:val="18"/>
      <w:szCs w:val="18"/>
    </w:rPr>
  </w:style>
  <w:style w:type="paragraph" w:customStyle="1" w:styleId="DHHStabletext">
    <w:name w:val="DHHS table text"/>
    <w:uiPriority w:val="3"/>
    <w:qFormat/>
    <w:rsid w:val="00785A20"/>
    <w:pPr>
      <w:spacing w:before="80" w:after="60"/>
    </w:pPr>
    <w:rPr>
      <w:rFonts w:ascii="Calibri Light" w:eastAsia="MS Mincho" w:hAnsi="Calibri Light" w:cs="MS Mincho"/>
      <w:lang w:eastAsia="en-US"/>
    </w:rPr>
  </w:style>
  <w:style w:type="paragraph" w:customStyle="1" w:styleId="DHHStablecolhead">
    <w:name w:val="DHHS table col head"/>
    <w:uiPriority w:val="3"/>
    <w:qFormat/>
    <w:rsid w:val="00785A20"/>
    <w:pPr>
      <w:spacing w:before="80" w:after="60"/>
    </w:pPr>
    <w:rPr>
      <w:rFonts w:ascii="Calibri Light" w:eastAsia="MS Mincho" w:hAnsi="Calibri Light" w:cs="MS Mincho"/>
      <w:b/>
      <w:color w:val="201547"/>
      <w:lang w:eastAsia="en-US"/>
    </w:rPr>
  </w:style>
  <w:style w:type="character" w:customStyle="1" w:styleId="ui-provider">
    <w:name w:val="ui-provider"/>
    <w:basedOn w:val="DefaultParagraphFont"/>
    <w:rsid w:val="0078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805813">
      <w:bodyDiv w:val="1"/>
      <w:marLeft w:val="0"/>
      <w:marRight w:val="0"/>
      <w:marTop w:val="0"/>
      <w:marBottom w:val="0"/>
      <w:divBdr>
        <w:top w:val="none" w:sz="0" w:space="0" w:color="auto"/>
        <w:left w:val="none" w:sz="0" w:space="0" w:color="auto"/>
        <w:bottom w:val="none" w:sz="0" w:space="0" w:color="auto"/>
        <w:right w:val="none" w:sz="0" w:space="0" w:color="auto"/>
      </w:divBdr>
    </w:div>
    <w:div w:id="353967771">
      <w:bodyDiv w:val="1"/>
      <w:marLeft w:val="0"/>
      <w:marRight w:val="0"/>
      <w:marTop w:val="0"/>
      <w:marBottom w:val="0"/>
      <w:divBdr>
        <w:top w:val="none" w:sz="0" w:space="0" w:color="auto"/>
        <w:left w:val="none" w:sz="0" w:space="0" w:color="auto"/>
        <w:bottom w:val="none" w:sz="0" w:space="0" w:color="auto"/>
        <w:right w:val="none" w:sz="0" w:space="0" w:color="auto"/>
      </w:divBdr>
    </w:div>
    <w:div w:id="430904640">
      <w:bodyDiv w:val="1"/>
      <w:marLeft w:val="0"/>
      <w:marRight w:val="0"/>
      <w:marTop w:val="0"/>
      <w:marBottom w:val="0"/>
      <w:divBdr>
        <w:top w:val="none" w:sz="0" w:space="0" w:color="auto"/>
        <w:left w:val="none" w:sz="0" w:space="0" w:color="auto"/>
        <w:bottom w:val="none" w:sz="0" w:space="0" w:color="auto"/>
        <w:right w:val="none" w:sz="0" w:space="0" w:color="auto"/>
      </w:divBdr>
    </w:div>
    <w:div w:id="6803521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9314911">
      <w:bodyDiv w:val="1"/>
      <w:marLeft w:val="0"/>
      <w:marRight w:val="0"/>
      <w:marTop w:val="0"/>
      <w:marBottom w:val="0"/>
      <w:divBdr>
        <w:top w:val="none" w:sz="0" w:space="0" w:color="auto"/>
        <w:left w:val="none" w:sz="0" w:space="0" w:color="auto"/>
        <w:bottom w:val="none" w:sz="0" w:space="0" w:color="auto"/>
        <w:right w:val="none" w:sz="0" w:space="0" w:color="auto"/>
      </w:divBdr>
    </w:div>
    <w:div w:id="1015234074">
      <w:bodyDiv w:val="1"/>
      <w:marLeft w:val="0"/>
      <w:marRight w:val="0"/>
      <w:marTop w:val="0"/>
      <w:marBottom w:val="0"/>
      <w:divBdr>
        <w:top w:val="none" w:sz="0" w:space="0" w:color="auto"/>
        <w:left w:val="none" w:sz="0" w:space="0" w:color="auto"/>
        <w:bottom w:val="none" w:sz="0" w:space="0" w:color="auto"/>
        <w:right w:val="none" w:sz="0" w:space="0" w:color="auto"/>
      </w:divBdr>
    </w:div>
    <w:div w:id="132123046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eptreview@health.vic.gov.au"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mailto:neptreview@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neptreview@health.vic.gov.au"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hdphoto" Target="media/hdphoto1.wdp"/><Relationship Id="rId28" Type="http://schemas.openxmlformats.org/officeDocument/2006/relationships/hyperlink" Target="https://www.health.vic.gov.au/patient-care/non-emergency-patient-transport-review"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sites/default/files/migrated/files/collections/research-and-reports/h/hospital-safety-and-quality-assurance-in-victoria.pdf" TargetMode="External"/><Relationship Id="rId13" Type="http://schemas.openxmlformats.org/officeDocument/2006/relationships/hyperlink" Target="https://www.health.vic.gov.au/sites/default/files/2022-04/rural-public-health-care-agencies-ict-alliance-policy.docx" TargetMode="External"/><Relationship Id="rId18" Type="http://schemas.openxmlformats.org/officeDocument/2006/relationships/hyperlink" Target="https://www1.health.nsw.gov.au/pds/ActivePDSDocuments/PD2018_002.pdf" TargetMode="External"/><Relationship Id="rId26" Type="http://schemas.openxmlformats.org/officeDocument/2006/relationships/hyperlink" Target="https://www.stjohnnt.org.au/services/ambulance-patient-transfer" TargetMode="External"/><Relationship Id="rId3" Type="http://schemas.openxmlformats.org/officeDocument/2006/relationships/hyperlink" Target="https://www.emv.vic.gov.au/publications/emergency-management-operational-review-2016-17" TargetMode="External"/><Relationship Id="rId21" Type="http://schemas.openxmlformats.org/officeDocument/2006/relationships/hyperlink" Target="https://www.theorsociety.com/resource-centre/business-case-studies/improving-patient-transport-in-new-south-wales/" TargetMode="External"/><Relationship Id="rId7" Type="http://schemas.openxmlformats.org/officeDocument/2006/relationships/hyperlink" Target="https://www.ambulance.vic.gov.au/community/education/how-we-manage-demand/" TargetMode="External"/><Relationship Id="rId12" Type="http://schemas.openxmlformats.org/officeDocument/2006/relationships/hyperlink" Target="https://vau.org.au/st-john-members-protected-industrial-action-faqs/" TargetMode="External"/><Relationship Id="rId17" Type="http://schemas.openxmlformats.org/officeDocument/2006/relationships/hyperlink" Target="https://www.vic.gov.au/free-tafe" TargetMode="External"/><Relationship Id="rId25" Type="http://schemas.openxmlformats.org/officeDocument/2006/relationships/hyperlink" Target="https://digital.nhs.uk/about-nhs-digital/corporate-information-and-documents/directions-and-data-provision-notices/nhs-england-directions/non-emergency-patient-transport-services-data-collection-directions-2022" TargetMode="External"/><Relationship Id="rId2" Type="http://schemas.openxmlformats.org/officeDocument/2006/relationships/hyperlink" Target="https://www.health.vic.gov.au/patient-care/nept-legislation-and-clinical-practice-protocols" TargetMode="External"/><Relationship Id="rId16" Type="http://schemas.openxmlformats.org/officeDocument/2006/relationships/hyperlink" Target="https://www.redcross.org.au/globalassets/cms/publications/annual-reports/annual-report-2022.pdf" TargetMode="External"/><Relationship Id="rId20" Type="http://schemas.openxmlformats.org/officeDocument/2006/relationships/hyperlink" Target="https://logissolutions.net/case-studies/new-south-wales/" TargetMode="External"/><Relationship Id="rId1" Type="http://schemas.openxmlformats.org/officeDocument/2006/relationships/hyperlink" Target="https://www.health.vic.gov.au/patient-care/non-emergency-patient-transport-review" TargetMode="External"/><Relationship Id="rId6" Type="http://schemas.openxmlformats.org/officeDocument/2006/relationships/hyperlink" Target="https://ajp.paramedics.org/index.php/ajp/article/view/473/473" TargetMode="External"/><Relationship Id="rId11" Type="http://schemas.openxmlformats.org/officeDocument/2006/relationships/hyperlink" Target="http://rcvmhs.archive.royalcommission.vic.gov.au/Victorian_Ambulance_Union.pdf" TargetMode="External"/><Relationship Id="rId24" Type="http://schemas.openxmlformats.org/officeDocument/2006/relationships/hyperlink" Target="https://www.england.nhs.uk/wp-content/uploads/2022/05/B1244-nepts-eligibility-criteria.pdf" TargetMode="External"/><Relationship Id="rId5" Type="http://schemas.openxmlformats.org/officeDocument/2006/relationships/hyperlink" Target="https://www.health.vic.gov.au/patient-care/ambulance-services-payment-guidelines" TargetMode="External"/><Relationship Id="rId15" Type="http://schemas.openxmlformats.org/officeDocument/2006/relationships/hyperlink" Target="https://www.health.wa.gov.au/~/media/Files/Corporate/Policy-Frameworks/Purchasing-and-Resource-Allocation/Policy/Road-Based-Inter-Hospital-Patient-Transport-Services-Policy/MP85-Road-Based-Inter-Hospital-Patient-Transport-Services-Policy.pdf" TargetMode="External"/><Relationship Id="rId23" Type="http://schemas.openxmlformats.org/officeDocument/2006/relationships/hyperlink" Target="https://www.england.nhs.uk/publication/improving-non-emergency-patient-transport-services/" TargetMode="External"/><Relationship Id="rId28" Type="http://schemas.openxmlformats.org/officeDocument/2006/relationships/hyperlink" Target="https://www.health.nsw.gov.au/pts/Pages/about-pts.aspx" TargetMode="External"/><Relationship Id="rId10" Type="http://schemas.openxmlformats.org/officeDocument/2006/relationships/hyperlink" Target="https://www.ambulance.vic.gov.au/about-us/sustainability/environment/" TargetMode="External"/><Relationship Id="rId19" Type="http://schemas.openxmlformats.org/officeDocument/2006/relationships/hyperlink" Target="https://www.health.nsw.gov.au/pts/Pages/about-pts.aspx" TargetMode="External"/><Relationship Id="rId4" Type="http://schemas.openxmlformats.org/officeDocument/2006/relationships/hyperlink" Target="https://www.ambulance.vic.gov.au/wp-content/uploads/2022/12/Ambulance-Victoria-Annual-Report-2021-22.pdf" TargetMode="External"/><Relationship Id="rId9" Type="http://schemas.openxmlformats.org/officeDocument/2006/relationships/hyperlink" Target="https://www.health.vic.gov.au/sites/default/files/migrated/files/collections/factsheets/b/better-safer-care.pdf" TargetMode="External"/><Relationship Id="rId14" Type="http://schemas.openxmlformats.org/officeDocument/2006/relationships/hyperlink" Target="https://www.paltd.com.au/solutions/health-care" TargetMode="External"/><Relationship Id="rId22" Type="http://schemas.openxmlformats.org/officeDocument/2006/relationships/hyperlink" Target="https://clinicalexcellence.qld.gov.au/improvement-exchange/patient-access-coordination-hub-pach" TargetMode="External"/><Relationship Id="rId27" Type="http://schemas.openxmlformats.org/officeDocument/2006/relationships/hyperlink" Target="https://www.ambulance.qld.gov.au/LAS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hhsvicgovau.sharepoint.com/sites/CommissioningandSystemImprovementDivision/Shared%20Documents/Ambulance,%20Emergency%20Care%20and%20Access%20Branch/_Branch%20materials/4.%20Branch-wide%20projects%20and%20reporting/NEPT%20Review/6.%20Discussion%20pape"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333426242073724"/>
          <c:y val="5.0400916380297825E-2"/>
          <c:w val="0.65994750656167978"/>
          <c:h val="0.74259598993424802"/>
        </c:manualLayout>
      </c:layout>
      <c:barChart>
        <c:barDir val="bar"/>
        <c:grouping val="clustered"/>
        <c:varyColors val="0"/>
        <c:ser>
          <c:idx val="0"/>
          <c:order val="0"/>
          <c:tx>
            <c:strRef>
              <c:f>'[Provider evolution over time - chart.xlsx]Sheet1'!$J$10</c:f>
              <c:strCache>
                <c:ptCount val="1"/>
                <c:pt idx="0">
                  <c:v>2013</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 evolution over time - chart.xlsx]Sheet1'!$I$11:$I$13</c:f>
              <c:strCache>
                <c:ptCount val="3"/>
                <c:pt idx="0">
                  <c:v>HSV panel</c:v>
                </c:pt>
                <c:pt idx="1">
                  <c:v>AV contractors</c:v>
                </c:pt>
                <c:pt idx="2">
                  <c:v>Licenced providers</c:v>
                </c:pt>
              </c:strCache>
            </c:strRef>
          </c:cat>
          <c:val>
            <c:numRef>
              <c:f>'[Provider evolution over time - chart.xlsx]Sheet1'!$J$11:$J$13</c:f>
              <c:numCache>
                <c:formatCode>General</c:formatCode>
                <c:ptCount val="3"/>
                <c:pt idx="1">
                  <c:v>7</c:v>
                </c:pt>
                <c:pt idx="2">
                  <c:v>14</c:v>
                </c:pt>
              </c:numCache>
            </c:numRef>
          </c:val>
          <c:extLst>
            <c:ext xmlns:c16="http://schemas.microsoft.com/office/drawing/2014/chart" uri="{C3380CC4-5D6E-409C-BE32-E72D297353CC}">
              <c16:uniqueId val="{00000000-0355-4472-A2DC-9A4F5DA46149}"/>
            </c:ext>
          </c:extLst>
        </c:ser>
        <c:ser>
          <c:idx val="1"/>
          <c:order val="1"/>
          <c:tx>
            <c:strRef>
              <c:f>'[Provider evolution over time - chart.xlsx]Sheet1'!$K$10</c:f>
              <c:strCache>
                <c:ptCount val="1"/>
                <c:pt idx="0">
                  <c:v>2021</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 evolution over time - chart.xlsx]Sheet1'!$I$11:$I$13</c:f>
              <c:strCache>
                <c:ptCount val="3"/>
                <c:pt idx="0">
                  <c:v>HSV panel</c:v>
                </c:pt>
                <c:pt idx="1">
                  <c:v>AV contractors</c:v>
                </c:pt>
                <c:pt idx="2">
                  <c:v>Licenced providers</c:v>
                </c:pt>
              </c:strCache>
            </c:strRef>
          </c:cat>
          <c:val>
            <c:numRef>
              <c:f>'[Provider evolution over time - chart.xlsx]Sheet1'!$K$11:$K$13</c:f>
              <c:numCache>
                <c:formatCode>General</c:formatCode>
                <c:ptCount val="3"/>
                <c:pt idx="0">
                  <c:v>8</c:v>
                </c:pt>
                <c:pt idx="1">
                  <c:v>7</c:v>
                </c:pt>
                <c:pt idx="2">
                  <c:v>20</c:v>
                </c:pt>
              </c:numCache>
            </c:numRef>
          </c:val>
          <c:extLst>
            <c:ext xmlns:c16="http://schemas.microsoft.com/office/drawing/2014/chart" uri="{C3380CC4-5D6E-409C-BE32-E72D297353CC}">
              <c16:uniqueId val="{00000001-0355-4472-A2DC-9A4F5DA46149}"/>
            </c:ext>
          </c:extLst>
        </c:ser>
        <c:ser>
          <c:idx val="2"/>
          <c:order val="2"/>
          <c:tx>
            <c:strRef>
              <c:f>'[Provider evolution over time - chart.xlsx]Sheet1'!$L$10</c:f>
              <c:strCache>
                <c:ptCount val="1"/>
                <c:pt idx="0">
                  <c:v>2023</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'[Provider evolution over time - chart.xlsx]Sheet1'!$I$11:$I$13</c:f>
              <c:strCache>
                <c:ptCount val="3"/>
                <c:pt idx="0">
                  <c:v>HSV panel</c:v>
                </c:pt>
                <c:pt idx="1">
                  <c:v>AV contractors</c:v>
                </c:pt>
                <c:pt idx="2">
                  <c:v>Licenced providers</c:v>
                </c:pt>
              </c:strCache>
            </c:strRef>
          </c:cat>
          <c:val>
            <c:numRef>
              <c:f>'[Provider evolution over time - chart.xlsx]Sheet1'!$L$11:$L$13</c:f>
              <c:numCache>
                <c:formatCode>General</c:formatCode>
                <c:ptCount val="3"/>
                <c:pt idx="0">
                  <c:v>4</c:v>
                </c:pt>
                <c:pt idx="1">
                  <c:v>6</c:v>
                </c:pt>
                <c:pt idx="2">
                  <c:v>13</c:v>
                </c:pt>
              </c:numCache>
            </c:numRef>
          </c:val>
          <c:extLst>
            <c:ext xmlns:c16="http://schemas.microsoft.com/office/drawing/2014/chart" uri="{C3380CC4-5D6E-409C-BE32-E72D297353CC}">
              <c16:uniqueId val="{00000002-0355-4472-A2DC-9A4F5DA46149}"/>
            </c:ext>
          </c:extLst>
        </c:ser>
        <c:dLbls>
          <c:dLblPos val="ctr"/>
          <c:showLegendKey val="0"/>
          <c:showVal val="1"/>
          <c:showCatName val="0"/>
          <c:showSerName val="0"/>
          <c:showPercent val="0"/>
          <c:showBubbleSize val="0"/>
        </c:dLbls>
        <c:gapWidth val="219"/>
        <c:axId val="1025338408"/>
        <c:axId val="1025339064"/>
      </c:barChart>
      <c:catAx>
        <c:axId val="1025338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5339064"/>
        <c:crosses val="autoZero"/>
        <c:auto val="1"/>
        <c:lblAlgn val="ctr"/>
        <c:lblOffset val="100"/>
        <c:noMultiLvlLbl val="0"/>
      </c:catAx>
      <c:valAx>
        <c:axId val="1025339064"/>
        <c:scaling>
          <c:orientation val="minMax"/>
          <c:max val="20"/>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50" b="1"/>
                  <a:t>Number of NEPT providers</a:t>
                </a:r>
              </a:p>
            </c:rich>
          </c:tx>
          <c:layout>
            <c:manualLayout>
              <c:xMode val="edge"/>
              <c:yMode val="edge"/>
              <c:x val="0.45974140251699314"/>
              <c:y val="0.91510458099953995"/>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5338408"/>
        <c:crosses val="autoZero"/>
        <c:crossBetween val="between"/>
      </c:valAx>
      <c:spPr>
        <a:noFill/>
        <a:ln>
          <a:noFill/>
        </a:ln>
        <a:effectLst/>
      </c:spPr>
    </c:plotArea>
    <c:legend>
      <c:legendPos val="b"/>
      <c:layout>
        <c:manualLayout>
          <c:xMode val="edge"/>
          <c:yMode val="edge"/>
          <c:x val="0.87026448616999796"/>
          <c:y val="0.47295108729965457"/>
          <c:w val="0.10123780200551852"/>
          <c:h val="0.2521348233532663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49" ma:contentTypeDescription="Create a new document." ma:contentTypeScope="" ma:versionID="d54bd9689ab67902a3a5e51c74070bbd">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abb4604d37b2c26e8e34d518f1365f2b"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element ref="ns3:MediaServiceLocation" minOccurs="0"/>
                <xsd:element ref="ns3:Comment" minOccurs="0"/>
                <xsd:element ref="ns3:HealthServic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element name="MediaServiceLocation" ma:index="32" nillable="true" ma:displayName="Location" ma:internalName="MediaServiceLocation" ma:readOnly="true">
      <xsd:simpleType>
        <xsd:restriction base="dms:Text"/>
      </xsd:simpleType>
    </xsd:element>
    <xsd:element name="Comment" ma:index="33" nillable="true" ma:displayName="Comment" ma:format="Dropdown" ma:internalName="Comment">
      <xsd:simpleType>
        <xsd:restriction base="dms:Note">
          <xsd:maxLength value="255"/>
        </xsd:restriction>
      </xsd:simpleType>
    </xsd:element>
    <xsd:element name="HealthService" ma:index="34" nillable="true" ma:displayName="Service" ma:format="Dropdown" ma:internalName="HealthService">
      <xsd:simpleType>
        <xsd:restriction base="dms:Text">
          <xsd:maxLength value="255"/>
        </xsd:restriction>
      </xsd:simpleType>
    </xsd:element>
    <xsd:element name="DocumentType" ma:index="35" nillable="true" ma:displayName="Document Type" ma:format="Dropdown" ma:internalName="DocumentType">
      <xsd:simpleType>
        <xsd:restriction base="dms:Choice">
          <xsd:enumeration value="Report of Ops (First Draft)"/>
          <xsd:enumeration value="Report of Ops (Updated Draft)"/>
          <xsd:enumeration value="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d5edefc9-9b65-4e26-a13e-80d0fe37f888">
      <UserInfo>
        <DisplayName>Debra Sudano (Health)</DisplayName>
        <AccountId>838</AccountId>
        <AccountType/>
      </UserInfo>
      <UserInfo>
        <DisplayName>Alison Coughlin (Health)</DisplayName>
        <AccountId>2126</AccountId>
        <AccountType/>
      </UserInfo>
      <UserInfo>
        <DisplayName>Maria Perera (Health)</DisplayName>
        <AccountId>22</AccountId>
        <AccountType/>
      </UserInfo>
      <UserInfo>
        <DisplayName>Non-Emergency Patient Transport Review (HEALTH)</DisplayName>
        <AccountId>11029</AccountId>
        <AccountType/>
      </UserInfo>
      <UserInfo>
        <DisplayName>Danielle Romanes (Health)</DisplayName>
        <AccountId>657</AccountId>
        <AccountType/>
      </UserInfo>
      <UserInfo>
        <DisplayName>Ben Imrie-Quintyn (Health)</DisplayName>
        <AccountId>1647</AccountId>
        <AccountType/>
      </UserInfo>
    </SharedWithUsers>
    <lcf76f155ced4ddcb4097134ff3c332f xmlns="5489f84b-96a7-46f9-ad1c-bdb3ea5733b9">
      <Terms xmlns="http://schemas.microsoft.com/office/infopath/2007/PartnerControls"/>
    </lcf76f155ced4ddcb4097134ff3c332f>
    <Approval_x0020_status xmlns="5489f84b-96a7-46f9-ad1c-bdb3ea5733b9" xsi:nil="true"/>
    <Date_x0020__x0028_ISO_x003a_8601_x0029_ xmlns="5489f84b-96a7-46f9-ad1c-bdb3ea5733b9" xsi:nil="true"/>
    <Draft_x002d_Version xmlns="5489f84b-96a7-46f9-ad1c-bdb3ea5733b9" xsi:nil="true"/>
    <HealthService xmlns="5489f84b-96a7-46f9-ad1c-bdb3ea5733b9" xsi:nil="true"/>
    <Comment xmlns="5489f84b-96a7-46f9-ad1c-bdb3ea5733b9" xsi:nil="true"/>
    <External_x0020_Stakeholders xmlns="5489f84b-96a7-46f9-ad1c-bdb3ea5733b9" xsi:nil="true"/>
    <BAC_x0020_No_x002e_ xmlns="5489f84b-96a7-46f9-ad1c-bdb3ea5733b9" xsi:nil="true"/>
    <PrimaryLead xmlns="5489f84b-96a7-46f9-ad1c-bdb3ea5733b9">All</PrimaryLead>
    <DocumentType xmlns="5489f84b-96a7-46f9-ad1c-bdb3ea5733b9" xsi:nil="true"/>
    <Internal_x0020_Stakeholders xmlns="5489f84b-96a7-46f9-ad1c-bdb3ea5733b9" xsi:nil="true"/>
    <TRIM_x0020_No_x002e_ xmlns="5489f84b-96a7-46f9-ad1c-bdb3ea5733b9" xsi:nil="true"/>
    <DueDate xmlns="5489f84b-96a7-46f9-ad1c-bdb3ea5733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2AD4C24-35F2-4FB9-9A0C-12201443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purl.org/dc/dcmitype/"/>
    <ds:schemaRef ds:uri="5ce0f2b5-5be5-4508-bce9-d7011ece0659"/>
    <ds:schemaRef ds:uri="http://purl.org/dc/elements/1.1/"/>
    <ds:schemaRef ds:uri="http://schemas.microsoft.com/office/2006/documentManagement/types"/>
    <ds:schemaRef ds:uri="d5edefc9-9b65-4e26-a13e-80d0fe37f888"/>
    <ds:schemaRef ds:uri="http://schemas.microsoft.com/office/infopath/2007/PartnerControls"/>
    <ds:schemaRef ds:uri="http://schemas.openxmlformats.org/package/2006/metadata/core-properties"/>
    <ds:schemaRef ds:uri="5489f84b-96a7-46f9-ad1c-bdb3ea5733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13534</Words>
  <Characters>82879</Characters>
  <Application>Microsoft Office Word</Application>
  <DocSecurity>0</DocSecurity>
  <Lines>690</Lines>
  <Paragraphs>192</Paragraphs>
  <ScaleCrop>false</ScaleCrop>
  <HeadingPairs>
    <vt:vector size="2" baseType="variant">
      <vt:variant>
        <vt:lpstr>Title</vt:lpstr>
      </vt:variant>
      <vt:variant>
        <vt:i4>1</vt:i4>
      </vt:variant>
    </vt:vector>
  </HeadingPairs>
  <TitlesOfParts>
    <vt:vector size="1" baseType="lpstr">
      <vt:lpstr>NEPT Review Discussion Paper</vt:lpstr>
    </vt:vector>
  </TitlesOfParts>
  <Manager/>
  <Company>Victoria State Government, Department of Health</Company>
  <LinksUpToDate>false</LinksUpToDate>
  <CharactersWithSpaces>96221</CharactersWithSpaces>
  <SharedDoc>false</SharedDoc>
  <HyperlinkBase/>
  <HLinks>
    <vt:vector size="444" baseType="variant">
      <vt:variant>
        <vt:i4>5832821</vt:i4>
      </vt:variant>
      <vt:variant>
        <vt:i4>447</vt:i4>
      </vt:variant>
      <vt:variant>
        <vt:i4>0</vt:i4>
      </vt:variant>
      <vt:variant>
        <vt:i4>5</vt:i4>
      </vt:variant>
      <vt:variant>
        <vt:lpwstr>mailto:neptreview@health.vic.gov.au</vt:lpwstr>
      </vt:variant>
      <vt:variant>
        <vt:lpwstr/>
      </vt:variant>
      <vt:variant>
        <vt:i4>5570633</vt:i4>
      </vt:variant>
      <vt:variant>
        <vt:i4>441</vt:i4>
      </vt:variant>
      <vt:variant>
        <vt:i4>0</vt:i4>
      </vt:variant>
      <vt:variant>
        <vt:i4>5</vt:i4>
      </vt:variant>
      <vt:variant>
        <vt:lpwstr>https://www.health.vic.gov.au/patient-care/non-emergency-patient-transport-review</vt:lpwstr>
      </vt:variant>
      <vt:variant>
        <vt:lpwstr/>
      </vt:variant>
      <vt:variant>
        <vt:i4>5832821</vt:i4>
      </vt:variant>
      <vt:variant>
        <vt:i4>258</vt:i4>
      </vt:variant>
      <vt:variant>
        <vt:i4>0</vt:i4>
      </vt:variant>
      <vt:variant>
        <vt:i4>5</vt:i4>
      </vt:variant>
      <vt:variant>
        <vt:lpwstr>mailto:neptreview@health.vic.gov.au</vt:lpwstr>
      </vt:variant>
      <vt:variant>
        <vt:lpwstr/>
      </vt:variant>
      <vt:variant>
        <vt:i4>1179697</vt:i4>
      </vt:variant>
      <vt:variant>
        <vt:i4>251</vt:i4>
      </vt:variant>
      <vt:variant>
        <vt:i4>0</vt:i4>
      </vt:variant>
      <vt:variant>
        <vt:i4>5</vt:i4>
      </vt:variant>
      <vt:variant>
        <vt:lpwstr/>
      </vt:variant>
      <vt:variant>
        <vt:lpwstr>_Toc136433514</vt:lpwstr>
      </vt:variant>
      <vt:variant>
        <vt:i4>1179697</vt:i4>
      </vt:variant>
      <vt:variant>
        <vt:i4>245</vt:i4>
      </vt:variant>
      <vt:variant>
        <vt:i4>0</vt:i4>
      </vt:variant>
      <vt:variant>
        <vt:i4>5</vt:i4>
      </vt:variant>
      <vt:variant>
        <vt:lpwstr/>
      </vt:variant>
      <vt:variant>
        <vt:lpwstr>_Toc136433513</vt:lpwstr>
      </vt:variant>
      <vt:variant>
        <vt:i4>1179697</vt:i4>
      </vt:variant>
      <vt:variant>
        <vt:i4>239</vt:i4>
      </vt:variant>
      <vt:variant>
        <vt:i4>0</vt:i4>
      </vt:variant>
      <vt:variant>
        <vt:i4>5</vt:i4>
      </vt:variant>
      <vt:variant>
        <vt:lpwstr/>
      </vt:variant>
      <vt:variant>
        <vt:lpwstr>_Toc136433512</vt:lpwstr>
      </vt:variant>
      <vt:variant>
        <vt:i4>1179697</vt:i4>
      </vt:variant>
      <vt:variant>
        <vt:i4>233</vt:i4>
      </vt:variant>
      <vt:variant>
        <vt:i4>0</vt:i4>
      </vt:variant>
      <vt:variant>
        <vt:i4>5</vt:i4>
      </vt:variant>
      <vt:variant>
        <vt:lpwstr/>
      </vt:variant>
      <vt:variant>
        <vt:lpwstr>_Toc136433511</vt:lpwstr>
      </vt:variant>
      <vt:variant>
        <vt:i4>1179697</vt:i4>
      </vt:variant>
      <vt:variant>
        <vt:i4>227</vt:i4>
      </vt:variant>
      <vt:variant>
        <vt:i4>0</vt:i4>
      </vt:variant>
      <vt:variant>
        <vt:i4>5</vt:i4>
      </vt:variant>
      <vt:variant>
        <vt:lpwstr/>
      </vt:variant>
      <vt:variant>
        <vt:lpwstr>_Toc136433510</vt:lpwstr>
      </vt:variant>
      <vt:variant>
        <vt:i4>1245233</vt:i4>
      </vt:variant>
      <vt:variant>
        <vt:i4>221</vt:i4>
      </vt:variant>
      <vt:variant>
        <vt:i4>0</vt:i4>
      </vt:variant>
      <vt:variant>
        <vt:i4>5</vt:i4>
      </vt:variant>
      <vt:variant>
        <vt:lpwstr/>
      </vt:variant>
      <vt:variant>
        <vt:lpwstr>_Toc136433509</vt:lpwstr>
      </vt:variant>
      <vt:variant>
        <vt:i4>1245233</vt:i4>
      </vt:variant>
      <vt:variant>
        <vt:i4>215</vt:i4>
      </vt:variant>
      <vt:variant>
        <vt:i4>0</vt:i4>
      </vt:variant>
      <vt:variant>
        <vt:i4>5</vt:i4>
      </vt:variant>
      <vt:variant>
        <vt:lpwstr/>
      </vt:variant>
      <vt:variant>
        <vt:lpwstr>_Toc136433508</vt:lpwstr>
      </vt:variant>
      <vt:variant>
        <vt:i4>1245233</vt:i4>
      </vt:variant>
      <vt:variant>
        <vt:i4>209</vt:i4>
      </vt:variant>
      <vt:variant>
        <vt:i4>0</vt:i4>
      </vt:variant>
      <vt:variant>
        <vt:i4>5</vt:i4>
      </vt:variant>
      <vt:variant>
        <vt:lpwstr/>
      </vt:variant>
      <vt:variant>
        <vt:lpwstr>_Toc136433507</vt:lpwstr>
      </vt:variant>
      <vt:variant>
        <vt:i4>1245233</vt:i4>
      </vt:variant>
      <vt:variant>
        <vt:i4>203</vt:i4>
      </vt:variant>
      <vt:variant>
        <vt:i4>0</vt:i4>
      </vt:variant>
      <vt:variant>
        <vt:i4>5</vt:i4>
      </vt:variant>
      <vt:variant>
        <vt:lpwstr/>
      </vt:variant>
      <vt:variant>
        <vt:lpwstr>_Toc136433506</vt:lpwstr>
      </vt:variant>
      <vt:variant>
        <vt:i4>1245233</vt:i4>
      </vt:variant>
      <vt:variant>
        <vt:i4>197</vt:i4>
      </vt:variant>
      <vt:variant>
        <vt:i4>0</vt:i4>
      </vt:variant>
      <vt:variant>
        <vt:i4>5</vt:i4>
      </vt:variant>
      <vt:variant>
        <vt:lpwstr/>
      </vt:variant>
      <vt:variant>
        <vt:lpwstr>_Toc136433505</vt:lpwstr>
      </vt:variant>
      <vt:variant>
        <vt:i4>1245233</vt:i4>
      </vt:variant>
      <vt:variant>
        <vt:i4>191</vt:i4>
      </vt:variant>
      <vt:variant>
        <vt:i4>0</vt:i4>
      </vt:variant>
      <vt:variant>
        <vt:i4>5</vt:i4>
      </vt:variant>
      <vt:variant>
        <vt:lpwstr/>
      </vt:variant>
      <vt:variant>
        <vt:lpwstr>_Toc136433504</vt:lpwstr>
      </vt:variant>
      <vt:variant>
        <vt:i4>1245233</vt:i4>
      </vt:variant>
      <vt:variant>
        <vt:i4>185</vt:i4>
      </vt:variant>
      <vt:variant>
        <vt:i4>0</vt:i4>
      </vt:variant>
      <vt:variant>
        <vt:i4>5</vt:i4>
      </vt:variant>
      <vt:variant>
        <vt:lpwstr/>
      </vt:variant>
      <vt:variant>
        <vt:lpwstr>_Toc136433503</vt:lpwstr>
      </vt:variant>
      <vt:variant>
        <vt:i4>1245233</vt:i4>
      </vt:variant>
      <vt:variant>
        <vt:i4>179</vt:i4>
      </vt:variant>
      <vt:variant>
        <vt:i4>0</vt:i4>
      </vt:variant>
      <vt:variant>
        <vt:i4>5</vt:i4>
      </vt:variant>
      <vt:variant>
        <vt:lpwstr/>
      </vt:variant>
      <vt:variant>
        <vt:lpwstr>_Toc136433502</vt:lpwstr>
      </vt:variant>
      <vt:variant>
        <vt:i4>1245233</vt:i4>
      </vt:variant>
      <vt:variant>
        <vt:i4>173</vt:i4>
      </vt:variant>
      <vt:variant>
        <vt:i4>0</vt:i4>
      </vt:variant>
      <vt:variant>
        <vt:i4>5</vt:i4>
      </vt:variant>
      <vt:variant>
        <vt:lpwstr/>
      </vt:variant>
      <vt:variant>
        <vt:lpwstr>_Toc136433501</vt:lpwstr>
      </vt:variant>
      <vt:variant>
        <vt:i4>1245233</vt:i4>
      </vt:variant>
      <vt:variant>
        <vt:i4>167</vt:i4>
      </vt:variant>
      <vt:variant>
        <vt:i4>0</vt:i4>
      </vt:variant>
      <vt:variant>
        <vt:i4>5</vt:i4>
      </vt:variant>
      <vt:variant>
        <vt:lpwstr/>
      </vt:variant>
      <vt:variant>
        <vt:lpwstr>_Toc136433500</vt:lpwstr>
      </vt:variant>
      <vt:variant>
        <vt:i4>1703984</vt:i4>
      </vt:variant>
      <vt:variant>
        <vt:i4>161</vt:i4>
      </vt:variant>
      <vt:variant>
        <vt:i4>0</vt:i4>
      </vt:variant>
      <vt:variant>
        <vt:i4>5</vt:i4>
      </vt:variant>
      <vt:variant>
        <vt:lpwstr/>
      </vt:variant>
      <vt:variant>
        <vt:lpwstr>_Toc136433499</vt:lpwstr>
      </vt:variant>
      <vt:variant>
        <vt:i4>1703984</vt:i4>
      </vt:variant>
      <vt:variant>
        <vt:i4>155</vt:i4>
      </vt:variant>
      <vt:variant>
        <vt:i4>0</vt:i4>
      </vt:variant>
      <vt:variant>
        <vt:i4>5</vt:i4>
      </vt:variant>
      <vt:variant>
        <vt:lpwstr/>
      </vt:variant>
      <vt:variant>
        <vt:lpwstr>_Toc136433498</vt:lpwstr>
      </vt:variant>
      <vt:variant>
        <vt:i4>1703984</vt:i4>
      </vt:variant>
      <vt:variant>
        <vt:i4>149</vt:i4>
      </vt:variant>
      <vt:variant>
        <vt:i4>0</vt:i4>
      </vt:variant>
      <vt:variant>
        <vt:i4>5</vt:i4>
      </vt:variant>
      <vt:variant>
        <vt:lpwstr/>
      </vt:variant>
      <vt:variant>
        <vt:lpwstr>_Toc136433497</vt:lpwstr>
      </vt:variant>
      <vt:variant>
        <vt:i4>1703984</vt:i4>
      </vt:variant>
      <vt:variant>
        <vt:i4>143</vt:i4>
      </vt:variant>
      <vt:variant>
        <vt:i4>0</vt:i4>
      </vt:variant>
      <vt:variant>
        <vt:i4>5</vt:i4>
      </vt:variant>
      <vt:variant>
        <vt:lpwstr/>
      </vt:variant>
      <vt:variant>
        <vt:lpwstr>_Toc136433496</vt:lpwstr>
      </vt:variant>
      <vt:variant>
        <vt:i4>1703984</vt:i4>
      </vt:variant>
      <vt:variant>
        <vt:i4>137</vt:i4>
      </vt:variant>
      <vt:variant>
        <vt:i4>0</vt:i4>
      </vt:variant>
      <vt:variant>
        <vt:i4>5</vt:i4>
      </vt:variant>
      <vt:variant>
        <vt:lpwstr/>
      </vt:variant>
      <vt:variant>
        <vt:lpwstr>_Toc136433495</vt:lpwstr>
      </vt:variant>
      <vt:variant>
        <vt:i4>1703984</vt:i4>
      </vt:variant>
      <vt:variant>
        <vt:i4>131</vt:i4>
      </vt:variant>
      <vt:variant>
        <vt:i4>0</vt:i4>
      </vt:variant>
      <vt:variant>
        <vt:i4>5</vt:i4>
      </vt:variant>
      <vt:variant>
        <vt:lpwstr/>
      </vt:variant>
      <vt:variant>
        <vt:lpwstr>_Toc136433494</vt:lpwstr>
      </vt:variant>
      <vt:variant>
        <vt:i4>1703984</vt:i4>
      </vt:variant>
      <vt:variant>
        <vt:i4>125</vt:i4>
      </vt:variant>
      <vt:variant>
        <vt:i4>0</vt:i4>
      </vt:variant>
      <vt:variant>
        <vt:i4>5</vt:i4>
      </vt:variant>
      <vt:variant>
        <vt:lpwstr/>
      </vt:variant>
      <vt:variant>
        <vt:lpwstr>_Toc136433493</vt:lpwstr>
      </vt:variant>
      <vt:variant>
        <vt:i4>1703984</vt:i4>
      </vt:variant>
      <vt:variant>
        <vt:i4>119</vt:i4>
      </vt:variant>
      <vt:variant>
        <vt:i4>0</vt:i4>
      </vt:variant>
      <vt:variant>
        <vt:i4>5</vt:i4>
      </vt:variant>
      <vt:variant>
        <vt:lpwstr/>
      </vt:variant>
      <vt:variant>
        <vt:lpwstr>_Toc136433492</vt:lpwstr>
      </vt:variant>
      <vt:variant>
        <vt:i4>1703984</vt:i4>
      </vt:variant>
      <vt:variant>
        <vt:i4>113</vt:i4>
      </vt:variant>
      <vt:variant>
        <vt:i4>0</vt:i4>
      </vt:variant>
      <vt:variant>
        <vt:i4>5</vt:i4>
      </vt:variant>
      <vt:variant>
        <vt:lpwstr/>
      </vt:variant>
      <vt:variant>
        <vt:lpwstr>_Toc136433491</vt:lpwstr>
      </vt:variant>
      <vt:variant>
        <vt:i4>1703984</vt:i4>
      </vt:variant>
      <vt:variant>
        <vt:i4>107</vt:i4>
      </vt:variant>
      <vt:variant>
        <vt:i4>0</vt:i4>
      </vt:variant>
      <vt:variant>
        <vt:i4>5</vt:i4>
      </vt:variant>
      <vt:variant>
        <vt:lpwstr/>
      </vt:variant>
      <vt:variant>
        <vt:lpwstr>_Toc136433490</vt:lpwstr>
      </vt:variant>
      <vt:variant>
        <vt:i4>1769520</vt:i4>
      </vt:variant>
      <vt:variant>
        <vt:i4>101</vt:i4>
      </vt:variant>
      <vt:variant>
        <vt:i4>0</vt:i4>
      </vt:variant>
      <vt:variant>
        <vt:i4>5</vt:i4>
      </vt:variant>
      <vt:variant>
        <vt:lpwstr/>
      </vt:variant>
      <vt:variant>
        <vt:lpwstr>_Toc136433489</vt:lpwstr>
      </vt:variant>
      <vt:variant>
        <vt:i4>1769520</vt:i4>
      </vt:variant>
      <vt:variant>
        <vt:i4>95</vt:i4>
      </vt:variant>
      <vt:variant>
        <vt:i4>0</vt:i4>
      </vt:variant>
      <vt:variant>
        <vt:i4>5</vt:i4>
      </vt:variant>
      <vt:variant>
        <vt:lpwstr/>
      </vt:variant>
      <vt:variant>
        <vt:lpwstr>_Toc136433488</vt:lpwstr>
      </vt:variant>
      <vt:variant>
        <vt:i4>1769520</vt:i4>
      </vt:variant>
      <vt:variant>
        <vt:i4>89</vt:i4>
      </vt:variant>
      <vt:variant>
        <vt:i4>0</vt:i4>
      </vt:variant>
      <vt:variant>
        <vt:i4>5</vt:i4>
      </vt:variant>
      <vt:variant>
        <vt:lpwstr/>
      </vt:variant>
      <vt:variant>
        <vt:lpwstr>_Toc136433487</vt:lpwstr>
      </vt:variant>
      <vt:variant>
        <vt:i4>1769520</vt:i4>
      </vt:variant>
      <vt:variant>
        <vt:i4>83</vt:i4>
      </vt:variant>
      <vt:variant>
        <vt:i4>0</vt:i4>
      </vt:variant>
      <vt:variant>
        <vt:i4>5</vt:i4>
      </vt:variant>
      <vt:variant>
        <vt:lpwstr/>
      </vt:variant>
      <vt:variant>
        <vt:lpwstr>_Toc136433486</vt:lpwstr>
      </vt:variant>
      <vt:variant>
        <vt:i4>1769520</vt:i4>
      </vt:variant>
      <vt:variant>
        <vt:i4>77</vt:i4>
      </vt:variant>
      <vt:variant>
        <vt:i4>0</vt:i4>
      </vt:variant>
      <vt:variant>
        <vt:i4>5</vt:i4>
      </vt:variant>
      <vt:variant>
        <vt:lpwstr/>
      </vt:variant>
      <vt:variant>
        <vt:lpwstr>_Toc136433485</vt:lpwstr>
      </vt:variant>
      <vt:variant>
        <vt:i4>1769520</vt:i4>
      </vt:variant>
      <vt:variant>
        <vt:i4>71</vt:i4>
      </vt:variant>
      <vt:variant>
        <vt:i4>0</vt:i4>
      </vt:variant>
      <vt:variant>
        <vt:i4>5</vt:i4>
      </vt:variant>
      <vt:variant>
        <vt:lpwstr/>
      </vt:variant>
      <vt:variant>
        <vt:lpwstr>_Toc136433484</vt:lpwstr>
      </vt:variant>
      <vt:variant>
        <vt:i4>1769520</vt:i4>
      </vt:variant>
      <vt:variant>
        <vt:i4>65</vt:i4>
      </vt:variant>
      <vt:variant>
        <vt:i4>0</vt:i4>
      </vt:variant>
      <vt:variant>
        <vt:i4>5</vt:i4>
      </vt:variant>
      <vt:variant>
        <vt:lpwstr/>
      </vt:variant>
      <vt:variant>
        <vt:lpwstr>_Toc136433483</vt:lpwstr>
      </vt:variant>
      <vt:variant>
        <vt:i4>1769520</vt:i4>
      </vt:variant>
      <vt:variant>
        <vt:i4>59</vt:i4>
      </vt:variant>
      <vt:variant>
        <vt:i4>0</vt:i4>
      </vt:variant>
      <vt:variant>
        <vt:i4>5</vt:i4>
      </vt:variant>
      <vt:variant>
        <vt:lpwstr/>
      </vt:variant>
      <vt:variant>
        <vt:lpwstr>_Toc136433482</vt:lpwstr>
      </vt:variant>
      <vt:variant>
        <vt:i4>1769520</vt:i4>
      </vt:variant>
      <vt:variant>
        <vt:i4>53</vt:i4>
      </vt:variant>
      <vt:variant>
        <vt:i4>0</vt:i4>
      </vt:variant>
      <vt:variant>
        <vt:i4>5</vt:i4>
      </vt:variant>
      <vt:variant>
        <vt:lpwstr/>
      </vt:variant>
      <vt:variant>
        <vt:lpwstr>_Toc136433481</vt:lpwstr>
      </vt:variant>
      <vt:variant>
        <vt:i4>1769520</vt:i4>
      </vt:variant>
      <vt:variant>
        <vt:i4>47</vt:i4>
      </vt:variant>
      <vt:variant>
        <vt:i4>0</vt:i4>
      </vt:variant>
      <vt:variant>
        <vt:i4>5</vt:i4>
      </vt:variant>
      <vt:variant>
        <vt:lpwstr/>
      </vt:variant>
      <vt:variant>
        <vt:lpwstr>_Toc136433480</vt:lpwstr>
      </vt:variant>
      <vt:variant>
        <vt:i4>1310768</vt:i4>
      </vt:variant>
      <vt:variant>
        <vt:i4>41</vt:i4>
      </vt:variant>
      <vt:variant>
        <vt:i4>0</vt:i4>
      </vt:variant>
      <vt:variant>
        <vt:i4>5</vt:i4>
      </vt:variant>
      <vt:variant>
        <vt:lpwstr/>
      </vt:variant>
      <vt:variant>
        <vt:lpwstr>_Toc136433479</vt:lpwstr>
      </vt:variant>
      <vt:variant>
        <vt:i4>1310768</vt:i4>
      </vt:variant>
      <vt:variant>
        <vt:i4>35</vt:i4>
      </vt:variant>
      <vt:variant>
        <vt:i4>0</vt:i4>
      </vt:variant>
      <vt:variant>
        <vt:i4>5</vt:i4>
      </vt:variant>
      <vt:variant>
        <vt:lpwstr/>
      </vt:variant>
      <vt:variant>
        <vt:lpwstr>_Toc136433478</vt:lpwstr>
      </vt:variant>
      <vt:variant>
        <vt:i4>1310768</vt:i4>
      </vt:variant>
      <vt:variant>
        <vt:i4>29</vt:i4>
      </vt:variant>
      <vt:variant>
        <vt:i4>0</vt:i4>
      </vt:variant>
      <vt:variant>
        <vt:i4>5</vt:i4>
      </vt:variant>
      <vt:variant>
        <vt:lpwstr/>
      </vt:variant>
      <vt:variant>
        <vt:lpwstr>_Toc136433477</vt:lpwstr>
      </vt:variant>
      <vt:variant>
        <vt:i4>1310768</vt:i4>
      </vt:variant>
      <vt:variant>
        <vt:i4>23</vt:i4>
      </vt:variant>
      <vt:variant>
        <vt:i4>0</vt:i4>
      </vt:variant>
      <vt:variant>
        <vt:i4>5</vt:i4>
      </vt:variant>
      <vt:variant>
        <vt:lpwstr/>
      </vt:variant>
      <vt:variant>
        <vt:lpwstr>_Toc136433476</vt:lpwstr>
      </vt:variant>
      <vt:variant>
        <vt:i4>1310768</vt:i4>
      </vt:variant>
      <vt:variant>
        <vt:i4>17</vt:i4>
      </vt:variant>
      <vt:variant>
        <vt:i4>0</vt:i4>
      </vt:variant>
      <vt:variant>
        <vt:i4>5</vt:i4>
      </vt:variant>
      <vt:variant>
        <vt:lpwstr/>
      </vt:variant>
      <vt:variant>
        <vt:lpwstr>_Toc136433475</vt:lpwstr>
      </vt:variant>
      <vt:variant>
        <vt:i4>1310768</vt:i4>
      </vt:variant>
      <vt:variant>
        <vt:i4>11</vt:i4>
      </vt:variant>
      <vt:variant>
        <vt:i4>0</vt:i4>
      </vt:variant>
      <vt:variant>
        <vt:i4>5</vt:i4>
      </vt:variant>
      <vt:variant>
        <vt:lpwstr/>
      </vt:variant>
      <vt:variant>
        <vt:lpwstr>_Toc136433474</vt:lpwstr>
      </vt:variant>
      <vt:variant>
        <vt:i4>1310768</vt:i4>
      </vt:variant>
      <vt:variant>
        <vt:i4>5</vt:i4>
      </vt:variant>
      <vt:variant>
        <vt:i4>0</vt:i4>
      </vt:variant>
      <vt:variant>
        <vt:i4>5</vt:i4>
      </vt:variant>
      <vt:variant>
        <vt:lpwstr/>
      </vt:variant>
      <vt:variant>
        <vt:lpwstr>_Toc136433473</vt:lpwstr>
      </vt:variant>
      <vt:variant>
        <vt:i4>5832821</vt:i4>
      </vt:variant>
      <vt:variant>
        <vt:i4>0</vt:i4>
      </vt:variant>
      <vt:variant>
        <vt:i4>0</vt:i4>
      </vt:variant>
      <vt:variant>
        <vt:i4>5</vt:i4>
      </vt:variant>
      <vt:variant>
        <vt:lpwstr>mailto:neptreview@health.vic.gov.au</vt:lpwstr>
      </vt:variant>
      <vt:variant>
        <vt:lpwstr/>
      </vt:variant>
      <vt:variant>
        <vt:i4>7602293</vt:i4>
      </vt:variant>
      <vt:variant>
        <vt:i4>90</vt:i4>
      </vt:variant>
      <vt:variant>
        <vt:i4>0</vt:i4>
      </vt:variant>
      <vt:variant>
        <vt:i4>5</vt:i4>
      </vt:variant>
      <vt:variant>
        <vt:lpwstr>https://www.health.nsw.gov.au/pts/Pages/about-pts.aspx</vt:lpwstr>
      </vt:variant>
      <vt:variant>
        <vt:lpwstr/>
      </vt:variant>
      <vt:variant>
        <vt:i4>2293860</vt:i4>
      </vt:variant>
      <vt:variant>
        <vt:i4>87</vt:i4>
      </vt:variant>
      <vt:variant>
        <vt:i4>0</vt:i4>
      </vt:variant>
      <vt:variant>
        <vt:i4>5</vt:i4>
      </vt:variant>
      <vt:variant>
        <vt:lpwstr>https://www.ambulance.qld.gov.au/LASN.html</vt:lpwstr>
      </vt:variant>
      <vt:variant>
        <vt:lpwstr/>
      </vt:variant>
      <vt:variant>
        <vt:i4>8257660</vt:i4>
      </vt:variant>
      <vt:variant>
        <vt:i4>84</vt:i4>
      </vt:variant>
      <vt:variant>
        <vt:i4>0</vt:i4>
      </vt:variant>
      <vt:variant>
        <vt:i4>5</vt:i4>
      </vt:variant>
      <vt:variant>
        <vt:lpwstr>https://www.stjohnnt.org.au/services/ambulance-patient-transfer</vt:lpwstr>
      </vt:variant>
      <vt:variant>
        <vt:lpwstr/>
      </vt:variant>
      <vt:variant>
        <vt:i4>3539041</vt:i4>
      </vt:variant>
      <vt:variant>
        <vt:i4>81</vt:i4>
      </vt:variant>
      <vt:variant>
        <vt:i4>0</vt:i4>
      </vt:variant>
      <vt:variant>
        <vt:i4>5</vt:i4>
      </vt:variant>
      <vt:variant>
        <vt:lpwstr>https://digital.nhs.uk/about-nhs-digital/corporate-information-and-documents/directions-and-data-provision-notices/nhs-england-directions/non-emergency-patient-transport-services-data-collection-directions-2022</vt:lpwstr>
      </vt:variant>
      <vt:variant>
        <vt:lpwstr/>
      </vt:variant>
      <vt:variant>
        <vt:i4>2424868</vt:i4>
      </vt:variant>
      <vt:variant>
        <vt:i4>78</vt:i4>
      </vt:variant>
      <vt:variant>
        <vt:i4>0</vt:i4>
      </vt:variant>
      <vt:variant>
        <vt:i4>5</vt:i4>
      </vt:variant>
      <vt:variant>
        <vt:lpwstr>https://www.england.nhs.uk/wp-content/uploads/2022/05/B1244-nepts-eligibility-criteria.pdf</vt:lpwstr>
      </vt:variant>
      <vt:variant>
        <vt:lpwstr/>
      </vt:variant>
      <vt:variant>
        <vt:i4>7864425</vt:i4>
      </vt:variant>
      <vt:variant>
        <vt:i4>75</vt:i4>
      </vt:variant>
      <vt:variant>
        <vt:i4>0</vt:i4>
      </vt:variant>
      <vt:variant>
        <vt:i4>5</vt:i4>
      </vt:variant>
      <vt:variant>
        <vt:lpwstr>https://www.england.nhs.uk/publication/improving-non-emergency-patient-transport-services/</vt:lpwstr>
      </vt:variant>
      <vt:variant>
        <vt:lpwstr/>
      </vt:variant>
      <vt:variant>
        <vt:i4>3276908</vt:i4>
      </vt:variant>
      <vt:variant>
        <vt:i4>72</vt:i4>
      </vt:variant>
      <vt:variant>
        <vt:i4>0</vt:i4>
      </vt:variant>
      <vt:variant>
        <vt:i4>5</vt:i4>
      </vt:variant>
      <vt:variant>
        <vt:lpwstr>https://clinicalexcellence.qld.gov.au/improvement-exchange/patient-access-coordination-hub-pach</vt:lpwstr>
      </vt:variant>
      <vt:variant>
        <vt:lpwstr/>
      </vt:variant>
      <vt:variant>
        <vt:i4>3866684</vt:i4>
      </vt:variant>
      <vt:variant>
        <vt:i4>69</vt:i4>
      </vt:variant>
      <vt:variant>
        <vt:i4>0</vt:i4>
      </vt:variant>
      <vt:variant>
        <vt:i4>5</vt:i4>
      </vt:variant>
      <vt:variant>
        <vt:lpwstr>https://www.theorsociety.com/resource-centre/business-case-studies/improving-patient-transport-in-new-south-wales/</vt:lpwstr>
      </vt:variant>
      <vt:variant>
        <vt:lpwstr/>
      </vt:variant>
      <vt:variant>
        <vt:i4>4718662</vt:i4>
      </vt:variant>
      <vt:variant>
        <vt:i4>66</vt:i4>
      </vt:variant>
      <vt:variant>
        <vt:i4>0</vt:i4>
      </vt:variant>
      <vt:variant>
        <vt:i4>5</vt:i4>
      </vt:variant>
      <vt:variant>
        <vt:lpwstr>https://logissolutions.net/case-studies/new-south-wales/</vt:lpwstr>
      </vt:variant>
      <vt:variant>
        <vt:lpwstr/>
      </vt:variant>
      <vt:variant>
        <vt:i4>7602293</vt:i4>
      </vt:variant>
      <vt:variant>
        <vt:i4>63</vt:i4>
      </vt:variant>
      <vt:variant>
        <vt:i4>0</vt:i4>
      </vt:variant>
      <vt:variant>
        <vt:i4>5</vt:i4>
      </vt:variant>
      <vt:variant>
        <vt:lpwstr>https://www.health.nsw.gov.au/pts/Pages/about-pts.aspx</vt:lpwstr>
      </vt:variant>
      <vt:variant>
        <vt:lpwstr/>
      </vt:variant>
      <vt:variant>
        <vt:i4>5373992</vt:i4>
      </vt:variant>
      <vt:variant>
        <vt:i4>60</vt:i4>
      </vt:variant>
      <vt:variant>
        <vt:i4>0</vt:i4>
      </vt:variant>
      <vt:variant>
        <vt:i4>5</vt:i4>
      </vt:variant>
      <vt:variant>
        <vt:lpwstr>https://www1.health.nsw.gov.au/pds/ActivePDSDocuments/PD2018_002.pdf</vt:lpwstr>
      </vt:variant>
      <vt:variant>
        <vt:lpwstr/>
      </vt:variant>
      <vt:variant>
        <vt:i4>1114127</vt:i4>
      </vt:variant>
      <vt:variant>
        <vt:i4>57</vt:i4>
      </vt:variant>
      <vt:variant>
        <vt:i4>0</vt:i4>
      </vt:variant>
      <vt:variant>
        <vt:i4>5</vt:i4>
      </vt:variant>
      <vt:variant>
        <vt:lpwstr>https://www.vic.gov.au/free-tafe</vt:lpwstr>
      </vt:variant>
      <vt:variant>
        <vt:lpwstr/>
      </vt:variant>
      <vt:variant>
        <vt:i4>3276906</vt:i4>
      </vt:variant>
      <vt:variant>
        <vt:i4>54</vt:i4>
      </vt:variant>
      <vt:variant>
        <vt:i4>0</vt:i4>
      </vt:variant>
      <vt:variant>
        <vt:i4>5</vt:i4>
      </vt:variant>
      <vt:variant>
        <vt:lpwstr>https://www.redcross.org.au/globalassets/cms/publications/annual-reports/annual-report-2022.pdf</vt:lpwstr>
      </vt:variant>
      <vt:variant>
        <vt:lpwstr/>
      </vt:variant>
      <vt:variant>
        <vt:i4>5439553</vt:i4>
      </vt:variant>
      <vt:variant>
        <vt:i4>51</vt:i4>
      </vt:variant>
      <vt:variant>
        <vt:i4>0</vt:i4>
      </vt:variant>
      <vt:variant>
        <vt:i4>5</vt:i4>
      </vt:variant>
      <vt:variant>
        <vt:lpwstr>https://www.health.wa.gov.au/~/media/Files/Corporate/Policy-Frameworks/Purchasing-and-Resource-Allocation/Policy/Road-Based-Inter-Hospital-Patient-Transport-Services-Policy/MP85-Road-Based-Inter-Hospital-Patient-Transport-Services-Policy.pdf</vt:lpwstr>
      </vt:variant>
      <vt:variant>
        <vt:lpwstr/>
      </vt:variant>
      <vt:variant>
        <vt:i4>6553658</vt:i4>
      </vt:variant>
      <vt:variant>
        <vt:i4>48</vt:i4>
      </vt:variant>
      <vt:variant>
        <vt:i4>0</vt:i4>
      </vt:variant>
      <vt:variant>
        <vt:i4>5</vt:i4>
      </vt:variant>
      <vt:variant>
        <vt:lpwstr>https://www.paltd.com.au/solutions/health-care</vt:lpwstr>
      </vt:variant>
      <vt:variant>
        <vt:lpwstr/>
      </vt:variant>
      <vt:variant>
        <vt:i4>458820</vt:i4>
      </vt:variant>
      <vt:variant>
        <vt:i4>42</vt:i4>
      </vt:variant>
      <vt:variant>
        <vt:i4>0</vt:i4>
      </vt:variant>
      <vt:variant>
        <vt:i4>5</vt:i4>
      </vt:variant>
      <vt:variant>
        <vt:lpwstr>https://www.health.vic.gov.au/sites/default/files/2022-04/rural-public-health-care-agencies-ict-alliance-policy.docx</vt:lpwstr>
      </vt:variant>
      <vt:variant>
        <vt:lpwstr/>
      </vt:variant>
      <vt:variant>
        <vt:i4>4718596</vt:i4>
      </vt:variant>
      <vt:variant>
        <vt:i4>39</vt:i4>
      </vt:variant>
      <vt:variant>
        <vt:i4>0</vt:i4>
      </vt:variant>
      <vt:variant>
        <vt:i4>5</vt:i4>
      </vt:variant>
      <vt:variant>
        <vt:lpwstr>https://vau.org.au/st-john-members-protected-industrial-action-faqs/</vt:lpwstr>
      </vt:variant>
      <vt:variant>
        <vt:lpwstr/>
      </vt:variant>
      <vt:variant>
        <vt:i4>8257662</vt:i4>
      </vt:variant>
      <vt:variant>
        <vt:i4>36</vt:i4>
      </vt:variant>
      <vt:variant>
        <vt:i4>0</vt:i4>
      </vt:variant>
      <vt:variant>
        <vt:i4>5</vt:i4>
      </vt:variant>
      <vt:variant>
        <vt:lpwstr>http://rcvmhs.archive.royalcommission.vic.gov.au/Victorian_Ambulance_Union.pdf</vt:lpwstr>
      </vt:variant>
      <vt:variant>
        <vt:lpwstr/>
      </vt:variant>
      <vt:variant>
        <vt:i4>4259862</vt:i4>
      </vt:variant>
      <vt:variant>
        <vt:i4>33</vt:i4>
      </vt:variant>
      <vt:variant>
        <vt:i4>0</vt:i4>
      </vt:variant>
      <vt:variant>
        <vt:i4>5</vt:i4>
      </vt:variant>
      <vt:variant>
        <vt:lpwstr>https://www.ambulance.vic.gov.au/about-us/sustainability/environment/</vt:lpwstr>
      </vt:variant>
      <vt:variant>
        <vt:lpwstr/>
      </vt:variant>
      <vt:variant>
        <vt:i4>7077934</vt:i4>
      </vt:variant>
      <vt:variant>
        <vt:i4>30</vt:i4>
      </vt:variant>
      <vt:variant>
        <vt:i4>0</vt:i4>
      </vt:variant>
      <vt:variant>
        <vt:i4>5</vt:i4>
      </vt:variant>
      <vt:variant>
        <vt:lpwstr>https://www.health.vic.gov.au/sites/default/files/migrated/files/collections/factsheets/b/better-safer-care.pdf</vt:lpwstr>
      </vt:variant>
      <vt:variant>
        <vt:lpwstr/>
      </vt:variant>
      <vt:variant>
        <vt:i4>1114183</vt:i4>
      </vt:variant>
      <vt:variant>
        <vt:i4>27</vt:i4>
      </vt:variant>
      <vt:variant>
        <vt:i4>0</vt:i4>
      </vt:variant>
      <vt:variant>
        <vt:i4>5</vt:i4>
      </vt:variant>
      <vt:variant>
        <vt:lpwstr>https://www.health.vic.gov.au/sites/default/files/migrated/files/collections/research-and-reports/h/hospital-safety-and-quality-assurance-in-victoria.pdf</vt:lpwstr>
      </vt:variant>
      <vt:variant>
        <vt:lpwstr/>
      </vt:variant>
      <vt:variant>
        <vt:i4>131094</vt:i4>
      </vt:variant>
      <vt:variant>
        <vt:i4>24</vt:i4>
      </vt:variant>
      <vt:variant>
        <vt:i4>0</vt:i4>
      </vt:variant>
      <vt:variant>
        <vt:i4>5</vt:i4>
      </vt:variant>
      <vt:variant>
        <vt:lpwstr>https://www.ambulance.vic.gov.au/community/education/how-we-manage-demand/</vt:lpwstr>
      </vt:variant>
      <vt:variant>
        <vt:lpwstr>:~:text=A%20red%20escalation%20is%20a,to%20extreme%20workload%20or%20demand</vt:lpwstr>
      </vt:variant>
      <vt:variant>
        <vt:i4>4587544</vt:i4>
      </vt:variant>
      <vt:variant>
        <vt:i4>21</vt:i4>
      </vt:variant>
      <vt:variant>
        <vt:i4>0</vt:i4>
      </vt:variant>
      <vt:variant>
        <vt:i4>5</vt:i4>
      </vt:variant>
      <vt:variant>
        <vt:lpwstr>https://ajp.paramedics.org/index.php/ajp/article/view/473/473</vt:lpwstr>
      </vt:variant>
      <vt:variant>
        <vt:lpwstr/>
      </vt:variant>
      <vt:variant>
        <vt:i4>4653056</vt:i4>
      </vt:variant>
      <vt:variant>
        <vt:i4>18</vt:i4>
      </vt:variant>
      <vt:variant>
        <vt:i4>0</vt:i4>
      </vt:variant>
      <vt:variant>
        <vt:i4>5</vt:i4>
      </vt:variant>
      <vt:variant>
        <vt:lpwstr>https://www.health.vic.gov.au/patient-care/ambulance-services-payment-guidelines</vt:lpwstr>
      </vt:variant>
      <vt:variant>
        <vt:lpwstr/>
      </vt:variant>
      <vt:variant>
        <vt:i4>4849693</vt:i4>
      </vt:variant>
      <vt:variant>
        <vt:i4>9</vt:i4>
      </vt:variant>
      <vt:variant>
        <vt:i4>0</vt:i4>
      </vt:variant>
      <vt:variant>
        <vt:i4>5</vt:i4>
      </vt:variant>
      <vt:variant>
        <vt:lpwstr>https://www.ambulance.vic.gov.au/wp-content/uploads/2022/12/Ambulance-Victoria-Annual-Report-2021-22.pdf</vt:lpwstr>
      </vt:variant>
      <vt:variant>
        <vt:lpwstr/>
      </vt:variant>
      <vt:variant>
        <vt:i4>7405617</vt:i4>
      </vt:variant>
      <vt:variant>
        <vt:i4>6</vt:i4>
      </vt:variant>
      <vt:variant>
        <vt:i4>0</vt:i4>
      </vt:variant>
      <vt:variant>
        <vt:i4>5</vt:i4>
      </vt:variant>
      <vt:variant>
        <vt:lpwstr>https://www.emv.vic.gov.au/publications/emergency-management-operational-review-2016-17</vt:lpwstr>
      </vt:variant>
      <vt:variant>
        <vt:lpwstr/>
      </vt:variant>
      <vt:variant>
        <vt:i4>2424940</vt:i4>
      </vt:variant>
      <vt:variant>
        <vt:i4>3</vt:i4>
      </vt:variant>
      <vt:variant>
        <vt:i4>0</vt:i4>
      </vt:variant>
      <vt:variant>
        <vt:i4>5</vt:i4>
      </vt:variant>
      <vt:variant>
        <vt:lpwstr>https://www.health.vic.gov.au/patient-care/nept-legislation-and-clinical-practice-protocols</vt:lpwstr>
      </vt:variant>
      <vt:variant>
        <vt:lpwstr/>
      </vt:variant>
      <vt:variant>
        <vt:i4>5570633</vt:i4>
      </vt:variant>
      <vt:variant>
        <vt:i4>0</vt:i4>
      </vt:variant>
      <vt:variant>
        <vt:i4>0</vt:i4>
      </vt:variant>
      <vt:variant>
        <vt:i4>5</vt:i4>
      </vt:variant>
      <vt:variant>
        <vt:lpwstr>https://www.health.vic.gov.au/patient-care/non-emergency-patient-transport-review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Review Discussion Paper</dc:title>
  <dc:subject/>
  <dc:creator>Non-emergency patient transport</dc:creator>
  <cp:keywords/>
  <dc:description/>
  <cp:lastModifiedBy>Tyler McPherson (Health)</cp:lastModifiedBy>
  <cp:revision>5</cp:revision>
  <cp:lastPrinted>2023-05-30T11:04:00Z</cp:lastPrinted>
  <dcterms:created xsi:type="dcterms:W3CDTF">2023-05-31T05:07:00Z</dcterms:created>
  <dcterms:modified xsi:type="dcterms:W3CDTF">2023-05-31T05:28:00Z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12032021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3d6aa9fe-4ab7-4a7c-8e39-ccc0b3ffed53_Enabled">
    <vt:lpwstr>true</vt:lpwstr>
  </property>
  <property fmtid="{D5CDD505-2E9C-101B-9397-08002B2CF9AE}" pid="8" name="MSIP_Label_3d6aa9fe-4ab7-4a7c-8e39-ccc0b3ffed53_SetDate">
    <vt:lpwstr>2023-05-31T05:11:57Z</vt:lpwstr>
  </property>
  <property fmtid="{D5CDD505-2E9C-101B-9397-08002B2CF9AE}" pid="9" name="MSIP_Label_3d6aa9fe-4ab7-4a7c-8e39-ccc0b3ffed53_Method">
    <vt:lpwstr>Privileged</vt:lpwstr>
  </property>
  <property fmtid="{D5CDD505-2E9C-101B-9397-08002B2CF9AE}" pid="10" name="MSIP_Label_3d6aa9fe-4ab7-4a7c-8e39-ccc0b3ffed53_Name">
    <vt:lpwstr>3d6aa9fe-4ab7-4a7c-8e39-ccc0b3ffed53</vt:lpwstr>
  </property>
  <property fmtid="{D5CDD505-2E9C-101B-9397-08002B2CF9AE}" pid="11" name="MSIP_Label_3d6aa9fe-4ab7-4a7c-8e39-ccc0b3ffed53_SiteId">
    <vt:lpwstr>c0e0601f-0fac-449c-9c88-a104c4eb9f28</vt:lpwstr>
  </property>
  <property fmtid="{D5CDD505-2E9C-101B-9397-08002B2CF9AE}" pid="12" name="MSIP_Label_3d6aa9fe-4ab7-4a7c-8e39-ccc0b3ffed53_ActionId">
    <vt:lpwstr>1a4a740a-1584-4484-8ed5-1df8a6f1b96a</vt:lpwstr>
  </property>
  <property fmtid="{D5CDD505-2E9C-101B-9397-08002B2CF9AE}" pid="13" name="MSIP_Label_3d6aa9fe-4ab7-4a7c-8e39-ccc0b3ffed53_ContentBits">
    <vt:lpwstr>0</vt:lpwstr>
  </property>
</Properties>
</file>