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056EC4">
      <w:pPr>
        <w:pStyle w:val="Body"/>
      </w:pPr>
      <w:r>
        <w:rPr>
          <w:noProof/>
          <w:color w:val="2B579A"/>
          <w:shd w:val="clear" w:color="auto" w:fill="E6E6E6"/>
        </w:rPr>
        <w:drawing>
          <wp:anchor distT="0" distB="0" distL="114300" distR="114300" simplePos="0" relativeHeight="251658240" behindDoc="1" locked="1" layoutInCell="1" allowOverlap="1" wp14:anchorId="2363C59C" wp14:editId="45A0BF26">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3F3BC297">
        <w:trPr>
          <w:cantSplit/>
        </w:trPr>
        <w:tc>
          <w:tcPr>
            <w:tcW w:w="0" w:type="auto"/>
            <w:tcMar>
              <w:top w:w="0" w:type="dxa"/>
              <w:left w:w="0" w:type="dxa"/>
              <w:right w:w="0" w:type="dxa"/>
            </w:tcMar>
          </w:tcPr>
          <w:p w14:paraId="2770EC11" w14:textId="212C56B2" w:rsidR="00AD784C" w:rsidRPr="00431F42" w:rsidRDefault="303474ED" w:rsidP="00431F42">
            <w:pPr>
              <w:pStyle w:val="Documenttitle"/>
            </w:pPr>
            <w:r>
              <w:t xml:space="preserve">Errata to </w:t>
            </w:r>
            <w:r w:rsidR="6E9CB5BA">
              <w:t>S</w:t>
            </w:r>
            <w:r w:rsidR="668D5368">
              <w:t>pecifications</w:t>
            </w:r>
            <w:r w:rsidR="1B6FCC69">
              <w:t xml:space="preserve"> for revision</w:t>
            </w:r>
            <w:r w:rsidR="668D5368">
              <w:t>s</w:t>
            </w:r>
            <w:r w:rsidR="1B6FCC69">
              <w:t xml:space="preserve"> to </w:t>
            </w:r>
            <w:r w:rsidR="2C65FF5C">
              <w:t xml:space="preserve">the </w:t>
            </w:r>
            <w:r w:rsidR="51089E1E">
              <w:t>Agency Information Management System (AIMS)</w:t>
            </w:r>
            <w:r w:rsidR="1B6FCC69">
              <w:t xml:space="preserve"> for 202</w:t>
            </w:r>
            <w:r w:rsidR="4DAF30F6">
              <w:t>3-24</w:t>
            </w:r>
          </w:p>
        </w:tc>
      </w:tr>
      <w:tr w:rsidR="00AD784C" w14:paraId="126AF60F" w14:textId="77777777" w:rsidTr="3F3BC297">
        <w:trPr>
          <w:cantSplit/>
        </w:trPr>
        <w:tc>
          <w:tcPr>
            <w:tcW w:w="0" w:type="auto"/>
          </w:tcPr>
          <w:p w14:paraId="20D47A77" w14:textId="7FE93D01" w:rsidR="00386109" w:rsidRPr="00A1389F" w:rsidRDefault="657B1B1B" w:rsidP="009315BE">
            <w:pPr>
              <w:pStyle w:val="Documentsubtitle"/>
            </w:pPr>
            <w:r>
              <w:t xml:space="preserve">April </w:t>
            </w:r>
            <w:r w:rsidR="303474ED">
              <w:t>2023</w:t>
            </w:r>
          </w:p>
        </w:tc>
      </w:tr>
      <w:tr w:rsidR="00430393" w14:paraId="1FA1E015" w14:textId="77777777" w:rsidTr="3F3BC297">
        <w:trPr>
          <w:cantSplit/>
        </w:trPr>
        <w:tc>
          <w:tcPr>
            <w:tcW w:w="0" w:type="auto"/>
          </w:tcPr>
          <w:p w14:paraId="2C6E5439" w14:textId="77777777" w:rsidR="00430393" w:rsidRDefault="00CC17D3" w:rsidP="00430393">
            <w:pPr>
              <w:pStyle w:val="Bannermarking"/>
            </w:pPr>
            <w:r>
              <w:fldChar w:fldCharType="begin"/>
            </w:r>
            <w:r>
              <w:instrText>FILLIN  "Type the protective marking" \d OFFICIAL \o  \* MERGEFORMAT</w:instrText>
            </w:r>
            <w:r>
              <w:fldChar w:fldCharType="separate"/>
            </w:r>
            <w:r w:rsidR="005E4232">
              <w:t>OFFICIAL</w:t>
            </w:r>
            <w:r>
              <w:fldChar w:fldCharType="end"/>
            </w:r>
          </w:p>
        </w:tc>
      </w:tr>
    </w:tbl>
    <w:p w14:paraId="201E4326" w14:textId="77777777" w:rsidR="00FE4081" w:rsidRDefault="005F5A0E" w:rsidP="00FE4081">
      <w:pPr>
        <w:pStyle w:val="Body"/>
      </w:pPr>
      <w:r>
        <w:rPr>
          <w:noProof/>
          <w:color w:val="2B579A"/>
          <w:shd w:val="clear" w:color="auto" w:fill="E6E6E6"/>
        </w:rPr>
        <w:drawing>
          <wp:anchor distT="0" distB="0" distL="114300" distR="114300" simplePos="0" relativeHeight="251658241" behindDoc="1" locked="0" layoutInCell="1" allowOverlap="1" wp14:anchorId="42D1E79A" wp14:editId="06FD3786">
            <wp:simplePos x="0" y="0"/>
            <wp:positionH relativeFrom="column">
              <wp:posOffset>1978660</wp:posOffset>
            </wp:positionH>
            <wp:positionV relativeFrom="paragraph">
              <wp:posOffset>5131435</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969" w:right="1304" w:bottom="1418" w:left="1304" w:header="680" w:footer="851" w:gutter="0"/>
          <w:cols w:space="340"/>
          <w:docGrid w:linePitch="360"/>
        </w:sectPr>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3F3BC297">
        <w:trPr>
          <w:cantSplit/>
          <w:trHeight w:val="5103"/>
        </w:trPr>
        <w:tc>
          <w:tcPr>
            <w:tcW w:w="9288" w:type="dxa"/>
            <w:vAlign w:val="bottom"/>
          </w:tcPr>
          <w:p w14:paraId="78ADF55A" w14:textId="4F26CA03" w:rsidR="009F2182" w:rsidRPr="0055119B" w:rsidRDefault="009F2182" w:rsidP="001B6D79">
            <w:pPr>
              <w:pStyle w:val="Accessibilitypara"/>
            </w:pPr>
            <w:r w:rsidRPr="0055119B">
              <w:lastRenderedPageBreak/>
              <w:t>To receive this document in another format</w:t>
            </w:r>
            <w:r>
              <w:t>,</w:t>
            </w:r>
            <w:r w:rsidRPr="0055119B">
              <w:t xml:space="preserve"> </w:t>
            </w:r>
            <w:hyperlink r:id="rId19"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1B6D79">
            <w:pPr>
              <w:pStyle w:val="Imprint"/>
            </w:pPr>
            <w:r w:rsidRPr="0055119B">
              <w:t>Authorised and published by the Victorian Government, 1 Treasury Place, Melbourne.</w:t>
            </w:r>
          </w:p>
          <w:p w14:paraId="02E991D6" w14:textId="5FCDF817" w:rsidR="00286953" w:rsidRPr="0055119B" w:rsidRDefault="32C479BB" w:rsidP="001B6D79">
            <w:pPr>
              <w:pStyle w:val="Imprint"/>
            </w:pPr>
            <w:r>
              <w:t>© State of Victoria, Australia, Department of Health,</w:t>
            </w:r>
            <w:r w:rsidR="2C65FF5C">
              <w:t xml:space="preserve"> </w:t>
            </w:r>
            <w:r w:rsidR="416B30B8">
              <w:t xml:space="preserve">April </w:t>
            </w:r>
            <w:r w:rsidR="303474ED">
              <w:t>2023</w:t>
            </w:r>
            <w:r>
              <w:t>.</w:t>
            </w:r>
          </w:p>
          <w:p w14:paraId="06946551" w14:textId="4A74630E" w:rsidR="009F2182" w:rsidRDefault="00144630" w:rsidP="001B6D79">
            <w:pPr>
              <w:pStyle w:val="Imprint"/>
            </w:pPr>
            <w:r>
              <w:t xml:space="preserve">Available at </w:t>
            </w:r>
            <w:hyperlink r:id="rId20" w:history="1">
              <w:r>
                <w:rPr>
                  <w:rStyle w:val="Hyperlink"/>
                </w:rPr>
                <w:t>HDSS annual changes</w:t>
              </w:r>
            </w:hyperlink>
            <w:r>
              <w:t xml:space="preserve"> &lt; https://www.health.vic.gov.au/data-reporting/annual-changes&gt;</w:t>
            </w:r>
          </w:p>
        </w:tc>
      </w:tr>
      <w:tr w:rsidR="0008204A" w14:paraId="4040A250" w14:textId="77777777" w:rsidTr="3F3BC297">
        <w:trPr>
          <w:cantSplit/>
        </w:trPr>
        <w:tc>
          <w:tcPr>
            <w:tcW w:w="9288" w:type="dxa"/>
          </w:tcPr>
          <w:p w14:paraId="38E4E562" w14:textId="77777777" w:rsidR="0008204A" w:rsidRPr="0055119B" w:rsidRDefault="0008204A" w:rsidP="001B6D79">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4A388F" w:rsidRDefault="4E0EB689" w:rsidP="002365B4">
      <w:pPr>
        <w:pStyle w:val="TOCheadingreport"/>
      </w:pPr>
      <w:r>
        <w:lastRenderedPageBreak/>
        <w:t>Contents</w:t>
      </w:r>
    </w:p>
    <w:p w14:paraId="14704992" w14:textId="61BAF0B2" w:rsidR="005D583E" w:rsidRDefault="00AD784C">
      <w:pPr>
        <w:pStyle w:val="TOC1"/>
        <w:rPr>
          <w:rFonts w:asciiTheme="minorHAnsi" w:eastAsiaTheme="minorEastAsia" w:hAnsiTheme="minorHAnsi" w:cstheme="minorBidi"/>
          <w:b w:val="0"/>
          <w:sz w:val="22"/>
          <w:szCs w:val="22"/>
          <w:lang w:val="en-GB" w:eastAsia="ja-JP"/>
        </w:rPr>
      </w:pPr>
      <w:r w:rsidRPr="004A388F">
        <w:rPr>
          <w:color w:val="2B579A"/>
          <w:shd w:val="clear" w:color="auto" w:fill="E6E6E6"/>
        </w:rPr>
        <w:fldChar w:fldCharType="begin"/>
      </w:r>
      <w:r w:rsidRPr="004A388F">
        <w:instrText xml:space="preserve"> TOC \h \z \t "Heading 1,1,Heading 2,2" </w:instrText>
      </w:r>
      <w:r w:rsidRPr="004A388F">
        <w:rPr>
          <w:color w:val="2B579A"/>
          <w:shd w:val="clear" w:color="auto" w:fill="E6E6E6"/>
        </w:rPr>
        <w:fldChar w:fldCharType="separate"/>
      </w:r>
      <w:hyperlink w:anchor="_Toc133358999" w:history="1">
        <w:r w:rsidR="005D583E" w:rsidRPr="00FB7FE9">
          <w:rPr>
            <w:rStyle w:val="Hyperlink"/>
          </w:rPr>
          <w:t>Executive Summary</w:t>
        </w:r>
        <w:r w:rsidR="005D583E">
          <w:rPr>
            <w:webHidden/>
          </w:rPr>
          <w:tab/>
        </w:r>
        <w:r w:rsidR="005D583E">
          <w:rPr>
            <w:webHidden/>
          </w:rPr>
          <w:fldChar w:fldCharType="begin"/>
        </w:r>
        <w:r w:rsidR="005D583E">
          <w:rPr>
            <w:webHidden/>
          </w:rPr>
          <w:instrText xml:space="preserve"> PAGEREF _Toc133358999 \h </w:instrText>
        </w:r>
        <w:r w:rsidR="005D583E">
          <w:rPr>
            <w:webHidden/>
          </w:rPr>
        </w:r>
        <w:r w:rsidR="005D583E">
          <w:rPr>
            <w:webHidden/>
          </w:rPr>
          <w:fldChar w:fldCharType="separate"/>
        </w:r>
        <w:r w:rsidR="005D583E">
          <w:rPr>
            <w:webHidden/>
          </w:rPr>
          <w:t>4</w:t>
        </w:r>
        <w:r w:rsidR="005D583E">
          <w:rPr>
            <w:webHidden/>
          </w:rPr>
          <w:fldChar w:fldCharType="end"/>
        </w:r>
      </w:hyperlink>
    </w:p>
    <w:p w14:paraId="32C32342" w14:textId="26285E61" w:rsidR="005D583E" w:rsidRDefault="00CC17D3">
      <w:pPr>
        <w:pStyle w:val="TOC1"/>
        <w:rPr>
          <w:rFonts w:asciiTheme="minorHAnsi" w:eastAsiaTheme="minorEastAsia" w:hAnsiTheme="minorHAnsi" w:cstheme="minorBidi"/>
          <w:b w:val="0"/>
          <w:sz w:val="22"/>
          <w:szCs w:val="22"/>
          <w:lang w:val="en-GB" w:eastAsia="ja-JP"/>
        </w:rPr>
      </w:pPr>
      <w:hyperlink w:anchor="_Toc133359000" w:history="1">
        <w:r w:rsidR="005D583E" w:rsidRPr="00FB7FE9">
          <w:rPr>
            <w:rStyle w:val="Hyperlink"/>
          </w:rPr>
          <w:t>New collection – Statutory Duty of Candour (SDC)</w:t>
        </w:r>
        <w:r w:rsidR="005D583E">
          <w:rPr>
            <w:webHidden/>
          </w:rPr>
          <w:tab/>
        </w:r>
        <w:r w:rsidR="005D583E">
          <w:rPr>
            <w:webHidden/>
          </w:rPr>
          <w:fldChar w:fldCharType="begin"/>
        </w:r>
        <w:r w:rsidR="005D583E">
          <w:rPr>
            <w:webHidden/>
          </w:rPr>
          <w:instrText xml:space="preserve"> PAGEREF _Toc133359000 \h </w:instrText>
        </w:r>
        <w:r w:rsidR="005D583E">
          <w:rPr>
            <w:webHidden/>
          </w:rPr>
        </w:r>
        <w:r w:rsidR="005D583E">
          <w:rPr>
            <w:webHidden/>
          </w:rPr>
          <w:fldChar w:fldCharType="separate"/>
        </w:r>
        <w:r w:rsidR="005D583E">
          <w:rPr>
            <w:webHidden/>
          </w:rPr>
          <w:t>4</w:t>
        </w:r>
        <w:r w:rsidR="005D583E">
          <w:rPr>
            <w:webHidden/>
          </w:rPr>
          <w:fldChar w:fldCharType="end"/>
        </w:r>
      </w:hyperlink>
    </w:p>
    <w:p w14:paraId="69311C49" w14:textId="032C5DD1" w:rsidR="00FB1F6E" w:rsidRDefault="00AD784C" w:rsidP="00286953">
      <w:pPr>
        <w:pStyle w:val="Body"/>
      </w:pPr>
      <w:r w:rsidRPr="004A388F">
        <w:rPr>
          <w:color w:val="2B579A"/>
          <w:shd w:val="clear" w:color="auto" w:fill="E6E6E6"/>
        </w:rPr>
        <w:fldChar w:fldCharType="end"/>
      </w:r>
    </w:p>
    <w:p w14:paraId="1C1714DB" w14:textId="77777777" w:rsidR="007173CA" w:rsidRDefault="007173CA" w:rsidP="00D079AA">
      <w:pPr>
        <w:pStyle w:val="Body"/>
      </w:pPr>
    </w:p>
    <w:p w14:paraId="3C87E475" w14:textId="77777777" w:rsidR="00580394" w:rsidRPr="00B519CD" w:rsidRDefault="00580394" w:rsidP="007173CA">
      <w:pPr>
        <w:pStyle w:val="Body"/>
        <w:sectPr w:rsidR="00580394" w:rsidRPr="00B519CD" w:rsidSect="002C5B7C">
          <w:footerReference w:type="default" r:id="rId21"/>
          <w:pgSz w:w="11906" w:h="16838" w:code="9"/>
          <w:pgMar w:top="1701" w:right="1304" w:bottom="1418" w:left="1304" w:header="680" w:footer="851" w:gutter="0"/>
          <w:cols w:space="340"/>
          <w:docGrid w:linePitch="360"/>
        </w:sectPr>
      </w:pPr>
    </w:p>
    <w:p w14:paraId="29D1E1F8" w14:textId="77777777" w:rsidR="00DF745A" w:rsidRDefault="00DF745A" w:rsidP="00DF745A">
      <w:pPr>
        <w:pStyle w:val="Heading1"/>
      </w:pPr>
      <w:bookmarkStart w:id="0" w:name="_Toc51939356"/>
      <w:bookmarkStart w:id="1" w:name="_Toc133358999"/>
      <w:bookmarkStart w:id="2" w:name="_Toc51938683"/>
      <w:r w:rsidRPr="00BB47B8">
        <w:lastRenderedPageBreak/>
        <w:t>Executive Summary</w:t>
      </w:r>
      <w:bookmarkEnd w:id="0"/>
      <w:bookmarkEnd w:id="1"/>
    </w:p>
    <w:p w14:paraId="6F40EB13" w14:textId="555BBCCF" w:rsidR="0004570A" w:rsidRDefault="43FCA72D" w:rsidP="00DF745A">
      <w:pPr>
        <w:pStyle w:val="DHHSbody"/>
      </w:pPr>
      <w:r>
        <w:t>T</w:t>
      </w:r>
      <w:r w:rsidR="647DEB63">
        <w:t xml:space="preserve">he Specifications for revisions to the </w:t>
      </w:r>
      <w:r w:rsidR="4BD3820C">
        <w:t>Agency Information Management System (</w:t>
      </w:r>
      <w:r w:rsidR="647DEB63">
        <w:t>AIMS</w:t>
      </w:r>
      <w:r w:rsidR="4D7A0D4F">
        <w:t>)</w:t>
      </w:r>
      <w:r w:rsidR="647DEB63">
        <w:t xml:space="preserve"> for 2023-24</w:t>
      </w:r>
      <w:r w:rsidR="292F142F">
        <w:t xml:space="preserve"> document was released in December 2022, and included specification of</w:t>
      </w:r>
      <w:r w:rsidR="2300D9BD">
        <w:t xml:space="preserve"> </w:t>
      </w:r>
      <w:r w:rsidR="647DEB63">
        <w:t>the new Statutory Duty of Candour (SDC) data collection</w:t>
      </w:r>
      <w:r w:rsidR="7B07ECF6">
        <w:t xml:space="preserve">. </w:t>
      </w:r>
      <w:r w:rsidR="647DEB63">
        <w:t xml:space="preserve"> </w:t>
      </w:r>
    </w:p>
    <w:p w14:paraId="6604B125" w14:textId="4BF3BBD2" w:rsidR="006C5A3B" w:rsidRDefault="4E499655" w:rsidP="00DF745A">
      <w:pPr>
        <w:pStyle w:val="DHHSbody"/>
      </w:pPr>
      <w:r>
        <w:t>Since then, some clarification has been provided on aspects of th</w:t>
      </w:r>
      <w:r w:rsidR="372A3001">
        <w:t>os</w:t>
      </w:r>
      <w:r>
        <w:t>e</w:t>
      </w:r>
      <w:r w:rsidR="0E379A45">
        <w:t xml:space="preserve"> </w:t>
      </w:r>
      <w:r w:rsidR="09AC5177">
        <w:t xml:space="preserve">original </w:t>
      </w:r>
      <w:r w:rsidR="0E379A45">
        <w:t>specifications</w:t>
      </w:r>
      <w:r w:rsidR="2E0A8C1D">
        <w:t xml:space="preserve">. </w:t>
      </w:r>
    </w:p>
    <w:p w14:paraId="1C1F3F99" w14:textId="7E4CB12D" w:rsidR="006C5A3B" w:rsidRDefault="156EF3A7" w:rsidP="00DF745A">
      <w:pPr>
        <w:pStyle w:val="DHHSbody"/>
      </w:pPr>
      <w:r>
        <w:t>Th</w:t>
      </w:r>
      <w:r w:rsidR="1A7CAA63">
        <w:t xml:space="preserve">is errata document provides the final </w:t>
      </w:r>
      <w:r>
        <w:t>specification</w:t>
      </w:r>
      <w:r w:rsidR="779117C3">
        <w:t xml:space="preserve"> for the Statutory Duty of Candour data collection,</w:t>
      </w:r>
      <w:r>
        <w:t xml:space="preserve"> </w:t>
      </w:r>
      <w:r w:rsidR="6D99943B">
        <w:t>includ</w:t>
      </w:r>
      <w:r w:rsidR="40D92D0A">
        <w:t>ing</w:t>
      </w:r>
      <w:r w:rsidR="6D99943B">
        <w:t>:</w:t>
      </w:r>
    </w:p>
    <w:p w14:paraId="689394AF" w14:textId="13512696" w:rsidR="006C5A3B" w:rsidRDefault="6D99943B" w:rsidP="3F3BC297">
      <w:pPr>
        <w:pStyle w:val="DHHSbody"/>
        <w:numPr>
          <w:ilvl w:val="0"/>
          <w:numId w:val="1"/>
        </w:numPr>
      </w:pPr>
      <w:r>
        <w:t>The original wording</w:t>
      </w:r>
    </w:p>
    <w:p w14:paraId="7C85C351" w14:textId="2BDB399E" w:rsidR="006C5A3B" w:rsidRDefault="6D99943B" w:rsidP="3F3BC297">
      <w:pPr>
        <w:pStyle w:val="DHHSbody"/>
        <w:numPr>
          <w:ilvl w:val="0"/>
          <w:numId w:val="1"/>
        </w:numPr>
        <w:rPr>
          <w:szCs w:val="21"/>
        </w:rPr>
      </w:pPr>
      <w:r w:rsidRPr="3F3BC297">
        <w:rPr>
          <w:szCs w:val="21"/>
        </w:rPr>
        <w:t>The updated, final specification</w:t>
      </w:r>
    </w:p>
    <w:p w14:paraId="68D6DFD1" w14:textId="6A43FFF0" w:rsidR="006C5A3B" w:rsidRDefault="3CBDFFE6" w:rsidP="3F3BC297">
      <w:pPr>
        <w:pStyle w:val="DHHSbody"/>
        <w:numPr>
          <w:ilvl w:val="0"/>
          <w:numId w:val="1"/>
        </w:numPr>
        <w:rPr>
          <w:strike/>
        </w:rPr>
      </w:pPr>
      <w:r>
        <w:t>Original w</w:t>
      </w:r>
      <w:r w:rsidR="156EF3A7">
        <w:t xml:space="preserve">ording </w:t>
      </w:r>
      <w:r w:rsidR="49702E98">
        <w:t xml:space="preserve">that is no longer relevant </w:t>
      </w:r>
      <w:r w:rsidR="059F076E">
        <w:t xml:space="preserve">is </w:t>
      </w:r>
      <w:r w:rsidR="059F076E" w:rsidRPr="3F3BC297">
        <w:rPr>
          <w:strike/>
        </w:rPr>
        <w:t>crossed through</w:t>
      </w:r>
    </w:p>
    <w:p w14:paraId="388A840A" w14:textId="1F457BB4" w:rsidR="006C5A3B" w:rsidRDefault="246104F1" w:rsidP="3F3BC297">
      <w:pPr>
        <w:pStyle w:val="DHHSbody"/>
        <w:numPr>
          <w:ilvl w:val="0"/>
          <w:numId w:val="1"/>
        </w:numPr>
      </w:pPr>
      <w:r>
        <w:t>N</w:t>
      </w:r>
      <w:r w:rsidR="059F076E">
        <w:t>ew wording</w:t>
      </w:r>
      <w:r w:rsidR="00553A82">
        <w:t xml:space="preserve">, and all changes, </w:t>
      </w:r>
      <w:r w:rsidR="27B02B67">
        <w:t>are</w:t>
      </w:r>
      <w:r w:rsidR="303474ED">
        <w:t xml:space="preserve"> </w:t>
      </w:r>
      <w:r w:rsidR="21808159" w:rsidRPr="3F3BC297">
        <w:rPr>
          <w:highlight w:val="cyan"/>
        </w:rPr>
        <w:t>highlighted.</w:t>
      </w:r>
      <w:r w:rsidR="303474ED">
        <w:t xml:space="preserve"> </w:t>
      </w:r>
    </w:p>
    <w:p w14:paraId="49F69F87" w14:textId="655CD2A9" w:rsidR="006C5A3B" w:rsidRDefault="006C5A3B" w:rsidP="00DF745A">
      <w:pPr>
        <w:pStyle w:val="DHHSbody"/>
      </w:pPr>
      <w:r>
        <w:t xml:space="preserve">This document will be published to the </w:t>
      </w:r>
      <w:hyperlink r:id="rId22" w:history="1">
        <w:r w:rsidRPr="006C5A3B">
          <w:rPr>
            <w:rStyle w:val="Hyperlink"/>
          </w:rPr>
          <w:t>HDSS website’s Annual changes process page</w:t>
        </w:r>
      </w:hyperlink>
      <w:r>
        <w:t xml:space="preserve"> &lt;</w:t>
      </w:r>
      <w:r w:rsidRPr="006C5A3B">
        <w:t>https://www.health.vic.gov.au/data-reporting/annual-changes</w:t>
      </w:r>
      <w:r>
        <w:t>&gt;.</w:t>
      </w:r>
    </w:p>
    <w:p w14:paraId="0087F831" w14:textId="77777777" w:rsidR="00351492" w:rsidRDefault="00351492" w:rsidP="00351492">
      <w:pPr>
        <w:pStyle w:val="Heading1"/>
      </w:pPr>
      <w:bookmarkStart w:id="3" w:name="_Toc133359000"/>
      <w:r>
        <w:t>New collection – Statutory Duty of Candour (SDC)</w:t>
      </w:r>
      <w:bookmarkEnd w:id="3"/>
    </w:p>
    <w:tbl>
      <w:tblPr>
        <w:tblW w:w="9735" w:type="dxa"/>
        <w:tblInd w:w="-322" w:type="dxa"/>
        <w:tblLook w:val="04A0" w:firstRow="1" w:lastRow="0" w:firstColumn="1" w:lastColumn="0" w:noHBand="0" w:noVBand="1"/>
      </w:tblPr>
      <w:tblGrid>
        <w:gridCol w:w="1278"/>
        <w:gridCol w:w="8457"/>
      </w:tblGrid>
      <w:tr w:rsidR="00DF49AE" w:rsidRPr="00AF46BB" w14:paraId="759F57B0" w14:textId="77777777" w:rsidTr="0CD58107">
        <w:trPr>
          <w:trHeight w:val="300"/>
        </w:trPr>
        <w:tc>
          <w:tcPr>
            <w:tcW w:w="1275" w:type="dxa"/>
            <w:shd w:val="clear" w:color="auto" w:fill="auto"/>
          </w:tcPr>
          <w:p w14:paraId="13696821" w14:textId="6DBEDB06" w:rsidR="00C55911" w:rsidRPr="00351492" w:rsidRDefault="00C55911" w:rsidP="00B80C3C">
            <w:pPr>
              <w:pStyle w:val="Body"/>
              <w:rPr>
                <w:rStyle w:val="Strong"/>
              </w:rPr>
            </w:pPr>
            <w:r w:rsidRPr="361ACFC2">
              <w:rPr>
                <w:rStyle w:val="Strong"/>
              </w:rPr>
              <w:t>Details of change</w:t>
            </w:r>
          </w:p>
        </w:tc>
        <w:tc>
          <w:tcPr>
            <w:tcW w:w="8460" w:type="dxa"/>
            <w:shd w:val="clear" w:color="auto" w:fill="auto"/>
          </w:tcPr>
          <w:p w14:paraId="4DCC80CC" w14:textId="38DFEE2B" w:rsidR="00C55911" w:rsidRDefault="00C55911" w:rsidP="00BF7E71">
            <w:pPr>
              <w:pStyle w:val="Body"/>
            </w:pPr>
            <w:r>
              <w:t>Introduce a new data collection to report Statutory Duty of Candour (SDC).</w:t>
            </w:r>
          </w:p>
          <w:p w14:paraId="73794C6C" w14:textId="1E9E0AC7" w:rsidR="00C55911" w:rsidRDefault="58B7BEDA" w:rsidP="00BF7E71">
            <w:pPr>
              <w:pStyle w:val="Body"/>
            </w:pPr>
            <w:r>
              <w:t>Effective from 30 November 2022, t</w:t>
            </w:r>
            <w:r w:rsidR="1FC262BC">
              <w:t xml:space="preserve">he </w:t>
            </w:r>
            <w:r w:rsidR="1FC262BC" w:rsidRPr="3F3BC297">
              <w:rPr>
                <w:i/>
                <w:iCs/>
              </w:rPr>
              <w:t>Health Legislation Amendment (Quality and Safety) Act 2022</w:t>
            </w:r>
            <w:r w:rsidR="1D8B8FBE">
              <w:t xml:space="preserve">, </w:t>
            </w:r>
            <w:r w:rsidR="1FC262BC">
              <w:t>requir</w:t>
            </w:r>
            <w:r>
              <w:t>es</w:t>
            </w:r>
            <w:r w:rsidR="1FC262BC">
              <w:t xml:space="preserve"> </w:t>
            </w:r>
            <w:r>
              <w:t xml:space="preserve">relevant </w:t>
            </w:r>
            <w:r w:rsidR="1FC262BC">
              <w:t>health service</w:t>
            </w:r>
            <w:r>
              <w:t xml:space="preserve"> entities</w:t>
            </w:r>
            <w:r w:rsidR="1FC262BC">
              <w:t xml:space="preserve"> to undertake Statutory Duty of Candour (SDC) processes </w:t>
            </w:r>
            <w:r>
              <w:t xml:space="preserve">within 50-75 working days of the </w:t>
            </w:r>
            <w:r w:rsidRPr="3F3BC297">
              <w:rPr>
                <w:strike/>
                <w:highlight w:val="cyan"/>
              </w:rPr>
              <w:t>occurrence</w:t>
            </w:r>
            <w:r w:rsidRPr="3F3BC297">
              <w:rPr>
                <w:highlight w:val="cyan"/>
              </w:rPr>
              <w:t xml:space="preserve"> </w:t>
            </w:r>
            <w:r w:rsidR="366DA720" w:rsidRPr="5C32E8BF">
              <w:rPr>
                <w:highlight w:val="cyan"/>
              </w:rPr>
              <w:t>identification</w:t>
            </w:r>
            <w:r w:rsidR="366DA720">
              <w:t xml:space="preserve"> </w:t>
            </w:r>
            <w:r>
              <w:t xml:space="preserve">of </w:t>
            </w:r>
            <w:r w:rsidR="1FC262BC">
              <w:t>a ‘serious adverse patient safety event’ (SAPSE).</w:t>
            </w:r>
            <w:r w:rsidR="1D8B8FBE">
              <w:t xml:space="preserve"> </w:t>
            </w:r>
            <w:r w:rsidR="015D7549" w:rsidRPr="5C32E8BF">
              <w:rPr>
                <w:highlight w:val="cyan"/>
              </w:rPr>
              <w:t>T</w:t>
            </w:r>
            <w:r w:rsidR="6C3E194F" w:rsidRPr="5C32E8BF">
              <w:rPr>
                <w:highlight w:val="cyan"/>
              </w:rPr>
              <w:t xml:space="preserve">he SDC has been outlined in the </w:t>
            </w:r>
            <w:r w:rsidR="6C3E194F" w:rsidRPr="3F3BC297">
              <w:rPr>
                <w:i/>
                <w:iCs/>
                <w:highlight w:val="cyan"/>
              </w:rPr>
              <w:t>Health Service</w:t>
            </w:r>
            <w:r w:rsidR="33C1ACEF" w:rsidRPr="3F3BC297">
              <w:rPr>
                <w:i/>
                <w:iCs/>
                <w:highlight w:val="cyan"/>
              </w:rPr>
              <w:t>s</w:t>
            </w:r>
            <w:r w:rsidR="6C3E194F" w:rsidRPr="3F3BC297">
              <w:rPr>
                <w:i/>
                <w:iCs/>
                <w:highlight w:val="cyan"/>
              </w:rPr>
              <w:t xml:space="preserve"> Act 1988</w:t>
            </w:r>
            <w:r w:rsidR="6C3E194F" w:rsidRPr="5C32E8BF">
              <w:rPr>
                <w:highlight w:val="cyan"/>
              </w:rPr>
              <w:t>, the</w:t>
            </w:r>
            <w:r w:rsidR="35B4FA70" w:rsidRPr="5C32E8BF">
              <w:rPr>
                <w:highlight w:val="cyan"/>
              </w:rPr>
              <w:t xml:space="preserve"> </w:t>
            </w:r>
            <w:r w:rsidR="35B4FA70" w:rsidRPr="3F3BC297">
              <w:rPr>
                <w:i/>
                <w:iCs/>
                <w:highlight w:val="cyan"/>
              </w:rPr>
              <w:t>Mental Health Act</w:t>
            </w:r>
            <w:r w:rsidR="015D7549" w:rsidRPr="3F3BC297">
              <w:rPr>
                <w:i/>
                <w:iCs/>
                <w:highlight w:val="cyan"/>
              </w:rPr>
              <w:t xml:space="preserve"> 2014</w:t>
            </w:r>
            <w:r w:rsidR="35B4FA70" w:rsidRPr="5C32E8BF">
              <w:rPr>
                <w:highlight w:val="cyan"/>
              </w:rPr>
              <w:t xml:space="preserve"> and the </w:t>
            </w:r>
            <w:r w:rsidR="35B4FA70" w:rsidRPr="3F3BC297">
              <w:rPr>
                <w:i/>
                <w:iCs/>
                <w:highlight w:val="cyan"/>
              </w:rPr>
              <w:t>Ambulance Services Act</w:t>
            </w:r>
            <w:r w:rsidR="015D7549" w:rsidRPr="3F3BC297">
              <w:rPr>
                <w:i/>
                <w:iCs/>
                <w:highlight w:val="cyan"/>
              </w:rPr>
              <w:t xml:space="preserve"> 1986</w:t>
            </w:r>
            <w:r w:rsidR="6C3E194F" w:rsidRPr="5C32E8BF">
              <w:rPr>
                <w:highlight w:val="cyan"/>
              </w:rPr>
              <w:t>.</w:t>
            </w:r>
            <w:r w:rsidR="35B4FA70" w:rsidRPr="3F3BC297">
              <w:rPr>
                <w:highlight w:val="cyan"/>
              </w:rPr>
              <w:t xml:space="preserve"> </w:t>
            </w:r>
            <w:r w:rsidR="1000CAC3" w:rsidRPr="3F3BC297">
              <w:rPr>
                <w:highlight w:val="cyan"/>
              </w:rPr>
              <w:t>T</w:t>
            </w:r>
            <w:r w:rsidR="28839E0B" w:rsidRPr="5C32E8BF">
              <w:rPr>
                <w:highlight w:val="cyan"/>
              </w:rPr>
              <w:t xml:space="preserve">he </w:t>
            </w:r>
            <w:hyperlink r:id="rId23" w:history="1">
              <w:r w:rsidR="28839E0B" w:rsidRPr="5C32E8BF">
                <w:rPr>
                  <w:rStyle w:val="Hyperlink"/>
                  <w:highlight w:val="cyan"/>
                </w:rPr>
                <w:t>Victorian Duty of Candour Guidelines</w:t>
              </w:r>
            </w:hyperlink>
            <w:r w:rsidR="28839E0B" w:rsidRPr="3F3BC297">
              <w:rPr>
                <w:highlight w:val="cyan"/>
              </w:rPr>
              <w:t xml:space="preserve"> (legislative instrument) </w:t>
            </w:r>
            <w:r w:rsidR="102483F8" w:rsidRPr="3F3BC297">
              <w:rPr>
                <w:highlight w:val="cyan"/>
              </w:rPr>
              <w:t>provides</w:t>
            </w:r>
            <w:r w:rsidR="28839E0B" w:rsidRPr="5C32E8BF">
              <w:rPr>
                <w:highlight w:val="cyan"/>
              </w:rPr>
              <w:t xml:space="preserve"> information on the timelines and requirements.</w:t>
            </w:r>
          </w:p>
          <w:p w14:paraId="0670516D" w14:textId="103B7CD1" w:rsidR="00AA3177" w:rsidRDefault="36B148BF" w:rsidP="00BF7E71">
            <w:pPr>
              <w:pStyle w:val="Body"/>
            </w:pPr>
            <w:r>
              <w:t xml:space="preserve">The SDC builds on the mandatory obligations of the </w:t>
            </w:r>
            <w:hyperlink r:id="rId24" w:history="1">
              <w:r w:rsidRPr="5C32E8BF">
                <w:rPr>
                  <w:rStyle w:val="Hyperlink"/>
                </w:rPr>
                <w:t>Australian Open Disclosure Framework</w:t>
              </w:r>
            </w:hyperlink>
            <w:r>
              <w:t>, ensuring patients, their families or carers are apologised to and communicated with openly and honestly when a SAPSE has occurred.</w:t>
            </w:r>
            <w:r w:rsidR="5C2D2731">
              <w:t xml:space="preserve"> </w:t>
            </w:r>
            <w:r w:rsidR="5C2D2731" w:rsidRPr="3F3BC297">
              <w:rPr>
                <w:highlight w:val="cyan"/>
              </w:rPr>
              <w:t>The Australian Open Disclosure Framework must otherwise be followed for all other cases of harm that do not meet the SAPSE definition.</w:t>
            </w:r>
          </w:p>
          <w:p w14:paraId="47D62412" w14:textId="77777777" w:rsidR="00CF0B00" w:rsidRDefault="00CF0B00" w:rsidP="00BF7E71">
            <w:pPr>
              <w:pStyle w:val="Body"/>
            </w:pPr>
            <w:r>
              <w:t>The SDC data collection will report key performance metrics to allow relevant health service entities to monitor compliance with their legal obligations. Safer Care Victoria will monitor the uptake of SDC practice using this data collection.</w:t>
            </w:r>
          </w:p>
          <w:p w14:paraId="5F484FA0" w14:textId="419B2EF2" w:rsidR="00CF0B00" w:rsidRDefault="1BE87CEE" w:rsidP="00BF7E71">
            <w:pPr>
              <w:pStyle w:val="Body"/>
            </w:pPr>
            <w:r>
              <w:t xml:space="preserve">For SAPSE events </w:t>
            </w:r>
            <w:r w:rsidRPr="3F3BC297">
              <w:rPr>
                <w:strike/>
                <w:highlight w:val="cyan"/>
              </w:rPr>
              <w:t>occurring</w:t>
            </w:r>
            <w:r w:rsidR="4586C8F2" w:rsidRPr="3F3BC297">
              <w:rPr>
                <w:highlight w:val="cyan"/>
              </w:rPr>
              <w:t>identified</w:t>
            </w:r>
            <w:r w:rsidR="4586C8F2">
              <w:t xml:space="preserve"> </w:t>
            </w:r>
            <w:r>
              <w:t>on and from 1 January 2023, reporting of SDC processes is voluntary/optional</w:t>
            </w:r>
            <w:r w:rsidR="4B8E5FB3">
              <w:t xml:space="preserve"> </w:t>
            </w:r>
            <w:r w:rsidR="4B8E5FB3" w:rsidRPr="3F3BC297">
              <w:rPr>
                <w:highlight w:val="cyan"/>
              </w:rPr>
              <w:t xml:space="preserve">but any reporting completed </w:t>
            </w:r>
            <w:r w:rsidR="4B5A9859" w:rsidRPr="3F3BC297">
              <w:rPr>
                <w:highlight w:val="cyan"/>
              </w:rPr>
              <w:t xml:space="preserve">from this date </w:t>
            </w:r>
            <w:r w:rsidR="4B8E5FB3" w:rsidRPr="3F3BC297">
              <w:rPr>
                <w:highlight w:val="cyan"/>
              </w:rPr>
              <w:t>must be consistent with these specifications</w:t>
            </w:r>
            <w:r>
              <w:t xml:space="preserve">. For SAPSEs </w:t>
            </w:r>
            <w:r w:rsidRPr="3F3BC297">
              <w:rPr>
                <w:strike/>
                <w:highlight w:val="cyan"/>
              </w:rPr>
              <w:t>occurring</w:t>
            </w:r>
            <w:r w:rsidRPr="3F3BC297">
              <w:rPr>
                <w:highlight w:val="cyan"/>
              </w:rPr>
              <w:t xml:space="preserve"> </w:t>
            </w:r>
            <w:r w:rsidR="27D791B6" w:rsidRPr="3F3BC297">
              <w:rPr>
                <w:highlight w:val="cyan"/>
              </w:rPr>
              <w:t>identified</w:t>
            </w:r>
            <w:r w:rsidR="27D791B6">
              <w:t xml:space="preserve"> </w:t>
            </w:r>
            <w:r>
              <w:t>on and from 1 July 2023, reporting of SDC aligned performance measures is mandatory for r</w:t>
            </w:r>
            <w:r w:rsidR="493E3B3A">
              <w:t>elevant health service entities.</w:t>
            </w:r>
            <w:r>
              <w:t xml:space="preserve"> </w:t>
            </w:r>
          </w:p>
          <w:p w14:paraId="290A75A3" w14:textId="2DCC3D0F" w:rsidR="002A0797" w:rsidRPr="002A0797" w:rsidRDefault="6C0C9B41" w:rsidP="00B80C3C">
            <w:pPr>
              <w:pStyle w:val="Body"/>
              <w:rPr>
                <w:b/>
                <w:bCs/>
              </w:rPr>
            </w:pPr>
            <w:r w:rsidRPr="3F3BC297">
              <w:rPr>
                <w:b/>
                <w:bCs/>
              </w:rPr>
              <w:lastRenderedPageBreak/>
              <w:t xml:space="preserve">Agencies to report </w:t>
            </w:r>
            <w:r w:rsidR="3276DB64" w:rsidRPr="3F3BC297">
              <w:rPr>
                <w:b/>
                <w:bCs/>
                <w:strike/>
                <w:highlight w:val="cyan"/>
              </w:rPr>
              <w:t>to</w:t>
            </w:r>
            <w:r w:rsidR="3DB1755F" w:rsidRPr="3F3BC297">
              <w:rPr>
                <w:b/>
                <w:bCs/>
                <w:highlight w:val="cyan"/>
              </w:rPr>
              <w:t>on the</w:t>
            </w:r>
            <w:r w:rsidRPr="3F3BC297">
              <w:rPr>
                <w:b/>
                <w:bCs/>
              </w:rPr>
              <w:t xml:space="preserve"> SDC:</w:t>
            </w:r>
          </w:p>
          <w:p w14:paraId="02809837" w14:textId="76A63746" w:rsidR="002A0797" w:rsidRPr="00BF7E71" w:rsidRDefault="5B844214" w:rsidP="2D9FF696">
            <w:pPr>
              <w:pStyle w:val="Body"/>
              <w:rPr>
                <w:strike/>
                <w:color w:val="2B579A"/>
              </w:rPr>
            </w:pPr>
            <w:r>
              <w:t>The scope of the SDC includes relevant ‘health service entities’:</w:t>
            </w:r>
          </w:p>
          <w:p w14:paraId="1A5C1C32" w14:textId="77777777" w:rsidR="002A0797" w:rsidRPr="00BF7E71" w:rsidRDefault="002A0797" w:rsidP="00BF7E71">
            <w:pPr>
              <w:pStyle w:val="Body"/>
              <w:numPr>
                <w:ilvl w:val="0"/>
                <w:numId w:val="37"/>
              </w:numPr>
            </w:pPr>
            <w:r w:rsidRPr="00BF7E71">
              <w:t>a public health service</w:t>
            </w:r>
          </w:p>
          <w:p w14:paraId="5AB27611" w14:textId="77777777" w:rsidR="002A0797" w:rsidRPr="00BF7E71" w:rsidRDefault="002A0797" w:rsidP="00BF7E71">
            <w:pPr>
              <w:pStyle w:val="Body"/>
              <w:numPr>
                <w:ilvl w:val="0"/>
                <w:numId w:val="37"/>
              </w:numPr>
            </w:pPr>
            <w:r w:rsidRPr="00BF7E71">
              <w:t>a public hospital</w:t>
            </w:r>
          </w:p>
          <w:p w14:paraId="0B685B19" w14:textId="77777777" w:rsidR="002A0797" w:rsidRPr="00BF7E71" w:rsidRDefault="002A0797" w:rsidP="00BF7E71">
            <w:pPr>
              <w:pStyle w:val="Body"/>
              <w:numPr>
                <w:ilvl w:val="0"/>
                <w:numId w:val="37"/>
              </w:numPr>
            </w:pPr>
            <w:r w:rsidRPr="00BF7E71">
              <w:t>a multi purpose service</w:t>
            </w:r>
          </w:p>
          <w:p w14:paraId="3D7B774B" w14:textId="77777777" w:rsidR="002A0797" w:rsidRPr="00BF7E71" w:rsidRDefault="002A0797" w:rsidP="00BF7E71">
            <w:pPr>
              <w:pStyle w:val="Body"/>
              <w:numPr>
                <w:ilvl w:val="0"/>
                <w:numId w:val="37"/>
              </w:numPr>
            </w:pPr>
            <w:r w:rsidRPr="00BF7E71">
              <w:t>a denominational hospital</w:t>
            </w:r>
          </w:p>
          <w:p w14:paraId="449C4E57" w14:textId="77777777" w:rsidR="002A0797" w:rsidRPr="00BF7E71" w:rsidRDefault="002A0797" w:rsidP="00BF7E71">
            <w:pPr>
              <w:pStyle w:val="Body"/>
              <w:numPr>
                <w:ilvl w:val="0"/>
                <w:numId w:val="37"/>
              </w:numPr>
            </w:pPr>
            <w:r w:rsidRPr="00BF7E71">
              <w:t>a private hospital</w:t>
            </w:r>
          </w:p>
          <w:p w14:paraId="3B762E22" w14:textId="77777777" w:rsidR="002A0797" w:rsidRPr="00BF7E71" w:rsidRDefault="002A0797" w:rsidP="00BF7E71">
            <w:pPr>
              <w:pStyle w:val="Body"/>
              <w:numPr>
                <w:ilvl w:val="0"/>
                <w:numId w:val="37"/>
              </w:numPr>
            </w:pPr>
            <w:r w:rsidRPr="00BF7E71">
              <w:t>a day procedure centre</w:t>
            </w:r>
          </w:p>
          <w:p w14:paraId="1199F46E" w14:textId="7F30A177" w:rsidR="002A0797" w:rsidRPr="00BF7E71" w:rsidRDefault="6C0C9B41" w:rsidP="3F3BC297">
            <w:pPr>
              <w:pStyle w:val="Body"/>
              <w:numPr>
                <w:ilvl w:val="0"/>
                <w:numId w:val="37"/>
              </w:numPr>
              <w:rPr>
                <w:i/>
                <w:iCs/>
              </w:rPr>
            </w:pPr>
            <w:r>
              <w:t xml:space="preserve">an ambulance service within the meaning of the </w:t>
            </w:r>
            <w:r w:rsidRPr="3F3BC297">
              <w:rPr>
                <w:i/>
                <w:iCs/>
              </w:rPr>
              <w:t>Ambulance Services Act 1986</w:t>
            </w:r>
            <w:r w:rsidR="0229E8D0">
              <w:t>,</w:t>
            </w:r>
          </w:p>
          <w:p w14:paraId="3FD48F9D" w14:textId="61582A20" w:rsidR="002A0797" w:rsidRPr="00BF7E71" w:rsidRDefault="592DC213" w:rsidP="3F3BC297">
            <w:pPr>
              <w:pStyle w:val="Body"/>
              <w:numPr>
                <w:ilvl w:val="0"/>
                <w:numId w:val="37"/>
              </w:numPr>
              <w:rPr>
                <w:i/>
                <w:iCs/>
              </w:rPr>
            </w:pPr>
            <w:r w:rsidRPr="3F3BC297">
              <w:rPr>
                <w:strike/>
                <w:highlight w:val="cyan"/>
              </w:rPr>
              <w:t>a</w:t>
            </w:r>
            <w:r w:rsidR="4C10A905" w:rsidRPr="3F3BC297">
              <w:rPr>
                <w:strike/>
                <w:highlight w:val="cyan"/>
              </w:rPr>
              <w:t xml:space="preserve"> </w:t>
            </w:r>
            <w:r w:rsidRPr="3F3BC297">
              <w:rPr>
                <w:strike/>
                <w:highlight w:val="cyan"/>
              </w:rPr>
              <w:t xml:space="preserve">non-emergency patient </w:t>
            </w:r>
            <w:r w:rsidR="23DEB4A5" w:rsidRPr="3F3BC297">
              <w:rPr>
                <w:strike/>
                <w:highlight w:val="cyan"/>
              </w:rPr>
              <w:t>transport service within the meaning of the Non-Emergency Patient Transport and First Aid Services Act 2003,</w:t>
            </w:r>
            <w:r w:rsidR="3ECC6B20">
              <w:t xml:space="preserve"> </w:t>
            </w:r>
            <w:r w:rsidR="102F7114">
              <w:t>and</w:t>
            </w:r>
          </w:p>
          <w:p w14:paraId="1B501C36" w14:textId="127E9290" w:rsidR="002A0797" w:rsidRPr="00DC10DE" w:rsidRDefault="17EEB639" w:rsidP="00BF7E71">
            <w:pPr>
              <w:pStyle w:val="Body"/>
              <w:numPr>
                <w:ilvl w:val="0"/>
                <w:numId w:val="37"/>
              </w:numPr>
            </w:pPr>
            <w:r w:rsidRPr="00BF7E71">
              <w:t>the Victorian Institute of Forensic Mental Health established by section 328 of the</w:t>
            </w:r>
            <w:r w:rsidRPr="00DC10DE">
              <w:t xml:space="preserve"> </w:t>
            </w:r>
            <w:r w:rsidRPr="5C32E8BF">
              <w:rPr>
                <w:i/>
                <w:iCs/>
              </w:rPr>
              <w:t>Mental Health Act 2014.</w:t>
            </w:r>
            <w:r w:rsidR="00BF32A2" w:rsidRPr="4F718B43">
              <w:rPr>
                <w:rStyle w:val="FootnoteReference"/>
                <w:highlight w:val="cyan"/>
              </w:rPr>
              <w:footnoteReference w:id="2"/>
            </w:r>
          </w:p>
          <w:p w14:paraId="78A64E03" w14:textId="77777777" w:rsidR="002A0797" w:rsidRDefault="002A0797" w:rsidP="00CF0B00">
            <w:pPr>
              <w:pStyle w:val="Body"/>
              <w:rPr>
                <w:b/>
                <w:bCs/>
              </w:rPr>
            </w:pPr>
            <w:r>
              <w:rPr>
                <w:b/>
                <w:bCs/>
              </w:rPr>
              <w:t>Agency level for SDC reporting:</w:t>
            </w:r>
          </w:p>
          <w:p w14:paraId="39CC19D8" w14:textId="41A52C6E" w:rsidR="000C4875" w:rsidRDefault="00CF0B00" w:rsidP="00CF0B00">
            <w:pPr>
              <w:pStyle w:val="Body"/>
            </w:pPr>
            <w:r>
              <w:t>SDC data is to be reported</w:t>
            </w:r>
            <w:r w:rsidR="000C4875">
              <w:t>:</w:t>
            </w:r>
          </w:p>
          <w:p w14:paraId="43A797D4" w14:textId="16BABA5F" w:rsidR="000C4875" w:rsidRPr="00BF7E71" w:rsidRDefault="01587A5E" w:rsidP="00BF7E71">
            <w:pPr>
              <w:pStyle w:val="Body"/>
              <w:numPr>
                <w:ilvl w:val="0"/>
                <w:numId w:val="38"/>
              </w:numPr>
            </w:pPr>
            <w:r>
              <w:t xml:space="preserve">at campus level for </w:t>
            </w:r>
            <w:r w:rsidR="5B844214">
              <w:t>Victorian public hospitals and health services, including denominational and multi-purpose hospitals,</w:t>
            </w:r>
            <w:r w:rsidR="6DCE4C84">
              <w:t xml:space="preserve"> and </w:t>
            </w:r>
            <w:r w:rsidR="5B844214">
              <w:t xml:space="preserve">private hospitals and </w:t>
            </w:r>
            <w:r w:rsidR="6DCE4C84">
              <w:t>registered day procedure centres</w:t>
            </w:r>
          </w:p>
          <w:p w14:paraId="48E62E24" w14:textId="2491AC24" w:rsidR="538F1D16" w:rsidRPr="009F54D1" w:rsidRDefault="10F13110" w:rsidP="02620DBD">
            <w:pPr>
              <w:pStyle w:val="Body"/>
              <w:numPr>
                <w:ilvl w:val="0"/>
                <w:numId w:val="38"/>
              </w:numPr>
              <w:rPr>
                <w:highlight w:val="cyan"/>
              </w:rPr>
            </w:pPr>
            <w:r w:rsidRPr="3F3BC297">
              <w:rPr>
                <w:highlight w:val="cyan"/>
              </w:rPr>
              <w:t>w</w:t>
            </w:r>
            <w:r w:rsidR="1C0AEC83" w:rsidRPr="3F3BC297">
              <w:rPr>
                <w:highlight w:val="cyan"/>
              </w:rPr>
              <w:t xml:space="preserve">here a </w:t>
            </w:r>
            <w:r w:rsidRPr="3F3BC297">
              <w:rPr>
                <w:highlight w:val="cyan"/>
              </w:rPr>
              <w:t>relevant health service entity</w:t>
            </w:r>
            <w:r w:rsidR="1C0AEC83" w:rsidRPr="3F3BC297">
              <w:rPr>
                <w:highlight w:val="cyan"/>
              </w:rPr>
              <w:t xml:space="preserve"> has any other service under its governance, including</w:t>
            </w:r>
            <w:r w:rsidR="2D25724D" w:rsidRPr="3F3BC297">
              <w:rPr>
                <w:highlight w:val="cyan"/>
              </w:rPr>
              <w:t>, but not limited to,</w:t>
            </w:r>
            <w:r w:rsidR="1C0AEC83" w:rsidRPr="3F3BC297">
              <w:rPr>
                <w:highlight w:val="cyan"/>
              </w:rPr>
              <w:t xml:space="preserve"> residential aged care o</w:t>
            </w:r>
            <w:r w:rsidR="1D0A2BC7" w:rsidRPr="3F3BC297">
              <w:rPr>
                <w:highlight w:val="cyan"/>
              </w:rPr>
              <w:t>r community services, those service</w:t>
            </w:r>
            <w:r w:rsidRPr="3F3BC297">
              <w:rPr>
                <w:highlight w:val="cyan"/>
              </w:rPr>
              <w:t>s</w:t>
            </w:r>
            <w:r w:rsidR="1D0A2BC7" w:rsidRPr="3F3BC297">
              <w:rPr>
                <w:highlight w:val="cyan"/>
              </w:rPr>
              <w:t xml:space="preserve"> must also report SDC data, </w:t>
            </w:r>
            <w:r w:rsidR="43A76CAB" w:rsidRPr="3F3BC297">
              <w:rPr>
                <w:highlight w:val="cyan"/>
              </w:rPr>
              <w:t xml:space="preserve">reporting data separately </w:t>
            </w:r>
            <w:r w:rsidR="1D0A2BC7" w:rsidRPr="3F3BC297">
              <w:rPr>
                <w:highlight w:val="cyan"/>
              </w:rPr>
              <w:t xml:space="preserve">for each </w:t>
            </w:r>
            <w:r w:rsidR="3CCDBFFC" w:rsidRPr="3F3BC297">
              <w:rPr>
                <w:highlight w:val="cyan"/>
              </w:rPr>
              <w:t xml:space="preserve">campus, </w:t>
            </w:r>
            <w:r w:rsidR="2A5300B3" w:rsidRPr="3F3BC297">
              <w:rPr>
                <w:highlight w:val="cyan"/>
              </w:rPr>
              <w:t xml:space="preserve">or </w:t>
            </w:r>
            <w:r w:rsidR="74C24E74" w:rsidRPr="3F3BC297">
              <w:rPr>
                <w:highlight w:val="cyan"/>
              </w:rPr>
              <w:t xml:space="preserve">each </w:t>
            </w:r>
            <w:r w:rsidR="2A5300B3" w:rsidRPr="3F3BC297">
              <w:rPr>
                <w:highlight w:val="cyan"/>
              </w:rPr>
              <w:t xml:space="preserve">aged care </w:t>
            </w:r>
            <w:r w:rsidR="096CB173" w:rsidRPr="3F3BC297">
              <w:rPr>
                <w:highlight w:val="cyan"/>
              </w:rPr>
              <w:t xml:space="preserve">or community </w:t>
            </w:r>
            <w:r w:rsidR="2A5300B3" w:rsidRPr="3F3BC297">
              <w:rPr>
                <w:highlight w:val="cyan"/>
              </w:rPr>
              <w:t>service</w:t>
            </w:r>
            <w:r w:rsidR="057549FF" w:rsidRPr="3F3BC297">
              <w:rPr>
                <w:highlight w:val="cyan"/>
              </w:rPr>
              <w:t>, whether</w:t>
            </w:r>
            <w:r w:rsidR="2A5300B3" w:rsidRPr="3F3BC297">
              <w:rPr>
                <w:highlight w:val="cyan"/>
              </w:rPr>
              <w:t xml:space="preserve"> co-located on the same site as </w:t>
            </w:r>
            <w:r w:rsidR="449A45D6" w:rsidRPr="3F3BC297">
              <w:rPr>
                <w:highlight w:val="cyan"/>
              </w:rPr>
              <w:t>the</w:t>
            </w:r>
            <w:r w:rsidR="2A5300B3" w:rsidRPr="3F3BC297">
              <w:rPr>
                <w:highlight w:val="cyan"/>
              </w:rPr>
              <w:t xml:space="preserve"> acute health service/hospital</w:t>
            </w:r>
            <w:r w:rsidR="4CEC210C" w:rsidRPr="3F3BC297">
              <w:rPr>
                <w:highlight w:val="cyan"/>
              </w:rPr>
              <w:t xml:space="preserve"> or separately located</w:t>
            </w:r>
          </w:p>
          <w:p w14:paraId="143F4969" w14:textId="5F3A5522" w:rsidR="00CF0B00" w:rsidRDefault="4AEC16B1" w:rsidP="2D9FF696">
            <w:pPr>
              <w:pStyle w:val="Body"/>
              <w:numPr>
                <w:ilvl w:val="0"/>
                <w:numId w:val="38"/>
              </w:numPr>
              <w:rPr>
                <w:highlight w:val="cyan"/>
              </w:rPr>
            </w:pPr>
            <w:r>
              <w:t>at whole-of-entity level for</w:t>
            </w:r>
            <w:r w:rsidR="5A75ED55">
              <w:t xml:space="preserve"> </w:t>
            </w:r>
            <w:r w:rsidR="5A75ED55" w:rsidRPr="3F3BC297">
              <w:rPr>
                <w:highlight w:val="cyan"/>
              </w:rPr>
              <w:t>all</w:t>
            </w:r>
            <w:r w:rsidR="53F75706" w:rsidRPr="3F3BC297">
              <w:rPr>
                <w:strike/>
                <w:highlight w:val="cyan"/>
              </w:rPr>
              <w:t>those</w:t>
            </w:r>
            <w:r w:rsidR="1E09C15A">
              <w:t xml:space="preserve"> </w:t>
            </w:r>
            <w:r w:rsidR="6CEB559B">
              <w:t xml:space="preserve">other </w:t>
            </w:r>
            <w:r w:rsidR="1E09C15A">
              <w:t xml:space="preserve">health service entities that are </w:t>
            </w:r>
            <w:r w:rsidR="0A58266B" w:rsidRPr="3F3BC297">
              <w:rPr>
                <w:strike/>
                <w:highlight w:val="cyan"/>
              </w:rPr>
              <w:t>not hospitals or registered day procedure centres, but which are</w:t>
            </w:r>
            <w:r w:rsidR="40DFCF04" w:rsidRPr="3F3BC297">
              <w:rPr>
                <w:strike/>
                <w:highlight w:val="cyan"/>
              </w:rPr>
              <w:t xml:space="preserve"> </w:t>
            </w:r>
            <w:r w:rsidR="1E09C15A">
              <w:t>required to undertake SDC processes under the legislation</w:t>
            </w:r>
            <w:r w:rsidR="51B1174D">
              <w:t xml:space="preserve"> </w:t>
            </w:r>
            <w:r w:rsidR="7B526417" w:rsidRPr="3F3BC297">
              <w:rPr>
                <w:highlight w:val="cyan"/>
              </w:rPr>
              <w:t>i.e.</w:t>
            </w:r>
            <w:r w:rsidR="51B1174D" w:rsidRPr="3F3BC297">
              <w:rPr>
                <w:highlight w:val="cyan"/>
              </w:rPr>
              <w:t xml:space="preserve"> ambulance services and the Victorian Institute of Forensic Mental Health</w:t>
            </w:r>
            <w:r w:rsidR="712FA032" w:rsidRPr="3F3BC297">
              <w:rPr>
                <w:highlight w:val="cyan"/>
              </w:rPr>
              <w:t>.</w:t>
            </w:r>
          </w:p>
          <w:p w14:paraId="128BBB22" w14:textId="26126FEB" w:rsidR="003141B2" w:rsidRDefault="7E15963E" w:rsidP="2D9FF696">
            <w:pPr>
              <w:pStyle w:val="Body"/>
              <w:rPr>
                <w:highlight w:val="cyan"/>
              </w:rPr>
            </w:pPr>
            <w:r w:rsidRPr="3F3BC297">
              <w:rPr>
                <w:highlight w:val="cyan"/>
              </w:rPr>
              <w:t>Non-Emergency Patient Transport (NEPT) services</w:t>
            </w:r>
            <w:r w:rsidR="5DC775B7" w:rsidRPr="3F3BC297">
              <w:rPr>
                <w:highlight w:val="cyan"/>
              </w:rPr>
              <w:t>,</w:t>
            </w:r>
            <w:r w:rsidRPr="3F3BC297">
              <w:rPr>
                <w:highlight w:val="cyan"/>
              </w:rPr>
              <w:t xml:space="preserve"> although required to comply with the SDC, will not be required to report their data via this AIMS form.</w:t>
            </w:r>
          </w:p>
          <w:p w14:paraId="5A84A977" w14:textId="545B9213" w:rsidR="002A0797" w:rsidRPr="002A0797" w:rsidRDefault="5B22C9B6" w:rsidP="002A0797">
            <w:pPr>
              <w:pStyle w:val="Body"/>
              <w:rPr>
                <w:b/>
                <w:bCs/>
              </w:rPr>
            </w:pPr>
            <w:r w:rsidRPr="3F3BC297">
              <w:rPr>
                <w:b/>
                <w:bCs/>
              </w:rPr>
              <w:t>Reporting due date, frequency and period:</w:t>
            </w:r>
          </w:p>
          <w:p w14:paraId="2D855C9B" w14:textId="77777777" w:rsidR="002A0797" w:rsidRDefault="002A0797" w:rsidP="002A0797">
            <w:pPr>
              <w:pStyle w:val="Body"/>
            </w:pPr>
            <w:r>
              <w:t>SDC data is to be reported:</w:t>
            </w:r>
          </w:p>
          <w:p w14:paraId="27E9AD70" w14:textId="77777777" w:rsidR="002A0797" w:rsidRDefault="000C4875" w:rsidP="000C4875">
            <w:pPr>
              <w:pStyle w:val="Body"/>
              <w:numPr>
                <w:ilvl w:val="0"/>
                <w:numId w:val="31"/>
              </w:numPr>
            </w:pPr>
            <w:r>
              <w:t>at quarterly intervals</w:t>
            </w:r>
          </w:p>
          <w:p w14:paraId="630F718F" w14:textId="43AD45DA" w:rsidR="000C4875" w:rsidRDefault="000C4875" w:rsidP="000C4875">
            <w:pPr>
              <w:pStyle w:val="Body"/>
              <w:numPr>
                <w:ilvl w:val="0"/>
                <w:numId w:val="31"/>
              </w:numPr>
            </w:pPr>
            <w:r>
              <w:t>by the 14</w:t>
            </w:r>
            <w:r w:rsidRPr="000C4875">
              <w:rPr>
                <w:vertAlign w:val="superscript"/>
              </w:rPr>
              <w:t>th</w:t>
            </w:r>
            <w:r>
              <w:t xml:space="preserve"> day of the month after the end of each calendar quarter</w:t>
            </w:r>
            <w:r w:rsidR="002A0797">
              <w:t xml:space="preserve"> (eg by 14 July for SDCs occurring between 1 January and 31 March inclusive) </w:t>
            </w:r>
          </w:p>
          <w:p w14:paraId="113E2282" w14:textId="7E0AAC7D" w:rsidR="000C4875" w:rsidRDefault="14489F40" w:rsidP="000C4875">
            <w:pPr>
              <w:pStyle w:val="Body"/>
              <w:numPr>
                <w:ilvl w:val="0"/>
                <w:numId w:val="31"/>
              </w:numPr>
            </w:pPr>
            <w:r>
              <w:t xml:space="preserve">for SAPSEs that </w:t>
            </w:r>
            <w:r w:rsidRPr="3F3BC297">
              <w:rPr>
                <w:strike/>
                <w:highlight w:val="cyan"/>
              </w:rPr>
              <w:t>occur</w:t>
            </w:r>
            <w:r w:rsidRPr="3F3BC297">
              <w:rPr>
                <w:highlight w:val="cyan"/>
              </w:rPr>
              <w:t xml:space="preserve"> </w:t>
            </w:r>
            <w:r w:rsidR="75395002" w:rsidRPr="3F3BC297">
              <w:rPr>
                <w:highlight w:val="cyan"/>
              </w:rPr>
              <w:t>are identified</w:t>
            </w:r>
            <w:r w:rsidR="75395002">
              <w:t xml:space="preserve"> </w:t>
            </w:r>
            <w:r>
              <w:t xml:space="preserve">in one quarter and the SDCs conducted </w:t>
            </w:r>
            <w:r w:rsidR="63CF0BF9" w:rsidRPr="3F3BC297">
              <w:rPr>
                <w:highlight w:val="cyan"/>
              </w:rPr>
              <w:t>or opted out</w:t>
            </w:r>
            <w:r w:rsidR="568DD60A" w:rsidRPr="3F3BC297">
              <w:rPr>
                <w:highlight w:val="cyan"/>
              </w:rPr>
              <w:t xml:space="preserve"> of</w:t>
            </w:r>
            <w:r w:rsidR="63CF0BF9">
              <w:t xml:space="preserve"> </w:t>
            </w:r>
            <w:r>
              <w:t>in that quarter and the following quarter, arising from those SAPSEs</w:t>
            </w:r>
            <w:r w:rsidR="4694A0A8">
              <w:t>.</w:t>
            </w:r>
          </w:p>
          <w:p w14:paraId="3FB49706" w14:textId="774C2185" w:rsidR="009F1C8B" w:rsidRDefault="517AE6B8" w:rsidP="009F1C8B">
            <w:pPr>
              <w:pStyle w:val="Body"/>
            </w:pPr>
            <w:r>
              <w:lastRenderedPageBreak/>
              <w:t xml:space="preserve">Reporting will be voluntary/optional initially, with mandatory reporting to begin with SAPSEs </w:t>
            </w:r>
            <w:r w:rsidR="128EF27B" w:rsidRPr="3F3BC297">
              <w:rPr>
                <w:highlight w:val="cyan"/>
              </w:rPr>
              <w:t>identified</w:t>
            </w:r>
            <w:r w:rsidRPr="3F3BC297">
              <w:rPr>
                <w:strike/>
                <w:highlight w:val="cyan"/>
              </w:rPr>
              <w:t>occurring</w:t>
            </w:r>
            <w:r>
              <w:t xml:space="preserve"> from 1 July 202</w:t>
            </w:r>
            <w:r w:rsidR="42910A28">
              <w:t>3</w:t>
            </w:r>
            <w:r>
              <w:t>:</w:t>
            </w:r>
          </w:p>
          <w:p w14:paraId="3EF79E09" w14:textId="7714BE81" w:rsidR="009F1C8B" w:rsidRDefault="5C0EA83B" w:rsidP="000C4875">
            <w:pPr>
              <w:pStyle w:val="Body"/>
              <w:numPr>
                <w:ilvl w:val="0"/>
                <w:numId w:val="31"/>
              </w:numPr>
            </w:pPr>
            <w:r>
              <w:t xml:space="preserve">Voluntary/optional reporting can commence for SAPSEs </w:t>
            </w:r>
            <w:r w:rsidRPr="3F3BC297">
              <w:rPr>
                <w:strike/>
                <w:highlight w:val="cyan"/>
              </w:rPr>
              <w:t>occurring</w:t>
            </w:r>
            <w:r w:rsidRPr="3F3BC297">
              <w:rPr>
                <w:highlight w:val="cyan"/>
              </w:rPr>
              <w:t xml:space="preserve"> </w:t>
            </w:r>
            <w:r w:rsidR="22D07BDF" w:rsidRPr="3F3BC297">
              <w:rPr>
                <w:highlight w:val="cyan"/>
              </w:rPr>
              <w:t>identified</w:t>
            </w:r>
            <w:r w:rsidR="22D07BDF">
              <w:t xml:space="preserve"> </w:t>
            </w:r>
            <w:r>
              <w:t xml:space="preserve">in January to March 2023, and SDCs for these conducted </w:t>
            </w:r>
            <w:r w:rsidR="19AA0DED" w:rsidRPr="3F3BC297">
              <w:rPr>
                <w:highlight w:val="cyan"/>
              </w:rPr>
              <w:t>or opted out</w:t>
            </w:r>
            <w:r w:rsidR="62DB5875" w:rsidRPr="3F3BC297">
              <w:rPr>
                <w:highlight w:val="cyan"/>
              </w:rPr>
              <w:t xml:space="preserve"> of</w:t>
            </w:r>
            <w:r w:rsidR="19AA0DED">
              <w:t xml:space="preserve"> </w:t>
            </w:r>
            <w:r>
              <w:t>during January to June 2023, to be reported by 14 July 2023;</w:t>
            </w:r>
          </w:p>
          <w:p w14:paraId="44391C4B" w14:textId="0D73456D" w:rsidR="009F1C8B" w:rsidRDefault="5C0EA83B" w:rsidP="000C4875">
            <w:pPr>
              <w:pStyle w:val="Body"/>
              <w:numPr>
                <w:ilvl w:val="0"/>
                <w:numId w:val="31"/>
              </w:numPr>
            </w:pPr>
            <w:r>
              <w:t xml:space="preserve">Voluntary/optional reporting can also be submitted for SAPSEs </w:t>
            </w:r>
            <w:r w:rsidRPr="3F3BC297">
              <w:rPr>
                <w:strike/>
                <w:highlight w:val="cyan"/>
              </w:rPr>
              <w:t>occurring</w:t>
            </w:r>
            <w:r w:rsidRPr="3F3BC297">
              <w:rPr>
                <w:highlight w:val="cyan"/>
              </w:rPr>
              <w:t xml:space="preserve"> </w:t>
            </w:r>
            <w:r w:rsidR="0B797244" w:rsidRPr="3F3BC297">
              <w:rPr>
                <w:highlight w:val="cyan"/>
              </w:rPr>
              <w:t>identified</w:t>
            </w:r>
            <w:r w:rsidR="0B797244">
              <w:t xml:space="preserve"> </w:t>
            </w:r>
            <w:r>
              <w:t>in April to June 2023, and SDCs for these conducted</w:t>
            </w:r>
            <w:r w:rsidR="4C7D174C">
              <w:t xml:space="preserve"> </w:t>
            </w:r>
            <w:r w:rsidR="4C7D174C" w:rsidRPr="3F3BC297">
              <w:rPr>
                <w:highlight w:val="cyan"/>
              </w:rPr>
              <w:t>or opted out</w:t>
            </w:r>
            <w:r w:rsidR="79E388C2" w:rsidRPr="3F3BC297">
              <w:rPr>
                <w:highlight w:val="cyan"/>
              </w:rPr>
              <w:t xml:space="preserve"> of</w:t>
            </w:r>
            <w:r>
              <w:t xml:space="preserve"> during </w:t>
            </w:r>
            <w:r w:rsidR="71957C3A">
              <w:t>April to September 2023, to be reported by 14 October 2023;</w:t>
            </w:r>
          </w:p>
          <w:p w14:paraId="3DCE35D6" w14:textId="02DBECD1" w:rsidR="004B4A4C" w:rsidRDefault="5C0EA83B" w:rsidP="009F1C8B">
            <w:pPr>
              <w:pStyle w:val="Body"/>
              <w:numPr>
                <w:ilvl w:val="0"/>
                <w:numId w:val="31"/>
              </w:numPr>
            </w:pPr>
            <w:r>
              <w:t xml:space="preserve">Mandatory reporting to commence for SAPSEs </w:t>
            </w:r>
            <w:r w:rsidRPr="3F3BC297">
              <w:rPr>
                <w:strike/>
                <w:highlight w:val="cyan"/>
              </w:rPr>
              <w:t>occurring</w:t>
            </w:r>
            <w:r w:rsidRPr="3F3BC297">
              <w:rPr>
                <w:highlight w:val="cyan"/>
              </w:rPr>
              <w:t xml:space="preserve"> </w:t>
            </w:r>
            <w:r w:rsidR="50C47A7D" w:rsidRPr="3F3BC297">
              <w:rPr>
                <w:highlight w:val="cyan"/>
              </w:rPr>
              <w:t>identified</w:t>
            </w:r>
            <w:r w:rsidR="50C47A7D">
              <w:t xml:space="preserve"> </w:t>
            </w:r>
            <w:r>
              <w:t>in July to September 2023</w:t>
            </w:r>
            <w:r w:rsidR="71957C3A">
              <w:t>,</w:t>
            </w:r>
            <w:r>
              <w:t xml:space="preserve"> and SDCs for these conducted </w:t>
            </w:r>
            <w:r w:rsidR="4221AE40" w:rsidRPr="3F3BC297">
              <w:rPr>
                <w:highlight w:val="cyan"/>
              </w:rPr>
              <w:t>or opted out</w:t>
            </w:r>
            <w:r w:rsidR="45E54E5A" w:rsidRPr="3F3BC297">
              <w:rPr>
                <w:highlight w:val="cyan"/>
              </w:rPr>
              <w:t xml:space="preserve"> of</w:t>
            </w:r>
            <w:r w:rsidR="4221AE40">
              <w:t xml:space="preserve"> </w:t>
            </w:r>
            <w:r>
              <w:t>during July to December 2023</w:t>
            </w:r>
            <w:r w:rsidR="71957C3A">
              <w:t>,</w:t>
            </w:r>
            <w:r>
              <w:t xml:space="preserve"> to be reported by 14 January 2024</w:t>
            </w:r>
            <w:r w:rsidR="633D4BDF">
              <w:t>;</w:t>
            </w:r>
          </w:p>
          <w:p w14:paraId="704A55BF" w14:textId="3F5D4EE2" w:rsidR="009F1C8B" w:rsidRDefault="7C521A2D" w:rsidP="009F1C8B">
            <w:pPr>
              <w:pStyle w:val="Body"/>
              <w:numPr>
                <w:ilvl w:val="0"/>
                <w:numId w:val="31"/>
              </w:numPr>
            </w:pPr>
            <w:r>
              <w:t xml:space="preserve">Thereafter, mandatory reporting to continue for all relevant agencies for SAPSEs </w:t>
            </w:r>
            <w:r w:rsidRPr="3F3BC297">
              <w:rPr>
                <w:strike/>
                <w:highlight w:val="cyan"/>
              </w:rPr>
              <w:t>occurring</w:t>
            </w:r>
            <w:r w:rsidRPr="3F3BC297">
              <w:rPr>
                <w:highlight w:val="cyan"/>
              </w:rPr>
              <w:t xml:space="preserve"> </w:t>
            </w:r>
            <w:r w:rsidR="21208490" w:rsidRPr="3F3BC297">
              <w:rPr>
                <w:highlight w:val="cyan"/>
              </w:rPr>
              <w:t>identified</w:t>
            </w:r>
            <w:r w:rsidR="21208490">
              <w:t xml:space="preserve"> </w:t>
            </w:r>
            <w:r>
              <w:t xml:space="preserve">within each calendar quarter, and for the SDCs for those SAPSEs conducted </w:t>
            </w:r>
            <w:r w:rsidR="5800EE0E" w:rsidRPr="3F3BC297">
              <w:rPr>
                <w:highlight w:val="cyan"/>
              </w:rPr>
              <w:t>or opted out</w:t>
            </w:r>
            <w:r w:rsidR="69BA1E58" w:rsidRPr="3F3BC297">
              <w:rPr>
                <w:highlight w:val="cyan"/>
              </w:rPr>
              <w:t xml:space="preserve"> of</w:t>
            </w:r>
            <w:r w:rsidR="5800EE0E">
              <w:t xml:space="preserve"> </w:t>
            </w:r>
            <w:r>
              <w:t>in the six months beginning on the first day of the calendar quarter, to be reported by the 14</w:t>
            </w:r>
            <w:r w:rsidRPr="3F3BC297">
              <w:rPr>
                <w:vertAlign w:val="superscript"/>
              </w:rPr>
              <w:t>th</w:t>
            </w:r>
            <w:r>
              <w:t xml:space="preserve"> day of the month after the end of the </w:t>
            </w:r>
            <w:r w:rsidR="64202775">
              <w:t>6-month</w:t>
            </w:r>
            <w:r>
              <w:t xml:space="preserve"> SDC </w:t>
            </w:r>
            <w:r w:rsidRPr="3F3BC297">
              <w:rPr>
                <w:strike/>
                <w:highlight w:val="cyan"/>
              </w:rPr>
              <w:t>activity</w:t>
            </w:r>
            <w:r w:rsidR="6C426C77" w:rsidRPr="3F3BC297">
              <w:rPr>
                <w:highlight w:val="cyan"/>
              </w:rPr>
              <w:t>reporting</w:t>
            </w:r>
            <w:r w:rsidR="6C426C77">
              <w:t xml:space="preserve"> </w:t>
            </w:r>
            <w:r>
              <w:t>period</w:t>
            </w:r>
            <w:r w:rsidR="41B8829A">
              <w:t>.</w:t>
            </w:r>
          </w:p>
          <w:p w14:paraId="47D8975A" w14:textId="154CE306" w:rsidR="002A0797" w:rsidRPr="002A0797" w:rsidRDefault="002A0797" w:rsidP="002A0797">
            <w:pPr>
              <w:pStyle w:val="Body"/>
              <w:rPr>
                <w:b/>
                <w:bCs/>
              </w:rPr>
            </w:pPr>
            <w:r>
              <w:rPr>
                <w:b/>
                <w:bCs/>
              </w:rPr>
              <w:t>Data to be reported</w:t>
            </w:r>
          </w:p>
          <w:p w14:paraId="63BEB757" w14:textId="3D9C6E25" w:rsidR="000C4875" w:rsidRDefault="6DCE4C84" w:rsidP="000C4875">
            <w:pPr>
              <w:pStyle w:val="Body"/>
              <w:numPr>
                <w:ilvl w:val="0"/>
                <w:numId w:val="31"/>
              </w:numPr>
            </w:pPr>
            <w:r>
              <w:t>for the following metrics</w:t>
            </w:r>
            <w:r w:rsidR="6812CCC2">
              <w:t xml:space="preserve">, </w:t>
            </w:r>
            <w:r w:rsidR="6812CCC2" w:rsidRPr="00AA3120">
              <w:rPr>
                <w:highlight w:val="cyan"/>
              </w:rPr>
              <w:t>which are further defined under ‘Data definitions’, below</w:t>
            </w:r>
            <w:r>
              <w:t>:</w:t>
            </w:r>
          </w:p>
          <w:p w14:paraId="508047DA" w14:textId="51B5FA62" w:rsidR="000C4875" w:rsidRDefault="2231DD7C" w:rsidP="0CD58107">
            <w:pPr>
              <w:pStyle w:val="Body"/>
              <w:numPr>
                <w:ilvl w:val="1"/>
                <w:numId w:val="31"/>
              </w:numPr>
              <w:ind w:left="837" w:hanging="426"/>
              <w:rPr>
                <w:highlight w:val="cyan"/>
              </w:rPr>
            </w:pPr>
            <w:r>
              <w:t>Number of SAPSE</w:t>
            </w:r>
            <w:r w:rsidR="24DC8410">
              <w:t xml:space="preserve"> </w:t>
            </w:r>
            <w:r w:rsidR="24DC8410" w:rsidRPr="0CD58107">
              <w:rPr>
                <w:strike/>
                <w:highlight w:val="cyan"/>
              </w:rPr>
              <w:t>occurring</w:t>
            </w:r>
            <w:r w:rsidR="527250FC" w:rsidRPr="0CD58107">
              <w:rPr>
                <w:highlight w:val="cyan"/>
              </w:rPr>
              <w:t>identified</w:t>
            </w:r>
            <w:r w:rsidR="527250FC">
              <w:t xml:space="preserve"> </w:t>
            </w:r>
            <w:r w:rsidR="24DC8410">
              <w:t xml:space="preserve">within the </w:t>
            </w:r>
            <w:r w:rsidR="14CA32FB" w:rsidRPr="0CD58107">
              <w:rPr>
                <w:strike/>
                <w:highlight w:val="cyan"/>
              </w:rPr>
              <w:t>3-month</w:t>
            </w:r>
            <w:r w:rsidR="24DC8410" w:rsidRPr="0CD58107">
              <w:rPr>
                <w:strike/>
                <w:highlight w:val="cyan"/>
              </w:rPr>
              <w:t xml:space="preserve"> reporting period</w:t>
            </w:r>
            <w:r w:rsidR="18324571" w:rsidRPr="0CD58107">
              <w:rPr>
                <w:strike/>
                <w:highlight w:val="cyan"/>
              </w:rPr>
              <w:t xml:space="preserve"> </w:t>
            </w:r>
            <w:r w:rsidR="18324571" w:rsidRPr="0CD58107">
              <w:rPr>
                <w:highlight w:val="cyan"/>
              </w:rPr>
              <w:t>quarter being reported</w:t>
            </w:r>
          </w:p>
          <w:p w14:paraId="17D76C30" w14:textId="395305D3" w:rsidR="000C4875" w:rsidRDefault="000C4875" w:rsidP="00484A99">
            <w:pPr>
              <w:pStyle w:val="Body"/>
              <w:numPr>
                <w:ilvl w:val="1"/>
                <w:numId w:val="31"/>
              </w:numPr>
              <w:ind w:left="837" w:hanging="426"/>
            </w:pPr>
            <w:r>
              <w:t>For these SAPSE:</w:t>
            </w:r>
          </w:p>
          <w:p w14:paraId="0EC9C5DB" w14:textId="24A074FB" w:rsidR="000C4875" w:rsidRDefault="762614F2" w:rsidP="00484A99">
            <w:pPr>
              <w:pStyle w:val="Body"/>
              <w:numPr>
                <w:ilvl w:val="2"/>
                <w:numId w:val="31"/>
              </w:numPr>
              <w:ind w:left="978" w:hanging="283"/>
            </w:pPr>
            <w:r>
              <w:t xml:space="preserve">Instances where </w:t>
            </w:r>
            <w:r w:rsidR="38A39A0B" w:rsidRPr="4FAB01D6">
              <w:rPr>
                <w:highlight w:val="cyan"/>
              </w:rPr>
              <w:t>the</w:t>
            </w:r>
            <w:r w:rsidR="38A39A0B">
              <w:t xml:space="preserve"> </w:t>
            </w:r>
            <w:r>
              <w:t>SDC was commenced</w:t>
            </w:r>
            <w:r w:rsidR="39BE3737">
              <w:t xml:space="preserve"> within the </w:t>
            </w:r>
            <w:r w:rsidR="57127A07">
              <w:t>6-month</w:t>
            </w:r>
            <w:r w:rsidR="39BE3737">
              <w:t xml:space="preserve"> reporting period</w:t>
            </w:r>
          </w:p>
          <w:p w14:paraId="2B8A2729" w14:textId="793C868A" w:rsidR="000C4875" w:rsidRDefault="1DF55644" w:rsidP="00484A99">
            <w:pPr>
              <w:pStyle w:val="Body"/>
              <w:numPr>
                <w:ilvl w:val="2"/>
                <w:numId w:val="31"/>
              </w:numPr>
              <w:ind w:left="978" w:hanging="283"/>
            </w:pPr>
            <w:r>
              <w:t xml:space="preserve">Instances where </w:t>
            </w:r>
            <w:r w:rsidR="4F5DFC95" w:rsidRPr="3F3BC297">
              <w:rPr>
                <w:highlight w:val="cyan"/>
              </w:rPr>
              <w:t>the</w:t>
            </w:r>
            <w:r w:rsidR="4F5DFC95">
              <w:t xml:space="preserve"> </w:t>
            </w:r>
            <w:r>
              <w:t xml:space="preserve">SDC </w:t>
            </w:r>
            <w:r w:rsidR="41E76210" w:rsidRPr="3F3BC297">
              <w:rPr>
                <w:strike/>
                <w:highlight w:val="cyan"/>
              </w:rPr>
              <w:t>was completed</w:t>
            </w:r>
            <w:r w:rsidR="2F5ECD6B" w:rsidRPr="3F3BC297">
              <w:rPr>
                <w:highlight w:val="cyan"/>
              </w:rPr>
              <w:t>report was provided by the health service</w:t>
            </w:r>
            <w:r w:rsidR="47946FF9" w:rsidRPr="3F3BC297">
              <w:rPr>
                <w:highlight w:val="cyan"/>
              </w:rPr>
              <w:t xml:space="preserve"> entity</w:t>
            </w:r>
            <w:r w:rsidR="2F5ECD6B">
              <w:t xml:space="preserve"> </w:t>
            </w:r>
            <w:r w:rsidR="4683F4B9">
              <w:t xml:space="preserve">within the </w:t>
            </w:r>
            <w:r w:rsidR="1E34786A">
              <w:t>6-month</w:t>
            </w:r>
            <w:r w:rsidR="4683F4B9">
              <w:t xml:space="preserve"> reporting period</w:t>
            </w:r>
          </w:p>
          <w:p w14:paraId="4A709A7F" w14:textId="626D130F" w:rsidR="000C4875" w:rsidRDefault="42D810CA" w:rsidP="00484A99">
            <w:pPr>
              <w:pStyle w:val="Body"/>
              <w:numPr>
                <w:ilvl w:val="2"/>
                <w:numId w:val="31"/>
              </w:numPr>
              <w:ind w:left="978" w:hanging="283"/>
            </w:pPr>
            <w:r>
              <w:t>Instances where</w:t>
            </w:r>
            <w:r w:rsidR="33FA6346">
              <w:t xml:space="preserve"> </w:t>
            </w:r>
            <w:r w:rsidR="33FA6346" w:rsidRPr="3F3BC297">
              <w:rPr>
                <w:highlight w:val="cyan"/>
              </w:rPr>
              <w:t>the</w:t>
            </w:r>
            <w:r>
              <w:t xml:space="preserve"> patient</w:t>
            </w:r>
            <w:r w:rsidR="320B535B" w:rsidRPr="3F3BC297">
              <w:rPr>
                <w:highlight w:val="cyan"/>
              </w:rPr>
              <w:t>/NOK/carer</w:t>
            </w:r>
            <w:r w:rsidR="0A5B16E4">
              <w:t xml:space="preserve"> </w:t>
            </w:r>
            <w:r>
              <w:t xml:space="preserve">opted out of </w:t>
            </w:r>
            <w:r w:rsidR="6EDD6E75">
              <w:t xml:space="preserve">that </w:t>
            </w:r>
            <w:r>
              <w:t>SDC</w:t>
            </w:r>
            <w:r w:rsidR="37A57176">
              <w:t xml:space="preserve"> within the </w:t>
            </w:r>
            <w:r w:rsidR="3A4D4919">
              <w:t>6-month</w:t>
            </w:r>
            <w:r w:rsidR="37A57176">
              <w:t xml:space="preserve"> reporting period</w:t>
            </w:r>
          </w:p>
          <w:p w14:paraId="4C9F7BC4" w14:textId="02147661" w:rsidR="002A0797" w:rsidRDefault="002A0797" w:rsidP="000C4875">
            <w:pPr>
              <w:pStyle w:val="Body"/>
              <w:rPr>
                <w:b/>
                <w:bCs/>
              </w:rPr>
            </w:pPr>
            <w:r>
              <w:rPr>
                <w:b/>
                <w:bCs/>
              </w:rPr>
              <w:t xml:space="preserve">Other information </w:t>
            </w:r>
            <w:r w:rsidR="00DF49AE">
              <w:rPr>
                <w:b/>
                <w:bCs/>
              </w:rPr>
              <w:t>re</w:t>
            </w:r>
            <w:r>
              <w:rPr>
                <w:b/>
                <w:bCs/>
              </w:rPr>
              <w:t>sources</w:t>
            </w:r>
          </w:p>
          <w:p w14:paraId="25A82395" w14:textId="63973C55" w:rsidR="000C4875" w:rsidRDefault="3B2E68E4" w:rsidP="000C4875">
            <w:pPr>
              <w:pStyle w:val="Body"/>
            </w:pPr>
            <w:r>
              <w:t xml:space="preserve">Health service entities should also refer to </w:t>
            </w:r>
            <w:r w:rsidR="6171E357" w:rsidRPr="3F3BC297">
              <w:rPr>
                <w:highlight w:val="cyan"/>
              </w:rPr>
              <w:t xml:space="preserve">the </w:t>
            </w:r>
            <w:r>
              <w:t xml:space="preserve">relevant </w:t>
            </w:r>
            <w:r w:rsidR="3DDB0F1E" w:rsidRPr="3F3BC297">
              <w:rPr>
                <w:highlight w:val="cyan"/>
              </w:rPr>
              <w:t xml:space="preserve">Act and </w:t>
            </w:r>
            <w:r w:rsidR="46FC4641">
              <w:t>R</w:t>
            </w:r>
            <w:r>
              <w:t xml:space="preserve">egulations for more details </w:t>
            </w:r>
            <w:r w:rsidRPr="3F3BC297">
              <w:rPr>
                <w:strike/>
                <w:highlight w:val="cyan"/>
              </w:rPr>
              <w:t>of</w:t>
            </w:r>
            <w:r w:rsidRPr="3F3BC297">
              <w:rPr>
                <w:highlight w:val="cyan"/>
              </w:rPr>
              <w:t xml:space="preserve"> </w:t>
            </w:r>
            <w:r w:rsidR="601B9B12" w:rsidRPr="3F3BC297">
              <w:rPr>
                <w:highlight w:val="cyan"/>
              </w:rPr>
              <w:t>and for</w:t>
            </w:r>
            <w:r w:rsidR="601B9B12">
              <w:t xml:space="preserve"> </w:t>
            </w:r>
            <w:r>
              <w:t>the definitions of SAPSE and SDC.</w:t>
            </w:r>
          </w:p>
          <w:p w14:paraId="37411782" w14:textId="12F12C57" w:rsidR="002D153F" w:rsidRDefault="2C0671B3" w:rsidP="00DF49AE">
            <w:pPr>
              <w:pStyle w:val="Body"/>
            </w:pPr>
            <w:r>
              <w:t xml:space="preserve">To support health service entities in establishing SDC processes, </w:t>
            </w:r>
            <w:r w:rsidR="4412BE1A">
              <w:t xml:space="preserve">Safer Care Victoria has compiled </w:t>
            </w:r>
            <w:r>
              <w:t xml:space="preserve">a range of </w:t>
            </w:r>
            <w:hyperlink r:id="rId25">
              <w:r w:rsidR="4412BE1A" w:rsidRPr="4F718B43">
                <w:rPr>
                  <w:rStyle w:val="Hyperlink"/>
                </w:rPr>
                <w:t>resources</w:t>
              </w:r>
            </w:hyperlink>
            <w:r w:rsidR="4412BE1A">
              <w:t xml:space="preserve"> </w:t>
            </w:r>
            <w:r>
              <w:t>&lt;https://www.safercare.vic.gov.au/support-training/adverse-event-review-and-response/duty-of-candour&gt;.</w:t>
            </w:r>
            <w:r w:rsidR="55657001">
              <w:t xml:space="preserve"> </w:t>
            </w:r>
          </w:p>
          <w:p w14:paraId="5650D244" w14:textId="742B108E" w:rsidR="005E10B2" w:rsidRPr="00AF46BB" w:rsidRDefault="00B60236" w:rsidP="00DF49AE">
            <w:pPr>
              <w:pStyle w:val="Body"/>
            </w:pPr>
            <w:r>
              <w:t>Q</w:t>
            </w:r>
            <w:r w:rsidR="005E10B2">
              <w:t>uestions regarding definitions</w:t>
            </w:r>
            <w:r>
              <w:t>,</w:t>
            </w:r>
            <w:r w:rsidR="005E10B2">
              <w:t xml:space="preserve"> or data </w:t>
            </w:r>
            <w:r>
              <w:t xml:space="preserve">to be </w:t>
            </w:r>
            <w:r w:rsidR="005E10B2">
              <w:t>reported to the SDC data collection</w:t>
            </w:r>
            <w:r>
              <w:t>,</w:t>
            </w:r>
            <w:r w:rsidR="005E10B2">
              <w:t xml:space="preserve"> </w:t>
            </w:r>
            <w:r>
              <w:t xml:space="preserve">can be directed to the Safer Care Victoria project team </w:t>
            </w:r>
            <w:r w:rsidR="005E10B2">
              <w:t xml:space="preserve">by </w:t>
            </w:r>
            <w:hyperlink r:id="rId26" w:history="1">
              <w:r w:rsidR="005E10B2" w:rsidRPr="005E10B2">
                <w:rPr>
                  <w:rStyle w:val="Hyperlink"/>
                </w:rPr>
                <w:t>email</w:t>
              </w:r>
            </w:hyperlink>
            <w:r w:rsidR="005E10B2">
              <w:t xml:space="preserve"> &lt;</w:t>
            </w:r>
            <w:r w:rsidR="005E10B2" w:rsidRPr="005E10B2">
              <w:t>dutyofcandour@health.vic.gov.au</w:t>
            </w:r>
            <w:r w:rsidR="005E10B2">
              <w:t>&gt;</w:t>
            </w:r>
          </w:p>
        </w:tc>
      </w:tr>
      <w:tr w:rsidR="00DF49AE" w14:paraId="596CA2E8" w14:textId="77777777" w:rsidTr="0CD58107">
        <w:trPr>
          <w:trHeight w:val="300"/>
        </w:trPr>
        <w:tc>
          <w:tcPr>
            <w:tcW w:w="1275" w:type="dxa"/>
            <w:shd w:val="clear" w:color="auto" w:fill="auto"/>
          </w:tcPr>
          <w:p w14:paraId="7CF3E4BC" w14:textId="6D77A9D1" w:rsidR="00C55911" w:rsidRPr="00351492" w:rsidRDefault="00C55911" w:rsidP="00B80C3C">
            <w:pPr>
              <w:pStyle w:val="Body"/>
              <w:rPr>
                <w:rStyle w:val="Strong"/>
              </w:rPr>
            </w:pPr>
            <w:r w:rsidRPr="00351492">
              <w:rPr>
                <w:rStyle w:val="Strong"/>
              </w:rPr>
              <w:lastRenderedPageBreak/>
              <w:t>Data definitions</w:t>
            </w:r>
          </w:p>
        </w:tc>
        <w:tc>
          <w:tcPr>
            <w:tcW w:w="8460" w:type="dxa"/>
            <w:shd w:val="clear" w:color="auto" w:fill="auto"/>
          </w:tcPr>
          <w:p w14:paraId="0E331D8D" w14:textId="79E99B0B" w:rsidR="008E26C3" w:rsidRPr="002A0797" w:rsidRDefault="008E26C3" w:rsidP="00BF7E71">
            <w:pPr>
              <w:pStyle w:val="Body"/>
            </w:pPr>
            <w:r w:rsidRPr="002A0797">
              <w:t>The following data items are to be reported in the SDC form:</w:t>
            </w:r>
          </w:p>
          <w:p w14:paraId="11EDF115" w14:textId="4FA40E65" w:rsidR="008E26C3" w:rsidRPr="00484A99" w:rsidRDefault="2A8DE99A" w:rsidP="3F3BC297">
            <w:pPr>
              <w:pStyle w:val="Body"/>
              <w:rPr>
                <w:b/>
                <w:bCs/>
                <w:highlight w:val="cyan"/>
              </w:rPr>
            </w:pPr>
            <w:r w:rsidRPr="3F3BC297">
              <w:rPr>
                <w:b/>
                <w:bCs/>
              </w:rPr>
              <w:t>Number of SAPSE</w:t>
            </w:r>
            <w:r w:rsidR="6C0C9B41" w:rsidRPr="3F3BC297">
              <w:rPr>
                <w:b/>
                <w:bCs/>
              </w:rPr>
              <w:t xml:space="preserve"> </w:t>
            </w:r>
            <w:r w:rsidR="2F0DF1F2" w:rsidRPr="3F3BC297">
              <w:rPr>
                <w:b/>
                <w:bCs/>
                <w:highlight w:val="cyan"/>
              </w:rPr>
              <w:t xml:space="preserve">identified </w:t>
            </w:r>
          </w:p>
          <w:p w14:paraId="0071B958" w14:textId="3B0A6903" w:rsidR="008E26C3" w:rsidRDefault="3B2E68E4" w:rsidP="5116CCA1">
            <w:pPr>
              <w:pStyle w:val="Body"/>
              <w:numPr>
                <w:ilvl w:val="0"/>
                <w:numId w:val="36"/>
              </w:numPr>
              <w:rPr>
                <w:highlight w:val="cyan"/>
              </w:rPr>
            </w:pPr>
            <w:r>
              <w:t xml:space="preserve">Total number of SAPSE </w:t>
            </w:r>
            <w:r w:rsidR="383047E4" w:rsidRPr="3F3BC297">
              <w:rPr>
                <w:strike/>
                <w:highlight w:val="cyan"/>
              </w:rPr>
              <w:t>that occurred</w:t>
            </w:r>
            <w:r w:rsidR="7A8A29D7" w:rsidRPr="3F3BC297">
              <w:rPr>
                <w:strike/>
                <w:highlight w:val="cyan"/>
              </w:rPr>
              <w:t xml:space="preserve"> at</w:t>
            </w:r>
            <w:r w:rsidR="5ED0AF88" w:rsidRPr="3F3BC297">
              <w:rPr>
                <w:highlight w:val="cyan"/>
              </w:rPr>
              <w:t>identified</w:t>
            </w:r>
            <w:r w:rsidRPr="3F3BC297">
              <w:rPr>
                <w:highlight w:val="cyan"/>
              </w:rPr>
              <w:t xml:space="preserve"> </w:t>
            </w:r>
            <w:r w:rsidR="73281AAF" w:rsidRPr="3F3BC297">
              <w:rPr>
                <w:highlight w:val="cyan"/>
              </w:rPr>
              <w:t>by</w:t>
            </w:r>
            <w:r w:rsidR="73281AAF">
              <w:t xml:space="preserve"> </w:t>
            </w:r>
            <w:r>
              <w:t>the health service</w:t>
            </w:r>
            <w:r w:rsidR="1D3861F4">
              <w:t xml:space="preserve"> </w:t>
            </w:r>
            <w:r w:rsidR="1D3861F4" w:rsidRPr="3F3BC297">
              <w:rPr>
                <w:highlight w:val="cyan"/>
              </w:rPr>
              <w:t>entity</w:t>
            </w:r>
            <w:r>
              <w:t xml:space="preserve"> within the quarter</w:t>
            </w:r>
            <w:r w:rsidR="7A14EDA0">
              <w:t xml:space="preserve">. </w:t>
            </w:r>
            <w:r w:rsidR="7A14EDA0" w:rsidRPr="3F3BC297">
              <w:rPr>
                <w:highlight w:val="cyan"/>
              </w:rPr>
              <w:t>The</w:t>
            </w:r>
            <w:r w:rsidR="726DAE94" w:rsidRPr="3F3BC297">
              <w:rPr>
                <w:highlight w:val="cyan"/>
              </w:rPr>
              <w:t xml:space="preserve"> </w:t>
            </w:r>
            <w:r w:rsidR="5A523430" w:rsidRPr="3F3BC297">
              <w:rPr>
                <w:highlight w:val="cyan"/>
              </w:rPr>
              <w:t xml:space="preserve">events to be </w:t>
            </w:r>
            <w:r w:rsidR="0FC2641E" w:rsidRPr="3F3BC297">
              <w:rPr>
                <w:highlight w:val="cyan"/>
              </w:rPr>
              <w:t>reported</w:t>
            </w:r>
            <w:r w:rsidR="5A523430" w:rsidRPr="3F3BC297">
              <w:rPr>
                <w:highlight w:val="cyan"/>
              </w:rPr>
              <w:t xml:space="preserve"> within the quarter </w:t>
            </w:r>
            <w:r w:rsidR="2F900CDA" w:rsidRPr="3F3BC297">
              <w:rPr>
                <w:highlight w:val="cyan"/>
              </w:rPr>
              <w:t>will</w:t>
            </w:r>
            <w:r w:rsidR="5A523430" w:rsidRPr="3F3BC297">
              <w:rPr>
                <w:highlight w:val="cyan"/>
              </w:rPr>
              <w:t xml:space="preserve"> depend on when</w:t>
            </w:r>
            <w:r w:rsidR="7A14EDA0" w:rsidRPr="3F3BC297">
              <w:rPr>
                <w:highlight w:val="cyan"/>
              </w:rPr>
              <w:t xml:space="preserve"> </w:t>
            </w:r>
            <w:r w:rsidR="5575B655" w:rsidRPr="3F3BC297">
              <w:rPr>
                <w:highlight w:val="cyan"/>
              </w:rPr>
              <w:t xml:space="preserve">the events </w:t>
            </w:r>
            <w:r w:rsidR="47319B3F" w:rsidRPr="3F3BC297">
              <w:rPr>
                <w:highlight w:val="cyan"/>
              </w:rPr>
              <w:t>are</w:t>
            </w:r>
            <w:r w:rsidR="7A14EDA0" w:rsidRPr="3F3BC297">
              <w:rPr>
                <w:highlight w:val="cyan"/>
              </w:rPr>
              <w:t xml:space="preserve"> identified by the health service entity as being SAPSE</w:t>
            </w:r>
            <w:r w:rsidR="030EEB02" w:rsidRPr="3F3BC297">
              <w:rPr>
                <w:highlight w:val="cyan"/>
              </w:rPr>
              <w:t>s</w:t>
            </w:r>
            <w:r w:rsidR="7A14EDA0" w:rsidRPr="3F3BC297">
              <w:rPr>
                <w:highlight w:val="cyan"/>
              </w:rPr>
              <w:t xml:space="preserve">. </w:t>
            </w:r>
            <w:r w:rsidR="50814D01" w:rsidRPr="3F3BC297">
              <w:rPr>
                <w:highlight w:val="cyan"/>
              </w:rPr>
              <w:t xml:space="preserve">A significant </w:t>
            </w:r>
            <w:r w:rsidR="50814D01" w:rsidRPr="3F3BC297">
              <w:rPr>
                <w:highlight w:val="cyan"/>
              </w:rPr>
              <w:lastRenderedPageBreak/>
              <w:t xml:space="preserve">portion of </w:t>
            </w:r>
            <w:r w:rsidR="7BB4B7A8" w:rsidRPr="3F3BC297">
              <w:rPr>
                <w:highlight w:val="cyan"/>
              </w:rPr>
              <w:t xml:space="preserve">SAPSE will be identified on the date on which they occur. </w:t>
            </w:r>
            <w:r w:rsidR="7A14EDA0" w:rsidRPr="3F3BC297">
              <w:rPr>
                <w:highlight w:val="cyan"/>
              </w:rPr>
              <w:t>Other</w:t>
            </w:r>
            <w:r w:rsidR="2B118781" w:rsidRPr="3F3BC297">
              <w:rPr>
                <w:highlight w:val="cyan"/>
              </w:rPr>
              <w:t xml:space="preserve"> events may be</w:t>
            </w:r>
            <w:r w:rsidR="7A14EDA0" w:rsidRPr="3F3BC297">
              <w:rPr>
                <w:highlight w:val="cyan"/>
              </w:rPr>
              <w:t xml:space="preserve"> determined/confirmed to be a SAPSE</w:t>
            </w:r>
            <w:r w:rsidR="32900213" w:rsidRPr="3F3BC297">
              <w:rPr>
                <w:highlight w:val="cyan"/>
              </w:rPr>
              <w:t xml:space="preserve"> </w:t>
            </w:r>
            <w:r w:rsidR="7F499D75" w:rsidRPr="3F3BC297">
              <w:rPr>
                <w:highlight w:val="cyan"/>
              </w:rPr>
              <w:t>after</w:t>
            </w:r>
            <w:r w:rsidR="32900213" w:rsidRPr="3F3BC297">
              <w:rPr>
                <w:highlight w:val="cyan"/>
              </w:rPr>
              <w:t xml:space="preserve"> further review of the event</w:t>
            </w:r>
            <w:r w:rsidR="7A14EDA0" w:rsidRPr="3F3BC297">
              <w:rPr>
                <w:highlight w:val="cyan"/>
              </w:rPr>
              <w:t>.</w:t>
            </w:r>
          </w:p>
          <w:p w14:paraId="167E398A" w14:textId="39708996" w:rsidR="002A0797" w:rsidRPr="002A0797" w:rsidRDefault="002A0797" w:rsidP="00BF7E71">
            <w:pPr>
              <w:pStyle w:val="Body"/>
              <w:rPr>
                <w:b/>
                <w:bCs/>
              </w:rPr>
            </w:pPr>
            <w:r w:rsidRPr="322DC48F">
              <w:rPr>
                <w:b/>
                <w:bCs/>
              </w:rPr>
              <w:t xml:space="preserve">Instances where </w:t>
            </w:r>
            <w:r w:rsidR="33DAA6D3" w:rsidRPr="00B7492B">
              <w:rPr>
                <w:b/>
                <w:bCs/>
                <w:highlight w:val="cyan"/>
                <w:shd w:val="clear" w:color="auto" w:fill="E6E6E6"/>
              </w:rPr>
              <w:t>the</w:t>
            </w:r>
            <w:r w:rsidR="33DAA6D3" w:rsidRPr="00B7492B">
              <w:rPr>
                <w:b/>
                <w:bCs/>
              </w:rPr>
              <w:t xml:space="preserve"> </w:t>
            </w:r>
            <w:r w:rsidRPr="322DC48F">
              <w:rPr>
                <w:b/>
                <w:bCs/>
              </w:rPr>
              <w:t xml:space="preserve">SDC was commenced </w:t>
            </w:r>
          </w:p>
          <w:p w14:paraId="681162BE" w14:textId="40D81905" w:rsidR="000C4875" w:rsidRDefault="14489F40" w:rsidP="00BF7E71">
            <w:pPr>
              <w:pStyle w:val="Body"/>
              <w:numPr>
                <w:ilvl w:val="0"/>
                <w:numId w:val="36"/>
              </w:numPr>
            </w:pPr>
            <w:r>
              <w:t>Of the total number of SAPSE that</w:t>
            </w:r>
            <w:r w:rsidR="3131F884">
              <w:t xml:space="preserve"> </w:t>
            </w:r>
            <w:r w:rsidR="3131F884" w:rsidRPr="5C32E8BF">
              <w:rPr>
                <w:highlight w:val="cyan"/>
              </w:rPr>
              <w:t>were identified</w:t>
            </w:r>
            <w:r w:rsidRPr="3F3BC297">
              <w:rPr>
                <w:strike/>
                <w:highlight w:val="cyan"/>
              </w:rPr>
              <w:t>occurred</w:t>
            </w:r>
            <w:r>
              <w:t xml:space="preserve"> in the quarter being reported, the total number for which the SDC had commenced with the patient or their next-of-kin/ family/carer by the end of the quarter after the quarter in which the SAPSE</w:t>
            </w:r>
            <w:r w:rsidR="71F70349">
              <w:t xml:space="preserve"> </w:t>
            </w:r>
            <w:r w:rsidR="71F70349" w:rsidRPr="5C32E8BF">
              <w:rPr>
                <w:highlight w:val="cyan"/>
              </w:rPr>
              <w:t>was identified</w:t>
            </w:r>
            <w:r w:rsidRPr="3F3BC297">
              <w:rPr>
                <w:strike/>
                <w:highlight w:val="cyan"/>
              </w:rPr>
              <w:t>occurred</w:t>
            </w:r>
            <w:r w:rsidR="3243161A">
              <w:t xml:space="preserve">. </w:t>
            </w:r>
            <w:r w:rsidR="205B7C98" w:rsidRPr="00A9464F">
              <w:rPr>
                <w:highlight w:val="cyan"/>
                <w:shd w:val="clear" w:color="auto" w:fill="E6E6E6"/>
              </w:rPr>
              <w:t>An SDC c</w:t>
            </w:r>
            <w:r w:rsidR="2F6CD53F" w:rsidRPr="00A9464F">
              <w:rPr>
                <w:highlight w:val="cyan"/>
                <w:shd w:val="clear" w:color="auto" w:fill="E6E6E6"/>
              </w:rPr>
              <w:t>ommence</w:t>
            </w:r>
            <w:r w:rsidR="205B7C98" w:rsidRPr="00A9464F">
              <w:rPr>
                <w:highlight w:val="cyan"/>
              </w:rPr>
              <w:t>ment</w:t>
            </w:r>
            <w:r w:rsidR="2F6CD53F" w:rsidRPr="00A9464F">
              <w:rPr>
                <w:highlight w:val="cyan"/>
                <w:shd w:val="clear" w:color="auto" w:fill="E6E6E6"/>
              </w:rPr>
              <w:t xml:space="preserve"> for the purposes of this reporting </w:t>
            </w:r>
            <w:r w:rsidR="205B7C98" w:rsidRPr="00A9464F">
              <w:rPr>
                <w:highlight w:val="cyan"/>
              </w:rPr>
              <w:t>occurs</w:t>
            </w:r>
            <w:r w:rsidR="2F6CD53F" w:rsidRPr="00A9464F">
              <w:rPr>
                <w:highlight w:val="cyan"/>
                <w:shd w:val="clear" w:color="auto" w:fill="E6E6E6"/>
              </w:rPr>
              <w:t xml:space="preserve"> when the </w:t>
            </w:r>
            <w:r w:rsidR="28F1BE91" w:rsidRPr="00A9464F">
              <w:rPr>
                <w:highlight w:val="cyan"/>
              </w:rPr>
              <w:t>health service entity</w:t>
            </w:r>
            <w:r w:rsidR="2F6CD53F" w:rsidRPr="00A9464F">
              <w:rPr>
                <w:highlight w:val="cyan"/>
                <w:shd w:val="clear" w:color="auto" w:fill="E6E6E6"/>
              </w:rPr>
              <w:t xml:space="preserve"> provides the initial apology </w:t>
            </w:r>
            <w:r w:rsidR="0AD08920" w:rsidRPr="00A9464F">
              <w:rPr>
                <w:highlight w:val="cyan"/>
              </w:rPr>
              <w:t xml:space="preserve">and acknowledgment </w:t>
            </w:r>
            <w:r w:rsidR="2F6CD53F" w:rsidRPr="00A9464F">
              <w:rPr>
                <w:highlight w:val="cyan"/>
                <w:shd w:val="clear" w:color="auto" w:fill="E6E6E6"/>
              </w:rPr>
              <w:t>to the patient or their next-of-kin/family/carer</w:t>
            </w:r>
            <w:r w:rsidR="2F6CD53F" w:rsidRPr="00A9464F">
              <w:t>.</w:t>
            </w:r>
          </w:p>
          <w:p w14:paraId="200973C9" w14:textId="68ADCC5C" w:rsidR="00DF49AE" w:rsidRPr="002A0797" w:rsidRDefault="03DD737C" w:rsidP="322DC48F">
            <w:pPr>
              <w:pStyle w:val="Body"/>
              <w:rPr>
                <w:b/>
                <w:bCs/>
                <w:strike/>
              </w:rPr>
            </w:pPr>
            <w:r w:rsidRPr="3F3BC297">
              <w:rPr>
                <w:b/>
                <w:bCs/>
              </w:rPr>
              <w:t xml:space="preserve">Instances where </w:t>
            </w:r>
            <w:r w:rsidR="1C029F5F" w:rsidRPr="3F3BC297">
              <w:rPr>
                <w:b/>
                <w:bCs/>
                <w:highlight w:val="cyan"/>
              </w:rPr>
              <w:t>the</w:t>
            </w:r>
            <w:r w:rsidR="1C029F5F" w:rsidRPr="3F3BC297">
              <w:rPr>
                <w:b/>
                <w:bCs/>
              </w:rPr>
              <w:t xml:space="preserve"> </w:t>
            </w:r>
            <w:r w:rsidRPr="3F3BC297">
              <w:rPr>
                <w:b/>
                <w:bCs/>
              </w:rPr>
              <w:t xml:space="preserve">SDC </w:t>
            </w:r>
            <w:r w:rsidR="0CFFB8C0" w:rsidRPr="3F3BC297">
              <w:rPr>
                <w:b/>
                <w:bCs/>
                <w:strike/>
                <w:highlight w:val="cyan"/>
              </w:rPr>
              <w:t>was completed</w:t>
            </w:r>
            <w:r w:rsidR="6A4F2361" w:rsidRPr="3F3BC297">
              <w:rPr>
                <w:b/>
                <w:bCs/>
                <w:highlight w:val="cyan"/>
              </w:rPr>
              <w:t xml:space="preserve">report </w:t>
            </w:r>
            <w:r w:rsidRPr="3F3BC297">
              <w:rPr>
                <w:b/>
                <w:bCs/>
                <w:highlight w:val="cyan"/>
              </w:rPr>
              <w:t xml:space="preserve">was </w:t>
            </w:r>
            <w:r w:rsidR="70B39EEA" w:rsidRPr="3F3BC297">
              <w:rPr>
                <w:b/>
                <w:bCs/>
                <w:highlight w:val="cyan"/>
              </w:rPr>
              <w:t>provided by the health service</w:t>
            </w:r>
            <w:r w:rsidR="65C50E5F" w:rsidRPr="3F3BC297">
              <w:rPr>
                <w:b/>
                <w:bCs/>
                <w:highlight w:val="cyan"/>
              </w:rPr>
              <w:t xml:space="preserve"> entity</w:t>
            </w:r>
          </w:p>
          <w:p w14:paraId="32FD1F2B" w14:textId="07806274" w:rsidR="12BE0863" w:rsidRDefault="12BE0863" w:rsidP="3F3BC297">
            <w:pPr>
              <w:pStyle w:val="Body"/>
              <w:numPr>
                <w:ilvl w:val="0"/>
                <w:numId w:val="36"/>
              </w:numPr>
            </w:pPr>
            <w:r w:rsidRPr="3F3BC297">
              <w:rPr>
                <w:szCs w:val="21"/>
              </w:rPr>
              <w:t xml:space="preserve">Of the total number of SAPSE that </w:t>
            </w:r>
            <w:r w:rsidRPr="3F3BC297">
              <w:rPr>
                <w:strike/>
                <w:szCs w:val="21"/>
                <w:highlight w:val="cyan"/>
              </w:rPr>
              <w:t>occurred</w:t>
            </w:r>
            <w:r w:rsidRPr="3F3BC297">
              <w:rPr>
                <w:szCs w:val="21"/>
                <w:highlight w:val="cyan"/>
              </w:rPr>
              <w:t xml:space="preserve"> </w:t>
            </w:r>
            <w:r w:rsidR="7AB04538" w:rsidRPr="3F3BC297">
              <w:rPr>
                <w:szCs w:val="21"/>
                <w:highlight w:val="cyan"/>
              </w:rPr>
              <w:t>were identified</w:t>
            </w:r>
            <w:r w:rsidR="7AB04538" w:rsidRPr="3F3BC297">
              <w:rPr>
                <w:szCs w:val="21"/>
              </w:rPr>
              <w:t xml:space="preserve"> </w:t>
            </w:r>
            <w:r w:rsidRPr="3F3BC297">
              <w:rPr>
                <w:szCs w:val="21"/>
              </w:rPr>
              <w:t xml:space="preserve">in the quarter being reported, the total number for which </w:t>
            </w:r>
            <w:r w:rsidRPr="3F3BC297">
              <w:rPr>
                <w:strike/>
                <w:szCs w:val="21"/>
                <w:highlight w:val="cyan"/>
              </w:rPr>
              <w:t>the SDC had been completed with</w:t>
            </w:r>
            <w:r w:rsidRPr="3F3BC297">
              <w:rPr>
                <w:szCs w:val="21"/>
              </w:rPr>
              <w:t xml:space="preserve"> the patient or their next-of-kin/ family/carer </w:t>
            </w:r>
            <w:r w:rsidR="4170C285" w:rsidRPr="3F3BC297">
              <w:rPr>
                <w:szCs w:val="21"/>
                <w:highlight w:val="cyan"/>
              </w:rPr>
              <w:t>is first presented with the SDC report produced post the review of the SAPSE</w:t>
            </w:r>
            <w:r w:rsidR="4170C285" w:rsidRPr="3F3BC297">
              <w:rPr>
                <w:szCs w:val="21"/>
              </w:rPr>
              <w:t xml:space="preserve">, </w:t>
            </w:r>
            <w:r w:rsidRPr="3F3BC297">
              <w:rPr>
                <w:szCs w:val="21"/>
              </w:rPr>
              <w:t xml:space="preserve">by the end of the quarter after the quarter in which the SAPSE </w:t>
            </w:r>
            <w:r w:rsidR="574C8234" w:rsidRPr="3F3BC297">
              <w:rPr>
                <w:szCs w:val="21"/>
                <w:highlight w:val="cyan"/>
              </w:rPr>
              <w:t xml:space="preserve">was identified </w:t>
            </w:r>
            <w:r w:rsidRPr="3F3BC297">
              <w:rPr>
                <w:strike/>
                <w:szCs w:val="21"/>
                <w:highlight w:val="cyan"/>
              </w:rPr>
              <w:t>occurred</w:t>
            </w:r>
            <w:r w:rsidRPr="3F3BC297">
              <w:rPr>
                <w:szCs w:val="21"/>
              </w:rPr>
              <w:t>.</w:t>
            </w:r>
            <w:r w:rsidR="0E97D636" w:rsidRPr="3F3BC297">
              <w:rPr>
                <w:szCs w:val="21"/>
              </w:rPr>
              <w:t xml:space="preserve"> </w:t>
            </w:r>
            <w:r w:rsidR="0E97D636" w:rsidRPr="3F3BC297">
              <w:rPr>
                <w:highlight w:val="cyan"/>
              </w:rPr>
              <w:t>The patient or their next-of-kin/family/carer may seek further discussion of the report, but it is the timing of the first presentation of the SDC report that is to be reported here</w:t>
            </w:r>
            <w:r w:rsidR="0E97D636">
              <w:t>.</w:t>
            </w:r>
          </w:p>
          <w:p w14:paraId="49BE9367" w14:textId="0A71663A" w:rsidR="00DF49AE" w:rsidRPr="002A0797" w:rsidRDefault="20BCC53D" w:rsidP="00BF7E71">
            <w:pPr>
              <w:pStyle w:val="Body"/>
              <w:rPr>
                <w:b/>
                <w:bCs/>
              </w:rPr>
            </w:pPr>
            <w:r w:rsidRPr="3F3BC297">
              <w:rPr>
                <w:b/>
                <w:bCs/>
              </w:rPr>
              <w:t>Instances where the patient</w:t>
            </w:r>
            <w:r w:rsidR="14AD2D78" w:rsidRPr="3F3BC297">
              <w:rPr>
                <w:b/>
                <w:bCs/>
              </w:rPr>
              <w:t>/NOK/carer</w:t>
            </w:r>
            <w:r w:rsidR="350A1391" w:rsidRPr="3F3BC297">
              <w:rPr>
                <w:b/>
                <w:bCs/>
              </w:rPr>
              <w:t xml:space="preserve"> </w:t>
            </w:r>
            <w:r w:rsidRPr="3F3BC297">
              <w:rPr>
                <w:b/>
                <w:bCs/>
              </w:rPr>
              <w:t xml:space="preserve">opted out of the SDC </w:t>
            </w:r>
          </w:p>
          <w:p w14:paraId="182B6189" w14:textId="5423D58D" w:rsidR="002D153F" w:rsidRDefault="7E88B125" w:rsidP="2D9FF696">
            <w:pPr>
              <w:pStyle w:val="Body"/>
              <w:numPr>
                <w:ilvl w:val="0"/>
                <w:numId w:val="35"/>
              </w:numPr>
              <w:rPr>
                <w:highlight w:val="cyan"/>
              </w:rPr>
            </w:pPr>
            <w:r>
              <w:t>Of the total number of SAPSE that</w:t>
            </w:r>
            <w:r w:rsidR="5B0A677F">
              <w:t xml:space="preserve"> </w:t>
            </w:r>
            <w:r w:rsidR="5B0A677F" w:rsidRPr="0CD58107">
              <w:rPr>
                <w:highlight w:val="cyan"/>
              </w:rPr>
              <w:t>were identified</w:t>
            </w:r>
            <w:r w:rsidRPr="0CD58107">
              <w:rPr>
                <w:strike/>
                <w:highlight w:val="cyan"/>
              </w:rPr>
              <w:t>occurred</w:t>
            </w:r>
            <w:r>
              <w:t xml:space="preserve"> in the quarter being reported, the total number </w:t>
            </w:r>
            <w:r w:rsidR="0231D4C2">
              <w:t xml:space="preserve">for which the </w:t>
            </w:r>
            <w:r>
              <w:t xml:space="preserve">patient or their next-of-kin/family/carer opted out of the SDC process </w:t>
            </w:r>
            <w:r w:rsidR="0702594E" w:rsidRPr="0CD58107">
              <w:rPr>
                <w:highlight w:val="cyan"/>
              </w:rPr>
              <w:t>by signed statement,</w:t>
            </w:r>
            <w:r w:rsidR="0702594E">
              <w:t xml:space="preserve"> </w:t>
            </w:r>
            <w:r>
              <w:t>by the end of the quarter after the quarter in which the SAPSE</w:t>
            </w:r>
            <w:r w:rsidR="37CCF743">
              <w:t xml:space="preserve"> </w:t>
            </w:r>
            <w:r w:rsidR="37CCF743" w:rsidRPr="0CD58107">
              <w:rPr>
                <w:highlight w:val="cyan"/>
              </w:rPr>
              <w:t>was identified</w:t>
            </w:r>
            <w:r w:rsidRPr="0CD58107">
              <w:rPr>
                <w:strike/>
                <w:highlight w:val="cyan"/>
              </w:rPr>
              <w:t>occurred</w:t>
            </w:r>
            <w:r w:rsidR="006842B4">
              <w:t xml:space="preserve">. </w:t>
            </w:r>
            <w:r w:rsidR="006842B4" w:rsidRPr="0CD58107">
              <w:rPr>
                <w:highlight w:val="cyan"/>
              </w:rPr>
              <w:t xml:space="preserve">Where the patient or their next-of-kin/family/carer </w:t>
            </w:r>
            <w:r w:rsidR="2B0248B7" w:rsidRPr="0CD58107">
              <w:rPr>
                <w:highlight w:val="cyan"/>
              </w:rPr>
              <w:t xml:space="preserve">verbally </w:t>
            </w:r>
            <w:r w:rsidR="006842B4" w:rsidRPr="0CD58107">
              <w:rPr>
                <w:highlight w:val="cyan"/>
              </w:rPr>
              <w:t>declines involvement, but do</w:t>
            </w:r>
            <w:r w:rsidR="4A57D2E3" w:rsidRPr="0CD58107">
              <w:rPr>
                <w:highlight w:val="cyan"/>
              </w:rPr>
              <w:t>es</w:t>
            </w:r>
            <w:r w:rsidR="006842B4" w:rsidRPr="0CD58107">
              <w:rPr>
                <w:highlight w:val="cyan"/>
              </w:rPr>
              <w:t xml:space="preserve"> not </w:t>
            </w:r>
            <w:r w:rsidR="717FEF4C" w:rsidRPr="0CD58107">
              <w:rPr>
                <w:highlight w:val="cyan"/>
              </w:rPr>
              <w:t>provide the health service entity with a signed statement to opt out,</w:t>
            </w:r>
            <w:r w:rsidR="006842B4" w:rsidRPr="0CD58107">
              <w:rPr>
                <w:highlight w:val="cyan"/>
              </w:rPr>
              <w:t xml:space="preserve"> the SDC remains open, </w:t>
            </w:r>
            <w:r w:rsidR="5B041EC3" w:rsidRPr="0CD58107">
              <w:rPr>
                <w:highlight w:val="cyan"/>
              </w:rPr>
              <w:t>and is not reported as an opt out, because</w:t>
            </w:r>
            <w:r w:rsidR="006842B4" w:rsidRPr="0CD58107">
              <w:rPr>
                <w:highlight w:val="cyan"/>
              </w:rPr>
              <w:t xml:space="preserve"> the patient or their next-of</w:t>
            </w:r>
            <w:r w:rsidR="4770628A" w:rsidRPr="0CD58107">
              <w:rPr>
                <w:highlight w:val="cyan"/>
              </w:rPr>
              <w:t xml:space="preserve">-kin/family/carer may </w:t>
            </w:r>
            <w:r w:rsidR="220AB779" w:rsidRPr="0CD58107">
              <w:rPr>
                <w:highlight w:val="cyan"/>
              </w:rPr>
              <w:t xml:space="preserve">subsequently </w:t>
            </w:r>
            <w:r w:rsidR="4770628A" w:rsidRPr="0CD58107">
              <w:rPr>
                <w:highlight w:val="cyan"/>
              </w:rPr>
              <w:t>decide to engage in the SDC process</w:t>
            </w:r>
            <w:r w:rsidR="63652090" w:rsidRPr="0CD58107">
              <w:rPr>
                <w:highlight w:val="cyan"/>
              </w:rPr>
              <w:t>:</w:t>
            </w:r>
            <w:r w:rsidR="4770628A" w:rsidRPr="0CD58107">
              <w:rPr>
                <w:highlight w:val="cyan"/>
              </w:rPr>
              <w:t xml:space="preserve"> if</w:t>
            </w:r>
            <w:r w:rsidR="3A427605" w:rsidRPr="0CD58107">
              <w:rPr>
                <w:highlight w:val="cyan"/>
              </w:rPr>
              <w:t xml:space="preserve"> they do</w:t>
            </w:r>
            <w:r w:rsidR="4770628A" w:rsidRPr="0CD58107">
              <w:rPr>
                <w:highlight w:val="cyan"/>
              </w:rPr>
              <w:t xml:space="preserve"> so, that would be reported as a SDC commencement </w:t>
            </w:r>
            <w:r w:rsidR="538ECE52" w:rsidRPr="0CD58107">
              <w:rPr>
                <w:highlight w:val="cyan"/>
              </w:rPr>
              <w:t xml:space="preserve">only </w:t>
            </w:r>
            <w:r w:rsidR="4770628A" w:rsidRPr="0CD58107">
              <w:rPr>
                <w:highlight w:val="cyan"/>
              </w:rPr>
              <w:t xml:space="preserve">if </w:t>
            </w:r>
            <w:r w:rsidR="654AB313" w:rsidRPr="0CD58107">
              <w:rPr>
                <w:highlight w:val="cyan"/>
              </w:rPr>
              <w:t>the decision is made</w:t>
            </w:r>
            <w:r w:rsidR="4770628A" w:rsidRPr="0CD58107">
              <w:rPr>
                <w:highlight w:val="cyan"/>
              </w:rPr>
              <w:t xml:space="preserve"> within the</w:t>
            </w:r>
            <w:r w:rsidR="1D3A30F2" w:rsidRPr="0CD58107">
              <w:rPr>
                <w:highlight w:val="cyan"/>
              </w:rPr>
              <w:t xml:space="preserve"> </w:t>
            </w:r>
            <w:r w:rsidR="207CDBC5" w:rsidRPr="0CD58107">
              <w:rPr>
                <w:highlight w:val="cyan"/>
              </w:rPr>
              <w:t>six</w:t>
            </w:r>
            <w:r w:rsidR="00604C38">
              <w:rPr>
                <w:highlight w:val="cyan"/>
              </w:rPr>
              <w:t xml:space="preserve"> </w:t>
            </w:r>
            <w:r w:rsidR="1D3A30F2" w:rsidRPr="0CD58107">
              <w:rPr>
                <w:highlight w:val="cyan"/>
              </w:rPr>
              <w:t xml:space="preserve">months for reporting </w:t>
            </w:r>
            <w:r w:rsidR="42DC400C" w:rsidRPr="0CD58107">
              <w:rPr>
                <w:highlight w:val="cyan"/>
              </w:rPr>
              <w:t xml:space="preserve">SDC activity related to </w:t>
            </w:r>
            <w:r w:rsidR="1D3A30F2" w:rsidRPr="0CD58107">
              <w:rPr>
                <w:highlight w:val="cyan"/>
              </w:rPr>
              <w:t>that SAPSE.</w:t>
            </w:r>
          </w:p>
          <w:p w14:paraId="339AEC6B" w14:textId="52F1A802" w:rsidR="002D153F" w:rsidRDefault="667B5DAB" w:rsidP="2D9FF696">
            <w:pPr>
              <w:pStyle w:val="Body"/>
              <w:numPr>
                <w:ilvl w:val="0"/>
                <w:numId w:val="35"/>
              </w:numPr>
              <w:rPr>
                <w:highlight w:val="cyan"/>
              </w:rPr>
            </w:pPr>
            <w:r w:rsidRPr="3F3BC297">
              <w:rPr>
                <w:highlight w:val="cyan"/>
              </w:rPr>
              <w:t xml:space="preserve">Where the patient lacks capacity or has died, </w:t>
            </w:r>
            <w:r w:rsidR="60E79725" w:rsidRPr="3F3BC297">
              <w:rPr>
                <w:highlight w:val="cyan"/>
              </w:rPr>
              <w:t>a</w:t>
            </w:r>
            <w:r w:rsidR="07F30AC4" w:rsidRPr="3F3BC297">
              <w:rPr>
                <w:highlight w:val="cyan"/>
              </w:rPr>
              <w:t xml:space="preserve"> decision </w:t>
            </w:r>
            <w:r w:rsidR="5EA28068" w:rsidRPr="3F3BC297">
              <w:rPr>
                <w:highlight w:val="cyan"/>
              </w:rPr>
              <w:t xml:space="preserve">to opt out </w:t>
            </w:r>
            <w:r w:rsidR="06C9383E" w:rsidRPr="3F3BC297">
              <w:rPr>
                <w:highlight w:val="cyan"/>
              </w:rPr>
              <w:t xml:space="preserve">of the SDC </w:t>
            </w:r>
            <w:r w:rsidR="5EA28068" w:rsidRPr="3F3BC297">
              <w:rPr>
                <w:highlight w:val="cyan"/>
              </w:rPr>
              <w:t>made by</w:t>
            </w:r>
            <w:r w:rsidR="07F30AC4" w:rsidRPr="3F3BC297">
              <w:rPr>
                <w:highlight w:val="cyan"/>
              </w:rPr>
              <w:t xml:space="preserve"> </w:t>
            </w:r>
            <w:r w:rsidRPr="3F3BC297">
              <w:rPr>
                <w:highlight w:val="cyan"/>
              </w:rPr>
              <w:t xml:space="preserve">the patient’s </w:t>
            </w:r>
            <w:r w:rsidR="16C3C0DC" w:rsidRPr="3F3BC297">
              <w:rPr>
                <w:highlight w:val="cyan"/>
              </w:rPr>
              <w:t>immediate family, carer, next-of-kin, or a person nominated by the patient</w:t>
            </w:r>
            <w:r w:rsidR="6DB2EBEB" w:rsidRPr="3F3BC297">
              <w:rPr>
                <w:highlight w:val="cyan"/>
              </w:rPr>
              <w:t xml:space="preserve"> </w:t>
            </w:r>
            <w:r w:rsidR="2EB6B203" w:rsidRPr="3F3BC297">
              <w:rPr>
                <w:highlight w:val="cyan"/>
              </w:rPr>
              <w:t>is reported here</w:t>
            </w:r>
            <w:r w:rsidR="16C3C0DC" w:rsidRPr="3F3BC297">
              <w:rPr>
                <w:highlight w:val="cyan"/>
              </w:rPr>
              <w:t>.</w:t>
            </w:r>
          </w:p>
        </w:tc>
      </w:tr>
      <w:tr w:rsidR="00484A99" w14:paraId="39E98AC8" w14:textId="77777777" w:rsidTr="0CD58107">
        <w:trPr>
          <w:trHeight w:val="300"/>
        </w:trPr>
        <w:tc>
          <w:tcPr>
            <w:tcW w:w="1275" w:type="dxa"/>
            <w:shd w:val="clear" w:color="auto" w:fill="auto"/>
          </w:tcPr>
          <w:p w14:paraId="67AA7768" w14:textId="5D534A21" w:rsidR="008E26C3" w:rsidRPr="00DF49AE" w:rsidRDefault="008E26C3" w:rsidP="00B80C3C">
            <w:pPr>
              <w:pStyle w:val="Body"/>
              <w:rPr>
                <w:rStyle w:val="Strong"/>
              </w:rPr>
            </w:pPr>
            <w:r w:rsidRPr="00DF49AE">
              <w:rPr>
                <w:rStyle w:val="Strong"/>
              </w:rPr>
              <w:lastRenderedPageBreak/>
              <w:t>Reporting guidelines</w:t>
            </w:r>
          </w:p>
        </w:tc>
        <w:tc>
          <w:tcPr>
            <w:tcW w:w="8460" w:type="dxa"/>
            <w:shd w:val="clear" w:color="auto" w:fill="auto"/>
          </w:tcPr>
          <w:p w14:paraId="02819841" w14:textId="5DB5202B" w:rsidR="704BD1F0" w:rsidRDefault="3D11A2BB" w:rsidP="4F718B43">
            <w:pPr>
              <w:pStyle w:val="Body"/>
              <w:numPr>
                <w:ilvl w:val="0"/>
                <w:numId w:val="31"/>
              </w:numPr>
              <w:rPr>
                <w:strike/>
                <w:highlight w:val="cyan"/>
              </w:rPr>
            </w:pPr>
            <w:r w:rsidRPr="3F3BC297">
              <w:rPr>
                <w:strike/>
                <w:highlight w:val="cyan"/>
              </w:rPr>
              <w:t>SAPSE will be equivalent to ISR 1 and 2, severe and moderate harm, in the Victorian Health Incident Management System (VHIMS).</w:t>
            </w:r>
          </w:p>
          <w:p w14:paraId="7C0628DC" w14:textId="0E5A41CF" w:rsidR="00484A99" w:rsidRPr="00BF7E71" w:rsidRDefault="0A9742E4" w:rsidP="4F718B43">
            <w:pPr>
              <w:pStyle w:val="Body"/>
              <w:numPr>
                <w:ilvl w:val="0"/>
                <w:numId w:val="31"/>
              </w:numPr>
              <w:rPr>
                <w:highlight w:val="cyan"/>
              </w:rPr>
            </w:pPr>
            <w:r>
              <w:t>To be reported as a SAPSE, the event must</w:t>
            </w:r>
            <w:r w:rsidR="6BC4F623">
              <w:t xml:space="preserve"> </w:t>
            </w:r>
            <w:r>
              <w:t>meet the definition of SAPSE within</w:t>
            </w:r>
            <w:r w:rsidR="70D443CE">
              <w:t xml:space="preserve"> </w:t>
            </w:r>
            <w:r w:rsidR="0140B18D" w:rsidRPr="3F3BC297">
              <w:rPr>
                <w:strike/>
                <w:highlight w:val="cyan"/>
              </w:rPr>
              <w:t>relevant regulations under</w:t>
            </w:r>
            <w:r w:rsidR="70D443CE" w:rsidRPr="3F3BC297">
              <w:rPr>
                <w:highlight w:val="cyan"/>
              </w:rPr>
              <w:t>the</w:t>
            </w:r>
            <w:r w:rsidR="72F0B5FB" w:rsidRPr="3F3BC297">
              <w:rPr>
                <w:highlight w:val="cyan"/>
              </w:rPr>
              <w:t xml:space="preserve"> </w:t>
            </w:r>
            <w:r w:rsidR="72F0B5FB" w:rsidRPr="3F3BC297">
              <w:rPr>
                <w:i/>
                <w:iCs/>
                <w:highlight w:val="cyan"/>
              </w:rPr>
              <w:t>Health Services (Quality and Safety) Regulations 2020</w:t>
            </w:r>
            <w:r>
              <w:t xml:space="preserve"> under the </w:t>
            </w:r>
            <w:r w:rsidRPr="3F3BC297">
              <w:rPr>
                <w:i/>
                <w:iCs/>
              </w:rPr>
              <w:t>Health Services Act 1988.</w:t>
            </w:r>
            <w:r w:rsidR="6320AE3E" w:rsidRPr="3F3BC297">
              <w:rPr>
                <w:i/>
                <w:iCs/>
              </w:rPr>
              <w:t xml:space="preserve"> </w:t>
            </w:r>
            <w:r w:rsidR="075571E7" w:rsidRPr="3F3BC297">
              <w:rPr>
                <w:highlight w:val="cyan"/>
              </w:rPr>
              <w:t xml:space="preserve">These </w:t>
            </w:r>
            <w:r w:rsidR="57F5A52E" w:rsidRPr="3F3BC297">
              <w:rPr>
                <w:highlight w:val="cyan"/>
              </w:rPr>
              <w:t>Regulations include the following definition of a SAPSE:</w:t>
            </w:r>
            <w:r w:rsidR="5B14DDEF">
              <w:br/>
            </w:r>
            <w:r w:rsidR="5B14DDEF">
              <w:br/>
            </w:r>
            <w:r w:rsidR="40EF4A6E" w:rsidRPr="3F3BC297">
              <w:rPr>
                <w:b/>
                <w:bCs/>
                <w:highlight w:val="cyan"/>
              </w:rPr>
              <w:t>Serious adverse patient safety event</w:t>
            </w:r>
            <w:r w:rsidR="5B14DDEF">
              <w:br/>
            </w:r>
            <w:r w:rsidR="3F7FB18F" w:rsidRPr="3F3BC297">
              <w:rPr>
                <w:highlight w:val="cyan"/>
              </w:rPr>
              <w:t xml:space="preserve">(1) </w:t>
            </w:r>
            <w:r w:rsidR="0B7BA16A" w:rsidRPr="3F3BC297">
              <w:rPr>
                <w:highlight w:val="cyan"/>
              </w:rPr>
              <w:t>For the purposes of the defin</w:t>
            </w:r>
            <w:r w:rsidR="763D0648" w:rsidRPr="3F3BC297">
              <w:rPr>
                <w:highlight w:val="cyan"/>
              </w:rPr>
              <w:t>i</w:t>
            </w:r>
            <w:r w:rsidR="0B7BA16A" w:rsidRPr="3F3BC297">
              <w:rPr>
                <w:highlight w:val="cyan"/>
              </w:rPr>
              <w:t xml:space="preserve">tion of a </w:t>
            </w:r>
            <w:r w:rsidR="0B7BA16A" w:rsidRPr="3F3BC297">
              <w:rPr>
                <w:i/>
                <w:iCs/>
                <w:highlight w:val="cyan"/>
              </w:rPr>
              <w:t>serious adverse patient safety event</w:t>
            </w:r>
            <w:r w:rsidR="0B7BA16A" w:rsidRPr="3F3BC297">
              <w:rPr>
                <w:highlight w:val="cyan"/>
              </w:rPr>
              <w:t xml:space="preserve"> in Section 3(1) of the </w:t>
            </w:r>
            <w:r w:rsidR="0B7BA16A" w:rsidRPr="3F3BC297">
              <w:rPr>
                <w:i/>
                <w:iCs/>
                <w:highlight w:val="cyan"/>
              </w:rPr>
              <w:t>Health Services Act 1988</w:t>
            </w:r>
            <w:r w:rsidR="0B7BA16A" w:rsidRPr="3F3BC297">
              <w:rPr>
                <w:highlight w:val="cyan"/>
              </w:rPr>
              <w:t>, a prescribed class or category is an event that -</w:t>
            </w:r>
            <w:r w:rsidR="7B51AE25" w:rsidRPr="3F3BC297">
              <w:rPr>
                <w:highlight w:val="cyan"/>
              </w:rPr>
              <w:t xml:space="preserve"> </w:t>
            </w:r>
            <w:r w:rsidR="5B14DDEF">
              <w:br/>
            </w:r>
            <w:r w:rsidR="2D7F28A9" w:rsidRPr="3F3BC297">
              <w:rPr>
                <w:highlight w:val="cyan"/>
              </w:rPr>
              <w:t xml:space="preserve">(a) occurred while the patient was receiving health services from a health service entity; and </w:t>
            </w:r>
            <w:r w:rsidR="5B14DDEF">
              <w:br/>
            </w:r>
            <w:r w:rsidR="01C6EEB7" w:rsidRPr="3F3BC297">
              <w:rPr>
                <w:highlight w:val="cyan"/>
              </w:rPr>
              <w:lastRenderedPageBreak/>
              <w:t xml:space="preserve">(b) in the reasonable opinion </w:t>
            </w:r>
            <w:r w:rsidR="624AD9D1" w:rsidRPr="3F3BC297">
              <w:rPr>
                <w:highlight w:val="cyan"/>
              </w:rPr>
              <w:t xml:space="preserve">of a registered health practitioner, has resulted in, or is likely to result in, unintended or unexpected </w:t>
            </w:r>
            <w:r w:rsidR="624AD9D1" w:rsidRPr="3F3BC297">
              <w:rPr>
                <w:i/>
                <w:iCs/>
                <w:highlight w:val="cyan"/>
              </w:rPr>
              <w:t xml:space="preserve">harm </w:t>
            </w:r>
            <w:r w:rsidR="624AD9D1" w:rsidRPr="3F3BC297">
              <w:rPr>
                <w:highlight w:val="cyan"/>
              </w:rPr>
              <w:t>being suffered by the patient.</w:t>
            </w:r>
            <w:r w:rsidR="5B14DDEF">
              <w:br/>
            </w:r>
            <w:r w:rsidR="5B14DDEF">
              <w:br/>
            </w:r>
            <w:r w:rsidR="19043189" w:rsidRPr="3F3BC297">
              <w:rPr>
                <w:highlight w:val="cyan"/>
              </w:rPr>
              <w:t xml:space="preserve">(2) </w:t>
            </w:r>
            <w:r w:rsidR="18530E86" w:rsidRPr="3F3BC297">
              <w:rPr>
                <w:highlight w:val="cyan"/>
              </w:rPr>
              <w:t>To avoid doubt, an event in sub</w:t>
            </w:r>
            <w:r w:rsidR="6EEDD905" w:rsidRPr="3F3BC297">
              <w:rPr>
                <w:highlight w:val="cyan"/>
              </w:rPr>
              <w:t>-</w:t>
            </w:r>
            <w:r w:rsidR="18530E86" w:rsidRPr="3F3BC297">
              <w:rPr>
                <w:highlight w:val="cyan"/>
              </w:rPr>
              <w:t xml:space="preserve">regulation (1) </w:t>
            </w:r>
            <w:r w:rsidR="6C6F62F8" w:rsidRPr="3F3BC297">
              <w:rPr>
                <w:highlight w:val="cyan"/>
              </w:rPr>
              <w:t>includes an event that is identified following discharge from the health service entity.</w:t>
            </w:r>
          </w:p>
          <w:p w14:paraId="07ED9D96" w14:textId="0F5AE866" w:rsidR="00484A99" w:rsidRPr="00BF7E71" w:rsidRDefault="4AC95B58" w:rsidP="4F718B43">
            <w:pPr>
              <w:pStyle w:val="Body"/>
              <w:numPr>
                <w:ilvl w:val="1"/>
                <w:numId w:val="34"/>
              </w:numPr>
              <w:rPr>
                <w:highlight w:val="cyan"/>
              </w:rPr>
            </w:pPr>
            <w:r w:rsidRPr="3F3BC297">
              <w:rPr>
                <w:i/>
                <w:iCs/>
                <w:highlight w:val="cyan"/>
              </w:rPr>
              <w:t xml:space="preserve">Harm </w:t>
            </w:r>
            <w:r w:rsidRPr="3F3BC297">
              <w:rPr>
                <w:highlight w:val="cyan"/>
              </w:rPr>
              <w:t>includes moderate harm, severe harm and prolonged psychological harm;</w:t>
            </w:r>
            <w:r>
              <w:t xml:space="preserve"> </w:t>
            </w:r>
          </w:p>
          <w:p w14:paraId="1AAAC060" w14:textId="3ECB6EA0" w:rsidR="00484A99" w:rsidRPr="00BF7E71" w:rsidRDefault="4AC95B58" w:rsidP="4F718B43">
            <w:pPr>
              <w:pStyle w:val="Body"/>
              <w:numPr>
                <w:ilvl w:val="1"/>
                <w:numId w:val="34"/>
              </w:numPr>
              <w:rPr>
                <w:highlight w:val="cyan"/>
              </w:rPr>
            </w:pPr>
            <w:r w:rsidRPr="3F3BC297">
              <w:rPr>
                <w:i/>
                <w:iCs/>
                <w:highlight w:val="cyan"/>
              </w:rPr>
              <w:t>Moderate harm</w:t>
            </w:r>
            <w:r w:rsidRPr="3F3BC297">
              <w:rPr>
                <w:highlight w:val="cyan"/>
              </w:rPr>
              <w:t xml:space="preserve"> means harm that requires a moderate increase in treatment to a patient, such as an unplanned or unexpected return to surgery, but does not include harm that causes permanent damage or injury to an individual;</w:t>
            </w:r>
            <w:r>
              <w:t xml:space="preserve"> </w:t>
            </w:r>
          </w:p>
          <w:p w14:paraId="0C4B9B40" w14:textId="5CBC97F1" w:rsidR="00484A99" w:rsidRPr="00BF7E71" w:rsidRDefault="4AC95B58" w:rsidP="4F718B43">
            <w:pPr>
              <w:pStyle w:val="Body"/>
              <w:numPr>
                <w:ilvl w:val="1"/>
                <w:numId w:val="34"/>
              </w:numPr>
              <w:rPr>
                <w:highlight w:val="cyan"/>
              </w:rPr>
            </w:pPr>
            <w:r w:rsidRPr="3F3BC297">
              <w:rPr>
                <w:i/>
                <w:iCs/>
                <w:highlight w:val="cyan"/>
              </w:rPr>
              <w:t>Prolonged psychological harm</w:t>
            </w:r>
            <w:r w:rsidRPr="3F3BC297">
              <w:rPr>
                <w:highlight w:val="cyan"/>
              </w:rPr>
              <w:t xml:space="preserve"> means psychological harm which a patient has experience, or is likely to experience, for a continuous period of at least 28 days;</w:t>
            </w:r>
          </w:p>
          <w:p w14:paraId="1913960C" w14:textId="6D286DDE" w:rsidR="00484A99" w:rsidRPr="00BF7E71" w:rsidRDefault="4AC95B58" w:rsidP="4F718B43">
            <w:pPr>
              <w:pStyle w:val="Body"/>
              <w:numPr>
                <w:ilvl w:val="1"/>
                <w:numId w:val="34"/>
              </w:numPr>
              <w:rPr>
                <w:highlight w:val="cyan"/>
              </w:rPr>
            </w:pPr>
            <w:r w:rsidRPr="3F3BC297">
              <w:rPr>
                <w:i/>
                <w:iCs/>
                <w:highlight w:val="cyan"/>
              </w:rPr>
              <w:t>Severe harm</w:t>
            </w:r>
            <w:r w:rsidRPr="3F3BC297">
              <w:rPr>
                <w:highlight w:val="cyan"/>
              </w:rPr>
              <w:t xml:space="preserve"> means harm that causes a permanent lessening in the functioning of an individual that is unrelated to the natural course of a person’s illness or underlying condition including harm that can lead to a person experiencing a permanent imp</w:t>
            </w:r>
            <w:r w:rsidR="223B3A5D" w:rsidRPr="3F3BC297">
              <w:rPr>
                <w:highlight w:val="cyan"/>
              </w:rPr>
              <w:t>airment or disability, or death.</w:t>
            </w:r>
          </w:p>
          <w:p w14:paraId="615CAC9F" w14:textId="1EB0EEB4" w:rsidR="00AA6FB8" w:rsidRDefault="3D867177" w:rsidP="00AA6FB8">
            <w:pPr>
              <w:pStyle w:val="Body"/>
              <w:numPr>
                <w:ilvl w:val="0"/>
                <w:numId w:val="34"/>
              </w:numPr>
            </w:pPr>
            <w:r>
              <w:t xml:space="preserve">A SAPSE </w:t>
            </w:r>
            <w:r w:rsidR="72CEC6A3" w:rsidRPr="0CD58107">
              <w:rPr>
                <w:strike/>
                <w:highlight w:val="cyan"/>
              </w:rPr>
              <w:t>will also be</w:t>
            </w:r>
            <w:r w:rsidR="72CEC6A3" w:rsidRPr="0CD58107">
              <w:rPr>
                <w:highlight w:val="cyan"/>
              </w:rPr>
              <w:t xml:space="preserve"> </w:t>
            </w:r>
            <w:r w:rsidR="651CF270" w:rsidRPr="0CD58107">
              <w:rPr>
                <w:highlight w:val="cyan"/>
              </w:rPr>
              <w:t>is</w:t>
            </w:r>
            <w:r w:rsidR="1B3F411F" w:rsidRPr="0CD58107">
              <w:rPr>
                <w:highlight w:val="cyan"/>
              </w:rPr>
              <w:t xml:space="preserve"> </w:t>
            </w:r>
            <w:r>
              <w:t xml:space="preserve">equivalent to valid clinical incidents with ISR 1 </w:t>
            </w:r>
            <w:r w:rsidR="11466C91">
              <w:t>and</w:t>
            </w:r>
            <w:r>
              <w:t xml:space="preserve"> 2, severe and moderate harm</w:t>
            </w:r>
            <w:r w:rsidR="453E4457">
              <w:t>,</w:t>
            </w:r>
            <w:r>
              <w:t xml:space="preserve"> in Victorian Health Incident Management System (VHIMS)</w:t>
            </w:r>
            <w:r w:rsidR="05A69C73">
              <w:t xml:space="preserve">, </w:t>
            </w:r>
            <w:r w:rsidR="05A69C73" w:rsidRPr="0CD58107">
              <w:rPr>
                <w:highlight w:val="cyan"/>
              </w:rPr>
              <w:t>whilst also meeting the SAPSE definition.</w:t>
            </w:r>
            <w:r w:rsidR="05A69C73">
              <w:t xml:space="preserve"> </w:t>
            </w:r>
          </w:p>
          <w:p w14:paraId="5A64623F" w14:textId="587DF60F" w:rsidR="0017017D" w:rsidRPr="0017017D" w:rsidRDefault="190093A0" w:rsidP="3F3BC297">
            <w:pPr>
              <w:pStyle w:val="Body"/>
              <w:numPr>
                <w:ilvl w:val="0"/>
                <w:numId w:val="34"/>
              </w:numPr>
              <w:rPr>
                <w:color w:val="2B579A"/>
                <w:highlight w:val="cyan"/>
              </w:rPr>
            </w:pPr>
            <w:r w:rsidRPr="3F3BC297">
              <w:rPr>
                <w:strike/>
                <w:highlight w:val="cyan"/>
              </w:rPr>
              <w:t xml:space="preserve">Commencement date of SDC </w:t>
            </w:r>
            <w:r w:rsidR="389270E4" w:rsidRPr="3F3BC297">
              <w:rPr>
                <w:strike/>
                <w:highlight w:val="cyan"/>
              </w:rPr>
              <w:t xml:space="preserve">must be </w:t>
            </w:r>
            <w:r w:rsidRPr="3F3BC297">
              <w:rPr>
                <w:strike/>
                <w:highlight w:val="cyan"/>
              </w:rPr>
              <w:t xml:space="preserve">the date when the </w:t>
            </w:r>
            <w:r w:rsidR="1AA17F50" w:rsidRPr="3F3BC297">
              <w:rPr>
                <w:strike/>
                <w:highlight w:val="cyan"/>
              </w:rPr>
              <w:t xml:space="preserve">SAPSE was identified by the </w:t>
            </w:r>
            <w:r w:rsidR="2FC80983" w:rsidRPr="3F3BC297">
              <w:rPr>
                <w:strike/>
                <w:highlight w:val="cyan"/>
              </w:rPr>
              <w:t>health service</w:t>
            </w:r>
            <w:r w:rsidR="364DC1B1" w:rsidRPr="3F3BC297">
              <w:rPr>
                <w:strike/>
                <w:highlight w:val="cyan"/>
              </w:rPr>
              <w:t xml:space="preserve"> entity</w:t>
            </w:r>
            <w:r w:rsidR="1117EF38" w:rsidRPr="3F3BC297">
              <w:rPr>
                <w:color w:val="2B579A"/>
                <w:highlight w:val="cyan"/>
              </w:rPr>
              <w:t>.</w:t>
            </w:r>
          </w:p>
          <w:p w14:paraId="7634708C" w14:textId="17367C12" w:rsidR="0017017D" w:rsidRPr="00E81283" w:rsidRDefault="0017017D" w:rsidP="00BF7E71">
            <w:pPr>
              <w:pStyle w:val="Body"/>
              <w:numPr>
                <w:ilvl w:val="0"/>
                <w:numId w:val="34"/>
              </w:numPr>
              <w:rPr>
                <w:highlight w:val="cyan"/>
              </w:rPr>
            </w:pPr>
            <w:r w:rsidRPr="2D9FF696">
              <w:rPr>
                <w:highlight w:val="cyan"/>
              </w:rPr>
              <w:t>The initial apology should be provided verbally and in person where able</w:t>
            </w:r>
            <w:r w:rsidR="00864A0D" w:rsidRPr="2D9FF696">
              <w:rPr>
                <w:highlight w:val="cyan"/>
              </w:rPr>
              <w:t>,</w:t>
            </w:r>
            <w:r w:rsidRPr="2D9FF696">
              <w:rPr>
                <w:highlight w:val="cyan"/>
              </w:rPr>
              <w:t xml:space="preserve"> by a suitably qualified health professional</w:t>
            </w:r>
            <w:r w:rsidR="00E81283" w:rsidRPr="2D9FF696">
              <w:rPr>
                <w:highlight w:val="cyan"/>
              </w:rPr>
              <w:t xml:space="preserve">. It is recommended that evidence of this apology is documented within the clinical incident management system, </w:t>
            </w:r>
            <w:r w:rsidR="00864A0D" w:rsidRPr="2D9FF696">
              <w:rPr>
                <w:highlight w:val="cyan"/>
              </w:rPr>
              <w:t>and/</w:t>
            </w:r>
            <w:r w:rsidR="00E81283" w:rsidRPr="2D9FF696">
              <w:rPr>
                <w:highlight w:val="cyan"/>
              </w:rPr>
              <w:t>or the patient’s medical record</w:t>
            </w:r>
            <w:r w:rsidR="00864A0D" w:rsidRPr="2D9FF696">
              <w:rPr>
                <w:highlight w:val="cyan"/>
              </w:rPr>
              <w:t>, as well as who it was delivered to</w:t>
            </w:r>
            <w:r w:rsidR="00E81283" w:rsidRPr="2D9FF696">
              <w:rPr>
                <w:highlight w:val="cyan"/>
              </w:rPr>
              <w:t>.</w:t>
            </w:r>
          </w:p>
          <w:p w14:paraId="179DC4FB" w14:textId="77C38CB0" w:rsidR="00484A99" w:rsidRPr="00BF7E71" w:rsidRDefault="0A9742E4" w:rsidP="3F3BC297">
            <w:pPr>
              <w:pStyle w:val="Body"/>
              <w:numPr>
                <w:ilvl w:val="0"/>
                <w:numId w:val="34"/>
              </w:numPr>
              <w:rPr>
                <w:strike/>
                <w:highlight w:val="cyan"/>
              </w:rPr>
            </w:pPr>
            <w:r w:rsidRPr="3F3BC297">
              <w:rPr>
                <w:strike/>
                <w:highlight w:val="cyan"/>
              </w:rPr>
              <w:t>Completion date of SDC</w:t>
            </w:r>
            <w:r w:rsidR="59D3D492" w:rsidRPr="3F3BC297">
              <w:rPr>
                <w:strike/>
                <w:highlight w:val="cyan"/>
              </w:rPr>
              <w:t xml:space="preserve"> must be </w:t>
            </w:r>
            <w:r w:rsidRPr="3F3BC297">
              <w:rPr>
                <w:strike/>
                <w:highlight w:val="cyan"/>
              </w:rPr>
              <w:t>the date the report was provided to the patient/next-of-kin/family/carer</w:t>
            </w:r>
            <w:r w:rsidR="483B3E76" w:rsidRPr="3F3BC297">
              <w:rPr>
                <w:strike/>
                <w:highlight w:val="cyan"/>
              </w:rPr>
              <w:t>.</w:t>
            </w:r>
            <w:r w:rsidR="5C90F514" w:rsidRPr="3F3BC297">
              <w:rPr>
                <w:strike/>
                <w:highlight w:val="cyan"/>
              </w:rPr>
              <w:t xml:space="preserve"> ‘Completed’ must be </w:t>
            </w:r>
            <w:r w:rsidRPr="3F3BC297">
              <w:rPr>
                <w:strike/>
                <w:highlight w:val="cyan"/>
              </w:rPr>
              <w:t>agreed upon between all parties</w:t>
            </w:r>
            <w:r w:rsidR="28C44263" w:rsidRPr="3F3BC297">
              <w:rPr>
                <w:strike/>
                <w:highlight w:val="cyan"/>
              </w:rPr>
              <w:t>, which could take an extended amount of time</w:t>
            </w:r>
            <w:r w:rsidR="483B3E76" w:rsidRPr="3F3BC297">
              <w:rPr>
                <w:strike/>
                <w:highlight w:val="cyan"/>
              </w:rPr>
              <w:t>.</w:t>
            </w:r>
          </w:p>
          <w:p w14:paraId="6EC9BAD6" w14:textId="709DAE1F" w:rsidR="008E26C3" w:rsidRDefault="72513BDA" w:rsidP="3F3BC297">
            <w:pPr>
              <w:pStyle w:val="Body"/>
              <w:numPr>
                <w:ilvl w:val="0"/>
                <w:numId w:val="34"/>
              </w:numPr>
              <w:rPr>
                <w:i/>
                <w:iCs/>
                <w:strike/>
                <w:highlight w:val="cyan"/>
              </w:rPr>
            </w:pPr>
            <w:r w:rsidRPr="3F3BC297">
              <w:rPr>
                <w:strike/>
                <w:highlight w:val="cyan"/>
              </w:rPr>
              <w:t xml:space="preserve">Instances where </w:t>
            </w:r>
            <w:r w:rsidR="0C37FB94" w:rsidRPr="3F3BC297">
              <w:rPr>
                <w:strike/>
                <w:highlight w:val="cyan"/>
              </w:rPr>
              <w:t xml:space="preserve">the </w:t>
            </w:r>
            <w:r w:rsidRPr="3F3BC297">
              <w:rPr>
                <w:strike/>
                <w:highlight w:val="cyan"/>
              </w:rPr>
              <w:t xml:space="preserve">patient/next-of-kin/family/carer opted out of the SDC process must be identified by a signed </w:t>
            </w:r>
            <w:r w:rsidR="70805866" w:rsidRPr="3F3BC297">
              <w:rPr>
                <w:strike/>
                <w:highlight w:val="cyan"/>
              </w:rPr>
              <w:t>declaration</w:t>
            </w:r>
            <w:r w:rsidR="6A913C02" w:rsidRPr="3F3BC297">
              <w:rPr>
                <w:strike/>
                <w:highlight w:val="cyan"/>
              </w:rPr>
              <w:t xml:space="preserve"> </w:t>
            </w:r>
            <w:r w:rsidRPr="3F3BC297">
              <w:rPr>
                <w:strike/>
                <w:highlight w:val="cyan"/>
              </w:rPr>
              <w:t xml:space="preserve">as per the </w:t>
            </w:r>
            <w:r w:rsidR="516C01A8" w:rsidRPr="3F3BC297">
              <w:rPr>
                <w:i/>
                <w:iCs/>
                <w:strike/>
                <w:highlight w:val="cyan"/>
              </w:rPr>
              <w:t>Health Services Act 1988.</w:t>
            </w:r>
          </w:p>
          <w:p w14:paraId="0C8BC146" w14:textId="1530646C" w:rsidR="008E26C3" w:rsidRPr="00360BD8" w:rsidRDefault="0D749B49" w:rsidP="618E40C5">
            <w:pPr>
              <w:pStyle w:val="Body"/>
              <w:numPr>
                <w:ilvl w:val="0"/>
                <w:numId w:val="34"/>
              </w:numPr>
              <w:rPr>
                <w:highlight w:val="cyan"/>
              </w:rPr>
            </w:pPr>
            <w:r w:rsidRPr="0CD58107">
              <w:rPr>
                <w:highlight w:val="cyan"/>
              </w:rPr>
              <w:t>Where more than one SAPSE is identified for a single patient, e</w:t>
            </w:r>
            <w:r w:rsidR="6246AF9D" w:rsidRPr="0CD58107">
              <w:rPr>
                <w:highlight w:val="cyan"/>
              </w:rPr>
              <w:t>ach individual SAPSE identified in the quarter must be counted and reported</w:t>
            </w:r>
            <w:r w:rsidR="092C2CF1" w:rsidRPr="0CD58107">
              <w:rPr>
                <w:highlight w:val="cyan"/>
              </w:rPr>
              <w:t xml:space="preserve">, and </w:t>
            </w:r>
            <w:r w:rsidR="6246AF9D" w:rsidRPr="0CD58107">
              <w:rPr>
                <w:highlight w:val="cyan"/>
              </w:rPr>
              <w:t>the SDC actions</w:t>
            </w:r>
            <w:r w:rsidR="05903BD3" w:rsidRPr="0CD58107">
              <w:rPr>
                <w:highlight w:val="cyan"/>
              </w:rPr>
              <w:t>,</w:t>
            </w:r>
            <w:r w:rsidR="6246AF9D" w:rsidRPr="0CD58107">
              <w:rPr>
                <w:highlight w:val="cyan"/>
              </w:rPr>
              <w:t xml:space="preserve"> </w:t>
            </w:r>
            <w:r w:rsidR="77903499" w:rsidRPr="0CD58107">
              <w:rPr>
                <w:highlight w:val="cyan"/>
              </w:rPr>
              <w:t xml:space="preserve">that occur in the 6 month reporting period, </w:t>
            </w:r>
            <w:r w:rsidR="6246AF9D" w:rsidRPr="0CD58107">
              <w:rPr>
                <w:highlight w:val="cyan"/>
              </w:rPr>
              <w:t xml:space="preserve">associated with each individual SAPSE </w:t>
            </w:r>
            <w:r w:rsidR="6AD6CECC" w:rsidRPr="0CD58107">
              <w:rPr>
                <w:highlight w:val="cyan"/>
              </w:rPr>
              <w:t>must also be counted and reported.</w:t>
            </w:r>
          </w:p>
          <w:p w14:paraId="55F90F07" w14:textId="39E5E7C4" w:rsidR="008E26C3" w:rsidRPr="00360BD8" w:rsidRDefault="40293546" w:rsidP="0CD58107">
            <w:pPr>
              <w:pStyle w:val="Body"/>
              <w:numPr>
                <w:ilvl w:val="0"/>
                <w:numId w:val="34"/>
              </w:numPr>
            </w:pPr>
            <w:r w:rsidRPr="0CD58107">
              <w:rPr>
                <w:highlight w:val="cyan"/>
              </w:rPr>
              <w:t xml:space="preserve">Where the patient/next-of-kin/family/carer verbally declines to participate in the SDC process and/or declines to </w:t>
            </w:r>
            <w:r w:rsidR="6C6526F6" w:rsidRPr="0CD58107">
              <w:rPr>
                <w:highlight w:val="cyan"/>
              </w:rPr>
              <w:t xml:space="preserve">provide the health service entity with a signed </w:t>
            </w:r>
            <w:r w:rsidR="65DC3F49" w:rsidRPr="0CD58107">
              <w:rPr>
                <w:highlight w:val="cyan"/>
              </w:rPr>
              <w:t>statement</w:t>
            </w:r>
            <w:r w:rsidR="39C0ACDD" w:rsidRPr="0CD58107">
              <w:rPr>
                <w:highlight w:val="cyan"/>
              </w:rPr>
              <w:t xml:space="preserve"> to opt out</w:t>
            </w:r>
            <w:r w:rsidRPr="0CD58107">
              <w:rPr>
                <w:highlight w:val="cyan"/>
              </w:rPr>
              <w:t xml:space="preserve">, </w:t>
            </w:r>
            <w:r w:rsidR="7681CBD4" w:rsidRPr="0CD58107">
              <w:rPr>
                <w:highlight w:val="cyan"/>
              </w:rPr>
              <w:t xml:space="preserve">the health service may make e-forms available, but if the patient/next-of-kin/family/carer decline to sign, </w:t>
            </w:r>
            <w:r w:rsidR="6568AE6C" w:rsidRPr="0CD58107">
              <w:rPr>
                <w:highlight w:val="cyan"/>
              </w:rPr>
              <w:t xml:space="preserve">the SDC </w:t>
            </w:r>
            <w:r w:rsidR="6B77C6E9" w:rsidRPr="0CD58107">
              <w:rPr>
                <w:highlight w:val="cyan"/>
              </w:rPr>
              <w:t xml:space="preserve">process </w:t>
            </w:r>
            <w:r w:rsidR="6568AE6C" w:rsidRPr="0CD58107">
              <w:rPr>
                <w:highlight w:val="cyan"/>
              </w:rPr>
              <w:t xml:space="preserve">remains open. </w:t>
            </w:r>
          </w:p>
          <w:p w14:paraId="378E5515" w14:textId="192327BC" w:rsidR="008E26C3" w:rsidRPr="00140CF9" w:rsidRDefault="4989BBC6" w:rsidP="618E40C5">
            <w:pPr>
              <w:pStyle w:val="Body"/>
              <w:numPr>
                <w:ilvl w:val="0"/>
                <w:numId w:val="34"/>
              </w:numPr>
              <w:rPr>
                <w:highlight w:val="cyan"/>
              </w:rPr>
            </w:pPr>
            <w:r w:rsidRPr="3F3BC297">
              <w:rPr>
                <w:highlight w:val="cyan"/>
              </w:rPr>
              <w:t>If the patient/next-of-kin/family/carer declines a meeting</w:t>
            </w:r>
            <w:r w:rsidR="482B5BA7" w:rsidRPr="3F3BC297">
              <w:rPr>
                <w:highlight w:val="cyan"/>
              </w:rPr>
              <w:t xml:space="preserve"> with the health service entity</w:t>
            </w:r>
            <w:r w:rsidRPr="3F3BC297">
              <w:rPr>
                <w:highlight w:val="cyan"/>
              </w:rPr>
              <w:t xml:space="preserve"> but would like a copy of the report, this is not opting out of the SDC process, so is included in th</w:t>
            </w:r>
            <w:r w:rsidR="18392DAB" w:rsidRPr="3F3BC297">
              <w:rPr>
                <w:highlight w:val="cyan"/>
              </w:rPr>
              <w:t>e count</w:t>
            </w:r>
            <w:r w:rsidR="418C4083" w:rsidRPr="3F3BC297">
              <w:rPr>
                <w:highlight w:val="cyan"/>
              </w:rPr>
              <w:t>s</w:t>
            </w:r>
            <w:r w:rsidR="18392DAB" w:rsidRPr="3F3BC297">
              <w:rPr>
                <w:highlight w:val="cyan"/>
              </w:rPr>
              <w:t xml:space="preserve"> of SDC processes commenced</w:t>
            </w:r>
            <w:r w:rsidR="234B8027" w:rsidRPr="3F3BC297">
              <w:rPr>
                <w:highlight w:val="cyan"/>
              </w:rPr>
              <w:t xml:space="preserve"> and </w:t>
            </w:r>
            <w:r w:rsidR="7A9B4F32" w:rsidRPr="3F3BC297">
              <w:rPr>
                <w:highlight w:val="cyan"/>
              </w:rPr>
              <w:t xml:space="preserve">SDCs </w:t>
            </w:r>
            <w:r w:rsidR="234B8027" w:rsidRPr="3F3BC297">
              <w:rPr>
                <w:highlight w:val="cyan"/>
              </w:rPr>
              <w:t>where a report was provided. It is not included in</w:t>
            </w:r>
            <w:r w:rsidR="18392DAB" w:rsidRPr="3F3BC297">
              <w:rPr>
                <w:highlight w:val="cyan"/>
              </w:rPr>
              <w:t xml:space="preserve"> the count of </w:t>
            </w:r>
            <w:r w:rsidR="018E1206" w:rsidRPr="3F3BC297">
              <w:rPr>
                <w:highlight w:val="cyan"/>
              </w:rPr>
              <w:t xml:space="preserve">Instances </w:t>
            </w:r>
            <w:r w:rsidR="011C8C92" w:rsidRPr="3F3BC297">
              <w:rPr>
                <w:highlight w:val="cyan"/>
              </w:rPr>
              <w:t>o</w:t>
            </w:r>
            <w:r w:rsidR="18392DAB" w:rsidRPr="3F3BC297">
              <w:rPr>
                <w:highlight w:val="cyan"/>
              </w:rPr>
              <w:t>pted out of</w:t>
            </w:r>
            <w:r w:rsidR="27EEB6CE" w:rsidRPr="3F3BC297">
              <w:rPr>
                <w:highlight w:val="cyan"/>
              </w:rPr>
              <w:t xml:space="preserve"> the</w:t>
            </w:r>
            <w:r w:rsidR="18392DAB" w:rsidRPr="3F3BC297">
              <w:rPr>
                <w:highlight w:val="cyan"/>
              </w:rPr>
              <w:t xml:space="preserve"> SDC. </w:t>
            </w:r>
          </w:p>
          <w:p w14:paraId="2C2349E0" w14:textId="272C580E" w:rsidR="008E26C3" w:rsidRPr="00140CF9" w:rsidRDefault="06ED40AB" w:rsidP="618E40C5">
            <w:pPr>
              <w:pStyle w:val="Body"/>
              <w:numPr>
                <w:ilvl w:val="0"/>
                <w:numId w:val="34"/>
              </w:numPr>
              <w:rPr>
                <w:highlight w:val="cyan"/>
              </w:rPr>
            </w:pPr>
            <w:r w:rsidRPr="3F3BC297">
              <w:rPr>
                <w:highlight w:val="cyan"/>
              </w:rPr>
              <w:lastRenderedPageBreak/>
              <w:t>Where the patient/next-of-kin/family/carer formally opts out of the SDC process</w:t>
            </w:r>
            <w:r w:rsidR="70DA2219" w:rsidRPr="3F3BC297">
              <w:rPr>
                <w:highlight w:val="cyan"/>
              </w:rPr>
              <w:t xml:space="preserve"> by </w:t>
            </w:r>
            <w:r w:rsidR="605B151B" w:rsidRPr="3F3BC297">
              <w:rPr>
                <w:highlight w:val="cyan"/>
              </w:rPr>
              <w:t xml:space="preserve">providing the health service entity with a </w:t>
            </w:r>
            <w:r w:rsidR="70DA2219" w:rsidRPr="3F3BC297">
              <w:rPr>
                <w:highlight w:val="cyan"/>
              </w:rPr>
              <w:t>signed statement</w:t>
            </w:r>
            <w:r w:rsidR="4DC07444" w:rsidRPr="3F3BC297">
              <w:rPr>
                <w:highlight w:val="cyan"/>
              </w:rPr>
              <w:t xml:space="preserve"> to opt out</w:t>
            </w:r>
            <w:r w:rsidRPr="3F3BC297">
              <w:rPr>
                <w:highlight w:val="cyan"/>
              </w:rPr>
              <w:t xml:space="preserve">, the health service </w:t>
            </w:r>
            <w:r w:rsidR="46C5CFEF" w:rsidRPr="3F3BC297">
              <w:rPr>
                <w:highlight w:val="cyan"/>
              </w:rPr>
              <w:t xml:space="preserve">entity </w:t>
            </w:r>
            <w:r w:rsidRPr="3F3BC297">
              <w:rPr>
                <w:highlight w:val="cyan"/>
              </w:rPr>
              <w:t xml:space="preserve">is not required to offer them a copy of the report. </w:t>
            </w:r>
          </w:p>
          <w:p w14:paraId="1577EE9F" w14:textId="72FCBEFC" w:rsidR="008E26C3" w:rsidRPr="00140CF9" w:rsidRDefault="5E53FF0A" w:rsidP="618E40C5">
            <w:pPr>
              <w:pStyle w:val="Body"/>
              <w:numPr>
                <w:ilvl w:val="0"/>
                <w:numId w:val="34"/>
              </w:numPr>
              <w:rPr>
                <w:highlight w:val="cyan"/>
              </w:rPr>
            </w:pPr>
            <w:r w:rsidRPr="3F3BC297">
              <w:rPr>
                <w:highlight w:val="cyan"/>
              </w:rPr>
              <w:t>The meeting with the patient/next-of-kin/family/carer to acknowledge</w:t>
            </w:r>
            <w:r w:rsidR="50A50F80" w:rsidRPr="3F3BC297">
              <w:rPr>
                <w:highlight w:val="cyan"/>
              </w:rPr>
              <w:t>, and apologise for,</w:t>
            </w:r>
            <w:r w:rsidRPr="3F3BC297">
              <w:rPr>
                <w:highlight w:val="cyan"/>
              </w:rPr>
              <w:t xml:space="preserve"> the SAPSE </w:t>
            </w:r>
            <w:r w:rsidR="2538F539" w:rsidRPr="3F3BC297">
              <w:rPr>
                <w:highlight w:val="cyan"/>
              </w:rPr>
              <w:t xml:space="preserve">can be conducted by telephone, or via Zoom or similar platforms, or in person, with the </w:t>
            </w:r>
            <w:r w:rsidR="39EDC2DA" w:rsidRPr="3F3BC297">
              <w:rPr>
                <w:highlight w:val="cyan"/>
              </w:rPr>
              <w:t xml:space="preserve">preference of the patient/next-of-kin/family/carer to be considered in determining the medium used. The health service should document this preference, </w:t>
            </w:r>
            <w:r w:rsidR="7BC77CE5" w:rsidRPr="3F3BC297">
              <w:rPr>
                <w:highlight w:val="cyan"/>
              </w:rPr>
              <w:t>including instances where a face-to-face meeting is declined by the patient/next-of-kin/family/carer.</w:t>
            </w:r>
          </w:p>
          <w:p w14:paraId="47A315A6" w14:textId="04D3C576" w:rsidR="008E26C3" w:rsidRPr="00140CF9" w:rsidRDefault="4503EC74" w:rsidP="618E40C5">
            <w:pPr>
              <w:pStyle w:val="Body"/>
              <w:numPr>
                <w:ilvl w:val="0"/>
                <w:numId w:val="34"/>
              </w:numPr>
              <w:rPr>
                <w:highlight w:val="cyan"/>
              </w:rPr>
            </w:pPr>
            <w:r w:rsidRPr="3F3BC297">
              <w:rPr>
                <w:highlight w:val="cyan"/>
              </w:rPr>
              <w:t xml:space="preserve">Upon identification of a SAPSE, the health service must make reasonable efforts to contact the patient/next-of-kin/family/carer, however where they cannot be contacted, including where </w:t>
            </w:r>
            <w:r w:rsidR="1C673971" w:rsidRPr="3F3BC297">
              <w:rPr>
                <w:highlight w:val="cyan"/>
              </w:rPr>
              <w:t>this continues for some time, the health service should proceed to review the circumstances of the SAPSE, and document in the patient rec</w:t>
            </w:r>
            <w:r w:rsidR="27F31A24" w:rsidRPr="3F3BC297">
              <w:rPr>
                <w:highlight w:val="cyan"/>
              </w:rPr>
              <w:t xml:space="preserve">ord their efforts to make contact. </w:t>
            </w:r>
            <w:r w:rsidR="1A0F9B5B" w:rsidRPr="3F3BC297">
              <w:rPr>
                <w:highlight w:val="cyan"/>
              </w:rPr>
              <w:t>W</w:t>
            </w:r>
            <w:r w:rsidR="3C733C74" w:rsidRPr="3F3BC297">
              <w:rPr>
                <w:highlight w:val="cyan"/>
              </w:rPr>
              <w:t xml:space="preserve">here the health service entity cannot contact the patient/next-of-kin/family/carer </w:t>
            </w:r>
            <w:r w:rsidR="6F8ECC22" w:rsidRPr="3F3BC297">
              <w:rPr>
                <w:highlight w:val="cyan"/>
              </w:rPr>
              <w:t xml:space="preserve">during the 6 month SDC period for the </w:t>
            </w:r>
            <w:r w:rsidR="5E3DE964" w:rsidRPr="3F3BC297">
              <w:rPr>
                <w:highlight w:val="cyan"/>
              </w:rPr>
              <w:t>SAPSE, the</w:t>
            </w:r>
            <w:r w:rsidR="62B5DD71" w:rsidRPr="3F3BC297">
              <w:rPr>
                <w:highlight w:val="cyan"/>
              </w:rPr>
              <w:t xml:space="preserve"> SAPSE identified by the health service entity </w:t>
            </w:r>
            <w:r w:rsidR="7BEF0A91" w:rsidRPr="3F3BC297">
              <w:rPr>
                <w:highlight w:val="cyan"/>
              </w:rPr>
              <w:t xml:space="preserve">is reported, </w:t>
            </w:r>
            <w:r w:rsidR="62B5DD71" w:rsidRPr="3F3BC297">
              <w:rPr>
                <w:highlight w:val="cyan"/>
              </w:rPr>
              <w:t xml:space="preserve">but </w:t>
            </w:r>
            <w:r w:rsidR="60381F55" w:rsidRPr="3F3BC297">
              <w:rPr>
                <w:highlight w:val="cyan"/>
              </w:rPr>
              <w:t xml:space="preserve">no data is reported for </w:t>
            </w:r>
            <w:r w:rsidR="62B5DD71" w:rsidRPr="3F3BC297">
              <w:rPr>
                <w:highlight w:val="cyan"/>
              </w:rPr>
              <w:t xml:space="preserve">the </w:t>
            </w:r>
            <w:r w:rsidR="50CF38B4" w:rsidRPr="3F3BC297">
              <w:rPr>
                <w:highlight w:val="cyan"/>
              </w:rPr>
              <w:t xml:space="preserve">three SDC items - SDC </w:t>
            </w:r>
            <w:r w:rsidR="39242EA7" w:rsidRPr="3F3BC297">
              <w:rPr>
                <w:highlight w:val="cyan"/>
              </w:rPr>
              <w:t>commenced, SDC</w:t>
            </w:r>
            <w:r w:rsidR="62B5DD71" w:rsidRPr="3F3BC297">
              <w:rPr>
                <w:highlight w:val="cyan"/>
              </w:rPr>
              <w:t xml:space="preserve"> report provided and </w:t>
            </w:r>
            <w:r w:rsidR="5238F06D" w:rsidRPr="3F3BC297">
              <w:rPr>
                <w:highlight w:val="cyan"/>
              </w:rPr>
              <w:t xml:space="preserve">SDC </w:t>
            </w:r>
            <w:r w:rsidR="62B5DD71" w:rsidRPr="3F3BC297">
              <w:rPr>
                <w:highlight w:val="cyan"/>
              </w:rPr>
              <w:t>opted out.</w:t>
            </w:r>
            <w:r w:rsidR="3C733C74" w:rsidRPr="3F3BC297">
              <w:rPr>
                <w:highlight w:val="cyan"/>
              </w:rPr>
              <w:t xml:space="preserve"> </w:t>
            </w:r>
          </w:p>
          <w:p w14:paraId="13ACA2DE" w14:textId="415E3EC1" w:rsidR="008E26C3" w:rsidRPr="00D953E9" w:rsidRDefault="35D99C29" w:rsidP="618E40C5">
            <w:pPr>
              <w:pStyle w:val="Body"/>
              <w:numPr>
                <w:ilvl w:val="0"/>
                <w:numId w:val="34"/>
              </w:numPr>
              <w:rPr>
                <w:highlight w:val="cyan"/>
              </w:rPr>
            </w:pPr>
            <w:r w:rsidRPr="3F3BC297">
              <w:rPr>
                <w:highlight w:val="cyan"/>
              </w:rPr>
              <w:t>The timing of the initial apology</w:t>
            </w:r>
            <w:r w:rsidR="41261E15" w:rsidRPr="3F3BC297">
              <w:rPr>
                <w:highlight w:val="cyan"/>
              </w:rPr>
              <w:t xml:space="preserve"> and acknowledgement</w:t>
            </w:r>
            <w:r w:rsidRPr="3F3BC297">
              <w:rPr>
                <w:highlight w:val="cyan"/>
              </w:rPr>
              <w:t xml:space="preserve"> is not influenced by public holidays</w:t>
            </w:r>
            <w:r w:rsidR="5A3F4517" w:rsidRPr="3F3BC297">
              <w:rPr>
                <w:highlight w:val="cyan"/>
              </w:rPr>
              <w:t xml:space="preserve"> and weekends.</w:t>
            </w:r>
          </w:p>
          <w:p w14:paraId="780F4F33" w14:textId="3C8E3166" w:rsidR="0262A027" w:rsidRDefault="32464099" w:rsidP="1B5AA551">
            <w:pPr>
              <w:pStyle w:val="Body"/>
              <w:numPr>
                <w:ilvl w:val="0"/>
                <w:numId w:val="34"/>
              </w:numPr>
              <w:rPr>
                <w:highlight w:val="cyan"/>
              </w:rPr>
            </w:pPr>
            <w:r w:rsidRPr="3F3BC297">
              <w:rPr>
                <w:rStyle w:val="normaltextrun"/>
                <w:rFonts w:eastAsia="Arial" w:cs="Arial"/>
                <w:color w:val="000000" w:themeColor="text1"/>
                <w:highlight w:val="cyan"/>
              </w:rPr>
              <w:t xml:space="preserve">There may be instances where the SAPSE </w:t>
            </w:r>
            <w:r w:rsidR="798C0176" w:rsidRPr="3F3BC297">
              <w:rPr>
                <w:rStyle w:val="normaltextrun"/>
                <w:rFonts w:eastAsia="Arial" w:cs="Arial"/>
                <w:color w:val="000000" w:themeColor="text1"/>
                <w:highlight w:val="cyan"/>
              </w:rPr>
              <w:t xml:space="preserve">being identified </w:t>
            </w:r>
            <w:r w:rsidRPr="3F3BC297">
              <w:rPr>
                <w:rStyle w:val="normaltextrun"/>
                <w:rFonts w:eastAsia="Arial" w:cs="Arial"/>
                <w:color w:val="000000" w:themeColor="text1"/>
                <w:highlight w:val="cyan"/>
              </w:rPr>
              <w:t>and</w:t>
            </w:r>
            <w:r w:rsidR="4CB650DC" w:rsidRPr="3F3BC297">
              <w:rPr>
                <w:rStyle w:val="normaltextrun"/>
                <w:rFonts w:eastAsia="Arial" w:cs="Arial"/>
                <w:color w:val="000000" w:themeColor="text1"/>
                <w:highlight w:val="cyan"/>
              </w:rPr>
              <w:t xml:space="preserve"> the</w:t>
            </w:r>
            <w:r w:rsidRPr="3F3BC297">
              <w:rPr>
                <w:rStyle w:val="normaltextrun"/>
                <w:rFonts w:eastAsia="Arial" w:cs="Arial"/>
                <w:color w:val="000000" w:themeColor="text1"/>
                <w:highlight w:val="cyan"/>
              </w:rPr>
              <w:t xml:space="preserve"> SDC commencement is within the reporting period, however the date that the SDC report was provided to the family is not, and therefore is extended beyond the reporting period of six months. In this situation, the date the report is provided to the family is not captured in this reporting timeframe. In summary, no data for prior quarters’ SAPSE are included in subsequent reporting periods.</w:t>
            </w:r>
          </w:p>
          <w:p w14:paraId="20B9C05F" w14:textId="42DD61DA" w:rsidR="008E26C3" w:rsidRPr="00DF49AE" w:rsidRDefault="1B41044D" w:rsidP="51490E45">
            <w:pPr>
              <w:pStyle w:val="Body"/>
              <w:numPr>
                <w:ilvl w:val="0"/>
                <w:numId w:val="34"/>
              </w:numPr>
              <w:rPr>
                <w:highlight w:val="cyan"/>
              </w:rPr>
            </w:pPr>
            <w:r w:rsidRPr="3F3BC297">
              <w:rPr>
                <w:highlight w:val="cyan"/>
              </w:rPr>
              <w:t>If the SAPSE occurs across 2</w:t>
            </w:r>
            <w:r w:rsidR="6332937E" w:rsidRPr="3F3BC297">
              <w:rPr>
                <w:highlight w:val="cyan"/>
              </w:rPr>
              <w:t xml:space="preserve"> or more</w:t>
            </w:r>
            <w:r w:rsidRPr="3F3BC297">
              <w:rPr>
                <w:highlight w:val="cyan"/>
              </w:rPr>
              <w:t xml:space="preserve"> </w:t>
            </w:r>
            <w:r w:rsidR="5AD8A652" w:rsidRPr="3F3BC297">
              <w:rPr>
                <w:highlight w:val="cyan"/>
              </w:rPr>
              <w:t xml:space="preserve">health service </w:t>
            </w:r>
            <w:r w:rsidRPr="3F3BC297">
              <w:rPr>
                <w:highlight w:val="cyan"/>
              </w:rPr>
              <w:t>entities</w:t>
            </w:r>
            <w:r w:rsidR="5F25C9C0" w:rsidRPr="3F3BC297">
              <w:rPr>
                <w:highlight w:val="cyan"/>
              </w:rPr>
              <w:t xml:space="preserve"> (</w:t>
            </w:r>
            <w:r w:rsidR="767FDA25" w:rsidRPr="3F3BC297">
              <w:rPr>
                <w:highlight w:val="cyan"/>
              </w:rPr>
              <w:t>i</w:t>
            </w:r>
            <w:r w:rsidR="5F25C9C0" w:rsidRPr="3F3BC297">
              <w:rPr>
                <w:highlight w:val="cyan"/>
              </w:rPr>
              <w:t xml:space="preserve">.e. </w:t>
            </w:r>
            <w:r w:rsidR="478E3371" w:rsidRPr="3F3BC297">
              <w:rPr>
                <w:highlight w:val="cyan"/>
              </w:rPr>
              <w:t xml:space="preserve">all </w:t>
            </w:r>
            <w:r w:rsidR="5F25C9C0" w:rsidRPr="3F3BC297">
              <w:rPr>
                <w:highlight w:val="cyan"/>
              </w:rPr>
              <w:t>contributed to the harm)</w:t>
            </w:r>
            <w:r w:rsidRPr="3F3BC297">
              <w:rPr>
                <w:highlight w:val="cyan"/>
              </w:rPr>
              <w:t>, it</w:t>
            </w:r>
            <w:r w:rsidR="11A878EB" w:rsidRPr="3F3BC297">
              <w:rPr>
                <w:highlight w:val="cyan"/>
              </w:rPr>
              <w:t xml:space="preserve"> should be discussed how the SDC process would occur. </w:t>
            </w:r>
            <w:r w:rsidR="300210CB" w:rsidRPr="3F3BC297">
              <w:rPr>
                <w:highlight w:val="cyan"/>
              </w:rPr>
              <w:t>However,</w:t>
            </w:r>
            <w:r w:rsidR="11A878EB" w:rsidRPr="3F3BC297">
              <w:rPr>
                <w:highlight w:val="cyan"/>
              </w:rPr>
              <w:t xml:space="preserve"> it</w:t>
            </w:r>
            <w:r w:rsidRPr="3F3BC297">
              <w:rPr>
                <w:highlight w:val="cyan"/>
              </w:rPr>
              <w:t xml:space="preserve"> will be the responsibility of </w:t>
            </w:r>
            <w:r w:rsidR="1B04B491" w:rsidRPr="3F3BC297">
              <w:rPr>
                <w:highlight w:val="cyan"/>
              </w:rPr>
              <w:t xml:space="preserve">all </w:t>
            </w:r>
            <w:r w:rsidRPr="3F3BC297">
              <w:rPr>
                <w:highlight w:val="cyan"/>
              </w:rPr>
              <w:t>entit</w:t>
            </w:r>
            <w:r w:rsidR="0578C23C" w:rsidRPr="3F3BC297">
              <w:rPr>
                <w:highlight w:val="cyan"/>
              </w:rPr>
              <w:t>ies to conduct the SDC, and also</w:t>
            </w:r>
            <w:r w:rsidRPr="3F3BC297">
              <w:rPr>
                <w:highlight w:val="cyan"/>
              </w:rPr>
              <w:t xml:space="preserve"> to report </w:t>
            </w:r>
            <w:r w:rsidR="119CAC61" w:rsidRPr="3F3BC297">
              <w:rPr>
                <w:highlight w:val="cyan"/>
              </w:rPr>
              <w:t xml:space="preserve">compliance. This is to ensure that the requirement to complete the SDC sits with each </w:t>
            </w:r>
            <w:r w:rsidR="6EF24660" w:rsidRPr="3F3BC297">
              <w:rPr>
                <w:highlight w:val="cyan"/>
              </w:rPr>
              <w:t xml:space="preserve">health </w:t>
            </w:r>
            <w:r w:rsidR="119CAC61" w:rsidRPr="3F3BC297">
              <w:rPr>
                <w:highlight w:val="cyan"/>
              </w:rPr>
              <w:t>service</w:t>
            </w:r>
            <w:r w:rsidR="6974AF70" w:rsidRPr="3F3BC297">
              <w:rPr>
                <w:highlight w:val="cyan"/>
              </w:rPr>
              <w:t xml:space="preserve"> entity.</w:t>
            </w:r>
            <w:r w:rsidR="119CAC61" w:rsidRPr="3F3BC297">
              <w:rPr>
                <w:highlight w:val="cyan"/>
              </w:rPr>
              <w:t xml:space="preserve"> </w:t>
            </w:r>
          </w:p>
          <w:p w14:paraId="77FE26A4" w14:textId="6909B49F" w:rsidR="008E26C3" w:rsidRPr="00DF49AE" w:rsidRDefault="297D4ADA" w:rsidP="51490E45">
            <w:pPr>
              <w:pStyle w:val="Body"/>
              <w:numPr>
                <w:ilvl w:val="0"/>
                <w:numId w:val="34"/>
              </w:numPr>
              <w:rPr>
                <w:highlight w:val="cyan"/>
              </w:rPr>
            </w:pPr>
            <w:r w:rsidRPr="3F3BC297">
              <w:rPr>
                <w:highlight w:val="cyan"/>
              </w:rPr>
              <w:t>I</w:t>
            </w:r>
            <w:r w:rsidR="4F82B70E" w:rsidRPr="3F3BC297">
              <w:rPr>
                <w:highlight w:val="cyan"/>
              </w:rPr>
              <w:t xml:space="preserve">f the </w:t>
            </w:r>
            <w:r w:rsidR="4253C59E" w:rsidRPr="3F3BC297">
              <w:rPr>
                <w:highlight w:val="cyan"/>
              </w:rPr>
              <w:t xml:space="preserve">SAPSE </w:t>
            </w:r>
            <w:r w:rsidR="4F82B70E" w:rsidRPr="3F3BC297">
              <w:rPr>
                <w:highlight w:val="cyan"/>
              </w:rPr>
              <w:t xml:space="preserve">occurs at </w:t>
            </w:r>
            <w:r w:rsidR="29C95A9D" w:rsidRPr="3F3BC297">
              <w:rPr>
                <w:highlight w:val="cyan"/>
              </w:rPr>
              <w:t>one health service</w:t>
            </w:r>
            <w:r w:rsidR="4F82B70E" w:rsidRPr="3F3BC297">
              <w:rPr>
                <w:highlight w:val="cyan"/>
              </w:rPr>
              <w:t xml:space="preserve"> entity, and the patient is </w:t>
            </w:r>
            <w:r w:rsidR="2091FC8B" w:rsidRPr="3F3BC297">
              <w:rPr>
                <w:highlight w:val="cyan"/>
              </w:rPr>
              <w:t xml:space="preserve">admitted to or </w:t>
            </w:r>
            <w:r w:rsidR="4F82B70E" w:rsidRPr="3F3BC297">
              <w:rPr>
                <w:highlight w:val="cyan"/>
              </w:rPr>
              <w:t xml:space="preserve">transferred to another </w:t>
            </w:r>
            <w:r w:rsidR="3E0CA8A9" w:rsidRPr="3F3BC297">
              <w:rPr>
                <w:highlight w:val="cyan"/>
              </w:rPr>
              <w:t xml:space="preserve">health service </w:t>
            </w:r>
            <w:r w:rsidR="4F82B70E" w:rsidRPr="3F3BC297">
              <w:rPr>
                <w:highlight w:val="cyan"/>
              </w:rPr>
              <w:t>entity for care</w:t>
            </w:r>
            <w:r w:rsidR="34E8778D" w:rsidRPr="3F3BC297">
              <w:rPr>
                <w:highlight w:val="cyan"/>
              </w:rPr>
              <w:t>,</w:t>
            </w:r>
            <w:r w:rsidR="0A6EC311" w:rsidRPr="3F3BC297">
              <w:rPr>
                <w:highlight w:val="cyan"/>
              </w:rPr>
              <w:t xml:space="preserve"> it is the responsibility of the </w:t>
            </w:r>
            <w:r w:rsidR="414C52DE" w:rsidRPr="3F3BC297">
              <w:rPr>
                <w:highlight w:val="cyan"/>
              </w:rPr>
              <w:t xml:space="preserve">health service </w:t>
            </w:r>
            <w:r w:rsidR="0A6EC311" w:rsidRPr="3F3BC297">
              <w:rPr>
                <w:highlight w:val="cyan"/>
              </w:rPr>
              <w:t>entity</w:t>
            </w:r>
            <w:r w:rsidR="65D11142" w:rsidRPr="3F3BC297">
              <w:rPr>
                <w:highlight w:val="cyan"/>
              </w:rPr>
              <w:t xml:space="preserve"> where the event </w:t>
            </w:r>
            <w:r w:rsidR="5D12FB8B" w:rsidRPr="3F3BC297">
              <w:rPr>
                <w:highlight w:val="cyan"/>
              </w:rPr>
              <w:t>occurred</w:t>
            </w:r>
            <w:r w:rsidR="0A6EC311" w:rsidRPr="3F3BC297">
              <w:rPr>
                <w:highlight w:val="cyan"/>
              </w:rPr>
              <w:t xml:space="preserve"> to </w:t>
            </w:r>
            <w:r w:rsidR="54B33530" w:rsidRPr="3F3BC297">
              <w:rPr>
                <w:highlight w:val="cyan"/>
              </w:rPr>
              <w:t xml:space="preserve">report the SAPSE and </w:t>
            </w:r>
            <w:r w:rsidR="0A6EC311" w:rsidRPr="3F3BC297">
              <w:rPr>
                <w:highlight w:val="cyan"/>
              </w:rPr>
              <w:t>conduct</w:t>
            </w:r>
            <w:r w:rsidR="5F95C835" w:rsidRPr="3F3BC297">
              <w:rPr>
                <w:highlight w:val="cyan"/>
              </w:rPr>
              <w:t>, and report on, the</w:t>
            </w:r>
            <w:r w:rsidR="0A6EC311" w:rsidRPr="3F3BC297">
              <w:rPr>
                <w:highlight w:val="cyan"/>
              </w:rPr>
              <w:t xml:space="preserve"> SDC</w:t>
            </w:r>
            <w:r w:rsidR="78BA8311" w:rsidRPr="3F3BC297">
              <w:rPr>
                <w:highlight w:val="cyan"/>
              </w:rPr>
              <w:t xml:space="preserve">. </w:t>
            </w:r>
            <w:r w:rsidR="75F26B39" w:rsidRPr="3F3BC297">
              <w:rPr>
                <w:highlight w:val="cyan"/>
              </w:rPr>
              <w:t xml:space="preserve"> See the</w:t>
            </w:r>
            <w:r w:rsidR="625F9181" w:rsidRPr="3F3BC297">
              <w:rPr>
                <w:highlight w:val="cyan"/>
              </w:rPr>
              <w:t xml:space="preserve"> </w:t>
            </w:r>
            <w:hyperlink r:id="rId27" w:history="1">
              <w:r w:rsidR="625F9181" w:rsidRPr="3F3BC297">
                <w:rPr>
                  <w:rStyle w:val="Hyperlink"/>
                  <w:highlight w:val="cyan"/>
                </w:rPr>
                <w:t>Victorian Duty of Candour Framework</w:t>
              </w:r>
            </w:hyperlink>
            <w:r w:rsidR="625F9181" w:rsidRPr="3F3BC297">
              <w:rPr>
                <w:highlight w:val="cyan"/>
              </w:rPr>
              <w:t xml:space="preserve"> </w:t>
            </w:r>
            <w:r w:rsidR="43B4268E" w:rsidRPr="3F3BC297">
              <w:rPr>
                <w:highlight w:val="cyan"/>
              </w:rPr>
              <w:t xml:space="preserve">for </w:t>
            </w:r>
            <w:r w:rsidR="75F26B39" w:rsidRPr="3F3BC297">
              <w:rPr>
                <w:highlight w:val="cyan"/>
              </w:rPr>
              <w:t>further information</w:t>
            </w:r>
            <w:r w:rsidR="0066226E" w:rsidRPr="3F3BC297">
              <w:rPr>
                <w:highlight w:val="cyan"/>
              </w:rPr>
              <w:t>, including regarding collaboration between health service entities in such circumstances</w:t>
            </w:r>
            <w:r w:rsidR="75F26B39" w:rsidRPr="3F3BC297">
              <w:rPr>
                <w:highlight w:val="cyan"/>
              </w:rPr>
              <w:t>.</w:t>
            </w:r>
          </w:p>
          <w:p w14:paraId="10A08379" w14:textId="1F855CC2" w:rsidR="008E26C3" w:rsidRPr="00DF49AE" w:rsidRDefault="490C3B0F" w:rsidP="51490E45">
            <w:pPr>
              <w:pStyle w:val="Body"/>
              <w:numPr>
                <w:ilvl w:val="0"/>
                <w:numId w:val="34"/>
              </w:numPr>
              <w:rPr>
                <w:highlight w:val="cyan"/>
              </w:rPr>
            </w:pPr>
            <w:r w:rsidRPr="3F3BC297">
              <w:rPr>
                <w:highlight w:val="cyan"/>
              </w:rPr>
              <w:t xml:space="preserve">Where </w:t>
            </w:r>
            <w:r w:rsidR="48550E99" w:rsidRPr="3F3BC297">
              <w:rPr>
                <w:highlight w:val="cyan"/>
              </w:rPr>
              <w:t>a</w:t>
            </w:r>
            <w:r w:rsidR="0802108F" w:rsidRPr="3F3BC297">
              <w:rPr>
                <w:highlight w:val="cyan"/>
              </w:rPr>
              <w:t xml:space="preserve"> health service </w:t>
            </w:r>
            <w:r w:rsidR="34663BB5" w:rsidRPr="3F3BC297">
              <w:rPr>
                <w:highlight w:val="cyan"/>
              </w:rPr>
              <w:t>entity</w:t>
            </w:r>
            <w:r w:rsidR="0802108F" w:rsidRPr="3F3BC297">
              <w:rPr>
                <w:highlight w:val="cyan"/>
              </w:rPr>
              <w:t xml:space="preserve"> </w:t>
            </w:r>
            <w:r w:rsidR="0CADB281" w:rsidRPr="3F3BC297">
              <w:rPr>
                <w:highlight w:val="cyan"/>
              </w:rPr>
              <w:t>has</w:t>
            </w:r>
            <w:r w:rsidR="0802108F" w:rsidRPr="3F3BC297">
              <w:rPr>
                <w:highlight w:val="cyan"/>
              </w:rPr>
              <w:t xml:space="preserve"> zero SAPSEs to report for that quarter</w:t>
            </w:r>
            <w:r w:rsidR="23BAAD2C" w:rsidRPr="3F3BC297">
              <w:rPr>
                <w:highlight w:val="cyan"/>
              </w:rPr>
              <w:t xml:space="preserve"> (such as in the case of a mobile service or single operator)</w:t>
            </w:r>
            <w:r w:rsidR="0802108F" w:rsidRPr="3F3BC297">
              <w:rPr>
                <w:highlight w:val="cyan"/>
              </w:rPr>
              <w:t xml:space="preserve">, they must still complete </w:t>
            </w:r>
            <w:r w:rsidR="16017BC7" w:rsidRPr="3F3BC297">
              <w:rPr>
                <w:highlight w:val="cyan"/>
              </w:rPr>
              <w:t xml:space="preserve">each data item on </w:t>
            </w:r>
            <w:r w:rsidR="0802108F" w:rsidRPr="3F3BC297">
              <w:rPr>
                <w:highlight w:val="cyan"/>
              </w:rPr>
              <w:t xml:space="preserve">the AIMS form </w:t>
            </w:r>
            <w:r w:rsidR="674F3304" w:rsidRPr="3F3BC297">
              <w:rPr>
                <w:highlight w:val="cyan"/>
              </w:rPr>
              <w:t xml:space="preserve">and submit the data </w:t>
            </w:r>
            <w:r w:rsidR="0802108F" w:rsidRPr="3F3BC297">
              <w:rPr>
                <w:highlight w:val="cyan"/>
              </w:rPr>
              <w:t xml:space="preserve">to ensure </w:t>
            </w:r>
            <w:r w:rsidR="4E84124E" w:rsidRPr="3F3BC297">
              <w:rPr>
                <w:highlight w:val="cyan"/>
              </w:rPr>
              <w:t>compliance with</w:t>
            </w:r>
            <w:r w:rsidR="0802108F" w:rsidRPr="3F3BC297">
              <w:rPr>
                <w:highlight w:val="cyan"/>
              </w:rPr>
              <w:t xml:space="preserve"> their reporting </w:t>
            </w:r>
            <w:r w:rsidR="54D905FF" w:rsidRPr="3F3BC297">
              <w:rPr>
                <w:highlight w:val="cyan"/>
              </w:rPr>
              <w:t>obligations under the relevant Act</w:t>
            </w:r>
            <w:r w:rsidR="164AA139" w:rsidRPr="3F3BC297">
              <w:rPr>
                <w:highlight w:val="cyan"/>
              </w:rPr>
              <w:t>.</w:t>
            </w:r>
          </w:p>
          <w:p w14:paraId="10B5CC8E" w14:textId="414A081B" w:rsidR="008E26C3" w:rsidRPr="00DF49AE" w:rsidRDefault="51193110" w:rsidP="51490E45">
            <w:pPr>
              <w:pStyle w:val="Body"/>
              <w:numPr>
                <w:ilvl w:val="0"/>
                <w:numId w:val="34"/>
              </w:numPr>
              <w:rPr>
                <w:highlight w:val="cyan"/>
              </w:rPr>
            </w:pPr>
            <w:r w:rsidRPr="3F3BC297">
              <w:rPr>
                <w:highlight w:val="cyan"/>
              </w:rPr>
              <w:t>At time</w:t>
            </w:r>
            <w:r w:rsidR="0CFCC431" w:rsidRPr="3F3BC297">
              <w:rPr>
                <w:highlight w:val="cyan"/>
              </w:rPr>
              <w:t>s,</w:t>
            </w:r>
            <w:r w:rsidRPr="3F3BC297">
              <w:rPr>
                <w:highlight w:val="cyan"/>
              </w:rPr>
              <w:t xml:space="preserve"> the severity of the harm may not be clear when the event is entered into the clinical incident management system </w:t>
            </w:r>
            <w:r w:rsidR="76C36FE4" w:rsidRPr="3F3BC297">
              <w:rPr>
                <w:highlight w:val="cyan"/>
              </w:rPr>
              <w:t xml:space="preserve">and requires an external review (including coronial review). </w:t>
            </w:r>
            <w:r w:rsidRPr="3F3BC297">
              <w:rPr>
                <w:highlight w:val="cyan"/>
              </w:rPr>
              <w:t xml:space="preserve">In these cases, ‘time zero’ would be when this </w:t>
            </w:r>
            <w:r w:rsidR="2751EDDA" w:rsidRPr="3F3BC297">
              <w:rPr>
                <w:highlight w:val="cyan"/>
              </w:rPr>
              <w:t>is identified</w:t>
            </w:r>
            <w:r w:rsidR="02B6395F" w:rsidRPr="3F3BC297">
              <w:rPr>
                <w:highlight w:val="cyan"/>
              </w:rPr>
              <w:t xml:space="preserve"> by the </w:t>
            </w:r>
            <w:r w:rsidR="02B6395F" w:rsidRPr="3F3BC297">
              <w:rPr>
                <w:highlight w:val="cyan"/>
              </w:rPr>
              <w:lastRenderedPageBreak/>
              <w:t>health service entity</w:t>
            </w:r>
            <w:r w:rsidR="2751EDDA" w:rsidRPr="3F3BC297">
              <w:rPr>
                <w:highlight w:val="cyan"/>
              </w:rPr>
              <w:t xml:space="preserve"> as a SAPSE post the </w:t>
            </w:r>
            <w:r w:rsidR="7385D68A" w:rsidRPr="3F3BC297">
              <w:rPr>
                <w:highlight w:val="cyan"/>
              </w:rPr>
              <w:t>review.</w:t>
            </w:r>
            <w:r w:rsidR="3E287E18" w:rsidRPr="3F3BC297">
              <w:rPr>
                <w:highlight w:val="cyan"/>
              </w:rPr>
              <w:t xml:space="preserve"> The SAPSE in such instances would be reported in the quarter in which it is </w:t>
            </w:r>
            <w:r w:rsidR="5BD69307" w:rsidRPr="3F3BC297">
              <w:rPr>
                <w:highlight w:val="cyan"/>
              </w:rPr>
              <w:t>identified as</w:t>
            </w:r>
            <w:r w:rsidR="3E287E18" w:rsidRPr="3F3BC297">
              <w:rPr>
                <w:highlight w:val="cyan"/>
              </w:rPr>
              <w:t xml:space="preserve"> a SAPSE.</w:t>
            </w:r>
          </w:p>
          <w:p w14:paraId="67558406" w14:textId="576A619A" w:rsidR="008E26C3" w:rsidRPr="00DF49AE" w:rsidRDefault="175CC378" w:rsidP="51490E45">
            <w:pPr>
              <w:pStyle w:val="Body"/>
              <w:numPr>
                <w:ilvl w:val="0"/>
                <w:numId w:val="34"/>
              </w:numPr>
              <w:rPr>
                <w:highlight w:val="cyan"/>
              </w:rPr>
            </w:pPr>
            <w:r w:rsidRPr="3F3BC297">
              <w:rPr>
                <w:highlight w:val="cyan"/>
              </w:rPr>
              <w:t>For harm events that are unclear</w:t>
            </w:r>
            <w:r w:rsidR="39AD488C" w:rsidRPr="3F3BC297">
              <w:rPr>
                <w:highlight w:val="cyan"/>
              </w:rPr>
              <w:t xml:space="preserve"> at the time whether they meet </w:t>
            </w:r>
            <w:r w:rsidR="7EEB76CB" w:rsidRPr="3F3BC297">
              <w:rPr>
                <w:highlight w:val="cyan"/>
              </w:rPr>
              <w:t xml:space="preserve">SAPSE </w:t>
            </w:r>
            <w:r w:rsidR="39AD488C" w:rsidRPr="3F3BC297">
              <w:rPr>
                <w:highlight w:val="cyan"/>
              </w:rPr>
              <w:t>criteria</w:t>
            </w:r>
            <w:r w:rsidRPr="3F3BC297">
              <w:rPr>
                <w:highlight w:val="cyan"/>
              </w:rPr>
              <w:t>,</w:t>
            </w:r>
            <w:r w:rsidR="6549F332" w:rsidRPr="3F3BC297">
              <w:rPr>
                <w:highlight w:val="cyan"/>
              </w:rPr>
              <w:t xml:space="preserve"> or for all other harm events</w:t>
            </w:r>
            <w:r w:rsidR="7B25B2E1" w:rsidRPr="3F3BC297">
              <w:rPr>
                <w:highlight w:val="cyan"/>
              </w:rPr>
              <w:t>,</w:t>
            </w:r>
            <w:r w:rsidRPr="3F3BC297">
              <w:rPr>
                <w:highlight w:val="cyan"/>
              </w:rPr>
              <w:t xml:space="preserve"> </w:t>
            </w:r>
            <w:r w:rsidR="3C80CDB0" w:rsidRPr="3F3BC297">
              <w:rPr>
                <w:highlight w:val="cyan"/>
              </w:rPr>
              <w:t xml:space="preserve">health service entities </w:t>
            </w:r>
            <w:r w:rsidR="32F46213" w:rsidRPr="3F3BC297">
              <w:rPr>
                <w:highlight w:val="cyan"/>
              </w:rPr>
              <w:t>are</w:t>
            </w:r>
            <w:r w:rsidR="2DEEA024" w:rsidRPr="3F3BC297">
              <w:rPr>
                <w:highlight w:val="cyan"/>
              </w:rPr>
              <w:t xml:space="preserve"> </w:t>
            </w:r>
            <w:r w:rsidRPr="3F3BC297">
              <w:rPr>
                <w:highlight w:val="cyan"/>
              </w:rPr>
              <w:t>encouraged to</w:t>
            </w:r>
            <w:r w:rsidR="743997EF" w:rsidRPr="3F3BC297">
              <w:rPr>
                <w:highlight w:val="cyan"/>
              </w:rPr>
              <w:t xml:space="preserve"> take a patient-centred </w:t>
            </w:r>
            <w:r w:rsidR="747D6017" w:rsidRPr="3F3BC297">
              <w:rPr>
                <w:highlight w:val="cyan"/>
              </w:rPr>
              <w:t>approach,</w:t>
            </w:r>
            <w:r w:rsidR="44A389E9" w:rsidRPr="3F3BC297">
              <w:rPr>
                <w:highlight w:val="cyan"/>
              </w:rPr>
              <w:t xml:space="preserve"> </w:t>
            </w:r>
            <w:r w:rsidR="42478DCB" w:rsidRPr="3F3BC297">
              <w:rPr>
                <w:highlight w:val="cyan"/>
              </w:rPr>
              <w:t>to ensure that the appropriate steps and communication is being completed</w:t>
            </w:r>
            <w:r w:rsidR="59F4B16E" w:rsidRPr="3F3BC297">
              <w:rPr>
                <w:highlight w:val="cyan"/>
              </w:rPr>
              <w:t xml:space="preserve">. In the case where a service </w:t>
            </w:r>
            <w:r w:rsidR="7B9E5626" w:rsidRPr="3F3BC297">
              <w:rPr>
                <w:highlight w:val="cyan"/>
              </w:rPr>
              <w:t>has further questions</w:t>
            </w:r>
            <w:r w:rsidR="59F4B16E" w:rsidRPr="3F3BC297">
              <w:rPr>
                <w:highlight w:val="cyan"/>
              </w:rPr>
              <w:t xml:space="preserve">, they can contact the duty of candour project team at </w:t>
            </w:r>
            <w:hyperlink r:id="rId28">
              <w:r w:rsidR="59F4B16E" w:rsidRPr="3F3BC297">
                <w:rPr>
                  <w:rStyle w:val="Hyperlink"/>
                  <w:highlight w:val="cyan"/>
                </w:rPr>
                <w:t>dutyofcandour@health.vic.gov.au</w:t>
              </w:r>
            </w:hyperlink>
            <w:r w:rsidR="59F4B16E" w:rsidRPr="3F3BC297">
              <w:rPr>
                <w:highlight w:val="cyan"/>
              </w:rPr>
              <w:t xml:space="preserve">. </w:t>
            </w:r>
          </w:p>
          <w:p w14:paraId="11B3CDC4" w14:textId="42DED807" w:rsidR="008E26C3" w:rsidRPr="00DF49AE" w:rsidRDefault="008E26C3" w:rsidP="3F3BC297">
            <w:pPr>
              <w:pStyle w:val="Body"/>
              <w:rPr>
                <w:szCs w:val="21"/>
                <w:highlight w:val="cyan"/>
              </w:rPr>
            </w:pPr>
          </w:p>
        </w:tc>
      </w:tr>
      <w:bookmarkEnd w:id="2"/>
    </w:tbl>
    <w:p w14:paraId="7AE2AB5A" w14:textId="77777777" w:rsidR="00BF7E71" w:rsidRDefault="00BF7E71" w:rsidP="00351492">
      <w:pPr>
        <w:pStyle w:val="Body"/>
      </w:pPr>
    </w:p>
    <w:sectPr w:rsidR="00BF7E71" w:rsidSect="002C5B7C">
      <w:headerReference w:type="even" r:id="rId29"/>
      <w:headerReference w:type="default" r:id="rId30"/>
      <w:footerReference w:type="even" r:id="rId31"/>
      <w:footerReference w:type="default" r:id="rId32"/>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5A62" w14:textId="77777777" w:rsidR="008F64F8" w:rsidRDefault="008F64F8">
      <w:r>
        <w:separator/>
      </w:r>
    </w:p>
    <w:p w14:paraId="4E1943AF" w14:textId="77777777" w:rsidR="008F64F8" w:rsidRDefault="008F64F8"/>
  </w:endnote>
  <w:endnote w:type="continuationSeparator" w:id="0">
    <w:p w14:paraId="39172592" w14:textId="77777777" w:rsidR="008F64F8" w:rsidRDefault="008F64F8">
      <w:r>
        <w:continuationSeparator/>
      </w:r>
    </w:p>
    <w:p w14:paraId="4809231C" w14:textId="77777777" w:rsidR="008F64F8" w:rsidRDefault="008F64F8"/>
  </w:endnote>
  <w:endnote w:type="continuationNotice" w:id="1">
    <w:p w14:paraId="661DB853" w14:textId="77777777" w:rsidR="008F64F8" w:rsidRDefault="008F6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0580D0AD" w:rsidR="00EB4BC7" w:rsidRDefault="003845AB">
    <w:pPr>
      <w:pStyle w:val="Footer"/>
    </w:pPr>
    <w:r>
      <w:rPr>
        <w:noProof/>
        <w:color w:val="2B579A"/>
      </w:rPr>
      <mc:AlternateContent>
        <mc:Choice Requires="wps">
          <w:drawing>
            <wp:anchor distT="0" distB="0" distL="114300" distR="114300" simplePos="0" relativeHeight="251660299" behindDoc="0" locked="0" layoutInCell="0" allowOverlap="1" wp14:anchorId="39D221F0" wp14:editId="2B665E2E">
              <wp:simplePos x="0" y="0"/>
              <wp:positionH relativeFrom="page">
                <wp:posOffset>0</wp:posOffset>
              </wp:positionH>
              <wp:positionV relativeFrom="page">
                <wp:posOffset>10189210</wp:posOffset>
              </wp:positionV>
              <wp:extent cx="7560310" cy="311785"/>
              <wp:effectExtent l="0" t="0" r="0" b="12065"/>
              <wp:wrapNone/>
              <wp:docPr id="5" name="MSIPCM95744a2ea675bed3db88396e"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5DE4A" w14:textId="7FE3679A" w:rsidR="003845AB" w:rsidRPr="003845AB" w:rsidRDefault="003845AB" w:rsidP="003845AB">
                          <w:pPr>
                            <w:spacing w:after="0"/>
                            <w:jc w:val="center"/>
                            <w:rPr>
                              <w:rFonts w:ascii="Arial Black" w:hAnsi="Arial Black"/>
                              <w:color w:val="000000"/>
                              <w:sz w:val="20"/>
                            </w:rPr>
                          </w:pPr>
                          <w:r w:rsidRPr="003845A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D221F0" id="_x0000_t202" coordsize="21600,21600" o:spt="202" path="m,l,21600r21600,l21600,xe">
              <v:stroke joinstyle="miter"/>
              <v:path gradientshapeok="t" o:connecttype="rect"/>
            </v:shapetype>
            <v:shape id="MSIPCM95744a2ea675bed3db88396e"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6029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C35DE4A" w14:textId="7FE3679A" w:rsidR="003845AB" w:rsidRPr="003845AB" w:rsidRDefault="003845AB" w:rsidP="003845AB">
                    <w:pPr>
                      <w:spacing w:after="0"/>
                      <w:jc w:val="center"/>
                      <w:rPr>
                        <w:rFonts w:ascii="Arial Black" w:hAnsi="Arial Black"/>
                        <w:color w:val="000000"/>
                        <w:sz w:val="20"/>
                      </w:rPr>
                    </w:pPr>
                    <w:r w:rsidRPr="003845AB">
                      <w:rPr>
                        <w:rFonts w:ascii="Arial Black" w:hAnsi="Arial Black"/>
                        <w:color w:val="000000"/>
                        <w:sz w:val="20"/>
                      </w:rPr>
                      <w:t>OFFICIAL</w:t>
                    </w:r>
                  </w:p>
                </w:txbxContent>
              </v:textbox>
              <w10:wrap anchorx="page" anchory="page"/>
            </v:shape>
          </w:pict>
        </mc:Fallback>
      </mc:AlternateContent>
    </w:r>
    <w:r w:rsidR="006C5A3B">
      <w:rPr>
        <w:noProof/>
        <w:color w:val="2B579A"/>
        <w:shd w:val="clear" w:color="auto" w:fill="E6E6E6"/>
      </w:rPr>
      <mc:AlternateContent>
        <mc:Choice Requires="wps">
          <w:drawing>
            <wp:anchor distT="0" distB="0" distL="114300" distR="114300" simplePos="0" relativeHeight="251658248" behindDoc="0" locked="0" layoutInCell="0" allowOverlap="1" wp14:anchorId="449C9C1C" wp14:editId="3AD5F602">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7FDB69" w14:textId="4ECAA0C5" w:rsidR="006C5A3B" w:rsidRPr="006C5A3B" w:rsidRDefault="006C5A3B" w:rsidP="006C5A3B">
                          <w:pPr>
                            <w:spacing w:after="0"/>
                            <w:jc w:val="center"/>
                            <w:rPr>
                              <w:rFonts w:ascii="Arial Black" w:hAnsi="Arial Black"/>
                              <w:color w:val="000000"/>
                              <w:sz w:val="20"/>
                            </w:rPr>
                          </w:pPr>
                          <w:r w:rsidRPr="006C5A3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9C9C1C"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77FDB69" w14:textId="4ECAA0C5" w:rsidR="006C5A3B" w:rsidRPr="006C5A3B" w:rsidRDefault="006C5A3B" w:rsidP="006C5A3B">
                    <w:pPr>
                      <w:spacing w:after="0"/>
                      <w:jc w:val="center"/>
                      <w:rPr>
                        <w:rFonts w:ascii="Arial Black" w:hAnsi="Arial Black"/>
                        <w:color w:val="000000"/>
                        <w:sz w:val="20"/>
                      </w:rPr>
                    </w:pPr>
                    <w:r w:rsidRPr="006C5A3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750B209F" w:rsidR="00431A70" w:rsidRDefault="003845AB">
    <w:pPr>
      <w:pStyle w:val="Footer"/>
    </w:pPr>
    <w:r>
      <w:rPr>
        <w:noProof/>
        <w:color w:val="2B579A"/>
      </w:rPr>
      <mc:AlternateContent>
        <mc:Choice Requires="wps">
          <w:drawing>
            <wp:anchor distT="0" distB="0" distL="114300" distR="114300" simplePos="0" relativeHeight="251659275" behindDoc="0" locked="0" layoutInCell="0" allowOverlap="1" wp14:anchorId="46EF7038" wp14:editId="2EDD1BDF">
              <wp:simplePos x="0" y="0"/>
              <wp:positionH relativeFrom="page">
                <wp:posOffset>0</wp:posOffset>
              </wp:positionH>
              <wp:positionV relativeFrom="page">
                <wp:posOffset>10189210</wp:posOffset>
              </wp:positionV>
              <wp:extent cx="7560310" cy="311785"/>
              <wp:effectExtent l="0" t="0" r="0" b="12065"/>
              <wp:wrapNone/>
              <wp:docPr id="4" name="MSIPCM0d3b449481c3f20d6d3d91d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67372D" w14:textId="0FB02C4A" w:rsidR="003845AB" w:rsidRPr="003845AB" w:rsidRDefault="003845AB" w:rsidP="003845AB">
                          <w:pPr>
                            <w:spacing w:after="0"/>
                            <w:jc w:val="center"/>
                            <w:rPr>
                              <w:rFonts w:ascii="Arial Black" w:hAnsi="Arial Black"/>
                              <w:color w:val="000000"/>
                              <w:sz w:val="20"/>
                            </w:rPr>
                          </w:pPr>
                          <w:r w:rsidRPr="003845A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EF7038" id="_x0000_t202" coordsize="21600,21600" o:spt="202" path="m,l,21600r21600,l21600,xe">
              <v:stroke joinstyle="miter"/>
              <v:path gradientshapeok="t" o:connecttype="rect"/>
            </v:shapetype>
            <v:shape id="MSIPCM0d3b449481c3f20d6d3d91d2"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D67372D" w14:textId="0FB02C4A" w:rsidR="003845AB" w:rsidRPr="003845AB" w:rsidRDefault="003845AB" w:rsidP="003845AB">
                    <w:pPr>
                      <w:spacing w:after="0"/>
                      <w:jc w:val="center"/>
                      <w:rPr>
                        <w:rFonts w:ascii="Arial Black" w:hAnsi="Arial Black"/>
                        <w:color w:val="000000"/>
                        <w:sz w:val="20"/>
                      </w:rPr>
                    </w:pPr>
                    <w:r w:rsidRPr="003845AB">
                      <w:rPr>
                        <w:rFonts w:ascii="Arial Black" w:hAnsi="Arial Black"/>
                        <w:color w:val="000000"/>
                        <w:sz w:val="20"/>
                      </w:rPr>
                      <w:t>OFFICIAL</w:t>
                    </w:r>
                  </w:p>
                </w:txbxContent>
              </v:textbox>
              <w10:wrap anchorx="page" anchory="page"/>
            </v:shape>
          </w:pict>
        </mc:Fallback>
      </mc:AlternateContent>
    </w:r>
    <w:r w:rsidR="006C5A3B">
      <w:rPr>
        <w:noProof/>
        <w:color w:val="2B579A"/>
        <w:shd w:val="clear" w:color="auto" w:fill="E6E6E6"/>
      </w:rPr>
      <mc:AlternateContent>
        <mc:Choice Requires="wps">
          <w:drawing>
            <wp:anchor distT="0" distB="0" distL="114300" distR="114300" simplePos="0" relativeHeight="251658247" behindDoc="0" locked="0" layoutInCell="0" allowOverlap="1" wp14:anchorId="1EAEE8D9" wp14:editId="764BC2EA">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51D0D" w14:textId="340F5002" w:rsidR="006C5A3B" w:rsidRPr="006C5A3B" w:rsidRDefault="006C5A3B" w:rsidP="006C5A3B">
                          <w:pPr>
                            <w:spacing w:after="0"/>
                            <w:jc w:val="center"/>
                            <w:rPr>
                              <w:rFonts w:ascii="Arial Black" w:hAnsi="Arial Black"/>
                              <w:color w:val="000000"/>
                              <w:sz w:val="20"/>
                            </w:rPr>
                          </w:pPr>
                          <w:r w:rsidRPr="006C5A3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EAEE8D9" id="Text Box 1"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5351D0D" w14:textId="340F5002" w:rsidR="006C5A3B" w:rsidRPr="006C5A3B" w:rsidRDefault="006C5A3B" w:rsidP="006C5A3B">
                    <w:pPr>
                      <w:spacing w:after="0"/>
                      <w:jc w:val="center"/>
                      <w:rPr>
                        <w:rFonts w:ascii="Arial Black" w:hAnsi="Arial Black"/>
                        <w:color w:val="000000"/>
                        <w:sz w:val="20"/>
                      </w:rPr>
                    </w:pPr>
                    <w:r w:rsidRPr="006C5A3B">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color w:val="2B579A"/>
        <w:shd w:val="clear" w:color="auto" w:fill="E6E6E6"/>
      </w:rPr>
      <mc:AlternateContent>
        <mc:Choice Requires="wps">
          <w:drawing>
            <wp:anchor distT="0" distB="0" distL="114300" distR="114300" simplePos="0" relativeHeight="251658240"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24C12F81" w:rsidR="00431A70" w:rsidRDefault="003845AB">
    <w:pPr>
      <w:pStyle w:val="Footer"/>
    </w:pPr>
    <w:r>
      <w:rPr>
        <w:noProof/>
        <w:color w:val="2B579A"/>
      </w:rPr>
      <mc:AlternateContent>
        <mc:Choice Requires="wps">
          <w:drawing>
            <wp:anchor distT="0" distB="0" distL="114300" distR="114300" simplePos="0" relativeHeight="251661323" behindDoc="0" locked="0" layoutInCell="0" allowOverlap="1" wp14:anchorId="224836EA" wp14:editId="6F033432">
              <wp:simplePos x="0" y="0"/>
              <wp:positionH relativeFrom="page">
                <wp:posOffset>0</wp:posOffset>
              </wp:positionH>
              <wp:positionV relativeFrom="page">
                <wp:posOffset>10189210</wp:posOffset>
              </wp:positionV>
              <wp:extent cx="7560310" cy="311785"/>
              <wp:effectExtent l="0" t="0" r="0" b="12065"/>
              <wp:wrapNone/>
              <wp:docPr id="17" name="MSIPCMdb7a40268d1eb098a2f6781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5A06EB" w14:textId="24A4E8A7" w:rsidR="003845AB" w:rsidRPr="003845AB" w:rsidRDefault="003845AB" w:rsidP="003845AB">
                          <w:pPr>
                            <w:spacing w:after="0"/>
                            <w:jc w:val="center"/>
                            <w:rPr>
                              <w:rFonts w:ascii="Arial Black" w:hAnsi="Arial Black"/>
                              <w:color w:val="000000"/>
                              <w:sz w:val="20"/>
                            </w:rPr>
                          </w:pPr>
                          <w:r w:rsidRPr="003845A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4836EA" id="_x0000_t202" coordsize="21600,21600" o:spt="202" path="m,l,21600r21600,l21600,xe">
              <v:stroke joinstyle="miter"/>
              <v:path gradientshapeok="t" o:connecttype="rect"/>
            </v:shapetype>
            <v:shape id="MSIPCMdb7a40268d1eb098a2f67814"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13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15A06EB" w14:textId="24A4E8A7" w:rsidR="003845AB" w:rsidRPr="003845AB" w:rsidRDefault="003845AB" w:rsidP="003845AB">
                    <w:pPr>
                      <w:spacing w:after="0"/>
                      <w:jc w:val="center"/>
                      <w:rPr>
                        <w:rFonts w:ascii="Arial Black" w:hAnsi="Arial Black"/>
                        <w:color w:val="000000"/>
                        <w:sz w:val="20"/>
                      </w:rPr>
                    </w:pPr>
                    <w:r w:rsidRPr="003845AB">
                      <w:rPr>
                        <w:rFonts w:ascii="Arial Black" w:hAnsi="Arial Black"/>
                        <w:color w:val="000000"/>
                        <w:sz w:val="20"/>
                      </w:rPr>
                      <w:t>OFFICIAL</w:t>
                    </w:r>
                  </w:p>
                </w:txbxContent>
              </v:textbox>
              <w10:wrap anchorx="page" anchory="page"/>
            </v:shape>
          </w:pict>
        </mc:Fallback>
      </mc:AlternateContent>
    </w:r>
    <w:r w:rsidR="006C5A3B">
      <w:rPr>
        <w:noProof/>
        <w:color w:val="2B579A"/>
        <w:shd w:val="clear" w:color="auto" w:fill="E6E6E6"/>
      </w:rPr>
      <mc:AlternateContent>
        <mc:Choice Requires="wps">
          <w:drawing>
            <wp:anchor distT="0" distB="0" distL="114300" distR="114300" simplePos="0" relativeHeight="251658249" behindDoc="0" locked="0" layoutInCell="0" allowOverlap="1" wp14:anchorId="3454B51B" wp14:editId="0F6F214D">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1F6EDA" w14:textId="0C8812B9" w:rsidR="006C5A3B" w:rsidRPr="006C5A3B" w:rsidRDefault="006C5A3B" w:rsidP="006C5A3B">
                          <w:pPr>
                            <w:spacing w:after="0"/>
                            <w:jc w:val="center"/>
                            <w:rPr>
                              <w:rFonts w:ascii="Arial Black" w:hAnsi="Arial Black"/>
                              <w:color w:val="000000"/>
                              <w:sz w:val="20"/>
                            </w:rPr>
                          </w:pPr>
                          <w:r w:rsidRPr="006C5A3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454B51B" id="Text Box 8"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C1F6EDA" w14:textId="0C8812B9" w:rsidR="006C5A3B" w:rsidRPr="006C5A3B" w:rsidRDefault="006C5A3B" w:rsidP="006C5A3B">
                    <w:pPr>
                      <w:spacing w:after="0"/>
                      <w:jc w:val="center"/>
                      <w:rPr>
                        <w:rFonts w:ascii="Arial Black" w:hAnsi="Arial Black"/>
                        <w:color w:val="000000"/>
                        <w:sz w:val="20"/>
                      </w:rPr>
                    </w:pPr>
                    <w:r w:rsidRPr="006C5A3B">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06C93829" w:rsidR="00D63636" w:rsidRDefault="003845AB" w:rsidP="005F5A0E">
    <w:pPr>
      <w:pStyle w:val="Footer"/>
      <w:jc w:val="left"/>
    </w:pPr>
    <w:r>
      <w:rPr>
        <w:noProof/>
        <w:color w:val="2B579A"/>
        <w:lang w:eastAsia="en-AU"/>
      </w:rPr>
      <mc:AlternateContent>
        <mc:Choice Requires="wps">
          <w:drawing>
            <wp:anchor distT="0" distB="0" distL="114300" distR="114300" simplePos="0" relativeHeight="251663371" behindDoc="0" locked="0" layoutInCell="0" allowOverlap="1" wp14:anchorId="707C21D5" wp14:editId="6E808564">
              <wp:simplePos x="0" y="0"/>
              <wp:positionH relativeFrom="page">
                <wp:posOffset>0</wp:posOffset>
              </wp:positionH>
              <wp:positionV relativeFrom="page">
                <wp:posOffset>10189210</wp:posOffset>
              </wp:positionV>
              <wp:extent cx="7560310" cy="311785"/>
              <wp:effectExtent l="0" t="0" r="0" b="12065"/>
              <wp:wrapNone/>
              <wp:docPr id="19" name="MSIPCMf8e044608eb5067124a10ad0"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C9E1E" w14:textId="4DFEBB7B" w:rsidR="003845AB" w:rsidRPr="003845AB" w:rsidRDefault="003845AB" w:rsidP="003845AB">
                          <w:pPr>
                            <w:spacing w:after="0"/>
                            <w:jc w:val="center"/>
                            <w:rPr>
                              <w:rFonts w:ascii="Arial Black" w:hAnsi="Arial Black"/>
                              <w:color w:val="000000"/>
                              <w:sz w:val="20"/>
                            </w:rPr>
                          </w:pPr>
                          <w:r w:rsidRPr="003845A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7C21D5" id="_x0000_t202" coordsize="21600,21600" o:spt="202" path="m,l,21600r21600,l21600,xe">
              <v:stroke joinstyle="miter"/>
              <v:path gradientshapeok="t" o:connecttype="rect"/>
            </v:shapetype>
            <v:shape id="MSIPCMf8e044608eb5067124a10ad0" o:spid="_x0000_s1033" type="#_x0000_t202" alt="{&quot;HashCode&quot;:904758361,&quot;Height&quot;:841.0,&quot;Width&quot;:595.0,&quot;Placement&quot;:&quot;Footer&quot;,&quot;Index&quot;:&quot;OddAndEven&quot;,&quot;Section&quot;:3,&quot;Top&quot;:0.0,&quot;Left&quot;:0.0}" style="position:absolute;margin-left:0;margin-top:802.3pt;width:595.3pt;height:24.55pt;z-index:2516633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60DC9E1E" w14:textId="4DFEBB7B" w:rsidR="003845AB" w:rsidRPr="003845AB" w:rsidRDefault="003845AB" w:rsidP="003845AB">
                    <w:pPr>
                      <w:spacing w:after="0"/>
                      <w:jc w:val="center"/>
                      <w:rPr>
                        <w:rFonts w:ascii="Arial Black" w:hAnsi="Arial Black"/>
                        <w:color w:val="000000"/>
                        <w:sz w:val="20"/>
                      </w:rPr>
                    </w:pPr>
                    <w:r w:rsidRPr="003845AB">
                      <w:rPr>
                        <w:rFonts w:ascii="Arial Black" w:hAnsi="Arial Black"/>
                        <w:color w:val="000000"/>
                        <w:sz w:val="20"/>
                      </w:rPr>
                      <w:t>OFFICIAL</w:t>
                    </w:r>
                  </w:p>
                </w:txbxContent>
              </v:textbox>
              <w10:wrap anchorx="page" anchory="page"/>
            </v:shape>
          </w:pict>
        </mc:Fallback>
      </mc:AlternateContent>
    </w:r>
    <w:r w:rsidR="006C5A3B">
      <w:rPr>
        <w:noProof/>
        <w:color w:val="2B579A"/>
        <w:shd w:val="clear" w:color="auto" w:fill="E6E6E6"/>
        <w:lang w:eastAsia="en-AU"/>
      </w:rPr>
      <mc:AlternateContent>
        <mc:Choice Requires="wps">
          <w:drawing>
            <wp:anchor distT="0" distB="0" distL="114300" distR="114300" simplePos="0" relativeHeight="251658251" behindDoc="0" locked="0" layoutInCell="0" allowOverlap="1" wp14:anchorId="06426165" wp14:editId="0F4F85C4">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F961E" w14:textId="5CD402DF" w:rsidR="006C5A3B" w:rsidRPr="006C5A3B" w:rsidRDefault="006C5A3B" w:rsidP="006C5A3B">
                          <w:pPr>
                            <w:spacing w:after="0"/>
                            <w:jc w:val="center"/>
                            <w:rPr>
                              <w:rFonts w:ascii="Arial Black" w:hAnsi="Arial Black"/>
                              <w:color w:val="000000"/>
                              <w:sz w:val="20"/>
                            </w:rPr>
                          </w:pPr>
                          <w:r w:rsidRPr="006C5A3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6426165" id="Text Box 12" o:spid="_x0000_s1034" type="#_x0000_t202" alt="{&quot;HashCode&quot;:904758361,&quot;Height&quot;:841.0,&quot;Width&quot;:595.0,&quot;Placement&quot;:&quot;Footer&quot;,&quot;Index&quot;:&quot;OddAndEven&quot;,&quot;Section&quot;:3,&quot;Top&quot;:0.0,&quot;Left&quot;:0.0}"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626F961E" w14:textId="5CD402DF" w:rsidR="006C5A3B" w:rsidRPr="006C5A3B" w:rsidRDefault="006C5A3B" w:rsidP="006C5A3B">
                    <w:pPr>
                      <w:spacing w:after="0"/>
                      <w:jc w:val="center"/>
                      <w:rPr>
                        <w:rFonts w:ascii="Arial Black" w:hAnsi="Arial Black"/>
                        <w:color w:val="000000"/>
                        <w:sz w:val="20"/>
                      </w:rPr>
                    </w:pPr>
                    <w:r w:rsidRPr="006C5A3B">
                      <w:rPr>
                        <w:rFonts w:ascii="Arial Black" w:hAnsi="Arial Black"/>
                        <w:color w:val="000000"/>
                        <w:sz w:val="20"/>
                      </w:rPr>
                      <w:t>OFFICIAL</w:t>
                    </w:r>
                  </w:p>
                </w:txbxContent>
              </v:textbox>
              <w10:wrap anchorx="page" anchory="page"/>
            </v:shape>
          </w:pict>
        </mc:Fallback>
      </mc:AlternateContent>
    </w:r>
    <w:r w:rsidR="005F5A0E">
      <w:rPr>
        <w:noProof/>
        <w:color w:val="2B579A"/>
        <w:shd w:val="clear" w:color="auto" w:fill="E6E6E6"/>
        <w:lang w:eastAsia="en-AU"/>
      </w:rPr>
      <w:drawing>
        <wp:anchor distT="0" distB="0" distL="114300" distR="114300" simplePos="0" relativeHeight="251658245" behindDoc="1" locked="0" layoutInCell="1" allowOverlap="1" wp14:anchorId="6A3793FB" wp14:editId="5C19C0F6">
          <wp:simplePos x="0" y="0"/>
          <wp:positionH relativeFrom="column">
            <wp:posOffset>5016500</wp:posOffset>
          </wp:positionH>
          <wp:positionV relativeFrom="paragraph">
            <wp:posOffset>158750</wp:posOffset>
          </wp:positionV>
          <wp:extent cx="1244600" cy="5214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color w:val="2B579A"/>
        <w:shd w:val="clear" w:color="auto" w:fill="E6E6E6"/>
        <w:lang w:eastAsia="en-AU"/>
      </w:rPr>
      <w:drawing>
        <wp:anchor distT="0" distB="0" distL="114300" distR="114300" simplePos="0" relativeHeight="251658241" behindDoc="1" locked="1" layoutInCell="1" allowOverlap="1" wp14:anchorId="19DA70E5" wp14:editId="630C92EE">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4C87E028" w:rsidR="00431A70" w:rsidRDefault="003845AB" w:rsidP="005F5A0E">
    <w:pPr>
      <w:pStyle w:val="Footer"/>
      <w:jc w:val="left"/>
    </w:pPr>
    <w:r>
      <w:rPr>
        <w:noProof/>
        <w:color w:val="2B579A"/>
        <w:lang w:eastAsia="en-AU"/>
      </w:rPr>
      <mc:AlternateContent>
        <mc:Choice Requires="wps">
          <w:drawing>
            <wp:anchor distT="0" distB="0" distL="114300" distR="114300" simplePos="0" relativeHeight="251662347" behindDoc="0" locked="0" layoutInCell="0" allowOverlap="1" wp14:anchorId="13AF4423" wp14:editId="57B0C804">
              <wp:simplePos x="0" y="0"/>
              <wp:positionH relativeFrom="page">
                <wp:posOffset>0</wp:posOffset>
              </wp:positionH>
              <wp:positionV relativeFrom="page">
                <wp:posOffset>10189210</wp:posOffset>
              </wp:positionV>
              <wp:extent cx="7560310" cy="311785"/>
              <wp:effectExtent l="0" t="0" r="0" b="12065"/>
              <wp:wrapNone/>
              <wp:docPr id="18" name="MSIPCMc25943a7a2505aed1642b3ef"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DBD4B" w14:textId="1C327688" w:rsidR="003845AB" w:rsidRPr="003845AB" w:rsidRDefault="003845AB" w:rsidP="003845AB">
                          <w:pPr>
                            <w:spacing w:after="0"/>
                            <w:jc w:val="center"/>
                            <w:rPr>
                              <w:rFonts w:ascii="Arial Black" w:hAnsi="Arial Black"/>
                              <w:color w:val="000000"/>
                              <w:sz w:val="20"/>
                            </w:rPr>
                          </w:pPr>
                          <w:r w:rsidRPr="003845A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AF4423" id="_x0000_t202" coordsize="21600,21600" o:spt="202" path="m,l,21600r21600,l21600,xe">
              <v:stroke joinstyle="miter"/>
              <v:path gradientshapeok="t" o:connecttype="rect"/>
            </v:shapetype>
            <v:shape id="MSIPCMc25943a7a2505aed1642b3ef" o:spid="_x0000_s1035" type="#_x0000_t202" alt="{&quot;HashCode&quot;:904758361,&quot;Height&quot;:841.0,&quot;Width&quot;:595.0,&quot;Placement&quot;:&quot;Footer&quot;,&quot;Index&quot;:&quot;Primary&quot;,&quot;Section&quot;:3,&quot;Top&quot;:0.0,&quot;Left&quot;:0.0}" style="position:absolute;margin-left:0;margin-top:802.3pt;width:595.3pt;height:24.55pt;z-index:2516623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0CBDBD4B" w14:textId="1C327688" w:rsidR="003845AB" w:rsidRPr="003845AB" w:rsidRDefault="003845AB" w:rsidP="003845AB">
                    <w:pPr>
                      <w:spacing w:after="0"/>
                      <w:jc w:val="center"/>
                      <w:rPr>
                        <w:rFonts w:ascii="Arial Black" w:hAnsi="Arial Black"/>
                        <w:color w:val="000000"/>
                        <w:sz w:val="20"/>
                      </w:rPr>
                    </w:pPr>
                    <w:r w:rsidRPr="003845AB">
                      <w:rPr>
                        <w:rFonts w:ascii="Arial Black" w:hAnsi="Arial Black"/>
                        <w:color w:val="000000"/>
                        <w:sz w:val="20"/>
                      </w:rPr>
                      <w:t>OFFICIAL</w:t>
                    </w:r>
                  </w:p>
                </w:txbxContent>
              </v:textbox>
              <w10:wrap anchorx="page" anchory="page"/>
            </v:shape>
          </w:pict>
        </mc:Fallback>
      </mc:AlternateContent>
    </w:r>
    <w:r w:rsidR="006C5A3B">
      <w:rPr>
        <w:noProof/>
        <w:color w:val="2B579A"/>
        <w:shd w:val="clear" w:color="auto" w:fill="E6E6E6"/>
        <w:lang w:eastAsia="en-AU"/>
      </w:rPr>
      <mc:AlternateContent>
        <mc:Choice Requires="wps">
          <w:drawing>
            <wp:anchor distT="0" distB="0" distL="114300" distR="114300" simplePos="0" relativeHeight="251658250" behindDoc="0" locked="0" layoutInCell="0" allowOverlap="1" wp14:anchorId="74D32A1C" wp14:editId="5A3AC8CB">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43B0A8" w14:textId="20FDA62C" w:rsidR="006C5A3B" w:rsidRPr="006C5A3B" w:rsidRDefault="006C5A3B" w:rsidP="006C5A3B">
                          <w:pPr>
                            <w:spacing w:after="0"/>
                            <w:jc w:val="center"/>
                            <w:rPr>
                              <w:rFonts w:ascii="Arial Black" w:hAnsi="Arial Black"/>
                              <w:color w:val="000000"/>
                              <w:sz w:val="20"/>
                            </w:rPr>
                          </w:pPr>
                          <w:r w:rsidRPr="006C5A3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4D32A1C" id="Text Box 11" o:spid="_x0000_s1036" type="#_x0000_t202" alt="{&quot;HashCode&quot;:904758361,&quot;Height&quot;:841.0,&quot;Width&quot;:595.0,&quot;Placement&quot;:&quot;Footer&quot;,&quot;Index&quot;:&quot;Primary&quot;,&quot;Section&quot;:3,&quot;Top&quot;:0.0,&quot;Left&quot;:0.0}" style="position:absolute;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7443B0A8" w14:textId="20FDA62C" w:rsidR="006C5A3B" w:rsidRPr="006C5A3B" w:rsidRDefault="006C5A3B" w:rsidP="006C5A3B">
                    <w:pPr>
                      <w:spacing w:after="0"/>
                      <w:jc w:val="center"/>
                      <w:rPr>
                        <w:rFonts w:ascii="Arial Black" w:hAnsi="Arial Black"/>
                        <w:color w:val="000000"/>
                        <w:sz w:val="20"/>
                      </w:rPr>
                    </w:pPr>
                    <w:r w:rsidRPr="006C5A3B">
                      <w:rPr>
                        <w:rFonts w:ascii="Arial Black" w:hAnsi="Arial Black"/>
                        <w:color w:val="000000"/>
                        <w:sz w:val="20"/>
                      </w:rPr>
                      <w:t>OFFICIAL</w:t>
                    </w:r>
                  </w:p>
                </w:txbxContent>
              </v:textbox>
              <w10:wrap anchorx="page" anchory="page"/>
            </v:shape>
          </w:pict>
        </mc:Fallback>
      </mc:AlternateContent>
    </w:r>
    <w:r w:rsidR="005F5A0E">
      <w:rPr>
        <w:noProof/>
        <w:color w:val="2B579A"/>
        <w:shd w:val="clear" w:color="auto" w:fill="E6E6E6"/>
        <w:lang w:eastAsia="en-AU"/>
      </w:rPr>
      <w:drawing>
        <wp:anchor distT="0" distB="0" distL="114300" distR="114300" simplePos="0" relativeHeight="251658246" behindDoc="1" locked="0" layoutInCell="1" allowOverlap="1" wp14:anchorId="44419F8C" wp14:editId="29F05209">
          <wp:simplePos x="0" y="0"/>
          <wp:positionH relativeFrom="column">
            <wp:posOffset>4991100</wp:posOffset>
          </wp:positionH>
          <wp:positionV relativeFrom="paragraph">
            <wp:posOffset>158750</wp:posOffset>
          </wp:positionV>
          <wp:extent cx="1244600" cy="5214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color w:val="2B579A"/>
        <w:shd w:val="clear" w:color="auto" w:fill="E6E6E6"/>
      </w:rPr>
      <w:drawing>
        <wp:anchor distT="0" distB="0" distL="114300" distR="114300" simplePos="0" relativeHeight="251658242"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87528" w14:textId="77777777" w:rsidR="008F64F8" w:rsidRDefault="008F64F8" w:rsidP="00207717">
      <w:pPr>
        <w:spacing w:before="120"/>
      </w:pPr>
      <w:r>
        <w:separator/>
      </w:r>
    </w:p>
  </w:footnote>
  <w:footnote w:type="continuationSeparator" w:id="0">
    <w:p w14:paraId="073E1260" w14:textId="77777777" w:rsidR="008F64F8" w:rsidRDefault="008F64F8">
      <w:r>
        <w:continuationSeparator/>
      </w:r>
    </w:p>
    <w:p w14:paraId="7353A13F" w14:textId="77777777" w:rsidR="008F64F8" w:rsidRDefault="008F64F8"/>
  </w:footnote>
  <w:footnote w:type="continuationNotice" w:id="1">
    <w:p w14:paraId="3052DC61" w14:textId="77777777" w:rsidR="008F64F8" w:rsidRDefault="008F64F8">
      <w:pPr>
        <w:spacing w:after="0" w:line="240" w:lineRule="auto"/>
      </w:pPr>
    </w:p>
  </w:footnote>
  <w:footnote w:id="2">
    <w:p w14:paraId="1CC96054" w14:textId="5FB0CBDF" w:rsidR="00BF32A2" w:rsidRDefault="00BF32A2">
      <w:pPr>
        <w:pStyle w:val="FootnoteText"/>
      </w:pPr>
      <w:r>
        <w:rPr>
          <w:rStyle w:val="FootnoteReference"/>
        </w:rPr>
        <w:footnoteRef/>
      </w:r>
      <w:r>
        <w:t xml:space="preserve"> </w:t>
      </w:r>
      <w:r w:rsidR="00746201">
        <w:t xml:space="preserve">Section 4 of the </w:t>
      </w:r>
      <w:r w:rsidR="00746201" w:rsidRPr="00746201">
        <w:rPr>
          <w:i/>
          <w:iCs/>
        </w:rPr>
        <w:t>Health Services Act 1988</w:t>
      </w:r>
      <w:r w:rsidR="0074620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47A6" w14:textId="77777777" w:rsidR="00CC17D3" w:rsidRDefault="00CC1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998B" w14:textId="77777777" w:rsidR="00CC17D3" w:rsidRDefault="00CC1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25D6" w14:textId="77777777" w:rsidR="00CC17D3" w:rsidRDefault="00CC17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35431CC6" w:rsidR="00431A70" w:rsidRDefault="00C60411">
    <w:pPr>
      <w:pStyle w:val="Header"/>
    </w:pPr>
    <w:r w:rsidRPr="00DE6C85">
      <w:rPr>
        <w:b/>
        <w:bCs/>
        <w:color w:val="2B579A"/>
        <w:shd w:val="clear" w:color="auto" w:fill="E6E6E6"/>
      </w:rPr>
      <w:fldChar w:fldCharType="begin"/>
    </w:r>
    <w:r w:rsidRPr="00DE6C85">
      <w:rPr>
        <w:b/>
        <w:bCs/>
      </w:rPr>
      <w:instrText xml:space="preserve"> PAGE </w:instrText>
    </w:r>
    <w:r w:rsidRPr="00DE6C85">
      <w:rPr>
        <w:b/>
        <w:bCs/>
        <w:color w:val="2B579A"/>
        <w:shd w:val="clear" w:color="auto" w:fill="E6E6E6"/>
      </w:rPr>
      <w:fldChar w:fldCharType="separate"/>
    </w:r>
    <w:r>
      <w:rPr>
        <w:b/>
        <w:bCs/>
      </w:rPr>
      <w:t>11</w:t>
    </w:r>
    <w:r w:rsidRPr="00DE6C85">
      <w:rPr>
        <w:b/>
        <w:bCs/>
        <w:color w:val="2B579A"/>
        <w:shd w:val="clear" w:color="auto" w:fill="E6E6E6"/>
      </w:rPr>
      <w:fldChar w:fldCharType="end"/>
    </w:r>
    <w:r w:rsidR="00FD1751">
      <w:rPr>
        <w:b/>
        <w:bCs/>
        <w:noProof/>
        <w:color w:val="2B579A"/>
        <w:shd w:val="clear" w:color="auto" w:fill="E6E6E6"/>
      </w:rPr>
      <w:drawing>
        <wp:anchor distT="0" distB="0" distL="114300" distR="114300" simplePos="0" relativeHeight="251658243" behindDoc="1" locked="1" layoutInCell="1" allowOverlap="1" wp14:anchorId="45FC8374" wp14:editId="77950648">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6C5A3B">
      <w:t>Errata to s</w:t>
    </w:r>
    <w:r w:rsidR="00DF745A">
      <w:t>pecifications</w:t>
    </w:r>
    <w:r w:rsidR="00CF6E12" w:rsidRPr="00CF6E12">
      <w:t xml:space="preserve"> for revision</w:t>
    </w:r>
    <w:r w:rsidR="00F6334D">
      <w:t>s</w:t>
    </w:r>
    <w:r w:rsidR="00CF6E12" w:rsidRPr="00CF6E12">
      <w:t xml:space="preserve"> to</w:t>
    </w:r>
    <w:r w:rsidR="00246985">
      <w:t xml:space="preserve"> the </w:t>
    </w:r>
    <w:r w:rsidR="00314A12">
      <w:t>AIMS</w:t>
    </w:r>
    <w:r w:rsidR="00CF6E12" w:rsidRPr="00CF6E12">
      <w:t xml:space="preserve"> for 202</w:t>
    </w:r>
    <w:r w:rsidR="00144630">
      <w:t>3-24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15AA3149" w:rsidR="00562811" w:rsidRPr="0051568D" w:rsidRDefault="006C5A3B" w:rsidP="0017674D">
    <w:pPr>
      <w:pStyle w:val="Header"/>
    </w:pPr>
    <w:r>
      <w:t>Errata to s</w:t>
    </w:r>
    <w:r w:rsidR="00DF745A">
      <w:t>pecifications</w:t>
    </w:r>
    <w:r w:rsidR="00CF6E12" w:rsidRPr="00CF6E12">
      <w:t xml:space="preserve"> for revision</w:t>
    </w:r>
    <w:r w:rsidR="00F6334D">
      <w:t>s</w:t>
    </w:r>
    <w:r w:rsidR="00CF6E12" w:rsidRPr="00CF6E12">
      <w:t xml:space="preserve"> to </w:t>
    </w:r>
    <w:r w:rsidR="00246985">
      <w:t xml:space="preserve">the </w:t>
    </w:r>
    <w:r w:rsidR="00314A12">
      <w:t>AIMS</w:t>
    </w:r>
    <w:r w:rsidR="00246985">
      <w:t xml:space="preserve"> </w:t>
    </w:r>
    <w:r w:rsidR="00CF6E12" w:rsidRPr="00CF6E12">
      <w:t>for 20</w:t>
    </w:r>
    <w:r w:rsidR="00FD1751">
      <w:rPr>
        <w:noProof/>
        <w:color w:val="2B579A"/>
        <w:shd w:val="clear" w:color="auto" w:fill="E6E6E6"/>
      </w:rPr>
      <w:drawing>
        <wp:anchor distT="0" distB="0" distL="114300" distR="114300" simplePos="0" relativeHeight="251658244" behindDoc="1" locked="1" layoutInCell="1" allowOverlap="1" wp14:anchorId="0CD5F0C9" wp14:editId="2B1F01E0">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144630">
      <w:t>23-24</w:t>
    </w:r>
    <w:r w:rsidR="00562811">
      <w:ptab w:relativeTo="margin" w:alignment="right" w:leader="none"/>
    </w:r>
    <w:r w:rsidR="00562811" w:rsidRPr="00DE6C85">
      <w:rPr>
        <w:b/>
        <w:bCs/>
        <w:color w:val="2B579A"/>
        <w:shd w:val="clear" w:color="auto" w:fill="E6E6E6"/>
      </w:rPr>
      <w:fldChar w:fldCharType="begin"/>
    </w:r>
    <w:r w:rsidR="00562811" w:rsidRPr="00DE6C85">
      <w:rPr>
        <w:b/>
        <w:bCs/>
      </w:rPr>
      <w:instrText xml:space="preserve"> PAGE </w:instrText>
    </w:r>
    <w:r w:rsidR="00562811" w:rsidRPr="00DE6C85">
      <w:rPr>
        <w:b/>
        <w:bCs/>
        <w:color w:val="2B579A"/>
        <w:shd w:val="clear" w:color="auto" w:fill="E6E6E6"/>
      </w:rPr>
      <w:fldChar w:fldCharType="separate"/>
    </w:r>
    <w:r w:rsidR="00562811" w:rsidRPr="00DE6C85">
      <w:rPr>
        <w:b/>
        <w:bCs/>
      </w:rPr>
      <w:t>2</w:t>
    </w:r>
    <w:r w:rsidR="00562811" w:rsidRPr="00DE6C85">
      <w:rPr>
        <w:b/>
        <w:bCs/>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3DB"/>
    <w:multiLevelType w:val="multilevel"/>
    <w:tmpl w:val="B33A2DBC"/>
    <w:numStyleLink w:val="ZZNumbersdigit"/>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B25EF5"/>
    <w:multiLevelType w:val="hybridMultilevel"/>
    <w:tmpl w:val="447840D8"/>
    <w:lvl w:ilvl="0" w:tplc="3B2C932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C3ED1"/>
    <w:multiLevelType w:val="hybridMultilevel"/>
    <w:tmpl w:val="5234EBC0"/>
    <w:lvl w:ilvl="0" w:tplc="3B2C932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75D797"/>
    <w:multiLevelType w:val="hybridMultilevel"/>
    <w:tmpl w:val="FFFFFFFF"/>
    <w:lvl w:ilvl="0" w:tplc="3D5A2DB4">
      <w:start w:val="1"/>
      <w:numFmt w:val="bullet"/>
      <w:lvlText w:val="-"/>
      <w:lvlJc w:val="left"/>
      <w:pPr>
        <w:ind w:left="720" w:hanging="360"/>
      </w:pPr>
      <w:rPr>
        <w:rFonts w:ascii="Calibri" w:hAnsi="Calibri" w:hint="default"/>
      </w:rPr>
    </w:lvl>
    <w:lvl w:ilvl="1" w:tplc="AEC411A6">
      <w:start w:val="1"/>
      <w:numFmt w:val="bullet"/>
      <w:lvlText w:val="o"/>
      <w:lvlJc w:val="left"/>
      <w:pPr>
        <w:ind w:left="1440" w:hanging="360"/>
      </w:pPr>
      <w:rPr>
        <w:rFonts w:ascii="Courier New" w:hAnsi="Courier New" w:hint="default"/>
      </w:rPr>
    </w:lvl>
    <w:lvl w:ilvl="2" w:tplc="6A18A78E">
      <w:start w:val="1"/>
      <w:numFmt w:val="bullet"/>
      <w:lvlText w:val=""/>
      <w:lvlJc w:val="left"/>
      <w:pPr>
        <w:ind w:left="2160" w:hanging="360"/>
      </w:pPr>
      <w:rPr>
        <w:rFonts w:ascii="Wingdings" w:hAnsi="Wingdings" w:hint="default"/>
      </w:rPr>
    </w:lvl>
    <w:lvl w:ilvl="3" w:tplc="94B0B4D0">
      <w:start w:val="1"/>
      <w:numFmt w:val="bullet"/>
      <w:lvlText w:val=""/>
      <w:lvlJc w:val="left"/>
      <w:pPr>
        <w:ind w:left="2880" w:hanging="360"/>
      </w:pPr>
      <w:rPr>
        <w:rFonts w:ascii="Symbol" w:hAnsi="Symbol" w:hint="default"/>
      </w:rPr>
    </w:lvl>
    <w:lvl w:ilvl="4" w:tplc="15301A84">
      <w:start w:val="1"/>
      <w:numFmt w:val="bullet"/>
      <w:lvlText w:val="o"/>
      <w:lvlJc w:val="left"/>
      <w:pPr>
        <w:ind w:left="3600" w:hanging="360"/>
      </w:pPr>
      <w:rPr>
        <w:rFonts w:ascii="Courier New" w:hAnsi="Courier New" w:hint="default"/>
      </w:rPr>
    </w:lvl>
    <w:lvl w:ilvl="5" w:tplc="A3FEEB02">
      <w:start w:val="1"/>
      <w:numFmt w:val="bullet"/>
      <w:lvlText w:val=""/>
      <w:lvlJc w:val="left"/>
      <w:pPr>
        <w:ind w:left="4320" w:hanging="360"/>
      </w:pPr>
      <w:rPr>
        <w:rFonts w:ascii="Wingdings" w:hAnsi="Wingdings" w:hint="default"/>
      </w:rPr>
    </w:lvl>
    <w:lvl w:ilvl="6" w:tplc="701C5356">
      <w:start w:val="1"/>
      <w:numFmt w:val="bullet"/>
      <w:lvlText w:val=""/>
      <w:lvlJc w:val="left"/>
      <w:pPr>
        <w:ind w:left="5040" w:hanging="360"/>
      </w:pPr>
      <w:rPr>
        <w:rFonts w:ascii="Symbol" w:hAnsi="Symbol" w:hint="default"/>
      </w:rPr>
    </w:lvl>
    <w:lvl w:ilvl="7" w:tplc="59DA5DC2">
      <w:start w:val="1"/>
      <w:numFmt w:val="bullet"/>
      <w:lvlText w:val="o"/>
      <w:lvlJc w:val="left"/>
      <w:pPr>
        <w:ind w:left="5760" w:hanging="360"/>
      </w:pPr>
      <w:rPr>
        <w:rFonts w:ascii="Courier New" w:hAnsi="Courier New" w:hint="default"/>
      </w:rPr>
    </w:lvl>
    <w:lvl w:ilvl="8" w:tplc="5C686BD4">
      <w:start w:val="1"/>
      <w:numFmt w:val="bullet"/>
      <w:lvlText w:val=""/>
      <w:lvlJc w:val="left"/>
      <w:pPr>
        <w:ind w:left="6480" w:hanging="360"/>
      </w:pPr>
      <w:rPr>
        <w:rFonts w:ascii="Wingdings" w:hAnsi="Wingdings" w:hint="default"/>
      </w:rPr>
    </w:lvl>
  </w:abstractNum>
  <w:abstractNum w:abstractNumId="5" w15:restartNumberingAfterBreak="0">
    <w:nsid w:val="116574B1"/>
    <w:multiLevelType w:val="hybridMultilevel"/>
    <w:tmpl w:val="B696321A"/>
    <w:lvl w:ilvl="0" w:tplc="66F676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F52444"/>
    <w:multiLevelType w:val="hybridMultilevel"/>
    <w:tmpl w:val="6958E3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83DE94"/>
    <w:multiLevelType w:val="hybridMultilevel"/>
    <w:tmpl w:val="D5C806A6"/>
    <w:lvl w:ilvl="0" w:tplc="3B2C9320">
      <w:start w:val="1"/>
      <w:numFmt w:val="bullet"/>
      <w:lvlText w:val=""/>
      <w:lvlJc w:val="left"/>
      <w:pPr>
        <w:ind w:left="360" w:hanging="360"/>
      </w:pPr>
      <w:rPr>
        <w:rFonts w:ascii="Symbol" w:hAnsi="Symbol" w:hint="default"/>
      </w:rPr>
    </w:lvl>
    <w:lvl w:ilvl="1" w:tplc="9CB452F2">
      <w:start w:val="1"/>
      <w:numFmt w:val="bullet"/>
      <w:lvlText w:val="o"/>
      <w:lvlJc w:val="left"/>
      <w:pPr>
        <w:ind w:left="1080" w:hanging="360"/>
      </w:pPr>
      <w:rPr>
        <w:rFonts w:ascii="Courier New" w:hAnsi="Courier New" w:hint="default"/>
      </w:rPr>
    </w:lvl>
    <w:lvl w:ilvl="2" w:tplc="9106FC12">
      <w:start w:val="1"/>
      <w:numFmt w:val="bullet"/>
      <w:lvlText w:val=""/>
      <w:lvlJc w:val="left"/>
      <w:pPr>
        <w:ind w:left="1800" w:hanging="360"/>
      </w:pPr>
      <w:rPr>
        <w:rFonts w:ascii="Wingdings" w:hAnsi="Wingdings" w:hint="default"/>
      </w:rPr>
    </w:lvl>
    <w:lvl w:ilvl="3" w:tplc="D16C9204">
      <w:start w:val="1"/>
      <w:numFmt w:val="bullet"/>
      <w:lvlText w:val=""/>
      <w:lvlJc w:val="left"/>
      <w:pPr>
        <w:ind w:left="2520" w:hanging="360"/>
      </w:pPr>
      <w:rPr>
        <w:rFonts w:ascii="Symbol" w:hAnsi="Symbol" w:hint="default"/>
      </w:rPr>
    </w:lvl>
    <w:lvl w:ilvl="4" w:tplc="1D7CA09E">
      <w:start w:val="1"/>
      <w:numFmt w:val="bullet"/>
      <w:lvlText w:val="o"/>
      <w:lvlJc w:val="left"/>
      <w:pPr>
        <w:ind w:left="3240" w:hanging="360"/>
      </w:pPr>
      <w:rPr>
        <w:rFonts w:ascii="Courier New" w:hAnsi="Courier New" w:hint="default"/>
      </w:rPr>
    </w:lvl>
    <w:lvl w:ilvl="5" w:tplc="75ACDDA6">
      <w:start w:val="1"/>
      <w:numFmt w:val="bullet"/>
      <w:lvlText w:val=""/>
      <w:lvlJc w:val="left"/>
      <w:pPr>
        <w:ind w:left="3960" w:hanging="360"/>
      </w:pPr>
      <w:rPr>
        <w:rFonts w:ascii="Wingdings" w:hAnsi="Wingdings" w:hint="default"/>
      </w:rPr>
    </w:lvl>
    <w:lvl w:ilvl="6" w:tplc="DC8C668E">
      <w:start w:val="1"/>
      <w:numFmt w:val="bullet"/>
      <w:lvlText w:val=""/>
      <w:lvlJc w:val="left"/>
      <w:pPr>
        <w:ind w:left="4680" w:hanging="360"/>
      </w:pPr>
      <w:rPr>
        <w:rFonts w:ascii="Symbol" w:hAnsi="Symbol" w:hint="default"/>
      </w:rPr>
    </w:lvl>
    <w:lvl w:ilvl="7" w:tplc="B8F062D4">
      <w:start w:val="1"/>
      <w:numFmt w:val="bullet"/>
      <w:lvlText w:val="o"/>
      <w:lvlJc w:val="left"/>
      <w:pPr>
        <w:ind w:left="5400" w:hanging="360"/>
      </w:pPr>
      <w:rPr>
        <w:rFonts w:ascii="Courier New" w:hAnsi="Courier New" w:hint="default"/>
      </w:rPr>
    </w:lvl>
    <w:lvl w:ilvl="8" w:tplc="BED44A94">
      <w:start w:val="1"/>
      <w:numFmt w:val="bullet"/>
      <w:lvlText w:val=""/>
      <w:lvlJc w:val="left"/>
      <w:pPr>
        <w:ind w:left="6120" w:hanging="360"/>
      </w:pPr>
      <w:rPr>
        <w:rFonts w:ascii="Wingdings" w:hAnsi="Wingdings" w:hint="default"/>
      </w:rPr>
    </w:lvl>
  </w:abstractNum>
  <w:abstractNum w:abstractNumId="8" w15:restartNumberingAfterBreak="0">
    <w:nsid w:val="261E1568"/>
    <w:multiLevelType w:val="hybridMultilevel"/>
    <w:tmpl w:val="F430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6915365"/>
    <w:multiLevelType w:val="hybridMultilevel"/>
    <w:tmpl w:val="4128278E"/>
    <w:lvl w:ilvl="0" w:tplc="3B2C932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D4AB4"/>
    <w:multiLevelType w:val="hybridMultilevel"/>
    <w:tmpl w:val="3740F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C33334"/>
    <w:multiLevelType w:val="hybridMultilevel"/>
    <w:tmpl w:val="345AB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387EE9"/>
    <w:multiLevelType w:val="hybridMultilevel"/>
    <w:tmpl w:val="276E11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6D0EB5"/>
    <w:multiLevelType w:val="hybridMultilevel"/>
    <w:tmpl w:val="DD28C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0C4"/>
    <w:multiLevelType w:val="hybridMultilevel"/>
    <w:tmpl w:val="74B829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7F7A2C"/>
    <w:multiLevelType w:val="hybridMultilevel"/>
    <w:tmpl w:val="30A8E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6B5857"/>
    <w:multiLevelType w:val="hybridMultilevel"/>
    <w:tmpl w:val="B4CEC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86441EE"/>
    <w:multiLevelType w:val="hybridMultilevel"/>
    <w:tmpl w:val="B540CDFA"/>
    <w:lvl w:ilvl="0" w:tplc="AB4E4D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EA0FE2"/>
    <w:multiLevelType w:val="hybridMultilevel"/>
    <w:tmpl w:val="DE16A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CE32AA"/>
    <w:multiLevelType w:val="hybridMultilevel"/>
    <w:tmpl w:val="719043AE"/>
    <w:lvl w:ilvl="0" w:tplc="5F76983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07671C"/>
    <w:multiLevelType w:val="hybridMultilevel"/>
    <w:tmpl w:val="AF4C95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B44E3C"/>
    <w:multiLevelType w:val="hybridMultilevel"/>
    <w:tmpl w:val="4C3E5E98"/>
    <w:lvl w:ilvl="0" w:tplc="3B2C932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7D48B6"/>
    <w:multiLevelType w:val="hybridMultilevel"/>
    <w:tmpl w:val="59A6A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1B173B"/>
    <w:multiLevelType w:val="hybridMultilevel"/>
    <w:tmpl w:val="1106830C"/>
    <w:lvl w:ilvl="0" w:tplc="0C09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4" w15:restartNumberingAfterBreak="0">
    <w:nsid w:val="74F776ED"/>
    <w:multiLevelType w:val="hybridMultilevel"/>
    <w:tmpl w:val="6BEA6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65028A6"/>
    <w:multiLevelType w:val="hybridMultilevel"/>
    <w:tmpl w:val="4300D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85216E"/>
    <w:multiLevelType w:val="hybridMultilevel"/>
    <w:tmpl w:val="5F92E9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DE4255"/>
    <w:multiLevelType w:val="hybridMultilevel"/>
    <w:tmpl w:val="069A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26108097">
    <w:abstractNumId w:val="4"/>
  </w:num>
  <w:num w:numId="2" w16cid:durableId="1509439423">
    <w:abstractNumId w:val="19"/>
  </w:num>
  <w:num w:numId="3" w16cid:durableId="1758021368">
    <w:abstractNumId w:val="24"/>
  </w:num>
  <w:num w:numId="4" w16cid:durableId="151145333">
    <w:abstractNumId w:val="23"/>
  </w:num>
  <w:num w:numId="5" w16cid:durableId="1099523153">
    <w:abstractNumId w:val="28"/>
  </w:num>
  <w:num w:numId="6" w16cid:durableId="160243878">
    <w:abstractNumId w:val="20"/>
  </w:num>
  <w:num w:numId="7" w16cid:durableId="722098354">
    <w:abstractNumId w:val="1"/>
  </w:num>
  <w:num w:numId="8" w16cid:durableId="31000470">
    <w:abstractNumId w:val="17"/>
  </w:num>
  <w:num w:numId="9" w16cid:durableId="831221202">
    <w:abstractNumId w:val="10"/>
  </w:num>
  <w:num w:numId="10" w16cid:durableId="1827503813">
    <w:abstractNumId w:val="37"/>
  </w:num>
  <w:num w:numId="11" w16cid:durableId="1787965033">
    <w:abstractNumId w:val="13"/>
  </w:num>
  <w:num w:numId="12" w16cid:durableId="1533692137">
    <w:abstractNumId w:val="14"/>
  </w:num>
  <w:num w:numId="13" w16cid:durableId="1781954936">
    <w:abstractNumId w:val="22"/>
  </w:num>
  <w:num w:numId="14" w16cid:durableId="378553056">
    <w:abstractNumId w:val="27"/>
  </w:num>
  <w:num w:numId="15" w16cid:durableId="19745840">
    <w:abstractNumId w:val="21"/>
  </w:num>
  <w:num w:numId="16" w16cid:durableId="1349916398">
    <w:abstractNumId w:val="8"/>
  </w:num>
  <w:num w:numId="17" w16cid:durableId="946277010">
    <w:abstractNumId w:val="38"/>
  </w:num>
  <w:num w:numId="18" w16cid:durableId="865095664">
    <w:abstractNumId w:val="11"/>
  </w:num>
  <w:num w:numId="19" w16cid:durableId="1131091147">
    <w:abstractNumId w:val="5"/>
  </w:num>
  <w:num w:numId="20" w16cid:durableId="1738867946">
    <w:abstractNumId w:val="25"/>
  </w:num>
  <w:num w:numId="21" w16cid:durableId="950209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3084986">
    <w:abstractNumId w:val="29"/>
  </w:num>
  <w:num w:numId="23" w16cid:durableId="1065682477">
    <w:abstractNumId w:val="35"/>
  </w:num>
  <w:num w:numId="24" w16cid:durableId="193079393">
    <w:abstractNumId w:val="32"/>
  </w:num>
  <w:num w:numId="25" w16cid:durableId="772893832">
    <w:abstractNumId w:val="26"/>
  </w:num>
  <w:num w:numId="26" w16cid:durableId="1183205370">
    <w:abstractNumId w:val="15"/>
  </w:num>
  <w:num w:numId="27" w16cid:durableId="905605607">
    <w:abstractNumId w:val="6"/>
  </w:num>
  <w:num w:numId="28" w16cid:durableId="741415240">
    <w:abstractNumId w:val="36"/>
  </w:num>
  <w:num w:numId="29" w16cid:durableId="1655526681">
    <w:abstractNumId w:val="16"/>
  </w:num>
  <w:num w:numId="30" w16cid:durableId="1267273874">
    <w:abstractNumId w:val="12"/>
  </w:num>
  <w:num w:numId="31" w16cid:durableId="1214200662">
    <w:abstractNumId w:val="30"/>
  </w:num>
  <w:num w:numId="32" w16cid:durableId="239141833">
    <w:abstractNumId w:val="18"/>
  </w:num>
  <w:num w:numId="33" w16cid:durableId="888685916">
    <w:abstractNumId w:val="34"/>
  </w:num>
  <w:num w:numId="34" w16cid:durableId="438113101">
    <w:abstractNumId w:val="7"/>
  </w:num>
  <w:num w:numId="35" w16cid:durableId="392628717">
    <w:abstractNumId w:val="31"/>
  </w:num>
  <w:num w:numId="36" w16cid:durableId="885138241">
    <w:abstractNumId w:val="9"/>
  </w:num>
  <w:num w:numId="37" w16cid:durableId="1339887003">
    <w:abstractNumId w:val="2"/>
  </w:num>
  <w:num w:numId="38" w16cid:durableId="1799176174">
    <w:abstractNumId w:val="3"/>
  </w:num>
  <w:num w:numId="39" w16cid:durableId="144330815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2D68"/>
    <w:rsid w:val="0000308E"/>
    <w:rsid w:val="000033F7"/>
    <w:rsid w:val="00003403"/>
    <w:rsid w:val="00003867"/>
    <w:rsid w:val="00005347"/>
    <w:rsid w:val="000072B6"/>
    <w:rsid w:val="0001021B"/>
    <w:rsid w:val="00011688"/>
    <w:rsid w:val="00011D89"/>
    <w:rsid w:val="000154FD"/>
    <w:rsid w:val="00022271"/>
    <w:rsid w:val="0002297D"/>
    <w:rsid w:val="000235E8"/>
    <w:rsid w:val="00024D89"/>
    <w:rsid w:val="000250B6"/>
    <w:rsid w:val="00030CDD"/>
    <w:rsid w:val="00033D81"/>
    <w:rsid w:val="00033DC9"/>
    <w:rsid w:val="00037366"/>
    <w:rsid w:val="00041BF0"/>
    <w:rsid w:val="00042C8A"/>
    <w:rsid w:val="0004536B"/>
    <w:rsid w:val="0004570A"/>
    <w:rsid w:val="00046B68"/>
    <w:rsid w:val="00046BCB"/>
    <w:rsid w:val="000527DD"/>
    <w:rsid w:val="000547D7"/>
    <w:rsid w:val="00056EC4"/>
    <w:rsid w:val="000578B2"/>
    <w:rsid w:val="00060959"/>
    <w:rsid w:val="00060C8F"/>
    <w:rsid w:val="0006298A"/>
    <w:rsid w:val="000663CD"/>
    <w:rsid w:val="00071425"/>
    <w:rsid w:val="000733FE"/>
    <w:rsid w:val="00074219"/>
    <w:rsid w:val="00074ED5"/>
    <w:rsid w:val="0008204A"/>
    <w:rsid w:val="00082874"/>
    <w:rsid w:val="00085012"/>
    <w:rsid w:val="0008508E"/>
    <w:rsid w:val="00087951"/>
    <w:rsid w:val="00090CAE"/>
    <w:rsid w:val="0009113B"/>
    <w:rsid w:val="00091CD6"/>
    <w:rsid w:val="00093402"/>
    <w:rsid w:val="00094DA3"/>
    <w:rsid w:val="00096CD1"/>
    <w:rsid w:val="00097063"/>
    <w:rsid w:val="00097D13"/>
    <w:rsid w:val="000A012C"/>
    <w:rsid w:val="000A0EB9"/>
    <w:rsid w:val="000A186C"/>
    <w:rsid w:val="000A1EA4"/>
    <w:rsid w:val="000A2476"/>
    <w:rsid w:val="000A641A"/>
    <w:rsid w:val="000B3733"/>
    <w:rsid w:val="000B3EDB"/>
    <w:rsid w:val="000B543D"/>
    <w:rsid w:val="000B55F9"/>
    <w:rsid w:val="000B5BF7"/>
    <w:rsid w:val="000B6BC8"/>
    <w:rsid w:val="000C0303"/>
    <w:rsid w:val="000C42EA"/>
    <w:rsid w:val="000C4546"/>
    <w:rsid w:val="000C4875"/>
    <w:rsid w:val="000D1242"/>
    <w:rsid w:val="000D2ABA"/>
    <w:rsid w:val="000D79BE"/>
    <w:rsid w:val="000D7F7C"/>
    <w:rsid w:val="000E0970"/>
    <w:rsid w:val="000E3CC7"/>
    <w:rsid w:val="000E6BD4"/>
    <w:rsid w:val="000E6D6D"/>
    <w:rsid w:val="000F1F1E"/>
    <w:rsid w:val="000F2259"/>
    <w:rsid w:val="000F265E"/>
    <w:rsid w:val="000F2DDA"/>
    <w:rsid w:val="000F2EA0"/>
    <w:rsid w:val="000F5213"/>
    <w:rsid w:val="00101001"/>
    <w:rsid w:val="00101B58"/>
    <w:rsid w:val="00103276"/>
    <w:rsid w:val="0010392D"/>
    <w:rsid w:val="0010447F"/>
    <w:rsid w:val="00104FE3"/>
    <w:rsid w:val="0010714F"/>
    <w:rsid w:val="001120C5"/>
    <w:rsid w:val="00120BD3"/>
    <w:rsid w:val="00122FEA"/>
    <w:rsid w:val="001232BD"/>
    <w:rsid w:val="00124ED5"/>
    <w:rsid w:val="001276FA"/>
    <w:rsid w:val="00140CF9"/>
    <w:rsid w:val="00144630"/>
    <w:rsid w:val="001447B3"/>
    <w:rsid w:val="001468C4"/>
    <w:rsid w:val="00152073"/>
    <w:rsid w:val="00152329"/>
    <w:rsid w:val="0015607C"/>
    <w:rsid w:val="00156598"/>
    <w:rsid w:val="00161939"/>
    <w:rsid w:val="00161AA0"/>
    <w:rsid w:val="00161D2E"/>
    <w:rsid w:val="00161F3E"/>
    <w:rsid w:val="00162093"/>
    <w:rsid w:val="001621B8"/>
    <w:rsid w:val="00162CA9"/>
    <w:rsid w:val="00165459"/>
    <w:rsid w:val="00165A57"/>
    <w:rsid w:val="0017017D"/>
    <w:rsid w:val="001712C2"/>
    <w:rsid w:val="00171993"/>
    <w:rsid w:val="001721C1"/>
    <w:rsid w:val="00172BAF"/>
    <w:rsid w:val="0017674D"/>
    <w:rsid w:val="001771DD"/>
    <w:rsid w:val="00177995"/>
    <w:rsid w:val="00177A8C"/>
    <w:rsid w:val="0018244E"/>
    <w:rsid w:val="00184B06"/>
    <w:rsid w:val="00186B33"/>
    <w:rsid w:val="00192F9D"/>
    <w:rsid w:val="001933CC"/>
    <w:rsid w:val="00196EB8"/>
    <w:rsid w:val="00196EFB"/>
    <w:rsid w:val="001979FF"/>
    <w:rsid w:val="00197B17"/>
    <w:rsid w:val="001A1950"/>
    <w:rsid w:val="001A1C54"/>
    <w:rsid w:val="001A3ACE"/>
    <w:rsid w:val="001A6272"/>
    <w:rsid w:val="001B058F"/>
    <w:rsid w:val="001B59ED"/>
    <w:rsid w:val="001B6291"/>
    <w:rsid w:val="001B6B96"/>
    <w:rsid w:val="001B6D79"/>
    <w:rsid w:val="001B738B"/>
    <w:rsid w:val="001C09DB"/>
    <w:rsid w:val="001C21D4"/>
    <w:rsid w:val="001C277E"/>
    <w:rsid w:val="001C2A72"/>
    <w:rsid w:val="001C31B7"/>
    <w:rsid w:val="001C4936"/>
    <w:rsid w:val="001D0B75"/>
    <w:rsid w:val="001D0EBA"/>
    <w:rsid w:val="001D1470"/>
    <w:rsid w:val="001D33CF"/>
    <w:rsid w:val="001D39A5"/>
    <w:rsid w:val="001D3C09"/>
    <w:rsid w:val="001D44E8"/>
    <w:rsid w:val="001D55AB"/>
    <w:rsid w:val="001D60EC"/>
    <w:rsid w:val="001D6F59"/>
    <w:rsid w:val="001E1AFA"/>
    <w:rsid w:val="001E44DF"/>
    <w:rsid w:val="001E68A5"/>
    <w:rsid w:val="001E6BB0"/>
    <w:rsid w:val="001E7282"/>
    <w:rsid w:val="001F3826"/>
    <w:rsid w:val="001F6E46"/>
    <w:rsid w:val="001F70AE"/>
    <w:rsid w:val="001F766E"/>
    <w:rsid w:val="001F7C91"/>
    <w:rsid w:val="002022F2"/>
    <w:rsid w:val="002033B7"/>
    <w:rsid w:val="00206463"/>
    <w:rsid w:val="00206F2F"/>
    <w:rsid w:val="00207717"/>
    <w:rsid w:val="00207F15"/>
    <w:rsid w:val="0021053D"/>
    <w:rsid w:val="00210A92"/>
    <w:rsid w:val="00212B95"/>
    <w:rsid w:val="00215CC8"/>
    <w:rsid w:val="00216163"/>
    <w:rsid w:val="00216C03"/>
    <w:rsid w:val="00220A1A"/>
    <w:rsid w:val="00220C04"/>
    <w:rsid w:val="0022278D"/>
    <w:rsid w:val="0022701F"/>
    <w:rsid w:val="00227407"/>
    <w:rsid w:val="00227C68"/>
    <w:rsid w:val="00232256"/>
    <w:rsid w:val="002333F5"/>
    <w:rsid w:val="00233724"/>
    <w:rsid w:val="002365B4"/>
    <w:rsid w:val="0024033D"/>
    <w:rsid w:val="002432E1"/>
    <w:rsid w:val="00246207"/>
    <w:rsid w:val="00246985"/>
    <w:rsid w:val="00246C5E"/>
    <w:rsid w:val="00250960"/>
    <w:rsid w:val="00251343"/>
    <w:rsid w:val="002536A4"/>
    <w:rsid w:val="00254F58"/>
    <w:rsid w:val="002620BC"/>
    <w:rsid w:val="00262802"/>
    <w:rsid w:val="00263A90"/>
    <w:rsid w:val="0026408B"/>
    <w:rsid w:val="00267C3E"/>
    <w:rsid w:val="002709BB"/>
    <w:rsid w:val="0027131C"/>
    <w:rsid w:val="0027348C"/>
    <w:rsid w:val="00273BAC"/>
    <w:rsid w:val="002763B3"/>
    <w:rsid w:val="00276906"/>
    <w:rsid w:val="002802E3"/>
    <w:rsid w:val="00281B62"/>
    <w:rsid w:val="0028213D"/>
    <w:rsid w:val="002862F1"/>
    <w:rsid w:val="00286953"/>
    <w:rsid w:val="00287D68"/>
    <w:rsid w:val="00291373"/>
    <w:rsid w:val="002948D6"/>
    <w:rsid w:val="0029597D"/>
    <w:rsid w:val="002962C3"/>
    <w:rsid w:val="0029752B"/>
    <w:rsid w:val="002A0797"/>
    <w:rsid w:val="002A0A9C"/>
    <w:rsid w:val="002A483C"/>
    <w:rsid w:val="002AEBAA"/>
    <w:rsid w:val="002B0C7C"/>
    <w:rsid w:val="002B1729"/>
    <w:rsid w:val="002B36C7"/>
    <w:rsid w:val="002B4DD4"/>
    <w:rsid w:val="002B5277"/>
    <w:rsid w:val="002B5375"/>
    <w:rsid w:val="002B77C1"/>
    <w:rsid w:val="002C0ED7"/>
    <w:rsid w:val="002C2728"/>
    <w:rsid w:val="002C5B7C"/>
    <w:rsid w:val="002D153F"/>
    <w:rsid w:val="002D1E0D"/>
    <w:rsid w:val="002D5006"/>
    <w:rsid w:val="002D7C61"/>
    <w:rsid w:val="002E01D0"/>
    <w:rsid w:val="002E161D"/>
    <w:rsid w:val="002E28A2"/>
    <w:rsid w:val="002E3100"/>
    <w:rsid w:val="002E6C95"/>
    <w:rsid w:val="002E7C36"/>
    <w:rsid w:val="002F3D32"/>
    <w:rsid w:val="002F5F31"/>
    <w:rsid w:val="002F5F46"/>
    <w:rsid w:val="0030045E"/>
    <w:rsid w:val="0030148C"/>
    <w:rsid w:val="00302216"/>
    <w:rsid w:val="003025DE"/>
    <w:rsid w:val="00303E53"/>
    <w:rsid w:val="00305CC1"/>
    <w:rsid w:val="00306E5F"/>
    <w:rsid w:val="00307E14"/>
    <w:rsid w:val="003127A5"/>
    <w:rsid w:val="00314054"/>
    <w:rsid w:val="003141B2"/>
    <w:rsid w:val="00314A12"/>
    <w:rsid w:val="00316F27"/>
    <w:rsid w:val="003214F1"/>
    <w:rsid w:val="00322E4B"/>
    <w:rsid w:val="00324AB6"/>
    <w:rsid w:val="00327870"/>
    <w:rsid w:val="0033259D"/>
    <w:rsid w:val="003333D2"/>
    <w:rsid w:val="00333DD2"/>
    <w:rsid w:val="0033450D"/>
    <w:rsid w:val="00334686"/>
    <w:rsid w:val="003356CC"/>
    <w:rsid w:val="00337339"/>
    <w:rsid w:val="00340345"/>
    <w:rsid w:val="003406C6"/>
    <w:rsid w:val="003418CC"/>
    <w:rsid w:val="003434EE"/>
    <w:rsid w:val="003459BD"/>
    <w:rsid w:val="003464AA"/>
    <w:rsid w:val="00346848"/>
    <w:rsid w:val="00350D38"/>
    <w:rsid w:val="00351492"/>
    <w:rsid w:val="00351B36"/>
    <w:rsid w:val="00357B4E"/>
    <w:rsid w:val="00360BD8"/>
    <w:rsid w:val="003716FD"/>
    <w:rsid w:val="0037204B"/>
    <w:rsid w:val="003744CF"/>
    <w:rsid w:val="00374717"/>
    <w:rsid w:val="0037676C"/>
    <w:rsid w:val="00381043"/>
    <w:rsid w:val="003829E5"/>
    <w:rsid w:val="003845AB"/>
    <w:rsid w:val="00386109"/>
    <w:rsid w:val="00386944"/>
    <w:rsid w:val="00391743"/>
    <w:rsid w:val="003956CC"/>
    <w:rsid w:val="00395C9A"/>
    <w:rsid w:val="003A0853"/>
    <w:rsid w:val="003A256A"/>
    <w:rsid w:val="003A5439"/>
    <w:rsid w:val="003A6B67"/>
    <w:rsid w:val="003A7D76"/>
    <w:rsid w:val="003B13B6"/>
    <w:rsid w:val="003B14C3"/>
    <w:rsid w:val="003B15E6"/>
    <w:rsid w:val="003B22EF"/>
    <w:rsid w:val="003B408A"/>
    <w:rsid w:val="003C016A"/>
    <w:rsid w:val="003C08A2"/>
    <w:rsid w:val="003C2045"/>
    <w:rsid w:val="003C43A1"/>
    <w:rsid w:val="003C4FC0"/>
    <w:rsid w:val="003C55F4"/>
    <w:rsid w:val="003C7897"/>
    <w:rsid w:val="003C7A3F"/>
    <w:rsid w:val="003D2766"/>
    <w:rsid w:val="003D2A74"/>
    <w:rsid w:val="003D3D88"/>
    <w:rsid w:val="003D3E8F"/>
    <w:rsid w:val="003D6475"/>
    <w:rsid w:val="003D6EE6"/>
    <w:rsid w:val="003E3282"/>
    <w:rsid w:val="003E375C"/>
    <w:rsid w:val="003E4086"/>
    <w:rsid w:val="003E639E"/>
    <w:rsid w:val="003E71E5"/>
    <w:rsid w:val="003F0445"/>
    <w:rsid w:val="003F0CF0"/>
    <w:rsid w:val="003F14B1"/>
    <w:rsid w:val="003F2B20"/>
    <w:rsid w:val="003F3289"/>
    <w:rsid w:val="003F3C62"/>
    <w:rsid w:val="003F52A4"/>
    <w:rsid w:val="003F5CB9"/>
    <w:rsid w:val="004013C7"/>
    <w:rsid w:val="00401FCF"/>
    <w:rsid w:val="00402F15"/>
    <w:rsid w:val="00406285"/>
    <w:rsid w:val="004115A2"/>
    <w:rsid w:val="004148F9"/>
    <w:rsid w:val="0042084E"/>
    <w:rsid w:val="00421EEF"/>
    <w:rsid w:val="00424D65"/>
    <w:rsid w:val="00424FFE"/>
    <w:rsid w:val="00430393"/>
    <w:rsid w:val="00431806"/>
    <w:rsid w:val="00431A70"/>
    <w:rsid w:val="00431F42"/>
    <w:rsid w:val="00442C6C"/>
    <w:rsid w:val="00443CBE"/>
    <w:rsid w:val="00443E8A"/>
    <w:rsid w:val="004441BC"/>
    <w:rsid w:val="004468B4"/>
    <w:rsid w:val="00446D86"/>
    <w:rsid w:val="0045230A"/>
    <w:rsid w:val="00453FC9"/>
    <w:rsid w:val="00454AD0"/>
    <w:rsid w:val="00457337"/>
    <w:rsid w:val="00462E3D"/>
    <w:rsid w:val="00466E79"/>
    <w:rsid w:val="00470D7D"/>
    <w:rsid w:val="0047372D"/>
    <w:rsid w:val="00473BA3"/>
    <w:rsid w:val="004743DD"/>
    <w:rsid w:val="00474CEA"/>
    <w:rsid w:val="00483968"/>
    <w:rsid w:val="004841BE"/>
    <w:rsid w:val="00484A99"/>
    <w:rsid w:val="00484F86"/>
    <w:rsid w:val="00490746"/>
    <w:rsid w:val="00490852"/>
    <w:rsid w:val="0049194E"/>
    <w:rsid w:val="00491C9C"/>
    <w:rsid w:val="00492F30"/>
    <w:rsid w:val="00493723"/>
    <w:rsid w:val="004946F4"/>
    <w:rsid w:val="0049487E"/>
    <w:rsid w:val="004A0946"/>
    <w:rsid w:val="004A160D"/>
    <w:rsid w:val="004A1D5F"/>
    <w:rsid w:val="004A3402"/>
    <w:rsid w:val="004A388F"/>
    <w:rsid w:val="004A3E81"/>
    <w:rsid w:val="004A4195"/>
    <w:rsid w:val="004A5C62"/>
    <w:rsid w:val="004A5CE5"/>
    <w:rsid w:val="004A6146"/>
    <w:rsid w:val="004A707D"/>
    <w:rsid w:val="004B0974"/>
    <w:rsid w:val="004B4185"/>
    <w:rsid w:val="004B4A4C"/>
    <w:rsid w:val="004B5BCF"/>
    <w:rsid w:val="004C5541"/>
    <w:rsid w:val="004C5880"/>
    <w:rsid w:val="004C6EEE"/>
    <w:rsid w:val="004C702B"/>
    <w:rsid w:val="004D0033"/>
    <w:rsid w:val="004D016B"/>
    <w:rsid w:val="004D1B22"/>
    <w:rsid w:val="004D23CC"/>
    <w:rsid w:val="004D36F2"/>
    <w:rsid w:val="004E1106"/>
    <w:rsid w:val="004E138F"/>
    <w:rsid w:val="004E14CE"/>
    <w:rsid w:val="004E3705"/>
    <w:rsid w:val="004E4649"/>
    <w:rsid w:val="004E57DC"/>
    <w:rsid w:val="004E5C2B"/>
    <w:rsid w:val="004F00DD"/>
    <w:rsid w:val="004F2133"/>
    <w:rsid w:val="004F5398"/>
    <w:rsid w:val="004F55F1"/>
    <w:rsid w:val="004F5E82"/>
    <w:rsid w:val="004F6936"/>
    <w:rsid w:val="0050076A"/>
    <w:rsid w:val="00503DC6"/>
    <w:rsid w:val="00506F5D"/>
    <w:rsid w:val="00510C37"/>
    <w:rsid w:val="005126D0"/>
    <w:rsid w:val="00514667"/>
    <w:rsid w:val="0051568D"/>
    <w:rsid w:val="00526AC7"/>
    <w:rsid w:val="00526C15"/>
    <w:rsid w:val="00534774"/>
    <w:rsid w:val="00536499"/>
    <w:rsid w:val="00540DA5"/>
    <w:rsid w:val="00540E7E"/>
    <w:rsid w:val="00541718"/>
    <w:rsid w:val="00542A03"/>
    <w:rsid w:val="00543903"/>
    <w:rsid w:val="00543BCC"/>
    <w:rsid w:val="00543F11"/>
    <w:rsid w:val="00544135"/>
    <w:rsid w:val="00546305"/>
    <w:rsid w:val="00547A95"/>
    <w:rsid w:val="0055119B"/>
    <w:rsid w:val="00552A20"/>
    <w:rsid w:val="00553A82"/>
    <w:rsid w:val="00561202"/>
    <w:rsid w:val="00562507"/>
    <w:rsid w:val="00562811"/>
    <w:rsid w:val="00572031"/>
    <w:rsid w:val="00572282"/>
    <w:rsid w:val="00573CE3"/>
    <w:rsid w:val="00576E84"/>
    <w:rsid w:val="00580394"/>
    <w:rsid w:val="005809CD"/>
    <w:rsid w:val="00582B8C"/>
    <w:rsid w:val="005860C6"/>
    <w:rsid w:val="00586A8B"/>
    <w:rsid w:val="0058757E"/>
    <w:rsid w:val="00595B56"/>
    <w:rsid w:val="00596A4B"/>
    <w:rsid w:val="00597507"/>
    <w:rsid w:val="005A479D"/>
    <w:rsid w:val="005B1C6D"/>
    <w:rsid w:val="005B21B6"/>
    <w:rsid w:val="005B3A08"/>
    <w:rsid w:val="005B447A"/>
    <w:rsid w:val="005B7A63"/>
    <w:rsid w:val="005C0955"/>
    <w:rsid w:val="005C35FF"/>
    <w:rsid w:val="005C49DA"/>
    <w:rsid w:val="005C50F3"/>
    <w:rsid w:val="005C54B5"/>
    <w:rsid w:val="005C5D80"/>
    <w:rsid w:val="005C5D91"/>
    <w:rsid w:val="005D07B8"/>
    <w:rsid w:val="005D583E"/>
    <w:rsid w:val="005D6597"/>
    <w:rsid w:val="005E0929"/>
    <w:rsid w:val="005E0F29"/>
    <w:rsid w:val="005E10B2"/>
    <w:rsid w:val="005E14E7"/>
    <w:rsid w:val="005E26A3"/>
    <w:rsid w:val="005E2ECB"/>
    <w:rsid w:val="005E4232"/>
    <w:rsid w:val="005E447E"/>
    <w:rsid w:val="005E4FD1"/>
    <w:rsid w:val="005F0775"/>
    <w:rsid w:val="005F0CF5"/>
    <w:rsid w:val="005F21EB"/>
    <w:rsid w:val="005F561A"/>
    <w:rsid w:val="005F5A0E"/>
    <w:rsid w:val="005F64CF"/>
    <w:rsid w:val="006041AD"/>
    <w:rsid w:val="00604C38"/>
    <w:rsid w:val="00605908"/>
    <w:rsid w:val="00606A2B"/>
    <w:rsid w:val="00607850"/>
    <w:rsid w:val="00607EF7"/>
    <w:rsid w:val="00610D7C"/>
    <w:rsid w:val="00613414"/>
    <w:rsid w:val="00620154"/>
    <w:rsid w:val="0062408D"/>
    <w:rsid w:val="006240CC"/>
    <w:rsid w:val="00624940"/>
    <w:rsid w:val="006254F8"/>
    <w:rsid w:val="00626FF6"/>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0F8"/>
    <w:rsid w:val="006557A7"/>
    <w:rsid w:val="00656290"/>
    <w:rsid w:val="00656A0B"/>
    <w:rsid w:val="006570C0"/>
    <w:rsid w:val="006601C9"/>
    <w:rsid w:val="006608D8"/>
    <w:rsid w:val="0066157C"/>
    <w:rsid w:val="006621D7"/>
    <w:rsid w:val="0066226E"/>
    <w:rsid w:val="0066302A"/>
    <w:rsid w:val="00667770"/>
    <w:rsid w:val="00670597"/>
    <w:rsid w:val="006706D0"/>
    <w:rsid w:val="0067408C"/>
    <w:rsid w:val="00677574"/>
    <w:rsid w:val="006812ED"/>
    <w:rsid w:val="00683878"/>
    <w:rsid w:val="006842B4"/>
    <w:rsid w:val="00684380"/>
    <w:rsid w:val="0068454C"/>
    <w:rsid w:val="0068D9E7"/>
    <w:rsid w:val="00691B62"/>
    <w:rsid w:val="006933B5"/>
    <w:rsid w:val="00693D14"/>
    <w:rsid w:val="00696F27"/>
    <w:rsid w:val="006A18C2"/>
    <w:rsid w:val="006A3383"/>
    <w:rsid w:val="006B077C"/>
    <w:rsid w:val="006B3A85"/>
    <w:rsid w:val="006B5EA8"/>
    <w:rsid w:val="006B6803"/>
    <w:rsid w:val="006C5A3B"/>
    <w:rsid w:val="006D0F16"/>
    <w:rsid w:val="006D0FFE"/>
    <w:rsid w:val="006D2A3F"/>
    <w:rsid w:val="006D2FBC"/>
    <w:rsid w:val="006D6E34"/>
    <w:rsid w:val="006E138B"/>
    <w:rsid w:val="006E1867"/>
    <w:rsid w:val="006E1A39"/>
    <w:rsid w:val="006E7BD2"/>
    <w:rsid w:val="006F0330"/>
    <w:rsid w:val="006F1FDC"/>
    <w:rsid w:val="006F57E9"/>
    <w:rsid w:val="006F6B8C"/>
    <w:rsid w:val="007013EF"/>
    <w:rsid w:val="007055BD"/>
    <w:rsid w:val="00712515"/>
    <w:rsid w:val="007173CA"/>
    <w:rsid w:val="007216AA"/>
    <w:rsid w:val="00721AB5"/>
    <w:rsid w:val="00721CFB"/>
    <w:rsid w:val="00721DEF"/>
    <w:rsid w:val="00724A43"/>
    <w:rsid w:val="00726C1C"/>
    <w:rsid w:val="007273AC"/>
    <w:rsid w:val="00731AD4"/>
    <w:rsid w:val="007346E4"/>
    <w:rsid w:val="00735564"/>
    <w:rsid w:val="00740F22"/>
    <w:rsid w:val="00741CF0"/>
    <w:rsid w:val="00741F1A"/>
    <w:rsid w:val="0074441B"/>
    <w:rsid w:val="007447DA"/>
    <w:rsid w:val="007450F8"/>
    <w:rsid w:val="00746201"/>
    <w:rsid w:val="0074696E"/>
    <w:rsid w:val="00750135"/>
    <w:rsid w:val="00750EC2"/>
    <w:rsid w:val="00752B28"/>
    <w:rsid w:val="007536BC"/>
    <w:rsid w:val="007541A9"/>
    <w:rsid w:val="00754E36"/>
    <w:rsid w:val="00763139"/>
    <w:rsid w:val="0076388A"/>
    <w:rsid w:val="00763C0E"/>
    <w:rsid w:val="00770F37"/>
    <w:rsid w:val="007711A0"/>
    <w:rsid w:val="00772D5E"/>
    <w:rsid w:val="0077463E"/>
    <w:rsid w:val="00776928"/>
    <w:rsid w:val="00776D56"/>
    <w:rsid w:val="00776E0F"/>
    <w:rsid w:val="007774B1"/>
    <w:rsid w:val="00777BE1"/>
    <w:rsid w:val="00777E35"/>
    <w:rsid w:val="007812DB"/>
    <w:rsid w:val="00782222"/>
    <w:rsid w:val="007830A3"/>
    <w:rsid w:val="007833D8"/>
    <w:rsid w:val="00785677"/>
    <w:rsid w:val="00786F16"/>
    <w:rsid w:val="00787068"/>
    <w:rsid w:val="00791BD7"/>
    <w:rsid w:val="007933F7"/>
    <w:rsid w:val="00796E20"/>
    <w:rsid w:val="00797C32"/>
    <w:rsid w:val="007A11E8"/>
    <w:rsid w:val="007A74DD"/>
    <w:rsid w:val="007A8257"/>
    <w:rsid w:val="007B02F8"/>
    <w:rsid w:val="007B0914"/>
    <w:rsid w:val="007B1374"/>
    <w:rsid w:val="007B32E5"/>
    <w:rsid w:val="007B3DB9"/>
    <w:rsid w:val="007B440A"/>
    <w:rsid w:val="007B589F"/>
    <w:rsid w:val="007B6186"/>
    <w:rsid w:val="007B73BC"/>
    <w:rsid w:val="007BD729"/>
    <w:rsid w:val="007C1838"/>
    <w:rsid w:val="007C20B9"/>
    <w:rsid w:val="007C7301"/>
    <w:rsid w:val="007C7859"/>
    <w:rsid w:val="007C7F28"/>
    <w:rsid w:val="007D1466"/>
    <w:rsid w:val="007D1E93"/>
    <w:rsid w:val="007D2BDE"/>
    <w:rsid w:val="007D2FB6"/>
    <w:rsid w:val="007D49EB"/>
    <w:rsid w:val="007D5E1C"/>
    <w:rsid w:val="007E0DE2"/>
    <w:rsid w:val="007E11FD"/>
    <w:rsid w:val="007E152E"/>
    <w:rsid w:val="007E3667"/>
    <w:rsid w:val="007E3B98"/>
    <w:rsid w:val="007E417A"/>
    <w:rsid w:val="007F31B6"/>
    <w:rsid w:val="007F546C"/>
    <w:rsid w:val="007F625F"/>
    <w:rsid w:val="007F665E"/>
    <w:rsid w:val="00800412"/>
    <w:rsid w:val="00803D66"/>
    <w:rsid w:val="0080587B"/>
    <w:rsid w:val="00806468"/>
    <w:rsid w:val="008119CA"/>
    <w:rsid w:val="008130C4"/>
    <w:rsid w:val="008155F0"/>
    <w:rsid w:val="00816735"/>
    <w:rsid w:val="00820141"/>
    <w:rsid w:val="00820E0C"/>
    <w:rsid w:val="00823275"/>
    <w:rsid w:val="0082366F"/>
    <w:rsid w:val="008279E4"/>
    <w:rsid w:val="00832560"/>
    <w:rsid w:val="00832D0D"/>
    <w:rsid w:val="008338A2"/>
    <w:rsid w:val="00841AA9"/>
    <w:rsid w:val="008474FE"/>
    <w:rsid w:val="008520AC"/>
    <w:rsid w:val="00853EE4"/>
    <w:rsid w:val="00855535"/>
    <w:rsid w:val="00857C5A"/>
    <w:rsid w:val="0086255E"/>
    <w:rsid w:val="008633F0"/>
    <w:rsid w:val="00864A0D"/>
    <w:rsid w:val="00867D9D"/>
    <w:rsid w:val="00870911"/>
    <w:rsid w:val="00872E0A"/>
    <w:rsid w:val="00873594"/>
    <w:rsid w:val="00875285"/>
    <w:rsid w:val="00884B62"/>
    <w:rsid w:val="0088529C"/>
    <w:rsid w:val="0088649F"/>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3602"/>
    <w:rsid w:val="008C5862"/>
    <w:rsid w:val="008C589D"/>
    <w:rsid w:val="008C6D51"/>
    <w:rsid w:val="008D2846"/>
    <w:rsid w:val="008D4236"/>
    <w:rsid w:val="008D462F"/>
    <w:rsid w:val="008D6DCF"/>
    <w:rsid w:val="008D7226"/>
    <w:rsid w:val="008E26C3"/>
    <w:rsid w:val="008E4376"/>
    <w:rsid w:val="008E761F"/>
    <w:rsid w:val="008E7A0A"/>
    <w:rsid w:val="008E7B49"/>
    <w:rsid w:val="008F59F6"/>
    <w:rsid w:val="008F64F8"/>
    <w:rsid w:val="00900719"/>
    <w:rsid w:val="009017AC"/>
    <w:rsid w:val="00902A9A"/>
    <w:rsid w:val="00904A1C"/>
    <w:rsid w:val="00905030"/>
    <w:rsid w:val="00906490"/>
    <w:rsid w:val="009111B2"/>
    <w:rsid w:val="009151F5"/>
    <w:rsid w:val="0091661F"/>
    <w:rsid w:val="00924AE1"/>
    <w:rsid w:val="009269B1"/>
    <w:rsid w:val="0092724D"/>
    <w:rsid w:val="009272B3"/>
    <w:rsid w:val="009315BE"/>
    <w:rsid w:val="009326DD"/>
    <w:rsid w:val="009332A2"/>
    <w:rsid w:val="0093338F"/>
    <w:rsid w:val="0093524B"/>
    <w:rsid w:val="00937BD9"/>
    <w:rsid w:val="00941967"/>
    <w:rsid w:val="0094607C"/>
    <w:rsid w:val="00946214"/>
    <w:rsid w:val="00950E2C"/>
    <w:rsid w:val="00951D50"/>
    <w:rsid w:val="009525EB"/>
    <w:rsid w:val="0095470B"/>
    <w:rsid w:val="00954874"/>
    <w:rsid w:val="009559DB"/>
    <w:rsid w:val="0095615A"/>
    <w:rsid w:val="009577F4"/>
    <w:rsid w:val="0095D769"/>
    <w:rsid w:val="00961400"/>
    <w:rsid w:val="00963646"/>
    <w:rsid w:val="0096632D"/>
    <w:rsid w:val="00966A3F"/>
    <w:rsid w:val="00967124"/>
    <w:rsid w:val="0097166C"/>
    <w:rsid w:val="009718C7"/>
    <w:rsid w:val="00973FCC"/>
    <w:rsid w:val="0097559F"/>
    <w:rsid w:val="00975DCA"/>
    <w:rsid w:val="009761EA"/>
    <w:rsid w:val="0097761E"/>
    <w:rsid w:val="00982454"/>
    <w:rsid w:val="00982CF0"/>
    <w:rsid w:val="009853E1"/>
    <w:rsid w:val="00985CB0"/>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B71D4"/>
    <w:rsid w:val="009B7793"/>
    <w:rsid w:val="009C245E"/>
    <w:rsid w:val="009C5E77"/>
    <w:rsid w:val="009C7A7E"/>
    <w:rsid w:val="009D02E8"/>
    <w:rsid w:val="009D3684"/>
    <w:rsid w:val="009D4078"/>
    <w:rsid w:val="009D4713"/>
    <w:rsid w:val="009D51D0"/>
    <w:rsid w:val="009D70A4"/>
    <w:rsid w:val="009D7B14"/>
    <w:rsid w:val="009D9CB6"/>
    <w:rsid w:val="009E08D1"/>
    <w:rsid w:val="009E0D96"/>
    <w:rsid w:val="009E1B95"/>
    <w:rsid w:val="009E2CEA"/>
    <w:rsid w:val="009E496F"/>
    <w:rsid w:val="009E4B0D"/>
    <w:rsid w:val="009E5250"/>
    <w:rsid w:val="009E7A69"/>
    <w:rsid w:val="009E7F92"/>
    <w:rsid w:val="009F02A3"/>
    <w:rsid w:val="009F1C8B"/>
    <w:rsid w:val="009F2182"/>
    <w:rsid w:val="009F2F27"/>
    <w:rsid w:val="009F34AA"/>
    <w:rsid w:val="009F54D1"/>
    <w:rsid w:val="009F5F91"/>
    <w:rsid w:val="009F6BCB"/>
    <w:rsid w:val="009F7B78"/>
    <w:rsid w:val="00A0057A"/>
    <w:rsid w:val="00A02FA1"/>
    <w:rsid w:val="00A04CCE"/>
    <w:rsid w:val="00A07421"/>
    <w:rsid w:val="00A0776B"/>
    <w:rsid w:val="00A10FB9"/>
    <w:rsid w:val="00A11421"/>
    <w:rsid w:val="00A1389F"/>
    <w:rsid w:val="00A157B1"/>
    <w:rsid w:val="00A15C37"/>
    <w:rsid w:val="00A16C25"/>
    <w:rsid w:val="00A16D37"/>
    <w:rsid w:val="00A22229"/>
    <w:rsid w:val="00A24442"/>
    <w:rsid w:val="00A2498E"/>
    <w:rsid w:val="00A24ADA"/>
    <w:rsid w:val="00A26043"/>
    <w:rsid w:val="00A32577"/>
    <w:rsid w:val="00A330BB"/>
    <w:rsid w:val="00A37C86"/>
    <w:rsid w:val="00A446F5"/>
    <w:rsid w:val="00A44882"/>
    <w:rsid w:val="00A45125"/>
    <w:rsid w:val="00A45C87"/>
    <w:rsid w:val="00A54715"/>
    <w:rsid w:val="00A6061C"/>
    <w:rsid w:val="00A60DC6"/>
    <w:rsid w:val="00A62D44"/>
    <w:rsid w:val="00A65B89"/>
    <w:rsid w:val="00A67263"/>
    <w:rsid w:val="00A7161C"/>
    <w:rsid w:val="00A71CE4"/>
    <w:rsid w:val="00A77AA3"/>
    <w:rsid w:val="00A80391"/>
    <w:rsid w:val="00A8236D"/>
    <w:rsid w:val="00A854EB"/>
    <w:rsid w:val="00A872E5"/>
    <w:rsid w:val="00A91406"/>
    <w:rsid w:val="00A9464F"/>
    <w:rsid w:val="00A96E65"/>
    <w:rsid w:val="00A96ECE"/>
    <w:rsid w:val="00A97C72"/>
    <w:rsid w:val="00AA310B"/>
    <w:rsid w:val="00AA3120"/>
    <w:rsid w:val="00AA3177"/>
    <w:rsid w:val="00AA63D4"/>
    <w:rsid w:val="00AA6FB8"/>
    <w:rsid w:val="00AB06E8"/>
    <w:rsid w:val="00AB1CD3"/>
    <w:rsid w:val="00AB352F"/>
    <w:rsid w:val="00AC274B"/>
    <w:rsid w:val="00AC4764"/>
    <w:rsid w:val="00AC6D36"/>
    <w:rsid w:val="00AD0CBA"/>
    <w:rsid w:val="00AD26E2"/>
    <w:rsid w:val="00AD784C"/>
    <w:rsid w:val="00AE126A"/>
    <w:rsid w:val="00AE1BAE"/>
    <w:rsid w:val="00AE3005"/>
    <w:rsid w:val="00AE3BD5"/>
    <w:rsid w:val="00AE4604"/>
    <w:rsid w:val="00AE59A0"/>
    <w:rsid w:val="00AED78D"/>
    <w:rsid w:val="00AF0C57"/>
    <w:rsid w:val="00AF26F3"/>
    <w:rsid w:val="00AF5F04"/>
    <w:rsid w:val="00AFB212"/>
    <w:rsid w:val="00B00672"/>
    <w:rsid w:val="00B01B4D"/>
    <w:rsid w:val="00B024B3"/>
    <w:rsid w:val="00B03FC9"/>
    <w:rsid w:val="00B04489"/>
    <w:rsid w:val="00B04D10"/>
    <w:rsid w:val="00B05040"/>
    <w:rsid w:val="00B06571"/>
    <w:rsid w:val="00B068BA"/>
    <w:rsid w:val="00B07217"/>
    <w:rsid w:val="00B13851"/>
    <w:rsid w:val="00B13B1C"/>
    <w:rsid w:val="00B141A8"/>
    <w:rsid w:val="00B14B5F"/>
    <w:rsid w:val="00B21F90"/>
    <w:rsid w:val="00B22291"/>
    <w:rsid w:val="00B23626"/>
    <w:rsid w:val="00B23F9A"/>
    <w:rsid w:val="00B2417B"/>
    <w:rsid w:val="00B24E6F"/>
    <w:rsid w:val="00B250E2"/>
    <w:rsid w:val="00B26CB5"/>
    <w:rsid w:val="00B2752E"/>
    <w:rsid w:val="00B307CC"/>
    <w:rsid w:val="00B326B7"/>
    <w:rsid w:val="00B3588E"/>
    <w:rsid w:val="00B365AF"/>
    <w:rsid w:val="00B4198F"/>
    <w:rsid w:val="00B41F3D"/>
    <w:rsid w:val="00B431E8"/>
    <w:rsid w:val="00B45141"/>
    <w:rsid w:val="00B519CD"/>
    <w:rsid w:val="00B5273A"/>
    <w:rsid w:val="00B57329"/>
    <w:rsid w:val="00B60236"/>
    <w:rsid w:val="00B60E0D"/>
    <w:rsid w:val="00B60E61"/>
    <w:rsid w:val="00B62B50"/>
    <w:rsid w:val="00B635B7"/>
    <w:rsid w:val="00B63AE8"/>
    <w:rsid w:val="00B65950"/>
    <w:rsid w:val="00B66D83"/>
    <w:rsid w:val="00B672C0"/>
    <w:rsid w:val="00B676FD"/>
    <w:rsid w:val="00B678B6"/>
    <w:rsid w:val="00B69242"/>
    <w:rsid w:val="00B727FE"/>
    <w:rsid w:val="00B72FD3"/>
    <w:rsid w:val="00B7492B"/>
    <w:rsid w:val="00B75646"/>
    <w:rsid w:val="00B76221"/>
    <w:rsid w:val="00B7629E"/>
    <w:rsid w:val="00B80C3C"/>
    <w:rsid w:val="00B84FC1"/>
    <w:rsid w:val="00B90729"/>
    <w:rsid w:val="00B907DA"/>
    <w:rsid w:val="00B94C5E"/>
    <w:rsid w:val="00B950BC"/>
    <w:rsid w:val="00B9714C"/>
    <w:rsid w:val="00B97B5D"/>
    <w:rsid w:val="00BA29AD"/>
    <w:rsid w:val="00BA33CF"/>
    <w:rsid w:val="00BA3F8D"/>
    <w:rsid w:val="00BB47B8"/>
    <w:rsid w:val="00BB7A10"/>
    <w:rsid w:val="00BC60BE"/>
    <w:rsid w:val="00BC6540"/>
    <w:rsid w:val="00BC7468"/>
    <w:rsid w:val="00BC7D4F"/>
    <w:rsid w:val="00BC7ED7"/>
    <w:rsid w:val="00BD2850"/>
    <w:rsid w:val="00BE0A3E"/>
    <w:rsid w:val="00BE28D2"/>
    <w:rsid w:val="00BE4A64"/>
    <w:rsid w:val="00BE5E43"/>
    <w:rsid w:val="00BF32A2"/>
    <w:rsid w:val="00BF557D"/>
    <w:rsid w:val="00BF55EF"/>
    <w:rsid w:val="00BF658D"/>
    <w:rsid w:val="00BF7E71"/>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495A"/>
    <w:rsid w:val="00C35484"/>
    <w:rsid w:val="00C36935"/>
    <w:rsid w:val="00C4173A"/>
    <w:rsid w:val="00C46EFA"/>
    <w:rsid w:val="00C50DED"/>
    <w:rsid w:val="00C52217"/>
    <w:rsid w:val="00C55911"/>
    <w:rsid w:val="00C602FF"/>
    <w:rsid w:val="00C60411"/>
    <w:rsid w:val="00C61174"/>
    <w:rsid w:val="00C6148F"/>
    <w:rsid w:val="00C621B1"/>
    <w:rsid w:val="00C62934"/>
    <w:rsid w:val="00C62F7A"/>
    <w:rsid w:val="00C63B9C"/>
    <w:rsid w:val="00C6682F"/>
    <w:rsid w:val="00C67BF4"/>
    <w:rsid w:val="00C7275E"/>
    <w:rsid w:val="00C731AF"/>
    <w:rsid w:val="00C74037"/>
    <w:rsid w:val="00C74C5D"/>
    <w:rsid w:val="00C76A6A"/>
    <w:rsid w:val="00C7AE71"/>
    <w:rsid w:val="00C85098"/>
    <w:rsid w:val="00C863C4"/>
    <w:rsid w:val="00C90DAB"/>
    <w:rsid w:val="00C920EA"/>
    <w:rsid w:val="00C93C3E"/>
    <w:rsid w:val="00C961A4"/>
    <w:rsid w:val="00CA12E3"/>
    <w:rsid w:val="00CA1476"/>
    <w:rsid w:val="00CA65E3"/>
    <w:rsid w:val="00CA6611"/>
    <w:rsid w:val="00CA6AE6"/>
    <w:rsid w:val="00CA72EC"/>
    <w:rsid w:val="00CA782F"/>
    <w:rsid w:val="00CB187B"/>
    <w:rsid w:val="00CB20CC"/>
    <w:rsid w:val="00CB2835"/>
    <w:rsid w:val="00CB3285"/>
    <w:rsid w:val="00CB4500"/>
    <w:rsid w:val="00CB6DDC"/>
    <w:rsid w:val="00CC0C72"/>
    <w:rsid w:val="00CC17D3"/>
    <w:rsid w:val="00CC2BFD"/>
    <w:rsid w:val="00CC6F40"/>
    <w:rsid w:val="00CD253E"/>
    <w:rsid w:val="00CD3476"/>
    <w:rsid w:val="00CD6354"/>
    <w:rsid w:val="00CD64DF"/>
    <w:rsid w:val="00CDFECF"/>
    <w:rsid w:val="00CE225F"/>
    <w:rsid w:val="00CE5A7A"/>
    <w:rsid w:val="00CF0B00"/>
    <w:rsid w:val="00CF2F50"/>
    <w:rsid w:val="00CF6198"/>
    <w:rsid w:val="00CF6E12"/>
    <w:rsid w:val="00D02919"/>
    <w:rsid w:val="00D04C61"/>
    <w:rsid w:val="00D05B8D"/>
    <w:rsid w:val="00D05B9B"/>
    <w:rsid w:val="00D065A2"/>
    <w:rsid w:val="00D079AA"/>
    <w:rsid w:val="00D07F00"/>
    <w:rsid w:val="00D1130F"/>
    <w:rsid w:val="00D1247D"/>
    <w:rsid w:val="00D16D8B"/>
    <w:rsid w:val="00D1770E"/>
    <w:rsid w:val="00D17B72"/>
    <w:rsid w:val="00D23362"/>
    <w:rsid w:val="00D3185C"/>
    <w:rsid w:val="00D3205F"/>
    <w:rsid w:val="00D3318E"/>
    <w:rsid w:val="00D33E72"/>
    <w:rsid w:val="00D35BD6"/>
    <w:rsid w:val="00D361B5"/>
    <w:rsid w:val="00D401DE"/>
    <w:rsid w:val="00D411A2"/>
    <w:rsid w:val="00D4606D"/>
    <w:rsid w:val="00D50B9C"/>
    <w:rsid w:val="00D513AF"/>
    <w:rsid w:val="00D52D73"/>
    <w:rsid w:val="00D52E58"/>
    <w:rsid w:val="00D56B20"/>
    <w:rsid w:val="00D578B3"/>
    <w:rsid w:val="00D615CE"/>
    <w:rsid w:val="00D618F4"/>
    <w:rsid w:val="00D63636"/>
    <w:rsid w:val="00D714CC"/>
    <w:rsid w:val="00D73C6B"/>
    <w:rsid w:val="00D75EA7"/>
    <w:rsid w:val="00D8085D"/>
    <w:rsid w:val="00D81ADF"/>
    <w:rsid w:val="00D81F21"/>
    <w:rsid w:val="00D864F2"/>
    <w:rsid w:val="00D86A53"/>
    <w:rsid w:val="00D93D5C"/>
    <w:rsid w:val="00D943F8"/>
    <w:rsid w:val="00D953E9"/>
    <w:rsid w:val="00D95470"/>
    <w:rsid w:val="00D96B55"/>
    <w:rsid w:val="00DA2619"/>
    <w:rsid w:val="00DA4239"/>
    <w:rsid w:val="00DA588C"/>
    <w:rsid w:val="00DA65DE"/>
    <w:rsid w:val="00DA9727"/>
    <w:rsid w:val="00DB0B61"/>
    <w:rsid w:val="00DB132C"/>
    <w:rsid w:val="00DB1474"/>
    <w:rsid w:val="00DB2962"/>
    <w:rsid w:val="00DB52FB"/>
    <w:rsid w:val="00DB56CC"/>
    <w:rsid w:val="00DC013B"/>
    <w:rsid w:val="00DC090B"/>
    <w:rsid w:val="00DC10DE"/>
    <w:rsid w:val="00DC1679"/>
    <w:rsid w:val="00DC219B"/>
    <w:rsid w:val="00DC2CF1"/>
    <w:rsid w:val="00DC2DC7"/>
    <w:rsid w:val="00DC2EA0"/>
    <w:rsid w:val="00DC3A7C"/>
    <w:rsid w:val="00DC4FCF"/>
    <w:rsid w:val="00DC50E0"/>
    <w:rsid w:val="00DC518C"/>
    <w:rsid w:val="00DC6386"/>
    <w:rsid w:val="00DC6B12"/>
    <w:rsid w:val="00DD0588"/>
    <w:rsid w:val="00DD1130"/>
    <w:rsid w:val="00DD1951"/>
    <w:rsid w:val="00DD487D"/>
    <w:rsid w:val="00DD4E83"/>
    <w:rsid w:val="00DD62E7"/>
    <w:rsid w:val="00DD6628"/>
    <w:rsid w:val="00DD6945"/>
    <w:rsid w:val="00DE2D04"/>
    <w:rsid w:val="00DE3250"/>
    <w:rsid w:val="00DE6028"/>
    <w:rsid w:val="00DE6C85"/>
    <w:rsid w:val="00DE7706"/>
    <w:rsid w:val="00DE78A3"/>
    <w:rsid w:val="00DF1A71"/>
    <w:rsid w:val="00DF49AE"/>
    <w:rsid w:val="00DF50FC"/>
    <w:rsid w:val="00DF68C7"/>
    <w:rsid w:val="00DF731A"/>
    <w:rsid w:val="00DF745A"/>
    <w:rsid w:val="00E06B75"/>
    <w:rsid w:val="00E07BA6"/>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57E9E"/>
    <w:rsid w:val="00E629A1"/>
    <w:rsid w:val="00E6764A"/>
    <w:rsid w:val="00E6794C"/>
    <w:rsid w:val="00E71591"/>
    <w:rsid w:val="00E71CEB"/>
    <w:rsid w:val="00E7474F"/>
    <w:rsid w:val="00E776EC"/>
    <w:rsid w:val="00E80DE3"/>
    <w:rsid w:val="00E81283"/>
    <w:rsid w:val="00E82C55"/>
    <w:rsid w:val="00E8787B"/>
    <w:rsid w:val="00E8787E"/>
    <w:rsid w:val="00E92AC3"/>
    <w:rsid w:val="00EA183D"/>
    <w:rsid w:val="00EA2F6A"/>
    <w:rsid w:val="00EA6348"/>
    <w:rsid w:val="00EB00E0"/>
    <w:rsid w:val="00EB05D5"/>
    <w:rsid w:val="00EB3F8B"/>
    <w:rsid w:val="00EB4722"/>
    <w:rsid w:val="00EB4BC7"/>
    <w:rsid w:val="00EB56B9"/>
    <w:rsid w:val="00EB6C55"/>
    <w:rsid w:val="00EC059F"/>
    <w:rsid w:val="00EC1F24"/>
    <w:rsid w:val="00EC22F6"/>
    <w:rsid w:val="00EC3DB9"/>
    <w:rsid w:val="00ED1201"/>
    <w:rsid w:val="00ED5B9B"/>
    <w:rsid w:val="00ED6BAD"/>
    <w:rsid w:val="00ED7447"/>
    <w:rsid w:val="00ED7762"/>
    <w:rsid w:val="00EE00D6"/>
    <w:rsid w:val="00EE11E7"/>
    <w:rsid w:val="00EE1488"/>
    <w:rsid w:val="00EE29AD"/>
    <w:rsid w:val="00EE3E24"/>
    <w:rsid w:val="00EE4D5D"/>
    <w:rsid w:val="00EE5131"/>
    <w:rsid w:val="00EE6AFA"/>
    <w:rsid w:val="00EE7F8F"/>
    <w:rsid w:val="00EF043F"/>
    <w:rsid w:val="00EF109B"/>
    <w:rsid w:val="00EF201C"/>
    <w:rsid w:val="00EF2C72"/>
    <w:rsid w:val="00EF36AF"/>
    <w:rsid w:val="00EF3C55"/>
    <w:rsid w:val="00EF59A3"/>
    <w:rsid w:val="00EF6675"/>
    <w:rsid w:val="00F0063D"/>
    <w:rsid w:val="00F00F9C"/>
    <w:rsid w:val="00F01E5F"/>
    <w:rsid w:val="00F024F3"/>
    <w:rsid w:val="00F02ABA"/>
    <w:rsid w:val="00F0437A"/>
    <w:rsid w:val="00F07578"/>
    <w:rsid w:val="00F101B8"/>
    <w:rsid w:val="00F11037"/>
    <w:rsid w:val="00F1105E"/>
    <w:rsid w:val="00F16F1B"/>
    <w:rsid w:val="00F1769C"/>
    <w:rsid w:val="00F20082"/>
    <w:rsid w:val="00F250A9"/>
    <w:rsid w:val="00F267AF"/>
    <w:rsid w:val="00F30FF4"/>
    <w:rsid w:val="00F3122E"/>
    <w:rsid w:val="00F32368"/>
    <w:rsid w:val="00F331AD"/>
    <w:rsid w:val="00F35287"/>
    <w:rsid w:val="00F37E19"/>
    <w:rsid w:val="00F40A70"/>
    <w:rsid w:val="00F43A37"/>
    <w:rsid w:val="00F4641B"/>
    <w:rsid w:val="00F46EB8"/>
    <w:rsid w:val="00F50CD1"/>
    <w:rsid w:val="00F511E4"/>
    <w:rsid w:val="00F52D09"/>
    <w:rsid w:val="00F52E08"/>
    <w:rsid w:val="00F53A66"/>
    <w:rsid w:val="00F5462D"/>
    <w:rsid w:val="00F54C1B"/>
    <w:rsid w:val="00F55B21"/>
    <w:rsid w:val="00F56EF6"/>
    <w:rsid w:val="00F60082"/>
    <w:rsid w:val="00F61A9F"/>
    <w:rsid w:val="00F61B5F"/>
    <w:rsid w:val="00F6334D"/>
    <w:rsid w:val="00F64696"/>
    <w:rsid w:val="00F64713"/>
    <w:rsid w:val="00F65AA9"/>
    <w:rsid w:val="00F6708C"/>
    <w:rsid w:val="00F6768F"/>
    <w:rsid w:val="00F72C2C"/>
    <w:rsid w:val="00F741F2"/>
    <w:rsid w:val="00F76CAB"/>
    <w:rsid w:val="00F772C6"/>
    <w:rsid w:val="00F815B5"/>
    <w:rsid w:val="00F85195"/>
    <w:rsid w:val="00F868E3"/>
    <w:rsid w:val="00F92CAB"/>
    <w:rsid w:val="00F938BA"/>
    <w:rsid w:val="00F947EF"/>
    <w:rsid w:val="00F94C69"/>
    <w:rsid w:val="00F97919"/>
    <w:rsid w:val="00F9A9D3"/>
    <w:rsid w:val="00FA2C46"/>
    <w:rsid w:val="00FA3304"/>
    <w:rsid w:val="00FA3525"/>
    <w:rsid w:val="00FA4B19"/>
    <w:rsid w:val="00FA5A53"/>
    <w:rsid w:val="00FA6F55"/>
    <w:rsid w:val="00FA740F"/>
    <w:rsid w:val="00FB1B7D"/>
    <w:rsid w:val="00FB1F6E"/>
    <w:rsid w:val="00FB26C9"/>
    <w:rsid w:val="00FB28C4"/>
    <w:rsid w:val="00FB4769"/>
    <w:rsid w:val="00FB4CDA"/>
    <w:rsid w:val="00FB5212"/>
    <w:rsid w:val="00FB6481"/>
    <w:rsid w:val="00FB6D36"/>
    <w:rsid w:val="00FB7A50"/>
    <w:rsid w:val="00FC0965"/>
    <w:rsid w:val="00FC0F81"/>
    <w:rsid w:val="00FC252F"/>
    <w:rsid w:val="00FC395C"/>
    <w:rsid w:val="00FC5E8E"/>
    <w:rsid w:val="00FD1179"/>
    <w:rsid w:val="00FD1751"/>
    <w:rsid w:val="00FD21CA"/>
    <w:rsid w:val="00FD3766"/>
    <w:rsid w:val="00FD3D05"/>
    <w:rsid w:val="00FD47C4"/>
    <w:rsid w:val="00FD7B16"/>
    <w:rsid w:val="00FE2DCF"/>
    <w:rsid w:val="00FE3FA7"/>
    <w:rsid w:val="00FE4081"/>
    <w:rsid w:val="00FE4702"/>
    <w:rsid w:val="00FE5476"/>
    <w:rsid w:val="00FF2A4E"/>
    <w:rsid w:val="00FF2FCE"/>
    <w:rsid w:val="00FF4F7D"/>
    <w:rsid w:val="00FF5281"/>
    <w:rsid w:val="00FF6D9D"/>
    <w:rsid w:val="00FF7620"/>
    <w:rsid w:val="00FF7DD5"/>
    <w:rsid w:val="010163BC"/>
    <w:rsid w:val="01044CB4"/>
    <w:rsid w:val="01080943"/>
    <w:rsid w:val="0108A279"/>
    <w:rsid w:val="01102BC9"/>
    <w:rsid w:val="011C8C92"/>
    <w:rsid w:val="012F1278"/>
    <w:rsid w:val="0140B18D"/>
    <w:rsid w:val="01559161"/>
    <w:rsid w:val="01587A5E"/>
    <w:rsid w:val="015D7549"/>
    <w:rsid w:val="016D4AD1"/>
    <w:rsid w:val="0181B869"/>
    <w:rsid w:val="01836752"/>
    <w:rsid w:val="018E1206"/>
    <w:rsid w:val="0199B1D6"/>
    <w:rsid w:val="01A438AF"/>
    <w:rsid w:val="01B052DF"/>
    <w:rsid w:val="01BAA25F"/>
    <w:rsid w:val="01C6EEB7"/>
    <w:rsid w:val="01D923B7"/>
    <w:rsid w:val="0209BED1"/>
    <w:rsid w:val="0214F4D1"/>
    <w:rsid w:val="0227EBBB"/>
    <w:rsid w:val="0229E8D0"/>
    <w:rsid w:val="0231D4C2"/>
    <w:rsid w:val="023A3311"/>
    <w:rsid w:val="023DC094"/>
    <w:rsid w:val="0258251A"/>
    <w:rsid w:val="0259A531"/>
    <w:rsid w:val="025BB0EF"/>
    <w:rsid w:val="025E158B"/>
    <w:rsid w:val="02620DBD"/>
    <w:rsid w:val="0262A027"/>
    <w:rsid w:val="02757F36"/>
    <w:rsid w:val="02767D07"/>
    <w:rsid w:val="027B4681"/>
    <w:rsid w:val="0297D7B3"/>
    <w:rsid w:val="02B57DF7"/>
    <w:rsid w:val="02B6395F"/>
    <w:rsid w:val="02C09A89"/>
    <w:rsid w:val="02C9E6BA"/>
    <w:rsid w:val="02CE7383"/>
    <w:rsid w:val="02D51D51"/>
    <w:rsid w:val="02F25430"/>
    <w:rsid w:val="0307A735"/>
    <w:rsid w:val="030EEB02"/>
    <w:rsid w:val="033A300F"/>
    <w:rsid w:val="034721B5"/>
    <w:rsid w:val="035F1B22"/>
    <w:rsid w:val="0369ED82"/>
    <w:rsid w:val="03829476"/>
    <w:rsid w:val="038DAE56"/>
    <w:rsid w:val="03A1B80B"/>
    <w:rsid w:val="03B363F0"/>
    <w:rsid w:val="03C3BC1C"/>
    <w:rsid w:val="03C977BC"/>
    <w:rsid w:val="03DD737C"/>
    <w:rsid w:val="03E25502"/>
    <w:rsid w:val="0402A476"/>
    <w:rsid w:val="040C77E9"/>
    <w:rsid w:val="040D4FAE"/>
    <w:rsid w:val="041A9DE3"/>
    <w:rsid w:val="042124D3"/>
    <w:rsid w:val="0424BC3B"/>
    <w:rsid w:val="04371C8A"/>
    <w:rsid w:val="04469A71"/>
    <w:rsid w:val="044BEF5F"/>
    <w:rsid w:val="04628555"/>
    <w:rsid w:val="0463A9E2"/>
    <w:rsid w:val="0475849D"/>
    <w:rsid w:val="04852FDF"/>
    <w:rsid w:val="04931944"/>
    <w:rsid w:val="04BD7390"/>
    <w:rsid w:val="04C56CC5"/>
    <w:rsid w:val="04E91D0E"/>
    <w:rsid w:val="04F31A5C"/>
    <w:rsid w:val="050ABA61"/>
    <w:rsid w:val="051E9E93"/>
    <w:rsid w:val="05226721"/>
    <w:rsid w:val="052D5431"/>
    <w:rsid w:val="052EA6B0"/>
    <w:rsid w:val="05618DD7"/>
    <w:rsid w:val="0570CC80"/>
    <w:rsid w:val="0571A099"/>
    <w:rsid w:val="057549FF"/>
    <w:rsid w:val="0578C23C"/>
    <w:rsid w:val="05886D2D"/>
    <w:rsid w:val="05903BD3"/>
    <w:rsid w:val="0599E80E"/>
    <w:rsid w:val="059F076E"/>
    <w:rsid w:val="05A69C73"/>
    <w:rsid w:val="05A71E32"/>
    <w:rsid w:val="05A79052"/>
    <w:rsid w:val="05B0B325"/>
    <w:rsid w:val="05B5B8D7"/>
    <w:rsid w:val="05BBF915"/>
    <w:rsid w:val="05BEBDB7"/>
    <w:rsid w:val="05E95C39"/>
    <w:rsid w:val="06249CB9"/>
    <w:rsid w:val="06265D72"/>
    <w:rsid w:val="0664F80A"/>
    <w:rsid w:val="06783411"/>
    <w:rsid w:val="067D25C4"/>
    <w:rsid w:val="06868B9E"/>
    <w:rsid w:val="06AB25E0"/>
    <w:rsid w:val="06B9EF40"/>
    <w:rsid w:val="06BAB6A1"/>
    <w:rsid w:val="06BF9619"/>
    <w:rsid w:val="06C02E9D"/>
    <w:rsid w:val="06C088C0"/>
    <w:rsid w:val="06C9383E"/>
    <w:rsid w:val="06DCAC51"/>
    <w:rsid w:val="06DEA730"/>
    <w:rsid w:val="06ED40AB"/>
    <w:rsid w:val="06F4B6D1"/>
    <w:rsid w:val="06F87577"/>
    <w:rsid w:val="06FE65EA"/>
    <w:rsid w:val="0702594E"/>
    <w:rsid w:val="072ADFD4"/>
    <w:rsid w:val="0751745C"/>
    <w:rsid w:val="07518938"/>
    <w:rsid w:val="075571E7"/>
    <w:rsid w:val="0756BEAE"/>
    <w:rsid w:val="07660FF0"/>
    <w:rsid w:val="076C911D"/>
    <w:rsid w:val="0771E992"/>
    <w:rsid w:val="07764446"/>
    <w:rsid w:val="0776AEFE"/>
    <w:rsid w:val="0778DE5E"/>
    <w:rsid w:val="07817AA7"/>
    <w:rsid w:val="0789F5D1"/>
    <w:rsid w:val="078BCD63"/>
    <w:rsid w:val="0795CFF9"/>
    <w:rsid w:val="07B264B1"/>
    <w:rsid w:val="07B8B5E1"/>
    <w:rsid w:val="07C014EF"/>
    <w:rsid w:val="07C49503"/>
    <w:rsid w:val="07CB2382"/>
    <w:rsid w:val="07D374B4"/>
    <w:rsid w:val="07E5D4FE"/>
    <w:rsid w:val="07F30AC4"/>
    <w:rsid w:val="07FB1187"/>
    <w:rsid w:val="08020FE4"/>
    <w:rsid w:val="0802108F"/>
    <w:rsid w:val="08099A03"/>
    <w:rsid w:val="0816A161"/>
    <w:rsid w:val="0821F37E"/>
    <w:rsid w:val="08460932"/>
    <w:rsid w:val="085210FE"/>
    <w:rsid w:val="08606282"/>
    <w:rsid w:val="0865DB3B"/>
    <w:rsid w:val="087C7607"/>
    <w:rsid w:val="089129B2"/>
    <w:rsid w:val="08A727B7"/>
    <w:rsid w:val="08AB5D6E"/>
    <w:rsid w:val="08AFD586"/>
    <w:rsid w:val="08B29839"/>
    <w:rsid w:val="08B984CB"/>
    <w:rsid w:val="08CE5F71"/>
    <w:rsid w:val="08D47A1C"/>
    <w:rsid w:val="08DC930F"/>
    <w:rsid w:val="08E4A606"/>
    <w:rsid w:val="08ED5999"/>
    <w:rsid w:val="08F0A57A"/>
    <w:rsid w:val="08FABD14"/>
    <w:rsid w:val="08FB7BF5"/>
    <w:rsid w:val="090A8DAD"/>
    <w:rsid w:val="09153B9F"/>
    <w:rsid w:val="09243A94"/>
    <w:rsid w:val="092A3FB4"/>
    <w:rsid w:val="092C2CF1"/>
    <w:rsid w:val="092E7A4B"/>
    <w:rsid w:val="092F0347"/>
    <w:rsid w:val="093FE6D4"/>
    <w:rsid w:val="09423921"/>
    <w:rsid w:val="09433FD8"/>
    <w:rsid w:val="09564484"/>
    <w:rsid w:val="095E8F54"/>
    <w:rsid w:val="095F0283"/>
    <w:rsid w:val="096B3DC7"/>
    <w:rsid w:val="096C6C0C"/>
    <w:rsid w:val="096CB173"/>
    <w:rsid w:val="0997AC31"/>
    <w:rsid w:val="09A1189F"/>
    <w:rsid w:val="09A26A52"/>
    <w:rsid w:val="09ABC19C"/>
    <w:rsid w:val="09AC5177"/>
    <w:rsid w:val="09B518DC"/>
    <w:rsid w:val="09D0B98B"/>
    <w:rsid w:val="09D4E86B"/>
    <w:rsid w:val="09DEB924"/>
    <w:rsid w:val="09E68965"/>
    <w:rsid w:val="09EA87D2"/>
    <w:rsid w:val="0A05BFFB"/>
    <w:rsid w:val="0A0913C2"/>
    <w:rsid w:val="0A1620B4"/>
    <w:rsid w:val="0A2758EA"/>
    <w:rsid w:val="0A2D7716"/>
    <w:rsid w:val="0A337AD0"/>
    <w:rsid w:val="0A48653D"/>
    <w:rsid w:val="0A58266B"/>
    <w:rsid w:val="0A5B16E4"/>
    <w:rsid w:val="0A64C17A"/>
    <w:rsid w:val="0A659E7C"/>
    <w:rsid w:val="0A6EC311"/>
    <w:rsid w:val="0A867AC4"/>
    <w:rsid w:val="0A8C6F1D"/>
    <w:rsid w:val="0A914790"/>
    <w:rsid w:val="0A9742E4"/>
    <w:rsid w:val="0AA1A60A"/>
    <w:rsid w:val="0AB87080"/>
    <w:rsid w:val="0ACBAC6E"/>
    <w:rsid w:val="0AD08920"/>
    <w:rsid w:val="0B1C7628"/>
    <w:rsid w:val="0B1FDF67"/>
    <w:rsid w:val="0B5B8C7E"/>
    <w:rsid w:val="0B68F42A"/>
    <w:rsid w:val="0B6FBA0C"/>
    <w:rsid w:val="0B70F635"/>
    <w:rsid w:val="0B797244"/>
    <w:rsid w:val="0B7BA16A"/>
    <w:rsid w:val="0B85B711"/>
    <w:rsid w:val="0B8BB508"/>
    <w:rsid w:val="0B9F0332"/>
    <w:rsid w:val="0BA8A6A3"/>
    <w:rsid w:val="0BBFD816"/>
    <w:rsid w:val="0BC04FA3"/>
    <w:rsid w:val="0BC6E282"/>
    <w:rsid w:val="0BDB8A00"/>
    <w:rsid w:val="0BE4F0A2"/>
    <w:rsid w:val="0BEBCAD3"/>
    <w:rsid w:val="0C0F9610"/>
    <w:rsid w:val="0C2154B0"/>
    <w:rsid w:val="0C329C2D"/>
    <w:rsid w:val="0C37FB94"/>
    <w:rsid w:val="0C42FE94"/>
    <w:rsid w:val="0C55DF10"/>
    <w:rsid w:val="0C6AAEEF"/>
    <w:rsid w:val="0C6E55BC"/>
    <w:rsid w:val="0C89BE8C"/>
    <w:rsid w:val="0CADB281"/>
    <w:rsid w:val="0CBA22B4"/>
    <w:rsid w:val="0CD0EB22"/>
    <w:rsid w:val="0CD58107"/>
    <w:rsid w:val="0CE62208"/>
    <w:rsid w:val="0CEDDCBD"/>
    <w:rsid w:val="0CF039A2"/>
    <w:rsid w:val="0CF3C577"/>
    <w:rsid w:val="0CFB2DEC"/>
    <w:rsid w:val="0CFCC431"/>
    <w:rsid w:val="0CFFB8C0"/>
    <w:rsid w:val="0D0AB82D"/>
    <w:rsid w:val="0D196B45"/>
    <w:rsid w:val="0D443445"/>
    <w:rsid w:val="0D5EB9A5"/>
    <w:rsid w:val="0D749B49"/>
    <w:rsid w:val="0D827D87"/>
    <w:rsid w:val="0D840428"/>
    <w:rsid w:val="0DC2DA74"/>
    <w:rsid w:val="0DD9BD55"/>
    <w:rsid w:val="0DEEAED1"/>
    <w:rsid w:val="0E0E2260"/>
    <w:rsid w:val="0E23FF30"/>
    <w:rsid w:val="0E379A45"/>
    <w:rsid w:val="0E3867F3"/>
    <w:rsid w:val="0E3CF4BC"/>
    <w:rsid w:val="0E45EFCE"/>
    <w:rsid w:val="0E502EA7"/>
    <w:rsid w:val="0E6DBB7C"/>
    <w:rsid w:val="0E73D1B1"/>
    <w:rsid w:val="0E915C40"/>
    <w:rsid w:val="0E97BBE5"/>
    <w:rsid w:val="0E97D636"/>
    <w:rsid w:val="0EAEE76E"/>
    <w:rsid w:val="0EB5A2EE"/>
    <w:rsid w:val="0EBD5DA3"/>
    <w:rsid w:val="0EBF01FF"/>
    <w:rsid w:val="0EC69730"/>
    <w:rsid w:val="0ECED4CC"/>
    <w:rsid w:val="0EE166E8"/>
    <w:rsid w:val="0EFF202B"/>
    <w:rsid w:val="0F217BD4"/>
    <w:rsid w:val="0F3999DE"/>
    <w:rsid w:val="0F3C04F7"/>
    <w:rsid w:val="0F40C1D7"/>
    <w:rsid w:val="0F414582"/>
    <w:rsid w:val="0F43FE78"/>
    <w:rsid w:val="0F445AFE"/>
    <w:rsid w:val="0F4736D2"/>
    <w:rsid w:val="0F51090C"/>
    <w:rsid w:val="0F51B8C4"/>
    <w:rsid w:val="0F6D4F1F"/>
    <w:rsid w:val="0F7125AF"/>
    <w:rsid w:val="0F77BB05"/>
    <w:rsid w:val="0F825A0B"/>
    <w:rsid w:val="0F885C07"/>
    <w:rsid w:val="0F96E866"/>
    <w:rsid w:val="0F9F6161"/>
    <w:rsid w:val="0FAE6A3C"/>
    <w:rsid w:val="0FB62034"/>
    <w:rsid w:val="0FB6ED14"/>
    <w:rsid w:val="0FC2641E"/>
    <w:rsid w:val="0FCCD7AE"/>
    <w:rsid w:val="0FE8FFFB"/>
    <w:rsid w:val="0FFA1B75"/>
    <w:rsid w:val="1000CAC3"/>
    <w:rsid w:val="100ACA21"/>
    <w:rsid w:val="101271A8"/>
    <w:rsid w:val="102483F8"/>
    <w:rsid w:val="102F7114"/>
    <w:rsid w:val="10812460"/>
    <w:rsid w:val="10A2CBA8"/>
    <w:rsid w:val="10AEA114"/>
    <w:rsid w:val="10B4ECCF"/>
    <w:rsid w:val="10BF3BF6"/>
    <w:rsid w:val="10C5BC3E"/>
    <w:rsid w:val="10CA1E62"/>
    <w:rsid w:val="10CCF69F"/>
    <w:rsid w:val="10D8072E"/>
    <w:rsid w:val="10E0FEF1"/>
    <w:rsid w:val="10E55034"/>
    <w:rsid w:val="10EC3431"/>
    <w:rsid w:val="10F13110"/>
    <w:rsid w:val="1116118B"/>
    <w:rsid w:val="1117EF38"/>
    <w:rsid w:val="111B31C4"/>
    <w:rsid w:val="111D64DF"/>
    <w:rsid w:val="111D8D18"/>
    <w:rsid w:val="11466C91"/>
    <w:rsid w:val="114D6036"/>
    <w:rsid w:val="115B15CC"/>
    <w:rsid w:val="116C551D"/>
    <w:rsid w:val="1174ACE7"/>
    <w:rsid w:val="1177FA15"/>
    <w:rsid w:val="118EF28E"/>
    <w:rsid w:val="1192E405"/>
    <w:rsid w:val="119CAC61"/>
    <w:rsid w:val="11A6AE92"/>
    <w:rsid w:val="11A878EB"/>
    <w:rsid w:val="11AADD72"/>
    <w:rsid w:val="11B9C5FC"/>
    <w:rsid w:val="11BFAEB6"/>
    <w:rsid w:val="11CFF243"/>
    <w:rsid w:val="11D6A16C"/>
    <w:rsid w:val="11E38E1C"/>
    <w:rsid w:val="11E6B54A"/>
    <w:rsid w:val="11EAEB14"/>
    <w:rsid w:val="11F36036"/>
    <w:rsid w:val="12122115"/>
    <w:rsid w:val="12138E2F"/>
    <w:rsid w:val="121A1286"/>
    <w:rsid w:val="122E1752"/>
    <w:rsid w:val="1235424E"/>
    <w:rsid w:val="125B4C17"/>
    <w:rsid w:val="1266F6B0"/>
    <w:rsid w:val="126A2971"/>
    <w:rsid w:val="126EB165"/>
    <w:rsid w:val="127D1B43"/>
    <w:rsid w:val="128586C3"/>
    <w:rsid w:val="128EF27B"/>
    <w:rsid w:val="12AB1F7C"/>
    <w:rsid w:val="12B43951"/>
    <w:rsid w:val="12BE0863"/>
    <w:rsid w:val="12BFF595"/>
    <w:rsid w:val="12C458F8"/>
    <w:rsid w:val="12D66BEA"/>
    <w:rsid w:val="12DB1256"/>
    <w:rsid w:val="12E75F97"/>
    <w:rsid w:val="13045132"/>
    <w:rsid w:val="1306512C"/>
    <w:rsid w:val="130FCA8D"/>
    <w:rsid w:val="1314C291"/>
    <w:rsid w:val="131C4A9F"/>
    <w:rsid w:val="1326427A"/>
    <w:rsid w:val="132FAB9C"/>
    <w:rsid w:val="1339A4BB"/>
    <w:rsid w:val="1340E9E0"/>
    <w:rsid w:val="1346859A"/>
    <w:rsid w:val="1351D0F9"/>
    <w:rsid w:val="1351EC3C"/>
    <w:rsid w:val="13598F37"/>
    <w:rsid w:val="135A2E58"/>
    <w:rsid w:val="13693034"/>
    <w:rsid w:val="1376044A"/>
    <w:rsid w:val="137D5BE0"/>
    <w:rsid w:val="138D6D7B"/>
    <w:rsid w:val="13AACB09"/>
    <w:rsid w:val="13AE8833"/>
    <w:rsid w:val="13B08D11"/>
    <w:rsid w:val="13B57BF8"/>
    <w:rsid w:val="13CB6188"/>
    <w:rsid w:val="13CEE3BB"/>
    <w:rsid w:val="13D78301"/>
    <w:rsid w:val="13DE7C89"/>
    <w:rsid w:val="13EBEF9E"/>
    <w:rsid w:val="13F8458D"/>
    <w:rsid w:val="1400D2A4"/>
    <w:rsid w:val="1407BB65"/>
    <w:rsid w:val="141CF24B"/>
    <w:rsid w:val="1426FF4D"/>
    <w:rsid w:val="14489F40"/>
    <w:rsid w:val="145DF055"/>
    <w:rsid w:val="1483BCD8"/>
    <w:rsid w:val="1484F660"/>
    <w:rsid w:val="1489D6DD"/>
    <w:rsid w:val="148C3E15"/>
    <w:rsid w:val="148C7B33"/>
    <w:rsid w:val="149963F8"/>
    <w:rsid w:val="149CEFCD"/>
    <w:rsid w:val="149EE6B4"/>
    <w:rsid w:val="14ABD857"/>
    <w:rsid w:val="14AD2D78"/>
    <w:rsid w:val="14B0BA5A"/>
    <w:rsid w:val="14BBE43E"/>
    <w:rsid w:val="14BF4327"/>
    <w:rsid w:val="14C2049E"/>
    <w:rsid w:val="14CA32FB"/>
    <w:rsid w:val="14CB97DD"/>
    <w:rsid w:val="14D6A5A3"/>
    <w:rsid w:val="14DD0CFC"/>
    <w:rsid w:val="14EEA0B8"/>
    <w:rsid w:val="14EF931D"/>
    <w:rsid w:val="15046461"/>
    <w:rsid w:val="1511D4AB"/>
    <w:rsid w:val="15137B9F"/>
    <w:rsid w:val="1513B4A2"/>
    <w:rsid w:val="151BCCD1"/>
    <w:rsid w:val="151C0B09"/>
    <w:rsid w:val="15205C7E"/>
    <w:rsid w:val="15407921"/>
    <w:rsid w:val="154B86D0"/>
    <w:rsid w:val="155EF97E"/>
    <w:rsid w:val="156EF3A7"/>
    <w:rsid w:val="158FE523"/>
    <w:rsid w:val="159C2B20"/>
    <w:rsid w:val="15B19F6F"/>
    <w:rsid w:val="15B4248D"/>
    <w:rsid w:val="15C036DC"/>
    <w:rsid w:val="15CD24B1"/>
    <w:rsid w:val="15CEF8DB"/>
    <w:rsid w:val="15CF6B84"/>
    <w:rsid w:val="15D0E357"/>
    <w:rsid w:val="15D3149E"/>
    <w:rsid w:val="15E93178"/>
    <w:rsid w:val="15EBE5EA"/>
    <w:rsid w:val="15EFA949"/>
    <w:rsid w:val="16017BC7"/>
    <w:rsid w:val="16046C13"/>
    <w:rsid w:val="160E5CFA"/>
    <w:rsid w:val="161275C3"/>
    <w:rsid w:val="16198862"/>
    <w:rsid w:val="162C4DDE"/>
    <w:rsid w:val="164AA139"/>
    <w:rsid w:val="164E41D7"/>
    <w:rsid w:val="167189CA"/>
    <w:rsid w:val="167297D1"/>
    <w:rsid w:val="16746AEC"/>
    <w:rsid w:val="1677733A"/>
    <w:rsid w:val="167A0BA5"/>
    <w:rsid w:val="16828712"/>
    <w:rsid w:val="16880C20"/>
    <w:rsid w:val="168A913E"/>
    <w:rsid w:val="168BE37C"/>
    <w:rsid w:val="169DDEE7"/>
    <w:rsid w:val="16A75AA0"/>
    <w:rsid w:val="16AF981E"/>
    <w:rsid w:val="16B4D6D1"/>
    <w:rsid w:val="16C3C0DC"/>
    <w:rsid w:val="16C3FB1E"/>
    <w:rsid w:val="16DF4D13"/>
    <w:rsid w:val="16F9CDC0"/>
    <w:rsid w:val="16FA3362"/>
    <w:rsid w:val="171DD5AE"/>
    <w:rsid w:val="172F2149"/>
    <w:rsid w:val="1739CC81"/>
    <w:rsid w:val="17490482"/>
    <w:rsid w:val="175CC378"/>
    <w:rsid w:val="175E51F2"/>
    <w:rsid w:val="1775CF33"/>
    <w:rsid w:val="178501D9"/>
    <w:rsid w:val="178CCE9C"/>
    <w:rsid w:val="17AF8F05"/>
    <w:rsid w:val="17B416F9"/>
    <w:rsid w:val="17C46049"/>
    <w:rsid w:val="17D2CA30"/>
    <w:rsid w:val="17D38B54"/>
    <w:rsid w:val="17DFD324"/>
    <w:rsid w:val="17E1A578"/>
    <w:rsid w:val="17EEB639"/>
    <w:rsid w:val="17EFBBC2"/>
    <w:rsid w:val="17F8CBEC"/>
    <w:rsid w:val="17FAAC38"/>
    <w:rsid w:val="17FC2966"/>
    <w:rsid w:val="1800C89D"/>
    <w:rsid w:val="18058DFA"/>
    <w:rsid w:val="181E118D"/>
    <w:rsid w:val="18324571"/>
    <w:rsid w:val="18392DAB"/>
    <w:rsid w:val="183FD1FD"/>
    <w:rsid w:val="18530E86"/>
    <w:rsid w:val="185B6530"/>
    <w:rsid w:val="1872D214"/>
    <w:rsid w:val="18793966"/>
    <w:rsid w:val="18813184"/>
    <w:rsid w:val="189A8757"/>
    <w:rsid w:val="18A3E49B"/>
    <w:rsid w:val="18A9C389"/>
    <w:rsid w:val="18CE8DCE"/>
    <w:rsid w:val="18CF4177"/>
    <w:rsid w:val="18D3A4A4"/>
    <w:rsid w:val="18E91B7E"/>
    <w:rsid w:val="18ED02B1"/>
    <w:rsid w:val="18F0FEC0"/>
    <w:rsid w:val="190093A0"/>
    <w:rsid w:val="19015CEC"/>
    <w:rsid w:val="19043189"/>
    <w:rsid w:val="1906999D"/>
    <w:rsid w:val="1927A2DE"/>
    <w:rsid w:val="192B0FF2"/>
    <w:rsid w:val="19316178"/>
    <w:rsid w:val="1935278C"/>
    <w:rsid w:val="1937DF7B"/>
    <w:rsid w:val="195BD582"/>
    <w:rsid w:val="196564F2"/>
    <w:rsid w:val="197CA399"/>
    <w:rsid w:val="199217E8"/>
    <w:rsid w:val="1999E71B"/>
    <w:rsid w:val="19AA0DED"/>
    <w:rsid w:val="19B20C1D"/>
    <w:rsid w:val="19BB7C5C"/>
    <w:rsid w:val="19BCB885"/>
    <w:rsid w:val="19C9BC8F"/>
    <w:rsid w:val="19D04DA0"/>
    <w:rsid w:val="19D34C89"/>
    <w:rsid w:val="1A0A4773"/>
    <w:rsid w:val="1A0B2403"/>
    <w:rsid w:val="1A0F9B5B"/>
    <w:rsid w:val="1A0FE74A"/>
    <w:rsid w:val="1A2069C2"/>
    <w:rsid w:val="1A2BDEDC"/>
    <w:rsid w:val="1A2E7A25"/>
    <w:rsid w:val="1A3C1D94"/>
    <w:rsid w:val="1A50585B"/>
    <w:rsid w:val="1A541E59"/>
    <w:rsid w:val="1A556780"/>
    <w:rsid w:val="1A6DA6DD"/>
    <w:rsid w:val="1A7CAA63"/>
    <w:rsid w:val="1A7DBB7F"/>
    <w:rsid w:val="1A82FD2D"/>
    <w:rsid w:val="1A9CD72E"/>
    <w:rsid w:val="1AA17F50"/>
    <w:rsid w:val="1AA81B17"/>
    <w:rsid w:val="1AB2DC37"/>
    <w:rsid w:val="1AC02BD0"/>
    <w:rsid w:val="1AC24CCC"/>
    <w:rsid w:val="1AC46F5E"/>
    <w:rsid w:val="1ACD31D9"/>
    <w:rsid w:val="1AF7A055"/>
    <w:rsid w:val="1AFE4086"/>
    <w:rsid w:val="1B04B491"/>
    <w:rsid w:val="1B2E33D0"/>
    <w:rsid w:val="1B3F411F"/>
    <w:rsid w:val="1B41044D"/>
    <w:rsid w:val="1B4F997C"/>
    <w:rsid w:val="1B5AA551"/>
    <w:rsid w:val="1B6B7E92"/>
    <w:rsid w:val="1B6BEECC"/>
    <w:rsid w:val="1B6FCC69"/>
    <w:rsid w:val="1B7343DF"/>
    <w:rsid w:val="1B782A7D"/>
    <w:rsid w:val="1B914A79"/>
    <w:rsid w:val="1BA1AC88"/>
    <w:rsid w:val="1BB61399"/>
    <w:rsid w:val="1BD22819"/>
    <w:rsid w:val="1BE3111B"/>
    <w:rsid w:val="1BE3C6FD"/>
    <w:rsid w:val="1BE87CEE"/>
    <w:rsid w:val="1BEE1F7E"/>
    <w:rsid w:val="1C029F5F"/>
    <w:rsid w:val="1C04ED51"/>
    <w:rsid w:val="1C0AEC83"/>
    <w:rsid w:val="1C0DB71D"/>
    <w:rsid w:val="1C1268A3"/>
    <w:rsid w:val="1C1D224D"/>
    <w:rsid w:val="1C34E8E9"/>
    <w:rsid w:val="1C43C01D"/>
    <w:rsid w:val="1C45E93F"/>
    <w:rsid w:val="1C477848"/>
    <w:rsid w:val="1C59D77C"/>
    <w:rsid w:val="1C5A8444"/>
    <w:rsid w:val="1C650E94"/>
    <w:rsid w:val="1C673971"/>
    <w:rsid w:val="1C76AE12"/>
    <w:rsid w:val="1C81F1FB"/>
    <w:rsid w:val="1C904988"/>
    <w:rsid w:val="1CA00B10"/>
    <w:rsid w:val="1CA40427"/>
    <w:rsid w:val="1CFC89BB"/>
    <w:rsid w:val="1D023361"/>
    <w:rsid w:val="1D0A2BC7"/>
    <w:rsid w:val="1D0D1E1D"/>
    <w:rsid w:val="1D195EAB"/>
    <w:rsid w:val="1D1E49E1"/>
    <w:rsid w:val="1D2D2938"/>
    <w:rsid w:val="1D3861F4"/>
    <w:rsid w:val="1D3A30F2"/>
    <w:rsid w:val="1D5AC9C5"/>
    <w:rsid w:val="1D5C1DFC"/>
    <w:rsid w:val="1D6C267E"/>
    <w:rsid w:val="1D851231"/>
    <w:rsid w:val="1D8B8FBE"/>
    <w:rsid w:val="1D9D4454"/>
    <w:rsid w:val="1DBCE7FF"/>
    <w:rsid w:val="1DD049E6"/>
    <w:rsid w:val="1DEAB3D1"/>
    <w:rsid w:val="1DEB9C7C"/>
    <w:rsid w:val="1DF28960"/>
    <w:rsid w:val="1DF55644"/>
    <w:rsid w:val="1E09C15A"/>
    <w:rsid w:val="1E1275FD"/>
    <w:rsid w:val="1E274C7F"/>
    <w:rsid w:val="1E2BB168"/>
    <w:rsid w:val="1E34786A"/>
    <w:rsid w:val="1E5E0127"/>
    <w:rsid w:val="1E608645"/>
    <w:rsid w:val="1E73053C"/>
    <w:rsid w:val="1E73380D"/>
    <w:rsid w:val="1E7E4BC6"/>
    <w:rsid w:val="1E8A013B"/>
    <w:rsid w:val="1E8ACBD8"/>
    <w:rsid w:val="1E8D209C"/>
    <w:rsid w:val="1E99C88B"/>
    <w:rsid w:val="1ECFF598"/>
    <w:rsid w:val="1ED74AAB"/>
    <w:rsid w:val="1ED84B9F"/>
    <w:rsid w:val="1EDB3C22"/>
    <w:rsid w:val="1EE2F6D7"/>
    <w:rsid w:val="1EF9C98F"/>
    <w:rsid w:val="1EFF2CDA"/>
    <w:rsid w:val="1F0B8295"/>
    <w:rsid w:val="1F33CACD"/>
    <w:rsid w:val="1F41AEBB"/>
    <w:rsid w:val="1F46EACD"/>
    <w:rsid w:val="1F616B5A"/>
    <w:rsid w:val="1F68C06D"/>
    <w:rsid w:val="1F7387C5"/>
    <w:rsid w:val="1F80A018"/>
    <w:rsid w:val="1FB09477"/>
    <w:rsid w:val="1FB63B5F"/>
    <w:rsid w:val="1FB864F2"/>
    <w:rsid w:val="1FC190DD"/>
    <w:rsid w:val="1FC262BC"/>
    <w:rsid w:val="1FC5CBAF"/>
    <w:rsid w:val="2014F888"/>
    <w:rsid w:val="201A5990"/>
    <w:rsid w:val="201FDE9E"/>
    <w:rsid w:val="2051B507"/>
    <w:rsid w:val="2053F3CA"/>
    <w:rsid w:val="205B7C98"/>
    <w:rsid w:val="206681DA"/>
    <w:rsid w:val="2073E2DE"/>
    <w:rsid w:val="207CDBC5"/>
    <w:rsid w:val="2081FCD8"/>
    <w:rsid w:val="20894E5F"/>
    <w:rsid w:val="208EDDC8"/>
    <w:rsid w:val="2091FC8B"/>
    <w:rsid w:val="209D1999"/>
    <w:rsid w:val="20AEFA5A"/>
    <w:rsid w:val="20B1EADD"/>
    <w:rsid w:val="20BCC53D"/>
    <w:rsid w:val="20BF5CAD"/>
    <w:rsid w:val="20C723DE"/>
    <w:rsid w:val="20D21ED8"/>
    <w:rsid w:val="20D39243"/>
    <w:rsid w:val="20DE51E2"/>
    <w:rsid w:val="20E0A5AB"/>
    <w:rsid w:val="20EDEBE9"/>
    <w:rsid w:val="20F5DB15"/>
    <w:rsid w:val="21093F1F"/>
    <w:rsid w:val="210FE2EB"/>
    <w:rsid w:val="2111AB82"/>
    <w:rsid w:val="211695EE"/>
    <w:rsid w:val="21208490"/>
    <w:rsid w:val="212452B8"/>
    <w:rsid w:val="212E027B"/>
    <w:rsid w:val="213BB811"/>
    <w:rsid w:val="213FB56A"/>
    <w:rsid w:val="21501382"/>
    <w:rsid w:val="2154A04B"/>
    <w:rsid w:val="21654A68"/>
    <w:rsid w:val="21680CEF"/>
    <w:rsid w:val="216E87E3"/>
    <w:rsid w:val="21808159"/>
    <w:rsid w:val="2181E356"/>
    <w:rsid w:val="21A907CF"/>
    <w:rsid w:val="21B2648D"/>
    <w:rsid w:val="21BFCFAB"/>
    <w:rsid w:val="21CBADAD"/>
    <w:rsid w:val="21CC14F5"/>
    <w:rsid w:val="21D05088"/>
    <w:rsid w:val="21D50932"/>
    <w:rsid w:val="22008BFD"/>
    <w:rsid w:val="220AB779"/>
    <w:rsid w:val="220E7F5A"/>
    <w:rsid w:val="2217FE6B"/>
    <w:rsid w:val="221869A6"/>
    <w:rsid w:val="221FA712"/>
    <w:rsid w:val="22234562"/>
    <w:rsid w:val="222FDC41"/>
    <w:rsid w:val="2231DD7C"/>
    <w:rsid w:val="223B3A5D"/>
    <w:rsid w:val="223E79A0"/>
    <w:rsid w:val="224CBC7E"/>
    <w:rsid w:val="225DA362"/>
    <w:rsid w:val="225F9CFA"/>
    <w:rsid w:val="22859187"/>
    <w:rsid w:val="229DBDC5"/>
    <w:rsid w:val="22A7519B"/>
    <w:rsid w:val="22D07BDF"/>
    <w:rsid w:val="22E4AEB4"/>
    <w:rsid w:val="22E8B21D"/>
    <w:rsid w:val="22E9D513"/>
    <w:rsid w:val="22EFDFF2"/>
    <w:rsid w:val="22F79AA7"/>
    <w:rsid w:val="22F9F78C"/>
    <w:rsid w:val="2300D9BD"/>
    <w:rsid w:val="230C6BEB"/>
    <w:rsid w:val="231223CA"/>
    <w:rsid w:val="231EF6E1"/>
    <w:rsid w:val="23229832"/>
    <w:rsid w:val="2329D266"/>
    <w:rsid w:val="232CC2E9"/>
    <w:rsid w:val="234B8027"/>
    <w:rsid w:val="234C2533"/>
    <w:rsid w:val="236F1655"/>
    <w:rsid w:val="23740F33"/>
    <w:rsid w:val="2389DBE9"/>
    <w:rsid w:val="2390AB7B"/>
    <w:rsid w:val="23B6F2D8"/>
    <w:rsid w:val="23BAAD2C"/>
    <w:rsid w:val="23BAEFEE"/>
    <w:rsid w:val="23C64CA3"/>
    <w:rsid w:val="23CC985E"/>
    <w:rsid w:val="23DEB4A5"/>
    <w:rsid w:val="23E7BA9F"/>
    <w:rsid w:val="23E7ED70"/>
    <w:rsid w:val="23F47C11"/>
    <w:rsid w:val="240406B0"/>
    <w:rsid w:val="240E99F5"/>
    <w:rsid w:val="242014D6"/>
    <w:rsid w:val="2437FF28"/>
    <w:rsid w:val="2446B2A6"/>
    <w:rsid w:val="246104F1"/>
    <w:rsid w:val="24647BCA"/>
    <w:rsid w:val="24777966"/>
    <w:rsid w:val="248FA5A4"/>
    <w:rsid w:val="24A92C57"/>
    <w:rsid w:val="24AA8F94"/>
    <w:rsid w:val="24BE2750"/>
    <w:rsid w:val="24CF9E14"/>
    <w:rsid w:val="24DB7690"/>
    <w:rsid w:val="24DC8410"/>
    <w:rsid w:val="24DCEF30"/>
    <w:rsid w:val="24EB24D2"/>
    <w:rsid w:val="24EB950C"/>
    <w:rsid w:val="24F5B829"/>
    <w:rsid w:val="25009921"/>
    <w:rsid w:val="2507420E"/>
    <w:rsid w:val="25083093"/>
    <w:rsid w:val="25273493"/>
    <w:rsid w:val="2533F098"/>
    <w:rsid w:val="2537D286"/>
    <w:rsid w:val="253813DF"/>
    <w:rsid w:val="2538F539"/>
    <w:rsid w:val="25416605"/>
    <w:rsid w:val="254357C8"/>
    <w:rsid w:val="2543BA20"/>
    <w:rsid w:val="255AC6F6"/>
    <w:rsid w:val="255D2E70"/>
    <w:rsid w:val="2562A06C"/>
    <w:rsid w:val="256902D8"/>
    <w:rsid w:val="256B9490"/>
    <w:rsid w:val="2589118A"/>
    <w:rsid w:val="259CFB5E"/>
    <w:rsid w:val="259E2B03"/>
    <w:rsid w:val="259EF703"/>
    <w:rsid w:val="25A013BF"/>
    <w:rsid w:val="25A99816"/>
    <w:rsid w:val="25AA3B21"/>
    <w:rsid w:val="25D28AEC"/>
    <w:rsid w:val="25D69598"/>
    <w:rsid w:val="25DAC478"/>
    <w:rsid w:val="25F9EBBA"/>
    <w:rsid w:val="25FAA1F3"/>
    <w:rsid w:val="26040354"/>
    <w:rsid w:val="26049EA6"/>
    <w:rsid w:val="260636F5"/>
    <w:rsid w:val="262C6E8B"/>
    <w:rsid w:val="26351FC3"/>
    <w:rsid w:val="263D1583"/>
    <w:rsid w:val="26455CD0"/>
    <w:rsid w:val="2654E9CC"/>
    <w:rsid w:val="267307E1"/>
    <w:rsid w:val="26A06591"/>
    <w:rsid w:val="26A82046"/>
    <w:rsid w:val="26B37A81"/>
    <w:rsid w:val="26BE7AF2"/>
    <w:rsid w:val="26D0259A"/>
    <w:rsid w:val="26D3EAD9"/>
    <w:rsid w:val="26DB8280"/>
    <w:rsid w:val="26E1C518"/>
    <w:rsid w:val="26EBDAC9"/>
    <w:rsid w:val="2705ED1E"/>
    <w:rsid w:val="2718A5BD"/>
    <w:rsid w:val="271D2EAC"/>
    <w:rsid w:val="272FB8DA"/>
    <w:rsid w:val="273967E7"/>
    <w:rsid w:val="2751EDDA"/>
    <w:rsid w:val="2754BA7D"/>
    <w:rsid w:val="27618346"/>
    <w:rsid w:val="2770C63B"/>
    <w:rsid w:val="277436F9"/>
    <w:rsid w:val="2776D242"/>
    <w:rsid w:val="2798B078"/>
    <w:rsid w:val="27A8FCDE"/>
    <w:rsid w:val="27AA6D9F"/>
    <w:rsid w:val="27ABD336"/>
    <w:rsid w:val="27B02B67"/>
    <w:rsid w:val="27B039AB"/>
    <w:rsid w:val="27B10D04"/>
    <w:rsid w:val="27B24156"/>
    <w:rsid w:val="27BA1348"/>
    <w:rsid w:val="27C6139C"/>
    <w:rsid w:val="27D791B6"/>
    <w:rsid w:val="27E52F4B"/>
    <w:rsid w:val="27EEB6CE"/>
    <w:rsid w:val="27F31A24"/>
    <w:rsid w:val="2811EF64"/>
    <w:rsid w:val="281E6435"/>
    <w:rsid w:val="285B1533"/>
    <w:rsid w:val="285FA35F"/>
    <w:rsid w:val="28839E0B"/>
    <w:rsid w:val="288472D0"/>
    <w:rsid w:val="2889BF02"/>
    <w:rsid w:val="2898F2F2"/>
    <w:rsid w:val="28A8E827"/>
    <w:rsid w:val="28B3D6AF"/>
    <w:rsid w:val="28BC981B"/>
    <w:rsid w:val="28C44263"/>
    <w:rsid w:val="28CA1776"/>
    <w:rsid w:val="28D0A200"/>
    <w:rsid w:val="28DAD7FD"/>
    <w:rsid w:val="28E01AA2"/>
    <w:rsid w:val="28EBB790"/>
    <w:rsid w:val="28EBFE15"/>
    <w:rsid w:val="28F1BE91"/>
    <w:rsid w:val="28F615AF"/>
    <w:rsid w:val="28F9A659"/>
    <w:rsid w:val="290845B6"/>
    <w:rsid w:val="2908E509"/>
    <w:rsid w:val="290E0F1C"/>
    <w:rsid w:val="292F142F"/>
    <w:rsid w:val="2932FF5E"/>
    <w:rsid w:val="29425719"/>
    <w:rsid w:val="29429957"/>
    <w:rsid w:val="29504384"/>
    <w:rsid w:val="2957202F"/>
    <w:rsid w:val="295B8EE3"/>
    <w:rsid w:val="295BCEFD"/>
    <w:rsid w:val="296FD491"/>
    <w:rsid w:val="297D4ADA"/>
    <w:rsid w:val="298A4360"/>
    <w:rsid w:val="29AD26D1"/>
    <w:rsid w:val="29AF51B6"/>
    <w:rsid w:val="29C95A9D"/>
    <w:rsid w:val="29CF077E"/>
    <w:rsid w:val="29CF530A"/>
    <w:rsid w:val="29E2B73B"/>
    <w:rsid w:val="29F722FD"/>
    <w:rsid w:val="2A11AC20"/>
    <w:rsid w:val="2A1A0227"/>
    <w:rsid w:val="2A214637"/>
    <w:rsid w:val="2A30BD37"/>
    <w:rsid w:val="2A32C24E"/>
    <w:rsid w:val="2A39A444"/>
    <w:rsid w:val="2A3F95CE"/>
    <w:rsid w:val="2A4109FD"/>
    <w:rsid w:val="2A43F118"/>
    <w:rsid w:val="2A46CCD8"/>
    <w:rsid w:val="2A4A8B7E"/>
    <w:rsid w:val="2A5300B3"/>
    <w:rsid w:val="2A5C0E05"/>
    <w:rsid w:val="2A8D7AC2"/>
    <w:rsid w:val="2A8DE99A"/>
    <w:rsid w:val="2A9CC1CF"/>
    <w:rsid w:val="2AA1F328"/>
    <w:rsid w:val="2AA38A63"/>
    <w:rsid w:val="2AB825F7"/>
    <w:rsid w:val="2ABB3E9D"/>
    <w:rsid w:val="2ACFEC93"/>
    <w:rsid w:val="2AD07F73"/>
    <w:rsid w:val="2AE7FEB6"/>
    <w:rsid w:val="2AFCBA6E"/>
    <w:rsid w:val="2B0248B7"/>
    <w:rsid w:val="2B118781"/>
    <w:rsid w:val="2B174282"/>
    <w:rsid w:val="2B258ABB"/>
    <w:rsid w:val="2B271618"/>
    <w:rsid w:val="2B3829B0"/>
    <w:rsid w:val="2B4D7DAD"/>
    <w:rsid w:val="2B4DD7BC"/>
    <w:rsid w:val="2B508E13"/>
    <w:rsid w:val="2B5414A6"/>
    <w:rsid w:val="2BAD2F94"/>
    <w:rsid w:val="2BB52DBE"/>
    <w:rsid w:val="2BBB5D59"/>
    <w:rsid w:val="2BBD962A"/>
    <w:rsid w:val="2BC6C9D5"/>
    <w:rsid w:val="2BD323F5"/>
    <w:rsid w:val="2C0671B3"/>
    <w:rsid w:val="2C21184E"/>
    <w:rsid w:val="2C320965"/>
    <w:rsid w:val="2C3F4327"/>
    <w:rsid w:val="2C5A9228"/>
    <w:rsid w:val="2C61D730"/>
    <w:rsid w:val="2C645C4E"/>
    <w:rsid w:val="2C65FF5C"/>
    <w:rsid w:val="2C69FF2E"/>
    <w:rsid w:val="2C73EDEC"/>
    <w:rsid w:val="2C7C55BB"/>
    <w:rsid w:val="2C7D5C72"/>
    <w:rsid w:val="2C91FCDB"/>
    <w:rsid w:val="2C944F28"/>
    <w:rsid w:val="2C9555DF"/>
    <w:rsid w:val="2CA9C377"/>
    <w:rsid w:val="2CBE8213"/>
    <w:rsid w:val="2CC32184"/>
    <w:rsid w:val="2CCDEF74"/>
    <w:rsid w:val="2CD3CBA1"/>
    <w:rsid w:val="2CE4C793"/>
    <w:rsid w:val="2D0C2FC4"/>
    <w:rsid w:val="2D25724D"/>
    <w:rsid w:val="2D378E1D"/>
    <w:rsid w:val="2D38DF33"/>
    <w:rsid w:val="2D3BCFB6"/>
    <w:rsid w:val="2D3EBB96"/>
    <w:rsid w:val="2D428E4C"/>
    <w:rsid w:val="2D53C923"/>
    <w:rsid w:val="2D7F28A9"/>
    <w:rsid w:val="2D9FF696"/>
    <w:rsid w:val="2DACFAD9"/>
    <w:rsid w:val="2DB0B97F"/>
    <w:rsid w:val="2DB980D2"/>
    <w:rsid w:val="2DC1FEEE"/>
    <w:rsid w:val="2DD1F79C"/>
    <w:rsid w:val="2DD9F85B"/>
    <w:rsid w:val="2DE571B6"/>
    <w:rsid w:val="2DEEA024"/>
    <w:rsid w:val="2DF07CD7"/>
    <w:rsid w:val="2DF660C6"/>
    <w:rsid w:val="2E0A8C1D"/>
    <w:rsid w:val="2E3F39E9"/>
    <w:rsid w:val="2E661BE0"/>
    <w:rsid w:val="2E6F2CC3"/>
    <w:rsid w:val="2E79DD51"/>
    <w:rsid w:val="2E8043FE"/>
    <w:rsid w:val="2E8402DC"/>
    <w:rsid w:val="2E920983"/>
    <w:rsid w:val="2EA48AE4"/>
    <w:rsid w:val="2EADA285"/>
    <w:rsid w:val="2EB6B203"/>
    <w:rsid w:val="2EBA9EA9"/>
    <w:rsid w:val="2EBFB0A4"/>
    <w:rsid w:val="2EC7ACE6"/>
    <w:rsid w:val="2ED4546E"/>
    <w:rsid w:val="2ED62B9D"/>
    <w:rsid w:val="2EDD955F"/>
    <w:rsid w:val="2EEAEB72"/>
    <w:rsid w:val="2EF3050D"/>
    <w:rsid w:val="2EF590FB"/>
    <w:rsid w:val="2EFABCAA"/>
    <w:rsid w:val="2EFBC0A9"/>
    <w:rsid w:val="2F0DF1F2"/>
    <w:rsid w:val="2F12B617"/>
    <w:rsid w:val="2F30F00C"/>
    <w:rsid w:val="2F34CDDC"/>
    <w:rsid w:val="2F3E4999"/>
    <w:rsid w:val="2F43D190"/>
    <w:rsid w:val="2F566EA9"/>
    <w:rsid w:val="2F5ECD6B"/>
    <w:rsid w:val="2F67E3D8"/>
    <w:rsid w:val="2F6CD53F"/>
    <w:rsid w:val="2F900CDA"/>
    <w:rsid w:val="2F9C08A3"/>
    <w:rsid w:val="2FB40EC3"/>
    <w:rsid w:val="2FB533DF"/>
    <w:rsid w:val="2FC4547C"/>
    <w:rsid w:val="2FC53A46"/>
    <w:rsid w:val="2FC80983"/>
    <w:rsid w:val="2FD93402"/>
    <w:rsid w:val="2FE13187"/>
    <w:rsid w:val="2FFE26DD"/>
    <w:rsid w:val="300210CB"/>
    <w:rsid w:val="30036A79"/>
    <w:rsid w:val="300F0629"/>
    <w:rsid w:val="3019DEF0"/>
    <w:rsid w:val="301D8A41"/>
    <w:rsid w:val="3025EC6A"/>
    <w:rsid w:val="30310A3A"/>
    <w:rsid w:val="303474ED"/>
    <w:rsid w:val="3034A0A7"/>
    <w:rsid w:val="305A7BE7"/>
    <w:rsid w:val="305CCE34"/>
    <w:rsid w:val="3061AAB8"/>
    <w:rsid w:val="30699CDB"/>
    <w:rsid w:val="30877969"/>
    <w:rsid w:val="3091074D"/>
    <w:rsid w:val="30A2CBDA"/>
    <w:rsid w:val="30AED752"/>
    <w:rsid w:val="30B33B62"/>
    <w:rsid w:val="30B55BED"/>
    <w:rsid w:val="30CA005D"/>
    <w:rsid w:val="30D78411"/>
    <w:rsid w:val="30FEB6FB"/>
    <w:rsid w:val="3114F07B"/>
    <w:rsid w:val="31239B9C"/>
    <w:rsid w:val="3131F884"/>
    <w:rsid w:val="313C13AF"/>
    <w:rsid w:val="314945B1"/>
    <w:rsid w:val="314961AE"/>
    <w:rsid w:val="31603867"/>
    <w:rsid w:val="31613F1E"/>
    <w:rsid w:val="31647578"/>
    <w:rsid w:val="3169DA18"/>
    <w:rsid w:val="3173E978"/>
    <w:rsid w:val="317D2F3F"/>
    <w:rsid w:val="3183658F"/>
    <w:rsid w:val="31B3E26E"/>
    <w:rsid w:val="31BFD183"/>
    <w:rsid w:val="320B535B"/>
    <w:rsid w:val="320F73AA"/>
    <w:rsid w:val="32103E5D"/>
    <w:rsid w:val="322DC48F"/>
    <w:rsid w:val="3235FA50"/>
    <w:rsid w:val="323EA6D3"/>
    <w:rsid w:val="3243161A"/>
    <w:rsid w:val="32464099"/>
    <w:rsid w:val="3248A1AA"/>
    <w:rsid w:val="324F18C9"/>
    <w:rsid w:val="3252FA09"/>
    <w:rsid w:val="327391DB"/>
    <w:rsid w:val="3276DB64"/>
    <w:rsid w:val="32854582"/>
    <w:rsid w:val="328BAFE5"/>
    <w:rsid w:val="328E1AFE"/>
    <w:rsid w:val="32900213"/>
    <w:rsid w:val="32967105"/>
    <w:rsid w:val="329A0772"/>
    <w:rsid w:val="32A1D17B"/>
    <w:rsid w:val="32A668FD"/>
    <w:rsid w:val="32AB9604"/>
    <w:rsid w:val="32B09B44"/>
    <w:rsid w:val="32C33BB6"/>
    <w:rsid w:val="32C479BB"/>
    <w:rsid w:val="32C67D7C"/>
    <w:rsid w:val="32CDE6EE"/>
    <w:rsid w:val="32D8A7CE"/>
    <w:rsid w:val="32DB3523"/>
    <w:rsid w:val="32DD04FA"/>
    <w:rsid w:val="32DEB75F"/>
    <w:rsid w:val="32F03938"/>
    <w:rsid w:val="32F46213"/>
    <w:rsid w:val="3311B2FB"/>
    <w:rsid w:val="3311E1BE"/>
    <w:rsid w:val="331EEDB5"/>
    <w:rsid w:val="33231C95"/>
    <w:rsid w:val="33279C77"/>
    <w:rsid w:val="332DE7B8"/>
    <w:rsid w:val="333227FD"/>
    <w:rsid w:val="333B1602"/>
    <w:rsid w:val="334F1360"/>
    <w:rsid w:val="3379DDF3"/>
    <w:rsid w:val="33AC98D1"/>
    <w:rsid w:val="33B16888"/>
    <w:rsid w:val="33C1ACEF"/>
    <w:rsid w:val="33C44DC1"/>
    <w:rsid w:val="33C6A5E9"/>
    <w:rsid w:val="33C8A80F"/>
    <w:rsid w:val="33DAA6D3"/>
    <w:rsid w:val="33DCE8D2"/>
    <w:rsid w:val="33DD4435"/>
    <w:rsid w:val="33F32B67"/>
    <w:rsid w:val="33F55A66"/>
    <w:rsid w:val="33FA6346"/>
    <w:rsid w:val="340ACEB5"/>
    <w:rsid w:val="340DC40D"/>
    <w:rsid w:val="3420A06F"/>
    <w:rsid w:val="3458CFB3"/>
    <w:rsid w:val="34663BB5"/>
    <w:rsid w:val="347CF5F7"/>
    <w:rsid w:val="34811D1E"/>
    <w:rsid w:val="3489A1D0"/>
    <w:rsid w:val="34968674"/>
    <w:rsid w:val="34E10895"/>
    <w:rsid w:val="34E4FA0C"/>
    <w:rsid w:val="34E5608E"/>
    <w:rsid w:val="34E8778D"/>
    <w:rsid w:val="34F8C499"/>
    <w:rsid w:val="34FCF379"/>
    <w:rsid w:val="34FD29B0"/>
    <w:rsid w:val="35018605"/>
    <w:rsid w:val="350A1391"/>
    <w:rsid w:val="35164740"/>
    <w:rsid w:val="35222D2A"/>
    <w:rsid w:val="35294AFB"/>
    <w:rsid w:val="353E2BC2"/>
    <w:rsid w:val="356B2944"/>
    <w:rsid w:val="357E31EE"/>
    <w:rsid w:val="35802D59"/>
    <w:rsid w:val="35B04107"/>
    <w:rsid w:val="35B4FA70"/>
    <w:rsid w:val="35B54E11"/>
    <w:rsid w:val="35BB1A9E"/>
    <w:rsid w:val="35C31AD5"/>
    <w:rsid w:val="35D99C29"/>
    <w:rsid w:val="360760F2"/>
    <w:rsid w:val="361ACFC2"/>
    <w:rsid w:val="364DC1B1"/>
    <w:rsid w:val="36566739"/>
    <w:rsid w:val="365776B2"/>
    <w:rsid w:val="3661E094"/>
    <w:rsid w:val="366DA720"/>
    <w:rsid w:val="366E60A6"/>
    <w:rsid w:val="36794D21"/>
    <w:rsid w:val="367B9848"/>
    <w:rsid w:val="368BBAC2"/>
    <w:rsid w:val="36989BA1"/>
    <w:rsid w:val="36B148BF"/>
    <w:rsid w:val="36BB65B1"/>
    <w:rsid w:val="36BC76EA"/>
    <w:rsid w:val="36BE2647"/>
    <w:rsid w:val="36C3637C"/>
    <w:rsid w:val="36C61CE7"/>
    <w:rsid w:val="36C62362"/>
    <w:rsid w:val="36CAAB02"/>
    <w:rsid w:val="36D5DB05"/>
    <w:rsid w:val="36D82882"/>
    <w:rsid w:val="36E09FFC"/>
    <w:rsid w:val="36E64F0F"/>
    <w:rsid w:val="36F7A9D3"/>
    <w:rsid w:val="36FCE110"/>
    <w:rsid w:val="36FD13E1"/>
    <w:rsid w:val="36FF662E"/>
    <w:rsid w:val="36FFD668"/>
    <w:rsid w:val="372A3001"/>
    <w:rsid w:val="372B2853"/>
    <w:rsid w:val="373F7B1A"/>
    <w:rsid w:val="37420AD0"/>
    <w:rsid w:val="374E98DC"/>
    <w:rsid w:val="3770EB36"/>
    <w:rsid w:val="37732F79"/>
    <w:rsid w:val="378A5AC3"/>
    <w:rsid w:val="37A57176"/>
    <w:rsid w:val="37A5F84B"/>
    <w:rsid w:val="37B13CBA"/>
    <w:rsid w:val="37C3D1DF"/>
    <w:rsid w:val="37CCF743"/>
    <w:rsid w:val="37E07523"/>
    <w:rsid w:val="37E4FC8E"/>
    <w:rsid w:val="37E57C3A"/>
    <w:rsid w:val="37EC70C3"/>
    <w:rsid w:val="37EF05D4"/>
    <w:rsid w:val="37FB8A78"/>
    <w:rsid w:val="3802D061"/>
    <w:rsid w:val="3806AB34"/>
    <w:rsid w:val="380BD3AF"/>
    <w:rsid w:val="380DFA45"/>
    <w:rsid w:val="3817DE83"/>
    <w:rsid w:val="383047E4"/>
    <w:rsid w:val="38347578"/>
    <w:rsid w:val="38377CF0"/>
    <w:rsid w:val="383DF0C3"/>
    <w:rsid w:val="3846C39E"/>
    <w:rsid w:val="38567A68"/>
    <w:rsid w:val="38584371"/>
    <w:rsid w:val="3859CDEC"/>
    <w:rsid w:val="386B52DF"/>
    <w:rsid w:val="386DE2D8"/>
    <w:rsid w:val="387C06D0"/>
    <w:rsid w:val="389270E4"/>
    <w:rsid w:val="38A39A0B"/>
    <w:rsid w:val="38C3078D"/>
    <w:rsid w:val="38C94A31"/>
    <w:rsid w:val="38D0F83E"/>
    <w:rsid w:val="38E13530"/>
    <w:rsid w:val="38EE4127"/>
    <w:rsid w:val="38F41210"/>
    <w:rsid w:val="38F7FD36"/>
    <w:rsid w:val="390214D0"/>
    <w:rsid w:val="391F3AB8"/>
    <w:rsid w:val="39242EA7"/>
    <w:rsid w:val="3930506C"/>
    <w:rsid w:val="3933A850"/>
    <w:rsid w:val="394AC7A0"/>
    <w:rsid w:val="3966CF9D"/>
    <w:rsid w:val="3987006A"/>
    <w:rsid w:val="39884124"/>
    <w:rsid w:val="39AD488C"/>
    <w:rsid w:val="39B0E34B"/>
    <w:rsid w:val="39BE3737"/>
    <w:rsid w:val="39BFCBD5"/>
    <w:rsid w:val="39C0ACDD"/>
    <w:rsid w:val="39C4ADD8"/>
    <w:rsid w:val="39CC4353"/>
    <w:rsid w:val="39D51F61"/>
    <w:rsid w:val="39D65648"/>
    <w:rsid w:val="39DA54F8"/>
    <w:rsid w:val="39EDC2DA"/>
    <w:rsid w:val="39EF263C"/>
    <w:rsid w:val="39EF2BE2"/>
    <w:rsid w:val="39F59E4D"/>
    <w:rsid w:val="39F970A7"/>
    <w:rsid w:val="39FCBC1E"/>
    <w:rsid w:val="3A06ECD8"/>
    <w:rsid w:val="3A1857DF"/>
    <w:rsid w:val="3A21A225"/>
    <w:rsid w:val="3A371283"/>
    <w:rsid w:val="3A427605"/>
    <w:rsid w:val="3A499052"/>
    <w:rsid w:val="3A4C1698"/>
    <w:rsid w:val="3A4D4919"/>
    <w:rsid w:val="3A54CF87"/>
    <w:rsid w:val="3A5DFAB5"/>
    <w:rsid w:val="3A60F5F2"/>
    <w:rsid w:val="3A813750"/>
    <w:rsid w:val="3A8AE669"/>
    <w:rsid w:val="3A910D87"/>
    <w:rsid w:val="3AACD8F7"/>
    <w:rsid w:val="3AB44D7E"/>
    <w:rsid w:val="3AC07C17"/>
    <w:rsid w:val="3AF552F6"/>
    <w:rsid w:val="3AF5B890"/>
    <w:rsid w:val="3B01A50C"/>
    <w:rsid w:val="3B0633BE"/>
    <w:rsid w:val="3B08BAF7"/>
    <w:rsid w:val="3B0A570B"/>
    <w:rsid w:val="3B12DFE3"/>
    <w:rsid w:val="3B167650"/>
    <w:rsid w:val="3B2E68E4"/>
    <w:rsid w:val="3B33BB7F"/>
    <w:rsid w:val="3B3B9D24"/>
    <w:rsid w:val="3B3DAE7C"/>
    <w:rsid w:val="3B3E088B"/>
    <w:rsid w:val="3B41D1C9"/>
    <w:rsid w:val="3B44845D"/>
    <w:rsid w:val="3B45038F"/>
    <w:rsid w:val="3B6BD430"/>
    <w:rsid w:val="3B7146B4"/>
    <w:rsid w:val="3B8C5A79"/>
    <w:rsid w:val="3B918262"/>
    <w:rsid w:val="3B988C7F"/>
    <w:rsid w:val="3BA411C1"/>
    <w:rsid w:val="3BA7DF27"/>
    <w:rsid w:val="3BB31C3E"/>
    <w:rsid w:val="3BB3F90B"/>
    <w:rsid w:val="3BB4111F"/>
    <w:rsid w:val="3BCB4F6D"/>
    <w:rsid w:val="3BEC3D17"/>
    <w:rsid w:val="3BF5FAA2"/>
    <w:rsid w:val="3BF9777F"/>
    <w:rsid w:val="3C25ED7C"/>
    <w:rsid w:val="3C3515FA"/>
    <w:rsid w:val="3C36B2BB"/>
    <w:rsid w:val="3C39B592"/>
    <w:rsid w:val="3C4314C7"/>
    <w:rsid w:val="3C46054A"/>
    <w:rsid w:val="3C4EDED2"/>
    <w:rsid w:val="3C5C4C78"/>
    <w:rsid w:val="3C6B16B0"/>
    <w:rsid w:val="3C733C74"/>
    <w:rsid w:val="3C73CB60"/>
    <w:rsid w:val="3C7EE414"/>
    <w:rsid w:val="3C80CDB0"/>
    <w:rsid w:val="3C8F8F8F"/>
    <w:rsid w:val="3C9C6DFD"/>
    <w:rsid w:val="3CB00A4C"/>
    <w:rsid w:val="3CBDFFE6"/>
    <w:rsid w:val="3CC2986A"/>
    <w:rsid w:val="3CC2A050"/>
    <w:rsid w:val="3CCB676B"/>
    <w:rsid w:val="3CCDBFFC"/>
    <w:rsid w:val="3CCFC057"/>
    <w:rsid w:val="3CD9E384"/>
    <w:rsid w:val="3CE49670"/>
    <w:rsid w:val="3CE75790"/>
    <w:rsid w:val="3D05D133"/>
    <w:rsid w:val="3D0D9263"/>
    <w:rsid w:val="3D11A2BB"/>
    <w:rsid w:val="3D24FAD3"/>
    <w:rsid w:val="3D2CBCA9"/>
    <w:rsid w:val="3D33D245"/>
    <w:rsid w:val="3D3B1727"/>
    <w:rsid w:val="3D4C1C97"/>
    <w:rsid w:val="3D7CF8C4"/>
    <w:rsid w:val="3D80902C"/>
    <w:rsid w:val="3D867177"/>
    <w:rsid w:val="3D8EB703"/>
    <w:rsid w:val="3D9547E0"/>
    <w:rsid w:val="3DA2CCF4"/>
    <w:rsid w:val="3DB1755F"/>
    <w:rsid w:val="3DCFD186"/>
    <w:rsid w:val="3DDB0F1E"/>
    <w:rsid w:val="3DDD3615"/>
    <w:rsid w:val="3DF12606"/>
    <w:rsid w:val="3DF3B767"/>
    <w:rsid w:val="3E04F23E"/>
    <w:rsid w:val="3E0CA8A9"/>
    <w:rsid w:val="3E0D0DC0"/>
    <w:rsid w:val="3E1462D3"/>
    <w:rsid w:val="3E270A03"/>
    <w:rsid w:val="3E287E18"/>
    <w:rsid w:val="3E35C342"/>
    <w:rsid w:val="3E35C98F"/>
    <w:rsid w:val="3E3976D0"/>
    <w:rsid w:val="3E3C6827"/>
    <w:rsid w:val="3E419326"/>
    <w:rsid w:val="3E526C80"/>
    <w:rsid w:val="3E71532F"/>
    <w:rsid w:val="3E76697F"/>
    <w:rsid w:val="3E7C251F"/>
    <w:rsid w:val="3E81137E"/>
    <w:rsid w:val="3E8A9DE1"/>
    <w:rsid w:val="3E8BB514"/>
    <w:rsid w:val="3E8DD0A0"/>
    <w:rsid w:val="3E8FB8BE"/>
    <w:rsid w:val="3E919DCE"/>
    <w:rsid w:val="3E989170"/>
    <w:rsid w:val="3EA98922"/>
    <w:rsid w:val="3EAE1536"/>
    <w:rsid w:val="3EAE9AD4"/>
    <w:rsid w:val="3EB22AAB"/>
    <w:rsid w:val="3EB3B65C"/>
    <w:rsid w:val="3ECA2418"/>
    <w:rsid w:val="3ECC6B20"/>
    <w:rsid w:val="3ED3720E"/>
    <w:rsid w:val="3EDE4F72"/>
    <w:rsid w:val="3F0829A0"/>
    <w:rsid w:val="3F13483C"/>
    <w:rsid w:val="3F39229C"/>
    <w:rsid w:val="3F3BC297"/>
    <w:rsid w:val="3F42DFA4"/>
    <w:rsid w:val="3F45302A"/>
    <w:rsid w:val="3F60A00B"/>
    <w:rsid w:val="3F715654"/>
    <w:rsid w:val="3F75840F"/>
    <w:rsid w:val="3F75DC03"/>
    <w:rsid w:val="3F7FB18F"/>
    <w:rsid w:val="3F93ED3A"/>
    <w:rsid w:val="3FB7249B"/>
    <w:rsid w:val="3FCD8E4B"/>
    <w:rsid w:val="3FD52E17"/>
    <w:rsid w:val="3FD62DA2"/>
    <w:rsid w:val="3FDC27E8"/>
    <w:rsid w:val="3FF1B32C"/>
    <w:rsid w:val="3FFFA4BE"/>
    <w:rsid w:val="401BAD0C"/>
    <w:rsid w:val="4023C011"/>
    <w:rsid w:val="40293546"/>
    <w:rsid w:val="40320E69"/>
    <w:rsid w:val="405B35FA"/>
    <w:rsid w:val="405D6BA1"/>
    <w:rsid w:val="40606BFA"/>
    <w:rsid w:val="4060FA53"/>
    <w:rsid w:val="406B74B2"/>
    <w:rsid w:val="407A5D3C"/>
    <w:rsid w:val="40883889"/>
    <w:rsid w:val="40976B7D"/>
    <w:rsid w:val="40AAE8AE"/>
    <w:rsid w:val="40BE1802"/>
    <w:rsid w:val="40C56D7C"/>
    <w:rsid w:val="40D92D0A"/>
    <w:rsid w:val="40DFCF04"/>
    <w:rsid w:val="40E18C5A"/>
    <w:rsid w:val="40E50495"/>
    <w:rsid w:val="40EEAE92"/>
    <w:rsid w:val="40EF4A6E"/>
    <w:rsid w:val="40F20C6B"/>
    <w:rsid w:val="40FB4A8A"/>
    <w:rsid w:val="411B96BF"/>
    <w:rsid w:val="41261E15"/>
    <w:rsid w:val="413DB283"/>
    <w:rsid w:val="414C52DE"/>
    <w:rsid w:val="414D2F11"/>
    <w:rsid w:val="416B30B8"/>
    <w:rsid w:val="416DAC51"/>
    <w:rsid w:val="4170C285"/>
    <w:rsid w:val="41727552"/>
    <w:rsid w:val="417DC76F"/>
    <w:rsid w:val="41837B6F"/>
    <w:rsid w:val="418C4083"/>
    <w:rsid w:val="418CB3A9"/>
    <w:rsid w:val="418E0627"/>
    <w:rsid w:val="41985092"/>
    <w:rsid w:val="419AA2DF"/>
    <w:rsid w:val="419BA996"/>
    <w:rsid w:val="41A29AFD"/>
    <w:rsid w:val="41ABFF45"/>
    <w:rsid w:val="41B29C4C"/>
    <w:rsid w:val="41B8829A"/>
    <w:rsid w:val="41BD935F"/>
    <w:rsid w:val="41C18235"/>
    <w:rsid w:val="41C51B43"/>
    <w:rsid w:val="41D35484"/>
    <w:rsid w:val="41DE5E23"/>
    <w:rsid w:val="41E308B1"/>
    <w:rsid w:val="41E76210"/>
    <w:rsid w:val="41F14F7B"/>
    <w:rsid w:val="421347AD"/>
    <w:rsid w:val="421B0ADA"/>
    <w:rsid w:val="421FE3AC"/>
    <w:rsid w:val="4221AE40"/>
    <w:rsid w:val="422496F5"/>
    <w:rsid w:val="422E204C"/>
    <w:rsid w:val="4246B90F"/>
    <w:rsid w:val="42478DCB"/>
    <w:rsid w:val="424C796B"/>
    <w:rsid w:val="4253C59E"/>
    <w:rsid w:val="4263BD51"/>
    <w:rsid w:val="427E8BC1"/>
    <w:rsid w:val="428715FC"/>
    <w:rsid w:val="428B2F21"/>
    <w:rsid w:val="42910A28"/>
    <w:rsid w:val="429BBAC5"/>
    <w:rsid w:val="42B4BD47"/>
    <w:rsid w:val="42BFA0A6"/>
    <w:rsid w:val="42D810CA"/>
    <w:rsid w:val="42DC400C"/>
    <w:rsid w:val="42FFCD63"/>
    <w:rsid w:val="432F236A"/>
    <w:rsid w:val="433AACB8"/>
    <w:rsid w:val="433DCF97"/>
    <w:rsid w:val="434F9642"/>
    <w:rsid w:val="435298D4"/>
    <w:rsid w:val="435D870D"/>
    <w:rsid w:val="4371519A"/>
    <w:rsid w:val="4371F4A5"/>
    <w:rsid w:val="437E13EA"/>
    <w:rsid w:val="43815C2F"/>
    <w:rsid w:val="439582CD"/>
    <w:rsid w:val="439B2648"/>
    <w:rsid w:val="439EBF56"/>
    <w:rsid w:val="43A76CAB"/>
    <w:rsid w:val="43AF157F"/>
    <w:rsid w:val="43B02A5D"/>
    <w:rsid w:val="43B4268E"/>
    <w:rsid w:val="43B6B8C3"/>
    <w:rsid w:val="43C6C4AA"/>
    <w:rsid w:val="43CB0075"/>
    <w:rsid w:val="43D0C890"/>
    <w:rsid w:val="43D412DF"/>
    <w:rsid w:val="43E6B95F"/>
    <w:rsid w:val="43F22D69"/>
    <w:rsid w:val="43FCA72D"/>
    <w:rsid w:val="44011061"/>
    <w:rsid w:val="440400E4"/>
    <w:rsid w:val="4412BE1A"/>
    <w:rsid w:val="4419F132"/>
    <w:rsid w:val="4426FF82"/>
    <w:rsid w:val="442B2B9F"/>
    <w:rsid w:val="442FC4DE"/>
    <w:rsid w:val="443067E9"/>
    <w:rsid w:val="444001F0"/>
    <w:rsid w:val="444580AB"/>
    <w:rsid w:val="444ED2AE"/>
    <w:rsid w:val="4452ACE1"/>
    <w:rsid w:val="4468ABF5"/>
    <w:rsid w:val="44771B29"/>
    <w:rsid w:val="4477DE9B"/>
    <w:rsid w:val="4478EAAD"/>
    <w:rsid w:val="449A45D6"/>
    <w:rsid w:val="44A389E9"/>
    <w:rsid w:val="44A885A7"/>
    <w:rsid w:val="44AEB0DA"/>
    <w:rsid w:val="44B7606F"/>
    <w:rsid w:val="44E06916"/>
    <w:rsid w:val="44E3A007"/>
    <w:rsid w:val="44E45DF1"/>
    <w:rsid w:val="44E75349"/>
    <w:rsid w:val="4503EC74"/>
    <w:rsid w:val="45047A94"/>
    <w:rsid w:val="45066460"/>
    <w:rsid w:val="451F6484"/>
    <w:rsid w:val="452032A7"/>
    <w:rsid w:val="4520C3CE"/>
    <w:rsid w:val="45375DF1"/>
    <w:rsid w:val="453D63EB"/>
    <w:rsid w:val="453E4457"/>
    <w:rsid w:val="454B287E"/>
    <w:rsid w:val="4578608A"/>
    <w:rsid w:val="4586C8F2"/>
    <w:rsid w:val="459B18A9"/>
    <w:rsid w:val="45A5C68D"/>
    <w:rsid w:val="45B6E749"/>
    <w:rsid w:val="45BD8D29"/>
    <w:rsid w:val="45D37BF1"/>
    <w:rsid w:val="45E54E5A"/>
    <w:rsid w:val="45E9C112"/>
    <w:rsid w:val="45F7838D"/>
    <w:rsid w:val="460AA74E"/>
    <w:rsid w:val="4622CEB7"/>
    <w:rsid w:val="46306FFB"/>
    <w:rsid w:val="46369944"/>
    <w:rsid w:val="4641F5F9"/>
    <w:rsid w:val="4649B0AE"/>
    <w:rsid w:val="465D7E65"/>
    <w:rsid w:val="4662B8A4"/>
    <w:rsid w:val="466439D1"/>
    <w:rsid w:val="4672FD06"/>
    <w:rsid w:val="4674FCC5"/>
    <w:rsid w:val="467F7068"/>
    <w:rsid w:val="4681611C"/>
    <w:rsid w:val="4683F4B9"/>
    <w:rsid w:val="468D6B74"/>
    <w:rsid w:val="4690D1B1"/>
    <w:rsid w:val="4694A0A8"/>
    <w:rsid w:val="469ABB29"/>
    <w:rsid w:val="46A86306"/>
    <w:rsid w:val="46B05302"/>
    <w:rsid w:val="46BE0204"/>
    <w:rsid w:val="46C0862F"/>
    <w:rsid w:val="46C5CFEF"/>
    <w:rsid w:val="46D915B4"/>
    <w:rsid w:val="46ECF38E"/>
    <w:rsid w:val="46F16384"/>
    <w:rsid w:val="46FC4641"/>
    <w:rsid w:val="4706B776"/>
    <w:rsid w:val="470B266D"/>
    <w:rsid w:val="470D05F5"/>
    <w:rsid w:val="470EBDE7"/>
    <w:rsid w:val="471292FA"/>
    <w:rsid w:val="471EAE65"/>
    <w:rsid w:val="47319B3F"/>
    <w:rsid w:val="473416B1"/>
    <w:rsid w:val="4739D0A6"/>
    <w:rsid w:val="47415486"/>
    <w:rsid w:val="474A444A"/>
    <w:rsid w:val="474A8A30"/>
    <w:rsid w:val="4753039B"/>
    <w:rsid w:val="475DC6D6"/>
    <w:rsid w:val="475F251D"/>
    <w:rsid w:val="4760AFFC"/>
    <w:rsid w:val="4770628A"/>
    <w:rsid w:val="4781A1F7"/>
    <w:rsid w:val="478E3371"/>
    <w:rsid w:val="47946EB5"/>
    <w:rsid w:val="47946FF9"/>
    <w:rsid w:val="4798C8AD"/>
    <w:rsid w:val="47A4DEAC"/>
    <w:rsid w:val="47BB0772"/>
    <w:rsid w:val="47C3C960"/>
    <w:rsid w:val="47C98F6D"/>
    <w:rsid w:val="47D33E86"/>
    <w:rsid w:val="47DC241F"/>
    <w:rsid w:val="47EFBE2A"/>
    <w:rsid w:val="481FEC1E"/>
    <w:rsid w:val="48286995"/>
    <w:rsid w:val="482B5BA7"/>
    <w:rsid w:val="4830E9A8"/>
    <w:rsid w:val="483B3E76"/>
    <w:rsid w:val="483F44AE"/>
    <w:rsid w:val="4852AF28"/>
    <w:rsid w:val="48550E99"/>
    <w:rsid w:val="48553446"/>
    <w:rsid w:val="486BA4F7"/>
    <w:rsid w:val="4875FD95"/>
    <w:rsid w:val="487DFFE2"/>
    <w:rsid w:val="48937C0C"/>
    <w:rsid w:val="48940D09"/>
    <w:rsid w:val="4897A617"/>
    <w:rsid w:val="48A9F553"/>
    <w:rsid w:val="48B5BD2A"/>
    <w:rsid w:val="48CFE9BC"/>
    <w:rsid w:val="48E4AE48"/>
    <w:rsid w:val="490C3B0F"/>
    <w:rsid w:val="491B9FA8"/>
    <w:rsid w:val="49260C0E"/>
    <w:rsid w:val="4928A3FD"/>
    <w:rsid w:val="4928AB9F"/>
    <w:rsid w:val="493E3B3A"/>
    <w:rsid w:val="4942B7AC"/>
    <w:rsid w:val="494807CD"/>
    <w:rsid w:val="49583153"/>
    <w:rsid w:val="496269C6"/>
    <w:rsid w:val="49675191"/>
    <w:rsid w:val="496AA24C"/>
    <w:rsid w:val="496E4599"/>
    <w:rsid w:val="49702E98"/>
    <w:rsid w:val="49737377"/>
    <w:rsid w:val="497BF003"/>
    <w:rsid w:val="4989A777"/>
    <w:rsid w:val="4989BBC6"/>
    <w:rsid w:val="498D31A1"/>
    <w:rsid w:val="49921033"/>
    <w:rsid w:val="499BF859"/>
    <w:rsid w:val="49FA364D"/>
    <w:rsid w:val="49FF1850"/>
    <w:rsid w:val="4A2B8D17"/>
    <w:rsid w:val="4A2F0B2A"/>
    <w:rsid w:val="4A33DB1F"/>
    <w:rsid w:val="4A36520E"/>
    <w:rsid w:val="4A3B4FEE"/>
    <w:rsid w:val="4A45C5B4"/>
    <w:rsid w:val="4A4CD0AB"/>
    <w:rsid w:val="4A518D8B"/>
    <w:rsid w:val="4A5726A9"/>
    <w:rsid w:val="4A57D2E3"/>
    <w:rsid w:val="4A6ABBC4"/>
    <w:rsid w:val="4A86B3E1"/>
    <w:rsid w:val="4A90C0E3"/>
    <w:rsid w:val="4AA81861"/>
    <w:rsid w:val="4AB17BBC"/>
    <w:rsid w:val="4AC95B58"/>
    <w:rsid w:val="4AD3CE06"/>
    <w:rsid w:val="4AEC16B1"/>
    <w:rsid w:val="4AEEB7F6"/>
    <w:rsid w:val="4B0098B7"/>
    <w:rsid w:val="4B028283"/>
    <w:rsid w:val="4B11A6BA"/>
    <w:rsid w:val="4B17F6D2"/>
    <w:rsid w:val="4B19EC6F"/>
    <w:rsid w:val="4B32755D"/>
    <w:rsid w:val="4B356DC2"/>
    <w:rsid w:val="4B374552"/>
    <w:rsid w:val="4B483D27"/>
    <w:rsid w:val="4B5A9859"/>
    <w:rsid w:val="4B7785F5"/>
    <w:rsid w:val="4B7C4DE2"/>
    <w:rsid w:val="4B8D491C"/>
    <w:rsid w:val="4B8E5FB3"/>
    <w:rsid w:val="4B977520"/>
    <w:rsid w:val="4BAD2B3A"/>
    <w:rsid w:val="4BB754FF"/>
    <w:rsid w:val="4BBEC23B"/>
    <w:rsid w:val="4BD3820C"/>
    <w:rsid w:val="4BD3D75F"/>
    <w:rsid w:val="4BE5C4F4"/>
    <w:rsid w:val="4BF1CB44"/>
    <w:rsid w:val="4BFA54B3"/>
    <w:rsid w:val="4C05ECB6"/>
    <w:rsid w:val="4C10A905"/>
    <w:rsid w:val="4C1E20A8"/>
    <w:rsid w:val="4C314D9F"/>
    <w:rsid w:val="4C335A72"/>
    <w:rsid w:val="4C3432D1"/>
    <w:rsid w:val="4C6F0718"/>
    <w:rsid w:val="4C7D174C"/>
    <w:rsid w:val="4C7DB2FE"/>
    <w:rsid w:val="4C8AE3B8"/>
    <w:rsid w:val="4C9A0A88"/>
    <w:rsid w:val="4CB650DC"/>
    <w:rsid w:val="4CCE3A37"/>
    <w:rsid w:val="4CD0521F"/>
    <w:rsid w:val="4CE126EA"/>
    <w:rsid w:val="4CEC210C"/>
    <w:rsid w:val="4D06D1CB"/>
    <w:rsid w:val="4D232530"/>
    <w:rsid w:val="4D2AB7AC"/>
    <w:rsid w:val="4D364A75"/>
    <w:rsid w:val="4D493904"/>
    <w:rsid w:val="4D4E6F1E"/>
    <w:rsid w:val="4D63C227"/>
    <w:rsid w:val="4D6A27CE"/>
    <w:rsid w:val="4D6BAF65"/>
    <w:rsid w:val="4D7A0D4F"/>
    <w:rsid w:val="4D82D33E"/>
    <w:rsid w:val="4D8A32D7"/>
    <w:rsid w:val="4D98E2DF"/>
    <w:rsid w:val="4DAF30F6"/>
    <w:rsid w:val="4DC07444"/>
    <w:rsid w:val="4DCCF64C"/>
    <w:rsid w:val="4DD34B7F"/>
    <w:rsid w:val="4DF77251"/>
    <w:rsid w:val="4E06F78A"/>
    <w:rsid w:val="4E07D6F3"/>
    <w:rsid w:val="4E0A3BFE"/>
    <w:rsid w:val="4E0C8E4B"/>
    <w:rsid w:val="4E0EB689"/>
    <w:rsid w:val="4E1DD88F"/>
    <w:rsid w:val="4E22029A"/>
    <w:rsid w:val="4E22356B"/>
    <w:rsid w:val="4E2E21DF"/>
    <w:rsid w:val="4E499655"/>
    <w:rsid w:val="4E6048B5"/>
    <w:rsid w:val="4E7864BA"/>
    <w:rsid w:val="4E7C306F"/>
    <w:rsid w:val="4E81037A"/>
    <w:rsid w:val="4E84124E"/>
    <w:rsid w:val="4E8DE5E8"/>
    <w:rsid w:val="4EAF3A84"/>
    <w:rsid w:val="4EBACD6F"/>
    <w:rsid w:val="4EE2FAFC"/>
    <w:rsid w:val="4EF7FF11"/>
    <w:rsid w:val="4F1EAB96"/>
    <w:rsid w:val="4F2444EF"/>
    <w:rsid w:val="4F28F8A2"/>
    <w:rsid w:val="4F3F96EA"/>
    <w:rsid w:val="4F498B32"/>
    <w:rsid w:val="4F55F2C0"/>
    <w:rsid w:val="4F5D06BC"/>
    <w:rsid w:val="4F5DFC95"/>
    <w:rsid w:val="4F718B43"/>
    <w:rsid w:val="4F81AB10"/>
    <w:rsid w:val="4F82B70E"/>
    <w:rsid w:val="4F89D4EE"/>
    <w:rsid w:val="4F94D188"/>
    <w:rsid w:val="4FAB01D6"/>
    <w:rsid w:val="4FCE6BC2"/>
    <w:rsid w:val="4FDE5B03"/>
    <w:rsid w:val="4FE6652F"/>
    <w:rsid w:val="4FF18F13"/>
    <w:rsid w:val="50032E91"/>
    <w:rsid w:val="50132FE0"/>
    <w:rsid w:val="5025E1A8"/>
    <w:rsid w:val="502E4F83"/>
    <w:rsid w:val="50814D01"/>
    <w:rsid w:val="508AF53A"/>
    <w:rsid w:val="509E4441"/>
    <w:rsid w:val="50A2EEA7"/>
    <w:rsid w:val="50A4D873"/>
    <w:rsid w:val="50A50F80"/>
    <w:rsid w:val="50A5DF2A"/>
    <w:rsid w:val="50BA3770"/>
    <w:rsid w:val="50C47A7D"/>
    <w:rsid w:val="50CF38B4"/>
    <w:rsid w:val="50D1D5F5"/>
    <w:rsid w:val="50D2E181"/>
    <w:rsid w:val="50D50F47"/>
    <w:rsid w:val="50EB4A6B"/>
    <w:rsid w:val="50FE463F"/>
    <w:rsid w:val="50FF10E0"/>
    <w:rsid w:val="5102CF86"/>
    <w:rsid w:val="51089E1E"/>
    <w:rsid w:val="511414F5"/>
    <w:rsid w:val="511447C6"/>
    <w:rsid w:val="5116CCA1"/>
    <w:rsid w:val="5116CCE4"/>
    <w:rsid w:val="51193110"/>
    <w:rsid w:val="5120343A"/>
    <w:rsid w:val="512C0E62"/>
    <w:rsid w:val="513D7969"/>
    <w:rsid w:val="51490E45"/>
    <w:rsid w:val="515C9C8E"/>
    <w:rsid w:val="516C01A8"/>
    <w:rsid w:val="51710BCE"/>
    <w:rsid w:val="517AE6B8"/>
    <w:rsid w:val="51914FF0"/>
    <w:rsid w:val="51AFD350"/>
    <w:rsid w:val="51B1174D"/>
    <w:rsid w:val="51D28839"/>
    <w:rsid w:val="51D2BB0A"/>
    <w:rsid w:val="51DEA77E"/>
    <w:rsid w:val="51E175A2"/>
    <w:rsid w:val="51EE404C"/>
    <w:rsid w:val="51F5FB01"/>
    <w:rsid w:val="520ECD29"/>
    <w:rsid w:val="521A05C2"/>
    <w:rsid w:val="521B3B2D"/>
    <w:rsid w:val="521EC9A3"/>
    <w:rsid w:val="522FAB66"/>
    <w:rsid w:val="5238F06D"/>
    <w:rsid w:val="523C3EA6"/>
    <w:rsid w:val="52506101"/>
    <w:rsid w:val="526F6F10"/>
    <w:rsid w:val="526F7756"/>
    <w:rsid w:val="527250FC"/>
    <w:rsid w:val="527FB60E"/>
    <w:rsid w:val="52C6E41F"/>
    <w:rsid w:val="52C70866"/>
    <w:rsid w:val="52D5C1B6"/>
    <w:rsid w:val="52D68DBE"/>
    <w:rsid w:val="52D97E41"/>
    <w:rsid w:val="52E3A16E"/>
    <w:rsid w:val="52EE1EAA"/>
    <w:rsid w:val="52FA0B1E"/>
    <w:rsid w:val="530749E6"/>
    <w:rsid w:val="530E1D58"/>
    <w:rsid w:val="5313A776"/>
    <w:rsid w:val="5317504D"/>
    <w:rsid w:val="532DAD31"/>
    <w:rsid w:val="532EF23A"/>
    <w:rsid w:val="5349ED39"/>
    <w:rsid w:val="53503CE4"/>
    <w:rsid w:val="538ECE52"/>
    <w:rsid w:val="538F1D16"/>
    <w:rsid w:val="5397F185"/>
    <w:rsid w:val="53AC2C4C"/>
    <w:rsid w:val="53AC91EE"/>
    <w:rsid w:val="53AEE43B"/>
    <w:rsid w:val="53C3A26A"/>
    <w:rsid w:val="53D98F70"/>
    <w:rsid w:val="53ECDF37"/>
    <w:rsid w:val="53EFE6AF"/>
    <w:rsid w:val="53F4E1E1"/>
    <w:rsid w:val="53F75706"/>
    <w:rsid w:val="5401FD45"/>
    <w:rsid w:val="54094F79"/>
    <w:rsid w:val="541E20BD"/>
    <w:rsid w:val="542568C2"/>
    <w:rsid w:val="543271A7"/>
    <w:rsid w:val="54388E06"/>
    <w:rsid w:val="5445A982"/>
    <w:rsid w:val="545B6499"/>
    <w:rsid w:val="545C6D3F"/>
    <w:rsid w:val="54605525"/>
    <w:rsid w:val="549A5501"/>
    <w:rsid w:val="549B5BB8"/>
    <w:rsid w:val="54A821C9"/>
    <w:rsid w:val="54B24E6E"/>
    <w:rsid w:val="54B33530"/>
    <w:rsid w:val="54B35525"/>
    <w:rsid w:val="54BA82FA"/>
    <w:rsid w:val="54C3E186"/>
    <w:rsid w:val="54C7C2BD"/>
    <w:rsid w:val="54D3D2BD"/>
    <w:rsid w:val="54D3E202"/>
    <w:rsid w:val="54D905FF"/>
    <w:rsid w:val="54EF71FA"/>
    <w:rsid w:val="5511E78A"/>
    <w:rsid w:val="55582E2C"/>
    <w:rsid w:val="555E24F0"/>
    <w:rsid w:val="55657001"/>
    <w:rsid w:val="5574E06D"/>
    <w:rsid w:val="5575B655"/>
    <w:rsid w:val="557B1A21"/>
    <w:rsid w:val="559B0745"/>
    <w:rsid w:val="559DBF34"/>
    <w:rsid w:val="55A29282"/>
    <w:rsid w:val="55C5A7E2"/>
    <w:rsid w:val="55D3664B"/>
    <w:rsid w:val="55D74C35"/>
    <w:rsid w:val="55DC6526"/>
    <w:rsid w:val="55DDC5EC"/>
    <w:rsid w:val="55E0E133"/>
    <w:rsid w:val="55EC1D79"/>
    <w:rsid w:val="560B544D"/>
    <w:rsid w:val="560CF9C1"/>
    <w:rsid w:val="560D6278"/>
    <w:rsid w:val="561122E0"/>
    <w:rsid w:val="56125636"/>
    <w:rsid w:val="561A493B"/>
    <w:rsid w:val="562E20D2"/>
    <w:rsid w:val="56424F3F"/>
    <w:rsid w:val="565D392F"/>
    <w:rsid w:val="56679328"/>
    <w:rsid w:val="566FF7B9"/>
    <w:rsid w:val="56822E4D"/>
    <w:rsid w:val="568DD60A"/>
    <w:rsid w:val="56A0F696"/>
    <w:rsid w:val="56A3BF0D"/>
    <w:rsid w:val="56B70637"/>
    <w:rsid w:val="56C0F5B2"/>
    <w:rsid w:val="56C7D5EC"/>
    <w:rsid w:val="56CAEA59"/>
    <w:rsid w:val="56E054C3"/>
    <w:rsid w:val="56E76D8D"/>
    <w:rsid w:val="570B3323"/>
    <w:rsid w:val="570C32C5"/>
    <w:rsid w:val="57127A07"/>
    <w:rsid w:val="5718BBF0"/>
    <w:rsid w:val="574A6547"/>
    <w:rsid w:val="574C8234"/>
    <w:rsid w:val="575918DD"/>
    <w:rsid w:val="5765FD96"/>
    <w:rsid w:val="5768C4D9"/>
    <w:rsid w:val="57789CCF"/>
    <w:rsid w:val="577C333C"/>
    <w:rsid w:val="577C9383"/>
    <w:rsid w:val="578B5BD7"/>
    <w:rsid w:val="578BD61C"/>
    <w:rsid w:val="5790963C"/>
    <w:rsid w:val="579F5A13"/>
    <w:rsid w:val="57A460C9"/>
    <w:rsid w:val="57AC58E7"/>
    <w:rsid w:val="57B9D518"/>
    <w:rsid w:val="57BC053B"/>
    <w:rsid w:val="57C38BF6"/>
    <w:rsid w:val="57CED92D"/>
    <w:rsid w:val="57CF0BFE"/>
    <w:rsid w:val="57D28E08"/>
    <w:rsid w:val="57D7A232"/>
    <w:rsid w:val="57E0A797"/>
    <w:rsid w:val="57EF3169"/>
    <w:rsid w:val="57F5A52E"/>
    <w:rsid w:val="57FE37B9"/>
    <w:rsid w:val="5800EE0E"/>
    <w:rsid w:val="581362CF"/>
    <w:rsid w:val="58182A14"/>
    <w:rsid w:val="58352D69"/>
    <w:rsid w:val="58371013"/>
    <w:rsid w:val="583826DF"/>
    <w:rsid w:val="5846F317"/>
    <w:rsid w:val="58539C0C"/>
    <w:rsid w:val="58563755"/>
    <w:rsid w:val="5859FE4A"/>
    <w:rsid w:val="585BB24C"/>
    <w:rsid w:val="586020F3"/>
    <w:rsid w:val="5863DAC4"/>
    <w:rsid w:val="58755304"/>
    <w:rsid w:val="588CDB97"/>
    <w:rsid w:val="588F9EBE"/>
    <w:rsid w:val="58B2547C"/>
    <w:rsid w:val="58B7BA3D"/>
    <w:rsid w:val="58B7BEDA"/>
    <w:rsid w:val="58E7D4B8"/>
    <w:rsid w:val="58F61157"/>
    <w:rsid w:val="58F927F2"/>
    <w:rsid w:val="59120F50"/>
    <w:rsid w:val="59176D20"/>
    <w:rsid w:val="591F5D85"/>
    <w:rsid w:val="5926A5D2"/>
    <w:rsid w:val="592B78DF"/>
    <w:rsid w:val="592DC213"/>
    <w:rsid w:val="593649EA"/>
    <w:rsid w:val="593FCDFF"/>
    <w:rsid w:val="5946CD11"/>
    <w:rsid w:val="594E1202"/>
    <w:rsid w:val="59560A20"/>
    <w:rsid w:val="5958655F"/>
    <w:rsid w:val="59669CC7"/>
    <w:rsid w:val="59903DED"/>
    <w:rsid w:val="5990B6A4"/>
    <w:rsid w:val="59921A94"/>
    <w:rsid w:val="599308F1"/>
    <w:rsid w:val="599FCB41"/>
    <w:rsid w:val="59B70EB9"/>
    <w:rsid w:val="59C1968D"/>
    <w:rsid w:val="59D3D492"/>
    <w:rsid w:val="59E23CFA"/>
    <w:rsid w:val="59E39D38"/>
    <w:rsid w:val="59EAB1A8"/>
    <w:rsid w:val="59ED357B"/>
    <w:rsid w:val="59F200F8"/>
    <w:rsid w:val="59F4B16E"/>
    <w:rsid w:val="5A2B8DE0"/>
    <w:rsid w:val="5A325329"/>
    <w:rsid w:val="5A3A25D3"/>
    <w:rsid w:val="5A3F4517"/>
    <w:rsid w:val="5A49BFDA"/>
    <w:rsid w:val="5A4EF717"/>
    <w:rsid w:val="5A517C35"/>
    <w:rsid w:val="5A523430"/>
    <w:rsid w:val="5A7269DF"/>
    <w:rsid w:val="5A73E21A"/>
    <w:rsid w:val="5A75ED55"/>
    <w:rsid w:val="5A7FA4B0"/>
    <w:rsid w:val="5AAF9626"/>
    <w:rsid w:val="5AD8A652"/>
    <w:rsid w:val="5B041EC3"/>
    <w:rsid w:val="5B0A677F"/>
    <w:rsid w:val="5B0CF5C7"/>
    <w:rsid w:val="5B14DDEF"/>
    <w:rsid w:val="5B22C9B6"/>
    <w:rsid w:val="5B333819"/>
    <w:rsid w:val="5B3D9006"/>
    <w:rsid w:val="5B3E2B58"/>
    <w:rsid w:val="5B66C1A9"/>
    <w:rsid w:val="5B6EE780"/>
    <w:rsid w:val="5B83B8C4"/>
    <w:rsid w:val="5B844214"/>
    <w:rsid w:val="5B93BF2B"/>
    <w:rsid w:val="5B957FC4"/>
    <w:rsid w:val="5BA4E29C"/>
    <w:rsid w:val="5BA8906F"/>
    <w:rsid w:val="5BA9CC98"/>
    <w:rsid w:val="5BB1D7FD"/>
    <w:rsid w:val="5BB30DD5"/>
    <w:rsid w:val="5BB47B0D"/>
    <w:rsid w:val="5BBADBC0"/>
    <w:rsid w:val="5BC455BB"/>
    <w:rsid w:val="5BD69307"/>
    <w:rsid w:val="5C03258C"/>
    <w:rsid w:val="5C0EA83B"/>
    <w:rsid w:val="5C1359AC"/>
    <w:rsid w:val="5C17A657"/>
    <w:rsid w:val="5C245FD7"/>
    <w:rsid w:val="5C2D2731"/>
    <w:rsid w:val="5C308180"/>
    <w:rsid w:val="5C32E8BF"/>
    <w:rsid w:val="5C63AD50"/>
    <w:rsid w:val="5C683FDC"/>
    <w:rsid w:val="5C6D9219"/>
    <w:rsid w:val="5C704A08"/>
    <w:rsid w:val="5C7E6C23"/>
    <w:rsid w:val="5C82C8FF"/>
    <w:rsid w:val="5C90F514"/>
    <w:rsid w:val="5CA608F6"/>
    <w:rsid w:val="5CCC0272"/>
    <w:rsid w:val="5CD1A8DC"/>
    <w:rsid w:val="5CD45F1D"/>
    <w:rsid w:val="5CDB76C7"/>
    <w:rsid w:val="5CE277DD"/>
    <w:rsid w:val="5D0059A9"/>
    <w:rsid w:val="5D02F952"/>
    <w:rsid w:val="5D04BD43"/>
    <w:rsid w:val="5D0D0CFC"/>
    <w:rsid w:val="5D0EEFFB"/>
    <w:rsid w:val="5D12FB8B"/>
    <w:rsid w:val="5D16C3DF"/>
    <w:rsid w:val="5D19C55D"/>
    <w:rsid w:val="5D2433A3"/>
    <w:rsid w:val="5D26B320"/>
    <w:rsid w:val="5D286C4F"/>
    <w:rsid w:val="5D3E198E"/>
    <w:rsid w:val="5D413C43"/>
    <w:rsid w:val="5D45CB54"/>
    <w:rsid w:val="5D4EDE36"/>
    <w:rsid w:val="5D560C16"/>
    <w:rsid w:val="5D6A84B0"/>
    <w:rsid w:val="5D6BFD1D"/>
    <w:rsid w:val="5D7EE6B5"/>
    <w:rsid w:val="5D92B7F5"/>
    <w:rsid w:val="5D9E2C9F"/>
    <w:rsid w:val="5DBD3DB6"/>
    <w:rsid w:val="5DC775B7"/>
    <w:rsid w:val="5DC98F9F"/>
    <w:rsid w:val="5DD34D57"/>
    <w:rsid w:val="5DEBC3C8"/>
    <w:rsid w:val="5E066385"/>
    <w:rsid w:val="5E19FB41"/>
    <w:rsid w:val="5E3DE964"/>
    <w:rsid w:val="5E45BE04"/>
    <w:rsid w:val="5E4768FD"/>
    <w:rsid w:val="5E479BCE"/>
    <w:rsid w:val="5E5222A7"/>
    <w:rsid w:val="5E53FF0A"/>
    <w:rsid w:val="5E6D76C2"/>
    <w:rsid w:val="5E7B90C2"/>
    <w:rsid w:val="5E85D186"/>
    <w:rsid w:val="5E93E7D0"/>
    <w:rsid w:val="5E95F29B"/>
    <w:rsid w:val="5EA28068"/>
    <w:rsid w:val="5EB0B41C"/>
    <w:rsid w:val="5EB14C30"/>
    <w:rsid w:val="5EB1BD7D"/>
    <w:rsid w:val="5EB6B052"/>
    <w:rsid w:val="5EBD1973"/>
    <w:rsid w:val="5EBEBE1D"/>
    <w:rsid w:val="5ED0AF88"/>
    <w:rsid w:val="5EDA7630"/>
    <w:rsid w:val="5F091C25"/>
    <w:rsid w:val="5F0FF7B5"/>
    <w:rsid w:val="5F25C9C0"/>
    <w:rsid w:val="5F337515"/>
    <w:rsid w:val="5F493CB8"/>
    <w:rsid w:val="5F6367EF"/>
    <w:rsid w:val="5F75F021"/>
    <w:rsid w:val="5F77D0B2"/>
    <w:rsid w:val="5F927A0E"/>
    <w:rsid w:val="5F95C835"/>
    <w:rsid w:val="5F981B51"/>
    <w:rsid w:val="5FB1C33E"/>
    <w:rsid w:val="5FB6D354"/>
    <w:rsid w:val="5FBD3022"/>
    <w:rsid w:val="5FCFFAFA"/>
    <w:rsid w:val="5FFC3982"/>
    <w:rsid w:val="60136D8C"/>
    <w:rsid w:val="601A2A66"/>
    <w:rsid w:val="601B9B12"/>
    <w:rsid w:val="6021EE97"/>
    <w:rsid w:val="6030CB4B"/>
    <w:rsid w:val="603643F6"/>
    <w:rsid w:val="6037F09C"/>
    <w:rsid w:val="60381F55"/>
    <w:rsid w:val="60411C61"/>
    <w:rsid w:val="604F5D53"/>
    <w:rsid w:val="6058A020"/>
    <w:rsid w:val="605B151B"/>
    <w:rsid w:val="6065BF2F"/>
    <w:rsid w:val="607479AE"/>
    <w:rsid w:val="609071CB"/>
    <w:rsid w:val="60A48270"/>
    <w:rsid w:val="60A831FC"/>
    <w:rsid w:val="60D46D71"/>
    <w:rsid w:val="60E46F0A"/>
    <w:rsid w:val="60E79725"/>
    <w:rsid w:val="60F875E0"/>
    <w:rsid w:val="60FBC3F9"/>
    <w:rsid w:val="6118154F"/>
    <w:rsid w:val="6121E78D"/>
    <w:rsid w:val="6131B787"/>
    <w:rsid w:val="6134B5FB"/>
    <w:rsid w:val="6141033C"/>
    <w:rsid w:val="6142CB75"/>
    <w:rsid w:val="6145CD6E"/>
    <w:rsid w:val="6151A796"/>
    <w:rsid w:val="615A6B1D"/>
    <w:rsid w:val="61655311"/>
    <w:rsid w:val="616678DA"/>
    <w:rsid w:val="6166ADC6"/>
    <w:rsid w:val="616DFE56"/>
    <w:rsid w:val="6171E357"/>
    <w:rsid w:val="6177E3E1"/>
    <w:rsid w:val="6186504A"/>
    <w:rsid w:val="6186FB1F"/>
    <w:rsid w:val="618E40C5"/>
    <w:rsid w:val="618E7E2E"/>
    <w:rsid w:val="619BCC63"/>
    <w:rsid w:val="61A1E7C7"/>
    <w:rsid w:val="61BA98A0"/>
    <w:rsid w:val="61C7CD16"/>
    <w:rsid w:val="61DB3CCB"/>
    <w:rsid w:val="61E3B3D5"/>
    <w:rsid w:val="61EE09D3"/>
    <w:rsid w:val="61F4558E"/>
    <w:rsid w:val="620FAAA0"/>
    <w:rsid w:val="622AF494"/>
    <w:rsid w:val="623A2304"/>
    <w:rsid w:val="623FBDC3"/>
    <w:rsid w:val="62419BD9"/>
    <w:rsid w:val="6246AF9D"/>
    <w:rsid w:val="624AD9D1"/>
    <w:rsid w:val="62557A4A"/>
    <w:rsid w:val="625F9181"/>
    <w:rsid w:val="6272DA39"/>
    <w:rsid w:val="6279500F"/>
    <w:rsid w:val="62873D29"/>
    <w:rsid w:val="629AE8B7"/>
    <w:rsid w:val="62A0AB52"/>
    <w:rsid w:val="62B1A7B2"/>
    <w:rsid w:val="62B5DD71"/>
    <w:rsid w:val="62B762D4"/>
    <w:rsid w:val="62C73BEA"/>
    <w:rsid w:val="62DB5875"/>
    <w:rsid w:val="62FEE5A0"/>
    <w:rsid w:val="62FF1775"/>
    <w:rsid w:val="63093AA2"/>
    <w:rsid w:val="630ED5BD"/>
    <w:rsid w:val="63134F2B"/>
    <w:rsid w:val="6316B287"/>
    <w:rsid w:val="6320AE3E"/>
    <w:rsid w:val="63261E09"/>
    <w:rsid w:val="6332937E"/>
    <w:rsid w:val="63347596"/>
    <w:rsid w:val="633D4BDF"/>
    <w:rsid w:val="633D8D37"/>
    <w:rsid w:val="634962BC"/>
    <w:rsid w:val="6351BAC5"/>
    <w:rsid w:val="636302D5"/>
    <w:rsid w:val="63652090"/>
    <w:rsid w:val="63692335"/>
    <w:rsid w:val="63805BC1"/>
    <w:rsid w:val="63A65F6F"/>
    <w:rsid w:val="63CAF040"/>
    <w:rsid w:val="63CED028"/>
    <w:rsid w:val="63CF0BF9"/>
    <w:rsid w:val="63FAE65A"/>
    <w:rsid w:val="63FF5E54"/>
    <w:rsid w:val="6413F9E8"/>
    <w:rsid w:val="64202775"/>
    <w:rsid w:val="6422238A"/>
    <w:rsid w:val="6426C856"/>
    <w:rsid w:val="6437DFC9"/>
    <w:rsid w:val="64442272"/>
    <w:rsid w:val="644B84D2"/>
    <w:rsid w:val="647DEB63"/>
    <w:rsid w:val="64BDFB49"/>
    <w:rsid w:val="64C48B59"/>
    <w:rsid w:val="64D4CD3B"/>
    <w:rsid w:val="64D8EE59"/>
    <w:rsid w:val="64F24261"/>
    <w:rsid w:val="650E4C7A"/>
    <w:rsid w:val="651CF270"/>
    <w:rsid w:val="6539E461"/>
    <w:rsid w:val="6549F332"/>
    <w:rsid w:val="654AB313"/>
    <w:rsid w:val="6550404C"/>
    <w:rsid w:val="65593072"/>
    <w:rsid w:val="655EE3EA"/>
    <w:rsid w:val="6566680C"/>
    <w:rsid w:val="6568AE6C"/>
    <w:rsid w:val="657B1B1B"/>
    <w:rsid w:val="65803653"/>
    <w:rsid w:val="658722E5"/>
    <w:rsid w:val="6595E8FF"/>
    <w:rsid w:val="659BBC2F"/>
    <w:rsid w:val="65A84253"/>
    <w:rsid w:val="65C32597"/>
    <w:rsid w:val="65C50E5F"/>
    <w:rsid w:val="65D11142"/>
    <w:rsid w:val="65D829AC"/>
    <w:rsid w:val="65DC3F49"/>
    <w:rsid w:val="65DCE8B8"/>
    <w:rsid w:val="65E0EB18"/>
    <w:rsid w:val="65E40CFA"/>
    <w:rsid w:val="65EDD0CC"/>
    <w:rsid w:val="660528AA"/>
    <w:rsid w:val="665FC53D"/>
    <w:rsid w:val="66718FB5"/>
    <w:rsid w:val="667B5DAB"/>
    <w:rsid w:val="66890DD5"/>
    <w:rsid w:val="668D5368"/>
    <w:rsid w:val="66982402"/>
    <w:rsid w:val="669E623D"/>
    <w:rsid w:val="66C7079C"/>
    <w:rsid w:val="66D64F64"/>
    <w:rsid w:val="66F1082E"/>
    <w:rsid w:val="6708CECA"/>
    <w:rsid w:val="6717ADDC"/>
    <w:rsid w:val="67349DD9"/>
    <w:rsid w:val="673A5915"/>
    <w:rsid w:val="673B5AFA"/>
    <w:rsid w:val="674145A7"/>
    <w:rsid w:val="674F3304"/>
    <w:rsid w:val="675C6AFA"/>
    <w:rsid w:val="677E1921"/>
    <w:rsid w:val="6781DAE5"/>
    <w:rsid w:val="67827DF0"/>
    <w:rsid w:val="6787EBF9"/>
    <w:rsid w:val="678E4018"/>
    <w:rsid w:val="67996633"/>
    <w:rsid w:val="67A93654"/>
    <w:rsid w:val="67C1EFD1"/>
    <w:rsid w:val="67D0799A"/>
    <w:rsid w:val="68097676"/>
    <w:rsid w:val="6812CCC2"/>
    <w:rsid w:val="6828F9E2"/>
    <w:rsid w:val="683A6D9B"/>
    <w:rsid w:val="68414C63"/>
    <w:rsid w:val="6856909B"/>
    <w:rsid w:val="68587A67"/>
    <w:rsid w:val="685AF1F0"/>
    <w:rsid w:val="686F1DA2"/>
    <w:rsid w:val="687248AE"/>
    <w:rsid w:val="68793540"/>
    <w:rsid w:val="6885DC99"/>
    <w:rsid w:val="6886499B"/>
    <w:rsid w:val="689B72CA"/>
    <w:rsid w:val="68B66187"/>
    <w:rsid w:val="68C26BCC"/>
    <w:rsid w:val="68EE9172"/>
    <w:rsid w:val="68F0E88C"/>
    <w:rsid w:val="690783E1"/>
    <w:rsid w:val="690A7BBD"/>
    <w:rsid w:val="69179ECC"/>
    <w:rsid w:val="6944F6B9"/>
    <w:rsid w:val="695F4596"/>
    <w:rsid w:val="6974AF70"/>
    <w:rsid w:val="6974E4BE"/>
    <w:rsid w:val="6988AF4B"/>
    <w:rsid w:val="6989EDA8"/>
    <w:rsid w:val="69940C00"/>
    <w:rsid w:val="69A9837B"/>
    <w:rsid w:val="69B61D07"/>
    <w:rsid w:val="69BA1B04"/>
    <w:rsid w:val="69BA1E58"/>
    <w:rsid w:val="69D37723"/>
    <w:rsid w:val="69F6C251"/>
    <w:rsid w:val="69FDB68B"/>
    <w:rsid w:val="6A0BFC24"/>
    <w:rsid w:val="6A0D8A8F"/>
    <w:rsid w:val="6A1609E6"/>
    <w:rsid w:val="6A1BBEBA"/>
    <w:rsid w:val="6A252EC6"/>
    <w:rsid w:val="6A2C6B70"/>
    <w:rsid w:val="6A34EDB4"/>
    <w:rsid w:val="6A4F2361"/>
    <w:rsid w:val="6A5F1BFC"/>
    <w:rsid w:val="6A6A78B1"/>
    <w:rsid w:val="6A70C46C"/>
    <w:rsid w:val="6A913C02"/>
    <w:rsid w:val="6AA519A2"/>
    <w:rsid w:val="6AD180A7"/>
    <w:rsid w:val="6AD6CECC"/>
    <w:rsid w:val="6AEADEB4"/>
    <w:rsid w:val="6AFFC398"/>
    <w:rsid w:val="6B0D4DA0"/>
    <w:rsid w:val="6B0FB65F"/>
    <w:rsid w:val="6B2909BB"/>
    <w:rsid w:val="6B407CAC"/>
    <w:rsid w:val="6B5B23DA"/>
    <w:rsid w:val="6B62535E"/>
    <w:rsid w:val="6B645B09"/>
    <w:rsid w:val="6B77C6E9"/>
    <w:rsid w:val="6B77FA7E"/>
    <w:rsid w:val="6B7A7F9C"/>
    <w:rsid w:val="6B8FC11A"/>
    <w:rsid w:val="6B9A7AC4"/>
    <w:rsid w:val="6BA10F33"/>
    <w:rsid w:val="6BC4F623"/>
    <w:rsid w:val="6BDC3FED"/>
    <w:rsid w:val="6BE59213"/>
    <w:rsid w:val="6BE783D6"/>
    <w:rsid w:val="6BF11447"/>
    <w:rsid w:val="6BFA0C66"/>
    <w:rsid w:val="6C0C9B41"/>
    <w:rsid w:val="6C370914"/>
    <w:rsid w:val="6C3E194F"/>
    <w:rsid w:val="6C426C77"/>
    <w:rsid w:val="6C54F37C"/>
    <w:rsid w:val="6C6526F6"/>
    <w:rsid w:val="6C66F719"/>
    <w:rsid w:val="6C6D3C77"/>
    <w:rsid w:val="6C6F62F8"/>
    <w:rsid w:val="6C7AC1A6"/>
    <w:rsid w:val="6C7D8CB0"/>
    <w:rsid w:val="6C82F93A"/>
    <w:rsid w:val="6CA33734"/>
    <w:rsid w:val="6CAAE751"/>
    <w:rsid w:val="6CCC1493"/>
    <w:rsid w:val="6CD193D6"/>
    <w:rsid w:val="6CD9AC3E"/>
    <w:rsid w:val="6CDBBD7E"/>
    <w:rsid w:val="6CEB559B"/>
    <w:rsid w:val="6D1B53D2"/>
    <w:rsid w:val="6D2279DA"/>
    <w:rsid w:val="6D4B6ABD"/>
    <w:rsid w:val="6D512E57"/>
    <w:rsid w:val="6D5C8B0C"/>
    <w:rsid w:val="6D7451A8"/>
    <w:rsid w:val="6D97B8F2"/>
    <w:rsid w:val="6D99943B"/>
    <w:rsid w:val="6DAB481C"/>
    <w:rsid w:val="6DB2EBEB"/>
    <w:rsid w:val="6DB616D1"/>
    <w:rsid w:val="6DBA79B6"/>
    <w:rsid w:val="6DCE4C84"/>
    <w:rsid w:val="6DD8C9E8"/>
    <w:rsid w:val="6E16F3B9"/>
    <w:rsid w:val="6E21F752"/>
    <w:rsid w:val="6E25E40D"/>
    <w:rsid w:val="6E2DEC7A"/>
    <w:rsid w:val="6E35B23D"/>
    <w:rsid w:val="6E3685AD"/>
    <w:rsid w:val="6E388BE5"/>
    <w:rsid w:val="6E3CDC86"/>
    <w:rsid w:val="6E40CDFD"/>
    <w:rsid w:val="6E470978"/>
    <w:rsid w:val="6E4E3511"/>
    <w:rsid w:val="6E54988A"/>
    <w:rsid w:val="6E5F91B8"/>
    <w:rsid w:val="6E62EC06"/>
    <w:rsid w:val="6E6504AE"/>
    <w:rsid w:val="6E6A0CD9"/>
    <w:rsid w:val="6E6C91F7"/>
    <w:rsid w:val="6E6CC0D8"/>
    <w:rsid w:val="6E72C1D6"/>
    <w:rsid w:val="6E817AEB"/>
    <w:rsid w:val="6E866AD6"/>
    <w:rsid w:val="6E93CE3C"/>
    <w:rsid w:val="6E9CB5BA"/>
    <w:rsid w:val="6EA01342"/>
    <w:rsid w:val="6EA2A1D8"/>
    <w:rsid w:val="6EACBE2E"/>
    <w:rsid w:val="6EC6CA64"/>
    <w:rsid w:val="6EC8D0EF"/>
    <w:rsid w:val="6ED89853"/>
    <w:rsid w:val="6EDD6E75"/>
    <w:rsid w:val="6EEDD905"/>
    <w:rsid w:val="6EF1055F"/>
    <w:rsid w:val="6EF24660"/>
    <w:rsid w:val="6EFA796D"/>
    <w:rsid w:val="6EFC50BE"/>
    <w:rsid w:val="6F1E3579"/>
    <w:rsid w:val="6F27888A"/>
    <w:rsid w:val="6F2A21D2"/>
    <w:rsid w:val="6F450141"/>
    <w:rsid w:val="6F5802BD"/>
    <w:rsid w:val="6F5D5B2F"/>
    <w:rsid w:val="6F6DDF8D"/>
    <w:rsid w:val="6F7D8952"/>
    <w:rsid w:val="6F7EAF42"/>
    <w:rsid w:val="6F827B21"/>
    <w:rsid w:val="6F8ECC22"/>
    <w:rsid w:val="6FB23B2A"/>
    <w:rsid w:val="6FBDC7B3"/>
    <w:rsid w:val="6FC84AA1"/>
    <w:rsid w:val="6FD868FA"/>
    <w:rsid w:val="6FE78EB3"/>
    <w:rsid w:val="6FF46F92"/>
    <w:rsid w:val="6FF71371"/>
    <w:rsid w:val="6FFD7319"/>
    <w:rsid w:val="6FFFBAF1"/>
    <w:rsid w:val="70089139"/>
    <w:rsid w:val="700F47DE"/>
    <w:rsid w:val="701050FE"/>
    <w:rsid w:val="702F7625"/>
    <w:rsid w:val="703730DA"/>
    <w:rsid w:val="703E5762"/>
    <w:rsid w:val="704BD1F0"/>
    <w:rsid w:val="704E9D67"/>
    <w:rsid w:val="705B3A1F"/>
    <w:rsid w:val="707CCDB3"/>
    <w:rsid w:val="707E8EC2"/>
    <w:rsid w:val="70805866"/>
    <w:rsid w:val="7084D581"/>
    <w:rsid w:val="7089FF31"/>
    <w:rsid w:val="70B39EEA"/>
    <w:rsid w:val="70D26BAA"/>
    <w:rsid w:val="70D443CE"/>
    <w:rsid w:val="70DA2219"/>
    <w:rsid w:val="70F605B4"/>
    <w:rsid w:val="7101902C"/>
    <w:rsid w:val="710D10AB"/>
    <w:rsid w:val="711485C9"/>
    <w:rsid w:val="711BFA01"/>
    <w:rsid w:val="712444CB"/>
    <w:rsid w:val="7128AEFC"/>
    <w:rsid w:val="712FA032"/>
    <w:rsid w:val="7134AF48"/>
    <w:rsid w:val="713FAB15"/>
    <w:rsid w:val="7140BC9C"/>
    <w:rsid w:val="7146AAE5"/>
    <w:rsid w:val="7147B671"/>
    <w:rsid w:val="715C5205"/>
    <w:rsid w:val="7162D332"/>
    <w:rsid w:val="71671AB5"/>
    <w:rsid w:val="717FEF4C"/>
    <w:rsid w:val="718037E6"/>
    <w:rsid w:val="71888868"/>
    <w:rsid w:val="718C9138"/>
    <w:rsid w:val="718D2B03"/>
    <w:rsid w:val="71957C3A"/>
    <w:rsid w:val="71B1423E"/>
    <w:rsid w:val="71B24E59"/>
    <w:rsid w:val="71C9B6C9"/>
    <w:rsid w:val="71CE4676"/>
    <w:rsid w:val="71DC5CDC"/>
    <w:rsid w:val="71E15F64"/>
    <w:rsid w:val="71F70349"/>
    <w:rsid w:val="72065C86"/>
    <w:rsid w:val="720879F2"/>
    <w:rsid w:val="72130559"/>
    <w:rsid w:val="722826EF"/>
    <w:rsid w:val="72351103"/>
    <w:rsid w:val="72361F4D"/>
    <w:rsid w:val="723D0921"/>
    <w:rsid w:val="723EAB2A"/>
    <w:rsid w:val="724A1518"/>
    <w:rsid w:val="72513BDA"/>
    <w:rsid w:val="7255DA42"/>
    <w:rsid w:val="725BF059"/>
    <w:rsid w:val="726D6B3A"/>
    <w:rsid w:val="726DAE94"/>
    <w:rsid w:val="726FB322"/>
    <w:rsid w:val="72709E63"/>
    <w:rsid w:val="7270C19D"/>
    <w:rsid w:val="72775003"/>
    <w:rsid w:val="7280F5BD"/>
    <w:rsid w:val="7291D615"/>
    <w:rsid w:val="72A19451"/>
    <w:rsid w:val="72A8DA4E"/>
    <w:rsid w:val="72CEC6A3"/>
    <w:rsid w:val="72E6E78F"/>
    <w:rsid w:val="72F0B5FB"/>
    <w:rsid w:val="731AC1B1"/>
    <w:rsid w:val="732081C9"/>
    <w:rsid w:val="73218880"/>
    <w:rsid w:val="73281AAF"/>
    <w:rsid w:val="733981ED"/>
    <w:rsid w:val="734DBECF"/>
    <w:rsid w:val="73554498"/>
    <w:rsid w:val="735F1CE0"/>
    <w:rsid w:val="7363775E"/>
    <w:rsid w:val="736AD1E5"/>
    <w:rsid w:val="737C7668"/>
    <w:rsid w:val="7381ADCC"/>
    <w:rsid w:val="7385D68A"/>
    <w:rsid w:val="738C253D"/>
    <w:rsid w:val="73A7B7B8"/>
    <w:rsid w:val="73A81D5A"/>
    <w:rsid w:val="73B0229B"/>
    <w:rsid w:val="73C37630"/>
    <w:rsid w:val="73C6FBA0"/>
    <w:rsid w:val="73D2E614"/>
    <w:rsid w:val="73DD0B41"/>
    <w:rsid w:val="73DFFBC4"/>
    <w:rsid w:val="73E0C9E7"/>
    <w:rsid w:val="73E6BA5A"/>
    <w:rsid w:val="73F504AE"/>
    <w:rsid w:val="73F6EE7A"/>
    <w:rsid w:val="740BFB4F"/>
    <w:rsid w:val="742DA676"/>
    <w:rsid w:val="743997EF"/>
    <w:rsid w:val="744BD4AA"/>
    <w:rsid w:val="745159B8"/>
    <w:rsid w:val="745C962A"/>
    <w:rsid w:val="746200F1"/>
    <w:rsid w:val="74662AFC"/>
    <w:rsid w:val="74665DCD"/>
    <w:rsid w:val="74771258"/>
    <w:rsid w:val="7478004D"/>
    <w:rsid w:val="747D6017"/>
    <w:rsid w:val="749F2249"/>
    <w:rsid w:val="74BDFE1B"/>
    <w:rsid w:val="74C24E74"/>
    <w:rsid w:val="74C4AFFB"/>
    <w:rsid w:val="74CC3273"/>
    <w:rsid w:val="74CF3688"/>
    <w:rsid w:val="74F52F2F"/>
    <w:rsid w:val="74FB77AA"/>
    <w:rsid w:val="750FAE4F"/>
    <w:rsid w:val="751358D1"/>
    <w:rsid w:val="751FA612"/>
    <w:rsid w:val="7527562F"/>
    <w:rsid w:val="752F1B7C"/>
    <w:rsid w:val="7530BD85"/>
    <w:rsid w:val="75395002"/>
    <w:rsid w:val="75519BC2"/>
    <w:rsid w:val="7564C909"/>
    <w:rsid w:val="7584E3D8"/>
    <w:rsid w:val="758529F7"/>
    <w:rsid w:val="759EE8B8"/>
    <w:rsid w:val="75E31184"/>
    <w:rsid w:val="75F26B39"/>
    <w:rsid w:val="75FD900F"/>
    <w:rsid w:val="75FF97BA"/>
    <w:rsid w:val="762614F2"/>
    <w:rsid w:val="762B9448"/>
    <w:rsid w:val="7635B775"/>
    <w:rsid w:val="763D0648"/>
    <w:rsid w:val="764C2125"/>
    <w:rsid w:val="7659CE7C"/>
    <w:rsid w:val="765B3682"/>
    <w:rsid w:val="7661786D"/>
    <w:rsid w:val="7668657A"/>
    <w:rsid w:val="766AA27D"/>
    <w:rsid w:val="767FDA25"/>
    <w:rsid w:val="7681CBD4"/>
    <w:rsid w:val="769A2FB5"/>
    <w:rsid w:val="76BD71DB"/>
    <w:rsid w:val="76C36FE4"/>
    <w:rsid w:val="76C92291"/>
    <w:rsid w:val="76D2DC42"/>
    <w:rsid w:val="76D8CCB5"/>
    <w:rsid w:val="76D9C8D4"/>
    <w:rsid w:val="76DC641D"/>
    <w:rsid w:val="76E67BB7"/>
    <w:rsid w:val="76E7C35D"/>
    <w:rsid w:val="76E900D5"/>
    <w:rsid w:val="76EB5091"/>
    <w:rsid w:val="76F02A72"/>
    <w:rsid w:val="77175334"/>
    <w:rsid w:val="7727D998"/>
    <w:rsid w:val="77395479"/>
    <w:rsid w:val="774F8B58"/>
    <w:rsid w:val="7753D841"/>
    <w:rsid w:val="775B6580"/>
    <w:rsid w:val="777036C4"/>
    <w:rsid w:val="778012F0"/>
    <w:rsid w:val="77903499"/>
    <w:rsid w:val="779117C3"/>
    <w:rsid w:val="77A58A4D"/>
    <w:rsid w:val="77BA0CC1"/>
    <w:rsid w:val="77DFCE50"/>
    <w:rsid w:val="77EDF810"/>
    <w:rsid w:val="77FDE786"/>
    <w:rsid w:val="78046475"/>
    <w:rsid w:val="78056B2C"/>
    <w:rsid w:val="7819688A"/>
    <w:rsid w:val="7819D8C4"/>
    <w:rsid w:val="781E3D54"/>
    <w:rsid w:val="782EDCD9"/>
    <w:rsid w:val="7843E0EE"/>
    <w:rsid w:val="7846D646"/>
    <w:rsid w:val="784A3EB7"/>
    <w:rsid w:val="7863FD91"/>
    <w:rsid w:val="7894E172"/>
    <w:rsid w:val="78A1041B"/>
    <w:rsid w:val="78A3D369"/>
    <w:rsid w:val="78B39FB8"/>
    <w:rsid w:val="78BA6B01"/>
    <w:rsid w:val="78BA8311"/>
    <w:rsid w:val="78CF4848"/>
    <w:rsid w:val="78D81937"/>
    <w:rsid w:val="78EEF176"/>
    <w:rsid w:val="78EFA26A"/>
    <w:rsid w:val="78F03250"/>
    <w:rsid w:val="78F1AA15"/>
    <w:rsid w:val="78FC95CE"/>
    <w:rsid w:val="7907C04A"/>
    <w:rsid w:val="79099591"/>
    <w:rsid w:val="7912F88C"/>
    <w:rsid w:val="793E3380"/>
    <w:rsid w:val="79474B21"/>
    <w:rsid w:val="7947A772"/>
    <w:rsid w:val="79515823"/>
    <w:rsid w:val="79733D8C"/>
    <w:rsid w:val="798C0176"/>
    <w:rsid w:val="79946546"/>
    <w:rsid w:val="79B01D59"/>
    <w:rsid w:val="79C748A3"/>
    <w:rsid w:val="79C7A42E"/>
    <w:rsid w:val="79CE7678"/>
    <w:rsid w:val="79CEE8CD"/>
    <w:rsid w:val="79D88E12"/>
    <w:rsid w:val="79DB1330"/>
    <w:rsid w:val="79DF5F44"/>
    <w:rsid w:val="79E388C2"/>
    <w:rsid w:val="79E3C5A4"/>
    <w:rsid w:val="79F30C9D"/>
    <w:rsid w:val="7A08B3BD"/>
    <w:rsid w:val="7A144045"/>
    <w:rsid w:val="7A14EDA0"/>
    <w:rsid w:val="7A19EBF3"/>
    <w:rsid w:val="7A2055B7"/>
    <w:rsid w:val="7A49CFEE"/>
    <w:rsid w:val="7A4DE05C"/>
    <w:rsid w:val="7A586CEC"/>
    <w:rsid w:val="7A631002"/>
    <w:rsid w:val="7A6AD1F7"/>
    <w:rsid w:val="7A6B18A9"/>
    <w:rsid w:val="7A844EBD"/>
    <w:rsid w:val="7A8A29D7"/>
    <w:rsid w:val="7A922237"/>
    <w:rsid w:val="7A9A279A"/>
    <w:rsid w:val="7A9B4F32"/>
    <w:rsid w:val="7AAB2EE4"/>
    <w:rsid w:val="7AB04538"/>
    <w:rsid w:val="7AC9E711"/>
    <w:rsid w:val="7ACAB2D6"/>
    <w:rsid w:val="7ACE4943"/>
    <w:rsid w:val="7AD3FEAB"/>
    <w:rsid w:val="7AD99B60"/>
    <w:rsid w:val="7AEA766C"/>
    <w:rsid w:val="7AF676D0"/>
    <w:rsid w:val="7B07ECF6"/>
    <w:rsid w:val="7B25B2E1"/>
    <w:rsid w:val="7B2C35BE"/>
    <w:rsid w:val="7B336393"/>
    <w:rsid w:val="7B51AE25"/>
    <w:rsid w:val="7B526417"/>
    <w:rsid w:val="7B7F9605"/>
    <w:rsid w:val="7B8534A3"/>
    <w:rsid w:val="7B94AD37"/>
    <w:rsid w:val="7B9A287E"/>
    <w:rsid w:val="7B9E5626"/>
    <w:rsid w:val="7B9FA1AA"/>
    <w:rsid w:val="7BA5B213"/>
    <w:rsid w:val="7BA84D5C"/>
    <w:rsid w:val="7BAA55DC"/>
    <w:rsid w:val="7BB4B7A8"/>
    <w:rsid w:val="7BBD55EA"/>
    <w:rsid w:val="7BC7690B"/>
    <w:rsid w:val="7BC77CE5"/>
    <w:rsid w:val="7BCB2F4C"/>
    <w:rsid w:val="7BCCE381"/>
    <w:rsid w:val="7BD19DD1"/>
    <w:rsid w:val="7BDDE9AC"/>
    <w:rsid w:val="7BE2F322"/>
    <w:rsid w:val="7BE3BC70"/>
    <w:rsid w:val="7BEF0A91"/>
    <w:rsid w:val="7C06E90A"/>
    <w:rsid w:val="7C0A5D24"/>
    <w:rsid w:val="7C3CBAA5"/>
    <w:rsid w:val="7C3F610C"/>
    <w:rsid w:val="7C3FE05C"/>
    <w:rsid w:val="7C521A2D"/>
    <w:rsid w:val="7C642557"/>
    <w:rsid w:val="7C71738C"/>
    <w:rsid w:val="7C9BD06F"/>
    <w:rsid w:val="7CBA3C48"/>
    <w:rsid w:val="7CCD258B"/>
    <w:rsid w:val="7CCDC896"/>
    <w:rsid w:val="7CD4C81A"/>
    <w:rsid w:val="7CDCE55B"/>
    <w:rsid w:val="7CE2CCAB"/>
    <w:rsid w:val="7CE2EB6C"/>
    <w:rsid w:val="7CECA19D"/>
    <w:rsid w:val="7CF1E148"/>
    <w:rsid w:val="7CFA9347"/>
    <w:rsid w:val="7CFAC618"/>
    <w:rsid w:val="7D060CA2"/>
    <w:rsid w:val="7D218DAB"/>
    <w:rsid w:val="7D2DDF08"/>
    <w:rsid w:val="7D306D6C"/>
    <w:rsid w:val="7D4416FF"/>
    <w:rsid w:val="7D5199EE"/>
    <w:rsid w:val="7D5BCC8A"/>
    <w:rsid w:val="7D5CE452"/>
    <w:rsid w:val="7D5FD4D5"/>
    <w:rsid w:val="7D8902E9"/>
    <w:rsid w:val="7D9BD5E1"/>
    <w:rsid w:val="7DA10D1E"/>
    <w:rsid w:val="7DA13FEF"/>
    <w:rsid w:val="7DA3923C"/>
    <w:rsid w:val="7DA3C50D"/>
    <w:rsid w:val="7DAEBC20"/>
    <w:rsid w:val="7DBC24E8"/>
    <w:rsid w:val="7DC39E20"/>
    <w:rsid w:val="7DC47FE6"/>
    <w:rsid w:val="7DD55D94"/>
    <w:rsid w:val="7DDBEC73"/>
    <w:rsid w:val="7DE9A209"/>
    <w:rsid w:val="7DECFE0A"/>
    <w:rsid w:val="7E028A43"/>
    <w:rsid w:val="7E15963E"/>
    <w:rsid w:val="7E3D99AF"/>
    <w:rsid w:val="7E3ECA5E"/>
    <w:rsid w:val="7E5568C8"/>
    <w:rsid w:val="7E5CBE59"/>
    <w:rsid w:val="7E786BD0"/>
    <w:rsid w:val="7E795E2B"/>
    <w:rsid w:val="7E7B3875"/>
    <w:rsid w:val="7E88B125"/>
    <w:rsid w:val="7E8B91FA"/>
    <w:rsid w:val="7E8DC0FD"/>
    <w:rsid w:val="7E8FA60D"/>
    <w:rsid w:val="7E91C1BE"/>
    <w:rsid w:val="7EACCD63"/>
    <w:rsid w:val="7EB22653"/>
    <w:rsid w:val="7EB8D7B0"/>
    <w:rsid w:val="7EBC799A"/>
    <w:rsid w:val="7EDE759E"/>
    <w:rsid w:val="7EE45274"/>
    <w:rsid w:val="7EEB76CB"/>
    <w:rsid w:val="7EEDC96A"/>
    <w:rsid w:val="7EFAA676"/>
    <w:rsid w:val="7EFBE29F"/>
    <w:rsid w:val="7F02924E"/>
    <w:rsid w:val="7F08BCC0"/>
    <w:rsid w:val="7F166BC2"/>
    <w:rsid w:val="7F3E89CC"/>
    <w:rsid w:val="7F499D75"/>
    <w:rsid w:val="7F4B1045"/>
    <w:rsid w:val="7F4B2B80"/>
    <w:rsid w:val="7F63AB66"/>
    <w:rsid w:val="7F6419F0"/>
    <w:rsid w:val="7F65B6B9"/>
    <w:rsid w:val="7F906C17"/>
    <w:rsid w:val="7F926D35"/>
    <w:rsid w:val="7F9C1235"/>
    <w:rsid w:val="7FA5849F"/>
    <w:rsid w:val="7FFCF887"/>
    <w:rsid w:val="7FFEAF7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FD2BD713-39C2-4B85-B1EE-08A35052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1"/>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21"/>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1"/>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styleId="ListParagraph">
    <w:name w:val="List Paragraph"/>
    <w:basedOn w:val="Normal"/>
    <w:uiPriority w:val="34"/>
    <w:qFormat/>
    <w:rsid w:val="00787068"/>
    <w:pPr>
      <w:ind w:left="720"/>
      <w:contextualSpacing/>
    </w:pPr>
  </w:style>
  <w:style w:type="paragraph" w:customStyle="1" w:styleId="DHHStabletext">
    <w:name w:val="DHHS table text"/>
    <w:uiPriority w:val="3"/>
    <w:qFormat/>
    <w:rsid w:val="00B76221"/>
    <w:pPr>
      <w:spacing w:before="80" w:after="60"/>
    </w:pPr>
    <w:rPr>
      <w:rFonts w:ascii="Arial" w:hAnsi="Arial"/>
      <w:sz w:val="21"/>
      <w:lang w:eastAsia="en-US"/>
    </w:rPr>
  </w:style>
  <w:style w:type="paragraph" w:customStyle="1" w:styleId="VEMDSubheadingnotTOC">
    <w:name w:val="VEMD Sub heading not TOC"/>
    <w:basedOn w:val="Normal"/>
    <w:qFormat/>
    <w:rsid w:val="00B76221"/>
    <w:pPr>
      <w:spacing w:before="120"/>
    </w:pPr>
    <w:rPr>
      <w:rFonts w:eastAsia="Times"/>
      <w:b/>
      <w:bCs/>
      <w:sz w:val="22"/>
    </w:rPr>
  </w:style>
  <w:style w:type="paragraph" w:customStyle="1" w:styleId="DHHSbullet1lastline">
    <w:name w:val="DHHS bullet 1 last line"/>
    <w:basedOn w:val="DHHSbullet1"/>
    <w:qFormat/>
    <w:rsid w:val="00CD253E"/>
    <w:pPr>
      <w:tabs>
        <w:tab w:val="clear" w:pos="397"/>
      </w:tabs>
      <w:spacing w:after="120" w:line="270" w:lineRule="atLeast"/>
      <w:ind w:left="284" w:hanging="284"/>
    </w:pPr>
    <w:rPr>
      <w:sz w:val="20"/>
    </w:rPr>
  </w:style>
  <w:style w:type="paragraph" w:customStyle="1" w:styleId="DHHSbullet2lastline">
    <w:name w:val="DHHS bullet 2 last line"/>
    <w:basedOn w:val="DHHSbullet2"/>
    <w:uiPriority w:val="2"/>
    <w:qFormat/>
    <w:rsid w:val="00CD253E"/>
    <w:pPr>
      <w:tabs>
        <w:tab w:val="clear" w:pos="794"/>
      </w:tabs>
      <w:spacing w:after="120" w:line="270" w:lineRule="atLeast"/>
      <w:ind w:left="567" w:hanging="283"/>
    </w:pPr>
    <w:rPr>
      <w:sz w:val="20"/>
    </w:rPr>
  </w:style>
  <w:style w:type="paragraph" w:customStyle="1" w:styleId="DHHStablebullet">
    <w:name w:val="DHHS table bullet"/>
    <w:basedOn w:val="DHHStabletext"/>
    <w:uiPriority w:val="3"/>
    <w:qFormat/>
    <w:rsid w:val="00CD253E"/>
    <w:pPr>
      <w:ind w:left="227" w:hanging="227"/>
    </w:pPr>
  </w:style>
  <w:style w:type="paragraph" w:customStyle="1" w:styleId="DHHSbulletindent">
    <w:name w:val="DHHS bullet indent"/>
    <w:basedOn w:val="DHHSbody"/>
    <w:uiPriority w:val="4"/>
    <w:rsid w:val="00CD253E"/>
    <w:pPr>
      <w:spacing w:after="40" w:line="270" w:lineRule="atLeast"/>
      <w:ind w:left="680" w:hanging="283"/>
    </w:pPr>
    <w:rPr>
      <w:sz w:val="20"/>
    </w:rPr>
  </w:style>
  <w:style w:type="paragraph" w:customStyle="1" w:styleId="DHHSbulletindentlastline">
    <w:name w:val="DHHS bullet indent last line"/>
    <w:basedOn w:val="DHHSbody"/>
    <w:uiPriority w:val="4"/>
    <w:rsid w:val="00CD253E"/>
    <w:pPr>
      <w:spacing w:line="270" w:lineRule="atLeast"/>
      <w:ind w:left="680" w:hanging="283"/>
    </w:pPr>
    <w:rPr>
      <w:sz w:val="20"/>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uiPriority w:val="1"/>
    <w:rsid w:val="1B5AA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dutyofcandour@health.vic.gov.au"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safercare.vic.gov.au/support-training/adverse-event-review-and-response/duty-of-candou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data-reporting/annual-change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fetyandquality.gov.au/our-work/open-disclosure/the-open-disclosure-framework"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safercare.vic.gov.au/support-training/adverse-event-review-and-response/duty-of-candour" TargetMode="External"/><Relationship Id="rId28" Type="http://schemas.openxmlformats.org/officeDocument/2006/relationships/hyperlink" Target="mailto:dutyofcandour@health.vic.gov.au" TargetMode="Externa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health.vic.gov.au/data-reporting/annual-changes" TargetMode="External"/><Relationship Id="rId27" Type="http://schemas.openxmlformats.org/officeDocument/2006/relationships/hyperlink" Target="https://www.safercare.vic.gov.au/support-training/adverse-event-review-and-response/duty-of-candour" TargetMode="External"/><Relationship Id="rId30" Type="http://schemas.openxmlformats.org/officeDocument/2006/relationships/header" Target="header5.xml"/><Relationship Id="rId35" Type="http://schemas.microsoft.com/office/2019/05/relationships/documenttasks" Target="documenttasks/documenttasks1.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D3A53AE4-F632-44F0-A8B6-8FE79E3D360F}">
    <t:Anchor>
      <t:Comment id="899144551"/>
    </t:Anchor>
    <t:History>
      <t:Event id="{A0F809EE-5205-454D-A14C-A1479D29B256}" time="2023-02-05T04:43:06.94Z">
        <t:Attribution userId="S::joanne.mclachlan@vahi.vic.gov.au::870e8252-78ac-47be-aa2c-376fb269e8d0" userProvider="AD" userName="Joanne McLachlan (Health)"/>
        <t:Anchor>
          <t:Comment id="899144551"/>
        </t:Anchor>
        <t:Create/>
      </t:Event>
      <t:Event id="{9F01FB7C-262E-45F5-AC2C-0CF21829ED7B}" time="2023-02-05T04:43:06.94Z">
        <t:Attribution userId="S::joanne.mclachlan@vahi.vic.gov.au::870e8252-78ac-47be-aa2c-376fb269e8d0" userProvider="AD" userName="Joanne McLachlan (Health)"/>
        <t:Anchor>
          <t:Comment id="899144551"/>
        </t:Anchor>
        <t:Assign userId="S::nicole.youngs@safercare.vic.gov.au::65be26fa-e920-4315-ac69-718a9ac73e95" userProvider="AD" userName="Nicole Youngs (DHHS)"/>
      </t:Event>
      <t:Event id="{7727AA96-D515-4154-BE00-2758F2ECECC2}" time="2023-02-05T04:43:06.94Z">
        <t:Attribution userId="S::joanne.mclachlan@vahi.vic.gov.au::870e8252-78ac-47be-aa2c-376fb269e8d0" userProvider="AD" userName="Joanne McLachlan (Health)"/>
        <t:Anchor>
          <t:Comment id="899144551"/>
        </t:Anchor>
        <t:SetTitle title="@Nicole Youngs (DHHS) , did you indicate some entities may not be required to commence reporting in this timeframe (?NEPTs)?"/>
      </t:Event>
    </t:History>
  </t:Task>
  <t:Task id="{84BE99C3-BAF1-4092-B867-01EEFA3D5B3F}">
    <t:Anchor>
      <t:Comment id="1593492248"/>
    </t:Anchor>
    <t:History>
      <t:Event id="{681B8019-815A-4587-87ED-B26E1139959A}" time="2023-04-26T02:40:10.739Z">
        <t:Attribution userId="S::joanne.mclachlan@vahi.vic.gov.au::870e8252-78ac-47be-aa2c-376fb269e8d0" userProvider="AD" userName="Joanne McLachlan (Health)"/>
        <t:Anchor>
          <t:Comment id="1314038630"/>
        </t:Anchor>
        <t:Create/>
      </t:Event>
      <t:Event id="{3B95194D-4D0E-4FB8-A426-5A2AF449FD22}" time="2023-04-26T02:40:10.739Z">
        <t:Attribution userId="S::joanne.mclachlan@vahi.vic.gov.au::870e8252-78ac-47be-aa2c-376fb269e8d0" userProvider="AD" userName="Joanne McLachlan (Health)"/>
        <t:Anchor>
          <t:Comment id="1314038630"/>
        </t:Anchor>
        <t:Assign userId="S::nicole.youngs@safercare.vic.gov.au::65be26fa-e920-4315-ac69-718a9ac73e95" userProvider="AD" userName="Nicole Youngs (DHHS)"/>
      </t:Event>
      <t:Event id="{44720A19-2F8C-4C1E-B6AF-A17540589B12}" time="2023-04-26T02:40:10.739Z">
        <t:Attribution userId="S::joanne.mclachlan@vahi.vic.gov.au::870e8252-78ac-47be-aa2c-376fb269e8d0" userProvider="AD" userName="Joanne McLachlan (Health)"/>
        <t:Anchor>
          <t:Comment id="1314038630"/>
        </t:Anchor>
        <t:SetTitle title="@Nicole Youngs (DHHS) , I've made further attempts to make this make sense. Can you pls check"/>
      </t:Event>
    </t:History>
  </t:Task>
  <t:Task id="{15D1A631-A176-4529-B46A-630709FC4874}">
    <t:Anchor>
      <t:Comment id="1859582040"/>
    </t:Anchor>
    <t:History>
      <t:Event id="{970A9FC1-C3CE-40D8-8F57-B3254CFBEF20}" time="2023-04-28T06:56:02.68Z">
        <t:Attribution userId="S::nicole.youngs@safercare.vic.gov.au::65be26fa-e920-4315-ac69-718a9ac73e95" userProvider="AD" userName="Nicole Youngs (DHHS)"/>
        <t:Anchor>
          <t:Comment id="1859582040"/>
        </t:Anchor>
        <t:Create/>
      </t:Event>
      <t:Event id="{87CEAADC-94A0-4C42-BBF8-7FE4D9DCC478}" time="2023-04-28T06:56:02.68Z">
        <t:Attribution userId="S::nicole.youngs@safercare.vic.gov.au::65be26fa-e920-4315-ac69-718a9ac73e95" userProvider="AD" userName="Nicole Youngs (DHHS)"/>
        <t:Anchor>
          <t:Comment id="1859582040"/>
        </t:Anchor>
        <t:Assign userId="S::Joanne.McLachlan@vahi.vic.gov.au::870e8252-78ac-47be-aa2c-376fb269e8d0" userProvider="AD" userName="Joanne McLachlan (Health)"/>
      </t:Event>
      <t:Event id="{86CFE930-90D6-4E79-A865-454772CC0350}" time="2023-04-28T06:56:02.68Z">
        <t:Attribution userId="S::nicole.youngs@safercare.vic.gov.au::65be26fa-e920-4315-ac69-718a9ac73e95" userProvider="AD" userName="Nicole Youngs (DHHS)"/>
        <t:Anchor>
          <t:Comment id="1859582040"/>
        </t:Anchor>
        <t:SetTitle title="@Joanne McLachlan (Health) Six?"/>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57d50af-0511-4abc-8473-7b8c08a937c3">
      <Terms xmlns="http://schemas.microsoft.com/office/infopath/2007/PartnerControls"/>
    </lcf76f155ced4ddcb4097134ff3c332f>
    <SharedWithUsers xmlns="819afca8-9d5b-4e5f-a02d-e8160e861dbb">
      <UserInfo>
        <DisplayName>Nha-Trang Nguyen (Health)</DisplayName>
        <AccountId>461</AccountId>
        <AccountType/>
      </UserInfo>
      <UserInfo>
        <DisplayName>Joanne McLachlan (Health)</DisplayName>
        <AccountId>372</AccountId>
        <AccountType/>
      </UserInfo>
      <UserInfo>
        <DisplayName>Robyn Bailey (Health)</DisplayName>
        <AccountId>371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2CBD3403E816419C87646E3C6EEB81" ma:contentTypeVersion="14" ma:contentTypeDescription="Create a new document." ma:contentTypeScope="" ma:versionID="e270d02d7ae0458dfe00206c5fdfbdf8">
  <xsd:schema xmlns:xsd="http://www.w3.org/2001/XMLSchema" xmlns:xs="http://www.w3.org/2001/XMLSchema" xmlns:p="http://schemas.microsoft.com/office/2006/metadata/properties" xmlns:ns2="d57d50af-0511-4abc-8473-7b8c08a937c3" xmlns:ns3="819afca8-9d5b-4e5f-a02d-e8160e861dbb" xmlns:ns4="5ce0f2b5-5be5-4508-bce9-d7011ece0659" targetNamespace="http://schemas.microsoft.com/office/2006/metadata/properties" ma:root="true" ma:fieldsID="4bc038c3081566f9a54f1717aff19cd9" ns2:_="" ns3:_="" ns4:_="">
    <xsd:import namespace="d57d50af-0511-4abc-8473-7b8c08a937c3"/>
    <xsd:import namespace="819afca8-9d5b-4e5f-a02d-e8160e861db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50af-0511-4abc-8473-7b8c08a93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afca8-9d5b-4e5f-a02d-e8160e861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bcbacec-8de2-4b31-a51a-08fc30afc0d0}" ma:internalName="TaxCatchAll" ma:showField="CatchAllData" ma:web="819afca8-9d5b-4e5f-a02d-e8160e861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819afca8-9d5b-4e5f-a02d-e8160e861db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57d50af-0511-4abc-8473-7b8c08a937c3"/>
    <ds:schemaRef ds:uri="http://schemas.microsoft.com/office/2006/metadata/properties"/>
    <ds:schemaRef ds:uri="http://purl.org/dc/elements/1.1/"/>
    <ds:schemaRef ds:uri="5ce0f2b5-5be5-4508-bce9-d7011ece0659"/>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4.xml><?xml version="1.0" encoding="utf-8"?>
<ds:datastoreItem xmlns:ds="http://schemas.openxmlformats.org/officeDocument/2006/customXml" ds:itemID="{A98C4FD3-C0D6-46B3-AD9C-2281488AB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50af-0511-4abc-8473-7b8c08a937c3"/>
    <ds:schemaRef ds:uri="819afca8-9d5b-4e5f-a02d-e8160e861db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Specifications for revisions</vt:lpstr>
    </vt:vector>
  </TitlesOfParts>
  <Company>Victoria State Government, Department of Health</Company>
  <LinksUpToDate>false</LinksUpToDate>
  <CharactersWithSpaces>18326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dc:title>
  <dc:subject/>
  <dc:creator>Health and System Performance Reporting</dc:creator>
  <cp:keywords/>
  <cp:lastModifiedBy>Tyler</cp:lastModifiedBy>
  <cp:revision>2</cp:revision>
  <cp:lastPrinted>2022-12-07T21:42:00Z</cp:lastPrinted>
  <dcterms:created xsi:type="dcterms:W3CDTF">2023-05-08T01:10:00Z</dcterms:created>
  <dcterms:modified xsi:type="dcterms:W3CDTF">2023-05-08T01:10:00Z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0x010100F52CBD3403E816419C87646E3C6EEB81</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MediaServiceImageTags">
    <vt:lpwstr/>
  </property>
  <property fmtid="{D5CDD505-2E9C-101B-9397-08002B2CF9AE}" pid="16" name="MSIP_Label_43e64453-338c-4f93-8a4d-0039a0a41f2a_Enabled">
    <vt:lpwstr>true</vt:lpwstr>
  </property>
  <property fmtid="{D5CDD505-2E9C-101B-9397-08002B2CF9AE}" pid="17" name="MSIP_Label_43e64453-338c-4f93-8a4d-0039a0a41f2a_SetDate">
    <vt:lpwstr>2023-05-08T01:10:44Z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cc9d2739-b6b2-440b-a507-509e5103a9e4</vt:lpwstr>
  </property>
  <property fmtid="{D5CDD505-2E9C-101B-9397-08002B2CF9AE}" pid="22" name="MSIP_Label_43e64453-338c-4f93-8a4d-0039a0a41f2a_ContentBits">
    <vt:lpwstr>2</vt:lpwstr>
  </property>
</Properties>
</file>