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82BB" w14:textId="77777777" w:rsidR="00056EC4" w:rsidRPr="00F56540" w:rsidRDefault="00E9042A" w:rsidP="00056EC4">
      <w:pPr>
        <w:pStyle w:val="Body"/>
        <w:rPr>
          <w:rFonts w:cs="Arial"/>
        </w:rPr>
      </w:pPr>
      <w:r w:rsidRPr="00F56540">
        <w:rPr>
          <w:rFonts w:cs="Arial"/>
          <w:noProof/>
        </w:rPr>
        <w:drawing>
          <wp:anchor distT="0" distB="0" distL="114300" distR="114300" simplePos="0" relativeHeight="251658240" behindDoc="1" locked="1" layoutInCell="1" allowOverlap="0" wp14:anchorId="5A37C06E" wp14:editId="22BDC372">
            <wp:simplePos x="0" y="0"/>
            <wp:positionH relativeFrom="page">
              <wp:posOffset>0</wp:posOffset>
            </wp:positionH>
            <wp:positionV relativeFrom="page">
              <wp:posOffset>0</wp:posOffset>
            </wp:positionV>
            <wp:extent cx="7555865" cy="10146665"/>
            <wp:effectExtent l="0" t="0" r="635" b="635"/>
            <wp:wrapNone/>
            <wp:docPr id="3" name="Picture 1"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F56540" w14:paraId="029476AC" w14:textId="77777777" w:rsidTr="00431F42">
        <w:trPr>
          <w:cantSplit/>
        </w:trPr>
        <w:tc>
          <w:tcPr>
            <w:tcW w:w="0" w:type="auto"/>
            <w:tcMar>
              <w:top w:w="0" w:type="dxa"/>
              <w:left w:w="0" w:type="dxa"/>
              <w:right w:w="0" w:type="dxa"/>
            </w:tcMar>
          </w:tcPr>
          <w:p w14:paraId="165629F6" w14:textId="1F48DA0E" w:rsidR="00AD784C" w:rsidRPr="00F56540" w:rsidRDefault="002E7B2A" w:rsidP="00CC3BB0">
            <w:pPr>
              <w:pStyle w:val="Documenttitle"/>
              <w:rPr>
                <w:rFonts w:cs="Arial"/>
              </w:rPr>
            </w:pPr>
            <w:r w:rsidRPr="00F56540">
              <w:rPr>
                <w:rFonts w:cs="Arial"/>
              </w:rPr>
              <w:t>V</w:t>
            </w:r>
            <w:r w:rsidR="002205D2" w:rsidRPr="00F56540">
              <w:rPr>
                <w:rFonts w:cs="Arial"/>
              </w:rPr>
              <w:t xml:space="preserve">accination </w:t>
            </w:r>
            <w:r w:rsidRPr="00F56540">
              <w:rPr>
                <w:rFonts w:cs="Arial"/>
              </w:rPr>
              <w:t xml:space="preserve">requirements for </w:t>
            </w:r>
            <w:r w:rsidR="002205D2" w:rsidRPr="00F56540">
              <w:rPr>
                <w:rFonts w:cs="Arial"/>
              </w:rPr>
              <w:t>healthcare workers 202</w:t>
            </w:r>
            <w:r w:rsidR="004206FB">
              <w:rPr>
                <w:rFonts w:cs="Arial"/>
              </w:rPr>
              <w:t>3</w:t>
            </w:r>
            <w:r w:rsidR="004607B7" w:rsidRPr="00F56540">
              <w:rPr>
                <w:rFonts w:cs="Arial"/>
              </w:rPr>
              <w:t xml:space="preserve"> </w:t>
            </w:r>
          </w:p>
        </w:tc>
      </w:tr>
      <w:tr w:rsidR="00AD784C" w:rsidRPr="00F56540" w14:paraId="58941844" w14:textId="77777777" w:rsidTr="00431F42">
        <w:trPr>
          <w:cantSplit/>
        </w:trPr>
        <w:tc>
          <w:tcPr>
            <w:tcW w:w="0" w:type="auto"/>
          </w:tcPr>
          <w:p w14:paraId="14994FB9" w14:textId="311A32EF" w:rsidR="00386109" w:rsidRPr="00F56540" w:rsidRDefault="002205D2" w:rsidP="009315BE">
            <w:pPr>
              <w:pStyle w:val="Documentsubtitle"/>
              <w:rPr>
                <w:rFonts w:cs="Arial"/>
              </w:rPr>
            </w:pPr>
            <w:r w:rsidRPr="00F56540">
              <w:rPr>
                <w:rFonts w:cs="Arial"/>
              </w:rPr>
              <w:t>Policy guidance for healthcare settings</w:t>
            </w:r>
          </w:p>
        </w:tc>
      </w:tr>
      <w:tr w:rsidR="00430393" w:rsidRPr="00F56540" w14:paraId="2A4E2566" w14:textId="77777777" w:rsidTr="00431F42">
        <w:trPr>
          <w:cantSplit/>
        </w:trPr>
        <w:tc>
          <w:tcPr>
            <w:tcW w:w="0" w:type="auto"/>
          </w:tcPr>
          <w:p w14:paraId="4473D20D" w14:textId="77777777" w:rsidR="00430393" w:rsidRPr="00F56540" w:rsidRDefault="0038355D" w:rsidP="00430393">
            <w:pPr>
              <w:pStyle w:val="Bannermarking"/>
              <w:rPr>
                <w:rFonts w:cs="Arial"/>
              </w:rPr>
            </w:pPr>
            <w:r w:rsidRPr="00F56540">
              <w:rPr>
                <w:rFonts w:cs="Arial"/>
              </w:rPr>
              <w:fldChar w:fldCharType="begin"/>
            </w:r>
            <w:r w:rsidRPr="00F56540">
              <w:rPr>
                <w:rFonts w:cs="Arial"/>
              </w:rPr>
              <w:instrText>FILLIN  "Type the protective marking" \d OFFICIAL \o  \* MERGEFORMAT</w:instrText>
            </w:r>
            <w:r w:rsidRPr="00F56540">
              <w:rPr>
                <w:rFonts w:cs="Arial"/>
              </w:rPr>
              <w:fldChar w:fldCharType="separate"/>
            </w:r>
            <w:r w:rsidR="002205D2" w:rsidRPr="00F56540">
              <w:rPr>
                <w:rFonts w:cs="Arial"/>
              </w:rPr>
              <w:t>OFFICIAL</w:t>
            </w:r>
            <w:r w:rsidRPr="00F56540">
              <w:rPr>
                <w:rFonts w:cs="Arial"/>
              </w:rPr>
              <w:fldChar w:fldCharType="end"/>
            </w:r>
          </w:p>
        </w:tc>
      </w:tr>
    </w:tbl>
    <w:p w14:paraId="12FD8A62" w14:textId="77777777" w:rsidR="00FE4081" w:rsidRPr="00F56540" w:rsidRDefault="00FE4081" w:rsidP="00FE4081">
      <w:pPr>
        <w:pStyle w:val="Body"/>
        <w:rPr>
          <w:rFonts w:cs="Arial"/>
        </w:rPr>
      </w:pPr>
    </w:p>
    <w:p w14:paraId="23B27A4A" w14:textId="77777777" w:rsidR="00FE4081" w:rsidRPr="00F56540" w:rsidRDefault="00FE4081" w:rsidP="00FE4081">
      <w:pPr>
        <w:pStyle w:val="Body"/>
        <w:rPr>
          <w:rFonts w:cs="Arial"/>
        </w:rPr>
        <w:sectPr w:rsidR="00FE4081" w:rsidRPr="00F56540" w:rsidSect="00491E56">
          <w:footerReference w:type="even" r:id="rId12"/>
          <w:footerReference w:type="default" r:id="rId13"/>
          <w:footerReference w:type="first" r:id="rId14"/>
          <w:type w:val="nextColumn"/>
          <w:pgSz w:w="11906" w:h="16838" w:code="9"/>
          <w:pgMar w:top="3969" w:right="1304" w:bottom="1418" w:left="1304" w:header="680" w:footer="851" w:gutter="0"/>
          <w:cols w:space="340"/>
          <w:docGrid w:linePitch="360"/>
        </w:sectPr>
      </w:pPr>
    </w:p>
    <w:p w14:paraId="32FBF406" w14:textId="53D519EB" w:rsidR="00AD784C" w:rsidRPr="00931398" w:rsidRDefault="00AD784C" w:rsidP="00931398">
      <w:pPr>
        <w:pStyle w:val="Heading1"/>
        <w:rPr>
          <w:sz w:val="40"/>
          <w:szCs w:val="40"/>
        </w:rPr>
      </w:pPr>
      <w:bookmarkStart w:id="0" w:name="_Toc116457914"/>
      <w:r w:rsidRPr="00931398">
        <w:rPr>
          <w:sz w:val="40"/>
          <w:szCs w:val="40"/>
        </w:rPr>
        <w:lastRenderedPageBreak/>
        <w:t>Contents</w:t>
      </w:r>
      <w:bookmarkEnd w:id="0"/>
    </w:p>
    <w:p w14:paraId="4FD33723" w14:textId="1FE49462" w:rsidR="000200BD" w:rsidRDefault="002205D2">
      <w:pPr>
        <w:pStyle w:val="TOC1"/>
        <w:rPr>
          <w:rFonts w:asciiTheme="minorHAnsi" w:eastAsiaTheme="minorEastAsia" w:hAnsiTheme="minorHAnsi" w:cstheme="minorBidi"/>
          <w:b w:val="0"/>
          <w:sz w:val="22"/>
          <w:szCs w:val="22"/>
          <w:lang w:eastAsia="en-AU"/>
        </w:rPr>
      </w:pPr>
      <w:r w:rsidRPr="00F56540">
        <w:rPr>
          <w:rFonts w:cs="Arial"/>
          <w:sz w:val="20"/>
        </w:rPr>
        <w:fldChar w:fldCharType="begin"/>
      </w:r>
      <w:r w:rsidRPr="00F56540">
        <w:rPr>
          <w:rFonts w:cs="Arial"/>
          <w:sz w:val="20"/>
        </w:rPr>
        <w:instrText xml:space="preserve"> TOC \o "1-3" \h \z \u </w:instrText>
      </w:r>
      <w:r w:rsidRPr="00F56540">
        <w:rPr>
          <w:rFonts w:cs="Arial"/>
          <w:sz w:val="20"/>
        </w:rPr>
        <w:fldChar w:fldCharType="separate"/>
      </w:r>
      <w:hyperlink w:anchor="_Toc116457914" w:history="1">
        <w:r w:rsidR="000200BD" w:rsidRPr="00FC4F1F">
          <w:rPr>
            <w:rStyle w:val="Hyperlink"/>
          </w:rPr>
          <w:t>Contents</w:t>
        </w:r>
        <w:r w:rsidR="000200BD">
          <w:rPr>
            <w:webHidden/>
          </w:rPr>
          <w:tab/>
        </w:r>
        <w:r w:rsidR="000200BD">
          <w:rPr>
            <w:webHidden/>
          </w:rPr>
          <w:fldChar w:fldCharType="begin"/>
        </w:r>
        <w:r w:rsidR="000200BD">
          <w:rPr>
            <w:webHidden/>
          </w:rPr>
          <w:instrText xml:space="preserve"> PAGEREF _Toc116457914 \h </w:instrText>
        </w:r>
        <w:r w:rsidR="000200BD">
          <w:rPr>
            <w:webHidden/>
          </w:rPr>
        </w:r>
        <w:r w:rsidR="000200BD">
          <w:rPr>
            <w:webHidden/>
          </w:rPr>
          <w:fldChar w:fldCharType="separate"/>
        </w:r>
        <w:r w:rsidR="000200BD">
          <w:rPr>
            <w:webHidden/>
          </w:rPr>
          <w:t>2</w:t>
        </w:r>
        <w:r w:rsidR="000200BD">
          <w:rPr>
            <w:webHidden/>
          </w:rPr>
          <w:fldChar w:fldCharType="end"/>
        </w:r>
      </w:hyperlink>
    </w:p>
    <w:p w14:paraId="74F7162C" w14:textId="6B49FE49" w:rsidR="000200BD" w:rsidRDefault="00654C6A">
      <w:pPr>
        <w:pStyle w:val="TOC1"/>
        <w:rPr>
          <w:rFonts w:asciiTheme="minorHAnsi" w:eastAsiaTheme="minorEastAsia" w:hAnsiTheme="minorHAnsi" w:cstheme="minorBidi"/>
          <w:b w:val="0"/>
          <w:sz w:val="22"/>
          <w:szCs w:val="22"/>
          <w:lang w:eastAsia="en-AU"/>
        </w:rPr>
      </w:pPr>
      <w:hyperlink w:anchor="_Toc116457915" w:history="1">
        <w:r w:rsidR="000200BD" w:rsidRPr="00FC4F1F">
          <w:rPr>
            <w:rStyle w:val="Hyperlink"/>
          </w:rPr>
          <w:t>1. Introduction</w:t>
        </w:r>
        <w:r w:rsidR="000200BD">
          <w:rPr>
            <w:webHidden/>
          </w:rPr>
          <w:tab/>
        </w:r>
        <w:r w:rsidR="000200BD">
          <w:rPr>
            <w:webHidden/>
          </w:rPr>
          <w:fldChar w:fldCharType="begin"/>
        </w:r>
        <w:r w:rsidR="000200BD">
          <w:rPr>
            <w:webHidden/>
          </w:rPr>
          <w:instrText xml:space="preserve"> PAGEREF _Toc116457915 \h </w:instrText>
        </w:r>
        <w:r w:rsidR="000200BD">
          <w:rPr>
            <w:webHidden/>
          </w:rPr>
        </w:r>
        <w:r w:rsidR="000200BD">
          <w:rPr>
            <w:webHidden/>
          </w:rPr>
          <w:fldChar w:fldCharType="separate"/>
        </w:r>
        <w:r w:rsidR="000200BD">
          <w:rPr>
            <w:webHidden/>
          </w:rPr>
          <w:t>3</w:t>
        </w:r>
        <w:r w:rsidR="000200BD">
          <w:rPr>
            <w:webHidden/>
          </w:rPr>
          <w:fldChar w:fldCharType="end"/>
        </w:r>
      </w:hyperlink>
    </w:p>
    <w:p w14:paraId="461A9BBB" w14:textId="2CBC2A50" w:rsidR="000200BD" w:rsidRDefault="00654C6A">
      <w:pPr>
        <w:pStyle w:val="TOC1"/>
        <w:rPr>
          <w:rFonts w:asciiTheme="minorHAnsi" w:eastAsiaTheme="minorEastAsia" w:hAnsiTheme="minorHAnsi" w:cstheme="minorBidi"/>
          <w:b w:val="0"/>
          <w:sz w:val="22"/>
          <w:szCs w:val="22"/>
          <w:lang w:eastAsia="en-AU"/>
        </w:rPr>
      </w:pPr>
      <w:hyperlink w:anchor="_Toc116457916" w:history="1">
        <w:r w:rsidR="000200BD" w:rsidRPr="00FC4F1F">
          <w:rPr>
            <w:rStyle w:val="Hyperlink"/>
          </w:rPr>
          <w:t>2. Definitions</w:t>
        </w:r>
        <w:r w:rsidR="000200BD">
          <w:rPr>
            <w:webHidden/>
          </w:rPr>
          <w:tab/>
        </w:r>
        <w:r w:rsidR="000200BD">
          <w:rPr>
            <w:webHidden/>
          </w:rPr>
          <w:fldChar w:fldCharType="begin"/>
        </w:r>
        <w:r w:rsidR="000200BD">
          <w:rPr>
            <w:webHidden/>
          </w:rPr>
          <w:instrText xml:space="preserve"> PAGEREF _Toc116457916 \h </w:instrText>
        </w:r>
        <w:r w:rsidR="000200BD">
          <w:rPr>
            <w:webHidden/>
          </w:rPr>
        </w:r>
        <w:r w:rsidR="000200BD">
          <w:rPr>
            <w:webHidden/>
          </w:rPr>
          <w:fldChar w:fldCharType="separate"/>
        </w:r>
        <w:r w:rsidR="000200BD">
          <w:rPr>
            <w:webHidden/>
          </w:rPr>
          <w:t>4</w:t>
        </w:r>
        <w:r w:rsidR="000200BD">
          <w:rPr>
            <w:webHidden/>
          </w:rPr>
          <w:fldChar w:fldCharType="end"/>
        </w:r>
      </w:hyperlink>
    </w:p>
    <w:p w14:paraId="05D5379E" w14:textId="2DD55DFE" w:rsidR="000200BD" w:rsidRDefault="00654C6A">
      <w:pPr>
        <w:pStyle w:val="TOC1"/>
        <w:rPr>
          <w:rFonts w:asciiTheme="minorHAnsi" w:eastAsiaTheme="minorEastAsia" w:hAnsiTheme="minorHAnsi" w:cstheme="minorBidi"/>
          <w:b w:val="0"/>
          <w:sz w:val="22"/>
          <w:szCs w:val="22"/>
          <w:lang w:eastAsia="en-AU"/>
        </w:rPr>
      </w:pPr>
      <w:hyperlink w:anchor="_Toc116457917" w:history="1">
        <w:r w:rsidR="000200BD" w:rsidRPr="00FC4F1F">
          <w:rPr>
            <w:rStyle w:val="Hyperlink"/>
            <w:lang w:eastAsia="zh-CN"/>
          </w:rPr>
          <w:t>3. Scope</w:t>
        </w:r>
        <w:r w:rsidR="000200BD">
          <w:rPr>
            <w:webHidden/>
          </w:rPr>
          <w:tab/>
        </w:r>
        <w:r w:rsidR="000200BD">
          <w:rPr>
            <w:webHidden/>
          </w:rPr>
          <w:fldChar w:fldCharType="begin"/>
        </w:r>
        <w:r w:rsidR="000200BD">
          <w:rPr>
            <w:webHidden/>
          </w:rPr>
          <w:instrText xml:space="preserve"> PAGEREF _Toc116457917 \h </w:instrText>
        </w:r>
        <w:r w:rsidR="000200BD">
          <w:rPr>
            <w:webHidden/>
          </w:rPr>
        </w:r>
        <w:r w:rsidR="000200BD">
          <w:rPr>
            <w:webHidden/>
          </w:rPr>
          <w:fldChar w:fldCharType="separate"/>
        </w:r>
        <w:r w:rsidR="000200BD">
          <w:rPr>
            <w:webHidden/>
          </w:rPr>
          <w:t>5</w:t>
        </w:r>
        <w:r w:rsidR="000200BD">
          <w:rPr>
            <w:webHidden/>
          </w:rPr>
          <w:fldChar w:fldCharType="end"/>
        </w:r>
      </w:hyperlink>
    </w:p>
    <w:p w14:paraId="5FC36457" w14:textId="7116833B" w:rsidR="000200BD" w:rsidRDefault="00654C6A">
      <w:pPr>
        <w:pStyle w:val="TOC1"/>
        <w:rPr>
          <w:rFonts w:asciiTheme="minorHAnsi" w:eastAsiaTheme="minorEastAsia" w:hAnsiTheme="minorHAnsi" w:cstheme="minorBidi"/>
          <w:b w:val="0"/>
          <w:sz w:val="22"/>
          <w:szCs w:val="22"/>
          <w:lang w:eastAsia="en-AU"/>
        </w:rPr>
      </w:pPr>
      <w:hyperlink w:anchor="_Toc116457918" w:history="1">
        <w:r w:rsidR="000200BD" w:rsidRPr="00FC4F1F">
          <w:rPr>
            <w:rStyle w:val="Hyperlink"/>
          </w:rPr>
          <w:t>4. Implementation</w:t>
        </w:r>
        <w:r w:rsidR="000200BD">
          <w:rPr>
            <w:webHidden/>
          </w:rPr>
          <w:tab/>
        </w:r>
        <w:r w:rsidR="000200BD">
          <w:rPr>
            <w:webHidden/>
          </w:rPr>
          <w:fldChar w:fldCharType="begin"/>
        </w:r>
        <w:r w:rsidR="000200BD">
          <w:rPr>
            <w:webHidden/>
          </w:rPr>
          <w:instrText xml:space="preserve"> PAGEREF _Toc116457918 \h </w:instrText>
        </w:r>
        <w:r w:rsidR="000200BD">
          <w:rPr>
            <w:webHidden/>
          </w:rPr>
        </w:r>
        <w:r w:rsidR="000200BD">
          <w:rPr>
            <w:webHidden/>
          </w:rPr>
          <w:fldChar w:fldCharType="separate"/>
        </w:r>
        <w:r w:rsidR="000200BD">
          <w:rPr>
            <w:webHidden/>
          </w:rPr>
          <w:t>6</w:t>
        </w:r>
        <w:r w:rsidR="000200BD">
          <w:rPr>
            <w:webHidden/>
          </w:rPr>
          <w:fldChar w:fldCharType="end"/>
        </w:r>
      </w:hyperlink>
    </w:p>
    <w:p w14:paraId="65ED436E" w14:textId="481D0BD9" w:rsidR="000200BD" w:rsidRPr="000200BD" w:rsidRDefault="00654C6A">
      <w:pPr>
        <w:pStyle w:val="TOC3"/>
        <w:rPr>
          <w:rFonts w:asciiTheme="minorHAnsi" w:eastAsiaTheme="minorEastAsia" w:hAnsiTheme="minorHAnsi" w:cstheme="minorBidi"/>
          <w:noProof/>
          <w:sz w:val="22"/>
          <w:szCs w:val="22"/>
          <w:lang w:eastAsia="en-AU"/>
        </w:rPr>
      </w:pPr>
      <w:hyperlink w:anchor="_Toc116457919" w:history="1">
        <w:r w:rsidR="000200BD" w:rsidRPr="000200BD">
          <w:rPr>
            <w:rStyle w:val="Hyperlink"/>
            <w:noProof/>
          </w:rPr>
          <w:t>4.1 Phase 1 (influenza vaccine)</w:t>
        </w:r>
        <w:r w:rsidR="000200BD" w:rsidRPr="000200BD">
          <w:rPr>
            <w:noProof/>
            <w:webHidden/>
          </w:rPr>
          <w:tab/>
        </w:r>
        <w:r w:rsidR="000200BD" w:rsidRPr="000200BD">
          <w:rPr>
            <w:noProof/>
            <w:webHidden/>
          </w:rPr>
          <w:fldChar w:fldCharType="begin"/>
        </w:r>
        <w:r w:rsidR="000200BD" w:rsidRPr="000200BD">
          <w:rPr>
            <w:noProof/>
            <w:webHidden/>
          </w:rPr>
          <w:instrText xml:space="preserve"> PAGEREF _Toc116457919 \h </w:instrText>
        </w:r>
        <w:r w:rsidR="000200BD" w:rsidRPr="000200BD">
          <w:rPr>
            <w:noProof/>
            <w:webHidden/>
          </w:rPr>
        </w:r>
        <w:r w:rsidR="000200BD" w:rsidRPr="000200BD">
          <w:rPr>
            <w:noProof/>
            <w:webHidden/>
          </w:rPr>
          <w:fldChar w:fldCharType="separate"/>
        </w:r>
        <w:r w:rsidR="000200BD" w:rsidRPr="000200BD">
          <w:rPr>
            <w:noProof/>
            <w:webHidden/>
          </w:rPr>
          <w:t>6</w:t>
        </w:r>
        <w:r w:rsidR="000200BD" w:rsidRPr="000200BD">
          <w:rPr>
            <w:noProof/>
            <w:webHidden/>
          </w:rPr>
          <w:fldChar w:fldCharType="end"/>
        </w:r>
      </w:hyperlink>
    </w:p>
    <w:p w14:paraId="5A40CD64" w14:textId="1625B39C" w:rsidR="000200BD" w:rsidRPr="000200BD" w:rsidRDefault="00654C6A">
      <w:pPr>
        <w:pStyle w:val="TOC3"/>
        <w:rPr>
          <w:rFonts w:asciiTheme="minorHAnsi" w:eastAsiaTheme="minorEastAsia" w:hAnsiTheme="minorHAnsi" w:cstheme="minorBidi"/>
          <w:noProof/>
          <w:sz w:val="22"/>
          <w:szCs w:val="22"/>
          <w:lang w:eastAsia="en-AU"/>
        </w:rPr>
      </w:pPr>
      <w:hyperlink w:anchor="_Toc116457920" w:history="1">
        <w:r w:rsidR="000200BD" w:rsidRPr="000200BD">
          <w:rPr>
            <w:rStyle w:val="Hyperlink"/>
            <w:noProof/>
          </w:rPr>
          <w:t>4.2 Phase 2 (COVID-19 vaccine)</w:t>
        </w:r>
        <w:r w:rsidR="000200BD" w:rsidRPr="000200BD">
          <w:rPr>
            <w:noProof/>
            <w:webHidden/>
          </w:rPr>
          <w:tab/>
        </w:r>
        <w:r w:rsidR="000200BD" w:rsidRPr="000200BD">
          <w:rPr>
            <w:noProof/>
            <w:webHidden/>
          </w:rPr>
          <w:fldChar w:fldCharType="begin"/>
        </w:r>
        <w:r w:rsidR="000200BD" w:rsidRPr="000200BD">
          <w:rPr>
            <w:noProof/>
            <w:webHidden/>
          </w:rPr>
          <w:instrText xml:space="preserve"> PAGEREF _Toc116457920 \h </w:instrText>
        </w:r>
        <w:r w:rsidR="000200BD" w:rsidRPr="000200BD">
          <w:rPr>
            <w:noProof/>
            <w:webHidden/>
          </w:rPr>
        </w:r>
        <w:r w:rsidR="000200BD" w:rsidRPr="000200BD">
          <w:rPr>
            <w:noProof/>
            <w:webHidden/>
          </w:rPr>
          <w:fldChar w:fldCharType="separate"/>
        </w:r>
        <w:r w:rsidR="000200BD" w:rsidRPr="000200BD">
          <w:rPr>
            <w:noProof/>
            <w:webHidden/>
          </w:rPr>
          <w:t>6</w:t>
        </w:r>
        <w:r w:rsidR="000200BD" w:rsidRPr="000200BD">
          <w:rPr>
            <w:noProof/>
            <w:webHidden/>
          </w:rPr>
          <w:fldChar w:fldCharType="end"/>
        </w:r>
      </w:hyperlink>
    </w:p>
    <w:p w14:paraId="03146DE4" w14:textId="6142103D" w:rsidR="000200BD" w:rsidRPr="000200BD" w:rsidRDefault="00654C6A">
      <w:pPr>
        <w:pStyle w:val="TOC3"/>
        <w:rPr>
          <w:rFonts w:asciiTheme="minorHAnsi" w:eastAsiaTheme="minorEastAsia" w:hAnsiTheme="minorHAnsi" w:cstheme="minorBidi"/>
          <w:noProof/>
          <w:sz w:val="22"/>
          <w:szCs w:val="22"/>
          <w:lang w:eastAsia="en-AU"/>
        </w:rPr>
      </w:pPr>
      <w:hyperlink w:anchor="_Toc116457921" w:history="1">
        <w:r w:rsidR="000200BD" w:rsidRPr="000200BD">
          <w:rPr>
            <w:rStyle w:val="Hyperlink"/>
            <w:noProof/>
          </w:rPr>
          <w:t>4.3 Additional information</w:t>
        </w:r>
        <w:r w:rsidR="000200BD" w:rsidRPr="000200BD">
          <w:rPr>
            <w:noProof/>
            <w:webHidden/>
          </w:rPr>
          <w:tab/>
        </w:r>
        <w:r w:rsidR="000200BD" w:rsidRPr="000200BD">
          <w:rPr>
            <w:noProof/>
            <w:webHidden/>
          </w:rPr>
          <w:fldChar w:fldCharType="begin"/>
        </w:r>
        <w:r w:rsidR="000200BD" w:rsidRPr="000200BD">
          <w:rPr>
            <w:noProof/>
            <w:webHidden/>
          </w:rPr>
          <w:instrText xml:space="preserve"> PAGEREF _Toc116457921 \h </w:instrText>
        </w:r>
        <w:r w:rsidR="000200BD" w:rsidRPr="000200BD">
          <w:rPr>
            <w:noProof/>
            <w:webHidden/>
          </w:rPr>
        </w:r>
        <w:r w:rsidR="000200BD" w:rsidRPr="000200BD">
          <w:rPr>
            <w:noProof/>
            <w:webHidden/>
          </w:rPr>
          <w:fldChar w:fldCharType="separate"/>
        </w:r>
        <w:r w:rsidR="000200BD" w:rsidRPr="000200BD">
          <w:rPr>
            <w:noProof/>
            <w:webHidden/>
          </w:rPr>
          <w:t>8</w:t>
        </w:r>
        <w:r w:rsidR="000200BD" w:rsidRPr="000200BD">
          <w:rPr>
            <w:noProof/>
            <w:webHidden/>
          </w:rPr>
          <w:fldChar w:fldCharType="end"/>
        </w:r>
      </w:hyperlink>
    </w:p>
    <w:p w14:paraId="41C88145" w14:textId="25E40C44" w:rsidR="000200BD" w:rsidRPr="000200BD" w:rsidRDefault="00654C6A">
      <w:pPr>
        <w:pStyle w:val="TOC3"/>
        <w:rPr>
          <w:rFonts w:asciiTheme="minorHAnsi" w:eastAsiaTheme="minorEastAsia" w:hAnsiTheme="minorHAnsi" w:cstheme="minorBidi"/>
          <w:noProof/>
          <w:sz w:val="22"/>
          <w:szCs w:val="22"/>
          <w:lang w:eastAsia="en-AU"/>
        </w:rPr>
      </w:pPr>
      <w:hyperlink w:anchor="_Toc116457922" w:history="1">
        <w:r w:rsidR="000200BD" w:rsidRPr="000200BD">
          <w:rPr>
            <w:rStyle w:val="Hyperlink"/>
            <w:noProof/>
          </w:rPr>
          <w:t>4.4 Future implementation phases</w:t>
        </w:r>
        <w:r w:rsidR="000200BD" w:rsidRPr="000200BD">
          <w:rPr>
            <w:noProof/>
            <w:webHidden/>
          </w:rPr>
          <w:tab/>
        </w:r>
        <w:r w:rsidR="000200BD" w:rsidRPr="000200BD">
          <w:rPr>
            <w:noProof/>
            <w:webHidden/>
          </w:rPr>
          <w:fldChar w:fldCharType="begin"/>
        </w:r>
        <w:r w:rsidR="000200BD" w:rsidRPr="000200BD">
          <w:rPr>
            <w:noProof/>
            <w:webHidden/>
          </w:rPr>
          <w:instrText xml:space="preserve"> PAGEREF _Toc116457922 \h </w:instrText>
        </w:r>
        <w:r w:rsidR="000200BD" w:rsidRPr="000200BD">
          <w:rPr>
            <w:noProof/>
            <w:webHidden/>
          </w:rPr>
        </w:r>
        <w:r w:rsidR="000200BD" w:rsidRPr="000200BD">
          <w:rPr>
            <w:noProof/>
            <w:webHidden/>
          </w:rPr>
          <w:fldChar w:fldCharType="separate"/>
        </w:r>
        <w:r w:rsidR="000200BD" w:rsidRPr="000200BD">
          <w:rPr>
            <w:noProof/>
            <w:webHidden/>
          </w:rPr>
          <w:t>8</w:t>
        </w:r>
        <w:r w:rsidR="000200BD" w:rsidRPr="000200BD">
          <w:rPr>
            <w:noProof/>
            <w:webHidden/>
          </w:rPr>
          <w:fldChar w:fldCharType="end"/>
        </w:r>
      </w:hyperlink>
    </w:p>
    <w:p w14:paraId="44140BCF" w14:textId="0575C19E" w:rsidR="000200BD" w:rsidRDefault="00654C6A">
      <w:pPr>
        <w:pStyle w:val="TOC1"/>
        <w:rPr>
          <w:rFonts w:asciiTheme="minorHAnsi" w:eastAsiaTheme="minorEastAsia" w:hAnsiTheme="minorHAnsi" w:cstheme="minorBidi"/>
          <w:b w:val="0"/>
          <w:sz w:val="22"/>
          <w:szCs w:val="22"/>
          <w:lang w:eastAsia="en-AU"/>
        </w:rPr>
      </w:pPr>
      <w:hyperlink w:anchor="_Toc116457923" w:history="1">
        <w:r w:rsidR="000200BD" w:rsidRPr="00FC4F1F">
          <w:rPr>
            <w:rStyle w:val="Hyperlink"/>
          </w:rPr>
          <w:t>5. Risk categorisation</w:t>
        </w:r>
        <w:r w:rsidR="000200BD">
          <w:rPr>
            <w:webHidden/>
          </w:rPr>
          <w:tab/>
        </w:r>
        <w:r w:rsidR="000200BD">
          <w:rPr>
            <w:webHidden/>
          </w:rPr>
          <w:fldChar w:fldCharType="begin"/>
        </w:r>
        <w:r w:rsidR="000200BD">
          <w:rPr>
            <w:webHidden/>
          </w:rPr>
          <w:instrText xml:space="preserve"> PAGEREF _Toc116457923 \h </w:instrText>
        </w:r>
        <w:r w:rsidR="000200BD">
          <w:rPr>
            <w:webHidden/>
          </w:rPr>
        </w:r>
        <w:r w:rsidR="000200BD">
          <w:rPr>
            <w:webHidden/>
          </w:rPr>
          <w:fldChar w:fldCharType="separate"/>
        </w:r>
        <w:r w:rsidR="000200BD">
          <w:rPr>
            <w:webHidden/>
          </w:rPr>
          <w:t>8</w:t>
        </w:r>
        <w:r w:rsidR="000200BD">
          <w:rPr>
            <w:webHidden/>
          </w:rPr>
          <w:fldChar w:fldCharType="end"/>
        </w:r>
      </w:hyperlink>
    </w:p>
    <w:p w14:paraId="5015E994" w14:textId="35907721" w:rsidR="000200BD" w:rsidRDefault="00654C6A">
      <w:pPr>
        <w:pStyle w:val="TOC1"/>
        <w:rPr>
          <w:rFonts w:asciiTheme="minorHAnsi" w:eastAsiaTheme="minorEastAsia" w:hAnsiTheme="minorHAnsi" w:cstheme="minorBidi"/>
          <w:b w:val="0"/>
          <w:sz w:val="22"/>
          <w:szCs w:val="22"/>
          <w:lang w:eastAsia="en-AU"/>
        </w:rPr>
      </w:pPr>
      <w:hyperlink w:anchor="_Toc116457924" w:history="1">
        <w:r w:rsidR="000200BD" w:rsidRPr="00FC4F1F">
          <w:rPr>
            <w:rStyle w:val="Hyperlink"/>
          </w:rPr>
          <w:t>6. Demonstrating compliance</w:t>
        </w:r>
        <w:r w:rsidR="000200BD">
          <w:rPr>
            <w:webHidden/>
          </w:rPr>
          <w:tab/>
        </w:r>
        <w:r w:rsidR="000200BD">
          <w:rPr>
            <w:webHidden/>
          </w:rPr>
          <w:fldChar w:fldCharType="begin"/>
        </w:r>
        <w:r w:rsidR="000200BD">
          <w:rPr>
            <w:webHidden/>
          </w:rPr>
          <w:instrText xml:space="preserve"> PAGEREF _Toc116457924 \h </w:instrText>
        </w:r>
        <w:r w:rsidR="000200BD">
          <w:rPr>
            <w:webHidden/>
          </w:rPr>
        </w:r>
        <w:r w:rsidR="000200BD">
          <w:rPr>
            <w:webHidden/>
          </w:rPr>
          <w:fldChar w:fldCharType="separate"/>
        </w:r>
        <w:r w:rsidR="000200BD">
          <w:rPr>
            <w:webHidden/>
          </w:rPr>
          <w:t>8</w:t>
        </w:r>
        <w:r w:rsidR="000200BD">
          <w:rPr>
            <w:webHidden/>
          </w:rPr>
          <w:fldChar w:fldCharType="end"/>
        </w:r>
      </w:hyperlink>
    </w:p>
    <w:p w14:paraId="73AEA363" w14:textId="13EB3BA5" w:rsidR="000200BD" w:rsidRDefault="00654C6A">
      <w:pPr>
        <w:pStyle w:val="TOC2"/>
        <w:rPr>
          <w:rFonts w:asciiTheme="minorHAnsi" w:eastAsiaTheme="minorEastAsia" w:hAnsiTheme="minorHAnsi" w:cstheme="minorBidi"/>
          <w:sz w:val="22"/>
          <w:szCs w:val="22"/>
          <w:lang w:eastAsia="en-AU"/>
        </w:rPr>
      </w:pPr>
      <w:hyperlink w:anchor="_Toc116457925" w:history="1">
        <w:r w:rsidR="000200BD" w:rsidRPr="00FC4F1F">
          <w:rPr>
            <w:rStyle w:val="Hyperlink"/>
          </w:rPr>
          <w:t>Table 1. Risk categorisation and recommended vaccine schedule</w:t>
        </w:r>
        <w:r w:rsidR="000200BD">
          <w:rPr>
            <w:webHidden/>
          </w:rPr>
          <w:tab/>
        </w:r>
        <w:r w:rsidR="000200BD">
          <w:rPr>
            <w:webHidden/>
          </w:rPr>
          <w:fldChar w:fldCharType="begin"/>
        </w:r>
        <w:r w:rsidR="000200BD">
          <w:rPr>
            <w:webHidden/>
          </w:rPr>
          <w:instrText xml:space="preserve"> PAGEREF _Toc116457925 \h </w:instrText>
        </w:r>
        <w:r w:rsidR="000200BD">
          <w:rPr>
            <w:webHidden/>
          </w:rPr>
        </w:r>
        <w:r w:rsidR="000200BD">
          <w:rPr>
            <w:webHidden/>
          </w:rPr>
          <w:fldChar w:fldCharType="separate"/>
        </w:r>
        <w:r w:rsidR="000200BD">
          <w:rPr>
            <w:webHidden/>
          </w:rPr>
          <w:t>9</w:t>
        </w:r>
        <w:r w:rsidR="000200BD">
          <w:rPr>
            <w:webHidden/>
          </w:rPr>
          <w:fldChar w:fldCharType="end"/>
        </w:r>
      </w:hyperlink>
    </w:p>
    <w:p w14:paraId="0DBEF7E4" w14:textId="1BEE76EC" w:rsidR="000200BD" w:rsidRDefault="004206FB">
      <w:pPr>
        <w:pStyle w:val="TOC2"/>
        <w:rPr>
          <w:rFonts w:asciiTheme="minorHAnsi" w:eastAsiaTheme="minorEastAsia" w:hAnsiTheme="minorHAnsi" w:cstheme="minorBidi"/>
          <w:sz w:val="22"/>
          <w:szCs w:val="22"/>
          <w:lang w:eastAsia="en-AU"/>
        </w:rPr>
      </w:pPr>
      <w:hyperlink w:anchor="_Toc116457926" w:history="1">
        <w:r w:rsidR="000200BD" w:rsidRPr="00FC4F1F">
          <w:rPr>
            <w:rStyle w:val="Hyperlink"/>
          </w:rPr>
          <w:t>Table 2. Evidence required to demonstrate vaccination for healthcare workers</w:t>
        </w:r>
        <w:r w:rsidR="000200BD">
          <w:rPr>
            <w:webHidden/>
          </w:rPr>
          <w:tab/>
        </w:r>
        <w:r w:rsidR="000200BD">
          <w:rPr>
            <w:webHidden/>
          </w:rPr>
          <w:fldChar w:fldCharType="begin"/>
        </w:r>
        <w:r w:rsidR="000200BD">
          <w:rPr>
            <w:webHidden/>
          </w:rPr>
          <w:instrText xml:space="preserve"> PAGEREF _Toc116457926 \h </w:instrText>
        </w:r>
        <w:r w:rsidR="000200BD">
          <w:rPr>
            <w:webHidden/>
          </w:rPr>
        </w:r>
        <w:r w:rsidR="000200BD">
          <w:rPr>
            <w:webHidden/>
          </w:rPr>
          <w:fldChar w:fldCharType="separate"/>
        </w:r>
        <w:r w:rsidR="000200BD">
          <w:rPr>
            <w:webHidden/>
          </w:rPr>
          <w:t>10</w:t>
        </w:r>
        <w:r w:rsidR="000200BD">
          <w:rPr>
            <w:webHidden/>
          </w:rPr>
          <w:fldChar w:fldCharType="end"/>
        </w:r>
      </w:hyperlink>
    </w:p>
    <w:p w14:paraId="7238A118" w14:textId="18A39878" w:rsidR="000200BD" w:rsidRDefault="00654C6A">
      <w:pPr>
        <w:pStyle w:val="TOC1"/>
        <w:rPr>
          <w:rFonts w:asciiTheme="minorHAnsi" w:eastAsiaTheme="minorEastAsia" w:hAnsiTheme="minorHAnsi" w:cstheme="minorBidi"/>
          <w:b w:val="0"/>
          <w:sz w:val="22"/>
          <w:szCs w:val="22"/>
          <w:lang w:eastAsia="en-AU"/>
        </w:rPr>
      </w:pPr>
      <w:hyperlink w:anchor="_Toc116457927" w:history="1">
        <w:r w:rsidR="000200BD" w:rsidRPr="00FC4F1F">
          <w:rPr>
            <w:rStyle w:val="Hyperlink"/>
          </w:rPr>
          <w:t>7. Medical contraindications to any vaccination, and exceptions to COVID-19 vaccination</w:t>
        </w:r>
        <w:r w:rsidR="000200BD">
          <w:rPr>
            <w:webHidden/>
          </w:rPr>
          <w:tab/>
        </w:r>
        <w:r w:rsidR="000200BD">
          <w:rPr>
            <w:webHidden/>
          </w:rPr>
          <w:fldChar w:fldCharType="begin"/>
        </w:r>
        <w:r w:rsidR="000200BD">
          <w:rPr>
            <w:webHidden/>
          </w:rPr>
          <w:instrText xml:space="preserve"> PAGEREF _Toc116457927 \h </w:instrText>
        </w:r>
        <w:r w:rsidR="000200BD">
          <w:rPr>
            <w:webHidden/>
          </w:rPr>
        </w:r>
        <w:r w:rsidR="000200BD">
          <w:rPr>
            <w:webHidden/>
          </w:rPr>
          <w:fldChar w:fldCharType="separate"/>
        </w:r>
        <w:r w:rsidR="000200BD">
          <w:rPr>
            <w:webHidden/>
          </w:rPr>
          <w:t>11</w:t>
        </w:r>
        <w:r w:rsidR="000200BD">
          <w:rPr>
            <w:webHidden/>
          </w:rPr>
          <w:fldChar w:fldCharType="end"/>
        </w:r>
      </w:hyperlink>
    </w:p>
    <w:p w14:paraId="01890990" w14:textId="2EB0A9C7" w:rsidR="000200BD" w:rsidRDefault="00654C6A">
      <w:pPr>
        <w:pStyle w:val="TOC2"/>
        <w:rPr>
          <w:rFonts w:asciiTheme="minorHAnsi" w:eastAsiaTheme="minorEastAsia" w:hAnsiTheme="minorHAnsi" w:cstheme="minorBidi"/>
          <w:sz w:val="22"/>
          <w:szCs w:val="22"/>
          <w:lang w:eastAsia="en-AU"/>
        </w:rPr>
      </w:pPr>
      <w:hyperlink w:anchor="_Toc116457928" w:history="1">
        <w:r w:rsidR="000200BD" w:rsidRPr="00FC4F1F">
          <w:rPr>
            <w:rStyle w:val="Hyperlink"/>
          </w:rPr>
          <w:t>Table 3. Evidence required to demonstrate medical contraindication</w:t>
        </w:r>
        <w:r w:rsidR="000200BD">
          <w:rPr>
            <w:webHidden/>
          </w:rPr>
          <w:tab/>
        </w:r>
        <w:r w:rsidR="000200BD">
          <w:rPr>
            <w:webHidden/>
          </w:rPr>
          <w:fldChar w:fldCharType="begin"/>
        </w:r>
        <w:r w:rsidR="000200BD">
          <w:rPr>
            <w:webHidden/>
          </w:rPr>
          <w:instrText xml:space="preserve"> PAGEREF _Toc116457928 \h </w:instrText>
        </w:r>
        <w:r w:rsidR="000200BD">
          <w:rPr>
            <w:webHidden/>
          </w:rPr>
        </w:r>
        <w:r w:rsidR="000200BD">
          <w:rPr>
            <w:webHidden/>
          </w:rPr>
          <w:fldChar w:fldCharType="separate"/>
        </w:r>
        <w:r w:rsidR="000200BD">
          <w:rPr>
            <w:webHidden/>
          </w:rPr>
          <w:t>11</w:t>
        </w:r>
        <w:r w:rsidR="000200BD">
          <w:rPr>
            <w:webHidden/>
          </w:rPr>
          <w:fldChar w:fldCharType="end"/>
        </w:r>
      </w:hyperlink>
    </w:p>
    <w:p w14:paraId="014085E6" w14:textId="54A04304" w:rsidR="000200BD" w:rsidRDefault="00654C6A">
      <w:pPr>
        <w:pStyle w:val="TOC1"/>
        <w:tabs>
          <w:tab w:val="left" w:pos="567"/>
        </w:tabs>
        <w:rPr>
          <w:rFonts w:asciiTheme="minorHAnsi" w:eastAsiaTheme="minorEastAsia" w:hAnsiTheme="minorHAnsi" w:cstheme="minorBidi"/>
          <w:b w:val="0"/>
          <w:sz w:val="22"/>
          <w:szCs w:val="22"/>
          <w:lang w:eastAsia="en-AU"/>
        </w:rPr>
      </w:pPr>
      <w:hyperlink w:anchor="_Toc116457929" w:history="1">
        <w:r w:rsidR="000200BD" w:rsidRPr="00FC4F1F">
          <w:rPr>
            <w:rStyle w:val="Hyperlink"/>
          </w:rPr>
          <w:t>8.</w:t>
        </w:r>
        <w:r w:rsidR="000200BD">
          <w:rPr>
            <w:rFonts w:asciiTheme="minorHAnsi" w:eastAsiaTheme="minorEastAsia" w:hAnsiTheme="minorHAnsi" w:cstheme="minorBidi"/>
            <w:b w:val="0"/>
            <w:sz w:val="22"/>
            <w:szCs w:val="22"/>
            <w:lang w:eastAsia="en-AU"/>
          </w:rPr>
          <w:tab/>
        </w:r>
        <w:r w:rsidR="000200BD" w:rsidRPr="00FC4F1F">
          <w:rPr>
            <w:rStyle w:val="Hyperlink"/>
          </w:rPr>
          <w:t>Vaccine refusal</w:t>
        </w:r>
        <w:r w:rsidR="000200BD">
          <w:rPr>
            <w:webHidden/>
          </w:rPr>
          <w:tab/>
        </w:r>
        <w:r w:rsidR="000200BD">
          <w:rPr>
            <w:webHidden/>
          </w:rPr>
          <w:fldChar w:fldCharType="begin"/>
        </w:r>
        <w:r w:rsidR="000200BD">
          <w:rPr>
            <w:webHidden/>
          </w:rPr>
          <w:instrText xml:space="preserve"> PAGEREF _Toc116457929 \h </w:instrText>
        </w:r>
        <w:r w:rsidR="000200BD">
          <w:rPr>
            <w:webHidden/>
          </w:rPr>
        </w:r>
        <w:r w:rsidR="000200BD">
          <w:rPr>
            <w:webHidden/>
          </w:rPr>
          <w:fldChar w:fldCharType="separate"/>
        </w:r>
        <w:r w:rsidR="000200BD">
          <w:rPr>
            <w:webHidden/>
          </w:rPr>
          <w:t>12</w:t>
        </w:r>
        <w:r w:rsidR="000200BD">
          <w:rPr>
            <w:webHidden/>
          </w:rPr>
          <w:fldChar w:fldCharType="end"/>
        </w:r>
      </w:hyperlink>
    </w:p>
    <w:p w14:paraId="235D7EF5" w14:textId="69A99F2F" w:rsidR="000200BD" w:rsidRDefault="00654C6A">
      <w:pPr>
        <w:pStyle w:val="TOC2"/>
        <w:rPr>
          <w:rFonts w:asciiTheme="minorHAnsi" w:eastAsiaTheme="minorEastAsia" w:hAnsiTheme="minorHAnsi" w:cstheme="minorBidi"/>
          <w:sz w:val="22"/>
          <w:szCs w:val="22"/>
          <w:lang w:eastAsia="en-AU"/>
        </w:rPr>
      </w:pPr>
      <w:hyperlink w:anchor="_Toc116457930" w:history="1">
        <w:r w:rsidR="000200BD" w:rsidRPr="00FC4F1F">
          <w:rPr>
            <w:rStyle w:val="Hyperlink"/>
          </w:rPr>
          <w:t>T</w:t>
        </w:r>
        <w:r w:rsidR="000200BD" w:rsidRPr="00FC4F1F">
          <w:rPr>
            <w:rStyle w:val="Hyperlink"/>
            <w:rFonts w:cs="Arial"/>
          </w:rPr>
          <w:t>able 4. Potential consequences of non-compliance/vaccine refusal</w:t>
        </w:r>
        <w:r w:rsidR="000200BD">
          <w:rPr>
            <w:webHidden/>
          </w:rPr>
          <w:tab/>
        </w:r>
        <w:r w:rsidR="000200BD">
          <w:rPr>
            <w:webHidden/>
          </w:rPr>
          <w:fldChar w:fldCharType="begin"/>
        </w:r>
        <w:r w:rsidR="000200BD">
          <w:rPr>
            <w:webHidden/>
          </w:rPr>
          <w:instrText xml:space="preserve"> PAGEREF _Toc116457930 \h </w:instrText>
        </w:r>
        <w:r w:rsidR="000200BD">
          <w:rPr>
            <w:webHidden/>
          </w:rPr>
        </w:r>
        <w:r w:rsidR="000200BD">
          <w:rPr>
            <w:webHidden/>
          </w:rPr>
          <w:fldChar w:fldCharType="separate"/>
        </w:r>
        <w:r w:rsidR="000200BD">
          <w:rPr>
            <w:webHidden/>
          </w:rPr>
          <w:t>13</w:t>
        </w:r>
        <w:r w:rsidR="000200BD">
          <w:rPr>
            <w:webHidden/>
          </w:rPr>
          <w:fldChar w:fldCharType="end"/>
        </w:r>
      </w:hyperlink>
    </w:p>
    <w:p w14:paraId="54DC3708" w14:textId="19592249" w:rsidR="000200BD" w:rsidRDefault="00654C6A">
      <w:pPr>
        <w:pStyle w:val="TOC1"/>
        <w:rPr>
          <w:rFonts w:asciiTheme="minorHAnsi" w:eastAsiaTheme="minorEastAsia" w:hAnsiTheme="minorHAnsi" w:cstheme="minorBidi"/>
          <w:b w:val="0"/>
          <w:sz w:val="22"/>
          <w:szCs w:val="22"/>
          <w:lang w:eastAsia="en-AU"/>
        </w:rPr>
      </w:pPr>
      <w:hyperlink w:anchor="_Toc116457931" w:history="1">
        <w:r w:rsidR="000200BD" w:rsidRPr="00FC4F1F">
          <w:rPr>
            <w:rStyle w:val="Hyperlink"/>
          </w:rPr>
          <w:t>9. Managing risk</w:t>
        </w:r>
        <w:r w:rsidR="000200BD">
          <w:rPr>
            <w:webHidden/>
          </w:rPr>
          <w:tab/>
        </w:r>
        <w:r w:rsidR="000200BD">
          <w:rPr>
            <w:webHidden/>
          </w:rPr>
          <w:fldChar w:fldCharType="begin"/>
        </w:r>
        <w:r w:rsidR="000200BD">
          <w:rPr>
            <w:webHidden/>
          </w:rPr>
          <w:instrText xml:space="preserve"> PAGEREF _Toc116457931 \h </w:instrText>
        </w:r>
        <w:r w:rsidR="000200BD">
          <w:rPr>
            <w:webHidden/>
          </w:rPr>
        </w:r>
        <w:r w:rsidR="000200BD">
          <w:rPr>
            <w:webHidden/>
          </w:rPr>
          <w:fldChar w:fldCharType="separate"/>
        </w:r>
        <w:r w:rsidR="000200BD">
          <w:rPr>
            <w:webHidden/>
          </w:rPr>
          <w:t>14</w:t>
        </w:r>
        <w:r w:rsidR="000200BD">
          <w:rPr>
            <w:webHidden/>
          </w:rPr>
          <w:fldChar w:fldCharType="end"/>
        </w:r>
      </w:hyperlink>
    </w:p>
    <w:p w14:paraId="1F381E0A" w14:textId="4FABDEEF" w:rsidR="000200BD" w:rsidRDefault="00654C6A">
      <w:pPr>
        <w:pStyle w:val="TOC2"/>
        <w:rPr>
          <w:rFonts w:asciiTheme="minorHAnsi" w:eastAsiaTheme="minorEastAsia" w:hAnsiTheme="minorHAnsi" w:cstheme="minorBidi"/>
          <w:sz w:val="22"/>
          <w:szCs w:val="22"/>
          <w:lang w:eastAsia="en-AU"/>
        </w:rPr>
      </w:pPr>
      <w:hyperlink w:anchor="_Toc116457932" w:history="1">
        <w:r w:rsidR="000200BD" w:rsidRPr="00FC4F1F">
          <w:rPr>
            <w:rStyle w:val="Hyperlink"/>
          </w:rPr>
          <w:t>Table 5. High risk work areas</w:t>
        </w:r>
        <w:r w:rsidR="000200BD">
          <w:rPr>
            <w:webHidden/>
          </w:rPr>
          <w:tab/>
        </w:r>
        <w:r w:rsidR="000200BD">
          <w:rPr>
            <w:webHidden/>
          </w:rPr>
          <w:fldChar w:fldCharType="begin"/>
        </w:r>
        <w:r w:rsidR="000200BD">
          <w:rPr>
            <w:webHidden/>
          </w:rPr>
          <w:instrText xml:space="preserve"> PAGEREF _Toc116457932 \h </w:instrText>
        </w:r>
        <w:r w:rsidR="000200BD">
          <w:rPr>
            <w:webHidden/>
          </w:rPr>
        </w:r>
        <w:r w:rsidR="000200BD">
          <w:rPr>
            <w:webHidden/>
          </w:rPr>
          <w:fldChar w:fldCharType="separate"/>
        </w:r>
        <w:r w:rsidR="000200BD">
          <w:rPr>
            <w:webHidden/>
          </w:rPr>
          <w:t>14</w:t>
        </w:r>
        <w:r w:rsidR="000200BD">
          <w:rPr>
            <w:webHidden/>
          </w:rPr>
          <w:fldChar w:fldCharType="end"/>
        </w:r>
      </w:hyperlink>
    </w:p>
    <w:p w14:paraId="46E5259F" w14:textId="12154674" w:rsidR="000200BD" w:rsidRDefault="00654C6A">
      <w:pPr>
        <w:pStyle w:val="TOC2"/>
        <w:rPr>
          <w:rFonts w:asciiTheme="minorHAnsi" w:eastAsiaTheme="minorEastAsia" w:hAnsiTheme="minorHAnsi" w:cstheme="minorBidi"/>
          <w:sz w:val="22"/>
          <w:szCs w:val="22"/>
          <w:lang w:eastAsia="en-AU"/>
        </w:rPr>
      </w:pPr>
      <w:hyperlink w:anchor="_Toc116457933" w:history="1">
        <w:r w:rsidR="000200BD" w:rsidRPr="00FC4F1F">
          <w:rPr>
            <w:rStyle w:val="Hyperlink"/>
          </w:rPr>
          <w:t>Table 6. Risk management options for non-compliance/vaccine refusal</w:t>
        </w:r>
        <w:r w:rsidR="000200BD">
          <w:rPr>
            <w:webHidden/>
          </w:rPr>
          <w:tab/>
        </w:r>
        <w:r w:rsidR="000200BD">
          <w:rPr>
            <w:webHidden/>
          </w:rPr>
          <w:fldChar w:fldCharType="begin"/>
        </w:r>
        <w:r w:rsidR="000200BD">
          <w:rPr>
            <w:webHidden/>
          </w:rPr>
          <w:instrText xml:space="preserve"> PAGEREF _Toc116457933 \h </w:instrText>
        </w:r>
        <w:r w:rsidR="000200BD">
          <w:rPr>
            <w:webHidden/>
          </w:rPr>
        </w:r>
        <w:r w:rsidR="000200BD">
          <w:rPr>
            <w:webHidden/>
          </w:rPr>
          <w:fldChar w:fldCharType="separate"/>
        </w:r>
        <w:r w:rsidR="000200BD">
          <w:rPr>
            <w:webHidden/>
          </w:rPr>
          <w:t>15</w:t>
        </w:r>
        <w:r w:rsidR="000200BD">
          <w:rPr>
            <w:webHidden/>
          </w:rPr>
          <w:fldChar w:fldCharType="end"/>
        </w:r>
      </w:hyperlink>
    </w:p>
    <w:p w14:paraId="5FE1233F" w14:textId="726B3884" w:rsidR="000200BD" w:rsidRDefault="00654C6A">
      <w:pPr>
        <w:pStyle w:val="TOC2"/>
        <w:rPr>
          <w:rFonts w:asciiTheme="minorHAnsi" w:eastAsiaTheme="minorEastAsia" w:hAnsiTheme="minorHAnsi" w:cstheme="minorBidi"/>
          <w:sz w:val="22"/>
          <w:szCs w:val="22"/>
          <w:lang w:eastAsia="en-AU"/>
        </w:rPr>
      </w:pPr>
      <w:hyperlink w:anchor="_Toc116457934" w:history="1">
        <w:r w:rsidR="000200BD" w:rsidRPr="00FC4F1F">
          <w:rPr>
            <w:rStyle w:val="Hyperlink"/>
          </w:rPr>
          <w:t>Table 7 – exceptional circumstances that may allow for non-compliance to vaccination requirements</w:t>
        </w:r>
        <w:r w:rsidR="000200BD">
          <w:rPr>
            <w:webHidden/>
          </w:rPr>
          <w:tab/>
        </w:r>
        <w:r w:rsidR="000200BD">
          <w:rPr>
            <w:webHidden/>
          </w:rPr>
          <w:fldChar w:fldCharType="begin"/>
        </w:r>
        <w:r w:rsidR="000200BD">
          <w:rPr>
            <w:webHidden/>
          </w:rPr>
          <w:instrText xml:space="preserve"> PAGEREF _Toc116457934 \h </w:instrText>
        </w:r>
        <w:r w:rsidR="000200BD">
          <w:rPr>
            <w:webHidden/>
          </w:rPr>
        </w:r>
        <w:r w:rsidR="000200BD">
          <w:rPr>
            <w:webHidden/>
          </w:rPr>
          <w:fldChar w:fldCharType="separate"/>
        </w:r>
        <w:r w:rsidR="000200BD">
          <w:rPr>
            <w:webHidden/>
          </w:rPr>
          <w:t>16</w:t>
        </w:r>
        <w:r w:rsidR="000200BD">
          <w:rPr>
            <w:webHidden/>
          </w:rPr>
          <w:fldChar w:fldCharType="end"/>
        </w:r>
      </w:hyperlink>
    </w:p>
    <w:p w14:paraId="5B120399" w14:textId="1534521B" w:rsidR="000200BD" w:rsidRDefault="00654C6A">
      <w:pPr>
        <w:pStyle w:val="TOC1"/>
        <w:rPr>
          <w:rFonts w:asciiTheme="minorHAnsi" w:eastAsiaTheme="minorEastAsia" w:hAnsiTheme="minorHAnsi" w:cstheme="minorBidi"/>
          <w:b w:val="0"/>
          <w:sz w:val="22"/>
          <w:szCs w:val="22"/>
          <w:lang w:eastAsia="en-AU"/>
        </w:rPr>
      </w:pPr>
      <w:hyperlink w:anchor="_Toc116457935" w:history="1">
        <w:r w:rsidR="000200BD" w:rsidRPr="00FC4F1F">
          <w:rPr>
            <w:rStyle w:val="Hyperlink"/>
          </w:rPr>
          <w:t>10. Recording and reporting</w:t>
        </w:r>
        <w:r w:rsidR="000200BD">
          <w:rPr>
            <w:webHidden/>
          </w:rPr>
          <w:tab/>
        </w:r>
        <w:r w:rsidR="000200BD">
          <w:rPr>
            <w:webHidden/>
          </w:rPr>
          <w:fldChar w:fldCharType="begin"/>
        </w:r>
        <w:r w:rsidR="000200BD">
          <w:rPr>
            <w:webHidden/>
          </w:rPr>
          <w:instrText xml:space="preserve"> PAGEREF _Toc116457935 \h </w:instrText>
        </w:r>
        <w:r w:rsidR="000200BD">
          <w:rPr>
            <w:webHidden/>
          </w:rPr>
        </w:r>
        <w:r w:rsidR="000200BD">
          <w:rPr>
            <w:webHidden/>
          </w:rPr>
          <w:fldChar w:fldCharType="separate"/>
        </w:r>
        <w:r w:rsidR="000200BD">
          <w:rPr>
            <w:webHidden/>
          </w:rPr>
          <w:t>17</w:t>
        </w:r>
        <w:r w:rsidR="000200BD">
          <w:rPr>
            <w:webHidden/>
          </w:rPr>
          <w:fldChar w:fldCharType="end"/>
        </w:r>
      </w:hyperlink>
    </w:p>
    <w:p w14:paraId="5D20EB02" w14:textId="68D98E30" w:rsidR="000200BD" w:rsidRDefault="00654C6A">
      <w:pPr>
        <w:pStyle w:val="TOC2"/>
        <w:rPr>
          <w:rFonts w:asciiTheme="minorHAnsi" w:eastAsiaTheme="minorEastAsia" w:hAnsiTheme="minorHAnsi" w:cstheme="minorBidi"/>
          <w:sz w:val="22"/>
          <w:szCs w:val="22"/>
          <w:lang w:eastAsia="en-AU"/>
        </w:rPr>
      </w:pPr>
      <w:hyperlink w:anchor="_Toc116457936" w:history="1">
        <w:r w:rsidR="000200BD" w:rsidRPr="00FC4F1F">
          <w:rPr>
            <w:rStyle w:val="Hyperlink"/>
          </w:rPr>
          <w:t>Table 8. Reporting requirements of vaccination coverage for healthcare services</w:t>
        </w:r>
        <w:r w:rsidR="000200BD">
          <w:rPr>
            <w:webHidden/>
          </w:rPr>
          <w:tab/>
        </w:r>
        <w:r w:rsidR="000200BD">
          <w:rPr>
            <w:webHidden/>
          </w:rPr>
          <w:fldChar w:fldCharType="begin"/>
        </w:r>
        <w:r w:rsidR="000200BD">
          <w:rPr>
            <w:webHidden/>
          </w:rPr>
          <w:instrText xml:space="preserve"> PAGEREF _Toc116457936 \h </w:instrText>
        </w:r>
        <w:r w:rsidR="000200BD">
          <w:rPr>
            <w:webHidden/>
          </w:rPr>
        </w:r>
        <w:r w:rsidR="000200BD">
          <w:rPr>
            <w:webHidden/>
          </w:rPr>
          <w:fldChar w:fldCharType="separate"/>
        </w:r>
        <w:r w:rsidR="000200BD">
          <w:rPr>
            <w:webHidden/>
          </w:rPr>
          <w:t>18</w:t>
        </w:r>
        <w:r w:rsidR="000200BD">
          <w:rPr>
            <w:webHidden/>
          </w:rPr>
          <w:fldChar w:fldCharType="end"/>
        </w:r>
      </w:hyperlink>
    </w:p>
    <w:p w14:paraId="52E4912E" w14:textId="074F16B1" w:rsidR="000200BD" w:rsidRDefault="00654C6A">
      <w:pPr>
        <w:pStyle w:val="TOC1"/>
        <w:rPr>
          <w:rFonts w:asciiTheme="minorHAnsi" w:eastAsiaTheme="minorEastAsia" w:hAnsiTheme="minorHAnsi" w:cstheme="minorBidi"/>
          <w:b w:val="0"/>
          <w:sz w:val="22"/>
          <w:szCs w:val="22"/>
          <w:lang w:eastAsia="en-AU"/>
        </w:rPr>
      </w:pPr>
      <w:hyperlink w:anchor="_Toc116457937" w:history="1">
        <w:r w:rsidR="000200BD" w:rsidRPr="00FC4F1F">
          <w:rPr>
            <w:rStyle w:val="Hyperlink"/>
          </w:rPr>
          <w:t>Appendix 1</w:t>
        </w:r>
        <w:r w:rsidR="000200BD">
          <w:rPr>
            <w:webHidden/>
          </w:rPr>
          <w:tab/>
        </w:r>
        <w:r w:rsidR="000200BD">
          <w:rPr>
            <w:webHidden/>
          </w:rPr>
          <w:fldChar w:fldCharType="begin"/>
        </w:r>
        <w:r w:rsidR="000200BD">
          <w:rPr>
            <w:webHidden/>
          </w:rPr>
          <w:instrText xml:space="preserve"> PAGEREF _Toc116457937 \h </w:instrText>
        </w:r>
        <w:r w:rsidR="000200BD">
          <w:rPr>
            <w:webHidden/>
          </w:rPr>
        </w:r>
        <w:r w:rsidR="000200BD">
          <w:rPr>
            <w:webHidden/>
          </w:rPr>
          <w:fldChar w:fldCharType="separate"/>
        </w:r>
        <w:r w:rsidR="000200BD">
          <w:rPr>
            <w:webHidden/>
          </w:rPr>
          <w:t>18</w:t>
        </w:r>
        <w:r w:rsidR="000200BD">
          <w:rPr>
            <w:webHidden/>
          </w:rPr>
          <w:fldChar w:fldCharType="end"/>
        </w:r>
      </w:hyperlink>
    </w:p>
    <w:p w14:paraId="25A2694E" w14:textId="42569003" w:rsidR="000200BD" w:rsidRDefault="00654C6A">
      <w:pPr>
        <w:pStyle w:val="TOC2"/>
        <w:rPr>
          <w:rFonts w:asciiTheme="minorHAnsi" w:eastAsiaTheme="minorEastAsia" w:hAnsiTheme="minorHAnsi" w:cstheme="minorBidi"/>
          <w:sz w:val="22"/>
          <w:szCs w:val="22"/>
          <w:lang w:eastAsia="en-AU"/>
        </w:rPr>
      </w:pPr>
      <w:hyperlink w:anchor="_Toc116457938" w:history="1">
        <w:r w:rsidR="000200BD" w:rsidRPr="00FC4F1F">
          <w:rPr>
            <w:rStyle w:val="Hyperlink"/>
          </w:rPr>
          <w:t>Table 9 Responsibilities of organisations and individuals in relation to this policy</w:t>
        </w:r>
        <w:r w:rsidR="000200BD">
          <w:rPr>
            <w:webHidden/>
          </w:rPr>
          <w:tab/>
        </w:r>
        <w:r w:rsidR="000200BD">
          <w:rPr>
            <w:webHidden/>
          </w:rPr>
          <w:fldChar w:fldCharType="begin"/>
        </w:r>
        <w:r w:rsidR="000200BD">
          <w:rPr>
            <w:webHidden/>
          </w:rPr>
          <w:instrText xml:space="preserve"> PAGEREF _Toc116457938 \h </w:instrText>
        </w:r>
        <w:r w:rsidR="000200BD">
          <w:rPr>
            <w:webHidden/>
          </w:rPr>
        </w:r>
        <w:r w:rsidR="000200BD">
          <w:rPr>
            <w:webHidden/>
          </w:rPr>
          <w:fldChar w:fldCharType="separate"/>
        </w:r>
        <w:r w:rsidR="000200BD">
          <w:rPr>
            <w:webHidden/>
          </w:rPr>
          <w:t>18</w:t>
        </w:r>
        <w:r w:rsidR="000200BD">
          <w:rPr>
            <w:webHidden/>
          </w:rPr>
          <w:fldChar w:fldCharType="end"/>
        </w:r>
      </w:hyperlink>
    </w:p>
    <w:p w14:paraId="6B798B2B" w14:textId="03EACD00" w:rsidR="00B00109" w:rsidRDefault="002205D2" w:rsidP="00D87A20">
      <w:pPr>
        <w:pStyle w:val="Accessibilitypara"/>
        <w:pBdr>
          <w:top w:val="single" w:sz="4" w:space="1" w:color="auto"/>
          <w:left w:val="single" w:sz="4" w:space="4" w:color="auto"/>
          <w:bottom w:val="single" w:sz="4" w:space="1" w:color="auto"/>
          <w:right w:val="single" w:sz="4" w:space="4" w:color="auto"/>
        </w:pBdr>
        <w:spacing w:before="1560"/>
        <w:rPr>
          <w:bCs/>
          <w:sz w:val="40"/>
          <w:szCs w:val="40"/>
        </w:rPr>
        <w:sectPr w:rsidR="00B00109" w:rsidSect="00491E56">
          <w:headerReference w:type="even" r:id="rId15"/>
          <w:headerReference w:type="default" r:id="rId16"/>
          <w:footerReference w:type="even" r:id="rId17"/>
          <w:footerReference w:type="default" r:id="rId18"/>
          <w:headerReference w:type="first" r:id="rId19"/>
          <w:footerReference w:type="first" r:id="rId20"/>
          <w:type w:val="nextColumn"/>
          <w:pgSz w:w="11906" w:h="16838" w:code="9"/>
          <w:pgMar w:top="720" w:right="720" w:bottom="720" w:left="720" w:header="680" w:footer="851" w:gutter="0"/>
          <w:cols w:space="340"/>
          <w:titlePg/>
          <w:docGrid w:linePitch="360"/>
        </w:sectPr>
      </w:pPr>
      <w:r w:rsidRPr="00F56540">
        <w:rPr>
          <w:rFonts w:cs="Arial"/>
          <w:b/>
          <w:bCs/>
          <w:noProof/>
          <w:sz w:val="20"/>
        </w:rPr>
        <w:fldChar w:fldCharType="end"/>
      </w:r>
      <w:bookmarkStart w:id="1" w:name="_Toc113362842"/>
      <w:bookmarkStart w:id="2" w:name="_Hlk66712316"/>
    </w:p>
    <w:p w14:paraId="643DA2CC" w14:textId="7B1EF93E" w:rsidR="00EE29AD" w:rsidRPr="00931398" w:rsidRDefault="002205D2" w:rsidP="002205D2">
      <w:pPr>
        <w:pStyle w:val="Heading1"/>
        <w:spacing w:before="0"/>
        <w:rPr>
          <w:sz w:val="40"/>
          <w:szCs w:val="40"/>
        </w:rPr>
      </w:pPr>
      <w:bookmarkStart w:id="3" w:name="_Toc116457915"/>
      <w:r w:rsidRPr="00931398">
        <w:rPr>
          <w:bCs w:val="0"/>
          <w:sz w:val="40"/>
          <w:szCs w:val="40"/>
        </w:rPr>
        <w:lastRenderedPageBreak/>
        <w:t>1.</w:t>
      </w:r>
      <w:r w:rsidRPr="00931398">
        <w:rPr>
          <w:sz w:val="40"/>
          <w:szCs w:val="40"/>
        </w:rPr>
        <w:t xml:space="preserve"> Introduction</w:t>
      </w:r>
      <w:bookmarkEnd w:id="1"/>
      <w:bookmarkEnd w:id="3"/>
    </w:p>
    <w:p w14:paraId="799C83FF" w14:textId="67EE12B0" w:rsidR="002205D2" w:rsidRPr="007441D3" w:rsidRDefault="006171BD" w:rsidP="00603F9C">
      <w:pPr>
        <w:pStyle w:val="Heading4"/>
        <w:spacing w:after="120"/>
      </w:pPr>
      <w:bookmarkStart w:id="4" w:name="_Toc66711981"/>
      <w:r w:rsidRPr="00BF3EAE">
        <w:t xml:space="preserve">1.1 </w:t>
      </w:r>
      <w:r w:rsidR="002205D2" w:rsidRPr="007441D3">
        <w:t>Background</w:t>
      </w:r>
    </w:p>
    <w:p w14:paraId="0480D75C" w14:textId="31BEDDA5" w:rsidR="002205D2" w:rsidRPr="00F56540" w:rsidRDefault="002205D2" w:rsidP="00603F9C">
      <w:pPr>
        <w:spacing w:after="240" w:line="270" w:lineRule="atLeast"/>
        <w:rPr>
          <w:rFonts w:eastAsia="Times" w:cs="Arial"/>
          <w:sz w:val="20"/>
        </w:rPr>
      </w:pPr>
      <w:bookmarkStart w:id="5" w:name="_Hlk31891391"/>
      <w:r w:rsidRPr="00F56540">
        <w:rPr>
          <w:rFonts w:eastAsia="Times" w:cs="Arial"/>
          <w:sz w:val="20"/>
        </w:rPr>
        <w:t>As an occupational group, healthcare workers are at increased risk of vaccine-preventable disease if not vaccinated. Additionally, if not vaccinated, healthcare workers may pose</w:t>
      </w:r>
      <w:r w:rsidR="00446C73" w:rsidRPr="00F56540">
        <w:rPr>
          <w:rFonts w:eastAsia="Times" w:cs="Arial"/>
          <w:sz w:val="20"/>
        </w:rPr>
        <w:t xml:space="preserve"> an</w:t>
      </w:r>
      <w:r w:rsidRPr="00F56540">
        <w:rPr>
          <w:rFonts w:eastAsia="Times" w:cs="Arial"/>
          <w:sz w:val="20"/>
        </w:rPr>
        <w:t xml:space="preserve"> increase</w:t>
      </w:r>
      <w:r w:rsidR="00446C73" w:rsidRPr="00F56540">
        <w:rPr>
          <w:rFonts w:eastAsia="Times" w:cs="Arial"/>
          <w:sz w:val="20"/>
        </w:rPr>
        <w:t>d</w:t>
      </w:r>
      <w:r w:rsidRPr="00F56540">
        <w:rPr>
          <w:rFonts w:eastAsia="Times" w:cs="Arial"/>
          <w:sz w:val="20"/>
        </w:rPr>
        <w:t xml:space="preserve"> risk of disease transmission to patients</w:t>
      </w:r>
      <w:r w:rsidR="00525B7C" w:rsidRPr="00F56540">
        <w:rPr>
          <w:rFonts w:eastAsia="Times" w:cs="Arial"/>
          <w:sz w:val="20"/>
        </w:rPr>
        <w:t xml:space="preserve"> and </w:t>
      </w:r>
      <w:r w:rsidR="003053DE" w:rsidRPr="00F56540">
        <w:rPr>
          <w:rFonts w:eastAsia="Times" w:cs="Arial"/>
          <w:sz w:val="20"/>
        </w:rPr>
        <w:t>other workers</w:t>
      </w:r>
      <w:r w:rsidRPr="00F56540">
        <w:rPr>
          <w:rFonts w:eastAsia="Times" w:cs="Arial"/>
          <w:sz w:val="20"/>
        </w:rPr>
        <w:t xml:space="preserve">, particularly those who are vulnerable because of age, pregnancy, immunosuppression or </w:t>
      </w:r>
      <w:r w:rsidR="00376E7E">
        <w:rPr>
          <w:rFonts w:eastAsia="Times" w:cs="Arial"/>
          <w:sz w:val="20"/>
        </w:rPr>
        <w:t xml:space="preserve">acute or </w:t>
      </w:r>
      <w:r w:rsidRPr="00F56540">
        <w:rPr>
          <w:rFonts w:eastAsia="Times" w:cs="Arial"/>
          <w:sz w:val="20"/>
        </w:rPr>
        <w:t xml:space="preserve">chronic disease. </w:t>
      </w:r>
      <w:r w:rsidR="00C07352">
        <w:rPr>
          <w:rFonts w:eastAsia="Times" w:cs="Arial"/>
          <w:sz w:val="20"/>
        </w:rPr>
        <w:t>H</w:t>
      </w:r>
      <w:r w:rsidRPr="00F56540">
        <w:rPr>
          <w:rFonts w:eastAsia="Times" w:cs="Arial"/>
          <w:sz w:val="20"/>
        </w:rPr>
        <w:t xml:space="preserve">ealth and ambulance services are </w:t>
      </w:r>
      <w:r w:rsidR="00C07352">
        <w:rPr>
          <w:rFonts w:eastAsia="Times" w:cs="Arial"/>
          <w:sz w:val="20"/>
        </w:rPr>
        <w:t xml:space="preserve">also </w:t>
      </w:r>
      <w:r w:rsidRPr="00F56540">
        <w:rPr>
          <w:rFonts w:eastAsia="Times" w:cs="Arial"/>
          <w:sz w:val="20"/>
        </w:rPr>
        <w:t>at increased risk of disruption due to healthcare worker absences from illness</w:t>
      </w:r>
      <w:r w:rsidR="00060D25">
        <w:rPr>
          <w:rFonts w:eastAsia="Times" w:cs="Arial"/>
          <w:sz w:val="20"/>
        </w:rPr>
        <w:t xml:space="preserve"> caused by vaccine-preventable disease</w:t>
      </w:r>
      <w:r w:rsidR="00C07352">
        <w:rPr>
          <w:rFonts w:eastAsia="Times" w:cs="Arial"/>
          <w:sz w:val="20"/>
        </w:rPr>
        <w:t>,</w:t>
      </w:r>
      <w:r w:rsidR="00060D25">
        <w:rPr>
          <w:rFonts w:eastAsia="Times" w:cs="Arial"/>
          <w:sz w:val="20"/>
        </w:rPr>
        <w:t xml:space="preserve"> where staff are not adequately protected</w:t>
      </w:r>
      <w:r w:rsidRPr="00F56540">
        <w:rPr>
          <w:rFonts w:eastAsia="Times" w:cs="Arial"/>
          <w:sz w:val="20"/>
        </w:rPr>
        <w:t xml:space="preserve">. </w:t>
      </w:r>
    </w:p>
    <w:p w14:paraId="5DD29280" w14:textId="6B40CA0B" w:rsidR="002205D2" w:rsidRPr="00F56540" w:rsidRDefault="002205D2" w:rsidP="002205D2">
      <w:pPr>
        <w:spacing w:line="276" w:lineRule="auto"/>
        <w:rPr>
          <w:rFonts w:eastAsia="Times" w:cs="Arial"/>
          <w:sz w:val="20"/>
        </w:rPr>
      </w:pPr>
      <w:r w:rsidRPr="00F56540">
        <w:rPr>
          <w:rFonts w:eastAsia="Times" w:cs="Arial"/>
          <w:sz w:val="20"/>
        </w:rPr>
        <w:t xml:space="preserve">Previously in Victoria, there were guidelines </w:t>
      </w:r>
      <w:r w:rsidR="006A7B2F" w:rsidRPr="00F56540">
        <w:rPr>
          <w:rFonts w:eastAsia="Times" w:cs="Arial"/>
          <w:sz w:val="20"/>
        </w:rPr>
        <w:t xml:space="preserve">and performance </w:t>
      </w:r>
      <w:r w:rsidR="00AF09AB" w:rsidRPr="00F56540">
        <w:rPr>
          <w:rFonts w:eastAsia="Times" w:cs="Arial"/>
          <w:sz w:val="20"/>
        </w:rPr>
        <w:t>targets for</w:t>
      </w:r>
      <w:r w:rsidRPr="00F56540">
        <w:rPr>
          <w:rFonts w:eastAsia="Times" w:cs="Arial"/>
          <w:sz w:val="20"/>
        </w:rPr>
        <w:t xml:space="preserve"> healthcare worker vaccination, however, there was no legislative </w:t>
      </w:r>
      <w:r w:rsidR="0086664E" w:rsidRPr="00F56540">
        <w:rPr>
          <w:rFonts w:eastAsia="Times" w:cs="Arial"/>
          <w:sz w:val="20"/>
        </w:rPr>
        <w:t xml:space="preserve">instrument </w:t>
      </w:r>
      <w:r w:rsidRPr="00F56540">
        <w:rPr>
          <w:rFonts w:eastAsia="Times" w:cs="Arial"/>
          <w:sz w:val="20"/>
        </w:rPr>
        <w:t>to enforce these guidelines. The introduction of vaccination requirements for healthcare workers brings Victoria in line with other states and territories that have successfully introduced similar vaccination requirements</w:t>
      </w:r>
      <w:r w:rsidR="003053DE" w:rsidRPr="00F56540">
        <w:rPr>
          <w:rFonts w:eastAsia="Times" w:cs="Arial"/>
          <w:sz w:val="20"/>
        </w:rPr>
        <w:t xml:space="preserve">. </w:t>
      </w:r>
    </w:p>
    <w:bookmarkEnd w:id="5"/>
    <w:p w14:paraId="724B2D89" w14:textId="4FC5DDB6" w:rsidR="002205D2" w:rsidRPr="007441D3" w:rsidRDefault="006171BD" w:rsidP="007379B1">
      <w:pPr>
        <w:pStyle w:val="Heading4"/>
        <w:tabs>
          <w:tab w:val="left" w:pos="7332"/>
        </w:tabs>
        <w:spacing w:after="120"/>
      </w:pPr>
      <w:r w:rsidRPr="00BF3EAE">
        <w:t xml:space="preserve">1.2 </w:t>
      </w:r>
      <w:r w:rsidR="002205D2" w:rsidRPr="007441D3">
        <w:t>Objectives</w:t>
      </w:r>
      <w:r w:rsidR="007379B1">
        <w:tab/>
      </w:r>
    </w:p>
    <w:p w14:paraId="491ED655" w14:textId="3ECC22E6" w:rsidR="002205D2" w:rsidRPr="00F56540" w:rsidRDefault="002205D2" w:rsidP="002205D2">
      <w:pPr>
        <w:spacing w:line="270" w:lineRule="atLeast"/>
        <w:rPr>
          <w:rFonts w:eastAsia="Times" w:cs="Arial"/>
          <w:sz w:val="20"/>
        </w:rPr>
      </w:pPr>
      <w:r w:rsidRPr="00F56540">
        <w:rPr>
          <w:rFonts w:eastAsia="Times" w:cs="Arial"/>
          <w:sz w:val="20"/>
        </w:rPr>
        <w:t xml:space="preserve">The objective of introducing vaccination </w:t>
      </w:r>
      <w:r w:rsidR="00AB70EA" w:rsidRPr="00F56540">
        <w:rPr>
          <w:rFonts w:eastAsia="Times" w:cs="Arial"/>
          <w:sz w:val="20"/>
        </w:rPr>
        <w:t xml:space="preserve">requirements for </w:t>
      </w:r>
      <w:r w:rsidRPr="00F56540">
        <w:rPr>
          <w:rFonts w:eastAsia="Times" w:cs="Arial"/>
          <w:sz w:val="20"/>
        </w:rPr>
        <w:t xml:space="preserve">healthcare workers </w:t>
      </w:r>
      <w:r w:rsidR="00AB70EA" w:rsidRPr="00F56540">
        <w:rPr>
          <w:rFonts w:eastAsia="Times" w:cs="Arial"/>
          <w:sz w:val="20"/>
        </w:rPr>
        <w:t xml:space="preserve">is </w:t>
      </w:r>
      <w:r w:rsidRPr="00F56540">
        <w:rPr>
          <w:rFonts w:eastAsia="Times" w:cs="Arial"/>
          <w:sz w:val="20"/>
        </w:rPr>
        <w:t xml:space="preserve">to: </w:t>
      </w:r>
    </w:p>
    <w:p w14:paraId="1EAC6482" w14:textId="7C7EFB64" w:rsidR="003053DE" w:rsidRPr="00F56540" w:rsidRDefault="00C2545E" w:rsidP="003D6B72">
      <w:pPr>
        <w:pStyle w:val="Bullet1"/>
        <w:numPr>
          <w:ilvl w:val="0"/>
          <w:numId w:val="48"/>
        </w:numPr>
        <w:ind w:left="567"/>
        <w:rPr>
          <w:rFonts w:cs="Arial"/>
          <w:sz w:val="20"/>
        </w:rPr>
      </w:pPr>
      <w:r>
        <w:rPr>
          <w:rFonts w:cs="Arial"/>
          <w:sz w:val="20"/>
        </w:rPr>
        <w:t>p</w:t>
      </w:r>
      <w:r w:rsidR="00056FB8">
        <w:rPr>
          <w:rFonts w:cs="Arial"/>
          <w:sz w:val="20"/>
        </w:rPr>
        <w:t>rotect the health and safety of patients by</w:t>
      </w:r>
      <w:r w:rsidR="003053DE" w:rsidRPr="00F56540">
        <w:rPr>
          <w:rFonts w:cs="Arial"/>
          <w:sz w:val="20"/>
        </w:rPr>
        <w:t xml:space="preserve"> </w:t>
      </w:r>
      <w:r w:rsidR="00056FB8">
        <w:rPr>
          <w:rFonts w:cs="Arial"/>
          <w:sz w:val="20"/>
        </w:rPr>
        <w:t xml:space="preserve">reducing </w:t>
      </w:r>
      <w:r w:rsidR="003053DE" w:rsidRPr="00F56540">
        <w:rPr>
          <w:rFonts w:cs="Arial"/>
          <w:sz w:val="20"/>
        </w:rPr>
        <w:t xml:space="preserve">the risk of </w:t>
      </w:r>
      <w:r w:rsidR="007D38DD">
        <w:rPr>
          <w:rFonts w:cs="Arial"/>
          <w:sz w:val="20"/>
        </w:rPr>
        <w:t xml:space="preserve">infection and </w:t>
      </w:r>
      <w:r w:rsidR="003053DE" w:rsidRPr="00F56540">
        <w:rPr>
          <w:rFonts w:cs="Arial"/>
          <w:sz w:val="20"/>
        </w:rPr>
        <w:t>transmission of vaccine-preventable diseases</w:t>
      </w:r>
      <w:r w:rsidR="00887DB7">
        <w:rPr>
          <w:rFonts w:cs="Arial"/>
          <w:sz w:val="20"/>
        </w:rPr>
        <w:t xml:space="preserve"> </w:t>
      </w:r>
      <w:r w:rsidR="00FC4125">
        <w:rPr>
          <w:rFonts w:cs="Arial"/>
          <w:sz w:val="20"/>
        </w:rPr>
        <w:t xml:space="preserve">in </w:t>
      </w:r>
      <w:r w:rsidR="0050069D">
        <w:rPr>
          <w:rFonts w:cs="Arial"/>
          <w:sz w:val="20"/>
        </w:rPr>
        <w:t>prescribed health serv</w:t>
      </w:r>
      <w:r w:rsidR="00F529E8">
        <w:rPr>
          <w:rFonts w:cs="Arial"/>
          <w:sz w:val="20"/>
        </w:rPr>
        <w:t>ices</w:t>
      </w:r>
      <w:r w:rsidR="003053DE" w:rsidRPr="00F56540">
        <w:rPr>
          <w:rFonts w:cs="Arial"/>
          <w:sz w:val="20"/>
        </w:rPr>
        <w:t xml:space="preserve"> </w:t>
      </w:r>
    </w:p>
    <w:p w14:paraId="3F115492" w14:textId="5C5A58BF" w:rsidR="002205D2" w:rsidRPr="00F56540" w:rsidRDefault="00C2545E" w:rsidP="003D6B72">
      <w:pPr>
        <w:pStyle w:val="Bullet1"/>
        <w:numPr>
          <w:ilvl w:val="0"/>
          <w:numId w:val="48"/>
        </w:numPr>
        <w:ind w:left="567"/>
        <w:rPr>
          <w:rFonts w:cs="Arial"/>
          <w:sz w:val="20"/>
        </w:rPr>
      </w:pPr>
      <w:r>
        <w:rPr>
          <w:rFonts w:cs="Arial"/>
          <w:sz w:val="20"/>
        </w:rPr>
        <w:t>r</w:t>
      </w:r>
      <w:r w:rsidR="002205D2" w:rsidRPr="00F56540">
        <w:rPr>
          <w:rFonts w:cs="Arial"/>
          <w:sz w:val="20"/>
        </w:rPr>
        <w:t>educe risks of</w:t>
      </w:r>
      <w:r w:rsidR="00B45343">
        <w:rPr>
          <w:rFonts w:cs="Arial"/>
          <w:sz w:val="20"/>
        </w:rPr>
        <w:t xml:space="preserve"> </w:t>
      </w:r>
      <w:r w:rsidR="00386CBC">
        <w:rPr>
          <w:rFonts w:cs="Arial"/>
          <w:sz w:val="20"/>
        </w:rPr>
        <w:t xml:space="preserve">infection, transmission, </w:t>
      </w:r>
      <w:r w:rsidR="00B45343">
        <w:rPr>
          <w:rFonts w:cs="Arial"/>
          <w:sz w:val="20"/>
        </w:rPr>
        <w:t>severe</w:t>
      </w:r>
      <w:r w:rsidR="00164B0B">
        <w:rPr>
          <w:rFonts w:cs="Arial"/>
          <w:sz w:val="20"/>
        </w:rPr>
        <w:t xml:space="preserve"> illness, hospitalisation and/or death resulting</w:t>
      </w:r>
      <w:r w:rsidR="002205D2" w:rsidRPr="00F56540">
        <w:rPr>
          <w:rFonts w:cs="Arial"/>
          <w:sz w:val="20"/>
        </w:rPr>
        <w:t xml:space="preserve"> vaccine-preventable disease for healthcare workers </w:t>
      </w:r>
      <w:r w:rsidR="00A84C35">
        <w:rPr>
          <w:rFonts w:cs="Arial"/>
          <w:sz w:val="20"/>
        </w:rPr>
        <w:t>working in these settings</w:t>
      </w:r>
    </w:p>
    <w:p w14:paraId="16B71590" w14:textId="6F356CA7" w:rsidR="002205D2" w:rsidRPr="00F56540" w:rsidRDefault="00C2545E" w:rsidP="003D6B72">
      <w:pPr>
        <w:pStyle w:val="Bullet1"/>
        <w:numPr>
          <w:ilvl w:val="0"/>
          <w:numId w:val="48"/>
        </w:numPr>
        <w:ind w:left="567"/>
        <w:rPr>
          <w:rFonts w:cs="Arial"/>
          <w:sz w:val="20"/>
        </w:rPr>
      </w:pPr>
      <w:r>
        <w:rPr>
          <w:rFonts w:cs="Arial"/>
          <w:sz w:val="20"/>
        </w:rPr>
        <w:t>r</w:t>
      </w:r>
      <w:r w:rsidR="002205D2" w:rsidRPr="00F56540">
        <w:rPr>
          <w:rFonts w:cs="Arial"/>
          <w:sz w:val="20"/>
        </w:rPr>
        <w:t xml:space="preserve">educe workforce absence due to illness </w:t>
      </w:r>
      <w:r w:rsidR="00B37D07">
        <w:rPr>
          <w:rFonts w:cs="Arial"/>
          <w:sz w:val="20"/>
        </w:rPr>
        <w:t>resulting from vaccine-preventable disease</w:t>
      </w:r>
      <w:r w:rsidR="002205D2" w:rsidRPr="00F56540">
        <w:rPr>
          <w:rFonts w:cs="Arial"/>
          <w:sz w:val="20"/>
        </w:rPr>
        <w:t>.</w:t>
      </w:r>
    </w:p>
    <w:p w14:paraId="08C302CB" w14:textId="1A07EF36" w:rsidR="002205D2" w:rsidRPr="007441D3" w:rsidRDefault="006171BD" w:rsidP="00603F9C">
      <w:pPr>
        <w:pStyle w:val="Heading4"/>
        <w:spacing w:after="120"/>
      </w:pPr>
      <w:r w:rsidRPr="00BF3EAE">
        <w:t xml:space="preserve">1.3 </w:t>
      </w:r>
      <w:r w:rsidR="002205D2" w:rsidRPr="007441D3">
        <w:t xml:space="preserve">Purpose </w:t>
      </w:r>
    </w:p>
    <w:p w14:paraId="043DFD45" w14:textId="3B03FD40" w:rsidR="00195FC5" w:rsidRPr="00F56540" w:rsidRDefault="005F7C99" w:rsidP="0005512E">
      <w:pPr>
        <w:spacing w:after="240" w:line="270" w:lineRule="atLeast"/>
        <w:rPr>
          <w:rFonts w:eastAsia="Times" w:cs="Arial"/>
          <w:sz w:val="20"/>
        </w:rPr>
      </w:pPr>
      <w:r w:rsidRPr="0005512E">
        <w:rPr>
          <w:rFonts w:eastAsia="Times" w:cs="Arial"/>
          <w:sz w:val="20"/>
        </w:rPr>
        <w:t>Current v</w:t>
      </w:r>
      <w:r w:rsidR="002205D2" w:rsidRPr="0005512E">
        <w:rPr>
          <w:rFonts w:eastAsia="Times" w:cs="Arial"/>
          <w:sz w:val="20"/>
        </w:rPr>
        <w:t xml:space="preserve">accination requirements for healthcare workers are specified in </w:t>
      </w:r>
      <w:r w:rsidR="00757CD0" w:rsidRPr="0005512E">
        <w:rPr>
          <w:rFonts w:eastAsia="Times" w:cs="Arial"/>
          <w:sz w:val="20"/>
        </w:rPr>
        <w:t>Secretary</w:t>
      </w:r>
      <w:r w:rsidR="002205D2" w:rsidRPr="0005512E">
        <w:rPr>
          <w:rFonts w:eastAsia="Times" w:cs="Arial"/>
          <w:sz w:val="20"/>
        </w:rPr>
        <w:t xml:space="preserve"> </w:t>
      </w:r>
      <w:r w:rsidR="002525FC" w:rsidRPr="0005512E">
        <w:rPr>
          <w:rFonts w:eastAsia="Times" w:cs="Arial"/>
          <w:sz w:val="20"/>
        </w:rPr>
        <w:t>D</w:t>
      </w:r>
      <w:r w:rsidR="002205D2" w:rsidRPr="0005512E">
        <w:rPr>
          <w:rFonts w:eastAsia="Times" w:cs="Arial"/>
          <w:sz w:val="20"/>
        </w:rPr>
        <w:t xml:space="preserve">irections </w:t>
      </w:r>
      <w:r w:rsidR="007D223E" w:rsidRPr="0005512E">
        <w:rPr>
          <w:rFonts w:eastAsia="Times" w:cs="Arial"/>
          <w:sz w:val="20"/>
        </w:rPr>
        <w:t xml:space="preserve">for </w:t>
      </w:r>
      <w:r w:rsidR="002205D2" w:rsidRPr="0005512E">
        <w:rPr>
          <w:rFonts w:eastAsia="Times" w:cs="Arial"/>
          <w:sz w:val="20"/>
        </w:rPr>
        <w:t>healthcare settings</w:t>
      </w:r>
      <w:r w:rsidR="00EF57F9" w:rsidRPr="0005512E">
        <w:rPr>
          <w:rFonts w:eastAsia="Times" w:cs="Arial"/>
          <w:sz w:val="20"/>
        </w:rPr>
        <w:t xml:space="preserve">, and Ministerial Directions </w:t>
      </w:r>
      <w:r w:rsidR="007D223E" w:rsidRPr="0005512E">
        <w:rPr>
          <w:rFonts w:eastAsia="Times" w:cs="Arial"/>
          <w:sz w:val="20"/>
        </w:rPr>
        <w:t>for</w:t>
      </w:r>
      <w:r w:rsidR="00926689" w:rsidRPr="0005512E">
        <w:rPr>
          <w:rFonts w:eastAsia="Times" w:cs="Arial"/>
          <w:sz w:val="20"/>
        </w:rPr>
        <w:t xml:space="preserve"> Forensicare</w:t>
      </w:r>
      <w:r w:rsidR="003D3EEB" w:rsidRPr="0005512E">
        <w:rPr>
          <w:rFonts w:eastAsia="Times" w:cs="Arial"/>
          <w:sz w:val="20"/>
        </w:rPr>
        <w:t xml:space="preserve"> (influenza vaccine only)</w:t>
      </w:r>
      <w:r w:rsidR="001D6AF4" w:rsidRPr="0005512E">
        <w:rPr>
          <w:rFonts w:eastAsia="Times" w:cs="Arial"/>
          <w:sz w:val="20"/>
        </w:rPr>
        <w:t>.</w:t>
      </w:r>
      <w:r w:rsidR="001D6AF4" w:rsidRPr="00F56540">
        <w:rPr>
          <w:rFonts w:eastAsia="Times" w:cs="Arial"/>
          <w:sz w:val="20"/>
        </w:rPr>
        <w:t xml:space="preserve"> </w:t>
      </w:r>
      <w:r w:rsidR="00250A36" w:rsidRPr="00F56540">
        <w:rPr>
          <w:rFonts w:eastAsia="Times" w:cs="Arial"/>
          <w:sz w:val="20"/>
        </w:rPr>
        <w:t xml:space="preserve">Current </w:t>
      </w:r>
      <w:r w:rsidR="001D6AF4" w:rsidRPr="00F56540">
        <w:rPr>
          <w:rFonts w:eastAsia="Times" w:cs="Arial"/>
          <w:sz w:val="20"/>
        </w:rPr>
        <w:t xml:space="preserve">directions can be found at </w:t>
      </w:r>
      <w:r w:rsidR="00183F85" w:rsidRPr="00F56540">
        <w:rPr>
          <w:rFonts w:eastAsia="Times" w:cs="Arial"/>
          <w:sz w:val="20"/>
        </w:rPr>
        <w:t xml:space="preserve">the </w:t>
      </w:r>
      <w:hyperlink r:id="rId21" w:history="1">
        <w:r w:rsidR="00183F85" w:rsidRPr="00F56540">
          <w:rPr>
            <w:rStyle w:val="Hyperlink"/>
            <w:rFonts w:eastAsia="Times" w:cs="Arial"/>
            <w:sz w:val="20"/>
          </w:rPr>
          <w:t>Vaccination of healthcare workers website</w:t>
        </w:r>
      </w:hyperlink>
      <w:r w:rsidR="00183F85" w:rsidRPr="00F56540">
        <w:rPr>
          <w:rFonts w:eastAsia="Times" w:cs="Arial"/>
          <w:sz w:val="20"/>
        </w:rPr>
        <w:t xml:space="preserve"> &lt;</w:t>
      </w:r>
      <w:r w:rsidR="00183F85" w:rsidRPr="00F56540">
        <w:rPr>
          <w:rFonts w:eastAsia="MS Gothic" w:cs="Arial"/>
          <w:sz w:val="20"/>
        </w:rPr>
        <w:t>https://www.health.vic.gov.au/immunisation/vaccination-for-healthcare-worker</w:t>
      </w:r>
      <w:r w:rsidR="00014946" w:rsidRPr="00F56540">
        <w:rPr>
          <w:rFonts w:eastAsia="MS Gothic" w:cs="Arial"/>
          <w:sz w:val="20"/>
        </w:rPr>
        <w:t>s&gt;</w:t>
      </w:r>
      <w:r w:rsidR="002C4576" w:rsidRPr="00F56540">
        <w:rPr>
          <w:rFonts w:eastAsia="MS Gothic" w:cs="Arial"/>
          <w:sz w:val="20"/>
        </w:rPr>
        <w:t>.</w:t>
      </w:r>
    </w:p>
    <w:p w14:paraId="3C4ED22E" w14:textId="266C19A2" w:rsidR="002205D2" w:rsidRPr="006171BD" w:rsidRDefault="002205D2" w:rsidP="19700172">
      <w:pPr>
        <w:spacing w:line="270" w:lineRule="atLeast"/>
        <w:rPr>
          <w:rFonts w:eastAsia="Times" w:cs="Arial"/>
          <w:sz w:val="20"/>
        </w:rPr>
      </w:pPr>
      <w:r w:rsidRPr="19700172">
        <w:rPr>
          <w:rFonts w:eastAsia="Times" w:cs="Arial"/>
          <w:sz w:val="20"/>
        </w:rPr>
        <w:t xml:space="preserve">The purpose of this document is to provide additional guidance to healthcare settings </w:t>
      </w:r>
      <w:r w:rsidR="0008578C" w:rsidRPr="19700172">
        <w:rPr>
          <w:rFonts w:eastAsia="Times" w:cs="Arial"/>
          <w:sz w:val="20"/>
        </w:rPr>
        <w:t xml:space="preserve">to meet </w:t>
      </w:r>
      <w:r w:rsidRPr="19700172">
        <w:rPr>
          <w:rFonts w:eastAsia="Times" w:cs="Arial"/>
          <w:sz w:val="20"/>
        </w:rPr>
        <w:t>vaccination requirements for healthcare workers.</w:t>
      </w:r>
      <w:r w:rsidR="004B6B23" w:rsidRPr="19700172">
        <w:rPr>
          <w:rFonts w:eastAsia="Times" w:cs="Arial"/>
          <w:sz w:val="20"/>
        </w:rPr>
        <w:t xml:space="preserve"> Health</w:t>
      </w:r>
      <w:r w:rsidR="003632A6" w:rsidRPr="19700172">
        <w:rPr>
          <w:rFonts w:eastAsia="Times" w:cs="Arial"/>
          <w:sz w:val="20"/>
        </w:rPr>
        <w:t xml:space="preserve">care settings </w:t>
      </w:r>
      <w:r w:rsidR="004B6B23" w:rsidRPr="19700172">
        <w:rPr>
          <w:rFonts w:eastAsia="Times" w:cs="Arial"/>
          <w:sz w:val="20"/>
        </w:rPr>
        <w:t xml:space="preserve">may </w:t>
      </w:r>
      <w:r w:rsidR="00B8666D" w:rsidRPr="19700172">
        <w:rPr>
          <w:rFonts w:eastAsia="Times" w:cs="Arial"/>
          <w:sz w:val="20"/>
        </w:rPr>
        <w:t xml:space="preserve">use this policy to </w:t>
      </w:r>
      <w:r w:rsidR="00126CA0" w:rsidRPr="19700172">
        <w:rPr>
          <w:rFonts w:eastAsia="Times" w:cs="Arial"/>
          <w:sz w:val="20"/>
        </w:rPr>
        <w:t xml:space="preserve">develop </w:t>
      </w:r>
      <w:r w:rsidR="00876F77" w:rsidRPr="19700172">
        <w:rPr>
          <w:rFonts w:eastAsia="Times" w:cs="Arial"/>
          <w:sz w:val="20"/>
        </w:rPr>
        <w:t>service</w:t>
      </w:r>
      <w:r w:rsidR="00126CA0" w:rsidRPr="19700172">
        <w:rPr>
          <w:rFonts w:eastAsia="Times" w:cs="Arial"/>
          <w:sz w:val="20"/>
        </w:rPr>
        <w:t>-specific immunisation policies and guidelines</w:t>
      </w:r>
      <w:r w:rsidR="00E20719" w:rsidRPr="19700172">
        <w:rPr>
          <w:rFonts w:eastAsia="Times" w:cs="Arial"/>
          <w:sz w:val="20"/>
        </w:rPr>
        <w:t xml:space="preserve"> or update their existing worker immunisation policies.</w:t>
      </w:r>
      <w:r w:rsidR="00126CA0" w:rsidRPr="19700172">
        <w:rPr>
          <w:rFonts w:eastAsia="Times" w:cs="Arial"/>
          <w:sz w:val="20"/>
        </w:rPr>
        <w:t xml:space="preserve"> </w:t>
      </w:r>
      <w:r w:rsidR="00FD160B" w:rsidRPr="19700172">
        <w:rPr>
          <w:rFonts w:eastAsia="Times" w:cs="Arial"/>
          <w:sz w:val="20"/>
        </w:rPr>
        <w:t>Healthcare setting</w:t>
      </w:r>
      <w:r w:rsidR="001C4ADA" w:rsidRPr="19700172">
        <w:rPr>
          <w:rFonts w:eastAsia="Times" w:cs="Arial"/>
          <w:sz w:val="20"/>
        </w:rPr>
        <w:t>s</w:t>
      </w:r>
      <w:r w:rsidR="00FD160B" w:rsidRPr="19700172">
        <w:rPr>
          <w:rFonts w:eastAsia="Times" w:cs="Arial"/>
          <w:sz w:val="20"/>
        </w:rPr>
        <w:t xml:space="preserve"> </w:t>
      </w:r>
      <w:r w:rsidR="001D031E" w:rsidRPr="19700172">
        <w:rPr>
          <w:rFonts w:eastAsia="Times" w:cs="Arial"/>
          <w:sz w:val="20"/>
        </w:rPr>
        <w:t xml:space="preserve">are not required to adopt all elements of this policy. They </w:t>
      </w:r>
      <w:r w:rsidR="00FD160B" w:rsidRPr="19700172">
        <w:rPr>
          <w:rFonts w:eastAsia="Times" w:cs="Arial"/>
          <w:sz w:val="20"/>
        </w:rPr>
        <w:t>must ensure that their policy</w:t>
      </w:r>
      <w:r w:rsidR="00126CA0" w:rsidRPr="19700172">
        <w:rPr>
          <w:rFonts w:eastAsia="Times" w:cs="Arial"/>
          <w:sz w:val="20"/>
        </w:rPr>
        <w:t>, at a minimum,</w:t>
      </w:r>
      <w:r w:rsidR="00FD160B" w:rsidRPr="19700172">
        <w:rPr>
          <w:rFonts w:eastAsia="Times" w:cs="Arial"/>
          <w:sz w:val="20"/>
        </w:rPr>
        <w:t xml:space="preserve"> meets</w:t>
      </w:r>
      <w:r w:rsidR="00126CA0" w:rsidRPr="19700172">
        <w:rPr>
          <w:rFonts w:eastAsia="Times" w:cs="Arial"/>
          <w:sz w:val="20"/>
        </w:rPr>
        <w:t xml:space="preserve"> vaccination requirements outlined in </w:t>
      </w:r>
      <w:r w:rsidR="00D722D0" w:rsidRPr="19700172">
        <w:rPr>
          <w:rFonts w:eastAsia="Times" w:cs="Arial"/>
          <w:sz w:val="20"/>
        </w:rPr>
        <w:t xml:space="preserve">all </w:t>
      </w:r>
      <w:r w:rsidR="00EA4659" w:rsidRPr="19700172">
        <w:rPr>
          <w:rFonts w:eastAsia="Times" w:cs="Arial"/>
          <w:sz w:val="20"/>
        </w:rPr>
        <w:t>current</w:t>
      </w:r>
      <w:r w:rsidR="00126CA0" w:rsidRPr="19700172">
        <w:rPr>
          <w:rFonts w:eastAsia="Times" w:cs="Arial"/>
          <w:sz w:val="20"/>
        </w:rPr>
        <w:t xml:space="preserve"> </w:t>
      </w:r>
      <w:r w:rsidR="00757CD0" w:rsidRPr="19700172">
        <w:rPr>
          <w:rFonts w:eastAsia="Times" w:cs="Arial"/>
          <w:sz w:val="20"/>
        </w:rPr>
        <w:t>Secretary</w:t>
      </w:r>
      <w:r w:rsidR="003A7184" w:rsidRPr="19700172">
        <w:rPr>
          <w:rFonts w:eastAsia="Times" w:cs="Arial"/>
          <w:sz w:val="20"/>
        </w:rPr>
        <w:t xml:space="preserve"> </w:t>
      </w:r>
      <w:r w:rsidR="00FC5614" w:rsidRPr="19700172">
        <w:rPr>
          <w:rFonts w:eastAsia="Times" w:cs="Arial"/>
          <w:sz w:val="20"/>
        </w:rPr>
        <w:t xml:space="preserve">or </w:t>
      </w:r>
      <w:r w:rsidR="00926689" w:rsidRPr="19700172">
        <w:rPr>
          <w:rFonts w:eastAsia="Times" w:cs="Arial"/>
          <w:sz w:val="20"/>
        </w:rPr>
        <w:t xml:space="preserve">Ministerial </w:t>
      </w:r>
      <w:r w:rsidR="003A7184" w:rsidRPr="19700172">
        <w:rPr>
          <w:rFonts w:eastAsia="Times" w:cs="Arial"/>
          <w:sz w:val="20"/>
        </w:rPr>
        <w:t>D</w:t>
      </w:r>
      <w:r w:rsidR="00126CA0" w:rsidRPr="19700172">
        <w:rPr>
          <w:rFonts w:eastAsia="Times" w:cs="Arial"/>
          <w:sz w:val="20"/>
        </w:rPr>
        <w:t>irections</w:t>
      </w:r>
      <w:r w:rsidR="00FC5614" w:rsidRPr="19700172">
        <w:rPr>
          <w:rFonts w:eastAsia="Times" w:cs="Arial"/>
          <w:sz w:val="20"/>
        </w:rPr>
        <w:t xml:space="preserve"> (as applicable)</w:t>
      </w:r>
      <w:r w:rsidR="00126CA0" w:rsidRPr="19700172">
        <w:rPr>
          <w:rFonts w:eastAsia="Times" w:cs="Arial"/>
          <w:sz w:val="20"/>
        </w:rPr>
        <w:t>.</w:t>
      </w:r>
    </w:p>
    <w:p w14:paraId="041D455E" w14:textId="5E6291C9" w:rsidR="003375EB" w:rsidRPr="00BF3EAE" w:rsidRDefault="002205D2" w:rsidP="002205D2">
      <w:pPr>
        <w:spacing w:line="270" w:lineRule="atLeast"/>
        <w:rPr>
          <w:rFonts w:eastAsia="Times" w:cs="Arial"/>
          <w:sz w:val="20"/>
        </w:rPr>
      </w:pPr>
      <w:r w:rsidRPr="006171BD">
        <w:rPr>
          <w:rFonts w:eastAsia="Times" w:cs="Arial"/>
          <w:sz w:val="20"/>
        </w:rPr>
        <w:t xml:space="preserve">This policy </w:t>
      </w:r>
      <w:r w:rsidRPr="00BF3EAE">
        <w:rPr>
          <w:rFonts w:eastAsia="Times" w:cs="Arial"/>
          <w:sz w:val="20"/>
        </w:rPr>
        <w:t xml:space="preserve">document outlines </w:t>
      </w:r>
      <w:r w:rsidR="00076CD1" w:rsidRPr="00BF3EAE">
        <w:rPr>
          <w:rFonts w:eastAsia="Times" w:cs="Arial"/>
          <w:sz w:val="20"/>
        </w:rPr>
        <w:t>the:</w:t>
      </w:r>
    </w:p>
    <w:p w14:paraId="6112C546" w14:textId="2213052E" w:rsidR="003375EB" w:rsidRPr="00BF3EAE" w:rsidRDefault="002205D2" w:rsidP="003D6B72">
      <w:pPr>
        <w:pStyle w:val="ListParagraph"/>
        <w:numPr>
          <w:ilvl w:val="0"/>
          <w:numId w:val="12"/>
        </w:numPr>
        <w:spacing w:line="270" w:lineRule="atLeast"/>
        <w:ind w:left="723"/>
        <w:rPr>
          <w:rFonts w:ascii="Arial" w:eastAsia="Times" w:hAnsi="Arial" w:cs="Arial"/>
        </w:rPr>
      </w:pPr>
      <w:r w:rsidRPr="00BF3EAE">
        <w:rPr>
          <w:rFonts w:ascii="Arial" w:eastAsia="Times" w:hAnsi="Arial" w:cs="Arial"/>
        </w:rPr>
        <w:t>settings and healthcare workers that fall under the direction of this policy</w:t>
      </w:r>
    </w:p>
    <w:p w14:paraId="2283B7C6" w14:textId="6122BF71" w:rsidR="00076CD1" w:rsidRPr="00BF3EAE" w:rsidRDefault="002205D2" w:rsidP="003D6B72">
      <w:pPr>
        <w:pStyle w:val="ListParagraph"/>
        <w:numPr>
          <w:ilvl w:val="0"/>
          <w:numId w:val="12"/>
        </w:numPr>
        <w:spacing w:line="270" w:lineRule="atLeast"/>
        <w:ind w:left="723"/>
        <w:rPr>
          <w:rFonts w:ascii="Arial" w:eastAsia="Times" w:hAnsi="Arial" w:cs="Arial"/>
        </w:rPr>
      </w:pPr>
      <w:r w:rsidRPr="00BF3EAE">
        <w:rPr>
          <w:rFonts w:ascii="Arial" w:eastAsia="Times" w:hAnsi="Arial" w:cs="Arial"/>
        </w:rPr>
        <w:t xml:space="preserve">vaccine-preventable diseases included </w:t>
      </w:r>
    </w:p>
    <w:p w14:paraId="3995183C" w14:textId="5187C71F" w:rsidR="00076CD1" w:rsidRPr="00BF3EAE" w:rsidRDefault="002205D2" w:rsidP="003D6B72">
      <w:pPr>
        <w:pStyle w:val="ListParagraph"/>
        <w:numPr>
          <w:ilvl w:val="0"/>
          <w:numId w:val="12"/>
        </w:numPr>
        <w:spacing w:line="270" w:lineRule="atLeast"/>
        <w:ind w:left="723"/>
        <w:rPr>
          <w:rFonts w:ascii="Arial" w:eastAsia="Times" w:hAnsi="Arial" w:cs="Arial"/>
        </w:rPr>
      </w:pPr>
      <w:r w:rsidRPr="00BF3EAE">
        <w:rPr>
          <w:rFonts w:ascii="Arial" w:eastAsia="Times" w:hAnsi="Arial" w:cs="Arial"/>
        </w:rPr>
        <w:t xml:space="preserve">evidence required to demonstrate compliance  </w:t>
      </w:r>
    </w:p>
    <w:p w14:paraId="36E1FD89" w14:textId="1E76407F" w:rsidR="002205D2" w:rsidRPr="00BF3EAE" w:rsidRDefault="002205D2" w:rsidP="003D6B72">
      <w:pPr>
        <w:pStyle w:val="ListParagraph"/>
        <w:numPr>
          <w:ilvl w:val="0"/>
          <w:numId w:val="12"/>
        </w:numPr>
        <w:spacing w:line="270" w:lineRule="atLeast"/>
        <w:ind w:left="723"/>
        <w:rPr>
          <w:rFonts w:ascii="Arial" w:eastAsia="Times" w:hAnsi="Arial" w:cs="Arial"/>
        </w:rPr>
      </w:pPr>
      <w:r w:rsidRPr="00BF3EAE">
        <w:rPr>
          <w:rFonts w:ascii="Arial" w:eastAsia="Times" w:hAnsi="Arial" w:cs="Arial"/>
        </w:rPr>
        <w:t xml:space="preserve">roles and responsibilities of organisations and individuals in meeting the requirements of this policy. </w:t>
      </w:r>
    </w:p>
    <w:p w14:paraId="131BDEF2" w14:textId="7FDC52E0" w:rsidR="00227B4C" w:rsidRPr="007441D3" w:rsidRDefault="006171BD" w:rsidP="00603F9C">
      <w:pPr>
        <w:pStyle w:val="Heading4"/>
        <w:spacing w:after="120"/>
      </w:pPr>
      <w:r w:rsidRPr="007441D3">
        <w:t xml:space="preserve">1.4 </w:t>
      </w:r>
      <w:r w:rsidR="00227B4C" w:rsidRPr="007441D3">
        <w:t xml:space="preserve">Legislative framework </w:t>
      </w:r>
    </w:p>
    <w:p w14:paraId="538F3154" w14:textId="17C9970F" w:rsidR="002A327F" w:rsidRPr="00F41856" w:rsidRDefault="00573A49" w:rsidP="00BF3EAE">
      <w:pPr>
        <w:pStyle w:val="ListParagraph"/>
        <w:spacing w:after="120" w:line="270" w:lineRule="atLeast"/>
        <w:ind w:left="0"/>
        <w:rPr>
          <w:rFonts w:ascii="Arial" w:eastAsia="Times" w:hAnsi="Arial" w:cs="Arial"/>
          <w:sz w:val="8"/>
          <w:szCs w:val="8"/>
        </w:rPr>
      </w:pPr>
      <w:r w:rsidRPr="00F41856">
        <w:rPr>
          <w:rFonts w:ascii="Arial" w:eastAsia="Times" w:hAnsi="Arial" w:cs="Arial"/>
        </w:rPr>
        <w:t xml:space="preserve">Under the </w:t>
      </w:r>
      <w:r w:rsidRPr="00F41856">
        <w:rPr>
          <w:rFonts w:ascii="Arial" w:eastAsia="Times" w:hAnsi="Arial" w:cs="Arial"/>
          <w:i/>
        </w:rPr>
        <w:t>Health Services Act 1988</w:t>
      </w:r>
      <w:r w:rsidRPr="00F41856">
        <w:rPr>
          <w:rFonts w:ascii="Arial" w:eastAsia="Times" w:hAnsi="Arial" w:cs="Arial"/>
        </w:rPr>
        <w:t xml:space="preserve"> and the </w:t>
      </w:r>
      <w:r w:rsidRPr="00F41856">
        <w:rPr>
          <w:rFonts w:ascii="Arial" w:eastAsia="Times" w:hAnsi="Arial" w:cs="Arial"/>
          <w:i/>
        </w:rPr>
        <w:t>Ambulance Services Act 1986</w:t>
      </w:r>
      <w:r w:rsidRPr="00F41856">
        <w:rPr>
          <w:rFonts w:ascii="Arial" w:eastAsia="Times" w:hAnsi="Arial" w:cs="Arial"/>
        </w:rPr>
        <w:t>, the Secretary of the Department of Health (the Secretary) can provide directions to public hospitals, denominational hospitals, health service establishments and ambulance services on the safety, appropriateness, and responsiveness of their services.</w:t>
      </w:r>
    </w:p>
    <w:p w14:paraId="08E64C25" w14:textId="10ADF043" w:rsidR="007A5550" w:rsidRPr="00F41856" w:rsidRDefault="00573A49" w:rsidP="0005512E">
      <w:pPr>
        <w:pStyle w:val="ListParagraph"/>
        <w:spacing w:after="240" w:line="270" w:lineRule="atLeast"/>
        <w:ind w:left="0"/>
        <w:rPr>
          <w:rFonts w:ascii="Arial" w:eastAsia="Times" w:hAnsi="Arial" w:cs="Arial"/>
        </w:rPr>
      </w:pPr>
      <w:r w:rsidRPr="00F41856">
        <w:rPr>
          <w:rFonts w:ascii="Arial" w:eastAsia="Times" w:hAnsi="Arial" w:cs="Arial"/>
        </w:rPr>
        <w:t xml:space="preserve">On 25 March 2020, the Health Services Amendment (Mandatory Vaccination of Healthcare Workers) Act 2020 came into effect. This Act inserted new sections into the </w:t>
      </w:r>
      <w:r w:rsidRPr="00F41856">
        <w:rPr>
          <w:rFonts w:ascii="Arial" w:eastAsia="Times" w:hAnsi="Arial" w:cs="Arial"/>
          <w:i/>
        </w:rPr>
        <w:t>Health Services Act 1988</w:t>
      </w:r>
      <w:r w:rsidRPr="00F41856">
        <w:rPr>
          <w:rFonts w:ascii="Arial" w:eastAsia="Times" w:hAnsi="Arial" w:cs="Arial"/>
        </w:rPr>
        <w:t xml:space="preserve"> (ss. 42 and 105A) and the </w:t>
      </w:r>
      <w:r w:rsidRPr="00F41856">
        <w:rPr>
          <w:rFonts w:ascii="Arial" w:eastAsia="Times" w:hAnsi="Arial" w:cs="Arial"/>
          <w:i/>
        </w:rPr>
        <w:t>Ambulance Services Act 1986</w:t>
      </w:r>
      <w:r w:rsidRPr="00F41856">
        <w:rPr>
          <w:rFonts w:ascii="Arial" w:eastAsia="Times" w:hAnsi="Arial" w:cs="Arial"/>
        </w:rPr>
        <w:t xml:space="preserve"> (s. 10(4)), enabling the Secretary to direct public hospitals, denominational hospitals, health service establishments and ambulance services to require vaccination against specified vaccine-preventable diseases for the purpose of protecting the health and safety of patients.</w:t>
      </w:r>
    </w:p>
    <w:p w14:paraId="5E46FC03" w14:textId="1C2016F9" w:rsidR="0078146E" w:rsidRPr="00F41856" w:rsidRDefault="00621F48">
      <w:pPr>
        <w:pStyle w:val="Body"/>
        <w:rPr>
          <w:rStyle w:val="normaltextrun"/>
          <w:rFonts w:eastAsia="MS Mincho" w:cs="Arial"/>
          <w:color w:val="000000"/>
          <w:sz w:val="22"/>
          <w:szCs w:val="22"/>
        </w:rPr>
      </w:pPr>
      <w:r w:rsidRPr="0005512E">
        <w:rPr>
          <w:rStyle w:val="normaltextrun"/>
          <w:rFonts w:eastAsia="MS Mincho" w:cs="Arial"/>
          <w:color w:val="000000"/>
          <w:sz w:val="20"/>
          <w:shd w:val="clear" w:color="auto" w:fill="FFFFFF"/>
        </w:rPr>
        <w:lastRenderedPageBreak/>
        <w:t xml:space="preserve">Section 342 of the </w:t>
      </w:r>
      <w:r w:rsidRPr="0005512E">
        <w:rPr>
          <w:rStyle w:val="normaltextrun"/>
          <w:rFonts w:eastAsia="MS Mincho" w:cs="Arial"/>
          <w:i/>
          <w:color w:val="000000"/>
          <w:sz w:val="20"/>
          <w:shd w:val="clear" w:color="auto" w:fill="FFFFFF"/>
        </w:rPr>
        <w:t>Mental Health Act 2014</w:t>
      </w:r>
      <w:r w:rsidRPr="0005512E">
        <w:rPr>
          <w:rStyle w:val="normaltextrun"/>
          <w:rFonts w:eastAsia="MS Mincho" w:cs="Arial"/>
          <w:color w:val="000000"/>
          <w:sz w:val="20"/>
          <w:shd w:val="clear" w:color="auto" w:fill="FFFFFF"/>
        </w:rPr>
        <w:t xml:space="preserve"> allows the Minister for Mental Health to issue</w:t>
      </w:r>
      <w:r w:rsidR="0085032D" w:rsidRPr="0005512E">
        <w:rPr>
          <w:rStyle w:val="normaltextrun"/>
          <w:rFonts w:eastAsia="MS Mincho" w:cs="Arial"/>
          <w:color w:val="000000"/>
          <w:sz w:val="20"/>
          <w:shd w:val="clear" w:color="auto" w:fill="FFFFFF"/>
        </w:rPr>
        <w:t xml:space="preserve"> written</w:t>
      </w:r>
      <w:r w:rsidRPr="0005512E">
        <w:rPr>
          <w:rStyle w:val="normaltextrun"/>
          <w:rFonts w:eastAsia="MS Mincho" w:cs="Arial"/>
          <w:color w:val="000000"/>
          <w:sz w:val="20"/>
          <w:shd w:val="clear" w:color="auto" w:fill="FFFFFF"/>
        </w:rPr>
        <w:t xml:space="preserve"> directions to Forensicare that the Minister is </w:t>
      </w:r>
      <w:r w:rsidRPr="0005512E">
        <w:rPr>
          <w:rStyle w:val="normaltextrun"/>
          <w:rFonts w:eastAsia="MS Mincho" w:cs="Arial"/>
          <w:color w:val="000000"/>
          <w:sz w:val="20"/>
        </w:rPr>
        <w:t xml:space="preserve">satisfied are necessary. </w:t>
      </w:r>
      <w:r w:rsidR="00DC50A2" w:rsidRPr="0005512E">
        <w:rPr>
          <w:rStyle w:val="normaltextrun"/>
          <w:rFonts w:eastAsia="MS Mincho" w:cs="Arial"/>
          <w:color w:val="000000"/>
          <w:sz w:val="20"/>
        </w:rPr>
        <w:t xml:space="preserve">This includes </w:t>
      </w:r>
      <w:r w:rsidR="00F31550" w:rsidRPr="0005512E">
        <w:rPr>
          <w:rStyle w:val="normaltextrun"/>
          <w:rFonts w:eastAsia="MS Mincho" w:cs="Arial"/>
          <w:color w:val="000000"/>
          <w:sz w:val="20"/>
        </w:rPr>
        <w:t xml:space="preserve">issuing Ministerial Directions </w:t>
      </w:r>
      <w:r w:rsidR="00DC50A2" w:rsidRPr="0005512E">
        <w:rPr>
          <w:rStyle w:val="normaltextrun"/>
          <w:rFonts w:eastAsia="MS Mincho" w:cs="Arial"/>
          <w:color w:val="000000"/>
          <w:sz w:val="20"/>
        </w:rPr>
        <w:t xml:space="preserve">requiring </w:t>
      </w:r>
      <w:r w:rsidR="0016561C" w:rsidRPr="0005512E">
        <w:rPr>
          <w:rStyle w:val="normaltextrun"/>
          <w:rFonts w:eastAsia="MS Mincho" w:cs="Arial"/>
          <w:color w:val="000000"/>
          <w:sz w:val="20"/>
        </w:rPr>
        <w:t xml:space="preserve">healthcare workers employed or </w:t>
      </w:r>
      <w:r w:rsidR="00475281">
        <w:rPr>
          <w:rStyle w:val="normaltextrun"/>
          <w:rFonts w:eastAsia="MS Mincho" w:cs="Arial"/>
          <w:color w:val="000000"/>
          <w:sz w:val="20"/>
        </w:rPr>
        <w:t>engaged</w:t>
      </w:r>
      <w:r w:rsidR="00475281" w:rsidRPr="0005512E">
        <w:rPr>
          <w:rStyle w:val="normaltextrun"/>
          <w:rFonts w:eastAsia="MS Mincho" w:cs="Arial"/>
          <w:color w:val="000000"/>
          <w:sz w:val="20"/>
        </w:rPr>
        <w:t xml:space="preserve"> </w:t>
      </w:r>
      <w:r w:rsidR="0016561C" w:rsidRPr="0005512E">
        <w:rPr>
          <w:rStyle w:val="normaltextrun"/>
          <w:rFonts w:eastAsia="MS Mincho" w:cs="Arial"/>
          <w:color w:val="000000"/>
          <w:sz w:val="20"/>
        </w:rPr>
        <w:t xml:space="preserve">by </w:t>
      </w:r>
      <w:r w:rsidR="00DC50A2" w:rsidRPr="0005512E">
        <w:rPr>
          <w:rStyle w:val="normaltextrun"/>
          <w:rFonts w:eastAsia="MS Mincho" w:cs="Arial"/>
          <w:color w:val="000000"/>
          <w:sz w:val="20"/>
        </w:rPr>
        <w:t xml:space="preserve">Forensicare </w:t>
      </w:r>
      <w:r w:rsidR="0016561C" w:rsidRPr="0005512E">
        <w:rPr>
          <w:rStyle w:val="normaltextrun"/>
          <w:rFonts w:eastAsia="MS Mincho" w:cs="Arial"/>
          <w:color w:val="000000"/>
          <w:sz w:val="20"/>
        </w:rPr>
        <w:t>to be vaccinated against specified vaccine-preventable diseases</w:t>
      </w:r>
      <w:r w:rsidR="00AF4A0C" w:rsidRPr="0005512E">
        <w:rPr>
          <w:rStyle w:val="normaltextrun"/>
          <w:rFonts w:eastAsia="MS Mincho" w:cs="Arial"/>
          <w:color w:val="000000"/>
          <w:sz w:val="20"/>
        </w:rPr>
        <w:t>.</w:t>
      </w:r>
      <w:r w:rsidR="000B2911" w:rsidRPr="0005512E">
        <w:rPr>
          <w:rStyle w:val="normaltextrun"/>
          <w:rFonts w:eastAsia="MS Mincho" w:cs="Arial"/>
          <w:color w:val="000000"/>
          <w:sz w:val="20"/>
        </w:rPr>
        <w:t xml:space="preserve"> The only vaccine required for Forensicare via Ministerial Directions is influenza, annually by 15 August.</w:t>
      </w:r>
      <w:r w:rsidR="000B2911">
        <w:rPr>
          <w:rStyle w:val="normaltextrun"/>
          <w:rFonts w:eastAsia="MS Mincho" w:cs="Arial"/>
          <w:color w:val="000000"/>
          <w:sz w:val="20"/>
        </w:rPr>
        <w:t xml:space="preserve"> </w:t>
      </w:r>
    </w:p>
    <w:p w14:paraId="69294F64" w14:textId="6675FF6D" w:rsidR="00ED7762" w:rsidRPr="00931398" w:rsidRDefault="002205D2" w:rsidP="00841F7E">
      <w:pPr>
        <w:pStyle w:val="Heading1"/>
        <w:spacing w:before="360"/>
        <w:rPr>
          <w:sz w:val="40"/>
          <w:szCs w:val="40"/>
        </w:rPr>
      </w:pPr>
      <w:bookmarkStart w:id="6" w:name="_Toc113362843"/>
      <w:bookmarkStart w:id="7" w:name="_Toc116457916"/>
      <w:bookmarkStart w:id="8" w:name="_Hlk63948051"/>
      <w:bookmarkEnd w:id="4"/>
      <w:r w:rsidRPr="00931398">
        <w:rPr>
          <w:sz w:val="40"/>
          <w:szCs w:val="40"/>
        </w:rPr>
        <w:t>2. Definitions</w:t>
      </w:r>
      <w:bookmarkEnd w:id="6"/>
      <w:bookmarkEnd w:id="7"/>
    </w:p>
    <w:p w14:paraId="1E1FC62D" w14:textId="417B98EA" w:rsidR="740EA8BA" w:rsidRDefault="503CCB84" w:rsidP="000332F2">
      <w:pPr>
        <w:spacing w:before="120" w:after="160" w:line="270" w:lineRule="atLeast"/>
        <w:rPr>
          <w:rFonts w:eastAsia="Times" w:cs="Arial"/>
          <w:b/>
          <w:bCs/>
          <w:sz w:val="20"/>
        </w:rPr>
      </w:pPr>
      <w:r w:rsidRPr="0F2946D3">
        <w:rPr>
          <w:rFonts w:eastAsia="Times" w:cs="Arial"/>
          <w:b/>
          <w:bCs/>
          <w:sz w:val="20"/>
        </w:rPr>
        <w:t xml:space="preserve">These definitions should be </w:t>
      </w:r>
      <w:r w:rsidRPr="26C7E4B2">
        <w:rPr>
          <w:rFonts w:eastAsia="Times" w:cs="Arial"/>
          <w:b/>
          <w:bCs/>
          <w:sz w:val="20"/>
        </w:rPr>
        <w:t xml:space="preserve">read in </w:t>
      </w:r>
      <w:r w:rsidRPr="00DD8483">
        <w:rPr>
          <w:rFonts w:eastAsia="Times" w:cs="Arial"/>
          <w:b/>
          <w:bCs/>
          <w:sz w:val="20"/>
        </w:rPr>
        <w:t>conjunction</w:t>
      </w:r>
      <w:r w:rsidRPr="26C7E4B2">
        <w:rPr>
          <w:rFonts w:eastAsia="Times" w:cs="Arial"/>
          <w:b/>
          <w:bCs/>
          <w:sz w:val="20"/>
        </w:rPr>
        <w:t xml:space="preserve"> with the </w:t>
      </w:r>
      <w:r w:rsidRPr="3EAB7980">
        <w:rPr>
          <w:rFonts w:eastAsia="Times" w:cs="Arial"/>
          <w:b/>
          <w:bCs/>
          <w:sz w:val="20"/>
        </w:rPr>
        <w:t xml:space="preserve">definitions contained in the </w:t>
      </w:r>
      <w:r w:rsidRPr="00DD8483">
        <w:rPr>
          <w:rFonts w:eastAsia="Times" w:cs="Arial"/>
          <w:b/>
          <w:bCs/>
          <w:sz w:val="20"/>
        </w:rPr>
        <w:t xml:space="preserve">Secretary </w:t>
      </w:r>
      <w:r w:rsidRPr="0AEED356">
        <w:rPr>
          <w:rFonts w:eastAsia="Times" w:cs="Arial"/>
          <w:b/>
          <w:bCs/>
          <w:sz w:val="20"/>
        </w:rPr>
        <w:t xml:space="preserve">Directions for influenza and </w:t>
      </w:r>
      <w:r w:rsidR="1CFC9D00" w:rsidRPr="0DE0E5B1">
        <w:rPr>
          <w:rFonts w:eastAsia="Times" w:cs="Arial"/>
          <w:b/>
          <w:bCs/>
          <w:sz w:val="20"/>
        </w:rPr>
        <w:t>COVID-19 vaccination</w:t>
      </w:r>
      <w:r w:rsidR="1CFC9D00" w:rsidRPr="53B1CD37">
        <w:rPr>
          <w:rFonts w:eastAsia="Times" w:cs="Arial"/>
          <w:b/>
          <w:bCs/>
          <w:sz w:val="20"/>
        </w:rPr>
        <w:t xml:space="preserve"> and the Ministerial</w:t>
      </w:r>
      <w:r w:rsidR="1CFC9D00" w:rsidRPr="3DA80F4D">
        <w:rPr>
          <w:rFonts w:eastAsia="Times" w:cs="Arial"/>
          <w:b/>
          <w:bCs/>
          <w:sz w:val="20"/>
        </w:rPr>
        <w:t xml:space="preserve"> Directions for Forensicare </w:t>
      </w:r>
      <w:r w:rsidR="1CFC9D00" w:rsidRPr="4B355E59">
        <w:rPr>
          <w:rFonts w:eastAsia="Times" w:cs="Arial"/>
          <w:b/>
          <w:bCs/>
          <w:sz w:val="20"/>
        </w:rPr>
        <w:t>influenza vaccination.</w:t>
      </w:r>
    </w:p>
    <w:p w14:paraId="407F2F54" w14:textId="161E0E00" w:rsidR="002205D2" w:rsidRPr="00F56540" w:rsidRDefault="002205D2" w:rsidP="002205D2">
      <w:pPr>
        <w:spacing w:before="120" w:line="270" w:lineRule="atLeast"/>
        <w:rPr>
          <w:rFonts w:eastAsia="Times" w:cs="Arial"/>
          <w:sz w:val="20"/>
        </w:rPr>
      </w:pPr>
      <w:bookmarkStart w:id="9" w:name="_Hlk43797455"/>
      <w:bookmarkStart w:id="10" w:name="_Toc66711982"/>
      <w:bookmarkEnd w:id="8"/>
      <w:r w:rsidRPr="00F56540">
        <w:rPr>
          <w:rFonts w:eastAsia="Times" w:cs="Arial"/>
          <w:b/>
          <w:bCs/>
          <w:sz w:val="20"/>
        </w:rPr>
        <w:t xml:space="preserve">Healthcare settings: </w:t>
      </w:r>
      <w:r w:rsidRPr="00F56540">
        <w:rPr>
          <w:rFonts w:eastAsia="Times" w:cs="Arial"/>
          <w:sz w:val="20"/>
        </w:rPr>
        <w:t xml:space="preserve"> Public hospitals, public health services, denominational hospitals, private hospitals and day procedure centres, ambulance </w:t>
      </w:r>
      <w:r w:rsidR="00FD6029" w:rsidRPr="00F56540">
        <w:rPr>
          <w:rFonts w:eastAsia="Times" w:cs="Arial"/>
          <w:sz w:val="20"/>
        </w:rPr>
        <w:t>and patient transport services,</w:t>
      </w:r>
      <w:r w:rsidRPr="00F56540">
        <w:rPr>
          <w:rFonts w:eastAsia="Times" w:cs="Arial"/>
          <w:sz w:val="20"/>
        </w:rPr>
        <w:t xml:space="preserve"> and residential aged care services operated by</w:t>
      </w:r>
      <w:r w:rsidR="00460D60">
        <w:rPr>
          <w:rFonts w:eastAsia="Times" w:cs="Arial"/>
          <w:sz w:val="20"/>
        </w:rPr>
        <w:t xml:space="preserve"> a public hospital, public health service or denominational hospital</w:t>
      </w:r>
      <w:r w:rsidRPr="00F56540">
        <w:rPr>
          <w:rFonts w:eastAsia="Times" w:cs="Arial"/>
          <w:sz w:val="20"/>
        </w:rPr>
        <w:t>.</w:t>
      </w:r>
    </w:p>
    <w:bookmarkEnd w:id="9"/>
    <w:p w14:paraId="6A4772F1" w14:textId="3049E04B" w:rsidR="002205D2" w:rsidRPr="00F56540" w:rsidRDefault="002205D2" w:rsidP="002205D2">
      <w:pPr>
        <w:spacing w:before="120" w:line="270" w:lineRule="atLeast"/>
        <w:rPr>
          <w:rFonts w:eastAsia="Times" w:cs="Arial"/>
          <w:sz w:val="20"/>
        </w:rPr>
      </w:pPr>
      <w:r w:rsidRPr="00F56540">
        <w:rPr>
          <w:rFonts w:eastAsia="Times" w:cs="Arial"/>
          <w:b/>
          <w:sz w:val="20"/>
        </w:rPr>
        <w:t xml:space="preserve">Healthcare worker: </w:t>
      </w:r>
      <w:r w:rsidRPr="00F56540">
        <w:rPr>
          <w:rFonts w:eastAsia="Times" w:cs="Arial"/>
          <w:sz w:val="20"/>
        </w:rPr>
        <w:t xml:space="preserve">A person employed or </w:t>
      </w:r>
      <w:r w:rsidR="00475281">
        <w:rPr>
          <w:rFonts w:eastAsia="Times" w:cs="Arial"/>
          <w:sz w:val="20"/>
        </w:rPr>
        <w:t xml:space="preserve">engaged </w:t>
      </w:r>
      <w:r w:rsidRPr="00F56540">
        <w:rPr>
          <w:rFonts w:eastAsia="Times" w:cs="Arial"/>
          <w:sz w:val="20"/>
        </w:rPr>
        <w:t xml:space="preserve">by a healthcare setting including all employees, contractors, </w:t>
      </w:r>
      <w:r w:rsidR="00C33AD3" w:rsidRPr="00F56540">
        <w:rPr>
          <w:rFonts w:eastAsia="Times" w:cs="Arial"/>
          <w:sz w:val="20"/>
        </w:rPr>
        <w:t>visiting medical officers (</w:t>
      </w:r>
      <w:r w:rsidRPr="00F56540">
        <w:rPr>
          <w:rFonts w:eastAsia="Times" w:cs="Arial"/>
          <w:sz w:val="20"/>
        </w:rPr>
        <w:t>VMOs</w:t>
      </w:r>
      <w:r w:rsidR="00C33AD3" w:rsidRPr="00F56540">
        <w:rPr>
          <w:rFonts w:eastAsia="Times" w:cs="Arial"/>
          <w:sz w:val="20"/>
        </w:rPr>
        <w:t>)</w:t>
      </w:r>
      <w:r w:rsidR="00F06769">
        <w:rPr>
          <w:rFonts w:eastAsia="Times" w:cs="Arial"/>
          <w:sz w:val="20"/>
        </w:rPr>
        <w:t xml:space="preserve"> and locums </w:t>
      </w:r>
      <w:r w:rsidRPr="00F56540">
        <w:rPr>
          <w:rFonts w:eastAsia="Times" w:cs="Arial"/>
          <w:sz w:val="20"/>
        </w:rPr>
        <w:t xml:space="preserve">performing clinical and non-clinical roles. </w:t>
      </w:r>
    </w:p>
    <w:p w14:paraId="553A8760" w14:textId="4D4BA0DA" w:rsidR="00B56D2E" w:rsidRPr="00B56D2E" w:rsidRDefault="00B56D2E" w:rsidP="002205D2">
      <w:pPr>
        <w:spacing w:before="120" w:line="270" w:lineRule="atLeast"/>
        <w:rPr>
          <w:rFonts w:eastAsia="Times" w:cs="Arial"/>
          <w:sz w:val="20"/>
        </w:rPr>
      </w:pPr>
      <w:r w:rsidRPr="00BF3EAE">
        <w:rPr>
          <w:rFonts w:eastAsia="Times" w:cs="Arial"/>
          <w:b/>
          <w:bCs/>
          <w:sz w:val="20"/>
        </w:rPr>
        <w:t>Directions:</w:t>
      </w:r>
      <w:r>
        <w:rPr>
          <w:rFonts w:eastAsia="Times" w:cs="Arial"/>
          <w:b/>
          <w:bCs/>
          <w:sz w:val="20"/>
        </w:rPr>
        <w:t xml:space="preserve"> </w:t>
      </w:r>
      <w:r>
        <w:rPr>
          <w:rFonts w:eastAsia="Times" w:cs="Arial"/>
          <w:sz w:val="20"/>
        </w:rPr>
        <w:t xml:space="preserve">for the purpose of this document, Directions </w:t>
      </w:r>
      <w:r w:rsidR="00702350">
        <w:rPr>
          <w:rFonts w:eastAsia="Times" w:cs="Arial"/>
          <w:sz w:val="20"/>
        </w:rPr>
        <w:t>mean</w:t>
      </w:r>
      <w:r w:rsidR="00EB60FE">
        <w:rPr>
          <w:rFonts w:eastAsia="Times" w:cs="Arial"/>
          <w:sz w:val="20"/>
        </w:rPr>
        <w:t>s</w:t>
      </w:r>
      <w:r w:rsidR="00702350">
        <w:rPr>
          <w:rFonts w:eastAsia="Times" w:cs="Arial"/>
          <w:sz w:val="20"/>
        </w:rPr>
        <w:t xml:space="preserve"> </w:t>
      </w:r>
      <w:r w:rsidR="00EB7453" w:rsidDel="00EB60FE">
        <w:rPr>
          <w:rFonts w:eastAsia="Times" w:cs="Arial"/>
          <w:sz w:val="20"/>
        </w:rPr>
        <w:t xml:space="preserve">both </w:t>
      </w:r>
      <w:r w:rsidR="00702350">
        <w:rPr>
          <w:rFonts w:eastAsia="Times" w:cs="Arial"/>
          <w:sz w:val="20"/>
        </w:rPr>
        <w:t xml:space="preserve">Secretary Directions </w:t>
      </w:r>
      <w:r w:rsidR="00EB7453">
        <w:rPr>
          <w:rFonts w:eastAsia="Times" w:cs="Arial"/>
          <w:sz w:val="20"/>
        </w:rPr>
        <w:t xml:space="preserve">and </w:t>
      </w:r>
      <w:r w:rsidR="00702350">
        <w:rPr>
          <w:rFonts w:eastAsia="Times" w:cs="Arial"/>
          <w:sz w:val="20"/>
        </w:rPr>
        <w:t>Ministerial Directions</w:t>
      </w:r>
      <w:r w:rsidR="00517C77">
        <w:rPr>
          <w:rFonts w:eastAsia="Times" w:cs="Arial"/>
          <w:sz w:val="20"/>
        </w:rPr>
        <w:t>, as applicable in their relevant healthcare settings</w:t>
      </w:r>
      <w:r w:rsidR="00EB7453">
        <w:rPr>
          <w:rFonts w:eastAsia="Times" w:cs="Arial"/>
          <w:sz w:val="20"/>
        </w:rPr>
        <w:t xml:space="preserve">. </w:t>
      </w:r>
    </w:p>
    <w:p w14:paraId="2287DD05" w14:textId="3F481727" w:rsidR="006E608F" w:rsidRPr="00F56540" w:rsidRDefault="006E608F" w:rsidP="002205D2">
      <w:pPr>
        <w:spacing w:before="120" w:line="270" w:lineRule="atLeast"/>
        <w:rPr>
          <w:rFonts w:eastAsia="Times" w:cs="Arial"/>
          <w:sz w:val="20"/>
        </w:rPr>
      </w:pPr>
      <w:r w:rsidRPr="00E51658">
        <w:rPr>
          <w:rFonts w:eastAsia="Times" w:cs="Arial"/>
          <w:b/>
          <w:bCs/>
          <w:sz w:val="20"/>
        </w:rPr>
        <w:t>Excepted person</w:t>
      </w:r>
      <w:r w:rsidRPr="00F56540">
        <w:rPr>
          <w:rFonts w:eastAsia="Times" w:cs="Arial"/>
          <w:b/>
          <w:bCs/>
          <w:sz w:val="20"/>
        </w:rPr>
        <w:t xml:space="preserve">: </w:t>
      </w:r>
      <w:r w:rsidRPr="00F56540">
        <w:rPr>
          <w:rFonts w:eastAsia="Times" w:cs="Arial"/>
          <w:sz w:val="20"/>
        </w:rPr>
        <w:t xml:space="preserve">a person who </w:t>
      </w:r>
      <w:r w:rsidR="003E5232">
        <w:rPr>
          <w:rFonts w:eastAsia="Times" w:cs="Arial"/>
          <w:sz w:val="20"/>
        </w:rPr>
        <w:t xml:space="preserve">holds acceptable certification that they are </w:t>
      </w:r>
      <w:r w:rsidR="00B858F4" w:rsidRPr="00F56540">
        <w:rPr>
          <w:rFonts w:eastAsia="Times" w:cs="Arial"/>
          <w:sz w:val="20"/>
        </w:rPr>
        <w:t>excepted from COVID-19 vaccination requirements</w:t>
      </w:r>
      <w:r w:rsidR="7EB8D413" w:rsidRPr="73805B21">
        <w:rPr>
          <w:rFonts w:eastAsia="Times" w:cs="Arial"/>
          <w:sz w:val="20"/>
        </w:rPr>
        <w:t>.</w:t>
      </w:r>
      <w:r w:rsidR="00B858F4" w:rsidRPr="00F56540">
        <w:rPr>
          <w:rFonts w:eastAsia="Times" w:cs="Arial"/>
          <w:sz w:val="20"/>
        </w:rPr>
        <w:t xml:space="preserve"> </w:t>
      </w:r>
    </w:p>
    <w:p w14:paraId="5211880D" w14:textId="0E27B4FB" w:rsidR="002205D2" w:rsidRPr="00F56540" w:rsidRDefault="002205D2" w:rsidP="002205D2">
      <w:pPr>
        <w:spacing w:before="120" w:line="270" w:lineRule="atLeast"/>
        <w:rPr>
          <w:rFonts w:eastAsia="Times" w:cs="Arial"/>
          <w:sz w:val="20"/>
        </w:rPr>
      </w:pPr>
      <w:r w:rsidRPr="00F56540">
        <w:rPr>
          <w:rFonts w:eastAsia="Times" w:cs="Arial"/>
          <w:b/>
          <w:sz w:val="20"/>
        </w:rPr>
        <w:t xml:space="preserve">Employer: </w:t>
      </w:r>
      <w:r w:rsidRPr="00F56540">
        <w:rPr>
          <w:rFonts w:eastAsia="Times" w:cs="Arial"/>
          <w:sz w:val="20"/>
        </w:rPr>
        <w:t xml:space="preserve">A healthcare setting that employs or </w:t>
      </w:r>
      <w:r w:rsidR="008F1BD0">
        <w:rPr>
          <w:rFonts w:eastAsia="Times" w:cs="Arial"/>
          <w:sz w:val="20"/>
        </w:rPr>
        <w:t>contracts</w:t>
      </w:r>
      <w:r w:rsidRPr="00F56540">
        <w:rPr>
          <w:rFonts w:eastAsia="Times" w:cs="Arial"/>
          <w:sz w:val="20"/>
        </w:rPr>
        <w:t xml:space="preserve"> healthcare workers.</w:t>
      </w:r>
    </w:p>
    <w:p w14:paraId="059D4846" w14:textId="2337AC09" w:rsidR="002205D2" w:rsidRPr="00F56540" w:rsidRDefault="002205D2" w:rsidP="002205D2">
      <w:pPr>
        <w:spacing w:before="120" w:line="270" w:lineRule="atLeast"/>
        <w:rPr>
          <w:rFonts w:eastAsia="Times" w:cs="Arial"/>
          <w:sz w:val="20"/>
        </w:rPr>
      </w:pPr>
      <w:r w:rsidRPr="00F56540">
        <w:rPr>
          <w:rFonts w:eastAsia="Times" w:cs="Arial"/>
          <w:b/>
          <w:sz w:val="20"/>
        </w:rPr>
        <w:t xml:space="preserve">Employee: </w:t>
      </w:r>
      <w:r w:rsidR="00D63F0E">
        <w:rPr>
          <w:rFonts w:eastAsia="Times" w:cs="Arial"/>
          <w:sz w:val="20"/>
        </w:rPr>
        <w:t>A h</w:t>
      </w:r>
      <w:r w:rsidRPr="00F56540">
        <w:rPr>
          <w:rFonts w:eastAsia="Times" w:cs="Arial"/>
          <w:sz w:val="20"/>
        </w:rPr>
        <w:t>ealthcare worker employed by a healthcare setting.</w:t>
      </w:r>
    </w:p>
    <w:p w14:paraId="7DEA47F8" w14:textId="29CFA67E" w:rsidR="002205D2" w:rsidRPr="00F56540" w:rsidRDefault="002205D2" w:rsidP="002205D2">
      <w:pPr>
        <w:spacing w:before="120" w:line="270" w:lineRule="atLeast"/>
        <w:rPr>
          <w:rFonts w:eastAsia="Times" w:cs="Arial"/>
          <w:sz w:val="20"/>
        </w:rPr>
      </w:pPr>
      <w:r w:rsidRPr="00F56540">
        <w:rPr>
          <w:rFonts w:eastAsia="Times" w:cs="Arial"/>
          <w:b/>
          <w:sz w:val="20"/>
        </w:rPr>
        <w:t xml:space="preserve">Volunteer: </w:t>
      </w:r>
      <w:r w:rsidR="00D63F0E">
        <w:rPr>
          <w:rFonts w:eastAsia="Times" w:cs="Arial"/>
          <w:sz w:val="20"/>
        </w:rPr>
        <w:t>A h</w:t>
      </w:r>
      <w:r w:rsidRPr="00F56540">
        <w:rPr>
          <w:rFonts w:eastAsia="Times" w:cs="Arial"/>
          <w:sz w:val="20"/>
        </w:rPr>
        <w:t>ealthcare worker volunteering in a healthcare setting.</w:t>
      </w:r>
    </w:p>
    <w:p w14:paraId="1FD7EB2F" w14:textId="1D2E6D7F" w:rsidR="002205D2" w:rsidRPr="00F56540" w:rsidRDefault="002205D2" w:rsidP="002205D2">
      <w:pPr>
        <w:spacing w:before="120" w:line="270" w:lineRule="atLeast"/>
        <w:rPr>
          <w:rFonts w:eastAsia="Times" w:cs="Arial"/>
          <w:sz w:val="20"/>
        </w:rPr>
      </w:pPr>
      <w:r w:rsidRPr="00F56540">
        <w:rPr>
          <w:rFonts w:eastAsia="Times" w:cs="Arial"/>
          <w:b/>
          <w:sz w:val="20"/>
        </w:rPr>
        <w:t xml:space="preserve">Contractor: </w:t>
      </w:r>
      <w:r w:rsidRPr="00F56540">
        <w:rPr>
          <w:rFonts w:eastAsia="Times" w:cs="Arial"/>
          <w:sz w:val="20"/>
        </w:rPr>
        <w:t xml:space="preserve">Healthcare workers who are not employed but </w:t>
      </w:r>
      <w:r w:rsidR="001650D9">
        <w:rPr>
          <w:rFonts w:eastAsia="Times" w:cs="Arial"/>
          <w:sz w:val="20"/>
        </w:rPr>
        <w:t>are</w:t>
      </w:r>
      <w:r w:rsidRPr="00F56540">
        <w:rPr>
          <w:rFonts w:eastAsia="Times" w:cs="Arial"/>
          <w:sz w:val="20"/>
        </w:rPr>
        <w:t xml:space="preserve"> be </w:t>
      </w:r>
      <w:r w:rsidR="00475281">
        <w:rPr>
          <w:rFonts w:eastAsia="Times" w:cs="Arial"/>
          <w:sz w:val="20"/>
        </w:rPr>
        <w:t xml:space="preserve">engaged </w:t>
      </w:r>
      <w:r w:rsidRPr="00F56540">
        <w:rPr>
          <w:rFonts w:eastAsia="Times" w:cs="Arial"/>
          <w:sz w:val="20"/>
        </w:rPr>
        <w:t>by a healthcare setting either through an agency or another arrangement.</w:t>
      </w:r>
    </w:p>
    <w:p w14:paraId="396627BE" w14:textId="192B6938" w:rsidR="002205D2" w:rsidRPr="00F56540" w:rsidRDefault="002205D2" w:rsidP="002205D2">
      <w:pPr>
        <w:spacing w:before="120" w:line="270" w:lineRule="atLeast"/>
        <w:rPr>
          <w:rFonts w:eastAsia="Times" w:cs="Arial"/>
          <w:sz w:val="20"/>
        </w:rPr>
      </w:pPr>
      <w:r w:rsidRPr="00F56540">
        <w:rPr>
          <w:rFonts w:eastAsia="Times" w:cs="Arial"/>
          <w:b/>
          <w:sz w:val="20"/>
        </w:rPr>
        <w:t xml:space="preserve">Current healthcare workers: </w:t>
      </w:r>
      <w:r w:rsidRPr="00F56540">
        <w:rPr>
          <w:rFonts w:eastAsia="Times" w:cs="Arial"/>
          <w:sz w:val="20"/>
        </w:rPr>
        <w:t xml:space="preserve">Healthcare workers currently employed or </w:t>
      </w:r>
      <w:r w:rsidR="00A9764B">
        <w:rPr>
          <w:rFonts w:eastAsia="Times" w:cs="Arial"/>
          <w:sz w:val="20"/>
        </w:rPr>
        <w:t>engaged</w:t>
      </w:r>
      <w:r w:rsidRPr="00F56540">
        <w:rPr>
          <w:rFonts w:eastAsia="Times" w:cs="Arial"/>
          <w:sz w:val="20"/>
        </w:rPr>
        <w:t xml:space="preserve"> in a healthcare setting.</w:t>
      </w:r>
    </w:p>
    <w:p w14:paraId="1F0F6A4F" w14:textId="3E18A513" w:rsidR="002205D2" w:rsidRPr="00F56540" w:rsidRDefault="002205D2" w:rsidP="002205D2">
      <w:pPr>
        <w:spacing w:before="120" w:line="270" w:lineRule="atLeast"/>
        <w:rPr>
          <w:rFonts w:eastAsia="Times" w:cs="Arial"/>
          <w:sz w:val="20"/>
        </w:rPr>
      </w:pPr>
      <w:r w:rsidRPr="00F56540">
        <w:rPr>
          <w:rFonts w:eastAsia="Times" w:cs="Arial"/>
          <w:b/>
          <w:sz w:val="20"/>
        </w:rPr>
        <w:t xml:space="preserve">Prospective healthcare workers: </w:t>
      </w:r>
      <w:r w:rsidRPr="00F56540">
        <w:rPr>
          <w:rFonts w:eastAsia="Times" w:cs="Arial"/>
          <w:sz w:val="20"/>
        </w:rPr>
        <w:t xml:space="preserve">Healthcare workers about to be newly employed or </w:t>
      </w:r>
      <w:r w:rsidR="008B2281">
        <w:rPr>
          <w:rFonts w:eastAsia="Times" w:cs="Arial"/>
          <w:sz w:val="20"/>
        </w:rPr>
        <w:t xml:space="preserve">engaged </w:t>
      </w:r>
      <w:r w:rsidR="002C4B22">
        <w:rPr>
          <w:rFonts w:eastAsia="Times" w:cs="Arial"/>
          <w:sz w:val="20"/>
        </w:rPr>
        <w:t>by</w:t>
      </w:r>
      <w:r w:rsidRPr="00F56540">
        <w:rPr>
          <w:rFonts w:eastAsia="Times" w:cs="Arial"/>
          <w:sz w:val="20"/>
        </w:rPr>
        <w:t xml:space="preserve"> a healthcare setting but not currently employed by that setting.</w:t>
      </w:r>
    </w:p>
    <w:p w14:paraId="2D6E1AB6" w14:textId="2C9731FE" w:rsidR="002205D2" w:rsidRPr="00F56540" w:rsidRDefault="002205D2" w:rsidP="002205D2">
      <w:pPr>
        <w:widowControl w:val="0"/>
        <w:kinsoku w:val="0"/>
        <w:overflowPunct w:val="0"/>
        <w:autoSpaceDE w:val="0"/>
        <w:autoSpaceDN w:val="0"/>
        <w:adjustRightInd w:val="0"/>
        <w:spacing w:before="122" w:after="0" w:line="276" w:lineRule="auto"/>
        <w:ind w:right="239"/>
        <w:rPr>
          <w:rFonts w:cs="Arial"/>
          <w:sz w:val="20"/>
          <w:lang w:eastAsia="zh-CN"/>
        </w:rPr>
      </w:pPr>
      <w:bookmarkStart w:id="11" w:name="_Hlk43797420"/>
      <w:r w:rsidRPr="00F56540">
        <w:rPr>
          <w:rFonts w:cs="Arial"/>
          <w:b/>
          <w:sz w:val="20"/>
          <w:lang w:eastAsia="zh-CN"/>
        </w:rPr>
        <w:t xml:space="preserve">Education </w:t>
      </w:r>
      <w:r w:rsidR="0084088B" w:rsidRPr="00F56540">
        <w:rPr>
          <w:rFonts w:cs="Arial"/>
          <w:b/>
          <w:sz w:val="20"/>
          <w:lang w:eastAsia="zh-CN"/>
        </w:rPr>
        <w:t>p</w:t>
      </w:r>
      <w:r w:rsidRPr="00F56540">
        <w:rPr>
          <w:rFonts w:cs="Arial"/>
          <w:b/>
          <w:sz w:val="20"/>
          <w:lang w:eastAsia="zh-CN"/>
        </w:rPr>
        <w:t xml:space="preserve">rovider: </w:t>
      </w:r>
      <w:r w:rsidRPr="00F56540">
        <w:rPr>
          <w:rFonts w:cs="Arial"/>
          <w:sz w:val="20"/>
          <w:lang w:eastAsia="zh-CN"/>
        </w:rPr>
        <w:t>Any institution delivering education that involves students to undertake placements in a healthcare setting. This includes</w:t>
      </w:r>
      <w:r w:rsidR="009F2BE7" w:rsidRPr="00F56540">
        <w:rPr>
          <w:rFonts w:cs="Arial"/>
          <w:sz w:val="20"/>
          <w:lang w:eastAsia="zh-CN"/>
        </w:rPr>
        <w:t>, but is not limited to,</w:t>
      </w:r>
      <w:r w:rsidRPr="00F56540">
        <w:rPr>
          <w:rFonts w:cs="Arial"/>
          <w:sz w:val="20"/>
          <w:lang w:eastAsia="zh-CN"/>
        </w:rPr>
        <w:t xml:space="preserve"> universities and Vocational Education and Training (VET)</w:t>
      </w:r>
      <w:r w:rsidRPr="00F56540">
        <w:rPr>
          <w:rFonts w:cs="Arial"/>
          <w:spacing w:val="-2"/>
          <w:sz w:val="20"/>
          <w:lang w:eastAsia="zh-CN"/>
        </w:rPr>
        <w:t xml:space="preserve"> </w:t>
      </w:r>
      <w:r w:rsidRPr="00F56540">
        <w:rPr>
          <w:rFonts w:cs="Arial"/>
          <w:sz w:val="20"/>
          <w:lang w:eastAsia="zh-CN"/>
        </w:rPr>
        <w:t>providers.</w:t>
      </w:r>
    </w:p>
    <w:p w14:paraId="740392ED" w14:textId="48684A5C" w:rsidR="002205D2" w:rsidRPr="00F56540" w:rsidRDefault="002205D2" w:rsidP="6EB43F11">
      <w:pPr>
        <w:widowControl w:val="0"/>
        <w:kinsoku w:val="0"/>
        <w:overflowPunct w:val="0"/>
        <w:autoSpaceDE w:val="0"/>
        <w:autoSpaceDN w:val="0"/>
        <w:adjustRightInd w:val="0"/>
        <w:spacing w:before="122" w:line="276" w:lineRule="auto"/>
        <w:ind w:right="299"/>
        <w:rPr>
          <w:rFonts w:cs="Arial"/>
          <w:sz w:val="20"/>
          <w:lang w:eastAsia="zh-CN"/>
        </w:rPr>
      </w:pPr>
      <w:r w:rsidRPr="00F56540">
        <w:rPr>
          <w:rFonts w:cs="Arial"/>
          <w:b/>
          <w:sz w:val="20"/>
          <w:lang w:eastAsia="zh-CN"/>
        </w:rPr>
        <w:t xml:space="preserve">Student: </w:t>
      </w:r>
      <w:r w:rsidRPr="00F56540">
        <w:rPr>
          <w:rFonts w:cs="Arial"/>
          <w:sz w:val="20"/>
          <w:lang w:eastAsia="zh-CN"/>
        </w:rPr>
        <w:t xml:space="preserve">A </w:t>
      </w:r>
      <w:r w:rsidR="00D63F0E">
        <w:rPr>
          <w:rFonts w:cs="Arial"/>
          <w:sz w:val="20"/>
          <w:lang w:eastAsia="zh-CN"/>
        </w:rPr>
        <w:t>person</w:t>
      </w:r>
      <w:r w:rsidRPr="00F56540">
        <w:rPr>
          <w:rFonts w:cs="Arial"/>
          <w:sz w:val="20"/>
          <w:lang w:eastAsia="zh-CN"/>
        </w:rPr>
        <w:t xml:space="preserve"> enrolled in a course offered by an education provider that </w:t>
      </w:r>
      <w:r w:rsidR="00D63F0E">
        <w:rPr>
          <w:rFonts w:cs="Arial"/>
          <w:sz w:val="20"/>
          <w:lang w:eastAsia="zh-CN"/>
        </w:rPr>
        <w:t xml:space="preserve">is </w:t>
      </w:r>
      <w:r w:rsidRPr="00F56540">
        <w:rPr>
          <w:rFonts w:cs="Arial"/>
          <w:sz w:val="20"/>
          <w:lang w:eastAsia="zh-CN"/>
        </w:rPr>
        <w:t>require</w:t>
      </w:r>
      <w:r w:rsidR="00D63F0E">
        <w:rPr>
          <w:rFonts w:cs="Arial"/>
          <w:sz w:val="20"/>
          <w:lang w:eastAsia="zh-CN"/>
        </w:rPr>
        <w:t>d</w:t>
      </w:r>
      <w:r w:rsidRPr="00F56540">
        <w:rPr>
          <w:rFonts w:cs="Arial"/>
          <w:sz w:val="20"/>
          <w:lang w:eastAsia="zh-CN"/>
        </w:rPr>
        <w:t xml:space="preserve"> to undertake placements in a healthcare setting.</w:t>
      </w:r>
    </w:p>
    <w:p w14:paraId="2D72C303" w14:textId="1A788F25" w:rsidR="002205D2" w:rsidRDefault="002205D2" w:rsidP="00BF3EAE">
      <w:pPr>
        <w:spacing w:line="270" w:lineRule="atLeast"/>
        <w:rPr>
          <w:rFonts w:eastAsia="Times" w:cs="Arial"/>
          <w:sz w:val="20"/>
        </w:rPr>
      </w:pPr>
      <w:r w:rsidRPr="00F56540">
        <w:rPr>
          <w:rFonts w:eastAsia="Times" w:cs="Arial"/>
          <w:b/>
          <w:sz w:val="20"/>
        </w:rPr>
        <w:t>Medical practitioner</w:t>
      </w:r>
      <w:r w:rsidRPr="00F56540">
        <w:rPr>
          <w:rFonts w:eastAsia="Times" w:cs="Arial"/>
          <w:sz w:val="20"/>
        </w:rPr>
        <w:t xml:space="preserve">: </w:t>
      </w:r>
      <w:r w:rsidR="007B1E8A" w:rsidRPr="007B1E8A">
        <w:rPr>
          <w:rFonts w:eastAsia="Times" w:cs="Arial"/>
          <w:sz w:val="20"/>
        </w:rPr>
        <w:t>means a person registered under the Health Practitioner Regulation National Law to practise in the medical profession (other than as a student).</w:t>
      </w:r>
    </w:p>
    <w:p w14:paraId="378806CF" w14:textId="34E46932" w:rsidR="00FD4D9C" w:rsidRPr="0088155A" w:rsidRDefault="00FD4D9C" w:rsidP="00FD4D9C">
      <w:pPr>
        <w:spacing w:line="270" w:lineRule="atLeast"/>
        <w:rPr>
          <w:rFonts w:eastAsia="Times" w:cs="Arial"/>
          <w:b/>
          <w:bCs/>
          <w:sz w:val="20"/>
        </w:rPr>
      </w:pPr>
      <w:r w:rsidRPr="002A187D">
        <w:rPr>
          <w:rFonts w:eastAsia="Times" w:cs="Arial"/>
          <w:b/>
          <w:bCs/>
          <w:sz w:val="20"/>
        </w:rPr>
        <w:t xml:space="preserve">Temporary medical exemption </w:t>
      </w:r>
      <w:r w:rsidRPr="00FD4D9C">
        <w:rPr>
          <w:rFonts w:eastAsia="Times" w:cs="Arial"/>
          <w:sz w:val="20"/>
        </w:rPr>
        <w:t xml:space="preserve">means an exemption </w:t>
      </w:r>
      <w:r>
        <w:rPr>
          <w:rFonts w:eastAsia="Times" w:cs="Arial"/>
          <w:sz w:val="20"/>
        </w:rPr>
        <w:t xml:space="preserve">to COVID-19 vaccination </w:t>
      </w:r>
      <w:r w:rsidRPr="00FD4D9C">
        <w:rPr>
          <w:rFonts w:eastAsia="Times" w:cs="Arial"/>
          <w:sz w:val="20"/>
        </w:rPr>
        <w:t xml:space="preserve">made by a medical practitioner in accordance with ATAGI </w:t>
      </w:r>
      <w:r w:rsidRPr="00121189">
        <w:rPr>
          <w:rFonts w:eastAsia="Times" w:cs="Arial"/>
          <w:sz w:val="20"/>
        </w:rPr>
        <w:t>Guidance</w:t>
      </w:r>
      <w:r w:rsidRPr="6C8F16FB">
        <w:rPr>
          <w:rFonts w:eastAsia="Times" w:cs="Arial"/>
          <w:sz w:val="20"/>
        </w:rPr>
        <w:t xml:space="preserve">, </w:t>
      </w:r>
      <w:hyperlink r:id="rId22" w:history="1">
        <w:r w:rsidR="00121189" w:rsidRPr="00654C6A">
          <w:rPr>
            <w:rStyle w:val="Hyperlink"/>
            <w:sz w:val="20"/>
            <w:szCs w:val="18"/>
          </w:rPr>
          <w:t>https://www.health.gov.au/resources/publications/atagi-expanded-guidance-on-temporary-medical-exemptions-for-covid-19-vaccines</w:t>
        </w:r>
      </w:hyperlink>
      <w:r w:rsidR="00121189" w:rsidRPr="00121189">
        <w:t xml:space="preserve"> </w:t>
      </w:r>
      <w:r w:rsidR="1847DDD4" w:rsidRPr="6C8F16FB">
        <w:rPr>
          <w:rFonts w:eastAsia="Times" w:cs="Arial"/>
          <w:sz w:val="20"/>
        </w:rPr>
        <w:t>as updated from time to time.</w:t>
      </w:r>
      <w:r w:rsidR="1847DDD4" w:rsidRPr="6C8F16FB">
        <w:rPr>
          <w:rFonts w:eastAsia="Times" w:cs="Arial"/>
          <w:b/>
          <w:bCs/>
          <w:sz w:val="20"/>
        </w:rPr>
        <w:t xml:space="preserve">  </w:t>
      </w:r>
    </w:p>
    <w:p w14:paraId="41D55D34" w14:textId="20140D91" w:rsidR="002A187D" w:rsidRPr="002A187D" w:rsidRDefault="00B86A19" w:rsidP="002A187D">
      <w:pPr>
        <w:spacing w:line="270" w:lineRule="atLeast"/>
        <w:rPr>
          <w:rFonts w:eastAsia="Times" w:cs="Arial"/>
          <w:b/>
          <w:bCs/>
          <w:sz w:val="20"/>
        </w:rPr>
      </w:pPr>
      <w:r w:rsidRPr="002A187D">
        <w:rPr>
          <w:rFonts w:eastAsia="Times" w:cs="Arial"/>
          <w:b/>
          <w:bCs/>
          <w:sz w:val="20"/>
        </w:rPr>
        <w:t>Medical contraindication</w:t>
      </w:r>
      <w:r w:rsidR="00D63BB5">
        <w:rPr>
          <w:rFonts w:eastAsia="Times" w:cs="Arial"/>
          <w:b/>
          <w:bCs/>
          <w:sz w:val="20"/>
        </w:rPr>
        <w:t xml:space="preserve"> to COVID-19</w:t>
      </w:r>
      <w:r w:rsidRPr="002A187D">
        <w:rPr>
          <w:rFonts w:eastAsia="Times" w:cs="Arial"/>
          <w:b/>
          <w:bCs/>
          <w:sz w:val="20"/>
        </w:rPr>
        <w:t xml:space="preserve"> </w:t>
      </w:r>
      <w:r w:rsidR="00D63BB5">
        <w:rPr>
          <w:rFonts w:eastAsia="Times" w:cs="Arial"/>
          <w:b/>
          <w:bCs/>
          <w:sz w:val="20"/>
        </w:rPr>
        <w:t xml:space="preserve">vaccination </w:t>
      </w:r>
      <w:r w:rsidRPr="002921B0">
        <w:rPr>
          <w:rFonts w:eastAsia="Times" w:cs="Arial"/>
          <w:sz w:val="20"/>
        </w:rPr>
        <w:t xml:space="preserve">means a contraindication to a COVID-19 vaccine in accordance with ATAGI Clinical Guidance on COVID-19 vaccine contraindications: </w:t>
      </w:r>
      <w:hyperlink r:id="rId23" w:history="1">
        <w:r w:rsidR="002921B0" w:rsidRPr="002921B0">
          <w:rPr>
            <w:rStyle w:val="Hyperlink"/>
            <w:rFonts w:eastAsia="Times" w:cs="Arial"/>
            <w:sz w:val="20"/>
          </w:rPr>
          <w:t>https://www.health.gov.au/initiatives-and-programs/covid-19-vaccines/advice-for-providers/clinical-guidance/contraindications-and-precautions</w:t>
        </w:r>
      </w:hyperlink>
      <w:r w:rsidR="002921B0" w:rsidRPr="002921B0">
        <w:rPr>
          <w:rFonts w:eastAsia="Times" w:cs="Arial"/>
          <w:sz w:val="20"/>
        </w:rPr>
        <w:t xml:space="preserve"> </w:t>
      </w:r>
      <w:r w:rsidRPr="002921B0">
        <w:rPr>
          <w:rFonts w:eastAsia="Times" w:cs="Arial"/>
          <w:sz w:val="20"/>
        </w:rPr>
        <w:t xml:space="preserve"> as updated from time to time.</w:t>
      </w:r>
      <w:r w:rsidRPr="002A187D">
        <w:rPr>
          <w:rFonts w:eastAsia="Times" w:cs="Arial"/>
          <w:b/>
          <w:bCs/>
          <w:sz w:val="20"/>
        </w:rPr>
        <w:t xml:space="preserve">  </w:t>
      </w:r>
    </w:p>
    <w:p w14:paraId="7B7B02D7" w14:textId="1891AE2A" w:rsidR="00FD2D6B" w:rsidRPr="0029020F" w:rsidRDefault="00C37D0C" w:rsidP="0088155A">
      <w:pPr>
        <w:rPr>
          <w:rFonts w:eastAsia="Times" w:cs="Arial"/>
          <w:sz w:val="20"/>
        </w:rPr>
      </w:pPr>
      <w:r w:rsidRPr="0029020F">
        <w:rPr>
          <w:rFonts w:eastAsia="Times" w:cs="Arial"/>
          <w:b/>
          <w:bCs/>
          <w:sz w:val="20"/>
        </w:rPr>
        <w:t>Medical c</w:t>
      </w:r>
      <w:r w:rsidR="00FD2D6B" w:rsidRPr="0029020F">
        <w:rPr>
          <w:rFonts w:eastAsia="Times" w:cs="Arial"/>
          <w:b/>
          <w:bCs/>
          <w:sz w:val="20"/>
        </w:rPr>
        <w:t>ontraindication</w:t>
      </w:r>
      <w:r w:rsidR="00FD2D6B" w:rsidRPr="0029020F">
        <w:rPr>
          <w:rFonts w:eastAsia="Times" w:cs="Arial"/>
          <w:sz w:val="20"/>
        </w:rPr>
        <w:t xml:space="preserve"> </w:t>
      </w:r>
      <w:r w:rsidR="00D63BB5" w:rsidRPr="00D63BB5">
        <w:rPr>
          <w:rFonts w:eastAsia="Times" w:cs="Arial"/>
          <w:b/>
          <w:bCs/>
          <w:sz w:val="20"/>
        </w:rPr>
        <w:t>to influenza vaccination</w:t>
      </w:r>
      <w:r w:rsidR="00D63BB5">
        <w:rPr>
          <w:rFonts w:eastAsia="Times" w:cs="Arial"/>
          <w:sz w:val="20"/>
        </w:rPr>
        <w:t xml:space="preserve"> means </w:t>
      </w:r>
      <w:r w:rsidR="001B01EA" w:rsidRPr="0029020F">
        <w:rPr>
          <w:rFonts w:eastAsia="Times" w:cs="Arial"/>
          <w:sz w:val="20"/>
        </w:rPr>
        <w:t xml:space="preserve">a contraindication to an influenza vaccine </w:t>
      </w:r>
      <w:r w:rsidR="00BF0279" w:rsidRPr="0029020F">
        <w:rPr>
          <w:rFonts w:eastAsia="Times" w:cs="Arial"/>
          <w:sz w:val="20"/>
        </w:rPr>
        <w:t xml:space="preserve">as defined by the Immunisation Handbook </w:t>
      </w:r>
      <w:hyperlink r:id="rId24" w:history="1">
        <w:r w:rsidR="0029020F" w:rsidRPr="0029020F">
          <w:rPr>
            <w:rStyle w:val="Hyperlink"/>
            <w:rFonts w:cs="Arial"/>
            <w:sz w:val="20"/>
          </w:rPr>
          <w:t>https://immunisationhandbook.health.gov.au/contents/vaccine-preventable-diseases/influenza-flu</w:t>
        </w:r>
      </w:hyperlink>
      <w:r w:rsidR="0029020F" w:rsidRPr="0029020F">
        <w:rPr>
          <w:rFonts w:cs="Arial"/>
          <w:sz w:val="20"/>
        </w:rPr>
        <w:t xml:space="preserve"> </w:t>
      </w:r>
    </w:p>
    <w:p w14:paraId="56D5969C" w14:textId="7820A630" w:rsidR="002205D2" w:rsidRPr="00BC3A27" w:rsidRDefault="002205D2" w:rsidP="00841F7E">
      <w:pPr>
        <w:pStyle w:val="Heading1"/>
        <w:spacing w:before="360"/>
        <w:rPr>
          <w:sz w:val="40"/>
          <w:szCs w:val="40"/>
          <w:lang w:eastAsia="zh-CN"/>
        </w:rPr>
      </w:pPr>
      <w:bookmarkStart w:id="12" w:name="_Toc113362844"/>
      <w:bookmarkStart w:id="13" w:name="_Toc116457917"/>
      <w:r w:rsidRPr="00BC3A27">
        <w:rPr>
          <w:sz w:val="40"/>
          <w:szCs w:val="40"/>
          <w:lang w:eastAsia="zh-CN"/>
        </w:rPr>
        <w:lastRenderedPageBreak/>
        <w:t>3. Scope</w:t>
      </w:r>
      <w:bookmarkEnd w:id="12"/>
      <w:bookmarkEnd w:id="13"/>
    </w:p>
    <w:p w14:paraId="40945BA0" w14:textId="74EF03D6" w:rsidR="002205D2" w:rsidRPr="007441D3" w:rsidRDefault="006171BD" w:rsidP="007441D3">
      <w:pPr>
        <w:pStyle w:val="Heading4"/>
      </w:pPr>
      <w:r w:rsidRPr="007441D3">
        <w:t xml:space="preserve">3.1 </w:t>
      </w:r>
      <w:r w:rsidR="002205D2" w:rsidRPr="007441D3">
        <w:t>Settings</w:t>
      </w:r>
    </w:p>
    <w:p w14:paraId="168BDD59" w14:textId="41138A93" w:rsidR="002205D2" w:rsidRPr="00F56540" w:rsidRDefault="006671DA" w:rsidP="002205D2">
      <w:pPr>
        <w:pStyle w:val="DHHSbodyafterbullets"/>
        <w:rPr>
          <w:rFonts w:cs="Arial"/>
        </w:rPr>
      </w:pPr>
      <w:r w:rsidRPr="00F56540">
        <w:rPr>
          <w:rFonts w:cs="Arial"/>
        </w:rPr>
        <w:t>V</w:t>
      </w:r>
      <w:r w:rsidR="002205D2" w:rsidRPr="00F56540">
        <w:rPr>
          <w:rFonts w:cs="Arial"/>
        </w:rPr>
        <w:t xml:space="preserve">accination </w:t>
      </w:r>
      <w:r w:rsidRPr="00F56540">
        <w:rPr>
          <w:rFonts w:cs="Arial"/>
        </w:rPr>
        <w:t xml:space="preserve">requirements for </w:t>
      </w:r>
      <w:r w:rsidR="002205D2" w:rsidRPr="00F56540">
        <w:rPr>
          <w:rFonts w:cs="Arial"/>
        </w:rPr>
        <w:t>healthcare workers appl</w:t>
      </w:r>
      <w:r w:rsidRPr="00F56540">
        <w:rPr>
          <w:rFonts w:cs="Arial"/>
        </w:rPr>
        <w:t>y</w:t>
      </w:r>
      <w:r w:rsidR="002205D2" w:rsidRPr="00F56540">
        <w:rPr>
          <w:rFonts w:cs="Arial"/>
        </w:rPr>
        <w:t xml:space="preserve"> to all healthcare workers in:</w:t>
      </w:r>
    </w:p>
    <w:p w14:paraId="0EB7591B" w14:textId="0628437F" w:rsidR="002205D2" w:rsidRPr="00233A34" w:rsidRDefault="002205D2" w:rsidP="003D6B72">
      <w:pPr>
        <w:pStyle w:val="Bullet1"/>
        <w:ind w:left="567"/>
        <w:rPr>
          <w:sz w:val="20"/>
        </w:rPr>
      </w:pPr>
      <w:r w:rsidRPr="00233A34">
        <w:rPr>
          <w:sz w:val="20"/>
        </w:rPr>
        <w:t>public health services</w:t>
      </w:r>
    </w:p>
    <w:p w14:paraId="2AE21602" w14:textId="77777777" w:rsidR="002205D2" w:rsidRPr="00233A34" w:rsidRDefault="002205D2" w:rsidP="003D6B72">
      <w:pPr>
        <w:pStyle w:val="Bullet1"/>
        <w:ind w:left="567"/>
        <w:rPr>
          <w:sz w:val="20"/>
        </w:rPr>
      </w:pPr>
      <w:r w:rsidRPr="00233A34">
        <w:rPr>
          <w:sz w:val="20"/>
        </w:rPr>
        <w:t>public hospitals</w:t>
      </w:r>
    </w:p>
    <w:p w14:paraId="3E732338" w14:textId="77777777" w:rsidR="002205D2" w:rsidRPr="00233A34" w:rsidRDefault="002205D2" w:rsidP="003D6B72">
      <w:pPr>
        <w:pStyle w:val="Bullet1"/>
        <w:ind w:left="567"/>
        <w:rPr>
          <w:sz w:val="20"/>
        </w:rPr>
      </w:pPr>
      <w:r w:rsidRPr="00233A34">
        <w:rPr>
          <w:sz w:val="20"/>
        </w:rPr>
        <w:t>denominational hospitals</w:t>
      </w:r>
    </w:p>
    <w:p w14:paraId="621AE2AC" w14:textId="77777777" w:rsidR="002205D2" w:rsidRPr="00233A34" w:rsidRDefault="002205D2" w:rsidP="003D6B72">
      <w:pPr>
        <w:pStyle w:val="Bullet1"/>
        <w:ind w:left="567"/>
        <w:rPr>
          <w:sz w:val="20"/>
        </w:rPr>
      </w:pPr>
      <w:r w:rsidRPr="00233A34">
        <w:rPr>
          <w:sz w:val="20"/>
        </w:rPr>
        <w:t>private hospitals and day procedure centres</w:t>
      </w:r>
    </w:p>
    <w:p w14:paraId="02D0E278" w14:textId="228CC780" w:rsidR="007A7248" w:rsidRPr="00233A34" w:rsidRDefault="002205D2" w:rsidP="003D6B72">
      <w:pPr>
        <w:pStyle w:val="Bullet1"/>
        <w:ind w:left="567"/>
        <w:rPr>
          <w:sz w:val="20"/>
        </w:rPr>
      </w:pPr>
      <w:r w:rsidRPr="00233A34">
        <w:rPr>
          <w:sz w:val="20"/>
        </w:rPr>
        <w:t xml:space="preserve">ambulance services </w:t>
      </w:r>
    </w:p>
    <w:p w14:paraId="3C76DDB1" w14:textId="5281B26D" w:rsidR="002205D2" w:rsidRPr="00233A34" w:rsidRDefault="00E8453A" w:rsidP="003D6B72">
      <w:pPr>
        <w:pStyle w:val="Bullet1"/>
        <w:ind w:left="567"/>
        <w:rPr>
          <w:sz w:val="20"/>
        </w:rPr>
      </w:pPr>
      <w:r w:rsidRPr="00233A34">
        <w:rPr>
          <w:sz w:val="20"/>
        </w:rPr>
        <w:t>patient transport services that are engaged by a health service or Ambulance Victoria</w:t>
      </w:r>
    </w:p>
    <w:p w14:paraId="20A0FCED" w14:textId="516B1CEC" w:rsidR="006171BD" w:rsidRPr="00233A34" w:rsidRDefault="002205D2" w:rsidP="003D6B72">
      <w:pPr>
        <w:pStyle w:val="Bullet1"/>
        <w:ind w:left="567"/>
        <w:rPr>
          <w:sz w:val="20"/>
        </w:rPr>
      </w:pPr>
      <w:r w:rsidRPr="00233A34">
        <w:rPr>
          <w:sz w:val="20"/>
        </w:rPr>
        <w:t xml:space="preserve">residential aged care services operated by </w:t>
      </w:r>
      <w:r w:rsidR="00460D60">
        <w:rPr>
          <w:sz w:val="20"/>
        </w:rPr>
        <w:t>a public hospital, public health service or denominational hospital</w:t>
      </w:r>
    </w:p>
    <w:p w14:paraId="6B5C5B6F" w14:textId="47A7337F" w:rsidR="002205D2" w:rsidRPr="0005512E" w:rsidRDefault="006171BD" w:rsidP="003D6B72">
      <w:pPr>
        <w:pStyle w:val="Bullet1"/>
        <w:spacing w:after="120"/>
        <w:ind w:left="567"/>
        <w:rPr>
          <w:rFonts w:cs="Arial"/>
        </w:rPr>
      </w:pPr>
      <w:r w:rsidRPr="0005512E">
        <w:rPr>
          <w:sz w:val="20"/>
        </w:rPr>
        <w:t>Forensicare (via Ministerial Directions</w:t>
      </w:r>
      <w:r w:rsidR="00121189" w:rsidRPr="0005512E">
        <w:rPr>
          <w:sz w:val="20"/>
        </w:rPr>
        <w:t>, influenza only</w:t>
      </w:r>
      <w:r w:rsidRPr="0005512E">
        <w:rPr>
          <w:sz w:val="20"/>
        </w:rPr>
        <w:t>)</w:t>
      </w:r>
    </w:p>
    <w:p w14:paraId="512C96ED" w14:textId="16EED77D" w:rsidR="002205D2" w:rsidRPr="00A80676" w:rsidRDefault="002205D2" w:rsidP="002205D2">
      <w:pPr>
        <w:pStyle w:val="DHHSbody"/>
        <w:spacing w:after="0"/>
        <w:rPr>
          <w:rFonts w:cs="Arial"/>
          <w:iCs/>
        </w:rPr>
      </w:pPr>
      <w:r w:rsidRPr="00F56540">
        <w:rPr>
          <w:rFonts w:cs="Arial"/>
        </w:rPr>
        <w:t xml:space="preserve">Other healthcare settings, that may not be </w:t>
      </w:r>
      <w:r w:rsidR="00DC342F" w:rsidRPr="00F56540">
        <w:rPr>
          <w:rFonts w:cs="Arial"/>
        </w:rPr>
        <w:t xml:space="preserve">directly </w:t>
      </w:r>
      <w:r w:rsidRPr="00F56540">
        <w:rPr>
          <w:rFonts w:cs="Arial"/>
        </w:rPr>
        <w:t xml:space="preserve">subject </w:t>
      </w:r>
      <w:r w:rsidR="00570E95" w:rsidRPr="00F56540">
        <w:rPr>
          <w:rFonts w:cs="Arial"/>
        </w:rPr>
        <w:t xml:space="preserve">to </w:t>
      </w:r>
      <w:r w:rsidR="00D82811">
        <w:rPr>
          <w:rFonts w:cs="Arial"/>
        </w:rPr>
        <w:t>D</w:t>
      </w:r>
      <w:r w:rsidRPr="00F56540">
        <w:rPr>
          <w:rFonts w:cs="Arial"/>
        </w:rPr>
        <w:t xml:space="preserve">irections requiring healthcare workers to meet vaccination requirements, may be required to be compliant with this policy as part of their funding agreement (such as, but not limited to, </w:t>
      </w:r>
      <w:r w:rsidRPr="00F56540">
        <w:rPr>
          <w:rFonts w:cs="Arial"/>
          <w:i/>
        </w:rPr>
        <w:t>Service Agreements, bi- or tri-partite agreements or other contractual arrangements).</w:t>
      </w:r>
      <w:r w:rsidR="00A80676">
        <w:rPr>
          <w:rFonts w:cs="Arial"/>
          <w:i/>
        </w:rPr>
        <w:t xml:space="preserve"> </w:t>
      </w:r>
    </w:p>
    <w:p w14:paraId="3C10C3AF" w14:textId="23D0DB40" w:rsidR="002205D2" w:rsidRPr="007441D3" w:rsidRDefault="006171BD" w:rsidP="00603F9C">
      <w:pPr>
        <w:pStyle w:val="Heading4"/>
        <w:spacing w:after="120"/>
      </w:pPr>
      <w:r w:rsidRPr="007441D3">
        <w:t xml:space="preserve">3.2 </w:t>
      </w:r>
      <w:r w:rsidR="002205D2" w:rsidRPr="007441D3">
        <w:t>Healthcare workers</w:t>
      </w:r>
    </w:p>
    <w:p w14:paraId="6A2FF341" w14:textId="6BB20DA3" w:rsidR="002205D2" w:rsidRPr="00F56540" w:rsidRDefault="00971FD7" w:rsidP="002205D2">
      <w:pPr>
        <w:pStyle w:val="DHHSbodyafterbullets"/>
        <w:rPr>
          <w:rFonts w:cs="Arial"/>
        </w:rPr>
      </w:pPr>
      <w:r w:rsidRPr="00F56540">
        <w:rPr>
          <w:rFonts w:cs="Arial"/>
        </w:rPr>
        <w:t>V</w:t>
      </w:r>
      <w:r w:rsidR="002205D2" w:rsidRPr="00F56540">
        <w:rPr>
          <w:rFonts w:cs="Arial"/>
        </w:rPr>
        <w:t xml:space="preserve">accination requirements specified </w:t>
      </w:r>
      <w:r w:rsidR="00570E95" w:rsidRPr="00F56540">
        <w:rPr>
          <w:rFonts w:cs="Arial"/>
        </w:rPr>
        <w:t xml:space="preserve">in </w:t>
      </w:r>
      <w:r w:rsidR="005504A8">
        <w:rPr>
          <w:rFonts w:cs="Arial"/>
        </w:rPr>
        <w:t>D</w:t>
      </w:r>
      <w:r w:rsidR="002205D2" w:rsidRPr="00F56540">
        <w:rPr>
          <w:rFonts w:cs="Arial"/>
        </w:rPr>
        <w:t xml:space="preserve">irections apply to </w:t>
      </w:r>
      <w:r w:rsidR="00570E95">
        <w:rPr>
          <w:rFonts w:cs="Arial"/>
        </w:rPr>
        <w:t xml:space="preserve">all </w:t>
      </w:r>
      <w:r w:rsidR="002205D2" w:rsidRPr="00F56540">
        <w:rPr>
          <w:rFonts w:cs="Arial"/>
        </w:rPr>
        <w:t>healthcare workers in the above settings including:</w:t>
      </w:r>
    </w:p>
    <w:p w14:paraId="4C93E6EB" w14:textId="77777777" w:rsidR="002205D2" w:rsidRPr="00F56540" w:rsidRDefault="002205D2" w:rsidP="003D6B72">
      <w:pPr>
        <w:pStyle w:val="DHHSbullet1"/>
        <w:numPr>
          <w:ilvl w:val="0"/>
          <w:numId w:val="2"/>
        </w:numPr>
        <w:ind w:left="567"/>
        <w:rPr>
          <w:rFonts w:cs="Arial"/>
        </w:rPr>
      </w:pPr>
      <w:r w:rsidRPr="00F56540">
        <w:rPr>
          <w:rFonts w:cs="Arial"/>
        </w:rPr>
        <w:t>current employees</w:t>
      </w:r>
    </w:p>
    <w:p w14:paraId="610EAB32" w14:textId="77777777" w:rsidR="002205D2" w:rsidRPr="00F56540" w:rsidRDefault="002205D2" w:rsidP="003D6B72">
      <w:pPr>
        <w:pStyle w:val="DHHSbullet1"/>
        <w:numPr>
          <w:ilvl w:val="0"/>
          <w:numId w:val="2"/>
        </w:numPr>
        <w:ind w:left="567"/>
        <w:rPr>
          <w:rFonts w:cs="Arial"/>
        </w:rPr>
      </w:pPr>
      <w:r w:rsidRPr="00F56540">
        <w:rPr>
          <w:rFonts w:cs="Arial"/>
        </w:rPr>
        <w:t>prospective employees</w:t>
      </w:r>
    </w:p>
    <w:p w14:paraId="0ACA979A" w14:textId="46952284" w:rsidR="002205D2" w:rsidRPr="00F56540" w:rsidRDefault="002205D2" w:rsidP="003D6B72">
      <w:pPr>
        <w:pStyle w:val="DHHSbullet1"/>
        <w:numPr>
          <w:ilvl w:val="0"/>
          <w:numId w:val="2"/>
        </w:numPr>
        <w:ind w:left="567"/>
        <w:rPr>
          <w:rFonts w:cs="Arial"/>
        </w:rPr>
      </w:pPr>
      <w:r w:rsidRPr="00F56540">
        <w:rPr>
          <w:rFonts w:cs="Arial"/>
        </w:rPr>
        <w:t>contractors (including locums</w:t>
      </w:r>
      <w:r w:rsidR="00CD0B02" w:rsidRPr="00F56540">
        <w:rPr>
          <w:rFonts w:cs="Arial"/>
        </w:rPr>
        <w:t xml:space="preserve">, </w:t>
      </w:r>
      <w:r w:rsidRPr="00F56540">
        <w:rPr>
          <w:rFonts w:cs="Arial"/>
        </w:rPr>
        <w:t>agency workers</w:t>
      </w:r>
      <w:r w:rsidR="00CD0B02" w:rsidRPr="00F56540">
        <w:rPr>
          <w:rFonts w:cs="Arial"/>
        </w:rPr>
        <w:t>, and some non-clinical workers</w:t>
      </w:r>
      <w:r w:rsidRPr="00F56540">
        <w:rPr>
          <w:rFonts w:cs="Arial"/>
        </w:rPr>
        <w:t>); and</w:t>
      </w:r>
    </w:p>
    <w:p w14:paraId="3BB632D7" w14:textId="626488C6" w:rsidR="000E3B1C" w:rsidRDefault="002205D2" w:rsidP="003D6B72">
      <w:pPr>
        <w:pStyle w:val="DHHSbullet1"/>
        <w:numPr>
          <w:ilvl w:val="0"/>
          <w:numId w:val="2"/>
        </w:numPr>
        <w:spacing w:after="120"/>
        <w:ind w:left="567"/>
        <w:rPr>
          <w:rFonts w:cs="Arial"/>
        </w:rPr>
      </w:pPr>
      <w:r w:rsidRPr="00F56540">
        <w:rPr>
          <w:rFonts w:cs="Arial"/>
        </w:rPr>
        <w:t>visiting medical officers (VMOs)</w:t>
      </w:r>
      <w:r w:rsidR="000E3B1C">
        <w:rPr>
          <w:rFonts w:cs="Arial"/>
        </w:rPr>
        <w:t>*</w:t>
      </w:r>
    </w:p>
    <w:p w14:paraId="652988FE" w14:textId="54A6E859" w:rsidR="000E3B1C" w:rsidRPr="000E3B1C" w:rsidRDefault="000E3B1C" w:rsidP="00BF3EAE">
      <w:pPr>
        <w:pStyle w:val="DHHSbullet1"/>
        <w:ind w:left="0" w:firstLine="0"/>
        <w:rPr>
          <w:rFonts w:cs="Arial"/>
        </w:rPr>
      </w:pPr>
      <w:r w:rsidRPr="4F585365">
        <w:rPr>
          <w:rFonts w:cs="Arial"/>
        </w:rPr>
        <w:t>*</w:t>
      </w:r>
      <w:r w:rsidR="00E03491" w:rsidRPr="4F585365">
        <w:rPr>
          <w:rFonts w:cs="Arial"/>
        </w:rPr>
        <w:t xml:space="preserve">VMOs who </w:t>
      </w:r>
      <w:r w:rsidR="006D098E" w:rsidRPr="4F585365">
        <w:rPr>
          <w:rFonts w:cs="Arial"/>
        </w:rPr>
        <w:t xml:space="preserve">lease premises </w:t>
      </w:r>
      <w:r w:rsidR="00846088" w:rsidRPr="4F585365">
        <w:rPr>
          <w:rFonts w:cs="Arial"/>
        </w:rPr>
        <w:t xml:space="preserve">from a healthcare setting, but are not employed or </w:t>
      </w:r>
      <w:r w:rsidR="003E5D61">
        <w:rPr>
          <w:rFonts w:cs="Arial"/>
        </w:rPr>
        <w:t xml:space="preserve">engaged </w:t>
      </w:r>
      <w:r w:rsidR="00846088" w:rsidRPr="4F585365">
        <w:rPr>
          <w:rFonts w:cs="Arial"/>
        </w:rPr>
        <w:t xml:space="preserve">by that setting are not directly subject to </w:t>
      </w:r>
      <w:r w:rsidR="00517C77">
        <w:rPr>
          <w:rFonts w:cs="Arial"/>
        </w:rPr>
        <w:t>D</w:t>
      </w:r>
      <w:r w:rsidR="00846088" w:rsidRPr="4F585365">
        <w:rPr>
          <w:rFonts w:cs="Arial"/>
        </w:rPr>
        <w:t xml:space="preserve">irections. </w:t>
      </w:r>
      <w:r w:rsidR="00FD2D6B">
        <w:rPr>
          <w:rFonts w:cs="Arial"/>
        </w:rPr>
        <w:t>H</w:t>
      </w:r>
      <w:r w:rsidR="00846088" w:rsidRPr="4F585365">
        <w:rPr>
          <w:rFonts w:cs="Arial"/>
        </w:rPr>
        <w:t>ealthcare setting</w:t>
      </w:r>
      <w:r w:rsidR="00517C77">
        <w:rPr>
          <w:rFonts w:cs="Arial"/>
        </w:rPr>
        <w:t>s</w:t>
      </w:r>
      <w:r w:rsidR="00846088" w:rsidRPr="4F585365">
        <w:rPr>
          <w:rFonts w:cs="Arial"/>
        </w:rPr>
        <w:t xml:space="preserve"> may reasonably require certain vaccinations for VMOs in this circumstance</w:t>
      </w:r>
      <w:r w:rsidR="00FD2D6B">
        <w:rPr>
          <w:rFonts w:cs="Arial"/>
        </w:rPr>
        <w:t>,</w:t>
      </w:r>
      <w:r w:rsidR="00846088" w:rsidRPr="4F585365">
        <w:rPr>
          <w:rFonts w:cs="Arial"/>
        </w:rPr>
        <w:t xml:space="preserve"> </w:t>
      </w:r>
      <w:r w:rsidR="00B436FF" w:rsidRPr="4F585365">
        <w:rPr>
          <w:rFonts w:cs="Arial"/>
        </w:rPr>
        <w:t xml:space="preserve">at their discretion. </w:t>
      </w:r>
    </w:p>
    <w:p w14:paraId="1A6E41A5" w14:textId="53AB8C53" w:rsidR="008C62E8" w:rsidRPr="007441D3" w:rsidRDefault="006171BD" w:rsidP="00603F9C">
      <w:pPr>
        <w:pStyle w:val="Heading4"/>
        <w:spacing w:after="120"/>
      </w:pPr>
      <w:bookmarkStart w:id="14" w:name="_Toc113362845"/>
      <w:r w:rsidRPr="007441D3">
        <w:t xml:space="preserve">3.3 </w:t>
      </w:r>
      <w:r w:rsidR="008C62E8" w:rsidRPr="007441D3">
        <w:t>Volunteers and students</w:t>
      </w:r>
      <w:bookmarkEnd w:id="14"/>
    </w:p>
    <w:p w14:paraId="12D92086" w14:textId="6A57AB52" w:rsidR="008C62E8" w:rsidRPr="00F56540" w:rsidRDefault="00D64BE1" w:rsidP="008C62E8">
      <w:pPr>
        <w:pStyle w:val="DHHSbody"/>
        <w:rPr>
          <w:rFonts w:cs="Arial"/>
        </w:rPr>
      </w:pPr>
      <w:r w:rsidRPr="00F56540">
        <w:rPr>
          <w:rFonts w:cs="Arial"/>
        </w:rPr>
        <w:t>V</w:t>
      </w:r>
      <w:r w:rsidR="008C62E8" w:rsidRPr="00F56540">
        <w:rPr>
          <w:rFonts w:cs="Arial"/>
        </w:rPr>
        <w:t xml:space="preserve">olunteers and students are not subject to </w:t>
      </w:r>
      <w:r w:rsidR="005A0C0F">
        <w:rPr>
          <w:rFonts w:cs="Arial"/>
        </w:rPr>
        <w:t>D</w:t>
      </w:r>
      <w:r w:rsidR="006171BD" w:rsidRPr="00F56540">
        <w:rPr>
          <w:rFonts w:cs="Arial"/>
        </w:rPr>
        <w:t>irections;</w:t>
      </w:r>
      <w:r w:rsidR="008C62E8" w:rsidRPr="00F56540">
        <w:rPr>
          <w:rFonts w:cs="Arial"/>
        </w:rPr>
        <w:t xml:space="preserve"> </w:t>
      </w:r>
      <w:r w:rsidR="005C60A9" w:rsidRPr="00F56540">
        <w:rPr>
          <w:rFonts w:cs="Arial"/>
        </w:rPr>
        <w:t>however,</w:t>
      </w:r>
      <w:r w:rsidRPr="00F56540">
        <w:rPr>
          <w:rFonts w:cs="Arial"/>
        </w:rPr>
        <w:t xml:space="preserve"> </w:t>
      </w:r>
      <w:r w:rsidR="008C62E8" w:rsidRPr="00F56540">
        <w:rPr>
          <w:rFonts w:cs="Arial"/>
        </w:rPr>
        <w:t xml:space="preserve">a healthcare setting can reasonably require that volunteers and students </w:t>
      </w:r>
      <w:r w:rsidR="00E159CA" w:rsidRPr="00F56540">
        <w:rPr>
          <w:rFonts w:cs="Arial"/>
        </w:rPr>
        <w:t xml:space="preserve">meet </w:t>
      </w:r>
      <w:r w:rsidR="00A840BD" w:rsidRPr="00F56540">
        <w:rPr>
          <w:rFonts w:cs="Arial"/>
        </w:rPr>
        <w:t>certain</w:t>
      </w:r>
      <w:r w:rsidR="008C62E8" w:rsidRPr="00F56540">
        <w:rPr>
          <w:rFonts w:cs="Arial"/>
        </w:rPr>
        <w:t xml:space="preserve"> vaccination requirements under this policy prior to commencing roles or placements within the setting. </w:t>
      </w:r>
    </w:p>
    <w:p w14:paraId="0B30621C" w14:textId="15942818" w:rsidR="008C62E8" w:rsidRPr="00F56540" w:rsidRDefault="008C62E8" w:rsidP="0015135D">
      <w:pPr>
        <w:pStyle w:val="DHHSbody"/>
        <w:spacing w:after="0"/>
        <w:rPr>
          <w:rFonts w:cs="Arial"/>
        </w:rPr>
      </w:pPr>
      <w:r w:rsidRPr="00F56540">
        <w:rPr>
          <w:rFonts w:cs="Arial"/>
        </w:rPr>
        <w:t>Consistent with the department’s role as system manager, the department supports and encourages vaccination of volunteers and students.</w:t>
      </w:r>
    </w:p>
    <w:p w14:paraId="640AE50B" w14:textId="5177503C" w:rsidR="00A652D9" w:rsidRPr="007441D3" w:rsidRDefault="006171BD" w:rsidP="6C8F16FB">
      <w:pPr>
        <w:pStyle w:val="Heading4"/>
        <w:spacing w:after="120"/>
      </w:pPr>
      <w:r w:rsidRPr="00BF3EAE">
        <w:t xml:space="preserve">3.4 </w:t>
      </w:r>
      <w:r w:rsidR="00A652D9" w:rsidRPr="007441D3">
        <w:t xml:space="preserve">Risk categorisation of healthcare workers </w:t>
      </w:r>
    </w:p>
    <w:p w14:paraId="75999ED2" w14:textId="4BC6E5E8" w:rsidR="002205D2" w:rsidRPr="00F56540" w:rsidRDefault="002205D2" w:rsidP="00603F9C">
      <w:pPr>
        <w:pStyle w:val="DHHSbody"/>
        <w:rPr>
          <w:rFonts w:cs="Arial"/>
        </w:rPr>
      </w:pPr>
      <w:r w:rsidRPr="00F56540">
        <w:rPr>
          <w:rFonts w:cs="Arial"/>
        </w:rPr>
        <w:t xml:space="preserve">Healthcare workers </w:t>
      </w:r>
      <w:r w:rsidR="00D55EEC">
        <w:rPr>
          <w:rFonts w:cs="Arial"/>
        </w:rPr>
        <w:t>can be</w:t>
      </w:r>
      <w:r w:rsidRPr="00F56540">
        <w:rPr>
          <w:rFonts w:cs="Arial"/>
        </w:rPr>
        <w:t xml:space="preserve"> categorised </w:t>
      </w:r>
      <w:r w:rsidR="000A1E42" w:rsidRPr="00E51658">
        <w:rPr>
          <w:rFonts w:cs="Arial"/>
        </w:rPr>
        <w:t>as Category A</w:t>
      </w:r>
      <w:r w:rsidR="00F570D4">
        <w:rPr>
          <w:rFonts w:cs="Arial"/>
        </w:rPr>
        <w:t>,</w:t>
      </w:r>
      <w:r w:rsidR="000A1E42" w:rsidRPr="00E51658">
        <w:rPr>
          <w:rFonts w:cs="Arial"/>
        </w:rPr>
        <w:t xml:space="preserve"> B or C </w:t>
      </w:r>
      <w:r w:rsidRPr="00F56540">
        <w:rPr>
          <w:rFonts w:cs="Arial"/>
        </w:rPr>
        <w:t xml:space="preserve">depending on </w:t>
      </w:r>
      <w:r w:rsidR="006171BD" w:rsidRPr="00F56540">
        <w:rPr>
          <w:rFonts w:cs="Arial"/>
        </w:rPr>
        <w:t>their</w:t>
      </w:r>
      <w:r w:rsidRPr="00F56540">
        <w:rPr>
          <w:rFonts w:cs="Arial"/>
        </w:rPr>
        <w:t xml:space="preserve"> work activities</w:t>
      </w:r>
      <w:r w:rsidR="00315F7F">
        <w:rPr>
          <w:rFonts w:cs="Arial"/>
        </w:rPr>
        <w:t>.</w:t>
      </w:r>
      <w:r w:rsidR="00E424C6" w:rsidRPr="00E51658">
        <w:rPr>
          <w:rFonts w:cs="Arial"/>
        </w:rPr>
        <w:t xml:space="preserve"> </w:t>
      </w:r>
      <w:r w:rsidR="00315F7F">
        <w:rPr>
          <w:rFonts w:cs="Arial"/>
        </w:rPr>
        <w:t>Healthcare workers have</w:t>
      </w:r>
      <w:r w:rsidR="00E424C6" w:rsidRPr="00E51658">
        <w:rPr>
          <w:rFonts w:cs="Arial"/>
        </w:rPr>
        <w:t xml:space="preserve"> differ</w:t>
      </w:r>
      <w:r w:rsidR="00B83EE0">
        <w:rPr>
          <w:rFonts w:cs="Arial"/>
        </w:rPr>
        <w:t>ent</w:t>
      </w:r>
      <w:r w:rsidR="00E424C6" w:rsidRPr="00E51658">
        <w:rPr>
          <w:rFonts w:cs="Arial"/>
        </w:rPr>
        <w:t xml:space="preserve"> vaccination requirements</w:t>
      </w:r>
      <w:r w:rsidR="00B83EE0">
        <w:rPr>
          <w:rFonts w:cs="Arial"/>
        </w:rPr>
        <w:t xml:space="preserve"> depending on which category their role aligns with</w:t>
      </w:r>
      <w:r w:rsidR="00E424C6" w:rsidRPr="00E51658">
        <w:rPr>
          <w:rFonts w:cs="Arial"/>
        </w:rPr>
        <w:t xml:space="preserve">. </w:t>
      </w:r>
      <w:r w:rsidR="000A1E42" w:rsidRPr="00E51658">
        <w:rPr>
          <w:rFonts w:cs="Arial"/>
        </w:rPr>
        <w:t xml:space="preserve"> </w:t>
      </w:r>
    </w:p>
    <w:p w14:paraId="216ED31B" w14:textId="7893A57A" w:rsidR="002205D2" w:rsidRPr="00F56540" w:rsidRDefault="002205D2" w:rsidP="00D05DCC">
      <w:pPr>
        <w:pStyle w:val="DHHSbody"/>
        <w:rPr>
          <w:rFonts w:cs="Arial"/>
        </w:rPr>
      </w:pPr>
      <w:r w:rsidRPr="00F56540">
        <w:rPr>
          <w:rFonts w:cs="Arial"/>
        </w:rPr>
        <w:t xml:space="preserve">Further detail about risk categorisation is outlined in </w:t>
      </w:r>
      <w:hyperlink w:anchor="_5._Risk_categorisation" w:history="1">
        <w:r w:rsidR="002261AF">
          <w:rPr>
            <w:rStyle w:val="Hyperlink"/>
            <w:rFonts w:cs="Arial"/>
            <w:i/>
          </w:rPr>
          <w:t>Section 5</w:t>
        </w:r>
      </w:hyperlink>
      <w:r w:rsidRPr="00F56540">
        <w:rPr>
          <w:rFonts w:cs="Arial"/>
        </w:rPr>
        <w:t xml:space="preserve">, </w:t>
      </w:r>
      <w:hyperlink w:anchor="_Table_1._Risk" w:history="1">
        <w:r w:rsidRPr="00E431E0">
          <w:rPr>
            <w:rStyle w:val="Hyperlink"/>
            <w:rFonts w:cs="Arial"/>
            <w:bCs/>
          </w:rPr>
          <w:t>Table 1.</w:t>
        </w:r>
      </w:hyperlink>
    </w:p>
    <w:p w14:paraId="6C5A444A" w14:textId="52E58BF3" w:rsidR="002205D2" w:rsidRPr="00F56540" w:rsidRDefault="002205D2" w:rsidP="00BF3EAE">
      <w:pPr>
        <w:pStyle w:val="DHHSbody"/>
      </w:pPr>
      <w:r w:rsidRPr="00F56540">
        <w:rPr>
          <w:rFonts w:cs="Arial"/>
        </w:rPr>
        <w:t xml:space="preserve">Further detail outlining the roles and responsibilities for healthcare workers in meeting the requirements of the policy is in </w:t>
      </w:r>
      <w:hyperlink w:anchor="_Appendix_1" w:history="1">
        <w:r w:rsidR="00A26347" w:rsidRPr="00F15B2F">
          <w:rPr>
            <w:rStyle w:val="Hyperlink"/>
            <w:rFonts w:cs="Arial"/>
          </w:rPr>
          <w:t>Appendix 1</w:t>
        </w:r>
      </w:hyperlink>
      <w:r w:rsidRPr="00F15B2F">
        <w:rPr>
          <w:rFonts w:cs="Arial"/>
        </w:rPr>
        <w:t>.</w:t>
      </w:r>
      <w:r w:rsidRPr="00F56540">
        <w:rPr>
          <w:rFonts w:cs="Arial"/>
        </w:rPr>
        <w:t xml:space="preserve"> </w:t>
      </w:r>
    </w:p>
    <w:p w14:paraId="5DFACF21" w14:textId="18996017" w:rsidR="002205D2" w:rsidRPr="00BC3A27" w:rsidRDefault="006171BD" w:rsidP="0005512E">
      <w:pPr>
        <w:pStyle w:val="Heading1"/>
        <w:spacing w:before="0" w:after="120"/>
        <w:rPr>
          <w:sz w:val="40"/>
          <w:szCs w:val="40"/>
        </w:rPr>
      </w:pPr>
      <w:bookmarkStart w:id="15" w:name="_Toc113362846"/>
      <w:bookmarkStart w:id="16" w:name="_Toc116457918"/>
      <w:r w:rsidRPr="00BC3A27">
        <w:rPr>
          <w:sz w:val="40"/>
          <w:szCs w:val="40"/>
        </w:rPr>
        <w:lastRenderedPageBreak/>
        <w:t xml:space="preserve">4. </w:t>
      </w:r>
      <w:r w:rsidR="002205D2" w:rsidRPr="00BC3A27">
        <w:rPr>
          <w:sz w:val="40"/>
          <w:szCs w:val="40"/>
        </w:rPr>
        <w:t>Implementation</w:t>
      </w:r>
      <w:bookmarkEnd w:id="15"/>
      <w:bookmarkEnd w:id="16"/>
      <w:r w:rsidR="002205D2" w:rsidRPr="00BC3A27">
        <w:rPr>
          <w:sz w:val="40"/>
          <w:szCs w:val="40"/>
        </w:rPr>
        <w:t xml:space="preserve"> </w:t>
      </w:r>
    </w:p>
    <w:p w14:paraId="383030B3" w14:textId="138B4175" w:rsidR="00622DC2" w:rsidRPr="00BC3A27" w:rsidRDefault="00CD761A" w:rsidP="19700172">
      <w:pPr>
        <w:pStyle w:val="Heading3"/>
        <w:spacing w:before="240"/>
        <w:rPr>
          <w:b/>
          <w:sz w:val="28"/>
          <w:szCs w:val="28"/>
        </w:rPr>
      </w:pPr>
      <w:bookmarkStart w:id="17" w:name="_Toc116457919"/>
      <w:r w:rsidRPr="19700172">
        <w:rPr>
          <w:b/>
          <w:sz w:val="28"/>
          <w:szCs w:val="28"/>
        </w:rPr>
        <w:t xml:space="preserve">4.1 </w:t>
      </w:r>
      <w:r w:rsidR="1E37A384" w:rsidRPr="19700172">
        <w:rPr>
          <w:b/>
          <w:sz w:val="28"/>
          <w:szCs w:val="28"/>
        </w:rPr>
        <w:t>I</w:t>
      </w:r>
      <w:r w:rsidR="00622DC2" w:rsidRPr="19700172">
        <w:rPr>
          <w:b/>
          <w:sz w:val="28"/>
          <w:szCs w:val="28"/>
        </w:rPr>
        <w:t>nfluenza vaccine</w:t>
      </w:r>
      <w:bookmarkEnd w:id="17"/>
    </w:p>
    <w:p w14:paraId="23BFE8C6" w14:textId="2D38D993" w:rsidR="00B93A01" w:rsidRPr="00FD2D6B" w:rsidRDefault="00E5469F" w:rsidP="00BC3A27">
      <w:pPr>
        <w:pStyle w:val="Heading4"/>
      </w:pPr>
      <w:r>
        <w:t xml:space="preserve">4.1.1 </w:t>
      </w:r>
      <w:r w:rsidR="00EC4CB4">
        <w:t>Context</w:t>
      </w:r>
    </w:p>
    <w:p w14:paraId="7165D5D7" w14:textId="605AD7A1" w:rsidR="00F653F1" w:rsidRPr="00FD2D6B" w:rsidRDefault="00F653F1" w:rsidP="00F653F1">
      <w:pPr>
        <w:pStyle w:val="DHHSbody"/>
        <w:spacing w:after="240"/>
        <w:rPr>
          <w:rFonts w:cs="Arial"/>
        </w:rPr>
      </w:pPr>
      <w:r w:rsidRPr="00FD2D6B">
        <w:rPr>
          <w:rFonts w:cs="Arial"/>
        </w:rPr>
        <w:t>A</w:t>
      </w:r>
      <w:r w:rsidR="00AD3DFC" w:rsidRPr="00FD2D6B">
        <w:rPr>
          <w:rFonts w:cs="Arial"/>
        </w:rPr>
        <w:t>nnual vaccination is the most important measure to prevent influenza and its complications</w:t>
      </w:r>
      <w:r w:rsidRPr="00FD2D6B">
        <w:rPr>
          <w:rFonts w:cs="Arial"/>
        </w:rPr>
        <w:t xml:space="preserve"> as per </w:t>
      </w:r>
      <w:r w:rsidR="00D957BD" w:rsidRPr="00F5072B">
        <w:rPr>
          <w:rFonts w:cs="Arial"/>
        </w:rPr>
        <w:t>Australian Technical Advisory Group on Immunisation</w:t>
      </w:r>
      <w:r w:rsidR="00D957BD">
        <w:rPr>
          <w:rFonts w:cs="Arial"/>
        </w:rPr>
        <w:t>’s</w:t>
      </w:r>
      <w:r w:rsidR="00D957BD" w:rsidRPr="00F5072B">
        <w:rPr>
          <w:rFonts w:cs="Arial"/>
        </w:rPr>
        <w:t xml:space="preserve"> </w:t>
      </w:r>
      <w:r w:rsidR="00D957BD">
        <w:rPr>
          <w:rFonts w:cs="Arial"/>
        </w:rPr>
        <w:t>(</w:t>
      </w:r>
      <w:r w:rsidRPr="00FD2D6B">
        <w:rPr>
          <w:rFonts w:cs="Arial"/>
        </w:rPr>
        <w:t>ATAGI’s</w:t>
      </w:r>
      <w:r w:rsidR="00D957BD">
        <w:rPr>
          <w:rFonts w:cs="Arial"/>
        </w:rPr>
        <w:t>)</w:t>
      </w:r>
      <w:r w:rsidRPr="00FD2D6B">
        <w:rPr>
          <w:rFonts w:cs="Arial"/>
        </w:rPr>
        <w:t xml:space="preserve"> clinical advice on seasonal influenza</w:t>
      </w:r>
      <w:r w:rsidR="003E32D9" w:rsidRPr="00FD2D6B">
        <w:rPr>
          <w:rFonts w:cs="Arial"/>
        </w:rPr>
        <w:t xml:space="preserve"> and the World Health Organisation (WHO)</w:t>
      </w:r>
      <w:r w:rsidR="00AD3DFC" w:rsidRPr="00FD2D6B">
        <w:rPr>
          <w:rFonts w:cs="Arial"/>
        </w:rPr>
        <w:t xml:space="preserve">. </w:t>
      </w:r>
      <w:r w:rsidR="00C32BB6" w:rsidRPr="00FD2D6B">
        <w:rPr>
          <w:rFonts w:cs="Arial"/>
        </w:rPr>
        <w:t xml:space="preserve">The Australian Immunisation Handbook lists influenza </w:t>
      </w:r>
      <w:r w:rsidRPr="00FD2D6B">
        <w:rPr>
          <w:rFonts w:cs="Arial"/>
        </w:rPr>
        <w:t>a</w:t>
      </w:r>
      <w:r w:rsidR="00C32BB6" w:rsidRPr="00FD2D6B">
        <w:rPr>
          <w:rFonts w:cs="Arial"/>
        </w:rPr>
        <w:t>s the most common vaccine-preventable disease in Australia</w:t>
      </w:r>
      <w:r w:rsidRPr="00FD2D6B">
        <w:rPr>
          <w:rFonts w:cs="Arial"/>
        </w:rPr>
        <w:t>,</w:t>
      </w:r>
      <w:r w:rsidR="00C32BB6" w:rsidRPr="00FD2D6B">
        <w:rPr>
          <w:rFonts w:cs="Arial"/>
        </w:rPr>
        <w:t xml:space="preserve"> and </w:t>
      </w:r>
      <w:r w:rsidR="003E32D9" w:rsidRPr="00FD2D6B">
        <w:rPr>
          <w:rFonts w:cs="Arial"/>
        </w:rPr>
        <w:t>recognises</w:t>
      </w:r>
      <w:r w:rsidR="00C32BB6" w:rsidRPr="00FD2D6B">
        <w:rPr>
          <w:rFonts w:cs="Arial"/>
        </w:rPr>
        <w:t xml:space="preserve"> that while it can be a mild disease, it can also cause very serious illness in otherwise healthy people. </w:t>
      </w:r>
    </w:p>
    <w:p w14:paraId="471DBF8B" w14:textId="495E5532" w:rsidR="000739C7" w:rsidRPr="00FD2D6B" w:rsidRDefault="00F570D4">
      <w:pPr>
        <w:pStyle w:val="DHHSbody"/>
        <w:spacing w:after="240"/>
        <w:rPr>
          <w:rFonts w:cs="Arial"/>
        </w:rPr>
      </w:pPr>
      <w:r w:rsidRPr="00FD2D6B">
        <w:rPr>
          <w:rFonts w:cs="Arial"/>
        </w:rPr>
        <w:t xml:space="preserve">The </w:t>
      </w:r>
      <w:r w:rsidR="00F653F1" w:rsidRPr="00FD2D6B">
        <w:rPr>
          <w:rFonts w:cs="Arial"/>
        </w:rPr>
        <w:t xml:space="preserve">WHO recommends annual vaccination for high-risk groups including health care workers. </w:t>
      </w:r>
      <w:r w:rsidR="00553264" w:rsidRPr="00FD2D6B">
        <w:rPr>
          <w:rFonts w:cs="Arial"/>
        </w:rPr>
        <w:t>Their recommendation</w:t>
      </w:r>
      <w:r w:rsidR="00D32747" w:rsidRPr="00FD2D6B">
        <w:rPr>
          <w:rFonts w:cs="Arial"/>
        </w:rPr>
        <w:t xml:space="preserve"> is</w:t>
      </w:r>
      <w:r w:rsidR="002039EB" w:rsidRPr="00FD2D6B">
        <w:rPr>
          <w:rFonts w:cs="Arial"/>
        </w:rPr>
        <w:t xml:space="preserve"> that people </w:t>
      </w:r>
      <w:r w:rsidR="00D32747" w:rsidRPr="00FD2D6B">
        <w:rPr>
          <w:rFonts w:cs="Arial"/>
        </w:rPr>
        <w:t>receive an influenza vaccine</w:t>
      </w:r>
      <w:r w:rsidR="00F653F1" w:rsidRPr="00FD2D6B">
        <w:rPr>
          <w:rFonts w:cs="Arial"/>
        </w:rPr>
        <w:t xml:space="preserve"> just before the influenza season begins for the most effective coverage, </w:t>
      </w:r>
      <w:r w:rsidR="003E32D9" w:rsidRPr="00FD2D6B">
        <w:rPr>
          <w:rFonts w:cs="Arial"/>
        </w:rPr>
        <w:t xml:space="preserve">but that </w:t>
      </w:r>
      <w:r w:rsidR="00553264" w:rsidRPr="00FD2D6B">
        <w:rPr>
          <w:rFonts w:cs="Arial"/>
        </w:rPr>
        <w:t>vaccination</w:t>
      </w:r>
      <w:r w:rsidR="00F653F1" w:rsidRPr="00FD2D6B">
        <w:rPr>
          <w:rFonts w:cs="Arial"/>
        </w:rPr>
        <w:t xml:space="preserve"> at any time during the influenza season </w:t>
      </w:r>
      <w:r w:rsidR="00553264" w:rsidRPr="00FD2D6B">
        <w:rPr>
          <w:rFonts w:cs="Arial"/>
        </w:rPr>
        <w:t>will</w:t>
      </w:r>
      <w:r w:rsidR="00F653F1" w:rsidRPr="00FD2D6B">
        <w:rPr>
          <w:rFonts w:cs="Arial"/>
        </w:rPr>
        <w:t xml:space="preserve"> still help </w:t>
      </w:r>
      <w:r w:rsidR="00DA49CF">
        <w:rPr>
          <w:rFonts w:cs="Arial"/>
        </w:rPr>
        <w:t xml:space="preserve">to </w:t>
      </w:r>
      <w:r w:rsidR="00F653F1" w:rsidRPr="00FD2D6B">
        <w:rPr>
          <w:rFonts w:cs="Arial"/>
        </w:rPr>
        <w:t>prevent infection.</w:t>
      </w:r>
    </w:p>
    <w:p w14:paraId="1A952C82" w14:textId="2F772105" w:rsidR="00B93A01" w:rsidRPr="009531CE" w:rsidRDefault="00E5469F" w:rsidP="00BC3A27">
      <w:pPr>
        <w:pStyle w:val="Heading4"/>
      </w:pPr>
      <w:r>
        <w:t xml:space="preserve">4.1.2 </w:t>
      </w:r>
      <w:r w:rsidR="00B93A01">
        <w:t>Vaccination requirement</w:t>
      </w:r>
    </w:p>
    <w:p w14:paraId="438398E8" w14:textId="6AD2DA00" w:rsidR="000B0000" w:rsidRDefault="0007148E">
      <w:pPr>
        <w:pStyle w:val="DHHSbody"/>
        <w:spacing w:after="240"/>
        <w:rPr>
          <w:rFonts w:cs="Arial"/>
        </w:rPr>
      </w:pPr>
      <w:r>
        <w:rPr>
          <w:rFonts w:cs="Arial"/>
        </w:rPr>
        <w:t>The i</w:t>
      </w:r>
      <w:r w:rsidR="000C66E5">
        <w:rPr>
          <w:rFonts w:cs="Arial"/>
        </w:rPr>
        <w:t>nfluenza D</w:t>
      </w:r>
      <w:r w:rsidR="00EE6B23">
        <w:rPr>
          <w:rFonts w:cs="Arial"/>
        </w:rPr>
        <w:t xml:space="preserve">irections </w:t>
      </w:r>
      <w:r w:rsidR="000C66E5">
        <w:rPr>
          <w:rFonts w:cs="Arial"/>
        </w:rPr>
        <w:t>state that</w:t>
      </w:r>
      <w:r w:rsidR="000B0000">
        <w:rPr>
          <w:rFonts w:cs="Arial"/>
        </w:rPr>
        <w:t>:</w:t>
      </w:r>
    </w:p>
    <w:p w14:paraId="2A8DD66C" w14:textId="3C1A82C4" w:rsidR="000B0000" w:rsidRPr="00F56540" w:rsidRDefault="000B0000" w:rsidP="000B0000">
      <w:pPr>
        <w:pStyle w:val="DHHSbody"/>
        <w:numPr>
          <w:ilvl w:val="0"/>
          <w:numId w:val="8"/>
        </w:numPr>
        <w:spacing w:after="0" w:line="276" w:lineRule="auto"/>
        <w:rPr>
          <w:rFonts w:cs="Arial"/>
        </w:rPr>
      </w:pPr>
      <w:r w:rsidRPr="00F56540">
        <w:rPr>
          <w:rFonts w:cs="Arial"/>
        </w:rPr>
        <w:t xml:space="preserve">current and newly commencing </w:t>
      </w:r>
      <w:r w:rsidRPr="00BF3EAE">
        <w:rPr>
          <w:rFonts w:cs="Arial"/>
          <w:b/>
          <w:bCs/>
        </w:rPr>
        <w:t>Category A and Category B</w:t>
      </w:r>
      <w:r w:rsidRPr="00F56540">
        <w:rPr>
          <w:rFonts w:cs="Arial"/>
        </w:rPr>
        <w:t xml:space="preserve"> healthcare workers </w:t>
      </w:r>
      <w:r w:rsidR="000C66E5" w:rsidRPr="00BF3EAE">
        <w:rPr>
          <w:rFonts w:cs="Arial"/>
          <w:b/>
          <w:bCs/>
        </w:rPr>
        <w:t>must</w:t>
      </w:r>
      <w:r w:rsidRPr="00BF3EAE">
        <w:rPr>
          <w:rFonts w:cs="Arial"/>
          <w:b/>
          <w:bCs/>
        </w:rPr>
        <w:t xml:space="preserve"> be vaccinated</w:t>
      </w:r>
      <w:r w:rsidRPr="00F56540">
        <w:rPr>
          <w:rFonts w:cs="Arial"/>
        </w:rPr>
        <w:t xml:space="preserve"> </w:t>
      </w:r>
      <w:r>
        <w:rPr>
          <w:rFonts w:cs="Arial"/>
        </w:rPr>
        <w:t xml:space="preserve">for </w:t>
      </w:r>
      <w:r w:rsidRPr="00F56540">
        <w:rPr>
          <w:rFonts w:cs="Arial"/>
        </w:rPr>
        <w:t xml:space="preserve">seasonal influenza </w:t>
      </w:r>
      <w:r w:rsidR="00DA49CF">
        <w:rPr>
          <w:rFonts w:cs="Arial"/>
        </w:rPr>
        <w:t xml:space="preserve">annually by </w:t>
      </w:r>
      <w:r w:rsidRPr="00F56540">
        <w:rPr>
          <w:rFonts w:cs="Arial"/>
        </w:rPr>
        <w:t>15 August</w:t>
      </w:r>
      <w:r w:rsidR="00DA49CF">
        <w:rPr>
          <w:rFonts w:cs="Arial"/>
        </w:rPr>
        <w:t>.</w:t>
      </w:r>
    </w:p>
    <w:p w14:paraId="4E390212" w14:textId="180F2930" w:rsidR="000C66E5" w:rsidRPr="00603F9C" w:rsidRDefault="000B0000" w:rsidP="00603F9C">
      <w:pPr>
        <w:pStyle w:val="DHHSbody"/>
        <w:numPr>
          <w:ilvl w:val="0"/>
          <w:numId w:val="8"/>
        </w:numPr>
        <w:spacing w:line="276" w:lineRule="auto"/>
        <w:rPr>
          <w:rFonts w:cs="Arial"/>
        </w:rPr>
      </w:pPr>
      <w:r w:rsidRPr="00F56540">
        <w:rPr>
          <w:rFonts w:cs="Arial"/>
        </w:rPr>
        <w:t xml:space="preserve">current and newly commencing </w:t>
      </w:r>
      <w:r w:rsidRPr="00BF3EAE">
        <w:rPr>
          <w:rFonts w:cs="Arial"/>
          <w:b/>
          <w:bCs/>
        </w:rPr>
        <w:t>Category C</w:t>
      </w:r>
      <w:r w:rsidRPr="00F56540">
        <w:rPr>
          <w:rFonts w:cs="Arial"/>
        </w:rPr>
        <w:t xml:space="preserve"> healthcare workers are </w:t>
      </w:r>
      <w:r w:rsidRPr="00BF3EAE">
        <w:rPr>
          <w:rFonts w:cs="Arial"/>
          <w:b/>
          <w:bCs/>
        </w:rPr>
        <w:t>strongly encouraged to be vaccinated</w:t>
      </w:r>
      <w:r w:rsidRPr="00F56540">
        <w:rPr>
          <w:rFonts w:cs="Arial"/>
        </w:rPr>
        <w:t xml:space="preserve"> against seasonal influenza </w:t>
      </w:r>
      <w:r w:rsidR="00DA49CF">
        <w:rPr>
          <w:rFonts w:cs="Arial"/>
        </w:rPr>
        <w:t xml:space="preserve">annually </w:t>
      </w:r>
      <w:r w:rsidRPr="00F56540">
        <w:rPr>
          <w:rFonts w:cs="Arial"/>
        </w:rPr>
        <w:t>by 15 August</w:t>
      </w:r>
      <w:r w:rsidR="00DA49CF">
        <w:rPr>
          <w:rFonts w:cs="Arial"/>
        </w:rPr>
        <w:t>.</w:t>
      </w:r>
    </w:p>
    <w:p w14:paraId="79E915C1" w14:textId="4938EEE6" w:rsidR="002205D2" w:rsidRPr="00F56540" w:rsidRDefault="00757CD0" w:rsidP="00BF3EAE">
      <w:pPr>
        <w:pStyle w:val="DHHSbody"/>
        <w:spacing w:after="240"/>
        <w:rPr>
          <w:rFonts w:cs="Arial"/>
        </w:rPr>
      </w:pPr>
      <w:r>
        <w:rPr>
          <w:rFonts w:cs="Arial"/>
        </w:rPr>
        <w:t xml:space="preserve">Health services must undertake </w:t>
      </w:r>
      <w:r w:rsidR="00603F9C">
        <w:rPr>
          <w:rFonts w:cs="Arial"/>
        </w:rPr>
        <w:t xml:space="preserve">an </w:t>
      </w:r>
      <w:r>
        <w:rPr>
          <w:rFonts w:cs="Arial"/>
        </w:rPr>
        <w:t>assessment of workers</w:t>
      </w:r>
      <w:r w:rsidR="00603F9C">
        <w:rPr>
          <w:rFonts w:cs="Arial"/>
        </w:rPr>
        <w:t>’</w:t>
      </w:r>
      <w:r>
        <w:rPr>
          <w:rFonts w:cs="Arial"/>
        </w:rPr>
        <w:t xml:space="preserve"> </w:t>
      </w:r>
      <w:r w:rsidR="00603F9C">
        <w:rPr>
          <w:rFonts w:cs="Arial"/>
        </w:rPr>
        <w:t xml:space="preserve">roles </w:t>
      </w:r>
      <w:r>
        <w:rPr>
          <w:rFonts w:cs="Arial"/>
        </w:rPr>
        <w:t>to determine their</w:t>
      </w:r>
      <w:r w:rsidR="00514F94">
        <w:rPr>
          <w:rFonts w:cs="Arial"/>
        </w:rPr>
        <w:t xml:space="preserve"> risk category and </w:t>
      </w:r>
      <w:r w:rsidR="0007148E">
        <w:rPr>
          <w:rFonts w:cs="Arial"/>
        </w:rPr>
        <w:t xml:space="preserve">corresponding </w:t>
      </w:r>
      <w:r>
        <w:rPr>
          <w:rFonts w:cs="Arial"/>
        </w:rPr>
        <w:t>vaccination requirements</w:t>
      </w:r>
      <w:r w:rsidR="000B0000">
        <w:rPr>
          <w:rFonts w:cs="Arial"/>
        </w:rPr>
        <w:t>.</w:t>
      </w:r>
    </w:p>
    <w:p w14:paraId="3E8045ED" w14:textId="4DDB357C" w:rsidR="00B93A01" w:rsidRPr="00F56540" w:rsidRDefault="00E5469F" w:rsidP="00BC3A27">
      <w:pPr>
        <w:pStyle w:val="Heading4"/>
      </w:pPr>
      <w:r>
        <w:t xml:space="preserve">4.1.3 </w:t>
      </w:r>
      <w:r w:rsidR="00B93A01">
        <w:t>Evidence of influenza vaccination</w:t>
      </w:r>
    </w:p>
    <w:p w14:paraId="76D7F48E" w14:textId="2A4636A5" w:rsidR="002205D2" w:rsidRPr="00F56540" w:rsidRDefault="0028323A" w:rsidP="00CB5FF2">
      <w:pPr>
        <w:pStyle w:val="DHHSbodyafterbullets"/>
        <w:spacing w:before="0" w:after="240"/>
        <w:rPr>
          <w:rFonts w:cs="Arial"/>
        </w:rPr>
      </w:pPr>
      <w:r w:rsidRPr="00F56540">
        <w:rPr>
          <w:rFonts w:cs="Arial"/>
        </w:rPr>
        <w:t>The p</w:t>
      </w:r>
      <w:r w:rsidR="00CF285F" w:rsidRPr="00F56540">
        <w:rPr>
          <w:rFonts w:cs="Arial"/>
        </w:rPr>
        <w:t>referred e</w:t>
      </w:r>
      <w:r w:rsidR="002205D2" w:rsidRPr="00F56540">
        <w:rPr>
          <w:rFonts w:cs="Arial"/>
        </w:rPr>
        <w:t>vidence of vaccination for Category A</w:t>
      </w:r>
      <w:r w:rsidR="00CE5D94" w:rsidRPr="00F56540">
        <w:rPr>
          <w:rFonts w:cs="Arial"/>
        </w:rPr>
        <w:t xml:space="preserve"> and B</w:t>
      </w:r>
      <w:r w:rsidR="002205D2" w:rsidRPr="00F56540">
        <w:rPr>
          <w:rFonts w:cs="Arial"/>
        </w:rPr>
        <w:t xml:space="preserve"> healthcare workers is an immunisation history statement</w:t>
      </w:r>
      <w:r w:rsidR="005F0B75">
        <w:rPr>
          <w:rFonts w:cs="Arial"/>
        </w:rPr>
        <w:t xml:space="preserve"> (IHS) </w:t>
      </w:r>
      <w:r w:rsidR="002205D2" w:rsidRPr="00F56540">
        <w:rPr>
          <w:rFonts w:cs="Arial"/>
        </w:rPr>
        <w:t xml:space="preserve">from the Australian Immunisation Register (AIR). Prospective and current healthcare workers who do not have a record of vaccination on the AIR </w:t>
      </w:r>
      <w:r w:rsidR="002C5025">
        <w:rPr>
          <w:rFonts w:cs="Arial"/>
        </w:rPr>
        <w:t xml:space="preserve">should </w:t>
      </w:r>
      <w:r w:rsidR="002205D2" w:rsidRPr="00F56540">
        <w:rPr>
          <w:rFonts w:cs="Arial"/>
        </w:rPr>
        <w:t xml:space="preserve">seek to establish a record and are advised to have their </w:t>
      </w:r>
      <w:r w:rsidR="003B54BB">
        <w:rPr>
          <w:rFonts w:cs="Arial"/>
        </w:rPr>
        <w:t xml:space="preserve">influenza and </w:t>
      </w:r>
      <w:r w:rsidR="002205D2" w:rsidRPr="00F56540">
        <w:rPr>
          <w:rFonts w:cs="Arial"/>
        </w:rPr>
        <w:t xml:space="preserve">previous vaccination history recorded on </w:t>
      </w:r>
      <w:r w:rsidR="003B54BB">
        <w:rPr>
          <w:rFonts w:cs="Arial"/>
        </w:rPr>
        <w:t xml:space="preserve">the </w:t>
      </w:r>
      <w:r w:rsidR="002205D2" w:rsidRPr="00F56540">
        <w:rPr>
          <w:rFonts w:cs="Arial"/>
        </w:rPr>
        <w:t>AIR</w:t>
      </w:r>
      <w:r w:rsidR="003B54BB">
        <w:rPr>
          <w:rFonts w:cs="Arial"/>
        </w:rPr>
        <w:t xml:space="preserve">. </w:t>
      </w:r>
    </w:p>
    <w:p w14:paraId="57BFF59B" w14:textId="77777777" w:rsidR="00B93A01" w:rsidRDefault="00B93A01" w:rsidP="34D40250">
      <w:pPr>
        <w:pStyle w:val="DHHSbodyafterbullets"/>
        <w:spacing w:after="240"/>
        <w:rPr>
          <w:rFonts w:cs="Arial"/>
        </w:rPr>
      </w:pPr>
      <w:r w:rsidRPr="00F56540">
        <w:rPr>
          <w:rFonts w:cs="Arial"/>
        </w:rPr>
        <w:t>Mandatory reporting of vaccinations to the AIR commenced in February 2021 for influenza. There are some health services with system challenges that mean that they are unable to report to the AIR. Where a healthcare worker is vaccinated in a setting that does not directly link to the AIR, such as a staff vaccination program within a health service, documented evidence provided by the health service provider would also be suitable.</w:t>
      </w:r>
    </w:p>
    <w:p w14:paraId="1461F9DA" w14:textId="2E417F5D" w:rsidR="00B93A01" w:rsidRPr="00F56540" w:rsidRDefault="00E5469F" w:rsidP="00BC3A27">
      <w:pPr>
        <w:pStyle w:val="Heading4"/>
        <w:spacing w:before="0"/>
      </w:pPr>
      <w:r>
        <w:t xml:space="preserve">4.1.4 </w:t>
      </w:r>
      <w:r w:rsidR="001274E9">
        <w:t>Exemptions</w:t>
      </w:r>
    </w:p>
    <w:p w14:paraId="3AC8F7E7" w14:textId="7A83272B" w:rsidR="002E4064" w:rsidRPr="00F56540" w:rsidRDefault="002E4064" w:rsidP="00CB5FF2">
      <w:pPr>
        <w:pStyle w:val="DHHSbodyafterbullets"/>
        <w:spacing w:before="0" w:after="360"/>
        <w:rPr>
          <w:rFonts w:cs="Arial"/>
        </w:rPr>
      </w:pPr>
      <w:r w:rsidRPr="00F56540">
        <w:rPr>
          <w:rFonts w:cs="Arial"/>
        </w:rPr>
        <w:t xml:space="preserve">Healthcare workers </w:t>
      </w:r>
      <w:r w:rsidR="005F0B75">
        <w:rPr>
          <w:rFonts w:cs="Arial"/>
        </w:rPr>
        <w:t xml:space="preserve">are exempt from the requirement to be vaccinated if they have a medical contraindication, and </w:t>
      </w:r>
      <w:r w:rsidRPr="00F56540">
        <w:rPr>
          <w:rFonts w:cs="Arial"/>
        </w:rPr>
        <w:t xml:space="preserve">may be exempt from compliance with the influenza vaccination requirement in a small number of other exceptional circumstances, outlined </w:t>
      </w:r>
      <w:hyperlink w:anchor="_9.5_Exceptional_circumstances" w:history="1">
        <w:r w:rsidRPr="009D000C">
          <w:rPr>
            <w:rStyle w:val="Hyperlink"/>
            <w:rFonts w:cs="Arial"/>
            <w:i/>
            <w:iCs/>
          </w:rPr>
          <w:t xml:space="preserve">Section </w:t>
        </w:r>
        <w:r w:rsidR="000C46F7" w:rsidRPr="009D000C">
          <w:rPr>
            <w:rStyle w:val="Hyperlink"/>
            <w:rFonts w:cs="Arial"/>
            <w:i/>
            <w:iCs/>
          </w:rPr>
          <w:t>9</w:t>
        </w:r>
        <w:r w:rsidR="008F10C6" w:rsidRPr="009D000C">
          <w:rPr>
            <w:rStyle w:val="Hyperlink"/>
            <w:rFonts w:cs="Arial"/>
            <w:i/>
            <w:iCs/>
          </w:rPr>
          <w:t>.5</w:t>
        </w:r>
      </w:hyperlink>
      <w:r w:rsidRPr="00F56540">
        <w:rPr>
          <w:rFonts w:cs="Arial"/>
        </w:rPr>
        <w:t xml:space="preserve">. </w:t>
      </w:r>
    </w:p>
    <w:p w14:paraId="55215BFA" w14:textId="055D4BFA" w:rsidR="00C03D9C" w:rsidRPr="00BC3A27" w:rsidRDefault="00CD761A" w:rsidP="19700172">
      <w:pPr>
        <w:pStyle w:val="Heading3"/>
        <w:rPr>
          <w:b/>
          <w:sz w:val="28"/>
          <w:szCs w:val="28"/>
        </w:rPr>
      </w:pPr>
      <w:bookmarkStart w:id="18" w:name="_Toc116457920"/>
      <w:r w:rsidRPr="19700172">
        <w:rPr>
          <w:b/>
          <w:sz w:val="28"/>
          <w:szCs w:val="28"/>
        </w:rPr>
        <w:t xml:space="preserve">4.2 </w:t>
      </w:r>
      <w:r w:rsidR="00C03D9C" w:rsidRPr="19700172">
        <w:rPr>
          <w:b/>
          <w:sz w:val="28"/>
          <w:szCs w:val="28"/>
        </w:rPr>
        <w:t>COVID-19 vaccine</w:t>
      </w:r>
      <w:bookmarkEnd w:id="18"/>
    </w:p>
    <w:p w14:paraId="59F9D68C" w14:textId="6C83550B" w:rsidR="001274E9" w:rsidRPr="00277E83" w:rsidRDefault="00E5469F" w:rsidP="00BC3A27">
      <w:pPr>
        <w:pStyle w:val="Heading4"/>
      </w:pPr>
      <w:r>
        <w:t xml:space="preserve">4.2.1 </w:t>
      </w:r>
      <w:r w:rsidR="00EC4CB4">
        <w:t xml:space="preserve">Context </w:t>
      </w:r>
    </w:p>
    <w:p w14:paraId="66AA1B53" w14:textId="68D05CCA" w:rsidR="00EC1E84" w:rsidRPr="00277E83" w:rsidRDefault="00EC1E84" w:rsidP="00EC1E84">
      <w:pPr>
        <w:rPr>
          <w:rFonts w:eastAsia="Times" w:cs="Arial"/>
          <w:sz w:val="20"/>
        </w:rPr>
      </w:pPr>
      <w:r w:rsidRPr="00277E83">
        <w:rPr>
          <w:rFonts w:eastAsia="Times" w:cs="Arial"/>
          <w:sz w:val="20"/>
        </w:rPr>
        <w:t xml:space="preserve">Healthcare settings are </w:t>
      </w:r>
      <w:r w:rsidR="00285370">
        <w:rPr>
          <w:rFonts w:eastAsia="Times" w:cs="Arial"/>
          <w:sz w:val="20"/>
        </w:rPr>
        <w:t xml:space="preserve">currently </w:t>
      </w:r>
      <w:r w:rsidRPr="00277E83">
        <w:rPr>
          <w:rFonts w:eastAsia="Times" w:cs="Arial"/>
          <w:sz w:val="20"/>
        </w:rPr>
        <w:t xml:space="preserve">significantly impacted by COVID-19 and warrant optimisation of all available and proportionate measures to limit transmission and impacts of COVID-19 infection </w:t>
      </w:r>
      <w:r w:rsidR="003302C2" w:rsidRPr="00277E83">
        <w:rPr>
          <w:rFonts w:eastAsia="Times" w:cs="Arial"/>
          <w:sz w:val="20"/>
        </w:rPr>
        <w:t>to</w:t>
      </w:r>
      <w:r w:rsidRPr="00277E83">
        <w:rPr>
          <w:rFonts w:eastAsia="Times" w:cs="Arial"/>
          <w:sz w:val="20"/>
        </w:rPr>
        <w:t xml:space="preserve"> continue providing essential services to the Victorian community.</w:t>
      </w:r>
    </w:p>
    <w:p w14:paraId="26E726C8" w14:textId="77777777" w:rsidR="00EC1E84" w:rsidRPr="00277E83" w:rsidRDefault="00EC1E84" w:rsidP="00EC1E84">
      <w:pPr>
        <w:rPr>
          <w:rFonts w:eastAsia="Times" w:cs="Arial"/>
          <w:sz w:val="20"/>
        </w:rPr>
      </w:pPr>
      <w:r w:rsidRPr="00277E83">
        <w:rPr>
          <w:rFonts w:eastAsia="Times" w:cs="Arial"/>
          <w:sz w:val="20"/>
        </w:rPr>
        <w:t>COVID-19 vaccines remain an effective intervention that reduces the risk of severe disease, hospitalisation and death against the currently dominant variants and subvariants of COVID-19, and the vaccines also provide some protection against symptomatic disease and onward transmission of the disease.  </w:t>
      </w:r>
    </w:p>
    <w:p w14:paraId="185BECC7" w14:textId="4702BC0E" w:rsidR="001274E9" w:rsidRPr="003302C2" w:rsidRDefault="0051548E" w:rsidP="003302C2">
      <w:pPr>
        <w:rPr>
          <w:rFonts w:eastAsia="Times" w:cs="Arial"/>
          <w:sz w:val="20"/>
        </w:rPr>
      </w:pPr>
      <w:r w:rsidRPr="00277E83">
        <w:rPr>
          <w:rFonts w:eastAsia="Times" w:cs="Arial"/>
          <w:sz w:val="20"/>
        </w:rPr>
        <w:lastRenderedPageBreak/>
        <w:t xml:space="preserve">Healthcare workers interact with and/or provide care for people at increased risk of harm and death from COVID-19 due to individual factors such as their demographic, medical conditions and other comorbidities. </w:t>
      </w:r>
      <w:r w:rsidR="00813E6C" w:rsidRPr="00277E83">
        <w:rPr>
          <w:rFonts w:eastAsia="Times" w:cs="Arial"/>
          <w:sz w:val="20"/>
        </w:rPr>
        <w:t>Additionally, s</w:t>
      </w:r>
      <w:r w:rsidRPr="00277E83">
        <w:rPr>
          <w:rFonts w:eastAsia="Times" w:cs="Arial"/>
          <w:sz w:val="20"/>
        </w:rPr>
        <w:t xml:space="preserve">ome people with whom healthcare workers are interacting </w:t>
      </w:r>
      <w:r w:rsidR="007F4243" w:rsidRPr="00277E83">
        <w:rPr>
          <w:rFonts w:eastAsia="Times" w:cs="Arial"/>
          <w:sz w:val="20"/>
        </w:rPr>
        <w:t xml:space="preserve">with </w:t>
      </w:r>
      <w:r w:rsidRPr="00277E83">
        <w:rPr>
          <w:rFonts w:eastAsia="Times" w:cs="Arial"/>
          <w:sz w:val="20"/>
        </w:rPr>
        <w:t>are especially vulnerable because their health status precludes them from being vaccinated against COVID-19 or diminishes the benefit conferred by vaccination</w:t>
      </w:r>
      <w:r w:rsidR="002B57F8">
        <w:rPr>
          <w:rFonts w:eastAsia="Times" w:cs="Arial"/>
          <w:sz w:val="20"/>
        </w:rPr>
        <w:t>, further compounding</w:t>
      </w:r>
      <w:r w:rsidRPr="00277E83">
        <w:rPr>
          <w:rFonts w:eastAsia="Times" w:cs="Arial"/>
          <w:sz w:val="20"/>
        </w:rPr>
        <w:t xml:space="preserve"> these </w:t>
      </w:r>
      <w:r w:rsidR="000162EB" w:rsidRPr="00277E83">
        <w:rPr>
          <w:rFonts w:eastAsia="Times" w:cs="Arial"/>
          <w:sz w:val="20"/>
        </w:rPr>
        <w:t>individuals</w:t>
      </w:r>
      <w:r w:rsidR="003302C2">
        <w:rPr>
          <w:rFonts w:eastAsia="Times" w:cs="Arial"/>
          <w:sz w:val="20"/>
        </w:rPr>
        <w:t>’</w:t>
      </w:r>
      <w:r w:rsidRPr="00277E83">
        <w:rPr>
          <w:rFonts w:eastAsia="Times" w:cs="Arial"/>
          <w:sz w:val="20"/>
        </w:rPr>
        <w:t xml:space="preserve"> risk of serious impacts from COVID-19. </w:t>
      </w:r>
      <w:r w:rsidR="001835CA" w:rsidRPr="00277E83">
        <w:rPr>
          <w:rFonts w:eastAsia="Times" w:cs="Arial"/>
          <w:sz w:val="20"/>
        </w:rPr>
        <w:t>The highest levels of protective measures</w:t>
      </w:r>
      <w:r w:rsidR="00530C40">
        <w:rPr>
          <w:rFonts w:eastAsia="Times" w:cs="Arial"/>
          <w:sz w:val="20"/>
        </w:rPr>
        <w:t>,</w:t>
      </w:r>
      <w:r w:rsidR="001835CA" w:rsidRPr="00277E83">
        <w:rPr>
          <w:rFonts w:eastAsia="Times" w:cs="Arial"/>
          <w:sz w:val="20"/>
        </w:rPr>
        <w:t xml:space="preserve"> such as vaccination of</w:t>
      </w:r>
      <w:r w:rsidR="004D5AE8" w:rsidRPr="00277E83">
        <w:rPr>
          <w:rFonts w:eastAsia="Times" w:cs="Arial"/>
          <w:sz w:val="20"/>
        </w:rPr>
        <w:t xml:space="preserve"> all</w:t>
      </w:r>
      <w:r w:rsidR="001835CA" w:rsidRPr="00277E83">
        <w:rPr>
          <w:rFonts w:eastAsia="Times" w:cs="Arial"/>
          <w:sz w:val="20"/>
        </w:rPr>
        <w:t xml:space="preserve"> healthcare workers </w:t>
      </w:r>
      <w:r w:rsidR="00DF442E">
        <w:rPr>
          <w:rFonts w:eastAsia="Times" w:cs="Arial"/>
          <w:sz w:val="20"/>
        </w:rPr>
        <w:t xml:space="preserve">working </w:t>
      </w:r>
      <w:r w:rsidR="002F364B" w:rsidRPr="00277E83">
        <w:rPr>
          <w:rFonts w:eastAsia="Times" w:cs="Arial"/>
          <w:sz w:val="20"/>
        </w:rPr>
        <w:t>on site</w:t>
      </w:r>
      <w:r w:rsidR="00530C40">
        <w:rPr>
          <w:rFonts w:eastAsia="Times" w:cs="Arial"/>
          <w:sz w:val="20"/>
        </w:rPr>
        <w:t>,</w:t>
      </w:r>
      <w:r w:rsidR="002F364B" w:rsidRPr="00277E83">
        <w:rPr>
          <w:rFonts w:eastAsia="Times" w:cs="Arial"/>
          <w:sz w:val="20"/>
        </w:rPr>
        <w:t xml:space="preserve"> </w:t>
      </w:r>
      <w:r w:rsidR="001835CA" w:rsidRPr="00277E83">
        <w:rPr>
          <w:rFonts w:eastAsia="Times" w:cs="Arial"/>
          <w:sz w:val="20"/>
        </w:rPr>
        <w:t xml:space="preserve">are </w:t>
      </w:r>
      <w:r w:rsidR="00530C40">
        <w:rPr>
          <w:rFonts w:eastAsia="Times" w:cs="Arial"/>
          <w:sz w:val="20"/>
        </w:rPr>
        <w:t xml:space="preserve">therefore </w:t>
      </w:r>
      <w:r w:rsidR="00D27303" w:rsidRPr="00277E83">
        <w:rPr>
          <w:rFonts w:eastAsia="Times" w:cs="Arial"/>
          <w:sz w:val="20"/>
        </w:rPr>
        <w:t>required</w:t>
      </w:r>
      <w:r w:rsidR="001D4DF2" w:rsidRPr="00277E83">
        <w:rPr>
          <w:rFonts w:eastAsia="Times" w:cs="Arial"/>
          <w:sz w:val="20"/>
        </w:rPr>
        <w:t xml:space="preserve"> </w:t>
      </w:r>
      <w:r w:rsidR="006D0265" w:rsidRPr="00277E83">
        <w:rPr>
          <w:rFonts w:eastAsia="Times" w:cs="Arial"/>
          <w:sz w:val="20"/>
        </w:rPr>
        <w:t xml:space="preserve">to </w:t>
      </w:r>
      <w:r w:rsidR="006D0265" w:rsidRPr="00277E83">
        <w:rPr>
          <w:rFonts w:cs="Arial"/>
          <w:sz w:val="20"/>
        </w:rPr>
        <w:t>protect individual workers, vulnerable people with whom they interact and/or provide care for, and the overall health system.</w:t>
      </w:r>
      <w:r w:rsidR="006D0265" w:rsidRPr="00BF3EAE">
        <w:rPr>
          <w:rFonts w:cs="Arial"/>
          <w:sz w:val="20"/>
        </w:rPr>
        <w:t> </w:t>
      </w:r>
    </w:p>
    <w:p w14:paraId="59F2E6B5" w14:textId="775C46B2" w:rsidR="006D0265" w:rsidRDefault="00E5469F" w:rsidP="00C4245B">
      <w:pPr>
        <w:pStyle w:val="Heading4"/>
        <w:spacing w:after="120"/>
      </w:pPr>
      <w:r>
        <w:t xml:space="preserve">4.2.2 </w:t>
      </w:r>
      <w:r w:rsidR="001274E9">
        <w:t>Vaccination requirement</w:t>
      </w:r>
      <w:r w:rsidR="006D0265" w:rsidRPr="009531CE">
        <w:t> </w:t>
      </w:r>
    </w:p>
    <w:p w14:paraId="19E52AC2" w14:textId="2F360011" w:rsidR="00757CD0" w:rsidRDefault="0044637A" w:rsidP="00CB5FF2">
      <w:pPr>
        <w:pStyle w:val="Body"/>
        <w:rPr>
          <w:sz w:val="20"/>
        </w:rPr>
      </w:pPr>
      <w:r>
        <w:rPr>
          <w:sz w:val="20"/>
        </w:rPr>
        <w:t xml:space="preserve">Interim </w:t>
      </w:r>
      <w:r w:rsidR="001274E9">
        <w:rPr>
          <w:sz w:val="20"/>
        </w:rPr>
        <w:t xml:space="preserve">COVID-19 vaccination </w:t>
      </w:r>
      <w:r w:rsidR="0AB9712A" w:rsidRPr="02CCA15E">
        <w:rPr>
          <w:sz w:val="20"/>
        </w:rPr>
        <w:t xml:space="preserve">Directions </w:t>
      </w:r>
      <w:r w:rsidR="0AB9712A" w:rsidRPr="00BF3EAE">
        <w:rPr>
          <w:b/>
          <w:bCs/>
          <w:sz w:val="20"/>
        </w:rPr>
        <w:t>require</w:t>
      </w:r>
      <w:r w:rsidR="00362160" w:rsidRPr="00BF3EAE">
        <w:rPr>
          <w:b/>
          <w:bCs/>
          <w:sz w:val="20"/>
        </w:rPr>
        <w:t xml:space="preserve"> </w:t>
      </w:r>
      <w:r w:rsidR="003B4821" w:rsidRPr="00BF3EAE">
        <w:rPr>
          <w:b/>
          <w:bCs/>
          <w:sz w:val="20"/>
        </w:rPr>
        <w:t>C</w:t>
      </w:r>
      <w:r w:rsidR="00DA3BA4" w:rsidRPr="00BF3EAE">
        <w:rPr>
          <w:b/>
          <w:bCs/>
          <w:sz w:val="20"/>
        </w:rPr>
        <w:t>ategory A</w:t>
      </w:r>
      <w:r w:rsidR="00DA3BA4" w:rsidRPr="00BF3EAE" w:rsidDel="00757CD0">
        <w:rPr>
          <w:b/>
          <w:bCs/>
          <w:sz w:val="20"/>
        </w:rPr>
        <w:t>,</w:t>
      </w:r>
      <w:r w:rsidR="00DA3BA4" w:rsidRPr="00BF3EAE">
        <w:rPr>
          <w:b/>
          <w:bCs/>
          <w:sz w:val="20"/>
        </w:rPr>
        <w:t xml:space="preserve"> B </w:t>
      </w:r>
      <w:r w:rsidR="00DA3BA4" w:rsidRPr="00BF3EAE" w:rsidDel="00DE2A2E">
        <w:rPr>
          <w:b/>
          <w:bCs/>
          <w:sz w:val="20"/>
        </w:rPr>
        <w:t xml:space="preserve">and C </w:t>
      </w:r>
      <w:r w:rsidR="00DA3BA4" w:rsidRPr="00E4091E">
        <w:rPr>
          <w:sz w:val="20"/>
        </w:rPr>
        <w:t>workers</w:t>
      </w:r>
      <w:r w:rsidR="002369D7" w:rsidRPr="00E4091E">
        <w:rPr>
          <w:sz w:val="20"/>
        </w:rPr>
        <w:t xml:space="preserve"> (current and newly commencing) to be</w:t>
      </w:r>
      <w:r w:rsidR="002369D7" w:rsidRPr="00BF3EAE">
        <w:rPr>
          <w:b/>
          <w:bCs/>
          <w:sz w:val="20"/>
        </w:rPr>
        <w:t xml:space="preserve"> </w:t>
      </w:r>
      <w:r w:rsidR="00357C22" w:rsidRPr="00BF3EAE">
        <w:rPr>
          <w:b/>
          <w:bCs/>
          <w:sz w:val="20"/>
        </w:rPr>
        <w:t xml:space="preserve">fully vaccinated </w:t>
      </w:r>
      <w:r w:rsidR="00357C22" w:rsidRPr="00E4091E" w:rsidDel="00757CD0">
        <w:rPr>
          <w:sz w:val="20"/>
        </w:rPr>
        <w:t xml:space="preserve">for COVID-19 </w:t>
      </w:r>
      <w:r w:rsidR="00357C22" w:rsidRPr="00E4091E">
        <w:rPr>
          <w:sz w:val="20"/>
        </w:rPr>
        <w:t xml:space="preserve">if they are </w:t>
      </w:r>
      <w:r w:rsidR="00357C22" w:rsidRPr="00E4091E">
        <w:rPr>
          <w:b/>
          <w:bCs/>
          <w:sz w:val="20"/>
        </w:rPr>
        <w:t>under 18 years of age</w:t>
      </w:r>
      <w:r w:rsidR="00E4091E">
        <w:rPr>
          <w:sz w:val="20"/>
        </w:rPr>
        <w:t>,</w:t>
      </w:r>
      <w:r w:rsidR="00357C22" w:rsidRPr="00E4091E">
        <w:rPr>
          <w:sz w:val="20"/>
        </w:rPr>
        <w:t xml:space="preserve"> or</w:t>
      </w:r>
      <w:r w:rsidR="00357C22" w:rsidRPr="00BF3EAE">
        <w:rPr>
          <w:b/>
          <w:bCs/>
          <w:sz w:val="20"/>
        </w:rPr>
        <w:t xml:space="preserve"> fully vaccinated (boosted) </w:t>
      </w:r>
      <w:r w:rsidR="00357C22" w:rsidRPr="00E4091E">
        <w:rPr>
          <w:sz w:val="20"/>
        </w:rPr>
        <w:t xml:space="preserve">for COVID-19 if they are </w:t>
      </w:r>
      <w:r w:rsidR="00357C22" w:rsidRPr="00E4091E">
        <w:rPr>
          <w:b/>
          <w:bCs/>
          <w:sz w:val="20"/>
        </w:rPr>
        <w:t xml:space="preserve">18 years of age or </w:t>
      </w:r>
      <w:r w:rsidR="00D3788B" w:rsidRPr="00E4091E">
        <w:rPr>
          <w:b/>
          <w:bCs/>
          <w:sz w:val="20"/>
        </w:rPr>
        <w:t>older</w:t>
      </w:r>
      <w:r w:rsidR="00911F00" w:rsidRPr="00E4091E">
        <w:rPr>
          <w:sz w:val="20"/>
        </w:rPr>
        <w:t>.</w:t>
      </w:r>
      <w:r w:rsidR="00D3788B" w:rsidRPr="595D8D59">
        <w:rPr>
          <w:sz w:val="20"/>
        </w:rPr>
        <w:t xml:space="preserve"> </w:t>
      </w:r>
    </w:p>
    <w:p w14:paraId="5EE07FC8" w14:textId="1CB21138" w:rsidR="00A25686" w:rsidRPr="006171BD" w:rsidRDefault="00A25686" w:rsidP="00BF3EAE">
      <w:pPr>
        <w:pStyle w:val="Body"/>
      </w:pPr>
      <w:r w:rsidRPr="006171BD">
        <w:rPr>
          <w:sz w:val="20"/>
        </w:rPr>
        <w:t xml:space="preserve">A person is </w:t>
      </w:r>
      <w:r w:rsidRPr="006171BD">
        <w:rPr>
          <w:b/>
          <w:sz w:val="20"/>
        </w:rPr>
        <w:t>fully vaccinated</w:t>
      </w:r>
      <w:r w:rsidRPr="006171BD">
        <w:rPr>
          <w:sz w:val="20"/>
        </w:rPr>
        <w:t xml:space="preserve"> if the person has received:</w:t>
      </w:r>
    </w:p>
    <w:p w14:paraId="65931364" w14:textId="539D7408" w:rsidR="00A25686" w:rsidRPr="006171BD" w:rsidRDefault="00A25686" w:rsidP="00BF3EAE">
      <w:pPr>
        <w:pStyle w:val="Body"/>
        <w:numPr>
          <w:ilvl w:val="0"/>
          <w:numId w:val="29"/>
        </w:numPr>
      </w:pPr>
      <w:r w:rsidRPr="006171BD">
        <w:rPr>
          <w:sz w:val="20"/>
        </w:rPr>
        <w:t>one dose of a one</w:t>
      </w:r>
      <w:r w:rsidR="007B630B">
        <w:rPr>
          <w:sz w:val="20"/>
        </w:rPr>
        <w:t>-</w:t>
      </w:r>
      <w:r w:rsidRPr="006171BD" w:rsidDel="007B630B">
        <w:rPr>
          <w:sz w:val="20"/>
        </w:rPr>
        <w:t xml:space="preserve"> </w:t>
      </w:r>
      <w:r w:rsidRPr="006171BD">
        <w:rPr>
          <w:sz w:val="20"/>
        </w:rPr>
        <w:t>dose COVID-19 vaccine; or</w:t>
      </w:r>
    </w:p>
    <w:p w14:paraId="565BC735" w14:textId="4E68B586" w:rsidR="00A25686" w:rsidRPr="006171BD" w:rsidRDefault="00A25686" w:rsidP="00BF3EAE">
      <w:pPr>
        <w:pStyle w:val="Body"/>
        <w:numPr>
          <w:ilvl w:val="0"/>
          <w:numId w:val="29"/>
        </w:numPr>
        <w:rPr>
          <w:sz w:val="20"/>
        </w:rPr>
      </w:pPr>
      <w:r w:rsidRPr="006171BD">
        <w:rPr>
          <w:sz w:val="20"/>
        </w:rPr>
        <w:t>two doses of a two</w:t>
      </w:r>
      <w:r w:rsidR="00B97E3C">
        <w:rPr>
          <w:sz w:val="20"/>
        </w:rPr>
        <w:t>-</w:t>
      </w:r>
      <w:r w:rsidRPr="006171BD" w:rsidDel="00B97E3C">
        <w:rPr>
          <w:sz w:val="20"/>
        </w:rPr>
        <w:t xml:space="preserve"> </w:t>
      </w:r>
      <w:r w:rsidRPr="006171BD">
        <w:rPr>
          <w:sz w:val="20"/>
        </w:rPr>
        <w:t>dose COVID-19 vaccine</w:t>
      </w:r>
      <w:r w:rsidR="00DA0E22">
        <w:rPr>
          <w:sz w:val="20"/>
        </w:rPr>
        <w:t>,</w:t>
      </w:r>
      <w:r w:rsidRPr="006171BD">
        <w:rPr>
          <w:sz w:val="20"/>
        </w:rPr>
        <w:t xml:space="preserve"> including two different types of two</w:t>
      </w:r>
      <w:r w:rsidR="00B97E3C">
        <w:rPr>
          <w:sz w:val="20"/>
        </w:rPr>
        <w:t>-</w:t>
      </w:r>
      <w:r w:rsidRPr="006171BD" w:rsidDel="00B97E3C">
        <w:rPr>
          <w:sz w:val="20"/>
        </w:rPr>
        <w:t xml:space="preserve"> </w:t>
      </w:r>
      <w:r w:rsidRPr="006171BD">
        <w:rPr>
          <w:sz w:val="20"/>
        </w:rPr>
        <w:t>dose COVID-19 vaccines.</w:t>
      </w:r>
    </w:p>
    <w:p w14:paraId="1099C84C" w14:textId="77777777" w:rsidR="00FE4FAF" w:rsidRPr="006171BD" w:rsidRDefault="00A25686" w:rsidP="00BF3EAE">
      <w:pPr>
        <w:pStyle w:val="Body"/>
      </w:pPr>
      <w:r w:rsidRPr="006171BD">
        <w:rPr>
          <w:sz w:val="20"/>
        </w:rPr>
        <w:t xml:space="preserve">A person is </w:t>
      </w:r>
      <w:r w:rsidRPr="006171BD">
        <w:rPr>
          <w:b/>
          <w:sz w:val="20"/>
        </w:rPr>
        <w:t>fully vaccinated</w:t>
      </w:r>
      <w:r w:rsidRPr="006171BD">
        <w:rPr>
          <w:sz w:val="20"/>
        </w:rPr>
        <w:t xml:space="preserve"> </w:t>
      </w:r>
      <w:r w:rsidRPr="006171BD">
        <w:rPr>
          <w:b/>
          <w:sz w:val="20"/>
        </w:rPr>
        <w:t>(boosted)</w:t>
      </w:r>
      <w:r w:rsidRPr="006171BD">
        <w:rPr>
          <w:sz w:val="20"/>
        </w:rPr>
        <w:t xml:space="preserve"> if the person has received a booster dose. </w:t>
      </w:r>
      <w:r w:rsidR="00FE4FAF" w:rsidRPr="006171BD">
        <w:rPr>
          <w:sz w:val="20"/>
        </w:rPr>
        <w:t xml:space="preserve">A person has received a </w:t>
      </w:r>
      <w:r w:rsidR="00FE4FAF" w:rsidRPr="006171BD">
        <w:rPr>
          <w:b/>
          <w:sz w:val="20"/>
        </w:rPr>
        <w:t>booster dose</w:t>
      </w:r>
      <w:r w:rsidR="00FE4FAF" w:rsidRPr="006171BD">
        <w:rPr>
          <w:sz w:val="20"/>
        </w:rPr>
        <w:t xml:space="preserve"> if they have received: </w:t>
      </w:r>
    </w:p>
    <w:p w14:paraId="76A5B651" w14:textId="5A4622B8" w:rsidR="00FE4FAF" w:rsidRPr="006171BD" w:rsidRDefault="00FE4FAF" w:rsidP="00BF3EAE">
      <w:pPr>
        <w:pStyle w:val="Body"/>
        <w:numPr>
          <w:ilvl w:val="0"/>
          <w:numId w:val="30"/>
        </w:numPr>
      </w:pPr>
      <w:r w:rsidRPr="006171BD">
        <w:rPr>
          <w:sz w:val="20"/>
        </w:rPr>
        <w:t>a second dose of a COVID-19 vaccine after receiving one dose of a one</w:t>
      </w:r>
      <w:r w:rsidRPr="006171BD" w:rsidDel="00B97E3C">
        <w:rPr>
          <w:sz w:val="20"/>
        </w:rPr>
        <w:t xml:space="preserve"> </w:t>
      </w:r>
      <w:r w:rsidR="00B97E3C">
        <w:rPr>
          <w:sz w:val="20"/>
        </w:rPr>
        <w:t>-</w:t>
      </w:r>
      <w:r w:rsidRPr="006171BD">
        <w:rPr>
          <w:sz w:val="20"/>
        </w:rPr>
        <w:t>dose COVID-19 vaccine; or</w:t>
      </w:r>
    </w:p>
    <w:p w14:paraId="19F61AF7" w14:textId="483D0BCE" w:rsidR="00A25686" w:rsidRPr="006171BD" w:rsidRDefault="00FE4FAF" w:rsidP="00BF3EAE">
      <w:pPr>
        <w:pStyle w:val="Body"/>
        <w:numPr>
          <w:ilvl w:val="0"/>
          <w:numId w:val="30"/>
        </w:numPr>
      </w:pPr>
      <w:r w:rsidRPr="006171BD">
        <w:rPr>
          <w:sz w:val="20"/>
        </w:rPr>
        <w:t>a third dose of a COVID-19 vaccine after receiving two doses of a two</w:t>
      </w:r>
      <w:r w:rsidR="00B97E3C">
        <w:rPr>
          <w:sz w:val="20"/>
        </w:rPr>
        <w:t>-</w:t>
      </w:r>
      <w:r w:rsidRPr="006171BD" w:rsidDel="00B97E3C">
        <w:rPr>
          <w:sz w:val="20"/>
        </w:rPr>
        <w:t xml:space="preserve"> </w:t>
      </w:r>
      <w:r w:rsidRPr="006171BD">
        <w:rPr>
          <w:sz w:val="20"/>
        </w:rPr>
        <w:t>dose COVID-19 vaccine including different types of two dose COVID-19 vaccines.</w:t>
      </w:r>
    </w:p>
    <w:p w14:paraId="14258474" w14:textId="4CB613E3" w:rsidR="00933B3E" w:rsidRDefault="00E5469F" w:rsidP="00BC3A27">
      <w:pPr>
        <w:pStyle w:val="Heading4"/>
      </w:pPr>
      <w:r>
        <w:t xml:space="preserve">4.2.3 </w:t>
      </w:r>
      <w:r w:rsidR="001274E9">
        <w:t>Evidence of COVID-19 vaccination</w:t>
      </w:r>
    </w:p>
    <w:p w14:paraId="16F4D791" w14:textId="4D0E0312" w:rsidR="00EC6067" w:rsidRPr="006171BD" w:rsidRDefault="00933B3E" w:rsidP="00CB5FF2">
      <w:pPr>
        <w:pStyle w:val="Body"/>
      </w:pPr>
      <w:r w:rsidRPr="001274E9">
        <w:rPr>
          <w:sz w:val="20"/>
        </w:rPr>
        <w:t>Evidence of vaccination</w:t>
      </w:r>
      <w:r w:rsidR="00EC6067" w:rsidRPr="006171BD">
        <w:rPr>
          <w:sz w:val="20"/>
        </w:rPr>
        <w:t xml:space="preserve"> may be </w:t>
      </w:r>
      <w:r w:rsidR="002D3A4C" w:rsidRPr="006171BD">
        <w:rPr>
          <w:sz w:val="20"/>
        </w:rPr>
        <w:t>displayed via</w:t>
      </w:r>
      <w:r w:rsidR="00EC6067" w:rsidRPr="006171BD">
        <w:rPr>
          <w:sz w:val="20"/>
        </w:rPr>
        <w:t>: </w:t>
      </w:r>
    </w:p>
    <w:p w14:paraId="17DC032A" w14:textId="6738750F" w:rsidR="00893E3D" w:rsidRPr="00757CD0" w:rsidRDefault="00893E3D">
      <w:pPr>
        <w:pStyle w:val="Body"/>
        <w:numPr>
          <w:ilvl w:val="0"/>
          <w:numId w:val="31"/>
        </w:numPr>
        <w:rPr>
          <w:sz w:val="20"/>
        </w:rPr>
      </w:pPr>
      <w:bookmarkStart w:id="19" w:name="_Ref101376302"/>
      <w:r w:rsidRPr="006171BD">
        <w:rPr>
          <w:sz w:val="20"/>
        </w:rPr>
        <w:t xml:space="preserve">a </w:t>
      </w:r>
      <w:r w:rsidR="002D3A4C" w:rsidRPr="006171BD">
        <w:rPr>
          <w:sz w:val="20"/>
        </w:rPr>
        <w:t xml:space="preserve">worker’s </w:t>
      </w:r>
      <w:r w:rsidRPr="006171BD">
        <w:rPr>
          <w:sz w:val="20"/>
        </w:rPr>
        <w:t xml:space="preserve">current </w:t>
      </w:r>
      <w:r w:rsidR="002272ED" w:rsidRPr="006171BD">
        <w:rPr>
          <w:sz w:val="20"/>
        </w:rPr>
        <w:t>digital or printe</w:t>
      </w:r>
      <w:r w:rsidR="009809F6" w:rsidRPr="006171BD">
        <w:rPr>
          <w:sz w:val="20"/>
        </w:rPr>
        <w:t>d</w:t>
      </w:r>
      <w:r w:rsidR="002272ED" w:rsidRPr="006171BD">
        <w:rPr>
          <w:sz w:val="20"/>
        </w:rPr>
        <w:t xml:space="preserve"> </w:t>
      </w:r>
      <w:r w:rsidRPr="007E33D5">
        <w:rPr>
          <w:sz w:val="20"/>
        </w:rPr>
        <w:t xml:space="preserve">COVID-19 certificate issued by Services Australia and displayed through the </w:t>
      </w:r>
      <w:r w:rsidR="0059386B">
        <w:rPr>
          <w:sz w:val="20"/>
        </w:rPr>
        <w:t xml:space="preserve">Express Plus </w:t>
      </w:r>
      <w:r w:rsidRPr="007E33D5">
        <w:rPr>
          <w:sz w:val="20"/>
        </w:rPr>
        <w:t>Medicare App, or equivalent smart</w:t>
      </w:r>
      <w:r w:rsidRPr="00186A57">
        <w:rPr>
          <w:sz w:val="20"/>
        </w:rPr>
        <w:t>phone wallet</w:t>
      </w:r>
      <w:r w:rsidR="001210FD">
        <w:rPr>
          <w:sz w:val="20"/>
        </w:rPr>
        <w:t xml:space="preserve"> or the myGov website</w:t>
      </w:r>
      <w:r w:rsidRPr="00186A57">
        <w:rPr>
          <w:sz w:val="20"/>
        </w:rPr>
        <w:t>; or</w:t>
      </w:r>
      <w:bookmarkEnd w:id="19"/>
    </w:p>
    <w:p w14:paraId="741C5707" w14:textId="5F90040A" w:rsidR="006F35DC" w:rsidRPr="00757CD0" w:rsidRDefault="005806D1" w:rsidP="00BF3EAE">
      <w:pPr>
        <w:pStyle w:val="Body"/>
        <w:numPr>
          <w:ilvl w:val="0"/>
          <w:numId w:val="31"/>
        </w:numPr>
        <w:rPr>
          <w:sz w:val="20"/>
        </w:rPr>
      </w:pPr>
      <w:r>
        <w:rPr>
          <w:sz w:val="20"/>
        </w:rPr>
        <w:t xml:space="preserve">a worker’s </w:t>
      </w:r>
      <w:r w:rsidR="006F35DC" w:rsidRPr="006171BD">
        <w:rPr>
          <w:sz w:val="20"/>
        </w:rPr>
        <w:t>current digital or printed Immunisation History Statement (IHS) from the Australian Immunisation Register (AIR)</w:t>
      </w:r>
    </w:p>
    <w:p w14:paraId="6C959F95" w14:textId="431D540C" w:rsidR="00893E3D" w:rsidRDefault="00893E3D">
      <w:pPr>
        <w:pStyle w:val="Body"/>
        <w:numPr>
          <w:ilvl w:val="0"/>
          <w:numId w:val="31"/>
        </w:numPr>
        <w:rPr>
          <w:sz w:val="20"/>
        </w:rPr>
      </w:pPr>
      <w:r w:rsidRPr="00E03491">
        <w:rPr>
          <w:sz w:val="20"/>
        </w:rPr>
        <w:t>in relation to an excepted person, acceptable certification</w:t>
      </w:r>
      <w:r w:rsidR="002D3A4C" w:rsidRPr="006D098E">
        <w:rPr>
          <w:sz w:val="20"/>
        </w:rPr>
        <w:t xml:space="preserve"> that they are an excepted person</w:t>
      </w:r>
      <w:r w:rsidRPr="0069151B">
        <w:rPr>
          <w:sz w:val="20"/>
        </w:rPr>
        <w:t>.</w:t>
      </w:r>
    </w:p>
    <w:p w14:paraId="35DD579A" w14:textId="7D38B561" w:rsidR="001210FD" w:rsidRDefault="001210FD" w:rsidP="001210FD">
      <w:pPr>
        <w:pStyle w:val="Body"/>
        <w:rPr>
          <w:sz w:val="20"/>
        </w:rPr>
      </w:pPr>
      <w:r>
        <w:rPr>
          <w:sz w:val="20"/>
        </w:rPr>
        <w:t xml:space="preserve">Note: </w:t>
      </w:r>
      <w:r w:rsidR="00431057">
        <w:rPr>
          <w:sz w:val="20"/>
        </w:rPr>
        <w:t>from 1 November 2022 the Service Victoria App will no longer provide the functionality to display an individual’s COVID-19</w:t>
      </w:r>
      <w:r w:rsidR="00B20291">
        <w:rPr>
          <w:sz w:val="20"/>
        </w:rPr>
        <w:t xml:space="preserve"> digital certificate so cannot be used as an option to display evidence of COVID-19</w:t>
      </w:r>
      <w:r w:rsidR="007D1688">
        <w:rPr>
          <w:sz w:val="20"/>
        </w:rPr>
        <w:t xml:space="preserve"> vaccination.</w:t>
      </w:r>
    </w:p>
    <w:p w14:paraId="6E186D0C" w14:textId="7F49158D" w:rsidR="00933B3E" w:rsidRPr="0069151B" w:rsidRDefault="00E5469F" w:rsidP="00BC3A27">
      <w:pPr>
        <w:pStyle w:val="Heading4"/>
      </w:pPr>
      <w:r>
        <w:t>4.</w:t>
      </w:r>
      <w:r w:rsidR="511E93B9">
        <w:t>2</w:t>
      </w:r>
      <w:r>
        <w:t xml:space="preserve">.4 </w:t>
      </w:r>
      <w:r w:rsidR="001274E9">
        <w:t>Ex</w:t>
      </w:r>
      <w:r w:rsidR="008B20C4">
        <w:t>c</w:t>
      </w:r>
      <w:r w:rsidR="001274E9">
        <w:t>eptions</w:t>
      </w:r>
    </w:p>
    <w:p w14:paraId="4D194468" w14:textId="6CA23531" w:rsidR="006F6CA8" w:rsidRPr="007732E6" w:rsidRDefault="007732E6" w:rsidP="007732E6">
      <w:pPr>
        <w:pStyle w:val="DHHSbodyafterbullets"/>
        <w:spacing w:before="0" w:after="240"/>
        <w:rPr>
          <w:rFonts w:cs="Arial"/>
        </w:rPr>
      </w:pPr>
      <w:r w:rsidRPr="00F56540">
        <w:rPr>
          <w:rFonts w:cs="Arial"/>
        </w:rPr>
        <w:t xml:space="preserve">Healthcare workers </w:t>
      </w:r>
      <w:r>
        <w:rPr>
          <w:rFonts w:cs="Arial"/>
        </w:rPr>
        <w:t xml:space="preserve">are </w:t>
      </w:r>
      <w:r w:rsidR="00DE6C7B">
        <w:rPr>
          <w:rFonts w:cs="Arial"/>
        </w:rPr>
        <w:t xml:space="preserve">considered excepted persons and do not need to comply with </w:t>
      </w:r>
      <w:r>
        <w:rPr>
          <w:rFonts w:cs="Arial"/>
        </w:rPr>
        <w:t xml:space="preserve">the requirement to be vaccinated if they have a medical contraindication, have a temporary medical exemption or are participating in an approved COVID-19 vaccination trial. They may also be </w:t>
      </w:r>
      <w:r w:rsidRPr="00F56540">
        <w:rPr>
          <w:rFonts w:cs="Arial"/>
        </w:rPr>
        <w:t xml:space="preserve">exempt from compliance with the </w:t>
      </w:r>
      <w:r>
        <w:rPr>
          <w:rFonts w:cs="Arial"/>
        </w:rPr>
        <w:t xml:space="preserve">COVID-19 </w:t>
      </w:r>
      <w:r w:rsidRPr="00F56540">
        <w:rPr>
          <w:rFonts w:cs="Arial"/>
        </w:rPr>
        <w:t xml:space="preserve">vaccination requirement in a small number of other exceptional circumstances, outlined </w:t>
      </w:r>
      <w:hyperlink w:anchor="_9.5_Exceptional_circumstances" w:history="1">
        <w:r w:rsidRPr="00C579CB">
          <w:rPr>
            <w:rStyle w:val="Hyperlink"/>
            <w:rFonts w:cs="Arial"/>
            <w:i/>
            <w:iCs/>
          </w:rPr>
          <w:t>Section 9.5.</w:t>
        </w:r>
      </w:hyperlink>
      <w:r w:rsidRPr="00F56540">
        <w:rPr>
          <w:rFonts w:cs="Arial"/>
        </w:rPr>
        <w:t xml:space="preserve"> </w:t>
      </w:r>
    </w:p>
    <w:p w14:paraId="391C83A6" w14:textId="2160C6C6" w:rsidR="00882C15" w:rsidRPr="00DC5ECE" w:rsidRDefault="00882C15" w:rsidP="00BF3EAE">
      <w:pPr>
        <w:pStyle w:val="Body"/>
        <w:spacing w:before="120"/>
        <w:rPr>
          <w:sz w:val="20"/>
        </w:rPr>
      </w:pPr>
      <w:r w:rsidRPr="00BF3EAE">
        <w:rPr>
          <w:b/>
          <w:bCs/>
          <w:sz w:val="20"/>
        </w:rPr>
        <w:t>Acceptable certification</w:t>
      </w:r>
      <w:r w:rsidRPr="4F585365">
        <w:rPr>
          <w:sz w:val="20"/>
        </w:rPr>
        <w:t xml:space="preserve"> for an excepted person is:</w:t>
      </w:r>
    </w:p>
    <w:p w14:paraId="53D27717" w14:textId="593B8D16" w:rsidR="00882C15" w:rsidRPr="00333905" w:rsidRDefault="002D3A4C" w:rsidP="00BF3EAE">
      <w:pPr>
        <w:pStyle w:val="Body"/>
        <w:numPr>
          <w:ilvl w:val="0"/>
          <w:numId w:val="31"/>
        </w:numPr>
        <w:rPr>
          <w:sz w:val="20"/>
        </w:rPr>
      </w:pPr>
      <w:r w:rsidRPr="00DC5ECE">
        <w:rPr>
          <w:sz w:val="20"/>
        </w:rPr>
        <w:t>their</w:t>
      </w:r>
      <w:r w:rsidR="00882C15" w:rsidRPr="00DC5ECE">
        <w:rPr>
          <w:sz w:val="20"/>
        </w:rPr>
        <w:t xml:space="preserve"> current </w:t>
      </w:r>
      <w:r w:rsidR="002272ED" w:rsidRPr="00DC5ECE">
        <w:rPr>
          <w:sz w:val="20"/>
        </w:rPr>
        <w:t xml:space="preserve">printed </w:t>
      </w:r>
      <w:r w:rsidR="00640F4B">
        <w:rPr>
          <w:sz w:val="20"/>
        </w:rPr>
        <w:t xml:space="preserve">or digital </w:t>
      </w:r>
      <w:r w:rsidR="00882C15" w:rsidRPr="00DC5ECE">
        <w:rPr>
          <w:sz w:val="20"/>
        </w:rPr>
        <w:t xml:space="preserve">COVID-19 certificate issued by Services Australia and displayed through the </w:t>
      </w:r>
      <w:r w:rsidR="00D03C8C">
        <w:rPr>
          <w:sz w:val="20"/>
        </w:rPr>
        <w:t xml:space="preserve">Express Plus </w:t>
      </w:r>
      <w:r w:rsidR="00882C15" w:rsidRPr="00DC5ECE">
        <w:rPr>
          <w:sz w:val="20"/>
        </w:rPr>
        <w:t>Medicare App, or equivalent smartphone wallet</w:t>
      </w:r>
      <w:r w:rsidR="00D03C8C">
        <w:rPr>
          <w:sz w:val="20"/>
        </w:rPr>
        <w:t xml:space="preserve"> or the myGov website</w:t>
      </w:r>
      <w:r w:rsidR="00882C15" w:rsidRPr="00DC5ECE">
        <w:rPr>
          <w:sz w:val="20"/>
        </w:rPr>
        <w:t>, that states that the person is unable to receive a dose, or a further dose, of any COVID-19 vaccine that is available in Australia</w:t>
      </w:r>
      <w:r w:rsidR="002B63E2" w:rsidRPr="00333905">
        <w:rPr>
          <w:sz w:val="20"/>
        </w:rPr>
        <w:t xml:space="preserve">. </w:t>
      </w:r>
    </w:p>
    <w:p w14:paraId="551D8973" w14:textId="77A8141C" w:rsidR="00882C15" w:rsidRPr="00CD761A" w:rsidRDefault="002D3A4C" w:rsidP="00BF3EAE">
      <w:pPr>
        <w:pStyle w:val="Body"/>
        <w:numPr>
          <w:ilvl w:val="0"/>
          <w:numId w:val="31"/>
        </w:numPr>
        <w:rPr>
          <w:sz w:val="20"/>
        </w:rPr>
      </w:pPr>
      <w:r w:rsidRPr="000A1557">
        <w:rPr>
          <w:sz w:val="20"/>
        </w:rPr>
        <w:t xml:space="preserve">their </w:t>
      </w:r>
      <w:r w:rsidR="00882C15" w:rsidRPr="000A1557">
        <w:rPr>
          <w:sz w:val="20"/>
        </w:rPr>
        <w:t>current</w:t>
      </w:r>
      <w:r w:rsidR="00640F4B">
        <w:rPr>
          <w:sz w:val="20"/>
        </w:rPr>
        <w:t xml:space="preserve"> printed or digital</w:t>
      </w:r>
      <w:r w:rsidR="00882C15" w:rsidRPr="000A1557">
        <w:rPr>
          <w:sz w:val="20"/>
        </w:rPr>
        <w:t xml:space="preserve"> </w:t>
      </w:r>
      <w:r w:rsidR="00DA0E22">
        <w:rPr>
          <w:sz w:val="20"/>
        </w:rPr>
        <w:t>IHS</w:t>
      </w:r>
      <w:r w:rsidR="00882C15" w:rsidRPr="000A1557">
        <w:rPr>
          <w:sz w:val="20"/>
        </w:rPr>
        <w:t xml:space="preserve"> displayed through the </w:t>
      </w:r>
      <w:r w:rsidR="00482A7A">
        <w:rPr>
          <w:sz w:val="20"/>
        </w:rPr>
        <w:t xml:space="preserve">Express Plus </w:t>
      </w:r>
      <w:r w:rsidR="00882C15" w:rsidRPr="000A1557">
        <w:rPr>
          <w:sz w:val="20"/>
        </w:rPr>
        <w:t>Medicare App, that states that the person is unable to receive a dose of a COVID vaccine that is available in Australia (whether that person has already received one or two doses of a COVID vaccine</w:t>
      </w:r>
      <w:r w:rsidR="002B63E2" w:rsidRPr="00412988">
        <w:rPr>
          <w:sz w:val="20"/>
        </w:rPr>
        <w:t xml:space="preserve">). </w:t>
      </w:r>
    </w:p>
    <w:p w14:paraId="2947DD10" w14:textId="4F203A82" w:rsidR="002C2F9B" w:rsidRPr="00F56540" w:rsidRDefault="002C2F9B" w:rsidP="00E51658">
      <w:pPr>
        <w:pStyle w:val="DHHSbodyafterbullets"/>
        <w:rPr>
          <w:rFonts w:cs="Arial"/>
        </w:rPr>
      </w:pPr>
      <w:r w:rsidRPr="00F56540">
        <w:rPr>
          <w:rFonts w:cs="Arial"/>
        </w:rPr>
        <w:t xml:space="preserve">A small number of exceptions to the COVID-19 vaccination requirement apply and </w:t>
      </w:r>
      <w:r w:rsidR="0010072D">
        <w:rPr>
          <w:rFonts w:cs="Arial"/>
        </w:rPr>
        <w:t xml:space="preserve">are detailed in </w:t>
      </w:r>
      <w:hyperlink w:anchor="_7.3_Exceptions_to" w:history="1">
        <w:r w:rsidR="002B5713" w:rsidRPr="00C579CB">
          <w:rPr>
            <w:rStyle w:val="Hyperlink"/>
            <w:rFonts w:cs="Arial"/>
            <w:i/>
            <w:iCs/>
          </w:rPr>
          <w:t>Section 7.3</w:t>
        </w:r>
      </w:hyperlink>
      <w:r w:rsidR="0010072D" w:rsidRPr="00C579CB">
        <w:rPr>
          <w:rFonts w:cs="Arial"/>
          <w:i/>
          <w:iCs/>
        </w:rPr>
        <w:t xml:space="preserve">. </w:t>
      </w:r>
      <w:r w:rsidRPr="00C579CB">
        <w:rPr>
          <w:rFonts w:cs="Arial"/>
          <w:i/>
          <w:iCs/>
        </w:rPr>
        <w:t> </w:t>
      </w:r>
    </w:p>
    <w:p w14:paraId="12BF4DF3" w14:textId="50C1BF32" w:rsidR="00A833D2" w:rsidRPr="00F56540" w:rsidRDefault="00D34BEC" w:rsidP="00001512">
      <w:pPr>
        <w:pStyle w:val="DHHSbodyafterbullets"/>
        <w:rPr>
          <w:rFonts w:cs="Arial"/>
        </w:rPr>
      </w:pPr>
      <w:r w:rsidRPr="00F56540">
        <w:rPr>
          <w:rFonts w:cs="Arial"/>
        </w:rPr>
        <w:lastRenderedPageBreak/>
        <w:t xml:space="preserve">Healthcare workers may </w:t>
      </w:r>
      <w:r w:rsidR="00744EB8">
        <w:rPr>
          <w:rFonts w:cs="Arial"/>
        </w:rPr>
        <w:t xml:space="preserve">also </w:t>
      </w:r>
      <w:r w:rsidRPr="00F56540">
        <w:rPr>
          <w:rFonts w:cs="Arial"/>
        </w:rPr>
        <w:t xml:space="preserve">be </w:t>
      </w:r>
      <w:r w:rsidR="00744EB8">
        <w:rPr>
          <w:rFonts w:cs="Arial"/>
        </w:rPr>
        <w:t xml:space="preserve">assessed as </w:t>
      </w:r>
      <w:r w:rsidRPr="00F56540">
        <w:rPr>
          <w:rFonts w:cs="Arial"/>
        </w:rPr>
        <w:t xml:space="preserve">exempt from compliance with the COVID-19 vaccination requirement in a small number of other exceptional circumstances, outlined </w:t>
      </w:r>
      <w:hyperlink w:anchor="_9.5_Exceptional_circumstances" w:history="1">
        <w:r w:rsidRPr="00C579CB">
          <w:rPr>
            <w:rStyle w:val="Hyperlink"/>
            <w:rFonts w:cs="Arial"/>
            <w:i/>
            <w:iCs/>
          </w:rPr>
          <w:t xml:space="preserve">Section </w:t>
        </w:r>
        <w:r w:rsidR="000C46F7" w:rsidRPr="00C579CB">
          <w:rPr>
            <w:rStyle w:val="Hyperlink"/>
            <w:rFonts w:cs="Arial"/>
            <w:i/>
            <w:iCs/>
          </w:rPr>
          <w:t>9</w:t>
        </w:r>
        <w:r w:rsidR="00BC1CC5" w:rsidRPr="00C579CB">
          <w:rPr>
            <w:rStyle w:val="Hyperlink"/>
            <w:rFonts w:cs="Arial"/>
            <w:i/>
            <w:iCs/>
          </w:rPr>
          <w:t>.5</w:t>
        </w:r>
      </w:hyperlink>
      <w:r w:rsidR="000C46F7" w:rsidRPr="00C579CB">
        <w:rPr>
          <w:rFonts w:cs="Arial"/>
          <w:i/>
          <w:iCs/>
        </w:rPr>
        <w:t>.</w:t>
      </w:r>
      <w:r w:rsidRPr="00F56540">
        <w:rPr>
          <w:rFonts w:cs="Arial"/>
        </w:rPr>
        <w:t xml:space="preserve"> </w:t>
      </w:r>
    </w:p>
    <w:p w14:paraId="14898B00" w14:textId="7CC04FBB" w:rsidR="002205D2" w:rsidRPr="00BC3A27" w:rsidRDefault="00CC29A6" w:rsidP="00203F65">
      <w:pPr>
        <w:pStyle w:val="Heading1"/>
        <w:spacing w:before="240" w:after="160"/>
        <w:rPr>
          <w:sz w:val="40"/>
          <w:szCs w:val="40"/>
        </w:rPr>
      </w:pPr>
      <w:bookmarkStart w:id="20" w:name="_Toc46399880"/>
      <w:bookmarkStart w:id="21" w:name="_Toc113362847"/>
      <w:bookmarkStart w:id="22" w:name="_Toc116457923"/>
      <w:r w:rsidRPr="00BC3A27">
        <w:rPr>
          <w:sz w:val="40"/>
          <w:szCs w:val="40"/>
        </w:rPr>
        <w:t>5</w:t>
      </w:r>
      <w:r w:rsidR="002205D2" w:rsidRPr="00BC3A27">
        <w:rPr>
          <w:sz w:val="40"/>
          <w:szCs w:val="40"/>
        </w:rPr>
        <w:t>. Risk categorisation</w:t>
      </w:r>
      <w:bookmarkEnd w:id="20"/>
      <w:bookmarkEnd w:id="21"/>
      <w:bookmarkEnd w:id="22"/>
    </w:p>
    <w:p w14:paraId="6E093456" w14:textId="77777777" w:rsidR="00203F65" w:rsidRDefault="006E761B" w:rsidP="00876546">
      <w:pPr>
        <w:pStyle w:val="DHHSbody"/>
        <w:spacing w:line="276" w:lineRule="auto"/>
        <w:rPr>
          <w:rFonts w:cs="Arial"/>
        </w:rPr>
      </w:pPr>
      <w:r w:rsidRPr="00F56540">
        <w:rPr>
          <w:rFonts w:cs="Arial"/>
        </w:rPr>
        <w:t>R</w:t>
      </w:r>
      <w:r w:rsidR="002205D2" w:rsidRPr="00F56540">
        <w:rPr>
          <w:rFonts w:cs="Arial"/>
        </w:rPr>
        <w:t>isk categorisation of healthcare workers should be undertaken</w:t>
      </w:r>
      <w:r w:rsidR="00BC4CF4">
        <w:rPr>
          <w:rFonts w:cs="Arial"/>
        </w:rPr>
        <w:t xml:space="preserve"> as part of health services assessment to determine vaccination requirements</w:t>
      </w:r>
      <w:r w:rsidR="002205D2" w:rsidRPr="00F56540">
        <w:rPr>
          <w:rFonts w:cs="Arial"/>
        </w:rPr>
        <w:t xml:space="preserve"> in accordance with </w:t>
      </w:r>
      <w:hyperlink w:anchor="_Table_1._Risk" w:history="1">
        <w:r w:rsidR="002205D2" w:rsidRPr="00C4245B">
          <w:rPr>
            <w:rStyle w:val="Hyperlink"/>
            <w:rFonts w:cs="Arial"/>
            <w:bCs/>
          </w:rPr>
          <w:t>Table 1</w:t>
        </w:r>
      </w:hyperlink>
      <w:r w:rsidR="002205D2" w:rsidRPr="00F56540">
        <w:rPr>
          <w:rFonts w:cs="Arial"/>
        </w:rPr>
        <w:t>. Categorisation is based on the work activities, rather than job title, for each person to ensure that they</w:t>
      </w:r>
      <w:r w:rsidR="00625C95">
        <w:rPr>
          <w:rFonts w:cs="Arial"/>
        </w:rPr>
        <w:t>, and the patients they care for,</w:t>
      </w:r>
      <w:r w:rsidR="002205D2" w:rsidRPr="00F56540">
        <w:rPr>
          <w:rFonts w:cs="Arial"/>
        </w:rPr>
        <w:t xml:space="preserve"> are appropriately protected. </w:t>
      </w:r>
    </w:p>
    <w:p w14:paraId="5E69A0CD" w14:textId="154AB4DD" w:rsidR="00203F65" w:rsidRDefault="002205D2" w:rsidP="00876546">
      <w:pPr>
        <w:pStyle w:val="DHHSbody"/>
        <w:spacing w:line="276" w:lineRule="auto"/>
        <w:rPr>
          <w:rFonts w:cs="Arial"/>
        </w:rPr>
      </w:pPr>
      <w:r w:rsidRPr="00F56540">
        <w:rPr>
          <w:rFonts w:cs="Arial"/>
        </w:rPr>
        <w:t xml:space="preserve">Where a healthcare worker changes job positions or commences new duties, their risk category </w:t>
      </w:r>
      <w:r w:rsidR="00856BCB">
        <w:rPr>
          <w:rFonts w:cs="Arial"/>
        </w:rPr>
        <w:t xml:space="preserve">should </w:t>
      </w:r>
      <w:r w:rsidRPr="00F56540">
        <w:rPr>
          <w:rFonts w:cs="Arial"/>
        </w:rPr>
        <w:t xml:space="preserve">be reassessed. </w:t>
      </w:r>
    </w:p>
    <w:p w14:paraId="3E17AFDA" w14:textId="54305CEC" w:rsidR="00CC29A6" w:rsidRDefault="00CC29A6" w:rsidP="00876546">
      <w:pPr>
        <w:pStyle w:val="DHHSbody"/>
        <w:spacing w:line="276" w:lineRule="auto"/>
        <w:rPr>
          <w:rFonts w:cs="Arial"/>
        </w:rPr>
      </w:pPr>
      <w:r w:rsidRPr="00BF3EAE">
        <w:rPr>
          <w:rFonts w:cs="Arial"/>
        </w:rPr>
        <w:t xml:space="preserve">Risk categorisation can </w:t>
      </w:r>
      <w:r w:rsidR="00AC44A9" w:rsidRPr="00AC44A9">
        <w:rPr>
          <w:rFonts w:cs="Arial"/>
        </w:rPr>
        <w:t>be considered at a facility, ward</w:t>
      </w:r>
      <w:r w:rsidR="00856BCB">
        <w:rPr>
          <w:rFonts w:cs="Arial"/>
        </w:rPr>
        <w:t xml:space="preserve">, </w:t>
      </w:r>
      <w:r w:rsidR="00AC44A9" w:rsidRPr="00AC44A9">
        <w:rPr>
          <w:rFonts w:cs="Arial"/>
        </w:rPr>
        <w:t>department or individual level.</w:t>
      </w:r>
    </w:p>
    <w:p w14:paraId="2CF23525" w14:textId="77777777" w:rsidR="00B331DD" w:rsidRPr="00BC3A27" w:rsidRDefault="00B331DD" w:rsidP="00491E56">
      <w:pPr>
        <w:pStyle w:val="Heading1"/>
        <w:spacing w:before="240" w:line="276" w:lineRule="auto"/>
        <w:rPr>
          <w:sz w:val="40"/>
          <w:szCs w:val="40"/>
        </w:rPr>
      </w:pPr>
      <w:bookmarkStart w:id="23" w:name="_Toc116457924"/>
      <w:r w:rsidRPr="00BC3A27">
        <w:rPr>
          <w:sz w:val="40"/>
          <w:szCs w:val="40"/>
        </w:rPr>
        <w:t>6. Demonstrating compliance</w:t>
      </w:r>
      <w:bookmarkEnd w:id="23"/>
    </w:p>
    <w:p w14:paraId="62EDA11C" w14:textId="77777777" w:rsidR="00B331DD" w:rsidRPr="00F56540" w:rsidRDefault="00B331DD" w:rsidP="00B331DD">
      <w:pPr>
        <w:pStyle w:val="DHHSbody"/>
        <w:spacing w:line="276" w:lineRule="auto"/>
        <w:rPr>
          <w:rFonts w:cs="Arial"/>
        </w:rPr>
      </w:pPr>
      <w:r w:rsidRPr="00F56540" w:rsidDel="0069151B">
        <w:rPr>
          <w:rFonts w:cs="Arial"/>
        </w:rPr>
        <w:t>It is the responsibility of healthcare settings to ensure that workers demonstrate compliance with vaccination requirements.</w:t>
      </w:r>
      <w:r w:rsidDel="0069151B">
        <w:rPr>
          <w:rFonts w:cs="Arial"/>
        </w:rPr>
        <w:t xml:space="preserve"> </w:t>
      </w:r>
      <w:r>
        <w:rPr>
          <w:rFonts w:cs="Arial"/>
        </w:rPr>
        <w:t xml:space="preserve">Healthcare settings must sight evidence of and record compliance with vaccination requirements in all current Directions. </w:t>
      </w:r>
    </w:p>
    <w:p w14:paraId="514A92C0" w14:textId="77777777" w:rsidR="00B331DD" w:rsidRDefault="00B331DD" w:rsidP="00B331DD">
      <w:pPr>
        <w:pStyle w:val="DHHSbody"/>
        <w:spacing w:line="276" w:lineRule="auto"/>
        <w:rPr>
          <w:rFonts w:cs="Arial"/>
        </w:rPr>
      </w:pPr>
      <w:r w:rsidRPr="02CCA15E">
        <w:rPr>
          <w:rFonts w:cs="Arial"/>
        </w:rPr>
        <w:t xml:space="preserve">Current </w:t>
      </w:r>
      <w:r>
        <w:rPr>
          <w:rFonts w:cs="Arial"/>
        </w:rPr>
        <w:t xml:space="preserve">and prospective </w:t>
      </w:r>
      <w:r w:rsidRPr="02CCA15E">
        <w:rPr>
          <w:rFonts w:cs="Arial"/>
        </w:rPr>
        <w:t xml:space="preserve">healthcare workers </w:t>
      </w:r>
      <w:r>
        <w:rPr>
          <w:rFonts w:cs="Arial"/>
        </w:rPr>
        <w:t xml:space="preserve">(including VMOs, locums and contractors) </w:t>
      </w:r>
      <w:r w:rsidRPr="02CCA15E">
        <w:rPr>
          <w:rFonts w:cs="Arial"/>
        </w:rPr>
        <w:t>are expected to demonstrate compliance with vaccination requirements.</w:t>
      </w:r>
    </w:p>
    <w:p w14:paraId="34ECB8F3" w14:textId="77777777" w:rsidR="00B331DD" w:rsidRDefault="00B331DD" w:rsidP="00B331DD">
      <w:pPr>
        <w:pStyle w:val="DHHSbody"/>
        <w:spacing w:line="276" w:lineRule="auto"/>
        <w:rPr>
          <w:rFonts w:cs="Arial"/>
        </w:rPr>
      </w:pPr>
      <w:r w:rsidRPr="00F56540">
        <w:rPr>
          <w:rFonts w:cs="Arial"/>
        </w:rPr>
        <w:t xml:space="preserve">The evidence of vaccination </w:t>
      </w:r>
      <w:r>
        <w:rPr>
          <w:rFonts w:cs="Arial"/>
        </w:rPr>
        <w:t xml:space="preserve">that healthcare workers can provide to demonstrate compliance </w:t>
      </w:r>
      <w:r w:rsidRPr="00F56540">
        <w:rPr>
          <w:rFonts w:cs="Arial"/>
        </w:rPr>
        <w:t>are outlined in</w:t>
      </w:r>
      <w:r w:rsidRPr="001D7BC4">
        <w:rPr>
          <w:rFonts w:cs="Arial"/>
        </w:rPr>
        <w:t xml:space="preserve"> </w:t>
      </w:r>
      <w:hyperlink w:anchor="_Table_2._Evidence" w:history="1">
        <w:r w:rsidRPr="001D7BC4">
          <w:rPr>
            <w:rStyle w:val="Hyperlink"/>
            <w:rFonts w:cs="Arial"/>
          </w:rPr>
          <w:t>Table 2</w:t>
        </w:r>
      </w:hyperlink>
      <w:r w:rsidRPr="00F56540">
        <w:rPr>
          <w:rFonts w:cs="Arial"/>
        </w:rPr>
        <w:t xml:space="preserve">. </w:t>
      </w:r>
      <w:r w:rsidRPr="00242350">
        <w:rPr>
          <w:rFonts w:cs="Arial"/>
        </w:rPr>
        <w:t xml:space="preserve">Where a healthcare worker has a medical contraindication to vaccination, they must provide documented evidence of this to the healthcare setting (see </w:t>
      </w:r>
      <w:hyperlink w:anchor="_7._Medical_contraindications" w:history="1">
        <w:r>
          <w:rPr>
            <w:rStyle w:val="Hyperlink"/>
            <w:rFonts w:cs="Arial"/>
            <w:i/>
          </w:rPr>
          <w:t>Section 7</w:t>
        </w:r>
      </w:hyperlink>
      <w:r w:rsidRPr="00242350">
        <w:rPr>
          <w:rFonts w:cs="Arial"/>
        </w:rPr>
        <w:t xml:space="preserve">). </w:t>
      </w:r>
      <w:r w:rsidRPr="00F56540">
        <w:rPr>
          <w:rFonts w:cs="Arial"/>
        </w:rPr>
        <w:t xml:space="preserve"> </w:t>
      </w:r>
    </w:p>
    <w:p w14:paraId="78801D03" w14:textId="77777777" w:rsidR="00B331DD" w:rsidRPr="00656211" w:rsidRDefault="00B331DD" w:rsidP="00B331DD">
      <w:pPr>
        <w:pStyle w:val="DHHSbody"/>
        <w:spacing w:line="276" w:lineRule="auto"/>
        <w:rPr>
          <w:rFonts w:cs="Arial"/>
        </w:rPr>
      </w:pPr>
      <w:r w:rsidRPr="00242350">
        <w:rPr>
          <w:rFonts w:cs="Arial"/>
        </w:rPr>
        <w:t xml:space="preserve">Healthcare settings are not required to access the AIR to view evidence of healthcare worker vaccination status </w:t>
      </w:r>
      <w:r w:rsidRPr="02CCA15E">
        <w:rPr>
          <w:rFonts w:cs="Arial"/>
        </w:rPr>
        <w:t xml:space="preserve">and </w:t>
      </w:r>
      <w:r>
        <w:rPr>
          <w:rFonts w:cs="Arial"/>
        </w:rPr>
        <w:t>a</w:t>
      </w:r>
      <w:r w:rsidRPr="00242350">
        <w:rPr>
          <w:rFonts w:cs="Arial"/>
        </w:rPr>
        <w:t>necdotal evidence is not acceptable to establish immune status.</w:t>
      </w:r>
    </w:p>
    <w:p w14:paraId="193F89B8" w14:textId="5AF49750" w:rsidR="00A83E9B" w:rsidRPr="00DE701B" w:rsidRDefault="00B331DD" w:rsidP="00DE701B">
      <w:pPr>
        <w:pStyle w:val="DHHSbody"/>
        <w:spacing w:line="276" w:lineRule="auto"/>
        <w:rPr>
          <w:rFonts w:cs="Arial"/>
          <w:color w:val="004C97"/>
          <w:u w:val="dotted"/>
        </w:rPr>
        <w:sectPr w:rsidR="00A83E9B" w:rsidRPr="00DE701B" w:rsidSect="00491E56">
          <w:type w:val="nextColumn"/>
          <w:pgSz w:w="11906" w:h="16838" w:code="9"/>
          <w:pgMar w:top="720" w:right="720" w:bottom="720" w:left="720" w:header="680" w:footer="851" w:gutter="0"/>
          <w:cols w:space="720"/>
          <w:titlePg/>
          <w:docGrid w:linePitch="360"/>
        </w:sectPr>
      </w:pPr>
      <w:r>
        <w:t>Further</w:t>
      </w:r>
      <w:r w:rsidRPr="00F56540">
        <w:t xml:space="preserve"> roles and responsibilities of organisations and individuals in complying with this policy are outlined in </w:t>
      </w:r>
      <w:hyperlink w:anchor="_Appendix_1_1" w:history="1">
        <w:r w:rsidRPr="00822083">
          <w:rPr>
            <w:rStyle w:val="Hyperlink"/>
            <w:rFonts w:cs="Arial"/>
            <w:iCs/>
          </w:rPr>
          <w:t>Appendix 1</w:t>
        </w:r>
      </w:hyperlink>
      <w:r w:rsidRPr="00DE701B">
        <w:rPr>
          <w:rFonts w:cs="Arial"/>
        </w:rPr>
        <w:t>.</w:t>
      </w:r>
      <w:bookmarkStart w:id="24" w:name="_Toc46399881"/>
      <w:bookmarkStart w:id="25" w:name="_Toc113362848"/>
    </w:p>
    <w:tbl>
      <w:tblPr>
        <w:tblpPr w:leftFromText="180" w:rightFromText="180" w:horzAnchor="margin" w:tblpY="960"/>
        <w:tblW w:w="15018" w:type="dxa"/>
        <w:tblLook w:val="04A0" w:firstRow="1" w:lastRow="0" w:firstColumn="1" w:lastColumn="0" w:noHBand="0" w:noVBand="1"/>
      </w:tblPr>
      <w:tblGrid>
        <w:gridCol w:w="1151"/>
        <w:gridCol w:w="3864"/>
        <w:gridCol w:w="4658"/>
        <w:gridCol w:w="2672"/>
        <w:gridCol w:w="2673"/>
      </w:tblGrid>
      <w:tr w:rsidR="003B529C" w:rsidRPr="00932BCB" w14:paraId="0689EA71" w14:textId="77777777" w:rsidTr="00320E0A">
        <w:trPr>
          <w:trHeight w:val="929"/>
        </w:trPr>
        <w:tc>
          <w:tcPr>
            <w:tcW w:w="11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bookmarkEnd w:id="24"/>
          <w:bookmarkEnd w:id="25"/>
          <w:p w14:paraId="52FCA009" w14:textId="25F2A3BD" w:rsidR="005D62D9" w:rsidRPr="0005512E" w:rsidRDefault="0005512E">
            <w:pPr>
              <w:rPr>
                <w:b/>
                <w:szCs w:val="21"/>
              </w:rPr>
            </w:pPr>
            <w:r w:rsidRPr="0005512E">
              <w:rPr>
                <w:rFonts w:eastAsia="MS Gothic"/>
                <w:b/>
                <w:bCs/>
                <w:szCs w:val="21"/>
              </w:rPr>
              <w:lastRenderedPageBreak/>
              <w:t>R</w:t>
            </w:r>
            <w:r w:rsidR="005D62D9" w:rsidRPr="0005512E">
              <w:rPr>
                <w:rFonts w:eastAsia="MS Gothic"/>
                <w:b/>
                <w:bCs/>
                <w:szCs w:val="21"/>
              </w:rPr>
              <w:t>isk</w:t>
            </w:r>
            <w:r w:rsidR="005D62D9" w:rsidRPr="0005512E">
              <w:rPr>
                <w:rFonts w:eastAsia="MS Gothic"/>
                <w:b/>
                <w:szCs w:val="21"/>
              </w:rPr>
              <w:t xml:space="preserve"> category</w:t>
            </w:r>
            <w:r w:rsidR="005D62D9" w:rsidRPr="0005512E">
              <w:rPr>
                <w:rFonts w:eastAsia="MS Mincho"/>
                <w:b/>
                <w:szCs w:val="21"/>
              </w:rPr>
              <w:t> </w:t>
            </w:r>
          </w:p>
        </w:tc>
        <w:tc>
          <w:tcPr>
            <w:tcW w:w="3864" w:type="dxa"/>
            <w:tcBorders>
              <w:top w:val="single" w:sz="6" w:space="0" w:color="auto"/>
              <w:left w:val="single" w:sz="6" w:space="0" w:color="auto"/>
              <w:bottom w:val="single" w:sz="4" w:space="0" w:color="auto"/>
              <w:right w:val="single" w:sz="6" w:space="0" w:color="auto"/>
            </w:tcBorders>
            <w:shd w:val="clear" w:color="auto" w:fill="DBE5F1" w:themeFill="accent1" w:themeFillTint="33"/>
            <w:hideMark/>
          </w:tcPr>
          <w:p w14:paraId="40945176" w14:textId="20A19AB1" w:rsidR="005D62D9" w:rsidRPr="0005512E" w:rsidRDefault="005D62D9">
            <w:pPr>
              <w:rPr>
                <w:b/>
                <w:szCs w:val="21"/>
              </w:rPr>
            </w:pPr>
            <w:r w:rsidRPr="0005512E">
              <w:rPr>
                <w:rFonts w:eastAsia="MS Gothic"/>
                <w:b/>
                <w:szCs w:val="21"/>
              </w:rPr>
              <w:t>Risk category descriptor</w:t>
            </w:r>
            <w:r w:rsidRPr="0005512E">
              <w:rPr>
                <w:rFonts w:eastAsia="MS Mincho"/>
                <w:b/>
                <w:szCs w:val="21"/>
              </w:rPr>
              <w:t> </w:t>
            </w:r>
          </w:p>
        </w:tc>
        <w:tc>
          <w:tcPr>
            <w:tcW w:w="4658" w:type="dxa"/>
            <w:tcBorders>
              <w:top w:val="single" w:sz="6" w:space="0" w:color="auto"/>
              <w:left w:val="single" w:sz="6" w:space="0" w:color="auto"/>
              <w:bottom w:val="single" w:sz="4" w:space="0" w:color="auto"/>
              <w:right w:val="single" w:sz="6" w:space="0" w:color="auto"/>
            </w:tcBorders>
            <w:shd w:val="clear" w:color="auto" w:fill="DBE5F1" w:themeFill="accent1" w:themeFillTint="33"/>
            <w:hideMark/>
          </w:tcPr>
          <w:p w14:paraId="1505EDB1" w14:textId="1E40854C" w:rsidR="005D62D9" w:rsidRPr="0005512E" w:rsidRDefault="005D62D9">
            <w:pPr>
              <w:rPr>
                <w:b/>
                <w:szCs w:val="21"/>
              </w:rPr>
            </w:pPr>
            <w:r w:rsidRPr="0005512E">
              <w:rPr>
                <w:rFonts w:eastAsia="MS Gothic"/>
                <w:b/>
                <w:szCs w:val="21"/>
              </w:rPr>
              <w:t>Summary of risk category</w:t>
            </w:r>
            <w:r w:rsidRPr="0005512E">
              <w:rPr>
                <w:rFonts w:eastAsia="MS Mincho"/>
                <w:b/>
                <w:szCs w:val="21"/>
              </w:rPr>
              <w:t> </w:t>
            </w:r>
          </w:p>
        </w:tc>
        <w:tc>
          <w:tcPr>
            <w:tcW w:w="2672" w:type="dxa"/>
            <w:tcBorders>
              <w:top w:val="single" w:sz="4" w:space="0" w:color="auto"/>
              <w:left w:val="nil"/>
              <w:bottom w:val="single" w:sz="4" w:space="0" w:color="auto"/>
              <w:right w:val="single" w:sz="4" w:space="0" w:color="auto"/>
            </w:tcBorders>
            <w:shd w:val="clear" w:color="auto" w:fill="DBE5F1" w:themeFill="accent1" w:themeFillTint="33"/>
            <w:hideMark/>
          </w:tcPr>
          <w:p w14:paraId="1F7C6044" w14:textId="6F112E7B" w:rsidR="005D62D9" w:rsidRPr="0005512E" w:rsidRDefault="005D62D9">
            <w:pPr>
              <w:rPr>
                <w:b/>
                <w:szCs w:val="21"/>
              </w:rPr>
            </w:pPr>
            <w:r w:rsidRPr="0005512E">
              <w:rPr>
                <w:b/>
                <w:szCs w:val="21"/>
              </w:rPr>
              <w:t xml:space="preserve">Vaccines </w:t>
            </w:r>
            <w:r w:rsidRPr="0005512E">
              <w:rPr>
                <w:b/>
                <w:szCs w:val="21"/>
                <w:u w:val="single"/>
              </w:rPr>
              <w:t>required</w:t>
            </w:r>
            <w:r w:rsidRPr="0005512E">
              <w:rPr>
                <w:b/>
                <w:szCs w:val="21"/>
              </w:rPr>
              <w:t xml:space="preserve"> for this group </w:t>
            </w:r>
          </w:p>
        </w:tc>
        <w:tc>
          <w:tcPr>
            <w:tcW w:w="2673" w:type="dxa"/>
            <w:tcBorders>
              <w:top w:val="single" w:sz="4" w:space="0" w:color="auto"/>
              <w:left w:val="nil"/>
              <w:bottom w:val="single" w:sz="4" w:space="0" w:color="auto"/>
              <w:right w:val="single" w:sz="4" w:space="0" w:color="auto"/>
            </w:tcBorders>
            <w:shd w:val="clear" w:color="auto" w:fill="DBE5F1" w:themeFill="accent1" w:themeFillTint="33"/>
            <w:hideMark/>
          </w:tcPr>
          <w:p w14:paraId="0185D6B1" w14:textId="6B49C165" w:rsidR="005D62D9" w:rsidRPr="0005512E" w:rsidRDefault="005D62D9">
            <w:pPr>
              <w:rPr>
                <w:b/>
                <w:szCs w:val="21"/>
              </w:rPr>
            </w:pPr>
            <w:r w:rsidRPr="0005512E">
              <w:rPr>
                <w:b/>
                <w:szCs w:val="21"/>
              </w:rPr>
              <w:t>Vaccines recommended but not required</w:t>
            </w:r>
          </w:p>
        </w:tc>
      </w:tr>
      <w:tr w:rsidR="00932BCB" w:rsidRPr="00932BCB" w14:paraId="16B134FF" w14:textId="77777777" w:rsidTr="00554ABA">
        <w:trPr>
          <w:trHeight w:val="2427"/>
        </w:trPr>
        <w:tc>
          <w:tcPr>
            <w:tcW w:w="1151" w:type="dxa"/>
            <w:tcBorders>
              <w:top w:val="single" w:sz="6" w:space="0" w:color="auto"/>
              <w:left w:val="single" w:sz="6" w:space="0" w:color="auto"/>
              <w:bottom w:val="single" w:sz="6" w:space="0" w:color="auto"/>
              <w:right w:val="single" w:sz="4" w:space="0" w:color="auto"/>
            </w:tcBorders>
            <w:shd w:val="clear" w:color="auto" w:fill="auto"/>
            <w:hideMark/>
          </w:tcPr>
          <w:p w14:paraId="73F3B5FC" w14:textId="413119BE" w:rsidR="005D62D9" w:rsidRPr="0005512E" w:rsidRDefault="005D62D9" w:rsidP="6C8F16FB">
            <w:pPr>
              <w:rPr>
                <w:b/>
                <w:szCs w:val="21"/>
              </w:rPr>
            </w:pPr>
            <w:r w:rsidRPr="0005512E">
              <w:rPr>
                <w:b/>
                <w:szCs w:val="21"/>
              </w:rPr>
              <w:t>A</w:t>
            </w:r>
          </w:p>
        </w:tc>
        <w:tc>
          <w:tcPr>
            <w:tcW w:w="3864" w:type="dxa"/>
            <w:tcBorders>
              <w:top w:val="single" w:sz="4" w:space="0" w:color="auto"/>
              <w:left w:val="single" w:sz="4" w:space="0" w:color="auto"/>
              <w:bottom w:val="single" w:sz="4" w:space="0" w:color="auto"/>
              <w:right w:val="single" w:sz="4" w:space="0" w:color="auto"/>
            </w:tcBorders>
            <w:shd w:val="clear" w:color="auto" w:fill="auto"/>
            <w:hideMark/>
          </w:tcPr>
          <w:p w14:paraId="4303461E" w14:textId="44AE57E0" w:rsidR="005D62D9" w:rsidRPr="002053CB" w:rsidRDefault="005D62D9" w:rsidP="6C8F16FB">
            <w:pPr>
              <w:rPr>
                <w:sz w:val="20"/>
              </w:rPr>
            </w:pPr>
            <w:r w:rsidRPr="002053CB">
              <w:rPr>
                <w:sz w:val="20"/>
              </w:rPr>
              <w:t>Healthcare workers at risk of acquisition and/or transmission of blood</w:t>
            </w:r>
            <w:r w:rsidR="00207473" w:rsidRPr="002053CB">
              <w:rPr>
                <w:sz w:val="20"/>
              </w:rPr>
              <w:t xml:space="preserve"> </w:t>
            </w:r>
            <w:r w:rsidRPr="002053CB">
              <w:rPr>
                <w:sz w:val="20"/>
              </w:rPr>
              <w:t>borne viruses and infections spread via respiratory or enteric routes</w:t>
            </w:r>
            <w:r w:rsidR="00E94C13" w:rsidRPr="002053CB">
              <w:rPr>
                <w:sz w:val="20"/>
              </w:rPr>
              <w:t xml:space="preserve">. </w:t>
            </w:r>
            <w:r w:rsidRPr="002053CB">
              <w:rPr>
                <w:sz w:val="20"/>
              </w:rPr>
              <w:t> </w:t>
            </w:r>
          </w:p>
        </w:tc>
        <w:tc>
          <w:tcPr>
            <w:tcW w:w="4658" w:type="dxa"/>
            <w:tcBorders>
              <w:top w:val="single" w:sz="4" w:space="0" w:color="auto"/>
              <w:left w:val="single" w:sz="4" w:space="0" w:color="auto"/>
              <w:bottom w:val="single" w:sz="4" w:space="0" w:color="auto"/>
              <w:right w:val="single" w:sz="4" w:space="0" w:color="auto"/>
            </w:tcBorders>
            <w:shd w:val="clear" w:color="auto" w:fill="auto"/>
            <w:hideMark/>
          </w:tcPr>
          <w:p w14:paraId="13F4051F" w14:textId="77777777" w:rsidR="005D62D9" w:rsidRPr="002053CB" w:rsidRDefault="005D62D9" w:rsidP="6C8F16FB">
            <w:pPr>
              <w:rPr>
                <w:sz w:val="20"/>
              </w:rPr>
            </w:pPr>
            <w:r w:rsidRPr="002053CB">
              <w:rPr>
                <w:rFonts w:eastAsia="MS Gothic"/>
                <w:sz w:val="20"/>
              </w:rPr>
              <w:t>Healthcare workers with direct physical contact with patients, clients, deceased persons or body parts, blood, body substances, infectious material or surfaces or equipment that might contain these.</w:t>
            </w:r>
            <w:r w:rsidRPr="002053CB">
              <w:rPr>
                <w:rFonts w:eastAsia="MS Mincho"/>
                <w:sz w:val="20"/>
              </w:rPr>
              <w:t> </w:t>
            </w:r>
          </w:p>
          <w:p w14:paraId="13752339" w14:textId="77777777" w:rsidR="005D62D9" w:rsidRPr="002053CB" w:rsidRDefault="005D62D9" w:rsidP="6C8F16FB">
            <w:pPr>
              <w:rPr>
                <w:sz w:val="20"/>
              </w:rPr>
            </w:pPr>
            <w:r w:rsidRPr="002053CB">
              <w:rPr>
                <w:rFonts w:eastAsia="MS Mincho"/>
                <w:sz w:val="20"/>
              </w:rPr>
              <w:t> </w:t>
            </w:r>
          </w:p>
          <w:p w14:paraId="6FA5CD41" w14:textId="0FD4F496" w:rsidR="005D62D9" w:rsidRPr="002053CB" w:rsidRDefault="005D62D9" w:rsidP="6C8F16FB">
            <w:pPr>
              <w:rPr>
                <w:sz w:val="20"/>
              </w:rPr>
            </w:pPr>
            <w:r w:rsidRPr="002053CB">
              <w:rPr>
                <w:sz w:val="20"/>
              </w:rPr>
              <w:t>For example, workers with prolonged face-to-face contact with patients or clients or where their normal work is in a clinical area.</w:t>
            </w:r>
            <w:r w:rsidR="5E9EFACA" w:rsidRPr="002053CB">
              <w:rPr>
                <w:sz w:val="20"/>
              </w:rPr>
              <w:t>  </w:t>
            </w:r>
            <w:r w:rsidRPr="002053CB">
              <w:rPr>
                <w:sz w:val="20"/>
              </w:rPr>
              <w:t> </w:t>
            </w:r>
          </w:p>
        </w:tc>
        <w:tc>
          <w:tcPr>
            <w:tcW w:w="2672" w:type="dxa"/>
            <w:vMerge w:val="restart"/>
            <w:tcBorders>
              <w:top w:val="single" w:sz="4" w:space="0" w:color="auto"/>
              <w:left w:val="single" w:sz="4" w:space="0" w:color="auto"/>
              <w:bottom w:val="single" w:sz="4" w:space="0" w:color="auto"/>
              <w:right w:val="single" w:sz="4" w:space="0" w:color="auto"/>
            </w:tcBorders>
            <w:hideMark/>
          </w:tcPr>
          <w:p w14:paraId="4D336181" w14:textId="466E497A" w:rsidR="005D62D9" w:rsidRPr="002053CB" w:rsidRDefault="005D62D9" w:rsidP="6C8F16FB">
            <w:pPr>
              <w:rPr>
                <w:sz w:val="20"/>
              </w:rPr>
            </w:pPr>
            <w:r w:rsidRPr="002053CB">
              <w:rPr>
                <w:sz w:val="20"/>
              </w:rPr>
              <w:t>Influenza (annually by 15 August)</w:t>
            </w:r>
          </w:p>
          <w:p w14:paraId="2D6A55DA" w14:textId="77777777" w:rsidR="005D62D9" w:rsidRPr="002053CB" w:rsidRDefault="005D62D9" w:rsidP="6C8F16FB">
            <w:pPr>
              <w:rPr>
                <w:sz w:val="20"/>
              </w:rPr>
            </w:pPr>
          </w:p>
          <w:p w14:paraId="46C02715" w14:textId="77F81C84" w:rsidR="005D62D9" w:rsidRPr="002053CB" w:rsidRDefault="005D62D9" w:rsidP="6C8F16FB">
            <w:pPr>
              <w:rPr>
                <w:sz w:val="20"/>
              </w:rPr>
            </w:pPr>
            <w:r w:rsidRPr="002053CB">
              <w:rPr>
                <w:sz w:val="20"/>
              </w:rPr>
              <w:t>COVID-19 (</w:t>
            </w:r>
            <w:r w:rsidR="5FC688C9" w:rsidRPr="002053CB">
              <w:rPr>
                <w:sz w:val="20"/>
              </w:rPr>
              <w:t>fully</w:t>
            </w:r>
            <w:r w:rsidR="00DE2C09" w:rsidRPr="002053CB">
              <w:rPr>
                <w:sz w:val="20"/>
              </w:rPr>
              <w:t xml:space="preserve"> </w:t>
            </w:r>
            <w:r w:rsidR="00EF7884" w:rsidRPr="002053CB">
              <w:rPr>
                <w:sz w:val="20"/>
              </w:rPr>
              <w:t xml:space="preserve">vaccinated/fully vaccinated (boosted) (as applicable) </w:t>
            </w:r>
            <w:r w:rsidR="007060EE" w:rsidRPr="002053CB">
              <w:rPr>
                <w:sz w:val="20"/>
              </w:rPr>
              <w:t>requirement</w:t>
            </w:r>
            <w:r w:rsidRPr="002053CB">
              <w:rPr>
                <w:sz w:val="20"/>
              </w:rPr>
              <w:t>)</w:t>
            </w:r>
          </w:p>
        </w:tc>
        <w:tc>
          <w:tcPr>
            <w:tcW w:w="2673" w:type="dxa"/>
            <w:vMerge w:val="restart"/>
            <w:tcBorders>
              <w:top w:val="single" w:sz="4" w:space="0" w:color="auto"/>
              <w:left w:val="single" w:sz="4" w:space="0" w:color="auto"/>
              <w:bottom w:val="single" w:sz="4" w:space="0" w:color="auto"/>
              <w:right w:val="single" w:sz="4" w:space="0" w:color="auto"/>
            </w:tcBorders>
            <w:hideMark/>
          </w:tcPr>
          <w:p w14:paraId="5066E6CD" w14:textId="5738A1AB" w:rsidR="005D62D9" w:rsidRPr="002053CB" w:rsidRDefault="005D62D9" w:rsidP="6C8F16FB">
            <w:pPr>
              <w:rPr>
                <w:sz w:val="20"/>
              </w:rPr>
            </w:pPr>
            <w:r w:rsidRPr="002053CB">
              <w:rPr>
                <w:sz w:val="20"/>
              </w:rPr>
              <w:t>Hepatitis A/</w:t>
            </w:r>
            <w:r w:rsidR="009531CE" w:rsidRPr="002053CB">
              <w:rPr>
                <w:sz w:val="20"/>
              </w:rPr>
              <w:t xml:space="preserve"> </w:t>
            </w:r>
            <w:r w:rsidRPr="002053CB">
              <w:rPr>
                <w:sz w:val="20"/>
              </w:rPr>
              <w:t xml:space="preserve">meningococcal in some cases, </w:t>
            </w:r>
            <w:r w:rsidR="00F56540" w:rsidRPr="002053CB">
              <w:rPr>
                <w:sz w:val="20"/>
              </w:rPr>
              <w:t xml:space="preserve">and </w:t>
            </w:r>
            <w:r w:rsidRPr="002053CB">
              <w:rPr>
                <w:sz w:val="20"/>
              </w:rPr>
              <w:t>routine adult scheduled vaccines</w:t>
            </w:r>
          </w:p>
        </w:tc>
      </w:tr>
      <w:tr w:rsidR="00932BCB" w:rsidRPr="00932BCB" w14:paraId="0BEC621F" w14:textId="77777777" w:rsidTr="00554ABA">
        <w:trPr>
          <w:trHeight w:val="2427"/>
        </w:trPr>
        <w:tc>
          <w:tcPr>
            <w:tcW w:w="1151" w:type="dxa"/>
            <w:tcBorders>
              <w:top w:val="single" w:sz="6" w:space="0" w:color="auto"/>
              <w:left w:val="single" w:sz="6" w:space="0" w:color="auto"/>
              <w:bottom w:val="single" w:sz="6" w:space="0" w:color="auto"/>
              <w:right w:val="single" w:sz="4" w:space="0" w:color="auto"/>
            </w:tcBorders>
            <w:shd w:val="clear" w:color="auto" w:fill="auto"/>
          </w:tcPr>
          <w:p w14:paraId="4AEECB61" w14:textId="1744B06E" w:rsidR="005D62D9" w:rsidRPr="0005512E" w:rsidRDefault="005D62D9" w:rsidP="6C8F16FB">
            <w:pPr>
              <w:rPr>
                <w:b/>
                <w:szCs w:val="21"/>
              </w:rPr>
            </w:pPr>
            <w:r w:rsidRPr="0005512E">
              <w:rPr>
                <w:b/>
                <w:szCs w:val="21"/>
              </w:rPr>
              <w:t>B</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45FD272C" w14:textId="6C08111B" w:rsidR="005D62D9" w:rsidRPr="002053CB" w:rsidRDefault="005D62D9" w:rsidP="6C8F16FB">
            <w:pPr>
              <w:rPr>
                <w:sz w:val="20"/>
              </w:rPr>
            </w:pPr>
            <w:r w:rsidRPr="002053CB">
              <w:rPr>
                <w:sz w:val="20"/>
              </w:rPr>
              <w:t>Healthcare workers at risk of acquisition and/or transmission of infections spread via respiratory or enteric routes</w:t>
            </w:r>
            <w:r w:rsidR="00E94C13" w:rsidRPr="002053CB">
              <w:rPr>
                <w:sz w:val="20"/>
              </w:rPr>
              <w:t xml:space="preserve">. </w:t>
            </w:r>
            <w:r w:rsidRPr="002053CB">
              <w:rPr>
                <w:sz w:val="20"/>
              </w:rPr>
              <w:t> </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3EE678CE" w14:textId="77777777" w:rsidR="005D62D9" w:rsidRPr="002053CB" w:rsidRDefault="005D62D9" w:rsidP="6C8F16FB">
            <w:pPr>
              <w:rPr>
                <w:sz w:val="20"/>
              </w:rPr>
            </w:pPr>
            <w:r w:rsidRPr="002053CB">
              <w:rPr>
                <w:rFonts w:eastAsia="MS Gothic"/>
                <w:sz w:val="20"/>
              </w:rPr>
              <w:t>Healthcare workers who rarely have direct physical contact with patients, clients, deceased persons or body parts, blood, body substances, infectious material or surfaces or equipment that might contain these.  </w:t>
            </w:r>
            <w:r w:rsidRPr="002053CB">
              <w:rPr>
                <w:rFonts w:eastAsia="MS Mincho"/>
                <w:sz w:val="20"/>
              </w:rPr>
              <w:t> </w:t>
            </w:r>
          </w:p>
          <w:p w14:paraId="1BD4A225" w14:textId="2AB53B3F" w:rsidR="005D62D9" w:rsidRPr="002053CB" w:rsidRDefault="005D62D9" w:rsidP="6C8F16FB">
            <w:pPr>
              <w:rPr>
                <w:sz w:val="20"/>
              </w:rPr>
            </w:pPr>
            <w:r w:rsidRPr="002053CB">
              <w:rPr>
                <w:sz w:val="20"/>
              </w:rPr>
              <w:t> </w:t>
            </w:r>
          </w:p>
        </w:tc>
        <w:tc>
          <w:tcPr>
            <w:tcW w:w="2672" w:type="dxa"/>
            <w:vMerge/>
            <w:tcBorders>
              <w:top w:val="single" w:sz="4" w:space="0" w:color="auto"/>
              <w:left w:val="single" w:sz="4" w:space="0" w:color="auto"/>
              <w:bottom w:val="single" w:sz="4" w:space="0" w:color="auto"/>
              <w:right w:val="single" w:sz="4" w:space="0" w:color="auto"/>
            </w:tcBorders>
          </w:tcPr>
          <w:p w14:paraId="475D3324" w14:textId="77777777" w:rsidR="005D62D9" w:rsidRPr="002053CB" w:rsidRDefault="005D62D9" w:rsidP="00491E56">
            <w:pPr>
              <w:rPr>
                <w:sz w:val="20"/>
              </w:rPr>
            </w:pPr>
          </w:p>
        </w:tc>
        <w:tc>
          <w:tcPr>
            <w:tcW w:w="2673" w:type="dxa"/>
            <w:vMerge/>
            <w:tcBorders>
              <w:top w:val="single" w:sz="4" w:space="0" w:color="auto"/>
              <w:left w:val="single" w:sz="4" w:space="0" w:color="auto"/>
              <w:bottom w:val="single" w:sz="4" w:space="0" w:color="auto"/>
              <w:right w:val="single" w:sz="4" w:space="0" w:color="auto"/>
            </w:tcBorders>
          </w:tcPr>
          <w:p w14:paraId="5D7FD3C7" w14:textId="77777777" w:rsidR="005D62D9" w:rsidRPr="002053CB" w:rsidRDefault="005D62D9" w:rsidP="00491E56">
            <w:pPr>
              <w:rPr>
                <w:sz w:val="20"/>
              </w:rPr>
            </w:pPr>
          </w:p>
        </w:tc>
      </w:tr>
      <w:tr w:rsidR="00932BCB" w:rsidRPr="00932BCB" w14:paraId="3AD1FDC0" w14:textId="77777777" w:rsidTr="00554ABA">
        <w:trPr>
          <w:trHeight w:val="2427"/>
        </w:trPr>
        <w:tc>
          <w:tcPr>
            <w:tcW w:w="1151" w:type="dxa"/>
            <w:tcBorders>
              <w:top w:val="single" w:sz="6" w:space="0" w:color="auto"/>
              <w:left w:val="single" w:sz="6" w:space="0" w:color="auto"/>
              <w:bottom w:val="single" w:sz="6" w:space="0" w:color="auto"/>
              <w:right w:val="single" w:sz="4" w:space="0" w:color="auto"/>
            </w:tcBorders>
            <w:shd w:val="clear" w:color="auto" w:fill="auto"/>
            <w:hideMark/>
          </w:tcPr>
          <w:p w14:paraId="24D28072" w14:textId="59EDEA5C" w:rsidR="005D62D9" w:rsidRPr="0005512E" w:rsidRDefault="005D62D9" w:rsidP="6C8F16FB">
            <w:pPr>
              <w:rPr>
                <w:b/>
                <w:szCs w:val="21"/>
              </w:rPr>
            </w:pPr>
            <w:r w:rsidRPr="0005512E">
              <w:rPr>
                <w:b/>
                <w:szCs w:val="21"/>
              </w:rPr>
              <w:t>C</w:t>
            </w:r>
          </w:p>
        </w:tc>
        <w:tc>
          <w:tcPr>
            <w:tcW w:w="3864" w:type="dxa"/>
            <w:tcBorders>
              <w:top w:val="single" w:sz="4" w:space="0" w:color="auto"/>
              <w:left w:val="single" w:sz="4" w:space="0" w:color="auto"/>
              <w:bottom w:val="single" w:sz="4" w:space="0" w:color="auto"/>
              <w:right w:val="single" w:sz="4" w:space="0" w:color="auto"/>
            </w:tcBorders>
            <w:shd w:val="clear" w:color="auto" w:fill="auto"/>
            <w:hideMark/>
          </w:tcPr>
          <w:p w14:paraId="0D6D0DC5" w14:textId="6B709649" w:rsidR="005D62D9" w:rsidRPr="002053CB" w:rsidRDefault="005D62D9" w:rsidP="6C8F16FB">
            <w:pPr>
              <w:rPr>
                <w:sz w:val="20"/>
              </w:rPr>
            </w:pPr>
            <w:r w:rsidRPr="002053CB">
              <w:rPr>
                <w:sz w:val="20"/>
              </w:rPr>
              <w:t>Healthcare workers at risk of acquisition and/or transmission of infections spread via respiratory routes</w:t>
            </w:r>
            <w:r w:rsidR="00E94C13" w:rsidRPr="002053CB">
              <w:rPr>
                <w:sz w:val="20"/>
              </w:rPr>
              <w:t xml:space="preserve">. </w:t>
            </w:r>
            <w:r w:rsidRPr="002053CB">
              <w:rPr>
                <w:sz w:val="20"/>
              </w:rPr>
              <w:t> </w:t>
            </w:r>
          </w:p>
        </w:tc>
        <w:tc>
          <w:tcPr>
            <w:tcW w:w="4658" w:type="dxa"/>
            <w:tcBorders>
              <w:top w:val="single" w:sz="4" w:space="0" w:color="auto"/>
              <w:left w:val="single" w:sz="4" w:space="0" w:color="auto"/>
              <w:bottom w:val="single" w:sz="4" w:space="0" w:color="auto"/>
              <w:right w:val="single" w:sz="4" w:space="0" w:color="auto"/>
            </w:tcBorders>
            <w:shd w:val="clear" w:color="auto" w:fill="auto"/>
            <w:hideMark/>
          </w:tcPr>
          <w:p w14:paraId="01497CAF" w14:textId="6ECDF1EC" w:rsidR="005D62D9" w:rsidRPr="002053CB" w:rsidRDefault="005D62D9" w:rsidP="6C8F16FB">
            <w:pPr>
              <w:rPr>
                <w:sz w:val="20"/>
              </w:rPr>
            </w:pPr>
            <w:r w:rsidRPr="002053CB">
              <w:rPr>
                <w:sz w:val="20"/>
              </w:rPr>
              <w:t xml:space="preserve">Healthcare workers with no direct physical contact with patients, clients, deceased persons or body parts, blood, body substances, infectious material or surfaces or equipment that might contain these. </w:t>
            </w:r>
            <w:r w:rsidR="5E9EFACA" w:rsidRPr="002053CB">
              <w:rPr>
                <w:sz w:val="20"/>
              </w:rPr>
              <w:t>  </w:t>
            </w:r>
            <w:r w:rsidRPr="002053CB">
              <w:rPr>
                <w:sz w:val="20"/>
              </w:rPr>
              <w:t> </w:t>
            </w:r>
          </w:p>
        </w:tc>
        <w:tc>
          <w:tcPr>
            <w:tcW w:w="2672" w:type="dxa"/>
            <w:tcBorders>
              <w:top w:val="single" w:sz="4" w:space="0" w:color="auto"/>
              <w:left w:val="single" w:sz="4" w:space="0" w:color="auto"/>
              <w:bottom w:val="single" w:sz="4" w:space="0" w:color="auto"/>
              <w:right w:val="single" w:sz="4" w:space="0" w:color="auto"/>
            </w:tcBorders>
            <w:hideMark/>
          </w:tcPr>
          <w:p w14:paraId="7B41033D" w14:textId="1EF45B7F" w:rsidR="005D62D9" w:rsidRPr="002053CB" w:rsidRDefault="00DE2C09" w:rsidP="6C8F16FB">
            <w:pPr>
              <w:rPr>
                <w:sz w:val="20"/>
              </w:rPr>
            </w:pPr>
            <w:r w:rsidRPr="002053CB">
              <w:rPr>
                <w:sz w:val="20"/>
              </w:rPr>
              <w:t>COVID-19 (fully vaccinated/fully vaccinated (boosted) (as applicable) requirement)</w:t>
            </w:r>
          </w:p>
        </w:tc>
        <w:tc>
          <w:tcPr>
            <w:tcW w:w="2673" w:type="dxa"/>
            <w:tcBorders>
              <w:top w:val="single" w:sz="4" w:space="0" w:color="auto"/>
              <w:left w:val="single" w:sz="4" w:space="0" w:color="auto"/>
              <w:bottom w:val="single" w:sz="4" w:space="0" w:color="auto"/>
              <w:right w:val="single" w:sz="4" w:space="0" w:color="auto"/>
            </w:tcBorders>
            <w:hideMark/>
          </w:tcPr>
          <w:p w14:paraId="07D647D0" w14:textId="77777777" w:rsidR="005D62D9" w:rsidRPr="002053CB" w:rsidRDefault="005D62D9" w:rsidP="6C8F16FB">
            <w:pPr>
              <w:rPr>
                <w:sz w:val="20"/>
              </w:rPr>
            </w:pPr>
            <w:r w:rsidRPr="002053CB">
              <w:rPr>
                <w:sz w:val="20"/>
              </w:rPr>
              <w:t xml:space="preserve">Routine adult vaccination schedule vaccines, including annual influenza </w:t>
            </w:r>
          </w:p>
          <w:p w14:paraId="082627D0" w14:textId="1C3F5663" w:rsidR="000E3B1C" w:rsidRPr="002053CB" w:rsidRDefault="000E3B1C" w:rsidP="6C8F16FB">
            <w:pPr>
              <w:rPr>
                <w:sz w:val="20"/>
              </w:rPr>
            </w:pPr>
          </w:p>
        </w:tc>
      </w:tr>
    </w:tbl>
    <w:p w14:paraId="1F84FB83" w14:textId="77777777" w:rsidR="00932BCB" w:rsidRPr="00840238" w:rsidRDefault="00932BCB" w:rsidP="00491E56">
      <w:pPr>
        <w:pStyle w:val="Heading2"/>
      </w:pPr>
      <w:bookmarkStart w:id="26" w:name="_Toc116457925"/>
      <w:bookmarkStart w:id="27" w:name="_Toc46399882"/>
      <w:bookmarkStart w:id="28" w:name="_Toc113362849"/>
      <w:r w:rsidRPr="00840238">
        <w:t>Table 1. Risk categorisation and recommended vaccine schedule</w:t>
      </w:r>
      <w:bookmarkEnd w:id="26"/>
    </w:p>
    <w:p w14:paraId="63762458" w14:textId="76842E61" w:rsidR="00A83E9B" w:rsidRPr="00491E56" w:rsidRDefault="00A83E9B" w:rsidP="00491E56">
      <w:pPr>
        <w:sectPr w:rsidR="00A83E9B" w:rsidRPr="00491E56" w:rsidSect="00491E56">
          <w:headerReference w:type="even" r:id="rId25"/>
          <w:headerReference w:type="default" r:id="rId26"/>
          <w:footerReference w:type="even" r:id="rId27"/>
          <w:footerReference w:type="default" r:id="rId28"/>
          <w:headerReference w:type="first" r:id="rId29"/>
          <w:type w:val="nextColumn"/>
          <w:pgSz w:w="16838" w:h="11906" w:orient="landscape" w:code="9"/>
          <w:pgMar w:top="720" w:right="720" w:bottom="720" w:left="720" w:header="680" w:footer="851" w:gutter="0"/>
          <w:cols w:space="340"/>
          <w:titlePg/>
          <w:docGrid w:linePitch="360"/>
        </w:sectPr>
      </w:pPr>
      <w:bookmarkStart w:id="29" w:name="_Toc113362850"/>
      <w:bookmarkStart w:id="30" w:name="_Toc46399888"/>
      <w:bookmarkStart w:id="31" w:name="_Toc113362851"/>
      <w:bookmarkEnd w:id="27"/>
      <w:bookmarkEnd w:id="28"/>
    </w:p>
    <w:tbl>
      <w:tblPr>
        <w:tblStyle w:val="TableGrid"/>
        <w:tblpPr w:leftFromText="180" w:rightFromText="180" w:vertAnchor="page" w:horzAnchor="margin" w:tblpY="1607"/>
        <w:tblW w:w="14737" w:type="dxa"/>
        <w:tblLook w:val="04A0" w:firstRow="1" w:lastRow="0" w:firstColumn="1" w:lastColumn="0" w:noHBand="0" w:noVBand="1"/>
      </w:tblPr>
      <w:tblGrid>
        <w:gridCol w:w="1270"/>
        <w:gridCol w:w="4537"/>
        <w:gridCol w:w="1276"/>
        <w:gridCol w:w="1417"/>
        <w:gridCol w:w="6237"/>
      </w:tblGrid>
      <w:tr w:rsidR="00876546" w:rsidRPr="00F56540" w14:paraId="7BBF7D96" w14:textId="77777777" w:rsidTr="00320E0A">
        <w:trPr>
          <w:trHeight w:val="416"/>
        </w:trPr>
        <w:tc>
          <w:tcPr>
            <w:tcW w:w="8500" w:type="dxa"/>
            <w:gridSpan w:val="4"/>
            <w:shd w:val="clear" w:color="auto" w:fill="DBE5F1" w:themeFill="accent1" w:themeFillTint="33"/>
            <w:vAlign w:val="center"/>
          </w:tcPr>
          <w:p w14:paraId="49DF0BA8" w14:textId="5C35985B" w:rsidR="00876546" w:rsidRPr="0015135D" w:rsidRDefault="00876546" w:rsidP="00876546">
            <w:pPr>
              <w:spacing w:after="0"/>
              <w:rPr>
                <w:rFonts w:cs="Arial"/>
              </w:rPr>
            </w:pPr>
            <w:r>
              <w:rPr>
                <w:rFonts w:cs="Arial"/>
                <w:b/>
              </w:rPr>
              <w:lastRenderedPageBreak/>
              <w:t>R</w:t>
            </w:r>
            <w:r w:rsidRPr="00F56540">
              <w:rPr>
                <w:rFonts w:cs="Arial"/>
                <w:b/>
              </w:rPr>
              <w:t>equired evidence of immunity for current healthcare workers</w:t>
            </w:r>
          </w:p>
        </w:tc>
        <w:tc>
          <w:tcPr>
            <w:tcW w:w="6237" w:type="dxa"/>
            <w:vMerge w:val="restart"/>
            <w:shd w:val="clear" w:color="auto" w:fill="DBE5F1" w:themeFill="accent1" w:themeFillTint="33"/>
            <w:vAlign w:val="center"/>
          </w:tcPr>
          <w:p w14:paraId="0CCEFCA8" w14:textId="77777777" w:rsidR="00876546" w:rsidRPr="00F56540" w:rsidRDefault="00876546" w:rsidP="00876546">
            <w:pPr>
              <w:spacing w:after="0"/>
              <w:rPr>
                <w:rFonts w:cs="Arial"/>
                <w:b/>
              </w:rPr>
            </w:pPr>
            <w:r w:rsidRPr="00F56540">
              <w:rPr>
                <w:rFonts w:cs="Arial"/>
                <w:b/>
              </w:rPr>
              <w:t>Minimum requirement prior to engagement (for prospective healthcare workers)</w:t>
            </w:r>
          </w:p>
        </w:tc>
      </w:tr>
      <w:tr w:rsidR="00876546" w:rsidRPr="00F56540" w14:paraId="7041632C" w14:textId="77777777" w:rsidTr="00320E0A">
        <w:trPr>
          <w:trHeight w:val="699"/>
        </w:trPr>
        <w:tc>
          <w:tcPr>
            <w:tcW w:w="1270" w:type="dxa"/>
            <w:shd w:val="clear" w:color="auto" w:fill="DBE5F1" w:themeFill="accent1" w:themeFillTint="33"/>
            <w:vAlign w:val="center"/>
          </w:tcPr>
          <w:p w14:paraId="7C41EB69" w14:textId="77777777" w:rsidR="00876546" w:rsidRPr="00F56540" w:rsidRDefault="00876546" w:rsidP="00876546">
            <w:pPr>
              <w:spacing w:after="0"/>
              <w:rPr>
                <w:rFonts w:cs="Arial"/>
                <w:b/>
              </w:rPr>
            </w:pPr>
            <w:r w:rsidRPr="00F56540">
              <w:rPr>
                <w:rFonts w:cs="Arial"/>
                <w:b/>
              </w:rPr>
              <w:t>Diseases</w:t>
            </w:r>
          </w:p>
        </w:tc>
        <w:tc>
          <w:tcPr>
            <w:tcW w:w="4537" w:type="dxa"/>
            <w:shd w:val="clear" w:color="auto" w:fill="DBE5F1" w:themeFill="accent1" w:themeFillTint="33"/>
            <w:vAlign w:val="center"/>
          </w:tcPr>
          <w:p w14:paraId="07F1082B" w14:textId="77777777" w:rsidR="00876546" w:rsidRPr="00F56540" w:rsidRDefault="00876546" w:rsidP="00876546">
            <w:pPr>
              <w:spacing w:after="0"/>
              <w:rPr>
                <w:rFonts w:cs="Arial"/>
                <w:b/>
              </w:rPr>
            </w:pPr>
            <w:r w:rsidRPr="00F56540">
              <w:rPr>
                <w:rFonts w:cs="Arial"/>
                <w:b/>
              </w:rPr>
              <w:t>Vaccination evidence</w:t>
            </w:r>
          </w:p>
        </w:tc>
        <w:tc>
          <w:tcPr>
            <w:tcW w:w="1276" w:type="dxa"/>
            <w:shd w:val="clear" w:color="auto" w:fill="DBE5F1" w:themeFill="accent1" w:themeFillTint="33"/>
            <w:vAlign w:val="center"/>
          </w:tcPr>
          <w:p w14:paraId="44D31830" w14:textId="77777777" w:rsidR="00876546" w:rsidRPr="00F56540" w:rsidRDefault="00876546" w:rsidP="00876546">
            <w:pPr>
              <w:spacing w:after="0"/>
              <w:rPr>
                <w:rFonts w:cs="Arial"/>
                <w:b/>
              </w:rPr>
            </w:pPr>
            <w:r w:rsidRPr="00F56540">
              <w:rPr>
                <w:rFonts w:cs="Arial"/>
                <w:b/>
              </w:rPr>
              <w:t>Serology evidence</w:t>
            </w:r>
          </w:p>
        </w:tc>
        <w:tc>
          <w:tcPr>
            <w:tcW w:w="1417" w:type="dxa"/>
            <w:shd w:val="clear" w:color="auto" w:fill="DBE5F1" w:themeFill="accent1" w:themeFillTint="33"/>
            <w:vAlign w:val="center"/>
          </w:tcPr>
          <w:p w14:paraId="7153B69C" w14:textId="77777777" w:rsidR="00876546" w:rsidRPr="00F56540" w:rsidRDefault="00876546" w:rsidP="00876546">
            <w:pPr>
              <w:spacing w:after="0"/>
              <w:rPr>
                <w:rFonts w:cs="Arial"/>
                <w:b/>
              </w:rPr>
            </w:pPr>
            <w:r w:rsidRPr="00F56540">
              <w:rPr>
                <w:rFonts w:cs="Arial"/>
                <w:b/>
              </w:rPr>
              <w:t>Other acceptable evidence</w:t>
            </w:r>
          </w:p>
        </w:tc>
        <w:tc>
          <w:tcPr>
            <w:tcW w:w="6237" w:type="dxa"/>
            <w:vMerge/>
            <w:shd w:val="clear" w:color="auto" w:fill="DBE5F1" w:themeFill="accent1" w:themeFillTint="33"/>
            <w:vAlign w:val="center"/>
          </w:tcPr>
          <w:p w14:paraId="33918252" w14:textId="77777777" w:rsidR="00876546" w:rsidRPr="00F56540" w:rsidRDefault="00876546" w:rsidP="00876546">
            <w:pPr>
              <w:spacing w:after="0"/>
              <w:rPr>
                <w:rFonts w:cs="Arial"/>
                <w:b/>
              </w:rPr>
            </w:pPr>
          </w:p>
        </w:tc>
      </w:tr>
      <w:tr w:rsidR="00876546" w:rsidRPr="00F56540" w14:paraId="06666391" w14:textId="77777777" w:rsidTr="00876546">
        <w:tc>
          <w:tcPr>
            <w:tcW w:w="1270" w:type="dxa"/>
          </w:tcPr>
          <w:p w14:paraId="17867198" w14:textId="77777777" w:rsidR="00876546" w:rsidRPr="00F56540" w:rsidRDefault="00876546" w:rsidP="00876546">
            <w:pPr>
              <w:pStyle w:val="DHHSbody"/>
              <w:spacing w:after="0"/>
              <w:rPr>
                <w:rFonts w:cs="Arial"/>
              </w:rPr>
            </w:pPr>
            <w:r w:rsidRPr="00F56540">
              <w:rPr>
                <w:rFonts w:cs="Arial"/>
              </w:rPr>
              <w:t>Influenza</w:t>
            </w:r>
          </w:p>
        </w:tc>
        <w:tc>
          <w:tcPr>
            <w:tcW w:w="4537" w:type="dxa"/>
          </w:tcPr>
          <w:p w14:paraId="1BC08932" w14:textId="77777777" w:rsidR="00876546" w:rsidRPr="00F56540" w:rsidRDefault="00876546" w:rsidP="00876546">
            <w:pPr>
              <w:pStyle w:val="DHHSbody"/>
              <w:spacing w:after="0"/>
              <w:rPr>
                <w:rFonts w:cs="Arial"/>
              </w:rPr>
            </w:pPr>
            <w:r w:rsidRPr="00F56540">
              <w:rPr>
                <w:rFonts w:cs="Arial"/>
              </w:rPr>
              <w:t>Category A and B workers must show an:</w:t>
            </w:r>
          </w:p>
          <w:p w14:paraId="445C06C0" w14:textId="77777777" w:rsidR="00876546" w:rsidRPr="00F56540" w:rsidRDefault="00876546" w:rsidP="00876546">
            <w:pPr>
              <w:pStyle w:val="DHHSbody"/>
              <w:spacing w:after="0"/>
              <w:rPr>
                <w:rFonts w:cs="Arial"/>
              </w:rPr>
            </w:pPr>
            <w:r w:rsidRPr="00F56540">
              <w:rPr>
                <w:rFonts w:cs="Arial"/>
              </w:rPr>
              <w:t>Immunisation history statement (IHS) from the Australian Immunisation Register (AIR) showing one dose of current seasonal influenza vaccine administered by 15 August annually</w:t>
            </w:r>
            <w:r w:rsidRPr="02CCA15E">
              <w:rPr>
                <w:rFonts w:cs="Arial"/>
              </w:rPr>
              <w:t>.</w:t>
            </w:r>
            <w:r w:rsidRPr="00F56540">
              <w:rPr>
                <w:rFonts w:cs="Arial"/>
              </w:rPr>
              <w:t xml:space="preserve"> </w:t>
            </w:r>
          </w:p>
          <w:p w14:paraId="197BC773" w14:textId="77777777" w:rsidR="00876546" w:rsidRPr="00F56540" w:rsidRDefault="00876546" w:rsidP="00876546">
            <w:pPr>
              <w:pStyle w:val="DHHSbody"/>
              <w:spacing w:after="0"/>
              <w:rPr>
                <w:rFonts w:cs="Arial"/>
                <w:b/>
                <w:bCs/>
              </w:rPr>
            </w:pPr>
            <w:r w:rsidRPr="00F56540">
              <w:rPr>
                <w:rFonts w:cs="Arial"/>
                <w:b/>
                <w:bCs/>
              </w:rPr>
              <w:t>OR</w:t>
            </w:r>
          </w:p>
          <w:p w14:paraId="3C9F3622" w14:textId="77777777" w:rsidR="00876546" w:rsidRPr="00F56540" w:rsidRDefault="00876546" w:rsidP="00876546">
            <w:pPr>
              <w:pStyle w:val="DHHSbody"/>
              <w:spacing w:after="0"/>
              <w:rPr>
                <w:rFonts w:cs="Arial"/>
              </w:rPr>
            </w:pPr>
            <w:r w:rsidRPr="00F56540">
              <w:rPr>
                <w:rFonts w:cs="Arial"/>
              </w:rPr>
              <w:t>Evidence showing one dose of current seasonal influenza vaccine administered by 15 August annually, provided by the health service that has administered the vaccine.</w:t>
            </w:r>
          </w:p>
          <w:p w14:paraId="42EC8866" w14:textId="77777777" w:rsidR="00876546" w:rsidRPr="00F56540" w:rsidRDefault="00876546" w:rsidP="00876546">
            <w:pPr>
              <w:pStyle w:val="DHHSbody"/>
              <w:spacing w:after="0"/>
              <w:rPr>
                <w:rFonts w:cs="Arial"/>
              </w:rPr>
            </w:pPr>
          </w:p>
        </w:tc>
        <w:tc>
          <w:tcPr>
            <w:tcW w:w="1276" w:type="dxa"/>
          </w:tcPr>
          <w:p w14:paraId="073986ED" w14:textId="77777777" w:rsidR="00876546" w:rsidRPr="00F56540" w:rsidRDefault="00876546" w:rsidP="00876546">
            <w:pPr>
              <w:pStyle w:val="DHHSbody"/>
              <w:spacing w:after="0"/>
              <w:rPr>
                <w:rFonts w:cs="Arial"/>
              </w:rPr>
            </w:pPr>
            <w:r w:rsidRPr="00F56540">
              <w:rPr>
                <w:rFonts w:cs="Arial"/>
              </w:rPr>
              <w:t>N/A</w:t>
            </w:r>
          </w:p>
        </w:tc>
        <w:tc>
          <w:tcPr>
            <w:tcW w:w="1417" w:type="dxa"/>
          </w:tcPr>
          <w:p w14:paraId="44F9EBB8" w14:textId="77777777" w:rsidR="00876546" w:rsidRPr="00F56540" w:rsidRDefault="00876546" w:rsidP="00876546">
            <w:pPr>
              <w:pStyle w:val="DHHSbody"/>
              <w:spacing w:after="0"/>
              <w:rPr>
                <w:rFonts w:cs="Arial"/>
              </w:rPr>
            </w:pPr>
            <w:r w:rsidRPr="00F56540">
              <w:rPr>
                <w:rFonts w:cs="Arial"/>
              </w:rPr>
              <w:t>N/A</w:t>
            </w:r>
          </w:p>
        </w:tc>
        <w:tc>
          <w:tcPr>
            <w:tcW w:w="6237" w:type="dxa"/>
            <w:shd w:val="clear" w:color="auto" w:fill="auto"/>
          </w:tcPr>
          <w:p w14:paraId="42D4BF78" w14:textId="77777777" w:rsidR="00876546" w:rsidRPr="00F56540" w:rsidRDefault="00876546" w:rsidP="00876546">
            <w:pPr>
              <w:pStyle w:val="DHHSbody"/>
              <w:spacing w:after="0"/>
              <w:rPr>
                <w:rFonts w:cs="Arial"/>
              </w:rPr>
            </w:pPr>
            <w:r w:rsidRPr="00F56540">
              <w:rPr>
                <w:rFonts w:cs="Arial"/>
              </w:rPr>
              <w:t>Before commencing employment, Category A and B workers must show an:</w:t>
            </w:r>
          </w:p>
          <w:p w14:paraId="76C23F53" w14:textId="77777777" w:rsidR="00876546" w:rsidRPr="00F56540" w:rsidRDefault="00876546" w:rsidP="00876546">
            <w:pPr>
              <w:pStyle w:val="DHHSbody"/>
              <w:numPr>
                <w:ilvl w:val="0"/>
                <w:numId w:val="39"/>
              </w:numPr>
              <w:spacing w:after="0"/>
              <w:rPr>
                <w:rFonts w:cs="Arial"/>
              </w:rPr>
            </w:pPr>
            <w:r w:rsidRPr="00F56540">
              <w:rPr>
                <w:rFonts w:cs="Arial"/>
              </w:rPr>
              <w:t>AIR IHS showing one dose of current seasonal influenza vaccine administered by 15 August annually</w:t>
            </w:r>
          </w:p>
          <w:p w14:paraId="1504401A" w14:textId="77777777" w:rsidR="00876546" w:rsidRPr="00F56540" w:rsidRDefault="00876546" w:rsidP="00876546">
            <w:pPr>
              <w:pStyle w:val="DHHSbody"/>
              <w:spacing w:after="0"/>
              <w:rPr>
                <w:rFonts w:cs="Arial"/>
                <w:b/>
              </w:rPr>
            </w:pPr>
            <w:r w:rsidRPr="00F56540">
              <w:rPr>
                <w:rFonts w:cs="Arial"/>
                <w:b/>
              </w:rPr>
              <w:t>OR</w:t>
            </w:r>
          </w:p>
          <w:p w14:paraId="5F1BDD1E" w14:textId="77777777" w:rsidR="00876546" w:rsidRPr="00F56540" w:rsidRDefault="00876546" w:rsidP="00876546">
            <w:pPr>
              <w:pStyle w:val="DHHSbody"/>
              <w:numPr>
                <w:ilvl w:val="0"/>
                <w:numId w:val="38"/>
              </w:numPr>
              <w:spacing w:after="0"/>
              <w:rPr>
                <w:rFonts w:cs="Arial"/>
              </w:rPr>
            </w:pPr>
            <w:r w:rsidRPr="00F56540">
              <w:rPr>
                <w:rFonts w:cs="Arial"/>
              </w:rPr>
              <w:t>where a health service provides an immunisation service that does not upload to AIR, evidence provided by the health service showing administration of the current seasonal influenza vaccine.</w:t>
            </w:r>
          </w:p>
          <w:p w14:paraId="4AFEA02A" w14:textId="77777777" w:rsidR="00876546" w:rsidRPr="00F56540" w:rsidRDefault="00876546" w:rsidP="00876546">
            <w:pPr>
              <w:pStyle w:val="DHHSbody"/>
              <w:spacing w:after="0"/>
              <w:rPr>
                <w:rFonts w:cs="Arial"/>
              </w:rPr>
            </w:pPr>
            <w:r w:rsidRPr="00F56540">
              <w:rPr>
                <w:rFonts w:cs="Arial"/>
              </w:rPr>
              <w:t>If commencing employment between January and April annually, evidence of influenza vaccine will need to be provided within 4 months of commencement. No current year influenza vaccine stock is available until April each year.</w:t>
            </w:r>
          </w:p>
          <w:p w14:paraId="2553440D" w14:textId="77777777" w:rsidR="00876546" w:rsidRPr="00F56540" w:rsidRDefault="00876546" w:rsidP="00876546">
            <w:pPr>
              <w:pStyle w:val="DHHSbody"/>
              <w:spacing w:after="0"/>
              <w:rPr>
                <w:rFonts w:cs="Arial"/>
              </w:rPr>
            </w:pPr>
            <w:r w:rsidRPr="00F56540">
              <w:rPr>
                <w:rFonts w:cs="Arial"/>
              </w:rPr>
              <w:t>If commencing employment between 16 August and 31 December, evidence of vaccination will need to be provided upon commencement.</w:t>
            </w:r>
          </w:p>
        </w:tc>
      </w:tr>
      <w:tr w:rsidR="00876546" w:rsidRPr="000A1557" w14:paraId="4960AD5D" w14:textId="77777777" w:rsidTr="00876546">
        <w:tc>
          <w:tcPr>
            <w:tcW w:w="1270" w:type="dxa"/>
          </w:tcPr>
          <w:p w14:paraId="21067809" w14:textId="77777777" w:rsidR="00876546" w:rsidRPr="00F56540" w:rsidRDefault="00876546" w:rsidP="00876546">
            <w:pPr>
              <w:pStyle w:val="DHHSbody"/>
              <w:spacing w:after="0"/>
              <w:rPr>
                <w:rFonts w:cs="Arial"/>
              </w:rPr>
            </w:pPr>
            <w:r w:rsidRPr="00F56540">
              <w:rPr>
                <w:rFonts w:cs="Arial"/>
              </w:rPr>
              <w:t>COVID-19</w:t>
            </w:r>
          </w:p>
        </w:tc>
        <w:tc>
          <w:tcPr>
            <w:tcW w:w="4537" w:type="dxa"/>
          </w:tcPr>
          <w:p w14:paraId="1037BA41" w14:textId="77777777" w:rsidR="00876546" w:rsidRPr="00F56540" w:rsidRDefault="00876546" w:rsidP="00876546">
            <w:pPr>
              <w:pStyle w:val="DHHSbody"/>
              <w:spacing w:after="0"/>
              <w:rPr>
                <w:rFonts w:cs="Arial"/>
              </w:rPr>
            </w:pPr>
            <w:r w:rsidRPr="00F56540">
              <w:rPr>
                <w:rFonts w:cs="Arial"/>
              </w:rPr>
              <w:t>Category A, B and C workers must show</w:t>
            </w:r>
            <w:r>
              <w:rPr>
                <w:rFonts w:cs="Arial"/>
              </w:rPr>
              <w:t xml:space="preserve"> either</w:t>
            </w:r>
            <w:r w:rsidRPr="00F56540">
              <w:rPr>
                <w:rFonts w:cs="Arial"/>
              </w:rPr>
              <w:t>:</w:t>
            </w:r>
          </w:p>
          <w:p w14:paraId="44F0FFF1" w14:textId="00DC33F3" w:rsidR="00876546" w:rsidRDefault="00876546" w:rsidP="00876546">
            <w:pPr>
              <w:pStyle w:val="DHHSbody"/>
              <w:numPr>
                <w:ilvl w:val="0"/>
                <w:numId w:val="13"/>
              </w:numPr>
              <w:spacing w:after="0"/>
              <w:ind w:left="360"/>
              <w:rPr>
                <w:rFonts w:cs="Arial"/>
              </w:rPr>
            </w:pPr>
            <w:r w:rsidRPr="00F56540">
              <w:rPr>
                <w:rFonts w:cs="Arial"/>
              </w:rPr>
              <w:t xml:space="preserve">a current printed or digital COVID-19 certificate issued by Services Australia and displayed through the </w:t>
            </w:r>
            <w:r w:rsidR="007433B0">
              <w:rPr>
                <w:rFonts w:cs="Arial"/>
              </w:rPr>
              <w:t>Express Plus</w:t>
            </w:r>
            <w:r w:rsidRPr="00F56540">
              <w:rPr>
                <w:rFonts w:cs="Arial"/>
              </w:rPr>
              <w:t xml:space="preserve"> Medicare App, or equivalent smartphone wallet</w:t>
            </w:r>
            <w:r w:rsidR="007433B0">
              <w:rPr>
                <w:rFonts w:cs="Arial"/>
              </w:rPr>
              <w:t xml:space="preserve"> or the myGov website</w:t>
            </w:r>
          </w:p>
          <w:p w14:paraId="6C97A075" w14:textId="77777777" w:rsidR="00876546" w:rsidRDefault="00876546" w:rsidP="00876546">
            <w:pPr>
              <w:pStyle w:val="DHHSbody"/>
              <w:numPr>
                <w:ilvl w:val="0"/>
                <w:numId w:val="13"/>
              </w:numPr>
              <w:spacing w:after="0"/>
              <w:ind w:left="360"/>
              <w:rPr>
                <w:rFonts w:cs="Arial"/>
              </w:rPr>
            </w:pPr>
            <w:r w:rsidRPr="00A85774">
              <w:rPr>
                <w:rFonts w:cs="Arial"/>
              </w:rPr>
              <w:t xml:space="preserve">a current printed or digital IHS from the AIR showing evidence of COVID-19 vaccination </w:t>
            </w:r>
          </w:p>
          <w:p w14:paraId="0FF39587" w14:textId="77777777" w:rsidR="00876546" w:rsidRPr="00A85774" w:rsidRDefault="00876546" w:rsidP="00876546">
            <w:pPr>
              <w:pStyle w:val="DHHSbody"/>
              <w:spacing w:after="0"/>
              <w:rPr>
                <w:rFonts w:cs="Arial"/>
              </w:rPr>
            </w:pPr>
          </w:p>
        </w:tc>
        <w:tc>
          <w:tcPr>
            <w:tcW w:w="1276" w:type="dxa"/>
          </w:tcPr>
          <w:p w14:paraId="0EBC1A9D" w14:textId="77777777" w:rsidR="00876546" w:rsidRPr="00F56540" w:rsidRDefault="00876546" w:rsidP="00876546">
            <w:pPr>
              <w:pStyle w:val="DHHSbody"/>
              <w:spacing w:after="0"/>
              <w:rPr>
                <w:rFonts w:cs="Arial"/>
              </w:rPr>
            </w:pPr>
            <w:r w:rsidRPr="00F56540">
              <w:rPr>
                <w:rFonts w:cs="Arial"/>
              </w:rPr>
              <w:t>N/A</w:t>
            </w:r>
          </w:p>
        </w:tc>
        <w:tc>
          <w:tcPr>
            <w:tcW w:w="1417" w:type="dxa"/>
          </w:tcPr>
          <w:p w14:paraId="61559FD9" w14:textId="77777777" w:rsidR="00876546" w:rsidRPr="00F56540" w:rsidRDefault="00876546" w:rsidP="00876546">
            <w:pPr>
              <w:pStyle w:val="DHHSbody"/>
              <w:spacing w:after="0"/>
              <w:rPr>
                <w:rFonts w:cs="Arial"/>
              </w:rPr>
            </w:pPr>
            <w:r w:rsidRPr="00F56540">
              <w:rPr>
                <w:rFonts w:cs="Arial"/>
              </w:rPr>
              <w:t>N/A</w:t>
            </w:r>
          </w:p>
        </w:tc>
        <w:tc>
          <w:tcPr>
            <w:tcW w:w="6237" w:type="dxa"/>
            <w:shd w:val="clear" w:color="auto" w:fill="auto"/>
          </w:tcPr>
          <w:p w14:paraId="2CE2251F" w14:textId="77777777" w:rsidR="00876546" w:rsidRDefault="00876546" w:rsidP="00876546">
            <w:pPr>
              <w:pStyle w:val="DHHSbody"/>
              <w:spacing w:after="0"/>
              <w:rPr>
                <w:rFonts w:cs="Arial"/>
              </w:rPr>
            </w:pPr>
            <w:r w:rsidRPr="00F56540">
              <w:rPr>
                <w:rFonts w:cs="Arial"/>
              </w:rPr>
              <w:t>Before commencing employment, prospective Category A, B and C employees must show</w:t>
            </w:r>
          </w:p>
          <w:p w14:paraId="7AB6CF34" w14:textId="1AC1AD99" w:rsidR="00876546" w:rsidRPr="00F56540" w:rsidRDefault="00876546" w:rsidP="00876546">
            <w:pPr>
              <w:pStyle w:val="DHHSbody"/>
              <w:numPr>
                <w:ilvl w:val="0"/>
                <w:numId w:val="43"/>
              </w:numPr>
              <w:spacing w:after="0"/>
              <w:rPr>
                <w:rFonts w:cs="Arial"/>
              </w:rPr>
            </w:pPr>
            <w:r w:rsidRPr="00F56540">
              <w:rPr>
                <w:rFonts w:cs="Arial"/>
              </w:rPr>
              <w:t>a curr</w:t>
            </w:r>
            <w:r>
              <w:rPr>
                <w:rFonts w:cs="Arial"/>
              </w:rPr>
              <w:t>e</w:t>
            </w:r>
            <w:r w:rsidRPr="00F56540">
              <w:rPr>
                <w:rFonts w:cs="Arial"/>
              </w:rPr>
              <w:t xml:space="preserve">nt </w:t>
            </w:r>
            <w:r>
              <w:rPr>
                <w:rFonts w:cs="Arial"/>
              </w:rPr>
              <w:t xml:space="preserve">printed or digital </w:t>
            </w:r>
            <w:r w:rsidRPr="00F56540">
              <w:rPr>
                <w:rFonts w:cs="Arial"/>
              </w:rPr>
              <w:t xml:space="preserve">COVID-19 certificate issued by Services Australia and displayed through the </w:t>
            </w:r>
            <w:r w:rsidR="007433B0">
              <w:rPr>
                <w:rFonts w:cs="Arial"/>
              </w:rPr>
              <w:t xml:space="preserve">Express Plus </w:t>
            </w:r>
            <w:r w:rsidRPr="00F56540">
              <w:rPr>
                <w:rFonts w:cs="Arial"/>
              </w:rPr>
              <w:t>Medicare App, or equivalent smartphone wallet</w:t>
            </w:r>
            <w:r w:rsidR="007433B0">
              <w:rPr>
                <w:rFonts w:cs="Arial"/>
              </w:rPr>
              <w:t xml:space="preserve"> or the myGov website</w:t>
            </w:r>
            <w:r w:rsidRPr="00F56540">
              <w:rPr>
                <w:rFonts w:cs="Arial"/>
              </w:rPr>
              <w:t>; or</w:t>
            </w:r>
          </w:p>
          <w:p w14:paraId="5237FFE4" w14:textId="77777777" w:rsidR="00876546" w:rsidRPr="000A1557" w:rsidRDefault="00876546" w:rsidP="00876546">
            <w:pPr>
              <w:pStyle w:val="DHHSbody"/>
              <w:numPr>
                <w:ilvl w:val="0"/>
                <w:numId w:val="13"/>
              </w:numPr>
              <w:spacing w:after="0"/>
              <w:ind w:left="360"/>
              <w:rPr>
                <w:rFonts w:cs="Arial"/>
              </w:rPr>
            </w:pPr>
            <w:r>
              <w:rPr>
                <w:rFonts w:cs="Arial"/>
              </w:rPr>
              <w:t>a current IHS from the AIR showing evidence of COVID-19 vaccination</w:t>
            </w:r>
          </w:p>
        </w:tc>
      </w:tr>
    </w:tbl>
    <w:p w14:paraId="4969741E" w14:textId="78BFB6BC" w:rsidR="0015135D" w:rsidRPr="00191264" w:rsidRDefault="0015135D" w:rsidP="00876546">
      <w:pPr>
        <w:pStyle w:val="Heading2"/>
        <w:spacing w:before="0" w:after="0"/>
        <w:rPr>
          <w:rFonts w:cs="Arial"/>
          <w:szCs w:val="32"/>
        </w:rPr>
      </w:pPr>
      <w:bookmarkStart w:id="32" w:name="_Toc116457926"/>
      <w:r w:rsidRPr="00191264">
        <w:rPr>
          <w:szCs w:val="32"/>
        </w:rPr>
        <w:t>Table 2. Evidence required to demonstrate vaccination for</w:t>
      </w:r>
      <w:r w:rsidR="00876546">
        <w:rPr>
          <w:szCs w:val="32"/>
        </w:rPr>
        <w:t xml:space="preserve"> </w:t>
      </w:r>
      <w:r w:rsidRPr="00191264">
        <w:rPr>
          <w:szCs w:val="32"/>
        </w:rPr>
        <w:t>healthcare workers</w:t>
      </w:r>
      <w:bookmarkEnd w:id="29"/>
      <w:bookmarkEnd w:id="32"/>
    </w:p>
    <w:p w14:paraId="465D3C14" w14:textId="77777777" w:rsidR="00876546" w:rsidRDefault="00876546" w:rsidP="0015135D">
      <w:pPr>
        <w:pStyle w:val="Heading1"/>
        <w:spacing w:before="360"/>
        <w:rPr>
          <w:sz w:val="40"/>
          <w:szCs w:val="40"/>
        </w:rPr>
        <w:sectPr w:rsidR="00876546" w:rsidSect="00491E56">
          <w:type w:val="nextColumn"/>
          <w:pgSz w:w="16838" w:h="11906" w:orient="landscape" w:code="9"/>
          <w:pgMar w:top="720" w:right="720" w:bottom="720" w:left="720" w:header="680" w:footer="851" w:gutter="0"/>
          <w:cols w:space="340"/>
          <w:titlePg/>
          <w:docGrid w:linePitch="360"/>
        </w:sectPr>
      </w:pPr>
    </w:p>
    <w:p w14:paraId="5859EAB9" w14:textId="15EFCDF5" w:rsidR="002205D2" w:rsidRPr="001F01D9" w:rsidRDefault="00412988" w:rsidP="0015135D">
      <w:pPr>
        <w:pStyle w:val="Heading1"/>
        <w:spacing w:before="360"/>
        <w:rPr>
          <w:sz w:val="40"/>
          <w:szCs w:val="40"/>
        </w:rPr>
      </w:pPr>
      <w:bookmarkStart w:id="33" w:name="_Toc116457927"/>
      <w:r w:rsidRPr="001F01D9">
        <w:rPr>
          <w:sz w:val="40"/>
          <w:szCs w:val="40"/>
        </w:rPr>
        <w:lastRenderedPageBreak/>
        <w:t>7</w:t>
      </w:r>
      <w:r w:rsidR="002205D2" w:rsidRPr="001F01D9">
        <w:rPr>
          <w:sz w:val="40"/>
          <w:szCs w:val="40"/>
        </w:rPr>
        <w:t>. Med</w:t>
      </w:r>
      <w:r w:rsidR="00444647" w:rsidRPr="001F01D9">
        <w:rPr>
          <w:sz w:val="40"/>
          <w:szCs w:val="40"/>
        </w:rPr>
        <w:t>i</w:t>
      </w:r>
      <w:r w:rsidR="002205D2" w:rsidRPr="001F01D9">
        <w:rPr>
          <w:sz w:val="40"/>
          <w:szCs w:val="40"/>
        </w:rPr>
        <w:t xml:space="preserve">cal contraindications to </w:t>
      </w:r>
      <w:r w:rsidR="00B808BA" w:rsidRPr="001F01D9">
        <w:rPr>
          <w:sz w:val="40"/>
          <w:szCs w:val="40"/>
        </w:rPr>
        <w:t xml:space="preserve">any </w:t>
      </w:r>
      <w:r w:rsidR="002205D2" w:rsidRPr="001F01D9">
        <w:rPr>
          <w:sz w:val="40"/>
          <w:szCs w:val="40"/>
        </w:rPr>
        <w:t>vaccination</w:t>
      </w:r>
      <w:bookmarkEnd w:id="30"/>
      <w:r w:rsidR="00B808BA" w:rsidRPr="001F01D9">
        <w:rPr>
          <w:sz w:val="40"/>
          <w:szCs w:val="40"/>
        </w:rPr>
        <w:t>,</w:t>
      </w:r>
      <w:r w:rsidR="004913E5" w:rsidRPr="001F01D9">
        <w:rPr>
          <w:sz w:val="40"/>
          <w:szCs w:val="40"/>
        </w:rPr>
        <w:t xml:space="preserve"> and exceptions to COVID-19 vaccination</w:t>
      </w:r>
      <w:bookmarkEnd w:id="31"/>
      <w:bookmarkEnd w:id="33"/>
      <w:r w:rsidR="004913E5" w:rsidRPr="001F01D9">
        <w:rPr>
          <w:sz w:val="40"/>
          <w:szCs w:val="40"/>
        </w:rPr>
        <w:t xml:space="preserve"> </w:t>
      </w:r>
    </w:p>
    <w:p w14:paraId="5D32C2A7" w14:textId="192CA633" w:rsidR="0016102B" w:rsidRPr="007441D3" w:rsidRDefault="00CD761A" w:rsidP="00BF3EAE">
      <w:pPr>
        <w:pStyle w:val="Heading4"/>
      </w:pPr>
      <w:r w:rsidRPr="007441D3">
        <w:t xml:space="preserve">7.1 </w:t>
      </w:r>
      <w:r w:rsidR="0016102B" w:rsidRPr="007441D3">
        <w:t>Healthcare wor</w:t>
      </w:r>
      <w:r w:rsidR="00FE0790" w:rsidRPr="007441D3">
        <w:t xml:space="preserve">kers and medical contraindication </w:t>
      </w:r>
    </w:p>
    <w:p w14:paraId="6C98CBA8" w14:textId="5D174C03" w:rsidR="00540F02" w:rsidRPr="00F56540" w:rsidRDefault="00540F02" w:rsidP="002205D2">
      <w:pPr>
        <w:pStyle w:val="DHHSbody"/>
        <w:rPr>
          <w:rFonts w:cs="Arial"/>
        </w:rPr>
      </w:pPr>
      <w:r w:rsidRPr="00F56540">
        <w:rPr>
          <w:rFonts w:cs="Arial"/>
        </w:rPr>
        <w:t xml:space="preserve">Healthcare workers that are unable to comply due to a medical contraindication to </w:t>
      </w:r>
      <w:r w:rsidR="00742BD7" w:rsidRPr="00F56540">
        <w:rPr>
          <w:rFonts w:cs="Arial"/>
        </w:rPr>
        <w:t xml:space="preserve">any </w:t>
      </w:r>
      <w:r w:rsidRPr="00F56540">
        <w:rPr>
          <w:rFonts w:cs="Arial"/>
        </w:rPr>
        <w:t>vaccin</w:t>
      </w:r>
      <w:r w:rsidR="00913D02" w:rsidRPr="00F56540">
        <w:rPr>
          <w:rFonts w:cs="Arial"/>
        </w:rPr>
        <w:t>ation</w:t>
      </w:r>
      <w:r w:rsidRPr="00F56540">
        <w:rPr>
          <w:rFonts w:cs="Arial"/>
        </w:rPr>
        <w:t xml:space="preserve"> </w:t>
      </w:r>
      <w:r w:rsidRPr="00E51658">
        <w:rPr>
          <w:rFonts w:cs="Arial"/>
          <w:b/>
          <w:bCs/>
        </w:rPr>
        <w:t>will not</w:t>
      </w:r>
      <w:r w:rsidRPr="00F56540">
        <w:rPr>
          <w:rFonts w:cs="Arial"/>
        </w:rPr>
        <w:t xml:space="preserve"> have their employment terminated</w:t>
      </w:r>
      <w:r w:rsidR="00A51024" w:rsidRPr="00F56540">
        <w:rPr>
          <w:rFonts w:cs="Arial"/>
        </w:rPr>
        <w:t xml:space="preserve"> </w:t>
      </w:r>
      <w:r w:rsidR="00A51024" w:rsidRPr="00BF3EAE">
        <w:rPr>
          <w:rFonts w:cs="Arial"/>
          <w:b/>
        </w:rPr>
        <w:t xml:space="preserve">nor be </w:t>
      </w:r>
      <w:r w:rsidR="007C3D17" w:rsidRPr="00BF3EAE">
        <w:rPr>
          <w:rFonts w:cs="Arial"/>
          <w:b/>
        </w:rPr>
        <w:t>discriminated against</w:t>
      </w:r>
      <w:r w:rsidR="007C3D17" w:rsidRPr="00F56540">
        <w:rPr>
          <w:rFonts w:cs="Arial"/>
        </w:rPr>
        <w:t xml:space="preserve"> when seeking new employment.</w:t>
      </w:r>
    </w:p>
    <w:p w14:paraId="21D6D8B8" w14:textId="4DF15E30" w:rsidR="00E96FF4" w:rsidRPr="00F56540" w:rsidRDefault="002205D2" w:rsidP="002205D2">
      <w:pPr>
        <w:pStyle w:val="DHHSbody"/>
        <w:rPr>
          <w:rFonts w:cs="Arial"/>
        </w:rPr>
      </w:pPr>
      <w:r w:rsidRPr="00F56540">
        <w:rPr>
          <w:rFonts w:cs="Arial"/>
          <w:b/>
        </w:rPr>
        <w:t>Current and prospective healthcare workers</w:t>
      </w:r>
      <w:r w:rsidRPr="00F56540">
        <w:rPr>
          <w:rFonts w:cs="Arial"/>
        </w:rPr>
        <w:t xml:space="preserve"> who are unable to be vaccinated due to temporary or permanent medical contraindications to </w:t>
      </w:r>
      <w:r w:rsidR="00F00D0A" w:rsidRPr="00F56540">
        <w:rPr>
          <w:rFonts w:cs="Arial"/>
        </w:rPr>
        <w:t>vaccination must</w:t>
      </w:r>
      <w:r w:rsidRPr="00F56540">
        <w:rPr>
          <w:rFonts w:cs="Arial"/>
        </w:rPr>
        <w:t xml:space="preserve"> provide documented evidence of this to their employer.</w:t>
      </w:r>
      <w:r w:rsidR="00B12747" w:rsidRPr="00F56540">
        <w:rPr>
          <w:rFonts w:cs="Arial"/>
        </w:rPr>
        <w:t xml:space="preserve"> </w:t>
      </w:r>
    </w:p>
    <w:p w14:paraId="7235FDB2" w14:textId="03DA4583" w:rsidR="00C77D70" w:rsidRPr="00F56540" w:rsidRDefault="00E37F86" w:rsidP="002205D2">
      <w:pPr>
        <w:pStyle w:val="DHHSbody"/>
        <w:rPr>
          <w:rFonts w:cs="Arial"/>
        </w:rPr>
      </w:pPr>
      <w:r w:rsidRPr="00E51658">
        <w:rPr>
          <w:rFonts w:cs="Arial"/>
          <w:b/>
          <w:bCs/>
        </w:rPr>
        <w:t>Information about contraindications to influenza vaccination</w:t>
      </w:r>
      <w:r w:rsidRPr="00F56540">
        <w:rPr>
          <w:rFonts w:cs="Arial"/>
        </w:rPr>
        <w:t xml:space="preserve"> can be found </w:t>
      </w:r>
      <w:r w:rsidR="00E7657B" w:rsidRPr="00F56540">
        <w:rPr>
          <w:rFonts w:cs="Arial"/>
        </w:rPr>
        <w:t xml:space="preserve">on the </w:t>
      </w:r>
      <w:hyperlink r:id="rId30" w:history="1">
        <w:r w:rsidR="00E7657B" w:rsidRPr="00F56540">
          <w:rPr>
            <w:rStyle w:val="Hyperlink"/>
            <w:rFonts w:cs="Arial"/>
            <w:i/>
            <w:iCs/>
          </w:rPr>
          <w:t xml:space="preserve">Australian Immunisation Handbook </w:t>
        </w:r>
        <w:r w:rsidR="00E7657B" w:rsidRPr="00F56540">
          <w:rPr>
            <w:rStyle w:val="Hyperlink"/>
            <w:rFonts w:cs="Arial"/>
          </w:rPr>
          <w:t>website</w:t>
        </w:r>
      </w:hyperlink>
      <w:r w:rsidR="00292898" w:rsidRPr="00F56540">
        <w:rPr>
          <w:rFonts w:cs="Arial"/>
        </w:rPr>
        <w:t xml:space="preserve"> &lt;</w:t>
      </w:r>
      <w:r w:rsidR="004E79C9" w:rsidRPr="00F56540">
        <w:rPr>
          <w:rFonts w:cs="Arial"/>
        </w:rPr>
        <w:t>https://immunisationhandbook.health.gov.au/contents/vaccine-preventable-diseases/influenza-flu&gt;</w:t>
      </w:r>
      <w:r w:rsidR="00E7657B" w:rsidRPr="00F56540">
        <w:rPr>
          <w:rFonts w:cs="Arial"/>
        </w:rPr>
        <w:t>.</w:t>
      </w:r>
    </w:p>
    <w:p w14:paraId="3EDE71AD" w14:textId="06D6827F" w:rsidR="00E44AF7" w:rsidRPr="00F56540" w:rsidRDefault="00987F2B" w:rsidP="00BF3EAE">
      <w:pPr>
        <w:pStyle w:val="DHHSbody"/>
        <w:spacing w:after="240"/>
        <w:rPr>
          <w:rFonts w:cs="Arial"/>
        </w:rPr>
      </w:pPr>
      <w:r w:rsidRPr="00E51658">
        <w:rPr>
          <w:rFonts w:cs="Arial"/>
          <w:b/>
          <w:bCs/>
        </w:rPr>
        <w:t>Information about contraindications to COVID-19 vaccination</w:t>
      </w:r>
      <w:r w:rsidRPr="00F56540">
        <w:rPr>
          <w:rFonts w:cs="Arial"/>
        </w:rPr>
        <w:t xml:space="preserve"> can be found</w:t>
      </w:r>
      <w:hyperlink r:id="rId31" w:history="1">
        <w:r w:rsidR="00470A5E" w:rsidRPr="00470A5E">
          <w:rPr>
            <w:rStyle w:val="Hyperlink"/>
            <w:rFonts w:cs="Arial"/>
          </w:rPr>
          <w:t xml:space="preserve"> here</w:t>
        </w:r>
      </w:hyperlink>
      <w:r w:rsidRPr="00F56540">
        <w:rPr>
          <w:rFonts w:cs="Arial"/>
        </w:rPr>
        <w:t xml:space="preserve"> </w:t>
      </w:r>
      <w:r w:rsidR="00470A5E">
        <w:rPr>
          <w:rFonts w:cs="Arial"/>
        </w:rPr>
        <w:t>&lt;</w:t>
      </w:r>
      <w:hyperlink r:id="rId32" w:history="1">
        <w:r w:rsidR="00470A5E" w:rsidRPr="00470A5E">
          <w:rPr>
            <w:rStyle w:val="Hyperlink"/>
            <w:rFonts w:cs="Arial"/>
          </w:rPr>
          <w:t>https://www.health.gov.au/initiatives-and-programs/covid-19-vaccines/advice-for-providers/clinical-guidance/contraindications-and-precautions</w:t>
        </w:r>
      </w:hyperlink>
      <w:r w:rsidR="00470A5E">
        <w:rPr>
          <w:rFonts w:cs="Arial"/>
        </w:rPr>
        <w:t xml:space="preserve">&gt; </w:t>
      </w:r>
    </w:p>
    <w:p w14:paraId="4C7C49E9" w14:textId="6714D4C2" w:rsidR="001E48DA" w:rsidRPr="00597CE3" w:rsidRDefault="0009261C" w:rsidP="00C42188">
      <w:pPr>
        <w:pStyle w:val="Heading2"/>
        <w:spacing w:before="240"/>
        <w:rPr>
          <w:sz w:val="24"/>
          <w:szCs w:val="24"/>
        </w:rPr>
      </w:pPr>
      <w:bookmarkStart w:id="34" w:name="_Toc116457928"/>
      <w:r w:rsidRPr="00597CE3">
        <w:rPr>
          <w:sz w:val="24"/>
          <w:szCs w:val="24"/>
        </w:rPr>
        <w:t>Table 3. Evidence required to demonstrate medical contraindication</w:t>
      </w:r>
      <w:bookmarkEnd w:id="34"/>
      <w:r w:rsidRPr="00597CE3">
        <w:rPr>
          <w:sz w:val="24"/>
          <w:szCs w:val="24"/>
        </w:rPr>
        <w:t xml:space="preserve"> </w:t>
      </w:r>
    </w:p>
    <w:tbl>
      <w:tblPr>
        <w:tblStyle w:val="TableGrid"/>
        <w:tblW w:w="9638" w:type="dxa"/>
        <w:tblLook w:val="04A0" w:firstRow="1" w:lastRow="0" w:firstColumn="1" w:lastColumn="0" w:noHBand="0" w:noVBand="1"/>
      </w:tblPr>
      <w:tblGrid>
        <w:gridCol w:w="2268"/>
        <w:gridCol w:w="7370"/>
      </w:tblGrid>
      <w:tr w:rsidR="001E48DA" w:rsidRPr="00F56540" w14:paraId="1FB09B62" w14:textId="77777777" w:rsidTr="00101B7A">
        <w:tc>
          <w:tcPr>
            <w:tcW w:w="2268" w:type="dxa"/>
            <w:shd w:val="clear" w:color="auto" w:fill="DBE5F1" w:themeFill="accent1" w:themeFillTint="33"/>
          </w:tcPr>
          <w:p w14:paraId="0DB43E8F" w14:textId="6E58E5F3" w:rsidR="00C777E9" w:rsidRPr="00E51658" w:rsidRDefault="001A4A7C" w:rsidP="002205D2">
            <w:pPr>
              <w:pStyle w:val="DHHSbody"/>
              <w:rPr>
                <w:rFonts w:cs="Arial"/>
                <w:b/>
                <w:bCs/>
              </w:rPr>
            </w:pPr>
            <w:r>
              <w:rPr>
                <w:rFonts w:cs="Arial"/>
                <w:b/>
                <w:bCs/>
              </w:rPr>
              <w:t>Vaccine</w:t>
            </w:r>
          </w:p>
        </w:tc>
        <w:tc>
          <w:tcPr>
            <w:tcW w:w="7370" w:type="dxa"/>
            <w:shd w:val="clear" w:color="auto" w:fill="DBE5F1" w:themeFill="accent1" w:themeFillTint="33"/>
          </w:tcPr>
          <w:p w14:paraId="56D0B4B0" w14:textId="637A94BC" w:rsidR="00C777E9" w:rsidRPr="00E51658" w:rsidRDefault="00C777E9" w:rsidP="002205D2">
            <w:pPr>
              <w:pStyle w:val="DHHSbody"/>
              <w:rPr>
                <w:rFonts w:cs="Arial"/>
                <w:b/>
                <w:bCs/>
              </w:rPr>
            </w:pPr>
            <w:r w:rsidRPr="00E51658">
              <w:rPr>
                <w:rFonts w:cs="Arial"/>
                <w:b/>
                <w:bCs/>
              </w:rPr>
              <w:t xml:space="preserve">Evidence of contraindication </w:t>
            </w:r>
          </w:p>
        </w:tc>
      </w:tr>
      <w:tr w:rsidR="001E48DA" w:rsidRPr="00F56540" w14:paraId="655EC1FF" w14:textId="77777777" w:rsidTr="00BF3EAE">
        <w:tc>
          <w:tcPr>
            <w:tcW w:w="2268" w:type="dxa"/>
          </w:tcPr>
          <w:p w14:paraId="5545B11A" w14:textId="284D1BC8" w:rsidR="00C777E9" w:rsidRPr="00F56540" w:rsidRDefault="00C777E9" w:rsidP="002205D2">
            <w:pPr>
              <w:pStyle w:val="DHHSbody"/>
              <w:rPr>
                <w:rFonts w:cs="Arial"/>
              </w:rPr>
            </w:pPr>
            <w:r w:rsidRPr="00F56540">
              <w:rPr>
                <w:rFonts w:cs="Arial"/>
              </w:rPr>
              <w:t xml:space="preserve">Influenza </w:t>
            </w:r>
          </w:p>
        </w:tc>
        <w:tc>
          <w:tcPr>
            <w:tcW w:w="7370" w:type="dxa"/>
          </w:tcPr>
          <w:p w14:paraId="6DA81C9E" w14:textId="3312D978" w:rsidR="00C777E9" w:rsidRPr="00F56540" w:rsidRDefault="00FF7588" w:rsidP="00E51658">
            <w:pPr>
              <w:pStyle w:val="DHHSbody"/>
              <w:numPr>
                <w:ilvl w:val="0"/>
                <w:numId w:val="27"/>
              </w:numPr>
              <w:rPr>
                <w:rFonts w:cs="Arial"/>
              </w:rPr>
            </w:pPr>
            <w:r w:rsidRPr="00F56540">
              <w:rPr>
                <w:rFonts w:cs="Arial"/>
              </w:rPr>
              <w:t>documentation from</w:t>
            </w:r>
            <w:r w:rsidR="00987F2B" w:rsidRPr="00F56540">
              <w:rPr>
                <w:rFonts w:cs="Arial"/>
              </w:rPr>
              <w:t xml:space="preserve"> </w:t>
            </w:r>
            <w:r w:rsidR="001F588D">
              <w:rPr>
                <w:rFonts w:cs="Arial"/>
              </w:rPr>
              <w:t>a</w:t>
            </w:r>
            <w:r w:rsidR="001F588D" w:rsidRPr="00F56540">
              <w:rPr>
                <w:rFonts w:cs="Arial"/>
              </w:rPr>
              <w:t xml:space="preserve"> </w:t>
            </w:r>
            <w:r w:rsidR="00987F2B" w:rsidRPr="00F56540">
              <w:rPr>
                <w:rFonts w:cs="Arial"/>
              </w:rPr>
              <w:t>medical practitioner that the</w:t>
            </w:r>
            <w:r w:rsidR="001F588D">
              <w:rPr>
                <w:rFonts w:cs="Arial"/>
              </w:rPr>
              <w:t xml:space="preserve"> person </w:t>
            </w:r>
            <w:r w:rsidR="00987F2B" w:rsidRPr="00F56540">
              <w:rPr>
                <w:rFonts w:cs="Arial"/>
              </w:rPr>
              <w:t xml:space="preserve">cannot </w:t>
            </w:r>
            <w:r w:rsidRPr="00F56540">
              <w:rPr>
                <w:rFonts w:cs="Arial"/>
              </w:rPr>
              <w:t xml:space="preserve">receive the seasonal influenza vaccine due to a medical contraindication, as </w:t>
            </w:r>
            <w:r w:rsidR="00E96060" w:rsidRPr="00F56540">
              <w:rPr>
                <w:rFonts w:cs="Arial"/>
              </w:rPr>
              <w:t>defined</w:t>
            </w:r>
            <w:r w:rsidRPr="00F56540">
              <w:rPr>
                <w:rFonts w:cs="Arial"/>
              </w:rPr>
              <w:t xml:space="preserve"> by the </w:t>
            </w:r>
            <w:r w:rsidRPr="00E51658">
              <w:rPr>
                <w:rFonts w:cs="Arial"/>
                <w:i/>
                <w:iCs/>
              </w:rPr>
              <w:t>Australian Immunisation Handbook</w:t>
            </w:r>
            <w:r w:rsidR="00412988">
              <w:rPr>
                <w:rFonts w:cs="Arial"/>
                <w:i/>
                <w:iCs/>
              </w:rPr>
              <w:t xml:space="preserve">. </w:t>
            </w:r>
          </w:p>
        </w:tc>
      </w:tr>
      <w:tr w:rsidR="001E48DA" w:rsidRPr="00F56540" w14:paraId="6E0F1BE2" w14:textId="77777777" w:rsidTr="00BF3EAE">
        <w:tc>
          <w:tcPr>
            <w:tcW w:w="2268" w:type="dxa"/>
          </w:tcPr>
          <w:p w14:paraId="7F45435A" w14:textId="6DDD86EB" w:rsidR="00C777E9" w:rsidRPr="00F56540" w:rsidRDefault="00C777E9" w:rsidP="002205D2">
            <w:pPr>
              <w:pStyle w:val="DHHSbody"/>
              <w:rPr>
                <w:rFonts w:cs="Arial"/>
              </w:rPr>
            </w:pPr>
            <w:r w:rsidRPr="00F56540">
              <w:rPr>
                <w:rFonts w:cs="Arial"/>
              </w:rPr>
              <w:t>COVID-19</w:t>
            </w:r>
          </w:p>
        </w:tc>
        <w:tc>
          <w:tcPr>
            <w:tcW w:w="7370" w:type="dxa"/>
          </w:tcPr>
          <w:p w14:paraId="46D33A44" w14:textId="5B816392" w:rsidR="005B6234" w:rsidRPr="00F56540" w:rsidRDefault="001068E4" w:rsidP="00E51658">
            <w:pPr>
              <w:pStyle w:val="DHHSbody"/>
              <w:numPr>
                <w:ilvl w:val="0"/>
                <w:numId w:val="26"/>
              </w:numPr>
              <w:ind w:left="360"/>
              <w:rPr>
                <w:rFonts w:cs="Arial"/>
              </w:rPr>
            </w:pPr>
            <w:r>
              <w:rPr>
                <w:rFonts w:cs="Arial"/>
              </w:rPr>
              <w:t>their</w:t>
            </w:r>
            <w:r w:rsidR="005B6234" w:rsidRPr="00F56540">
              <w:rPr>
                <w:rFonts w:cs="Arial"/>
              </w:rPr>
              <w:t xml:space="preserve"> current </w:t>
            </w:r>
            <w:r w:rsidR="00DF67CC">
              <w:rPr>
                <w:rFonts w:cs="Arial"/>
              </w:rPr>
              <w:t xml:space="preserve">printed or </w:t>
            </w:r>
            <w:r w:rsidR="00DF67CC" w:rsidRPr="00F56540">
              <w:rPr>
                <w:rFonts w:cs="Arial"/>
              </w:rPr>
              <w:t xml:space="preserve">digital </w:t>
            </w:r>
            <w:r w:rsidR="005B6234" w:rsidRPr="00F56540">
              <w:rPr>
                <w:rFonts w:cs="Arial"/>
              </w:rPr>
              <w:t xml:space="preserve">COVID-19 certificate issued by Services Australia and displayed through the </w:t>
            </w:r>
            <w:r w:rsidR="00A86980">
              <w:rPr>
                <w:rFonts w:cs="Arial"/>
              </w:rPr>
              <w:t xml:space="preserve">Express Plus </w:t>
            </w:r>
            <w:r w:rsidR="005B6234" w:rsidRPr="00F56540">
              <w:rPr>
                <w:rFonts w:cs="Arial"/>
              </w:rPr>
              <w:t>Medicare App, or equivalent smartphone wallet</w:t>
            </w:r>
            <w:r w:rsidR="00FC5248">
              <w:rPr>
                <w:rFonts w:cs="Arial"/>
              </w:rPr>
              <w:t xml:space="preserve"> or the myGov</w:t>
            </w:r>
            <w:r w:rsidR="00864F85">
              <w:rPr>
                <w:rFonts w:cs="Arial"/>
              </w:rPr>
              <w:t xml:space="preserve"> website</w:t>
            </w:r>
            <w:r w:rsidR="005B6234" w:rsidRPr="00F56540">
              <w:rPr>
                <w:rFonts w:cs="Arial"/>
              </w:rPr>
              <w:t>, that states that the person is unable to receive a dose, or a further dose, of any COVID-19 vaccine that is available in Australia; or</w:t>
            </w:r>
          </w:p>
          <w:p w14:paraId="1F35CD3B" w14:textId="64F38974" w:rsidR="00C777E9" w:rsidRPr="00DF67CC" w:rsidRDefault="001068E4" w:rsidP="00DF67CC">
            <w:pPr>
              <w:pStyle w:val="DHHSbody"/>
              <w:numPr>
                <w:ilvl w:val="0"/>
                <w:numId w:val="26"/>
              </w:numPr>
              <w:ind w:left="360"/>
              <w:rPr>
                <w:rFonts w:cs="Arial"/>
              </w:rPr>
            </w:pPr>
            <w:r>
              <w:rPr>
                <w:rFonts w:cs="Arial"/>
              </w:rPr>
              <w:t>their</w:t>
            </w:r>
            <w:r w:rsidR="005B6234" w:rsidRPr="00F56540">
              <w:rPr>
                <w:rFonts w:cs="Arial"/>
              </w:rPr>
              <w:t xml:space="preserve"> current </w:t>
            </w:r>
            <w:r w:rsidR="00DF67CC">
              <w:rPr>
                <w:rFonts w:cs="Arial"/>
              </w:rPr>
              <w:t xml:space="preserve">printed or digital </w:t>
            </w:r>
            <w:r w:rsidR="005B6234" w:rsidRPr="00F56540">
              <w:rPr>
                <w:rFonts w:cs="Arial"/>
              </w:rPr>
              <w:t xml:space="preserve">Immunisation History Statement displayed through the </w:t>
            </w:r>
            <w:r w:rsidR="007E7307">
              <w:rPr>
                <w:rFonts w:cs="Arial"/>
              </w:rPr>
              <w:t xml:space="preserve">Express Plus </w:t>
            </w:r>
            <w:r w:rsidR="005B6234" w:rsidRPr="00F56540">
              <w:rPr>
                <w:rFonts w:cs="Arial"/>
              </w:rPr>
              <w:t>Medicare App, that states that the person is unable to receive a dose of a COVID vaccine that is available in Australia (whether that person has already received one or two doses of a COVID vaccine)</w:t>
            </w:r>
          </w:p>
        </w:tc>
      </w:tr>
    </w:tbl>
    <w:p w14:paraId="030CAAD3" w14:textId="77777777" w:rsidR="00CF3FD3" w:rsidRPr="00F56540" w:rsidRDefault="00CF3FD3" w:rsidP="002205D2">
      <w:pPr>
        <w:pStyle w:val="DHHSbody"/>
        <w:rPr>
          <w:rFonts w:cs="Arial"/>
        </w:rPr>
      </w:pPr>
      <w:bookmarkStart w:id="35" w:name="_a_current_COVID-19"/>
      <w:bookmarkEnd w:id="35"/>
    </w:p>
    <w:p w14:paraId="799BAD30" w14:textId="0DD5CE48" w:rsidR="00FE0790" w:rsidRPr="00F56540" w:rsidRDefault="00A64641" w:rsidP="00BF3EAE">
      <w:pPr>
        <w:pStyle w:val="DHHSbody"/>
        <w:spacing w:after="240"/>
        <w:rPr>
          <w:rFonts w:cs="Arial"/>
          <w:b/>
          <w:bCs/>
          <w:sz w:val="24"/>
          <w:szCs w:val="24"/>
        </w:rPr>
      </w:pPr>
      <w:r w:rsidRPr="00F56540">
        <w:rPr>
          <w:rFonts w:cs="Arial"/>
        </w:rPr>
        <w:t xml:space="preserve">For all healthcare workers who have a medical contraindication, healthcare settings </w:t>
      </w:r>
      <w:r w:rsidR="002205D2" w:rsidRPr="00F56540">
        <w:rPr>
          <w:rFonts w:cs="Arial"/>
        </w:rPr>
        <w:t>must</w:t>
      </w:r>
      <w:r w:rsidR="001F47FA">
        <w:rPr>
          <w:rFonts w:cs="Arial"/>
        </w:rPr>
        <w:t xml:space="preserve"> sight evidence of </w:t>
      </w:r>
      <w:r w:rsidR="00F93B95" w:rsidRPr="00E92370">
        <w:rPr>
          <w:rFonts w:cs="Arial"/>
        </w:rPr>
        <w:t>the contraindication</w:t>
      </w:r>
      <w:r w:rsidR="009D7727">
        <w:rPr>
          <w:rFonts w:cs="Arial"/>
        </w:rPr>
        <w:t xml:space="preserve"> and record compliance with the policy</w:t>
      </w:r>
      <w:r w:rsidR="00FC2E3A">
        <w:rPr>
          <w:rFonts w:cs="Arial"/>
        </w:rPr>
        <w:t>.</w:t>
      </w:r>
      <w:r w:rsidR="009D7727">
        <w:rPr>
          <w:rFonts w:cs="Arial"/>
        </w:rPr>
        <w:t xml:space="preserve"> </w:t>
      </w:r>
      <w:r w:rsidR="001B0169" w:rsidRPr="150054FA">
        <w:rPr>
          <w:rFonts w:cs="Arial"/>
        </w:rPr>
        <w:t xml:space="preserve">Once evidence has been sighted, it must be deleted or destroyed following </w:t>
      </w:r>
      <w:r w:rsidR="0FE33AB3" w:rsidRPr="57325FFC">
        <w:rPr>
          <w:rFonts w:cs="Arial"/>
        </w:rPr>
        <w:t xml:space="preserve">the </w:t>
      </w:r>
      <w:r w:rsidR="001B0169" w:rsidRPr="150054FA">
        <w:rPr>
          <w:rFonts w:cs="Arial"/>
        </w:rPr>
        <w:t>usual process for confidential information. If it is retained, it must be stored in compliance with relevant privacy and data protection legislation</w:t>
      </w:r>
      <w:r w:rsidR="003577F6" w:rsidRPr="150054FA">
        <w:rPr>
          <w:rFonts w:cs="Arial"/>
        </w:rPr>
        <w:t>.</w:t>
      </w:r>
      <w:r w:rsidR="009D7727">
        <w:rPr>
          <w:rFonts w:cs="Arial"/>
        </w:rPr>
        <w:t xml:space="preserve"> </w:t>
      </w:r>
      <w:r w:rsidR="00CA2CBE" w:rsidRPr="5E085CB6">
        <w:rPr>
          <w:rFonts w:cs="Arial"/>
        </w:rPr>
        <w:t>Where a w</w:t>
      </w:r>
      <w:r w:rsidR="003D2247" w:rsidRPr="5E085CB6">
        <w:rPr>
          <w:rFonts w:cs="Arial"/>
        </w:rPr>
        <w:t>orker</w:t>
      </w:r>
      <w:r w:rsidR="00CA2CBE" w:rsidRPr="5E085CB6">
        <w:rPr>
          <w:rFonts w:cs="Arial"/>
        </w:rPr>
        <w:t xml:space="preserve"> has a medical contraindication to vaccination, the health service should also assess their</w:t>
      </w:r>
      <w:r w:rsidR="00045F3D" w:rsidRPr="5E085CB6">
        <w:rPr>
          <w:rFonts w:cs="Arial"/>
        </w:rPr>
        <w:t xml:space="preserve"> role and duties </w:t>
      </w:r>
      <w:r w:rsidR="002205D2" w:rsidRPr="5E085CB6">
        <w:rPr>
          <w:rFonts w:cs="Arial"/>
        </w:rPr>
        <w:t xml:space="preserve">to ensure the health and safety of </w:t>
      </w:r>
      <w:r w:rsidR="00CA2CBE" w:rsidRPr="5E085CB6">
        <w:rPr>
          <w:rFonts w:cs="Arial"/>
        </w:rPr>
        <w:t xml:space="preserve">patients, </w:t>
      </w:r>
      <w:r w:rsidR="002205D2" w:rsidRPr="5E085CB6">
        <w:rPr>
          <w:rFonts w:cs="Arial"/>
        </w:rPr>
        <w:t>the worker and others is maintained (</w:t>
      </w:r>
      <w:hyperlink w:anchor="_9._Managing_risk">
        <w:r w:rsidR="002205D2" w:rsidRPr="5E085CB6">
          <w:rPr>
            <w:rStyle w:val="Hyperlink"/>
            <w:rFonts w:cs="Arial"/>
            <w:i/>
          </w:rPr>
          <w:t xml:space="preserve">Section </w:t>
        </w:r>
        <w:r w:rsidR="000C46F7" w:rsidRPr="5E085CB6">
          <w:rPr>
            <w:rStyle w:val="Hyperlink"/>
            <w:rFonts w:cs="Arial"/>
            <w:i/>
          </w:rPr>
          <w:t>9</w:t>
        </w:r>
      </w:hyperlink>
      <w:r w:rsidR="002205D2" w:rsidRPr="5E085CB6">
        <w:rPr>
          <w:rFonts w:cs="Arial"/>
        </w:rPr>
        <w:t>).</w:t>
      </w:r>
      <w:r w:rsidR="002205D2" w:rsidRPr="4E5C28EB">
        <w:rPr>
          <w:rFonts w:cs="Arial"/>
        </w:rPr>
        <w:t xml:space="preserve">  </w:t>
      </w:r>
    </w:p>
    <w:p w14:paraId="6053B96D" w14:textId="475C83AC" w:rsidR="00662DB7" w:rsidRPr="007441D3" w:rsidRDefault="00CD761A" w:rsidP="00BF3EAE">
      <w:pPr>
        <w:pStyle w:val="Heading4"/>
      </w:pPr>
      <w:r w:rsidRPr="007441D3">
        <w:t xml:space="preserve">7.2 </w:t>
      </w:r>
      <w:r w:rsidR="00993830" w:rsidRPr="007441D3">
        <w:t xml:space="preserve">Students and volunteers </w:t>
      </w:r>
      <w:r w:rsidR="004919A7">
        <w:t>with</w:t>
      </w:r>
      <w:r w:rsidR="004919A7" w:rsidRPr="007441D3">
        <w:t xml:space="preserve"> </w:t>
      </w:r>
      <w:r w:rsidR="0016102B" w:rsidRPr="007441D3">
        <w:t>medical contraindication</w:t>
      </w:r>
      <w:r w:rsidR="004919A7">
        <w:t>s</w:t>
      </w:r>
    </w:p>
    <w:p w14:paraId="56F0B916" w14:textId="471D8221" w:rsidR="00D24A1A" w:rsidRDefault="00740E8F">
      <w:pPr>
        <w:pStyle w:val="DHHSbody"/>
        <w:rPr>
          <w:rFonts w:cs="Arial"/>
        </w:rPr>
      </w:pPr>
      <w:r w:rsidRPr="00F56540">
        <w:rPr>
          <w:rFonts w:cs="Arial"/>
          <w:b/>
        </w:rPr>
        <w:t>Students and volunteers</w:t>
      </w:r>
      <w:r w:rsidRPr="00F56540">
        <w:rPr>
          <w:rFonts w:cs="Arial"/>
        </w:rPr>
        <w:t xml:space="preserve"> are not directly subject </w:t>
      </w:r>
      <w:r w:rsidR="008C708D" w:rsidRPr="00F56540">
        <w:rPr>
          <w:rFonts w:cs="Arial"/>
        </w:rPr>
        <w:t xml:space="preserve">to </w:t>
      </w:r>
      <w:r w:rsidR="00E0342D" w:rsidRPr="02CCA15E">
        <w:rPr>
          <w:rFonts w:cs="Arial"/>
        </w:rPr>
        <w:t>D</w:t>
      </w:r>
      <w:r w:rsidR="00E0342D" w:rsidRPr="00F56540">
        <w:rPr>
          <w:rFonts w:cs="Arial"/>
        </w:rPr>
        <w:t>irections;</w:t>
      </w:r>
      <w:r w:rsidRPr="00F56540">
        <w:rPr>
          <w:rFonts w:cs="Arial"/>
        </w:rPr>
        <w:t xml:space="preserve"> however</w:t>
      </w:r>
      <w:r w:rsidR="00E0342D">
        <w:rPr>
          <w:rFonts w:cs="Arial"/>
        </w:rPr>
        <w:t>,</w:t>
      </w:r>
      <w:r w:rsidRPr="00F56540">
        <w:rPr>
          <w:rFonts w:cs="Arial"/>
        </w:rPr>
        <w:t xml:space="preserve"> a health service may reasonably require that they meet vaccination requirements under this policy prior to commencing roles or placements within the setting</w:t>
      </w:r>
      <w:r w:rsidR="00276517" w:rsidRPr="00F56540">
        <w:rPr>
          <w:rFonts w:cs="Arial"/>
        </w:rPr>
        <w:t>.</w:t>
      </w:r>
      <w:r w:rsidR="00953B7B">
        <w:rPr>
          <w:rFonts w:cs="Arial"/>
        </w:rPr>
        <w:t xml:space="preserve"> </w:t>
      </w:r>
    </w:p>
    <w:p w14:paraId="78E6A183" w14:textId="011538E3" w:rsidR="004C1FBD" w:rsidRPr="00F56540" w:rsidRDefault="00953B7B" w:rsidP="000E45A5">
      <w:pPr>
        <w:pStyle w:val="DHHSbody"/>
        <w:spacing w:after="360"/>
        <w:rPr>
          <w:rFonts w:cs="Arial"/>
        </w:rPr>
      </w:pPr>
      <w:r>
        <w:rPr>
          <w:rFonts w:cs="Arial"/>
        </w:rPr>
        <w:t xml:space="preserve">Where a student or volunteer is unable to be vaccinated due to a medical </w:t>
      </w:r>
      <w:r w:rsidR="000F6577">
        <w:rPr>
          <w:rFonts w:cs="Arial"/>
        </w:rPr>
        <w:t xml:space="preserve">contraindication or temporary </w:t>
      </w:r>
      <w:r>
        <w:rPr>
          <w:rFonts w:cs="Arial"/>
        </w:rPr>
        <w:t xml:space="preserve">exemption, it is recommended that an assessment </w:t>
      </w:r>
      <w:r w:rsidR="00EF0431">
        <w:rPr>
          <w:rFonts w:cs="Arial"/>
        </w:rPr>
        <w:t xml:space="preserve">is completed and </w:t>
      </w:r>
      <w:r w:rsidR="00C549C1">
        <w:rPr>
          <w:rFonts w:cs="Arial"/>
        </w:rPr>
        <w:t xml:space="preserve">risk mitigation strategies are </w:t>
      </w:r>
      <w:r w:rsidR="000F6577">
        <w:rPr>
          <w:rFonts w:cs="Arial"/>
        </w:rPr>
        <w:t xml:space="preserve">enacted </w:t>
      </w:r>
      <w:r>
        <w:rPr>
          <w:rFonts w:cs="Arial"/>
        </w:rPr>
        <w:t>to ensure their safety</w:t>
      </w:r>
      <w:r w:rsidR="00C549C1">
        <w:rPr>
          <w:rFonts w:cs="Arial"/>
        </w:rPr>
        <w:t xml:space="preserve">, and the safety of </w:t>
      </w:r>
      <w:r w:rsidR="000F6577">
        <w:rPr>
          <w:rFonts w:cs="Arial"/>
        </w:rPr>
        <w:t xml:space="preserve">any </w:t>
      </w:r>
      <w:r w:rsidR="00C549C1">
        <w:rPr>
          <w:rFonts w:cs="Arial"/>
        </w:rPr>
        <w:t xml:space="preserve">vulnerable people they may </w:t>
      </w:r>
      <w:r w:rsidR="000F6577">
        <w:rPr>
          <w:rFonts w:cs="Arial"/>
        </w:rPr>
        <w:t>encounter or care for</w:t>
      </w:r>
      <w:r>
        <w:rPr>
          <w:rFonts w:cs="Arial"/>
        </w:rPr>
        <w:t xml:space="preserve"> </w:t>
      </w:r>
      <w:r w:rsidR="007C7ABE">
        <w:rPr>
          <w:rFonts w:cs="Arial"/>
        </w:rPr>
        <w:t xml:space="preserve">while on placement or volunteering. </w:t>
      </w:r>
    </w:p>
    <w:p w14:paraId="76C672CE" w14:textId="77777777" w:rsidR="00E11094" w:rsidRDefault="004913E5" w:rsidP="00E11094">
      <w:pPr>
        <w:pStyle w:val="Heading4"/>
      </w:pPr>
      <w:bookmarkStart w:id="36" w:name="_Toc46399889"/>
      <w:r w:rsidRPr="007441D3">
        <w:lastRenderedPageBreak/>
        <w:t xml:space="preserve">7.3 Exceptions to COVID-19 vaccination </w:t>
      </w:r>
    </w:p>
    <w:p w14:paraId="33A71088" w14:textId="1F435FFF" w:rsidR="004913E5" w:rsidRPr="009531CE" w:rsidRDefault="004913E5" w:rsidP="00BF3EAE">
      <w:pPr>
        <w:pStyle w:val="DHHSbody"/>
        <w:spacing w:after="240"/>
      </w:pPr>
      <w:r w:rsidRPr="0097032C">
        <w:t>A small number o</w:t>
      </w:r>
      <w:r w:rsidRPr="00C64197">
        <w:t>f exceptions to the requirement to be fully</w:t>
      </w:r>
      <w:r w:rsidRPr="004E0FBC">
        <w:t xml:space="preserve"> vaccinated/fully vaccinated (boosted) (as applicable)</w:t>
      </w:r>
      <w:r w:rsidR="00DC7856" w:rsidRPr="004E0FBC">
        <w:t xml:space="preserve"> for COVID-19 apply to the following </w:t>
      </w:r>
      <w:r w:rsidR="002726FC" w:rsidRPr="009531CE">
        <w:t>groups:</w:t>
      </w:r>
      <w:r w:rsidRPr="009531CE">
        <w:t xml:space="preserve"> </w:t>
      </w:r>
    </w:p>
    <w:p w14:paraId="21069FA4" w14:textId="486E4E23" w:rsidR="004913E5" w:rsidRPr="00522ADB" w:rsidRDefault="004913E5" w:rsidP="008E36B5">
      <w:pPr>
        <w:pStyle w:val="DHHSbody"/>
        <w:numPr>
          <w:ilvl w:val="0"/>
          <w:numId w:val="42"/>
        </w:numPr>
        <w:ind w:left="283"/>
      </w:pPr>
      <w:r w:rsidRPr="009531CE">
        <w:t xml:space="preserve">excepted persons who are unable to receive a dose, or a further dose, of any COVID-19 vaccine that is available in Australia due to either a medical contraindication or an acute medical illness (including where the person has been diagnosed with COVID-19 in the previous </w:t>
      </w:r>
      <w:r w:rsidR="00371255">
        <w:t>3</w:t>
      </w:r>
      <w:r w:rsidRPr="009531CE">
        <w:t xml:space="preserve"> </w:t>
      </w:r>
      <w:r w:rsidRPr="004E0FBC">
        <w:t>months, and holds a temporary medical exemption).  </w:t>
      </w:r>
    </w:p>
    <w:p w14:paraId="16272B53" w14:textId="0CE0219F" w:rsidR="004913E5" w:rsidRPr="004E0FBC" w:rsidRDefault="004913E5" w:rsidP="008E36B5">
      <w:pPr>
        <w:pStyle w:val="DHHSbody"/>
        <w:numPr>
          <w:ilvl w:val="0"/>
          <w:numId w:val="42"/>
        </w:numPr>
        <w:ind w:left="283"/>
      </w:pPr>
      <w:r w:rsidRPr="004E0FBC">
        <w:t>a worker who is not yet eligible for a booster</w:t>
      </w:r>
      <w:r w:rsidR="00070F3B">
        <w:t xml:space="preserve"> dose</w:t>
      </w:r>
      <w:r w:rsidRPr="004E0FBC">
        <w:t xml:space="preserve"> as they became fully vaccinated in the previous 3 months and 14 days. </w:t>
      </w:r>
    </w:p>
    <w:p w14:paraId="77B5D356" w14:textId="1317BF8B" w:rsidR="004913E5" w:rsidRPr="009531CE" w:rsidRDefault="004913E5" w:rsidP="008E36B5">
      <w:pPr>
        <w:pStyle w:val="DHHSbody"/>
        <w:numPr>
          <w:ilvl w:val="0"/>
          <w:numId w:val="42"/>
        </w:numPr>
        <w:ind w:left="283"/>
      </w:pPr>
      <w:r w:rsidRPr="009531CE">
        <w:t xml:space="preserve">fully vaccinated international arrivals who arrived in Australia in the previous 4 weeks, </w:t>
      </w:r>
      <w:r w:rsidR="007220E4">
        <w:t xml:space="preserve">who </w:t>
      </w:r>
      <w:r w:rsidR="00FF5774">
        <w:t xml:space="preserve">can provide evidence of their booking </w:t>
      </w:r>
      <w:r w:rsidRPr="009531CE">
        <w:t xml:space="preserve">receive a booster dose within 4 weeks </w:t>
      </w:r>
      <w:r w:rsidR="007220E4">
        <w:t xml:space="preserve">of arrival </w:t>
      </w:r>
      <w:r w:rsidRPr="009531CE">
        <w:t>to their employer.</w:t>
      </w:r>
      <w:r w:rsidR="0092566F">
        <w:rPr>
          <w:vertAlign w:val="superscript"/>
        </w:rPr>
        <w:t>1</w:t>
      </w:r>
      <w:r w:rsidRPr="009531CE">
        <w:t>  </w:t>
      </w:r>
    </w:p>
    <w:p w14:paraId="15796F53" w14:textId="77777777" w:rsidR="004913E5" w:rsidRPr="009531CE" w:rsidRDefault="004913E5" w:rsidP="008E36B5">
      <w:pPr>
        <w:pStyle w:val="DHHSbody"/>
        <w:numPr>
          <w:ilvl w:val="0"/>
          <w:numId w:val="42"/>
        </w:numPr>
        <w:ind w:left="283"/>
      </w:pPr>
      <w:r w:rsidRPr="009531CE">
        <w:t xml:space="preserve">a worker who ceased to be an excepted person in the previous 14 days. </w:t>
      </w:r>
    </w:p>
    <w:p w14:paraId="140E93ED" w14:textId="5E87F8FD" w:rsidR="004913E5" w:rsidRPr="00522ADB" w:rsidRDefault="004913E5" w:rsidP="008E36B5">
      <w:pPr>
        <w:pStyle w:val="DHHSbody"/>
        <w:numPr>
          <w:ilvl w:val="0"/>
          <w:numId w:val="42"/>
        </w:numPr>
        <w:ind w:left="283"/>
      </w:pPr>
      <w:r w:rsidRPr="009531CE">
        <w:t>a worker who is participating in an approved</w:t>
      </w:r>
      <w:r w:rsidRPr="0097032C">
        <w:t xml:space="preserve"> COVI</w:t>
      </w:r>
      <w:r w:rsidRPr="00C64197">
        <w:t xml:space="preserve">D-19 vaccine clinical </w:t>
      </w:r>
      <w:r w:rsidR="00522ADB" w:rsidRPr="00522ADB">
        <w:t>trial.</w:t>
      </w:r>
      <w:r w:rsidR="003F07E4">
        <w:rPr>
          <w:vertAlign w:val="superscript"/>
        </w:rPr>
        <w:t>2</w:t>
      </w:r>
    </w:p>
    <w:p w14:paraId="0C83ECBC" w14:textId="0D767628" w:rsidR="004913E5" w:rsidRPr="00BF3EAE" w:rsidRDefault="00150680" w:rsidP="008E36B5">
      <w:pPr>
        <w:pStyle w:val="DHHSbody"/>
        <w:numPr>
          <w:ilvl w:val="0"/>
          <w:numId w:val="42"/>
        </w:numPr>
        <w:ind w:left="283"/>
        <w:rPr>
          <w:rFonts w:eastAsia="Times New Roman"/>
        </w:rPr>
      </w:pPr>
      <w:r>
        <w:rPr>
          <w:rFonts w:eastAsia="Times New Roman"/>
        </w:rPr>
        <w:t>w</w:t>
      </w:r>
      <w:r w:rsidR="74553F43" w:rsidRPr="00BF3EAE">
        <w:rPr>
          <w:rFonts w:eastAsia="Times New Roman"/>
        </w:rPr>
        <w:t>orkers on leave who are not attending onsite work, such as those on maternity leave or long service leave.</w:t>
      </w:r>
    </w:p>
    <w:p w14:paraId="3FBA8DC9" w14:textId="11FACA1D" w:rsidR="00FA452C" w:rsidRDefault="00D45FC2" w:rsidP="008E36B5">
      <w:pPr>
        <w:pStyle w:val="DHHSbody"/>
        <w:numPr>
          <w:ilvl w:val="0"/>
          <w:numId w:val="42"/>
        </w:numPr>
        <w:spacing w:after="240"/>
        <w:ind w:left="283"/>
        <w:rPr>
          <w:rFonts w:eastAsia="Times New Roman"/>
        </w:rPr>
      </w:pPr>
      <w:r>
        <w:t>a</w:t>
      </w:r>
      <w:r w:rsidR="74553F43" w:rsidRPr="00BF3EAE">
        <w:rPr>
          <w:rFonts w:eastAsia="Times New Roman"/>
        </w:rPr>
        <w:t>t the discretion of the employer, workers who can perform their role from home, where an agreement has been made between the worker and employer that it is acceptable for them to do so</w:t>
      </w:r>
    </w:p>
    <w:p w14:paraId="659B61B7" w14:textId="7593D554" w:rsidR="008D2BB3" w:rsidRDefault="0092566F" w:rsidP="008D2BB3">
      <w:pPr>
        <w:rPr>
          <w:sz w:val="20"/>
          <w:szCs w:val="18"/>
        </w:rPr>
      </w:pPr>
      <w:r w:rsidRPr="0071799A">
        <w:rPr>
          <w:sz w:val="20"/>
          <w:szCs w:val="18"/>
          <w:vertAlign w:val="superscript"/>
        </w:rPr>
        <w:t>1</w:t>
      </w:r>
      <w:r w:rsidR="00FA452C" w:rsidRPr="0071799A">
        <w:rPr>
          <w:sz w:val="20"/>
          <w:szCs w:val="18"/>
        </w:rPr>
        <w:t>The department is supportive of healthcare services requiring additional infection control measures for workers who commence during their grace period while they are not yet up to date, at the healthcare service’s discretion</w:t>
      </w:r>
      <w:r w:rsidR="00CD6BC2" w:rsidRPr="0071799A">
        <w:rPr>
          <w:sz w:val="20"/>
          <w:szCs w:val="18"/>
        </w:rPr>
        <w:t xml:space="preserve">. </w:t>
      </w:r>
    </w:p>
    <w:p w14:paraId="7D1FA8EE" w14:textId="515B277B" w:rsidR="00FE2346" w:rsidRPr="0071799A" w:rsidRDefault="003F07E4" w:rsidP="008D2BB3">
      <w:pPr>
        <w:rPr>
          <w:sz w:val="18"/>
          <w:szCs w:val="18"/>
        </w:rPr>
      </w:pPr>
      <w:r>
        <w:rPr>
          <w:sz w:val="20"/>
          <w:szCs w:val="18"/>
          <w:vertAlign w:val="superscript"/>
        </w:rPr>
        <w:t>2</w:t>
      </w:r>
      <w:r w:rsidR="00FE2346">
        <w:rPr>
          <w:sz w:val="20"/>
          <w:szCs w:val="18"/>
        </w:rPr>
        <w:t xml:space="preserve">Clinical trials underway in Australia can be found at </w:t>
      </w:r>
      <w:hyperlink r:id="rId33" w:history="1">
        <w:r w:rsidRPr="006F575A">
          <w:rPr>
            <w:rStyle w:val="Hyperlink"/>
            <w:sz w:val="20"/>
            <w:szCs w:val="18"/>
          </w:rPr>
          <w:t>https://www.ncirs.org.au/covid-19/covid-19-vaccine-development-landscape</w:t>
        </w:r>
      </w:hyperlink>
      <w:r>
        <w:rPr>
          <w:sz w:val="20"/>
          <w:szCs w:val="18"/>
        </w:rPr>
        <w:t xml:space="preserve"> (updated fortnightly). </w:t>
      </w:r>
    </w:p>
    <w:p w14:paraId="206D0EF3" w14:textId="1155E555" w:rsidR="002205D2" w:rsidRPr="000E0125" w:rsidRDefault="008D2BB3" w:rsidP="008E4F5E">
      <w:pPr>
        <w:pStyle w:val="Heading1"/>
        <w:numPr>
          <w:ilvl w:val="0"/>
          <w:numId w:val="45"/>
        </w:numPr>
        <w:spacing w:before="240"/>
        <w:ind w:left="720"/>
        <w:rPr>
          <w:sz w:val="40"/>
          <w:szCs w:val="40"/>
        </w:rPr>
      </w:pPr>
      <w:bookmarkStart w:id="37" w:name="_Toc116457929"/>
      <w:bookmarkStart w:id="38" w:name="_Toc113362852"/>
      <w:r w:rsidRPr="000E0125">
        <w:rPr>
          <w:sz w:val="40"/>
          <w:szCs w:val="40"/>
        </w:rPr>
        <w:t>Va</w:t>
      </w:r>
      <w:r w:rsidR="002205D2" w:rsidRPr="000E0125">
        <w:rPr>
          <w:sz w:val="40"/>
          <w:szCs w:val="40"/>
        </w:rPr>
        <w:t>ccine refusal</w:t>
      </w:r>
      <w:bookmarkEnd w:id="36"/>
      <w:bookmarkEnd w:id="37"/>
      <w:r w:rsidR="002205D2" w:rsidRPr="000E0125">
        <w:rPr>
          <w:sz w:val="40"/>
          <w:szCs w:val="40"/>
        </w:rPr>
        <w:t xml:space="preserve"> </w:t>
      </w:r>
      <w:bookmarkEnd w:id="38"/>
    </w:p>
    <w:p w14:paraId="7793EA45" w14:textId="47F43301" w:rsidR="00932BCB" w:rsidRDefault="0091104C" w:rsidP="002205D2">
      <w:pPr>
        <w:pStyle w:val="DHHSbody"/>
        <w:rPr>
          <w:rFonts w:cs="Arial"/>
        </w:rPr>
        <w:sectPr w:rsidR="00932BCB" w:rsidSect="00491E56">
          <w:pgSz w:w="11906" w:h="16838" w:code="9"/>
          <w:pgMar w:top="720" w:right="720" w:bottom="720" w:left="720" w:header="680" w:footer="851" w:gutter="0"/>
          <w:cols w:space="340"/>
          <w:titlePg/>
          <w:docGrid w:linePitch="360"/>
        </w:sectPr>
      </w:pPr>
      <w:r w:rsidRPr="00F56540">
        <w:rPr>
          <w:rFonts w:cs="Arial"/>
        </w:rPr>
        <w:t>V</w:t>
      </w:r>
      <w:r w:rsidR="002205D2" w:rsidRPr="00F56540">
        <w:rPr>
          <w:rFonts w:cs="Arial"/>
        </w:rPr>
        <w:t>accination</w:t>
      </w:r>
      <w:r w:rsidR="00B126EF">
        <w:rPr>
          <w:rFonts w:cs="Arial"/>
        </w:rPr>
        <w:t>s</w:t>
      </w:r>
      <w:r w:rsidR="002205D2" w:rsidRPr="00F56540">
        <w:rPr>
          <w:rFonts w:cs="Arial"/>
        </w:rPr>
        <w:t xml:space="preserve"> require</w:t>
      </w:r>
      <w:r w:rsidR="006F34E0">
        <w:rPr>
          <w:rFonts w:cs="Arial"/>
        </w:rPr>
        <w:t>d via Directions</w:t>
      </w:r>
      <w:r w:rsidR="002205D2" w:rsidRPr="00F56540">
        <w:rPr>
          <w:rFonts w:cs="Arial"/>
        </w:rPr>
        <w:t xml:space="preserve"> do not allow for objections to vaccination by healthcare workers for non-medical reasons. </w:t>
      </w:r>
      <w:hyperlink w:anchor="_Table_4._Potential" w:history="1">
        <w:r w:rsidR="00F067F5" w:rsidRPr="008E4F5E">
          <w:rPr>
            <w:rStyle w:val="Hyperlink"/>
            <w:rFonts w:cs="Arial"/>
          </w:rPr>
          <w:t>T</w:t>
        </w:r>
        <w:r w:rsidR="00E52713" w:rsidRPr="008E4F5E">
          <w:rPr>
            <w:rStyle w:val="Hyperlink"/>
            <w:rFonts w:cs="Arial"/>
          </w:rPr>
          <w:t>able 4</w:t>
        </w:r>
      </w:hyperlink>
      <w:r w:rsidR="00E52713">
        <w:rPr>
          <w:rFonts w:cs="Arial"/>
        </w:rPr>
        <w:t xml:space="preserve"> below </w:t>
      </w:r>
      <w:r w:rsidR="00F067F5" w:rsidRPr="00F56540">
        <w:rPr>
          <w:rFonts w:cs="Arial"/>
        </w:rPr>
        <w:t xml:space="preserve">outlines potential consequences </w:t>
      </w:r>
      <w:r w:rsidR="00C26C42" w:rsidRPr="00F56540">
        <w:rPr>
          <w:rFonts w:cs="Arial"/>
        </w:rPr>
        <w:t xml:space="preserve">of vaccine refusal per worker </w:t>
      </w:r>
      <w:r w:rsidR="00997DD3" w:rsidRPr="00F56540">
        <w:rPr>
          <w:rFonts w:cs="Arial"/>
        </w:rPr>
        <w:t>group per vaccin</w:t>
      </w:r>
      <w:r w:rsidR="00932BCB">
        <w:rPr>
          <w:rFonts w:cs="Arial"/>
        </w:rPr>
        <w:t>e</w:t>
      </w:r>
    </w:p>
    <w:p w14:paraId="2F84B63A" w14:textId="14B6541D" w:rsidR="0009261C" w:rsidRPr="00597CE3" w:rsidRDefault="0009261C" w:rsidP="008E4F5E">
      <w:pPr>
        <w:pStyle w:val="Heading2"/>
        <w:rPr>
          <w:rFonts w:cs="Arial"/>
          <w:szCs w:val="32"/>
        </w:rPr>
      </w:pPr>
      <w:bookmarkStart w:id="39" w:name="_Toc116457930"/>
      <w:r w:rsidRPr="00597CE3">
        <w:rPr>
          <w:szCs w:val="32"/>
        </w:rPr>
        <w:lastRenderedPageBreak/>
        <w:t>T</w:t>
      </w:r>
      <w:r w:rsidRPr="00597CE3">
        <w:rPr>
          <w:rFonts w:cs="Arial"/>
          <w:szCs w:val="32"/>
        </w:rPr>
        <w:t>able 4. Potential consequences of non-compliance</w:t>
      </w:r>
      <w:r w:rsidR="004C47AA" w:rsidRPr="00597CE3">
        <w:rPr>
          <w:rFonts w:cs="Arial"/>
          <w:szCs w:val="32"/>
        </w:rPr>
        <w:t>/vaccine refusal</w:t>
      </w:r>
      <w:bookmarkEnd w:id="39"/>
      <w:r w:rsidR="004C47AA" w:rsidRPr="00597CE3">
        <w:rPr>
          <w:rFonts w:cs="Arial"/>
          <w:szCs w:val="32"/>
        </w:rPr>
        <w:t xml:space="preserve"> </w:t>
      </w:r>
    </w:p>
    <w:tbl>
      <w:tblPr>
        <w:tblStyle w:val="TableGrid"/>
        <w:tblW w:w="15588" w:type="dxa"/>
        <w:tblLook w:val="04A0" w:firstRow="1" w:lastRow="0" w:firstColumn="1" w:lastColumn="0" w:noHBand="0" w:noVBand="1"/>
      </w:tblPr>
      <w:tblGrid>
        <w:gridCol w:w="1271"/>
        <w:gridCol w:w="3579"/>
        <w:gridCol w:w="3579"/>
        <w:gridCol w:w="3579"/>
        <w:gridCol w:w="3580"/>
      </w:tblGrid>
      <w:tr w:rsidR="005D01B3" w:rsidRPr="00F56540" w14:paraId="64731AE2" w14:textId="5A3FEB52" w:rsidTr="00101B7A">
        <w:tc>
          <w:tcPr>
            <w:tcW w:w="1271" w:type="dxa"/>
            <w:shd w:val="clear" w:color="auto" w:fill="DBE5F1" w:themeFill="accent1" w:themeFillTint="33"/>
          </w:tcPr>
          <w:p w14:paraId="110DD788" w14:textId="13F48F69" w:rsidR="00C665DE" w:rsidRPr="00F56540" w:rsidRDefault="006F34E0" w:rsidP="005D01B3">
            <w:pPr>
              <w:pStyle w:val="DHHSbody"/>
              <w:tabs>
                <w:tab w:val="left" w:pos="1330"/>
              </w:tabs>
              <w:rPr>
                <w:rFonts w:cs="Arial"/>
                <w:b/>
              </w:rPr>
            </w:pPr>
            <w:r>
              <w:rPr>
                <w:rFonts w:cs="Arial"/>
                <w:b/>
              </w:rPr>
              <w:t>Vaccine</w:t>
            </w:r>
            <w:r w:rsidR="005D01B3" w:rsidRPr="00F56540">
              <w:rPr>
                <w:rFonts w:cs="Arial"/>
                <w:b/>
              </w:rPr>
              <w:tab/>
            </w:r>
          </w:p>
        </w:tc>
        <w:tc>
          <w:tcPr>
            <w:tcW w:w="3579" w:type="dxa"/>
            <w:shd w:val="clear" w:color="auto" w:fill="DBE5F1" w:themeFill="accent1" w:themeFillTint="33"/>
          </w:tcPr>
          <w:p w14:paraId="382C358A" w14:textId="26C2AFCF" w:rsidR="00C665DE" w:rsidRPr="00F56540" w:rsidRDefault="00C665DE" w:rsidP="002205D2">
            <w:pPr>
              <w:pStyle w:val="DHHSbody"/>
              <w:rPr>
                <w:rFonts w:cs="Arial"/>
                <w:b/>
              </w:rPr>
            </w:pPr>
            <w:r w:rsidRPr="00F56540">
              <w:rPr>
                <w:rFonts w:cs="Arial"/>
                <w:b/>
              </w:rPr>
              <w:t>Prospective healthcare workers</w:t>
            </w:r>
          </w:p>
        </w:tc>
        <w:tc>
          <w:tcPr>
            <w:tcW w:w="3579" w:type="dxa"/>
            <w:shd w:val="clear" w:color="auto" w:fill="DBE5F1" w:themeFill="accent1" w:themeFillTint="33"/>
          </w:tcPr>
          <w:p w14:paraId="5B123474" w14:textId="0B211ACB" w:rsidR="00C665DE" w:rsidRPr="00F56540" w:rsidRDefault="00C665DE" w:rsidP="002205D2">
            <w:pPr>
              <w:pStyle w:val="DHHSbody"/>
              <w:rPr>
                <w:rFonts w:cs="Arial"/>
                <w:b/>
              </w:rPr>
            </w:pPr>
            <w:r w:rsidRPr="00F56540">
              <w:rPr>
                <w:rFonts w:cs="Arial"/>
                <w:b/>
              </w:rPr>
              <w:t xml:space="preserve">Current healthcare workers </w:t>
            </w:r>
          </w:p>
        </w:tc>
        <w:tc>
          <w:tcPr>
            <w:tcW w:w="3579" w:type="dxa"/>
            <w:shd w:val="clear" w:color="auto" w:fill="DBE5F1" w:themeFill="accent1" w:themeFillTint="33"/>
          </w:tcPr>
          <w:p w14:paraId="07D14E19" w14:textId="517C7806" w:rsidR="00C665DE" w:rsidRPr="00F56540" w:rsidDel="00C665DE" w:rsidRDefault="00C665DE" w:rsidP="002205D2">
            <w:pPr>
              <w:pStyle w:val="DHHSbody"/>
              <w:rPr>
                <w:rFonts w:cs="Arial"/>
                <w:b/>
              </w:rPr>
            </w:pPr>
            <w:r w:rsidRPr="00F56540">
              <w:rPr>
                <w:rFonts w:cs="Arial"/>
                <w:b/>
              </w:rPr>
              <w:t>Contractors or VMOs</w:t>
            </w:r>
          </w:p>
        </w:tc>
        <w:tc>
          <w:tcPr>
            <w:tcW w:w="3580" w:type="dxa"/>
            <w:shd w:val="clear" w:color="auto" w:fill="DBE5F1" w:themeFill="accent1" w:themeFillTint="33"/>
          </w:tcPr>
          <w:p w14:paraId="6133846D" w14:textId="6703BF01" w:rsidR="00C665DE" w:rsidRPr="00F56540" w:rsidDel="00C665DE" w:rsidRDefault="00C665DE" w:rsidP="002205D2">
            <w:pPr>
              <w:pStyle w:val="DHHSbody"/>
              <w:rPr>
                <w:rFonts w:cs="Arial"/>
                <w:b/>
              </w:rPr>
            </w:pPr>
            <w:r w:rsidRPr="00F56540">
              <w:rPr>
                <w:rFonts w:cs="Arial"/>
                <w:b/>
              </w:rPr>
              <w:t>Students and volunteers</w:t>
            </w:r>
          </w:p>
        </w:tc>
      </w:tr>
      <w:tr w:rsidR="005D01B3" w:rsidRPr="00F56540" w14:paraId="7D04A5B6" w14:textId="0017159E" w:rsidTr="00151653">
        <w:tc>
          <w:tcPr>
            <w:tcW w:w="1271" w:type="dxa"/>
          </w:tcPr>
          <w:p w14:paraId="2EDB3AA7" w14:textId="7585D27C" w:rsidR="00C665DE" w:rsidRPr="00F56540" w:rsidRDefault="00C665DE" w:rsidP="00C665DE">
            <w:pPr>
              <w:pStyle w:val="DHHSbody"/>
              <w:rPr>
                <w:rFonts w:cs="Arial"/>
                <w:b/>
              </w:rPr>
            </w:pPr>
            <w:r w:rsidRPr="00F56540">
              <w:rPr>
                <w:rFonts w:cs="Arial"/>
                <w:b/>
              </w:rPr>
              <w:t>Influenza</w:t>
            </w:r>
          </w:p>
        </w:tc>
        <w:tc>
          <w:tcPr>
            <w:tcW w:w="3579" w:type="dxa"/>
          </w:tcPr>
          <w:p w14:paraId="6D615DD8" w14:textId="1EA9460E" w:rsidR="00C665DE" w:rsidRPr="00F56540" w:rsidRDefault="00C665DE" w:rsidP="00C665DE">
            <w:pPr>
              <w:pStyle w:val="DHHSbody"/>
              <w:rPr>
                <w:rFonts w:cs="Arial"/>
              </w:rPr>
            </w:pPr>
            <w:r w:rsidRPr="00F56540">
              <w:rPr>
                <w:rFonts w:cs="Arial"/>
              </w:rPr>
              <w:t xml:space="preserve">New Category A or B workers </w:t>
            </w:r>
            <w:r w:rsidR="001979A5">
              <w:rPr>
                <w:rFonts w:cs="Arial"/>
              </w:rPr>
              <w:t xml:space="preserve">are </w:t>
            </w:r>
            <w:r w:rsidRPr="00F56540">
              <w:rPr>
                <w:rFonts w:cs="Arial"/>
              </w:rPr>
              <w:t xml:space="preserve">expected to be compliant with the </w:t>
            </w:r>
            <w:r w:rsidR="00B25715" w:rsidRPr="00F56540">
              <w:rPr>
                <w:rFonts w:cs="Arial"/>
              </w:rPr>
              <w:t xml:space="preserve">influenza </w:t>
            </w:r>
            <w:r w:rsidRPr="00F56540">
              <w:rPr>
                <w:rFonts w:cs="Arial"/>
              </w:rPr>
              <w:t xml:space="preserve">vaccination policy prior to commencing at the relevant setting and </w:t>
            </w:r>
            <w:r w:rsidR="005B796D">
              <w:rPr>
                <w:rFonts w:cs="Arial"/>
              </w:rPr>
              <w:t xml:space="preserve">may </w:t>
            </w:r>
            <w:r w:rsidRPr="00F56540">
              <w:rPr>
                <w:rFonts w:cs="Arial"/>
              </w:rPr>
              <w:t xml:space="preserve">not be employed </w:t>
            </w:r>
            <w:r w:rsidR="00402E4C">
              <w:rPr>
                <w:rFonts w:cs="Arial"/>
              </w:rPr>
              <w:t xml:space="preserve">or </w:t>
            </w:r>
            <w:r w:rsidR="003E5D61">
              <w:rPr>
                <w:rFonts w:cs="Arial"/>
              </w:rPr>
              <w:t>engaged</w:t>
            </w:r>
            <w:r w:rsidR="003E5D61" w:rsidRPr="00F56540">
              <w:rPr>
                <w:rFonts w:cs="Arial"/>
              </w:rPr>
              <w:t xml:space="preserve"> </w:t>
            </w:r>
            <w:r w:rsidRPr="00F56540">
              <w:rPr>
                <w:rFonts w:cs="Arial"/>
              </w:rPr>
              <w:t>by the healthcare setting if they refuse to be vaccinated for influenza.</w:t>
            </w:r>
          </w:p>
        </w:tc>
        <w:tc>
          <w:tcPr>
            <w:tcW w:w="3579" w:type="dxa"/>
          </w:tcPr>
          <w:p w14:paraId="327D63B2" w14:textId="6B0F4D90" w:rsidR="00C665DE" w:rsidRPr="00F56540" w:rsidRDefault="00C665DE" w:rsidP="00C665DE">
            <w:pPr>
              <w:pStyle w:val="DHHSbody"/>
              <w:spacing w:line="276" w:lineRule="auto"/>
              <w:rPr>
                <w:rFonts w:cs="Arial"/>
              </w:rPr>
            </w:pPr>
            <w:r w:rsidRPr="00F56540">
              <w:rPr>
                <w:rFonts w:cs="Arial"/>
              </w:rPr>
              <w:t xml:space="preserve">Current Category A or B workers who refuse the influenza vaccine can continue to be employed or </w:t>
            </w:r>
            <w:r w:rsidR="003E5D61">
              <w:rPr>
                <w:rFonts w:cs="Arial"/>
              </w:rPr>
              <w:t>engaged</w:t>
            </w:r>
            <w:r w:rsidR="003E5D61" w:rsidRPr="00F56540">
              <w:rPr>
                <w:rFonts w:cs="Arial"/>
              </w:rPr>
              <w:t xml:space="preserve"> </w:t>
            </w:r>
            <w:r w:rsidRPr="00F56540">
              <w:rPr>
                <w:rFonts w:cs="Arial"/>
              </w:rPr>
              <w:t>by a health service after a</w:t>
            </w:r>
            <w:r w:rsidR="00DC613C">
              <w:rPr>
                <w:rFonts w:cs="Arial"/>
              </w:rPr>
              <w:t xml:space="preserve">n </w:t>
            </w:r>
            <w:r w:rsidRPr="00F56540">
              <w:rPr>
                <w:rFonts w:cs="Arial"/>
              </w:rPr>
              <w:t>assessment has been completed by the health setting to ensure that the health and safety of the worker and others is maintained</w:t>
            </w:r>
            <w:r w:rsidR="008D01FB">
              <w:rPr>
                <w:rFonts w:cs="Arial"/>
              </w:rPr>
              <w:t xml:space="preserve"> if they are not vaccinated</w:t>
            </w:r>
            <w:r w:rsidRPr="00F56540">
              <w:rPr>
                <w:rFonts w:cs="Arial"/>
              </w:rPr>
              <w:t xml:space="preserve">. </w:t>
            </w:r>
          </w:p>
          <w:p w14:paraId="2B65D762" w14:textId="7E603859" w:rsidR="00C665DE" w:rsidRPr="00F56540" w:rsidRDefault="00C665DE" w:rsidP="00C665DE">
            <w:pPr>
              <w:pStyle w:val="DHHSbody"/>
              <w:rPr>
                <w:rFonts w:cs="Arial"/>
              </w:rPr>
            </w:pPr>
            <w:r w:rsidRPr="00F56540">
              <w:rPr>
                <w:rFonts w:cs="Arial"/>
              </w:rPr>
              <w:t xml:space="preserve">Termination of employment may be considered </w:t>
            </w:r>
            <w:r w:rsidR="008E4F5E">
              <w:rPr>
                <w:rFonts w:cs="Arial"/>
              </w:rPr>
              <w:t xml:space="preserve">if </w:t>
            </w:r>
            <w:r w:rsidRPr="00F56540">
              <w:rPr>
                <w:rFonts w:cs="Arial"/>
              </w:rPr>
              <w:t xml:space="preserve">the risk of contracting or transmitting influenza infection cannot be appropriately managed via other means. </w:t>
            </w:r>
            <w:r w:rsidRPr="0088155A">
              <w:rPr>
                <w:rFonts w:cs="Arial"/>
              </w:rPr>
              <w:t xml:space="preserve">(See </w:t>
            </w:r>
            <w:hyperlink w:anchor="_9.3_Managing_risk" w:history="1">
              <w:r w:rsidRPr="00C579CB">
                <w:rPr>
                  <w:rStyle w:val="Hyperlink"/>
                  <w:rFonts w:cs="Arial"/>
                  <w:i/>
                </w:rPr>
                <w:t xml:space="preserve">Section </w:t>
              </w:r>
              <w:r w:rsidR="006E399C" w:rsidRPr="00C579CB">
                <w:rPr>
                  <w:rStyle w:val="Hyperlink"/>
                  <w:rFonts w:cs="Arial"/>
                  <w:i/>
                </w:rPr>
                <w:t>9.</w:t>
              </w:r>
              <w:r w:rsidR="0088155A" w:rsidRPr="00C579CB">
                <w:rPr>
                  <w:rStyle w:val="Hyperlink"/>
                  <w:rFonts w:cs="Arial"/>
                  <w:i/>
                </w:rPr>
                <w:t>3</w:t>
              </w:r>
            </w:hyperlink>
            <w:r w:rsidRPr="00F56540">
              <w:rPr>
                <w:rFonts w:cs="Arial"/>
              </w:rPr>
              <w:t>).</w:t>
            </w:r>
          </w:p>
        </w:tc>
        <w:tc>
          <w:tcPr>
            <w:tcW w:w="3579" w:type="dxa"/>
          </w:tcPr>
          <w:p w14:paraId="75A6135A" w14:textId="651AA2FE" w:rsidR="00C665DE" w:rsidRDefault="00152494" w:rsidP="00C665DE">
            <w:pPr>
              <w:pStyle w:val="DHHSbody"/>
              <w:rPr>
                <w:rFonts w:cs="Arial"/>
              </w:rPr>
            </w:pPr>
            <w:r>
              <w:rPr>
                <w:rFonts w:cs="Arial"/>
              </w:rPr>
              <w:t>Prospective c</w:t>
            </w:r>
            <w:r w:rsidR="00C665DE" w:rsidRPr="00F56540">
              <w:rPr>
                <w:rFonts w:cs="Arial"/>
              </w:rPr>
              <w:t xml:space="preserve">ontractors and VMOs </w:t>
            </w:r>
            <w:r>
              <w:rPr>
                <w:rFonts w:cs="Arial"/>
              </w:rPr>
              <w:t xml:space="preserve">may </w:t>
            </w:r>
            <w:r w:rsidR="00C665DE" w:rsidRPr="00F56540">
              <w:rPr>
                <w:rFonts w:cs="Arial"/>
              </w:rPr>
              <w:t xml:space="preserve">not be </w:t>
            </w:r>
            <w:r w:rsidR="009E7F27" w:rsidRPr="006554CC">
              <w:rPr>
                <w:rFonts w:cs="Arial"/>
              </w:rPr>
              <w:t xml:space="preserve">employed or </w:t>
            </w:r>
            <w:r w:rsidR="003E5D61">
              <w:rPr>
                <w:rFonts w:cs="Arial"/>
              </w:rPr>
              <w:t xml:space="preserve">engaged </w:t>
            </w:r>
            <w:r w:rsidR="00C665DE" w:rsidRPr="00F56540">
              <w:rPr>
                <w:rFonts w:cs="Arial"/>
              </w:rPr>
              <w:t xml:space="preserve">if they refuse to be vaccinated </w:t>
            </w:r>
            <w:r w:rsidR="00157D51">
              <w:rPr>
                <w:rFonts w:cs="Arial"/>
              </w:rPr>
              <w:t>for</w:t>
            </w:r>
            <w:r w:rsidR="00C665DE" w:rsidRPr="00F56540">
              <w:rPr>
                <w:rFonts w:cs="Arial"/>
              </w:rPr>
              <w:t xml:space="preserve"> influenza</w:t>
            </w:r>
            <w:r w:rsidR="0023785F">
              <w:rPr>
                <w:rFonts w:cs="Arial"/>
              </w:rPr>
              <w:t xml:space="preserve">. </w:t>
            </w:r>
          </w:p>
          <w:p w14:paraId="06BFAB64" w14:textId="0F17BCC9" w:rsidR="004740AA" w:rsidRPr="00F56540" w:rsidRDefault="004740AA" w:rsidP="00C665DE">
            <w:pPr>
              <w:pStyle w:val="DHHSbody"/>
              <w:rPr>
                <w:rFonts w:cs="Arial"/>
              </w:rPr>
            </w:pPr>
            <w:r>
              <w:rPr>
                <w:rFonts w:cs="Arial"/>
              </w:rPr>
              <w:t xml:space="preserve">Current contractors or VMOs can be managed as “current healthcare </w:t>
            </w:r>
            <w:r w:rsidRPr="0088155A">
              <w:rPr>
                <w:rFonts w:cs="Arial"/>
              </w:rPr>
              <w:t xml:space="preserve">workers” (see </w:t>
            </w:r>
            <w:hyperlink w:anchor="_9.3_Managing_risk" w:history="1">
              <w:r w:rsidRPr="009D000C">
                <w:rPr>
                  <w:rStyle w:val="Hyperlink"/>
                  <w:rFonts w:cs="Arial"/>
                  <w:i/>
                  <w:iCs/>
                </w:rPr>
                <w:t xml:space="preserve">Section </w:t>
              </w:r>
              <w:r w:rsidR="006E399C" w:rsidRPr="009D000C">
                <w:rPr>
                  <w:rStyle w:val="Hyperlink"/>
                  <w:rFonts w:cs="Arial"/>
                  <w:i/>
                  <w:iCs/>
                </w:rPr>
                <w:t>9</w:t>
              </w:r>
              <w:r w:rsidR="00954F04" w:rsidRPr="009D000C">
                <w:rPr>
                  <w:rStyle w:val="Hyperlink"/>
                  <w:rFonts w:cs="Arial"/>
                  <w:i/>
                  <w:iCs/>
                </w:rPr>
                <w:t>.3</w:t>
              </w:r>
            </w:hyperlink>
            <w:r w:rsidRPr="0088155A">
              <w:rPr>
                <w:rFonts w:cs="Arial"/>
              </w:rPr>
              <w:t>).</w:t>
            </w:r>
            <w:r>
              <w:rPr>
                <w:rFonts w:cs="Arial"/>
              </w:rPr>
              <w:t xml:space="preserve"> </w:t>
            </w:r>
          </w:p>
        </w:tc>
        <w:tc>
          <w:tcPr>
            <w:tcW w:w="3580" w:type="dxa"/>
          </w:tcPr>
          <w:p w14:paraId="20313F64" w14:textId="1F1AF0C6" w:rsidR="20B9CE62" w:rsidRPr="00F56540" w:rsidRDefault="74370299" w:rsidP="00BF3EAE">
            <w:pPr>
              <w:pStyle w:val="DHHSbody"/>
              <w:spacing w:after="240"/>
              <w:rPr>
                <w:rFonts w:cs="Arial"/>
              </w:rPr>
            </w:pPr>
            <w:r w:rsidRPr="00F56540">
              <w:rPr>
                <w:rFonts w:cs="Arial"/>
              </w:rPr>
              <w:t xml:space="preserve">Students and volunteers are not directly subject to the </w:t>
            </w:r>
            <w:r w:rsidR="00757CD0">
              <w:rPr>
                <w:rFonts w:cs="Arial"/>
              </w:rPr>
              <w:t>Secretary</w:t>
            </w:r>
            <w:r w:rsidRPr="00F56540">
              <w:rPr>
                <w:rFonts w:cs="Arial"/>
              </w:rPr>
              <w:t xml:space="preserve"> </w:t>
            </w:r>
            <w:r w:rsidR="3BA86A12" w:rsidRPr="02CCA15E">
              <w:rPr>
                <w:rFonts w:cs="Arial"/>
              </w:rPr>
              <w:t>D</w:t>
            </w:r>
            <w:r w:rsidRPr="00F56540">
              <w:rPr>
                <w:rFonts w:cs="Arial"/>
              </w:rPr>
              <w:t xml:space="preserve">irections; </w:t>
            </w:r>
            <w:r w:rsidR="001979A5" w:rsidRPr="00F56540">
              <w:rPr>
                <w:rFonts w:cs="Arial"/>
              </w:rPr>
              <w:t>however,</w:t>
            </w:r>
            <w:r w:rsidRPr="00F56540">
              <w:rPr>
                <w:rFonts w:cs="Arial"/>
              </w:rPr>
              <w:t xml:space="preserve"> a health service may reasonably require that they meet </w:t>
            </w:r>
            <w:r w:rsidR="00B25715" w:rsidRPr="00F56540">
              <w:rPr>
                <w:rFonts w:cs="Arial"/>
              </w:rPr>
              <w:t xml:space="preserve">influenza </w:t>
            </w:r>
            <w:r w:rsidRPr="00F56540">
              <w:rPr>
                <w:rFonts w:cs="Arial"/>
              </w:rPr>
              <w:t xml:space="preserve">vaccination requirements under this policy prior to commencing roles or placements within the settings. </w:t>
            </w:r>
          </w:p>
          <w:p w14:paraId="10A4EC00" w14:textId="43BE1016" w:rsidR="00C665DE" w:rsidRPr="00F56540" w:rsidRDefault="009708B4" w:rsidP="00C665DE">
            <w:pPr>
              <w:pStyle w:val="DHHSbody"/>
              <w:rPr>
                <w:rFonts w:cs="Arial"/>
              </w:rPr>
            </w:pPr>
            <w:r>
              <w:rPr>
                <w:rFonts w:cs="Arial"/>
              </w:rPr>
              <w:t xml:space="preserve">This may affect their ability to volunteer or undertake placements within the setting, at the health service’s discretion. </w:t>
            </w:r>
            <w:r w:rsidR="00C665DE" w:rsidRPr="00F56540">
              <w:rPr>
                <w:rFonts w:cs="Arial"/>
              </w:rPr>
              <w:t xml:space="preserve"> </w:t>
            </w:r>
          </w:p>
        </w:tc>
      </w:tr>
      <w:tr w:rsidR="005D01B3" w:rsidRPr="00F56540" w14:paraId="74F3ED1F" w14:textId="5D7DAA2D" w:rsidTr="00151653">
        <w:tc>
          <w:tcPr>
            <w:tcW w:w="1271" w:type="dxa"/>
          </w:tcPr>
          <w:p w14:paraId="36563286" w14:textId="41B3028E" w:rsidR="00C665DE" w:rsidRPr="00F56540" w:rsidRDefault="00C665DE" w:rsidP="00C665DE">
            <w:pPr>
              <w:pStyle w:val="DHHSbody"/>
              <w:rPr>
                <w:rFonts w:cs="Arial"/>
                <w:b/>
              </w:rPr>
            </w:pPr>
            <w:r w:rsidRPr="00F56540">
              <w:rPr>
                <w:rFonts w:cs="Arial"/>
                <w:b/>
              </w:rPr>
              <w:t>COVID-19</w:t>
            </w:r>
          </w:p>
        </w:tc>
        <w:tc>
          <w:tcPr>
            <w:tcW w:w="3579" w:type="dxa"/>
          </w:tcPr>
          <w:p w14:paraId="7BEAA2B6" w14:textId="373C6D26" w:rsidR="00DC16CB" w:rsidRPr="00F56540" w:rsidRDefault="000D2D2D" w:rsidP="00C665DE">
            <w:pPr>
              <w:pStyle w:val="DHHSbody"/>
              <w:spacing w:line="276" w:lineRule="auto"/>
              <w:rPr>
                <w:rFonts w:cs="Arial"/>
              </w:rPr>
            </w:pPr>
            <w:r w:rsidRPr="00F56540">
              <w:rPr>
                <w:rFonts w:cs="Arial"/>
              </w:rPr>
              <w:t xml:space="preserve">New Category A, B and C workers </w:t>
            </w:r>
            <w:r w:rsidR="008B5B98">
              <w:rPr>
                <w:rFonts w:cs="Arial"/>
              </w:rPr>
              <w:t>are</w:t>
            </w:r>
            <w:r w:rsidRPr="00F56540">
              <w:rPr>
                <w:rFonts w:cs="Arial"/>
              </w:rPr>
              <w:t xml:space="preserve"> expected to be compliant with the COVID-19 vaccination policy prior to commencing </w:t>
            </w:r>
            <w:r w:rsidR="009C2E7E">
              <w:rPr>
                <w:rFonts w:cs="Arial"/>
              </w:rPr>
              <w:t xml:space="preserve">their role </w:t>
            </w:r>
            <w:r w:rsidR="009708B4">
              <w:rPr>
                <w:rFonts w:cs="Arial"/>
              </w:rPr>
              <w:t>in</w:t>
            </w:r>
            <w:r w:rsidRPr="00F56540">
              <w:rPr>
                <w:rFonts w:cs="Arial"/>
              </w:rPr>
              <w:t xml:space="preserve"> the relevant setting</w:t>
            </w:r>
            <w:r w:rsidR="00565E6C">
              <w:rPr>
                <w:rFonts w:cs="Arial"/>
              </w:rPr>
              <w:t>.</w:t>
            </w:r>
            <w:r w:rsidRPr="00F56540">
              <w:rPr>
                <w:rFonts w:cs="Arial"/>
              </w:rPr>
              <w:t xml:space="preserve"> </w:t>
            </w:r>
          </w:p>
          <w:p w14:paraId="2695200E" w14:textId="49EBDF29" w:rsidR="00C665DE" w:rsidRPr="005B796D" w:rsidRDefault="00A01805" w:rsidP="00C665DE">
            <w:pPr>
              <w:pStyle w:val="DHHSbody"/>
              <w:spacing w:line="276" w:lineRule="auto"/>
              <w:rPr>
                <w:rFonts w:cs="Arial"/>
              </w:rPr>
            </w:pPr>
            <w:r w:rsidRPr="00F56540">
              <w:rPr>
                <w:rFonts w:cs="Arial"/>
              </w:rPr>
              <w:t xml:space="preserve">If they refuse </w:t>
            </w:r>
            <w:r w:rsidR="009931EC" w:rsidRPr="00F56540">
              <w:rPr>
                <w:rFonts w:cs="Arial"/>
              </w:rPr>
              <w:t>to meet the fully vaccinated or fully vaccinated (boosted) requirement (dependent on their age)</w:t>
            </w:r>
            <w:r w:rsidR="007429EE" w:rsidRPr="00F56540">
              <w:rPr>
                <w:rFonts w:cs="Arial"/>
              </w:rPr>
              <w:t xml:space="preserve"> </w:t>
            </w:r>
            <w:r w:rsidR="000A7E7D" w:rsidRPr="00F56540">
              <w:rPr>
                <w:rFonts w:cs="Arial"/>
              </w:rPr>
              <w:t xml:space="preserve">they </w:t>
            </w:r>
            <w:r w:rsidR="005B796D">
              <w:rPr>
                <w:rFonts w:cs="Arial"/>
              </w:rPr>
              <w:t>m</w:t>
            </w:r>
            <w:r w:rsidR="005B796D" w:rsidRPr="00E51658">
              <w:rPr>
                <w:rFonts w:cs="Arial"/>
              </w:rPr>
              <w:t>ay not be</w:t>
            </w:r>
            <w:r w:rsidR="005B796D">
              <w:rPr>
                <w:rFonts w:cs="Arial"/>
                <w:i/>
                <w:iCs/>
              </w:rPr>
              <w:t xml:space="preserve"> </w:t>
            </w:r>
            <w:r w:rsidR="005B796D">
              <w:rPr>
                <w:rFonts w:cs="Arial"/>
              </w:rPr>
              <w:t xml:space="preserve">employed or </w:t>
            </w:r>
            <w:r w:rsidR="003E5D61">
              <w:rPr>
                <w:rFonts w:cs="Arial"/>
              </w:rPr>
              <w:t xml:space="preserve">engaged </w:t>
            </w:r>
            <w:r w:rsidR="005B796D">
              <w:rPr>
                <w:rFonts w:cs="Arial"/>
              </w:rPr>
              <w:t xml:space="preserve">by healthcare setting. </w:t>
            </w:r>
          </w:p>
        </w:tc>
        <w:tc>
          <w:tcPr>
            <w:tcW w:w="3579" w:type="dxa"/>
          </w:tcPr>
          <w:p w14:paraId="23DD1ED1" w14:textId="524F5DB4" w:rsidR="00C665DE" w:rsidRPr="00F56540" w:rsidRDefault="009931EC" w:rsidP="00BF3EAE">
            <w:pPr>
              <w:pStyle w:val="DHHSbody"/>
              <w:spacing w:line="276" w:lineRule="auto"/>
              <w:rPr>
                <w:rFonts w:cs="Arial"/>
              </w:rPr>
            </w:pPr>
            <w:r w:rsidRPr="00F56540">
              <w:rPr>
                <w:rFonts w:cs="Arial"/>
              </w:rPr>
              <w:t xml:space="preserve">Current Category A, B or C workers who refuse </w:t>
            </w:r>
            <w:r w:rsidR="00041A06" w:rsidRPr="00F56540">
              <w:rPr>
                <w:rFonts w:cs="Arial"/>
              </w:rPr>
              <w:t xml:space="preserve">to meet the fully vaccinated or fully vaccinated (boosted) requirement (depending on their age) </w:t>
            </w:r>
            <w:r w:rsidR="00402E4C" w:rsidRPr="00E51658">
              <w:rPr>
                <w:rFonts w:cs="Arial"/>
              </w:rPr>
              <w:t xml:space="preserve">may </w:t>
            </w:r>
            <w:r w:rsidR="002A0ACF">
              <w:rPr>
                <w:rFonts w:cs="Arial"/>
              </w:rPr>
              <w:t>not be able to perf</w:t>
            </w:r>
            <w:r w:rsidR="00C31CE2">
              <w:rPr>
                <w:rFonts w:cs="Arial"/>
              </w:rPr>
              <w:t xml:space="preserve">orm their usual role, and should discuss their options with their employer. </w:t>
            </w:r>
          </w:p>
        </w:tc>
        <w:tc>
          <w:tcPr>
            <w:tcW w:w="3579" w:type="dxa"/>
          </w:tcPr>
          <w:p w14:paraId="1588B7A9" w14:textId="78DD0F84" w:rsidR="00957D59" w:rsidRDefault="00152494" w:rsidP="00C665DE">
            <w:pPr>
              <w:pStyle w:val="DHHSbody"/>
              <w:rPr>
                <w:rFonts w:cs="Arial"/>
              </w:rPr>
            </w:pPr>
            <w:r>
              <w:rPr>
                <w:rFonts w:cs="Arial"/>
              </w:rPr>
              <w:t>Prospective</w:t>
            </w:r>
            <w:r w:rsidR="00BC4FCA">
              <w:rPr>
                <w:rFonts w:cs="Arial"/>
              </w:rPr>
              <w:t xml:space="preserve"> contractors/VMOs may not be able to be employed or </w:t>
            </w:r>
            <w:r w:rsidR="002A7D86">
              <w:rPr>
                <w:rFonts w:cs="Arial"/>
              </w:rPr>
              <w:t>engaged</w:t>
            </w:r>
            <w:r w:rsidR="00BC4FCA">
              <w:rPr>
                <w:rFonts w:cs="Arial"/>
              </w:rPr>
              <w:t xml:space="preserve"> by the health care service if they are not compliant with vaccination requirements. </w:t>
            </w:r>
          </w:p>
          <w:p w14:paraId="52EBA4EE" w14:textId="22B6771C" w:rsidR="00BC4FCA" w:rsidRDefault="00957D59" w:rsidP="00C665DE">
            <w:pPr>
              <w:pStyle w:val="DHHSbody"/>
              <w:rPr>
                <w:rFonts w:cs="Arial"/>
              </w:rPr>
            </w:pPr>
            <w:r>
              <w:rPr>
                <w:rFonts w:cs="Arial"/>
              </w:rPr>
              <w:t xml:space="preserve">Current contractors or VMOs can be managed as “current healthcare </w:t>
            </w:r>
            <w:r w:rsidRPr="0088155A">
              <w:rPr>
                <w:rFonts w:cs="Arial"/>
              </w:rPr>
              <w:t xml:space="preserve">workers” (see </w:t>
            </w:r>
            <w:hyperlink w:anchor="_9.3_Managing_risk" w:history="1">
              <w:r w:rsidRPr="009D000C">
                <w:rPr>
                  <w:rStyle w:val="Hyperlink"/>
                  <w:rFonts w:cs="Arial"/>
                  <w:i/>
                  <w:iCs/>
                </w:rPr>
                <w:t>Section 9.3</w:t>
              </w:r>
            </w:hyperlink>
            <w:r w:rsidRPr="0088155A">
              <w:rPr>
                <w:rFonts w:cs="Arial"/>
              </w:rPr>
              <w:t>).</w:t>
            </w:r>
            <w:r>
              <w:rPr>
                <w:rFonts w:cs="Arial"/>
              </w:rPr>
              <w:t xml:space="preserve">  </w:t>
            </w:r>
          </w:p>
          <w:p w14:paraId="64577137" w14:textId="44E64512" w:rsidR="00C665DE" w:rsidRPr="00F56540" w:rsidRDefault="00933855" w:rsidP="00C665DE">
            <w:pPr>
              <w:pStyle w:val="DHHSbody"/>
              <w:rPr>
                <w:rFonts w:cs="Arial"/>
              </w:rPr>
            </w:pPr>
            <w:r>
              <w:rPr>
                <w:rFonts w:cs="Arial"/>
              </w:rPr>
              <w:t xml:space="preserve">Contractors and VMOs </w:t>
            </w:r>
            <w:r w:rsidR="00152494">
              <w:rPr>
                <w:rFonts w:cs="Arial"/>
              </w:rPr>
              <w:t xml:space="preserve">who refuse to comply with vaccination requirements </w:t>
            </w:r>
            <w:r>
              <w:rPr>
                <w:rFonts w:cs="Arial"/>
              </w:rPr>
              <w:t xml:space="preserve">should discuss their options with the health service </w:t>
            </w:r>
            <w:r w:rsidR="004703D3">
              <w:rPr>
                <w:rFonts w:cs="Arial"/>
              </w:rPr>
              <w:t xml:space="preserve">managing their contract </w:t>
            </w:r>
            <w:r>
              <w:rPr>
                <w:rFonts w:cs="Arial"/>
              </w:rPr>
              <w:t>directly.</w:t>
            </w:r>
            <w:r w:rsidR="00E52713">
              <w:rPr>
                <w:rFonts w:cs="Arial"/>
              </w:rPr>
              <w:t xml:space="preserve"> </w:t>
            </w:r>
          </w:p>
        </w:tc>
        <w:tc>
          <w:tcPr>
            <w:tcW w:w="3580" w:type="dxa"/>
          </w:tcPr>
          <w:p w14:paraId="448EBB35" w14:textId="2B665FD1" w:rsidR="00E93DB4" w:rsidRPr="00F56540" w:rsidRDefault="00E93DB4" w:rsidP="00BF3EAE">
            <w:pPr>
              <w:pStyle w:val="DHHSbody"/>
              <w:spacing w:after="240"/>
              <w:rPr>
                <w:rFonts w:cs="Arial"/>
              </w:rPr>
            </w:pPr>
            <w:r w:rsidRPr="00F56540">
              <w:rPr>
                <w:rFonts w:cs="Arial"/>
              </w:rPr>
              <w:t xml:space="preserve">Students and volunteers are not directly subject to the </w:t>
            </w:r>
            <w:r w:rsidR="00757CD0">
              <w:rPr>
                <w:rFonts w:cs="Arial"/>
              </w:rPr>
              <w:t>Secretary</w:t>
            </w:r>
            <w:r w:rsidRPr="00F56540">
              <w:rPr>
                <w:rFonts w:cs="Arial"/>
              </w:rPr>
              <w:t xml:space="preserve"> </w:t>
            </w:r>
            <w:r w:rsidR="78B20412" w:rsidRPr="02CCA15E">
              <w:rPr>
                <w:rFonts w:cs="Arial"/>
              </w:rPr>
              <w:t>D</w:t>
            </w:r>
            <w:r w:rsidRPr="00F56540">
              <w:rPr>
                <w:rFonts w:cs="Arial"/>
              </w:rPr>
              <w:t xml:space="preserve">irections; </w:t>
            </w:r>
            <w:r w:rsidR="002739E6" w:rsidRPr="00F56540">
              <w:rPr>
                <w:rFonts w:cs="Arial"/>
              </w:rPr>
              <w:t>however,</w:t>
            </w:r>
            <w:r w:rsidRPr="00F56540">
              <w:rPr>
                <w:rFonts w:cs="Arial"/>
              </w:rPr>
              <w:t xml:space="preserve"> a health service may reasonably require that they meet COVID-19 vaccination requirements under this policy prior to commencing roles or placements within the settings. </w:t>
            </w:r>
          </w:p>
          <w:p w14:paraId="38F6796F" w14:textId="2CD1DB2B" w:rsidR="00C665DE" w:rsidRPr="00F56540" w:rsidRDefault="009A38A9" w:rsidP="00E93DB4">
            <w:pPr>
              <w:pStyle w:val="DHHSbody"/>
              <w:rPr>
                <w:rFonts w:cs="Arial"/>
              </w:rPr>
            </w:pPr>
            <w:r>
              <w:rPr>
                <w:rFonts w:cs="Arial"/>
              </w:rPr>
              <w:t xml:space="preserve">This may affect their ability to volunteer or undertake placements within the setting, at the health service’s discretion. </w:t>
            </w:r>
            <w:r w:rsidRPr="00F56540">
              <w:rPr>
                <w:rFonts w:cs="Arial"/>
              </w:rPr>
              <w:t xml:space="preserve"> </w:t>
            </w:r>
          </w:p>
        </w:tc>
      </w:tr>
    </w:tbl>
    <w:p w14:paraId="59064BF6" w14:textId="77777777" w:rsidR="00F77776" w:rsidRPr="00F56540" w:rsidRDefault="00F77776" w:rsidP="002205D2">
      <w:pPr>
        <w:pStyle w:val="DHHSbody"/>
        <w:rPr>
          <w:rFonts w:cs="Arial"/>
          <w:b/>
        </w:rPr>
        <w:sectPr w:rsidR="00F77776" w:rsidRPr="00F56540" w:rsidSect="00491E56">
          <w:type w:val="nextColumn"/>
          <w:pgSz w:w="16838" w:h="11906" w:orient="landscape" w:code="9"/>
          <w:pgMar w:top="567" w:right="567" w:bottom="567" w:left="567" w:header="680" w:footer="851" w:gutter="0"/>
          <w:cols w:space="340"/>
          <w:titlePg/>
          <w:docGrid w:linePitch="360"/>
        </w:sectPr>
      </w:pPr>
    </w:p>
    <w:p w14:paraId="6316C2A0" w14:textId="097A54CD" w:rsidR="002205D2" w:rsidRPr="000E0125" w:rsidRDefault="00412988" w:rsidP="00F155A8">
      <w:pPr>
        <w:pStyle w:val="Heading1"/>
        <w:spacing w:before="0"/>
        <w:rPr>
          <w:sz w:val="40"/>
          <w:szCs w:val="40"/>
        </w:rPr>
      </w:pPr>
      <w:bookmarkStart w:id="40" w:name="_Toc46399890"/>
      <w:bookmarkStart w:id="41" w:name="_Toc113362853"/>
      <w:bookmarkStart w:id="42" w:name="_Toc116457931"/>
      <w:r w:rsidRPr="000E0125">
        <w:rPr>
          <w:sz w:val="40"/>
          <w:szCs w:val="40"/>
        </w:rPr>
        <w:lastRenderedPageBreak/>
        <w:t>9</w:t>
      </w:r>
      <w:r w:rsidR="002205D2" w:rsidRPr="000E0125">
        <w:rPr>
          <w:sz w:val="40"/>
          <w:szCs w:val="40"/>
        </w:rPr>
        <w:t>. Managing risk</w:t>
      </w:r>
      <w:bookmarkEnd w:id="40"/>
      <w:bookmarkEnd w:id="41"/>
      <w:bookmarkEnd w:id="42"/>
    </w:p>
    <w:p w14:paraId="7B355FA5" w14:textId="05DCA59E" w:rsidR="002205D2" w:rsidRPr="00CD761A" w:rsidRDefault="0009261C" w:rsidP="00BF3EAE">
      <w:pPr>
        <w:pStyle w:val="Heading4"/>
      </w:pPr>
      <w:bookmarkStart w:id="43" w:name="_Toc113362854"/>
      <w:bookmarkStart w:id="44" w:name="_Hlk43893823"/>
      <w:r w:rsidRPr="0009261C">
        <w:t xml:space="preserve">9.1 </w:t>
      </w:r>
      <w:r w:rsidR="002205D2" w:rsidRPr="004C47AA">
        <w:t>Medical contraindication</w:t>
      </w:r>
      <w:r w:rsidR="00073854" w:rsidRPr="006310BB">
        <w:t>, temporary medical exemption (</w:t>
      </w:r>
      <w:r w:rsidR="00412988" w:rsidRPr="00BE52E2">
        <w:t xml:space="preserve">to </w:t>
      </w:r>
      <w:r w:rsidR="00073854" w:rsidRPr="006365A0">
        <w:t>COVID-19</w:t>
      </w:r>
      <w:r w:rsidR="00412988" w:rsidRPr="00CD761A">
        <w:t xml:space="preserve"> vaccine</w:t>
      </w:r>
      <w:r w:rsidR="00073854" w:rsidRPr="00CD761A">
        <w:t xml:space="preserve">) and participation in an approved COVID-19 </w:t>
      </w:r>
      <w:r w:rsidR="003E6FAC" w:rsidRPr="00CD761A">
        <w:t>vaccine</w:t>
      </w:r>
      <w:r w:rsidR="00073854" w:rsidRPr="00CD761A">
        <w:t xml:space="preserve"> clinical trial</w:t>
      </w:r>
      <w:bookmarkEnd w:id="43"/>
      <w:r w:rsidR="00073854" w:rsidRPr="00CD761A">
        <w:t xml:space="preserve"> </w:t>
      </w:r>
    </w:p>
    <w:p w14:paraId="71CCD1A1" w14:textId="35E72799" w:rsidR="00604151" w:rsidRPr="00F56540" w:rsidRDefault="00604151" w:rsidP="00604151">
      <w:pPr>
        <w:pStyle w:val="DHHSbody"/>
        <w:rPr>
          <w:rFonts w:cs="Arial"/>
        </w:rPr>
      </w:pPr>
      <w:r w:rsidRPr="00F56540">
        <w:rPr>
          <w:rFonts w:cs="Arial"/>
        </w:rPr>
        <w:t>Whe</w:t>
      </w:r>
      <w:r w:rsidR="00115875">
        <w:rPr>
          <w:rFonts w:cs="Arial"/>
        </w:rPr>
        <w:t>re</w:t>
      </w:r>
      <w:r w:rsidRPr="00F56540">
        <w:rPr>
          <w:rFonts w:cs="Arial"/>
        </w:rPr>
        <w:t xml:space="preserve"> a healthcare worker does not meet vaccination requirements due to a medical contraindication</w:t>
      </w:r>
      <w:r w:rsidR="00827A29">
        <w:rPr>
          <w:rFonts w:cs="Arial"/>
        </w:rPr>
        <w:t xml:space="preserve"> to a vaccine, or in the case of COVID-19 because they have a temporary medical exemption or are participating in an approved COVID-19 vaccine trial,</w:t>
      </w:r>
      <w:r w:rsidRPr="00F56540">
        <w:rPr>
          <w:rFonts w:cs="Arial"/>
        </w:rPr>
        <w:t xml:space="preserve"> healthcare settings should undertake a</w:t>
      </w:r>
      <w:r w:rsidR="000A0416">
        <w:rPr>
          <w:rFonts w:cs="Arial"/>
        </w:rPr>
        <w:t xml:space="preserve">n </w:t>
      </w:r>
      <w:r w:rsidRPr="00F56540">
        <w:rPr>
          <w:rFonts w:cs="Arial"/>
        </w:rPr>
        <w:t xml:space="preserve">assessment </w:t>
      </w:r>
      <w:r w:rsidR="00AC7C88">
        <w:rPr>
          <w:rFonts w:cs="Arial"/>
        </w:rPr>
        <w:t xml:space="preserve">to determine if it is safe for them to continue or start in a </w:t>
      </w:r>
      <w:r w:rsidR="00030654">
        <w:rPr>
          <w:rFonts w:cs="Arial"/>
        </w:rPr>
        <w:t>role</w:t>
      </w:r>
      <w:r w:rsidR="00115875">
        <w:rPr>
          <w:rFonts w:cs="Arial"/>
        </w:rPr>
        <w:t>,</w:t>
      </w:r>
      <w:r w:rsidR="00030654">
        <w:rPr>
          <w:rFonts w:cs="Arial"/>
        </w:rPr>
        <w:t xml:space="preserve"> and the basis on which it is safe for them to do so. </w:t>
      </w:r>
      <w:r w:rsidRPr="00F56540">
        <w:rPr>
          <w:rFonts w:cs="Arial"/>
        </w:rPr>
        <w:t xml:space="preserve"> </w:t>
      </w:r>
    </w:p>
    <w:p w14:paraId="782260D2" w14:textId="3E21D0DD" w:rsidR="00604151" w:rsidRPr="00F56540" w:rsidRDefault="00604151" w:rsidP="00604151">
      <w:pPr>
        <w:pStyle w:val="DHHSbody"/>
        <w:rPr>
          <w:rFonts w:cs="Arial"/>
        </w:rPr>
      </w:pPr>
      <w:r w:rsidRPr="00F56540">
        <w:rPr>
          <w:rFonts w:cs="Arial"/>
        </w:rPr>
        <w:t>The assessment should consider the implications of not being vaccinated on the health and safety of the worker, patients and other workers</w:t>
      </w:r>
      <w:r w:rsidR="00591A7B">
        <w:rPr>
          <w:rFonts w:cs="Arial"/>
        </w:rPr>
        <w:t xml:space="preserve"> and people they interact with as part of their role</w:t>
      </w:r>
      <w:r w:rsidRPr="00F56540">
        <w:rPr>
          <w:rFonts w:cs="Arial"/>
        </w:rPr>
        <w:t>.</w:t>
      </w:r>
      <w:r w:rsidR="00AC10FE">
        <w:rPr>
          <w:rFonts w:cs="Arial"/>
        </w:rPr>
        <w:t xml:space="preserve"> It should </w:t>
      </w:r>
      <w:r w:rsidR="00591A7B">
        <w:rPr>
          <w:rFonts w:cs="Arial"/>
        </w:rPr>
        <w:t xml:space="preserve">consider </w:t>
      </w:r>
      <w:r w:rsidRPr="00F56540">
        <w:rPr>
          <w:rFonts w:cs="Arial"/>
        </w:rPr>
        <w:t>the healthcare worker’s role</w:t>
      </w:r>
      <w:r w:rsidR="00591A7B">
        <w:rPr>
          <w:rFonts w:cs="Arial"/>
        </w:rPr>
        <w:t xml:space="preserve"> and duties</w:t>
      </w:r>
      <w:r w:rsidRPr="00F56540">
        <w:rPr>
          <w:rFonts w:cs="Arial"/>
        </w:rPr>
        <w:t>, their area of work and the patient population</w:t>
      </w:r>
      <w:r w:rsidR="00AC10FE">
        <w:rPr>
          <w:rFonts w:cs="Arial"/>
        </w:rPr>
        <w:t>/s</w:t>
      </w:r>
      <w:r w:rsidRPr="00F56540">
        <w:rPr>
          <w:rFonts w:cs="Arial"/>
        </w:rPr>
        <w:t xml:space="preserve"> with whom they will be in contact. </w:t>
      </w:r>
    </w:p>
    <w:p w14:paraId="2F08CA34" w14:textId="6C77C30A" w:rsidR="00CC29A6" w:rsidRPr="00CC29A6" w:rsidRDefault="00AC10FE" w:rsidP="00CC29A6">
      <w:pPr>
        <w:pStyle w:val="Body"/>
        <w:rPr>
          <w:rFonts w:cs="Arial"/>
          <w:sz w:val="20"/>
        </w:rPr>
      </w:pPr>
      <w:r>
        <w:rPr>
          <w:rFonts w:cs="Arial"/>
          <w:sz w:val="20"/>
        </w:rPr>
        <w:t>A</w:t>
      </w:r>
      <w:r w:rsidR="00CC29A6">
        <w:rPr>
          <w:rFonts w:cs="Arial"/>
          <w:sz w:val="20"/>
        </w:rPr>
        <w:t>ssessments</w:t>
      </w:r>
      <w:r w:rsidR="00CC29A6" w:rsidRPr="00CC29A6">
        <w:rPr>
          <w:rFonts w:cs="Arial"/>
          <w:sz w:val="20"/>
        </w:rPr>
        <w:t xml:space="preserve"> may be considered at a facility, ward</w:t>
      </w:r>
      <w:r w:rsidR="00115875">
        <w:rPr>
          <w:rFonts w:cs="Arial"/>
          <w:sz w:val="20"/>
        </w:rPr>
        <w:t>,</w:t>
      </w:r>
      <w:r w:rsidR="00CC29A6" w:rsidRPr="00CC29A6">
        <w:rPr>
          <w:rFonts w:cs="Arial"/>
          <w:sz w:val="20"/>
        </w:rPr>
        <w:t xml:space="preserve"> department or individual level.</w:t>
      </w:r>
    </w:p>
    <w:p w14:paraId="46374437" w14:textId="2C10BC2C" w:rsidR="00495C2C" w:rsidRPr="00F56540" w:rsidDel="00A707C5" w:rsidRDefault="00D825CB" w:rsidP="00BF3EAE">
      <w:pPr>
        <w:pStyle w:val="DHHSbody"/>
        <w:spacing w:after="240"/>
        <w:rPr>
          <w:rFonts w:cs="Arial"/>
        </w:rPr>
      </w:pPr>
      <w:r w:rsidRPr="0009261C">
        <w:rPr>
          <w:rFonts w:cs="Arial"/>
        </w:rPr>
        <w:t>Risk mitigation strategies should then be agreed upon and implemented</w:t>
      </w:r>
      <w:r w:rsidR="00C86251">
        <w:rPr>
          <w:rFonts w:cs="Arial"/>
        </w:rPr>
        <w:t xml:space="preserve"> after the assessment</w:t>
      </w:r>
      <w:r w:rsidRPr="0009261C">
        <w:rPr>
          <w:rFonts w:cs="Arial"/>
        </w:rPr>
        <w:t xml:space="preserve">, to minimise the risk of acquisition/transmission of vaccine preventable disease to </w:t>
      </w:r>
      <w:r w:rsidR="00CA2CBE" w:rsidRPr="5E085CB6">
        <w:rPr>
          <w:rFonts w:cs="Arial"/>
        </w:rPr>
        <w:t xml:space="preserve">patients, </w:t>
      </w:r>
      <w:r w:rsidRPr="5E085CB6">
        <w:rPr>
          <w:rFonts w:cs="Arial"/>
        </w:rPr>
        <w:t xml:space="preserve">the worker and </w:t>
      </w:r>
      <w:r w:rsidR="00CA2CBE" w:rsidRPr="5E085CB6">
        <w:rPr>
          <w:rFonts w:cs="Arial"/>
        </w:rPr>
        <w:t xml:space="preserve">other </w:t>
      </w:r>
      <w:r w:rsidRPr="5E085CB6">
        <w:rPr>
          <w:rFonts w:cs="Arial"/>
        </w:rPr>
        <w:t>people they interact with.</w:t>
      </w:r>
      <w:r w:rsidRPr="0009261C">
        <w:rPr>
          <w:rFonts w:cs="Arial"/>
        </w:rPr>
        <w:t xml:space="preserve"> </w:t>
      </w:r>
    </w:p>
    <w:p w14:paraId="41CD7FAD" w14:textId="2B6A59E9" w:rsidR="00A707C5" w:rsidRPr="007441D3" w:rsidRDefault="0009261C" w:rsidP="00BF3EAE">
      <w:pPr>
        <w:pStyle w:val="Heading4"/>
      </w:pPr>
      <w:r w:rsidRPr="007441D3">
        <w:t xml:space="preserve">9.2 </w:t>
      </w:r>
      <w:r w:rsidR="00A707C5" w:rsidRPr="007441D3">
        <w:t xml:space="preserve">High risk work areas </w:t>
      </w:r>
    </w:p>
    <w:p w14:paraId="44156905" w14:textId="38B740D8" w:rsidR="002205D2" w:rsidRPr="00F56540" w:rsidRDefault="002205D2" w:rsidP="00BF3EAE">
      <w:pPr>
        <w:pStyle w:val="DHHSbody"/>
        <w:spacing w:after="240"/>
        <w:rPr>
          <w:rFonts w:cs="Arial"/>
        </w:rPr>
      </w:pPr>
      <w:bookmarkStart w:id="45" w:name="_Hlk43811777"/>
      <w:r w:rsidRPr="00F56540">
        <w:rPr>
          <w:rFonts w:cs="Arial"/>
        </w:rPr>
        <w:t xml:space="preserve">Certain diseases </w:t>
      </w:r>
      <w:r w:rsidR="00AC10FE">
        <w:rPr>
          <w:rFonts w:cs="Arial"/>
        </w:rPr>
        <w:t>carry</w:t>
      </w:r>
      <w:r w:rsidRPr="00F56540">
        <w:rPr>
          <w:rFonts w:cs="Arial"/>
        </w:rPr>
        <w:t xml:space="preserve"> significantly increased risk </w:t>
      </w:r>
      <w:r w:rsidR="00AC10FE">
        <w:rPr>
          <w:rFonts w:cs="Arial"/>
        </w:rPr>
        <w:t xml:space="preserve">to </w:t>
      </w:r>
      <w:r w:rsidRPr="00F56540">
        <w:rPr>
          <w:rFonts w:cs="Arial"/>
        </w:rPr>
        <w:t xml:space="preserve">some patient populations. </w:t>
      </w:r>
      <w:r w:rsidR="00B72494" w:rsidRPr="00F56540">
        <w:rPr>
          <w:rFonts w:cs="Arial"/>
        </w:rPr>
        <w:t xml:space="preserve">Additionally, some work areas are likely to present a higher risk of </w:t>
      </w:r>
      <w:r w:rsidR="004B4574" w:rsidRPr="00F56540">
        <w:rPr>
          <w:rFonts w:cs="Arial"/>
        </w:rPr>
        <w:t>certain disease presentation</w:t>
      </w:r>
      <w:r w:rsidR="00581735" w:rsidRPr="00F56540">
        <w:rPr>
          <w:rFonts w:cs="Arial"/>
        </w:rPr>
        <w:t>, posing a</w:t>
      </w:r>
      <w:r w:rsidR="004B4574" w:rsidRPr="00F56540">
        <w:rPr>
          <w:rFonts w:cs="Arial"/>
        </w:rPr>
        <w:t xml:space="preserve"> higher</w:t>
      </w:r>
      <w:r w:rsidR="00581735" w:rsidRPr="00F56540">
        <w:rPr>
          <w:rFonts w:cs="Arial"/>
        </w:rPr>
        <w:t xml:space="preserve"> risk to unvaccinated </w:t>
      </w:r>
      <w:r w:rsidR="00DE24DD">
        <w:rPr>
          <w:rFonts w:cs="Arial"/>
        </w:rPr>
        <w:t xml:space="preserve">or partially vaccinated </w:t>
      </w:r>
      <w:r w:rsidR="00581735" w:rsidRPr="00F56540">
        <w:rPr>
          <w:rFonts w:cs="Arial"/>
        </w:rPr>
        <w:t xml:space="preserve">workers. </w:t>
      </w:r>
      <w:r w:rsidRPr="00F56540">
        <w:rPr>
          <w:rFonts w:cs="Arial"/>
        </w:rPr>
        <w:t>As a result</w:t>
      </w:r>
      <w:r w:rsidR="00246B2B" w:rsidRPr="00F56540">
        <w:rPr>
          <w:rFonts w:cs="Arial"/>
        </w:rPr>
        <w:t>,</w:t>
      </w:r>
      <w:r w:rsidRPr="00F56540">
        <w:rPr>
          <w:rFonts w:cs="Arial"/>
        </w:rPr>
        <w:t xml:space="preserve"> some </w:t>
      </w:r>
      <w:r w:rsidR="00C86251">
        <w:rPr>
          <w:rFonts w:cs="Arial"/>
        </w:rPr>
        <w:t>high-risk</w:t>
      </w:r>
      <w:r w:rsidR="00B11BF2">
        <w:rPr>
          <w:rFonts w:cs="Arial"/>
        </w:rPr>
        <w:t xml:space="preserve"> </w:t>
      </w:r>
      <w:r w:rsidRPr="00F56540">
        <w:rPr>
          <w:rFonts w:cs="Arial"/>
        </w:rPr>
        <w:t xml:space="preserve">work areas need </w:t>
      </w:r>
      <w:r w:rsidR="00B11BF2">
        <w:rPr>
          <w:rFonts w:cs="Arial"/>
        </w:rPr>
        <w:t xml:space="preserve">additional </w:t>
      </w:r>
      <w:r w:rsidRPr="00F56540">
        <w:rPr>
          <w:rFonts w:cs="Arial"/>
        </w:rPr>
        <w:t>consider</w:t>
      </w:r>
      <w:r w:rsidR="00B11BF2">
        <w:rPr>
          <w:rFonts w:cs="Arial"/>
        </w:rPr>
        <w:t>ation</w:t>
      </w:r>
      <w:r w:rsidRPr="00F56540">
        <w:rPr>
          <w:rFonts w:cs="Arial"/>
        </w:rPr>
        <w:t xml:space="preserve"> </w:t>
      </w:r>
      <w:r w:rsidR="00B11BF2">
        <w:rPr>
          <w:rFonts w:cs="Arial"/>
        </w:rPr>
        <w:t xml:space="preserve">when </w:t>
      </w:r>
      <w:r w:rsidR="00F155A8">
        <w:rPr>
          <w:rFonts w:cs="Arial"/>
        </w:rPr>
        <w:t xml:space="preserve">considering </w:t>
      </w:r>
      <w:r w:rsidRPr="00F56540">
        <w:rPr>
          <w:rFonts w:cs="Arial"/>
        </w:rPr>
        <w:t xml:space="preserve">the </w:t>
      </w:r>
      <w:r w:rsidR="00F155A8">
        <w:rPr>
          <w:rFonts w:cs="Arial"/>
        </w:rPr>
        <w:t xml:space="preserve">role </w:t>
      </w:r>
      <w:r w:rsidRPr="00F56540">
        <w:rPr>
          <w:rFonts w:cs="Arial"/>
        </w:rPr>
        <w:t>of a</w:t>
      </w:r>
      <w:r w:rsidR="00C86251">
        <w:rPr>
          <w:rFonts w:cs="Arial"/>
        </w:rPr>
        <w:t>n un</w:t>
      </w:r>
      <w:r w:rsidR="00F531B3" w:rsidRPr="00F56540">
        <w:rPr>
          <w:rFonts w:cs="Arial"/>
        </w:rPr>
        <w:t xml:space="preserve">vaccinated </w:t>
      </w:r>
      <w:r w:rsidR="0037104A">
        <w:rPr>
          <w:rFonts w:cs="Arial"/>
        </w:rPr>
        <w:t xml:space="preserve">or partially vaccinated </w:t>
      </w:r>
      <w:r w:rsidRPr="00F56540">
        <w:rPr>
          <w:rFonts w:cs="Arial"/>
        </w:rPr>
        <w:t xml:space="preserve">healthcare worker. </w:t>
      </w:r>
    </w:p>
    <w:p w14:paraId="6BA7D2CD" w14:textId="59896D4B" w:rsidR="00F453CF" w:rsidRPr="00597CE3" w:rsidRDefault="004C47AA" w:rsidP="003375B9">
      <w:pPr>
        <w:pStyle w:val="Heading2"/>
        <w:spacing w:before="240"/>
        <w:rPr>
          <w:rFonts w:cs="Arial"/>
          <w:b w:val="0"/>
          <w:sz w:val="24"/>
          <w:szCs w:val="24"/>
        </w:rPr>
      </w:pPr>
      <w:bookmarkStart w:id="46" w:name="_Toc116457932"/>
      <w:r w:rsidRPr="00597CE3">
        <w:rPr>
          <w:sz w:val="24"/>
          <w:szCs w:val="24"/>
        </w:rPr>
        <w:t>Table 5. High risk work areas</w:t>
      </w:r>
      <w:bookmarkEnd w:id="46"/>
      <w:r w:rsidRPr="00597CE3">
        <w:rPr>
          <w:sz w:val="24"/>
          <w:szCs w:val="24"/>
        </w:rPr>
        <w:t xml:space="preserve"> </w:t>
      </w:r>
    </w:p>
    <w:tbl>
      <w:tblPr>
        <w:tblStyle w:val="TableGrid"/>
        <w:tblW w:w="0" w:type="auto"/>
        <w:tblLook w:val="04A0" w:firstRow="1" w:lastRow="0" w:firstColumn="1" w:lastColumn="0" w:noHBand="0" w:noVBand="1"/>
      </w:tblPr>
      <w:tblGrid>
        <w:gridCol w:w="1838"/>
        <w:gridCol w:w="7450"/>
      </w:tblGrid>
      <w:tr w:rsidR="004B4574" w:rsidRPr="00F56540" w14:paraId="70E65892" w14:textId="77777777" w:rsidTr="00101B7A">
        <w:tc>
          <w:tcPr>
            <w:tcW w:w="1838" w:type="dxa"/>
            <w:shd w:val="clear" w:color="auto" w:fill="DBE5F1" w:themeFill="accent1" w:themeFillTint="33"/>
          </w:tcPr>
          <w:bookmarkEnd w:id="45"/>
          <w:p w14:paraId="5135BE97" w14:textId="14680061" w:rsidR="004B4574" w:rsidRPr="00E51658" w:rsidRDefault="004B4574" w:rsidP="002205D2">
            <w:pPr>
              <w:pStyle w:val="DHHSbody"/>
              <w:rPr>
                <w:rFonts w:cs="Arial"/>
                <w:b/>
                <w:bCs/>
              </w:rPr>
            </w:pPr>
            <w:r w:rsidRPr="00E51658">
              <w:rPr>
                <w:rFonts w:cs="Arial"/>
                <w:b/>
                <w:bCs/>
              </w:rPr>
              <w:t>Disease</w:t>
            </w:r>
          </w:p>
        </w:tc>
        <w:tc>
          <w:tcPr>
            <w:tcW w:w="7450" w:type="dxa"/>
            <w:shd w:val="clear" w:color="auto" w:fill="DBE5F1" w:themeFill="accent1" w:themeFillTint="33"/>
          </w:tcPr>
          <w:p w14:paraId="15DD9694" w14:textId="771F19C6" w:rsidR="004B4574" w:rsidRPr="00E51658" w:rsidRDefault="004B4574" w:rsidP="002205D2">
            <w:pPr>
              <w:pStyle w:val="DHHSbody"/>
              <w:rPr>
                <w:rFonts w:cs="Arial"/>
                <w:b/>
                <w:bCs/>
              </w:rPr>
            </w:pPr>
            <w:r w:rsidRPr="00E51658">
              <w:rPr>
                <w:rFonts w:cs="Arial"/>
                <w:b/>
                <w:bCs/>
              </w:rPr>
              <w:t>High risk work areas</w:t>
            </w:r>
          </w:p>
        </w:tc>
      </w:tr>
      <w:tr w:rsidR="004B4574" w:rsidRPr="00F56540" w14:paraId="47AA85A3" w14:textId="77777777" w:rsidTr="00E51658">
        <w:tc>
          <w:tcPr>
            <w:tcW w:w="1838" w:type="dxa"/>
          </w:tcPr>
          <w:p w14:paraId="4FE0CAB4" w14:textId="25452900" w:rsidR="004B4574" w:rsidRPr="00F56540" w:rsidRDefault="00BD3A1A" w:rsidP="002205D2">
            <w:pPr>
              <w:pStyle w:val="DHHSbody"/>
              <w:rPr>
                <w:rFonts w:cs="Arial"/>
              </w:rPr>
            </w:pPr>
            <w:r w:rsidRPr="00F56540">
              <w:rPr>
                <w:rFonts w:cs="Arial"/>
              </w:rPr>
              <w:t>Influenza</w:t>
            </w:r>
            <w:r w:rsidR="00320E0A">
              <w:rPr>
                <w:rFonts w:cs="Arial"/>
              </w:rPr>
              <w:t xml:space="preserve"> and COVID-19</w:t>
            </w:r>
          </w:p>
        </w:tc>
        <w:tc>
          <w:tcPr>
            <w:tcW w:w="7450" w:type="dxa"/>
          </w:tcPr>
          <w:p w14:paraId="15DFE8DA" w14:textId="77777777" w:rsidR="00BD3A1A" w:rsidRPr="00F56540" w:rsidRDefault="00BD3A1A" w:rsidP="00BD3A1A">
            <w:pPr>
              <w:pStyle w:val="DHHSbody"/>
              <w:numPr>
                <w:ilvl w:val="0"/>
                <w:numId w:val="9"/>
              </w:numPr>
              <w:spacing w:after="0"/>
              <w:rPr>
                <w:rFonts w:cs="Arial"/>
              </w:rPr>
            </w:pPr>
            <w:r w:rsidRPr="00F56540">
              <w:rPr>
                <w:rFonts w:cs="Arial"/>
              </w:rPr>
              <w:t xml:space="preserve">antenatal, perinatal and post-natal areas including labour wards and recovery rooms </w:t>
            </w:r>
          </w:p>
          <w:p w14:paraId="49F4A0FA" w14:textId="77777777" w:rsidR="00BD3A1A" w:rsidRPr="00F56540" w:rsidRDefault="00BD3A1A" w:rsidP="00BD3A1A">
            <w:pPr>
              <w:pStyle w:val="DHHSbody"/>
              <w:numPr>
                <w:ilvl w:val="0"/>
                <w:numId w:val="9"/>
              </w:numPr>
              <w:spacing w:after="0"/>
              <w:rPr>
                <w:rFonts w:cs="Arial"/>
              </w:rPr>
            </w:pPr>
            <w:r w:rsidRPr="00F56540">
              <w:rPr>
                <w:rFonts w:cs="Arial"/>
              </w:rPr>
              <w:t>neonatal intensive care units and special care units</w:t>
            </w:r>
          </w:p>
          <w:p w14:paraId="48D06FFC" w14:textId="77777777" w:rsidR="00BD3A1A" w:rsidRPr="00F56540" w:rsidRDefault="00BD3A1A" w:rsidP="00BD3A1A">
            <w:pPr>
              <w:pStyle w:val="DHHSbody"/>
              <w:numPr>
                <w:ilvl w:val="0"/>
                <w:numId w:val="9"/>
              </w:numPr>
              <w:spacing w:after="0"/>
              <w:rPr>
                <w:rFonts w:cs="Arial"/>
              </w:rPr>
            </w:pPr>
            <w:r w:rsidRPr="00F56540">
              <w:rPr>
                <w:rFonts w:cs="Arial"/>
              </w:rPr>
              <w:t xml:space="preserve">paediatric intensive care units </w:t>
            </w:r>
          </w:p>
          <w:p w14:paraId="7F64F63A" w14:textId="77777777" w:rsidR="00BD3A1A" w:rsidRPr="00F56540" w:rsidRDefault="00BD3A1A" w:rsidP="00BD3A1A">
            <w:pPr>
              <w:pStyle w:val="DHHSbody"/>
              <w:numPr>
                <w:ilvl w:val="0"/>
                <w:numId w:val="9"/>
              </w:numPr>
              <w:spacing w:after="0"/>
              <w:rPr>
                <w:rFonts w:cs="Arial"/>
              </w:rPr>
            </w:pPr>
            <w:r w:rsidRPr="00F56540">
              <w:rPr>
                <w:rFonts w:cs="Arial"/>
              </w:rPr>
              <w:t xml:space="preserve">transplant and oncology wards </w:t>
            </w:r>
          </w:p>
          <w:p w14:paraId="5F470D8C" w14:textId="77777777" w:rsidR="00BD3A1A" w:rsidRPr="00F56540" w:rsidRDefault="00BD3A1A" w:rsidP="00BD3A1A">
            <w:pPr>
              <w:pStyle w:val="DHHSbody"/>
              <w:numPr>
                <w:ilvl w:val="0"/>
                <w:numId w:val="9"/>
              </w:numPr>
              <w:spacing w:after="0"/>
              <w:rPr>
                <w:rFonts w:cs="Arial"/>
              </w:rPr>
            </w:pPr>
            <w:r w:rsidRPr="00F56540">
              <w:rPr>
                <w:rFonts w:cs="Arial"/>
              </w:rPr>
              <w:t>haemodialysis units</w:t>
            </w:r>
          </w:p>
          <w:p w14:paraId="43DFA513" w14:textId="77777777" w:rsidR="00BD3A1A" w:rsidRPr="00F56540" w:rsidRDefault="00BD3A1A" w:rsidP="00BD3A1A">
            <w:pPr>
              <w:pStyle w:val="DHHSbody"/>
              <w:numPr>
                <w:ilvl w:val="0"/>
                <w:numId w:val="9"/>
              </w:numPr>
              <w:spacing w:after="0"/>
              <w:rPr>
                <w:rFonts w:cs="Arial"/>
              </w:rPr>
            </w:pPr>
            <w:r w:rsidRPr="00F56540">
              <w:rPr>
                <w:rFonts w:cs="Arial"/>
              </w:rPr>
              <w:t>respiratory wards</w:t>
            </w:r>
          </w:p>
          <w:p w14:paraId="75CCB559" w14:textId="77777777" w:rsidR="00BD3A1A" w:rsidRPr="00F56540" w:rsidRDefault="00BD3A1A" w:rsidP="00BD3A1A">
            <w:pPr>
              <w:pStyle w:val="DHHSbody"/>
              <w:numPr>
                <w:ilvl w:val="0"/>
                <w:numId w:val="9"/>
              </w:numPr>
              <w:spacing w:after="0"/>
              <w:rPr>
                <w:rFonts w:cs="Arial"/>
              </w:rPr>
            </w:pPr>
            <w:r w:rsidRPr="00F56540">
              <w:rPr>
                <w:rFonts w:cs="Arial"/>
              </w:rPr>
              <w:t>emergency departments</w:t>
            </w:r>
          </w:p>
          <w:p w14:paraId="4956034E" w14:textId="4C637175" w:rsidR="00BD3A1A" w:rsidRPr="00F56540" w:rsidRDefault="00BD3A1A" w:rsidP="00BD3A1A">
            <w:pPr>
              <w:pStyle w:val="DHHSbody"/>
              <w:numPr>
                <w:ilvl w:val="0"/>
                <w:numId w:val="9"/>
              </w:numPr>
              <w:spacing w:after="0"/>
              <w:rPr>
                <w:rFonts w:cs="Arial"/>
              </w:rPr>
            </w:pPr>
            <w:r w:rsidRPr="00F56540">
              <w:rPr>
                <w:rFonts w:cs="Arial"/>
              </w:rPr>
              <w:t>intensive care units</w:t>
            </w:r>
          </w:p>
          <w:p w14:paraId="7DCD4A5B" w14:textId="6DEECE01" w:rsidR="004B4574" w:rsidRPr="00F56540" w:rsidRDefault="00BD3A1A" w:rsidP="00E51658">
            <w:pPr>
              <w:pStyle w:val="DHHSbody"/>
              <w:numPr>
                <w:ilvl w:val="0"/>
                <w:numId w:val="9"/>
              </w:numPr>
              <w:rPr>
                <w:rFonts w:cs="Arial"/>
              </w:rPr>
            </w:pPr>
            <w:r w:rsidRPr="00F56540">
              <w:rPr>
                <w:rFonts w:cs="Arial"/>
              </w:rPr>
              <w:t>aged care wards and residential aged care settings.</w:t>
            </w:r>
          </w:p>
        </w:tc>
      </w:tr>
    </w:tbl>
    <w:p w14:paraId="6F0AB4C5" w14:textId="151AC38E" w:rsidR="00F41AC6" w:rsidRPr="00F56540" w:rsidRDefault="002205D2" w:rsidP="00BF3EAE">
      <w:pPr>
        <w:pStyle w:val="DHHSbody"/>
        <w:spacing w:before="240" w:after="240"/>
        <w:rPr>
          <w:rFonts w:cs="Arial"/>
        </w:rPr>
      </w:pPr>
      <w:r w:rsidRPr="00F56540">
        <w:rPr>
          <w:rFonts w:cs="Arial"/>
        </w:rPr>
        <w:t xml:space="preserve">Having considered the risks to </w:t>
      </w:r>
      <w:r w:rsidR="429E6245" w:rsidRPr="02CCA15E">
        <w:rPr>
          <w:rFonts w:cs="Arial"/>
        </w:rPr>
        <w:t>un</w:t>
      </w:r>
      <w:r w:rsidR="2C31F0D0" w:rsidRPr="02CCA15E">
        <w:rPr>
          <w:rFonts w:cs="Arial"/>
        </w:rPr>
        <w:t>vaccinated</w:t>
      </w:r>
      <w:r w:rsidR="13FE3F07" w:rsidRPr="02CCA15E">
        <w:rPr>
          <w:rFonts w:cs="Arial"/>
        </w:rPr>
        <w:t xml:space="preserve"> or partially </w:t>
      </w:r>
      <w:r w:rsidR="00784CF8" w:rsidRPr="00F56540">
        <w:rPr>
          <w:rFonts w:cs="Arial"/>
        </w:rPr>
        <w:t xml:space="preserve">vaccinated </w:t>
      </w:r>
      <w:r w:rsidRPr="00F56540">
        <w:rPr>
          <w:rFonts w:cs="Arial"/>
        </w:rPr>
        <w:t>healthcare workers and the patients they care for, options for risk management</w:t>
      </w:r>
      <w:r w:rsidR="00D844A0" w:rsidRPr="00F56540">
        <w:rPr>
          <w:rFonts w:cs="Arial"/>
        </w:rPr>
        <w:t xml:space="preserve"> may</w:t>
      </w:r>
      <w:r w:rsidRPr="00F56540">
        <w:rPr>
          <w:rFonts w:cs="Arial"/>
        </w:rPr>
        <w:t xml:space="preserve"> include redeployment of the healthcare worker from areas of higher risk to alternative areas of the health service with lower risk</w:t>
      </w:r>
      <w:r w:rsidR="00926FB1">
        <w:rPr>
          <w:rFonts w:cs="Arial"/>
        </w:rPr>
        <w:t xml:space="preserve"> (including working from home/remotely)</w:t>
      </w:r>
      <w:r w:rsidRPr="00F56540">
        <w:rPr>
          <w:rFonts w:cs="Arial"/>
        </w:rPr>
        <w:t>, alternative duties</w:t>
      </w:r>
      <w:r w:rsidR="00181F8C" w:rsidRPr="00F56540">
        <w:rPr>
          <w:rFonts w:cs="Arial"/>
        </w:rPr>
        <w:t>, additional infection control measures,</w:t>
      </w:r>
      <w:r w:rsidRPr="00F56540">
        <w:rPr>
          <w:rFonts w:cs="Arial"/>
        </w:rPr>
        <w:t xml:space="preserve"> or </w:t>
      </w:r>
      <w:r w:rsidR="00926FB1">
        <w:rPr>
          <w:rFonts w:cs="Arial"/>
        </w:rPr>
        <w:t xml:space="preserve">other </w:t>
      </w:r>
      <w:r w:rsidRPr="00F56540">
        <w:rPr>
          <w:rFonts w:cs="Arial"/>
        </w:rPr>
        <w:t xml:space="preserve">work restrictions as </w:t>
      </w:r>
      <w:r w:rsidR="00481918">
        <w:rPr>
          <w:rFonts w:cs="Arial"/>
        </w:rPr>
        <w:t xml:space="preserve">the health service deems </w:t>
      </w:r>
      <w:r w:rsidRPr="00F56540">
        <w:rPr>
          <w:rFonts w:cs="Arial"/>
        </w:rPr>
        <w:t xml:space="preserve">appropriate. </w:t>
      </w:r>
    </w:p>
    <w:p w14:paraId="71D08CF3" w14:textId="530AFCD4" w:rsidR="002205D2" w:rsidRPr="00F56540" w:rsidRDefault="00EC0FDA" w:rsidP="002D1096">
      <w:pPr>
        <w:pStyle w:val="DHHSbody"/>
        <w:rPr>
          <w:rFonts w:cs="Arial"/>
        </w:rPr>
      </w:pPr>
      <w:r w:rsidRPr="00F56540">
        <w:rPr>
          <w:rFonts w:cs="Arial"/>
        </w:rPr>
        <w:t xml:space="preserve">Risk </w:t>
      </w:r>
      <w:r w:rsidR="00BF1E01" w:rsidRPr="00F56540">
        <w:rPr>
          <w:rFonts w:cs="Arial"/>
        </w:rPr>
        <w:t>management</w:t>
      </w:r>
      <w:r w:rsidRPr="00F56540">
        <w:rPr>
          <w:rFonts w:cs="Arial"/>
        </w:rPr>
        <w:t xml:space="preserve"> strategies </w:t>
      </w:r>
      <w:r w:rsidR="00F920A0" w:rsidRPr="00F56540">
        <w:rPr>
          <w:rFonts w:cs="Arial"/>
        </w:rPr>
        <w:t>may be considered at a facility, ward</w:t>
      </w:r>
      <w:r w:rsidR="00481918">
        <w:rPr>
          <w:rFonts w:cs="Arial"/>
        </w:rPr>
        <w:t xml:space="preserve">, </w:t>
      </w:r>
      <w:r w:rsidR="00F920A0" w:rsidRPr="00F56540">
        <w:rPr>
          <w:rFonts w:cs="Arial"/>
        </w:rPr>
        <w:t>department or individual level.</w:t>
      </w:r>
    </w:p>
    <w:p w14:paraId="6D742312" w14:textId="67922F80" w:rsidR="00882B8C" w:rsidRDefault="002205D2" w:rsidP="00BF3EAE">
      <w:pPr>
        <w:pStyle w:val="DHHSbody"/>
        <w:spacing w:after="240"/>
        <w:rPr>
          <w:rFonts w:cs="Arial"/>
        </w:rPr>
      </w:pPr>
      <w:r w:rsidRPr="00F56540">
        <w:rPr>
          <w:rFonts w:cs="Arial"/>
        </w:rPr>
        <w:t xml:space="preserve">If there is difficulty in determining an acceptable outcome following a risk assessment for a current employee, it is recommended that the healthcare setting take appropriate measures such as convening an </w:t>
      </w:r>
      <w:r w:rsidR="00026568" w:rsidRPr="00F56540">
        <w:rPr>
          <w:rFonts w:cs="Arial"/>
        </w:rPr>
        <w:t xml:space="preserve">internal </w:t>
      </w:r>
      <w:r w:rsidRPr="00F56540">
        <w:rPr>
          <w:rFonts w:cs="Arial"/>
        </w:rPr>
        <w:t xml:space="preserve">expert group to recommend a course of action.  An expert group may include an infection control </w:t>
      </w:r>
      <w:r w:rsidR="003C202D" w:rsidRPr="00F56540">
        <w:rPr>
          <w:rFonts w:cs="Arial"/>
        </w:rPr>
        <w:t xml:space="preserve">or occupational health and safety </w:t>
      </w:r>
      <w:r w:rsidRPr="00F56540">
        <w:rPr>
          <w:rFonts w:cs="Arial"/>
        </w:rPr>
        <w:t>specialist, an infectious diseases specialist</w:t>
      </w:r>
      <w:r w:rsidR="00997D4A" w:rsidRPr="00F56540">
        <w:rPr>
          <w:rFonts w:cs="Arial"/>
        </w:rPr>
        <w:t>,</w:t>
      </w:r>
      <w:r w:rsidRPr="00F56540">
        <w:rPr>
          <w:rFonts w:cs="Arial"/>
        </w:rPr>
        <w:t xml:space="preserve"> and </w:t>
      </w:r>
      <w:r w:rsidR="00481918">
        <w:rPr>
          <w:rFonts w:cs="Arial"/>
        </w:rPr>
        <w:t xml:space="preserve">any </w:t>
      </w:r>
      <w:r w:rsidRPr="00F56540">
        <w:rPr>
          <w:rFonts w:cs="Arial"/>
        </w:rPr>
        <w:t xml:space="preserve">relevant health setting executive staff. All steps in determining an outcome should </w:t>
      </w:r>
      <w:r w:rsidR="00104CD4" w:rsidRPr="00F56540">
        <w:rPr>
          <w:rFonts w:cs="Arial"/>
        </w:rPr>
        <w:t>occur in consultation with the healthcare worker</w:t>
      </w:r>
      <w:r w:rsidR="006504B2" w:rsidRPr="00F56540">
        <w:rPr>
          <w:rFonts w:cs="Arial"/>
        </w:rPr>
        <w:t xml:space="preserve"> </w:t>
      </w:r>
      <w:r w:rsidR="006504B2" w:rsidRPr="00F56540">
        <w:rPr>
          <w:rFonts w:cs="Arial"/>
        </w:rPr>
        <w:lastRenderedPageBreak/>
        <w:t>and their representative, if any,</w:t>
      </w:r>
      <w:r w:rsidR="00104CD4" w:rsidRPr="00F56540">
        <w:rPr>
          <w:rFonts w:cs="Arial"/>
        </w:rPr>
        <w:t xml:space="preserve"> </w:t>
      </w:r>
      <w:r w:rsidR="00686B59" w:rsidRPr="00F56540">
        <w:rPr>
          <w:rFonts w:cs="Arial"/>
        </w:rPr>
        <w:t xml:space="preserve">and relevant </w:t>
      </w:r>
      <w:r w:rsidR="00C926E0" w:rsidRPr="00F56540">
        <w:rPr>
          <w:rFonts w:cs="Arial"/>
        </w:rPr>
        <w:t>health and safety representatives</w:t>
      </w:r>
      <w:r w:rsidR="006504B2" w:rsidRPr="00F56540">
        <w:rPr>
          <w:rFonts w:cs="Arial"/>
        </w:rPr>
        <w:t xml:space="preserve">. </w:t>
      </w:r>
      <w:r w:rsidR="00C86251">
        <w:rPr>
          <w:rFonts w:cs="Arial"/>
        </w:rPr>
        <w:t>All steps</w:t>
      </w:r>
      <w:r w:rsidR="00C86251" w:rsidRPr="00F56540">
        <w:rPr>
          <w:rFonts w:cs="Arial"/>
        </w:rPr>
        <w:t xml:space="preserve"> </w:t>
      </w:r>
      <w:r w:rsidR="006504B2" w:rsidRPr="00F56540">
        <w:rPr>
          <w:rFonts w:cs="Arial"/>
        </w:rPr>
        <w:t xml:space="preserve">should </w:t>
      </w:r>
      <w:r w:rsidRPr="00F56540">
        <w:rPr>
          <w:rFonts w:cs="Arial"/>
        </w:rPr>
        <w:t xml:space="preserve">be appropriately documented. </w:t>
      </w:r>
    </w:p>
    <w:p w14:paraId="68BC316C" w14:textId="707F9685" w:rsidR="002205D2" w:rsidRPr="00F56540" w:rsidRDefault="00926FB1" w:rsidP="00BF3EAE">
      <w:pPr>
        <w:pStyle w:val="DHHSbody"/>
        <w:spacing w:after="240"/>
        <w:rPr>
          <w:rFonts w:cs="Arial"/>
        </w:rPr>
      </w:pPr>
      <w:r>
        <w:rPr>
          <w:rFonts w:cs="Arial"/>
        </w:rPr>
        <w:t xml:space="preserve">Employees should be afforded fair process in all proceedings related to terms and conditions of </w:t>
      </w:r>
      <w:r w:rsidR="00C86251">
        <w:rPr>
          <w:rFonts w:cs="Arial"/>
        </w:rPr>
        <w:t xml:space="preserve">their </w:t>
      </w:r>
      <w:r>
        <w:rPr>
          <w:rFonts w:cs="Arial"/>
        </w:rPr>
        <w:t xml:space="preserve">employment, and </w:t>
      </w:r>
      <w:r w:rsidR="003379AE">
        <w:rPr>
          <w:rFonts w:cs="Arial"/>
        </w:rPr>
        <w:t xml:space="preserve">it is the responsibility of </w:t>
      </w:r>
      <w:r>
        <w:rPr>
          <w:rFonts w:cs="Arial"/>
        </w:rPr>
        <w:t xml:space="preserve">health services </w:t>
      </w:r>
      <w:r w:rsidR="003379AE">
        <w:rPr>
          <w:rFonts w:cs="Arial"/>
        </w:rPr>
        <w:t xml:space="preserve">to </w:t>
      </w:r>
      <w:r w:rsidR="006E3934">
        <w:rPr>
          <w:rFonts w:cs="Arial"/>
        </w:rPr>
        <w:t xml:space="preserve">comply with all </w:t>
      </w:r>
      <w:r w:rsidR="00C86251">
        <w:rPr>
          <w:rFonts w:cs="Arial"/>
        </w:rPr>
        <w:t xml:space="preserve">applicable </w:t>
      </w:r>
      <w:r>
        <w:rPr>
          <w:rFonts w:cs="Arial"/>
        </w:rPr>
        <w:t xml:space="preserve">internal policies, </w:t>
      </w:r>
      <w:r w:rsidR="003379AE">
        <w:rPr>
          <w:rFonts w:cs="Arial"/>
        </w:rPr>
        <w:t>workplace agreements and employment law</w:t>
      </w:r>
      <w:r w:rsidR="00C86251">
        <w:rPr>
          <w:rFonts w:cs="Arial"/>
        </w:rPr>
        <w:t>.</w:t>
      </w:r>
      <w:r w:rsidR="003379AE">
        <w:rPr>
          <w:rFonts w:cs="Arial"/>
        </w:rPr>
        <w:t xml:space="preserve"> </w:t>
      </w:r>
    </w:p>
    <w:p w14:paraId="16C0F2D9" w14:textId="260AC128" w:rsidR="002205D2" w:rsidRPr="00F56540" w:rsidRDefault="002205D2" w:rsidP="00C42188">
      <w:pPr>
        <w:pStyle w:val="DHHSbody"/>
        <w:spacing w:after="360"/>
        <w:rPr>
          <w:rFonts w:cs="Arial"/>
        </w:rPr>
      </w:pPr>
      <w:r w:rsidRPr="00F56540">
        <w:rPr>
          <w:rFonts w:cs="Arial"/>
        </w:rPr>
        <w:t>Healthcare workers that are unable to comply due to a medical contraindication</w:t>
      </w:r>
      <w:r w:rsidR="007C3F99">
        <w:rPr>
          <w:rFonts w:cs="Arial"/>
        </w:rPr>
        <w:t xml:space="preserve"> </w:t>
      </w:r>
      <w:r w:rsidR="007C3F99" w:rsidRPr="00F56540">
        <w:rPr>
          <w:rFonts w:cs="Arial"/>
        </w:rPr>
        <w:t>to any vaccine</w:t>
      </w:r>
      <w:r w:rsidR="00882B8C">
        <w:rPr>
          <w:rFonts w:cs="Arial"/>
        </w:rPr>
        <w:t>, temporary medical exemption (COVID-19</w:t>
      </w:r>
      <w:r w:rsidR="00C86251">
        <w:rPr>
          <w:rFonts w:cs="Arial"/>
        </w:rPr>
        <w:t xml:space="preserve"> vaccine only</w:t>
      </w:r>
      <w:r w:rsidR="00882B8C">
        <w:rPr>
          <w:rFonts w:cs="Arial"/>
        </w:rPr>
        <w:t>) or participation in an approved COVID-19 vaccine trial</w:t>
      </w:r>
      <w:r w:rsidRPr="00F56540">
        <w:rPr>
          <w:rFonts w:cs="Arial"/>
        </w:rPr>
        <w:t xml:space="preserve"> </w:t>
      </w:r>
      <w:r w:rsidR="007C3F99">
        <w:rPr>
          <w:rFonts w:cs="Arial"/>
        </w:rPr>
        <w:t xml:space="preserve">(COVID-19 vaccine only) </w:t>
      </w:r>
      <w:r w:rsidRPr="00E51658">
        <w:rPr>
          <w:rFonts w:cs="Arial"/>
          <w:b/>
          <w:bCs/>
        </w:rPr>
        <w:t>will not</w:t>
      </w:r>
      <w:r w:rsidRPr="00F56540">
        <w:rPr>
          <w:rFonts w:cs="Arial"/>
        </w:rPr>
        <w:t xml:space="preserve"> have their employment terminated</w:t>
      </w:r>
      <w:r w:rsidR="00882B8C">
        <w:rPr>
          <w:rFonts w:cs="Arial"/>
        </w:rPr>
        <w:t xml:space="preserve">, </w:t>
      </w:r>
      <w:r w:rsidR="00882B8C" w:rsidRPr="00E51658">
        <w:rPr>
          <w:rFonts w:cs="Arial"/>
          <w:b/>
          <w:bCs/>
        </w:rPr>
        <w:t>nor be discriminated against</w:t>
      </w:r>
      <w:r w:rsidR="00882B8C">
        <w:rPr>
          <w:rFonts w:cs="Arial"/>
        </w:rPr>
        <w:t xml:space="preserve"> when seeking new employment</w:t>
      </w:r>
      <w:r w:rsidRPr="00F56540">
        <w:rPr>
          <w:rFonts w:cs="Arial"/>
        </w:rPr>
        <w:t>.</w:t>
      </w:r>
    </w:p>
    <w:p w14:paraId="37518FD6" w14:textId="4F178FD5" w:rsidR="002205D2" w:rsidRPr="0009261C" w:rsidRDefault="0009261C" w:rsidP="00BF3EAE">
      <w:pPr>
        <w:pStyle w:val="Heading4"/>
      </w:pPr>
      <w:bookmarkStart w:id="47" w:name="_Toc46399892"/>
      <w:bookmarkStart w:id="48" w:name="_Toc113362855"/>
      <w:r w:rsidRPr="0009261C">
        <w:t xml:space="preserve">9.3 </w:t>
      </w:r>
      <w:r w:rsidR="009A38A9">
        <w:t>Managing risk related to v</w:t>
      </w:r>
      <w:r w:rsidR="002205D2" w:rsidRPr="0009261C">
        <w:t>accine refus</w:t>
      </w:r>
      <w:r w:rsidR="00B25715" w:rsidRPr="0009261C">
        <w:t>al</w:t>
      </w:r>
      <w:bookmarkEnd w:id="47"/>
      <w:bookmarkEnd w:id="48"/>
    </w:p>
    <w:p w14:paraId="7E23DA4F" w14:textId="0F2861A0" w:rsidR="00E14D8F" w:rsidRDefault="007C3F99" w:rsidP="007C3F99">
      <w:pPr>
        <w:pStyle w:val="Body"/>
        <w:rPr>
          <w:sz w:val="20"/>
        </w:rPr>
      </w:pPr>
      <w:r w:rsidRPr="00BF3EAE">
        <w:rPr>
          <w:sz w:val="20"/>
        </w:rPr>
        <w:t xml:space="preserve">Secretary </w:t>
      </w:r>
      <w:r w:rsidR="00481918" w:rsidRPr="002053CB">
        <w:rPr>
          <w:sz w:val="20"/>
        </w:rPr>
        <w:t>and Ministerial</w:t>
      </w:r>
      <w:r w:rsidR="00481918">
        <w:rPr>
          <w:sz w:val="20"/>
        </w:rPr>
        <w:t xml:space="preserve"> </w:t>
      </w:r>
      <w:r w:rsidRPr="00BF3EAE">
        <w:rPr>
          <w:sz w:val="20"/>
        </w:rPr>
        <w:t xml:space="preserve">Directions do not allow for refusal of vaccines for non-medical reasons. Where a worker refuses to comply with specified </w:t>
      </w:r>
      <w:r w:rsidR="00963289" w:rsidRPr="00BF3EAE">
        <w:rPr>
          <w:sz w:val="20"/>
        </w:rPr>
        <w:t xml:space="preserve">vaccine requirements </w:t>
      </w:r>
      <w:r w:rsidR="00481918">
        <w:rPr>
          <w:sz w:val="20"/>
        </w:rPr>
        <w:t xml:space="preserve">for their role, </w:t>
      </w:r>
      <w:r w:rsidR="00E14D8F">
        <w:rPr>
          <w:sz w:val="20"/>
        </w:rPr>
        <w:t xml:space="preserve">risk management strategies must be engaged. </w:t>
      </w:r>
    </w:p>
    <w:p w14:paraId="1523C974" w14:textId="5B750450" w:rsidR="007C3F99" w:rsidRDefault="00E14D8F" w:rsidP="007C3F99">
      <w:pPr>
        <w:pStyle w:val="Body"/>
        <w:rPr>
          <w:sz w:val="20"/>
        </w:rPr>
      </w:pPr>
      <w:r>
        <w:rPr>
          <w:sz w:val="20"/>
        </w:rPr>
        <w:t>A health service</w:t>
      </w:r>
      <w:r w:rsidR="00FB03FE">
        <w:rPr>
          <w:sz w:val="20"/>
        </w:rPr>
        <w:t xml:space="preserve"> must </w:t>
      </w:r>
      <w:r w:rsidR="00BE52E2">
        <w:rPr>
          <w:sz w:val="20"/>
        </w:rPr>
        <w:t xml:space="preserve">determine if it is safe </w:t>
      </w:r>
      <w:r>
        <w:rPr>
          <w:sz w:val="20"/>
        </w:rPr>
        <w:t>for the worker to perform their role</w:t>
      </w:r>
      <w:r w:rsidR="00B11E38">
        <w:rPr>
          <w:sz w:val="20"/>
        </w:rPr>
        <w:t xml:space="preserve"> if they are not adequately protected by vaccination</w:t>
      </w:r>
      <w:r>
        <w:rPr>
          <w:sz w:val="20"/>
        </w:rPr>
        <w:t xml:space="preserve">, and if so, the basis on which it is safe for them to do so. </w:t>
      </w:r>
    </w:p>
    <w:p w14:paraId="464B9AF0" w14:textId="19E339E7" w:rsidR="00D61106" w:rsidRDefault="00621BD9" w:rsidP="00621BD9">
      <w:pPr>
        <w:pStyle w:val="Body"/>
        <w:rPr>
          <w:rFonts w:cs="Arial"/>
          <w:sz w:val="20"/>
        </w:rPr>
      </w:pPr>
      <w:r w:rsidRPr="5CBC0133">
        <w:rPr>
          <w:rFonts w:cs="Arial"/>
          <w:sz w:val="20"/>
        </w:rPr>
        <w:t>Employees</w:t>
      </w:r>
      <w:r w:rsidRPr="00F40FF8">
        <w:rPr>
          <w:rFonts w:cs="Arial"/>
          <w:sz w:val="20"/>
        </w:rPr>
        <w:t xml:space="preserve"> who </w:t>
      </w:r>
      <w:r w:rsidRPr="5CBC0133">
        <w:rPr>
          <w:rFonts w:cs="Arial"/>
          <w:sz w:val="20"/>
        </w:rPr>
        <w:t>may be</w:t>
      </w:r>
      <w:r w:rsidRPr="00F40FF8">
        <w:rPr>
          <w:rFonts w:cs="Arial"/>
          <w:sz w:val="20"/>
        </w:rPr>
        <w:t xml:space="preserve"> vaccine hesitant</w:t>
      </w:r>
      <w:r w:rsidR="00DA5B96">
        <w:rPr>
          <w:rFonts w:cs="Arial"/>
          <w:sz w:val="20"/>
        </w:rPr>
        <w:t xml:space="preserve"> or choose not </w:t>
      </w:r>
      <w:r w:rsidR="00455EE8">
        <w:rPr>
          <w:rFonts w:cs="Arial"/>
          <w:sz w:val="20"/>
        </w:rPr>
        <w:t xml:space="preserve">to </w:t>
      </w:r>
      <w:r w:rsidR="00DA5B96">
        <w:rPr>
          <w:rFonts w:cs="Arial"/>
          <w:sz w:val="20"/>
        </w:rPr>
        <w:t>be vaccinated where it is required should be encouraged to speak to trusted medical professionals about vaccination and encouraged to access reputable and reliable information about vaccination</w:t>
      </w:r>
      <w:r w:rsidR="00B72AEF">
        <w:rPr>
          <w:rFonts w:cs="Arial"/>
          <w:sz w:val="20"/>
        </w:rPr>
        <w:t xml:space="preserve"> and vaccines</w:t>
      </w:r>
      <w:r w:rsidRPr="00F40FF8">
        <w:rPr>
          <w:rFonts w:cs="Arial"/>
          <w:sz w:val="20"/>
        </w:rPr>
        <w:t xml:space="preserve">, </w:t>
      </w:r>
      <w:r w:rsidR="00DA5B96">
        <w:rPr>
          <w:rFonts w:cs="Arial"/>
          <w:sz w:val="20"/>
        </w:rPr>
        <w:t xml:space="preserve">Education about vaccine safety and the rigorous approval process </w:t>
      </w:r>
      <w:r w:rsidR="00E47FD9">
        <w:rPr>
          <w:rFonts w:cs="Arial"/>
          <w:sz w:val="20"/>
        </w:rPr>
        <w:t xml:space="preserve">for vaccines to be used in Australia may also be helpful. </w:t>
      </w:r>
    </w:p>
    <w:p w14:paraId="4A856C1E" w14:textId="25496199" w:rsidR="008B5314" w:rsidRPr="00491E56" w:rsidRDefault="00D01C2E">
      <w:pPr>
        <w:pStyle w:val="Body"/>
      </w:pPr>
      <w:r>
        <w:rPr>
          <w:rFonts w:cs="Arial"/>
          <w:sz w:val="20"/>
        </w:rPr>
        <w:t xml:space="preserve">Where </w:t>
      </w:r>
      <w:r w:rsidR="00E47FD9">
        <w:rPr>
          <w:rFonts w:cs="Arial"/>
          <w:sz w:val="20"/>
        </w:rPr>
        <w:t xml:space="preserve">workers have concerns related to </w:t>
      </w:r>
      <w:r w:rsidR="00621BD9" w:rsidRPr="00F40FF8">
        <w:rPr>
          <w:rFonts w:cs="Arial"/>
          <w:sz w:val="20"/>
        </w:rPr>
        <w:t>the relatively new mRNA vaccine technology</w:t>
      </w:r>
      <w:r w:rsidR="00E47FD9">
        <w:rPr>
          <w:rFonts w:cs="Arial"/>
          <w:sz w:val="20"/>
        </w:rPr>
        <w:t xml:space="preserve"> used in </w:t>
      </w:r>
      <w:r w:rsidR="00455EE8">
        <w:rPr>
          <w:rFonts w:cs="Arial"/>
          <w:sz w:val="20"/>
        </w:rPr>
        <w:t xml:space="preserve">some </w:t>
      </w:r>
      <w:r w:rsidR="00E47FD9">
        <w:rPr>
          <w:rFonts w:cs="Arial"/>
          <w:sz w:val="20"/>
        </w:rPr>
        <w:t>COVID-19 vaccines</w:t>
      </w:r>
      <w:r w:rsidR="00621BD9" w:rsidRPr="00F40FF8">
        <w:rPr>
          <w:rFonts w:cs="Arial"/>
          <w:sz w:val="20"/>
        </w:rPr>
        <w:t xml:space="preserve">, </w:t>
      </w:r>
      <w:r w:rsidR="00875FDB">
        <w:rPr>
          <w:rFonts w:cs="Arial"/>
          <w:sz w:val="20"/>
        </w:rPr>
        <w:t xml:space="preserve">education regarding </w:t>
      </w:r>
      <w:r w:rsidR="00621BD9" w:rsidRPr="00F40FF8">
        <w:rPr>
          <w:rFonts w:cs="Arial"/>
          <w:sz w:val="20"/>
        </w:rPr>
        <w:t>protein subunit vaccines</w:t>
      </w:r>
      <w:r w:rsidR="00E47FD9">
        <w:rPr>
          <w:rFonts w:cs="Arial"/>
          <w:sz w:val="20"/>
        </w:rPr>
        <w:t>, that use older</w:t>
      </w:r>
      <w:r w:rsidR="00455EE8">
        <w:rPr>
          <w:rFonts w:cs="Arial"/>
          <w:sz w:val="20"/>
        </w:rPr>
        <w:t>/</w:t>
      </w:r>
      <w:r w:rsidR="00E47FD9">
        <w:rPr>
          <w:rFonts w:cs="Arial"/>
          <w:sz w:val="20"/>
        </w:rPr>
        <w:t>well-established technology</w:t>
      </w:r>
      <w:r w:rsidR="00875FDB">
        <w:rPr>
          <w:rFonts w:cs="Arial"/>
          <w:sz w:val="20"/>
        </w:rPr>
        <w:t xml:space="preserve">, may also be appropriate and </w:t>
      </w:r>
      <w:r w:rsidR="00DF0174">
        <w:rPr>
          <w:rFonts w:cs="Arial"/>
          <w:sz w:val="20"/>
        </w:rPr>
        <w:t xml:space="preserve">potentially </w:t>
      </w:r>
      <w:r w:rsidR="00875FDB">
        <w:rPr>
          <w:rFonts w:cs="Arial"/>
          <w:sz w:val="20"/>
        </w:rPr>
        <w:t>facilitate vaccination</w:t>
      </w:r>
      <w:r w:rsidR="00E47FD9">
        <w:rPr>
          <w:rFonts w:cs="Arial"/>
          <w:sz w:val="20"/>
        </w:rPr>
        <w:t>.</w:t>
      </w:r>
      <w:r w:rsidR="00621BD9" w:rsidRPr="00F40FF8" w:rsidDel="00E47FD9">
        <w:rPr>
          <w:rFonts w:cs="Arial"/>
          <w:sz w:val="20"/>
        </w:rPr>
        <w:t xml:space="preserve"> </w:t>
      </w:r>
      <w:r w:rsidR="006E628C">
        <w:rPr>
          <w:rFonts w:cs="Arial"/>
          <w:sz w:val="20"/>
        </w:rPr>
        <w:t xml:space="preserve"> </w:t>
      </w:r>
    </w:p>
    <w:p w14:paraId="7A5773DB" w14:textId="45F4B04D" w:rsidR="007C3F99" w:rsidRPr="00597CE3" w:rsidRDefault="004C47AA" w:rsidP="00173EC7">
      <w:pPr>
        <w:pStyle w:val="Heading2"/>
        <w:spacing w:before="240" w:after="240"/>
        <w:rPr>
          <w:sz w:val="24"/>
          <w:szCs w:val="24"/>
        </w:rPr>
      </w:pPr>
      <w:bookmarkStart w:id="49" w:name="_Toc116457933"/>
      <w:r w:rsidRPr="00597CE3">
        <w:rPr>
          <w:sz w:val="24"/>
          <w:szCs w:val="24"/>
        </w:rPr>
        <w:t xml:space="preserve">Table 6. Risk management options </w:t>
      </w:r>
      <w:r w:rsidR="006310BB" w:rsidRPr="00597CE3">
        <w:rPr>
          <w:sz w:val="24"/>
          <w:szCs w:val="24"/>
        </w:rPr>
        <w:t>for non-compliance/vaccine refusal</w:t>
      </w:r>
      <w:bookmarkEnd w:id="49"/>
      <w:r w:rsidR="006310BB" w:rsidRPr="00597CE3">
        <w:rPr>
          <w:sz w:val="24"/>
          <w:szCs w:val="24"/>
        </w:rPr>
        <w:t xml:space="preserve"> </w:t>
      </w:r>
    </w:p>
    <w:tbl>
      <w:tblPr>
        <w:tblStyle w:val="TableGrid"/>
        <w:tblW w:w="9468" w:type="dxa"/>
        <w:tblLook w:val="04A0" w:firstRow="1" w:lastRow="0" w:firstColumn="1" w:lastColumn="0" w:noHBand="0" w:noVBand="1"/>
      </w:tblPr>
      <w:tblGrid>
        <w:gridCol w:w="2098"/>
        <w:gridCol w:w="7370"/>
      </w:tblGrid>
      <w:tr w:rsidR="00994A1B" w:rsidRPr="00F56540" w14:paraId="66C89501" w14:textId="77777777" w:rsidTr="00101B7A">
        <w:tc>
          <w:tcPr>
            <w:tcW w:w="2098" w:type="dxa"/>
            <w:shd w:val="clear" w:color="auto" w:fill="DBE5F1" w:themeFill="accent1" w:themeFillTint="33"/>
          </w:tcPr>
          <w:p w14:paraId="18F5641F" w14:textId="48D3E70B" w:rsidR="00F96ADC" w:rsidRPr="00E51658" w:rsidRDefault="00F96ADC" w:rsidP="00F96ADC">
            <w:pPr>
              <w:pStyle w:val="Body"/>
              <w:rPr>
                <w:rFonts w:cs="Arial"/>
                <w:b/>
                <w:bCs/>
                <w:sz w:val="20"/>
              </w:rPr>
            </w:pPr>
            <w:r w:rsidRPr="00E51658">
              <w:rPr>
                <w:rFonts w:cs="Arial"/>
                <w:b/>
                <w:bCs/>
                <w:sz w:val="20"/>
              </w:rPr>
              <w:t>Vaccine</w:t>
            </w:r>
          </w:p>
        </w:tc>
        <w:tc>
          <w:tcPr>
            <w:tcW w:w="7370" w:type="dxa"/>
            <w:shd w:val="clear" w:color="auto" w:fill="DBE5F1" w:themeFill="accent1" w:themeFillTint="33"/>
          </w:tcPr>
          <w:p w14:paraId="190EC5D7" w14:textId="5159A997" w:rsidR="00F96ADC" w:rsidRPr="00E51658" w:rsidRDefault="00F96ADC" w:rsidP="00F96ADC">
            <w:pPr>
              <w:pStyle w:val="Body"/>
              <w:rPr>
                <w:rFonts w:cs="Arial"/>
                <w:b/>
                <w:bCs/>
                <w:sz w:val="20"/>
              </w:rPr>
            </w:pPr>
            <w:r w:rsidRPr="00E51658">
              <w:rPr>
                <w:rFonts w:cs="Arial"/>
                <w:b/>
                <w:bCs/>
                <w:sz w:val="20"/>
              </w:rPr>
              <w:t>Risk management option</w:t>
            </w:r>
            <w:r w:rsidR="00F81BB6" w:rsidRPr="00E51658">
              <w:rPr>
                <w:rFonts w:cs="Arial"/>
                <w:b/>
                <w:bCs/>
                <w:sz w:val="20"/>
              </w:rPr>
              <w:t>s</w:t>
            </w:r>
          </w:p>
        </w:tc>
      </w:tr>
      <w:tr w:rsidR="00994A1B" w:rsidRPr="00F56540" w14:paraId="5769349C" w14:textId="77777777" w:rsidTr="00E51658">
        <w:tc>
          <w:tcPr>
            <w:tcW w:w="2098" w:type="dxa"/>
          </w:tcPr>
          <w:p w14:paraId="380947A4" w14:textId="78CBC1B9" w:rsidR="00F96ADC" w:rsidRPr="00E51658" w:rsidRDefault="00F81BB6" w:rsidP="00F96ADC">
            <w:pPr>
              <w:pStyle w:val="Body"/>
              <w:rPr>
                <w:rFonts w:cs="Arial"/>
                <w:sz w:val="20"/>
              </w:rPr>
            </w:pPr>
            <w:r w:rsidRPr="00E51658">
              <w:rPr>
                <w:rFonts w:cs="Arial"/>
                <w:sz w:val="20"/>
              </w:rPr>
              <w:t xml:space="preserve">Influenza </w:t>
            </w:r>
          </w:p>
        </w:tc>
        <w:tc>
          <w:tcPr>
            <w:tcW w:w="7370" w:type="dxa"/>
          </w:tcPr>
          <w:p w14:paraId="3970F19B" w14:textId="09A1E956" w:rsidR="00E9384B" w:rsidRDefault="00E14D8F" w:rsidP="002A05FA">
            <w:pPr>
              <w:pStyle w:val="Body"/>
              <w:rPr>
                <w:rFonts w:cs="Arial"/>
                <w:sz w:val="20"/>
              </w:rPr>
            </w:pPr>
            <w:r>
              <w:rPr>
                <w:rFonts w:cs="Arial"/>
                <w:sz w:val="20"/>
              </w:rPr>
              <w:t>Re</w:t>
            </w:r>
            <w:r w:rsidR="002A05FA" w:rsidRPr="00F56540">
              <w:rPr>
                <w:rFonts w:cs="Arial"/>
                <w:sz w:val="20"/>
              </w:rPr>
              <w:t xml:space="preserve">deployment, alternative duties, </w:t>
            </w:r>
            <w:r w:rsidR="00E9384B">
              <w:rPr>
                <w:rFonts w:cs="Arial"/>
                <w:sz w:val="20"/>
              </w:rPr>
              <w:t xml:space="preserve">use of personal protective equipment </w:t>
            </w:r>
            <w:r w:rsidR="002A05FA" w:rsidRPr="00F56540">
              <w:rPr>
                <w:rFonts w:cs="Arial"/>
                <w:sz w:val="20"/>
              </w:rPr>
              <w:t xml:space="preserve">or other strategies as outlined </w:t>
            </w:r>
            <w:r w:rsidR="0009261C">
              <w:rPr>
                <w:rFonts w:cs="Arial"/>
                <w:sz w:val="20"/>
              </w:rPr>
              <w:t xml:space="preserve">in </w:t>
            </w:r>
            <w:hyperlink w:anchor="_9.1_Medical_contraindication," w:history="1">
              <w:r w:rsidR="00732ED1" w:rsidRPr="00732ED1">
                <w:rPr>
                  <w:rStyle w:val="Hyperlink"/>
                  <w:rFonts w:cs="Arial"/>
                  <w:i/>
                  <w:iCs/>
                  <w:sz w:val="20"/>
                </w:rPr>
                <w:t>Section 9.1</w:t>
              </w:r>
            </w:hyperlink>
            <w:r w:rsidR="0009261C">
              <w:rPr>
                <w:rFonts w:cs="Arial"/>
                <w:sz w:val="20"/>
              </w:rPr>
              <w:t xml:space="preserve"> </w:t>
            </w:r>
            <w:r w:rsidR="002A05FA" w:rsidRPr="00F56540">
              <w:rPr>
                <w:rFonts w:cs="Arial"/>
                <w:sz w:val="20"/>
              </w:rPr>
              <w:t>above</w:t>
            </w:r>
            <w:r w:rsidR="00E9384B">
              <w:rPr>
                <w:rFonts w:cs="Arial"/>
                <w:sz w:val="20"/>
              </w:rPr>
              <w:t xml:space="preserve">, or </w:t>
            </w:r>
            <w:r w:rsidR="00132AE8">
              <w:rPr>
                <w:rFonts w:cs="Arial"/>
                <w:sz w:val="20"/>
              </w:rPr>
              <w:t>other strategies</w:t>
            </w:r>
            <w:r w:rsidR="00E9384B">
              <w:rPr>
                <w:rFonts w:cs="Arial"/>
                <w:sz w:val="20"/>
              </w:rPr>
              <w:t xml:space="preserve"> </w:t>
            </w:r>
            <w:r w:rsidR="00132AE8">
              <w:rPr>
                <w:rFonts w:cs="Arial"/>
                <w:sz w:val="20"/>
              </w:rPr>
              <w:t xml:space="preserve">deemed </w:t>
            </w:r>
            <w:r w:rsidR="00E9384B">
              <w:rPr>
                <w:rFonts w:cs="Arial"/>
                <w:sz w:val="20"/>
              </w:rPr>
              <w:t>suitable by the health care setting</w:t>
            </w:r>
            <w:r w:rsidR="002A05FA" w:rsidRPr="00F56540">
              <w:rPr>
                <w:rFonts w:cs="Arial"/>
                <w:sz w:val="20"/>
              </w:rPr>
              <w:t xml:space="preserve">. </w:t>
            </w:r>
          </w:p>
          <w:p w14:paraId="570E3738" w14:textId="3E76C1F1" w:rsidR="00F96ADC" w:rsidRPr="00E51658" w:rsidRDefault="00031CBB" w:rsidP="00F96ADC">
            <w:pPr>
              <w:pStyle w:val="Body"/>
              <w:rPr>
                <w:rFonts w:cs="Arial"/>
                <w:sz w:val="20"/>
              </w:rPr>
            </w:pPr>
            <w:r w:rsidRPr="00F56540">
              <w:rPr>
                <w:rFonts w:cs="Arial"/>
                <w:sz w:val="20"/>
              </w:rPr>
              <w:t xml:space="preserve">In some </w:t>
            </w:r>
            <w:r w:rsidR="00A43D3E" w:rsidRPr="00F56540">
              <w:rPr>
                <w:rFonts w:cs="Arial"/>
                <w:sz w:val="20"/>
              </w:rPr>
              <w:t>cases,</w:t>
            </w:r>
            <w:r w:rsidRPr="00F56540">
              <w:rPr>
                <w:rFonts w:cs="Arial"/>
                <w:sz w:val="20"/>
              </w:rPr>
              <w:t xml:space="preserve"> it may be necessary to consider termination of employment (see further detail below)</w:t>
            </w:r>
            <w:r w:rsidR="00882B8C">
              <w:rPr>
                <w:rFonts w:cs="Arial"/>
                <w:sz w:val="20"/>
              </w:rPr>
              <w:t xml:space="preserve"> if a suitable agreement is not able to be reached</w:t>
            </w:r>
            <w:r w:rsidRPr="00F56540">
              <w:rPr>
                <w:rFonts w:cs="Arial"/>
                <w:sz w:val="20"/>
              </w:rPr>
              <w:t xml:space="preserve">. </w:t>
            </w:r>
          </w:p>
        </w:tc>
      </w:tr>
      <w:tr w:rsidR="00994A1B" w:rsidRPr="00F56540" w14:paraId="4C75F526" w14:textId="77777777" w:rsidTr="003E0BC3">
        <w:tc>
          <w:tcPr>
            <w:tcW w:w="2098" w:type="dxa"/>
          </w:tcPr>
          <w:p w14:paraId="7A1439A2" w14:textId="48055640" w:rsidR="00F96ADC" w:rsidRPr="00E51658" w:rsidRDefault="00F81BB6" w:rsidP="00F96ADC">
            <w:pPr>
              <w:pStyle w:val="Body"/>
              <w:rPr>
                <w:rFonts w:cs="Arial"/>
                <w:sz w:val="20"/>
              </w:rPr>
            </w:pPr>
            <w:r w:rsidRPr="00E51658">
              <w:rPr>
                <w:rFonts w:cs="Arial"/>
                <w:sz w:val="20"/>
              </w:rPr>
              <w:t>COVID-19</w:t>
            </w:r>
          </w:p>
        </w:tc>
        <w:tc>
          <w:tcPr>
            <w:tcW w:w="7370" w:type="dxa"/>
          </w:tcPr>
          <w:p w14:paraId="699586E3" w14:textId="2D4AC761" w:rsidR="3FDCD927" w:rsidRDefault="008B5314" w:rsidP="008B5314">
            <w:pPr>
              <w:pStyle w:val="Body"/>
              <w:rPr>
                <w:rFonts w:cs="Arial"/>
                <w:sz w:val="20"/>
              </w:rPr>
            </w:pPr>
            <w:r>
              <w:rPr>
                <w:rFonts w:cs="Arial"/>
                <w:sz w:val="20"/>
              </w:rPr>
              <w:t xml:space="preserve">Workers </w:t>
            </w:r>
            <w:r w:rsidR="00E9034E">
              <w:rPr>
                <w:rFonts w:cs="Arial"/>
                <w:sz w:val="20"/>
              </w:rPr>
              <w:t xml:space="preserve">may </w:t>
            </w:r>
            <w:r w:rsidR="3FDCD927" w:rsidRPr="00BF3EAE">
              <w:rPr>
                <w:rFonts w:cs="Arial"/>
                <w:sz w:val="20"/>
              </w:rPr>
              <w:t xml:space="preserve">be subject to an assessment by their employer to determine if options such as working from home, obtaining access to accrued annual leave, using any long service leave entitlements, or accessing unpaid leave for a specified or indefinite period are possible (at the employer’s discretion). </w:t>
            </w:r>
          </w:p>
          <w:p w14:paraId="74F3EA71" w14:textId="12D9EABC" w:rsidR="00F6271C" w:rsidRPr="00E51658" w:rsidRDefault="008B5314" w:rsidP="008B5314">
            <w:pPr>
              <w:pStyle w:val="Body"/>
              <w:rPr>
                <w:rFonts w:cs="Arial"/>
                <w:sz w:val="20"/>
              </w:rPr>
            </w:pPr>
            <w:r w:rsidRPr="1DBCC299">
              <w:rPr>
                <w:rFonts w:cs="Arial"/>
                <w:sz w:val="20"/>
              </w:rPr>
              <w:t>An</w:t>
            </w:r>
            <w:r w:rsidR="00DF0174" w:rsidRPr="1DBCC299">
              <w:rPr>
                <w:rFonts w:cs="Arial"/>
                <w:sz w:val="20"/>
              </w:rPr>
              <w:t xml:space="preserve"> employee </w:t>
            </w:r>
            <w:r w:rsidR="00DE65A6" w:rsidRPr="1DBCC299">
              <w:rPr>
                <w:rFonts w:cs="Arial"/>
                <w:sz w:val="20"/>
              </w:rPr>
              <w:t xml:space="preserve">should </w:t>
            </w:r>
            <w:r w:rsidR="0091520E" w:rsidRPr="1DBCC299">
              <w:rPr>
                <w:rFonts w:cs="Arial"/>
                <w:sz w:val="20"/>
              </w:rPr>
              <w:t xml:space="preserve">be offered opportunity to discuss </w:t>
            </w:r>
            <w:r w:rsidR="009E2755" w:rsidRPr="1DBCC299">
              <w:rPr>
                <w:rFonts w:cs="Arial"/>
                <w:sz w:val="20"/>
              </w:rPr>
              <w:t xml:space="preserve">their questions about </w:t>
            </w:r>
            <w:r w:rsidR="0091520E" w:rsidRPr="1DBCC299">
              <w:rPr>
                <w:rFonts w:cs="Arial"/>
                <w:sz w:val="20"/>
              </w:rPr>
              <w:t>vaccination, access vaccine</w:t>
            </w:r>
            <w:r w:rsidR="009E2755" w:rsidRPr="1DBCC299">
              <w:rPr>
                <w:rFonts w:cs="Arial"/>
                <w:sz w:val="20"/>
              </w:rPr>
              <w:t xml:space="preserve">-related education and </w:t>
            </w:r>
            <w:r w:rsidR="00DE65A6" w:rsidRPr="1DBCC299">
              <w:rPr>
                <w:rFonts w:cs="Arial"/>
                <w:sz w:val="20"/>
              </w:rPr>
              <w:t xml:space="preserve">clearly understand that </w:t>
            </w:r>
            <w:r w:rsidR="0091520E" w:rsidRPr="1DBCC299">
              <w:rPr>
                <w:rFonts w:cs="Arial"/>
                <w:sz w:val="20"/>
              </w:rPr>
              <w:t xml:space="preserve">if </w:t>
            </w:r>
            <w:r w:rsidR="00DE65A6" w:rsidRPr="1DBCC299">
              <w:rPr>
                <w:rFonts w:cs="Arial"/>
                <w:sz w:val="20"/>
              </w:rPr>
              <w:t xml:space="preserve">they </w:t>
            </w:r>
            <w:r w:rsidR="00DF0174" w:rsidRPr="1DBCC299">
              <w:rPr>
                <w:rFonts w:cs="Arial"/>
                <w:sz w:val="20"/>
              </w:rPr>
              <w:t xml:space="preserve">refuse vaccination they may not be able to attend work in their usual capacity. </w:t>
            </w:r>
            <w:r w:rsidR="006B7D11" w:rsidRPr="1DBCC299">
              <w:rPr>
                <w:rFonts w:cs="Arial"/>
                <w:sz w:val="20"/>
              </w:rPr>
              <w:t>I</w:t>
            </w:r>
            <w:r w:rsidR="006B7D11">
              <w:rPr>
                <w:rFonts w:cs="Arial"/>
                <w:sz w:val="20"/>
              </w:rPr>
              <w:t xml:space="preserve">n some </w:t>
            </w:r>
            <w:r w:rsidR="00B11E38">
              <w:rPr>
                <w:rFonts w:cs="Arial"/>
                <w:sz w:val="20"/>
              </w:rPr>
              <w:t>cases,</w:t>
            </w:r>
            <w:r w:rsidR="006B7D11">
              <w:rPr>
                <w:rFonts w:cs="Arial"/>
                <w:sz w:val="20"/>
              </w:rPr>
              <w:t xml:space="preserve"> consider</w:t>
            </w:r>
            <w:r w:rsidR="00A71E9E">
              <w:rPr>
                <w:rFonts w:cs="Arial"/>
                <w:sz w:val="20"/>
              </w:rPr>
              <w:t>ation may be given to</w:t>
            </w:r>
            <w:r w:rsidR="006B7D11">
              <w:rPr>
                <w:rFonts w:cs="Arial"/>
                <w:sz w:val="20"/>
              </w:rPr>
              <w:t xml:space="preserve"> termination of employment</w:t>
            </w:r>
            <w:r w:rsidR="00FE7B39">
              <w:rPr>
                <w:rFonts w:cs="Arial"/>
                <w:sz w:val="20"/>
              </w:rPr>
              <w:t xml:space="preserve"> (see further detail below) if a worker is unable to </w:t>
            </w:r>
            <w:r w:rsidR="00B11E38">
              <w:rPr>
                <w:rFonts w:cs="Arial"/>
                <w:sz w:val="20"/>
              </w:rPr>
              <w:t xml:space="preserve">safely </w:t>
            </w:r>
            <w:r w:rsidR="00FE7B39">
              <w:rPr>
                <w:rFonts w:cs="Arial"/>
                <w:sz w:val="20"/>
              </w:rPr>
              <w:t xml:space="preserve">perform their role, and a suitable </w:t>
            </w:r>
            <w:r w:rsidR="00B11E38">
              <w:rPr>
                <w:rFonts w:cs="Arial"/>
                <w:sz w:val="20"/>
              </w:rPr>
              <w:t xml:space="preserve">agreement is not able to be reached. </w:t>
            </w:r>
          </w:p>
        </w:tc>
      </w:tr>
    </w:tbl>
    <w:p w14:paraId="11530B8B" w14:textId="421F3329" w:rsidR="00031CBB" w:rsidRPr="0009261C" w:rsidRDefault="0009261C" w:rsidP="00BF3EAE">
      <w:pPr>
        <w:pStyle w:val="Heading4"/>
      </w:pPr>
      <w:r w:rsidRPr="007441D3">
        <w:lastRenderedPageBreak/>
        <w:t xml:space="preserve">9.4 </w:t>
      </w:r>
      <w:r w:rsidR="00031CBB" w:rsidRPr="007441D3">
        <w:t>Consideration of termination of employment</w:t>
      </w:r>
      <w:r w:rsidR="00F410CA" w:rsidRPr="007441D3">
        <w:t xml:space="preserve"> </w:t>
      </w:r>
    </w:p>
    <w:p w14:paraId="23CD2579" w14:textId="012B6BD8" w:rsidR="02CCA15E" w:rsidRDefault="02CCA15E" w:rsidP="00EA0033">
      <w:pPr>
        <w:pStyle w:val="DHHSbody"/>
        <w:spacing w:after="240"/>
        <w:rPr>
          <w:rFonts w:cs="Arial"/>
        </w:rPr>
      </w:pPr>
      <w:r w:rsidRPr="02CCA15E">
        <w:rPr>
          <w:rFonts w:cs="Arial"/>
        </w:rPr>
        <w:t xml:space="preserve">Employers should ensure that employees are afforded procedural fairness in relation to any decision </w:t>
      </w:r>
      <w:r w:rsidR="00B11E38">
        <w:rPr>
          <w:rFonts w:cs="Arial"/>
        </w:rPr>
        <w:t>regarding their employment</w:t>
      </w:r>
      <w:r w:rsidRPr="02CCA15E">
        <w:rPr>
          <w:rFonts w:cs="Arial"/>
        </w:rPr>
        <w:t xml:space="preserve">, </w:t>
      </w:r>
      <w:r w:rsidR="00B11E38">
        <w:rPr>
          <w:rFonts w:cs="Arial"/>
        </w:rPr>
        <w:t>including</w:t>
      </w:r>
      <w:r w:rsidR="00774913">
        <w:rPr>
          <w:rFonts w:cs="Arial"/>
        </w:rPr>
        <w:t xml:space="preserve"> redeployment,</w:t>
      </w:r>
      <w:r w:rsidR="00B11E38">
        <w:rPr>
          <w:rFonts w:cs="Arial"/>
        </w:rPr>
        <w:t xml:space="preserve"> </w:t>
      </w:r>
      <w:r w:rsidRPr="02CCA15E">
        <w:rPr>
          <w:rFonts w:cs="Arial"/>
        </w:rPr>
        <w:t>introduc</w:t>
      </w:r>
      <w:r w:rsidR="00B11E38">
        <w:rPr>
          <w:rFonts w:cs="Arial"/>
        </w:rPr>
        <w:t>tion of</w:t>
      </w:r>
      <w:r w:rsidRPr="02CCA15E">
        <w:rPr>
          <w:rFonts w:cs="Arial"/>
        </w:rPr>
        <w:t xml:space="preserve"> special conditions of employment and/or in any discussions related to termination of any health care worker’s employment. </w:t>
      </w:r>
    </w:p>
    <w:p w14:paraId="4612D12D" w14:textId="1F82D184" w:rsidR="02CCA15E" w:rsidRDefault="02CCA15E" w:rsidP="00EA0033">
      <w:pPr>
        <w:pStyle w:val="DHHSbody"/>
        <w:spacing w:after="240"/>
        <w:rPr>
          <w:rFonts w:cs="Arial"/>
        </w:rPr>
      </w:pPr>
      <w:r w:rsidRPr="02CCA15E">
        <w:rPr>
          <w:rFonts w:cs="Arial"/>
        </w:rPr>
        <w:t>Health services are responsible for ensuring they adhere to relevant internal policies, workplace agreements and employment law when considering potential action and outcomes related to the terms of a health care worker’s employment.</w:t>
      </w:r>
      <w:r w:rsidR="00010A58">
        <w:rPr>
          <w:rFonts w:cs="Arial"/>
        </w:rPr>
        <w:t xml:space="preserve"> </w:t>
      </w:r>
      <w:r w:rsidR="00807CEF">
        <w:rPr>
          <w:rFonts w:cs="Arial"/>
        </w:rPr>
        <w:t xml:space="preserve">This </w:t>
      </w:r>
      <w:r w:rsidR="006B6C58">
        <w:rPr>
          <w:rFonts w:cs="Arial"/>
        </w:rPr>
        <w:t xml:space="preserve">section </w:t>
      </w:r>
      <w:r w:rsidR="00807CEF">
        <w:rPr>
          <w:rFonts w:cs="Arial"/>
        </w:rPr>
        <w:t xml:space="preserve">contains recommendations only, and </w:t>
      </w:r>
      <w:r w:rsidR="00473757">
        <w:rPr>
          <w:rFonts w:cs="Arial"/>
        </w:rPr>
        <w:t xml:space="preserve">health services </w:t>
      </w:r>
      <w:r w:rsidR="006B6C58">
        <w:rPr>
          <w:rFonts w:cs="Arial"/>
        </w:rPr>
        <w:t xml:space="preserve">should </w:t>
      </w:r>
      <w:r w:rsidR="00473757">
        <w:rPr>
          <w:rFonts w:cs="Arial"/>
        </w:rPr>
        <w:t xml:space="preserve">obtain independent advice on </w:t>
      </w:r>
      <w:r w:rsidR="002D6580">
        <w:rPr>
          <w:rFonts w:cs="Arial"/>
        </w:rPr>
        <w:t xml:space="preserve">proposed </w:t>
      </w:r>
      <w:r w:rsidR="00473757">
        <w:rPr>
          <w:rFonts w:cs="Arial"/>
        </w:rPr>
        <w:t xml:space="preserve">action where a worker refuses vaccination. </w:t>
      </w:r>
    </w:p>
    <w:p w14:paraId="570DA93D" w14:textId="3E4993C3" w:rsidR="509151A9" w:rsidRPr="00BF3EAE" w:rsidRDefault="509151A9" w:rsidP="00BF3EAE">
      <w:pPr>
        <w:pStyle w:val="Body"/>
        <w:rPr>
          <w:rFonts w:cs="Arial"/>
          <w:sz w:val="20"/>
        </w:rPr>
      </w:pPr>
      <w:r w:rsidRPr="00BF3EAE">
        <w:rPr>
          <w:rFonts w:cs="Arial"/>
          <w:sz w:val="20"/>
        </w:rPr>
        <w:t xml:space="preserve">In some circumstances, at the discretion of the health service, and </w:t>
      </w:r>
      <w:r w:rsidR="00CF0D9B">
        <w:rPr>
          <w:rFonts w:cs="Arial"/>
          <w:sz w:val="20"/>
        </w:rPr>
        <w:t xml:space="preserve">in compliance with </w:t>
      </w:r>
      <w:r w:rsidRPr="00BF3EAE">
        <w:rPr>
          <w:rFonts w:cs="Arial"/>
          <w:sz w:val="20"/>
        </w:rPr>
        <w:t xml:space="preserve">relevant </w:t>
      </w:r>
      <w:r w:rsidR="001B07BA">
        <w:rPr>
          <w:rFonts w:cs="Arial"/>
          <w:sz w:val="20"/>
        </w:rPr>
        <w:t xml:space="preserve">policies, </w:t>
      </w:r>
      <w:r w:rsidR="00D664A5">
        <w:rPr>
          <w:rFonts w:cs="Arial"/>
          <w:sz w:val="20"/>
        </w:rPr>
        <w:t xml:space="preserve">agreements and </w:t>
      </w:r>
      <w:r w:rsidRPr="00BF3EAE">
        <w:rPr>
          <w:rFonts w:cs="Arial"/>
          <w:sz w:val="20"/>
        </w:rPr>
        <w:t>employment law,</w:t>
      </w:r>
      <w:r w:rsidRPr="02CCA15E">
        <w:rPr>
          <w:rFonts w:cs="Arial"/>
          <w:sz w:val="20"/>
        </w:rPr>
        <w:t xml:space="preserve"> an employee who refuses vaccination</w:t>
      </w:r>
      <w:r w:rsidRPr="00BF3EAE">
        <w:rPr>
          <w:rFonts w:cs="Arial"/>
          <w:sz w:val="20"/>
        </w:rPr>
        <w:t xml:space="preserve"> may be at risk of having their employment terminated</w:t>
      </w:r>
      <w:r w:rsidRPr="02CCA15E">
        <w:rPr>
          <w:rFonts w:cs="Arial"/>
          <w:sz w:val="20"/>
        </w:rPr>
        <w:t>.</w:t>
      </w:r>
      <w:r w:rsidRPr="00BF3EAE">
        <w:rPr>
          <w:rFonts w:cs="Arial"/>
          <w:sz w:val="20"/>
        </w:rPr>
        <w:t xml:space="preserve">  </w:t>
      </w:r>
    </w:p>
    <w:p w14:paraId="67521F30" w14:textId="12BB01CB" w:rsidR="02CCA15E" w:rsidRDefault="00C435FA" w:rsidP="00EA0033">
      <w:pPr>
        <w:pStyle w:val="DHHSbody"/>
        <w:spacing w:after="240"/>
        <w:rPr>
          <w:rFonts w:cs="Arial"/>
        </w:rPr>
      </w:pPr>
      <w:r w:rsidRPr="00F56540">
        <w:rPr>
          <w:rFonts w:cs="Arial"/>
        </w:rPr>
        <w:t>When health settings choose to take this course of action, a</w:t>
      </w:r>
      <w:r w:rsidR="002205D2" w:rsidRPr="00F56540">
        <w:rPr>
          <w:rFonts w:cs="Arial"/>
        </w:rPr>
        <w:t xml:space="preserve">dvice </w:t>
      </w:r>
      <w:r w:rsidR="00023F6F" w:rsidRPr="00F56540">
        <w:rPr>
          <w:rFonts w:cs="Arial"/>
        </w:rPr>
        <w:t>should</w:t>
      </w:r>
      <w:r w:rsidR="002205D2" w:rsidRPr="00F56540">
        <w:rPr>
          <w:rFonts w:cs="Arial"/>
        </w:rPr>
        <w:t xml:space="preserve"> be provided by an </w:t>
      </w:r>
      <w:r w:rsidR="00111424" w:rsidRPr="00F56540">
        <w:rPr>
          <w:rFonts w:cs="Arial"/>
        </w:rPr>
        <w:t xml:space="preserve">internal </w:t>
      </w:r>
      <w:r w:rsidR="002205D2" w:rsidRPr="00F56540">
        <w:rPr>
          <w:rFonts w:cs="Arial"/>
        </w:rPr>
        <w:t>expert group</w:t>
      </w:r>
      <w:r w:rsidR="00D157C5" w:rsidRPr="00F56540">
        <w:rPr>
          <w:rFonts w:cs="Arial"/>
        </w:rPr>
        <w:t>. It is recommended that</w:t>
      </w:r>
      <w:r w:rsidR="002205D2" w:rsidRPr="00F56540">
        <w:rPr>
          <w:rFonts w:cs="Arial"/>
        </w:rPr>
        <w:t xml:space="preserve"> ultimate decision</w:t>
      </w:r>
      <w:r w:rsidR="00CF41B3">
        <w:rPr>
          <w:rFonts w:cs="Arial"/>
        </w:rPr>
        <w:t>-</w:t>
      </w:r>
      <w:r w:rsidR="002205D2" w:rsidRPr="00F56540">
        <w:rPr>
          <w:rFonts w:cs="Arial"/>
        </w:rPr>
        <w:t xml:space="preserve">making </w:t>
      </w:r>
      <w:r w:rsidR="00CF41B3">
        <w:rPr>
          <w:rFonts w:cs="Arial"/>
        </w:rPr>
        <w:t xml:space="preserve">should be </w:t>
      </w:r>
      <w:r w:rsidR="002205D2" w:rsidRPr="00F56540">
        <w:rPr>
          <w:rFonts w:cs="Arial"/>
        </w:rPr>
        <w:t>the responsibility of the Chief Executive Officer or appropriate delegate</w:t>
      </w:r>
      <w:r w:rsidR="00F96FB2" w:rsidRPr="00F56540">
        <w:rPr>
          <w:rFonts w:cs="Arial"/>
        </w:rPr>
        <w:t xml:space="preserve">, or as </w:t>
      </w:r>
      <w:r w:rsidR="00983646" w:rsidRPr="00F56540">
        <w:rPr>
          <w:rFonts w:cs="Arial"/>
        </w:rPr>
        <w:t xml:space="preserve">outlined in the health service’s individual vaccination and </w:t>
      </w:r>
      <w:r w:rsidR="00983646" w:rsidRPr="00702110">
        <w:rPr>
          <w:rFonts w:cs="Arial"/>
        </w:rPr>
        <w:t>disciplinary policy</w:t>
      </w:r>
      <w:r w:rsidR="002205D2" w:rsidRPr="00702110">
        <w:rPr>
          <w:rFonts w:cs="Arial"/>
        </w:rPr>
        <w:t>.</w:t>
      </w:r>
      <w:r w:rsidR="00FD54EC">
        <w:rPr>
          <w:rFonts w:cs="Arial"/>
        </w:rPr>
        <w:t xml:space="preserve"> </w:t>
      </w:r>
      <w:r w:rsidR="00E97BDC">
        <w:rPr>
          <w:rFonts w:cs="Arial"/>
        </w:rPr>
        <w:t>Independent legal advice may be considered as part of this process.</w:t>
      </w:r>
      <w:r w:rsidR="00FD54EC">
        <w:rPr>
          <w:rFonts w:cs="Arial"/>
        </w:rPr>
        <w:t xml:space="preserve"> </w:t>
      </w:r>
    </w:p>
    <w:p w14:paraId="7BD8ECF6" w14:textId="57275DAF" w:rsidR="002205D2" w:rsidRPr="00F56540" w:rsidRDefault="002205D2" w:rsidP="00EA0033">
      <w:pPr>
        <w:pStyle w:val="DHHSbody"/>
        <w:spacing w:after="240"/>
        <w:rPr>
          <w:rFonts w:cs="Arial"/>
        </w:rPr>
      </w:pPr>
      <w:r w:rsidRPr="00F56540">
        <w:rPr>
          <w:rFonts w:cs="Arial"/>
        </w:rPr>
        <w:t xml:space="preserve">Termination of employment </w:t>
      </w:r>
      <w:r w:rsidR="00544BC0">
        <w:rPr>
          <w:rFonts w:cs="Arial"/>
        </w:rPr>
        <w:t xml:space="preserve">should </w:t>
      </w:r>
      <w:r w:rsidR="005242C8" w:rsidRPr="00F56540">
        <w:rPr>
          <w:rFonts w:cs="Arial"/>
        </w:rPr>
        <w:t xml:space="preserve">only </w:t>
      </w:r>
      <w:r w:rsidRPr="00F56540">
        <w:rPr>
          <w:rFonts w:cs="Arial"/>
        </w:rPr>
        <w:t xml:space="preserve">be considered when a healthcare worker also refuses offers of redeployment </w:t>
      </w:r>
      <w:r w:rsidR="00525FFB">
        <w:rPr>
          <w:rFonts w:cs="Arial"/>
        </w:rPr>
        <w:t xml:space="preserve">or where </w:t>
      </w:r>
      <w:r w:rsidRPr="00F56540">
        <w:rPr>
          <w:rFonts w:cs="Arial"/>
        </w:rPr>
        <w:t xml:space="preserve">the option of redeployment is not feasible, </w:t>
      </w:r>
      <w:r w:rsidR="008C6D36">
        <w:rPr>
          <w:rFonts w:cs="Arial"/>
        </w:rPr>
        <w:t xml:space="preserve">where </w:t>
      </w:r>
      <w:r w:rsidRPr="00F56540">
        <w:rPr>
          <w:rFonts w:cs="Arial"/>
        </w:rPr>
        <w:t>all other</w:t>
      </w:r>
      <w:r w:rsidR="008542CA" w:rsidRPr="00F56540">
        <w:rPr>
          <w:rFonts w:cs="Arial"/>
        </w:rPr>
        <w:t xml:space="preserve"> risk management</w:t>
      </w:r>
      <w:r w:rsidRPr="00F56540">
        <w:rPr>
          <w:rFonts w:cs="Arial"/>
        </w:rPr>
        <w:t xml:space="preserve"> alternatives have been exhausted, </w:t>
      </w:r>
      <w:r w:rsidR="00544BC0">
        <w:rPr>
          <w:rFonts w:cs="Arial"/>
        </w:rPr>
        <w:t>and/</w:t>
      </w:r>
      <w:r w:rsidR="00023F6F" w:rsidRPr="00F56540">
        <w:rPr>
          <w:rFonts w:cs="Arial"/>
        </w:rPr>
        <w:t>or</w:t>
      </w:r>
      <w:r w:rsidRPr="00F56540">
        <w:rPr>
          <w:rFonts w:cs="Arial"/>
        </w:rPr>
        <w:t xml:space="preserve"> the risk cannot be acceptably managed.</w:t>
      </w:r>
      <w:r w:rsidR="004A6553" w:rsidRPr="00F56540">
        <w:rPr>
          <w:rFonts w:cs="Arial"/>
        </w:rPr>
        <w:t xml:space="preserve"> Before any decision is made</w:t>
      </w:r>
      <w:r w:rsidR="00596FC7">
        <w:rPr>
          <w:rFonts w:cs="Arial"/>
        </w:rPr>
        <w:t xml:space="preserve"> by the health</w:t>
      </w:r>
      <w:r w:rsidR="00A553C3">
        <w:rPr>
          <w:rFonts w:cs="Arial"/>
        </w:rPr>
        <w:t xml:space="preserve"> service</w:t>
      </w:r>
      <w:r w:rsidR="004A6553" w:rsidRPr="00F56540">
        <w:rPr>
          <w:rFonts w:cs="Arial"/>
        </w:rPr>
        <w:t xml:space="preserve"> to terminate, the healthcare worker (and their representative if any) should be notified </w:t>
      </w:r>
      <w:r w:rsidR="00391908" w:rsidRPr="00F56540">
        <w:rPr>
          <w:rFonts w:cs="Arial"/>
        </w:rPr>
        <w:t>of the potential for this to occur.</w:t>
      </w:r>
    </w:p>
    <w:p w14:paraId="7D9CD9CF" w14:textId="79BF78D8" w:rsidR="02CCA15E" w:rsidRDefault="00436EC7" w:rsidP="00C42188">
      <w:pPr>
        <w:pStyle w:val="DHHSbody"/>
        <w:spacing w:after="360"/>
        <w:rPr>
          <w:rFonts w:cs="Arial"/>
        </w:rPr>
      </w:pPr>
      <w:r w:rsidRPr="00F56540">
        <w:rPr>
          <w:rFonts w:cs="Arial"/>
        </w:rPr>
        <w:t xml:space="preserve">Health settings must </w:t>
      </w:r>
      <w:r w:rsidR="00D81411">
        <w:rPr>
          <w:rFonts w:cs="Arial"/>
        </w:rPr>
        <w:t xml:space="preserve">ensure the healthcare worker has been offered </w:t>
      </w:r>
      <w:r w:rsidR="002728C1">
        <w:rPr>
          <w:rFonts w:cs="Arial"/>
        </w:rPr>
        <w:t>all feasible alternative</w:t>
      </w:r>
      <w:r w:rsidR="00E851B5">
        <w:rPr>
          <w:rFonts w:cs="Arial"/>
        </w:rPr>
        <w:t xml:space="preserve"> employment options</w:t>
      </w:r>
      <w:r w:rsidR="002728C1">
        <w:rPr>
          <w:rFonts w:cs="Arial"/>
        </w:rPr>
        <w:t xml:space="preserve">, including education </w:t>
      </w:r>
      <w:r w:rsidR="00B53C2B">
        <w:rPr>
          <w:rFonts w:cs="Arial"/>
        </w:rPr>
        <w:t xml:space="preserve">to address vaccine hesitancy </w:t>
      </w:r>
      <w:r w:rsidR="002728C1">
        <w:rPr>
          <w:rFonts w:cs="Arial"/>
        </w:rPr>
        <w:t>and the option to be vaccinat</w:t>
      </w:r>
      <w:r w:rsidR="00E851B5">
        <w:rPr>
          <w:rFonts w:cs="Arial"/>
        </w:rPr>
        <w:t>ed</w:t>
      </w:r>
      <w:r w:rsidR="00166D46">
        <w:rPr>
          <w:rFonts w:cs="Arial"/>
        </w:rPr>
        <w:t xml:space="preserve"> prior to consideration of termination</w:t>
      </w:r>
      <w:r w:rsidR="00F0131B">
        <w:rPr>
          <w:rFonts w:cs="Arial"/>
        </w:rPr>
        <w:t xml:space="preserve">. </w:t>
      </w:r>
      <w:r w:rsidR="002205D2" w:rsidRPr="00F56540">
        <w:rPr>
          <w:rFonts w:cs="Arial"/>
        </w:rPr>
        <w:t xml:space="preserve">The healthcare setting must ensure that the healthcare worker fully understands the requirements of </w:t>
      </w:r>
      <w:r w:rsidR="00CD66DA" w:rsidRPr="00F56540">
        <w:rPr>
          <w:rFonts w:cs="Arial"/>
        </w:rPr>
        <w:t>the vaccination</w:t>
      </w:r>
      <w:r w:rsidR="002205D2" w:rsidRPr="00F56540">
        <w:rPr>
          <w:rFonts w:cs="Arial"/>
        </w:rPr>
        <w:t xml:space="preserve"> policy and the potential </w:t>
      </w:r>
      <w:r w:rsidR="007554FE">
        <w:rPr>
          <w:rFonts w:cs="Arial"/>
        </w:rPr>
        <w:t>consequences</w:t>
      </w:r>
      <w:r w:rsidR="002205D2" w:rsidRPr="00F56540">
        <w:rPr>
          <w:rFonts w:cs="Arial"/>
        </w:rPr>
        <w:t xml:space="preserve"> arising from their refusal to comply. The healthcare worker must have </w:t>
      </w:r>
      <w:r w:rsidR="00166D46">
        <w:rPr>
          <w:rFonts w:cs="Arial"/>
        </w:rPr>
        <w:t xml:space="preserve">opportunities </w:t>
      </w:r>
      <w:r w:rsidR="002205D2" w:rsidRPr="00F56540">
        <w:rPr>
          <w:rFonts w:cs="Arial"/>
        </w:rPr>
        <w:t xml:space="preserve">to clarify issues and reconsider their </w:t>
      </w:r>
      <w:r w:rsidR="002205D2" w:rsidRPr="6B90F536">
        <w:rPr>
          <w:rFonts w:cs="Arial"/>
        </w:rPr>
        <w:t>decision</w:t>
      </w:r>
      <w:r w:rsidR="002205D2" w:rsidRPr="00F56540">
        <w:rPr>
          <w:rFonts w:cs="Arial"/>
        </w:rPr>
        <w:t xml:space="preserve"> to refuse vaccination</w:t>
      </w:r>
      <w:r w:rsidR="003476B7">
        <w:rPr>
          <w:rFonts w:cs="Arial"/>
        </w:rPr>
        <w:t xml:space="preserve"> at all steps </w:t>
      </w:r>
      <w:r w:rsidR="00374C69">
        <w:rPr>
          <w:rFonts w:cs="Arial"/>
        </w:rPr>
        <w:t xml:space="preserve">of the health service’s </w:t>
      </w:r>
      <w:r w:rsidR="00ED6285">
        <w:rPr>
          <w:rFonts w:cs="Arial"/>
        </w:rPr>
        <w:t>decision-making process</w:t>
      </w:r>
      <w:r w:rsidR="002205D2" w:rsidRPr="00F56540">
        <w:rPr>
          <w:rFonts w:cs="Arial"/>
        </w:rPr>
        <w:t xml:space="preserve">. All steps in determining an outcome should be appropriately documented. </w:t>
      </w:r>
    </w:p>
    <w:p w14:paraId="5A592AAF" w14:textId="28543ED4" w:rsidR="002205D2" w:rsidRPr="00F56540" w:rsidRDefault="0009261C" w:rsidP="00491E56">
      <w:pPr>
        <w:pStyle w:val="Heading4"/>
      </w:pPr>
      <w:bookmarkStart w:id="50" w:name="_Toc46399893"/>
      <w:bookmarkStart w:id="51" w:name="_Toc113362856"/>
      <w:bookmarkEnd w:id="44"/>
      <w:r>
        <w:t xml:space="preserve">9.5 </w:t>
      </w:r>
      <w:r w:rsidR="002205D2" w:rsidRPr="00F56540">
        <w:t>Exceptional circumstances</w:t>
      </w:r>
      <w:bookmarkEnd w:id="50"/>
      <w:bookmarkEnd w:id="51"/>
      <w:r w:rsidR="002205D2" w:rsidRPr="00F56540">
        <w:t xml:space="preserve"> </w:t>
      </w:r>
    </w:p>
    <w:p w14:paraId="29C76706" w14:textId="37149014" w:rsidR="002205D2" w:rsidRPr="00F56540" w:rsidRDefault="002205D2" w:rsidP="002205D2">
      <w:pPr>
        <w:pStyle w:val="DHHSbody"/>
        <w:rPr>
          <w:rFonts w:cs="Arial"/>
        </w:rPr>
      </w:pPr>
      <w:r w:rsidRPr="00F56540">
        <w:rPr>
          <w:rFonts w:cs="Arial"/>
        </w:rPr>
        <w:t xml:space="preserve">In exceptional circumstances, redeployment of, or refusal to appoint </w:t>
      </w:r>
      <w:r w:rsidR="00DE7BFC" w:rsidRPr="00E51658">
        <w:rPr>
          <w:rFonts w:cs="Arial"/>
        </w:rPr>
        <w:t xml:space="preserve">certain healthcare workers, </w:t>
      </w:r>
      <w:r w:rsidRPr="00F56540">
        <w:rPr>
          <w:rFonts w:cs="Arial"/>
        </w:rPr>
        <w:t>specifically skilled non-compliant worker</w:t>
      </w:r>
      <w:r w:rsidR="00DE7BFC" w:rsidRPr="00E51658">
        <w:rPr>
          <w:rFonts w:cs="Arial"/>
        </w:rPr>
        <w:t>s</w:t>
      </w:r>
      <w:r w:rsidRPr="00F56540">
        <w:rPr>
          <w:rFonts w:cs="Arial"/>
        </w:rPr>
        <w:t xml:space="preserve"> may result in serious risk to service delivery and ultimately patient care</w:t>
      </w:r>
      <w:r w:rsidR="008C6D36">
        <w:rPr>
          <w:rFonts w:cs="Arial"/>
        </w:rPr>
        <w:t>.</w:t>
      </w:r>
      <w:r w:rsidR="000846FA" w:rsidDel="00071791">
        <w:rPr>
          <w:rFonts w:cs="Arial"/>
        </w:rPr>
        <w:t xml:space="preserve"> </w:t>
      </w:r>
      <w:r w:rsidR="008C6D36">
        <w:rPr>
          <w:rFonts w:cs="Arial"/>
        </w:rPr>
        <w:t>In other exceptional circumstances</w:t>
      </w:r>
      <w:r w:rsidR="00071791">
        <w:rPr>
          <w:rFonts w:cs="Arial"/>
        </w:rPr>
        <w:t xml:space="preserve"> workers may be required to attend </w:t>
      </w:r>
      <w:r w:rsidR="00B02DB6">
        <w:rPr>
          <w:rFonts w:cs="Arial"/>
        </w:rPr>
        <w:t xml:space="preserve">work due </w:t>
      </w:r>
      <w:r w:rsidR="00071791">
        <w:rPr>
          <w:rFonts w:cs="Arial"/>
        </w:rPr>
        <w:t xml:space="preserve">to an </w:t>
      </w:r>
      <w:r w:rsidR="000846FA">
        <w:rPr>
          <w:rFonts w:cs="Arial"/>
        </w:rPr>
        <w:t xml:space="preserve">emergency or </w:t>
      </w:r>
      <w:r w:rsidR="00B02DB6">
        <w:rPr>
          <w:rFonts w:cs="Arial"/>
        </w:rPr>
        <w:t xml:space="preserve">other critical </w:t>
      </w:r>
      <w:r w:rsidR="000846FA">
        <w:rPr>
          <w:rFonts w:cs="Arial"/>
        </w:rPr>
        <w:t>unforeseen circumstance</w:t>
      </w:r>
      <w:r w:rsidR="00071791">
        <w:rPr>
          <w:rFonts w:cs="Arial"/>
        </w:rPr>
        <w:t>.</w:t>
      </w:r>
      <w:r w:rsidR="00B56A4A">
        <w:rPr>
          <w:rFonts w:cs="Arial"/>
        </w:rPr>
        <w:t xml:space="preserve"> </w:t>
      </w:r>
    </w:p>
    <w:p w14:paraId="61C816C9" w14:textId="1C0F132D" w:rsidR="002205D2" w:rsidRPr="00F56540" w:rsidRDefault="002205D2" w:rsidP="008E36B5">
      <w:pPr>
        <w:pStyle w:val="DHHSbody"/>
        <w:spacing w:after="240"/>
        <w:rPr>
          <w:rFonts w:cs="Arial"/>
        </w:rPr>
      </w:pPr>
      <w:r w:rsidRPr="00F56540">
        <w:rPr>
          <w:rFonts w:cs="Arial"/>
        </w:rPr>
        <w:t>Th</w:t>
      </w:r>
      <w:r w:rsidR="00806E71" w:rsidRPr="00F56540">
        <w:rPr>
          <w:rFonts w:cs="Arial"/>
        </w:rPr>
        <w:t>e following exceptional circumstances apply</w:t>
      </w:r>
      <w:r w:rsidR="0035347D" w:rsidRPr="00F56540">
        <w:rPr>
          <w:rFonts w:cs="Arial"/>
        </w:rPr>
        <w:t>, as outlined</w:t>
      </w:r>
      <w:r w:rsidR="002770B8">
        <w:rPr>
          <w:rFonts w:cs="Arial"/>
        </w:rPr>
        <w:t xml:space="preserve"> below </w:t>
      </w:r>
      <w:r w:rsidR="0035347D" w:rsidRPr="00F56540">
        <w:rPr>
          <w:rFonts w:cs="Arial"/>
        </w:rPr>
        <w:t xml:space="preserve">in </w:t>
      </w:r>
      <w:hyperlink w:anchor="_Table_7_–" w:history="1">
        <w:r w:rsidR="0035347D" w:rsidRPr="00521D94">
          <w:rPr>
            <w:rStyle w:val="Hyperlink"/>
            <w:rFonts w:cs="Arial"/>
          </w:rPr>
          <w:t xml:space="preserve">Table </w:t>
        </w:r>
        <w:r w:rsidR="00547C55" w:rsidRPr="00521D94">
          <w:rPr>
            <w:rStyle w:val="Hyperlink"/>
            <w:rFonts w:cs="Arial"/>
          </w:rPr>
          <w:t>7</w:t>
        </w:r>
      </w:hyperlink>
      <w:r w:rsidR="0035347D" w:rsidRPr="00F56540">
        <w:rPr>
          <w:rFonts w:cs="Arial"/>
        </w:rPr>
        <w:t>.</w:t>
      </w:r>
      <w:r w:rsidR="00806E71" w:rsidRPr="00F56540">
        <w:rPr>
          <w:rFonts w:cs="Arial"/>
        </w:rPr>
        <w:t xml:space="preserve"> </w:t>
      </w:r>
    </w:p>
    <w:p w14:paraId="17508EA6" w14:textId="165E95A7" w:rsidR="00943927" w:rsidRPr="00521D94" w:rsidRDefault="0035347D" w:rsidP="00521D94">
      <w:pPr>
        <w:pStyle w:val="Heading2"/>
        <w:spacing w:before="240"/>
        <w:rPr>
          <w:sz w:val="24"/>
          <w:szCs w:val="24"/>
        </w:rPr>
      </w:pPr>
      <w:bookmarkStart w:id="52" w:name="_Table_7_–"/>
      <w:bookmarkStart w:id="53" w:name="_Toc116457934"/>
      <w:bookmarkEnd w:id="52"/>
      <w:r w:rsidRPr="00521D94">
        <w:rPr>
          <w:sz w:val="24"/>
          <w:szCs w:val="24"/>
        </w:rPr>
        <w:t xml:space="preserve">Table </w:t>
      </w:r>
      <w:r w:rsidR="006310BB" w:rsidRPr="00521D94">
        <w:rPr>
          <w:sz w:val="24"/>
          <w:szCs w:val="24"/>
        </w:rPr>
        <w:t>7</w:t>
      </w:r>
      <w:r w:rsidRPr="00521D94">
        <w:rPr>
          <w:sz w:val="24"/>
          <w:szCs w:val="24"/>
        </w:rPr>
        <w:t xml:space="preserve"> – exceptional circumstances </w:t>
      </w:r>
      <w:r w:rsidR="004123C6" w:rsidRPr="00521D94">
        <w:rPr>
          <w:sz w:val="24"/>
          <w:szCs w:val="24"/>
        </w:rPr>
        <w:t xml:space="preserve">that may </w:t>
      </w:r>
      <w:r w:rsidR="000139AC" w:rsidRPr="00521D94">
        <w:rPr>
          <w:sz w:val="24"/>
          <w:szCs w:val="24"/>
        </w:rPr>
        <w:t xml:space="preserve">allow for </w:t>
      </w:r>
      <w:r w:rsidR="00633C37" w:rsidRPr="00521D94">
        <w:rPr>
          <w:sz w:val="24"/>
          <w:szCs w:val="24"/>
        </w:rPr>
        <w:t xml:space="preserve">non-compliance to vaccination </w:t>
      </w:r>
      <w:r w:rsidR="00943927" w:rsidRPr="00521D94">
        <w:rPr>
          <w:sz w:val="24"/>
          <w:szCs w:val="24"/>
        </w:rPr>
        <w:t>requirements</w:t>
      </w:r>
      <w:bookmarkEnd w:id="53"/>
    </w:p>
    <w:tbl>
      <w:tblPr>
        <w:tblStyle w:val="TableGrid"/>
        <w:tblW w:w="0" w:type="auto"/>
        <w:tblLook w:val="04A0" w:firstRow="1" w:lastRow="0" w:firstColumn="1" w:lastColumn="0" w:noHBand="0" w:noVBand="1"/>
      </w:tblPr>
      <w:tblGrid>
        <w:gridCol w:w="1696"/>
        <w:gridCol w:w="7592"/>
      </w:tblGrid>
      <w:tr w:rsidR="00BC7DE1" w:rsidRPr="00F56540" w14:paraId="3C9CC5CD" w14:textId="77777777" w:rsidTr="00101B7A">
        <w:tc>
          <w:tcPr>
            <w:tcW w:w="1696" w:type="dxa"/>
            <w:shd w:val="clear" w:color="auto" w:fill="DBE5F1" w:themeFill="accent1" w:themeFillTint="33"/>
          </w:tcPr>
          <w:p w14:paraId="7E11F447" w14:textId="505EB89A" w:rsidR="00BC7DE1" w:rsidRPr="00E51658" w:rsidRDefault="00977EE7" w:rsidP="002205D2">
            <w:pPr>
              <w:pStyle w:val="DHHSbody"/>
              <w:rPr>
                <w:rFonts w:cs="Arial"/>
                <w:b/>
                <w:bCs/>
              </w:rPr>
            </w:pPr>
            <w:r>
              <w:rPr>
                <w:rFonts w:cs="Arial"/>
                <w:b/>
                <w:bCs/>
              </w:rPr>
              <w:t>Vaccine</w:t>
            </w:r>
          </w:p>
        </w:tc>
        <w:tc>
          <w:tcPr>
            <w:tcW w:w="7592" w:type="dxa"/>
            <w:shd w:val="clear" w:color="auto" w:fill="DBE5F1" w:themeFill="accent1" w:themeFillTint="33"/>
          </w:tcPr>
          <w:p w14:paraId="11D53D49" w14:textId="654FB6BF" w:rsidR="00BC7DE1" w:rsidRPr="00E51658" w:rsidRDefault="00BC7DE1" w:rsidP="002205D2">
            <w:pPr>
              <w:pStyle w:val="DHHSbody"/>
              <w:rPr>
                <w:rFonts w:cs="Arial"/>
                <w:b/>
                <w:bCs/>
              </w:rPr>
            </w:pPr>
            <w:r w:rsidRPr="00E51658">
              <w:rPr>
                <w:rFonts w:cs="Arial"/>
                <w:b/>
                <w:bCs/>
              </w:rPr>
              <w:t xml:space="preserve">Exceptional circumstances </w:t>
            </w:r>
          </w:p>
        </w:tc>
      </w:tr>
      <w:tr w:rsidR="00BC7DE1" w:rsidRPr="00F56540" w14:paraId="32F3611E" w14:textId="77777777" w:rsidTr="00E51658">
        <w:tc>
          <w:tcPr>
            <w:tcW w:w="1696" w:type="dxa"/>
          </w:tcPr>
          <w:p w14:paraId="655D30B9" w14:textId="7901C185" w:rsidR="00BC7DE1" w:rsidRPr="00F56540" w:rsidRDefault="00BC7DE1" w:rsidP="002205D2">
            <w:pPr>
              <w:pStyle w:val="DHHSbody"/>
              <w:rPr>
                <w:rFonts w:cs="Arial"/>
              </w:rPr>
            </w:pPr>
            <w:r w:rsidRPr="00F56540">
              <w:rPr>
                <w:rFonts w:cs="Arial"/>
              </w:rPr>
              <w:t>Influenza</w:t>
            </w:r>
          </w:p>
        </w:tc>
        <w:tc>
          <w:tcPr>
            <w:tcW w:w="7592" w:type="dxa"/>
          </w:tcPr>
          <w:p w14:paraId="11163617" w14:textId="5CDCC230" w:rsidR="00BC7DE1" w:rsidRPr="00F56540" w:rsidRDefault="00BC7DE1" w:rsidP="00BC7DE1">
            <w:pPr>
              <w:pStyle w:val="DHHSbody"/>
              <w:numPr>
                <w:ilvl w:val="0"/>
                <w:numId w:val="2"/>
              </w:numPr>
              <w:rPr>
                <w:rFonts w:cs="Arial"/>
              </w:rPr>
            </w:pPr>
            <w:r w:rsidRPr="00F56540">
              <w:rPr>
                <w:rFonts w:cs="Arial"/>
              </w:rPr>
              <w:t>The healthcare worker is highly specialised, a sole practitioner (for example in some rural/remote areas), or there is a current workforce shortage in the person’s clinical area</w:t>
            </w:r>
            <w:r w:rsidR="00106F65" w:rsidRPr="00F56540">
              <w:rPr>
                <w:rFonts w:cs="Arial"/>
              </w:rPr>
              <w:t>.</w:t>
            </w:r>
          </w:p>
          <w:p w14:paraId="1C25CFBF" w14:textId="1C1287E7" w:rsidR="00BC7DE1" w:rsidRPr="00F56540" w:rsidRDefault="00BC7DE1" w:rsidP="00BC7DE1">
            <w:pPr>
              <w:pStyle w:val="DHHSbody"/>
              <w:numPr>
                <w:ilvl w:val="0"/>
                <w:numId w:val="2"/>
              </w:numPr>
              <w:rPr>
                <w:rFonts w:cs="Arial"/>
              </w:rPr>
            </w:pPr>
            <w:r w:rsidRPr="00F56540">
              <w:rPr>
                <w:rFonts w:cs="Arial"/>
              </w:rPr>
              <w:t>Failure to retain or appoint the healthcare worker would pose a genuine and serious risk to service delivery</w:t>
            </w:r>
            <w:r w:rsidR="00106F65" w:rsidRPr="00F56540">
              <w:rPr>
                <w:rFonts w:cs="Arial"/>
              </w:rPr>
              <w:t xml:space="preserve">. </w:t>
            </w:r>
          </w:p>
          <w:p w14:paraId="43230E96" w14:textId="1E7796BC" w:rsidR="00BC7DE1" w:rsidRPr="00E75296" w:rsidRDefault="00BC7DE1" w:rsidP="00E75296">
            <w:pPr>
              <w:pStyle w:val="DHHSbody"/>
              <w:numPr>
                <w:ilvl w:val="0"/>
                <w:numId w:val="2"/>
              </w:numPr>
              <w:spacing w:after="240"/>
              <w:rPr>
                <w:rFonts w:cs="Arial"/>
              </w:rPr>
            </w:pPr>
            <w:r w:rsidRPr="00F56540">
              <w:rPr>
                <w:rFonts w:cs="Arial"/>
              </w:rPr>
              <w:t xml:space="preserve">It would be difficult to replace the healthcare worker, and/or it would result in a significant period without the service. </w:t>
            </w:r>
          </w:p>
        </w:tc>
      </w:tr>
      <w:tr w:rsidR="00BC7DE1" w:rsidRPr="00F56540" w14:paraId="0A652E53" w14:textId="77777777" w:rsidTr="00E51658">
        <w:tc>
          <w:tcPr>
            <w:tcW w:w="1696" w:type="dxa"/>
          </w:tcPr>
          <w:p w14:paraId="3DE18075" w14:textId="0F7A7D2B" w:rsidR="00BC7DE1" w:rsidRPr="00F56540" w:rsidRDefault="00BC7DE1" w:rsidP="002205D2">
            <w:pPr>
              <w:pStyle w:val="DHHSbody"/>
              <w:rPr>
                <w:rFonts w:cs="Arial"/>
              </w:rPr>
            </w:pPr>
            <w:r w:rsidRPr="00F56540">
              <w:rPr>
                <w:rFonts w:cs="Arial"/>
              </w:rPr>
              <w:lastRenderedPageBreak/>
              <w:t>COVID-19</w:t>
            </w:r>
          </w:p>
        </w:tc>
        <w:tc>
          <w:tcPr>
            <w:tcW w:w="7592" w:type="dxa"/>
          </w:tcPr>
          <w:p w14:paraId="79BD8C0A" w14:textId="09EE4B5A" w:rsidR="00BC7DE1" w:rsidRPr="00F56540" w:rsidRDefault="00106F65" w:rsidP="00E51658">
            <w:pPr>
              <w:pStyle w:val="DHHSbody"/>
              <w:numPr>
                <w:ilvl w:val="0"/>
                <w:numId w:val="23"/>
              </w:numPr>
              <w:rPr>
                <w:rFonts w:cs="Arial"/>
              </w:rPr>
            </w:pPr>
            <w:bookmarkStart w:id="54" w:name="_Ref99351737"/>
            <w:r w:rsidRPr="00F56540">
              <w:rPr>
                <w:rFonts w:cs="Arial"/>
              </w:rPr>
              <w:t>The</w:t>
            </w:r>
            <w:r w:rsidR="00BC7DE1" w:rsidRPr="00F56540">
              <w:rPr>
                <w:rFonts w:cs="Arial"/>
              </w:rPr>
              <w:t xml:space="preserve"> worker is required to perform work or duties at a facility that is or are necessary to provide for urgent specialist clinical or medical care due to </w:t>
            </w:r>
            <w:r w:rsidR="00977EE7" w:rsidRPr="00F56540">
              <w:rPr>
                <w:rFonts w:cs="Arial"/>
              </w:rPr>
              <w:t>an emergency</w:t>
            </w:r>
            <w:r w:rsidR="00BC7DE1" w:rsidRPr="00F56540">
              <w:rPr>
                <w:rFonts w:cs="Arial"/>
              </w:rPr>
              <w:t xml:space="preserve"> or a critical unforeseen circumstance</w:t>
            </w:r>
            <w:r w:rsidR="001533B1" w:rsidRPr="00F56540">
              <w:rPr>
                <w:rFonts w:cs="Arial"/>
              </w:rPr>
              <w:t xml:space="preserve">. </w:t>
            </w:r>
            <w:bookmarkEnd w:id="54"/>
          </w:p>
          <w:p w14:paraId="77B24AE6" w14:textId="73397309" w:rsidR="00BC7DE1" w:rsidRPr="00F56540" w:rsidRDefault="001533B1" w:rsidP="00E51658">
            <w:pPr>
              <w:pStyle w:val="DHHSbody"/>
              <w:numPr>
                <w:ilvl w:val="0"/>
                <w:numId w:val="23"/>
              </w:numPr>
              <w:rPr>
                <w:rFonts w:cs="Arial"/>
              </w:rPr>
            </w:pPr>
            <w:r w:rsidRPr="00F56540">
              <w:rPr>
                <w:rFonts w:cs="Arial"/>
              </w:rPr>
              <w:t xml:space="preserve">The </w:t>
            </w:r>
            <w:r w:rsidR="00BC7DE1" w:rsidRPr="00F56540">
              <w:rPr>
                <w:rFonts w:cs="Arial"/>
              </w:rPr>
              <w:t xml:space="preserve">worker is required to fill a vacancy to provide urgent care, to maintain quality of care and/or to continue essential operations due to </w:t>
            </w:r>
            <w:r w:rsidR="00977EE7" w:rsidRPr="00F56540">
              <w:rPr>
                <w:rFonts w:cs="Arial"/>
              </w:rPr>
              <w:t>an emergency</w:t>
            </w:r>
            <w:r w:rsidR="00BC7DE1" w:rsidRPr="00F56540">
              <w:rPr>
                <w:rFonts w:cs="Arial"/>
              </w:rPr>
              <w:t xml:space="preserve"> or a critical unforeseen circumstance</w:t>
            </w:r>
            <w:r w:rsidRPr="00F56540">
              <w:rPr>
                <w:rFonts w:cs="Arial"/>
              </w:rPr>
              <w:t xml:space="preserve">. </w:t>
            </w:r>
          </w:p>
          <w:p w14:paraId="42B4B2B7" w14:textId="744E34C9" w:rsidR="00BC7DE1" w:rsidRPr="00F56540" w:rsidRDefault="001533B1" w:rsidP="00E51658">
            <w:pPr>
              <w:pStyle w:val="DHHSbody"/>
              <w:numPr>
                <w:ilvl w:val="0"/>
                <w:numId w:val="24"/>
              </w:numPr>
              <w:rPr>
                <w:rFonts w:cs="Arial"/>
              </w:rPr>
            </w:pPr>
            <w:r w:rsidRPr="00F56540">
              <w:rPr>
                <w:rFonts w:cs="Arial"/>
              </w:rPr>
              <w:t xml:space="preserve">The </w:t>
            </w:r>
            <w:r w:rsidR="00BC7DE1" w:rsidRPr="00F56540">
              <w:rPr>
                <w:rFonts w:cs="Arial"/>
              </w:rPr>
              <w:t>worker is required to respond to an emergency</w:t>
            </w:r>
            <w:r w:rsidR="00726B56">
              <w:rPr>
                <w:rFonts w:cs="Arial"/>
              </w:rPr>
              <w:t xml:space="preserve">. </w:t>
            </w:r>
          </w:p>
          <w:p w14:paraId="2938FB1C" w14:textId="2938AD5A" w:rsidR="00BC7DE1" w:rsidRPr="00F56540" w:rsidRDefault="001533B1" w:rsidP="00E51658">
            <w:pPr>
              <w:pStyle w:val="DHHSbody"/>
              <w:numPr>
                <w:ilvl w:val="0"/>
                <w:numId w:val="24"/>
              </w:numPr>
              <w:rPr>
                <w:rFonts w:cs="Arial"/>
              </w:rPr>
            </w:pPr>
            <w:r w:rsidRPr="00F56540">
              <w:rPr>
                <w:rFonts w:cs="Arial"/>
              </w:rPr>
              <w:t xml:space="preserve">The </w:t>
            </w:r>
            <w:r w:rsidR="00BC7DE1" w:rsidRPr="00F56540">
              <w:rPr>
                <w:rFonts w:cs="Arial"/>
              </w:rPr>
              <w:t xml:space="preserve">worker is required to perform urgent and essential work, including critical training, to protect the health and safety of workers or members of the public, or to protect </w:t>
            </w:r>
            <w:r w:rsidR="00D41464">
              <w:rPr>
                <w:rFonts w:cs="Arial"/>
              </w:rPr>
              <w:t xml:space="preserve">the healthcare service’s </w:t>
            </w:r>
            <w:r w:rsidR="00BC7DE1" w:rsidRPr="00F56540">
              <w:rPr>
                <w:rFonts w:cs="Arial"/>
              </w:rPr>
              <w:t>assets and infrastructure.</w:t>
            </w:r>
          </w:p>
          <w:p w14:paraId="668D1A66" w14:textId="14DE3D28" w:rsidR="00BC7DE1" w:rsidRPr="00F56540" w:rsidRDefault="00BC7DE1" w:rsidP="00BC7DE1">
            <w:pPr>
              <w:pStyle w:val="DHHSbody"/>
              <w:rPr>
                <w:rFonts w:cs="Arial"/>
              </w:rPr>
            </w:pPr>
            <w:r w:rsidRPr="00F56540">
              <w:rPr>
                <w:rFonts w:cs="Arial"/>
              </w:rPr>
              <w:t>If a</w:t>
            </w:r>
            <w:r w:rsidR="002B1E08" w:rsidRPr="00F56540">
              <w:rPr>
                <w:rFonts w:cs="Arial"/>
              </w:rPr>
              <w:t>n exceptional</w:t>
            </w:r>
            <w:r w:rsidRPr="00F56540">
              <w:rPr>
                <w:rFonts w:cs="Arial"/>
              </w:rPr>
              <w:t xml:space="preserve"> circumstance applies, the employer </w:t>
            </w:r>
            <w:r w:rsidR="3AF3A58F" w:rsidRPr="5ADB5596">
              <w:rPr>
                <w:rFonts w:cs="Arial"/>
              </w:rPr>
              <w:t>should undertake an assessment of the circumstances, and</w:t>
            </w:r>
            <w:r w:rsidRPr="00F56540">
              <w:rPr>
                <w:rFonts w:cs="Arial"/>
              </w:rPr>
              <w:t xml:space="preserve"> take all reasonable steps to ensure that the worker:</w:t>
            </w:r>
          </w:p>
          <w:p w14:paraId="3AD04B72" w14:textId="02D8136E" w:rsidR="00BC7DE1" w:rsidRDefault="00BC7DE1" w:rsidP="007E3D23">
            <w:pPr>
              <w:pStyle w:val="DHHSbody"/>
              <w:numPr>
                <w:ilvl w:val="0"/>
                <w:numId w:val="25"/>
              </w:numPr>
              <w:rPr>
                <w:rFonts w:cs="Arial"/>
              </w:rPr>
            </w:pPr>
            <w:bookmarkStart w:id="55" w:name="_Ref99352664"/>
            <w:r w:rsidRPr="00F56540">
              <w:rPr>
                <w:rFonts w:cs="Arial"/>
              </w:rPr>
              <w:t xml:space="preserve">remains upon the premises only for the </w:t>
            </w:r>
            <w:r w:rsidR="00977EE7" w:rsidRPr="00F56540">
              <w:rPr>
                <w:rFonts w:cs="Arial"/>
              </w:rPr>
              <w:t>period</w:t>
            </w:r>
            <w:r w:rsidRPr="00F56540">
              <w:rPr>
                <w:rFonts w:cs="Arial"/>
              </w:rPr>
              <w:t xml:space="preserve"> necessary to respond to the exceptional circumstance.</w:t>
            </w:r>
            <w:bookmarkEnd w:id="55"/>
            <w:r w:rsidRPr="00F56540">
              <w:rPr>
                <w:rFonts w:cs="Arial"/>
              </w:rPr>
              <w:t xml:space="preserve"> </w:t>
            </w:r>
          </w:p>
          <w:p w14:paraId="5E176B45" w14:textId="44243F04" w:rsidR="0055227D" w:rsidRDefault="00C43EA3" w:rsidP="007E3D23">
            <w:pPr>
              <w:pStyle w:val="DHHSbody"/>
              <w:numPr>
                <w:ilvl w:val="0"/>
                <w:numId w:val="25"/>
              </w:numPr>
              <w:rPr>
                <w:rFonts w:cs="Arial"/>
              </w:rPr>
            </w:pPr>
            <w:r>
              <w:rPr>
                <w:rFonts w:cs="Arial"/>
              </w:rPr>
              <w:t xml:space="preserve">complies with other risk mitigation strategies (such as the use of PPE) the healthcare setting deems necessary. </w:t>
            </w:r>
          </w:p>
          <w:p w14:paraId="0F09EA10" w14:textId="0C127CDA" w:rsidR="00BC7DE1" w:rsidRPr="00F56540" w:rsidRDefault="00B72F59" w:rsidP="00E75296">
            <w:pPr>
              <w:pStyle w:val="DHHSbody"/>
              <w:spacing w:after="240"/>
              <w:rPr>
                <w:rFonts w:cs="Arial"/>
              </w:rPr>
            </w:pPr>
            <w:r w:rsidRPr="00B72F59">
              <w:rPr>
                <w:rFonts w:cs="Arial"/>
              </w:rPr>
              <w:t>These e</w:t>
            </w:r>
            <w:r>
              <w:rPr>
                <w:rFonts w:cs="Arial"/>
              </w:rPr>
              <w:t>xce</w:t>
            </w:r>
            <w:r w:rsidRPr="00B72F59">
              <w:rPr>
                <w:rFonts w:cs="Arial"/>
              </w:rPr>
              <w:t xml:space="preserve">ptions are intended for </w:t>
            </w:r>
            <w:r w:rsidRPr="00056B62">
              <w:rPr>
                <w:rFonts w:cs="Arial"/>
                <w:b/>
                <w:bCs/>
              </w:rPr>
              <w:t>temporary use only</w:t>
            </w:r>
            <w:r>
              <w:rPr>
                <w:rFonts w:cs="Arial"/>
              </w:rPr>
              <w:t>,</w:t>
            </w:r>
            <w:r w:rsidRPr="00B72F59">
              <w:rPr>
                <w:rFonts w:cs="Arial"/>
              </w:rPr>
              <w:t xml:space="preserve"> to assist a </w:t>
            </w:r>
            <w:r>
              <w:rPr>
                <w:rFonts w:cs="Arial"/>
              </w:rPr>
              <w:t xml:space="preserve">healthcare setting to </w:t>
            </w:r>
            <w:r w:rsidRPr="00B72F59">
              <w:rPr>
                <w:rFonts w:cs="Arial"/>
              </w:rPr>
              <w:t xml:space="preserve">manage urgent or unforeseen circumstances. This means a circumstance that the operator of a </w:t>
            </w:r>
            <w:r>
              <w:rPr>
                <w:rFonts w:cs="Arial"/>
              </w:rPr>
              <w:t>healthcare setting</w:t>
            </w:r>
            <w:r w:rsidRPr="00B72F59">
              <w:rPr>
                <w:rFonts w:cs="Arial"/>
              </w:rPr>
              <w:t xml:space="preserve"> could not reasonably have foreseen nor planned for</w:t>
            </w:r>
            <w:r>
              <w:rPr>
                <w:rFonts w:cs="Arial"/>
              </w:rPr>
              <w:t>,</w:t>
            </w:r>
            <w:r w:rsidRPr="00B72F59">
              <w:rPr>
                <w:rFonts w:cs="Arial"/>
              </w:rPr>
              <w:t xml:space="preserve"> which results in a critical need for staff.</w:t>
            </w:r>
          </w:p>
        </w:tc>
      </w:tr>
    </w:tbl>
    <w:p w14:paraId="5B8B4B26" w14:textId="2AB1FAED" w:rsidR="002205D2" w:rsidRPr="00F56540" w:rsidRDefault="008E4F5E" w:rsidP="006C5F4D">
      <w:pPr>
        <w:pStyle w:val="DHHSbody"/>
        <w:spacing w:before="240"/>
        <w:rPr>
          <w:rFonts w:cs="Arial"/>
        </w:rPr>
      </w:pPr>
      <w:r w:rsidRPr="57BEAF62">
        <w:rPr>
          <w:rFonts w:cs="Arial"/>
        </w:rPr>
        <w:t xml:space="preserve">Health services should establish a </w:t>
      </w:r>
      <w:r w:rsidR="005C1092" w:rsidRPr="57BEAF62">
        <w:rPr>
          <w:rFonts w:cs="Arial"/>
        </w:rPr>
        <w:t xml:space="preserve">process </w:t>
      </w:r>
      <w:r w:rsidRPr="57BEAF62">
        <w:rPr>
          <w:rFonts w:cs="Arial"/>
        </w:rPr>
        <w:t xml:space="preserve">for </w:t>
      </w:r>
      <w:r w:rsidR="00B77944" w:rsidRPr="57BEAF62">
        <w:rPr>
          <w:rFonts w:cs="Arial"/>
        </w:rPr>
        <w:t xml:space="preserve">assessing and approving </w:t>
      </w:r>
      <w:r w:rsidR="001212A4" w:rsidRPr="57BEAF62">
        <w:rPr>
          <w:rFonts w:cs="Arial"/>
        </w:rPr>
        <w:t xml:space="preserve">exemptions </w:t>
      </w:r>
      <w:r w:rsidR="0C4AA0F2" w:rsidRPr="57BEAF62">
        <w:rPr>
          <w:rFonts w:cs="Arial"/>
        </w:rPr>
        <w:t>in</w:t>
      </w:r>
      <w:r w:rsidR="001212A4" w:rsidRPr="57BEAF62">
        <w:rPr>
          <w:rFonts w:cs="Arial"/>
        </w:rPr>
        <w:t xml:space="preserve"> </w:t>
      </w:r>
      <w:r w:rsidRPr="57BEAF62">
        <w:rPr>
          <w:rFonts w:cs="Arial"/>
        </w:rPr>
        <w:t>exceptional circumstances</w:t>
      </w:r>
      <w:r w:rsidR="00793A32" w:rsidRPr="57BEAF62">
        <w:rPr>
          <w:rFonts w:cs="Arial"/>
        </w:rPr>
        <w:t xml:space="preserve">, and any conditions that apply to workers </w:t>
      </w:r>
      <w:r w:rsidR="53914CD7" w:rsidRPr="57BEAF62">
        <w:rPr>
          <w:rFonts w:cs="Arial"/>
        </w:rPr>
        <w:t>in</w:t>
      </w:r>
      <w:r w:rsidR="005320BA" w:rsidRPr="57BEAF62">
        <w:rPr>
          <w:rFonts w:cs="Arial"/>
        </w:rPr>
        <w:t xml:space="preserve"> these circumstances</w:t>
      </w:r>
      <w:r w:rsidR="00A149A4" w:rsidRPr="57BEAF62">
        <w:rPr>
          <w:rFonts w:cs="Arial"/>
        </w:rPr>
        <w:t>.</w:t>
      </w:r>
      <w:r w:rsidRPr="57BEAF62">
        <w:rPr>
          <w:rFonts w:cs="Arial"/>
        </w:rPr>
        <w:t xml:space="preserve"> </w:t>
      </w:r>
      <w:r w:rsidR="002205D2" w:rsidRPr="57BEAF62">
        <w:rPr>
          <w:rFonts w:cs="Arial"/>
        </w:rPr>
        <w:t>Whe</w:t>
      </w:r>
      <w:r w:rsidR="00A149A4" w:rsidRPr="57BEAF62">
        <w:rPr>
          <w:rFonts w:cs="Arial"/>
        </w:rPr>
        <w:t>n any of</w:t>
      </w:r>
      <w:r w:rsidR="002205D2" w:rsidRPr="57BEAF62">
        <w:rPr>
          <w:rFonts w:cs="Arial"/>
        </w:rPr>
        <w:t xml:space="preserve"> these exceptional circumstances arise, they should be assessed by an </w:t>
      </w:r>
      <w:r w:rsidR="00111424" w:rsidRPr="57BEAF62">
        <w:rPr>
          <w:rFonts w:cs="Arial"/>
        </w:rPr>
        <w:t xml:space="preserve">internal </w:t>
      </w:r>
      <w:r w:rsidR="002205D2" w:rsidRPr="57BEAF62">
        <w:rPr>
          <w:rFonts w:cs="Arial"/>
        </w:rPr>
        <w:t>expert group, in conjunction with the organisation’s Chief Executive Officer or appropriate delegate</w:t>
      </w:r>
      <w:r w:rsidR="58D9E222" w:rsidRPr="57BEAF62">
        <w:rPr>
          <w:rFonts w:cs="Arial"/>
        </w:rPr>
        <w:t>, to determine appropriate action</w:t>
      </w:r>
      <w:r w:rsidR="002205D2" w:rsidRPr="57BEAF62">
        <w:rPr>
          <w:rFonts w:cs="Arial"/>
        </w:rPr>
        <w:t>.</w:t>
      </w:r>
      <w:r w:rsidR="005C1092">
        <w:rPr>
          <w:rFonts w:cs="Arial"/>
        </w:rPr>
        <w:t xml:space="preserve"> </w:t>
      </w:r>
    </w:p>
    <w:p w14:paraId="09CEE3E6" w14:textId="56BC0315" w:rsidR="002205D2" w:rsidRPr="00597CE3" w:rsidRDefault="00412988" w:rsidP="00446879">
      <w:pPr>
        <w:pStyle w:val="Heading1"/>
        <w:spacing w:before="360"/>
        <w:rPr>
          <w:sz w:val="40"/>
          <w:szCs w:val="40"/>
        </w:rPr>
      </w:pPr>
      <w:bookmarkStart w:id="56" w:name="_Toc46399894"/>
      <w:bookmarkStart w:id="57" w:name="_Toc113362857"/>
      <w:bookmarkStart w:id="58" w:name="_Toc116457935"/>
      <w:r w:rsidRPr="00597CE3">
        <w:rPr>
          <w:sz w:val="40"/>
          <w:szCs w:val="40"/>
        </w:rPr>
        <w:t>10</w:t>
      </w:r>
      <w:r w:rsidR="002205D2" w:rsidRPr="00597CE3">
        <w:rPr>
          <w:sz w:val="40"/>
          <w:szCs w:val="40"/>
        </w:rPr>
        <w:t>. Recording and reporting</w:t>
      </w:r>
      <w:bookmarkEnd w:id="56"/>
      <w:bookmarkEnd w:id="57"/>
      <w:bookmarkEnd w:id="58"/>
    </w:p>
    <w:p w14:paraId="6109A207" w14:textId="6946E169" w:rsidR="002205D2" w:rsidRPr="00F56540" w:rsidRDefault="002205D2" w:rsidP="002205D2">
      <w:pPr>
        <w:pStyle w:val="DHHSbody"/>
        <w:rPr>
          <w:rFonts w:cs="Arial"/>
        </w:rPr>
      </w:pPr>
      <w:r w:rsidRPr="00F56540">
        <w:rPr>
          <w:rFonts w:cs="Arial"/>
        </w:rPr>
        <w:t xml:space="preserve">Healthcare settings are responsible for </w:t>
      </w:r>
      <w:r w:rsidR="00D97157" w:rsidRPr="006554CC">
        <w:rPr>
          <w:rFonts w:cs="Arial"/>
        </w:rPr>
        <w:t>sighting evidence of</w:t>
      </w:r>
      <w:r w:rsidR="00FD6F98" w:rsidRPr="006554CC">
        <w:rPr>
          <w:rFonts w:cs="Arial"/>
        </w:rPr>
        <w:t>,</w:t>
      </w:r>
      <w:r w:rsidR="00D97157" w:rsidRPr="006554CC">
        <w:rPr>
          <w:rFonts w:cs="Arial"/>
        </w:rPr>
        <w:t xml:space="preserve"> and recording compliance with</w:t>
      </w:r>
      <w:r w:rsidR="00FD6F98">
        <w:rPr>
          <w:rFonts w:cs="Arial"/>
        </w:rPr>
        <w:t>,</w:t>
      </w:r>
      <w:r w:rsidR="00D97157">
        <w:rPr>
          <w:rFonts w:cs="Arial"/>
        </w:rPr>
        <w:t xml:space="preserve"> </w:t>
      </w:r>
      <w:r w:rsidR="006365A0">
        <w:rPr>
          <w:rFonts w:cs="Arial"/>
        </w:rPr>
        <w:t xml:space="preserve">current </w:t>
      </w:r>
      <w:r w:rsidR="00D97157">
        <w:rPr>
          <w:rFonts w:cs="Arial"/>
        </w:rPr>
        <w:t xml:space="preserve">employee vaccination requirements. </w:t>
      </w:r>
      <w:r w:rsidR="006365A0" w:rsidRPr="00F56540">
        <w:rPr>
          <w:rFonts w:cs="Arial"/>
        </w:rPr>
        <w:t xml:space="preserve">Healthcare settings, or contracted vaccination providers, are also responsible for notifying the Australian Immunisation Register </w:t>
      </w:r>
      <w:r w:rsidR="002C6A6D">
        <w:rPr>
          <w:rFonts w:cs="Arial"/>
        </w:rPr>
        <w:t xml:space="preserve">(AIR) </w:t>
      </w:r>
      <w:r w:rsidR="006365A0" w:rsidRPr="00F56540">
        <w:rPr>
          <w:rFonts w:cs="Arial"/>
        </w:rPr>
        <w:t>of vaccinations administered.</w:t>
      </w:r>
    </w:p>
    <w:p w14:paraId="1A7F445F" w14:textId="1F6EC0E9" w:rsidR="003577F6" w:rsidRDefault="003577F6" w:rsidP="002205D2">
      <w:pPr>
        <w:pStyle w:val="DHHSbody"/>
        <w:rPr>
          <w:rFonts w:cs="Arial"/>
        </w:rPr>
      </w:pPr>
      <w:r w:rsidRPr="1BE2EBB5">
        <w:rPr>
          <w:rFonts w:cs="Arial"/>
        </w:rPr>
        <w:t>Once evidence has been sighted, it must be deleted or destroyed following usual process for confidential information. If it is retained, it must be stored in compliance with relevant privacy and data protection legislation.</w:t>
      </w:r>
    </w:p>
    <w:p w14:paraId="312D551E" w14:textId="7F0C6B59" w:rsidR="00DF5116" w:rsidRPr="00F56540" w:rsidRDefault="00DF5116" w:rsidP="002205D2">
      <w:pPr>
        <w:pStyle w:val="DHHSbody"/>
        <w:rPr>
          <w:rFonts w:cs="Arial"/>
        </w:rPr>
      </w:pPr>
      <w:r w:rsidRPr="00F56540">
        <w:rPr>
          <w:rFonts w:cs="Arial"/>
        </w:rPr>
        <w:t xml:space="preserve">It is recommended that healthcare settings also categorise and record the risk status of healthcare workers as per the </w:t>
      </w:r>
      <w:hyperlink w:anchor="_Table_1._Risk" w:history="1">
        <w:r w:rsidRPr="00056B62">
          <w:rPr>
            <w:rStyle w:val="Hyperlink"/>
            <w:rFonts w:cs="Arial"/>
            <w:bCs/>
          </w:rPr>
          <w:t>Table 1. Risk categorisation and recommended vaccine schedule</w:t>
        </w:r>
      </w:hyperlink>
      <w:r w:rsidRPr="00F56540">
        <w:rPr>
          <w:rFonts w:cs="Arial"/>
        </w:rPr>
        <w:t>.</w:t>
      </w:r>
      <w:r w:rsidR="00002581" w:rsidRPr="00F56540">
        <w:rPr>
          <w:rFonts w:cs="Arial"/>
        </w:rPr>
        <w:t xml:space="preserve"> </w:t>
      </w:r>
    </w:p>
    <w:p w14:paraId="2EFCAD28" w14:textId="13F6EE36" w:rsidR="002205D2" w:rsidRPr="00F56540" w:rsidRDefault="002205D2" w:rsidP="006C5F4D">
      <w:pPr>
        <w:pStyle w:val="DHHSbody"/>
        <w:rPr>
          <w:rFonts w:cs="Arial"/>
        </w:rPr>
      </w:pPr>
      <w:r w:rsidRPr="00F56540">
        <w:rPr>
          <w:rFonts w:cs="Arial"/>
        </w:rPr>
        <w:t xml:space="preserve">Healthcare settings are not responsible for keeping records of </w:t>
      </w:r>
      <w:r w:rsidR="00F34F86" w:rsidRPr="00F56540">
        <w:rPr>
          <w:rFonts w:cs="Arial"/>
        </w:rPr>
        <w:t>students’</w:t>
      </w:r>
      <w:r w:rsidRPr="00F56540">
        <w:rPr>
          <w:rFonts w:cs="Arial"/>
        </w:rPr>
        <w:t xml:space="preserve"> vaccination history. This is the responsibility of the education provider. Healthcare settings may request this information from the education provider if </w:t>
      </w:r>
      <w:r w:rsidR="002C6A6D">
        <w:rPr>
          <w:rFonts w:cs="Arial"/>
        </w:rPr>
        <w:t>needed</w:t>
      </w:r>
      <w:r w:rsidRPr="00F56540">
        <w:rPr>
          <w:rFonts w:cs="Arial"/>
        </w:rPr>
        <w:t xml:space="preserve">, for example, in the case of an exposure event. </w:t>
      </w:r>
    </w:p>
    <w:p w14:paraId="1D12D7E1" w14:textId="29F497D2" w:rsidR="00285B04" w:rsidRDefault="00091B0D" w:rsidP="0054215C">
      <w:pPr>
        <w:pStyle w:val="DHHSbody"/>
        <w:spacing w:after="960"/>
        <w:rPr>
          <w:rFonts w:cs="Arial"/>
        </w:rPr>
      </w:pPr>
      <w:r w:rsidRPr="00E51658">
        <w:rPr>
          <w:rFonts w:cs="Arial"/>
        </w:rPr>
        <w:t xml:space="preserve">Healthcare settings are required to report aggregated data outlining the vaccination rates of healthcare </w:t>
      </w:r>
      <w:r w:rsidRPr="006365A0">
        <w:rPr>
          <w:rFonts w:cs="Arial"/>
        </w:rPr>
        <w:t>workers.</w:t>
      </w:r>
      <w:r w:rsidR="00DF5116" w:rsidRPr="006365A0">
        <w:rPr>
          <w:rFonts w:cs="Arial"/>
        </w:rPr>
        <w:t xml:space="preserve"> Reporting requirements are outlined in the </w:t>
      </w:r>
      <w:hyperlink w:anchor="_Table_8._Reporting" w:history="1">
        <w:r w:rsidR="005B53D5" w:rsidRPr="00521D94">
          <w:rPr>
            <w:rStyle w:val="Hyperlink"/>
            <w:rFonts w:cs="Arial"/>
          </w:rPr>
          <w:t>T</w:t>
        </w:r>
        <w:r w:rsidR="00DF5116" w:rsidRPr="00521D94">
          <w:rPr>
            <w:rStyle w:val="Hyperlink"/>
            <w:rFonts w:cs="Arial"/>
          </w:rPr>
          <w:t xml:space="preserve">able </w:t>
        </w:r>
        <w:r w:rsidR="006365A0" w:rsidRPr="00521D94">
          <w:rPr>
            <w:rStyle w:val="Hyperlink"/>
            <w:rFonts w:cs="Arial"/>
          </w:rPr>
          <w:t>8</w:t>
        </w:r>
      </w:hyperlink>
      <w:r w:rsidR="005B53D5" w:rsidRPr="006365A0">
        <w:rPr>
          <w:rFonts w:cs="Arial"/>
        </w:rPr>
        <w:t xml:space="preserve"> </w:t>
      </w:r>
      <w:r w:rsidR="00DF5116" w:rsidRPr="006365A0">
        <w:rPr>
          <w:rFonts w:cs="Arial"/>
        </w:rPr>
        <w:t>below.</w:t>
      </w:r>
    </w:p>
    <w:p w14:paraId="47393190" w14:textId="6E35B2A2" w:rsidR="00091B0D" w:rsidRPr="00597CE3" w:rsidRDefault="005B53D5" w:rsidP="00597CE3">
      <w:pPr>
        <w:pStyle w:val="Heading2"/>
        <w:spacing w:before="0"/>
        <w:rPr>
          <w:sz w:val="24"/>
          <w:szCs w:val="24"/>
        </w:rPr>
      </w:pPr>
      <w:bookmarkStart w:id="59" w:name="_Table_8._Reporting"/>
      <w:bookmarkStart w:id="60" w:name="_Toc116457936"/>
      <w:bookmarkEnd w:id="59"/>
      <w:r w:rsidRPr="00597CE3">
        <w:rPr>
          <w:sz w:val="24"/>
          <w:szCs w:val="24"/>
        </w:rPr>
        <w:lastRenderedPageBreak/>
        <w:t xml:space="preserve">Table </w:t>
      </w:r>
      <w:r w:rsidR="006365A0" w:rsidRPr="00597CE3">
        <w:rPr>
          <w:sz w:val="24"/>
          <w:szCs w:val="24"/>
        </w:rPr>
        <w:t>8</w:t>
      </w:r>
      <w:r w:rsidR="00C74250" w:rsidRPr="00597CE3">
        <w:rPr>
          <w:sz w:val="24"/>
          <w:szCs w:val="24"/>
        </w:rPr>
        <w:t>.</w:t>
      </w:r>
      <w:r w:rsidR="00CE4F14" w:rsidRPr="00597CE3">
        <w:rPr>
          <w:sz w:val="24"/>
          <w:szCs w:val="24"/>
        </w:rPr>
        <w:t xml:space="preserve"> Reporting requirements </w:t>
      </w:r>
      <w:r w:rsidR="00276680" w:rsidRPr="00597CE3">
        <w:rPr>
          <w:sz w:val="24"/>
          <w:szCs w:val="24"/>
        </w:rPr>
        <w:t>of vaccination coverage for healthcare services</w:t>
      </w:r>
      <w:bookmarkEnd w:id="60"/>
      <w:r w:rsidR="00276680" w:rsidRPr="00597CE3">
        <w:rPr>
          <w:sz w:val="24"/>
          <w:szCs w:val="24"/>
        </w:rPr>
        <w:t xml:space="preserve"> </w:t>
      </w:r>
      <w:r w:rsidR="00DF5116" w:rsidRPr="00597CE3">
        <w:rPr>
          <w:sz w:val="24"/>
          <w:szCs w:val="24"/>
        </w:rPr>
        <w:t xml:space="preserve"> </w:t>
      </w:r>
    </w:p>
    <w:tbl>
      <w:tblPr>
        <w:tblStyle w:val="TableGrid"/>
        <w:tblW w:w="0" w:type="auto"/>
        <w:tblLook w:val="04A0" w:firstRow="1" w:lastRow="0" w:firstColumn="1" w:lastColumn="0" w:noHBand="0" w:noVBand="1"/>
      </w:tblPr>
      <w:tblGrid>
        <w:gridCol w:w="4644"/>
        <w:gridCol w:w="4644"/>
      </w:tblGrid>
      <w:tr w:rsidR="00E668D1" w:rsidRPr="00F56540" w14:paraId="0B502A65" w14:textId="77777777" w:rsidTr="00101B7A">
        <w:tc>
          <w:tcPr>
            <w:tcW w:w="4644" w:type="dxa"/>
            <w:shd w:val="clear" w:color="auto" w:fill="DBE5F1" w:themeFill="accent1" w:themeFillTint="33"/>
          </w:tcPr>
          <w:p w14:paraId="10DFBB65" w14:textId="08D72C1C" w:rsidR="00E668D1" w:rsidRPr="00E51658" w:rsidRDefault="00E668D1" w:rsidP="002205D2">
            <w:pPr>
              <w:pStyle w:val="DHHSbody"/>
              <w:rPr>
                <w:rFonts w:cs="Arial"/>
                <w:b/>
                <w:bCs/>
              </w:rPr>
            </w:pPr>
            <w:r w:rsidRPr="00E51658">
              <w:rPr>
                <w:rFonts w:cs="Arial"/>
                <w:b/>
                <w:bCs/>
              </w:rPr>
              <w:t>Influenza</w:t>
            </w:r>
          </w:p>
        </w:tc>
        <w:tc>
          <w:tcPr>
            <w:tcW w:w="4644" w:type="dxa"/>
            <w:shd w:val="clear" w:color="auto" w:fill="DBE5F1" w:themeFill="accent1" w:themeFillTint="33"/>
          </w:tcPr>
          <w:p w14:paraId="7224DD71" w14:textId="4BC4EBBE" w:rsidR="00E668D1" w:rsidRPr="00E51658" w:rsidRDefault="00E668D1" w:rsidP="002205D2">
            <w:pPr>
              <w:pStyle w:val="DHHSbody"/>
              <w:rPr>
                <w:rFonts w:cs="Arial"/>
                <w:b/>
                <w:bCs/>
              </w:rPr>
            </w:pPr>
            <w:r w:rsidRPr="00E51658">
              <w:rPr>
                <w:rFonts w:cs="Arial"/>
                <w:b/>
                <w:bCs/>
              </w:rPr>
              <w:t>COVID-19</w:t>
            </w:r>
          </w:p>
        </w:tc>
      </w:tr>
      <w:tr w:rsidR="00E668D1" w:rsidRPr="00F56540" w14:paraId="1EAAFB24" w14:textId="77777777" w:rsidTr="00E668D1">
        <w:tc>
          <w:tcPr>
            <w:tcW w:w="4644" w:type="dxa"/>
          </w:tcPr>
          <w:p w14:paraId="6BDF71D7" w14:textId="2E331BC8" w:rsidR="00E668D1" w:rsidRDefault="00E668D1" w:rsidP="00BF3EAE">
            <w:pPr>
              <w:pStyle w:val="DHHSbody"/>
              <w:numPr>
                <w:ilvl w:val="0"/>
                <w:numId w:val="18"/>
              </w:numPr>
              <w:rPr>
                <w:rFonts w:cs="Arial"/>
              </w:rPr>
            </w:pPr>
          </w:p>
          <w:p w14:paraId="2CB25486" w14:textId="77777777" w:rsidR="00BF3AD8" w:rsidRDefault="00990962" w:rsidP="00BF3EAE">
            <w:pPr>
              <w:pStyle w:val="DHHSbody"/>
              <w:numPr>
                <w:ilvl w:val="0"/>
                <w:numId w:val="18"/>
              </w:numPr>
              <w:rPr>
                <w:rFonts w:cs="Arial"/>
              </w:rPr>
            </w:pPr>
            <w:r>
              <w:rPr>
                <w:rFonts w:cs="Arial"/>
              </w:rPr>
              <w:t>Acute and sub-acute hospitals, Public Residential Aged Care Services and Ambulance Victoria are required to report their influenza vaccination coverage rates as at 15 August each year to the VICNISS Coordinating Centre.</w:t>
            </w:r>
          </w:p>
          <w:p w14:paraId="1D771F5D" w14:textId="15389AC3" w:rsidR="00460D60" w:rsidRPr="00BF2E97" w:rsidRDefault="00BF3AD8" w:rsidP="00BF3EAE">
            <w:pPr>
              <w:pStyle w:val="DHHSbody"/>
              <w:numPr>
                <w:ilvl w:val="0"/>
                <w:numId w:val="18"/>
              </w:numPr>
              <w:rPr>
                <w:rFonts w:cs="Arial"/>
              </w:rPr>
            </w:pPr>
            <w:r>
              <w:rPr>
                <w:rFonts w:cs="Arial"/>
              </w:rPr>
              <w:t>Prescribed health services may be required to submit point-in-time aggregate influenza vaccination data on request.</w:t>
            </w:r>
            <w:r w:rsidR="00990962">
              <w:rPr>
                <w:rFonts w:cs="Arial"/>
              </w:rPr>
              <w:t xml:space="preserve"> </w:t>
            </w:r>
          </w:p>
        </w:tc>
        <w:tc>
          <w:tcPr>
            <w:tcW w:w="4644" w:type="dxa"/>
          </w:tcPr>
          <w:p w14:paraId="7DFAEEE0" w14:textId="58E9A4F9" w:rsidR="00E668D1" w:rsidRPr="00BF2E97" w:rsidRDefault="00BF2E97" w:rsidP="00BF2E97">
            <w:pPr>
              <w:pStyle w:val="DHHSbody"/>
              <w:numPr>
                <w:ilvl w:val="0"/>
                <w:numId w:val="18"/>
              </w:numPr>
              <w:rPr>
                <w:rFonts w:cs="Arial"/>
              </w:rPr>
            </w:pPr>
            <w:r w:rsidRPr="00BF2E97">
              <w:rPr>
                <w:rFonts w:cs="Arial"/>
              </w:rPr>
              <w:t>Prescribed health services may be required to submit point-in-time aggregate COVID-19 vaccination data.</w:t>
            </w:r>
          </w:p>
        </w:tc>
      </w:tr>
    </w:tbl>
    <w:p w14:paraId="10E53E60" w14:textId="078582B8" w:rsidR="00285B04" w:rsidRPr="00285B04" w:rsidRDefault="00C34988" w:rsidP="00285B04">
      <w:pPr>
        <w:pStyle w:val="Body"/>
        <w:spacing w:before="240"/>
        <w:rPr>
          <w:color w:val="004C97"/>
          <w:sz w:val="20"/>
          <w:u w:val="dotted"/>
        </w:rPr>
      </w:pPr>
      <w:r w:rsidRPr="00BF3EAE">
        <w:rPr>
          <w:sz w:val="20"/>
        </w:rPr>
        <w:t xml:space="preserve">Further information about reporting methodology is available through the </w:t>
      </w:r>
      <w:hyperlink r:id="rId34" w:history="1">
        <w:r w:rsidRPr="00BF3EAE">
          <w:rPr>
            <w:rStyle w:val="Hyperlink"/>
            <w:sz w:val="20"/>
          </w:rPr>
          <w:t>VICNISS Influenza Vaccination – Healthcare Worker (HCW) website</w:t>
        </w:r>
      </w:hyperlink>
      <w:r w:rsidRPr="00BF3EAE">
        <w:rPr>
          <w:sz w:val="20"/>
        </w:rPr>
        <w:t xml:space="preserve"> </w:t>
      </w:r>
      <w:hyperlink r:id="rId35" w:history="1">
        <w:r w:rsidR="00412988" w:rsidRPr="00BF3EAE">
          <w:rPr>
            <w:rStyle w:val="Hyperlink"/>
            <w:sz w:val="20"/>
          </w:rPr>
          <w:t>https://www.vicniss.org.au/healthcare-workers/modules/acute-modules/influenza-vaccination-healthcare-worker-hcw/</w:t>
        </w:r>
      </w:hyperlink>
      <w:bookmarkStart w:id="61" w:name="_Appendix_1"/>
      <w:bookmarkStart w:id="62" w:name="_Toc113362858"/>
      <w:bookmarkEnd w:id="61"/>
    </w:p>
    <w:p w14:paraId="6AD51F67" w14:textId="7365418D" w:rsidR="00EE25B5" w:rsidRPr="00597CE3" w:rsidRDefault="00EE25B5" w:rsidP="00056B62">
      <w:pPr>
        <w:pStyle w:val="Heading1"/>
        <w:spacing w:before="360" w:after="120"/>
        <w:rPr>
          <w:sz w:val="40"/>
          <w:szCs w:val="40"/>
        </w:rPr>
      </w:pPr>
      <w:bookmarkStart w:id="63" w:name="_Appendix_1_1"/>
      <w:bookmarkStart w:id="64" w:name="_Toc116457937"/>
      <w:bookmarkEnd w:id="63"/>
      <w:r w:rsidRPr="00597CE3">
        <w:rPr>
          <w:sz w:val="40"/>
          <w:szCs w:val="40"/>
        </w:rPr>
        <w:t>Appendix 1</w:t>
      </w:r>
      <w:bookmarkEnd w:id="62"/>
      <w:bookmarkEnd w:id="64"/>
    </w:p>
    <w:p w14:paraId="0D22ACA1" w14:textId="06AED01A" w:rsidR="00EE25B5" w:rsidRPr="00597CE3" w:rsidRDefault="001A1875" w:rsidP="00521D94">
      <w:pPr>
        <w:pStyle w:val="Heading2"/>
        <w:spacing w:before="120"/>
        <w:rPr>
          <w:sz w:val="24"/>
          <w:szCs w:val="24"/>
        </w:rPr>
      </w:pPr>
      <w:bookmarkStart w:id="65" w:name="_Toc116457938"/>
      <w:bookmarkStart w:id="66" w:name="_Toc113362859"/>
      <w:r w:rsidRPr="00597CE3">
        <w:rPr>
          <w:sz w:val="24"/>
          <w:szCs w:val="24"/>
        </w:rPr>
        <w:t xml:space="preserve">Table 9 </w:t>
      </w:r>
      <w:r w:rsidR="00EE25B5" w:rsidRPr="00597CE3">
        <w:rPr>
          <w:sz w:val="24"/>
          <w:szCs w:val="24"/>
        </w:rPr>
        <w:t xml:space="preserve">Responsibilities of organisations </w:t>
      </w:r>
      <w:r w:rsidR="00BC7FC2" w:rsidRPr="00597CE3">
        <w:rPr>
          <w:sz w:val="24"/>
          <w:szCs w:val="24"/>
        </w:rPr>
        <w:t xml:space="preserve">and individuals </w:t>
      </w:r>
      <w:r w:rsidR="00EE25B5" w:rsidRPr="00597CE3">
        <w:rPr>
          <w:sz w:val="24"/>
          <w:szCs w:val="24"/>
        </w:rPr>
        <w:t>in relation to this policy</w:t>
      </w:r>
      <w:bookmarkEnd w:id="65"/>
      <w:r w:rsidR="00EE25B5" w:rsidRPr="00597CE3">
        <w:rPr>
          <w:sz w:val="24"/>
          <w:szCs w:val="24"/>
        </w:rPr>
        <w:t xml:space="preserve"> </w:t>
      </w:r>
      <w:bookmarkEnd w:id="66"/>
    </w:p>
    <w:tbl>
      <w:tblPr>
        <w:tblStyle w:val="TableGrid"/>
        <w:tblW w:w="9864" w:type="dxa"/>
        <w:tblLook w:val="04A0" w:firstRow="1" w:lastRow="0" w:firstColumn="1" w:lastColumn="0" w:noHBand="0" w:noVBand="1"/>
      </w:tblPr>
      <w:tblGrid>
        <w:gridCol w:w="3118"/>
        <w:gridCol w:w="6746"/>
      </w:tblGrid>
      <w:tr w:rsidR="00EB667D" w:rsidRPr="00BC7FC2" w14:paraId="173B85FF" w14:textId="77777777" w:rsidTr="00101B7A">
        <w:tc>
          <w:tcPr>
            <w:tcW w:w="3118" w:type="dxa"/>
            <w:shd w:val="clear" w:color="auto" w:fill="DBE5F1" w:themeFill="accent1" w:themeFillTint="33"/>
          </w:tcPr>
          <w:p w14:paraId="0B5E6324" w14:textId="03ED4719" w:rsidR="00935C8F" w:rsidRPr="00BF3EAE" w:rsidRDefault="00935C8F" w:rsidP="00935C8F">
            <w:pPr>
              <w:pStyle w:val="Body"/>
              <w:rPr>
                <w:b/>
                <w:sz w:val="20"/>
              </w:rPr>
            </w:pPr>
            <w:r w:rsidRPr="00BF3EAE">
              <w:rPr>
                <w:b/>
                <w:sz w:val="20"/>
              </w:rPr>
              <w:t xml:space="preserve">Organisation or </w:t>
            </w:r>
            <w:r w:rsidR="00FE62AE" w:rsidRPr="00BF3EAE">
              <w:rPr>
                <w:b/>
                <w:sz w:val="20"/>
              </w:rPr>
              <w:t xml:space="preserve">individual </w:t>
            </w:r>
          </w:p>
        </w:tc>
        <w:tc>
          <w:tcPr>
            <w:tcW w:w="6746" w:type="dxa"/>
            <w:shd w:val="clear" w:color="auto" w:fill="DBE5F1" w:themeFill="accent1" w:themeFillTint="33"/>
          </w:tcPr>
          <w:p w14:paraId="3F0E00A5" w14:textId="3A0F209D" w:rsidR="00935C8F" w:rsidRPr="00BF3EAE" w:rsidRDefault="00935C8F" w:rsidP="00935C8F">
            <w:pPr>
              <w:pStyle w:val="Body"/>
              <w:rPr>
                <w:b/>
                <w:sz w:val="20"/>
              </w:rPr>
            </w:pPr>
            <w:r w:rsidRPr="00BF3EAE">
              <w:rPr>
                <w:b/>
                <w:sz w:val="20"/>
              </w:rPr>
              <w:t>Responsibilities</w:t>
            </w:r>
          </w:p>
        </w:tc>
      </w:tr>
      <w:tr w:rsidR="00EB667D" w14:paraId="24C9B933" w14:textId="77777777" w:rsidTr="4F585365">
        <w:tc>
          <w:tcPr>
            <w:tcW w:w="3118" w:type="dxa"/>
          </w:tcPr>
          <w:p w14:paraId="6190491F" w14:textId="7012F5ED" w:rsidR="00935C8F" w:rsidRPr="00BF3EAE" w:rsidRDefault="00FE62AE" w:rsidP="00935C8F">
            <w:pPr>
              <w:pStyle w:val="Body"/>
              <w:rPr>
                <w:sz w:val="20"/>
              </w:rPr>
            </w:pPr>
            <w:r w:rsidRPr="00BF3EAE">
              <w:rPr>
                <w:sz w:val="20"/>
              </w:rPr>
              <w:t>Department of Health (the department)</w:t>
            </w:r>
          </w:p>
        </w:tc>
        <w:tc>
          <w:tcPr>
            <w:tcW w:w="6746" w:type="dxa"/>
          </w:tcPr>
          <w:p w14:paraId="783D72AD" w14:textId="7649876F" w:rsidR="00EE5085" w:rsidRPr="00BF3EAE" w:rsidRDefault="00EE5085" w:rsidP="4F585365">
            <w:pPr>
              <w:pStyle w:val="Bullet1"/>
              <w:numPr>
                <w:ilvl w:val="0"/>
                <w:numId w:val="0"/>
              </w:numPr>
              <w:rPr>
                <w:sz w:val="20"/>
              </w:rPr>
            </w:pPr>
            <w:r w:rsidRPr="00BF3EAE">
              <w:rPr>
                <w:sz w:val="20"/>
              </w:rPr>
              <w:t>The department has a responsibility to:</w:t>
            </w:r>
          </w:p>
          <w:p w14:paraId="34F11486" w14:textId="4649EBAA" w:rsidR="00FE62AE" w:rsidRPr="00BF3EAE" w:rsidRDefault="00FE62AE" w:rsidP="003838CE">
            <w:pPr>
              <w:pStyle w:val="Bullet1"/>
              <w:numPr>
                <w:ilvl w:val="0"/>
                <w:numId w:val="40"/>
              </w:numPr>
              <w:rPr>
                <w:sz w:val="20"/>
              </w:rPr>
            </w:pPr>
            <w:r w:rsidRPr="00BF3EAE">
              <w:rPr>
                <w:sz w:val="20"/>
              </w:rPr>
              <w:t xml:space="preserve">review and update </w:t>
            </w:r>
            <w:r w:rsidRPr="00BF3EAE" w:rsidDel="0087399A">
              <w:rPr>
                <w:sz w:val="20"/>
              </w:rPr>
              <w:t>the</w:t>
            </w:r>
            <w:r w:rsidR="0087399A" w:rsidRPr="00BF3EAE">
              <w:rPr>
                <w:sz w:val="20"/>
              </w:rPr>
              <w:t xml:space="preserve"> </w:t>
            </w:r>
            <w:r w:rsidR="00F23EA4" w:rsidRPr="00BF3EAE">
              <w:rPr>
                <w:sz w:val="20"/>
              </w:rPr>
              <w:t xml:space="preserve">vaccination requirements </w:t>
            </w:r>
            <w:r w:rsidR="0087399A" w:rsidRPr="00BF3EAE">
              <w:rPr>
                <w:sz w:val="20"/>
              </w:rPr>
              <w:t xml:space="preserve">policy </w:t>
            </w:r>
            <w:r w:rsidR="00F23EA4" w:rsidRPr="00BF3EAE">
              <w:rPr>
                <w:sz w:val="20"/>
              </w:rPr>
              <w:t xml:space="preserve">for healthcare workers </w:t>
            </w:r>
            <w:r w:rsidRPr="00BF3EAE">
              <w:rPr>
                <w:sz w:val="20"/>
              </w:rPr>
              <w:t>as required</w:t>
            </w:r>
            <w:r w:rsidR="009B52C2">
              <w:rPr>
                <w:sz w:val="20"/>
              </w:rPr>
              <w:t xml:space="preserve">. </w:t>
            </w:r>
          </w:p>
          <w:p w14:paraId="171EDF3A" w14:textId="4137DA41" w:rsidR="006B082A" w:rsidRPr="00BF3EAE" w:rsidRDefault="006B082A" w:rsidP="003838CE">
            <w:pPr>
              <w:pStyle w:val="Bullet1"/>
              <w:numPr>
                <w:ilvl w:val="0"/>
                <w:numId w:val="40"/>
              </w:numPr>
              <w:rPr>
                <w:sz w:val="20"/>
              </w:rPr>
            </w:pPr>
            <w:r w:rsidRPr="00BF3EAE">
              <w:rPr>
                <w:sz w:val="20"/>
              </w:rPr>
              <w:t xml:space="preserve">review and update </w:t>
            </w:r>
            <w:r w:rsidR="00F61540" w:rsidRPr="00BF3EAE">
              <w:rPr>
                <w:sz w:val="20"/>
              </w:rPr>
              <w:t>this policy guidance document as required</w:t>
            </w:r>
            <w:r w:rsidR="009B52C2">
              <w:rPr>
                <w:sz w:val="20"/>
              </w:rPr>
              <w:t xml:space="preserve">. </w:t>
            </w:r>
            <w:r w:rsidR="00F61540" w:rsidRPr="00BF3EAE">
              <w:rPr>
                <w:sz w:val="20"/>
              </w:rPr>
              <w:t xml:space="preserve"> </w:t>
            </w:r>
          </w:p>
          <w:p w14:paraId="25948892" w14:textId="40C07027" w:rsidR="003838CE" w:rsidRPr="00BF3EAE" w:rsidRDefault="00FE62AE" w:rsidP="003838CE">
            <w:pPr>
              <w:pStyle w:val="Bullet1"/>
              <w:numPr>
                <w:ilvl w:val="0"/>
                <w:numId w:val="40"/>
              </w:numPr>
              <w:rPr>
                <w:sz w:val="20"/>
              </w:rPr>
            </w:pPr>
            <w:r w:rsidRPr="00BF3EAE">
              <w:rPr>
                <w:sz w:val="20"/>
              </w:rPr>
              <w:t xml:space="preserve">monitor healthcare worker compliance with the </w:t>
            </w:r>
            <w:r w:rsidR="0087399A" w:rsidRPr="00BF3EAE">
              <w:rPr>
                <w:sz w:val="20"/>
              </w:rPr>
              <w:t xml:space="preserve">vaccination </w:t>
            </w:r>
            <w:r w:rsidRPr="00BF3EAE">
              <w:rPr>
                <w:sz w:val="20"/>
              </w:rPr>
              <w:t>policy at the health service level</w:t>
            </w:r>
            <w:r w:rsidR="009B52C2">
              <w:rPr>
                <w:sz w:val="20"/>
              </w:rPr>
              <w:t xml:space="preserve">. </w:t>
            </w:r>
          </w:p>
          <w:p w14:paraId="77522105" w14:textId="70FA8352" w:rsidR="00935C8F" w:rsidRPr="00BF3EAE" w:rsidRDefault="00FE62AE" w:rsidP="00BF3EAE">
            <w:pPr>
              <w:pStyle w:val="Bullet1"/>
              <w:numPr>
                <w:ilvl w:val="0"/>
                <w:numId w:val="40"/>
              </w:numPr>
              <w:spacing w:after="240"/>
              <w:rPr>
                <w:sz w:val="20"/>
              </w:rPr>
            </w:pPr>
            <w:r w:rsidRPr="00BF3EAE">
              <w:rPr>
                <w:sz w:val="20"/>
              </w:rPr>
              <w:t xml:space="preserve">provide advice, information and support to assist healthcare </w:t>
            </w:r>
            <w:r w:rsidR="00A140A8" w:rsidRPr="00BF3EAE">
              <w:rPr>
                <w:sz w:val="20"/>
              </w:rPr>
              <w:t xml:space="preserve">workers and </w:t>
            </w:r>
            <w:r w:rsidRPr="00BF3EAE">
              <w:rPr>
                <w:sz w:val="20"/>
              </w:rPr>
              <w:t>settings to meet vaccination policy requirements</w:t>
            </w:r>
            <w:r w:rsidR="00732ED1">
              <w:rPr>
                <w:sz w:val="20"/>
              </w:rPr>
              <w:t xml:space="preserve">. </w:t>
            </w:r>
          </w:p>
        </w:tc>
      </w:tr>
      <w:tr w:rsidR="00EB667D" w14:paraId="08B4DA5C" w14:textId="77777777" w:rsidTr="4F585365">
        <w:tc>
          <w:tcPr>
            <w:tcW w:w="3118" w:type="dxa"/>
          </w:tcPr>
          <w:p w14:paraId="56D21A08" w14:textId="3B625247" w:rsidR="006D5A86" w:rsidRPr="00BF3EAE" w:rsidRDefault="006D5A86" w:rsidP="006D5A86">
            <w:pPr>
              <w:pStyle w:val="Body"/>
              <w:rPr>
                <w:sz w:val="20"/>
              </w:rPr>
            </w:pPr>
            <w:r w:rsidRPr="00BF3EAE">
              <w:rPr>
                <w:sz w:val="20"/>
              </w:rPr>
              <w:t xml:space="preserve">Healthcare settings </w:t>
            </w:r>
          </w:p>
          <w:p w14:paraId="69D2A115" w14:textId="3B625247" w:rsidR="00935C8F" w:rsidRPr="00BF3EAE" w:rsidRDefault="00935C8F" w:rsidP="00935C8F">
            <w:pPr>
              <w:pStyle w:val="Body"/>
              <w:rPr>
                <w:sz w:val="20"/>
              </w:rPr>
            </w:pPr>
          </w:p>
        </w:tc>
        <w:tc>
          <w:tcPr>
            <w:tcW w:w="6746" w:type="dxa"/>
          </w:tcPr>
          <w:p w14:paraId="3A31DE6B" w14:textId="2C99F954" w:rsidR="00EE5085" w:rsidRPr="00BF3EAE" w:rsidRDefault="00EE5085" w:rsidP="00BF3EAE">
            <w:pPr>
              <w:pStyle w:val="Body"/>
              <w:rPr>
                <w:sz w:val="20"/>
              </w:rPr>
            </w:pPr>
            <w:r w:rsidRPr="00BF3EAE">
              <w:rPr>
                <w:sz w:val="20"/>
              </w:rPr>
              <w:t>Healthcare settings have a responsibility to:</w:t>
            </w:r>
          </w:p>
          <w:p w14:paraId="2900F399" w14:textId="620FFF96" w:rsidR="006D5A86" w:rsidRPr="00BF3EAE" w:rsidRDefault="00777C63" w:rsidP="00BF3EAE">
            <w:pPr>
              <w:pStyle w:val="Body"/>
              <w:numPr>
                <w:ilvl w:val="0"/>
                <w:numId w:val="41"/>
              </w:numPr>
              <w:rPr>
                <w:sz w:val="20"/>
              </w:rPr>
            </w:pPr>
            <w:r w:rsidRPr="00BF3EAE">
              <w:rPr>
                <w:sz w:val="20"/>
              </w:rPr>
              <w:t xml:space="preserve">comply </w:t>
            </w:r>
            <w:r w:rsidR="006D5A86" w:rsidRPr="00BF3EAE">
              <w:rPr>
                <w:sz w:val="20"/>
              </w:rPr>
              <w:t xml:space="preserve">with </w:t>
            </w:r>
            <w:r w:rsidRPr="00BF3EAE">
              <w:rPr>
                <w:sz w:val="20"/>
              </w:rPr>
              <w:t xml:space="preserve">all </w:t>
            </w:r>
            <w:r w:rsidR="006D5A86" w:rsidRPr="00BF3EAE">
              <w:rPr>
                <w:sz w:val="20"/>
              </w:rPr>
              <w:t>current Secretary</w:t>
            </w:r>
            <w:r w:rsidR="00267506">
              <w:rPr>
                <w:sz w:val="20"/>
              </w:rPr>
              <w:t>/Ministerial</w:t>
            </w:r>
            <w:r w:rsidR="006D5A86" w:rsidRPr="00BF3EAE">
              <w:rPr>
                <w:sz w:val="20"/>
              </w:rPr>
              <w:t xml:space="preserve"> Directions </w:t>
            </w:r>
            <w:r w:rsidR="00CD19F8">
              <w:rPr>
                <w:sz w:val="20"/>
              </w:rPr>
              <w:t xml:space="preserve">(as applicable) </w:t>
            </w:r>
            <w:r w:rsidR="006D5A86" w:rsidRPr="00BF3EAE">
              <w:rPr>
                <w:sz w:val="20"/>
              </w:rPr>
              <w:t>requiring vaccination of healthcare workers</w:t>
            </w:r>
            <w:r w:rsidR="00AA29D5">
              <w:rPr>
                <w:sz w:val="20"/>
              </w:rPr>
              <w:t xml:space="preserve">. </w:t>
            </w:r>
          </w:p>
          <w:p w14:paraId="248DEA75" w14:textId="059A8F6D" w:rsidR="006D5A86" w:rsidRPr="00BF3EAE" w:rsidRDefault="006D5A86" w:rsidP="006D5A86">
            <w:pPr>
              <w:pStyle w:val="Body"/>
              <w:numPr>
                <w:ilvl w:val="0"/>
                <w:numId w:val="2"/>
              </w:numPr>
              <w:rPr>
                <w:sz w:val="20"/>
              </w:rPr>
            </w:pPr>
            <w:r w:rsidRPr="00BF3EAE">
              <w:rPr>
                <w:sz w:val="20"/>
              </w:rPr>
              <w:t>develop site</w:t>
            </w:r>
            <w:r w:rsidR="00AA29D5">
              <w:rPr>
                <w:sz w:val="20"/>
              </w:rPr>
              <w:t>-</w:t>
            </w:r>
            <w:r w:rsidRPr="00BF3EAE">
              <w:rPr>
                <w:sz w:val="20"/>
              </w:rPr>
              <w:t>specific immunisation policies and guidelines as required that incorporate, at a minimum, the vaccination requirements outlined in current Secretary</w:t>
            </w:r>
            <w:r w:rsidR="00B92A25">
              <w:rPr>
                <w:sz w:val="20"/>
              </w:rPr>
              <w:t>/Ministerial</w:t>
            </w:r>
            <w:r w:rsidRPr="00BF3EAE">
              <w:rPr>
                <w:sz w:val="20"/>
              </w:rPr>
              <w:t xml:space="preserve"> Directions</w:t>
            </w:r>
            <w:r w:rsidR="00AA29D5">
              <w:rPr>
                <w:sz w:val="20"/>
              </w:rPr>
              <w:t xml:space="preserve">. </w:t>
            </w:r>
          </w:p>
          <w:p w14:paraId="736854FB" w14:textId="33128455" w:rsidR="006D5A86" w:rsidRPr="00BF3EAE" w:rsidRDefault="006D5A86" w:rsidP="006D5A86">
            <w:pPr>
              <w:pStyle w:val="Body"/>
              <w:numPr>
                <w:ilvl w:val="0"/>
                <w:numId w:val="2"/>
              </w:numPr>
              <w:rPr>
                <w:sz w:val="20"/>
              </w:rPr>
            </w:pPr>
            <w:r w:rsidRPr="006554CC">
              <w:rPr>
                <w:sz w:val="20"/>
              </w:rPr>
              <w:t>sight evidence of and record compliance with</w:t>
            </w:r>
            <w:r w:rsidRPr="00BF3EAE">
              <w:rPr>
                <w:sz w:val="20"/>
              </w:rPr>
              <w:t xml:space="preserve"> vaccination requirements of healthcare workers </w:t>
            </w:r>
            <w:r w:rsidR="00777C63" w:rsidRPr="00BF3EAE">
              <w:rPr>
                <w:sz w:val="20"/>
              </w:rPr>
              <w:t xml:space="preserve">employed or </w:t>
            </w:r>
            <w:r w:rsidR="00241AEB">
              <w:rPr>
                <w:sz w:val="20"/>
              </w:rPr>
              <w:t>engaged</w:t>
            </w:r>
            <w:r w:rsidR="00241AEB" w:rsidRPr="00BF3EAE">
              <w:rPr>
                <w:sz w:val="20"/>
              </w:rPr>
              <w:t xml:space="preserve"> </w:t>
            </w:r>
            <w:r w:rsidR="00241AEB">
              <w:rPr>
                <w:sz w:val="20"/>
              </w:rPr>
              <w:t xml:space="preserve">by </w:t>
            </w:r>
            <w:r w:rsidR="00777C63" w:rsidRPr="00BF3EAE">
              <w:rPr>
                <w:sz w:val="20"/>
              </w:rPr>
              <w:t>their service</w:t>
            </w:r>
            <w:r w:rsidR="00732ED1">
              <w:rPr>
                <w:sz w:val="20"/>
              </w:rPr>
              <w:t xml:space="preserve">. </w:t>
            </w:r>
          </w:p>
          <w:p w14:paraId="04911028" w14:textId="686B7476" w:rsidR="006D5A86" w:rsidRPr="00BF3EAE" w:rsidRDefault="006D5A86" w:rsidP="006D5A86">
            <w:pPr>
              <w:pStyle w:val="Body"/>
              <w:numPr>
                <w:ilvl w:val="0"/>
                <w:numId w:val="2"/>
              </w:numPr>
              <w:rPr>
                <w:sz w:val="20"/>
              </w:rPr>
            </w:pPr>
            <w:r w:rsidRPr="00507B8C">
              <w:rPr>
                <w:sz w:val="20"/>
              </w:rPr>
              <w:t>develop an assessment and management plan</w:t>
            </w:r>
            <w:r w:rsidRPr="00BF3EAE">
              <w:rPr>
                <w:sz w:val="20"/>
              </w:rPr>
              <w:t xml:space="preserve"> where a currently employed or </w:t>
            </w:r>
            <w:r w:rsidR="000E015A">
              <w:rPr>
                <w:sz w:val="20"/>
              </w:rPr>
              <w:t>engaged</w:t>
            </w:r>
            <w:r w:rsidR="000E015A" w:rsidRPr="00BF3EAE">
              <w:rPr>
                <w:sz w:val="20"/>
              </w:rPr>
              <w:t xml:space="preserve"> </w:t>
            </w:r>
            <w:r w:rsidRPr="00BF3EAE">
              <w:rPr>
                <w:sz w:val="20"/>
              </w:rPr>
              <w:t>healthcare worker is unable to be vaccinated due to a contraindication or exemption to vaccination</w:t>
            </w:r>
            <w:r w:rsidR="0027268C">
              <w:rPr>
                <w:sz w:val="20"/>
              </w:rPr>
              <w:t>/s</w:t>
            </w:r>
            <w:r w:rsidR="00777C63" w:rsidRPr="00BF3EAE">
              <w:rPr>
                <w:sz w:val="20"/>
              </w:rPr>
              <w:t xml:space="preserve">. </w:t>
            </w:r>
          </w:p>
          <w:p w14:paraId="4C258275" w14:textId="50A96E64" w:rsidR="006D5A86" w:rsidRPr="00BF3EAE" w:rsidRDefault="006D5A86" w:rsidP="006D5A86">
            <w:pPr>
              <w:pStyle w:val="Body"/>
              <w:numPr>
                <w:ilvl w:val="0"/>
                <w:numId w:val="2"/>
              </w:numPr>
              <w:rPr>
                <w:sz w:val="20"/>
              </w:rPr>
            </w:pPr>
            <w:r w:rsidRPr="00BF3EAE">
              <w:rPr>
                <w:sz w:val="20"/>
              </w:rPr>
              <w:t xml:space="preserve">report data for healthcare worker vaccination against the specified diseases to the department or a body appointed by the department </w:t>
            </w:r>
            <w:r w:rsidR="006B5BA3">
              <w:rPr>
                <w:sz w:val="20"/>
              </w:rPr>
              <w:t>(</w:t>
            </w:r>
            <w:r w:rsidRPr="00BF3EAE">
              <w:rPr>
                <w:sz w:val="20"/>
              </w:rPr>
              <w:t>such as VICNISS</w:t>
            </w:r>
            <w:r w:rsidR="006B5BA3">
              <w:rPr>
                <w:sz w:val="20"/>
              </w:rPr>
              <w:t>)</w:t>
            </w:r>
            <w:r w:rsidRPr="00BF3EAE">
              <w:rPr>
                <w:sz w:val="20"/>
              </w:rPr>
              <w:t xml:space="preserve"> upon request for the purposes of collecting data. </w:t>
            </w:r>
          </w:p>
          <w:p w14:paraId="560A979F" w14:textId="00DA1329" w:rsidR="006D5A86" w:rsidRPr="00BF3EAE" w:rsidRDefault="006D5A86" w:rsidP="006D5A86">
            <w:pPr>
              <w:pStyle w:val="Body"/>
              <w:numPr>
                <w:ilvl w:val="0"/>
                <w:numId w:val="2"/>
              </w:numPr>
              <w:rPr>
                <w:sz w:val="20"/>
              </w:rPr>
            </w:pPr>
            <w:r w:rsidRPr="00BF3EAE">
              <w:rPr>
                <w:sz w:val="20"/>
              </w:rPr>
              <w:lastRenderedPageBreak/>
              <w:t>comply with the mandatory Australian Government requirement to notify vaccinations administered to the Australian Immunisation Register</w:t>
            </w:r>
            <w:r w:rsidR="00732ED1">
              <w:rPr>
                <w:sz w:val="20"/>
              </w:rPr>
              <w:t xml:space="preserve">. </w:t>
            </w:r>
          </w:p>
          <w:p w14:paraId="507A8E60" w14:textId="570FC2BE" w:rsidR="00935C8F" w:rsidRPr="00BF3EAE" w:rsidRDefault="006D5A86" w:rsidP="00BC7FC2">
            <w:pPr>
              <w:pStyle w:val="Body"/>
              <w:numPr>
                <w:ilvl w:val="0"/>
                <w:numId w:val="2"/>
              </w:numPr>
              <w:rPr>
                <w:sz w:val="20"/>
              </w:rPr>
            </w:pPr>
            <w:r w:rsidRPr="2D704CFB">
              <w:rPr>
                <w:sz w:val="20"/>
              </w:rPr>
              <w:t xml:space="preserve">advise prospective healthcare workers of the </w:t>
            </w:r>
            <w:r w:rsidR="0073324E" w:rsidRPr="2D704CFB">
              <w:rPr>
                <w:sz w:val="20"/>
              </w:rPr>
              <w:t xml:space="preserve">vaccination requirements for their </w:t>
            </w:r>
            <w:r w:rsidR="4ECEC03B" w:rsidRPr="2D704CFB">
              <w:rPr>
                <w:sz w:val="20"/>
              </w:rPr>
              <w:t xml:space="preserve">prospective </w:t>
            </w:r>
            <w:r w:rsidR="0073324E" w:rsidRPr="2D704CFB">
              <w:rPr>
                <w:sz w:val="20"/>
              </w:rPr>
              <w:t>role.</w:t>
            </w:r>
            <w:r w:rsidR="0073324E">
              <w:rPr>
                <w:sz w:val="20"/>
              </w:rPr>
              <w:t xml:space="preserve"> </w:t>
            </w:r>
            <w:r w:rsidR="00732ED1">
              <w:rPr>
                <w:sz w:val="20"/>
              </w:rPr>
              <w:t xml:space="preserve"> </w:t>
            </w:r>
          </w:p>
        </w:tc>
      </w:tr>
      <w:tr w:rsidR="00357278" w14:paraId="579145DB" w14:textId="77777777" w:rsidTr="4F585365">
        <w:tc>
          <w:tcPr>
            <w:tcW w:w="3118" w:type="dxa"/>
          </w:tcPr>
          <w:p w14:paraId="2C138BAA" w14:textId="77777777" w:rsidR="00357278" w:rsidRPr="00BF3EAE" w:rsidRDefault="00357278" w:rsidP="00357278">
            <w:pPr>
              <w:pStyle w:val="Body"/>
              <w:rPr>
                <w:sz w:val="20"/>
              </w:rPr>
            </w:pPr>
            <w:r w:rsidRPr="00BF3EAE">
              <w:rPr>
                <w:sz w:val="20"/>
              </w:rPr>
              <w:lastRenderedPageBreak/>
              <w:t xml:space="preserve">Current and prospective healthcare workers (including locums, VMOs and contractors) </w:t>
            </w:r>
          </w:p>
          <w:p w14:paraId="1D29BAF7" w14:textId="012C2C7A" w:rsidR="00BF08B7" w:rsidRPr="00BF3EAE" w:rsidRDefault="00BF08B7" w:rsidP="00357278">
            <w:pPr>
              <w:pStyle w:val="Body"/>
              <w:rPr>
                <w:sz w:val="20"/>
              </w:rPr>
            </w:pPr>
          </w:p>
        </w:tc>
        <w:tc>
          <w:tcPr>
            <w:tcW w:w="6746" w:type="dxa"/>
          </w:tcPr>
          <w:p w14:paraId="0AB2D367" w14:textId="355590C5" w:rsidR="00BF08B7" w:rsidRPr="00BF3EAE" w:rsidRDefault="00BF08B7" w:rsidP="00BF3EAE">
            <w:pPr>
              <w:pStyle w:val="Body"/>
              <w:rPr>
                <w:sz w:val="20"/>
              </w:rPr>
            </w:pPr>
            <w:r w:rsidRPr="00BF3EAE">
              <w:rPr>
                <w:sz w:val="20"/>
              </w:rPr>
              <w:t>Healthcare workers</w:t>
            </w:r>
            <w:r w:rsidR="008B5A10" w:rsidRPr="00BF3EAE">
              <w:rPr>
                <w:sz w:val="20"/>
              </w:rPr>
              <w:t xml:space="preserve"> have a responsibility to:</w:t>
            </w:r>
          </w:p>
          <w:p w14:paraId="04E1BA06" w14:textId="43CB7DC4" w:rsidR="00357278" w:rsidRPr="00BF3EAE" w:rsidRDefault="00357278" w:rsidP="00357278">
            <w:pPr>
              <w:pStyle w:val="Body"/>
              <w:numPr>
                <w:ilvl w:val="0"/>
                <w:numId w:val="2"/>
              </w:numPr>
              <w:rPr>
                <w:sz w:val="20"/>
              </w:rPr>
            </w:pPr>
            <w:r w:rsidRPr="00BF3EAE">
              <w:rPr>
                <w:sz w:val="20"/>
              </w:rPr>
              <w:t xml:space="preserve">demonstrate compliance with the policy through documented evidence of vaccination </w:t>
            </w:r>
            <w:r w:rsidR="00BC7FC2" w:rsidRPr="00BF3EAE">
              <w:rPr>
                <w:sz w:val="20"/>
              </w:rPr>
              <w:t>or contraindication/exemption</w:t>
            </w:r>
            <w:r w:rsidR="00E5469F">
              <w:rPr>
                <w:sz w:val="20"/>
              </w:rPr>
              <w:t xml:space="preserve">. </w:t>
            </w:r>
          </w:p>
          <w:p w14:paraId="4C0A2208" w14:textId="74514F8A" w:rsidR="00357278" w:rsidRPr="00BF3EAE" w:rsidRDefault="00357278" w:rsidP="00357278">
            <w:pPr>
              <w:pStyle w:val="Body"/>
              <w:numPr>
                <w:ilvl w:val="0"/>
                <w:numId w:val="2"/>
              </w:numPr>
              <w:rPr>
                <w:sz w:val="20"/>
              </w:rPr>
            </w:pPr>
            <w:r w:rsidRPr="00BF3EAE">
              <w:rPr>
                <w:sz w:val="20"/>
              </w:rPr>
              <w:t>demonstrate compliance with the policy within a specified timeframe (where applicable)</w:t>
            </w:r>
            <w:r w:rsidR="00E5469F">
              <w:rPr>
                <w:sz w:val="20"/>
              </w:rPr>
              <w:t xml:space="preserve">. </w:t>
            </w:r>
          </w:p>
          <w:p w14:paraId="64F64A67" w14:textId="5B965A4C" w:rsidR="00B2608B" w:rsidRPr="00BF3EAE" w:rsidRDefault="00B2608B" w:rsidP="00B2608B">
            <w:pPr>
              <w:pStyle w:val="Body"/>
              <w:rPr>
                <w:sz w:val="20"/>
              </w:rPr>
            </w:pPr>
            <w:r w:rsidRPr="00BF3EAE">
              <w:rPr>
                <w:sz w:val="20"/>
              </w:rPr>
              <w:t xml:space="preserve">Healthcare workers should </w:t>
            </w:r>
            <w:r w:rsidR="00144F24" w:rsidRPr="00BF3EAE">
              <w:rPr>
                <w:sz w:val="20"/>
              </w:rPr>
              <w:t>liaise with their current or potential employer/contractor in the first instance with any queries regarding vaccination requirements</w:t>
            </w:r>
            <w:r w:rsidR="009342AE" w:rsidRPr="00BF3EAE">
              <w:rPr>
                <w:sz w:val="20"/>
              </w:rPr>
              <w:t xml:space="preserve"> that apply</w:t>
            </w:r>
            <w:r w:rsidR="00077D34">
              <w:rPr>
                <w:sz w:val="20"/>
              </w:rPr>
              <w:t xml:space="preserve"> in their workplace</w:t>
            </w:r>
            <w:r w:rsidR="00144F24" w:rsidRPr="00BF3EAE">
              <w:rPr>
                <w:sz w:val="20"/>
              </w:rPr>
              <w:t xml:space="preserve">. </w:t>
            </w:r>
          </w:p>
        </w:tc>
      </w:tr>
      <w:tr w:rsidR="00357278" w14:paraId="5FD92788" w14:textId="77777777" w:rsidTr="4F585365">
        <w:tc>
          <w:tcPr>
            <w:tcW w:w="3118" w:type="dxa"/>
          </w:tcPr>
          <w:p w14:paraId="3E50C75A" w14:textId="77777777" w:rsidR="00357278" w:rsidRPr="00BF3EAE" w:rsidRDefault="00357278" w:rsidP="00357278">
            <w:pPr>
              <w:pStyle w:val="Body"/>
              <w:rPr>
                <w:sz w:val="20"/>
              </w:rPr>
            </w:pPr>
            <w:r w:rsidRPr="00BF3EAE">
              <w:rPr>
                <w:sz w:val="20"/>
              </w:rPr>
              <w:t>Universities and other education providers</w:t>
            </w:r>
          </w:p>
          <w:p w14:paraId="456B0818" w14:textId="77777777" w:rsidR="00357278" w:rsidRPr="00BF3EAE" w:rsidRDefault="00357278" w:rsidP="00357278">
            <w:pPr>
              <w:pStyle w:val="Body"/>
              <w:rPr>
                <w:sz w:val="20"/>
              </w:rPr>
            </w:pPr>
          </w:p>
        </w:tc>
        <w:tc>
          <w:tcPr>
            <w:tcW w:w="6746" w:type="dxa"/>
          </w:tcPr>
          <w:p w14:paraId="36226067" w14:textId="14ED6E3B" w:rsidR="00357278" w:rsidRPr="00BF3EAE" w:rsidRDefault="00357278" w:rsidP="00357278">
            <w:pPr>
              <w:pStyle w:val="Body"/>
              <w:rPr>
                <w:sz w:val="20"/>
              </w:rPr>
            </w:pPr>
            <w:r w:rsidRPr="00BF3EAE">
              <w:rPr>
                <w:sz w:val="20"/>
              </w:rPr>
              <w:t xml:space="preserve">Universities and other education providers are responsible for liaising with healthcare services where their students </w:t>
            </w:r>
            <w:r w:rsidR="004F20E0" w:rsidRPr="00BF3EAE">
              <w:rPr>
                <w:sz w:val="20"/>
              </w:rPr>
              <w:t>undertake placement</w:t>
            </w:r>
            <w:r w:rsidR="00743782" w:rsidRPr="00BF3EAE">
              <w:rPr>
                <w:sz w:val="20"/>
              </w:rPr>
              <w:t>s</w:t>
            </w:r>
            <w:r w:rsidR="00777C63" w:rsidRPr="00BF3EAE">
              <w:rPr>
                <w:sz w:val="20"/>
              </w:rPr>
              <w:t xml:space="preserve"> to</w:t>
            </w:r>
            <w:r w:rsidR="00743782" w:rsidRPr="00BF3EAE">
              <w:rPr>
                <w:sz w:val="20"/>
              </w:rPr>
              <w:t xml:space="preserve"> understand</w:t>
            </w:r>
            <w:r w:rsidRPr="00BF3EAE">
              <w:rPr>
                <w:sz w:val="20"/>
              </w:rPr>
              <w:t xml:space="preserve"> their student vaccination requirements (if any)</w:t>
            </w:r>
            <w:r w:rsidR="00AA7226">
              <w:rPr>
                <w:sz w:val="20"/>
              </w:rPr>
              <w:t>. Vaccination requirements for students are at the healthcare setting’s discretion, as students are not subject to Directions</w:t>
            </w:r>
            <w:r w:rsidRPr="00BF3EAE">
              <w:rPr>
                <w:sz w:val="20"/>
              </w:rPr>
              <w:t xml:space="preserve">. </w:t>
            </w:r>
          </w:p>
        </w:tc>
      </w:tr>
      <w:tr w:rsidR="002471A9" w14:paraId="234011A9" w14:textId="77777777" w:rsidTr="4F585365">
        <w:tc>
          <w:tcPr>
            <w:tcW w:w="3118" w:type="dxa"/>
          </w:tcPr>
          <w:p w14:paraId="297A06D0" w14:textId="45144B74" w:rsidR="002471A9" w:rsidRPr="00BF3EAE" w:rsidRDefault="002471A9" w:rsidP="002471A9">
            <w:pPr>
              <w:pStyle w:val="Body"/>
              <w:rPr>
                <w:sz w:val="20"/>
              </w:rPr>
            </w:pPr>
            <w:r w:rsidRPr="00BF3EAE">
              <w:rPr>
                <w:sz w:val="20"/>
              </w:rPr>
              <w:t xml:space="preserve">Students </w:t>
            </w:r>
          </w:p>
        </w:tc>
        <w:tc>
          <w:tcPr>
            <w:tcW w:w="6746" w:type="dxa"/>
          </w:tcPr>
          <w:p w14:paraId="369F8B51" w14:textId="4B6C2DE5" w:rsidR="002471A9" w:rsidRPr="00BF3EAE" w:rsidRDefault="002471A9" w:rsidP="002471A9">
            <w:pPr>
              <w:pStyle w:val="Body"/>
              <w:rPr>
                <w:sz w:val="20"/>
              </w:rPr>
            </w:pPr>
            <w:r w:rsidRPr="00BF3EAE">
              <w:rPr>
                <w:sz w:val="20"/>
              </w:rPr>
              <w:t xml:space="preserve">Students are not directly subject to Directions; however, a health service may reasonably require that they meet vaccination requirements prior to commencing roles or placements within the setting. </w:t>
            </w:r>
          </w:p>
          <w:p w14:paraId="49642DDB" w14:textId="1AF2F5E8" w:rsidR="002471A9" w:rsidRPr="00BF3EAE" w:rsidRDefault="002471A9" w:rsidP="002471A9">
            <w:pPr>
              <w:pStyle w:val="Body"/>
              <w:rPr>
                <w:sz w:val="20"/>
              </w:rPr>
            </w:pPr>
            <w:r w:rsidRPr="00BF3EAE">
              <w:rPr>
                <w:sz w:val="20"/>
              </w:rPr>
              <w:t xml:space="preserve">Students should liaise with their education provider </w:t>
            </w:r>
            <w:r w:rsidR="006F3299" w:rsidRPr="00BF3EAE">
              <w:rPr>
                <w:sz w:val="20"/>
              </w:rPr>
              <w:t xml:space="preserve">directly </w:t>
            </w:r>
            <w:r w:rsidRPr="00BF3EAE">
              <w:rPr>
                <w:sz w:val="20"/>
              </w:rPr>
              <w:t xml:space="preserve">regarding any vaccination requirements that may apply to them. </w:t>
            </w:r>
          </w:p>
        </w:tc>
      </w:tr>
      <w:tr w:rsidR="002471A9" w14:paraId="6B365899" w14:textId="77777777" w:rsidTr="4F585365">
        <w:tc>
          <w:tcPr>
            <w:tcW w:w="3118" w:type="dxa"/>
          </w:tcPr>
          <w:p w14:paraId="3C181DC5" w14:textId="77777777" w:rsidR="002471A9" w:rsidRPr="00BF3EAE" w:rsidRDefault="002471A9" w:rsidP="002471A9">
            <w:pPr>
              <w:pStyle w:val="Body"/>
              <w:rPr>
                <w:sz w:val="20"/>
              </w:rPr>
            </w:pPr>
            <w:r w:rsidRPr="00BF3EAE">
              <w:rPr>
                <w:sz w:val="20"/>
              </w:rPr>
              <w:t>Volunteers</w:t>
            </w:r>
          </w:p>
          <w:p w14:paraId="708AD592" w14:textId="77777777" w:rsidR="002471A9" w:rsidRPr="00BF3EAE" w:rsidRDefault="002471A9" w:rsidP="002471A9">
            <w:pPr>
              <w:pStyle w:val="Body"/>
              <w:rPr>
                <w:sz w:val="20"/>
              </w:rPr>
            </w:pPr>
          </w:p>
        </w:tc>
        <w:tc>
          <w:tcPr>
            <w:tcW w:w="6746" w:type="dxa"/>
          </w:tcPr>
          <w:p w14:paraId="490AC62B" w14:textId="245ED135" w:rsidR="002471A9" w:rsidRPr="00BF3EAE" w:rsidRDefault="002471A9" w:rsidP="002471A9">
            <w:pPr>
              <w:pStyle w:val="Body"/>
              <w:rPr>
                <w:sz w:val="20"/>
              </w:rPr>
            </w:pPr>
            <w:r w:rsidRPr="00BF3EAE">
              <w:rPr>
                <w:sz w:val="20"/>
              </w:rPr>
              <w:t xml:space="preserve">Volunteers are not directly subject to Directions; however, a health service may reasonably require that they meet vaccination requirements prior to commencing roles within the setting. </w:t>
            </w:r>
          </w:p>
          <w:p w14:paraId="193040E5" w14:textId="65BAA419" w:rsidR="002471A9" w:rsidRPr="00BF3EAE" w:rsidRDefault="002471A9" w:rsidP="002471A9">
            <w:pPr>
              <w:pStyle w:val="Body"/>
              <w:rPr>
                <w:sz w:val="20"/>
              </w:rPr>
            </w:pPr>
            <w:r w:rsidRPr="00BF3EAE">
              <w:rPr>
                <w:sz w:val="20"/>
              </w:rPr>
              <w:t xml:space="preserve">Volunteers should liaise directly with the healthcare service where they volunteer/wish to volunteer, to </w:t>
            </w:r>
            <w:r w:rsidR="006F3299" w:rsidRPr="00BF3EAE">
              <w:rPr>
                <w:sz w:val="20"/>
              </w:rPr>
              <w:t xml:space="preserve">understand </w:t>
            </w:r>
            <w:r w:rsidR="00716DB3" w:rsidRPr="00BF3EAE">
              <w:rPr>
                <w:sz w:val="20"/>
              </w:rPr>
              <w:t xml:space="preserve">their </w:t>
            </w:r>
            <w:r w:rsidRPr="00BF3EAE">
              <w:rPr>
                <w:sz w:val="20"/>
              </w:rPr>
              <w:t xml:space="preserve">vaccination requirements (if any). </w:t>
            </w:r>
          </w:p>
        </w:tc>
      </w:tr>
      <w:tr w:rsidR="002471A9" w14:paraId="0CC89BE9" w14:textId="77777777" w:rsidTr="4F585365">
        <w:tc>
          <w:tcPr>
            <w:tcW w:w="3118" w:type="dxa"/>
          </w:tcPr>
          <w:p w14:paraId="51938386" w14:textId="39115A0A" w:rsidR="002471A9" w:rsidRPr="00BF3EAE" w:rsidRDefault="002471A9" w:rsidP="002471A9">
            <w:pPr>
              <w:pStyle w:val="Body"/>
              <w:rPr>
                <w:sz w:val="20"/>
              </w:rPr>
            </w:pPr>
            <w:r w:rsidRPr="00BF3EAE">
              <w:rPr>
                <w:sz w:val="20"/>
              </w:rPr>
              <w:t xml:space="preserve">Short-term workers </w:t>
            </w:r>
          </w:p>
        </w:tc>
        <w:tc>
          <w:tcPr>
            <w:tcW w:w="6746" w:type="dxa"/>
          </w:tcPr>
          <w:p w14:paraId="232991BC" w14:textId="6756BA53" w:rsidR="002471A9" w:rsidRPr="00BF3EAE" w:rsidRDefault="002471A9" w:rsidP="002471A9">
            <w:pPr>
              <w:pStyle w:val="Body"/>
              <w:rPr>
                <w:sz w:val="20"/>
              </w:rPr>
            </w:pPr>
            <w:r w:rsidRPr="00BF3EAE">
              <w:rPr>
                <w:sz w:val="20"/>
              </w:rPr>
              <w:t xml:space="preserve">One-off or very short-term workers that are not employed or </w:t>
            </w:r>
            <w:r w:rsidR="00475281">
              <w:rPr>
                <w:sz w:val="20"/>
              </w:rPr>
              <w:t xml:space="preserve">engaged </w:t>
            </w:r>
            <w:r w:rsidRPr="00BF3EAE">
              <w:rPr>
                <w:sz w:val="20"/>
              </w:rPr>
              <w:t xml:space="preserve">by the healthcare service are considered visitors to the healthcare setting and vaccination requirements do not apply in this instance. </w:t>
            </w:r>
          </w:p>
        </w:tc>
      </w:tr>
      <w:bookmarkEnd w:id="2"/>
      <w:bookmarkEnd w:id="10"/>
      <w:bookmarkEnd w:id="11"/>
    </w:tbl>
    <w:p w14:paraId="44F31534" w14:textId="144D6662" w:rsidR="00AA7226" w:rsidRDefault="00AA7226"/>
    <w:p w14:paraId="76A2568B" w14:textId="77777777" w:rsidR="00D87A20" w:rsidRPr="00F56540" w:rsidRDefault="00D87A20" w:rsidP="000200BD">
      <w:pPr>
        <w:pStyle w:val="Accessibilitypara"/>
        <w:pBdr>
          <w:top w:val="single" w:sz="4" w:space="1" w:color="auto"/>
          <w:left w:val="single" w:sz="4" w:space="4" w:color="auto"/>
          <w:bottom w:val="single" w:sz="4" w:space="0" w:color="auto"/>
          <w:right w:val="single" w:sz="4" w:space="4" w:color="auto"/>
        </w:pBdr>
        <w:spacing w:before="1200"/>
        <w:rPr>
          <w:rFonts w:cs="Arial"/>
        </w:rPr>
      </w:pPr>
      <w:r w:rsidRPr="00F56540">
        <w:rPr>
          <w:rFonts w:cs="Arial"/>
        </w:rPr>
        <w:t xml:space="preserve">To this document in another format, phone 03 9500 7471, using the National Relay Service 13 36 77 if required, or </w:t>
      </w:r>
      <w:hyperlink r:id="rId36" w:history="1">
        <w:r w:rsidRPr="00F56540">
          <w:rPr>
            <w:rStyle w:val="Hyperlink"/>
            <w:rFonts w:cs="Arial"/>
          </w:rPr>
          <w:t>email the Department of Health Immunisation Unit</w:t>
        </w:r>
      </w:hyperlink>
      <w:r w:rsidRPr="00F56540">
        <w:rPr>
          <w:rFonts w:cs="Arial"/>
        </w:rPr>
        <w:t xml:space="preserve"> &lt;immunisation@health.vic.gov.au&gt;.</w:t>
      </w:r>
    </w:p>
    <w:p w14:paraId="4CDF1CE3" w14:textId="77777777" w:rsidR="00D87A20" w:rsidRPr="00F56540" w:rsidRDefault="00D87A20" w:rsidP="000200BD">
      <w:pPr>
        <w:pStyle w:val="Imprint"/>
        <w:pBdr>
          <w:top w:val="single" w:sz="4" w:space="1" w:color="auto"/>
          <w:left w:val="single" w:sz="4" w:space="4" w:color="auto"/>
          <w:bottom w:val="single" w:sz="4" w:space="0" w:color="auto"/>
          <w:right w:val="single" w:sz="4" w:space="4" w:color="auto"/>
        </w:pBdr>
        <w:rPr>
          <w:rFonts w:cs="Arial"/>
          <w:color w:val="auto"/>
        </w:rPr>
      </w:pPr>
      <w:r w:rsidRPr="00F56540">
        <w:rPr>
          <w:rFonts w:cs="Arial"/>
          <w:color w:val="auto"/>
        </w:rPr>
        <w:t>Authorised and published by the Victorian Government, 1 Treasury Place, Melbourne.</w:t>
      </w:r>
    </w:p>
    <w:p w14:paraId="26641D30" w14:textId="316B6F9E" w:rsidR="00D87A20" w:rsidRPr="00F56540" w:rsidRDefault="00D87A20" w:rsidP="000200BD">
      <w:pPr>
        <w:pStyle w:val="Imprint"/>
        <w:pBdr>
          <w:top w:val="single" w:sz="4" w:space="1" w:color="auto"/>
          <w:left w:val="single" w:sz="4" w:space="4" w:color="auto"/>
          <w:bottom w:val="single" w:sz="4" w:space="0" w:color="auto"/>
          <w:right w:val="single" w:sz="4" w:space="4" w:color="auto"/>
        </w:pBdr>
        <w:rPr>
          <w:rFonts w:cs="Arial"/>
          <w:color w:val="auto"/>
        </w:rPr>
      </w:pPr>
      <w:r w:rsidRPr="00F56540">
        <w:rPr>
          <w:rFonts w:cs="Arial"/>
          <w:color w:val="auto"/>
        </w:rPr>
        <w:t xml:space="preserve">© State of Victoria, Australia, Department of Health, </w:t>
      </w:r>
      <w:r w:rsidR="00621966">
        <w:rPr>
          <w:rFonts w:cs="Arial"/>
          <w:color w:val="auto"/>
        </w:rPr>
        <w:t>April</w:t>
      </w:r>
      <w:r w:rsidR="00621966" w:rsidRPr="00F56540">
        <w:rPr>
          <w:rFonts w:cs="Arial"/>
          <w:color w:val="auto"/>
        </w:rPr>
        <w:t xml:space="preserve"> </w:t>
      </w:r>
      <w:r w:rsidRPr="00F56540">
        <w:rPr>
          <w:rFonts w:cs="Arial"/>
          <w:color w:val="auto"/>
        </w:rPr>
        <w:t>202</w:t>
      </w:r>
      <w:r w:rsidR="004206FB">
        <w:rPr>
          <w:rFonts w:cs="Arial"/>
          <w:color w:val="auto"/>
        </w:rPr>
        <w:t>3</w:t>
      </w:r>
      <w:r w:rsidRPr="00F56540">
        <w:rPr>
          <w:rFonts w:cs="Arial"/>
          <w:color w:val="auto"/>
        </w:rPr>
        <w:t>.</w:t>
      </w:r>
    </w:p>
    <w:p w14:paraId="573B7A53" w14:textId="0402B6A2" w:rsidR="00D87A20" w:rsidRPr="00597CE3" w:rsidRDefault="00D87A20" w:rsidP="000200BD">
      <w:pPr>
        <w:pStyle w:val="DHHSbody"/>
        <w:pBdr>
          <w:top w:val="single" w:sz="4" w:space="1" w:color="auto"/>
          <w:left w:val="single" w:sz="4" w:space="4" w:color="auto"/>
          <w:bottom w:val="single" w:sz="4" w:space="0" w:color="auto"/>
          <w:right w:val="single" w:sz="4" w:space="4" w:color="auto"/>
        </w:pBdr>
        <w:tabs>
          <w:tab w:val="left" w:pos="1845"/>
        </w:tabs>
      </w:pPr>
      <w:r w:rsidRPr="00F56540">
        <w:rPr>
          <w:rFonts w:cs="Arial"/>
        </w:rPr>
        <w:t xml:space="preserve">Available at </w:t>
      </w:r>
      <w:hyperlink r:id="rId37" w:history="1">
        <w:r w:rsidRPr="00F56540">
          <w:rPr>
            <w:rStyle w:val="Hyperlink"/>
            <w:rFonts w:cs="Arial"/>
          </w:rPr>
          <w:t>Vaccination for healthcare workers</w:t>
        </w:r>
      </w:hyperlink>
      <w:r w:rsidRPr="00F56540">
        <w:rPr>
          <w:rFonts w:cs="Arial"/>
        </w:rPr>
        <w:t xml:space="preserve"> </w:t>
      </w:r>
      <w:hyperlink r:id="rId38" w:history="1">
        <w:r w:rsidRPr="00D8167A">
          <w:rPr>
            <w:rStyle w:val="Hyperlink"/>
            <w:rFonts w:cs="Arial"/>
          </w:rPr>
          <w:t>https://www.health.vic.gov.au/immunisation/vaccination-for-healthcare-workers</w:t>
        </w:r>
      </w:hyperlink>
      <w:r>
        <w:rPr>
          <w:rFonts w:cs="Arial"/>
        </w:rPr>
        <w:t xml:space="preserve"> </w:t>
      </w:r>
    </w:p>
    <w:sectPr w:rsidR="00D87A20" w:rsidRPr="00597CE3" w:rsidSect="00CD1E96">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53B7" w14:textId="77777777" w:rsidR="00DC4C1F" w:rsidRDefault="00DC4C1F">
      <w:r>
        <w:separator/>
      </w:r>
    </w:p>
    <w:p w14:paraId="3416641B" w14:textId="77777777" w:rsidR="00DC4C1F" w:rsidRDefault="00DC4C1F"/>
  </w:endnote>
  <w:endnote w:type="continuationSeparator" w:id="0">
    <w:p w14:paraId="787F0BB4" w14:textId="77777777" w:rsidR="00DC4C1F" w:rsidRDefault="00DC4C1F">
      <w:r>
        <w:continuationSeparator/>
      </w:r>
    </w:p>
    <w:p w14:paraId="3CF0E543" w14:textId="77777777" w:rsidR="00DC4C1F" w:rsidRDefault="00DC4C1F"/>
  </w:endnote>
  <w:endnote w:type="continuationNotice" w:id="1">
    <w:p w14:paraId="65041C4C" w14:textId="77777777" w:rsidR="00DC4C1F" w:rsidRDefault="00DC4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05F1" w14:textId="77777777" w:rsidR="002205D2" w:rsidRDefault="002205D2">
    <w:pPr>
      <w:pStyle w:val="Footer"/>
    </w:pPr>
    <w:r>
      <w:rPr>
        <w:noProof/>
      </w:rPr>
      <mc:AlternateContent>
        <mc:Choice Requires="wps">
          <w:drawing>
            <wp:anchor distT="0" distB="0" distL="114300" distR="114300" simplePos="0" relativeHeight="251646464" behindDoc="0" locked="0" layoutInCell="0" allowOverlap="1" wp14:anchorId="14FF269C" wp14:editId="1B78DF4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16277" w14:textId="77777777" w:rsidR="002205D2" w:rsidRPr="00EB4BC7" w:rsidRDefault="002205D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F269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6916277" w14:textId="77777777" w:rsidR="002205D2" w:rsidRPr="00EB4BC7" w:rsidRDefault="002205D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5301" w14:textId="49324196" w:rsidR="00D87A20" w:rsidRPr="0031753A" w:rsidRDefault="00D87A20" w:rsidP="002205D2">
    <w:pPr>
      <w:pStyle w:val="DHHS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A528" w14:textId="6946D9F1" w:rsidR="00D87A20" w:rsidRPr="00151653" w:rsidRDefault="00FA58B0" w:rsidP="00151653">
    <w:pPr>
      <w:pStyle w:val="Footer"/>
    </w:pPr>
    <w:r>
      <w:rPr>
        <w:noProof/>
      </w:rPr>
      <mc:AlternateContent>
        <mc:Choice Requires="wps">
          <w:drawing>
            <wp:anchor distT="0" distB="0" distL="114300" distR="114300" simplePos="0" relativeHeight="251690367" behindDoc="0" locked="0" layoutInCell="0" allowOverlap="1" wp14:anchorId="5E23E843" wp14:editId="2540C1BE">
              <wp:simplePos x="0" y="0"/>
              <wp:positionH relativeFrom="page">
                <wp:align>center</wp:align>
              </wp:positionH>
              <wp:positionV relativeFrom="page">
                <wp:align>bottom</wp:align>
              </wp:positionV>
              <wp:extent cx="7772400" cy="502285"/>
              <wp:effectExtent l="0" t="0" r="0" b="12065"/>
              <wp:wrapNone/>
              <wp:docPr id="13" name="MSIPCM3d5744fa988aaa0f0e2c2a30" descr="{&quot;HashCode&quot;:904758361,&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3BAB7" w14:textId="7FFE3108" w:rsidR="00FA58B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23E843" id="_x0000_t202" coordsize="21600,21600" o:spt="202" path="m,l,21600r21600,l21600,xe">
              <v:stroke joinstyle="miter"/>
              <v:path gradientshapeok="t" o:connecttype="rect"/>
            </v:shapetype>
            <v:shape id="MSIPCM3d5744fa988aaa0f0e2c2a30" o:spid="_x0000_s1036" type="#_x0000_t202" alt="{&quot;HashCode&quot;:904758361,&quot;Height&quot;:9999999.0,&quot;Width&quot;:9999999.0,&quot;Placement&quot;:&quot;Footer&quot;,&quot;Index&quot;:&quot;FirstPage&quot;,&quot;Section&quot;:8,&quot;Top&quot;:0.0,&quot;Left&quot;:0.0}" style="position:absolute;left:0;text-align:left;margin-left:0;margin-top:0;width:612pt;height:39.55pt;z-index:2516903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EC3BAB7" w14:textId="7FFE3108" w:rsidR="00FA58B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6A0" w14:textId="19551207" w:rsidR="002205D2" w:rsidRDefault="00A17683">
    <w:pPr>
      <w:pStyle w:val="Footer"/>
    </w:pPr>
    <w:r>
      <w:rPr>
        <w:noProof/>
      </w:rPr>
      <mc:AlternateContent>
        <mc:Choice Requires="wps">
          <w:drawing>
            <wp:anchor distT="0" distB="0" distL="114300" distR="114300" simplePos="0" relativeHeight="251680074" behindDoc="0" locked="0" layoutInCell="0" allowOverlap="1" wp14:anchorId="6FA14525" wp14:editId="7269FCF9">
              <wp:simplePos x="0" y="0"/>
              <wp:positionH relativeFrom="page">
                <wp:align>center</wp:align>
              </wp:positionH>
              <wp:positionV relativeFrom="page">
                <wp:align>bottom</wp:align>
              </wp:positionV>
              <wp:extent cx="7772400" cy="502285"/>
              <wp:effectExtent l="0" t="0" r="0" b="12065"/>
              <wp:wrapNone/>
              <wp:docPr id="10" name="MSIPCM03494ecfa84ba6c8470cfb6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778FB" w14:textId="0DA47D8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A14525" id="_x0000_t202" coordsize="21600,21600" o:spt="202" path="m,l,21600r21600,l21600,xe">
              <v:stroke joinstyle="miter"/>
              <v:path gradientshapeok="t" o:connecttype="rect"/>
            </v:shapetype>
            <v:shape id="MSIPCM03494ecfa84ba6c8470cfb6a"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00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1F778FB" w14:textId="0DA47D8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A4D6" w14:textId="01F57FCD" w:rsidR="002205D2" w:rsidRDefault="00A17683">
    <w:pPr>
      <w:pStyle w:val="Footer"/>
    </w:pPr>
    <w:r>
      <w:rPr>
        <w:noProof/>
      </w:rPr>
      <mc:AlternateContent>
        <mc:Choice Requires="wps">
          <w:drawing>
            <wp:anchor distT="0" distB="0" distL="114300" distR="114300" simplePos="0" relativeHeight="251690239" behindDoc="0" locked="0" layoutInCell="0" allowOverlap="1" wp14:anchorId="423479D2" wp14:editId="0C959A54">
              <wp:simplePos x="0" y="9365456"/>
              <wp:positionH relativeFrom="page">
                <wp:align>center</wp:align>
              </wp:positionH>
              <wp:positionV relativeFrom="page">
                <wp:align>bottom</wp:align>
              </wp:positionV>
              <wp:extent cx="7772400" cy="502285"/>
              <wp:effectExtent l="0" t="0" r="0" b="12065"/>
              <wp:wrapNone/>
              <wp:docPr id="12" name="MSIPCMbaa24007ac81b72476119df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EA282" w14:textId="37528A47"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3479D2" id="_x0000_t202" coordsize="21600,21600" o:spt="202" path="m,l,21600r21600,l21600,xe">
              <v:stroke joinstyle="miter"/>
              <v:path gradientshapeok="t" o:connecttype="rect"/>
            </v:shapetype>
            <v:shape id="MSIPCMbaa24007ac81b72476119dff"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02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B5EA282" w14:textId="37528A47"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3912" w14:textId="77777777" w:rsidR="002205D2" w:rsidRPr="008114D1" w:rsidRDefault="002205D2" w:rsidP="002205D2">
    <w:pPr>
      <w:pStyle w:val="DHHSfooter"/>
    </w:pPr>
    <w:r>
      <w:rPr>
        <w:noProof/>
      </w:rPr>
      <mc:AlternateContent>
        <mc:Choice Requires="wps">
          <w:drawing>
            <wp:anchor distT="0" distB="0" distL="114300" distR="114300" simplePos="0" relativeHeight="251658241" behindDoc="0" locked="0" layoutInCell="0" allowOverlap="1" wp14:anchorId="6C30E784" wp14:editId="019426CB">
              <wp:simplePos x="0" y="0"/>
              <wp:positionH relativeFrom="page">
                <wp:align>center</wp:align>
              </wp:positionH>
              <wp:positionV relativeFrom="page">
                <wp:align>bottom</wp:align>
              </wp:positionV>
              <wp:extent cx="7772400" cy="502285"/>
              <wp:effectExtent l="0" t="0" r="0" b="12065"/>
              <wp:wrapNone/>
              <wp:docPr id="9" name="MSIPCM275b480bb75a4ee1ed5aa269"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08D06" w14:textId="77777777" w:rsidR="002205D2" w:rsidRPr="00B74A31" w:rsidRDefault="002205D2" w:rsidP="002205D2">
                          <w:pPr>
                            <w:jc w:val="center"/>
                            <w:rPr>
                              <w:rFonts w:ascii="Arial Black" w:hAnsi="Arial Black"/>
                              <w:color w:val="000000"/>
                            </w:rPr>
                          </w:pPr>
                          <w:r w:rsidRPr="00B74A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30E784" id="_x0000_t202" coordsize="21600,21600" o:spt="202" path="m,l,21600r21600,l21600,xe">
              <v:stroke joinstyle="miter"/>
              <v:path gradientshapeok="t" o:connecttype="rect"/>
            </v:shapetype>
            <v:shape id="MSIPCM275b480bb75a4ee1ed5aa269" o:spid="_x0000_s1029" type="#_x0000_t202" alt="{&quot;HashCode&quot;:904758361,&quot;Height&quot;:9999999.0,&quot;Width&quot;:9999999.0,&quot;Placement&quot;:&quot;Footer&quot;,&quot;Index&quot;:&quot;OddAndEven&quot;,&quot;Section&quot;:2,&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9508D06" w14:textId="77777777" w:rsidR="002205D2" w:rsidRPr="00B74A31" w:rsidRDefault="002205D2" w:rsidP="002205D2">
                    <w:pPr>
                      <w:jc w:val="center"/>
                      <w:rPr>
                        <w:rFonts w:ascii="Arial Black" w:hAnsi="Arial Black"/>
                        <w:color w:val="000000"/>
                      </w:rPr>
                    </w:pPr>
                    <w:r w:rsidRPr="00B74A31">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Mandatory vaccination of healthcare workers policy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967C" w14:textId="30E9726D" w:rsidR="002205D2" w:rsidRPr="0031753A" w:rsidRDefault="004C369F" w:rsidP="002205D2">
    <w:pPr>
      <w:pStyle w:val="DHHSfooter"/>
    </w:pPr>
    <w:r>
      <w:rPr>
        <w:noProof/>
      </w:rPr>
      <mc:AlternateContent>
        <mc:Choice Requires="wps">
          <w:drawing>
            <wp:anchor distT="0" distB="0" distL="114300" distR="114300" simplePos="0" relativeHeight="251658245" behindDoc="0" locked="0" layoutInCell="0" allowOverlap="1" wp14:anchorId="06D78895" wp14:editId="15A93027">
              <wp:simplePos x="0" y="0"/>
              <wp:positionH relativeFrom="page">
                <wp:align>center</wp:align>
              </wp:positionH>
              <wp:positionV relativeFrom="page">
                <wp:align>bottom</wp:align>
              </wp:positionV>
              <wp:extent cx="7772400" cy="502285"/>
              <wp:effectExtent l="0" t="0" r="0" b="12065"/>
              <wp:wrapNone/>
              <wp:docPr id="1" name="MSIPCMccc74da599739583efdf7daf"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03D2A" w14:textId="17AB0845" w:rsidR="004C369F"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6D78895" id="_x0000_t202" coordsize="21600,21600" o:spt="202" path="m,l,21600r21600,l21600,xe">
              <v:stroke joinstyle="miter"/>
              <v:path gradientshapeok="t" o:connecttype="rect"/>
            </v:shapetype>
            <v:shape id="MSIPCMccc74da599739583efdf7daf" o:spid="_x0000_s1030" type="#_x0000_t202" alt="{&quot;HashCode&quot;:904758361,&quot;Height&quot;:9999999.0,&quot;Width&quot;:9999999.0,&quot;Placement&quot;:&quot;Footer&quot;,&quot;Index&quot;:&quot;Primary&quot;,&quot;Section&quot;:2,&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9803D2A" w14:textId="17AB0845" w:rsidR="004C369F"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97C7" w14:textId="6D78F675" w:rsidR="002205D2" w:rsidRPr="00151653" w:rsidRDefault="00AB07C0" w:rsidP="00151653">
    <w:pPr>
      <w:pStyle w:val="Footer"/>
    </w:pPr>
    <w:r>
      <w:rPr>
        <w:noProof/>
      </w:rPr>
      <mc:AlternateContent>
        <mc:Choice Requires="wps">
          <w:drawing>
            <wp:anchor distT="0" distB="0" distL="114300" distR="114300" simplePos="0" relativeHeight="251658246" behindDoc="0" locked="0" layoutInCell="0" allowOverlap="1" wp14:anchorId="5493C583" wp14:editId="16A8FEA5">
              <wp:simplePos x="0" y="0"/>
              <wp:positionH relativeFrom="page">
                <wp:align>center</wp:align>
              </wp:positionH>
              <wp:positionV relativeFrom="page">
                <wp:align>bottom</wp:align>
              </wp:positionV>
              <wp:extent cx="7772400" cy="502285"/>
              <wp:effectExtent l="0" t="0" r="0" b="12065"/>
              <wp:wrapNone/>
              <wp:docPr id="2" name="MSIPCM093d471c8aadce6aabec0155"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E5B4F" w14:textId="5D937420"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3C583" id="_x0000_t202" coordsize="21600,21600" o:spt="202" path="m,l,21600r21600,l21600,xe">
              <v:stroke joinstyle="miter"/>
              <v:path gradientshapeok="t" o:connecttype="rect"/>
            </v:shapetype>
            <v:shape id="MSIPCM093d471c8aadce6aabec0155" o:spid="_x0000_s103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776E5B4F" w14:textId="5D937420"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46AA" w14:textId="77777777" w:rsidR="002205D2" w:rsidRDefault="002205D2">
    <w:pPr>
      <w:pStyle w:val="Footer"/>
    </w:pPr>
    <w:r>
      <w:rPr>
        <w:noProof/>
        <w:lang w:eastAsia="en-AU"/>
      </w:rPr>
      <mc:AlternateContent>
        <mc:Choice Requires="wps">
          <w:drawing>
            <wp:anchor distT="0" distB="0" distL="114300" distR="114300" simplePos="0" relativeHeight="251658247" behindDoc="0" locked="0" layoutInCell="0" allowOverlap="1" wp14:anchorId="2EFF4BBE" wp14:editId="167F6A7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E1F0E" w14:textId="77777777" w:rsidR="002205D2" w:rsidRPr="002C5B7C" w:rsidRDefault="002205D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F4BBE" id="_x0000_t202" coordsize="21600,21600" o:spt="202" path="m,l,21600r21600,l21600,xe">
              <v:stroke joinstyle="miter"/>
              <v:path gradientshapeok="t" o:connecttype="rect"/>
            </v:shapetype>
            <v:shape id="MSIPCMd3f54469bd0204c6fb2f3fa8" o:spid="_x0000_s1032"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EBE1F0E" w14:textId="77777777" w:rsidR="002205D2" w:rsidRPr="002C5B7C" w:rsidRDefault="002205D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A667" w14:textId="5B04A599" w:rsidR="002205D2" w:rsidRDefault="00AB07C0">
    <w:pPr>
      <w:pStyle w:val="Footer"/>
    </w:pPr>
    <w:r>
      <w:rPr>
        <w:noProof/>
      </w:rPr>
      <mc:AlternateContent>
        <mc:Choice Requires="wps">
          <w:drawing>
            <wp:anchor distT="0" distB="0" distL="114300" distR="114300" simplePos="0" relativeHeight="251690496" behindDoc="0" locked="0" layoutInCell="0" allowOverlap="1" wp14:anchorId="5C51BF50" wp14:editId="2F25E29A">
              <wp:simplePos x="0" y="0"/>
              <wp:positionH relativeFrom="page">
                <wp:align>center</wp:align>
              </wp:positionH>
              <wp:positionV relativeFrom="page">
                <wp:align>bottom</wp:align>
              </wp:positionV>
              <wp:extent cx="7772400" cy="502285"/>
              <wp:effectExtent l="0" t="0" r="0" b="12065"/>
              <wp:wrapNone/>
              <wp:docPr id="5" name="MSIPCM70a84349a5fd9c3d1117932c"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B085D" w14:textId="724EDF69"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51BF50" id="_x0000_t202" coordsize="21600,21600" o:spt="202" path="m,l,21600r21600,l21600,xe">
              <v:stroke joinstyle="miter"/>
              <v:path gradientshapeok="t" o:connecttype="rect"/>
            </v:shapetype>
            <v:shape id="MSIPCM70a84349a5fd9c3d1117932c" o:spid="_x0000_s1033"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904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C4B085D" w14:textId="724EDF69"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r w:rsidR="00A17683">
      <w:rPr>
        <w:noProof/>
      </w:rPr>
      <mc:AlternateContent>
        <mc:Choice Requires="wps">
          <w:drawing>
            <wp:anchor distT="0" distB="0" distL="114300" distR="114300" simplePos="0" relativeHeight="251685028" behindDoc="0" locked="0" layoutInCell="0" allowOverlap="1" wp14:anchorId="322A1381" wp14:editId="603311E5">
              <wp:simplePos x="0" y="0"/>
              <wp:positionH relativeFrom="page">
                <wp:align>center</wp:align>
              </wp:positionH>
              <wp:positionV relativeFrom="page">
                <wp:align>bottom</wp:align>
              </wp:positionV>
              <wp:extent cx="7772400" cy="502285"/>
              <wp:effectExtent l="0" t="0" r="0" b="12065"/>
              <wp:wrapNone/>
              <wp:docPr id="14" name="MSIPCM0eb84b3fb304998ea38e56af"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D13F3" w14:textId="2B67FE7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2A1381" id="MSIPCM0eb84b3fb304998ea38e56af" o:spid="_x0000_s1034" type="#_x0000_t202" alt="{&quot;HashCode&quot;:904758361,&quot;Height&quot;:9999999.0,&quot;Width&quot;:9999999.0,&quot;Placement&quot;:&quot;Footer&quot;,&quot;Index&quot;:&quot;Primary&quot;,&quot;Section&quot;:8,&quot;Top&quot;:0.0,&quot;Left&quot;:0.0}" style="position:absolute;left:0;text-align:left;margin-left:0;margin-top:0;width:612pt;height:39.55pt;z-index:2516850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C0D13F3" w14:textId="2B67FE7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7CF2" w14:textId="77777777" w:rsidR="00D87A20" w:rsidRPr="008114D1" w:rsidRDefault="00D87A20" w:rsidP="002205D2">
    <w:pPr>
      <w:pStyle w:val="DHHSfooter"/>
    </w:pPr>
    <w:r>
      <w:rPr>
        <w:noProof/>
      </w:rPr>
      <mc:AlternateContent>
        <mc:Choice Requires="wps">
          <w:drawing>
            <wp:anchor distT="0" distB="0" distL="114300" distR="114300" simplePos="0" relativeHeight="251658249" behindDoc="0" locked="0" layoutInCell="0" allowOverlap="1" wp14:anchorId="2012693A" wp14:editId="173A939B">
              <wp:simplePos x="0" y="0"/>
              <wp:positionH relativeFrom="page">
                <wp:align>center</wp:align>
              </wp:positionH>
              <wp:positionV relativeFrom="page">
                <wp:align>bottom</wp:align>
              </wp:positionV>
              <wp:extent cx="7772400" cy="502285"/>
              <wp:effectExtent l="0" t="0" r="0" b="12065"/>
              <wp:wrapNone/>
              <wp:docPr id="6" name="MSIPCM275b480bb75a4ee1ed5aa269"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1B5C" w14:textId="77777777" w:rsidR="00D87A20" w:rsidRPr="00B74A31" w:rsidRDefault="00D87A20" w:rsidP="002205D2">
                          <w:pPr>
                            <w:jc w:val="center"/>
                            <w:rPr>
                              <w:rFonts w:ascii="Arial Black" w:hAnsi="Arial Black"/>
                              <w:color w:val="000000"/>
                            </w:rPr>
                          </w:pPr>
                          <w:r w:rsidRPr="00B74A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12693A" id="_x0000_t202" coordsize="21600,21600" o:spt="202" path="m,l,21600r21600,l21600,xe">
              <v:stroke joinstyle="miter"/>
              <v:path gradientshapeok="t" o:connecttype="rect"/>
            </v:shapetype>
            <v:shape id="_x0000_s1035" type="#_x0000_t202" alt="{&quot;HashCode&quot;:904758361,&quot;Height&quot;:9999999.0,&quot;Width&quot;:9999999.0,&quot;Placement&quot;:&quot;Footer&quot;,&quot;Index&quot;:&quot;OddAndEven&quot;,&quot;Section&quot;:2,&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F3A1B5C" w14:textId="77777777" w:rsidR="00D87A20" w:rsidRPr="00B74A31" w:rsidRDefault="00D87A20" w:rsidP="002205D2">
                    <w:pPr>
                      <w:jc w:val="center"/>
                      <w:rPr>
                        <w:rFonts w:ascii="Arial Black" w:hAnsi="Arial Black"/>
                        <w:color w:val="000000"/>
                      </w:rPr>
                    </w:pPr>
                    <w:r w:rsidRPr="00B74A31">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Mandatory vaccination of healthcare workers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66CF" w14:textId="77777777" w:rsidR="00DC4C1F" w:rsidRDefault="00DC4C1F" w:rsidP="00207717">
      <w:pPr>
        <w:spacing w:before="120"/>
      </w:pPr>
      <w:r>
        <w:separator/>
      </w:r>
    </w:p>
  </w:footnote>
  <w:footnote w:type="continuationSeparator" w:id="0">
    <w:p w14:paraId="03240D23" w14:textId="77777777" w:rsidR="00DC4C1F" w:rsidRDefault="00DC4C1F">
      <w:r>
        <w:continuationSeparator/>
      </w:r>
    </w:p>
    <w:p w14:paraId="1918B203" w14:textId="77777777" w:rsidR="00DC4C1F" w:rsidRDefault="00DC4C1F"/>
  </w:footnote>
  <w:footnote w:type="continuationNotice" w:id="1">
    <w:p w14:paraId="222CDE67" w14:textId="77777777" w:rsidR="00DC4C1F" w:rsidRDefault="00DC4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E7F" w14:textId="6D94BF13" w:rsidR="002205D2" w:rsidRPr="0069374A" w:rsidRDefault="00654C6A" w:rsidP="002205D2">
    <w:pPr>
      <w:pStyle w:val="DHHSheader"/>
    </w:pPr>
    <w:r>
      <w:rPr>
        <w:noProof/>
      </w:rPr>
      <w:pict w14:anchorId="7AA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8.2pt;height:187.2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546E" w14:textId="01A5D5E5" w:rsidR="002205D2" w:rsidRDefault="00EC1A85" w:rsidP="00446E41">
    <w:pPr>
      <w:pStyle w:val="Header"/>
    </w:pPr>
    <w:r>
      <w:t>V</w:t>
    </w:r>
    <w:r w:rsidR="00B50553">
      <w:t xml:space="preserve">accination </w:t>
    </w:r>
    <w:r>
      <w:t xml:space="preserve">requirements for </w:t>
    </w:r>
    <w:r w:rsidR="00B50553">
      <w:t>healthcare workers 202</w:t>
    </w:r>
    <w:r w:rsidR="004206FB">
      <w:t>3</w:t>
    </w:r>
    <w:r w:rsidR="00B50553">
      <w:ptab w:relativeTo="margin" w:alignment="center" w:leader="none"/>
    </w:r>
    <w:r w:rsidR="00B50553">
      <w:ptab w:relativeTo="margin" w:alignment="right" w:leader="none"/>
    </w:r>
    <w:r w:rsidR="007366C3">
      <w:fldChar w:fldCharType="begin"/>
    </w:r>
    <w:r w:rsidR="007366C3">
      <w:instrText xml:space="preserve"> PAGE   \* MERGEFORMAT </w:instrText>
    </w:r>
    <w:r w:rsidR="007366C3">
      <w:fldChar w:fldCharType="separate"/>
    </w:r>
    <w:r w:rsidR="007366C3">
      <w:rPr>
        <w:noProof/>
      </w:rPr>
      <w:t>1</w:t>
    </w:r>
    <w:r w:rsidR="007366C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BCBA" w14:textId="520B6F55" w:rsidR="002205D2" w:rsidRDefault="00DD3A76">
    <w:pPr>
      <w:pStyle w:val="Header"/>
    </w:pPr>
    <w:r>
      <w:t>Mandatory vaccination of healthcare workers 202</w:t>
    </w:r>
    <w:r w:rsidR="004206FB">
      <w:t>3</w:t>
    </w:r>
    <w:r>
      <w:ptab w:relativeTo="margin" w:alignment="center" w:leader="none"/>
    </w:r>
    <w:r>
      <w:ptab w:relativeTo="margin" w:alignment="right" w:leader="none"/>
    </w:r>
    <w:r>
      <w:fldChar w:fldCharType="begin"/>
    </w:r>
    <w:r>
      <w:instrText xml:space="preserve"> PAGE   \* MERGEFORMAT </w:instrText>
    </w:r>
    <w:r>
      <w:fldChar w:fldCharType="separate"/>
    </w:r>
    <w:r>
      <w:t>10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86B" w14:textId="01C1697D" w:rsidR="002205D2" w:rsidRPr="00454A7D" w:rsidRDefault="002205D2"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121F" w14:textId="1BBAF21D" w:rsidR="002205D2" w:rsidRPr="00DD3A76" w:rsidRDefault="005F7C99" w:rsidP="00DD3A76">
    <w:pPr>
      <w:pStyle w:val="Header"/>
    </w:pPr>
    <w:r>
      <w:t>V</w:t>
    </w:r>
    <w:r w:rsidR="00DD3A76">
      <w:t xml:space="preserve">accination </w:t>
    </w:r>
    <w:r>
      <w:t xml:space="preserve">requirements for </w:t>
    </w:r>
    <w:r w:rsidR="00DD3A76">
      <w:t>healthcare workers 202</w:t>
    </w:r>
    <w:r w:rsidR="004206FB">
      <w:t>3</w:t>
    </w:r>
    <w:r w:rsidR="00DD3A76">
      <w:ptab w:relativeTo="margin" w:alignment="center" w:leader="none"/>
    </w:r>
    <w:r w:rsidR="00DD3A76">
      <w:ptab w:relativeTo="margin" w:alignment="right" w:leader="none"/>
    </w:r>
    <w:r w:rsidR="00DD3A76">
      <w:fldChar w:fldCharType="begin"/>
    </w:r>
    <w:r w:rsidR="00DD3A76">
      <w:instrText xml:space="preserve"> PAGE   \* MERGEFORMAT </w:instrText>
    </w:r>
    <w:r w:rsidR="00DD3A76">
      <w:fldChar w:fldCharType="separate"/>
    </w:r>
    <w:r w:rsidR="00DD3A76">
      <w:t>10</w:t>
    </w:r>
    <w:r w:rsidR="00DD3A7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69F5" w14:textId="21DEF749" w:rsidR="00A00FA4" w:rsidRDefault="00A00F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B52" w14:textId="77777777" w:rsidR="00D87A20" w:rsidRPr="0069374A" w:rsidRDefault="00654C6A" w:rsidP="002205D2">
    <w:pPr>
      <w:pStyle w:val="DHHSheader"/>
    </w:pPr>
    <w:r>
      <w:rPr>
        <w:noProof/>
      </w:rPr>
      <w:pict w14:anchorId="197E7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8.2pt;height:187.25pt;rotation:315;z-index:-25165823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2172" w14:textId="6DE7067E" w:rsidR="00D87A20" w:rsidRDefault="00D87A20" w:rsidP="00446E41">
    <w:pPr>
      <w:pStyle w:val="Header"/>
    </w:pPr>
    <w:r>
      <w:t>Vaccination requirements for healthcare workers 20</w:t>
    </w:r>
    <w:r w:rsidR="004206FB">
      <w:t>23</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0D2E" w14:textId="52F1064F" w:rsidR="00D87A20" w:rsidRDefault="00D87A20">
    <w:pPr>
      <w:pStyle w:val="Header"/>
    </w:pPr>
    <w:r>
      <w:t>Mandatory vaccination of healthcare workers 202</w:t>
    </w:r>
    <w:r w:rsidR="004206FB">
      <w:t>3</w:t>
    </w:r>
    <w:r>
      <w:ptab w:relativeTo="margin" w:alignment="center" w:leader="none"/>
    </w:r>
    <w:r>
      <w:ptab w:relativeTo="margin" w:alignment="right" w:leader="none"/>
    </w:r>
    <w:r>
      <w:fldChar w:fldCharType="begin"/>
    </w:r>
    <w:r>
      <w:instrText xml:space="preserve"> PAGE   \* MERGEFORMAT </w:instrText>
    </w:r>
    <w:r>
      <w:fldChar w:fldCharType="separate"/>
    </w:r>
    <w:r>
      <w:t>10</w:t>
    </w:r>
    <w:r>
      <w:rPr>
        <w:noProof/>
      </w:rPr>
      <w:fldChar w:fldCharType="end"/>
    </w:r>
    <w:r w:rsidR="00654C6A">
      <w:rPr>
        <w:noProof/>
      </w:rPr>
      <w:pict w14:anchorId="23975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8.2pt;height:187.25pt;rotation:315;z-index:-25165822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F4C6F"/>
    <w:multiLevelType w:val="hybridMultilevel"/>
    <w:tmpl w:val="E2125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425606"/>
    <w:multiLevelType w:val="hybridMultilevel"/>
    <w:tmpl w:val="64966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050B5C"/>
    <w:multiLevelType w:val="multilevel"/>
    <w:tmpl w:val="F24E527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BB5CCAC"/>
    <w:multiLevelType w:val="hybridMultilevel"/>
    <w:tmpl w:val="B582EB22"/>
    <w:lvl w:ilvl="0" w:tplc="3BD6EE04">
      <w:start w:val="1"/>
      <w:numFmt w:val="bullet"/>
      <w:lvlText w:val=""/>
      <w:lvlJc w:val="left"/>
      <w:pPr>
        <w:ind w:left="720" w:hanging="360"/>
      </w:pPr>
      <w:rPr>
        <w:rFonts w:ascii="Symbol" w:hAnsi="Symbol" w:hint="default"/>
      </w:rPr>
    </w:lvl>
    <w:lvl w:ilvl="1" w:tplc="C0DC3002">
      <w:start w:val="1"/>
      <w:numFmt w:val="bullet"/>
      <w:lvlText w:val="o"/>
      <w:lvlJc w:val="left"/>
      <w:pPr>
        <w:ind w:left="1440" w:hanging="360"/>
      </w:pPr>
      <w:rPr>
        <w:rFonts w:ascii="Courier New" w:hAnsi="Courier New" w:hint="default"/>
      </w:rPr>
    </w:lvl>
    <w:lvl w:ilvl="2" w:tplc="0F36F7C8">
      <w:start w:val="1"/>
      <w:numFmt w:val="bullet"/>
      <w:lvlText w:val=""/>
      <w:lvlJc w:val="left"/>
      <w:pPr>
        <w:ind w:left="2160" w:hanging="360"/>
      </w:pPr>
      <w:rPr>
        <w:rFonts w:ascii="Wingdings" w:hAnsi="Wingdings" w:hint="default"/>
      </w:rPr>
    </w:lvl>
    <w:lvl w:ilvl="3" w:tplc="7FFA0336">
      <w:start w:val="1"/>
      <w:numFmt w:val="bullet"/>
      <w:lvlText w:val=""/>
      <w:lvlJc w:val="left"/>
      <w:pPr>
        <w:ind w:left="2880" w:hanging="360"/>
      </w:pPr>
      <w:rPr>
        <w:rFonts w:ascii="Symbol" w:hAnsi="Symbol" w:hint="default"/>
      </w:rPr>
    </w:lvl>
    <w:lvl w:ilvl="4" w:tplc="A9768F90">
      <w:start w:val="1"/>
      <w:numFmt w:val="bullet"/>
      <w:lvlText w:val="o"/>
      <w:lvlJc w:val="left"/>
      <w:pPr>
        <w:ind w:left="3600" w:hanging="360"/>
      </w:pPr>
      <w:rPr>
        <w:rFonts w:ascii="Courier New" w:hAnsi="Courier New" w:hint="default"/>
      </w:rPr>
    </w:lvl>
    <w:lvl w:ilvl="5" w:tplc="EE78FEFA">
      <w:start w:val="1"/>
      <w:numFmt w:val="bullet"/>
      <w:lvlText w:val=""/>
      <w:lvlJc w:val="left"/>
      <w:pPr>
        <w:ind w:left="4320" w:hanging="360"/>
      </w:pPr>
      <w:rPr>
        <w:rFonts w:ascii="Wingdings" w:hAnsi="Wingdings" w:hint="default"/>
      </w:rPr>
    </w:lvl>
    <w:lvl w:ilvl="6" w:tplc="5C62B51A">
      <w:start w:val="1"/>
      <w:numFmt w:val="bullet"/>
      <w:lvlText w:val=""/>
      <w:lvlJc w:val="left"/>
      <w:pPr>
        <w:ind w:left="5040" w:hanging="360"/>
      </w:pPr>
      <w:rPr>
        <w:rFonts w:ascii="Symbol" w:hAnsi="Symbol" w:hint="default"/>
      </w:rPr>
    </w:lvl>
    <w:lvl w:ilvl="7" w:tplc="3606CE58">
      <w:start w:val="1"/>
      <w:numFmt w:val="bullet"/>
      <w:lvlText w:val="o"/>
      <w:lvlJc w:val="left"/>
      <w:pPr>
        <w:ind w:left="5760" w:hanging="360"/>
      </w:pPr>
      <w:rPr>
        <w:rFonts w:ascii="Courier New" w:hAnsi="Courier New" w:hint="default"/>
      </w:rPr>
    </w:lvl>
    <w:lvl w:ilvl="8" w:tplc="AC3CFB5A">
      <w:start w:val="1"/>
      <w:numFmt w:val="bullet"/>
      <w:lvlText w:val=""/>
      <w:lvlJc w:val="left"/>
      <w:pPr>
        <w:ind w:left="6480" w:hanging="360"/>
      </w:pPr>
      <w:rPr>
        <w:rFonts w:ascii="Wingdings" w:hAnsi="Wingdings" w:hint="default"/>
      </w:rPr>
    </w:lvl>
  </w:abstractNum>
  <w:abstractNum w:abstractNumId="6"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7" w15:restartNumberingAfterBreak="0">
    <w:nsid w:val="1BF82AB4"/>
    <w:multiLevelType w:val="hybridMultilevel"/>
    <w:tmpl w:val="0CDCC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546BF"/>
    <w:multiLevelType w:val="hybridMultilevel"/>
    <w:tmpl w:val="B276D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4B1AE4"/>
    <w:multiLevelType w:val="hybridMultilevel"/>
    <w:tmpl w:val="9ABED67E"/>
    <w:lvl w:ilvl="0" w:tplc="5664B5E4">
      <w:start w:val="8"/>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E31B4"/>
    <w:multiLevelType w:val="hybridMultilevel"/>
    <w:tmpl w:val="F7F4E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106F33"/>
    <w:multiLevelType w:val="hybridMultilevel"/>
    <w:tmpl w:val="A2285E60"/>
    <w:lvl w:ilvl="0" w:tplc="BFA0F222">
      <w:start w:val="1"/>
      <w:numFmt w:val="bullet"/>
      <w:lvlText w:val=""/>
      <w:lvlJc w:val="left"/>
      <w:pPr>
        <w:tabs>
          <w:tab w:val="num" w:pos="720"/>
        </w:tabs>
        <w:ind w:left="720" w:hanging="360"/>
      </w:pPr>
      <w:rPr>
        <w:rFonts w:ascii="Symbol" w:hAnsi="Symbol" w:hint="default"/>
        <w:sz w:val="20"/>
      </w:rPr>
    </w:lvl>
    <w:lvl w:ilvl="1" w:tplc="B7E2C736" w:tentative="1">
      <w:start w:val="1"/>
      <w:numFmt w:val="bullet"/>
      <w:lvlText w:val=""/>
      <w:lvlJc w:val="left"/>
      <w:pPr>
        <w:tabs>
          <w:tab w:val="num" w:pos="1440"/>
        </w:tabs>
        <w:ind w:left="1440" w:hanging="360"/>
      </w:pPr>
      <w:rPr>
        <w:rFonts w:ascii="Symbol" w:hAnsi="Symbol" w:hint="default"/>
        <w:sz w:val="20"/>
      </w:rPr>
    </w:lvl>
    <w:lvl w:ilvl="2" w:tplc="F072C69C" w:tentative="1">
      <w:start w:val="1"/>
      <w:numFmt w:val="bullet"/>
      <w:lvlText w:val=""/>
      <w:lvlJc w:val="left"/>
      <w:pPr>
        <w:tabs>
          <w:tab w:val="num" w:pos="2160"/>
        </w:tabs>
        <w:ind w:left="2160" w:hanging="360"/>
      </w:pPr>
      <w:rPr>
        <w:rFonts w:ascii="Symbol" w:hAnsi="Symbol" w:hint="default"/>
        <w:sz w:val="20"/>
      </w:rPr>
    </w:lvl>
    <w:lvl w:ilvl="3" w:tplc="EC1CAC2C" w:tentative="1">
      <w:start w:val="1"/>
      <w:numFmt w:val="bullet"/>
      <w:lvlText w:val=""/>
      <w:lvlJc w:val="left"/>
      <w:pPr>
        <w:tabs>
          <w:tab w:val="num" w:pos="2880"/>
        </w:tabs>
        <w:ind w:left="2880" w:hanging="360"/>
      </w:pPr>
      <w:rPr>
        <w:rFonts w:ascii="Symbol" w:hAnsi="Symbol" w:hint="default"/>
        <w:sz w:val="20"/>
      </w:rPr>
    </w:lvl>
    <w:lvl w:ilvl="4" w:tplc="9BD6E082" w:tentative="1">
      <w:start w:val="1"/>
      <w:numFmt w:val="bullet"/>
      <w:lvlText w:val=""/>
      <w:lvlJc w:val="left"/>
      <w:pPr>
        <w:tabs>
          <w:tab w:val="num" w:pos="3600"/>
        </w:tabs>
        <w:ind w:left="3600" w:hanging="360"/>
      </w:pPr>
      <w:rPr>
        <w:rFonts w:ascii="Symbol" w:hAnsi="Symbol" w:hint="default"/>
        <w:sz w:val="20"/>
      </w:rPr>
    </w:lvl>
    <w:lvl w:ilvl="5" w:tplc="68D651C6" w:tentative="1">
      <w:start w:val="1"/>
      <w:numFmt w:val="bullet"/>
      <w:lvlText w:val=""/>
      <w:lvlJc w:val="left"/>
      <w:pPr>
        <w:tabs>
          <w:tab w:val="num" w:pos="4320"/>
        </w:tabs>
        <w:ind w:left="4320" w:hanging="360"/>
      </w:pPr>
      <w:rPr>
        <w:rFonts w:ascii="Symbol" w:hAnsi="Symbol" w:hint="default"/>
        <w:sz w:val="20"/>
      </w:rPr>
    </w:lvl>
    <w:lvl w:ilvl="6" w:tplc="9C3C4F42" w:tentative="1">
      <w:start w:val="1"/>
      <w:numFmt w:val="bullet"/>
      <w:lvlText w:val=""/>
      <w:lvlJc w:val="left"/>
      <w:pPr>
        <w:tabs>
          <w:tab w:val="num" w:pos="5040"/>
        </w:tabs>
        <w:ind w:left="5040" w:hanging="360"/>
      </w:pPr>
      <w:rPr>
        <w:rFonts w:ascii="Symbol" w:hAnsi="Symbol" w:hint="default"/>
        <w:sz w:val="20"/>
      </w:rPr>
    </w:lvl>
    <w:lvl w:ilvl="7" w:tplc="028E3D42" w:tentative="1">
      <w:start w:val="1"/>
      <w:numFmt w:val="bullet"/>
      <w:lvlText w:val=""/>
      <w:lvlJc w:val="left"/>
      <w:pPr>
        <w:tabs>
          <w:tab w:val="num" w:pos="5760"/>
        </w:tabs>
        <w:ind w:left="5760" w:hanging="360"/>
      </w:pPr>
      <w:rPr>
        <w:rFonts w:ascii="Symbol" w:hAnsi="Symbol" w:hint="default"/>
        <w:sz w:val="20"/>
      </w:rPr>
    </w:lvl>
    <w:lvl w:ilvl="8" w:tplc="76D4046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D07E0"/>
    <w:multiLevelType w:val="hybridMultilevel"/>
    <w:tmpl w:val="7ADCB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AC7424"/>
    <w:multiLevelType w:val="hybridMultilevel"/>
    <w:tmpl w:val="10A61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915B1A"/>
    <w:multiLevelType w:val="hybridMultilevel"/>
    <w:tmpl w:val="92CE4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EC1DCA"/>
    <w:multiLevelType w:val="hybridMultilevel"/>
    <w:tmpl w:val="AC70B600"/>
    <w:lvl w:ilvl="0" w:tplc="950EB01A">
      <w:start w:val="1"/>
      <w:numFmt w:val="bullet"/>
      <w:lvlText w:val=""/>
      <w:lvlJc w:val="left"/>
      <w:pPr>
        <w:ind w:left="720" w:hanging="360"/>
      </w:pPr>
      <w:rPr>
        <w:rFonts w:ascii="Symbol" w:hAnsi="Symbol" w:hint="default"/>
      </w:rPr>
    </w:lvl>
    <w:lvl w:ilvl="1" w:tplc="4EAC77CC">
      <w:start w:val="1"/>
      <w:numFmt w:val="bullet"/>
      <w:lvlText w:val=""/>
      <w:lvlJc w:val="left"/>
      <w:pPr>
        <w:ind w:left="1440" w:hanging="360"/>
      </w:pPr>
      <w:rPr>
        <w:rFonts w:ascii="Symbol" w:hAnsi="Symbol" w:hint="default"/>
      </w:rPr>
    </w:lvl>
    <w:lvl w:ilvl="2" w:tplc="6E88C990">
      <w:start w:val="1"/>
      <w:numFmt w:val="bullet"/>
      <w:lvlText w:val=""/>
      <w:lvlJc w:val="left"/>
      <w:pPr>
        <w:ind w:left="2160" w:hanging="360"/>
      </w:pPr>
      <w:rPr>
        <w:rFonts w:ascii="Wingdings" w:hAnsi="Wingdings" w:hint="default"/>
      </w:rPr>
    </w:lvl>
    <w:lvl w:ilvl="3" w:tplc="39FCE760">
      <w:start w:val="1"/>
      <w:numFmt w:val="bullet"/>
      <w:lvlText w:val=""/>
      <w:lvlJc w:val="left"/>
      <w:pPr>
        <w:ind w:left="2880" w:hanging="360"/>
      </w:pPr>
      <w:rPr>
        <w:rFonts w:ascii="Symbol" w:hAnsi="Symbol" w:hint="default"/>
      </w:rPr>
    </w:lvl>
    <w:lvl w:ilvl="4" w:tplc="C9C07AEC">
      <w:start w:val="1"/>
      <w:numFmt w:val="bullet"/>
      <w:lvlText w:val="o"/>
      <w:lvlJc w:val="left"/>
      <w:pPr>
        <w:ind w:left="3600" w:hanging="360"/>
      </w:pPr>
      <w:rPr>
        <w:rFonts w:ascii="Courier New" w:hAnsi="Courier New" w:hint="default"/>
      </w:rPr>
    </w:lvl>
    <w:lvl w:ilvl="5" w:tplc="160881FE">
      <w:start w:val="1"/>
      <w:numFmt w:val="bullet"/>
      <w:lvlText w:val=""/>
      <w:lvlJc w:val="left"/>
      <w:pPr>
        <w:ind w:left="4320" w:hanging="360"/>
      </w:pPr>
      <w:rPr>
        <w:rFonts w:ascii="Wingdings" w:hAnsi="Wingdings" w:hint="default"/>
      </w:rPr>
    </w:lvl>
    <w:lvl w:ilvl="6" w:tplc="93D001DE">
      <w:start w:val="1"/>
      <w:numFmt w:val="bullet"/>
      <w:lvlText w:val=""/>
      <w:lvlJc w:val="left"/>
      <w:pPr>
        <w:ind w:left="5040" w:hanging="360"/>
      </w:pPr>
      <w:rPr>
        <w:rFonts w:ascii="Symbol" w:hAnsi="Symbol" w:hint="default"/>
      </w:rPr>
    </w:lvl>
    <w:lvl w:ilvl="7" w:tplc="0BA4FEF8">
      <w:start w:val="1"/>
      <w:numFmt w:val="bullet"/>
      <w:lvlText w:val="o"/>
      <w:lvlJc w:val="left"/>
      <w:pPr>
        <w:ind w:left="5760" w:hanging="360"/>
      </w:pPr>
      <w:rPr>
        <w:rFonts w:ascii="Courier New" w:hAnsi="Courier New" w:hint="default"/>
      </w:rPr>
    </w:lvl>
    <w:lvl w:ilvl="8" w:tplc="3C38BA2C">
      <w:start w:val="1"/>
      <w:numFmt w:val="bullet"/>
      <w:lvlText w:val=""/>
      <w:lvlJc w:val="left"/>
      <w:pPr>
        <w:ind w:left="6480" w:hanging="360"/>
      </w:pPr>
      <w:rPr>
        <w:rFonts w:ascii="Wingdings" w:hAnsi="Wingdings" w:hint="default"/>
      </w:rPr>
    </w:lvl>
  </w:abstractNum>
  <w:abstractNum w:abstractNumId="16" w15:restartNumberingAfterBreak="0">
    <w:nsid w:val="362C7931"/>
    <w:multiLevelType w:val="hybridMultilevel"/>
    <w:tmpl w:val="1C8E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70624"/>
    <w:multiLevelType w:val="hybridMultilevel"/>
    <w:tmpl w:val="9FC83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8AF0A8"/>
    <w:multiLevelType w:val="hybridMultilevel"/>
    <w:tmpl w:val="A8E61440"/>
    <w:lvl w:ilvl="0" w:tplc="3E1E74E2">
      <w:start w:val="1"/>
      <w:numFmt w:val="bullet"/>
      <w:lvlText w:val=""/>
      <w:lvlJc w:val="left"/>
      <w:pPr>
        <w:ind w:left="1080" w:hanging="360"/>
      </w:pPr>
      <w:rPr>
        <w:rFonts w:ascii="Symbol" w:hAnsi="Symbol" w:hint="default"/>
      </w:rPr>
    </w:lvl>
    <w:lvl w:ilvl="1" w:tplc="5D38BA32">
      <w:start w:val="1"/>
      <w:numFmt w:val="bullet"/>
      <w:lvlText w:val="o"/>
      <w:lvlJc w:val="left"/>
      <w:pPr>
        <w:ind w:left="1440" w:hanging="360"/>
      </w:pPr>
      <w:rPr>
        <w:rFonts w:ascii="Courier New" w:hAnsi="Courier New" w:hint="default"/>
      </w:rPr>
    </w:lvl>
    <w:lvl w:ilvl="2" w:tplc="8160B5BC">
      <w:start w:val="1"/>
      <w:numFmt w:val="bullet"/>
      <w:lvlText w:val=""/>
      <w:lvlJc w:val="left"/>
      <w:pPr>
        <w:ind w:left="2160" w:hanging="360"/>
      </w:pPr>
      <w:rPr>
        <w:rFonts w:ascii="Wingdings" w:hAnsi="Wingdings" w:hint="default"/>
      </w:rPr>
    </w:lvl>
    <w:lvl w:ilvl="3" w:tplc="6A34C9BC">
      <w:start w:val="1"/>
      <w:numFmt w:val="bullet"/>
      <w:lvlText w:val=""/>
      <w:lvlJc w:val="left"/>
      <w:pPr>
        <w:ind w:left="2880" w:hanging="360"/>
      </w:pPr>
      <w:rPr>
        <w:rFonts w:ascii="Symbol" w:hAnsi="Symbol" w:hint="default"/>
      </w:rPr>
    </w:lvl>
    <w:lvl w:ilvl="4" w:tplc="E9E0CF70">
      <w:start w:val="1"/>
      <w:numFmt w:val="bullet"/>
      <w:lvlText w:val="o"/>
      <w:lvlJc w:val="left"/>
      <w:pPr>
        <w:ind w:left="3600" w:hanging="360"/>
      </w:pPr>
      <w:rPr>
        <w:rFonts w:ascii="Courier New" w:hAnsi="Courier New" w:hint="default"/>
      </w:rPr>
    </w:lvl>
    <w:lvl w:ilvl="5" w:tplc="B16E3D22">
      <w:start w:val="1"/>
      <w:numFmt w:val="bullet"/>
      <w:lvlText w:val=""/>
      <w:lvlJc w:val="left"/>
      <w:pPr>
        <w:ind w:left="4320" w:hanging="360"/>
      </w:pPr>
      <w:rPr>
        <w:rFonts w:ascii="Wingdings" w:hAnsi="Wingdings" w:hint="default"/>
      </w:rPr>
    </w:lvl>
    <w:lvl w:ilvl="6" w:tplc="A9B4D3C0">
      <w:start w:val="1"/>
      <w:numFmt w:val="bullet"/>
      <w:lvlText w:val=""/>
      <w:lvlJc w:val="left"/>
      <w:pPr>
        <w:ind w:left="5040" w:hanging="360"/>
      </w:pPr>
      <w:rPr>
        <w:rFonts w:ascii="Symbol" w:hAnsi="Symbol" w:hint="default"/>
      </w:rPr>
    </w:lvl>
    <w:lvl w:ilvl="7" w:tplc="F64EB5B2">
      <w:start w:val="1"/>
      <w:numFmt w:val="bullet"/>
      <w:lvlText w:val="o"/>
      <w:lvlJc w:val="left"/>
      <w:pPr>
        <w:ind w:left="5760" w:hanging="360"/>
      </w:pPr>
      <w:rPr>
        <w:rFonts w:ascii="Courier New" w:hAnsi="Courier New" w:hint="default"/>
      </w:rPr>
    </w:lvl>
    <w:lvl w:ilvl="8" w:tplc="025CE7FE">
      <w:start w:val="1"/>
      <w:numFmt w:val="bullet"/>
      <w:lvlText w:val=""/>
      <w:lvlJc w:val="left"/>
      <w:pPr>
        <w:ind w:left="6480" w:hanging="360"/>
      </w:pPr>
      <w:rPr>
        <w:rFonts w:ascii="Wingdings" w:hAnsi="Wingdings" w:hint="default"/>
      </w:rPr>
    </w:lvl>
  </w:abstractNum>
  <w:abstractNum w:abstractNumId="19" w15:restartNumberingAfterBreak="0">
    <w:nsid w:val="3BD884C7"/>
    <w:multiLevelType w:val="hybridMultilevel"/>
    <w:tmpl w:val="46E8C9A6"/>
    <w:lvl w:ilvl="0" w:tplc="633A0CA0">
      <w:start w:val="1"/>
      <w:numFmt w:val="bullet"/>
      <w:lvlText w:val=""/>
      <w:lvlJc w:val="left"/>
      <w:pPr>
        <w:ind w:left="720" w:hanging="360"/>
      </w:pPr>
      <w:rPr>
        <w:rFonts w:ascii="Symbol" w:hAnsi="Symbol" w:hint="default"/>
      </w:rPr>
    </w:lvl>
    <w:lvl w:ilvl="1" w:tplc="A872B054">
      <w:start w:val="1"/>
      <w:numFmt w:val="bullet"/>
      <w:lvlText w:val="o"/>
      <w:lvlJc w:val="left"/>
      <w:pPr>
        <w:ind w:left="1440" w:hanging="360"/>
      </w:pPr>
      <w:rPr>
        <w:rFonts w:ascii="Courier New" w:hAnsi="Courier New" w:hint="default"/>
      </w:rPr>
    </w:lvl>
    <w:lvl w:ilvl="2" w:tplc="FE324BD4">
      <w:start w:val="1"/>
      <w:numFmt w:val="bullet"/>
      <w:lvlText w:val=""/>
      <w:lvlJc w:val="left"/>
      <w:pPr>
        <w:ind w:left="2160" w:hanging="360"/>
      </w:pPr>
      <w:rPr>
        <w:rFonts w:ascii="Wingdings" w:hAnsi="Wingdings" w:hint="default"/>
      </w:rPr>
    </w:lvl>
    <w:lvl w:ilvl="3" w:tplc="92369082">
      <w:start w:val="1"/>
      <w:numFmt w:val="bullet"/>
      <w:lvlText w:val=""/>
      <w:lvlJc w:val="left"/>
      <w:pPr>
        <w:ind w:left="2880" w:hanging="360"/>
      </w:pPr>
      <w:rPr>
        <w:rFonts w:ascii="Symbol" w:hAnsi="Symbol" w:hint="default"/>
      </w:rPr>
    </w:lvl>
    <w:lvl w:ilvl="4" w:tplc="4EF814A8">
      <w:start w:val="1"/>
      <w:numFmt w:val="bullet"/>
      <w:lvlText w:val="o"/>
      <w:lvlJc w:val="left"/>
      <w:pPr>
        <w:ind w:left="3600" w:hanging="360"/>
      </w:pPr>
      <w:rPr>
        <w:rFonts w:ascii="Courier New" w:hAnsi="Courier New" w:hint="default"/>
      </w:rPr>
    </w:lvl>
    <w:lvl w:ilvl="5" w:tplc="BDDE944A">
      <w:start w:val="1"/>
      <w:numFmt w:val="bullet"/>
      <w:lvlText w:val=""/>
      <w:lvlJc w:val="left"/>
      <w:pPr>
        <w:ind w:left="4320" w:hanging="360"/>
      </w:pPr>
      <w:rPr>
        <w:rFonts w:ascii="Wingdings" w:hAnsi="Wingdings" w:hint="default"/>
      </w:rPr>
    </w:lvl>
    <w:lvl w:ilvl="6" w:tplc="58B233EA">
      <w:start w:val="1"/>
      <w:numFmt w:val="bullet"/>
      <w:lvlText w:val=""/>
      <w:lvlJc w:val="left"/>
      <w:pPr>
        <w:ind w:left="5040" w:hanging="360"/>
      </w:pPr>
      <w:rPr>
        <w:rFonts w:ascii="Symbol" w:hAnsi="Symbol" w:hint="default"/>
      </w:rPr>
    </w:lvl>
    <w:lvl w:ilvl="7" w:tplc="16B6A244">
      <w:start w:val="1"/>
      <w:numFmt w:val="bullet"/>
      <w:lvlText w:val="o"/>
      <w:lvlJc w:val="left"/>
      <w:pPr>
        <w:ind w:left="5760" w:hanging="360"/>
      </w:pPr>
      <w:rPr>
        <w:rFonts w:ascii="Courier New" w:hAnsi="Courier New" w:hint="default"/>
      </w:rPr>
    </w:lvl>
    <w:lvl w:ilvl="8" w:tplc="9064CECC">
      <w:start w:val="1"/>
      <w:numFmt w:val="bullet"/>
      <w:lvlText w:val=""/>
      <w:lvlJc w:val="left"/>
      <w:pPr>
        <w:ind w:left="6480" w:hanging="360"/>
      </w:pPr>
      <w:rPr>
        <w:rFonts w:ascii="Wingdings" w:hAnsi="Wingdings" w:hint="default"/>
      </w:rPr>
    </w:lvl>
  </w:abstractNum>
  <w:abstractNum w:abstractNumId="20" w15:restartNumberingAfterBreak="0">
    <w:nsid w:val="3D23F154"/>
    <w:multiLevelType w:val="hybridMultilevel"/>
    <w:tmpl w:val="E598B6B2"/>
    <w:lvl w:ilvl="0" w:tplc="7D7C7DAE">
      <w:start w:val="1"/>
      <w:numFmt w:val="bullet"/>
      <w:lvlText w:val=""/>
      <w:lvlJc w:val="left"/>
      <w:pPr>
        <w:ind w:left="720" w:hanging="360"/>
      </w:pPr>
      <w:rPr>
        <w:rFonts w:ascii="Symbol" w:hAnsi="Symbol" w:hint="default"/>
      </w:rPr>
    </w:lvl>
    <w:lvl w:ilvl="1" w:tplc="0C08D0A2">
      <w:start w:val="1"/>
      <w:numFmt w:val="bullet"/>
      <w:lvlText w:val="o"/>
      <w:lvlJc w:val="left"/>
      <w:pPr>
        <w:ind w:left="1440" w:hanging="360"/>
      </w:pPr>
      <w:rPr>
        <w:rFonts w:ascii="Courier New" w:hAnsi="Courier New" w:hint="default"/>
      </w:rPr>
    </w:lvl>
    <w:lvl w:ilvl="2" w:tplc="94D2A448">
      <w:start w:val="1"/>
      <w:numFmt w:val="bullet"/>
      <w:lvlText w:val=""/>
      <w:lvlJc w:val="left"/>
      <w:pPr>
        <w:ind w:left="2160" w:hanging="360"/>
      </w:pPr>
      <w:rPr>
        <w:rFonts w:ascii="Wingdings" w:hAnsi="Wingdings" w:hint="default"/>
      </w:rPr>
    </w:lvl>
    <w:lvl w:ilvl="3" w:tplc="F0C43498">
      <w:start w:val="1"/>
      <w:numFmt w:val="bullet"/>
      <w:lvlText w:val=""/>
      <w:lvlJc w:val="left"/>
      <w:pPr>
        <w:ind w:left="2880" w:hanging="360"/>
      </w:pPr>
      <w:rPr>
        <w:rFonts w:ascii="Symbol" w:hAnsi="Symbol" w:hint="default"/>
      </w:rPr>
    </w:lvl>
    <w:lvl w:ilvl="4" w:tplc="227069A4">
      <w:start w:val="1"/>
      <w:numFmt w:val="bullet"/>
      <w:lvlText w:val="o"/>
      <w:lvlJc w:val="left"/>
      <w:pPr>
        <w:ind w:left="3600" w:hanging="360"/>
      </w:pPr>
      <w:rPr>
        <w:rFonts w:ascii="Courier New" w:hAnsi="Courier New" w:hint="default"/>
      </w:rPr>
    </w:lvl>
    <w:lvl w:ilvl="5" w:tplc="4036AED8">
      <w:start w:val="1"/>
      <w:numFmt w:val="bullet"/>
      <w:lvlText w:val=""/>
      <w:lvlJc w:val="left"/>
      <w:pPr>
        <w:ind w:left="4320" w:hanging="360"/>
      </w:pPr>
      <w:rPr>
        <w:rFonts w:ascii="Wingdings" w:hAnsi="Wingdings" w:hint="default"/>
      </w:rPr>
    </w:lvl>
    <w:lvl w:ilvl="6" w:tplc="214CD55C">
      <w:start w:val="1"/>
      <w:numFmt w:val="bullet"/>
      <w:lvlText w:val=""/>
      <w:lvlJc w:val="left"/>
      <w:pPr>
        <w:ind w:left="5040" w:hanging="360"/>
      </w:pPr>
      <w:rPr>
        <w:rFonts w:ascii="Symbol" w:hAnsi="Symbol" w:hint="default"/>
      </w:rPr>
    </w:lvl>
    <w:lvl w:ilvl="7" w:tplc="CE2E6500">
      <w:start w:val="1"/>
      <w:numFmt w:val="bullet"/>
      <w:lvlText w:val="o"/>
      <w:lvlJc w:val="left"/>
      <w:pPr>
        <w:ind w:left="5760" w:hanging="360"/>
      </w:pPr>
      <w:rPr>
        <w:rFonts w:ascii="Courier New" w:hAnsi="Courier New" w:hint="default"/>
      </w:rPr>
    </w:lvl>
    <w:lvl w:ilvl="8" w:tplc="418AA3D6">
      <w:start w:val="1"/>
      <w:numFmt w:val="bullet"/>
      <w:lvlText w:val=""/>
      <w:lvlJc w:val="left"/>
      <w:pPr>
        <w:ind w:left="6480" w:hanging="360"/>
      </w:pPr>
      <w:rPr>
        <w:rFonts w:ascii="Wingdings" w:hAnsi="Wingdings" w:hint="default"/>
      </w:rPr>
    </w:lvl>
  </w:abstractNum>
  <w:abstractNum w:abstractNumId="21" w15:restartNumberingAfterBreak="0">
    <w:nsid w:val="3E54626F"/>
    <w:multiLevelType w:val="hybridMultilevel"/>
    <w:tmpl w:val="35849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310F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673D50"/>
    <w:multiLevelType w:val="hybridMultilevel"/>
    <w:tmpl w:val="6CB4B26A"/>
    <w:lvl w:ilvl="0" w:tplc="8080292A">
      <w:start w:val="1"/>
      <w:numFmt w:val="decimal"/>
      <w:lvlText w:val="%1."/>
      <w:lvlJc w:val="left"/>
      <w:pPr>
        <w:ind w:left="720" w:hanging="360"/>
      </w:pPr>
      <w:rPr>
        <w:b w:val="0"/>
        <w:bCs w:val="0"/>
      </w:rPr>
    </w:lvl>
    <w:lvl w:ilvl="1" w:tplc="B600A07E">
      <w:start w:val="1"/>
      <w:numFmt w:val="lowerLetter"/>
      <w:lvlText w:val="%2."/>
      <w:lvlJc w:val="left"/>
      <w:pPr>
        <w:ind w:left="1440" w:hanging="360"/>
      </w:pPr>
      <w:rPr>
        <w:b w:val="0"/>
        <w:bCs w:val="0"/>
      </w:rPr>
    </w:lvl>
    <w:lvl w:ilvl="2" w:tplc="387C72E0">
      <w:start w:val="1"/>
      <w:numFmt w:val="lowerRoman"/>
      <w:lvlText w:val="%3."/>
      <w:lvlJc w:val="right"/>
      <w:pPr>
        <w:ind w:left="2160" w:hanging="180"/>
      </w:pPr>
    </w:lvl>
    <w:lvl w:ilvl="3" w:tplc="92949F72">
      <w:start w:val="1"/>
      <w:numFmt w:val="decimal"/>
      <w:lvlText w:val="%4."/>
      <w:lvlJc w:val="left"/>
      <w:pPr>
        <w:ind w:left="2880" w:hanging="360"/>
      </w:pPr>
    </w:lvl>
    <w:lvl w:ilvl="4" w:tplc="46441D1A">
      <w:start w:val="1"/>
      <w:numFmt w:val="lowerLetter"/>
      <w:lvlText w:val="%5."/>
      <w:lvlJc w:val="left"/>
      <w:pPr>
        <w:ind w:left="3600" w:hanging="360"/>
      </w:pPr>
    </w:lvl>
    <w:lvl w:ilvl="5" w:tplc="D7161902">
      <w:start w:val="1"/>
      <w:numFmt w:val="lowerRoman"/>
      <w:lvlText w:val="%6."/>
      <w:lvlJc w:val="right"/>
      <w:pPr>
        <w:ind w:left="4320" w:hanging="180"/>
      </w:pPr>
    </w:lvl>
    <w:lvl w:ilvl="6" w:tplc="BD282B3E">
      <w:start w:val="1"/>
      <w:numFmt w:val="decimal"/>
      <w:lvlText w:val="%7."/>
      <w:lvlJc w:val="left"/>
      <w:pPr>
        <w:ind w:left="5040" w:hanging="360"/>
      </w:pPr>
    </w:lvl>
    <w:lvl w:ilvl="7" w:tplc="5DDE6DF4">
      <w:start w:val="1"/>
      <w:numFmt w:val="lowerLetter"/>
      <w:lvlText w:val="%8."/>
      <w:lvlJc w:val="left"/>
      <w:pPr>
        <w:ind w:left="5760" w:hanging="360"/>
      </w:pPr>
    </w:lvl>
    <w:lvl w:ilvl="8" w:tplc="B8A29AE0">
      <w:start w:val="1"/>
      <w:numFmt w:val="lowerRoman"/>
      <w:lvlText w:val="%9."/>
      <w:lvlJc w:val="right"/>
      <w:pPr>
        <w:ind w:left="6480" w:hanging="180"/>
      </w:pPr>
    </w:lvl>
  </w:abstractNum>
  <w:abstractNum w:abstractNumId="26" w15:restartNumberingAfterBreak="0">
    <w:nsid w:val="4BEA1124"/>
    <w:multiLevelType w:val="hybridMultilevel"/>
    <w:tmpl w:val="A1361A60"/>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7" w15:restartNumberingAfterBreak="0">
    <w:nsid w:val="4CFE786E"/>
    <w:multiLevelType w:val="hybridMultilevel"/>
    <w:tmpl w:val="B4C2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FA65C0"/>
    <w:multiLevelType w:val="hybridMultilevel"/>
    <w:tmpl w:val="70AE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7A4D02"/>
    <w:multiLevelType w:val="multilevel"/>
    <w:tmpl w:val="076276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9902594"/>
    <w:multiLevelType w:val="hybridMultilevel"/>
    <w:tmpl w:val="ABA2D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BD7D58"/>
    <w:multiLevelType w:val="hybridMultilevel"/>
    <w:tmpl w:val="E87EA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51B7953"/>
    <w:multiLevelType w:val="hybridMultilevel"/>
    <w:tmpl w:val="D5BC1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36C28B"/>
    <w:multiLevelType w:val="hybridMultilevel"/>
    <w:tmpl w:val="8EACD914"/>
    <w:lvl w:ilvl="0" w:tplc="56080748">
      <w:start w:val="1"/>
      <w:numFmt w:val="bullet"/>
      <w:lvlText w:val=""/>
      <w:lvlJc w:val="left"/>
      <w:pPr>
        <w:ind w:left="720" w:hanging="360"/>
      </w:pPr>
      <w:rPr>
        <w:rFonts w:ascii="Symbol" w:hAnsi="Symbol" w:hint="default"/>
      </w:rPr>
    </w:lvl>
    <w:lvl w:ilvl="1" w:tplc="C93EE7AC">
      <w:start w:val="1"/>
      <w:numFmt w:val="bullet"/>
      <w:lvlText w:val="o"/>
      <w:lvlJc w:val="left"/>
      <w:pPr>
        <w:ind w:left="1440" w:hanging="360"/>
      </w:pPr>
      <w:rPr>
        <w:rFonts w:ascii="Courier New" w:hAnsi="Courier New" w:hint="default"/>
      </w:rPr>
    </w:lvl>
    <w:lvl w:ilvl="2" w:tplc="59883DB2">
      <w:start w:val="1"/>
      <w:numFmt w:val="bullet"/>
      <w:lvlText w:val=""/>
      <w:lvlJc w:val="left"/>
      <w:pPr>
        <w:ind w:left="2160" w:hanging="360"/>
      </w:pPr>
      <w:rPr>
        <w:rFonts w:ascii="Wingdings" w:hAnsi="Wingdings" w:hint="default"/>
      </w:rPr>
    </w:lvl>
    <w:lvl w:ilvl="3" w:tplc="59FEFFD8">
      <w:start w:val="1"/>
      <w:numFmt w:val="bullet"/>
      <w:lvlText w:val=""/>
      <w:lvlJc w:val="left"/>
      <w:pPr>
        <w:ind w:left="2880" w:hanging="360"/>
      </w:pPr>
      <w:rPr>
        <w:rFonts w:ascii="Symbol" w:hAnsi="Symbol" w:hint="default"/>
      </w:rPr>
    </w:lvl>
    <w:lvl w:ilvl="4" w:tplc="B148B2E8">
      <w:start w:val="1"/>
      <w:numFmt w:val="bullet"/>
      <w:lvlText w:val="o"/>
      <w:lvlJc w:val="left"/>
      <w:pPr>
        <w:ind w:left="3600" w:hanging="360"/>
      </w:pPr>
      <w:rPr>
        <w:rFonts w:ascii="Courier New" w:hAnsi="Courier New" w:hint="default"/>
      </w:rPr>
    </w:lvl>
    <w:lvl w:ilvl="5" w:tplc="11543228">
      <w:start w:val="1"/>
      <w:numFmt w:val="bullet"/>
      <w:lvlText w:val=""/>
      <w:lvlJc w:val="left"/>
      <w:pPr>
        <w:ind w:left="4320" w:hanging="360"/>
      </w:pPr>
      <w:rPr>
        <w:rFonts w:ascii="Wingdings" w:hAnsi="Wingdings" w:hint="default"/>
      </w:rPr>
    </w:lvl>
    <w:lvl w:ilvl="6" w:tplc="8204593E">
      <w:start w:val="1"/>
      <w:numFmt w:val="bullet"/>
      <w:lvlText w:val=""/>
      <w:lvlJc w:val="left"/>
      <w:pPr>
        <w:ind w:left="5040" w:hanging="360"/>
      </w:pPr>
      <w:rPr>
        <w:rFonts w:ascii="Symbol" w:hAnsi="Symbol" w:hint="default"/>
      </w:rPr>
    </w:lvl>
    <w:lvl w:ilvl="7" w:tplc="08724BDC">
      <w:start w:val="1"/>
      <w:numFmt w:val="bullet"/>
      <w:lvlText w:val="o"/>
      <w:lvlJc w:val="left"/>
      <w:pPr>
        <w:ind w:left="5760" w:hanging="360"/>
      </w:pPr>
      <w:rPr>
        <w:rFonts w:ascii="Courier New" w:hAnsi="Courier New" w:hint="default"/>
      </w:rPr>
    </w:lvl>
    <w:lvl w:ilvl="8" w:tplc="C0B0B82E">
      <w:start w:val="1"/>
      <w:numFmt w:val="bullet"/>
      <w:lvlText w:val=""/>
      <w:lvlJc w:val="left"/>
      <w:pPr>
        <w:ind w:left="6480" w:hanging="360"/>
      </w:pPr>
      <w:rPr>
        <w:rFonts w:ascii="Wingdings" w:hAnsi="Wingdings" w:hint="default"/>
      </w:rPr>
    </w:lvl>
  </w:abstractNum>
  <w:abstractNum w:abstractNumId="37" w15:restartNumberingAfterBreak="0">
    <w:nsid w:val="67516853"/>
    <w:multiLevelType w:val="hybridMultilevel"/>
    <w:tmpl w:val="23D64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DA6F45"/>
    <w:multiLevelType w:val="hybridMultilevel"/>
    <w:tmpl w:val="62C0E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2E5D68"/>
    <w:multiLevelType w:val="multilevel"/>
    <w:tmpl w:val="6AFEF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DE12A35"/>
    <w:multiLevelType w:val="multilevel"/>
    <w:tmpl w:val="BCFA55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A416D"/>
    <w:multiLevelType w:val="hybridMultilevel"/>
    <w:tmpl w:val="61289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582F9B"/>
    <w:multiLevelType w:val="hybridMultilevel"/>
    <w:tmpl w:val="352E77AC"/>
    <w:lvl w:ilvl="0" w:tplc="0C090017">
      <w:start w:val="1"/>
      <w:numFmt w:val="lowerLetter"/>
      <w:lvlText w:val="%1)"/>
      <w:lvlJc w:val="left"/>
      <w:pPr>
        <w:ind w:left="67" w:hanging="360"/>
      </w:pPr>
    </w:lvl>
    <w:lvl w:ilvl="1" w:tplc="9DC0716C">
      <w:start w:val="1"/>
      <w:numFmt w:val="lowerRoman"/>
      <w:lvlText w:val="(%2)"/>
      <w:lvlJc w:val="left"/>
      <w:pPr>
        <w:ind w:left="1147" w:hanging="720"/>
      </w:pPr>
      <w:rPr>
        <w:rFonts w:hint="default"/>
      </w:rPr>
    </w:lvl>
    <w:lvl w:ilvl="2" w:tplc="0C09001B" w:tentative="1">
      <w:start w:val="1"/>
      <w:numFmt w:val="lowerRoman"/>
      <w:lvlText w:val="%3."/>
      <w:lvlJc w:val="right"/>
      <w:pPr>
        <w:ind w:left="1507" w:hanging="180"/>
      </w:pPr>
    </w:lvl>
    <w:lvl w:ilvl="3" w:tplc="0C09000F" w:tentative="1">
      <w:start w:val="1"/>
      <w:numFmt w:val="decimal"/>
      <w:lvlText w:val="%4."/>
      <w:lvlJc w:val="left"/>
      <w:pPr>
        <w:ind w:left="2227" w:hanging="360"/>
      </w:pPr>
    </w:lvl>
    <w:lvl w:ilvl="4" w:tplc="0C090019" w:tentative="1">
      <w:start w:val="1"/>
      <w:numFmt w:val="lowerLetter"/>
      <w:lvlText w:val="%5."/>
      <w:lvlJc w:val="left"/>
      <w:pPr>
        <w:ind w:left="2947" w:hanging="360"/>
      </w:pPr>
    </w:lvl>
    <w:lvl w:ilvl="5" w:tplc="0C09001B" w:tentative="1">
      <w:start w:val="1"/>
      <w:numFmt w:val="lowerRoman"/>
      <w:lvlText w:val="%6."/>
      <w:lvlJc w:val="right"/>
      <w:pPr>
        <w:ind w:left="3667" w:hanging="180"/>
      </w:pPr>
    </w:lvl>
    <w:lvl w:ilvl="6" w:tplc="0C09000F" w:tentative="1">
      <w:start w:val="1"/>
      <w:numFmt w:val="decimal"/>
      <w:lvlText w:val="%7."/>
      <w:lvlJc w:val="left"/>
      <w:pPr>
        <w:ind w:left="4387" w:hanging="360"/>
      </w:pPr>
    </w:lvl>
    <w:lvl w:ilvl="7" w:tplc="0C090019" w:tentative="1">
      <w:start w:val="1"/>
      <w:numFmt w:val="lowerLetter"/>
      <w:lvlText w:val="%8."/>
      <w:lvlJc w:val="left"/>
      <w:pPr>
        <w:ind w:left="5107" w:hanging="360"/>
      </w:pPr>
    </w:lvl>
    <w:lvl w:ilvl="8" w:tplc="0C09001B" w:tentative="1">
      <w:start w:val="1"/>
      <w:numFmt w:val="lowerRoman"/>
      <w:lvlText w:val="%9."/>
      <w:lvlJc w:val="right"/>
      <w:pPr>
        <w:ind w:left="5827" w:hanging="180"/>
      </w:pPr>
    </w:lvl>
  </w:abstractNum>
  <w:abstractNum w:abstractNumId="43" w15:restartNumberingAfterBreak="0">
    <w:nsid w:val="756E3EA5"/>
    <w:multiLevelType w:val="multilevel"/>
    <w:tmpl w:val="0D9A4A04"/>
    <w:numStyleLink w:val="Orderclausesnumberingliststyle"/>
  </w:abstractNum>
  <w:abstractNum w:abstractNumId="44" w15:restartNumberingAfterBreak="0">
    <w:nsid w:val="7A2F34B4"/>
    <w:multiLevelType w:val="hybridMultilevel"/>
    <w:tmpl w:val="2450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33571E"/>
    <w:multiLevelType w:val="hybridMultilevel"/>
    <w:tmpl w:val="83AE2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C11739E"/>
    <w:multiLevelType w:val="multilevel"/>
    <w:tmpl w:val="7C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135237">
    <w:abstractNumId w:val="22"/>
  </w:num>
  <w:num w:numId="2" w16cid:durableId="1401246957">
    <w:abstractNumId w:val="31"/>
  </w:num>
  <w:num w:numId="3" w16cid:durableId="1267078870">
    <w:abstractNumId w:val="30"/>
  </w:num>
  <w:num w:numId="4" w16cid:durableId="1605382152">
    <w:abstractNumId w:val="34"/>
  </w:num>
  <w:num w:numId="5" w16cid:durableId="1325863774">
    <w:abstractNumId w:val="23"/>
  </w:num>
  <w:num w:numId="6" w16cid:durableId="722413013">
    <w:abstractNumId w:val="4"/>
  </w:num>
  <w:num w:numId="7" w16cid:durableId="1496608167">
    <w:abstractNumId w:val="42"/>
  </w:num>
  <w:num w:numId="8" w16cid:durableId="501972596">
    <w:abstractNumId w:val="28"/>
  </w:num>
  <w:num w:numId="9" w16cid:durableId="1588151249">
    <w:abstractNumId w:val="1"/>
  </w:num>
  <w:num w:numId="10" w16cid:durableId="527835096">
    <w:abstractNumId w:val="2"/>
  </w:num>
  <w:num w:numId="11" w16cid:durableId="1853491903">
    <w:abstractNumId w:val="8"/>
  </w:num>
  <w:num w:numId="12" w16cid:durableId="1968778505">
    <w:abstractNumId w:val="41"/>
  </w:num>
  <w:num w:numId="13" w16cid:durableId="1074232208">
    <w:abstractNumId w:val="46"/>
  </w:num>
  <w:num w:numId="14" w16cid:durableId="877205487">
    <w:abstractNumId w:val="11"/>
  </w:num>
  <w:num w:numId="15" w16cid:durableId="1441337196">
    <w:abstractNumId w:val="39"/>
  </w:num>
  <w:num w:numId="16" w16cid:durableId="1108086928">
    <w:abstractNumId w:val="21"/>
  </w:num>
  <w:num w:numId="17" w16cid:durableId="25839671">
    <w:abstractNumId w:val="33"/>
  </w:num>
  <w:num w:numId="18" w16cid:durableId="1617758816">
    <w:abstractNumId w:val="13"/>
  </w:num>
  <w:num w:numId="19" w16cid:durableId="174000785">
    <w:abstractNumId w:val="6"/>
  </w:num>
  <w:num w:numId="20" w16cid:durableId="623000303">
    <w:abstractNumId w:val="43"/>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1" w16cid:durableId="850996870">
    <w:abstractNumId w:val="43"/>
  </w:num>
  <w:num w:numId="22" w16cid:durableId="1737245072">
    <w:abstractNumId w:val="26"/>
  </w:num>
  <w:num w:numId="23" w16cid:durableId="1837378149">
    <w:abstractNumId w:val="35"/>
  </w:num>
  <w:num w:numId="24" w16cid:durableId="1379092378">
    <w:abstractNumId w:val="38"/>
  </w:num>
  <w:num w:numId="25" w16cid:durableId="1330331988">
    <w:abstractNumId w:val="45"/>
  </w:num>
  <w:num w:numId="26" w16cid:durableId="918517230">
    <w:abstractNumId w:val="16"/>
  </w:num>
  <w:num w:numId="27" w16cid:durableId="1096440801">
    <w:abstractNumId w:val="14"/>
  </w:num>
  <w:num w:numId="28" w16cid:durableId="208759267">
    <w:abstractNumId w:val="25"/>
  </w:num>
  <w:num w:numId="29" w16cid:durableId="1567833371">
    <w:abstractNumId w:val="44"/>
  </w:num>
  <w:num w:numId="30" w16cid:durableId="1344089706">
    <w:abstractNumId w:val="27"/>
  </w:num>
  <w:num w:numId="31" w16cid:durableId="198934034">
    <w:abstractNumId w:val="32"/>
  </w:num>
  <w:num w:numId="32" w16cid:durableId="1394965041">
    <w:abstractNumId w:val="40"/>
  </w:num>
  <w:num w:numId="33" w16cid:durableId="1607346707">
    <w:abstractNumId w:val="29"/>
  </w:num>
  <w:num w:numId="34" w16cid:durableId="622545067">
    <w:abstractNumId w:val="15"/>
  </w:num>
  <w:num w:numId="35" w16cid:durableId="961961345">
    <w:abstractNumId w:val="18"/>
  </w:num>
  <w:num w:numId="36" w16cid:durableId="805244447">
    <w:abstractNumId w:val="36"/>
  </w:num>
  <w:num w:numId="37" w16cid:durableId="1299335937">
    <w:abstractNumId w:val="19"/>
  </w:num>
  <w:num w:numId="38" w16cid:durableId="1723944311">
    <w:abstractNumId w:val="20"/>
  </w:num>
  <w:num w:numId="39" w16cid:durableId="169222648">
    <w:abstractNumId w:val="5"/>
  </w:num>
  <w:num w:numId="40" w16cid:durableId="365835516">
    <w:abstractNumId w:val="37"/>
  </w:num>
  <w:num w:numId="41" w16cid:durableId="591936967">
    <w:abstractNumId w:val="10"/>
  </w:num>
  <w:num w:numId="42" w16cid:durableId="868958810">
    <w:abstractNumId w:val="12"/>
  </w:num>
  <w:num w:numId="43" w16cid:durableId="1431002608">
    <w:abstractNumId w:val="17"/>
  </w:num>
  <w:num w:numId="44" w16cid:durableId="1140344419">
    <w:abstractNumId w:val="7"/>
  </w:num>
  <w:num w:numId="45" w16cid:durableId="1262185861">
    <w:abstractNumId w:val="9"/>
  </w:num>
  <w:num w:numId="46" w16cid:durableId="1835880001">
    <w:abstractNumId w:val="24"/>
  </w:num>
  <w:num w:numId="47" w16cid:durableId="481316657">
    <w:abstractNumId w:val="0"/>
  </w:num>
  <w:num w:numId="48" w16cid:durableId="2536383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D2"/>
    <w:rsid w:val="00000719"/>
    <w:rsid w:val="00001512"/>
    <w:rsid w:val="000020AF"/>
    <w:rsid w:val="000024B5"/>
    <w:rsid w:val="00002581"/>
    <w:rsid w:val="00002D68"/>
    <w:rsid w:val="000033F7"/>
    <w:rsid w:val="00003403"/>
    <w:rsid w:val="00005347"/>
    <w:rsid w:val="00005F8B"/>
    <w:rsid w:val="00006DB6"/>
    <w:rsid w:val="000072B6"/>
    <w:rsid w:val="0001021B"/>
    <w:rsid w:val="00010A58"/>
    <w:rsid w:val="00010C88"/>
    <w:rsid w:val="00011D89"/>
    <w:rsid w:val="0001219A"/>
    <w:rsid w:val="000139AC"/>
    <w:rsid w:val="00014444"/>
    <w:rsid w:val="000144D2"/>
    <w:rsid w:val="00014946"/>
    <w:rsid w:val="000154FD"/>
    <w:rsid w:val="000162EB"/>
    <w:rsid w:val="00016B1A"/>
    <w:rsid w:val="000176F0"/>
    <w:rsid w:val="000200BD"/>
    <w:rsid w:val="00020F31"/>
    <w:rsid w:val="00022271"/>
    <w:rsid w:val="00023022"/>
    <w:rsid w:val="00023458"/>
    <w:rsid w:val="000235E8"/>
    <w:rsid w:val="00023F6F"/>
    <w:rsid w:val="00024485"/>
    <w:rsid w:val="00024D89"/>
    <w:rsid w:val="000250B6"/>
    <w:rsid w:val="00026540"/>
    <w:rsid w:val="00026568"/>
    <w:rsid w:val="0002775F"/>
    <w:rsid w:val="00030638"/>
    <w:rsid w:val="00030654"/>
    <w:rsid w:val="00030B1E"/>
    <w:rsid w:val="00030CDD"/>
    <w:rsid w:val="00031CBB"/>
    <w:rsid w:val="00033027"/>
    <w:rsid w:val="000332F2"/>
    <w:rsid w:val="00033D81"/>
    <w:rsid w:val="00033DC9"/>
    <w:rsid w:val="000349F3"/>
    <w:rsid w:val="00034F72"/>
    <w:rsid w:val="00035DF2"/>
    <w:rsid w:val="000360B7"/>
    <w:rsid w:val="00037366"/>
    <w:rsid w:val="000407B9"/>
    <w:rsid w:val="000417D8"/>
    <w:rsid w:val="00041A06"/>
    <w:rsid w:val="00041BF0"/>
    <w:rsid w:val="00042C8A"/>
    <w:rsid w:val="0004342D"/>
    <w:rsid w:val="00043C10"/>
    <w:rsid w:val="0004536B"/>
    <w:rsid w:val="00045990"/>
    <w:rsid w:val="00045F3D"/>
    <w:rsid w:val="000468C0"/>
    <w:rsid w:val="00046B68"/>
    <w:rsid w:val="00046BE7"/>
    <w:rsid w:val="00050780"/>
    <w:rsid w:val="000527DD"/>
    <w:rsid w:val="00052861"/>
    <w:rsid w:val="00052B73"/>
    <w:rsid w:val="00052FB3"/>
    <w:rsid w:val="0005309E"/>
    <w:rsid w:val="0005512E"/>
    <w:rsid w:val="000569B0"/>
    <w:rsid w:val="00056B62"/>
    <w:rsid w:val="00056EC4"/>
    <w:rsid w:val="00056FB8"/>
    <w:rsid w:val="000574B3"/>
    <w:rsid w:val="000578B2"/>
    <w:rsid w:val="00060783"/>
    <w:rsid w:val="00060959"/>
    <w:rsid w:val="00060C8F"/>
    <w:rsid w:val="00060D25"/>
    <w:rsid w:val="000612AE"/>
    <w:rsid w:val="000612CC"/>
    <w:rsid w:val="000622C1"/>
    <w:rsid w:val="0006298A"/>
    <w:rsid w:val="00063035"/>
    <w:rsid w:val="00064A45"/>
    <w:rsid w:val="000652FB"/>
    <w:rsid w:val="00065342"/>
    <w:rsid w:val="00065A80"/>
    <w:rsid w:val="000663CD"/>
    <w:rsid w:val="0006699C"/>
    <w:rsid w:val="00070F3B"/>
    <w:rsid w:val="0007148E"/>
    <w:rsid w:val="00071791"/>
    <w:rsid w:val="00072013"/>
    <w:rsid w:val="0007232D"/>
    <w:rsid w:val="000728C3"/>
    <w:rsid w:val="00072F99"/>
    <w:rsid w:val="00073238"/>
    <w:rsid w:val="000733FE"/>
    <w:rsid w:val="00073401"/>
    <w:rsid w:val="00073854"/>
    <w:rsid w:val="000739C7"/>
    <w:rsid w:val="00073E92"/>
    <w:rsid w:val="00074219"/>
    <w:rsid w:val="00074ED5"/>
    <w:rsid w:val="000750AF"/>
    <w:rsid w:val="00076854"/>
    <w:rsid w:val="00076CD1"/>
    <w:rsid w:val="00076DFB"/>
    <w:rsid w:val="00076F92"/>
    <w:rsid w:val="00077D34"/>
    <w:rsid w:val="000811E6"/>
    <w:rsid w:val="0008204A"/>
    <w:rsid w:val="00083EF2"/>
    <w:rsid w:val="000846FA"/>
    <w:rsid w:val="00084A25"/>
    <w:rsid w:val="00084C90"/>
    <w:rsid w:val="00084CA2"/>
    <w:rsid w:val="0008508E"/>
    <w:rsid w:val="0008578C"/>
    <w:rsid w:val="0008639A"/>
    <w:rsid w:val="00087951"/>
    <w:rsid w:val="000903AB"/>
    <w:rsid w:val="0009113B"/>
    <w:rsid w:val="00091B0D"/>
    <w:rsid w:val="0009261C"/>
    <w:rsid w:val="00092762"/>
    <w:rsid w:val="00092A4D"/>
    <w:rsid w:val="00093220"/>
    <w:rsid w:val="00093402"/>
    <w:rsid w:val="000934C8"/>
    <w:rsid w:val="00094099"/>
    <w:rsid w:val="0009472E"/>
    <w:rsid w:val="00094DA3"/>
    <w:rsid w:val="000956BC"/>
    <w:rsid w:val="00096CD1"/>
    <w:rsid w:val="00097F0D"/>
    <w:rsid w:val="000A012C"/>
    <w:rsid w:val="000A0416"/>
    <w:rsid w:val="000A0EB9"/>
    <w:rsid w:val="000A1557"/>
    <w:rsid w:val="000A186C"/>
    <w:rsid w:val="000A188D"/>
    <w:rsid w:val="000A1E42"/>
    <w:rsid w:val="000A1EA4"/>
    <w:rsid w:val="000A2476"/>
    <w:rsid w:val="000A2DFF"/>
    <w:rsid w:val="000A4BCE"/>
    <w:rsid w:val="000A6040"/>
    <w:rsid w:val="000A641A"/>
    <w:rsid w:val="000A7E7D"/>
    <w:rsid w:val="000B0000"/>
    <w:rsid w:val="000B0772"/>
    <w:rsid w:val="000B07D1"/>
    <w:rsid w:val="000B0B28"/>
    <w:rsid w:val="000B1499"/>
    <w:rsid w:val="000B2146"/>
    <w:rsid w:val="000B2608"/>
    <w:rsid w:val="000B2911"/>
    <w:rsid w:val="000B3CA8"/>
    <w:rsid w:val="000B3EDB"/>
    <w:rsid w:val="000B543D"/>
    <w:rsid w:val="000B55F9"/>
    <w:rsid w:val="000B5AE0"/>
    <w:rsid w:val="000B5BA0"/>
    <w:rsid w:val="000B5BF7"/>
    <w:rsid w:val="000B5CA9"/>
    <w:rsid w:val="000B5F04"/>
    <w:rsid w:val="000B6BC8"/>
    <w:rsid w:val="000C0274"/>
    <w:rsid w:val="000C0303"/>
    <w:rsid w:val="000C1F45"/>
    <w:rsid w:val="000C1F7F"/>
    <w:rsid w:val="000C3848"/>
    <w:rsid w:val="000C40C6"/>
    <w:rsid w:val="000C42EA"/>
    <w:rsid w:val="000C4546"/>
    <w:rsid w:val="000C46F7"/>
    <w:rsid w:val="000C5223"/>
    <w:rsid w:val="000C6699"/>
    <w:rsid w:val="000C66E5"/>
    <w:rsid w:val="000C6DC6"/>
    <w:rsid w:val="000C729C"/>
    <w:rsid w:val="000C7405"/>
    <w:rsid w:val="000D0408"/>
    <w:rsid w:val="000D0692"/>
    <w:rsid w:val="000D0A3F"/>
    <w:rsid w:val="000D1242"/>
    <w:rsid w:val="000D17E4"/>
    <w:rsid w:val="000D2ABA"/>
    <w:rsid w:val="000D2D2D"/>
    <w:rsid w:val="000D2E78"/>
    <w:rsid w:val="000D32E2"/>
    <w:rsid w:val="000D3442"/>
    <w:rsid w:val="000D4E99"/>
    <w:rsid w:val="000D54F7"/>
    <w:rsid w:val="000D582A"/>
    <w:rsid w:val="000D5B5C"/>
    <w:rsid w:val="000D6A84"/>
    <w:rsid w:val="000D7730"/>
    <w:rsid w:val="000D77E6"/>
    <w:rsid w:val="000D7A5D"/>
    <w:rsid w:val="000D7F2B"/>
    <w:rsid w:val="000E0125"/>
    <w:rsid w:val="000E015A"/>
    <w:rsid w:val="000E0970"/>
    <w:rsid w:val="000E1083"/>
    <w:rsid w:val="000E16A8"/>
    <w:rsid w:val="000E22B9"/>
    <w:rsid w:val="000E384C"/>
    <w:rsid w:val="000E3B1C"/>
    <w:rsid w:val="000E3CC7"/>
    <w:rsid w:val="000E3E8B"/>
    <w:rsid w:val="000E41ED"/>
    <w:rsid w:val="000E45A5"/>
    <w:rsid w:val="000E46F3"/>
    <w:rsid w:val="000E57CC"/>
    <w:rsid w:val="000E5F52"/>
    <w:rsid w:val="000E6BD4"/>
    <w:rsid w:val="000E6D6D"/>
    <w:rsid w:val="000E6F0D"/>
    <w:rsid w:val="000E79B8"/>
    <w:rsid w:val="000E7A57"/>
    <w:rsid w:val="000F0F65"/>
    <w:rsid w:val="000F12D2"/>
    <w:rsid w:val="000F1B3F"/>
    <w:rsid w:val="000F1F1E"/>
    <w:rsid w:val="000F2259"/>
    <w:rsid w:val="000F2DDA"/>
    <w:rsid w:val="000F2EA0"/>
    <w:rsid w:val="000F3634"/>
    <w:rsid w:val="000F3771"/>
    <w:rsid w:val="000F3BD1"/>
    <w:rsid w:val="000F5213"/>
    <w:rsid w:val="000F55E9"/>
    <w:rsid w:val="000F6225"/>
    <w:rsid w:val="000F6577"/>
    <w:rsid w:val="000F6774"/>
    <w:rsid w:val="000F6FD5"/>
    <w:rsid w:val="000F752F"/>
    <w:rsid w:val="0010072D"/>
    <w:rsid w:val="001007E4"/>
    <w:rsid w:val="00100901"/>
    <w:rsid w:val="00101001"/>
    <w:rsid w:val="0010172D"/>
    <w:rsid w:val="001017D1"/>
    <w:rsid w:val="00101970"/>
    <w:rsid w:val="00101B7A"/>
    <w:rsid w:val="00102BAB"/>
    <w:rsid w:val="00103276"/>
    <w:rsid w:val="0010392D"/>
    <w:rsid w:val="0010447F"/>
    <w:rsid w:val="00104A2E"/>
    <w:rsid w:val="00104C8D"/>
    <w:rsid w:val="00104CD4"/>
    <w:rsid w:val="00104FE3"/>
    <w:rsid w:val="00105147"/>
    <w:rsid w:val="001056AD"/>
    <w:rsid w:val="001057A5"/>
    <w:rsid w:val="0010609A"/>
    <w:rsid w:val="001068E4"/>
    <w:rsid w:val="00106D9D"/>
    <w:rsid w:val="00106F65"/>
    <w:rsid w:val="0010714F"/>
    <w:rsid w:val="00110E77"/>
    <w:rsid w:val="00111137"/>
    <w:rsid w:val="00111424"/>
    <w:rsid w:val="00111BC7"/>
    <w:rsid w:val="001120C5"/>
    <w:rsid w:val="00113B36"/>
    <w:rsid w:val="00114083"/>
    <w:rsid w:val="00114F1F"/>
    <w:rsid w:val="00115875"/>
    <w:rsid w:val="00115951"/>
    <w:rsid w:val="00115FC2"/>
    <w:rsid w:val="0011685E"/>
    <w:rsid w:val="00120275"/>
    <w:rsid w:val="001208E9"/>
    <w:rsid w:val="00120BD3"/>
    <w:rsid w:val="001210FD"/>
    <w:rsid w:val="00121189"/>
    <w:rsid w:val="00121194"/>
    <w:rsid w:val="001212A4"/>
    <w:rsid w:val="00121750"/>
    <w:rsid w:val="00121A36"/>
    <w:rsid w:val="0012205B"/>
    <w:rsid w:val="00122FEA"/>
    <w:rsid w:val="001232BD"/>
    <w:rsid w:val="0012336C"/>
    <w:rsid w:val="001236DC"/>
    <w:rsid w:val="00124ED5"/>
    <w:rsid w:val="0012589E"/>
    <w:rsid w:val="00126CA0"/>
    <w:rsid w:val="001274E9"/>
    <w:rsid w:val="001276FA"/>
    <w:rsid w:val="00130AF3"/>
    <w:rsid w:val="00132121"/>
    <w:rsid w:val="0013297D"/>
    <w:rsid w:val="00132AE8"/>
    <w:rsid w:val="00132E89"/>
    <w:rsid w:val="00135794"/>
    <w:rsid w:val="00136957"/>
    <w:rsid w:val="0013704D"/>
    <w:rsid w:val="001375D2"/>
    <w:rsid w:val="0013788C"/>
    <w:rsid w:val="00140E81"/>
    <w:rsid w:val="00141157"/>
    <w:rsid w:val="001412F1"/>
    <w:rsid w:val="001417C7"/>
    <w:rsid w:val="00141DCA"/>
    <w:rsid w:val="001428D8"/>
    <w:rsid w:val="00143033"/>
    <w:rsid w:val="00144526"/>
    <w:rsid w:val="001447B3"/>
    <w:rsid w:val="00144F24"/>
    <w:rsid w:val="001463E7"/>
    <w:rsid w:val="001465D7"/>
    <w:rsid w:val="00146972"/>
    <w:rsid w:val="00146D89"/>
    <w:rsid w:val="00150680"/>
    <w:rsid w:val="0015135D"/>
    <w:rsid w:val="001514B1"/>
    <w:rsid w:val="00151653"/>
    <w:rsid w:val="00152073"/>
    <w:rsid w:val="00152329"/>
    <w:rsid w:val="00152494"/>
    <w:rsid w:val="00152DE7"/>
    <w:rsid w:val="0015337E"/>
    <w:rsid w:val="001533B1"/>
    <w:rsid w:val="0015389D"/>
    <w:rsid w:val="00153F82"/>
    <w:rsid w:val="0015411F"/>
    <w:rsid w:val="0015470E"/>
    <w:rsid w:val="001559F9"/>
    <w:rsid w:val="00156598"/>
    <w:rsid w:val="00156A73"/>
    <w:rsid w:val="00157D51"/>
    <w:rsid w:val="0016102B"/>
    <w:rsid w:val="0016116E"/>
    <w:rsid w:val="00161846"/>
    <w:rsid w:val="00161939"/>
    <w:rsid w:val="00161AA0"/>
    <w:rsid w:val="00161D2E"/>
    <w:rsid w:val="00161F3E"/>
    <w:rsid w:val="00162093"/>
    <w:rsid w:val="001629E1"/>
    <w:rsid w:val="00162CA9"/>
    <w:rsid w:val="001639F3"/>
    <w:rsid w:val="00163D5A"/>
    <w:rsid w:val="00164B0B"/>
    <w:rsid w:val="001650D6"/>
    <w:rsid w:val="001650D9"/>
    <w:rsid w:val="00165459"/>
    <w:rsid w:val="0016561C"/>
    <w:rsid w:val="00165A57"/>
    <w:rsid w:val="00165E8C"/>
    <w:rsid w:val="00166304"/>
    <w:rsid w:val="00166D46"/>
    <w:rsid w:val="001712C2"/>
    <w:rsid w:val="0017145C"/>
    <w:rsid w:val="00172B5C"/>
    <w:rsid w:val="00172BAF"/>
    <w:rsid w:val="00173191"/>
    <w:rsid w:val="00173C51"/>
    <w:rsid w:val="00173EC7"/>
    <w:rsid w:val="001754AA"/>
    <w:rsid w:val="0017562E"/>
    <w:rsid w:val="00175FC8"/>
    <w:rsid w:val="0017674D"/>
    <w:rsid w:val="00176C6F"/>
    <w:rsid w:val="001771DD"/>
    <w:rsid w:val="00177463"/>
    <w:rsid w:val="00177995"/>
    <w:rsid w:val="001779E6"/>
    <w:rsid w:val="00177A8C"/>
    <w:rsid w:val="0018004B"/>
    <w:rsid w:val="001807A0"/>
    <w:rsid w:val="00180A42"/>
    <w:rsid w:val="00180A4D"/>
    <w:rsid w:val="001819A3"/>
    <w:rsid w:val="00181E80"/>
    <w:rsid w:val="00181F8C"/>
    <w:rsid w:val="0018244E"/>
    <w:rsid w:val="001835CA"/>
    <w:rsid w:val="00183F85"/>
    <w:rsid w:val="00184408"/>
    <w:rsid w:val="00184F4F"/>
    <w:rsid w:val="001867AE"/>
    <w:rsid w:val="00186A57"/>
    <w:rsid w:val="00186B33"/>
    <w:rsid w:val="001877C9"/>
    <w:rsid w:val="001879ED"/>
    <w:rsid w:val="00187F88"/>
    <w:rsid w:val="00191264"/>
    <w:rsid w:val="00192133"/>
    <w:rsid w:val="00192F9D"/>
    <w:rsid w:val="00193914"/>
    <w:rsid w:val="00193FB0"/>
    <w:rsid w:val="001942F6"/>
    <w:rsid w:val="00195FC5"/>
    <w:rsid w:val="001961DD"/>
    <w:rsid w:val="00196EB8"/>
    <w:rsid w:val="00196EFB"/>
    <w:rsid w:val="001979A5"/>
    <w:rsid w:val="001979FF"/>
    <w:rsid w:val="00197B17"/>
    <w:rsid w:val="001A0C33"/>
    <w:rsid w:val="001A0E29"/>
    <w:rsid w:val="001A17F7"/>
    <w:rsid w:val="001A1875"/>
    <w:rsid w:val="001A1950"/>
    <w:rsid w:val="001A1C54"/>
    <w:rsid w:val="001A28CF"/>
    <w:rsid w:val="001A2DB3"/>
    <w:rsid w:val="001A3ACE"/>
    <w:rsid w:val="001A3E0E"/>
    <w:rsid w:val="001A437F"/>
    <w:rsid w:val="001A493A"/>
    <w:rsid w:val="001A4A7C"/>
    <w:rsid w:val="001A4D5B"/>
    <w:rsid w:val="001A50D4"/>
    <w:rsid w:val="001A6272"/>
    <w:rsid w:val="001A6344"/>
    <w:rsid w:val="001A6D54"/>
    <w:rsid w:val="001A7DCA"/>
    <w:rsid w:val="001B0169"/>
    <w:rsid w:val="001B01EA"/>
    <w:rsid w:val="001B058F"/>
    <w:rsid w:val="001B07BA"/>
    <w:rsid w:val="001B3F5C"/>
    <w:rsid w:val="001B564B"/>
    <w:rsid w:val="001B6ABE"/>
    <w:rsid w:val="001B6B96"/>
    <w:rsid w:val="001B738B"/>
    <w:rsid w:val="001B78E0"/>
    <w:rsid w:val="001B7994"/>
    <w:rsid w:val="001B799C"/>
    <w:rsid w:val="001C09DB"/>
    <w:rsid w:val="001C148A"/>
    <w:rsid w:val="001C1534"/>
    <w:rsid w:val="001C277E"/>
    <w:rsid w:val="001C2A72"/>
    <w:rsid w:val="001C2F3C"/>
    <w:rsid w:val="001C3030"/>
    <w:rsid w:val="001C31B7"/>
    <w:rsid w:val="001C339D"/>
    <w:rsid w:val="001C3D66"/>
    <w:rsid w:val="001C48F8"/>
    <w:rsid w:val="001C49DB"/>
    <w:rsid w:val="001C4ADA"/>
    <w:rsid w:val="001C5E92"/>
    <w:rsid w:val="001C5F38"/>
    <w:rsid w:val="001C77A8"/>
    <w:rsid w:val="001D031E"/>
    <w:rsid w:val="001D0B75"/>
    <w:rsid w:val="001D2A2F"/>
    <w:rsid w:val="001D2C35"/>
    <w:rsid w:val="001D3288"/>
    <w:rsid w:val="001D39A5"/>
    <w:rsid w:val="001D3C09"/>
    <w:rsid w:val="001D3F5A"/>
    <w:rsid w:val="001D44E8"/>
    <w:rsid w:val="001D4DF2"/>
    <w:rsid w:val="001D555E"/>
    <w:rsid w:val="001D60EC"/>
    <w:rsid w:val="001D61E4"/>
    <w:rsid w:val="001D65ED"/>
    <w:rsid w:val="001D6AF4"/>
    <w:rsid w:val="001D6F59"/>
    <w:rsid w:val="001D72B9"/>
    <w:rsid w:val="001D7BC4"/>
    <w:rsid w:val="001D7F7F"/>
    <w:rsid w:val="001E001D"/>
    <w:rsid w:val="001E07E6"/>
    <w:rsid w:val="001E0F9D"/>
    <w:rsid w:val="001E1A36"/>
    <w:rsid w:val="001E44DF"/>
    <w:rsid w:val="001E48DA"/>
    <w:rsid w:val="001E4B69"/>
    <w:rsid w:val="001E509E"/>
    <w:rsid w:val="001E68A5"/>
    <w:rsid w:val="001E6BB0"/>
    <w:rsid w:val="001E7124"/>
    <w:rsid w:val="001E7282"/>
    <w:rsid w:val="001E767F"/>
    <w:rsid w:val="001F01D9"/>
    <w:rsid w:val="001F07A1"/>
    <w:rsid w:val="001F158A"/>
    <w:rsid w:val="001F3826"/>
    <w:rsid w:val="001F47FA"/>
    <w:rsid w:val="001F588D"/>
    <w:rsid w:val="001F678E"/>
    <w:rsid w:val="001F6E46"/>
    <w:rsid w:val="001F7365"/>
    <w:rsid w:val="001F7C91"/>
    <w:rsid w:val="0020034F"/>
    <w:rsid w:val="00200FED"/>
    <w:rsid w:val="002033B7"/>
    <w:rsid w:val="002034EF"/>
    <w:rsid w:val="0020393C"/>
    <w:rsid w:val="002039EB"/>
    <w:rsid w:val="00203F1F"/>
    <w:rsid w:val="00203F65"/>
    <w:rsid w:val="002053CB"/>
    <w:rsid w:val="0020586D"/>
    <w:rsid w:val="00205DE3"/>
    <w:rsid w:val="00206463"/>
    <w:rsid w:val="00206F2F"/>
    <w:rsid w:val="00207473"/>
    <w:rsid w:val="00207712"/>
    <w:rsid w:val="00207717"/>
    <w:rsid w:val="00207D15"/>
    <w:rsid w:val="0021041B"/>
    <w:rsid w:val="0021053D"/>
    <w:rsid w:val="00210A92"/>
    <w:rsid w:val="0021164F"/>
    <w:rsid w:val="0021232A"/>
    <w:rsid w:val="00212775"/>
    <w:rsid w:val="002127CC"/>
    <w:rsid w:val="00212B95"/>
    <w:rsid w:val="00213434"/>
    <w:rsid w:val="002136C4"/>
    <w:rsid w:val="00214676"/>
    <w:rsid w:val="00215BDF"/>
    <w:rsid w:val="00215CC8"/>
    <w:rsid w:val="002164D9"/>
    <w:rsid w:val="0021665C"/>
    <w:rsid w:val="00216C03"/>
    <w:rsid w:val="00216D64"/>
    <w:rsid w:val="002205D2"/>
    <w:rsid w:val="00220A1A"/>
    <w:rsid w:val="00220C04"/>
    <w:rsid w:val="00220C09"/>
    <w:rsid w:val="00221CC4"/>
    <w:rsid w:val="002222C9"/>
    <w:rsid w:val="0022278D"/>
    <w:rsid w:val="002227E8"/>
    <w:rsid w:val="0022281A"/>
    <w:rsid w:val="00222A12"/>
    <w:rsid w:val="0022394E"/>
    <w:rsid w:val="002239DE"/>
    <w:rsid w:val="002241EF"/>
    <w:rsid w:val="002246FD"/>
    <w:rsid w:val="002257DD"/>
    <w:rsid w:val="0022604A"/>
    <w:rsid w:val="002261AF"/>
    <w:rsid w:val="00226474"/>
    <w:rsid w:val="0022701F"/>
    <w:rsid w:val="002272ED"/>
    <w:rsid w:val="00227B4C"/>
    <w:rsid w:val="00227C68"/>
    <w:rsid w:val="00231373"/>
    <w:rsid w:val="002324D5"/>
    <w:rsid w:val="002324F1"/>
    <w:rsid w:val="0023330A"/>
    <w:rsid w:val="002333F5"/>
    <w:rsid w:val="00233724"/>
    <w:rsid w:val="00233A34"/>
    <w:rsid w:val="00234813"/>
    <w:rsid w:val="0023539F"/>
    <w:rsid w:val="00235816"/>
    <w:rsid w:val="00235C1E"/>
    <w:rsid w:val="002365B4"/>
    <w:rsid w:val="0023668A"/>
    <w:rsid w:val="002369D7"/>
    <w:rsid w:val="00236A9C"/>
    <w:rsid w:val="0023785F"/>
    <w:rsid w:val="00241AEB"/>
    <w:rsid w:val="00242135"/>
    <w:rsid w:val="00242350"/>
    <w:rsid w:val="0024292E"/>
    <w:rsid w:val="002432E1"/>
    <w:rsid w:val="0024385A"/>
    <w:rsid w:val="00244B14"/>
    <w:rsid w:val="00245002"/>
    <w:rsid w:val="002458CF"/>
    <w:rsid w:val="00246207"/>
    <w:rsid w:val="00246B2B"/>
    <w:rsid w:val="00246C5E"/>
    <w:rsid w:val="00246F93"/>
    <w:rsid w:val="002471A9"/>
    <w:rsid w:val="002477F6"/>
    <w:rsid w:val="00250960"/>
    <w:rsid w:val="00250A36"/>
    <w:rsid w:val="00251343"/>
    <w:rsid w:val="002525FC"/>
    <w:rsid w:val="002527D9"/>
    <w:rsid w:val="002532F1"/>
    <w:rsid w:val="002536A4"/>
    <w:rsid w:val="00254F58"/>
    <w:rsid w:val="00255F99"/>
    <w:rsid w:val="002567FB"/>
    <w:rsid w:val="00260897"/>
    <w:rsid w:val="00260E39"/>
    <w:rsid w:val="002612AB"/>
    <w:rsid w:val="002617F4"/>
    <w:rsid w:val="00261875"/>
    <w:rsid w:val="002620BC"/>
    <w:rsid w:val="00262802"/>
    <w:rsid w:val="00262891"/>
    <w:rsid w:val="002638FC"/>
    <w:rsid w:val="00263A90"/>
    <w:rsid w:val="00263B57"/>
    <w:rsid w:val="0026408B"/>
    <w:rsid w:val="00264156"/>
    <w:rsid w:val="00264378"/>
    <w:rsid w:val="0026595C"/>
    <w:rsid w:val="002666E4"/>
    <w:rsid w:val="00267506"/>
    <w:rsid w:val="002678E2"/>
    <w:rsid w:val="00267C3E"/>
    <w:rsid w:val="00270169"/>
    <w:rsid w:val="002701C1"/>
    <w:rsid w:val="00270556"/>
    <w:rsid w:val="002709BB"/>
    <w:rsid w:val="0027131C"/>
    <w:rsid w:val="0027268C"/>
    <w:rsid w:val="002726FC"/>
    <w:rsid w:val="002728C1"/>
    <w:rsid w:val="002739E6"/>
    <w:rsid w:val="00273AB9"/>
    <w:rsid w:val="00273BAC"/>
    <w:rsid w:val="00274B47"/>
    <w:rsid w:val="00274FAF"/>
    <w:rsid w:val="002750FB"/>
    <w:rsid w:val="00275D3A"/>
    <w:rsid w:val="00275EDD"/>
    <w:rsid w:val="002763B3"/>
    <w:rsid w:val="00276517"/>
    <w:rsid w:val="00276680"/>
    <w:rsid w:val="002770B8"/>
    <w:rsid w:val="0027762E"/>
    <w:rsid w:val="00277E83"/>
    <w:rsid w:val="002802E3"/>
    <w:rsid w:val="00280657"/>
    <w:rsid w:val="00281B2E"/>
    <w:rsid w:val="00281D6F"/>
    <w:rsid w:val="0028213D"/>
    <w:rsid w:val="00282140"/>
    <w:rsid w:val="002822B5"/>
    <w:rsid w:val="0028323A"/>
    <w:rsid w:val="0028328D"/>
    <w:rsid w:val="00283A29"/>
    <w:rsid w:val="00284870"/>
    <w:rsid w:val="002850FF"/>
    <w:rsid w:val="00285370"/>
    <w:rsid w:val="00285B04"/>
    <w:rsid w:val="002862F1"/>
    <w:rsid w:val="0028744F"/>
    <w:rsid w:val="002879FA"/>
    <w:rsid w:val="0029020F"/>
    <w:rsid w:val="0029085C"/>
    <w:rsid w:val="0029097B"/>
    <w:rsid w:val="002910F4"/>
    <w:rsid w:val="00291373"/>
    <w:rsid w:val="00291985"/>
    <w:rsid w:val="00291C29"/>
    <w:rsid w:val="002921B0"/>
    <w:rsid w:val="00292254"/>
    <w:rsid w:val="00292898"/>
    <w:rsid w:val="002957EA"/>
    <w:rsid w:val="0029597D"/>
    <w:rsid w:val="002962C3"/>
    <w:rsid w:val="0029752B"/>
    <w:rsid w:val="002A05FA"/>
    <w:rsid w:val="002A0A9C"/>
    <w:rsid w:val="002A0ACF"/>
    <w:rsid w:val="002A1768"/>
    <w:rsid w:val="002A187D"/>
    <w:rsid w:val="002A2E1D"/>
    <w:rsid w:val="002A327F"/>
    <w:rsid w:val="002A3294"/>
    <w:rsid w:val="002A32ED"/>
    <w:rsid w:val="002A4595"/>
    <w:rsid w:val="002A483C"/>
    <w:rsid w:val="002A55CB"/>
    <w:rsid w:val="002A6D4E"/>
    <w:rsid w:val="002A70F9"/>
    <w:rsid w:val="002A7D86"/>
    <w:rsid w:val="002B01F0"/>
    <w:rsid w:val="002B0C7C"/>
    <w:rsid w:val="002B0ED6"/>
    <w:rsid w:val="002B1729"/>
    <w:rsid w:val="002B1E08"/>
    <w:rsid w:val="002B36C7"/>
    <w:rsid w:val="002B3B03"/>
    <w:rsid w:val="002B4333"/>
    <w:rsid w:val="002B45C2"/>
    <w:rsid w:val="002B47FC"/>
    <w:rsid w:val="002B4DD4"/>
    <w:rsid w:val="002B5277"/>
    <w:rsid w:val="002B5375"/>
    <w:rsid w:val="002B5713"/>
    <w:rsid w:val="002B57F8"/>
    <w:rsid w:val="002B63E2"/>
    <w:rsid w:val="002B77C1"/>
    <w:rsid w:val="002C0ED7"/>
    <w:rsid w:val="002C1E39"/>
    <w:rsid w:val="002C2728"/>
    <w:rsid w:val="002C2F9B"/>
    <w:rsid w:val="002C3119"/>
    <w:rsid w:val="002C329B"/>
    <w:rsid w:val="002C4576"/>
    <w:rsid w:val="002C4B22"/>
    <w:rsid w:val="002C5025"/>
    <w:rsid w:val="002C51F8"/>
    <w:rsid w:val="002C5B7C"/>
    <w:rsid w:val="002C6728"/>
    <w:rsid w:val="002C6A6D"/>
    <w:rsid w:val="002C7622"/>
    <w:rsid w:val="002C7D82"/>
    <w:rsid w:val="002D05E4"/>
    <w:rsid w:val="002D0922"/>
    <w:rsid w:val="002D1096"/>
    <w:rsid w:val="002D171E"/>
    <w:rsid w:val="002D1E0D"/>
    <w:rsid w:val="002D2779"/>
    <w:rsid w:val="002D3A4C"/>
    <w:rsid w:val="002D5006"/>
    <w:rsid w:val="002D6580"/>
    <w:rsid w:val="002D69D6"/>
    <w:rsid w:val="002D74E4"/>
    <w:rsid w:val="002D7C61"/>
    <w:rsid w:val="002E01D0"/>
    <w:rsid w:val="002E1048"/>
    <w:rsid w:val="002E161D"/>
    <w:rsid w:val="002E17F5"/>
    <w:rsid w:val="002E28A2"/>
    <w:rsid w:val="002E3100"/>
    <w:rsid w:val="002E32E0"/>
    <w:rsid w:val="002E4064"/>
    <w:rsid w:val="002E44A9"/>
    <w:rsid w:val="002E4823"/>
    <w:rsid w:val="002E5D97"/>
    <w:rsid w:val="002E60F1"/>
    <w:rsid w:val="002E679F"/>
    <w:rsid w:val="002E69D6"/>
    <w:rsid w:val="002E6C95"/>
    <w:rsid w:val="002E7B2A"/>
    <w:rsid w:val="002E7C36"/>
    <w:rsid w:val="002F0E99"/>
    <w:rsid w:val="002F13EC"/>
    <w:rsid w:val="002F1B40"/>
    <w:rsid w:val="002F2944"/>
    <w:rsid w:val="002F364B"/>
    <w:rsid w:val="002F3D32"/>
    <w:rsid w:val="002F4A78"/>
    <w:rsid w:val="002F4B13"/>
    <w:rsid w:val="002F503B"/>
    <w:rsid w:val="002F5F31"/>
    <w:rsid w:val="002F5F46"/>
    <w:rsid w:val="002F61D2"/>
    <w:rsid w:val="002F7A09"/>
    <w:rsid w:val="00301BA2"/>
    <w:rsid w:val="00301DE7"/>
    <w:rsid w:val="00302216"/>
    <w:rsid w:val="003022C4"/>
    <w:rsid w:val="00302968"/>
    <w:rsid w:val="00303422"/>
    <w:rsid w:val="003039AB"/>
    <w:rsid w:val="00303C8E"/>
    <w:rsid w:val="00303E53"/>
    <w:rsid w:val="00304321"/>
    <w:rsid w:val="003044FE"/>
    <w:rsid w:val="0030474C"/>
    <w:rsid w:val="00304C7E"/>
    <w:rsid w:val="003053DE"/>
    <w:rsid w:val="00305CC1"/>
    <w:rsid w:val="00306956"/>
    <w:rsid w:val="00306E5F"/>
    <w:rsid w:val="00307075"/>
    <w:rsid w:val="00307179"/>
    <w:rsid w:val="00307923"/>
    <w:rsid w:val="003079DA"/>
    <w:rsid w:val="00307C60"/>
    <w:rsid w:val="00307E14"/>
    <w:rsid w:val="00310612"/>
    <w:rsid w:val="003111FF"/>
    <w:rsid w:val="00311759"/>
    <w:rsid w:val="00311D00"/>
    <w:rsid w:val="00312089"/>
    <w:rsid w:val="0031293B"/>
    <w:rsid w:val="0031336A"/>
    <w:rsid w:val="00313C85"/>
    <w:rsid w:val="00313FFF"/>
    <w:rsid w:val="00314054"/>
    <w:rsid w:val="00314990"/>
    <w:rsid w:val="00314B66"/>
    <w:rsid w:val="00314DB6"/>
    <w:rsid w:val="00315A46"/>
    <w:rsid w:val="00315C28"/>
    <w:rsid w:val="00315EC7"/>
    <w:rsid w:val="00315F7F"/>
    <w:rsid w:val="00316A75"/>
    <w:rsid w:val="00316F27"/>
    <w:rsid w:val="003179E2"/>
    <w:rsid w:val="00317AE6"/>
    <w:rsid w:val="00317E7F"/>
    <w:rsid w:val="00320E0A"/>
    <w:rsid w:val="00320F37"/>
    <w:rsid w:val="003214F1"/>
    <w:rsid w:val="00321BAF"/>
    <w:rsid w:val="0032246F"/>
    <w:rsid w:val="00322BD0"/>
    <w:rsid w:val="00322E4B"/>
    <w:rsid w:val="00323DB2"/>
    <w:rsid w:val="00325185"/>
    <w:rsid w:val="0032629F"/>
    <w:rsid w:val="00327358"/>
    <w:rsid w:val="00327870"/>
    <w:rsid w:val="003302C2"/>
    <w:rsid w:val="00330BFA"/>
    <w:rsid w:val="00331134"/>
    <w:rsid w:val="00331870"/>
    <w:rsid w:val="0033259D"/>
    <w:rsid w:val="00333214"/>
    <w:rsid w:val="003333D2"/>
    <w:rsid w:val="00333905"/>
    <w:rsid w:val="0033405C"/>
    <w:rsid w:val="00334686"/>
    <w:rsid w:val="00334B7D"/>
    <w:rsid w:val="0033508E"/>
    <w:rsid w:val="003357DB"/>
    <w:rsid w:val="00335D10"/>
    <w:rsid w:val="00336214"/>
    <w:rsid w:val="003369BB"/>
    <w:rsid w:val="00336F96"/>
    <w:rsid w:val="00337339"/>
    <w:rsid w:val="003375B9"/>
    <w:rsid w:val="003375EB"/>
    <w:rsid w:val="003379AE"/>
    <w:rsid w:val="00340345"/>
    <w:rsid w:val="003403B9"/>
    <w:rsid w:val="003403E8"/>
    <w:rsid w:val="003406C6"/>
    <w:rsid w:val="00341886"/>
    <w:rsid w:val="003418CC"/>
    <w:rsid w:val="0034240D"/>
    <w:rsid w:val="003434EE"/>
    <w:rsid w:val="003440CA"/>
    <w:rsid w:val="00344791"/>
    <w:rsid w:val="003449AA"/>
    <w:rsid w:val="00344CDC"/>
    <w:rsid w:val="003459BD"/>
    <w:rsid w:val="003476B7"/>
    <w:rsid w:val="00347798"/>
    <w:rsid w:val="00347A0B"/>
    <w:rsid w:val="00347B8D"/>
    <w:rsid w:val="0035052E"/>
    <w:rsid w:val="00350D38"/>
    <w:rsid w:val="00351A2B"/>
    <w:rsid w:val="00351B36"/>
    <w:rsid w:val="00351FC6"/>
    <w:rsid w:val="0035347D"/>
    <w:rsid w:val="0035683A"/>
    <w:rsid w:val="00356863"/>
    <w:rsid w:val="00357278"/>
    <w:rsid w:val="003577F6"/>
    <w:rsid w:val="003579B8"/>
    <w:rsid w:val="00357B4E"/>
    <w:rsid w:val="00357C22"/>
    <w:rsid w:val="00362160"/>
    <w:rsid w:val="00362E77"/>
    <w:rsid w:val="003632A6"/>
    <w:rsid w:val="00364299"/>
    <w:rsid w:val="00364A56"/>
    <w:rsid w:val="00365336"/>
    <w:rsid w:val="00365C82"/>
    <w:rsid w:val="0036660A"/>
    <w:rsid w:val="00366CDF"/>
    <w:rsid w:val="00366DAA"/>
    <w:rsid w:val="00366EA3"/>
    <w:rsid w:val="0037104A"/>
    <w:rsid w:val="00371255"/>
    <w:rsid w:val="003716FD"/>
    <w:rsid w:val="0037204B"/>
    <w:rsid w:val="003738E1"/>
    <w:rsid w:val="003741AF"/>
    <w:rsid w:val="003744CF"/>
    <w:rsid w:val="00374717"/>
    <w:rsid w:val="00374C69"/>
    <w:rsid w:val="00374D89"/>
    <w:rsid w:val="0037502A"/>
    <w:rsid w:val="00376078"/>
    <w:rsid w:val="0037676C"/>
    <w:rsid w:val="003768FF"/>
    <w:rsid w:val="00376E7E"/>
    <w:rsid w:val="0037755F"/>
    <w:rsid w:val="00381043"/>
    <w:rsid w:val="0038195B"/>
    <w:rsid w:val="00381F1A"/>
    <w:rsid w:val="003820B2"/>
    <w:rsid w:val="003829E5"/>
    <w:rsid w:val="00382B03"/>
    <w:rsid w:val="0038355D"/>
    <w:rsid w:val="003838CE"/>
    <w:rsid w:val="00384486"/>
    <w:rsid w:val="0038496C"/>
    <w:rsid w:val="00386095"/>
    <w:rsid w:val="00386096"/>
    <w:rsid w:val="00386109"/>
    <w:rsid w:val="00386944"/>
    <w:rsid w:val="00386CBC"/>
    <w:rsid w:val="00390047"/>
    <w:rsid w:val="0039031B"/>
    <w:rsid w:val="003908E7"/>
    <w:rsid w:val="00390C42"/>
    <w:rsid w:val="00391908"/>
    <w:rsid w:val="00393D93"/>
    <w:rsid w:val="00394A8B"/>
    <w:rsid w:val="00395552"/>
    <w:rsid w:val="003956CC"/>
    <w:rsid w:val="00395C9A"/>
    <w:rsid w:val="00395EB4"/>
    <w:rsid w:val="003974EE"/>
    <w:rsid w:val="00397B12"/>
    <w:rsid w:val="00397FC2"/>
    <w:rsid w:val="003A0853"/>
    <w:rsid w:val="003A26B6"/>
    <w:rsid w:val="003A3378"/>
    <w:rsid w:val="003A6B67"/>
    <w:rsid w:val="003A6E69"/>
    <w:rsid w:val="003A7184"/>
    <w:rsid w:val="003A7CD6"/>
    <w:rsid w:val="003B02CF"/>
    <w:rsid w:val="003B0B8C"/>
    <w:rsid w:val="003B13B6"/>
    <w:rsid w:val="003B14C3"/>
    <w:rsid w:val="003B15E6"/>
    <w:rsid w:val="003B1F77"/>
    <w:rsid w:val="003B22EF"/>
    <w:rsid w:val="003B2705"/>
    <w:rsid w:val="003B2D82"/>
    <w:rsid w:val="003B3A66"/>
    <w:rsid w:val="003B408A"/>
    <w:rsid w:val="003B4821"/>
    <w:rsid w:val="003B4E6C"/>
    <w:rsid w:val="003B529C"/>
    <w:rsid w:val="003B54BB"/>
    <w:rsid w:val="003B6451"/>
    <w:rsid w:val="003B751E"/>
    <w:rsid w:val="003C01AC"/>
    <w:rsid w:val="003C08A2"/>
    <w:rsid w:val="003C0C93"/>
    <w:rsid w:val="003C0F45"/>
    <w:rsid w:val="003C105B"/>
    <w:rsid w:val="003C202D"/>
    <w:rsid w:val="003C2045"/>
    <w:rsid w:val="003C27A8"/>
    <w:rsid w:val="003C43A1"/>
    <w:rsid w:val="003C4C93"/>
    <w:rsid w:val="003C4DFA"/>
    <w:rsid w:val="003C4E35"/>
    <w:rsid w:val="003C4FC0"/>
    <w:rsid w:val="003C55F4"/>
    <w:rsid w:val="003C74BE"/>
    <w:rsid w:val="003C7897"/>
    <w:rsid w:val="003C7A3F"/>
    <w:rsid w:val="003D2247"/>
    <w:rsid w:val="003D2766"/>
    <w:rsid w:val="003D2A74"/>
    <w:rsid w:val="003D3958"/>
    <w:rsid w:val="003D3D88"/>
    <w:rsid w:val="003D3E8F"/>
    <w:rsid w:val="003D3EEB"/>
    <w:rsid w:val="003D4975"/>
    <w:rsid w:val="003D5789"/>
    <w:rsid w:val="003D6146"/>
    <w:rsid w:val="003D6475"/>
    <w:rsid w:val="003D6B72"/>
    <w:rsid w:val="003D6EE6"/>
    <w:rsid w:val="003D6FF8"/>
    <w:rsid w:val="003E0BC3"/>
    <w:rsid w:val="003E12C2"/>
    <w:rsid w:val="003E153B"/>
    <w:rsid w:val="003E32D9"/>
    <w:rsid w:val="003E375C"/>
    <w:rsid w:val="003E4086"/>
    <w:rsid w:val="003E419B"/>
    <w:rsid w:val="003E5232"/>
    <w:rsid w:val="003E5D61"/>
    <w:rsid w:val="003E639E"/>
    <w:rsid w:val="003E6608"/>
    <w:rsid w:val="003E6948"/>
    <w:rsid w:val="003E6FAC"/>
    <w:rsid w:val="003E71B7"/>
    <w:rsid w:val="003E71E5"/>
    <w:rsid w:val="003F0445"/>
    <w:rsid w:val="003F07E4"/>
    <w:rsid w:val="003F0CF0"/>
    <w:rsid w:val="003F14B1"/>
    <w:rsid w:val="003F2B20"/>
    <w:rsid w:val="003F2F77"/>
    <w:rsid w:val="003F2FB7"/>
    <w:rsid w:val="003F3289"/>
    <w:rsid w:val="003F3C62"/>
    <w:rsid w:val="003F4FAB"/>
    <w:rsid w:val="003F5CB9"/>
    <w:rsid w:val="003F624D"/>
    <w:rsid w:val="003F7604"/>
    <w:rsid w:val="003F779E"/>
    <w:rsid w:val="00400D5E"/>
    <w:rsid w:val="004013C7"/>
    <w:rsid w:val="00401BFD"/>
    <w:rsid w:val="00401FCF"/>
    <w:rsid w:val="00402AA9"/>
    <w:rsid w:val="00402E4C"/>
    <w:rsid w:val="00402E58"/>
    <w:rsid w:val="00403E73"/>
    <w:rsid w:val="004041B5"/>
    <w:rsid w:val="004041F6"/>
    <w:rsid w:val="004050A1"/>
    <w:rsid w:val="00406194"/>
    <w:rsid w:val="00406285"/>
    <w:rsid w:val="00406510"/>
    <w:rsid w:val="00406CB5"/>
    <w:rsid w:val="004115A2"/>
    <w:rsid w:val="004122CA"/>
    <w:rsid w:val="004123C6"/>
    <w:rsid w:val="00412988"/>
    <w:rsid w:val="00412F64"/>
    <w:rsid w:val="004140E1"/>
    <w:rsid w:val="004148F9"/>
    <w:rsid w:val="00414A7A"/>
    <w:rsid w:val="004206FB"/>
    <w:rsid w:val="0042084E"/>
    <w:rsid w:val="004211EF"/>
    <w:rsid w:val="00421A93"/>
    <w:rsid w:val="00421EEF"/>
    <w:rsid w:val="00422B9A"/>
    <w:rsid w:val="00424D65"/>
    <w:rsid w:val="00425884"/>
    <w:rsid w:val="0042601F"/>
    <w:rsid w:val="0042682E"/>
    <w:rsid w:val="00426F39"/>
    <w:rsid w:val="00427BA7"/>
    <w:rsid w:val="00427E75"/>
    <w:rsid w:val="00430393"/>
    <w:rsid w:val="0043079D"/>
    <w:rsid w:val="00430BB1"/>
    <w:rsid w:val="00430E7D"/>
    <w:rsid w:val="00431057"/>
    <w:rsid w:val="00431806"/>
    <w:rsid w:val="00431A70"/>
    <w:rsid w:val="00431F42"/>
    <w:rsid w:val="00432DDB"/>
    <w:rsid w:val="00432E25"/>
    <w:rsid w:val="00433F23"/>
    <w:rsid w:val="00433F63"/>
    <w:rsid w:val="00436EC7"/>
    <w:rsid w:val="00436F0F"/>
    <w:rsid w:val="0044111D"/>
    <w:rsid w:val="0044156E"/>
    <w:rsid w:val="00441594"/>
    <w:rsid w:val="004429D0"/>
    <w:rsid w:val="00442C6C"/>
    <w:rsid w:val="00442E8C"/>
    <w:rsid w:val="00443CBE"/>
    <w:rsid w:val="00443E8A"/>
    <w:rsid w:val="004441BC"/>
    <w:rsid w:val="00444647"/>
    <w:rsid w:val="00444FEF"/>
    <w:rsid w:val="0044584C"/>
    <w:rsid w:val="00445B40"/>
    <w:rsid w:val="0044631F"/>
    <w:rsid w:val="0044637A"/>
    <w:rsid w:val="00446879"/>
    <w:rsid w:val="004468B4"/>
    <w:rsid w:val="00446B1B"/>
    <w:rsid w:val="00446C73"/>
    <w:rsid w:val="00446D86"/>
    <w:rsid w:val="00446E41"/>
    <w:rsid w:val="004479C1"/>
    <w:rsid w:val="00447C54"/>
    <w:rsid w:val="00451759"/>
    <w:rsid w:val="00451DE8"/>
    <w:rsid w:val="00452306"/>
    <w:rsid w:val="0045230A"/>
    <w:rsid w:val="00454A7D"/>
    <w:rsid w:val="00454AD0"/>
    <w:rsid w:val="00455156"/>
    <w:rsid w:val="00455D24"/>
    <w:rsid w:val="00455EE8"/>
    <w:rsid w:val="00455F25"/>
    <w:rsid w:val="004562C6"/>
    <w:rsid w:val="00457136"/>
    <w:rsid w:val="00457308"/>
    <w:rsid w:val="00457337"/>
    <w:rsid w:val="00457447"/>
    <w:rsid w:val="0045794D"/>
    <w:rsid w:val="004607B7"/>
    <w:rsid w:val="00460C89"/>
    <w:rsid w:val="00460D60"/>
    <w:rsid w:val="00461458"/>
    <w:rsid w:val="00462870"/>
    <w:rsid w:val="00462E3D"/>
    <w:rsid w:val="00463E3D"/>
    <w:rsid w:val="00464A4B"/>
    <w:rsid w:val="00464B40"/>
    <w:rsid w:val="0046689A"/>
    <w:rsid w:val="00466E79"/>
    <w:rsid w:val="004671C0"/>
    <w:rsid w:val="00467637"/>
    <w:rsid w:val="004703D3"/>
    <w:rsid w:val="00470A5E"/>
    <w:rsid w:val="00470D7D"/>
    <w:rsid w:val="00470EE7"/>
    <w:rsid w:val="00471F93"/>
    <w:rsid w:val="00473592"/>
    <w:rsid w:val="0047372D"/>
    <w:rsid w:val="00473757"/>
    <w:rsid w:val="00473BA3"/>
    <w:rsid w:val="004740AA"/>
    <w:rsid w:val="00474245"/>
    <w:rsid w:val="004743DD"/>
    <w:rsid w:val="00474776"/>
    <w:rsid w:val="00474CEA"/>
    <w:rsid w:val="00475281"/>
    <w:rsid w:val="004756FA"/>
    <w:rsid w:val="00475B41"/>
    <w:rsid w:val="00475C81"/>
    <w:rsid w:val="0047773B"/>
    <w:rsid w:val="0047795F"/>
    <w:rsid w:val="0048020E"/>
    <w:rsid w:val="0048072D"/>
    <w:rsid w:val="00481918"/>
    <w:rsid w:val="00481DDD"/>
    <w:rsid w:val="00482512"/>
    <w:rsid w:val="00482823"/>
    <w:rsid w:val="004828B1"/>
    <w:rsid w:val="00482A7A"/>
    <w:rsid w:val="00483968"/>
    <w:rsid w:val="00483BD0"/>
    <w:rsid w:val="004841BE"/>
    <w:rsid w:val="00484F86"/>
    <w:rsid w:val="00485DB9"/>
    <w:rsid w:val="004861AF"/>
    <w:rsid w:val="00486350"/>
    <w:rsid w:val="00487472"/>
    <w:rsid w:val="004877EB"/>
    <w:rsid w:val="004879B1"/>
    <w:rsid w:val="00490680"/>
    <w:rsid w:val="00490746"/>
    <w:rsid w:val="00490852"/>
    <w:rsid w:val="00490DEA"/>
    <w:rsid w:val="004913E5"/>
    <w:rsid w:val="00491714"/>
    <w:rsid w:val="00491981"/>
    <w:rsid w:val="004919A7"/>
    <w:rsid w:val="00491C9C"/>
    <w:rsid w:val="00491E56"/>
    <w:rsid w:val="00492791"/>
    <w:rsid w:val="00492F30"/>
    <w:rsid w:val="00493798"/>
    <w:rsid w:val="004941C2"/>
    <w:rsid w:val="004946F4"/>
    <w:rsid w:val="0049487E"/>
    <w:rsid w:val="00494CA4"/>
    <w:rsid w:val="00495094"/>
    <w:rsid w:val="0049528E"/>
    <w:rsid w:val="0049531A"/>
    <w:rsid w:val="00495C2C"/>
    <w:rsid w:val="004A10CB"/>
    <w:rsid w:val="004A160D"/>
    <w:rsid w:val="004A1A85"/>
    <w:rsid w:val="004A3E81"/>
    <w:rsid w:val="004A4195"/>
    <w:rsid w:val="004A4C56"/>
    <w:rsid w:val="004A53C0"/>
    <w:rsid w:val="004A5C62"/>
    <w:rsid w:val="004A5CE5"/>
    <w:rsid w:val="004A6553"/>
    <w:rsid w:val="004A6BC2"/>
    <w:rsid w:val="004A707D"/>
    <w:rsid w:val="004A7E67"/>
    <w:rsid w:val="004B048E"/>
    <w:rsid w:val="004B0974"/>
    <w:rsid w:val="004B0D38"/>
    <w:rsid w:val="004B1C62"/>
    <w:rsid w:val="004B39D8"/>
    <w:rsid w:val="004B4185"/>
    <w:rsid w:val="004B4574"/>
    <w:rsid w:val="004B5A49"/>
    <w:rsid w:val="004B6B23"/>
    <w:rsid w:val="004C0DBB"/>
    <w:rsid w:val="004C1CCD"/>
    <w:rsid w:val="004C1ECC"/>
    <w:rsid w:val="004C1FBD"/>
    <w:rsid w:val="004C2745"/>
    <w:rsid w:val="004C2A9B"/>
    <w:rsid w:val="004C369F"/>
    <w:rsid w:val="004C450E"/>
    <w:rsid w:val="004C47AA"/>
    <w:rsid w:val="004C4815"/>
    <w:rsid w:val="004C5541"/>
    <w:rsid w:val="004C59F0"/>
    <w:rsid w:val="004C6EEE"/>
    <w:rsid w:val="004C6F7E"/>
    <w:rsid w:val="004C702B"/>
    <w:rsid w:val="004C72FA"/>
    <w:rsid w:val="004C7504"/>
    <w:rsid w:val="004D0033"/>
    <w:rsid w:val="004D016B"/>
    <w:rsid w:val="004D0E68"/>
    <w:rsid w:val="004D1B22"/>
    <w:rsid w:val="004D23CC"/>
    <w:rsid w:val="004D2FDB"/>
    <w:rsid w:val="004D36F2"/>
    <w:rsid w:val="004D5A59"/>
    <w:rsid w:val="004D5AE8"/>
    <w:rsid w:val="004D73F0"/>
    <w:rsid w:val="004D7B1D"/>
    <w:rsid w:val="004E0B32"/>
    <w:rsid w:val="004E0E73"/>
    <w:rsid w:val="004E0FBC"/>
    <w:rsid w:val="004E1106"/>
    <w:rsid w:val="004E138F"/>
    <w:rsid w:val="004E2DAD"/>
    <w:rsid w:val="004E320B"/>
    <w:rsid w:val="004E32D6"/>
    <w:rsid w:val="004E32DB"/>
    <w:rsid w:val="004E4649"/>
    <w:rsid w:val="004E48B8"/>
    <w:rsid w:val="004E4B00"/>
    <w:rsid w:val="004E4B53"/>
    <w:rsid w:val="004E5814"/>
    <w:rsid w:val="004E59FE"/>
    <w:rsid w:val="004E5C2B"/>
    <w:rsid w:val="004E7070"/>
    <w:rsid w:val="004E79C9"/>
    <w:rsid w:val="004F00DD"/>
    <w:rsid w:val="004F01DE"/>
    <w:rsid w:val="004F0509"/>
    <w:rsid w:val="004F15C4"/>
    <w:rsid w:val="004F175D"/>
    <w:rsid w:val="004F1F05"/>
    <w:rsid w:val="004F20E0"/>
    <w:rsid w:val="004F2133"/>
    <w:rsid w:val="004F2C5F"/>
    <w:rsid w:val="004F40E3"/>
    <w:rsid w:val="004F5398"/>
    <w:rsid w:val="004F55F1"/>
    <w:rsid w:val="004F61B7"/>
    <w:rsid w:val="004F6936"/>
    <w:rsid w:val="004F7E48"/>
    <w:rsid w:val="005005A9"/>
    <w:rsid w:val="0050069D"/>
    <w:rsid w:val="00500915"/>
    <w:rsid w:val="00502B59"/>
    <w:rsid w:val="0050372B"/>
    <w:rsid w:val="00503DC6"/>
    <w:rsid w:val="00506982"/>
    <w:rsid w:val="00506F5D"/>
    <w:rsid w:val="00507426"/>
    <w:rsid w:val="00507B8C"/>
    <w:rsid w:val="00507D22"/>
    <w:rsid w:val="00507EB3"/>
    <w:rsid w:val="00510592"/>
    <w:rsid w:val="005106FB"/>
    <w:rsid w:val="00510C37"/>
    <w:rsid w:val="005126D0"/>
    <w:rsid w:val="00512EF3"/>
    <w:rsid w:val="00513809"/>
    <w:rsid w:val="00514667"/>
    <w:rsid w:val="005148D9"/>
    <w:rsid w:val="00514974"/>
    <w:rsid w:val="00514F94"/>
    <w:rsid w:val="0051548E"/>
    <w:rsid w:val="0051568D"/>
    <w:rsid w:val="00515E02"/>
    <w:rsid w:val="005162FB"/>
    <w:rsid w:val="00516744"/>
    <w:rsid w:val="0051788D"/>
    <w:rsid w:val="00517C77"/>
    <w:rsid w:val="005210C4"/>
    <w:rsid w:val="005211F8"/>
    <w:rsid w:val="00521620"/>
    <w:rsid w:val="00521D94"/>
    <w:rsid w:val="00522ADB"/>
    <w:rsid w:val="00524158"/>
    <w:rsid w:val="00524169"/>
    <w:rsid w:val="005242C8"/>
    <w:rsid w:val="00524B7E"/>
    <w:rsid w:val="00525B7C"/>
    <w:rsid w:val="00525E08"/>
    <w:rsid w:val="00525FFB"/>
    <w:rsid w:val="00526AC7"/>
    <w:rsid w:val="00526C15"/>
    <w:rsid w:val="00530AEC"/>
    <w:rsid w:val="00530C40"/>
    <w:rsid w:val="00530E5A"/>
    <w:rsid w:val="005320BA"/>
    <w:rsid w:val="0053241D"/>
    <w:rsid w:val="00533561"/>
    <w:rsid w:val="00536499"/>
    <w:rsid w:val="00536C45"/>
    <w:rsid w:val="00536CBF"/>
    <w:rsid w:val="00536DA5"/>
    <w:rsid w:val="00540712"/>
    <w:rsid w:val="0054073F"/>
    <w:rsid w:val="00540F02"/>
    <w:rsid w:val="00541FEC"/>
    <w:rsid w:val="0054207F"/>
    <w:rsid w:val="0054215C"/>
    <w:rsid w:val="0054238B"/>
    <w:rsid w:val="005429B8"/>
    <w:rsid w:val="00542A03"/>
    <w:rsid w:val="005437B2"/>
    <w:rsid w:val="00543903"/>
    <w:rsid w:val="00543BCC"/>
    <w:rsid w:val="00543F11"/>
    <w:rsid w:val="00544135"/>
    <w:rsid w:val="00544BC0"/>
    <w:rsid w:val="00545E7F"/>
    <w:rsid w:val="00545E9C"/>
    <w:rsid w:val="00546305"/>
    <w:rsid w:val="00546477"/>
    <w:rsid w:val="0054687E"/>
    <w:rsid w:val="005468A0"/>
    <w:rsid w:val="00546F58"/>
    <w:rsid w:val="00547A95"/>
    <w:rsid w:val="00547C55"/>
    <w:rsid w:val="005504A8"/>
    <w:rsid w:val="00550FDC"/>
    <w:rsid w:val="0055119B"/>
    <w:rsid w:val="005513A2"/>
    <w:rsid w:val="00551DDF"/>
    <w:rsid w:val="0055227D"/>
    <w:rsid w:val="00553264"/>
    <w:rsid w:val="00554ABA"/>
    <w:rsid w:val="0055597F"/>
    <w:rsid w:val="005567F3"/>
    <w:rsid w:val="00560026"/>
    <w:rsid w:val="00561202"/>
    <w:rsid w:val="00561E74"/>
    <w:rsid w:val="00562121"/>
    <w:rsid w:val="0056235D"/>
    <w:rsid w:val="00562507"/>
    <w:rsid w:val="00562811"/>
    <w:rsid w:val="00564D18"/>
    <w:rsid w:val="00565E6C"/>
    <w:rsid w:val="00565F45"/>
    <w:rsid w:val="00566390"/>
    <w:rsid w:val="0056739E"/>
    <w:rsid w:val="00570E95"/>
    <w:rsid w:val="0057176E"/>
    <w:rsid w:val="00572031"/>
    <w:rsid w:val="00572282"/>
    <w:rsid w:val="005736BE"/>
    <w:rsid w:val="00573A49"/>
    <w:rsid w:val="00573CE3"/>
    <w:rsid w:val="00574A4B"/>
    <w:rsid w:val="005751D1"/>
    <w:rsid w:val="0057523A"/>
    <w:rsid w:val="00575522"/>
    <w:rsid w:val="00575C59"/>
    <w:rsid w:val="00576159"/>
    <w:rsid w:val="00576E84"/>
    <w:rsid w:val="00580394"/>
    <w:rsid w:val="005806D1"/>
    <w:rsid w:val="005809CD"/>
    <w:rsid w:val="00581735"/>
    <w:rsid w:val="00581936"/>
    <w:rsid w:val="00582B8C"/>
    <w:rsid w:val="00585691"/>
    <w:rsid w:val="005870E8"/>
    <w:rsid w:val="0058757E"/>
    <w:rsid w:val="00587E14"/>
    <w:rsid w:val="00590583"/>
    <w:rsid w:val="00591A7B"/>
    <w:rsid w:val="0059386B"/>
    <w:rsid w:val="00594BD8"/>
    <w:rsid w:val="0059551B"/>
    <w:rsid w:val="00595A91"/>
    <w:rsid w:val="0059623C"/>
    <w:rsid w:val="00596A4B"/>
    <w:rsid w:val="00596BBE"/>
    <w:rsid w:val="00596FC7"/>
    <w:rsid w:val="00597059"/>
    <w:rsid w:val="00597507"/>
    <w:rsid w:val="005975BE"/>
    <w:rsid w:val="00597CE3"/>
    <w:rsid w:val="005A0C0F"/>
    <w:rsid w:val="005A0E9F"/>
    <w:rsid w:val="005A1C94"/>
    <w:rsid w:val="005A2509"/>
    <w:rsid w:val="005A2AC3"/>
    <w:rsid w:val="005A3167"/>
    <w:rsid w:val="005A45C9"/>
    <w:rsid w:val="005A479D"/>
    <w:rsid w:val="005A6066"/>
    <w:rsid w:val="005A67BF"/>
    <w:rsid w:val="005A78F0"/>
    <w:rsid w:val="005B0795"/>
    <w:rsid w:val="005B0D32"/>
    <w:rsid w:val="005B116D"/>
    <w:rsid w:val="005B1A33"/>
    <w:rsid w:val="005B1C6D"/>
    <w:rsid w:val="005B1DE1"/>
    <w:rsid w:val="005B21B6"/>
    <w:rsid w:val="005B2FE2"/>
    <w:rsid w:val="005B376C"/>
    <w:rsid w:val="005B3804"/>
    <w:rsid w:val="005B3A08"/>
    <w:rsid w:val="005B3FC3"/>
    <w:rsid w:val="005B4F19"/>
    <w:rsid w:val="005B53D5"/>
    <w:rsid w:val="005B6234"/>
    <w:rsid w:val="005B6E99"/>
    <w:rsid w:val="005B789A"/>
    <w:rsid w:val="005B796D"/>
    <w:rsid w:val="005B7A63"/>
    <w:rsid w:val="005C0955"/>
    <w:rsid w:val="005C0B26"/>
    <w:rsid w:val="005C1092"/>
    <w:rsid w:val="005C3017"/>
    <w:rsid w:val="005C49DA"/>
    <w:rsid w:val="005C50F3"/>
    <w:rsid w:val="005C54B5"/>
    <w:rsid w:val="005C5CFE"/>
    <w:rsid w:val="005C5D80"/>
    <w:rsid w:val="005C5D91"/>
    <w:rsid w:val="005C60A9"/>
    <w:rsid w:val="005C6DC4"/>
    <w:rsid w:val="005C77B0"/>
    <w:rsid w:val="005C7A52"/>
    <w:rsid w:val="005D0179"/>
    <w:rsid w:val="005D01B3"/>
    <w:rsid w:val="005D07B8"/>
    <w:rsid w:val="005D0E9E"/>
    <w:rsid w:val="005D2E63"/>
    <w:rsid w:val="005D3861"/>
    <w:rsid w:val="005D428B"/>
    <w:rsid w:val="005D62D9"/>
    <w:rsid w:val="005D6597"/>
    <w:rsid w:val="005D6621"/>
    <w:rsid w:val="005D66E1"/>
    <w:rsid w:val="005D6AE7"/>
    <w:rsid w:val="005D6D4F"/>
    <w:rsid w:val="005E14E7"/>
    <w:rsid w:val="005E18CE"/>
    <w:rsid w:val="005E25C3"/>
    <w:rsid w:val="005E26A3"/>
    <w:rsid w:val="005E291C"/>
    <w:rsid w:val="005E2ECB"/>
    <w:rsid w:val="005E312C"/>
    <w:rsid w:val="005E36D3"/>
    <w:rsid w:val="005E3A78"/>
    <w:rsid w:val="005E447E"/>
    <w:rsid w:val="005E4D37"/>
    <w:rsid w:val="005E4FD1"/>
    <w:rsid w:val="005E6387"/>
    <w:rsid w:val="005E6558"/>
    <w:rsid w:val="005E65FA"/>
    <w:rsid w:val="005E767F"/>
    <w:rsid w:val="005E7AC7"/>
    <w:rsid w:val="005F0048"/>
    <w:rsid w:val="005F0775"/>
    <w:rsid w:val="005F0B75"/>
    <w:rsid w:val="005F0CF5"/>
    <w:rsid w:val="005F0EAD"/>
    <w:rsid w:val="005F1C4D"/>
    <w:rsid w:val="005F21EB"/>
    <w:rsid w:val="005F241B"/>
    <w:rsid w:val="005F3655"/>
    <w:rsid w:val="005F424B"/>
    <w:rsid w:val="005F4538"/>
    <w:rsid w:val="005F491F"/>
    <w:rsid w:val="005F56E6"/>
    <w:rsid w:val="005F56EF"/>
    <w:rsid w:val="005F64CF"/>
    <w:rsid w:val="005F6850"/>
    <w:rsid w:val="005F783E"/>
    <w:rsid w:val="005F7920"/>
    <w:rsid w:val="005F7C99"/>
    <w:rsid w:val="005F7E7B"/>
    <w:rsid w:val="006011E6"/>
    <w:rsid w:val="006018F5"/>
    <w:rsid w:val="0060201A"/>
    <w:rsid w:val="006037B0"/>
    <w:rsid w:val="00603F9C"/>
    <w:rsid w:val="00603FDD"/>
    <w:rsid w:val="00604151"/>
    <w:rsid w:val="006041AD"/>
    <w:rsid w:val="006044D3"/>
    <w:rsid w:val="00605908"/>
    <w:rsid w:val="0060651A"/>
    <w:rsid w:val="0060755A"/>
    <w:rsid w:val="00607850"/>
    <w:rsid w:val="00607EF7"/>
    <w:rsid w:val="00610D7C"/>
    <w:rsid w:val="006111A0"/>
    <w:rsid w:val="006118B5"/>
    <w:rsid w:val="00613414"/>
    <w:rsid w:val="00613A76"/>
    <w:rsid w:val="00613ED8"/>
    <w:rsid w:val="00614890"/>
    <w:rsid w:val="006158A5"/>
    <w:rsid w:val="00616434"/>
    <w:rsid w:val="006171BD"/>
    <w:rsid w:val="00620154"/>
    <w:rsid w:val="00620202"/>
    <w:rsid w:val="00620F8F"/>
    <w:rsid w:val="00621966"/>
    <w:rsid w:val="00621BD9"/>
    <w:rsid w:val="00621F48"/>
    <w:rsid w:val="00622DC2"/>
    <w:rsid w:val="0062408D"/>
    <w:rsid w:val="006240CC"/>
    <w:rsid w:val="00624940"/>
    <w:rsid w:val="00624A7B"/>
    <w:rsid w:val="00624CD4"/>
    <w:rsid w:val="0062546D"/>
    <w:rsid w:val="006254F8"/>
    <w:rsid w:val="006259E2"/>
    <w:rsid w:val="00625C95"/>
    <w:rsid w:val="00626DC7"/>
    <w:rsid w:val="00627DA7"/>
    <w:rsid w:val="0063066D"/>
    <w:rsid w:val="00630DA4"/>
    <w:rsid w:val="006310BB"/>
    <w:rsid w:val="00631756"/>
    <w:rsid w:val="00631CD4"/>
    <w:rsid w:val="00631E09"/>
    <w:rsid w:val="00632597"/>
    <w:rsid w:val="00633C37"/>
    <w:rsid w:val="00634D13"/>
    <w:rsid w:val="006353BC"/>
    <w:rsid w:val="006358B4"/>
    <w:rsid w:val="006365A0"/>
    <w:rsid w:val="0063672F"/>
    <w:rsid w:val="00637891"/>
    <w:rsid w:val="00640BBB"/>
    <w:rsid w:val="00640F4B"/>
    <w:rsid w:val="00641724"/>
    <w:rsid w:val="006419AA"/>
    <w:rsid w:val="00641A77"/>
    <w:rsid w:val="00643EDA"/>
    <w:rsid w:val="00644B11"/>
    <w:rsid w:val="00644B1F"/>
    <w:rsid w:val="00644B7E"/>
    <w:rsid w:val="006454E6"/>
    <w:rsid w:val="006456A2"/>
    <w:rsid w:val="006458C8"/>
    <w:rsid w:val="00646235"/>
    <w:rsid w:val="00646A68"/>
    <w:rsid w:val="00647F8F"/>
    <w:rsid w:val="0065027D"/>
    <w:rsid w:val="006503F8"/>
    <w:rsid w:val="006504B2"/>
    <w:rsid w:val="006504E4"/>
    <w:rsid w:val="006505BD"/>
    <w:rsid w:val="006508EA"/>
    <w:rsid w:val="0065092E"/>
    <w:rsid w:val="006511C4"/>
    <w:rsid w:val="00651443"/>
    <w:rsid w:val="006514B7"/>
    <w:rsid w:val="00651823"/>
    <w:rsid w:val="0065184F"/>
    <w:rsid w:val="00651BB3"/>
    <w:rsid w:val="00651EE2"/>
    <w:rsid w:val="006533D1"/>
    <w:rsid w:val="00653DF9"/>
    <w:rsid w:val="0065466F"/>
    <w:rsid w:val="00654C6A"/>
    <w:rsid w:val="006554CC"/>
    <w:rsid w:val="006557A7"/>
    <w:rsid w:val="006559A1"/>
    <w:rsid w:val="00656066"/>
    <w:rsid w:val="00656211"/>
    <w:rsid w:val="00656290"/>
    <w:rsid w:val="00656384"/>
    <w:rsid w:val="00656F30"/>
    <w:rsid w:val="00657EB6"/>
    <w:rsid w:val="00657FF0"/>
    <w:rsid w:val="006601C9"/>
    <w:rsid w:val="006608D8"/>
    <w:rsid w:val="00661944"/>
    <w:rsid w:val="006621D7"/>
    <w:rsid w:val="00662330"/>
    <w:rsid w:val="00662DB7"/>
    <w:rsid w:val="0066302A"/>
    <w:rsid w:val="00663680"/>
    <w:rsid w:val="006637A2"/>
    <w:rsid w:val="0066413E"/>
    <w:rsid w:val="00666D79"/>
    <w:rsid w:val="006671DA"/>
    <w:rsid w:val="00667770"/>
    <w:rsid w:val="006704A7"/>
    <w:rsid w:val="00670597"/>
    <w:rsid w:val="006706D0"/>
    <w:rsid w:val="00670C3F"/>
    <w:rsid w:val="006716BF"/>
    <w:rsid w:val="006727CF"/>
    <w:rsid w:val="00672ADA"/>
    <w:rsid w:val="0067322F"/>
    <w:rsid w:val="00673909"/>
    <w:rsid w:val="00673FD0"/>
    <w:rsid w:val="006755FC"/>
    <w:rsid w:val="0067656E"/>
    <w:rsid w:val="00677574"/>
    <w:rsid w:val="00680519"/>
    <w:rsid w:val="00680670"/>
    <w:rsid w:val="006812ED"/>
    <w:rsid w:val="00681409"/>
    <w:rsid w:val="006824AC"/>
    <w:rsid w:val="006825FC"/>
    <w:rsid w:val="00683206"/>
    <w:rsid w:val="006832B1"/>
    <w:rsid w:val="00683878"/>
    <w:rsid w:val="00683DE7"/>
    <w:rsid w:val="00683FFD"/>
    <w:rsid w:val="00684173"/>
    <w:rsid w:val="00684380"/>
    <w:rsid w:val="0068454C"/>
    <w:rsid w:val="00686B59"/>
    <w:rsid w:val="00690D7E"/>
    <w:rsid w:val="0069151B"/>
    <w:rsid w:val="00691B62"/>
    <w:rsid w:val="006933B5"/>
    <w:rsid w:val="00693D14"/>
    <w:rsid w:val="00693E31"/>
    <w:rsid w:val="00694DBE"/>
    <w:rsid w:val="00695C8A"/>
    <w:rsid w:val="00695E0C"/>
    <w:rsid w:val="00696F27"/>
    <w:rsid w:val="006A0AB3"/>
    <w:rsid w:val="006A18C2"/>
    <w:rsid w:val="006A21F5"/>
    <w:rsid w:val="006A3383"/>
    <w:rsid w:val="006A3C39"/>
    <w:rsid w:val="006A453C"/>
    <w:rsid w:val="006A4F06"/>
    <w:rsid w:val="006A7B2F"/>
    <w:rsid w:val="006A7C8B"/>
    <w:rsid w:val="006A7DFD"/>
    <w:rsid w:val="006B077C"/>
    <w:rsid w:val="006B082A"/>
    <w:rsid w:val="006B0904"/>
    <w:rsid w:val="006B10D1"/>
    <w:rsid w:val="006B29E8"/>
    <w:rsid w:val="006B51E1"/>
    <w:rsid w:val="006B5748"/>
    <w:rsid w:val="006B5BA3"/>
    <w:rsid w:val="006B6803"/>
    <w:rsid w:val="006B6C58"/>
    <w:rsid w:val="006B7D11"/>
    <w:rsid w:val="006C01B8"/>
    <w:rsid w:val="006C1260"/>
    <w:rsid w:val="006C1E50"/>
    <w:rsid w:val="006C3371"/>
    <w:rsid w:val="006C3FE7"/>
    <w:rsid w:val="006C442F"/>
    <w:rsid w:val="006C548B"/>
    <w:rsid w:val="006C5C2B"/>
    <w:rsid w:val="006C5F4D"/>
    <w:rsid w:val="006C68EB"/>
    <w:rsid w:val="006D0265"/>
    <w:rsid w:val="006D05D5"/>
    <w:rsid w:val="006D098E"/>
    <w:rsid w:val="006D0E84"/>
    <w:rsid w:val="006D0F16"/>
    <w:rsid w:val="006D1A23"/>
    <w:rsid w:val="006D260F"/>
    <w:rsid w:val="006D2736"/>
    <w:rsid w:val="006D2A3F"/>
    <w:rsid w:val="006D2FBC"/>
    <w:rsid w:val="006D47B2"/>
    <w:rsid w:val="006D5A07"/>
    <w:rsid w:val="006D5A86"/>
    <w:rsid w:val="006D6165"/>
    <w:rsid w:val="006D6E34"/>
    <w:rsid w:val="006D6E8B"/>
    <w:rsid w:val="006D7AB1"/>
    <w:rsid w:val="006E138B"/>
    <w:rsid w:val="006E1867"/>
    <w:rsid w:val="006E1F06"/>
    <w:rsid w:val="006E3934"/>
    <w:rsid w:val="006E399C"/>
    <w:rsid w:val="006E49C2"/>
    <w:rsid w:val="006E4AB6"/>
    <w:rsid w:val="006E608F"/>
    <w:rsid w:val="006E628C"/>
    <w:rsid w:val="006E63B3"/>
    <w:rsid w:val="006E7105"/>
    <w:rsid w:val="006E71D5"/>
    <w:rsid w:val="006E73DF"/>
    <w:rsid w:val="006E761B"/>
    <w:rsid w:val="006E76F7"/>
    <w:rsid w:val="006F002E"/>
    <w:rsid w:val="006F0330"/>
    <w:rsid w:val="006F037E"/>
    <w:rsid w:val="006F0642"/>
    <w:rsid w:val="006F0A0E"/>
    <w:rsid w:val="006F1FDC"/>
    <w:rsid w:val="006F3299"/>
    <w:rsid w:val="006F34E0"/>
    <w:rsid w:val="006F35DC"/>
    <w:rsid w:val="006F5683"/>
    <w:rsid w:val="006F5702"/>
    <w:rsid w:val="006F60B1"/>
    <w:rsid w:val="006F6B8C"/>
    <w:rsid w:val="006F6CA8"/>
    <w:rsid w:val="007013EF"/>
    <w:rsid w:val="00702110"/>
    <w:rsid w:val="00702350"/>
    <w:rsid w:val="00703475"/>
    <w:rsid w:val="007043FD"/>
    <w:rsid w:val="00704466"/>
    <w:rsid w:val="007055BD"/>
    <w:rsid w:val="007060EE"/>
    <w:rsid w:val="0070634F"/>
    <w:rsid w:val="00706C90"/>
    <w:rsid w:val="00706ECC"/>
    <w:rsid w:val="007074BA"/>
    <w:rsid w:val="00710B42"/>
    <w:rsid w:val="0071113C"/>
    <w:rsid w:val="00711621"/>
    <w:rsid w:val="00711766"/>
    <w:rsid w:val="00713D11"/>
    <w:rsid w:val="0071401F"/>
    <w:rsid w:val="00714644"/>
    <w:rsid w:val="0071472E"/>
    <w:rsid w:val="00714E3B"/>
    <w:rsid w:val="00715332"/>
    <w:rsid w:val="00715555"/>
    <w:rsid w:val="00716DB3"/>
    <w:rsid w:val="007173CA"/>
    <w:rsid w:val="0071799A"/>
    <w:rsid w:val="007216AA"/>
    <w:rsid w:val="00721AB5"/>
    <w:rsid w:val="00721CFB"/>
    <w:rsid w:val="00721DEF"/>
    <w:rsid w:val="007220E4"/>
    <w:rsid w:val="007246B6"/>
    <w:rsid w:val="00724786"/>
    <w:rsid w:val="007249A2"/>
    <w:rsid w:val="00724A43"/>
    <w:rsid w:val="00724BA8"/>
    <w:rsid w:val="0072529A"/>
    <w:rsid w:val="00725975"/>
    <w:rsid w:val="00725D8D"/>
    <w:rsid w:val="0072656F"/>
    <w:rsid w:val="00726B56"/>
    <w:rsid w:val="007273AC"/>
    <w:rsid w:val="00727E95"/>
    <w:rsid w:val="00731AD4"/>
    <w:rsid w:val="00732524"/>
    <w:rsid w:val="00732ED1"/>
    <w:rsid w:val="007331A2"/>
    <w:rsid w:val="0073324E"/>
    <w:rsid w:val="007333B4"/>
    <w:rsid w:val="007346E4"/>
    <w:rsid w:val="007349A5"/>
    <w:rsid w:val="00734A85"/>
    <w:rsid w:val="00735564"/>
    <w:rsid w:val="007366C3"/>
    <w:rsid w:val="00736A3E"/>
    <w:rsid w:val="0073779C"/>
    <w:rsid w:val="007379B1"/>
    <w:rsid w:val="00740E8F"/>
    <w:rsid w:val="00740F22"/>
    <w:rsid w:val="007411BE"/>
    <w:rsid w:val="00741CF0"/>
    <w:rsid w:val="00741F1A"/>
    <w:rsid w:val="007421AE"/>
    <w:rsid w:val="0074278D"/>
    <w:rsid w:val="007429EE"/>
    <w:rsid w:val="00742BD7"/>
    <w:rsid w:val="007433B0"/>
    <w:rsid w:val="00743782"/>
    <w:rsid w:val="00743C1E"/>
    <w:rsid w:val="00743F3B"/>
    <w:rsid w:val="00744075"/>
    <w:rsid w:val="007441D3"/>
    <w:rsid w:val="007447DA"/>
    <w:rsid w:val="00744EB8"/>
    <w:rsid w:val="007450F8"/>
    <w:rsid w:val="007459CE"/>
    <w:rsid w:val="0074696E"/>
    <w:rsid w:val="00750135"/>
    <w:rsid w:val="00750C41"/>
    <w:rsid w:val="00750EC2"/>
    <w:rsid w:val="00752B28"/>
    <w:rsid w:val="007536BC"/>
    <w:rsid w:val="007541A9"/>
    <w:rsid w:val="007548F7"/>
    <w:rsid w:val="00754E36"/>
    <w:rsid w:val="007554FE"/>
    <w:rsid w:val="007556A6"/>
    <w:rsid w:val="0075608B"/>
    <w:rsid w:val="0075624A"/>
    <w:rsid w:val="00757CD0"/>
    <w:rsid w:val="00761424"/>
    <w:rsid w:val="00763139"/>
    <w:rsid w:val="00763A7A"/>
    <w:rsid w:val="00763B2E"/>
    <w:rsid w:val="00763C0B"/>
    <w:rsid w:val="0076444E"/>
    <w:rsid w:val="00767186"/>
    <w:rsid w:val="007704AA"/>
    <w:rsid w:val="00770AE2"/>
    <w:rsid w:val="00770F37"/>
    <w:rsid w:val="007711A0"/>
    <w:rsid w:val="007717F5"/>
    <w:rsid w:val="00771EAB"/>
    <w:rsid w:val="00772D5E"/>
    <w:rsid w:val="007732E6"/>
    <w:rsid w:val="00773DE4"/>
    <w:rsid w:val="00774547"/>
    <w:rsid w:val="0077463E"/>
    <w:rsid w:val="007748DB"/>
    <w:rsid w:val="00774913"/>
    <w:rsid w:val="00774B26"/>
    <w:rsid w:val="00776928"/>
    <w:rsid w:val="00776D56"/>
    <w:rsid w:val="00776E0F"/>
    <w:rsid w:val="00777147"/>
    <w:rsid w:val="0077720F"/>
    <w:rsid w:val="007774B1"/>
    <w:rsid w:val="00777833"/>
    <w:rsid w:val="00777BE1"/>
    <w:rsid w:val="00777C63"/>
    <w:rsid w:val="00777E3B"/>
    <w:rsid w:val="00780B59"/>
    <w:rsid w:val="0078146E"/>
    <w:rsid w:val="007821CB"/>
    <w:rsid w:val="00782222"/>
    <w:rsid w:val="00782293"/>
    <w:rsid w:val="007833D8"/>
    <w:rsid w:val="00784112"/>
    <w:rsid w:val="00784552"/>
    <w:rsid w:val="00784BB7"/>
    <w:rsid w:val="00784CF8"/>
    <w:rsid w:val="00785677"/>
    <w:rsid w:val="00786575"/>
    <w:rsid w:val="00786F16"/>
    <w:rsid w:val="007877EA"/>
    <w:rsid w:val="007877F2"/>
    <w:rsid w:val="00790164"/>
    <w:rsid w:val="007918EF"/>
    <w:rsid w:val="00791BD7"/>
    <w:rsid w:val="00792447"/>
    <w:rsid w:val="00792E50"/>
    <w:rsid w:val="007933F7"/>
    <w:rsid w:val="00793A32"/>
    <w:rsid w:val="00794387"/>
    <w:rsid w:val="00794E09"/>
    <w:rsid w:val="00796E20"/>
    <w:rsid w:val="0079707E"/>
    <w:rsid w:val="00797C32"/>
    <w:rsid w:val="007A11E8"/>
    <w:rsid w:val="007A1B44"/>
    <w:rsid w:val="007A1D63"/>
    <w:rsid w:val="007A42DB"/>
    <w:rsid w:val="007A5550"/>
    <w:rsid w:val="007A6677"/>
    <w:rsid w:val="007A6CD7"/>
    <w:rsid w:val="007A6D59"/>
    <w:rsid w:val="007A7248"/>
    <w:rsid w:val="007B01CB"/>
    <w:rsid w:val="007B0850"/>
    <w:rsid w:val="007B0914"/>
    <w:rsid w:val="007B0A20"/>
    <w:rsid w:val="007B0A97"/>
    <w:rsid w:val="007B1374"/>
    <w:rsid w:val="007B1E8A"/>
    <w:rsid w:val="007B27AF"/>
    <w:rsid w:val="007B32E5"/>
    <w:rsid w:val="007B3A37"/>
    <w:rsid w:val="007B3DB9"/>
    <w:rsid w:val="007B547B"/>
    <w:rsid w:val="007B589F"/>
    <w:rsid w:val="007B6186"/>
    <w:rsid w:val="007B630B"/>
    <w:rsid w:val="007B6D52"/>
    <w:rsid w:val="007B6EE3"/>
    <w:rsid w:val="007B73BC"/>
    <w:rsid w:val="007C017A"/>
    <w:rsid w:val="007C0D5A"/>
    <w:rsid w:val="007C0F49"/>
    <w:rsid w:val="007C1838"/>
    <w:rsid w:val="007C20B9"/>
    <w:rsid w:val="007C34F3"/>
    <w:rsid w:val="007C3781"/>
    <w:rsid w:val="007C3D17"/>
    <w:rsid w:val="007C3E2F"/>
    <w:rsid w:val="007C3F99"/>
    <w:rsid w:val="007C5B7A"/>
    <w:rsid w:val="007C701A"/>
    <w:rsid w:val="007C7301"/>
    <w:rsid w:val="007C7859"/>
    <w:rsid w:val="007C7ABE"/>
    <w:rsid w:val="007C7F28"/>
    <w:rsid w:val="007D094E"/>
    <w:rsid w:val="007D1423"/>
    <w:rsid w:val="007D1466"/>
    <w:rsid w:val="007D1566"/>
    <w:rsid w:val="007D1688"/>
    <w:rsid w:val="007D223E"/>
    <w:rsid w:val="007D2BDE"/>
    <w:rsid w:val="007D2FB6"/>
    <w:rsid w:val="007D38DD"/>
    <w:rsid w:val="007D43B7"/>
    <w:rsid w:val="007D49EB"/>
    <w:rsid w:val="007D5A3E"/>
    <w:rsid w:val="007D5B5D"/>
    <w:rsid w:val="007D5E1C"/>
    <w:rsid w:val="007D77C4"/>
    <w:rsid w:val="007E090C"/>
    <w:rsid w:val="007E0DE2"/>
    <w:rsid w:val="007E0F8D"/>
    <w:rsid w:val="007E10BF"/>
    <w:rsid w:val="007E1FB9"/>
    <w:rsid w:val="007E22D3"/>
    <w:rsid w:val="007E3138"/>
    <w:rsid w:val="007E3167"/>
    <w:rsid w:val="007E33D5"/>
    <w:rsid w:val="007E3667"/>
    <w:rsid w:val="007E3B98"/>
    <w:rsid w:val="007E3D23"/>
    <w:rsid w:val="007E417A"/>
    <w:rsid w:val="007E4BE4"/>
    <w:rsid w:val="007E4CBC"/>
    <w:rsid w:val="007E4DB8"/>
    <w:rsid w:val="007E548D"/>
    <w:rsid w:val="007E5B14"/>
    <w:rsid w:val="007E7307"/>
    <w:rsid w:val="007E7658"/>
    <w:rsid w:val="007F02FD"/>
    <w:rsid w:val="007F0C06"/>
    <w:rsid w:val="007F31B6"/>
    <w:rsid w:val="007F39A8"/>
    <w:rsid w:val="007F3C5D"/>
    <w:rsid w:val="007F4243"/>
    <w:rsid w:val="007F4F29"/>
    <w:rsid w:val="007F5004"/>
    <w:rsid w:val="007F546C"/>
    <w:rsid w:val="007F54FA"/>
    <w:rsid w:val="007F625F"/>
    <w:rsid w:val="007F665E"/>
    <w:rsid w:val="007F6DEB"/>
    <w:rsid w:val="00800412"/>
    <w:rsid w:val="0080163A"/>
    <w:rsid w:val="00801D07"/>
    <w:rsid w:val="00802356"/>
    <w:rsid w:val="00802AB8"/>
    <w:rsid w:val="00804A4A"/>
    <w:rsid w:val="0080587B"/>
    <w:rsid w:val="00806468"/>
    <w:rsid w:val="00806E71"/>
    <w:rsid w:val="00807CEF"/>
    <w:rsid w:val="0081011A"/>
    <w:rsid w:val="0081126C"/>
    <w:rsid w:val="008118A9"/>
    <w:rsid w:val="008119CA"/>
    <w:rsid w:val="00811C65"/>
    <w:rsid w:val="0081231E"/>
    <w:rsid w:val="008130C4"/>
    <w:rsid w:val="0081362E"/>
    <w:rsid w:val="00813648"/>
    <w:rsid w:val="00813E6C"/>
    <w:rsid w:val="008149A8"/>
    <w:rsid w:val="008155F0"/>
    <w:rsid w:val="0081567F"/>
    <w:rsid w:val="008158AE"/>
    <w:rsid w:val="0081614E"/>
    <w:rsid w:val="00816735"/>
    <w:rsid w:val="00816742"/>
    <w:rsid w:val="00816BEE"/>
    <w:rsid w:val="00817BF1"/>
    <w:rsid w:val="00820141"/>
    <w:rsid w:val="00820E0C"/>
    <w:rsid w:val="00820ED0"/>
    <w:rsid w:val="008219EC"/>
    <w:rsid w:val="00822083"/>
    <w:rsid w:val="00822B6A"/>
    <w:rsid w:val="00823275"/>
    <w:rsid w:val="0082366F"/>
    <w:rsid w:val="00823C64"/>
    <w:rsid w:val="00825E85"/>
    <w:rsid w:val="00827A29"/>
    <w:rsid w:val="008304D3"/>
    <w:rsid w:val="008306FB"/>
    <w:rsid w:val="008312E9"/>
    <w:rsid w:val="00831FCA"/>
    <w:rsid w:val="00832476"/>
    <w:rsid w:val="008338A2"/>
    <w:rsid w:val="008347DA"/>
    <w:rsid w:val="008349F0"/>
    <w:rsid w:val="008355F2"/>
    <w:rsid w:val="00835CF9"/>
    <w:rsid w:val="008365D2"/>
    <w:rsid w:val="00836C89"/>
    <w:rsid w:val="00837101"/>
    <w:rsid w:val="0084088B"/>
    <w:rsid w:val="00841AA9"/>
    <w:rsid w:val="00841F7E"/>
    <w:rsid w:val="0084375C"/>
    <w:rsid w:val="00843CD5"/>
    <w:rsid w:val="00844DDB"/>
    <w:rsid w:val="00845203"/>
    <w:rsid w:val="008459D7"/>
    <w:rsid w:val="00846088"/>
    <w:rsid w:val="0084637A"/>
    <w:rsid w:val="00847147"/>
    <w:rsid w:val="00847404"/>
    <w:rsid w:val="0084745A"/>
    <w:rsid w:val="008474FE"/>
    <w:rsid w:val="0085032D"/>
    <w:rsid w:val="00850388"/>
    <w:rsid w:val="0085225A"/>
    <w:rsid w:val="00852458"/>
    <w:rsid w:val="00852CCD"/>
    <w:rsid w:val="00853138"/>
    <w:rsid w:val="00853EE4"/>
    <w:rsid w:val="008542CA"/>
    <w:rsid w:val="00855535"/>
    <w:rsid w:val="00855659"/>
    <w:rsid w:val="008567DD"/>
    <w:rsid w:val="00856BB5"/>
    <w:rsid w:val="00856BCB"/>
    <w:rsid w:val="00857A5C"/>
    <w:rsid w:val="00857C5A"/>
    <w:rsid w:val="008623DF"/>
    <w:rsid w:val="0086255E"/>
    <w:rsid w:val="008633F0"/>
    <w:rsid w:val="00863927"/>
    <w:rsid w:val="00864035"/>
    <w:rsid w:val="00864F85"/>
    <w:rsid w:val="008657E6"/>
    <w:rsid w:val="0086664E"/>
    <w:rsid w:val="00866F6C"/>
    <w:rsid w:val="0086730A"/>
    <w:rsid w:val="00867D9D"/>
    <w:rsid w:val="008709BC"/>
    <w:rsid w:val="0087131D"/>
    <w:rsid w:val="00871454"/>
    <w:rsid w:val="00871EC8"/>
    <w:rsid w:val="00872E0A"/>
    <w:rsid w:val="00873594"/>
    <w:rsid w:val="0087399A"/>
    <w:rsid w:val="00874EE1"/>
    <w:rsid w:val="00874EE9"/>
    <w:rsid w:val="00875285"/>
    <w:rsid w:val="00875CC2"/>
    <w:rsid w:val="00875FDB"/>
    <w:rsid w:val="00876546"/>
    <w:rsid w:val="00876F77"/>
    <w:rsid w:val="0087750B"/>
    <w:rsid w:val="00880156"/>
    <w:rsid w:val="0088021D"/>
    <w:rsid w:val="00880F82"/>
    <w:rsid w:val="0088155A"/>
    <w:rsid w:val="00882B8C"/>
    <w:rsid w:val="00882C15"/>
    <w:rsid w:val="00882D2A"/>
    <w:rsid w:val="00884B62"/>
    <w:rsid w:val="0088529C"/>
    <w:rsid w:val="00885899"/>
    <w:rsid w:val="008866FC"/>
    <w:rsid w:val="00887903"/>
    <w:rsid w:val="00887DB7"/>
    <w:rsid w:val="00887FBA"/>
    <w:rsid w:val="0089157B"/>
    <w:rsid w:val="00891D93"/>
    <w:rsid w:val="008923C4"/>
    <w:rsid w:val="0089270A"/>
    <w:rsid w:val="00892816"/>
    <w:rsid w:val="00892916"/>
    <w:rsid w:val="00893227"/>
    <w:rsid w:val="00893AF6"/>
    <w:rsid w:val="00893E3D"/>
    <w:rsid w:val="008942D0"/>
    <w:rsid w:val="0089445D"/>
    <w:rsid w:val="00894BC4"/>
    <w:rsid w:val="008950B6"/>
    <w:rsid w:val="0089593C"/>
    <w:rsid w:val="00896890"/>
    <w:rsid w:val="008973FE"/>
    <w:rsid w:val="008977D1"/>
    <w:rsid w:val="00897E79"/>
    <w:rsid w:val="008A0084"/>
    <w:rsid w:val="008A0655"/>
    <w:rsid w:val="008A0CD3"/>
    <w:rsid w:val="008A28A8"/>
    <w:rsid w:val="008A2B17"/>
    <w:rsid w:val="008A301D"/>
    <w:rsid w:val="008A408E"/>
    <w:rsid w:val="008A45CC"/>
    <w:rsid w:val="008A54AC"/>
    <w:rsid w:val="008A5B32"/>
    <w:rsid w:val="008B09E6"/>
    <w:rsid w:val="008B13D2"/>
    <w:rsid w:val="008B2029"/>
    <w:rsid w:val="008B20C4"/>
    <w:rsid w:val="008B2281"/>
    <w:rsid w:val="008B2EE4"/>
    <w:rsid w:val="008B3821"/>
    <w:rsid w:val="008B4D3D"/>
    <w:rsid w:val="008B5244"/>
    <w:rsid w:val="008B5314"/>
    <w:rsid w:val="008B57C7"/>
    <w:rsid w:val="008B5A10"/>
    <w:rsid w:val="008B5B98"/>
    <w:rsid w:val="008B7597"/>
    <w:rsid w:val="008C017F"/>
    <w:rsid w:val="008C0C89"/>
    <w:rsid w:val="008C2F92"/>
    <w:rsid w:val="008C3387"/>
    <w:rsid w:val="008C3546"/>
    <w:rsid w:val="008C4780"/>
    <w:rsid w:val="008C589D"/>
    <w:rsid w:val="008C604C"/>
    <w:rsid w:val="008C62E8"/>
    <w:rsid w:val="008C6B12"/>
    <w:rsid w:val="008C6D36"/>
    <w:rsid w:val="008C6D51"/>
    <w:rsid w:val="008C708D"/>
    <w:rsid w:val="008C7BFB"/>
    <w:rsid w:val="008D01FB"/>
    <w:rsid w:val="008D055F"/>
    <w:rsid w:val="008D21E3"/>
    <w:rsid w:val="008D2846"/>
    <w:rsid w:val="008D2BB3"/>
    <w:rsid w:val="008D2EBF"/>
    <w:rsid w:val="008D34DC"/>
    <w:rsid w:val="008D4236"/>
    <w:rsid w:val="008D462F"/>
    <w:rsid w:val="008D4BD2"/>
    <w:rsid w:val="008D6DCF"/>
    <w:rsid w:val="008D721E"/>
    <w:rsid w:val="008D7419"/>
    <w:rsid w:val="008D7F8A"/>
    <w:rsid w:val="008E003A"/>
    <w:rsid w:val="008E1546"/>
    <w:rsid w:val="008E36B5"/>
    <w:rsid w:val="008E3B25"/>
    <w:rsid w:val="008E3F83"/>
    <w:rsid w:val="008E41C9"/>
    <w:rsid w:val="008E42FB"/>
    <w:rsid w:val="008E4376"/>
    <w:rsid w:val="008E4F5E"/>
    <w:rsid w:val="008E518E"/>
    <w:rsid w:val="008E5CBF"/>
    <w:rsid w:val="008E6128"/>
    <w:rsid w:val="008E61B0"/>
    <w:rsid w:val="008E6519"/>
    <w:rsid w:val="008E6939"/>
    <w:rsid w:val="008E7A0A"/>
    <w:rsid w:val="008E7AFF"/>
    <w:rsid w:val="008E7B49"/>
    <w:rsid w:val="008F10B4"/>
    <w:rsid w:val="008F10C6"/>
    <w:rsid w:val="008F1BD0"/>
    <w:rsid w:val="008F3159"/>
    <w:rsid w:val="008F372E"/>
    <w:rsid w:val="008F450C"/>
    <w:rsid w:val="008F48AC"/>
    <w:rsid w:val="008F59F6"/>
    <w:rsid w:val="008F70A6"/>
    <w:rsid w:val="008F765A"/>
    <w:rsid w:val="00900719"/>
    <w:rsid w:val="009015F6"/>
    <w:rsid w:val="00901606"/>
    <w:rsid w:val="009017AC"/>
    <w:rsid w:val="00901A9F"/>
    <w:rsid w:val="00901F2C"/>
    <w:rsid w:val="00902A9A"/>
    <w:rsid w:val="00903DDE"/>
    <w:rsid w:val="00904A1C"/>
    <w:rsid w:val="00904D50"/>
    <w:rsid w:val="00905030"/>
    <w:rsid w:val="009054D0"/>
    <w:rsid w:val="0090552F"/>
    <w:rsid w:val="00906186"/>
    <w:rsid w:val="0090636D"/>
    <w:rsid w:val="00906490"/>
    <w:rsid w:val="009069A9"/>
    <w:rsid w:val="0091045F"/>
    <w:rsid w:val="0091104C"/>
    <w:rsid w:val="009111B2"/>
    <w:rsid w:val="00911EAF"/>
    <w:rsid w:val="00911F00"/>
    <w:rsid w:val="009121E6"/>
    <w:rsid w:val="00912483"/>
    <w:rsid w:val="00912B86"/>
    <w:rsid w:val="00913D02"/>
    <w:rsid w:val="00914E6B"/>
    <w:rsid w:val="00914F94"/>
    <w:rsid w:val="009151F5"/>
    <w:rsid w:val="0091520E"/>
    <w:rsid w:val="00915241"/>
    <w:rsid w:val="009160CF"/>
    <w:rsid w:val="00916A48"/>
    <w:rsid w:val="0092096A"/>
    <w:rsid w:val="009217B6"/>
    <w:rsid w:val="00923D0C"/>
    <w:rsid w:val="00923F51"/>
    <w:rsid w:val="009241EA"/>
    <w:rsid w:val="00924AE1"/>
    <w:rsid w:val="009252A1"/>
    <w:rsid w:val="0092566F"/>
    <w:rsid w:val="00925B79"/>
    <w:rsid w:val="00925F19"/>
    <w:rsid w:val="00926689"/>
    <w:rsid w:val="009269B1"/>
    <w:rsid w:val="00926FB1"/>
    <w:rsid w:val="0092724D"/>
    <w:rsid w:val="009272B3"/>
    <w:rsid w:val="00927900"/>
    <w:rsid w:val="00931398"/>
    <w:rsid w:val="009315BE"/>
    <w:rsid w:val="00931AEA"/>
    <w:rsid w:val="009326DD"/>
    <w:rsid w:val="00932BCB"/>
    <w:rsid w:val="00932E45"/>
    <w:rsid w:val="0093338F"/>
    <w:rsid w:val="00933855"/>
    <w:rsid w:val="00933B3E"/>
    <w:rsid w:val="009340C5"/>
    <w:rsid w:val="009342AE"/>
    <w:rsid w:val="00934357"/>
    <w:rsid w:val="00934743"/>
    <w:rsid w:val="00934A2E"/>
    <w:rsid w:val="00935C8F"/>
    <w:rsid w:val="00935F91"/>
    <w:rsid w:val="009368FA"/>
    <w:rsid w:val="00937BD9"/>
    <w:rsid w:val="00937EEE"/>
    <w:rsid w:val="0094036E"/>
    <w:rsid w:val="009406FF"/>
    <w:rsid w:val="0094101B"/>
    <w:rsid w:val="00941F90"/>
    <w:rsid w:val="00942B00"/>
    <w:rsid w:val="0094349A"/>
    <w:rsid w:val="00943927"/>
    <w:rsid w:val="00945232"/>
    <w:rsid w:val="00946D95"/>
    <w:rsid w:val="009507D0"/>
    <w:rsid w:val="00950E2C"/>
    <w:rsid w:val="00951D50"/>
    <w:rsid w:val="009525EB"/>
    <w:rsid w:val="00952D23"/>
    <w:rsid w:val="009531CE"/>
    <w:rsid w:val="00953282"/>
    <w:rsid w:val="00953B7B"/>
    <w:rsid w:val="0095470B"/>
    <w:rsid w:val="00954874"/>
    <w:rsid w:val="00954E4D"/>
    <w:rsid w:val="00954F04"/>
    <w:rsid w:val="0095524F"/>
    <w:rsid w:val="009553A5"/>
    <w:rsid w:val="0095615A"/>
    <w:rsid w:val="00957D59"/>
    <w:rsid w:val="00961400"/>
    <w:rsid w:val="00961587"/>
    <w:rsid w:val="00961B87"/>
    <w:rsid w:val="009625B2"/>
    <w:rsid w:val="00962BA4"/>
    <w:rsid w:val="00963289"/>
    <w:rsid w:val="00963646"/>
    <w:rsid w:val="00965772"/>
    <w:rsid w:val="0096632D"/>
    <w:rsid w:val="00966F77"/>
    <w:rsid w:val="00967124"/>
    <w:rsid w:val="00967B96"/>
    <w:rsid w:val="0097032C"/>
    <w:rsid w:val="009708B4"/>
    <w:rsid w:val="00970C2E"/>
    <w:rsid w:val="0097166C"/>
    <w:rsid w:val="009718C7"/>
    <w:rsid w:val="00971DC8"/>
    <w:rsid w:val="00971EC5"/>
    <w:rsid w:val="00971FD7"/>
    <w:rsid w:val="009724DA"/>
    <w:rsid w:val="00972623"/>
    <w:rsid w:val="00972E2C"/>
    <w:rsid w:val="009744A7"/>
    <w:rsid w:val="0097559F"/>
    <w:rsid w:val="009759D4"/>
    <w:rsid w:val="009761EA"/>
    <w:rsid w:val="00976F05"/>
    <w:rsid w:val="0097761E"/>
    <w:rsid w:val="00977EE7"/>
    <w:rsid w:val="009809F6"/>
    <w:rsid w:val="00981C76"/>
    <w:rsid w:val="00981EFD"/>
    <w:rsid w:val="009821EF"/>
    <w:rsid w:val="00982454"/>
    <w:rsid w:val="00982CF0"/>
    <w:rsid w:val="00983646"/>
    <w:rsid w:val="00983702"/>
    <w:rsid w:val="009853E1"/>
    <w:rsid w:val="00985554"/>
    <w:rsid w:val="00986516"/>
    <w:rsid w:val="00986E6B"/>
    <w:rsid w:val="00987C90"/>
    <w:rsid w:val="00987F00"/>
    <w:rsid w:val="00987F2B"/>
    <w:rsid w:val="00990032"/>
    <w:rsid w:val="00990103"/>
    <w:rsid w:val="00990962"/>
    <w:rsid w:val="00990B19"/>
    <w:rsid w:val="0099153B"/>
    <w:rsid w:val="00991769"/>
    <w:rsid w:val="0099232C"/>
    <w:rsid w:val="00992362"/>
    <w:rsid w:val="00992A75"/>
    <w:rsid w:val="009931C2"/>
    <w:rsid w:val="009931EC"/>
    <w:rsid w:val="00993830"/>
    <w:rsid w:val="00994386"/>
    <w:rsid w:val="009945A3"/>
    <w:rsid w:val="00994A1B"/>
    <w:rsid w:val="00996681"/>
    <w:rsid w:val="00997D4A"/>
    <w:rsid w:val="00997DD3"/>
    <w:rsid w:val="009A0186"/>
    <w:rsid w:val="009A13D8"/>
    <w:rsid w:val="009A16C4"/>
    <w:rsid w:val="009A218B"/>
    <w:rsid w:val="009A279E"/>
    <w:rsid w:val="009A2C5B"/>
    <w:rsid w:val="009A2D01"/>
    <w:rsid w:val="009A3015"/>
    <w:rsid w:val="009A3490"/>
    <w:rsid w:val="009A38A9"/>
    <w:rsid w:val="009A7187"/>
    <w:rsid w:val="009A76C0"/>
    <w:rsid w:val="009A7AEB"/>
    <w:rsid w:val="009A7E6C"/>
    <w:rsid w:val="009B0A6F"/>
    <w:rsid w:val="009B0A94"/>
    <w:rsid w:val="009B0C62"/>
    <w:rsid w:val="009B0D77"/>
    <w:rsid w:val="009B14F3"/>
    <w:rsid w:val="009B1CCD"/>
    <w:rsid w:val="009B2AE8"/>
    <w:rsid w:val="009B4399"/>
    <w:rsid w:val="009B4915"/>
    <w:rsid w:val="009B52C2"/>
    <w:rsid w:val="009B5622"/>
    <w:rsid w:val="009B59E9"/>
    <w:rsid w:val="009B60BA"/>
    <w:rsid w:val="009B6296"/>
    <w:rsid w:val="009B6F71"/>
    <w:rsid w:val="009B70AA"/>
    <w:rsid w:val="009B7EC1"/>
    <w:rsid w:val="009C0757"/>
    <w:rsid w:val="009C0CFA"/>
    <w:rsid w:val="009C1886"/>
    <w:rsid w:val="009C245E"/>
    <w:rsid w:val="009C2E7E"/>
    <w:rsid w:val="009C3ACC"/>
    <w:rsid w:val="009C503E"/>
    <w:rsid w:val="009C54BA"/>
    <w:rsid w:val="009C579B"/>
    <w:rsid w:val="009C5E77"/>
    <w:rsid w:val="009C5F7C"/>
    <w:rsid w:val="009C69A0"/>
    <w:rsid w:val="009C76E0"/>
    <w:rsid w:val="009C7A7E"/>
    <w:rsid w:val="009D000C"/>
    <w:rsid w:val="009D02E8"/>
    <w:rsid w:val="009D0FF2"/>
    <w:rsid w:val="009D10CC"/>
    <w:rsid w:val="009D1682"/>
    <w:rsid w:val="009D2F30"/>
    <w:rsid w:val="009D36EB"/>
    <w:rsid w:val="009D37A0"/>
    <w:rsid w:val="009D51D0"/>
    <w:rsid w:val="009D70A4"/>
    <w:rsid w:val="009D7474"/>
    <w:rsid w:val="009D7727"/>
    <w:rsid w:val="009D7B14"/>
    <w:rsid w:val="009D7E1C"/>
    <w:rsid w:val="009E08D1"/>
    <w:rsid w:val="009E0D96"/>
    <w:rsid w:val="009E11C6"/>
    <w:rsid w:val="009E1B95"/>
    <w:rsid w:val="009E2755"/>
    <w:rsid w:val="009E322C"/>
    <w:rsid w:val="009E496F"/>
    <w:rsid w:val="009E4B0D"/>
    <w:rsid w:val="009E5250"/>
    <w:rsid w:val="009E5AE3"/>
    <w:rsid w:val="009E6B95"/>
    <w:rsid w:val="009E6C79"/>
    <w:rsid w:val="009E6FCC"/>
    <w:rsid w:val="009E7A69"/>
    <w:rsid w:val="009E7F27"/>
    <w:rsid w:val="009E7F92"/>
    <w:rsid w:val="009F02A3"/>
    <w:rsid w:val="009F2182"/>
    <w:rsid w:val="009F2BE7"/>
    <w:rsid w:val="009F2DB7"/>
    <w:rsid w:val="009F2F27"/>
    <w:rsid w:val="009F34AA"/>
    <w:rsid w:val="009F379B"/>
    <w:rsid w:val="009F6BCB"/>
    <w:rsid w:val="009F6BED"/>
    <w:rsid w:val="009F70AC"/>
    <w:rsid w:val="009F7B78"/>
    <w:rsid w:val="00A0057A"/>
    <w:rsid w:val="00A0096D"/>
    <w:rsid w:val="00A00FA4"/>
    <w:rsid w:val="00A01805"/>
    <w:rsid w:val="00A02FA1"/>
    <w:rsid w:val="00A0438A"/>
    <w:rsid w:val="00A04CCE"/>
    <w:rsid w:val="00A05256"/>
    <w:rsid w:val="00A0665A"/>
    <w:rsid w:val="00A0739E"/>
    <w:rsid w:val="00A07421"/>
    <w:rsid w:val="00A0776B"/>
    <w:rsid w:val="00A109E6"/>
    <w:rsid w:val="00A10C1C"/>
    <w:rsid w:val="00A10FB9"/>
    <w:rsid w:val="00A11421"/>
    <w:rsid w:val="00A120CB"/>
    <w:rsid w:val="00A12D35"/>
    <w:rsid w:val="00A1389F"/>
    <w:rsid w:val="00A13B7A"/>
    <w:rsid w:val="00A140A8"/>
    <w:rsid w:val="00A14379"/>
    <w:rsid w:val="00A1439D"/>
    <w:rsid w:val="00A149A4"/>
    <w:rsid w:val="00A151EE"/>
    <w:rsid w:val="00A1562C"/>
    <w:rsid w:val="00A157B1"/>
    <w:rsid w:val="00A161DE"/>
    <w:rsid w:val="00A17683"/>
    <w:rsid w:val="00A21402"/>
    <w:rsid w:val="00A22229"/>
    <w:rsid w:val="00A233B4"/>
    <w:rsid w:val="00A23633"/>
    <w:rsid w:val="00A23CD8"/>
    <w:rsid w:val="00A23CF5"/>
    <w:rsid w:val="00A24442"/>
    <w:rsid w:val="00A24ADA"/>
    <w:rsid w:val="00A25686"/>
    <w:rsid w:val="00A26297"/>
    <w:rsid w:val="00A26347"/>
    <w:rsid w:val="00A2695F"/>
    <w:rsid w:val="00A30A07"/>
    <w:rsid w:val="00A314E7"/>
    <w:rsid w:val="00A32577"/>
    <w:rsid w:val="00A330BB"/>
    <w:rsid w:val="00A34CD0"/>
    <w:rsid w:val="00A359F9"/>
    <w:rsid w:val="00A36497"/>
    <w:rsid w:val="00A37312"/>
    <w:rsid w:val="00A40014"/>
    <w:rsid w:val="00A40238"/>
    <w:rsid w:val="00A4119F"/>
    <w:rsid w:val="00A42EDF"/>
    <w:rsid w:val="00A42F82"/>
    <w:rsid w:val="00A43D3E"/>
    <w:rsid w:val="00A43F2F"/>
    <w:rsid w:val="00A446F5"/>
    <w:rsid w:val="00A44882"/>
    <w:rsid w:val="00A45125"/>
    <w:rsid w:val="00A4575A"/>
    <w:rsid w:val="00A47345"/>
    <w:rsid w:val="00A47940"/>
    <w:rsid w:val="00A51024"/>
    <w:rsid w:val="00A52E1C"/>
    <w:rsid w:val="00A531A6"/>
    <w:rsid w:val="00A54715"/>
    <w:rsid w:val="00A547AE"/>
    <w:rsid w:val="00A54A0B"/>
    <w:rsid w:val="00A54AD6"/>
    <w:rsid w:val="00A553C3"/>
    <w:rsid w:val="00A5541A"/>
    <w:rsid w:val="00A57F51"/>
    <w:rsid w:val="00A6061C"/>
    <w:rsid w:val="00A60699"/>
    <w:rsid w:val="00A60FC0"/>
    <w:rsid w:val="00A61049"/>
    <w:rsid w:val="00A61420"/>
    <w:rsid w:val="00A62D44"/>
    <w:rsid w:val="00A63FDD"/>
    <w:rsid w:val="00A64641"/>
    <w:rsid w:val="00A652D9"/>
    <w:rsid w:val="00A66AE2"/>
    <w:rsid w:val="00A67263"/>
    <w:rsid w:val="00A6772B"/>
    <w:rsid w:val="00A67772"/>
    <w:rsid w:val="00A707C5"/>
    <w:rsid w:val="00A70B5F"/>
    <w:rsid w:val="00A7161C"/>
    <w:rsid w:val="00A71789"/>
    <w:rsid w:val="00A71CE4"/>
    <w:rsid w:val="00A71E9E"/>
    <w:rsid w:val="00A72C15"/>
    <w:rsid w:val="00A732BD"/>
    <w:rsid w:val="00A73E97"/>
    <w:rsid w:val="00A73F2E"/>
    <w:rsid w:val="00A75817"/>
    <w:rsid w:val="00A75C76"/>
    <w:rsid w:val="00A77AA3"/>
    <w:rsid w:val="00A804AD"/>
    <w:rsid w:val="00A80676"/>
    <w:rsid w:val="00A8236D"/>
    <w:rsid w:val="00A8322E"/>
    <w:rsid w:val="00A833D2"/>
    <w:rsid w:val="00A837D9"/>
    <w:rsid w:val="00A83C70"/>
    <w:rsid w:val="00A83E9B"/>
    <w:rsid w:val="00A840BD"/>
    <w:rsid w:val="00A84A80"/>
    <w:rsid w:val="00A84C35"/>
    <w:rsid w:val="00A8502B"/>
    <w:rsid w:val="00A85352"/>
    <w:rsid w:val="00A854EB"/>
    <w:rsid w:val="00A85774"/>
    <w:rsid w:val="00A86630"/>
    <w:rsid w:val="00A86980"/>
    <w:rsid w:val="00A86B5E"/>
    <w:rsid w:val="00A872E5"/>
    <w:rsid w:val="00A87354"/>
    <w:rsid w:val="00A87DC2"/>
    <w:rsid w:val="00A900FF"/>
    <w:rsid w:val="00A913F6"/>
    <w:rsid w:val="00A91406"/>
    <w:rsid w:val="00A91E15"/>
    <w:rsid w:val="00A9580B"/>
    <w:rsid w:val="00A96E65"/>
    <w:rsid w:val="00A96ECE"/>
    <w:rsid w:val="00A9716B"/>
    <w:rsid w:val="00A9764B"/>
    <w:rsid w:val="00A978A7"/>
    <w:rsid w:val="00A97C0D"/>
    <w:rsid w:val="00A97C72"/>
    <w:rsid w:val="00A97EBE"/>
    <w:rsid w:val="00AA0447"/>
    <w:rsid w:val="00AA29D5"/>
    <w:rsid w:val="00AA2A00"/>
    <w:rsid w:val="00AA310B"/>
    <w:rsid w:val="00AA3227"/>
    <w:rsid w:val="00AA4BDC"/>
    <w:rsid w:val="00AA53CC"/>
    <w:rsid w:val="00AA58DE"/>
    <w:rsid w:val="00AA63D4"/>
    <w:rsid w:val="00AA7226"/>
    <w:rsid w:val="00AA76B6"/>
    <w:rsid w:val="00AA7CA3"/>
    <w:rsid w:val="00AB0632"/>
    <w:rsid w:val="00AB06E8"/>
    <w:rsid w:val="00AB07C0"/>
    <w:rsid w:val="00AB0A31"/>
    <w:rsid w:val="00AB1CD3"/>
    <w:rsid w:val="00AB1DE0"/>
    <w:rsid w:val="00AB24AF"/>
    <w:rsid w:val="00AB269B"/>
    <w:rsid w:val="00AB352F"/>
    <w:rsid w:val="00AB3B86"/>
    <w:rsid w:val="00AB3F89"/>
    <w:rsid w:val="00AB53E4"/>
    <w:rsid w:val="00AB53FB"/>
    <w:rsid w:val="00AB70EA"/>
    <w:rsid w:val="00AB7A2B"/>
    <w:rsid w:val="00AC09D1"/>
    <w:rsid w:val="00AC0F57"/>
    <w:rsid w:val="00AC10FE"/>
    <w:rsid w:val="00AC2257"/>
    <w:rsid w:val="00AC274B"/>
    <w:rsid w:val="00AC3029"/>
    <w:rsid w:val="00AC311B"/>
    <w:rsid w:val="00AC44A9"/>
    <w:rsid w:val="00AC44CE"/>
    <w:rsid w:val="00AC4764"/>
    <w:rsid w:val="00AC4D83"/>
    <w:rsid w:val="00AC6D36"/>
    <w:rsid w:val="00AC7C88"/>
    <w:rsid w:val="00AD0CBA"/>
    <w:rsid w:val="00AD1B94"/>
    <w:rsid w:val="00AD26AA"/>
    <w:rsid w:val="00AD26E2"/>
    <w:rsid w:val="00AD2FFF"/>
    <w:rsid w:val="00AD3921"/>
    <w:rsid w:val="00AD3DFC"/>
    <w:rsid w:val="00AD4305"/>
    <w:rsid w:val="00AD6648"/>
    <w:rsid w:val="00AD6A24"/>
    <w:rsid w:val="00AD6DD2"/>
    <w:rsid w:val="00AD7084"/>
    <w:rsid w:val="00AD7435"/>
    <w:rsid w:val="00AD784C"/>
    <w:rsid w:val="00AE0B11"/>
    <w:rsid w:val="00AE126A"/>
    <w:rsid w:val="00AE1BAE"/>
    <w:rsid w:val="00AE3005"/>
    <w:rsid w:val="00AE3BD5"/>
    <w:rsid w:val="00AE3FEA"/>
    <w:rsid w:val="00AE435F"/>
    <w:rsid w:val="00AE59A0"/>
    <w:rsid w:val="00AE5EBD"/>
    <w:rsid w:val="00AE62B1"/>
    <w:rsid w:val="00AE7582"/>
    <w:rsid w:val="00AE7EBD"/>
    <w:rsid w:val="00AF09AB"/>
    <w:rsid w:val="00AF0C57"/>
    <w:rsid w:val="00AF1CF5"/>
    <w:rsid w:val="00AF2175"/>
    <w:rsid w:val="00AF26F3"/>
    <w:rsid w:val="00AF32F2"/>
    <w:rsid w:val="00AF3A95"/>
    <w:rsid w:val="00AF48BB"/>
    <w:rsid w:val="00AF4A0C"/>
    <w:rsid w:val="00AF4E09"/>
    <w:rsid w:val="00AF5163"/>
    <w:rsid w:val="00AF59F1"/>
    <w:rsid w:val="00AF5CCA"/>
    <w:rsid w:val="00AF5F04"/>
    <w:rsid w:val="00AF6B66"/>
    <w:rsid w:val="00AF78AF"/>
    <w:rsid w:val="00B00109"/>
    <w:rsid w:val="00B004E8"/>
    <w:rsid w:val="00B00504"/>
    <w:rsid w:val="00B00672"/>
    <w:rsid w:val="00B01693"/>
    <w:rsid w:val="00B01AFA"/>
    <w:rsid w:val="00B01B4D"/>
    <w:rsid w:val="00B02111"/>
    <w:rsid w:val="00B024B0"/>
    <w:rsid w:val="00B02DB6"/>
    <w:rsid w:val="00B03470"/>
    <w:rsid w:val="00B04162"/>
    <w:rsid w:val="00B04489"/>
    <w:rsid w:val="00B05E6A"/>
    <w:rsid w:val="00B06571"/>
    <w:rsid w:val="00B068BA"/>
    <w:rsid w:val="00B0708C"/>
    <w:rsid w:val="00B07217"/>
    <w:rsid w:val="00B07490"/>
    <w:rsid w:val="00B11BF2"/>
    <w:rsid w:val="00B11E38"/>
    <w:rsid w:val="00B1242B"/>
    <w:rsid w:val="00B126EF"/>
    <w:rsid w:val="00B12747"/>
    <w:rsid w:val="00B12818"/>
    <w:rsid w:val="00B13851"/>
    <w:rsid w:val="00B13B1C"/>
    <w:rsid w:val="00B14B5F"/>
    <w:rsid w:val="00B15224"/>
    <w:rsid w:val="00B1648C"/>
    <w:rsid w:val="00B17CC9"/>
    <w:rsid w:val="00B20291"/>
    <w:rsid w:val="00B20FBE"/>
    <w:rsid w:val="00B21F90"/>
    <w:rsid w:val="00B22168"/>
    <w:rsid w:val="00B22291"/>
    <w:rsid w:val="00B23325"/>
    <w:rsid w:val="00B2384A"/>
    <w:rsid w:val="00B23F9A"/>
    <w:rsid w:val="00B2417B"/>
    <w:rsid w:val="00B244F6"/>
    <w:rsid w:val="00B24AC0"/>
    <w:rsid w:val="00B24B71"/>
    <w:rsid w:val="00B24E6F"/>
    <w:rsid w:val="00B25715"/>
    <w:rsid w:val="00B25CEE"/>
    <w:rsid w:val="00B2608B"/>
    <w:rsid w:val="00B26CB5"/>
    <w:rsid w:val="00B2752E"/>
    <w:rsid w:val="00B278D4"/>
    <w:rsid w:val="00B279F9"/>
    <w:rsid w:val="00B307CC"/>
    <w:rsid w:val="00B31518"/>
    <w:rsid w:val="00B31D4A"/>
    <w:rsid w:val="00B326B7"/>
    <w:rsid w:val="00B326BE"/>
    <w:rsid w:val="00B330B0"/>
    <w:rsid w:val="00B331DD"/>
    <w:rsid w:val="00B346D2"/>
    <w:rsid w:val="00B3588E"/>
    <w:rsid w:val="00B35934"/>
    <w:rsid w:val="00B3663B"/>
    <w:rsid w:val="00B37D07"/>
    <w:rsid w:val="00B41817"/>
    <w:rsid w:val="00B4198F"/>
    <w:rsid w:val="00B41B25"/>
    <w:rsid w:val="00B41F3D"/>
    <w:rsid w:val="00B42BB6"/>
    <w:rsid w:val="00B431E8"/>
    <w:rsid w:val="00B436FF"/>
    <w:rsid w:val="00B43709"/>
    <w:rsid w:val="00B43EB2"/>
    <w:rsid w:val="00B43F59"/>
    <w:rsid w:val="00B4500E"/>
    <w:rsid w:val="00B45141"/>
    <w:rsid w:val="00B45343"/>
    <w:rsid w:val="00B4570C"/>
    <w:rsid w:val="00B473CA"/>
    <w:rsid w:val="00B47483"/>
    <w:rsid w:val="00B47E4A"/>
    <w:rsid w:val="00B50553"/>
    <w:rsid w:val="00B509CC"/>
    <w:rsid w:val="00B50B95"/>
    <w:rsid w:val="00B510E7"/>
    <w:rsid w:val="00B51157"/>
    <w:rsid w:val="00B519CD"/>
    <w:rsid w:val="00B5273A"/>
    <w:rsid w:val="00B531B2"/>
    <w:rsid w:val="00B53C2B"/>
    <w:rsid w:val="00B55390"/>
    <w:rsid w:val="00B56038"/>
    <w:rsid w:val="00B56A4A"/>
    <w:rsid w:val="00B56D2E"/>
    <w:rsid w:val="00B57329"/>
    <w:rsid w:val="00B60CEA"/>
    <w:rsid w:val="00B60E61"/>
    <w:rsid w:val="00B6119F"/>
    <w:rsid w:val="00B62473"/>
    <w:rsid w:val="00B62B50"/>
    <w:rsid w:val="00B635B7"/>
    <w:rsid w:val="00B6381C"/>
    <w:rsid w:val="00B63AE8"/>
    <w:rsid w:val="00B64CD3"/>
    <w:rsid w:val="00B65950"/>
    <w:rsid w:val="00B65D96"/>
    <w:rsid w:val="00B6603F"/>
    <w:rsid w:val="00B66D83"/>
    <w:rsid w:val="00B672C0"/>
    <w:rsid w:val="00B676FD"/>
    <w:rsid w:val="00B678B6"/>
    <w:rsid w:val="00B71860"/>
    <w:rsid w:val="00B71A12"/>
    <w:rsid w:val="00B71A37"/>
    <w:rsid w:val="00B7232A"/>
    <w:rsid w:val="00B72494"/>
    <w:rsid w:val="00B72AEF"/>
    <w:rsid w:val="00B72B80"/>
    <w:rsid w:val="00B72ECF"/>
    <w:rsid w:val="00B72F59"/>
    <w:rsid w:val="00B73544"/>
    <w:rsid w:val="00B73DA1"/>
    <w:rsid w:val="00B73FB6"/>
    <w:rsid w:val="00B746DC"/>
    <w:rsid w:val="00B746ED"/>
    <w:rsid w:val="00B74D81"/>
    <w:rsid w:val="00B75168"/>
    <w:rsid w:val="00B75646"/>
    <w:rsid w:val="00B75829"/>
    <w:rsid w:val="00B7629E"/>
    <w:rsid w:val="00B76ACF"/>
    <w:rsid w:val="00B7787F"/>
    <w:rsid w:val="00B77944"/>
    <w:rsid w:val="00B77C00"/>
    <w:rsid w:val="00B77F9A"/>
    <w:rsid w:val="00B8069C"/>
    <w:rsid w:val="00B808BA"/>
    <w:rsid w:val="00B81098"/>
    <w:rsid w:val="00B82571"/>
    <w:rsid w:val="00B83B62"/>
    <w:rsid w:val="00B83EE0"/>
    <w:rsid w:val="00B84D38"/>
    <w:rsid w:val="00B85326"/>
    <w:rsid w:val="00B858F4"/>
    <w:rsid w:val="00B8666D"/>
    <w:rsid w:val="00B86A19"/>
    <w:rsid w:val="00B8726D"/>
    <w:rsid w:val="00B872F2"/>
    <w:rsid w:val="00B903A7"/>
    <w:rsid w:val="00B90729"/>
    <w:rsid w:val="00B907D4"/>
    <w:rsid w:val="00B907DA"/>
    <w:rsid w:val="00B90B09"/>
    <w:rsid w:val="00B912F0"/>
    <w:rsid w:val="00B91723"/>
    <w:rsid w:val="00B919C1"/>
    <w:rsid w:val="00B91C0C"/>
    <w:rsid w:val="00B92A25"/>
    <w:rsid w:val="00B92A62"/>
    <w:rsid w:val="00B93A01"/>
    <w:rsid w:val="00B946AE"/>
    <w:rsid w:val="00B94C5E"/>
    <w:rsid w:val="00B950BC"/>
    <w:rsid w:val="00B9714C"/>
    <w:rsid w:val="00B97E3C"/>
    <w:rsid w:val="00BA0A86"/>
    <w:rsid w:val="00BA11A5"/>
    <w:rsid w:val="00BA132F"/>
    <w:rsid w:val="00BA26F6"/>
    <w:rsid w:val="00BA29AD"/>
    <w:rsid w:val="00BA33CF"/>
    <w:rsid w:val="00BA3ADC"/>
    <w:rsid w:val="00BA3CAF"/>
    <w:rsid w:val="00BA3F8D"/>
    <w:rsid w:val="00BA63CF"/>
    <w:rsid w:val="00BA6D4C"/>
    <w:rsid w:val="00BA6EE2"/>
    <w:rsid w:val="00BA7E1C"/>
    <w:rsid w:val="00BB0BC9"/>
    <w:rsid w:val="00BB1240"/>
    <w:rsid w:val="00BB151E"/>
    <w:rsid w:val="00BB17F8"/>
    <w:rsid w:val="00BB19B7"/>
    <w:rsid w:val="00BB1EE3"/>
    <w:rsid w:val="00BB28F6"/>
    <w:rsid w:val="00BB329B"/>
    <w:rsid w:val="00BB46B8"/>
    <w:rsid w:val="00BB4BE8"/>
    <w:rsid w:val="00BB4C34"/>
    <w:rsid w:val="00BB51D2"/>
    <w:rsid w:val="00BB54C2"/>
    <w:rsid w:val="00BB74AC"/>
    <w:rsid w:val="00BB7A10"/>
    <w:rsid w:val="00BC0CFA"/>
    <w:rsid w:val="00BC1CC5"/>
    <w:rsid w:val="00BC39A8"/>
    <w:rsid w:val="00BC3A27"/>
    <w:rsid w:val="00BC4AD3"/>
    <w:rsid w:val="00BC4CF4"/>
    <w:rsid w:val="00BC4FCA"/>
    <w:rsid w:val="00BC60BE"/>
    <w:rsid w:val="00BC7468"/>
    <w:rsid w:val="00BC7D4F"/>
    <w:rsid w:val="00BC7DE1"/>
    <w:rsid w:val="00BC7ED7"/>
    <w:rsid w:val="00BC7FC2"/>
    <w:rsid w:val="00BD15BA"/>
    <w:rsid w:val="00BD2850"/>
    <w:rsid w:val="00BD38C0"/>
    <w:rsid w:val="00BD3A1A"/>
    <w:rsid w:val="00BD4168"/>
    <w:rsid w:val="00BD4497"/>
    <w:rsid w:val="00BD5E0D"/>
    <w:rsid w:val="00BD6962"/>
    <w:rsid w:val="00BD6B9D"/>
    <w:rsid w:val="00BD774D"/>
    <w:rsid w:val="00BE16FB"/>
    <w:rsid w:val="00BE250D"/>
    <w:rsid w:val="00BE28D2"/>
    <w:rsid w:val="00BE45FB"/>
    <w:rsid w:val="00BE4A64"/>
    <w:rsid w:val="00BE5168"/>
    <w:rsid w:val="00BE52E2"/>
    <w:rsid w:val="00BE5743"/>
    <w:rsid w:val="00BE5E43"/>
    <w:rsid w:val="00BE73AD"/>
    <w:rsid w:val="00BE7710"/>
    <w:rsid w:val="00BE788A"/>
    <w:rsid w:val="00BF0279"/>
    <w:rsid w:val="00BF0605"/>
    <w:rsid w:val="00BF08B7"/>
    <w:rsid w:val="00BF14D7"/>
    <w:rsid w:val="00BF1680"/>
    <w:rsid w:val="00BF1E01"/>
    <w:rsid w:val="00BF22CF"/>
    <w:rsid w:val="00BF2649"/>
    <w:rsid w:val="00BF27DF"/>
    <w:rsid w:val="00BF2E97"/>
    <w:rsid w:val="00BF3ACD"/>
    <w:rsid w:val="00BF3AD8"/>
    <w:rsid w:val="00BF3EAE"/>
    <w:rsid w:val="00BF557D"/>
    <w:rsid w:val="00BF55FB"/>
    <w:rsid w:val="00BF658D"/>
    <w:rsid w:val="00BF6657"/>
    <w:rsid w:val="00BF7E52"/>
    <w:rsid w:val="00BF7F58"/>
    <w:rsid w:val="00C00FA9"/>
    <w:rsid w:val="00C01381"/>
    <w:rsid w:val="00C01AB1"/>
    <w:rsid w:val="00C022BE"/>
    <w:rsid w:val="00C026A0"/>
    <w:rsid w:val="00C02A71"/>
    <w:rsid w:val="00C02DEF"/>
    <w:rsid w:val="00C03D9C"/>
    <w:rsid w:val="00C03DED"/>
    <w:rsid w:val="00C04D8A"/>
    <w:rsid w:val="00C06137"/>
    <w:rsid w:val="00C06929"/>
    <w:rsid w:val="00C07352"/>
    <w:rsid w:val="00C079B8"/>
    <w:rsid w:val="00C10037"/>
    <w:rsid w:val="00C101E2"/>
    <w:rsid w:val="00C11265"/>
    <w:rsid w:val="00C115E1"/>
    <w:rsid w:val="00C12199"/>
    <w:rsid w:val="00C123EA"/>
    <w:rsid w:val="00C12A49"/>
    <w:rsid w:val="00C130F3"/>
    <w:rsid w:val="00C133EE"/>
    <w:rsid w:val="00C1410D"/>
    <w:rsid w:val="00C149D0"/>
    <w:rsid w:val="00C15968"/>
    <w:rsid w:val="00C15E35"/>
    <w:rsid w:val="00C166AB"/>
    <w:rsid w:val="00C16E50"/>
    <w:rsid w:val="00C16F12"/>
    <w:rsid w:val="00C215BF"/>
    <w:rsid w:val="00C2291C"/>
    <w:rsid w:val="00C2298C"/>
    <w:rsid w:val="00C23273"/>
    <w:rsid w:val="00C235A4"/>
    <w:rsid w:val="00C2545E"/>
    <w:rsid w:val="00C25A40"/>
    <w:rsid w:val="00C25B52"/>
    <w:rsid w:val="00C26166"/>
    <w:rsid w:val="00C26588"/>
    <w:rsid w:val="00C266BE"/>
    <w:rsid w:val="00C26C42"/>
    <w:rsid w:val="00C27513"/>
    <w:rsid w:val="00C27DE9"/>
    <w:rsid w:val="00C30FE6"/>
    <w:rsid w:val="00C31CE2"/>
    <w:rsid w:val="00C326DF"/>
    <w:rsid w:val="00C32989"/>
    <w:rsid w:val="00C32BB6"/>
    <w:rsid w:val="00C32CD9"/>
    <w:rsid w:val="00C32F32"/>
    <w:rsid w:val="00C33388"/>
    <w:rsid w:val="00C33AD3"/>
    <w:rsid w:val="00C34468"/>
    <w:rsid w:val="00C34988"/>
    <w:rsid w:val="00C34DC9"/>
    <w:rsid w:val="00C35484"/>
    <w:rsid w:val="00C3622B"/>
    <w:rsid w:val="00C3662D"/>
    <w:rsid w:val="00C3700C"/>
    <w:rsid w:val="00C37668"/>
    <w:rsid w:val="00C379E7"/>
    <w:rsid w:val="00C37C20"/>
    <w:rsid w:val="00C37D0C"/>
    <w:rsid w:val="00C40D98"/>
    <w:rsid w:val="00C4173A"/>
    <w:rsid w:val="00C42188"/>
    <w:rsid w:val="00C4245B"/>
    <w:rsid w:val="00C435FA"/>
    <w:rsid w:val="00C43EA3"/>
    <w:rsid w:val="00C44649"/>
    <w:rsid w:val="00C44920"/>
    <w:rsid w:val="00C4610A"/>
    <w:rsid w:val="00C473CA"/>
    <w:rsid w:val="00C47B15"/>
    <w:rsid w:val="00C50304"/>
    <w:rsid w:val="00C5057E"/>
    <w:rsid w:val="00C50DED"/>
    <w:rsid w:val="00C52217"/>
    <w:rsid w:val="00C53B58"/>
    <w:rsid w:val="00C54309"/>
    <w:rsid w:val="00C54653"/>
    <w:rsid w:val="00C549C1"/>
    <w:rsid w:val="00C55174"/>
    <w:rsid w:val="00C553C6"/>
    <w:rsid w:val="00C565DB"/>
    <w:rsid w:val="00C579CB"/>
    <w:rsid w:val="00C57F21"/>
    <w:rsid w:val="00C602FF"/>
    <w:rsid w:val="00C60411"/>
    <w:rsid w:val="00C605C3"/>
    <w:rsid w:val="00C61174"/>
    <w:rsid w:val="00C6148F"/>
    <w:rsid w:val="00C620D4"/>
    <w:rsid w:val="00C621B1"/>
    <w:rsid w:val="00C62203"/>
    <w:rsid w:val="00C62F7A"/>
    <w:rsid w:val="00C6321C"/>
    <w:rsid w:val="00C63B9C"/>
    <w:rsid w:val="00C64197"/>
    <w:rsid w:val="00C64205"/>
    <w:rsid w:val="00C649AF"/>
    <w:rsid w:val="00C64D2A"/>
    <w:rsid w:val="00C658D6"/>
    <w:rsid w:val="00C66439"/>
    <w:rsid w:val="00C665DE"/>
    <w:rsid w:val="00C6682F"/>
    <w:rsid w:val="00C668A8"/>
    <w:rsid w:val="00C67BF4"/>
    <w:rsid w:val="00C70B15"/>
    <w:rsid w:val="00C710AF"/>
    <w:rsid w:val="00C71ED4"/>
    <w:rsid w:val="00C7275E"/>
    <w:rsid w:val="00C731AF"/>
    <w:rsid w:val="00C74250"/>
    <w:rsid w:val="00C744D9"/>
    <w:rsid w:val="00C747F7"/>
    <w:rsid w:val="00C74C5D"/>
    <w:rsid w:val="00C768B1"/>
    <w:rsid w:val="00C77034"/>
    <w:rsid w:val="00C777E9"/>
    <w:rsid w:val="00C77D70"/>
    <w:rsid w:val="00C80712"/>
    <w:rsid w:val="00C810E9"/>
    <w:rsid w:val="00C8244F"/>
    <w:rsid w:val="00C82773"/>
    <w:rsid w:val="00C82EE6"/>
    <w:rsid w:val="00C85ED3"/>
    <w:rsid w:val="00C86251"/>
    <w:rsid w:val="00C863C4"/>
    <w:rsid w:val="00C86662"/>
    <w:rsid w:val="00C86C36"/>
    <w:rsid w:val="00C90DAB"/>
    <w:rsid w:val="00C910C8"/>
    <w:rsid w:val="00C920EA"/>
    <w:rsid w:val="00C926E0"/>
    <w:rsid w:val="00C92D6F"/>
    <w:rsid w:val="00C93654"/>
    <w:rsid w:val="00C93C30"/>
    <w:rsid w:val="00C93C3E"/>
    <w:rsid w:val="00C941D1"/>
    <w:rsid w:val="00C941E8"/>
    <w:rsid w:val="00C956BE"/>
    <w:rsid w:val="00C95B72"/>
    <w:rsid w:val="00C97B89"/>
    <w:rsid w:val="00CA0506"/>
    <w:rsid w:val="00CA12E3"/>
    <w:rsid w:val="00CA1476"/>
    <w:rsid w:val="00CA1CEE"/>
    <w:rsid w:val="00CA1D5C"/>
    <w:rsid w:val="00CA2CBE"/>
    <w:rsid w:val="00CA320D"/>
    <w:rsid w:val="00CA5207"/>
    <w:rsid w:val="00CA536F"/>
    <w:rsid w:val="00CA5C0D"/>
    <w:rsid w:val="00CA6611"/>
    <w:rsid w:val="00CA6644"/>
    <w:rsid w:val="00CA6AE6"/>
    <w:rsid w:val="00CA782F"/>
    <w:rsid w:val="00CB0B16"/>
    <w:rsid w:val="00CB187B"/>
    <w:rsid w:val="00CB2835"/>
    <w:rsid w:val="00CB2E00"/>
    <w:rsid w:val="00CB327C"/>
    <w:rsid w:val="00CB3285"/>
    <w:rsid w:val="00CB4500"/>
    <w:rsid w:val="00CB5BAF"/>
    <w:rsid w:val="00CB5FF2"/>
    <w:rsid w:val="00CB6031"/>
    <w:rsid w:val="00CB6306"/>
    <w:rsid w:val="00CB735B"/>
    <w:rsid w:val="00CC09E2"/>
    <w:rsid w:val="00CC0C72"/>
    <w:rsid w:val="00CC1A52"/>
    <w:rsid w:val="00CC1F85"/>
    <w:rsid w:val="00CC29A6"/>
    <w:rsid w:val="00CC2BFD"/>
    <w:rsid w:val="00CC2C94"/>
    <w:rsid w:val="00CC3BB0"/>
    <w:rsid w:val="00CC3D87"/>
    <w:rsid w:val="00CC44BF"/>
    <w:rsid w:val="00CC4566"/>
    <w:rsid w:val="00CC4914"/>
    <w:rsid w:val="00CC60C7"/>
    <w:rsid w:val="00CC6F40"/>
    <w:rsid w:val="00CC7887"/>
    <w:rsid w:val="00CD042D"/>
    <w:rsid w:val="00CD06A1"/>
    <w:rsid w:val="00CD0B02"/>
    <w:rsid w:val="00CD19F8"/>
    <w:rsid w:val="00CD1E96"/>
    <w:rsid w:val="00CD1F92"/>
    <w:rsid w:val="00CD27A1"/>
    <w:rsid w:val="00CD3476"/>
    <w:rsid w:val="00CD36C2"/>
    <w:rsid w:val="00CD3709"/>
    <w:rsid w:val="00CD381E"/>
    <w:rsid w:val="00CD45EF"/>
    <w:rsid w:val="00CD5744"/>
    <w:rsid w:val="00CD5B0F"/>
    <w:rsid w:val="00CD64DF"/>
    <w:rsid w:val="00CD66DA"/>
    <w:rsid w:val="00CD6A07"/>
    <w:rsid w:val="00CD6BC2"/>
    <w:rsid w:val="00CD6F12"/>
    <w:rsid w:val="00CD72E8"/>
    <w:rsid w:val="00CD761A"/>
    <w:rsid w:val="00CE0077"/>
    <w:rsid w:val="00CE0368"/>
    <w:rsid w:val="00CE0875"/>
    <w:rsid w:val="00CE096A"/>
    <w:rsid w:val="00CE0BFA"/>
    <w:rsid w:val="00CE225F"/>
    <w:rsid w:val="00CE320E"/>
    <w:rsid w:val="00CE451F"/>
    <w:rsid w:val="00CE4E09"/>
    <w:rsid w:val="00CE4F14"/>
    <w:rsid w:val="00CE5A7A"/>
    <w:rsid w:val="00CE5D94"/>
    <w:rsid w:val="00CE625C"/>
    <w:rsid w:val="00CE6BE7"/>
    <w:rsid w:val="00CE73FF"/>
    <w:rsid w:val="00CF0085"/>
    <w:rsid w:val="00CF052E"/>
    <w:rsid w:val="00CF06CD"/>
    <w:rsid w:val="00CF0D9B"/>
    <w:rsid w:val="00CF1217"/>
    <w:rsid w:val="00CF1E98"/>
    <w:rsid w:val="00CF26F3"/>
    <w:rsid w:val="00CF285F"/>
    <w:rsid w:val="00CF2F50"/>
    <w:rsid w:val="00CF3FD3"/>
    <w:rsid w:val="00CF41B3"/>
    <w:rsid w:val="00CF5772"/>
    <w:rsid w:val="00CF6198"/>
    <w:rsid w:val="00D01C2E"/>
    <w:rsid w:val="00D02162"/>
    <w:rsid w:val="00D02919"/>
    <w:rsid w:val="00D02B34"/>
    <w:rsid w:val="00D03895"/>
    <w:rsid w:val="00D03C8C"/>
    <w:rsid w:val="00D04C61"/>
    <w:rsid w:val="00D05A1D"/>
    <w:rsid w:val="00D05B8D"/>
    <w:rsid w:val="00D05B9B"/>
    <w:rsid w:val="00D05DCC"/>
    <w:rsid w:val="00D0641E"/>
    <w:rsid w:val="00D065A2"/>
    <w:rsid w:val="00D079AA"/>
    <w:rsid w:val="00D07F00"/>
    <w:rsid w:val="00D1130F"/>
    <w:rsid w:val="00D1260B"/>
    <w:rsid w:val="00D15254"/>
    <w:rsid w:val="00D15791"/>
    <w:rsid w:val="00D157C5"/>
    <w:rsid w:val="00D164E6"/>
    <w:rsid w:val="00D17B72"/>
    <w:rsid w:val="00D20D1D"/>
    <w:rsid w:val="00D21294"/>
    <w:rsid w:val="00D21759"/>
    <w:rsid w:val="00D21D7F"/>
    <w:rsid w:val="00D225A8"/>
    <w:rsid w:val="00D22F8F"/>
    <w:rsid w:val="00D23D3D"/>
    <w:rsid w:val="00D24A1A"/>
    <w:rsid w:val="00D24AAA"/>
    <w:rsid w:val="00D2503B"/>
    <w:rsid w:val="00D250D2"/>
    <w:rsid w:val="00D26E1D"/>
    <w:rsid w:val="00D27273"/>
    <w:rsid w:val="00D27303"/>
    <w:rsid w:val="00D27B4F"/>
    <w:rsid w:val="00D314A3"/>
    <w:rsid w:val="00D3185C"/>
    <w:rsid w:val="00D3205F"/>
    <w:rsid w:val="00D322EB"/>
    <w:rsid w:val="00D32747"/>
    <w:rsid w:val="00D3318E"/>
    <w:rsid w:val="00D333F1"/>
    <w:rsid w:val="00D338D7"/>
    <w:rsid w:val="00D33E72"/>
    <w:rsid w:val="00D34198"/>
    <w:rsid w:val="00D34447"/>
    <w:rsid w:val="00D3463E"/>
    <w:rsid w:val="00D349B7"/>
    <w:rsid w:val="00D34BEC"/>
    <w:rsid w:val="00D34FB3"/>
    <w:rsid w:val="00D35732"/>
    <w:rsid w:val="00D35BD6"/>
    <w:rsid w:val="00D361B5"/>
    <w:rsid w:val="00D3649B"/>
    <w:rsid w:val="00D36521"/>
    <w:rsid w:val="00D36574"/>
    <w:rsid w:val="00D36AF6"/>
    <w:rsid w:val="00D36BE4"/>
    <w:rsid w:val="00D36D9B"/>
    <w:rsid w:val="00D3788B"/>
    <w:rsid w:val="00D411A2"/>
    <w:rsid w:val="00D41464"/>
    <w:rsid w:val="00D42286"/>
    <w:rsid w:val="00D44574"/>
    <w:rsid w:val="00D44763"/>
    <w:rsid w:val="00D44D50"/>
    <w:rsid w:val="00D457F6"/>
    <w:rsid w:val="00D4598D"/>
    <w:rsid w:val="00D45FC2"/>
    <w:rsid w:val="00D4606D"/>
    <w:rsid w:val="00D47080"/>
    <w:rsid w:val="00D47ABB"/>
    <w:rsid w:val="00D5090D"/>
    <w:rsid w:val="00D50B9C"/>
    <w:rsid w:val="00D513AF"/>
    <w:rsid w:val="00D51697"/>
    <w:rsid w:val="00D51D78"/>
    <w:rsid w:val="00D52952"/>
    <w:rsid w:val="00D52D73"/>
    <w:rsid w:val="00D52E58"/>
    <w:rsid w:val="00D5329E"/>
    <w:rsid w:val="00D5383F"/>
    <w:rsid w:val="00D54C43"/>
    <w:rsid w:val="00D55EEC"/>
    <w:rsid w:val="00D561DE"/>
    <w:rsid w:val="00D56B20"/>
    <w:rsid w:val="00D56BC0"/>
    <w:rsid w:val="00D578B3"/>
    <w:rsid w:val="00D57FF4"/>
    <w:rsid w:val="00D6040D"/>
    <w:rsid w:val="00D6081A"/>
    <w:rsid w:val="00D60AF1"/>
    <w:rsid w:val="00D61106"/>
    <w:rsid w:val="00D618F4"/>
    <w:rsid w:val="00D61A19"/>
    <w:rsid w:val="00D632A4"/>
    <w:rsid w:val="00D63593"/>
    <w:rsid w:val="00D63636"/>
    <w:rsid w:val="00D63BB5"/>
    <w:rsid w:val="00D63F0E"/>
    <w:rsid w:val="00D63FDB"/>
    <w:rsid w:val="00D64ABA"/>
    <w:rsid w:val="00D64BE1"/>
    <w:rsid w:val="00D64F12"/>
    <w:rsid w:val="00D6573F"/>
    <w:rsid w:val="00D664A5"/>
    <w:rsid w:val="00D667E8"/>
    <w:rsid w:val="00D70A61"/>
    <w:rsid w:val="00D714CC"/>
    <w:rsid w:val="00D720CE"/>
    <w:rsid w:val="00D722D0"/>
    <w:rsid w:val="00D74502"/>
    <w:rsid w:val="00D75EA7"/>
    <w:rsid w:val="00D76848"/>
    <w:rsid w:val="00D76B8F"/>
    <w:rsid w:val="00D76ECC"/>
    <w:rsid w:val="00D76F11"/>
    <w:rsid w:val="00D7794B"/>
    <w:rsid w:val="00D77E64"/>
    <w:rsid w:val="00D80072"/>
    <w:rsid w:val="00D80F42"/>
    <w:rsid w:val="00D811D9"/>
    <w:rsid w:val="00D81411"/>
    <w:rsid w:val="00D817EE"/>
    <w:rsid w:val="00D81A46"/>
    <w:rsid w:val="00D81ADF"/>
    <w:rsid w:val="00D81F21"/>
    <w:rsid w:val="00D825CB"/>
    <w:rsid w:val="00D827C0"/>
    <w:rsid w:val="00D82811"/>
    <w:rsid w:val="00D82FAC"/>
    <w:rsid w:val="00D83920"/>
    <w:rsid w:val="00D83A43"/>
    <w:rsid w:val="00D844A0"/>
    <w:rsid w:val="00D848E2"/>
    <w:rsid w:val="00D864F2"/>
    <w:rsid w:val="00D87A20"/>
    <w:rsid w:val="00D90750"/>
    <w:rsid w:val="00D90761"/>
    <w:rsid w:val="00D90928"/>
    <w:rsid w:val="00D93B73"/>
    <w:rsid w:val="00D9436E"/>
    <w:rsid w:val="00D943F8"/>
    <w:rsid w:val="00D94951"/>
    <w:rsid w:val="00D95423"/>
    <w:rsid w:val="00D95470"/>
    <w:rsid w:val="00D95691"/>
    <w:rsid w:val="00D957BD"/>
    <w:rsid w:val="00D96B55"/>
    <w:rsid w:val="00D97157"/>
    <w:rsid w:val="00DA0E22"/>
    <w:rsid w:val="00DA2619"/>
    <w:rsid w:val="00DA3BA4"/>
    <w:rsid w:val="00DA4239"/>
    <w:rsid w:val="00DA4844"/>
    <w:rsid w:val="00DA49CF"/>
    <w:rsid w:val="00DA588C"/>
    <w:rsid w:val="00DA5B96"/>
    <w:rsid w:val="00DA6178"/>
    <w:rsid w:val="00DA65DE"/>
    <w:rsid w:val="00DA7123"/>
    <w:rsid w:val="00DB0B61"/>
    <w:rsid w:val="00DB10FB"/>
    <w:rsid w:val="00DB136C"/>
    <w:rsid w:val="00DB1474"/>
    <w:rsid w:val="00DB1CA8"/>
    <w:rsid w:val="00DB240F"/>
    <w:rsid w:val="00DB2962"/>
    <w:rsid w:val="00DB2D26"/>
    <w:rsid w:val="00DB332E"/>
    <w:rsid w:val="00DB3AB9"/>
    <w:rsid w:val="00DB4377"/>
    <w:rsid w:val="00DB52A9"/>
    <w:rsid w:val="00DB52FB"/>
    <w:rsid w:val="00DB5CB6"/>
    <w:rsid w:val="00DB6581"/>
    <w:rsid w:val="00DB734C"/>
    <w:rsid w:val="00DB7712"/>
    <w:rsid w:val="00DB7B1F"/>
    <w:rsid w:val="00DC00AB"/>
    <w:rsid w:val="00DC013B"/>
    <w:rsid w:val="00DC090B"/>
    <w:rsid w:val="00DC0F99"/>
    <w:rsid w:val="00DC1510"/>
    <w:rsid w:val="00DC1679"/>
    <w:rsid w:val="00DC16CB"/>
    <w:rsid w:val="00DC1BB1"/>
    <w:rsid w:val="00DC219B"/>
    <w:rsid w:val="00DC277F"/>
    <w:rsid w:val="00DC2CF1"/>
    <w:rsid w:val="00DC2DC7"/>
    <w:rsid w:val="00DC2EA0"/>
    <w:rsid w:val="00DC316C"/>
    <w:rsid w:val="00DC342F"/>
    <w:rsid w:val="00DC3A7C"/>
    <w:rsid w:val="00DC3B8B"/>
    <w:rsid w:val="00DC4C1F"/>
    <w:rsid w:val="00DC4FCF"/>
    <w:rsid w:val="00DC50A2"/>
    <w:rsid w:val="00DC50E0"/>
    <w:rsid w:val="00DC5DB6"/>
    <w:rsid w:val="00DC5ECE"/>
    <w:rsid w:val="00DC613C"/>
    <w:rsid w:val="00DC633E"/>
    <w:rsid w:val="00DC6386"/>
    <w:rsid w:val="00DC7856"/>
    <w:rsid w:val="00DD01A0"/>
    <w:rsid w:val="00DD1130"/>
    <w:rsid w:val="00DD119C"/>
    <w:rsid w:val="00DD129C"/>
    <w:rsid w:val="00DD1951"/>
    <w:rsid w:val="00DD1B11"/>
    <w:rsid w:val="00DD2826"/>
    <w:rsid w:val="00DD3571"/>
    <w:rsid w:val="00DD3A76"/>
    <w:rsid w:val="00DD4226"/>
    <w:rsid w:val="00DD43B2"/>
    <w:rsid w:val="00DD487D"/>
    <w:rsid w:val="00DD4E83"/>
    <w:rsid w:val="00DD6628"/>
    <w:rsid w:val="00DD6945"/>
    <w:rsid w:val="00DD8483"/>
    <w:rsid w:val="00DE0B56"/>
    <w:rsid w:val="00DE0CD2"/>
    <w:rsid w:val="00DE1022"/>
    <w:rsid w:val="00DE12A2"/>
    <w:rsid w:val="00DE141A"/>
    <w:rsid w:val="00DE24DD"/>
    <w:rsid w:val="00DE2A2E"/>
    <w:rsid w:val="00DE2C09"/>
    <w:rsid w:val="00DE2D04"/>
    <w:rsid w:val="00DE3250"/>
    <w:rsid w:val="00DE57A3"/>
    <w:rsid w:val="00DE6028"/>
    <w:rsid w:val="00DE65A6"/>
    <w:rsid w:val="00DE6B9E"/>
    <w:rsid w:val="00DE6C7B"/>
    <w:rsid w:val="00DE6C85"/>
    <w:rsid w:val="00DE701B"/>
    <w:rsid w:val="00DE78A3"/>
    <w:rsid w:val="00DE7BFC"/>
    <w:rsid w:val="00DF0174"/>
    <w:rsid w:val="00DF0A6E"/>
    <w:rsid w:val="00DF18FE"/>
    <w:rsid w:val="00DF1A71"/>
    <w:rsid w:val="00DF21B8"/>
    <w:rsid w:val="00DF25F2"/>
    <w:rsid w:val="00DF290A"/>
    <w:rsid w:val="00DF2A15"/>
    <w:rsid w:val="00DF2CBA"/>
    <w:rsid w:val="00DF348E"/>
    <w:rsid w:val="00DF3DC0"/>
    <w:rsid w:val="00DF442E"/>
    <w:rsid w:val="00DF4CFE"/>
    <w:rsid w:val="00DF4EB3"/>
    <w:rsid w:val="00DF50FC"/>
    <w:rsid w:val="00DF5116"/>
    <w:rsid w:val="00DF52B9"/>
    <w:rsid w:val="00DF58A7"/>
    <w:rsid w:val="00DF67CC"/>
    <w:rsid w:val="00DF68C7"/>
    <w:rsid w:val="00DF731A"/>
    <w:rsid w:val="00E01A01"/>
    <w:rsid w:val="00E01E6F"/>
    <w:rsid w:val="00E0246E"/>
    <w:rsid w:val="00E029FD"/>
    <w:rsid w:val="00E02C44"/>
    <w:rsid w:val="00E0342D"/>
    <w:rsid w:val="00E03491"/>
    <w:rsid w:val="00E03971"/>
    <w:rsid w:val="00E03AE3"/>
    <w:rsid w:val="00E03F09"/>
    <w:rsid w:val="00E04468"/>
    <w:rsid w:val="00E04E41"/>
    <w:rsid w:val="00E0546A"/>
    <w:rsid w:val="00E05C3E"/>
    <w:rsid w:val="00E0686F"/>
    <w:rsid w:val="00E06B75"/>
    <w:rsid w:val="00E11094"/>
    <w:rsid w:val="00E11332"/>
    <w:rsid w:val="00E11352"/>
    <w:rsid w:val="00E11445"/>
    <w:rsid w:val="00E119DE"/>
    <w:rsid w:val="00E11BF1"/>
    <w:rsid w:val="00E12094"/>
    <w:rsid w:val="00E13EE5"/>
    <w:rsid w:val="00E14D8F"/>
    <w:rsid w:val="00E14FD7"/>
    <w:rsid w:val="00E1542D"/>
    <w:rsid w:val="00E159CA"/>
    <w:rsid w:val="00E15FE4"/>
    <w:rsid w:val="00E170BE"/>
    <w:rsid w:val="00E170DC"/>
    <w:rsid w:val="00E17546"/>
    <w:rsid w:val="00E17713"/>
    <w:rsid w:val="00E2045B"/>
    <w:rsid w:val="00E20719"/>
    <w:rsid w:val="00E210B5"/>
    <w:rsid w:val="00E237AB"/>
    <w:rsid w:val="00E24354"/>
    <w:rsid w:val="00E25172"/>
    <w:rsid w:val="00E25368"/>
    <w:rsid w:val="00E25A56"/>
    <w:rsid w:val="00E261B3"/>
    <w:rsid w:val="00E26818"/>
    <w:rsid w:val="00E26843"/>
    <w:rsid w:val="00E27FFC"/>
    <w:rsid w:val="00E30B15"/>
    <w:rsid w:val="00E33237"/>
    <w:rsid w:val="00E33413"/>
    <w:rsid w:val="00E34E4D"/>
    <w:rsid w:val="00E3590A"/>
    <w:rsid w:val="00E3765C"/>
    <w:rsid w:val="00E37D20"/>
    <w:rsid w:val="00E37F86"/>
    <w:rsid w:val="00E3C284"/>
    <w:rsid w:val="00E40181"/>
    <w:rsid w:val="00E401CA"/>
    <w:rsid w:val="00E4046E"/>
    <w:rsid w:val="00E4091E"/>
    <w:rsid w:val="00E41332"/>
    <w:rsid w:val="00E424C6"/>
    <w:rsid w:val="00E431E0"/>
    <w:rsid w:val="00E44AF7"/>
    <w:rsid w:val="00E47CF8"/>
    <w:rsid w:val="00E47FD9"/>
    <w:rsid w:val="00E50884"/>
    <w:rsid w:val="00E51192"/>
    <w:rsid w:val="00E51658"/>
    <w:rsid w:val="00E52713"/>
    <w:rsid w:val="00E52B10"/>
    <w:rsid w:val="00E52F04"/>
    <w:rsid w:val="00E531CA"/>
    <w:rsid w:val="00E5384B"/>
    <w:rsid w:val="00E54666"/>
    <w:rsid w:val="00E5469F"/>
    <w:rsid w:val="00E54950"/>
    <w:rsid w:val="00E54F64"/>
    <w:rsid w:val="00E55FB3"/>
    <w:rsid w:val="00E56A01"/>
    <w:rsid w:val="00E56B9D"/>
    <w:rsid w:val="00E603F4"/>
    <w:rsid w:val="00E61E8D"/>
    <w:rsid w:val="00E624DF"/>
    <w:rsid w:val="00E629A1"/>
    <w:rsid w:val="00E62F66"/>
    <w:rsid w:val="00E6313C"/>
    <w:rsid w:val="00E63FC6"/>
    <w:rsid w:val="00E6542F"/>
    <w:rsid w:val="00E659F2"/>
    <w:rsid w:val="00E66159"/>
    <w:rsid w:val="00E668D1"/>
    <w:rsid w:val="00E66CA2"/>
    <w:rsid w:val="00E674C7"/>
    <w:rsid w:val="00E6794C"/>
    <w:rsid w:val="00E67AC8"/>
    <w:rsid w:val="00E71591"/>
    <w:rsid w:val="00E71CEB"/>
    <w:rsid w:val="00E7391E"/>
    <w:rsid w:val="00E73AC6"/>
    <w:rsid w:val="00E7474F"/>
    <w:rsid w:val="00E74C73"/>
    <w:rsid w:val="00E75296"/>
    <w:rsid w:val="00E758E6"/>
    <w:rsid w:val="00E75BFF"/>
    <w:rsid w:val="00E7657B"/>
    <w:rsid w:val="00E806AF"/>
    <w:rsid w:val="00E80DE3"/>
    <w:rsid w:val="00E825BC"/>
    <w:rsid w:val="00E82651"/>
    <w:rsid w:val="00E82C55"/>
    <w:rsid w:val="00E8419E"/>
    <w:rsid w:val="00E8453A"/>
    <w:rsid w:val="00E851B5"/>
    <w:rsid w:val="00E858C9"/>
    <w:rsid w:val="00E859F3"/>
    <w:rsid w:val="00E86691"/>
    <w:rsid w:val="00E86866"/>
    <w:rsid w:val="00E86DF2"/>
    <w:rsid w:val="00E86E09"/>
    <w:rsid w:val="00E86EB0"/>
    <w:rsid w:val="00E8755E"/>
    <w:rsid w:val="00E8787E"/>
    <w:rsid w:val="00E8789F"/>
    <w:rsid w:val="00E9034E"/>
    <w:rsid w:val="00E9042A"/>
    <w:rsid w:val="00E921DF"/>
    <w:rsid w:val="00E92370"/>
    <w:rsid w:val="00E927B6"/>
    <w:rsid w:val="00E92AC3"/>
    <w:rsid w:val="00E9384B"/>
    <w:rsid w:val="00E939F0"/>
    <w:rsid w:val="00E93DB4"/>
    <w:rsid w:val="00E94B07"/>
    <w:rsid w:val="00E94C13"/>
    <w:rsid w:val="00E95146"/>
    <w:rsid w:val="00E952F4"/>
    <w:rsid w:val="00E96060"/>
    <w:rsid w:val="00E961B6"/>
    <w:rsid w:val="00E961F3"/>
    <w:rsid w:val="00E96FF4"/>
    <w:rsid w:val="00E9746B"/>
    <w:rsid w:val="00E97BDC"/>
    <w:rsid w:val="00EA0033"/>
    <w:rsid w:val="00EA1407"/>
    <w:rsid w:val="00EA195E"/>
    <w:rsid w:val="00EA2F6A"/>
    <w:rsid w:val="00EA3647"/>
    <w:rsid w:val="00EA38E9"/>
    <w:rsid w:val="00EA391E"/>
    <w:rsid w:val="00EA4659"/>
    <w:rsid w:val="00EA7085"/>
    <w:rsid w:val="00EB00E0"/>
    <w:rsid w:val="00EB05D5"/>
    <w:rsid w:val="00EB0AF0"/>
    <w:rsid w:val="00EB28CD"/>
    <w:rsid w:val="00EB3B55"/>
    <w:rsid w:val="00EB45BC"/>
    <w:rsid w:val="00EB4BC7"/>
    <w:rsid w:val="00EB4E90"/>
    <w:rsid w:val="00EB56B9"/>
    <w:rsid w:val="00EB5D16"/>
    <w:rsid w:val="00EB5E6E"/>
    <w:rsid w:val="00EB60FE"/>
    <w:rsid w:val="00EB667D"/>
    <w:rsid w:val="00EB6BB7"/>
    <w:rsid w:val="00EB6ECE"/>
    <w:rsid w:val="00EB7453"/>
    <w:rsid w:val="00EB77B1"/>
    <w:rsid w:val="00EB7D41"/>
    <w:rsid w:val="00EB7DC0"/>
    <w:rsid w:val="00EC059F"/>
    <w:rsid w:val="00EC06FC"/>
    <w:rsid w:val="00EC0FDA"/>
    <w:rsid w:val="00EC1409"/>
    <w:rsid w:val="00EC1611"/>
    <w:rsid w:val="00EC1A85"/>
    <w:rsid w:val="00EC1E84"/>
    <w:rsid w:val="00EC1F24"/>
    <w:rsid w:val="00EC22F6"/>
    <w:rsid w:val="00EC34E7"/>
    <w:rsid w:val="00EC3DB9"/>
    <w:rsid w:val="00EC4CB4"/>
    <w:rsid w:val="00EC4DB1"/>
    <w:rsid w:val="00EC4DC3"/>
    <w:rsid w:val="00EC591C"/>
    <w:rsid w:val="00EC6067"/>
    <w:rsid w:val="00EC6735"/>
    <w:rsid w:val="00EC6CFB"/>
    <w:rsid w:val="00EC7B49"/>
    <w:rsid w:val="00EC7BE1"/>
    <w:rsid w:val="00ED0447"/>
    <w:rsid w:val="00ED15DC"/>
    <w:rsid w:val="00ED2055"/>
    <w:rsid w:val="00ED2BFB"/>
    <w:rsid w:val="00ED3075"/>
    <w:rsid w:val="00ED371D"/>
    <w:rsid w:val="00ED4EEB"/>
    <w:rsid w:val="00ED5B9B"/>
    <w:rsid w:val="00ED6285"/>
    <w:rsid w:val="00ED6590"/>
    <w:rsid w:val="00ED6BAD"/>
    <w:rsid w:val="00ED7447"/>
    <w:rsid w:val="00ED7762"/>
    <w:rsid w:val="00EE00D6"/>
    <w:rsid w:val="00EE06CA"/>
    <w:rsid w:val="00EE08E2"/>
    <w:rsid w:val="00EE11E7"/>
    <w:rsid w:val="00EE1488"/>
    <w:rsid w:val="00EE1DD8"/>
    <w:rsid w:val="00EE20FD"/>
    <w:rsid w:val="00EE25B5"/>
    <w:rsid w:val="00EE29AD"/>
    <w:rsid w:val="00EE38EC"/>
    <w:rsid w:val="00EE3C91"/>
    <w:rsid w:val="00EE3E24"/>
    <w:rsid w:val="00EE4B72"/>
    <w:rsid w:val="00EE4B84"/>
    <w:rsid w:val="00EE4D5D"/>
    <w:rsid w:val="00EE5085"/>
    <w:rsid w:val="00EE5131"/>
    <w:rsid w:val="00EE579E"/>
    <w:rsid w:val="00EE6247"/>
    <w:rsid w:val="00EE6B23"/>
    <w:rsid w:val="00EF0431"/>
    <w:rsid w:val="00EF109B"/>
    <w:rsid w:val="00EF201C"/>
    <w:rsid w:val="00EF24DF"/>
    <w:rsid w:val="00EF2C72"/>
    <w:rsid w:val="00EF36AF"/>
    <w:rsid w:val="00EF3E05"/>
    <w:rsid w:val="00EF40B3"/>
    <w:rsid w:val="00EF4DBC"/>
    <w:rsid w:val="00EF57F9"/>
    <w:rsid w:val="00EF59A3"/>
    <w:rsid w:val="00EF5AD8"/>
    <w:rsid w:val="00EF6675"/>
    <w:rsid w:val="00EF6D8B"/>
    <w:rsid w:val="00EF709C"/>
    <w:rsid w:val="00EF7884"/>
    <w:rsid w:val="00F0063D"/>
    <w:rsid w:val="00F00BE5"/>
    <w:rsid w:val="00F00D0A"/>
    <w:rsid w:val="00F00F9C"/>
    <w:rsid w:val="00F0131B"/>
    <w:rsid w:val="00F01514"/>
    <w:rsid w:val="00F01D3F"/>
    <w:rsid w:val="00F01E5F"/>
    <w:rsid w:val="00F01F6C"/>
    <w:rsid w:val="00F022AF"/>
    <w:rsid w:val="00F0233C"/>
    <w:rsid w:val="00F024F3"/>
    <w:rsid w:val="00F02ABA"/>
    <w:rsid w:val="00F02B3C"/>
    <w:rsid w:val="00F02FC7"/>
    <w:rsid w:val="00F03D9D"/>
    <w:rsid w:val="00F0437A"/>
    <w:rsid w:val="00F04412"/>
    <w:rsid w:val="00F0449C"/>
    <w:rsid w:val="00F04589"/>
    <w:rsid w:val="00F04BE1"/>
    <w:rsid w:val="00F059B9"/>
    <w:rsid w:val="00F05AD9"/>
    <w:rsid w:val="00F05BE6"/>
    <w:rsid w:val="00F06086"/>
    <w:rsid w:val="00F06752"/>
    <w:rsid w:val="00F06769"/>
    <w:rsid w:val="00F067F5"/>
    <w:rsid w:val="00F06855"/>
    <w:rsid w:val="00F07055"/>
    <w:rsid w:val="00F101B8"/>
    <w:rsid w:val="00F10762"/>
    <w:rsid w:val="00F11037"/>
    <w:rsid w:val="00F12719"/>
    <w:rsid w:val="00F14606"/>
    <w:rsid w:val="00F14B76"/>
    <w:rsid w:val="00F155A8"/>
    <w:rsid w:val="00F15B2F"/>
    <w:rsid w:val="00F15E55"/>
    <w:rsid w:val="00F16F19"/>
    <w:rsid w:val="00F16F1B"/>
    <w:rsid w:val="00F2048B"/>
    <w:rsid w:val="00F205F3"/>
    <w:rsid w:val="00F21423"/>
    <w:rsid w:val="00F2190C"/>
    <w:rsid w:val="00F2313C"/>
    <w:rsid w:val="00F23DD7"/>
    <w:rsid w:val="00F23EA4"/>
    <w:rsid w:val="00F24485"/>
    <w:rsid w:val="00F245C9"/>
    <w:rsid w:val="00F250A9"/>
    <w:rsid w:val="00F2673A"/>
    <w:rsid w:val="00F267AF"/>
    <w:rsid w:val="00F267FC"/>
    <w:rsid w:val="00F26909"/>
    <w:rsid w:val="00F272A1"/>
    <w:rsid w:val="00F30FF4"/>
    <w:rsid w:val="00F3122E"/>
    <w:rsid w:val="00F31366"/>
    <w:rsid w:val="00F31550"/>
    <w:rsid w:val="00F32368"/>
    <w:rsid w:val="00F331AD"/>
    <w:rsid w:val="00F3329D"/>
    <w:rsid w:val="00F333FD"/>
    <w:rsid w:val="00F33E1D"/>
    <w:rsid w:val="00F34339"/>
    <w:rsid w:val="00F34F86"/>
    <w:rsid w:val="00F35287"/>
    <w:rsid w:val="00F36663"/>
    <w:rsid w:val="00F40A70"/>
    <w:rsid w:val="00F40FF8"/>
    <w:rsid w:val="00F410CA"/>
    <w:rsid w:val="00F41856"/>
    <w:rsid w:val="00F41AC6"/>
    <w:rsid w:val="00F42F76"/>
    <w:rsid w:val="00F43103"/>
    <w:rsid w:val="00F43113"/>
    <w:rsid w:val="00F43A37"/>
    <w:rsid w:val="00F44187"/>
    <w:rsid w:val="00F453CF"/>
    <w:rsid w:val="00F45668"/>
    <w:rsid w:val="00F4641B"/>
    <w:rsid w:val="00F46EB8"/>
    <w:rsid w:val="00F47476"/>
    <w:rsid w:val="00F475F6"/>
    <w:rsid w:val="00F47B96"/>
    <w:rsid w:val="00F5072B"/>
    <w:rsid w:val="00F50CD1"/>
    <w:rsid w:val="00F511E4"/>
    <w:rsid w:val="00F529E8"/>
    <w:rsid w:val="00F52D09"/>
    <w:rsid w:val="00F52E08"/>
    <w:rsid w:val="00F531B3"/>
    <w:rsid w:val="00F53A66"/>
    <w:rsid w:val="00F5462D"/>
    <w:rsid w:val="00F54B1F"/>
    <w:rsid w:val="00F54B5A"/>
    <w:rsid w:val="00F55B21"/>
    <w:rsid w:val="00F55ED4"/>
    <w:rsid w:val="00F5620C"/>
    <w:rsid w:val="00F56540"/>
    <w:rsid w:val="00F56EF6"/>
    <w:rsid w:val="00F570D4"/>
    <w:rsid w:val="00F60082"/>
    <w:rsid w:val="00F61540"/>
    <w:rsid w:val="00F61A9F"/>
    <w:rsid w:val="00F61B5F"/>
    <w:rsid w:val="00F623FB"/>
    <w:rsid w:val="00F6252A"/>
    <w:rsid w:val="00F62535"/>
    <w:rsid w:val="00F6271C"/>
    <w:rsid w:val="00F62A07"/>
    <w:rsid w:val="00F64696"/>
    <w:rsid w:val="00F653F1"/>
    <w:rsid w:val="00F65AA9"/>
    <w:rsid w:val="00F6727E"/>
    <w:rsid w:val="00F6768F"/>
    <w:rsid w:val="00F700B3"/>
    <w:rsid w:val="00F70191"/>
    <w:rsid w:val="00F72C2C"/>
    <w:rsid w:val="00F73285"/>
    <w:rsid w:val="00F73386"/>
    <w:rsid w:val="00F74055"/>
    <w:rsid w:val="00F741F2"/>
    <w:rsid w:val="00F75C55"/>
    <w:rsid w:val="00F762A4"/>
    <w:rsid w:val="00F76CAB"/>
    <w:rsid w:val="00F772C6"/>
    <w:rsid w:val="00F77776"/>
    <w:rsid w:val="00F77C60"/>
    <w:rsid w:val="00F814C0"/>
    <w:rsid w:val="00F815B5"/>
    <w:rsid w:val="00F8186B"/>
    <w:rsid w:val="00F81BB6"/>
    <w:rsid w:val="00F81C05"/>
    <w:rsid w:val="00F81C5A"/>
    <w:rsid w:val="00F840F7"/>
    <w:rsid w:val="00F85070"/>
    <w:rsid w:val="00F85195"/>
    <w:rsid w:val="00F85283"/>
    <w:rsid w:val="00F855F7"/>
    <w:rsid w:val="00F85E34"/>
    <w:rsid w:val="00F868E3"/>
    <w:rsid w:val="00F87CA4"/>
    <w:rsid w:val="00F8E539"/>
    <w:rsid w:val="00F91CA7"/>
    <w:rsid w:val="00F920A0"/>
    <w:rsid w:val="00F92F6D"/>
    <w:rsid w:val="00F933E4"/>
    <w:rsid w:val="00F938BA"/>
    <w:rsid w:val="00F93B95"/>
    <w:rsid w:val="00F96ADC"/>
    <w:rsid w:val="00F96CEE"/>
    <w:rsid w:val="00F96FB2"/>
    <w:rsid w:val="00F97919"/>
    <w:rsid w:val="00FA020F"/>
    <w:rsid w:val="00FA1DD5"/>
    <w:rsid w:val="00FA2B80"/>
    <w:rsid w:val="00FA2C46"/>
    <w:rsid w:val="00FA2C7F"/>
    <w:rsid w:val="00FA3525"/>
    <w:rsid w:val="00FA4181"/>
    <w:rsid w:val="00FA452C"/>
    <w:rsid w:val="00FA58B0"/>
    <w:rsid w:val="00FA5A53"/>
    <w:rsid w:val="00FA5E77"/>
    <w:rsid w:val="00FA7253"/>
    <w:rsid w:val="00FA7255"/>
    <w:rsid w:val="00FB03FE"/>
    <w:rsid w:val="00FB0786"/>
    <w:rsid w:val="00FB09B6"/>
    <w:rsid w:val="00FB1A9E"/>
    <w:rsid w:val="00FB1EE8"/>
    <w:rsid w:val="00FB1F6E"/>
    <w:rsid w:val="00FB2B9C"/>
    <w:rsid w:val="00FB2F9F"/>
    <w:rsid w:val="00FB4769"/>
    <w:rsid w:val="00FB48F5"/>
    <w:rsid w:val="00FB4CDA"/>
    <w:rsid w:val="00FB4F4B"/>
    <w:rsid w:val="00FB5DA1"/>
    <w:rsid w:val="00FB6183"/>
    <w:rsid w:val="00FB63B2"/>
    <w:rsid w:val="00FB6481"/>
    <w:rsid w:val="00FB6D36"/>
    <w:rsid w:val="00FC0965"/>
    <w:rsid w:val="00FC0F81"/>
    <w:rsid w:val="00FC252F"/>
    <w:rsid w:val="00FC2756"/>
    <w:rsid w:val="00FC2E3A"/>
    <w:rsid w:val="00FC395C"/>
    <w:rsid w:val="00FC3B8E"/>
    <w:rsid w:val="00FC3DA3"/>
    <w:rsid w:val="00FC4125"/>
    <w:rsid w:val="00FC4403"/>
    <w:rsid w:val="00FC5248"/>
    <w:rsid w:val="00FC5614"/>
    <w:rsid w:val="00FC59B4"/>
    <w:rsid w:val="00FC5E8E"/>
    <w:rsid w:val="00FC5EE9"/>
    <w:rsid w:val="00FC63AE"/>
    <w:rsid w:val="00FC68F3"/>
    <w:rsid w:val="00FC7A77"/>
    <w:rsid w:val="00FC7C03"/>
    <w:rsid w:val="00FD160B"/>
    <w:rsid w:val="00FD1CD3"/>
    <w:rsid w:val="00FD2D6B"/>
    <w:rsid w:val="00FD3122"/>
    <w:rsid w:val="00FD3766"/>
    <w:rsid w:val="00FD3D05"/>
    <w:rsid w:val="00FD47C4"/>
    <w:rsid w:val="00FD4D9C"/>
    <w:rsid w:val="00FD4EEC"/>
    <w:rsid w:val="00FD517A"/>
    <w:rsid w:val="00FD54EC"/>
    <w:rsid w:val="00FD5EA1"/>
    <w:rsid w:val="00FD6029"/>
    <w:rsid w:val="00FD6F98"/>
    <w:rsid w:val="00FD704A"/>
    <w:rsid w:val="00FD787C"/>
    <w:rsid w:val="00FE0790"/>
    <w:rsid w:val="00FE0E10"/>
    <w:rsid w:val="00FE17AF"/>
    <w:rsid w:val="00FE2346"/>
    <w:rsid w:val="00FE2DCF"/>
    <w:rsid w:val="00FE35A0"/>
    <w:rsid w:val="00FE3FA7"/>
    <w:rsid w:val="00FE4081"/>
    <w:rsid w:val="00FE4151"/>
    <w:rsid w:val="00FE4698"/>
    <w:rsid w:val="00FE4FAF"/>
    <w:rsid w:val="00FE62AE"/>
    <w:rsid w:val="00FE7B39"/>
    <w:rsid w:val="00FF2A4E"/>
    <w:rsid w:val="00FF2FCE"/>
    <w:rsid w:val="00FF330A"/>
    <w:rsid w:val="00FF3653"/>
    <w:rsid w:val="00FF4015"/>
    <w:rsid w:val="00FF4264"/>
    <w:rsid w:val="00FF4F7D"/>
    <w:rsid w:val="00FF559D"/>
    <w:rsid w:val="00FF5774"/>
    <w:rsid w:val="00FF6608"/>
    <w:rsid w:val="00FF6D9D"/>
    <w:rsid w:val="00FF7588"/>
    <w:rsid w:val="00FF7620"/>
    <w:rsid w:val="00FF7DD5"/>
    <w:rsid w:val="0130D0FD"/>
    <w:rsid w:val="017BCBB5"/>
    <w:rsid w:val="018D0AF3"/>
    <w:rsid w:val="01B4420E"/>
    <w:rsid w:val="01C2725A"/>
    <w:rsid w:val="02076EA3"/>
    <w:rsid w:val="020D3A4B"/>
    <w:rsid w:val="0215DE8C"/>
    <w:rsid w:val="023DF21A"/>
    <w:rsid w:val="027C14BC"/>
    <w:rsid w:val="02AE9D41"/>
    <w:rsid w:val="02CCA15E"/>
    <w:rsid w:val="02D82309"/>
    <w:rsid w:val="02EDF35E"/>
    <w:rsid w:val="02FCA330"/>
    <w:rsid w:val="037BB109"/>
    <w:rsid w:val="0396410D"/>
    <w:rsid w:val="03AD4547"/>
    <w:rsid w:val="03FF56E7"/>
    <w:rsid w:val="044697E9"/>
    <w:rsid w:val="045B58E0"/>
    <w:rsid w:val="04924F25"/>
    <w:rsid w:val="04EC42DB"/>
    <w:rsid w:val="051D10AA"/>
    <w:rsid w:val="055D4290"/>
    <w:rsid w:val="05AE3417"/>
    <w:rsid w:val="05DB6C34"/>
    <w:rsid w:val="05E39B63"/>
    <w:rsid w:val="06044FC5"/>
    <w:rsid w:val="0610B9A6"/>
    <w:rsid w:val="0618D07B"/>
    <w:rsid w:val="06B1142E"/>
    <w:rsid w:val="0773B1D9"/>
    <w:rsid w:val="08151DEA"/>
    <w:rsid w:val="081F53BE"/>
    <w:rsid w:val="08512752"/>
    <w:rsid w:val="0857F584"/>
    <w:rsid w:val="085A4F8C"/>
    <w:rsid w:val="0869EBC0"/>
    <w:rsid w:val="087AD0DE"/>
    <w:rsid w:val="08B919C7"/>
    <w:rsid w:val="08CBB6C1"/>
    <w:rsid w:val="08E60572"/>
    <w:rsid w:val="09489E15"/>
    <w:rsid w:val="099C8823"/>
    <w:rsid w:val="099D72CE"/>
    <w:rsid w:val="09C3F0AF"/>
    <w:rsid w:val="09E24098"/>
    <w:rsid w:val="09EBF4B4"/>
    <w:rsid w:val="0A56100B"/>
    <w:rsid w:val="0A90E41C"/>
    <w:rsid w:val="0AA61E37"/>
    <w:rsid w:val="0AB9712A"/>
    <w:rsid w:val="0AEED356"/>
    <w:rsid w:val="0B2763DC"/>
    <w:rsid w:val="0C1C465F"/>
    <w:rsid w:val="0C4AA0F2"/>
    <w:rsid w:val="0C7003C5"/>
    <w:rsid w:val="0C92708E"/>
    <w:rsid w:val="0D40EF7B"/>
    <w:rsid w:val="0D57D1C4"/>
    <w:rsid w:val="0DE0E5B1"/>
    <w:rsid w:val="0DECDE57"/>
    <w:rsid w:val="0E274DAA"/>
    <w:rsid w:val="0E5F049E"/>
    <w:rsid w:val="0E9A9398"/>
    <w:rsid w:val="0EE44FE4"/>
    <w:rsid w:val="0F1D86DE"/>
    <w:rsid w:val="0F2946D3"/>
    <w:rsid w:val="0F455A47"/>
    <w:rsid w:val="0F567524"/>
    <w:rsid w:val="0F63AA15"/>
    <w:rsid w:val="0F9032A6"/>
    <w:rsid w:val="0FACF1F1"/>
    <w:rsid w:val="0FDFED3A"/>
    <w:rsid w:val="0FE33AB3"/>
    <w:rsid w:val="0FE6CBB4"/>
    <w:rsid w:val="0FFCE44A"/>
    <w:rsid w:val="0FFCE9B6"/>
    <w:rsid w:val="104338D5"/>
    <w:rsid w:val="106CF9F9"/>
    <w:rsid w:val="1097EE54"/>
    <w:rsid w:val="10E76EFC"/>
    <w:rsid w:val="10EB1723"/>
    <w:rsid w:val="111AC5AB"/>
    <w:rsid w:val="1127E168"/>
    <w:rsid w:val="112DEBB1"/>
    <w:rsid w:val="1132DDC0"/>
    <w:rsid w:val="116B5602"/>
    <w:rsid w:val="11B67F9D"/>
    <w:rsid w:val="11C8DD48"/>
    <w:rsid w:val="11F8DAEE"/>
    <w:rsid w:val="120F480E"/>
    <w:rsid w:val="12455937"/>
    <w:rsid w:val="126945F0"/>
    <w:rsid w:val="135C5560"/>
    <w:rsid w:val="136A143C"/>
    <w:rsid w:val="1396ACEC"/>
    <w:rsid w:val="13CECE08"/>
    <w:rsid w:val="13FE3F07"/>
    <w:rsid w:val="145B1C35"/>
    <w:rsid w:val="14626CBD"/>
    <w:rsid w:val="1490942E"/>
    <w:rsid w:val="14924F70"/>
    <w:rsid w:val="14AD4044"/>
    <w:rsid w:val="14B2D992"/>
    <w:rsid w:val="14C26099"/>
    <w:rsid w:val="14ECA7F8"/>
    <w:rsid w:val="150054FA"/>
    <w:rsid w:val="156C35CA"/>
    <w:rsid w:val="157CF2E9"/>
    <w:rsid w:val="159111FB"/>
    <w:rsid w:val="15B65B9C"/>
    <w:rsid w:val="15DC734A"/>
    <w:rsid w:val="15EC879F"/>
    <w:rsid w:val="15F067EC"/>
    <w:rsid w:val="1624DF17"/>
    <w:rsid w:val="1627E8EC"/>
    <w:rsid w:val="16A552F8"/>
    <w:rsid w:val="16B83DB6"/>
    <w:rsid w:val="16C269F5"/>
    <w:rsid w:val="16F00738"/>
    <w:rsid w:val="17395F43"/>
    <w:rsid w:val="173B0311"/>
    <w:rsid w:val="175A5ED1"/>
    <w:rsid w:val="175D5F6D"/>
    <w:rsid w:val="1790B19C"/>
    <w:rsid w:val="17C9A600"/>
    <w:rsid w:val="17D111B0"/>
    <w:rsid w:val="1845B3CF"/>
    <w:rsid w:val="1847DDD4"/>
    <w:rsid w:val="184B157B"/>
    <w:rsid w:val="185AFE92"/>
    <w:rsid w:val="188FEC5C"/>
    <w:rsid w:val="18CFE4E1"/>
    <w:rsid w:val="18E8457A"/>
    <w:rsid w:val="1923B3D6"/>
    <w:rsid w:val="192B05C7"/>
    <w:rsid w:val="19700172"/>
    <w:rsid w:val="19908FCA"/>
    <w:rsid w:val="19975331"/>
    <w:rsid w:val="19A9A4CB"/>
    <w:rsid w:val="19E5712B"/>
    <w:rsid w:val="19FA1E58"/>
    <w:rsid w:val="1A55F946"/>
    <w:rsid w:val="1A946242"/>
    <w:rsid w:val="1AA22F7F"/>
    <w:rsid w:val="1AA61740"/>
    <w:rsid w:val="1B225FB7"/>
    <w:rsid w:val="1B45752C"/>
    <w:rsid w:val="1BB06A1D"/>
    <w:rsid w:val="1BB47445"/>
    <w:rsid w:val="1BE2EBB5"/>
    <w:rsid w:val="1BF0BDAB"/>
    <w:rsid w:val="1C1C7346"/>
    <w:rsid w:val="1C2FA7EE"/>
    <w:rsid w:val="1CB37D97"/>
    <w:rsid w:val="1CFC9D00"/>
    <w:rsid w:val="1D55C000"/>
    <w:rsid w:val="1DBCC299"/>
    <w:rsid w:val="1E067EE5"/>
    <w:rsid w:val="1E230099"/>
    <w:rsid w:val="1E2BF3D0"/>
    <w:rsid w:val="1E2FEEF3"/>
    <w:rsid w:val="1E37A384"/>
    <w:rsid w:val="1E46C7D8"/>
    <w:rsid w:val="1E65C8D2"/>
    <w:rsid w:val="1EB9ED31"/>
    <w:rsid w:val="1EF6C514"/>
    <w:rsid w:val="1F0D7A2F"/>
    <w:rsid w:val="1F212DE5"/>
    <w:rsid w:val="1F40E7A4"/>
    <w:rsid w:val="1FBD9394"/>
    <w:rsid w:val="1FE09656"/>
    <w:rsid w:val="205BF365"/>
    <w:rsid w:val="20A8D90A"/>
    <w:rsid w:val="20B7C634"/>
    <w:rsid w:val="20B9CE62"/>
    <w:rsid w:val="20C5AA06"/>
    <w:rsid w:val="20ED1335"/>
    <w:rsid w:val="20FF3ADA"/>
    <w:rsid w:val="213EFC12"/>
    <w:rsid w:val="21419660"/>
    <w:rsid w:val="2156F57F"/>
    <w:rsid w:val="215ADC6F"/>
    <w:rsid w:val="21B188B5"/>
    <w:rsid w:val="21B4B6B0"/>
    <w:rsid w:val="21E9C180"/>
    <w:rsid w:val="21FBC753"/>
    <w:rsid w:val="222BEE4D"/>
    <w:rsid w:val="22C5989B"/>
    <w:rsid w:val="22CC0A78"/>
    <w:rsid w:val="2348DBBD"/>
    <w:rsid w:val="234B328C"/>
    <w:rsid w:val="23ECE36F"/>
    <w:rsid w:val="248E19D0"/>
    <w:rsid w:val="24A86BF8"/>
    <w:rsid w:val="24B79C21"/>
    <w:rsid w:val="24E2D44C"/>
    <w:rsid w:val="25250D37"/>
    <w:rsid w:val="25830F3B"/>
    <w:rsid w:val="25C340F7"/>
    <w:rsid w:val="25C73D03"/>
    <w:rsid w:val="2602DB5A"/>
    <w:rsid w:val="260FFD30"/>
    <w:rsid w:val="261F7E0F"/>
    <w:rsid w:val="263CB60A"/>
    <w:rsid w:val="264D692C"/>
    <w:rsid w:val="265C1733"/>
    <w:rsid w:val="2672B7A1"/>
    <w:rsid w:val="26A1FADE"/>
    <w:rsid w:val="26C7E4B2"/>
    <w:rsid w:val="26E53E4B"/>
    <w:rsid w:val="26EEB673"/>
    <w:rsid w:val="26F6CFD7"/>
    <w:rsid w:val="27C8E261"/>
    <w:rsid w:val="27E19E2A"/>
    <w:rsid w:val="2845ACE4"/>
    <w:rsid w:val="285F6CF7"/>
    <w:rsid w:val="28F298A7"/>
    <w:rsid w:val="2914BC28"/>
    <w:rsid w:val="292BC0E9"/>
    <w:rsid w:val="296A27CC"/>
    <w:rsid w:val="29744E39"/>
    <w:rsid w:val="299A30EA"/>
    <w:rsid w:val="29A8A1C1"/>
    <w:rsid w:val="29FF798D"/>
    <w:rsid w:val="2A0B7F14"/>
    <w:rsid w:val="2A3BFB6E"/>
    <w:rsid w:val="2A595C71"/>
    <w:rsid w:val="2A74AA5C"/>
    <w:rsid w:val="2AE64EE6"/>
    <w:rsid w:val="2AF738E3"/>
    <w:rsid w:val="2BABEE9C"/>
    <w:rsid w:val="2BB13B94"/>
    <w:rsid w:val="2BB5F112"/>
    <w:rsid w:val="2BBEE2FA"/>
    <w:rsid w:val="2BD8A53D"/>
    <w:rsid w:val="2BE29B9A"/>
    <w:rsid w:val="2BED9422"/>
    <w:rsid w:val="2C1FC53E"/>
    <w:rsid w:val="2C31F0D0"/>
    <w:rsid w:val="2C44BDDC"/>
    <w:rsid w:val="2C6C1AB3"/>
    <w:rsid w:val="2CD53CF4"/>
    <w:rsid w:val="2CDBAEFC"/>
    <w:rsid w:val="2CF35758"/>
    <w:rsid w:val="2D32DE1A"/>
    <w:rsid w:val="2D704CFB"/>
    <w:rsid w:val="2D9A6F86"/>
    <w:rsid w:val="2DAAE4A0"/>
    <w:rsid w:val="2E17D178"/>
    <w:rsid w:val="2E3A5F4B"/>
    <w:rsid w:val="2E4635CD"/>
    <w:rsid w:val="2E8014FE"/>
    <w:rsid w:val="2E9CF79C"/>
    <w:rsid w:val="2EEA1C3A"/>
    <w:rsid w:val="2F633BCD"/>
    <w:rsid w:val="2F66A961"/>
    <w:rsid w:val="2F77F290"/>
    <w:rsid w:val="2F81C38D"/>
    <w:rsid w:val="2F9F8FA6"/>
    <w:rsid w:val="2FA5818F"/>
    <w:rsid w:val="2FBC43D8"/>
    <w:rsid w:val="2FEDDBEB"/>
    <w:rsid w:val="2FF0F485"/>
    <w:rsid w:val="3011D82C"/>
    <w:rsid w:val="306FB09B"/>
    <w:rsid w:val="309A9587"/>
    <w:rsid w:val="30A48516"/>
    <w:rsid w:val="3109A4AF"/>
    <w:rsid w:val="312091DD"/>
    <w:rsid w:val="3135D5A0"/>
    <w:rsid w:val="313CA2C4"/>
    <w:rsid w:val="315D7870"/>
    <w:rsid w:val="31D4985E"/>
    <w:rsid w:val="321EE2EB"/>
    <w:rsid w:val="3220780A"/>
    <w:rsid w:val="3241D70F"/>
    <w:rsid w:val="3242AA76"/>
    <w:rsid w:val="3248FB5B"/>
    <w:rsid w:val="325CDD98"/>
    <w:rsid w:val="32C49F63"/>
    <w:rsid w:val="33066C67"/>
    <w:rsid w:val="33A44FD9"/>
    <w:rsid w:val="33B6B166"/>
    <w:rsid w:val="33D575D6"/>
    <w:rsid w:val="34006292"/>
    <w:rsid w:val="3451F005"/>
    <w:rsid w:val="3483F468"/>
    <w:rsid w:val="348ACCA4"/>
    <w:rsid w:val="348D6B7D"/>
    <w:rsid w:val="34B446F3"/>
    <w:rsid w:val="34C271E1"/>
    <w:rsid w:val="34D40250"/>
    <w:rsid w:val="34EBFBBD"/>
    <w:rsid w:val="35191193"/>
    <w:rsid w:val="35210F5D"/>
    <w:rsid w:val="356A048B"/>
    <w:rsid w:val="3596DEE0"/>
    <w:rsid w:val="35BC1FA2"/>
    <w:rsid w:val="3622B912"/>
    <w:rsid w:val="3635C003"/>
    <w:rsid w:val="363C5402"/>
    <w:rsid w:val="366AC567"/>
    <w:rsid w:val="366CDC9F"/>
    <w:rsid w:val="368B8DDE"/>
    <w:rsid w:val="36936233"/>
    <w:rsid w:val="37451908"/>
    <w:rsid w:val="3754D78E"/>
    <w:rsid w:val="37C0685C"/>
    <w:rsid w:val="38C75E72"/>
    <w:rsid w:val="3908F0BF"/>
    <w:rsid w:val="391ED898"/>
    <w:rsid w:val="39500C63"/>
    <w:rsid w:val="39578D87"/>
    <w:rsid w:val="39707395"/>
    <w:rsid w:val="397C14F8"/>
    <w:rsid w:val="397C4511"/>
    <w:rsid w:val="3981D28A"/>
    <w:rsid w:val="398B68DB"/>
    <w:rsid w:val="398B6C1F"/>
    <w:rsid w:val="399A5B72"/>
    <w:rsid w:val="39E60807"/>
    <w:rsid w:val="3A68FE08"/>
    <w:rsid w:val="3A6CAFE2"/>
    <w:rsid w:val="3A996117"/>
    <w:rsid w:val="3AC9A98E"/>
    <w:rsid w:val="3AF3A58F"/>
    <w:rsid w:val="3B003B9A"/>
    <w:rsid w:val="3B25BB23"/>
    <w:rsid w:val="3B35D238"/>
    <w:rsid w:val="3B45015D"/>
    <w:rsid w:val="3BA86A12"/>
    <w:rsid w:val="3C470354"/>
    <w:rsid w:val="3D0252DD"/>
    <w:rsid w:val="3DA80F4D"/>
    <w:rsid w:val="3E153A12"/>
    <w:rsid w:val="3E5C1C73"/>
    <w:rsid w:val="3E764043"/>
    <w:rsid w:val="3E9DDCA0"/>
    <w:rsid w:val="3EAB7980"/>
    <w:rsid w:val="3F3B834C"/>
    <w:rsid w:val="3F99E93B"/>
    <w:rsid w:val="3FDCD927"/>
    <w:rsid w:val="403B681F"/>
    <w:rsid w:val="40756E66"/>
    <w:rsid w:val="407F1B0F"/>
    <w:rsid w:val="408445B5"/>
    <w:rsid w:val="4088902C"/>
    <w:rsid w:val="40AD843A"/>
    <w:rsid w:val="411680D5"/>
    <w:rsid w:val="415894EC"/>
    <w:rsid w:val="419823B6"/>
    <w:rsid w:val="4231C1DF"/>
    <w:rsid w:val="425B4D32"/>
    <w:rsid w:val="4265EC7E"/>
    <w:rsid w:val="42802E25"/>
    <w:rsid w:val="429E6245"/>
    <w:rsid w:val="4311B98D"/>
    <w:rsid w:val="43238717"/>
    <w:rsid w:val="43F88501"/>
    <w:rsid w:val="44590479"/>
    <w:rsid w:val="4478DC4F"/>
    <w:rsid w:val="449BF1B0"/>
    <w:rsid w:val="44A0AFCD"/>
    <w:rsid w:val="44C091AD"/>
    <w:rsid w:val="44C24346"/>
    <w:rsid w:val="4513EE9E"/>
    <w:rsid w:val="4525D10D"/>
    <w:rsid w:val="45729941"/>
    <w:rsid w:val="457D1A57"/>
    <w:rsid w:val="459B879B"/>
    <w:rsid w:val="4603CF38"/>
    <w:rsid w:val="464485B5"/>
    <w:rsid w:val="466D7E1C"/>
    <w:rsid w:val="4691A8F0"/>
    <w:rsid w:val="46BAFA63"/>
    <w:rsid w:val="46BE9C15"/>
    <w:rsid w:val="46CDD432"/>
    <w:rsid w:val="46D97AFF"/>
    <w:rsid w:val="47176B4C"/>
    <w:rsid w:val="4727E85E"/>
    <w:rsid w:val="47549991"/>
    <w:rsid w:val="476CDF4D"/>
    <w:rsid w:val="476E18D2"/>
    <w:rsid w:val="47721B50"/>
    <w:rsid w:val="4786A75D"/>
    <w:rsid w:val="47C244EC"/>
    <w:rsid w:val="47C81B15"/>
    <w:rsid w:val="48313701"/>
    <w:rsid w:val="483F0FE2"/>
    <w:rsid w:val="48737890"/>
    <w:rsid w:val="487EE6FF"/>
    <w:rsid w:val="489DF7B6"/>
    <w:rsid w:val="48B285FA"/>
    <w:rsid w:val="48BB0E71"/>
    <w:rsid w:val="490FEC77"/>
    <w:rsid w:val="49422E35"/>
    <w:rsid w:val="495B8775"/>
    <w:rsid w:val="4983BB4B"/>
    <w:rsid w:val="4A197AA2"/>
    <w:rsid w:val="4A5FF700"/>
    <w:rsid w:val="4A75C1B5"/>
    <w:rsid w:val="4AC4794A"/>
    <w:rsid w:val="4B06E305"/>
    <w:rsid w:val="4B1E3C82"/>
    <w:rsid w:val="4B263BF3"/>
    <w:rsid w:val="4B355E59"/>
    <w:rsid w:val="4B3F8F56"/>
    <w:rsid w:val="4BB9DE8A"/>
    <w:rsid w:val="4BB9E12B"/>
    <w:rsid w:val="4BBC045A"/>
    <w:rsid w:val="4BD65E70"/>
    <w:rsid w:val="4C3DD7D0"/>
    <w:rsid w:val="4D130A26"/>
    <w:rsid w:val="4D2B0B1A"/>
    <w:rsid w:val="4DB2FAEB"/>
    <w:rsid w:val="4DD3E4DB"/>
    <w:rsid w:val="4E5C28EB"/>
    <w:rsid w:val="4E8207FD"/>
    <w:rsid w:val="4E84D39A"/>
    <w:rsid w:val="4E85A31F"/>
    <w:rsid w:val="4ECEC03B"/>
    <w:rsid w:val="4ED91331"/>
    <w:rsid w:val="4EF2C909"/>
    <w:rsid w:val="4F0E17CE"/>
    <w:rsid w:val="4F585365"/>
    <w:rsid w:val="4F58DE11"/>
    <w:rsid w:val="4F8629CE"/>
    <w:rsid w:val="4FAF7A06"/>
    <w:rsid w:val="4FD4F218"/>
    <w:rsid w:val="4FD9A89D"/>
    <w:rsid w:val="4FDC593C"/>
    <w:rsid w:val="4FE9D8C1"/>
    <w:rsid w:val="503CCB84"/>
    <w:rsid w:val="50620F29"/>
    <w:rsid w:val="509151A9"/>
    <w:rsid w:val="50D95A7A"/>
    <w:rsid w:val="50EB0E13"/>
    <w:rsid w:val="511E93B9"/>
    <w:rsid w:val="512CE5A1"/>
    <w:rsid w:val="513C788A"/>
    <w:rsid w:val="514CD26C"/>
    <w:rsid w:val="51BD5A3F"/>
    <w:rsid w:val="51FA4A2B"/>
    <w:rsid w:val="526C45FD"/>
    <w:rsid w:val="5364E1B3"/>
    <w:rsid w:val="538259A8"/>
    <w:rsid w:val="53914CD7"/>
    <w:rsid w:val="53A0D093"/>
    <w:rsid w:val="53B1CD37"/>
    <w:rsid w:val="53BDFA5A"/>
    <w:rsid w:val="53D1FB28"/>
    <w:rsid w:val="5418FA2C"/>
    <w:rsid w:val="541C4CF2"/>
    <w:rsid w:val="541EF7FC"/>
    <w:rsid w:val="542749A6"/>
    <w:rsid w:val="54954D1D"/>
    <w:rsid w:val="549EBCF3"/>
    <w:rsid w:val="54DC091E"/>
    <w:rsid w:val="550BAF2F"/>
    <w:rsid w:val="5544B77F"/>
    <w:rsid w:val="554A5AFA"/>
    <w:rsid w:val="55558CDF"/>
    <w:rsid w:val="555B11A2"/>
    <w:rsid w:val="557E748C"/>
    <w:rsid w:val="55887BF2"/>
    <w:rsid w:val="55BD957C"/>
    <w:rsid w:val="55C72F04"/>
    <w:rsid w:val="56362E43"/>
    <w:rsid w:val="5636A2CD"/>
    <w:rsid w:val="564569AB"/>
    <w:rsid w:val="56935318"/>
    <w:rsid w:val="56E8D681"/>
    <w:rsid w:val="570D4FFD"/>
    <w:rsid w:val="57325FFC"/>
    <w:rsid w:val="575CAE3D"/>
    <w:rsid w:val="5774E2FE"/>
    <w:rsid w:val="57B304C2"/>
    <w:rsid w:val="57BEAF62"/>
    <w:rsid w:val="58A09111"/>
    <w:rsid w:val="58D9E222"/>
    <w:rsid w:val="5924B003"/>
    <w:rsid w:val="593C29BA"/>
    <w:rsid w:val="593E53CE"/>
    <w:rsid w:val="595D8D59"/>
    <w:rsid w:val="59C50389"/>
    <w:rsid w:val="59DCE186"/>
    <w:rsid w:val="5A0EF16E"/>
    <w:rsid w:val="5A12558D"/>
    <w:rsid w:val="5A28DB92"/>
    <w:rsid w:val="5AD59FC5"/>
    <w:rsid w:val="5ADB5596"/>
    <w:rsid w:val="5B5D1D81"/>
    <w:rsid w:val="5B7F6099"/>
    <w:rsid w:val="5B991E54"/>
    <w:rsid w:val="5BC30C7B"/>
    <w:rsid w:val="5BCB7044"/>
    <w:rsid w:val="5BD8DC33"/>
    <w:rsid w:val="5C2E3C15"/>
    <w:rsid w:val="5C463582"/>
    <w:rsid w:val="5C60852D"/>
    <w:rsid w:val="5C772796"/>
    <w:rsid w:val="5C869B04"/>
    <w:rsid w:val="5C8D2E07"/>
    <w:rsid w:val="5CBC0133"/>
    <w:rsid w:val="5CE49201"/>
    <w:rsid w:val="5CE6BAC5"/>
    <w:rsid w:val="5D0B3488"/>
    <w:rsid w:val="5D6A3138"/>
    <w:rsid w:val="5D9430DF"/>
    <w:rsid w:val="5DB074DA"/>
    <w:rsid w:val="5E085CB6"/>
    <w:rsid w:val="5E391736"/>
    <w:rsid w:val="5E43912E"/>
    <w:rsid w:val="5E59A10D"/>
    <w:rsid w:val="5E5F9172"/>
    <w:rsid w:val="5E9EFACA"/>
    <w:rsid w:val="5EA1FBFC"/>
    <w:rsid w:val="5F6AE8E6"/>
    <w:rsid w:val="5FC688C9"/>
    <w:rsid w:val="5FD4039B"/>
    <w:rsid w:val="5FE41C99"/>
    <w:rsid w:val="5FE58AB3"/>
    <w:rsid w:val="601BB0A8"/>
    <w:rsid w:val="606145B7"/>
    <w:rsid w:val="609A1A93"/>
    <w:rsid w:val="60A46A57"/>
    <w:rsid w:val="60D79F20"/>
    <w:rsid w:val="60EE6812"/>
    <w:rsid w:val="61262EEF"/>
    <w:rsid w:val="61425921"/>
    <w:rsid w:val="6174606C"/>
    <w:rsid w:val="618C3A2B"/>
    <w:rsid w:val="61A979FB"/>
    <w:rsid w:val="62182932"/>
    <w:rsid w:val="623298C6"/>
    <w:rsid w:val="62479A6C"/>
    <w:rsid w:val="62ABFB25"/>
    <w:rsid w:val="62D92CB4"/>
    <w:rsid w:val="63225A71"/>
    <w:rsid w:val="637BB7BF"/>
    <w:rsid w:val="63879385"/>
    <w:rsid w:val="63949990"/>
    <w:rsid w:val="642AA642"/>
    <w:rsid w:val="646812D8"/>
    <w:rsid w:val="646E195C"/>
    <w:rsid w:val="65497F17"/>
    <w:rsid w:val="6563F08D"/>
    <w:rsid w:val="656638EB"/>
    <w:rsid w:val="66379D62"/>
    <w:rsid w:val="663DD106"/>
    <w:rsid w:val="664175ED"/>
    <w:rsid w:val="66448C62"/>
    <w:rsid w:val="6680F783"/>
    <w:rsid w:val="66C4565D"/>
    <w:rsid w:val="66C52B2A"/>
    <w:rsid w:val="66D44C19"/>
    <w:rsid w:val="66E0350F"/>
    <w:rsid w:val="67157782"/>
    <w:rsid w:val="674D37E9"/>
    <w:rsid w:val="679CBD4E"/>
    <w:rsid w:val="67FA49BA"/>
    <w:rsid w:val="684290F5"/>
    <w:rsid w:val="6875ADBC"/>
    <w:rsid w:val="6884B150"/>
    <w:rsid w:val="6884CC7F"/>
    <w:rsid w:val="68CE3423"/>
    <w:rsid w:val="68D9406B"/>
    <w:rsid w:val="68DE09E2"/>
    <w:rsid w:val="68F386E3"/>
    <w:rsid w:val="68F7836A"/>
    <w:rsid w:val="695306F5"/>
    <w:rsid w:val="6A5320F3"/>
    <w:rsid w:val="6A6EB4DE"/>
    <w:rsid w:val="6AD889F3"/>
    <w:rsid w:val="6AEF7AEA"/>
    <w:rsid w:val="6AFC9192"/>
    <w:rsid w:val="6B092869"/>
    <w:rsid w:val="6B0B99B4"/>
    <w:rsid w:val="6B3FFAB7"/>
    <w:rsid w:val="6B6654F0"/>
    <w:rsid w:val="6B7D2C41"/>
    <w:rsid w:val="6B90F536"/>
    <w:rsid w:val="6BAA3349"/>
    <w:rsid w:val="6BC0F32B"/>
    <w:rsid w:val="6BC22CB6"/>
    <w:rsid w:val="6BD730CB"/>
    <w:rsid w:val="6C0A853F"/>
    <w:rsid w:val="6C11086E"/>
    <w:rsid w:val="6C277F84"/>
    <w:rsid w:val="6C5C5EDE"/>
    <w:rsid w:val="6C6A2756"/>
    <w:rsid w:val="6C8F16FB"/>
    <w:rsid w:val="6CB27030"/>
    <w:rsid w:val="6CBB7F4C"/>
    <w:rsid w:val="6CD5D152"/>
    <w:rsid w:val="6CE70528"/>
    <w:rsid w:val="6CF02D6F"/>
    <w:rsid w:val="6D407F94"/>
    <w:rsid w:val="6D5D4185"/>
    <w:rsid w:val="6D637521"/>
    <w:rsid w:val="6D6C10C0"/>
    <w:rsid w:val="6D93D191"/>
    <w:rsid w:val="6E13F6EE"/>
    <w:rsid w:val="6E1C0BB1"/>
    <w:rsid w:val="6E74ADD3"/>
    <w:rsid w:val="6EA37E43"/>
    <w:rsid w:val="6EB43F11"/>
    <w:rsid w:val="6EEB83E3"/>
    <w:rsid w:val="6EEC3E6C"/>
    <w:rsid w:val="6F195DE2"/>
    <w:rsid w:val="6F23F5B2"/>
    <w:rsid w:val="6F2E8E45"/>
    <w:rsid w:val="6F498F1A"/>
    <w:rsid w:val="6F9F3A29"/>
    <w:rsid w:val="6FD08382"/>
    <w:rsid w:val="6FEFFF64"/>
    <w:rsid w:val="6FF99AFE"/>
    <w:rsid w:val="7011CB86"/>
    <w:rsid w:val="7016E949"/>
    <w:rsid w:val="7022B5AE"/>
    <w:rsid w:val="7037EAA7"/>
    <w:rsid w:val="70421A8C"/>
    <w:rsid w:val="70641A33"/>
    <w:rsid w:val="70680A21"/>
    <w:rsid w:val="7078E0DD"/>
    <w:rsid w:val="70E46055"/>
    <w:rsid w:val="70F0525A"/>
    <w:rsid w:val="70F40EB5"/>
    <w:rsid w:val="70FAAF0D"/>
    <w:rsid w:val="712DE241"/>
    <w:rsid w:val="7161BAA6"/>
    <w:rsid w:val="71E0C086"/>
    <w:rsid w:val="721D7F94"/>
    <w:rsid w:val="7260F649"/>
    <w:rsid w:val="72B57404"/>
    <w:rsid w:val="72C6501D"/>
    <w:rsid w:val="72CC49A9"/>
    <w:rsid w:val="72D68183"/>
    <w:rsid w:val="72D9F324"/>
    <w:rsid w:val="730F036E"/>
    <w:rsid w:val="7365B573"/>
    <w:rsid w:val="73685621"/>
    <w:rsid w:val="736A4E0B"/>
    <w:rsid w:val="73805B21"/>
    <w:rsid w:val="73943043"/>
    <w:rsid w:val="7398DF24"/>
    <w:rsid w:val="73DACE2C"/>
    <w:rsid w:val="73F50DDA"/>
    <w:rsid w:val="740EA8BA"/>
    <w:rsid w:val="74370299"/>
    <w:rsid w:val="74553F43"/>
    <w:rsid w:val="74792F49"/>
    <w:rsid w:val="74873D5C"/>
    <w:rsid w:val="74B2F437"/>
    <w:rsid w:val="7580B782"/>
    <w:rsid w:val="75D540CC"/>
    <w:rsid w:val="75F12D9C"/>
    <w:rsid w:val="75F34954"/>
    <w:rsid w:val="76266981"/>
    <w:rsid w:val="77298FFE"/>
    <w:rsid w:val="77AB9E27"/>
    <w:rsid w:val="78074D71"/>
    <w:rsid w:val="7813A21A"/>
    <w:rsid w:val="782278A4"/>
    <w:rsid w:val="7873FC6E"/>
    <w:rsid w:val="78A4DB0A"/>
    <w:rsid w:val="78AE2008"/>
    <w:rsid w:val="78B20412"/>
    <w:rsid w:val="78F0CA95"/>
    <w:rsid w:val="7925891A"/>
    <w:rsid w:val="7999053D"/>
    <w:rsid w:val="79B94239"/>
    <w:rsid w:val="79C268B4"/>
    <w:rsid w:val="79D8783D"/>
    <w:rsid w:val="79D97435"/>
    <w:rsid w:val="79F5F599"/>
    <w:rsid w:val="7A2F1C86"/>
    <w:rsid w:val="7A64FD37"/>
    <w:rsid w:val="7A860EDE"/>
    <w:rsid w:val="7A9679DE"/>
    <w:rsid w:val="7A972C44"/>
    <w:rsid w:val="7AAA4E46"/>
    <w:rsid w:val="7B1850C9"/>
    <w:rsid w:val="7B327468"/>
    <w:rsid w:val="7BA4BB1D"/>
    <w:rsid w:val="7BA5693F"/>
    <w:rsid w:val="7BE9EFFE"/>
    <w:rsid w:val="7C0045F7"/>
    <w:rsid w:val="7C0B8742"/>
    <w:rsid w:val="7C23FCB5"/>
    <w:rsid w:val="7C2F1E24"/>
    <w:rsid w:val="7C34F087"/>
    <w:rsid w:val="7C64B8D8"/>
    <w:rsid w:val="7C805B1D"/>
    <w:rsid w:val="7CC638CF"/>
    <w:rsid w:val="7D01ACAF"/>
    <w:rsid w:val="7D18A574"/>
    <w:rsid w:val="7DA67B38"/>
    <w:rsid w:val="7DC51398"/>
    <w:rsid w:val="7DCB6FC9"/>
    <w:rsid w:val="7DCD12C3"/>
    <w:rsid w:val="7DF32241"/>
    <w:rsid w:val="7E3ADAFF"/>
    <w:rsid w:val="7E64A3E8"/>
    <w:rsid w:val="7E9BE79F"/>
    <w:rsid w:val="7EB475D5"/>
    <w:rsid w:val="7EB8D413"/>
    <w:rsid w:val="7EC4E652"/>
    <w:rsid w:val="7F02B248"/>
    <w:rsid w:val="7F535D30"/>
    <w:rsid w:val="7F80521C"/>
    <w:rsid w:val="7F832C04"/>
    <w:rsid w:val="7FD3DBFF"/>
    <w:rsid w:val="7FF40C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A7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TOCHeading">
    <w:name w:val="TOC Heading"/>
    <w:basedOn w:val="Heading1"/>
    <w:next w:val="Normal"/>
    <w:uiPriority w:val="39"/>
    <w:unhideWhenUsed/>
    <w:qFormat/>
    <w:rsid w:val="002205D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tabletext6pt">
    <w:name w:val="DHHS table text + 6pt"/>
    <w:basedOn w:val="DHHStabletext"/>
    <w:rsid w:val="002205D2"/>
    <w:pPr>
      <w:spacing w:after="120"/>
    </w:pPr>
  </w:style>
  <w:style w:type="paragraph" w:customStyle="1" w:styleId="DHHSreportsubtitle">
    <w:name w:val="DHHS report subtitle"/>
    <w:basedOn w:val="Normal"/>
    <w:uiPriority w:val="4"/>
    <w:rsid w:val="002205D2"/>
    <w:pPr>
      <w:spacing w:line="380" w:lineRule="atLeast"/>
    </w:pPr>
    <w:rPr>
      <w:color w:val="000000"/>
      <w:sz w:val="30"/>
      <w:szCs w:val="30"/>
    </w:rPr>
  </w:style>
  <w:style w:type="paragraph" w:customStyle="1" w:styleId="DHHSreportmaintitle">
    <w:name w:val="DHHS report main title"/>
    <w:uiPriority w:val="4"/>
    <w:rsid w:val="002205D2"/>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2205D2"/>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205D2"/>
    <w:pPr>
      <w:spacing w:after="120" w:line="380" w:lineRule="atLeast"/>
    </w:pPr>
    <w:rPr>
      <w:rFonts w:ascii="Arial" w:hAnsi="Arial"/>
      <w:bCs/>
      <w:color w:val="FFFFFF"/>
      <w:sz w:val="30"/>
      <w:szCs w:val="30"/>
      <w:lang w:eastAsia="en-US"/>
    </w:rPr>
  </w:style>
  <w:style w:type="paragraph" w:customStyle="1" w:styleId="Coverinstructions">
    <w:name w:val="Cover instructions"/>
    <w:rsid w:val="002205D2"/>
    <w:pPr>
      <w:spacing w:after="200" w:line="320" w:lineRule="atLeast"/>
    </w:pPr>
    <w:rPr>
      <w:rFonts w:ascii="Arial" w:hAnsi="Arial"/>
      <w:color w:val="FFFFFF"/>
      <w:sz w:val="24"/>
      <w:lang w:eastAsia="en-US"/>
    </w:rPr>
  </w:style>
  <w:style w:type="paragraph" w:customStyle="1" w:styleId="DHHSbody">
    <w:name w:val="DHHS body"/>
    <w:link w:val="DHHSbodyChar"/>
    <w:qFormat/>
    <w:rsid w:val="002205D2"/>
    <w:pPr>
      <w:spacing w:after="120" w:line="270" w:lineRule="atLeast"/>
    </w:pPr>
    <w:rPr>
      <w:rFonts w:ascii="Arial" w:eastAsia="Times" w:hAnsi="Arial"/>
      <w:lang w:eastAsia="en-US"/>
    </w:rPr>
  </w:style>
  <w:style w:type="paragraph" w:customStyle="1" w:styleId="DHHSbullet1">
    <w:name w:val="DHHS bullet 1"/>
    <w:basedOn w:val="DHHSbody"/>
    <w:qFormat/>
    <w:rsid w:val="002205D2"/>
    <w:pPr>
      <w:spacing w:after="40"/>
      <w:ind w:left="284" w:hanging="284"/>
    </w:pPr>
  </w:style>
  <w:style w:type="paragraph" w:customStyle="1" w:styleId="DHHSnumberloweralpha">
    <w:name w:val="DHHS number lower alpha"/>
    <w:basedOn w:val="DHHSbody"/>
    <w:uiPriority w:val="3"/>
    <w:rsid w:val="002205D2"/>
    <w:pPr>
      <w:ind w:left="284" w:hanging="284"/>
    </w:pPr>
  </w:style>
  <w:style w:type="paragraph" w:customStyle="1" w:styleId="DHHSnumberloweralphaindent">
    <w:name w:val="DHHS number lower alpha indent"/>
    <w:basedOn w:val="DHHSbody"/>
    <w:uiPriority w:val="3"/>
    <w:rsid w:val="002205D2"/>
    <w:pPr>
      <w:ind w:left="567" w:hanging="283"/>
    </w:pPr>
  </w:style>
  <w:style w:type="paragraph" w:customStyle="1" w:styleId="DHHStablefigurenote">
    <w:name w:val="DHHS table/figure note"/>
    <w:uiPriority w:val="4"/>
    <w:rsid w:val="002205D2"/>
    <w:pPr>
      <w:spacing w:before="60" w:after="60" w:line="240" w:lineRule="exact"/>
    </w:pPr>
    <w:rPr>
      <w:rFonts w:ascii="Arial" w:hAnsi="Arial"/>
      <w:sz w:val="18"/>
      <w:lang w:eastAsia="en-US"/>
    </w:rPr>
  </w:style>
  <w:style w:type="paragraph" w:customStyle="1" w:styleId="DHHStabletext">
    <w:name w:val="DHHS table text"/>
    <w:uiPriority w:val="3"/>
    <w:qFormat/>
    <w:rsid w:val="002205D2"/>
    <w:pPr>
      <w:spacing w:before="80" w:after="60"/>
    </w:pPr>
    <w:rPr>
      <w:rFonts w:ascii="Arial" w:hAnsi="Arial"/>
      <w:lang w:eastAsia="en-US"/>
    </w:rPr>
  </w:style>
  <w:style w:type="paragraph" w:customStyle="1" w:styleId="DHHStablecaption">
    <w:name w:val="DHHS table caption"/>
    <w:next w:val="DHHSbody"/>
    <w:uiPriority w:val="3"/>
    <w:qFormat/>
    <w:rsid w:val="002205D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2205D2"/>
    <w:pPr>
      <w:keepNext/>
      <w:keepLines/>
      <w:spacing w:before="240" w:after="120"/>
    </w:pPr>
    <w:rPr>
      <w:rFonts w:ascii="Arial" w:hAnsi="Arial"/>
      <w:b/>
      <w:lang w:eastAsia="en-US"/>
    </w:rPr>
  </w:style>
  <w:style w:type="paragraph" w:customStyle="1" w:styleId="DHHSfooter">
    <w:name w:val="DHHS footer"/>
    <w:uiPriority w:val="11"/>
    <w:rsid w:val="002205D2"/>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205D2"/>
    <w:pPr>
      <w:spacing w:after="40"/>
      <w:ind w:left="284" w:hanging="284"/>
    </w:pPr>
  </w:style>
  <w:style w:type="paragraph" w:customStyle="1" w:styleId="DHHSheader">
    <w:name w:val="DHHS header"/>
    <w:basedOn w:val="DHHSfooter"/>
    <w:uiPriority w:val="11"/>
    <w:rsid w:val="002205D2"/>
  </w:style>
  <w:style w:type="paragraph" w:customStyle="1" w:styleId="DHHSnumberdigit">
    <w:name w:val="DHHS number digit"/>
    <w:basedOn w:val="DHHSbody"/>
    <w:uiPriority w:val="2"/>
    <w:rsid w:val="002205D2"/>
    <w:pPr>
      <w:tabs>
        <w:tab w:val="num" w:pos="397"/>
      </w:tabs>
      <w:ind w:left="397" w:hanging="397"/>
    </w:pPr>
  </w:style>
  <w:style w:type="paragraph" w:customStyle="1" w:styleId="DHHStablecolhead">
    <w:name w:val="DHHS table col head"/>
    <w:uiPriority w:val="3"/>
    <w:qFormat/>
    <w:rsid w:val="002205D2"/>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2205D2"/>
    <w:pPr>
      <w:spacing w:before="240"/>
    </w:pPr>
  </w:style>
  <w:style w:type="paragraph" w:customStyle="1" w:styleId="DHHSTOCheadingreport">
    <w:name w:val="DHHS TOC heading report"/>
    <w:basedOn w:val="Heading1"/>
    <w:link w:val="DHHSTOCheadingreportChar"/>
    <w:uiPriority w:val="5"/>
    <w:rsid w:val="002205D2"/>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2205D2"/>
    <w:rPr>
      <w:rFonts w:ascii="Arial" w:hAnsi="Arial"/>
      <w:bCs/>
      <w:color w:val="87189D"/>
      <w:sz w:val="44"/>
      <w:szCs w:val="44"/>
      <w:lang w:eastAsia="en-US"/>
    </w:rPr>
  </w:style>
  <w:style w:type="paragraph" w:customStyle="1" w:styleId="DHHSaccessibilitypara">
    <w:name w:val="DHHS accessibility para"/>
    <w:uiPriority w:val="8"/>
    <w:rsid w:val="002205D2"/>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2205D2"/>
    <w:pPr>
      <w:spacing w:after="0"/>
    </w:pPr>
  </w:style>
  <w:style w:type="paragraph" w:customStyle="1" w:styleId="DHHSquote">
    <w:name w:val="DHHS quote"/>
    <w:basedOn w:val="DHHSbody"/>
    <w:uiPriority w:val="4"/>
    <w:rsid w:val="002205D2"/>
    <w:pPr>
      <w:ind w:left="397"/>
    </w:pPr>
    <w:rPr>
      <w:szCs w:val="18"/>
    </w:rPr>
  </w:style>
  <w:style w:type="paragraph" w:customStyle="1" w:styleId="DHHSnumberlowerroman">
    <w:name w:val="DHHS number lower roman"/>
    <w:basedOn w:val="DHHSbody"/>
    <w:uiPriority w:val="3"/>
    <w:rsid w:val="002205D2"/>
    <w:pPr>
      <w:ind w:left="227" w:hanging="227"/>
    </w:pPr>
  </w:style>
  <w:style w:type="paragraph" w:customStyle="1" w:styleId="DHHSnumberlowerromanindent">
    <w:name w:val="DHHS number lower roman indent"/>
    <w:basedOn w:val="DHHSbody"/>
    <w:uiPriority w:val="3"/>
    <w:rsid w:val="002205D2"/>
    <w:pPr>
      <w:tabs>
        <w:tab w:val="num" w:pos="227"/>
      </w:tabs>
      <w:ind w:left="454" w:hanging="227"/>
    </w:pPr>
  </w:style>
  <w:style w:type="paragraph" w:customStyle="1" w:styleId="DHHSnumberdigitindent">
    <w:name w:val="DHHS number digit indent"/>
    <w:basedOn w:val="DHHSnumberloweralphaindent"/>
    <w:uiPriority w:val="3"/>
    <w:rsid w:val="002205D2"/>
    <w:pPr>
      <w:tabs>
        <w:tab w:val="num" w:pos="794"/>
      </w:tabs>
      <w:ind w:left="794" w:hanging="397"/>
    </w:pPr>
  </w:style>
  <w:style w:type="paragraph" w:customStyle="1" w:styleId="DHHSbodyafterbullets">
    <w:name w:val="DHHS body after bullets"/>
    <w:basedOn w:val="DHHSbody"/>
    <w:uiPriority w:val="11"/>
    <w:rsid w:val="002205D2"/>
    <w:pPr>
      <w:spacing w:before="120"/>
    </w:pPr>
  </w:style>
  <w:style w:type="paragraph" w:customStyle="1" w:styleId="DHHSbulletafternumbers1">
    <w:name w:val="DHHS bullet after numbers 1"/>
    <w:basedOn w:val="DHHSbody"/>
    <w:uiPriority w:val="4"/>
    <w:rsid w:val="002205D2"/>
    <w:pPr>
      <w:ind w:left="794" w:hanging="397"/>
    </w:pPr>
  </w:style>
  <w:style w:type="paragraph" w:customStyle="1" w:styleId="DHHSbulletafternumbers2">
    <w:name w:val="DHHS bullet after numbers 2"/>
    <w:basedOn w:val="DHHSbody"/>
    <w:rsid w:val="002205D2"/>
    <w:pPr>
      <w:ind w:left="1191" w:hanging="397"/>
    </w:pPr>
  </w:style>
  <w:style w:type="paragraph" w:customStyle="1" w:styleId="DHHSquotebullet1">
    <w:name w:val="DHHS quote bullet 1"/>
    <w:basedOn w:val="DHHSquote"/>
    <w:rsid w:val="002205D2"/>
    <w:pPr>
      <w:tabs>
        <w:tab w:val="num" w:pos="397"/>
      </w:tabs>
      <w:ind w:hanging="397"/>
    </w:pPr>
  </w:style>
  <w:style w:type="paragraph" w:customStyle="1" w:styleId="DHHSquotebullet2">
    <w:name w:val="DHHS quote bullet 2"/>
    <w:basedOn w:val="DHHSquote"/>
    <w:rsid w:val="002205D2"/>
    <w:pPr>
      <w:tabs>
        <w:tab w:val="num" w:pos="794"/>
      </w:tabs>
      <w:ind w:left="794" w:hanging="397"/>
    </w:pPr>
  </w:style>
  <w:style w:type="paragraph" w:customStyle="1" w:styleId="DHHStablebullet1">
    <w:name w:val="DHHS table bullet 1"/>
    <w:basedOn w:val="DHHStabletext"/>
    <w:uiPriority w:val="3"/>
    <w:qFormat/>
    <w:rsid w:val="002205D2"/>
    <w:pPr>
      <w:ind w:left="227" w:hanging="227"/>
    </w:pPr>
  </w:style>
  <w:style w:type="paragraph" w:customStyle="1" w:styleId="DHHStablebullet2">
    <w:name w:val="DHHS table bullet 2"/>
    <w:basedOn w:val="DHHStabletext"/>
    <w:uiPriority w:val="11"/>
    <w:rsid w:val="002205D2"/>
    <w:pPr>
      <w:tabs>
        <w:tab w:val="num" w:pos="227"/>
      </w:tabs>
      <w:ind w:left="454" w:hanging="227"/>
    </w:pPr>
  </w:style>
  <w:style w:type="paragraph" w:customStyle="1" w:styleId="DHHSbullet1lastline">
    <w:name w:val="DHHS bullet 1 last line"/>
    <w:basedOn w:val="DHHSbullet1"/>
    <w:qFormat/>
    <w:rsid w:val="002205D2"/>
    <w:pPr>
      <w:spacing w:after="120"/>
    </w:pPr>
  </w:style>
  <w:style w:type="paragraph" w:customStyle="1" w:styleId="DHHSbullet2lastline">
    <w:name w:val="DHHS bullet 2 last line"/>
    <w:basedOn w:val="DHHSbullet2"/>
    <w:uiPriority w:val="2"/>
    <w:qFormat/>
    <w:rsid w:val="002205D2"/>
    <w:pPr>
      <w:spacing w:after="120"/>
      <w:ind w:left="567" w:hanging="283"/>
    </w:pPr>
  </w:style>
  <w:style w:type="paragraph" w:customStyle="1" w:styleId="DHHStablebullet">
    <w:name w:val="DHHS table bullet"/>
    <w:basedOn w:val="DHHStabletext"/>
    <w:uiPriority w:val="3"/>
    <w:qFormat/>
    <w:rsid w:val="002205D2"/>
    <w:pPr>
      <w:ind w:left="227" w:hanging="227"/>
    </w:pPr>
  </w:style>
  <w:style w:type="paragraph" w:customStyle="1" w:styleId="DHHSbulletindent">
    <w:name w:val="DHHS bullet indent"/>
    <w:basedOn w:val="DHHSbody"/>
    <w:uiPriority w:val="4"/>
    <w:rsid w:val="002205D2"/>
    <w:pPr>
      <w:spacing w:after="40"/>
      <w:ind w:left="680" w:hanging="283"/>
    </w:pPr>
  </w:style>
  <w:style w:type="paragraph" w:customStyle="1" w:styleId="DHHSbulletindentlastline">
    <w:name w:val="DHHS bullet indent last line"/>
    <w:basedOn w:val="DHHSbody"/>
    <w:uiPriority w:val="4"/>
    <w:rsid w:val="002205D2"/>
    <w:pPr>
      <w:ind w:left="680" w:hanging="283"/>
    </w:pPr>
  </w:style>
  <w:style w:type="paragraph" w:styleId="ListParagraph">
    <w:name w:val="List Paragraph"/>
    <w:basedOn w:val="Normal"/>
    <w:uiPriority w:val="34"/>
    <w:qFormat/>
    <w:rsid w:val="002205D2"/>
    <w:pPr>
      <w:overflowPunct w:val="0"/>
      <w:autoSpaceDE w:val="0"/>
      <w:autoSpaceDN w:val="0"/>
      <w:adjustRightInd w:val="0"/>
      <w:spacing w:after="0" w:line="240" w:lineRule="auto"/>
      <w:ind w:left="720"/>
      <w:contextualSpacing/>
      <w:textAlignment w:val="baseline"/>
    </w:pPr>
    <w:rPr>
      <w:rFonts w:ascii="Times New Roman" w:hAnsi="Times New Roman"/>
      <w:sz w:val="20"/>
    </w:rPr>
  </w:style>
  <w:style w:type="paragraph" w:styleId="BodyText">
    <w:name w:val="Body Text"/>
    <w:basedOn w:val="Normal"/>
    <w:link w:val="BodyTextChar"/>
    <w:uiPriority w:val="1"/>
    <w:qFormat/>
    <w:rsid w:val="002205D2"/>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2205D2"/>
    <w:rPr>
      <w:rFonts w:ascii="Arial" w:eastAsiaTheme="minorEastAsia" w:hAnsi="Arial" w:cs="Arial"/>
      <w:lang w:eastAsia="zh-CN"/>
    </w:rPr>
  </w:style>
  <w:style w:type="paragraph" w:customStyle="1" w:styleId="paragraph">
    <w:name w:val="paragraph"/>
    <w:basedOn w:val="Normal"/>
    <w:rsid w:val="002205D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205D2"/>
  </w:style>
  <w:style w:type="character" w:customStyle="1" w:styleId="eop">
    <w:name w:val="eop"/>
    <w:basedOn w:val="DefaultParagraphFont"/>
    <w:rsid w:val="002205D2"/>
  </w:style>
  <w:style w:type="paragraph" w:customStyle="1" w:styleId="xmsonormal">
    <w:name w:val="x_msonormal"/>
    <w:basedOn w:val="Normal"/>
    <w:rsid w:val="002205D2"/>
    <w:pPr>
      <w:spacing w:after="0" w:line="240" w:lineRule="auto"/>
    </w:pPr>
    <w:rPr>
      <w:rFonts w:ascii="Calibri" w:eastAsiaTheme="minorHAnsi" w:hAnsi="Calibri" w:cs="Calibri"/>
      <w:sz w:val="22"/>
      <w:szCs w:val="22"/>
      <w:lang w:eastAsia="en-AU"/>
    </w:rPr>
  </w:style>
  <w:style w:type="character" w:customStyle="1" w:styleId="DHHSbodyChar">
    <w:name w:val="DHHS body Char"/>
    <w:link w:val="DHHSbody"/>
    <w:rsid w:val="002205D2"/>
    <w:rPr>
      <w:rFonts w:ascii="Arial" w:eastAsia="Times" w:hAnsi="Arial"/>
      <w:lang w:eastAsia="en-US"/>
    </w:rPr>
  </w:style>
  <w:style w:type="character" w:customStyle="1" w:styleId="HeaderChar">
    <w:name w:val="Header Char"/>
    <w:basedOn w:val="DefaultParagraphFont"/>
    <w:link w:val="Header"/>
    <w:uiPriority w:val="99"/>
    <w:rsid w:val="00B872F2"/>
    <w:rPr>
      <w:rFonts w:ascii="Arial" w:hAnsi="Arial" w:cs="Arial"/>
      <w:b/>
      <w:color w:val="53565A"/>
      <w:sz w:val="18"/>
      <w:szCs w:val="18"/>
      <w:lang w:eastAsia="en-US"/>
    </w:rPr>
  </w:style>
  <w:style w:type="character" w:styleId="Mention">
    <w:name w:val="Mention"/>
    <w:basedOn w:val="DefaultParagraphFont"/>
    <w:uiPriority w:val="99"/>
    <w:unhideWhenUsed/>
    <w:rsid w:val="00961587"/>
    <w:rPr>
      <w:color w:val="2B579A"/>
      <w:shd w:val="clear" w:color="auto" w:fill="E1DFDD"/>
    </w:rPr>
  </w:style>
  <w:style w:type="paragraph" w:customStyle="1" w:styleId="Heading-clause">
    <w:name w:val="Heading - clause"/>
    <w:next w:val="Normal"/>
    <w:qFormat/>
    <w:rsid w:val="00893E3D"/>
    <w:pPr>
      <w:numPr>
        <w:numId w:val="20"/>
      </w:numPr>
      <w:spacing w:before="360" w:after="120" w:line="280" w:lineRule="exact"/>
      <w:jc w:val="both"/>
    </w:pPr>
    <w:rPr>
      <w:rFonts w:eastAsiaTheme="minorHAnsi"/>
      <w:b/>
      <w:bCs/>
      <w:sz w:val="24"/>
      <w:szCs w:val="24"/>
      <w:lang w:eastAsia="en-US"/>
    </w:rPr>
  </w:style>
  <w:style w:type="numbering" w:customStyle="1" w:styleId="Orderclausesnumberingliststyle">
    <w:name w:val="Order clauses numbering list style"/>
    <w:uiPriority w:val="99"/>
    <w:rsid w:val="00893E3D"/>
    <w:pPr>
      <w:numPr>
        <w:numId w:val="19"/>
      </w:numPr>
    </w:pPr>
  </w:style>
  <w:style w:type="paragraph" w:customStyle="1" w:styleId="Text3subparagraph">
    <w:name w:val="Text – 3 subparagraph"/>
    <w:qFormat/>
    <w:rsid w:val="00893E3D"/>
    <w:pPr>
      <w:numPr>
        <w:ilvl w:val="5"/>
        <w:numId w:val="20"/>
      </w:numPr>
      <w:spacing w:before="240" w:after="120" w:line="280" w:lineRule="exact"/>
      <w:jc w:val="both"/>
    </w:pPr>
    <w:rPr>
      <w:rFonts w:eastAsiaTheme="minorHAnsi"/>
      <w:sz w:val="24"/>
      <w:szCs w:val="24"/>
      <w:lang w:eastAsia="en-US"/>
    </w:rPr>
  </w:style>
  <w:style w:type="paragraph" w:customStyle="1" w:styleId="Text4subparagraph">
    <w:name w:val="Text – 4 subparagraph"/>
    <w:qFormat/>
    <w:rsid w:val="00893E3D"/>
    <w:pPr>
      <w:numPr>
        <w:ilvl w:val="6"/>
        <w:numId w:val="20"/>
      </w:numPr>
      <w:spacing w:before="240" w:after="120" w:line="280" w:lineRule="exact"/>
      <w:jc w:val="both"/>
    </w:pPr>
    <w:rPr>
      <w:rFonts w:eastAsiaTheme="minorHAnsi"/>
      <w:sz w:val="24"/>
      <w:szCs w:val="24"/>
      <w:lang w:eastAsia="en-US"/>
    </w:rPr>
  </w:style>
  <w:style w:type="paragraph" w:customStyle="1" w:styleId="Text5subparagraph">
    <w:name w:val="Text – 5 subparagraph"/>
    <w:qFormat/>
    <w:rsid w:val="00893E3D"/>
    <w:pPr>
      <w:numPr>
        <w:ilvl w:val="7"/>
        <w:numId w:val="20"/>
      </w:numPr>
      <w:spacing w:before="240" w:after="120" w:line="280" w:lineRule="exact"/>
      <w:jc w:val="both"/>
    </w:pPr>
    <w:rPr>
      <w:rFonts w:eastAsiaTheme="minorHAnsi"/>
      <w:sz w:val="24"/>
      <w:szCs w:val="24"/>
      <w:lang w:eastAsia="en-US"/>
    </w:rPr>
  </w:style>
  <w:style w:type="paragraph" w:customStyle="1" w:styleId="Text-paragraph">
    <w:name w:val="Text - paragraph"/>
    <w:link w:val="Text-paragraphChar"/>
    <w:qFormat/>
    <w:rsid w:val="00893E3D"/>
    <w:pPr>
      <w:numPr>
        <w:ilvl w:val="2"/>
        <w:numId w:val="20"/>
      </w:numPr>
      <w:spacing w:before="240" w:after="120" w:line="280" w:lineRule="exact"/>
      <w:jc w:val="both"/>
    </w:pPr>
    <w:rPr>
      <w:rFonts w:eastAsiaTheme="minorHAnsi"/>
      <w:sz w:val="24"/>
      <w:szCs w:val="24"/>
      <w:lang w:eastAsia="en-US"/>
    </w:rPr>
  </w:style>
  <w:style w:type="character" w:customStyle="1" w:styleId="Text-paragraphChar">
    <w:name w:val="Text - paragraph Char"/>
    <w:basedOn w:val="DefaultParagraphFont"/>
    <w:link w:val="Text-paragraph"/>
    <w:rsid w:val="00893E3D"/>
    <w:rPr>
      <w:rFonts w:eastAsiaTheme="minorHAnsi"/>
      <w:sz w:val="24"/>
      <w:szCs w:val="24"/>
      <w:lang w:eastAsia="en-US"/>
    </w:rPr>
  </w:style>
  <w:style w:type="paragraph" w:customStyle="1" w:styleId="Text-subclause">
    <w:name w:val="Text - subclause"/>
    <w:qFormat/>
    <w:rsid w:val="00893E3D"/>
    <w:pPr>
      <w:numPr>
        <w:ilvl w:val="1"/>
        <w:numId w:val="20"/>
      </w:numPr>
      <w:spacing w:before="240" w:after="120" w:line="280" w:lineRule="exact"/>
      <w:jc w:val="both"/>
    </w:pPr>
    <w:rPr>
      <w:rFonts w:eastAsiaTheme="minorHAnsi"/>
      <w:sz w:val="24"/>
      <w:szCs w:val="24"/>
      <w:lang w:eastAsia="en-US"/>
    </w:rPr>
  </w:style>
  <w:style w:type="paragraph" w:customStyle="1" w:styleId="Text-subparagraph">
    <w:name w:val="Text - subparagraph"/>
    <w:qFormat/>
    <w:rsid w:val="00893E3D"/>
    <w:pPr>
      <w:numPr>
        <w:ilvl w:val="3"/>
        <w:numId w:val="20"/>
      </w:numPr>
      <w:spacing w:before="240" w:after="120" w:line="280" w:lineRule="exact"/>
      <w:jc w:val="both"/>
    </w:pPr>
    <w:rPr>
      <w:rFonts w:eastAsiaTheme="minorHAnsi"/>
      <w:sz w:val="24"/>
      <w:szCs w:val="24"/>
      <w:lang w:eastAsia="en-US"/>
    </w:rPr>
  </w:style>
  <w:style w:type="paragraph" w:customStyle="1" w:styleId="Text-sub-subparagraph">
    <w:name w:val="Text - sub-subparagraph"/>
    <w:qFormat/>
    <w:rsid w:val="00893E3D"/>
    <w:pPr>
      <w:numPr>
        <w:ilvl w:val="4"/>
        <w:numId w:val="20"/>
      </w:numPr>
      <w:spacing w:before="240" w:after="120" w:line="280" w:lineRule="exact"/>
      <w:jc w:val="both"/>
    </w:pPr>
    <w:rPr>
      <w:rFonts w:eastAsiaTheme="minorHAnsi"/>
      <w:sz w:val="24"/>
      <w:szCs w:val="24"/>
      <w:lang w:eastAsia="en-US"/>
    </w:rPr>
  </w:style>
  <w:style w:type="paragraph" w:customStyle="1" w:styleId="Text6-subparagraph">
    <w:name w:val="Text 6 - subparagraph"/>
    <w:qFormat/>
    <w:rsid w:val="00893E3D"/>
    <w:pPr>
      <w:numPr>
        <w:ilvl w:val="8"/>
        <w:numId w:val="20"/>
      </w:numPr>
      <w:spacing w:before="240" w:after="120" w:line="280" w:lineRule="exact"/>
      <w:jc w:val="both"/>
    </w:pPr>
    <w:rPr>
      <w:rFonts w:eastAsiaTheme="minorHAnsi"/>
      <w:sz w:val="24"/>
      <w:szCs w:val="24"/>
      <w:lang w:eastAsia="en-US"/>
    </w:rPr>
  </w:style>
  <w:style w:type="paragraph" w:styleId="NormalWeb">
    <w:name w:val="Normal (Web)"/>
    <w:basedOn w:val="Normal"/>
    <w:uiPriority w:val="99"/>
    <w:semiHidden/>
    <w:unhideWhenUsed/>
    <w:rsid w:val="00E37D2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507">
      <w:bodyDiv w:val="1"/>
      <w:marLeft w:val="0"/>
      <w:marRight w:val="0"/>
      <w:marTop w:val="0"/>
      <w:marBottom w:val="0"/>
      <w:divBdr>
        <w:top w:val="none" w:sz="0" w:space="0" w:color="auto"/>
        <w:left w:val="none" w:sz="0" w:space="0" w:color="auto"/>
        <w:bottom w:val="none" w:sz="0" w:space="0" w:color="auto"/>
        <w:right w:val="none" w:sz="0" w:space="0" w:color="auto"/>
      </w:divBdr>
      <w:divsChild>
        <w:div w:id="453062349">
          <w:marLeft w:val="0"/>
          <w:marRight w:val="0"/>
          <w:marTop w:val="0"/>
          <w:marBottom w:val="0"/>
          <w:divBdr>
            <w:top w:val="none" w:sz="0" w:space="0" w:color="auto"/>
            <w:left w:val="none" w:sz="0" w:space="0" w:color="auto"/>
            <w:bottom w:val="none" w:sz="0" w:space="0" w:color="auto"/>
            <w:right w:val="none" w:sz="0" w:space="0" w:color="auto"/>
          </w:divBdr>
        </w:div>
        <w:div w:id="80763071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2496236">
      <w:bodyDiv w:val="1"/>
      <w:marLeft w:val="0"/>
      <w:marRight w:val="0"/>
      <w:marTop w:val="0"/>
      <w:marBottom w:val="0"/>
      <w:divBdr>
        <w:top w:val="none" w:sz="0" w:space="0" w:color="auto"/>
        <w:left w:val="none" w:sz="0" w:space="0" w:color="auto"/>
        <w:bottom w:val="none" w:sz="0" w:space="0" w:color="auto"/>
        <w:right w:val="none" w:sz="0" w:space="0" w:color="auto"/>
      </w:divBdr>
      <w:divsChild>
        <w:div w:id="51930923">
          <w:marLeft w:val="0"/>
          <w:marRight w:val="0"/>
          <w:marTop w:val="0"/>
          <w:marBottom w:val="0"/>
          <w:divBdr>
            <w:top w:val="none" w:sz="0" w:space="0" w:color="auto"/>
            <w:left w:val="none" w:sz="0" w:space="0" w:color="auto"/>
            <w:bottom w:val="none" w:sz="0" w:space="0" w:color="auto"/>
            <w:right w:val="none" w:sz="0" w:space="0" w:color="auto"/>
          </w:divBdr>
          <w:divsChild>
            <w:div w:id="313921634">
              <w:marLeft w:val="0"/>
              <w:marRight w:val="0"/>
              <w:marTop w:val="0"/>
              <w:marBottom w:val="0"/>
              <w:divBdr>
                <w:top w:val="none" w:sz="0" w:space="0" w:color="auto"/>
                <w:left w:val="none" w:sz="0" w:space="0" w:color="auto"/>
                <w:bottom w:val="none" w:sz="0" w:space="0" w:color="auto"/>
                <w:right w:val="none" w:sz="0" w:space="0" w:color="auto"/>
              </w:divBdr>
            </w:div>
            <w:div w:id="2116246725">
              <w:marLeft w:val="0"/>
              <w:marRight w:val="0"/>
              <w:marTop w:val="0"/>
              <w:marBottom w:val="0"/>
              <w:divBdr>
                <w:top w:val="none" w:sz="0" w:space="0" w:color="auto"/>
                <w:left w:val="none" w:sz="0" w:space="0" w:color="auto"/>
                <w:bottom w:val="none" w:sz="0" w:space="0" w:color="auto"/>
                <w:right w:val="none" w:sz="0" w:space="0" w:color="auto"/>
              </w:divBdr>
            </w:div>
          </w:divsChild>
        </w:div>
        <w:div w:id="233051113">
          <w:marLeft w:val="0"/>
          <w:marRight w:val="0"/>
          <w:marTop w:val="0"/>
          <w:marBottom w:val="0"/>
          <w:divBdr>
            <w:top w:val="none" w:sz="0" w:space="0" w:color="auto"/>
            <w:left w:val="none" w:sz="0" w:space="0" w:color="auto"/>
            <w:bottom w:val="none" w:sz="0" w:space="0" w:color="auto"/>
            <w:right w:val="none" w:sz="0" w:space="0" w:color="auto"/>
          </w:divBdr>
          <w:divsChild>
            <w:div w:id="374617666">
              <w:marLeft w:val="0"/>
              <w:marRight w:val="0"/>
              <w:marTop w:val="0"/>
              <w:marBottom w:val="0"/>
              <w:divBdr>
                <w:top w:val="none" w:sz="0" w:space="0" w:color="auto"/>
                <w:left w:val="none" w:sz="0" w:space="0" w:color="auto"/>
                <w:bottom w:val="none" w:sz="0" w:space="0" w:color="auto"/>
                <w:right w:val="none" w:sz="0" w:space="0" w:color="auto"/>
              </w:divBdr>
            </w:div>
            <w:div w:id="2016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409174">
      <w:bodyDiv w:val="1"/>
      <w:marLeft w:val="0"/>
      <w:marRight w:val="0"/>
      <w:marTop w:val="0"/>
      <w:marBottom w:val="0"/>
      <w:divBdr>
        <w:top w:val="none" w:sz="0" w:space="0" w:color="auto"/>
        <w:left w:val="none" w:sz="0" w:space="0" w:color="auto"/>
        <w:bottom w:val="none" w:sz="0" w:space="0" w:color="auto"/>
        <w:right w:val="none" w:sz="0" w:space="0" w:color="auto"/>
      </w:divBdr>
    </w:div>
    <w:div w:id="727342855">
      <w:bodyDiv w:val="1"/>
      <w:marLeft w:val="0"/>
      <w:marRight w:val="0"/>
      <w:marTop w:val="0"/>
      <w:marBottom w:val="0"/>
      <w:divBdr>
        <w:top w:val="none" w:sz="0" w:space="0" w:color="auto"/>
        <w:left w:val="none" w:sz="0" w:space="0" w:color="auto"/>
        <w:bottom w:val="none" w:sz="0" w:space="0" w:color="auto"/>
        <w:right w:val="none" w:sz="0" w:space="0" w:color="auto"/>
      </w:divBdr>
      <w:divsChild>
        <w:div w:id="963001790">
          <w:marLeft w:val="0"/>
          <w:marRight w:val="0"/>
          <w:marTop w:val="0"/>
          <w:marBottom w:val="0"/>
          <w:divBdr>
            <w:top w:val="none" w:sz="0" w:space="0" w:color="auto"/>
            <w:left w:val="none" w:sz="0" w:space="0" w:color="auto"/>
            <w:bottom w:val="none" w:sz="0" w:space="0" w:color="auto"/>
            <w:right w:val="none" w:sz="0" w:space="0" w:color="auto"/>
          </w:divBdr>
        </w:div>
        <w:div w:id="1414283508">
          <w:marLeft w:val="0"/>
          <w:marRight w:val="0"/>
          <w:marTop w:val="0"/>
          <w:marBottom w:val="0"/>
          <w:divBdr>
            <w:top w:val="none" w:sz="0" w:space="0" w:color="auto"/>
            <w:left w:val="none" w:sz="0" w:space="0" w:color="auto"/>
            <w:bottom w:val="none" w:sz="0" w:space="0" w:color="auto"/>
            <w:right w:val="none" w:sz="0" w:space="0" w:color="auto"/>
          </w:divBdr>
        </w:div>
      </w:divsChild>
    </w:div>
    <w:div w:id="8483768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783975">
      <w:bodyDiv w:val="1"/>
      <w:marLeft w:val="0"/>
      <w:marRight w:val="0"/>
      <w:marTop w:val="0"/>
      <w:marBottom w:val="0"/>
      <w:divBdr>
        <w:top w:val="none" w:sz="0" w:space="0" w:color="auto"/>
        <w:left w:val="none" w:sz="0" w:space="0" w:color="auto"/>
        <w:bottom w:val="none" w:sz="0" w:space="0" w:color="auto"/>
        <w:right w:val="none" w:sz="0" w:space="0" w:color="auto"/>
      </w:divBdr>
      <w:divsChild>
        <w:div w:id="720860920">
          <w:marLeft w:val="0"/>
          <w:marRight w:val="0"/>
          <w:marTop w:val="0"/>
          <w:marBottom w:val="0"/>
          <w:divBdr>
            <w:top w:val="none" w:sz="0" w:space="0" w:color="auto"/>
            <w:left w:val="none" w:sz="0" w:space="0" w:color="auto"/>
            <w:bottom w:val="none" w:sz="0" w:space="0" w:color="auto"/>
            <w:right w:val="none" w:sz="0" w:space="0" w:color="auto"/>
          </w:divBdr>
        </w:div>
        <w:div w:id="919563333">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994013">
      <w:bodyDiv w:val="1"/>
      <w:marLeft w:val="0"/>
      <w:marRight w:val="0"/>
      <w:marTop w:val="0"/>
      <w:marBottom w:val="0"/>
      <w:divBdr>
        <w:top w:val="none" w:sz="0" w:space="0" w:color="auto"/>
        <w:left w:val="none" w:sz="0" w:space="0" w:color="auto"/>
        <w:bottom w:val="none" w:sz="0" w:space="0" w:color="auto"/>
        <w:right w:val="none" w:sz="0" w:space="0" w:color="auto"/>
      </w:divBdr>
    </w:div>
    <w:div w:id="1172334981">
      <w:bodyDiv w:val="1"/>
      <w:marLeft w:val="0"/>
      <w:marRight w:val="0"/>
      <w:marTop w:val="0"/>
      <w:marBottom w:val="0"/>
      <w:divBdr>
        <w:top w:val="none" w:sz="0" w:space="0" w:color="auto"/>
        <w:left w:val="none" w:sz="0" w:space="0" w:color="auto"/>
        <w:bottom w:val="none" w:sz="0" w:space="0" w:color="auto"/>
        <w:right w:val="none" w:sz="0" w:space="0" w:color="auto"/>
      </w:divBdr>
    </w:div>
    <w:div w:id="1222597317">
      <w:bodyDiv w:val="1"/>
      <w:marLeft w:val="0"/>
      <w:marRight w:val="0"/>
      <w:marTop w:val="0"/>
      <w:marBottom w:val="0"/>
      <w:divBdr>
        <w:top w:val="none" w:sz="0" w:space="0" w:color="auto"/>
        <w:left w:val="none" w:sz="0" w:space="0" w:color="auto"/>
        <w:bottom w:val="none" w:sz="0" w:space="0" w:color="auto"/>
        <w:right w:val="none" w:sz="0" w:space="0" w:color="auto"/>
      </w:divBdr>
      <w:divsChild>
        <w:div w:id="155918360">
          <w:marLeft w:val="0"/>
          <w:marRight w:val="0"/>
          <w:marTop w:val="0"/>
          <w:marBottom w:val="0"/>
          <w:divBdr>
            <w:top w:val="none" w:sz="0" w:space="0" w:color="auto"/>
            <w:left w:val="none" w:sz="0" w:space="0" w:color="auto"/>
            <w:bottom w:val="none" w:sz="0" w:space="0" w:color="auto"/>
            <w:right w:val="none" w:sz="0" w:space="0" w:color="auto"/>
          </w:divBdr>
        </w:div>
        <w:div w:id="1115438890">
          <w:marLeft w:val="0"/>
          <w:marRight w:val="0"/>
          <w:marTop w:val="0"/>
          <w:marBottom w:val="0"/>
          <w:divBdr>
            <w:top w:val="none" w:sz="0" w:space="0" w:color="auto"/>
            <w:left w:val="none" w:sz="0" w:space="0" w:color="auto"/>
            <w:bottom w:val="none" w:sz="0" w:space="0" w:color="auto"/>
            <w:right w:val="none" w:sz="0" w:space="0" w:color="auto"/>
          </w:divBdr>
        </w:div>
        <w:div w:id="1215191857">
          <w:marLeft w:val="0"/>
          <w:marRight w:val="0"/>
          <w:marTop w:val="0"/>
          <w:marBottom w:val="0"/>
          <w:divBdr>
            <w:top w:val="none" w:sz="0" w:space="0" w:color="auto"/>
            <w:left w:val="none" w:sz="0" w:space="0" w:color="auto"/>
            <w:bottom w:val="none" w:sz="0" w:space="0" w:color="auto"/>
            <w:right w:val="none" w:sz="0" w:space="0" w:color="auto"/>
          </w:divBdr>
        </w:div>
      </w:divsChild>
    </w:div>
    <w:div w:id="1268387607">
      <w:bodyDiv w:val="1"/>
      <w:marLeft w:val="0"/>
      <w:marRight w:val="0"/>
      <w:marTop w:val="0"/>
      <w:marBottom w:val="0"/>
      <w:divBdr>
        <w:top w:val="none" w:sz="0" w:space="0" w:color="auto"/>
        <w:left w:val="none" w:sz="0" w:space="0" w:color="auto"/>
        <w:bottom w:val="none" w:sz="0" w:space="0" w:color="auto"/>
        <w:right w:val="none" w:sz="0" w:space="0" w:color="auto"/>
      </w:divBdr>
    </w:div>
    <w:div w:id="130157178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789663">
      <w:bodyDiv w:val="1"/>
      <w:marLeft w:val="0"/>
      <w:marRight w:val="0"/>
      <w:marTop w:val="0"/>
      <w:marBottom w:val="0"/>
      <w:divBdr>
        <w:top w:val="none" w:sz="0" w:space="0" w:color="auto"/>
        <w:left w:val="none" w:sz="0" w:space="0" w:color="auto"/>
        <w:bottom w:val="none" w:sz="0" w:space="0" w:color="auto"/>
        <w:right w:val="none" w:sz="0" w:space="0" w:color="auto"/>
      </w:divBdr>
      <w:divsChild>
        <w:div w:id="863904259">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3450651">
      <w:bodyDiv w:val="1"/>
      <w:marLeft w:val="0"/>
      <w:marRight w:val="0"/>
      <w:marTop w:val="0"/>
      <w:marBottom w:val="0"/>
      <w:divBdr>
        <w:top w:val="none" w:sz="0" w:space="0" w:color="auto"/>
        <w:left w:val="none" w:sz="0" w:space="0" w:color="auto"/>
        <w:bottom w:val="none" w:sz="0" w:space="0" w:color="auto"/>
        <w:right w:val="none" w:sz="0" w:space="0" w:color="auto"/>
      </w:divBdr>
      <w:divsChild>
        <w:div w:id="709497707">
          <w:marLeft w:val="0"/>
          <w:marRight w:val="0"/>
          <w:marTop w:val="0"/>
          <w:marBottom w:val="0"/>
          <w:divBdr>
            <w:top w:val="none" w:sz="0" w:space="0" w:color="auto"/>
            <w:left w:val="none" w:sz="0" w:space="0" w:color="auto"/>
            <w:bottom w:val="none" w:sz="0" w:space="0" w:color="auto"/>
            <w:right w:val="none" w:sz="0" w:space="0" w:color="auto"/>
          </w:divBdr>
        </w:div>
        <w:div w:id="2001233882">
          <w:marLeft w:val="0"/>
          <w:marRight w:val="0"/>
          <w:marTop w:val="0"/>
          <w:marBottom w:val="0"/>
          <w:divBdr>
            <w:top w:val="none" w:sz="0" w:space="0" w:color="auto"/>
            <w:left w:val="none" w:sz="0" w:space="0" w:color="auto"/>
            <w:bottom w:val="none" w:sz="0" w:space="0" w:color="auto"/>
            <w:right w:val="none" w:sz="0" w:space="0" w:color="auto"/>
          </w:divBdr>
        </w:div>
        <w:div w:id="2133747111">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0981922">
      <w:bodyDiv w:val="1"/>
      <w:marLeft w:val="0"/>
      <w:marRight w:val="0"/>
      <w:marTop w:val="0"/>
      <w:marBottom w:val="0"/>
      <w:divBdr>
        <w:top w:val="none" w:sz="0" w:space="0" w:color="auto"/>
        <w:left w:val="none" w:sz="0" w:space="0" w:color="auto"/>
        <w:bottom w:val="none" w:sz="0" w:space="0" w:color="auto"/>
        <w:right w:val="none" w:sz="0" w:space="0" w:color="auto"/>
      </w:divBdr>
      <w:divsChild>
        <w:div w:id="601452311">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health.vic.gov.au/immunisation/vaccination-for-healthcare-workers" TargetMode="External"/><Relationship Id="rId34" Type="http://schemas.openxmlformats.org/officeDocument/2006/relationships/hyperlink" Target="https://www.vicniss.org.au/healthcare-workers/modules/acute-modules/influenza-vaccination-healthcare-worker-hcw/" TargetMode="External"/><Relationship Id="rId42"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s://www.ncirs.org.au/covid-19/covid-19-vaccine-development-landscape" TargetMode="External"/><Relationship Id="rId38" Type="http://schemas.openxmlformats.org/officeDocument/2006/relationships/hyperlink" Target="https://www.health.vic.gov.au/immunisation/vaccination-for-healthcare-worker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mmunisationhandbook.health.gov.au/contents/vaccine-preventable-diseases/influenza-flu" TargetMode="External"/><Relationship Id="rId32" Type="http://schemas.openxmlformats.org/officeDocument/2006/relationships/hyperlink" Target="https://www.health.gov.au/initiatives-and-programs/covid-19-vaccines/advice-for-providers/clinical-guidance/contraindications-and-precautions" TargetMode="External"/><Relationship Id="rId37" Type="http://schemas.openxmlformats.org/officeDocument/2006/relationships/hyperlink" Target="https://www.health.vic.gov.au/immunisation/vaccination-for-healthcare-workers"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ealth.gov.au/initiatives-and-programs/covid-19-vaccines/advice-for-providers/clinical-guidance/contraindications-and-precautions" TargetMode="External"/><Relationship Id="rId28" Type="http://schemas.openxmlformats.org/officeDocument/2006/relationships/footer" Target="footer8.xml"/><Relationship Id="rId36"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dhhsvicgovau.sharepoint.com/sites/RHPEMImmunisationUnit-DHHS-GRP/Shared%20Documents/Immunisation%20Projects%20and%20Policy/Mandatory%20vaccination%20of%20Healthcare%20worker%20legislation/COVID%20mandate/Policy%20Guidance%20Document/Interim%20Policy%20Guidance%20Document/%20here" TargetMode="Externa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gov.au/resources/publications/atagi-expanded-guidance-on-temporary-medical-exemptions-for-covid-19-vaccines" TargetMode="External"/><Relationship Id="rId27" Type="http://schemas.openxmlformats.org/officeDocument/2006/relationships/footer" Target="footer7.xml"/><Relationship Id="rId30" Type="http://schemas.openxmlformats.org/officeDocument/2006/relationships/hyperlink" Target="https://immunisationhandbook.health.gov.au/contents/vaccine-preventable-diseases/influenza-flu" TargetMode="External"/><Relationship Id="rId35" Type="http://schemas.openxmlformats.org/officeDocument/2006/relationships/hyperlink" Target="https://www.vicniss.org.au/healthcare-workers/modules/acute-modules/influenza-vaccination-healthcare-worker-hcw/" TargetMode="Externa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Christabelle Adjoyan (Health)</DisplayName>
        <AccountId>938</AccountId>
        <AccountType/>
      </UserInfo>
      <UserInfo>
        <DisplayName>Kate Gilbert (Health)</DisplayName>
        <AccountId>422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49EB-DFA5-4F7B-BD4F-13396CF4D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2A50B-651E-4BB2-B607-AA75C0CF3DF8}">
  <ds:schemaRefs>
    <ds:schemaRef ds:uri="http://schemas.microsoft.com/sharepoint/v3/contenttype/forms"/>
  </ds:schemaRefs>
</ds:datastoreItem>
</file>

<file path=customXml/itemProps3.xml><?xml version="1.0" encoding="utf-8"?>
<ds:datastoreItem xmlns:ds="http://schemas.openxmlformats.org/officeDocument/2006/customXml" ds:itemID="{D5E8B10C-8926-49C3-8A79-1492DDAF59EA}">
  <ds:schemaRefs>
    <ds:schemaRef ds:uri="http://purl.org/dc/dcmitype/"/>
    <ds:schemaRef ds:uri="http://schemas.microsoft.com/office/2006/documentManagement/types"/>
    <ds:schemaRef ds:uri="5ce0f2b5-5be5-4508-bce9-d7011ece0659"/>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http://schemas.microsoft.com/office/infopath/2007/PartnerControls"/>
    <ds:schemaRef ds:uri="56f13c3b-1a5e-4b20-8813-0ef8710fa369"/>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7817</Words>
  <Characters>44558</Characters>
  <Application>Microsoft Office Word</Application>
  <DocSecurity>0</DocSecurity>
  <Lines>371</Lines>
  <Paragraphs>104</Paragraphs>
  <ScaleCrop>false</ScaleCrop>
  <Manager/>
  <Company/>
  <LinksUpToDate>false</LinksUpToDate>
  <CharactersWithSpaces>52271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of Healthcare Workers Policy Guidance 2022</dc:title>
  <dc:subject/>
  <dc:creator/>
  <cp:keywords>COVID, vaccination, healthcare workers</cp:keywords>
  <dc:description/>
  <cp:lastModifiedBy/>
  <cp:revision>1</cp:revision>
  <dcterms:created xsi:type="dcterms:W3CDTF">2023-04-11T03:51:00Z</dcterms:created>
  <dcterms:modified xsi:type="dcterms:W3CDTF">2023-04-11T05:50:00Z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2023-04-11T05:50:19Z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fa6909be-3dc5-4247-b812-b93c0f0b4108</vt:lpwstr>
  </property>
  <property fmtid="{D5CDD505-2E9C-101B-9397-08002B2CF9AE}" pid="10" name="MSIP_Label_43e64453-338c-4f93-8a4d-0039a0a41f2a_ContentBits">
    <vt:lpwstr>2</vt:lpwstr>
  </property>
</Properties>
</file>