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12C5"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30602E9D" wp14:editId="74E9032A">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C6DFFD0"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64844D7" w14:textId="77777777" w:rsidTr="00B07FF7">
        <w:trPr>
          <w:trHeight w:val="622"/>
        </w:trPr>
        <w:tc>
          <w:tcPr>
            <w:tcW w:w="10348" w:type="dxa"/>
            <w:tcMar>
              <w:top w:w="1531" w:type="dxa"/>
              <w:left w:w="0" w:type="dxa"/>
              <w:right w:w="0" w:type="dxa"/>
            </w:tcMar>
          </w:tcPr>
          <w:p w14:paraId="42FB85C9" w14:textId="781A27B3" w:rsidR="003B5733" w:rsidRPr="003B5733" w:rsidRDefault="00CA450C" w:rsidP="003B5733">
            <w:pPr>
              <w:pStyle w:val="Documenttitle"/>
            </w:pPr>
            <w:r>
              <w:t>Approved Client Groups</w:t>
            </w:r>
          </w:p>
        </w:tc>
      </w:tr>
      <w:tr w:rsidR="003B5733" w14:paraId="6DD43FEE" w14:textId="77777777" w:rsidTr="00B07FF7">
        <w:tc>
          <w:tcPr>
            <w:tcW w:w="10348" w:type="dxa"/>
          </w:tcPr>
          <w:p w14:paraId="5D85B742" w14:textId="2FF97DBB" w:rsidR="003B5733" w:rsidRPr="00A1389F" w:rsidRDefault="00CA450C" w:rsidP="00CA450C">
            <w:pPr>
              <w:pStyle w:val="Documentsubtitle"/>
            </w:pPr>
            <w:r w:rsidRPr="00CA450C">
              <w:t>Approved client groups for vaccination by nurse immunisers</w:t>
            </w:r>
          </w:p>
        </w:tc>
      </w:tr>
      <w:tr w:rsidR="003B5733" w14:paraId="2477C1A9" w14:textId="77777777" w:rsidTr="00B07FF7">
        <w:tc>
          <w:tcPr>
            <w:tcW w:w="10348" w:type="dxa"/>
          </w:tcPr>
          <w:p w14:paraId="02A58F51" w14:textId="77777777" w:rsidR="003B5733" w:rsidRPr="001E5058" w:rsidRDefault="00000000" w:rsidP="001E5058">
            <w:pPr>
              <w:pStyle w:val="Bannermarking"/>
            </w:pPr>
            <w:fldSimple w:instr="FILLIN  &quot;Type the protective marking&quot; \d OFFICIAL \o  \* MERGEFORMAT">
              <w:r w:rsidR="00CA450C">
                <w:t>OFFICIAL</w:t>
              </w:r>
            </w:fldSimple>
          </w:p>
        </w:tc>
      </w:tr>
    </w:tbl>
    <w:p w14:paraId="214D42D2" w14:textId="77777777" w:rsidR="00AD784C" w:rsidRPr="00B57329" w:rsidRDefault="00AD784C" w:rsidP="002365B4">
      <w:pPr>
        <w:pStyle w:val="TOCheadingfactsheet"/>
      </w:pPr>
      <w:r w:rsidRPr="00B57329">
        <w:t>Contents</w:t>
      </w:r>
    </w:p>
    <w:p w14:paraId="1F78B340" w14:textId="6EC4A1E9" w:rsidR="00412B5A"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3481701" w:history="1">
        <w:r w:rsidR="00412B5A" w:rsidRPr="00746EBC">
          <w:rPr>
            <w:rStyle w:val="Hyperlink"/>
          </w:rPr>
          <w:t>Approved client groups</w:t>
        </w:r>
        <w:r w:rsidR="00412B5A">
          <w:rPr>
            <w:webHidden/>
          </w:rPr>
          <w:tab/>
        </w:r>
        <w:r w:rsidR="00412B5A">
          <w:rPr>
            <w:webHidden/>
          </w:rPr>
          <w:fldChar w:fldCharType="begin"/>
        </w:r>
        <w:r w:rsidR="00412B5A">
          <w:rPr>
            <w:webHidden/>
          </w:rPr>
          <w:instrText xml:space="preserve"> PAGEREF _Toc133481701 \h </w:instrText>
        </w:r>
        <w:r w:rsidR="00412B5A">
          <w:rPr>
            <w:webHidden/>
          </w:rPr>
        </w:r>
        <w:r w:rsidR="00412B5A">
          <w:rPr>
            <w:webHidden/>
          </w:rPr>
          <w:fldChar w:fldCharType="separate"/>
        </w:r>
        <w:r w:rsidR="00412B5A">
          <w:rPr>
            <w:webHidden/>
          </w:rPr>
          <w:t>2</w:t>
        </w:r>
        <w:r w:rsidR="00412B5A">
          <w:rPr>
            <w:webHidden/>
          </w:rPr>
          <w:fldChar w:fldCharType="end"/>
        </w:r>
      </w:hyperlink>
    </w:p>
    <w:p w14:paraId="74815612" w14:textId="04FB3309" w:rsidR="00412B5A" w:rsidRDefault="00000000">
      <w:pPr>
        <w:pStyle w:val="TOC2"/>
        <w:rPr>
          <w:rFonts w:asciiTheme="minorHAnsi" w:eastAsiaTheme="minorEastAsia" w:hAnsiTheme="minorHAnsi" w:cstheme="minorBidi"/>
          <w:sz w:val="22"/>
          <w:szCs w:val="22"/>
          <w:lang w:eastAsia="en-AU"/>
        </w:rPr>
      </w:pPr>
      <w:hyperlink w:anchor="_Toc133481702" w:history="1">
        <w:r w:rsidR="00412B5A" w:rsidRPr="00746EBC">
          <w:rPr>
            <w:rStyle w:val="Hyperlink"/>
          </w:rPr>
          <w:t>Diphtheria</w:t>
        </w:r>
        <w:r w:rsidR="00412B5A">
          <w:rPr>
            <w:webHidden/>
          </w:rPr>
          <w:tab/>
        </w:r>
        <w:r w:rsidR="00412B5A">
          <w:rPr>
            <w:webHidden/>
          </w:rPr>
          <w:fldChar w:fldCharType="begin"/>
        </w:r>
        <w:r w:rsidR="00412B5A">
          <w:rPr>
            <w:webHidden/>
          </w:rPr>
          <w:instrText xml:space="preserve"> PAGEREF _Toc133481702 \h </w:instrText>
        </w:r>
        <w:r w:rsidR="00412B5A">
          <w:rPr>
            <w:webHidden/>
          </w:rPr>
        </w:r>
        <w:r w:rsidR="00412B5A">
          <w:rPr>
            <w:webHidden/>
          </w:rPr>
          <w:fldChar w:fldCharType="separate"/>
        </w:r>
        <w:r w:rsidR="00412B5A">
          <w:rPr>
            <w:webHidden/>
          </w:rPr>
          <w:t>2</w:t>
        </w:r>
        <w:r w:rsidR="00412B5A">
          <w:rPr>
            <w:webHidden/>
          </w:rPr>
          <w:fldChar w:fldCharType="end"/>
        </w:r>
      </w:hyperlink>
    </w:p>
    <w:p w14:paraId="20CFD6BE" w14:textId="1E033014" w:rsidR="00412B5A" w:rsidRDefault="00000000">
      <w:pPr>
        <w:pStyle w:val="TOC2"/>
        <w:rPr>
          <w:rFonts w:asciiTheme="minorHAnsi" w:eastAsiaTheme="minorEastAsia" w:hAnsiTheme="minorHAnsi" w:cstheme="minorBidi"/>
          <w:sz w:val="22"/>
          <w:szCs w:val="22"/>
          <w:lang w:eastAsia="en-AU"/>
        </w:rPr>
      </w:pPr>
      <w:hyperlink w:anchor="_Toc133481703" w:history="1">
        <w:r w:rsidR="00412B5A" w:rsidRPr="00746EBC">
          <w:rPr>
            <w:rStyle w:val="Hyperlink"/>
          </w:rPr>
          <w:t>Tetanus</w:t>
        </w:r>
        <w:r w:rsidR="00412B5A">
          <w:rPr>
            <w:webHidden/>
          </w:rPr>
          <w:tab/>
        </w:r>
        <w:r w:rsidR="00412B5A">
          <w:rPr>
            <w:webHidden/>
          </w:rPr>
          <w:fldChar w:fldCharType="begin"/>
        </w:r>
        <w:r w:rsidR="00412B5A">
          <w:rPr>
            <w:webHidden/>
          </w:rPr>
          <w:instrText xml:space="preserve"> PAGEREF _Toc133481703 \h </w:instrText>
        </w:r>
        <w:r w:rsidR="00412B5A">
          <w:rPr>
            <w:webHidden/>
          </w:rPr>
        </w:r>
        <w:r w:rsidR="00412B5A">
          <w:rPr>
            <w:webHidden/>
          </w:rPr>
          <w:fldChar w:fldCharType="separate"/>
        </w:r>
        <w:r w:rsidR="00412B5A">
          <w:rPr>
            <w:webHidden/>
          </w:rPr>
          <w:t>2</w:t>
        </w:r>
        <w:r w:rsidR="00412B5A">
          <w:rPr>
            <w:webHidden/>
          </w:rPr>
          <w:fldChar w:fldCharType="end"/>
        </w:r>
      </w:hyperlink>
    </w:p>
    <w:p w14:paraId="606E0792" w14:textId="35F36B9D" w:rsidR="00412B5A" w:rsidRDefault="00000000">
      <w:pPr>
        <w:pStyle w:val="TOC2"/>
        <w:rPr>
          <w:rFonts w:asciiTheme="minorHAnsi" w:eastAsiaTheme="minorEastAsia" w:hAnsiTheme="minorHAnsi" w:cstheme="minorBidi"/>
          <w:sz w:val="22"/>
          <w:szCs w:val="22"/>
          <w:lang w:eastAsia="en-AU"/>
        </w:rPr>
      </w:pPr>
      <w:hyperlink w:anchor="_Toc133481704" w:history="1">
        <w:r w:rsidR="00412B5A" w:rsidRPr="00746EBC">
          <w:rPr>
            <w:rStyle w:val="Hyperlink"/>
          </w:rPr>
          <w:t>Pertussis</w:t>
        </w:r>
        <w:r w:rsidR="00412B5A">
          <w:rPr>
            <w:webHidden/>
          </w:rPr>
          <w:tab/>
        </w:r>
        <w:r w:rsidR="00412B5A">
          <w:rPr>
            <w:webHidden/>
          </w:rPr>
          <w:fldChar w:fldCharType="begin"/>
        </w:r>
        <w:r w:rsidR="00412B5A">
          <w:rPr>
            <w:webHidden/>
          </w:rPr>
          <w:instrText xml:space="preserve"> PAGEREF _Toc133481704 \h </w:instrText>
        </w:r>
        <w:r w:rsidR="00412B5A">
          <w:rPr>
            <w:webHidden/>
          </w:rPr>
        </w:r>
        <w:r w:rsidR="00412B5A">
          <w:rPr>
            <w:webHidden/>
          </w:rPr>
          <w:fldChar w:fldCharType="separate"/>
        </w:r>
        <w:r w:rsidR="00412B5A">
          <w:rPr>
            <w:webHidden/>
          </w:rPr>
          <w:t>2</w:t>
        </w:r>
        <w:r w:rsidR="00412B5A">
          <w:rPr>
            <w:webHidden/>
          </w:rPr>
          <w:fldChar w:fldCharType="end"/>
        </w:r>
      </w:hyperlink>
    </w:p>
    <w:p w14:paraId="78254FFE" w14:textId="22E3FD47" w:rsidR="00412B5A" w:rsidRDefault="00000000">
      <w:pPr>
        <w:pStyle w:val="TOC2"/>
        <w:rPr>
          <w:rFonts w:asciiTheme="minorHAnsi" w:eastAsiaTheme="minorEastAsia" w:hAnsiTheme="minorHAnsi" w:cstheme="minorBidi"/>
          <w:sz w:val="22"/>
          <w:szCs w:val="22"/>
          <w:lang w:eastAsia="en-AU"/>
        </w:rPr>
      </w:pPr>
      <w:hyperlink w:anchor="_Toc133481705" w:history="1">
        <w:r w:rsidR="00412B5A" w:rsidRPr="00746EBC">
          <w:rPr>
            <w:rStyle w:val="Hyperlink"/>
          </w:rPr>
          <w:t>Measles</w:t>
        </w:r>
        <w:r w:rsidR="00412B5A">
          <w:rPr>
            <w:webHidden/>
          </w:rPr>
          <w:tab/>
        </w:r>
        <w:r w:rsidR="00412B5A">
          <w:rPr>
            <w:webHidden/>
          </w:rPr>
          <w:fldChar w:fldCharType="begin"/>
        </w:r>
        <w:r w:rsidR="00412B5A">
          <w:rPr>
            <w:webHidden/>
          </w:rPr>
          <w:instrText xml:space="preserve"> PAGEREF _Toc133481705 \h </w:instrText>
        </w:r>
        <w:r w:rsidR="00412B5A">
          <w:rPr>
            <w:webHidden/>
          </w:rPr>
        </w:r>
        <w:r w:rsidR="00412B5A">
          <w:rPr>
            <w:webHidden/>
          </w:rPr>
          <w:fldChar w:fldCharType="separate"/>
        </w:r>
        <w:r w:rsidR="00412B5A">
          <w:rPr>
            <w:webHidden/>
          </w:rPr>
          <w:t>4</w:t>
        </w:r>
        <w:r w:rsidR="00412B5A">
          <w:rPr>
            <w:webHidden/>
          </w:rPr>
          <w:fldChar w:fldCharType="end"/>
        </w:r>
      </w:hyperlink>
    </w:p>
    <w:p w14:paraId="4A7AA8F3" w14:textId="0BA73A01" w:rsidR="00412B5A" w:rsidRDefault="00000000">
      <w:pPr>
        <w:pStyle w:val="TOC2"/>
        <w:rPr>
          <w:rFonts w:asciiTheme="minorHAnsi" w:eastAsiaTheme="minorEastAsia" w:hAnsiTheme="minorHAnsi" w:cstheme="minorBidi"/>
          <w:sz w:val="22"/>
          <w:szCs w:val="22"/>
          <w:lang w:eastAsia="en-AU"/>
        </w:rPr>
      </w:pPr>
      <w:hyperlink w:anchor="_Toc133481706" w:history="1">
        <w:r w:rsidR="00412B5A" w:rsidRPr="00746EBC">
          <w:rPr>
            <w:rStyle w:val="Hyperlink"/>
          </w:rPr>
          <w:t>Mumps</w:t>
        </w:r>
        <w:r w:rsidR="00412B5A">
          <w:rPr>
            <w:webHidden/>
          </w:rPr>
          <w:tab/>
        </w:r>
        <w:r w:rsidR="00412B5A">
          <w:rPr>
            <w:webHidden/>
          </w:rPr>
          <w:fldChar w:fldCharType="begin"/>
        </w:r>
        <w:r w:rsidR="00412B5A">
          <w:rPr>
            <w:webHidden/>
          </w:rPr>
          <w:instrText xml:space="preserve"> PAGEREF _Toc133481706 \h </w:instrText>
        </w:r>
        <w:r w:rsidR="00412B5A">
          <w:rPr>
            <w:webHidden/>
          </w:rPr>
        </w:r>
        <w:r w:rsidR="00412B5A">
          <w:rPr>
            <w:webHidden/>
          </w:rPr>
          <w:fldChar w:fldCharType="separate"/>
        </w:r>
        <w:r w:rsidR="00412B5A">
          <w:rPr>
            <w:webHidden/>
          </w:rPr>
          <w:t>4</w:t>
        </w:r>
        <w:r w:rsidR="00412B5A">
          <w:rPr>
            <w:webHidden/>
          </w:rPr>
          <w:fldChar w:fldCharType="end"/>
        </w:r>
      </w:hyperlink>
    </w:p>
    <w:p w14:paraId="5EB05ED9" w14:textId="2CE1E113" w:rsidR="00412B5A" w:rsidRDefault="00000000">
      <w:pPr>
        <w:pStyle w:val="TOC2"/>
        <w:rPr>
          <w:rFonts w:asciiTheme="minorHAnsi" w:eastAsiaTheme="minorEastAsia" w:hAnsiTheme="minorHAnsi" w:cstheme="minorBidi"/>
          <w:sz w:val="22"/>
          <w:szCs w:val="22"/>
          <w:lang w:eastAsia="en-AU"/>
        </w:rPr>
      </w:pPr>
      <w:hyperlink w:anchor="_Toc133481707" w:history="1">
        <w:r w:rsidR="00412B5A" w:rsidRPr="00746EBC">
          <w:rPr>
            <w:rStyle w:val="Hyperlink"/>
          </w:rPr>
          <w:t>Rubella</w:t>
        </w:r>
        <w:r w:rsidR="00412B5A">
          <w:rPr>
            <w:webHidden/>
          </w:rPr>
          <w:tab/>
        </w:r>
        <w:r w:rsidR="00412B5A">
          <w:rPr>
            <w:webHidden/>
          </w:rPr>
          <w:fldChar w:fldCharType="begin"/>
        </w:r>
        <w:r w:rsidR="00412B5A">
          <w:rPr>
            <w:webHidden/>
          </w:rPr>
          <w:instrText xml:space="preserve"> PAGEREF _Toc133481707 \h </w:instrText>
        </w:r>
        <w:r w:rsidR="00412B5A">
          <w:rPr>
            <w:webHidden/>
          </w:rPr>
        </w:r>
        <w:r w:rsidR="00412B5A">
          <w:rPr>
            <w:webHidden/>
          </w:rPr>
          <w:fldChar w:fldCharType="separate"/>
        </w:r>
        <w:r w:rsidR="00412B5A">
          <w:rPr>
            <w:webHidden/>
          </w:rPr>
          <w:t>4</w:t>
        </w:r>
        <w:r w:rsidR="00412B5A">
          <w:rPr>
            <w:webHidden/>
          </w:rPr>
          <w:fldChar w:fldCharType="end"/>
        </w:r>
      </w:hyperlink>
    </w:p>
    <w:p w14:paraId="2F338C3D" w14:textId="67FDE9D3" w:rsidR="00412B5A" w:rsidRDefault="00000000">
      <w:pPr>
        <w:pStyle w:val="TOC2"/>
        <w:rPr>
          <w:rFonts w:asciiTheme="minorHAnsi" w:eastAsiaTheme="minorEastAsia" w:hAnsiTheme="minorHAnsi" w:cstheme="minorBidi"/>
          <w:sz w:val="22"/>
          <w:szCs w:val="22"/>
          <w:lang w:eastAsia="en-AU"/>
        </w:rPr>
      </w:pPr>
      <w:hyperlink w:anchor="_Toc133481708" w:history="1">
        <w:r w:rsidR="00412B5A" w:rsidRPr="00746EBC">
          <w:rPr>
            <w:rStyle w:val="Hyperlink"/>
          </w:rPr>
          <w:t>Poliomyelitis</w:t>
        </w:r>
        <w:r w:rsidR="00412B5A">
          <w:rPr>
            <w:webHidden/>
          </w:rPr>
          <w:tab/>
        </w:r>
        <w:r w:rsidR="00412B5A">
          <w:rPr>
            <w:webHidden/>
          </w:rPr>
          <w:fldChar w:fldCharType="begin"/>
        </w:r>
        <w:r w:rsidR="00412B5A">
          <w:rPr>
            <w:webHidden/>
          </w:rPr>
          <w:instrText xml:space="preserve"> PAGEREF _Toc133481708 \h </w:instrText>
        </w:r>
        <w:r w:rsidR="00412B5A">
          <w:rPr>
            <w:webHidden/>
          </w:rPr>
        </w:r>
        <w:r w:rsidR="00412B5A">
          <w:rPr>
            <w:webHidden/>
          </w:rPr>
          <w:fldChar w:fldCharType="separate"/>
        </w:r>
        <w:r w:rsidR="00412B5A">
          <w:rPr>
            <w:webHidden/>
          </w:rPr>
          <w:t>5</w:t>
        </w:r>
        <w:r w:rsidR="00412B5A">
          <w:rPr>
            <w:webHidden/>
          </w:rPr>
          <w:fldChar w:fldCharType="end"/>
        </w:r>
      </w:hyperlink>
    </w:p>
    <w:p w14:paraId="6797DF18" w14:textId="15117F00" w:rsidR="00412B5A" w:rsidRDefault="00000000">
      <w:pPr>
        <w:pStyle w:val="TOC2"/>
        <w:rPr>
          <w:rFonts w:asciiTheme="minorHAnsi" w:eastAsiaTheme="minorEastAsia" w:hAnsiTheme="minorHAnsi" w:cstheme="minorBidi"/>
          <w:sz w:val="22"/>
          <w:szCs w:val="22"/>
          <w:lang w:eastAsia="en-AU"/>
        </w:rPr>
      </w:pPr>
      <w:hyperlink w:anchor="_Toc133481709" w:history="1">
        <w:r w:rsidR="00412B5A" w:rsidRPr="00746EBC">
          <w:rPr>
            <w:rStyle w:val="Hyperlink"/>
          </w:rPr>
          <w:t>Haemophilus influenzae type b</w:t>
        </w:r>
        <w:r w:rsidR="00412B5A">
          <w:rPr>
            <w:webHidden/>
          </w:rPr>
          <w:tab/>
        </w:r>
        <w:r w:rsidR="00412B5A">
          <w:rPr>
            <w:webHidden/>
          </w:rPr>
          <w:fldChar w:fldCharType="begin"/>
        </w:r>
        <w:r w:rsidR="00412B5A">
          <w:rPr>
            <w:webHidden/>
          </w:rPr>
          <w:instrText xml:space="preserve"> PAGEREF _Toc133481709 \h </w:instrText>
        </w:r>
        <w:r w:rsidR="00412B5A">
          <w:rPr>
            <w:webHidden/>
          </w:rPr>
        </w:r>
        <w:r w:rsidR="00412B5A">
          <w:rPr>
            <w:webHidden/>
          </w:rPr>
          <w:fldChar w:fldCharType="separate"/>
        </w:r>
        <w:r w:rsidR="00412B5A">
          <w:rPr>
            <w:webHidden/>
          </w:rPr>
          <w:t>5</w:t>
        </w:r>
        <w:r w:rsidR="00412B5A">
          <w:rPr>
            <w:webHidden/>
          </w:rPr>
          <w:fldChar w:fldCharType="end"/>
        </w:r>
      </w:hyperlink>
    </w:p>
    <w:p w14:paraId="48567AE1" w14:textId="57757DCE" w:rsidR="00412B5A" w:rsidRDefault="00000000">
      <w:pPr>
        <w:pStyle w:val="TOC2"/>
        <w:rPr>
          <w:rFonts w:asciiTheme="minorHAnsi" w:eastAsiaTheme="minorEastAsia" w:hAnsiTheme="minorHAnsi" w:cstheme="minorBidi"/>
          <w:sz w:val="22"/>
          <w:szCs w:val="22"/>
          <w:lang w:eastAsia="en-AU"/>
        </w:rPr>
      </w:pPr>
      <w:hyperlink w:anchor="_Toc133481710" w:history="1">
        <w:r w:rsidR="00412B5A" w:rsidRPr="00746EBC">
          <w:rPr>
            <w:rStyle w:val="Hyperlink"/>
          </w:rPr>
          <w:t>Hepatitis B</w:t>
        </w:r>
        <w:r w:rsidR="00412B5A">
          <w:rPr>
            <w:webHidden/>
          </w:rPr>
          <w:tab/>
        </w:r>
        <w:r w:rsidR="00412B5A">
          <w:rPr>
            <w:webHidden/>
          </w:rPr>
          <w:fldChar w:fldCharType="begin"/>
        </w:r>
        <w:r w:rsidR="00412B5A">
          <w:rPr>
            <w:webHidden/>
          </w:rPr>
          <w:instrText xml:space="preserve"> PAGEREF _Toc133481710 \h </w:instrText>
        </w:r>
        <w:r w:rsidR="00412B5A">
          <w:rPr>
            <w:webHidden/>
          </w:rPr>
        </w:r>
        <w:r w:rsidR="00412B5A">
          <w:rPr>
            <w:webHidden/>
          </w:rPr>
          <w:fldChar w:fldCharType="separate"/>
        </w:r>
        <w:r w:rsidR="00412B5A">
          <w:rPr>
            <w:webHidden/>
          </w:rPr>
          <w:t>5</w:t>
        </w:r>
        <w:r w:rsidR="00412B5A">
          <w:rPr>
            <w:webHidden/>
          </w:rPr>
          <w:fldChar w:fldCharType="end"/>
        </w:r>
      </w:hyperlink>
    </w:p>
    <w:p w14:paraId="38B4D771" w14:textId="71CCB1DC" w:rsidR="00412B5A" w:rsidRDefault="00000000">
      <w:pPr>
        <w:pStyle w:val="TOC2"/>
        <w:rPr>
          <w:rFonts w:asciiTheme="minorHAnsi" w:eastAsiaTheme="minorEastAsia" w:hAnsiTheme="minorHAnsi" w:cstheme="minorBidi"/>
          <w:sz w:val="22"/>
          <w:szCs w:val="22"/>
          <w:lang w:eastAsia="en-AU"/>
        </w:rPr>
      </w:pPr>
      <w:hyperlink w:anchor="_Toc133481711" w:history="1">
        <w:r w:rsidR="00412B5A" w:rsidRPr="00746EBC">
          <w:rPr>
            <w:rStyle w:val="Hyperlink"/>
          </w:rPr>
          <w:t>Hepatitis A</w:t>
        </w:r>
        <w:r w:rsidR="00412B5A">
          <w:rPr>
            <w:webHidden/>
          </w:rPr>
          <w:tab/>
        </w:r>
        <w:r w:rsidR="00412B5A">
          <w:rPr>
            <w:webHidden/>
          </w:rPr>
          <w:fldChar w:fldCharType="begin"/>
        </w:r>
        <w:r w:rsidR="00412B5A">
          <w:rPr>
            <w:webHidden/>
          </w:rPr>
          <w:instrText xml:space="preserve"> PAGEREF _Toc133481711 \h </w:instrText>
        </w:r>
        <w:r w:rsidR="00412B5A">
          <w:rPr>
            <w:webHidden/>
          </w:rPr>
        </w:r>
        <w:r w:rsidR="00412B5A">
          <w:rPr>
            <w:webHidden/>
          </w:rPr>
          <w:fldChar w:fldCharType="separate"/>
        </w:r>
        <w:r w:rsidR="00412B5A">
          <w:rPr>
            <w:webHidden/>
          </w:rPr>
          <w:t>6</w:t>
        </w:r>
        <w:r w:rsidR="00412B5A">
          <w:rPr>
            <w:webHidden/>
          </w:rPr>
          <w:fldChar w:fldCharType="end"/>
        </w:r>
      </w:hyperlink>
    </w:p>
    <w:p w14:paraId="0CB9CB64" w14:textId="43A10962" w:rsidR="00412B5A" w:rsidRDefault="00000000">
      <w:pPr>
        <w:pStyle w:val="TOC2"/>
        <w:rPr>
          <w:rFonts w:asciiTheme="minorHAnsi" w:eastAsiaTheme="minorEastAsia" w:hAnsiTheme="minorHAnsi" w:cstheme="minorBidi"/>
          <w:sz w:val="22"/>
          <w:szCs w:val="22"/>
          <w:lang w:eastAsia="en-AU"/>
        </w:rPr>
      </w:pPr>
      <w:hyperlink w:anchor="_Toc133481712" w:history="1">
        <w:r w:rsidR="00412B5A" w:rsidRPr="00746EBC">
          <w:rPr>
            <w:rStyle w:val="Hyperlink"/>
          </w:rPr>
          <w:t>Influenza</w:t>
        </w:r>
        <w:r w:rsidR="00412B5A">
          <w:rPr>
            <w:webHidden/>
          </w:rPr>
          <w:tab/>
        </w:r>
        <w:r w:rsidR="00412B5A">
          <w:rPr>
            <w:webHidden/>
          </w:rPr>
          <w:fldChar w:fldCharType="begin"/>
        </w:r>
        <w:r w:rsidR="00412B5A">
          <w:rPr>
            <w:webHidden/>
          </w:rPr>
          <w:instrText xml:space="preserve"> PAGEREF _Toc133481712 \h </w:instrText>
        </w:r>
        <w:r w:rsidR="00412B5A">
          <w:rPr>
            <w:webHidden/>
          </w:rPr>
        </w:r>
        <w:r w:rsidR="00412B5A">
          <w:rPr>
            <w:webHidden/>
          </w:rPr>
          <w:fldChar w:fldCharType="separate"/>
        </w:r>
        <w:r w:rsidR="00412B5A">
          <w:rPr>
            <w:webHidden/>
          </w:rPr>
          <w:t>6</w:t>
        </w:r>
        <w:r w:rsidR="00412B5A">
          <w:rPr>
            <w:webHidden/>
          </w:rPr>
          <w:fldChar w:fldCharType="end"/>
        </w:r>
      </w:hyperlink>
    </w:p>
    <w:p w14:paraId="4EBC7DCA" w14:textId="2EA9E285" w:rsidR="00412B5A" w:rsidRDefault="00000000">
      <w:pPr>
        <w:pStyle w:val="TOC2"/>
        <w:rPr>
          <w:rFonts w:asciiTheme="minorHAnsi" w:eastAsiaTheme="minorEastAsia" w:hAnsiTheme="minorHAnsi" w:cstheme="minorBidi"/>
          <w:sz w:val="22"/>
          <w:szCs w:val="22"/>
          <w:lang w:eastAsia="en-AU"/>
        </w:rPr>
      </w:pPr>
      <w:hyperlink w:anchor="_Toc133481713" w:history="1">
        <w:r w:rsidR="00412B5A" w:rsidRPr="00746EBC">
          <w:rPr>
            <w:rStyle w:val="Hyperlink"/>
          </w:rPr>
          <w:t>Meningococcal infections</w:t>
        </w:r>
        <w:r w:rsidR="00412B5A">
          <w:rPr>
            <w:webHidden/>
          </w:rPr>
          <w:tab/>
        </w:r>
        <w:r w:rsidR="00412B5A">
          <w:rPr>
            <w:webHidden/>
          </w:rPr>
          <w:fldChar w:fldCharType="begin"/>
        </w:r>
        <w:r w:rsidR="00412B5A">
          <w:rPr>
            <w:webHidden/>
          </w:rPr>
          <w:instrText xml:space="preserve"> PAGEREF _Toc133481713 \h </w:instrText>
        </w:r>
        <w:r w:rsidR="00412B5A">
          <w:rPr>
            <w:webHidden/>
          </w:rPr>
        </w:r>
        <w:r w:rsidR="00412B5A">
          <w:rPr>
            <w:webHidden/>
          </w:rPr>
          <w:fldChar w:fldCharType="separate"/>
        </w:r>
        <w:r w:rsidR="00412B5A">
          <w:rPr>
            <w:webHidden/>
          </w:rPr>
          <w:t>6</w:t>
        </w:r>
        <w:r w:rsidR="00412B5A">
          <w:rPr>
            <w:webHidden/>
          </w:rPr>
          <w:fldChar w:fldCharType="end"/>
        </w:r>
      </w:hyperlink>
    </w:p>
    <w:p w14:paraId="30328CA5" w14:textId="702FC794" w:rsidR="00412B5A" w:rsidRDefault="00000000">
      <w:pPr>
        <w:pStyle w:val="TOC2"/>
        <w:rPr>
          <w:rFonts w:asciiTheme="minorHAnsi" w:eastAsiaTheme="minorEastAsia" w:hAnsiTheme="minorHAnsi" w:cstheme="minorBidi"/>
          <w:sz w:val="22"/>
          <w:szCs w:val="22"/>
          <w:lang w:eastAsia="en-AU"/>
        </w:rPr>
      </w:pPr>
      <w:hyperlink w:anchor="_Toc133481714" w:history="1">
        <w:r w:rsidR="00412B5A" w:rsidRPr="00746EBC">
          <w:rPr>
            <w:rStyle w:val="Hyperlink"/>
          </w:rPr>
          <w:t>Pneumococcal infections</w:t>
        </w:r>
        <w:r w:rsidR="00412B5A">
          <w:rPr>
            <w:webHidden/>
          </w:rPr>
          <w:tab/>
        </w:r>
        <w:r w:rsidR="00412B5A">
          <w:rPr>
            <w:webHidden/>
          </w:rPr>
          <w:fldChar w:fldCharType="begin"/>
        </w:r>
        <w:r w:rsidR="00412B5A">
          <w:rPr>
            <w:webHidden/>
          </w:rPr>
          <w:instrText xml:space="preserve"> PAGEREF _Toc133481714 \h </w:instrText>
        </w:r>
        <w:r w:rsidR="00412B5A">
          <w:rPr>
            <w:webHidden/>
          </w:rPr>
        </w:r>
        <w:r w:rsidR="00412B5A">
          <w:rPr>
            <w:webHidden/>
          </w:rPr>
          <w:fldChar w:fldCharType="separate"/>
        </w:r>
        <w:r w:rsidR="00412B5A">
          <w:rPr>
            <w:webHidden/>
          </w:rPr>
          <w:t>6</w:t>
        </w:r>
        <w:r w:rsidR="00412B5A">
          <w:rPr>
            <w:webHidden/>
          </w:rPr>
          <w:fldChar w:fldCharType="end"/>
        </w:r>
      </w:hyperlink>
    </w:p>
    <w:p w14:paraId="1E4A5CC0" w14:textId="0B920AA0" w:rsidR="00412B5A" w:rsidRDefault="00000000">
      <w:pPr>
        <w:pStyle w:val="TOC2"/>
        <w:rPr>
          <w:rFonts w:asciiTheme="minorHAnsi" w:eastAsiaTheme="minorEastAsia" w:hAnsiTheme="minorHAnsi" w:cstheme="minorBidi"/>
          <w:sz w:val="22"/>
          <w:szCs w:val="22"/>
          <w:lang w:eastAsia="en-AU"/>
        </w:rPr>
      </w:pPr>
      <w:hyperlink w:anchor="_Toc133481715" w:history="1">
        <w:r w:rsidR="00412B5A" w:rsidRPr="00746EBC">
          <w:rPr>
            <w:rStyle w:val="Hyperlink"/>
          </w:rPr>
          <w:t>Varicella/Zoster/Herpes zoster</w:t>
        </w:r>
        <w:r w:rsidR="00412B5A">
          <w:rPr>
            <w:webHidden/>
          </w:rPr>
          <w:tab/>
        </w:r>
        <w:r w:rsidR="00412B5A">
          <w:rPr>
            <w:webHidden/>
          </w:rPr>
          <w:fldChar w:fldCharType="begin"/>
        </w:r>
        <w:r w:rsidR="00412B5A">
          <w:rPr>
            <w:webHidden/>
          </w:rPr>
          <w:instrText xml:space="preserve"> PAGEREF _Toc133481715 \h </w:instrText>
        </w:r>
        <w:r w:rsidR="00412B5A">
          <w:rPr>
            <w:webHidden/>
          </w:rPr>
        </w:r>
        <w:r w:rsidR="00412B5A">
          <w:rPr>
            <w:webHidden/>
          </w:rPr>
          <w:fldChar w:fldCharType="separate"/>
        </w:r>
        <w:r w:rsidR="00412B5A">
          <w:rPr>
            <w:webHidden/>
          </w:rPr>
          <w:t>7</w:t>
        </w:r>
        <w:r w:rsidR="00412B5A">
          <w:rPr>
            <w:webHidden/>
          </w:rPr>
          <w:fldChar w:fldCharType="end"/>
        </w:r>
      </w:hyperlink>
    </w:p>
    <w:p w14:paraId="25D4FE2E" w14:textId="15FBC301" w:rsidR="00412B5A" w:rsidRDefault="00000000">
      <w:pPr>
        <w:pStyle w:val="TOC2"/>
        <w:rPr>
          <w:rFonts w:asciiTheme="minorHAnsi" w:eastAsiaTheme="minorEastAsia" w:hAnsiTheme="minorHAnsi" w:cstheme="minorBidi"/>
          <w:sz w:val="22"/>
          <w:szCs w:val="22"/>
          <w:lang w:eastAsia="en-AU"/>
        </w:rPr>
      </w:pPr>
      <w:hyperlink w:anchor="_Toc133481716" w:history="1">
        <w:r w:rsidR="00412B5A" w:rsidRPr="00746EBC">
          <w:rPr>
            <w:rStyle w:val="Hyperlink"/>
          </w:rPr>
          <w:t>Human Papillomavirus</w:t>
        </w:r>
        <w:r w:rsidR="00412B5A">
          <w:rPr>
            <w:webHidden/>
          </w:rPr>
          <w:tab/>
        </w:r>
        <w:r w:rsidR="00412B5A">
          <w:rPr>
            <w:webHidden/>
          </w:rPr>
          <w:fldChar w:fldCharType="begin"/>
        </w:r>
        <w:r w:rsidR="00412B5A">
          <w:rPr>
            <w:webHidden/>
          </w:rPr>
          <w:instrText xml:space="preserve"> PAGEREF _Toc133481716 \h </w:instrText>
        </w:r>
        <w:r w:rsidR="00412B5A">
          <w:rPr>
            <w:webHidden/>
          </w:rPr>
        </w:r>
        <w:r w:rsidR="00412B5A">
          <w:rPr>
            <w:webHidden/>
          </w:rPr>
          <w:fldChar w:fldCharType="separate"/>
        </w:r>
        <w:r w:rsidR="00412B5A">
          <w:rPr>
            <w:webHidden/>
          </w:rPr>
          <w:t>7</w:t>
        </w:r>
        <w:r w:rsidR="00412B5A">
          <w:rPr>
            <w:webHidden/>
          </w:rPr>
          <w:fldChar w:fldCharType="end"/>
        </w:r>
      </w:hyperlink>
    </w:p>
    <w:p w14:paraId="7727E8AC" w14:textId="5AE47AAB" w:rsidR="00412B5A" w:rsidRDefault="00000000">
      <w:pPr>
        <w:pStyle w:val="TOC2"/>
        <w:rPr>
          <w:rFonts w:asciiTheme="minorHAnsi" w:eastAsiaTheme="minorEastAsia" w:hAnsiTheme="minorHAnsi" w:cstheme="minorBidi"/>
          <w:sz w:val="22"/>
          <w:szCs w:val="22"/>
          <w:lang w:eastAsia="en-AU"/>
        </w:rPr>
      </w:pPr>
      <w:hyperlink w:anchor="_Toc133481717" w:history="1">
        <w:r w:rsidR="00412B5A" w:rsidRPr="00746EBC">
          <w:rPr>
            <w:rStyle w:val="Hyperlink"/>
          </w:rPr>
          <w:t>Rotavirus</w:t>
        </w:r>
        <w:r w:rsidR="00412B5A">
          <w:rPr>
            <w:webHidden/>
          </w:rPr>
          <w:tab/>
        </w:r>
        <w:r w:rsidR="00412B5A">
          <w:rPr>
            <w:webHidden/>
          </w:rPr>
          <w:fldChar w:fldCharType="begin"/>
        </w:r>
        <w:r w:rsidR="00412B5A">
          <w:rPr>
            <w:webHidden/>
          </w:rPr>
          <w:instrText xml:space="preserve"> PAGEREF _Toc133481717 \h </w:instrText>
        </w:r>
        <w:r w:rsidR="00412B5A">
          <w:rPr>
            <w:webHidden/>
          </w:rPr>
        </w:r>
        <w:r w:rsidR="00412B5A">
          <w:rPr>
            <w:webHidden/>
          </w:rPr>
          <w:fldChar w:fldCharType="separate"/>
        </w:r>
        <w:r w:rsidR="00412B5A">
          <w:rPr>
            <w:webHidden/>
          </w:rPr>
          <w:t>7</w:t>
        </w:r>
        <w:r w:rsidR="00412B5A">
          <w:rPr>
            <w:webHidden/>
          </w:rPr>
          <w:fldChar w:fldCharType="end"/>
        </w:r>
      </w:hyperlink>
    </w:p>
    <w:p w14:paraId="51161701" w14:textId="04BF5EC3" w:rsidR="00412B5A" w:rsidRDefault="00000000">
      <w:pPr>
        <w:pStyle w:val="TOC2"/>
        <w:rPr>
          <w:rFonts w:asciiTheme="minorHAnsi" w:eastAsiaTheme="minorEastAsia" w:hAnsiTheme="minorHAnsi" w:cstheme="minorBidi"/>
          <w:sz w:val="22"/>
          <w:szCs w:val="22"/>
          <w:lang w:eastAsia="en-AU"/>
        </w:rPr>
      </w:pPr>
      <w:hyperlink w:anchor="_Toc133481718" w:history="1">
        <w:r w:rsidR="00412B5A" w:rsidRPr="00746EBC">
          <w:rPr>
            <w:rStyle w:val="Hyperlink"/>
          </w:rPr>
          <w:t>Japanese encephalitis</w:t>
        </w:r>
        <w:r w:rsidR="00412B5A">
          <w:rPr>
            <w:webHidden/>
          </w:rPr>
          <w:tab/>
        </w:r>
        <w:r w:rsidR="00412B5A">
          <w:rPr>
            <w:webHidden/>
          </w:rPr>
          <w:fldChar w:fldCharType="begin"/>
        </w:r>
        <w:r w:rsidR="00412B5A">
          <w:rPr>
            <w:webHidden/>
          </w:rPr>
          <w:instrText xml:space="preserve"> PAGEREF _Toc133481718 \h </w:instrText>
        </w:r>
        <w:r w:rsidR="00412B5A">
          <w:rPr>
            <w:webHidden/>
          </w:rPr>
        </w:r>
        <w:r w:rsidR="00412B5A">
          <w:rPr>
            <w:webHidden/>
          </w:rPr>
          <w:fldChar w:fldCharType="separate"/>
        </w:r>
        <w:r w:rsidR="00412B5A">
          <w:rPr>
            <w:webHidden/>
          </w:rPr>
          <w:t>7</w:t>
        </w:r>
        <w:r w:rsidR="00412B5A">
          <w:rPr>
            <w:webHidden/>
          </w:rPr>
          <w:fldChar w:fldCharType="end"/>
        </w:r>
      </w:hyperlink>
    </w:p>
    <w:p w14:paraId="577D5967" w14:textId="5C575FEF" w:rsidR="00412B5A" w:rsidRDefault="00000000">
      <w:pPr>
        <w:pStyle w:val="TOC2"/>
        <w:rPr>
          <w:rFonts w:asciiTheme="minorHAnsi" w:eastAsiaTheme="minorEastAsia" w:hAnsiTheme="minorHAnsi" w:cstheme="minorBidi"/>
          <w:sz w:val="22"/>
          <w:szCs w:val="22"/>
          <w:lang w:eastAsia="en-AU"/>
        </w:rPr>
      </w:pPr>
      <w:hyperlink w:anchor="_Toc133481719" w:history="1">
        <w:r w:rsidR="00412B5A" w:rsidRPr="00746EBC">
          <w:rPr>
            <w:rStyle w:val="Hyperlink"/>
            <w:highlight w:val="yellow"/>
          </w:rPr>
          <w:t>Mpox (monkeypox)</w:t>
        </w:r>
        <w:r w:rsidR="00412B5A">
          <w:rPr>
            <w:webHidden/>
          </w:rPr>
          <w:tab/>
        </w:r>
        <w:r w:rsidR="00412B5A">
          <w:rPr>
            <w:webHidden/>
          </w:rPr>
          <w:fldChar w:fldCharType="begin"/>
        </w:r>
        <w:r w:rsidR="00412B5A">
          <w:rPr>
            <w:webHidden/>
          </w:rPr>
          <w:instrText xml:space="preserve"> PAGEREF _Toc133481719 \h </w:instrText>
        </w:r>
        <w:r w:rsidR="00412B5A">
          <w:rPr>
            <w:webHidden/>
          </w:rPr>
        </w:r>
        <w:r w:rsidR="00412B5A">
          <w:rPr>
            <w:webHidden/>
          </w:rPr>
          <w:fldChar w:fldCharType="separate"/>
        </w:r>
        <w:r w:rsidR="00412B5A">
          <w:rPr>
            <w:webHidden/>
          </w:rPr>
          <w:t>8</w:t>
        </w:r>
        <w:r w:rsidR="00412B5A">
          <w:rPr>
            <w:webHidden/>
          </w:rPr>
          <w:fldChar w:fldCharType="end"/>
        </w:r>
      </w:hyperlink>
    </w:p>
    <w:p w14:paraId="7EDBAEAA" w14:textId="176CC3A8" w:rsidR="00412B5A" w:rsidRDefault="00000000">
      <w:pPr>
        <w:pStyle w:val="TOC1"/>
        <w:rPr>
          <w:rFonts w:asciiTheme="minorHAnsi" w:eastAsiaTheme="minorEastAsia" w:hAnsiTheme="minorHAnsi" w:cstheme="minorBidi"/>
          <w:b w:val="0"/>
          <w:sz w:val="22"/>
          <w:szCs w:val="22"/>
          <w:lang w:eastAsia="en-AU"/>
        </w:rPr>
      </w:pPr>
      <w:hyperlink w:anchor="_Toc133481720" w:history="1">
        <w:r w:rsidR="00412B5A" w:rsidRPr="00746EBC">
          <w:rPr>
            <w:rStyle w:val="Hyperlink"/>
          </w:rPr>
          <w:t>General notes</w:t>
        </w:r>
        <w:r w:rsidR="00412B5A">
          <w:rPr>
            <w:webHidden/>
          </w:rPr>
          <w:tab/>
        </w:r>
        <w:r w:rsidR="00412B5A">
          <w:rPr>
            <w:webHidden/>
          </w:rPr>
          <w:fldChar w:fldCharType="begin"/>
        </w:r>
        <w:r w:rsidR="00412B5A">
          <w:rPr>
            <w:webHidden/>
          </w:rPr>
          <w:instrText xml:space="preserve"> PAGEREF _Toc133481720 \h </w:instrText>
        </w:r>
        <w:r w:rsidR="00412B5A">
          <w:rPr>
            <w:webHidden/>
          </w:rPr>
        </w:r>
        <w:r w:rsidR="00412B5A">
          <w:rPr>
            <w:webHidden/>
          </w:rPr>
          <w:fldChar w:fldCharType="separate"/>
        </w:r>
        <w:r w:rsidR="00412B5A">
          <w:rPr>
            <w:webHidden/>
          </w:rPr>
          <w:t>8</w:t>
        </w:r>
        <w:r w:rsidR="00412B5A">
          <w:rPr>
            <w:webHidden/>
          </w:rPr>
          <w:fldChar w:fldCharType="end"/>
        </w:r>
      </w:hyperlink>
    </w:p>
    <w:p w14:paraId="5377F517" w14:textId="59AE9161" w:rsidR="00580394" w:rsidRPr="00B519CD" w:rsidRDefault="00AD784C"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r>
        <w:fldChar w:fldCharType="end"/>
      </w:r>
    </w:p>
    <w:p w14:paraId="27DAE6B8" w14:textId="77777777" w:rsidR="00EF3D23" w:rsidRDefault="00EF3D23" w:rsidP="00EF3D23">
      <w:pPr>
        <w:pStyle w:val="Tablecaption"/>
      </w:pPr>
      <w:bookmarkStart w:id="0" w:name="_Hlk41913885"/>
      <w:r>
        <w:t>Version control</w:t>
      </w:r>
    </w:p>
    <w:tbl>
      <w:tblPr>
        <w:tblStyle w:val="TableGrid"/>
        <w:tblW w:w="5000" w:type="pct"/>
        <w:tblLook w:val="06A0" w:firstRow="1" w:lastRow="0" w:firstColumn="1" w:lastColumn="0" w:noHBand="1" w:noVBand="1"/>
      </w:tblPr>
      <w:tblGrid>
        <w:gridCol w:w="5097"/>
        <w:gridCol w:w="5097"/>
      </w:tblGrid>
      <w:tr w:rsidR="00EF3D23" w14:paraId="232A3DD7" w14:textId="77777777" w:rsidTr="7A610A87">
        <w:trPr>
          <w:trHeight w:val="549"/>
          <w:tblHeader/>
        </w:trPr>
        <w:tc>
          <w:tcPr>
            <w:tcW w:w="2500" w:type="pct"/>
          </w:tcPr>
          <w:p w14:paraId="18BA741F" w14:textId="77777777" w:rsidR="00EF3D23" w:rsidRPr="00CB3285" w:rsidRDefault="00EF3D23" w:rsidP="00804672">
            <w:pPr>
              <w:pStyle w:val="Tablecolhead"/>
            </w:pPr>
            <w:r>
              <w:t>Version</w:t>
            </w:r>
          </w:p>
        </w:tc>
        <w:tc>
          <w:tcPr>
            <w:tcW w:w="2500" w:type="pct"/>
          </w:tcPr>
          <w:p w14:paraId="44058774" w14:textId="77777777" w:rsidR="00EF3D23" w:rsidRDefault="00EF3D23" w:rsidP="00804672">
            <w:pPr>
              <w:pStyle w:val="Tablecolhead"/>
            </w:pPr>
            <w:r>
              <w:t>Change</w:t>
            </w:r>
          </w:p>
        </w:tc>
      </w:tr>
      <w:tr w:rsidR="00EF3D23" w14:paraId="3FF77DC4" w14:textId="77777777" w:rsidTr="7A610A87">
        <w:trPr>
          <w:trHeight w:val="430"/>
        </w:trPr>
        <w:tc>
          <w:tcPr>
            <w:tcW w:w="2500" w:type="pct"/>
          </w:tcPr>
          <w:p w14:paraId="26932CA3" w14:textId="77777777" w:rsidR="00EF3D23" w:rsidRDefault="00EF3D23" w:rsidP="00804672">
            <w:r>
              <w:t>May 2007</w:t>
            </w:r>
          </w:p>
        </w:tc>
        <w:tc>
          <w:tcPr>
            <w:tcW w:w="2500" w:type="pct"/>
          </w:tcPr>
          <w:p w14:paraId="77242049" w14:textId="77777777" w:rsidR="00EF3D23" w:rsidRDefault="00EF3D23" w:rsidP="00804672">
            <w:r>
              <w:t>Human Papillomavirus included</w:t>
            </w:r>
          </w:p>
        </w:tc>
      </w:tr>
      <w:tr w:rsidR="00EF3D23" w14:paraId="0DB027B3" w14:textId="77777777" w:rsidTr="7A610A87">
        <w:trPr>
          <w:trHeight w:val="454"/>
        </w:trPr>
        <w:tc>
          <w:tcPr>
            <w:tcW w:w="2500" w:type="pct"/>
          </w:tcPr>
          <w:p w14:paraId="14A09BC0" w14:textId="77777777" w:rsidR="00EF3D23" w:rsidRPr="002365B4" w:rsidRDefault="00EF3D23" w:rsidP="00804672">
            <w:pPr>
              <w:pStyle w:val="Tabletext6pt"/>
            </w:pPr>
            <w:r>
              <w:t>October 2014</w:t>
            </w:r>
          </w:p>
        </w:tc>
        <w:tc>
          <w:tcPr>
            <w:tcW w:w="2500" w:type="pct"/>
          </w:tcPr>
          <w:p w14:paraId="7083DC87" w14:textId="77777777" w:rsidR="00EF3D23" w:rsidRPr="002365B4" w:rsidRDefault="00EF3D23" w:rsidP="00804672">
            <w:pPr>
              <w:pStyle w:val="Tabletext6pt"/>
            </w:pPr>
            <w:r>
              <w:t>Minor edit</w:t>
            </w:r>
          </w:p>
        </w:tc>
      </w:tr>
      <w:tr w:rsidR="00EF3D23" w14:paraId="084482F1" w14:textId="77777777" w:rsidTr="7A610A87">
        <w:trPr>
          <w:trHeight w:val="683"/>
        </w:trPr>
        <w:tc>
          <w:tcPr>
            <w:tcW w:w="2500" w:type="pct"/>
          </w:tcPr>
          <w:p w14:paraId="39EFACDC" w14:textId="765AF47E" w:rsidR="00EF3D23" w:rsidRPr="00984FCC" w:rsidRDefault="00C82D01" w:rsidP="00804672">
            <w:pPr>
              <w:pStyle w:val="Tabletext6pt"/>
            </w:pPr>
            <w:r w:rsidRPr="00984FCC">
              <w:t>January</w:t>
            </w:r>
            <w:r w:rsidR="00EF3D23" w:rsidRPr="00984FCC">
              <w:t xml:space="preserve"> 202</w:t>
            </w:r>
            <w:r w:rsidRPr="00984FCC">
              <w:t>2</w:t>
            </w:r>
          </w:p>
        </w:tc>
        <w:tc>
          <w:tcPr>
            <w:tcW w:w="2500" w:type="pct"/>
          </w:tcPr>
          <w:p w14:paraId="3AC73B8E" w14:textId="1DA5714B" w:rsidR="00EF3D23" w:rsidRPr="00984FCC" w:rsidRDefault="00632E6E" w:rsidP="00804672">
            <w:pPr>
              <w:pStyle w:val="Tabletext6pt"/>
            </w:pPr>
            <w:r w:rsidRPr="00984FCC">
              <w:t>General n</w:t>
            </w:r>
            <w:r w:rsidR="000B75AA" w:rsidRPr="00984FCC">
              <w:t xml:space="preserve">otes: </w:t>
            </w:r>
            <w:r w:rsidR="001160A5" w:rsidRPr="00984FCC">
              <w:t>Time limited, s</w:t>
            </w:r>
            <w:r w:rsidR="00EF3D23" w:rsidRPr="00984FCC">
              <w:t>pecified vaccine</w:t>
            </w:r>
            <w:r w:rsidR="001160A5" w:rsidRPr="00984FCC">
              <w:t>s</w:t>
            </w:r>
            <w:r w:rsidR="00EF3D23" w:rsidRPr="00984FCC">
              <w:t xml:space="preserve"> for a defined refugee program in a defined area</w:t>
            </w:r>
            <w:r w:rsidR="001160A5" w:rsidRPr="00984FCC">
              <w:t xml:space="preserve"> as approved by the Chief Health Officer</w:t>
            </w:r>
            <w:r w:rsidR="00EF3D23" w:rsidRPr="00984FCC">
              <w:t>.</w:t>
            </w:r>
          </w:p>
        </w:tc>
      </w:tr>
      <w:tr w:rsidR="00984FCC" w14:paraId="245DD0DD" w14:textId="77777777" w:rsidTr="7A610A87">
        <w:trPr>
          <w:trHeight w:val="426"/>
        </w:trPr>
        <w:tc>
          <w:tcPr>
            <w:tcW w:w="2500" w:type="pct"/>
          </w:tcPr>
          <w:p w14:paraId="5B872E3A" w14:textId="5520E3FC" w:rsidR="00984FCC" w:rsidRPr="008A213F" w:rsidRDefault="00984FCC" w:rsidP="00804672">
            <w:pPr>
              <w:pStyle w:val="Tabletext6pt"/>
            </w:pPr>
            <w:r w:rsidRPr="008A213F">
              <w:t>May 2022</w:t>
            </w:r>
          </w:p>
        </w:tc>
        <w:tc>
          <w:tcPr>
            <w:tcW w:w="2500" w:type="pct"/>
          </w:tcPr>
          <w:p w14:paraId="6C055A15" w14:textId="75ED48CF" w:rsidR="00984FCC" w:rsidRPr="008A213F" w:rsidRDefault="00984FCC" w:rsidP="00804672">
            <w:pPr>
              <w:pStyle w:val="Tabletext6pt"/>
            </w:pPr>
            <w:r w:rsidRPr="008A213F">
              <w:t>Japanese Encephalitis vaccine included</w:t>
            </w:r>
          </w:p>
        </w:tc>
      </w:tr>
      <w:tr w:rsidR="008A213F" w14:paraId="1B6C955A" w14:textId="77777777" w:rsidTr="7A610A87">
        <w:trPr>
          <w:trHeight w:val="426"/>
        </w:trPr>
        <w:tc>
          <w:tcPr>
            <w:tcW w:w="2500" w:type="pct"/>
          </w:tcPr>
          <w:p w14:paraId="13AD30A3" w14:textId="446C8788" w:rsidR="008A213F" w:rsidRPr="00CB774B" w:rsidRDefault="008A213F" w:rsidP="00804672">
            <w:pPr>
              <w:pStyle w:val="Tabletext6pt"/>
            </w:pPr>
            <w:r w:rsidRPr="00CB774B">
              <w:lastRenderedPageBreak/>
              <w:t>August 2022</w:t>
            </w:r>
          </w:p>
        </w:tc>
        <w:tc>
          <w:tcPr>
            <w:tcW w:w="2500" w:type="pct"/>
          </w:tcPr>
          <w:p w14:paraId="762F9B7A" w14:textId="585EF96F" w:rsidR="008A213F" w:rsidRPr="00CB774B" w:rsidRDefault="008A213F" w:rsidP="00804672">
            <w:pPr>
              <w:pStyle w:val="Tabletext6pt"/>
            </w:pPr>
            <w:r w:rsidRPr="00CB774B">
              <w:t>Updated date of time-limited activity page 8</w:t>
            </w:r>
          </w:p>
        </w:tc>
      </w:tr>
      <w:tr w:rsidR="00786D3E" w14:paraId="473B1464" w14:textId="77777777" w:rsidTr="0019201F">
        <w:trPr>
          <w:trHeight w:val="426"/>
        </w:trPr>
        <w:tc>
          <w:tcPr>
            <w:tcW w:w="2500" w:type="pct"/>
            <w:shd w:val="clear" w:color="auto" w:fill="auto"/>
          </w:tcPr>
          <w:p w14:paraId="5ACB26D6" w14:textId="72381659" w:rsidR="00786D3E" w:rsidRPr="0019201F" w:rsidRDefault="00786D3E" w:rsidP="00804672">
            <w:pPr>
              <w:pStyle w:val="Tabletext6pt"/>
            </w:pPr>
            <w:r w:rsidRPr="0019201F">
              <w:t>October 2022</w:t>
            </w:r>
          </w:p>
        </w:tc>
        <w:tc>
          <w:tcPr>
            <w:tcW w:w="2500" w:type="pct"/>
            <w:shd w:val="clear" w:color="auto" w:fill="auto"/>
          </w:tcPr>
          <w:p w14:paraId="1925B278" w14:textId="32326DFD" w:rsidR="00786D3E" w:rsidRPr="0019201F" w:rsidRDefault="577F1498" w:rsidP="59A4ADF7">
            <w:pPr>
              <w:pStyle w:val="Tabletext6pt"/>
            </w:pPr>
            <w:r w:rsidRPr="0019201F">
              <w:t xml:space="preserve">Monkeypox vaccine included </w:t>
            </w:r>
          </w:p>
          <w:p w14:paraId="3E9DCFD6" w14:textId="2284250B" w:rsidR="00786D3E" w:rsidRPr="0019201F" w:rsidRDefault="667DD923" w:rsidP="00804672">
            <w:pPr>
              <w:pStyle w:val="Tabletext6pt"/>
            </w:pPr>
            <w:r w:rsidRPr="0019201F">
              <w:t>Zoster/Herpes zoster inclusion clarified</w:t>
            </w:r>
          </w:p>
        </w:tc>
      </w:tr>
      <w:tr w:rsidR="0019201F" w14:paraId="79E56804" w14:textId="77777777" w:rsidTr="7A610A87">
        <w:trPr>
          <w:trHeight w:val="426"/>
        </w:trPr>
        <w:tc>
          <w:tcPr>
            <w:tcW w:w="2500" w:type="pct"/>
          </w:tcPr>
          <w:p w14:paraId="1CBEF0E1" w14:textId="4EC00AD9" w:rsidR="0019201F" w:rsidRPr="00412B5A" w:rsidRDefault="00EF29A3" w:rsidP="00804672">
            <w:pPr>
              <w:pStyle w:val="Tabletext6pt"/>
            </w:pPr>
            <w:r w:rsidRPr="00412B5A">
              <w:t>February 2023</w:t>
            </w:r>
          </w:p>
        </w:tc>
        <w:tc>
          <w:tcPr>
            <w:tcW w:w="2500" w:type="pct"/>
          </w:tcPr>
          <w:p w14:paraId="779936D5" w14:textId="77777777" w:rsidR="00EF29A3" w:rsidRPr="00412B5A" w:rsidRDefault="00EF29A3" w:rsidP="00EF29A3">
            <w:pPr>
              <w:pStyle w:val="Body"/>
              <w:rPr>
                <w:szCs w:val="21"/>
              </w:rPr>
            </w:pPr>
            <w:r w:rsidRPr="00412B5A">
              <w:rPr>
                <w:szCs w:val="21"/>
              </w:rPr>
              <w:t xml:space="preserve">Extension of the Chief Health Officer time limited approval within the scope of the refugee vaccination PRIME project (see General notes) </w:t>
            </w:r>
          </w:p>
          <w:p w14:paraId="642BA853" w14:textId="5D880305" w:rsidR="00EF29A3" w:rsidRPr="00412B5A" w:rsidRDefault="00EF29A3" w:rsidP="0019201F">
            <w:pPr>
              <w:pStyle w:val="Body"/>
            </w:pPr>
            <w:r w:rsidRPr="00412B5A">
              <w:rPr>
                <w:szCs w:val="21"/>
              </w:rPr>
              <w:t>Updated nomenclature for Monkeypox to Mpox</w:t>
            </w:r>
          </w:p>
        </w:tc>
      </w:tr>
    </w:tbl>
    <w:p w14:paraId="3C02585C" w14:textId="77777777" w:rsidR="00F32368" w:rsidRPr="00F32368" w:rsidRDefault="00F32368" w:rsidP="00EF3D23">
      <w:pPr>
        <w:pStyle w:val="Body"/>
      </w:pPr>
    </w:p>
    <w:p w14:paraId="7BB4A226" w14:textId="35D7C13F" w:rsidR="00EE29AD" w:rsidRDefault="00CA450C" w:rsidP="00E261B3">
      <w:pPr>
        <w:pStyle w:val="Heading1"/>
      </w:pPr>
      <w:bookmarkStart w:id="1" w:name="_Toc133481701"/>
      <w:bookmarkEnd w:id="0"/>
      <w:r>
        <w:t>Approved client groups</w:t>
      </w:r>
      <w:bookmarkEnd w:id="1"/>
    </w:p>
    <w:p w14:paraId="6D831D19" w14:textId="77777777" w:rsidR="00CA450C" w:rsidRPr="00CB1145" w:rsidRDefault="00CA450C" w:rsidP="00CA450C">
      <w:pPr>
        <w:pStyle w:val="Introtext"/>
        <w:rPr>
          <w:rStyle w:val="Strong"/>
        </w:rPr>
      </w:pPr>
      <w:r w:rsidRPr="00CB1145">
        <w:rPr>
          <w:rStyle w:val="Strong"/>
        </w:rPr>
        <w:t>Standard vaccination procedures must be followed according to The Australian immunisation handbook current at the time of administration.</w:t>
      </w:r>
    </w:p>
    <w:p w14:paraId="4A1D9002" w14:textId="23F9A3F9" w:rsidR="00A62D44" w:rsidRPr="00B57329" w:rsidRDefault="00CA450C" w:rsidP="00560451">
      <w:pPr>
        <w:pStyle w:val="Heading2"/>
      </w:pPr>
      <w:bookmarkStart w:id="2" w:name="_Toc133481702"/>
      <w:r w:rsidRPr="00CA450C">
        <w:t>D</w:t>
      </w:r>
      <w:r w:rsidR="00BB68CD">
        <w:t>iphtheria</w:t>
      </w:r>
      <w:bookmarkEnd w:id="2"/>
    </w:p>
    <w:p w14:paraId="187470DF" w14:textId="04AA0011" w:rsidR="00CA450C" w:rsidRDefault="00CA450C" w:rsidP="00CA450C">
      <w:pPr>
        <w:pStyle w:val="Body"/>
      </w:pPr>
      <w:r>
        <w:t xml:space="preserve">Approval for nurses to immunise with vaccine(s) against diphtheria </w:t>
      </w:r>
      <w:r w:rsidRPr="00560451">
        <w:rPr>
          <w:bCs/>
        </w:rPr>
        <w:t>include</w:t>
      </w:r>
      <w:r>
        <w:t>:</w:t>
      </w:r>
    </w:p>
    <w:p w14:paraId="0F814B4A" w14:textId="1E0057A3" w:rsidR="00CA450C" w:rsidRPr="00CA450C" w:rsidRDefault="00CA450C" w:rsidP="00CA450C">
      <w:pPr>
        <w:pStyle w:val="Body"/>
        <w:rPr>
          <w:b/>
        </w:rPr>
      </w:pPr>
      <w:r>
        <w:t>immunisation of children and adults as per the National Immunisation Program Schedule or as approved by the Victorian Chief Health Officer</w:t>
      </w:r>
    </w:p>
    <w:p w14:paraId="11E5915B" w14:textId="28715FAD" w:rsidR="00CA450C" w:rsidRDefault="00CA450C" w:rsidP="00CA450C">
      <w:pPr>
        <w:pStyle w:val="Bullet1"/>
      </w:pPr>
      <w:r>
        <w:t xml:space="preserve">immunisation of children and adults as per the catch-up vaccination and other variations to the schedule recommendations in </w:t>
      </w:r>
      <w:r w:rsidRPr="00CA450C">
        <w:rPr>
          <w:i/>
        </w:rPr>
        <w:t>The Australian immunisation handbook</w:t>
      </w:r>
      <w:r>
        <w:t xml:space="preserve"> current at the time of administration</w:t>
      </w:r>
    </w:p>
    <w:p w14:paraId="2F05F9A5" w14:textId="4B242671" w:rsidR="00CA450C" w:rsidRDefault="00CA450C" w:rsidP="00560451">
      <w:pPr>
        <w:pStyle w:val="Heading3"/>
      </w:pPr>
      <w:r>
        <w:t>but exclude:</w:t>
      </w:r>
    </w:p>
    <w:p w14:paraId="2611DEE0" w14:textId="0FF34352" w:rsidR="00CA450C" w:rsidRPr="00F11362" w:rsidRDefault="00CA450C" w:rsidP="00F11362">
      <w:pPr>
        <w:pStyle w:val="Bullet1"/>
      </w:pPr>
      <w:r w:rsidRPr="00F11362">
        <w:t>immunisation for travel purposes</w:t>
      </w:r>
      <w:r w:rsidR="00D4793B" w:rsidRPr="00D4793B">
        <w:rPr>
          <w:vertAlign w:val="superscript"/>
        </w:rPr>
        <w:t>a</w:t>
      </w:r>
    </w:p>
    <w:p w14:paraId="125A43D7" w14:textId="0906D8F5" w:rsidR="00CA450C" w:rsidRPr="00F11362" w:rsidRDefault="00CA450C" w:rsidP="00F11362">
      <w:pPr>
        <w:pStyle w:val="Bullet1"/>
      </w:pPr>
      <w:r w:rsidRPr="00F11362">
        <w:t>immunisation of contacts in the event of a case of diphtheria, unless directed by the Department of Health</w:t>
      </w:r>
      <w:r w:rsidR="008A593B" w:rsidRPr="008A593B">
        <w:rPr>
          <w:vertAlign w:val="superscript"/>
        </w:rPr>
        <w:t>b</w:t>
      </w:r>
    </w:p>
    <w:p w14:paraId="4972A444" w14:textId="162D2C01" w:rsidR="00EF3D23" w:rsidRPr="00F11362" w:rsidRDefault="00CA450C" w:rsidP="00F11362">
      <w:pPr>
        <w:pStyle w:val="Bullet1"/>
      </w:pPr>
      <w:r w:rsidRPr="00F11362">
        <w:t>immunisation with diphtheria antitoxin</w:t>
      </w:r>
      <w:r w:rsidR="00E12E29" w:rsidRPr="00E12E29">
        <w:rPr>
          <w:vertAlign w:val="superscript"/>
        </w:rPr>
        <w:t>c</w:t>
      </w:r>
    </w:p>
    <w:p w14:paraId="6D29B788" w14:textId="3ADC60C1" w:rsidR="00CA450C" w:rsidRDefault="00CA450C" w:rsidP="00BB68CD">
      <w:pPr>
        <w:pStyle w:val="Heading2"/>
      </w:pPr>
      <w:bookmarkStart w:id="3" w:name="_Toc133481703"/>
      <w:r w:rsidRPr="00CA450C">
        <w:t>T</w:t>
      </w:r>
      <w:r w:rsidR="00BB68CD">
        <w:t>etanus</w:t>
      </w:r>
      <w:bookmarkEnd w:id="3"/>
    </w:p>
    <w:p w14:paraId="53977C34" w14:textId="12634064" w:rsidR="00CA450C" w:rsidRDefault="00CA450C" w:rsidP="00CA450C">
      <w:pPr>
        <w:pStyle w:val="Body"/>
      </w:pPr>
      <w:r w:rsidRPr="00CA450C">
        <w:t>Approval for nurses to immunise with vaccine(s) against tetanus include:</w:t>
      </w:r>
    </w:p>
    <w:p w14:paraId="018204D2" w14:textId="5D33142A" w:rsidR="00CA450C" w:rsidRDefault="00CA450C" w:rsidP="00CA450C">
      <w:pPr>
        <w:pStyle w:val="Bullet1"/>
        <w:numPr>
          <w:ilvl w:val="0"/>
          <w:numId w:val="0"/>
        </w:numPr>
        <w:ind w:left="284" w:hanging="284"/>
      </w:pPr>
      <w:r>
        <w:t>•</w:t>
      </w:r>
      <w:r>
        <w:tab/>
        <w:t>immunisation of children and adults as per the National Immunisation Program Schedule or as approved by the Victorian Chief Health Officer</w:t>
      </w:r>
    </w:p>
    <w:p w14:paraId="312AEDAB" w14:textId="001FC0C6" w:rsidR="00CA450C" w:rsidRDefault="00CA450C" w:rsidP="00CA450C">
      <w:pPr>
        <w:pStyle w:val="Bullet1"/>
        <w:numPr>
          <w:ilvl w:val="0"/>
          <w:numId w:val="0"/>
        </w:numPr>
        <w:ind w:left="284" w:hanging="284"/>
      </w:pPr>
      <w:r>
        <w:t>•</w:t>
      </w:r>
      <w:r>
        <w:tab/>
        <w:t>immunisation of children and adults as per the catch</w:t>
      </w:r>
      <w:r w:rsidR="005312B1">
        <w:t>-</w:t>
      </w:r>
      <w:r>
        <w:t>up vaccination and other variations to the schedule recommendations in The Australian immunisation handbook current at the time of administration</w:t>
      </w:r>
    </w:p>
    <w:p w14:paraId="56EC980E" w14:textId="53B1129E" w:rsidR="00CA450C" w:rsidRDefault="00CA450C" w:rsidP="00BB68CD">
      <w:pPr>
        <w:pStyle w:val="Heading3"/>
      </w:pPr>
      <w:r>
        <w:t>but exclude:</w:t>
      </w:r>
    </w:p>
    <w:p w14:paraId="7C51AE96" w14:textId="440432AE" w:rsidR="00CA450C" w:rsidRPr="00CA450C" w:rsidRDefault="00CA450C" w:rsidP="00CA450C">
      <w:pPr>
        <w:pStyle w:val="Bullet1"/>
      </w:pPr>
      <w:r w:rsidRPr="00CA450C">
        <w:t>immunisation for travel purposes</w:t>
      </w:r>
      <w:r w:rsidR="000E30CB">
        <w:rPr>
          <w:vertAlign w:val="superscript"/>
        </w:rPr>
        <w:t>a</w:t>
      </w:r>
    </w:p>
    <w:p w14:paraId="7312789F" w14:textId="5B961958" w:rsidR="00CA450C" w:rsidRPr="00CA450C" w:rsidRDefault="00CA450C" w:rsidP="00CA450C">
      <w:pPr>
        <w:pStyle w:val="Bullet1"/>
      </w:pPr>
      <w:r w:rsidRPr="00CA450C">
        <w:t>immunisation for tetanus prophylaxis related to wound management</w:t>
      </w:r>
      <w:r w:rsidR="00EF2710">
        <w:rPr>
          <w:vertAlign w:val="superscript"/>
        </w:rPr>
        <w:t>d</w:t>
      </w:r>
    </w:p>
    <w:p w14:paraId="209C9308" w14:textId="349B7676" w:rsidR="00CA450C" w:rsidRPr="00CA450C" w:rsidRDefault="00CA450C" w:rsidP="00CA450C">
      <w:pPr>
        <w:pStyle w:val="Bullet1"/>
      </w:pPr>
      <w:r w:rsidRPr="00CA450C">
        <w:t>immunisation with tetanus immunoglobulin</w:t>
      </w:r>
      <w:r w:rsidR="00EF2710">
        <w:rPr>
          <w:vertAlign w:val="superscript"/>
        </w:rPr>
        <w:t>c</w:t>
      </w:r>
    </w:p>
    <w:p w14:paraId="1C718B77" w14:textId="2B629ADC" w:rsidR="00CA450C" w:rsidRDefault="00CA450C" w:rsidP="00BB68CD">
      <w:pPr>
        <w:pStyle w:val="Heading2"/>
      </w:pPr>
      <w:bookmarkStart w:id="4" w:name="_Toc133481704"/>
      <w:r w:rsidRPr="00CA450C">
        <w:t>P</w:t>
      </w:r>
      <w:r w:rsidR="00BB68CD">
        <w:t>ertussis</w:t>
      </w:r>
      <w:bookmarkEnd w:id="4"/>
    </w:p>
    <w:p w14:paraId="28CECF25" w14:textId="18ABD050" w:rsidR="00CA450C" w:rsidRDefault="00CA450C" w:rsidP="00CA450C">
      <w:pPr>
        <w:pStyle w:val="Body"/>
      </w:pPr>
      <w:r>
        <w:t xml:space="preserve">Approval for nurses to immunise with vaccine(s) against pertussis </w:t>
      </w:r>
      <w:r w:rsidRPr="00662059">
        <w:t>include</w:t>
      </w:r>
      <w:r>
        <w:t>:</w:t>
      </w:r>
    </w:p>
    <w:p w14:paraId="4A1522ED" w14:textId="77777777" w:rsidR="00CA450C" w:rsidRDefault="00CA450C" w:rsidP="00F11362">
      <w:pPr>
        <w:pStyle w:val="Bullet1"/>
      </w:pPr>
      <w:r>
        <w:lastRenderedPageBreak/>
        <w:t>immunisation of children as per the National Immunisation Program Schedule or as approved by the Victorian Chief Health Officer</w:t>
      </w:r>
    </w:p>
    <w:p w14:paraId="4F0E03A8" w14:textId="1396668D" w:rsidR="00CA450C" w:rsidRPr="00662059" w:rsidRDefault="00CA450C" w:rsidP="00F11362">
      <w:pPr>
        <w:pStyle w:val="Bullet1"/>
      </w:pPr>
      <w:r>
        <w:t>immunisation of children and adults as per the catch</w:t>
      </w:r>
      <w:r w:rsidR="005312B1">
        <w:t>-</w:t>
      </w:r>
      <w:r>
        <w:t xml:space="preserve">up vaccination and other variations to the schedule recommendations in </w:t>
      </w:r>
      <w:r w:rsidRPr="00CA450C">
        <w:rPr>
          <w:i/>
        </w:rPr>
        <w:t>The Australian immunisation handbook</w:t>
      </w:r>
      <w:r>
        <w:t xml:space="preserve"> current at the time of administration or as approved by the Victorian Chief Health Officer</w:t>
      </w:r>
    </w:p>
    <w:p w14:paraId="67AF2716" w14:textId="3E4E0F63" w:rsidR="00CA450C" w:rsidRPr="00662059" w:rsidRDefault="00CA450C" w:rsidP="00BB68CD">
      <w:pPr>
        <w:pStyle w:val="Heading3"/>
      </w:pPr>
      <w:r w:rsidRPr="00662059">
        <w:t>but exclude:</w:t>
      </w:r>
    </w:p>
    <w:p w14:paraId="457B55C7" w14:textId="1C1899DE" w:rsidR="00CA450C" w:rsidRPr="00F11362" w:rsidRDefault="00CA450C" w:rsidP="00F11362">
      <w:pPr>
        <w:pStyle w:val="Bullet1"/>
      </w:pPr>
      <w:r w:rsidRPr="00F11362">
        <w:t>immunisation for travel purposes</w:t>
      </w:r>
      <w:r w:rsidR="00EF2710">
        <w:rPr>
          <w:vertAlign w:val="superscript"/>
        </w:rPr>
        <w:t>a</w:t>
      </w:r>
    </w:p>
    <w:p w14:paraId="27968484" w14:textId="17D82E65" w:rsidR="00317FBC" w:rsidRPr="00F11362" w:rsidRDefault="00CA450C" w:rsidP="00F11362">
      <w:pPr>
        <w:pStyle w:val="Bullet1"/>
      </w:pPr>
      <w:r w:rsidRPr="00F11362">
        <w:t>immunisation of contacts in the event of a case of pertussis, unless directed by the Department of Health</w:t>
      </w:r>
      <w:r w:rsidR="00740432">
        <w:rPr>
          <w:vertAlign w:val="superscript"/>
        </w:rPr>
        <w:t>b</w:t>
      </w:r>
    </w:p>
    <w:p w14:paraId="705C6921" w14:textId="01FF931E" w:rsidR="00317FBC" w:rsidRDefault="00317FBC">
      <w:pPr>
        <w:spacing w:after="0" w:line="240" w:lineRule="auto"/>
        <w:rPr>
          <w:vertAlign w:val="superscript"/>
        </w:rPr>
      </w:pPr>
      <w:r>
        <w:rPr>
          <w:vertAlign w:val="superscript"/>
        </w:rPr>
        <w:br w:type="page"/>
      </w:r>
    </w:p>
    <w:p w14:paraId="5ABBC1DB" w14:textId="3551169E" w:rsidR="00CA450C" w:rsidRDefault="00CA450C" w:rsidP="00BB68CD">
      <w:pPr>
        <w:pStyle w:val="Heading2"/>
      </w:pPr>
      <w:bookmarkStart w:id="5" w:name="_Toc133481705"/>
      <w:r w:rsidRPr="00CA450C">
        <w:lastRenderedPageBreak/>
        <w:t>M</w:t>
      </w:r>
      <w:r w:rsidR="00BB68CD">
        <w:t>easles</w:t>
      </w:r>
      <w:bookmarkEnd w:id="5"/>
    </w:p>
    <w:p w14:paraId="38797E69" w14:textId="2DE72CBB" w:rsidR="00CA450C" w:rsidRDefault="00CA450C" w:rsidP="00CA450C">
      <w:pPr>
        <w:jc w:val="both"/>
      </w:pPr>
      <w:r>
        <w:t xml:space="preserve">Approval for nurses to immunise with vaccine(s) against measles </w:t>
      </w:r>
      <w:r w:rsidRPr="00662059">
        <w:t>include</w:t>
      </w:r>
      <w:r>
        <w:t>:</w:t>
      </w:r>
    </w:p>
    <w:p w14:paraId="52479412" w14:textId="42E1119E" w:rsidR="00CA450C" w:rsidRDefault="00CA450C" w:rsidP="007A4480">
      <w:pPr>
        <w:pStyle w:val="Bullet1"/>
      </w:pPr>
      <w:r>
        <w:t>immunisation of children as per the National Immunisation Program Schedule or as approved by the Victorian Chief Health Officer</w:t>
      </w:r>
    </w:p>
    <w:p w14:paraId="1F086596" w14:textId="42092692" w:rsidR="00CA450C" w:rsidRDefault="00CA450C" w:rsidP="007A4480">
      <w:pPr>
        <w:pStyle w:val="Bullet1"/>
      </w:pPr>
      <w:r>
        <w:t>immunisation of children and adults as per the catch</w:t>
      </w:r>
      <w:r w:rsidR="005312B1">
        <w:t>-</w:t>
      </w:r>
      <w:r>
        <w:t xml:space="preserve">up vaccination and other variations to the schedule recommendations in </w:t>
      </w:r>
      <w:r w:rsidRPr="00022491">
        <w:rPr>
          <w:i/>
        </w:rPr>
        <w:t>T</w:t>
      </w:r>
      <w:r>
        <w:rPr>
          <w:i/>
        </w:rPr>
        <w:t>he Australian immunisation h</w:t>
      </w:r>
      <w:r w:rsidRPr="00022491">
        <w:rPr>
          <w:i/>
        </w:rPr>
        <w:t>andbook</w:t>
      </w:r>
      <w:r>
        <w:t xml:space="preserve"> current at the time of administration </w:t>
      </w:r>
    </w:p>
    <w:p w14:paraId="701166B4" w14:textId="4A266719" w:rsidR="00CA450C" w:rsidRDefault="00CA450C" w:rsidP="00BB68CD">
      <w:pPr>
        <w:pStyle w:val="Heading3"/>
      </w:pPr>
      <w:r w:rsidRPr="00CA450C">
        <w:t>but exclude:</w:t>
      </w:r>
    </w:p>
    <w:p w14:paraId="523FA8B3" w14:textId="3D4F60A5" w:rsidR="00CA450C" w:rsidRDefault="00CA450C" w:rsidP="007A4480">
      <w:pPr>
        <w:pStyle w:val="Bullet1"/>
      </w:pPr>
      <w:r>
        <w:t>immunisation for travel purposes</w:t>
      </w:r>
      <w:r w:rsidR="00740432">
        <w:rPr>
          <w:vertAlign w:val="superscript"/>
        </w:rPr>
        <w:t>a</w:t>
      </w:r>
    </w:p>
    <w:p w14:paraId="6F37AAE6" w14:textId="6620D07E" w:rsidR="00CA450C" w:rsidRPr="00C97846" w:rsidRDefault="00CA450C" w:rsidP="007A4480">
      <w:pPr>
        <w:pStyle w:val="Bullet1"/>
      </w:pPr>
      <w:r>
        <w:t>immunisation of contacts in the event of a case of measles, unless directed by the Department of Health</w:t>
      </w:r>
      <w:r w:rsidR="00740432">
        <w:rPr>
          <w:vertAlign w:val="superscript"/>
        </w:rPr>
        <w:t>b</w:t>
      </w:r>
      <w:r w:rsidR="0001357D">
        <w:rPr>
          <w:vertAlign w:val="superscript"/>
        </w:rPr>
        <w:t xml:space="preserve"> </w:t>
      </w:r>
    </w:p>
    <w:p w14:paraId="7D03ED82" w14:textId="49CB3DA4" w:rsidR="00CA450C" w:rsidRPr="005F22FF" w:rsidRDefault="00CA450C" w:rsidP="007A4480">
      <w:pPr>
        <w:pStyle w:val="Bullet1"/>
      </w:pPr>
      <w:r>
        <w:t>immunisation with normal human immunoglobulin for the prophylaxis of measles when in contact with a case</w:t>
      </w:r>
      <w:r w:rsidR="00740432">
        <w:rPr>
          <w:vertAlign w:val="superscript"/>
        </w:rPr>
        <w:t>c</w:t>
      </w:r>
    </w:p>
    <w:p w14:paraId="451E9906" w14:textId="2097760E" w:rsidR="00CA450C" w:rsidRDefault="00CA450C" w:rsidP="00BB68CD">
      <w:pPr>
        <w:pStyle w:val="Heading2"/>
      </w:pPr>
      <w:bookmarkStart w:id="6" w:name="_Toc133481706"/>
      <w:r w:rsidRPr="00CA450C">
        <w:t>M</w:t>
      </w:r>
      <w:r w:rsidR="00BB68CD">
        <w:t>umps</w:t>
      </w:r>
      <w:bookmarkEnd w:id="6"/>
    </w:p>
    <w:p w14:paraId="728BFB94" w14:textId="3FAEBF21" w:rsidR="00CA450C" w:rsidRDefault="00CA450C" w:rsidP="00CA450C">
      <w:pPr>
        <w:jc w:val="both"/>
      </w:pPr>
      <w:r>
        <w:t xml:space="preserve">Approval for nurses to immunise with vaccine(s) against mumps </w:t>
      </w:r>
      <w:r w:rsidRPr="00CA450C">
        <w:rPr>
          <w:bCs/>
        </w:rPr>
        <w:t>include</w:t>
      </w:r>
      <w:r>
        <w:t>:</w:t>
      </w:r>
    </w:p>
    <w:p w14:paraId="4CD21D59" w14:textId="77777777" w:rsidR="00CA450C" w:rsidRDefault="00CA450C" w:rsidP="00CA450C">
      <w:pPr>
        <w:pStyle w:val="Bullet1"/>
      </w:pPr>
      <w:r>
        <w:t>immunisation of children as per the National Immunisation Program Schedule or as approved by the Victorian Chief Health Officer</w:t>
      </w:r>
    </w:p>
    <w:p w14:paraId="0E457782" w14:textId="04EDCB2E" w:rsidR="00CA450C" w:rsidRPr="00CA450C" w:rsidRDefault="00CA450C" w:rsidP="00804672">
      <w:pPr>
        <w:pStyle w:val="Bullet1"/>
      </w:pPr>
      <w:r>
        <w:t>immunisation of children and adults as per the catch</w:t>
      </w:r>
      <w:r w:rsidR="005312B1">
        <w:t>-</w:t>
      </w:r>
      <w:r>
        <w:t xml:space="preserve">up vaccination and other variations to the schedule recommendations in The Australian immunisation handbook current at the time of administration </w:t>
      </w:r>
    </w:p>
    <w:p w14:paraId="2B197E4C" w14:textId="2C54BEBF" w:rsidR="00CA450C" w:rsidRDefault="00CA450C" w:rsidP="00BB68CD">
      <w:pPr>
        <w:pStyle w:val="Heading3"/>
      </w:pPr>
      <w:r w:rsidRPr="00CA450C">
        <w:t>but exclude:</w:t>
      </w:r>
    </w:p>
    <w:p w14:paraId="637B3D30" w14:textId="041808B6" w:rsidR="00CA450C" w:rsidRPr="00F11362" w:rsidRDefault="00CA450C" w:rsidP="00F11362">
      <w:pPr>
        <w:pStyle w:val="Bullet1"/>
      </w:pPr>
      <w:r w:rsidRPr="00F11362">
        <w:t>immunisation for travel purposes</w:t>
      </w:r>
      <w:r w:rsidR="00740432">
        <w:rPr>
          <w:vertAlign w:val="superscript"/>
        </w:rPr>
        <w:t>a</w:t>
      </w:r>
    </w:p>
    <w:p w14:paraId="09E751CD" w14:textId="56C99A58" w:rsidR="00CA450C" w:rsidRPr="00F11362" w:rsidRDefault="00CA450C" w:rsidP="00F11362">
      <w:pPr>
        <w:pStyle w:val="Bullet1"/>
      </w:pPr>
      <w:r w:rsidRPr="00F11362">
        <w:t>immunisation of contacts in the event of a case of mumps, unless directed by the Department of Health</w:t>
      </w:r>
      <w:r w:rsidR="00740432">
        <w:rPr>
          <w:vertAlign w:val="superscript"/>
        </w:rPr>
        <w:t>b</w:t>
      </w:r>
    </w:p>
    <w:p w14:paraId="635219A2" w14:textId="32911EC2" w:rsidR="00D53BE7" w:rsidRPr="00F11362" w:rsidRDefault="00CA450C" w:rsidP="00F11362">
      <w:pPr>
        <w:pStyle w:val="Bullet1"/>
      </w:pPr>
      <w:r w:rsidRPr="00F11362">
        <w:t>immunisation with normal human immunoglobulin for the prophylaxis of mumps when in contact with a case</w:t>
      </w:r>
      <w:r w:rsidR="00740432">
        <w:rPr>
          <w:vertAlign w:val="superscript"/>
        </w:rPr>
        <w:t>c</w:t>
      </w:r>
    </w:p>
    <w:p w14:paraId="672FC13C" w14:textId="3826DE3B" w:rsidR="00200176" w:rsidRDefault="00CA450C" w:rsidP="00BB68CD">
      <w:pPr>
        <w:pStyle w:val="Heading2"/>
      </w:pPr>
      <w:bookmarkStart w:id="7" w:name="_Toc133481707"/>
      <w:r w:rsidRPr="00CA450C">
        <w:t>R</w:t>
      </w:r>
      <w:r w:rsidR="00BB68CD">
        <w:t>ubella</w:t>
      </w:r>
      <w:bookmarkEnd w:id="7"/>
    </w:p>
    <w:p w14:paraId="15180E61" w14:textId="6972DA60" w:rsidR="00CA450C" w:rsidRDefault="00CA450C" w:rsidP="00CA450C">
      <w:pPr>
        <w:pStyle w:val="Body"/>
      </w:pPr>
      <w:r w:rsidRPr="00CA450C">
        <w:t>Approval for nurses to immunise with vaccine(s) against rubella include:</w:t>
      </w:r>
    </w:p>
    <w:p w14:paraId="7B248890" w14:textId="3AA56EF4" w:rsidR="00CA450C" w:rsidRDefault="00CA450C" w:rsidP="00CA450C">
      <w:pPr>
        <w:pStyle w:val="Bullet1"/>
      </w:pPr>
      <w:r>
        <w:t>immunisation of children as per the National Immunisation Program Schedule or as approved by the Victorian Chief Health Officer</w:t>
      </w:r>
    </w:p>
    <w:p w14:paraId="4397E5BD" w14:textId="7AAA5DE5" w:rsidR="00CA450C" w:rsidRDefault="00CA450C" w:rsidP="00CA450C">
      <w:pPr>
        <w:pStyle w:val="Bullet1"/>
      </w:pPr>
      <w:r>
        <w:t>immunisation of non</w:t>
      </w:r>
      <w:r w:rsidR="00D53BE7">
        <w:t>-</w:t>
      </w:r>
      <w:r>
        <w:t>pregnant seronegative women of childbearing age</w:t>
      </w:r>
      <w:r w:rsidR="007947DC">
        <w:rPr>
          <w:vertAlign w:val="superscript"/>
        </w:rPr>
        <w:t>e</w:t>
      </w:r>
      <w:r>
        <w:t xml:space="preserve"> </w:t>
      </w:r>
    </w:p>
    <w:p w14:paraId="418A9663" w14:textId="62BE53E5" w:rsidR="00CA450C" w:rsidRDefault="00CA450C" w:rsidP="00804672">
      <w:pPr>
        <w:pStyle w:val="Bullet1"/>
      </w:pPr>
      <w:r>
        <w:t>immunisation of children and adults as per the catch</w:t>
      </w:r>
      <w:r w:rsidR="005312B1">
        <w:t>-</w:t>
      </w:r>
      <w:r>
        <w:t xml:space="preserve">up vaccination and other variations to the schedule recommendations in The Australian immunisation handbook current at the time of administration </w:t>
      </w:r>
    </w:p>
    <w:p w14:paraId="52672A88" w14:textId="66FF80EB" w:rsidR="00CA450C" w:rsidRDefault="00CA450C" w:rsidP="00BB68CD">
      <w:pPr>
        <w:pStyle w:val="Heading3"/>
      </w:pPr>
      <w:r w:rsidRPr="00CA450C">
        <w:t>but exclude:</w:t>
      </w:r>
    </w:p>
    <w:p w14:paraId="6350C42B" w14:textId="787CA081" w:rsidR="009E4E93" w:rsidRDefault="00CA450C" w:rsidP="009E4E93">
      <w:pPr>
        <w:pStyle w:val="Bullet1"/>
      </w:pPr>
      <w:r w:rsidRPr="00F11362">
        <w:t>immunisation for travel purposes</w:t>
      </w:r>
      <w:r w:rsidR="007947DC">
        <w:rPr>
          <w:vertAlign w:val="superscript"/>
        </w:rPr>
        <w:t>a</w:t>
      </w:r>
    </w:p>
    <w:p w14:paraId="2C82805C" w14:textId="55724F27" w:rsidR="00CA450C" w:rsidRPr="009E4E93" w:rsidRDefault="00CA450C" w:rsidP="009E4E93">
      <w:pPr>
        <w:pStyle w:val="Bullet1"/>
      </w:pPr>
      <w:r w:rsidRPr="00F11362">
        <w:t>immunisation of contacts in the event of a case of rubella, unless directed by the Department of Health</w:t>
      </w:r>
      <w:r w:rsidR="007947DC" w:rsidRPr="009E4E93">
        <w:rPr>
          <w:vertAlign w:val="superscript"/>
        </w:rPr>
        <w:t>b</w:t>
      </w:r>
    </w:p>
    <w:p w14:paraId="258321FD" w14:textId="25287A73" w:rsidR="00F11362" w:rsidRPr="00F11362" w:rsidRDefault="00CA450C" w:rsidP="00F11362">
      <w:pPr>
        <w:pStyle w:val="Bullet1"/>
      </w:pPr>
      <w:r w:rsidRPr="00F11362">
        <w:t>immunisation with normal human immunoglobulin for the prophylaxis of rubella when contact with a case</w:t>
      </w:r>
      <w:r w:rsidR="007947DC">
        <w:rPr>
          <w:vertAlign w:val="superscript"/>
        </w:rPr>
        <w:t>c</w:t>
      </w:r>
    </w:p>
    <w:p w14:paraId="4D51E36D" w14:textId="77777777" w:rsidR="00F11362" w:rsidRDefault="00F11362">
      <w:pPr>
        <w:spacing w:after="0" w:line="240" w:lineRule="auto"/>
        <w:rPr>
          <w:rFonts w:eastAsia="Times"/>
          <w:vertAlign w:val="superscript"/>
        </w:rPr>
      </w:pPr>
      <w:r>
        <w:rPr>
          <w:vertAlign w:val="superscript"/>
        </w:rPr>
        <w:br w:type="page"/>
      </w:r>
    </w:p>
    <w:p w14:paraId="3B1FAF10" w14:textId="6ED7E31E" w:rsidR="00CA450C" w:rsidRDefault="00CA450C" w:rsidP="006E2B1B">
      <w:pPr>
        <w:pStyle w:val="Heading2"/>
      </w:pPr>
      <w:bookmarkStart w:id="8" w:name="_Toc133481708"/>
      <w:r w:rsidRPr="00CA450C">
        <w:lastRenderedPageBreak/>
        <w:t>P</w:t>
      </w:r>
      <w:r w:rsidR="006E2B1B">
        <w:t>oliomyelitis</w:t>
      </w:r>
      <w:bookmarkEnd w:id="8"/>
    </w:p>
    <w:p w14:paraId="7DCA1318" w14:textId="76308D6E" w:rsidR="00CA450C" w:rsidRDefault="00CA450C" w:rsidP="00CA450C">
      <w:pPr>
        <w:pStyle w:val="Body"/>
      </w:pPr>
      <w:r w:rsidRPr="00CA450C">
        <w:t>Approval for nurses to immunise with vaccine(s) against poliomyelitis include:</w:t>
      </w:r>
    </w:p>
    <w:p w14:paraId="5AE61279" w14:textId="77777777" w:rsidR="00CA450C" w:rsidRDefault="00CA450C" w:rsidP="00CA450C">
      <w:pPr>
        <w:pStyle w:val="Bullet1"/>
      </w:pPr>
      <w:r>
        <w:t>immunisation of children as per the National Immunisation Program Schedule or as approved by the Victorian Chief Health Officer</w:t>
      </w:r>
    </w:p>
    <w:p w14:paraId="475FA45E" w14:textId="41DBA03B" w:rsidR="00CA450C" w:rsidRDefault="00CA450C" w:rsidP="00CA450C">
      <w:pPr>
        <w:pStyle w:val="Bullet1"/>
      </w:pPr>
      <w:r>
        <w:t>immunisation of children and adults as per the catch</w:t>
      </w:r>
      <w:r w:rsidR="005312B1">
        <w:t>-</w:t>
      </w:r>
      <w:r>
        <w:t>up vaccination and other variations to the schedule recommendations in The Australian immunisation handbook current at the time of administration</w:t>
      </w:r>
    </w:p>
    <w:p w14:paraId="3FF208F4" w14:textId="406CE332" w:rsidR="00CA450C" w:rsidRDefault="00CA450C" w:rsidP="006E2B1B">
      <w:pPr>
        <w:pStyle w:val="Heading3"/>
      </w:pPr>
      <w:r w:rsidRPr="00CA450C">
        <w:t>but exclude:</w:t>
      </w:r>
    </w:p>
    <w:p w14:paraId="30377D87" w14:textId="7EA8857C" w:rsidR="009E4E93" w:rsidRDefault="005312B1" w:rsidP="009E4E93">
      <w:pPr>
        <w:pStyle w:val="Bullet1"/>
        <w:numPr>
          <w:ilvl w:val="0"/>
          <w:numId w:val="47"/>
        </w:numPr>
        <w:rPr>
          <w:vertAlign w:val="superscript"/>
        </w:rPr>
      </w:pPr>
      <w:r w:rsidRPr="00F11362">
        <w:t xml:space="preserve">immunisation </w:t>
      </w:r>
      <w:r w:rsidRPr="009E4E93">
        <w:t>for travel purposes</w:t>
      </w:r>
      <w:r w:rsidR="007947DC" w:rsidRPr="009E4E93">
        <w:rPr>
          <w:vertAlign w:val="superscript"/>
        </w:rPr>
        <w:t>a</w:t>
      </w:r>
    </w:p>
    <w:p w14:paraId="04E1A56D" w14:textId="07AB27D4" w:rsidR="00EF3D23" w:rsidRPr="009E4E93" w:rsidRDefault="005312B1" w:rsidP="009E4E93">
      <w:pPr>
        <w:pStyle w:val="Bullet1"/>
        <w:numPr>
          <w:ilvl w:val="0"/>
          <w:numId w:val="47"/>
        </w:numPr>
        <w:rPr>
          <w:vertAlign w:val="superscript"/>
        </w:rPr>
      </w:pPr>
      <w:r w:rsidRPr="009E4E93">
        <w:t xml:space="preserve">immunisation </w:t>
      </w:r>
      <w:r>
        <w:t>of immunocompromised persons</w:t>
      </w:r>
      <w:r w:rsidR="001226CA" w:rsidRPr="009E4E93">
        <w:rPr>
          <w:vertAlign w:val="superscript"/>
        </w:rPr>
        <w:t>f</w:t>
      </w:r>
    </w:p>
    <w:p w14:paraId="10301F83" w14:textId="772DAC3A" w:rsidR="00CA450C" w:rsidRDefault="005312B1" w:rsidP="006E2B1B">
      <w:pPr>
        <w:pStyle w:val="Heading2"/>
      </w:pPr>
      <w:bookmarkStart w:id="9" w:name="_Toc133481709"/>
      <w:r w:rsidRPr="005312B1">
        <w:t>H</w:t>
      </w:r>
      <w:r w:rsidR="006E2B1B">
        <w:t>aemophilus i</w:t>
      </w:r>
      <w:r w:rsidR="00D103BC">
        <w:t>nfluenzae type b</w:t>
      </w:r>
      <w:bookmarkEnd w:id="9"/>
    </w:p>
    <w:p w14:paraId="67F1F626" w14:textId="43853C9B" w:rsidR="00CA450C" w:rsidRDefault="005312B1" w:rsidP="005312B1">
      <w:pPr>
        <w:pStyle w:val="Body"/>
      </w:pPr>
      <w:r w:rsidRPr="005312B1">
        <w:t xml:space="preserve">Approval for nurses to immunise with vaccine(s) against Haemophilus influenzae type b (Hib) infections </w:t>
      </w:r>
      <w:r w:rsidR="00560451" w:rsidRPr="005312B1">
        <w:t>include</w:t>
      </w:r>
      <w:r w:rsidRPr="005312B1">
        <w:t>:</w:t>
      </w:r>
    </w:p>
    <w:p w14:paraId="0C844C8F" w14:textId="695D0506" w:rsidR="005312B1" w:rsidRDefault="005312B1" w:rsidP="005312B1">
      <w:pPr>
        <w:pStyle w:val="Bullet1"/>
      </w:pPr>
      <w:r>
        <w:t>immunisation of children as per the National Immunisation Program Schedule or as approved by the Victorian Chief Health Officer</w:t>
      </w:r>
    </w:p>
    <w:p w14:paraId="19CCC6E1" w14:textId="3870DCB0" w:rsidR="00D53BE7" w:rsidRPr="00EF3D23" w:rsidRDefault="005312B1" w:rsidP="00EF3D23">
      <w:pPr>
        <w:pStyle w:val="Bullet1"/>
      </w:pPr>
      <w:r>
        <w:t>immunisation of children and adults as per the catch-up vaccination and other variations to the schedule recommendations in The Australian immunisation handbook current at the time of administration</w:t>
      </w:r>
    </w:p>
    <w:p w14:paraId="0DA3DA14" w14:textId="1D2A5A6F" w:rsidR="00CA450C" w:rsidRDefault="00560451" w:rsidP="00560451">
      <w:pPr>
        <w:pStyle w:val="Heading2"/>
      </w:pPr>
      <w:bookmarkStart w:id="10" w:name="_Toc133481710"/>
      <w:r>
        <w:t>Hepatitis B</w:t>
      </w:r>
      <w:bookmarkEnd w:id="10"/>
    </w:p>
    <w:p w14:paraId="1E03E281" w14:textId="17471BFE" w:rsidR="00CA450C" w:rsidRDefault="005312B1" w:rsidP="005312B1">
      <w:pPr>
        <w:pStyle w:val="Body"/>
      </w:pPr>
      <w:r w:rsidRPr="005312B1">
        <w:t>Approval for nurses to immunise with vaccine(s) against hepatitis B include:</w:t>
      </w:r>
    </w:p>
    <w:p w14:paraId="6B1E581C" w14:textId="77777777" w:rsidR="005312B1" w:rsidRDefault="005312B1" w:rsidP="005312B1">
      <w:pPr>
        <w:numPr>
          <w:ilvl w:val="0"/>
          <w:numId w:val="40"/>
        </w:numPr>
        <w:spacing w:after="0" w:line="240" w:lineRule="auto"/>
        <w:jc w:val="both"/>
      </w:pPr>
      <w:bookmarkStart w:id="11" w:name="_Hlk93325813"/>
      <w:r>
        <w:t>immunisation of children as per the National Immunisation Program Schedule or as approved by the Victorian Chief Health Officer</w:t>
      </w:r>
    </w:p>
    <w:p w14:paraId="06270A75" w14:textId="0627039F" w:rsidR="005312B1" w:rsidRDefault="005312B1" w:rsidP="005312B1">
      <w:pPr>
        <w:numPr>
          <w:ilvl w:val="0"/>
          <w:numId w:val="40"/>
        </w:numPr>
        <w:spacing w:after="0" w:line="240" w:lineRule="auto"/>
        <w:jc w:val="both"/>
      </w:pPr>
      <w:r>
        <w:t xml:space="preserve">immunisation of children and adults as per the catch-up vaccination and other variations to the schedule recommendations in </w:t>
      </w:r>
      <w:r w:rsidRPr="00022491">
        <w:rPr>
          <w:i/>
        </w:rPr>
        <w:t>T</w:t>
      </w:r>
      <w:r>
        <w:rPr>
          <w:i/>
        </w:rPr>
        <w:t>he Australian immunisation h</w:t>
      </w:r>
      <w:r w:rsidRPr="00022491">
        <w:rPr>
          <w:i/>
        </w:rPr>
        <w:t>andbook</w:t>
      </w:r>
      <w:r>
        <w:t xml:space="preserve"> current at the time of administration</w:t>
      </w:r>
    </w:p>
    <w:bookmarkEnd w:id="11"/>
    <w:p w14:paraId="291FDF4D" w14:textId="1E099094" w:rsidR="00CA450C" w:rsidRDefault="005312B1" w:rsidP="00560451">
      <w:pPr>
        <w:pStyle w:val="Heading3"/>
      </w:pPr>
      <w:r w:rsidRPr="005312B1">
        <w:t>but exclude:</w:t>
      </w:r>
    </w:p>
    <w:p w14:paraId="374105FB" w14:textId="63FAEC74" w:rsidR="005312B1" w:rsidRDefault="005312B1" w:rsidP="005312B1">
      <w:pPr>
        <w:pStyle w:val="Bullet1"/>
      </w:pPr>
      <w:r>
        <w:t>immunisation for travel purposes</w:t>
      </w:r>
      <w:r w:rsidR="001226CA">
        <w:rPr>
          <w:vertAlign w:val="superscript"/>
        </w:rPr>
        <w:t>a</w:t>
      </w:r>
    </w:p>
    <w:p w14:paraId="548F3D9B" w14:textId="49D27FF4" w:rsidR="005312B1" w:rsidRDefault="005312B1" w:rsidP="005312B1">
      <w:pPr>
        <w:pStyle w:val="Bullet1"/>
      </w:pPr>
      <w:r>
        <w:t>immunisation following acute exposure to potentially infected blood or bodily fluids</w:t>
      </w:r>
      <w:r w:rsidR="001226CA">
        <w:rPr>
          <w:vertAlign w:val="superscript"/>
        </w:rPr>
        <w:t>g</w:t>
      </w:r>
    </w:p>
    <w:p w14:paraId="163B51D5" w14:textId="0CAD8A24" w:rsidR="005312B1" w:rsidRDefault="005312B1" w:rsidP="005312B1">
      <w:pPr>
        <w:pStyle w:val="Bullet1"/>
      </w:pPr>
      <w:r>
        <w:t>immunisation with hepatitis B immunoglobulin following acute exposure to potentially infected blood or bodily fluids</w:t>
      </w:r>
      <w:r w:rsidR="001226CA">
        <w:rPr>
          <w:vertAlign w:val="superscript"/>
        </w:rPr>
        <w:t>c</w:t>
      </w:r>
      <w:r>
        <w:rPr>
          <w:vertAlign w:val="superscript"/>
        </w:rPr>
        <w:t>,</w:t>
      </w:r>
      <w:r w:rsidR="001226CA">
        <w:rPr>
          <w:vertAlign w:val="superscript"/>
        </w:rPr>
        <w:t>g</w:t>
      </w:r>
    </w:p>
    <w:p w14:paraId="554C7EBD" w14:textId="77777777" w:rsidR="00125B7C" w:rsidRDefault="00125B7C">
      <w:pPr>
        <w:spacing w:after="0" w:line="240" w:lineRule="auto"/>
        <w:rPr>
          <w:b/>
          <w:color w:val="53565A"/>
          <w:sz w:val="32"/>
          <w:szCs w:val="28"/>
        </w:rPr>
      </w:pPr>
      <w:r>
        <w:br w:type="page"/>
      </w:r>
    </w:p>
    <w:p w14:paraId="5B6A1091" w14:textId="7C11E35E" w:rsidR="005312B1" w:rsidRDefault="005312B1" w:rsidP="00560451">
      <w:pPr>
        <w:pStyle w:val="Heading2"/>
      </w:pPr>
      <w:bookmarkStart w:id="12" w:name="_Toc133481711"/>
      <w:r w:rsidRPr="005312B1">
        <w:lastRenderedPageBreak/>
        <w:t>H</w:t>
      </w:r>
      <w:r w:rsidR="00560451">
        <w:t>epatitis A</w:t>
      </w:r>
      <w:bookmarkEnd w:id="12"/>
    </w:p>
    <w:p w14:paraId="418C764E" w14:textId="61BF591E" w:rsidR="00651BDE" w:rsidRDefault="00651BDE" w:rsidP="00651BDE">
      <w:pPr>
        <w:jc w:val="both"/>
      </w:pPr>
      <w:r>
        <w:t xml:space="preserve">Approval for nurses to immunise with vaccine(s) against hepatitis </w:t>
      </w:r>
      <w:r w:rsidRPr="00651BDE">
        <w:t>A include</w:t>
      </w:r>
      <w:r>
        <w:t>:</w:t>
      </w:r>
    </w:p>
    <w:p w14:paraId="3AEF81FB" w14:textId="77777777" w:rsidR="00651BDE" w:rsidRDefault="00651BDE" w:rsidP="00651BDE">
      <w:pPr>
        <w:pStyle w:val="Bullet1"/>
      </w:pPr>
      <w:r>
        <w:t xml:space="preserve">immunisation of children and adults as per the recommendations in </w:t>
      </w:r>
      <w:r w:rsidRPr="00A33226">
        <w:rPr>
          <w:i/>
        </w:rPr>
        <w:t>The Australian immunisation handbook</w:t>
      </w:r>
      <w:r>
        <w:t xml:space="preserve"> current at the time of administration or as approved by the Victorian Chief Health Officer</w:t>
      </w:r>
    </w:p>
    <w:p w14:paraId="115A5BE5" w14:textId="1BBA7D10" w:rsidR="00651BDE" w:rsidRDefault="00651BDE" w:rsidP="00651BDE">
      <w:pPr>
        <w:pStyle w:val="Bullet1"/>
      </w:pPr>
      <w:r>
        <w:t xml:space="preserve">immunisation of children and adults as per the catch-up vaccination and other variations to the schedule recommendations in </w:t>
      </w:r>
      <w:r w:rsidRPr="00022491">
        <w:rPr>
          <w:i/>
        </w:rPr>
        <w:t>T</w:t>
      </w:r>
      <w:r>
        <w:rPr>
          <w:i/>
        </w:rPr>
        <w:t>he Australian immunisation h</w:t>
      </w:r>
      <w:r w:rsidRPr="00022491">
        <w:rPr>
          <w:i/>
        </w:rPr>
        <w:t>andbook</w:t>
      </w:r>
      <w:r>
        <w:t xml:space="preserve"> current at the time of administration</w:t>
      </w:r>
    </w:p>
    <w:p w14:paraId="36ADE48D" w14:textId="04CAB6BC" w:rsidR="005312B1" w:rsidRDefault="00651BDE" w:rsidP="00560451">
      <w:pPr>
        <w:pStyle w:val="Heading3"/>
      </w:pPr>
      <w:r w:rsidRPr="00651BDE">
        <w:t>but exclude:</w:t>
      </w:r>
    </w:p>
    <w:p w14:paraId="325F32FE" w14:textId="2A793EF9" w:rsidR="00651BDE" w:rsidRPr="00EC1ADB" w:rsidRDefault="00651BDE" w:rsidP="00EC1ADB">
      <w:pPr>
        <w:pStyle w:val="Bullet1"/>
      </w:pPr>
      <w:r w:rsidRPr="00EC1ADB">
        <w:t>immunisation for travel purposes</w:t>
      </w:r>
      <w:r w:rsidR="001226CA">
        <w:rPr>
          <w:vertAlign w:val="superscript"/>
        </w:rPr>
        <w:t>a</w:t>
      </w:r>
    </w:p>
    <w:p w14:paraId="0933FC24" w14:textId="0B48F383" w:rsidR="00651BDE" w:rsidRPr="00EC1ADB" w:rsidRDefault="00651BDE" w:rsidP="00EC1ADB">
      <w:pPr>
        <w:pStyle w:val="Bullet1"/>
      </w:pPr>
      <w:r w:rsidRPr="00EC1ADB">
        <w:t>immunisation of contacts of a case of hepatitis A, unless directed by the Department of Health</w:t>
      </w:r>
      <w:r w:rsidR="001226CA">
        <w:rPr>
          <w:vertAlign w:val="superscript"/>
        </w:rPr>
        <w:t>b</w:t>
      </w:r>
    </w:p>
    <w:p w14:paraId="59CCF3BE" w14:textId="45FA96C8" w:rsidR="00D53BE7" w:rsidRPr="00EC1ADB" w:rsidRDefault="00651BDE" w:rsidP="00EC1ADB">
      <w:pPr>
        <w:pStyle w:val="Bullet1"/>
      </w:pPr>
      <w:r w:rsidRPr="00EC1ADB">
        <w:t>immunisation with normal human immunoglobulin for the prophylaxis of hepatitis A when in contact with a case</w:t>
      </w:r>
      <w:r w:rsidR="001226CA">
        <w:rPr>
          <w:vertAlign w:val="superscript"/>
        </w:rPr>
        <w:t>c</w:t>
      </w:r>
    </w:p>
    <w:p w14:paraId="76DF63A7" w14:textId="6017BF11" w:rsidR="00651BDE" w:rsidRDefault="00651BDE" w:rsidP="00560451">
      <w:pPr>
        <w:pStyle w:val="Heading2"/>
      </w:pPr>
      <w:bookmarkStart w:id="13" w:name="_Toc133481712"/>
      <w:r w:rsidRPr="00651BDE">
        <w:t>I</w:t>
      </w:r>
      <w:r w:rsidR="00560451">
        <w:t>nfluenza</w:t>
      </w:r>
      <w:bookmarkEnd w:id="13"/>
    </w:p>
    <w:p w14:paraId="0BFE137D" w14:textId="393FB8C6" w:rsidR="00651BDE" w:rsidRDefault="00651BDE" w:rsidP="00651BDE">
      <w:pPr>
        <w:jc w:val="both"/>
      </w:pPr>
      <w:r>
        <w:t xml:space="preserve">Approval for nurses to immunise with vaccine(s) against influenza </w:t>
      </w:r>
      <w:r w:rsidRPr="00D53BE7">
        <w:rPr>
          <w:bCs/>
        </w:rPr>
        <w:t>include</w:t>
      </w:r>
      <w:r>
        <w:t>:</w:t>
      </w:r>
    </w:p>
    <w:p w14:paraId="6D68A8BF" w14:textId="77777777" w:rsidR="00651BDE" w:rsidRDefault="00651BDE" w:rsidP="00651BDE">
      <w:pPr>
        <w:pStyle w:val="Bullet1"/>
      </w:pPr>
      <w:r>
        <w:t xml:space="preserve">immunisation of children and adults as per the recommendations in </w:t>
      </w:r>
      <w:r w:rsidRPr="00022491">
        <w:rPr>
          <w:i/>
        </w:rPr>
        <w:t>T</w:t>
      </w:r>
      <w:r>
        <w:rPr>
          <w:i/>
        </w:rPr>
        <w:t>he Australian immunisation h</w:t>
      </w:r>
      <w:r w:rsidRPr="00022491">
        <w:rPr>
          <w:i/>
        </w:rPr>
        <w:t>andbook</w:t>
      </w:r>
      <w:r>
        <w:t xml:space="preserve"> current at the time of administration or as approved by the Victorian Chief Health Officer</w:t>
      </w:r>
    </w:p>
    <w:p w14:paraId="5DB223B5" w14:textId="0A09E916" w:rsidR="00651BDE" w:rsidRDefault="00651BDE" w:rsidP="00560451">
      <w:pPr>
        <w:pStyle w:val="Heading3"/>
      </w:pPr>
      <w:r w:rsidRPr="00651BDE">
        <w:t>but exclude:</w:t>
      </w:r>
    </w:p>
    <w:p w14:paraId="2BE56812" w14:textId="2FCB3BA8" w:rsidR="00D53BE7" w:rsidRPr="00EF3D23" w:rsidRDefault="00651BDE" w:rsidP="00EF3D23">
      <w:pPr>
        <w:pStyle w:val="Bullet1"/>
        <w:rPr>
          <w:vertAlign w:val="superscript"/>
        </w:rPr>
      </w:pPr>
      <w:r>
        <w:t>immunisation for travel purposes</w:t>
      </w:r>
      <w:r w:rsidR="001226CA">
        <w:rPr>
          <w:vertAlign w:val="superscript"/>
        </w:rPr>
        <w:t>a</w:t>
      </w:r>
    </w:p>
    <w:p w14:paraId="6E62F518" w14:textId="3CF88865" w:rsidR="00651BDE" w:rsidRDefault="00651BDE" w:rsidP="00560451">
      <w:pPr>
        <w:pStyle w:val="Heading2"/>
      </w:pPr>
      <w:bookmarkStart w:id="14" w:name="_Toc133481713"/>
      <w:r w:rsidRPr="00651BDE">
        <w:t>M</w:t>
      </w:r>
      <w:r w:rsidR="00560451">
        <w:t>eningococcal infections</w:t>
      </w:r>
      <w:bookmarkEnd w:id="14"/>
    </w:p>
    <w:p w14:paraId="17B65328" w14:textId="259551CD" w:rsidR="00651BDE" w:rsidRDefault="00651BDE" w:rsidP="00651BDE">
      <w:pPr>
        <w:pStyle w:val="Body"/>
      </w:pPr>
      <w:r w:rsidRPr="00651BDE">
        <w:t>Approval for nurses to immunise with vaccine(s) against meningococcal disease include:</w:t>
      </w:r>
    </w:p>
    <w:p w14:paraId="75BC446F" w14:textId="77777777" w:rsidR="00651BDE" w:rsidRPr="00A33226" w:rsidRDefault="00651BDE" w:rsidP="00651BDE">
      <w:pPr>
        <w:pStyle w:val="Bullet1"/>
        <w:rPr>
          <w:b/>
        </w:rPr>
      </w:pPr>
      <w:r>
        <w:t>immunisation of children and adults as per the National Immunisation Program Schedule or as approved by the Victorian Chief Health Officer</w:t>
      </w:r>
    </w:p>
    <w:p w14:paraId="529A5C72" w14:textId="69415E8D" w:rsidR="00651BDE" w:rsidRDefault="00651BDE" w:rsidP="00651BDE">
      <w:pPr>
        <w:pStyle w:val="Bullet1"/>
      </w:pPr>
      <w:r>
        <w:t>immunisation of children and adults as per the catch</w:t>
      </w:r>
      <w:r w:rsidR="00D53BE7">
        <w:t>-</w:t>
      </w:r>
      <w:r>
        <w:t xml:space="preserve">up vaccination and other variations to the schedule recommendations in </w:t>
      </w:r>
      <w:r w:rsidRPr="00022491">
        <w:rPr>
          <w:i/>
        </w:rPr>
        <w:t>T</w:t>
      </w:r>
      <w:r>
        <w:rPr>
          <w:i/>
        </w:rPr>
        <w:t>he Australian immunisation h</w:t>
      </w:r>
      <w:r w:rsidRPr="00022491">
        <w:rPr>
          <w:i/>
        </w:rPr>
        <w:t>andbook</w:t>
      </w:r>
      <w:r>
        <w:t xml:space="preserve"> current at the time of administration</w:t>
      </w:r>
    </w:p>
    <w:p w14:paraId="232CBBC2" w14:textId="7A6C7B54" w:rsidR="00651BDE" w:rsidRDefault="00651BDE" w:rsidP="00560451">
      <w:pPr>
        <w:pStyle w:val="Heading3"/>
      </w:pPr>
      <w:r w:rsidRPr="00651BDE">
        <w:t>but exclude:</w:t>
      </w:r>
    </w:p>
    <w:p w14:paraId="2214DE73" w14:textId="31EECA1A" w:rsidR="00651BDE" w:rsidRDefault="00651BDE" w:rsidP="00651BDE">
      <w:pPr>
        <w:pStyle w:val="Bullet1"/>
      </w:pPr>
      <w:r>
        <w:t>immunisation for travel purposes</w:t>
      </w:r>
      <w:r w:rsidR="001226CA">
        <w:rPr>
          <w:vertAlign w:val="superscript"/>
        </w:rPr>
        <w:t>a</w:t>
      </w:r>
    </w:p>
    <w:p w14:paraId="504C054C" w14:textId="66AC7F55" w:rsidR="00651BDE" w:rsidRPr="00651BDE" w:rsidRDefault="00651BDE" w:rsidP="00804672">
      <w:pPr>
        <w:pStyle w:val="Bullet1"/>
      </w:pPr>
      <w:r>
        <w:t>immunisation of contacts in the event of a case of meningococcal, unless directed by the Department of Health</w:t>
      </w:r>
      <w:r w:rsidR="001226CA">
        <w:rPr>
          <w:vertAlign w:val="superscript"/>
        </w:rPr>
        <w:t>b</w:t>
      </w:r>
    </w:p>
    <w:p w14:paraId="7BE3AB18" w14:textId="20451279" w:rsidR="00651BDE" w:rsidRDefault="00651BDE" w:rsidP="0005501F">
      <w:pPr>
        <w:pStyle w:val="Heading2"/>
      </w:pPr>
      <w:bookmarkStart w:id="15" w:name="_Toc133481714"/>
      <w:r w:rsidRPr="00651BDE">
        <w:t>P</w:t>
      </w:r>
      <w:r w:rsidR="0005501F">
        <w:t>neumococcal infections</w:t>
      </w:r>
      <w:bookmarkEnd w:id="15"/>
    </w:p>
    <w:p w14:paraId="1E4794F7" w14:textId="14E2746A" w:rsidR="00651BDE" w:rsidRDefault="00651BDE" w:rsidP="00651BDE">
      <w:pPr>
        <w:jc w:val="both"/>
      </w:pPr>
      <w:r>
        <w:t xml:space="preserve">Approval for nurses to immunise with vaccine(s) against pneumococcal infections </w:t>
      </w:r>
      <w:r w:rsidRPr="00D53BE7">
        <w:rPr>
          <w:bCs/>
        </w:rPr>
        <w:t>include</w:t>
      </w:r>
      <w:r>
        <w:rPr>
          <w:b/>
        </w:rPr>
        <w:t>:</w:t>
      </w:r>
    </w:p>
    <w:p w14:paraId="4EC9ED82" w14:textId="77777777" w:rsidR="00651BDE" w:rsidRDefault="00651BDE" w:rsidP="00651BDE">
      <w:pPr>
        <w:pStyle w:val="Bullet1"/>
      </w:pPr>
      <w:r>
        <w:t>immunisation of children and adults as per the National Immunisation Program Schedule or as approved by the Victorian Chief Health Officer</w:t>
      </w:r>
    </w:p>
    <w:p w14:paraId="33A9800D" w14:textId="0020CEF8" w:rsidR="00651BDE" w:rsidRDefault="00651BDE" w:rsidP="00651BDE">
      <w:pPr>
        <w:pStyle w:val="Bullet1"/>
      </w:pPr>
      <w:r>
        <w:t>immunisation of children and adults as per the catch</w:t>
      </w:r>
      <w:r w:rsidR="00D53BE7">
        <w:t>-</w:t>
      </w:r>
      <w:r>
        <w:t xml:space="preserve">up vaccination and other variations to the schedule recommendations in </w:t>
      </w:r>
      <w:r w:rsidRPr="00022491">
        <w:rPr>
          <w:i/>
        </w:rPr>
        <w:t>T</w:t>
      </w:r>
      <w:r>
        <w:rPr>
          <w:i/>
        </w:rPr>
        <w:t>he Australian immunisation h</w:t>
      </w:r>
      <w:r w:rsidRPr="00022491">
        <w:rPr>
          <w:i/>
        </w:rPr>
        <w:t>andbook</w:t>
      </w:r>
      <w:r>
        <w:t xml:space="preserve"> current at the time of administration</w:t>
      </w:r>
    </w:p>
    <w:p w14:paraId="130B4D8E" w14:textId="4E98D2C9" w:rsidR="00651BDE" w:rsidRDefault="00651BDE" w:rsidP="0005501F">
      <w:pPr>
        <w:pStyle w:val="Heading3"/>
      </w:pPr>
      <w:r w:rsidRPr="00651BDE">
        <w:t>but exclude:</w:t>
      </w:r>
    </w:p>
    <w:p w14:paraId="6BFBA269" w14:textId="7912AC31" w:rsidR="00651BDE" w:rsidRDefault="00651BDE" w:rsidP="00651BDE">
      <w:pPr>
        <w:numPr>
          <w:ilvl w:val="0"/>
          <w:numId w:val="40"/>
        </w:numPr>
        <w:spacing w:after="0" w:line="240" w:lineRule="auto"/>
        <w:jc w:val="both"/>
      </w:pPr>
      <w:r>
        <w:t>immunisation for travel purposes</w:t>
      </w:r>
      <w:r w:rsidR="001226CA">
        <w:rPr>
          <w:vertAlign w:val="superscript"/>
        </w:rPr>
        <w:t>a</w:t>
      </w:r>
    </w:p>
    <w:p w14:paraId="1B89B694" w14:textId="0C01A26E" w:rsidR="00651BDE" w:rsidRDefault="00651BDE" w:rsidP="0005501F">
      <w:pPr>
        <w:pStyle w:val="Heading2"/>
      </w:pPr>
      <w:bookmarkStart w:id="16" w:name="_Toc133481715"/>
      <w:r w:rsidRPr="0019201F">
        <w:lastRenderedPageBreak/>
        <w:t>V</w:t>
      </w:r>
      <w:r w:rsidR="0005501F" w:rsidRPr="0019201F">
        <w:t>aricella</w:t>
      </w:r>
      <w:r w:rsidR="1623F9CA" w:rsidRPr="0019201F">
        <w:t>/Zoster/Herpes zoster</w:t>
      </w:r>
      <w:bookmarkEnd w:id="16"/>
    </w:p>
    <w:p w14:paraId="01558FA0" w14:textId="080B4C28" w:rsidR="00651BDE" w:rsidRDefault="00651BDE" w:rsidP="00651BDE">
      <w:pPr>
        <w:jc w:val="both"/>
      </w:pPr>
      <w:r>
        <w:t xml:space="preserve">Approval for nurses to immunise with vaccine(s) against varicella </w:t>
      </w:r>
      <w:r w:rsidRPr="00D53BE7">
        <w:rPr>
          <w:bCs/>
        </w:rPr>
        <w:t>include</w:t>
      </w:r>
      <w:r>
        <w:rPr>
          <w:b/>
        </w:rPr>
        <w:t>:</w:t>
      </w:r>
    </w:p>
    <w:p w14:paraId="4F77CB36" w14:textId="77777777" w:rsidR="00651BDE" w:rsidRPr="00A33226" w:rsidRDefault="00651BDE" w:rsidP="00651BDE">
      <w:pPr>
        <w:pStyle w:val="Bullet1"/>
        <w:rPr>
          <w:b/>
        </w:rPr>
      </w:pPr>
      <w:r>
        <w:t>immunisation of children as per the National Immunisation Program Schedule or as approved by the Victorian Chief Health Officer</w:t>
      </w:r>
    </w:p>
    <w:p w14:paraId="41BBBEC5" w14:textId="283F2274" w:rsidR="00651BDE" w:rsidRDefault="00651BDE" w:rsidP="00651BDE">
      <w:pPr>
        <w:pStyle w:val="Bullet1"/>
      </w:pPr>
      <w:r>
        <w:t>immunisation of children and adults as per the catch</w:t>
      </w:r>
      <w:r w:rsidR="00D53BE7">
        <w:t>-</w:t>
      </w:r>
      <w:r>
        <w:t xml:space="preserve">up vaccination and other variations to the schedule recommendations in </w:t>
      </w:r>
      <w:r w:rsidRPr="00022491">
        <w:rPr>
          <w:i/>
        </w:rPr>
        <w:t>T</w:t>
      </w:r>
      <w:r>
        <w:rPr>
          <w:i/>
        </w:rPr>
        <w:t>he Australian immunisation h</w:t>
      </w:r>
      <w:r w:rsidRPr="00022491">
        <w:rPr>
          <w:i/>
        </w:rPr>
        <w:t>andbook</w:t>
      </w:r>
      <w:r>
        <w:t xml:space="preserve"> current at the time of administration</w:t>
      </w:r>
    </w:p>
    <w:p w14:paraId="4A73ABFD" w14:textId="34753F3F" w:rsidR="00651BDE" w:rsidRDefault="00651BDE" w:rsidP="0005501F">
      <w:pPr>
        <w:pStyle w:val="Heading3"/>
      </w:pPr>
      <w:r w:rsidRPr="00651BDE">
        <w:t>but exclude:</w:t>
      </w:r>
    </w:p>
    <w:p w14:paraId="7F3393C2" w14:textId="22B5F829" w:rsidR="00651BDE" w:rsidRDefault="00651BDE" w:rsidP="00651BDE">
      <w:pPr>
        <w:numPr>
          <w:ilvl w:val="0"/>
          <w:numId w:val="41"/>
        </w:numPr>
        <w:tabs>
          <w:tab w:val="clear" w:pos="720"/>
          <w:tab w:val="num" w:pos="284"/>
        </w:tabs>
        <w:spacing w:line="240" w:lineRule="auto"/>
        <w:ind w:hanging="720"/>
        <w:jc w:val="both"/>
      </w:pPr>
      <w:r>
        <w:t>immunisation for travel purposes</w:t>
      </w:r>
      <w:r w:rsidR="001226CA">
        <w:rPr>
          <w:vertAlign w:val="superscript"/>
        </w:rPr>
        <w:t>a</w:t>
      </w:r>
    </w:p>
    <w:p w14:paraId="7C67DC6C" w14:textId="5EB05609" w:rsidR="00D53BE7" w:rsidRPr="00EF3D23" w:rsidRDefault="00651BDE" w:rsidP="00EF3D23">
      <w:pPr>
        <w:numPr>
          <w:ilvl w:val="0"/>
          <w:numId w:val="40"/>
        </w:numPr>
        <w:spacing w:after="0" w:line="240" w:lineRule="auto"/>
        <w:jc w:val="both"/>
        <w:rPr>
          <w:vertAlign w:val="superscript"/>
        </w:rPr>
      </w:pPr>
      <w:r>
        <w:t>immunisation with Zoster immunoglobulin for prophylaxis when in contact with a case</w:t>
      </w:r>
      <w:r w:rsidR="001226CA">
        <w:rPr>
          <w:vertAlign w:val="superscript"/>
        </w:rPr>
        <w:t>c</w:t>
      </w:r>
    </w:p>
    <w:p w14:paraId="08BC326A" w14:textId="7F8660FD" w:rsidR="00651BDE" w:rsidRDefault="00651BDE" w:rsidP="0005501F">
      <w:pPr>
        <w:pStyle w:val="Heading2"/>
      </w:pPr>
      <w:bookmarkStart w:id="17" w:name="_Toc133481716"/>
      <w:r w:rsidRPr="00651BDE">
        <w:t>H</w:t>
      </w:r>
      <w:r w:rsidR="0005501F">
        <w:t>uman Papillomavirus</w:t>
      </w:r>
      <w:bookmarkEnd w:id="17"/>
    </w:p>
    <w:p w14:paraId="36E93217" w14:textId="6143C76A" w:rsidR="00651BDE" w:rsidRDefault="00651BDE" w:rsidP="00651BDE">
      <w:pPr>
        <w:jc w:val="both"/>
      </w:pPr>
      <w:r>
        <w:t xml:space="preserve">Approval for nurses to immunise with vaccine(s) against human papillomavirus </w:t>
      </w:r>
      <w:r w:rsidRPr="00D53BE7">
        <w:rPr>
          <w:bCs/>
        </w:rPr>
        <w:t>include</w:t>
      </w:r>
      <w:r>
        <w:rPr>
          <w:b/>
        </w:rPr>
        <w:t>:</w:t>
      </w:r>
    </w:p>
    <w:p w14:paraId="64610E13" w14:textId="77777777" w:rsidR="00762D3A" w:rsidRDefault="00762D3A" w:rsidP="00762D3A">
      <w:pPr>
        <w:pStyle w:val="Bullet1"/>
      </w:pPr>
      <w:r>
        <w:t>immunisation of children and adults as per the recommendations in the Australian Immunisation Handbook current at the time of administration</w:t>
      </w:r>
    </w:p>
    <w:p w14:paraId="7A65DDA5" w14:textId="39CE2027" w:rsidR="00762D3A" w:rsidRDefault="00762D3A" w:rsidP="00762D3A">
      <w:pPr>
        <w:pStyle w:val="Bullet1"/>
      </w:pPr>
      <w:r>
        <w:t>immunisation of children and adults as per the catch</w:t>
      </w:r>
      <w:r w:rsidR="00D53BE7">
        <w:t>-</w:t>
      </w:r>
      <w:r>
        <w:t xml:space="preserve">up vaccination and other variations to the schedule recommendations in </w:t>
      </w:r>
      <w:r w:rsidRPr="00022491">
        <w:rPr>
          <w:i/>
        </w:rPr>
        <w:t>T</w:t>
      </w:r>
      <w:r>
        <w:rPr>
          <w:i/>
        </w:rPr>
        <w:t>he Australian immunisation h</w:t>
      </w:r>
      <w:r w:rsidRPr="00022491">
        <w:rPr>
          <w:i/>
        </w:rPr>
        <w:t>andbook</w:t>
      </w:r>
      <w:r>
        <w:t xml:space="preserve"> current at the time of administration</w:t>
      </w:r>
    </w:p>
    <w:p w14:paraId="6A2C7644" w14:textId="004610F1" w:rsidR="00651BDE" w:rsidRDefault="00762D3A" w:rsidP="0005501F">
      <w:pPr>
        <w:pStyle w:val="Heading3"/>
      </w:pPr>
      <w:r w:rsidRPr="00762D3A">
        <w:t>but exclude:</w:t>
      </w:r>
    </w:p>
    <w:p w14:paraId="67CBE656" w14:textId="3E01E23B" w:rsidR="00762D3A" w:rsidRDefault="00762D3A" w:rsidP="00762D3A">
      <w:pPr>
        <w:numPr>
          <w:ilvl w:val="0"/>
          <w:numId w:val="40"/>
        </w:numPr>
        <w:spacing w:after="0" w:line="240" w:lineRule="auto"/>
        <w:jc w:val="both"/>
      </w:pPr>
      <w:r>
        <w:t>immunisation for travel purposes</w:t>
      </w:r>
      <w:r w:rsidR="001226CA">
        <w:rPr>
          <w:vertAlign w:val="superscript"/>
        </w:rPr>
        <w:t>a</w:t>
      </w:r>
    </w:p>
    <w:p w14:paraId="72C8B774" w14:textId="70132434" w:rsidR="00762D3A" w:rsidRDefault="00762D3A" w:rsidP="0005501F">
      <w:pPr>
        <w:pStyle w:val="Heading2"/>
      </w:pPr>
      <w:bookmarkStart w:id="18" w:name="_Toc133481717"/>
      <w:r w:rsidRPr="00762D3A">
        <w:t>R</w:t>
      </w:r>
      <w:r w:rsidR="0005501F">
        <w:t>otavirus</w:t>
      </w:r>
      <w:bookmarkEnd w:id="18"/>
    </w:p>
    <w:p w14:paraId="4F088DFE" w14:textId="2960D701" w:rsidR="00762D3A" w:rsidRDefault="00762D3A" w:rsidP="00762D3A">
      <w:pPr>
        <w:jc w:val="both"/>
      </w:pPr>
      <w:r>
        <w:t xml:space="preserve">Approval for nurses to immunise with vaccine against rotavirus </w:t>
      </w:r>
      <w:r w:rsidRPr="00D53BE7">
        <w:rPr>
          <w:bCs/>
        </w:rPr>
        <w:t>include</w:t>
      </w:r>
      <w:r>
        <w:rPr>
          <w:b/>
        </w:rPr>
        <w:t>:</w:t>
      </w:r>
    </w:p>
    <w:p w14:paraId="49057456" w14:textId="60633DB2" w:rsidR="00EF3D23" w:rsidRDefault="00762D3A" w:rsidP="009C1688">
      <w:pPr>
        <w:pStyle w:val="Bullet1"/>
      </w:pPr>
      <w:r>
        <w:t xml:space="preserve">immunisation of infants as per the recommendations in </w:t>
      </w:r>
      <w:r w:rsidRPr="00022491">
        <w:rPr>
          <w:i/>
        </w:rPr>
        <w:t>T</w:t>
      </w:r>
      <w:r>
        <w:rPr>
          <w:i/>
        </w:rPr>
        <w:t>he Australian immunisation h</w:t>
      </w:r>
      <w:r w:rsidRPr="00022491">
        <w:rPr>
          <w:i/>
        </w:rPr>
        <w:t>andbook</w:t>
      </w:r>
      <w:r>
        <w:t xml:space="preserve"> current at the time of administration.</w:t>
      </w:r>
    </w:p>
    <w:p w14:paraId="4CE067B0" w14:textId="0FB0716F" w:rsidR="000E5FA0" w:rsidRPr="008A213F" w:rsidRDefault="000E5FA0" w:rsidP="000E5FA0">
      <w:pPr>
        <w:pStyle w:val="Heading2"/>
      </w:pPr>
      <w:bookmarkStart w:id="19" w:name="_Toc133481718"/>
      <w:r w:rsidRPr="008A213F">
        <w:t xml:space="preserve">Japanese </w:t>
      </w:r>
      <w:r w:rsidR="00DF2862" w:rsidRPr="008A213F">
        <w:t>e</w:t>
      </w:r>
      <w:r w:rsidRPr="008A213F">
        <w:t>ncephalitis</w:t>
      </w:r>
      <w:bookmarkEnd w:id="19"/>
      <w:r w:rsidRPr="008A213F">
        <w:t xml:space="preserve"> </w:t>
      </w:r>
    </w:p>
    <w:p w14:paraId="592CEC78" w14:textId="3CBDDEF6" w:rsidR="00CC21B8" w:rsidRPr="008A213F" w:rsidRDefault="00CC21B8" w:rsidP="00CC21B8">
      <w:pPr>
        <w:pStyle w:val="Body"/>
        <w:spacing w:before="120"/>
        <w:rPr>
          <w:rFonts w:eastAsia="Times New Roman"/>
          <w:szCs w:val="21"/>
        </w:rPr>
      </w:pPr>
      <w:r w:rsidRPr="008A213F">
        <w:rPr>
          <w:rFonts w:eastAsia="Times New Roman"/>
        </w:rPr>
        <w:t xml:space="preserve">Nurse Immunisers who are administering the </w:t>
      </w:r>
      <w:r w:rsidR="009B1801">
        <w:rPr>
          <w:rFonts w:eastAsia="Times New Roman"/>
        </w:rPr>
        <w:t>Japanese encephalitis</w:t>
      </w:r>
      <w:r w:rsidR="009B1801" w:rsidRPr="008A213F">
        <w:rPr>
          <w:rFonts w:eastAsia="Times New Roman"/>
        </w:rPr>
        <w:t xml:space="preserve"> </w:t>
      </w:r>
      <w:r w:rsidRPr="008A213F">
        <w:rPr>
          <w:rFonts w:eastAsia="Times New Roman"/>
        </w:rPr>
        <w:t xml:space="preserve">vaccine to eligible individuals in Victoria must first complete the Japanese encephalitis eLearning module that has been approved by the Deputy Chief Health Officer – Communicable Disease. This training </w:t>
      </w:r>
      <w:r w:rsidR="00373A73" w:rsidRPr="008A213F">
        <w:rPr>
          <w:rFonts w:eastAsia="Times New Roman"/>
        </w:rPr>
        <w:t>can</w:t>
      </w:r>
      <w:r w:rsidRPr="008A213F">
        <w:rPr>
          <w:rFonts w:eastAsia="Times New Roman"/>
        </w:rPr>
        <w:t xml:space="preserve"> be accessed free from</w:t>
      </w:r>
      <w:r w:rsidRPr="008A213F">
        <w:t xml:space="preserve">: </w:t>
      </w:r>
      <w:hyperlink r:id="rId19" w:history="1">
        <w:r w:rsidRPr="008A213F">
          <w:rPr>
            <w:rStyle w:val="Hyperlink"/>
            <w:rFonts w:eastAsia="Times New Roman"/>
            <w:szCs w:val="21"/>
          </w:rPr>
          <w:t>https://www.health.vic.gov.au/immunisation/nurse-immuniser-study-programs</w:t>
        </w:r>
      </w:hyperlink>
    </w:p>
    <w:p w14:paraId="57F6AB12" w14:textId="3EDDE51C" w:rsidR="000E5FA0" w:rsidRPr="008A213F" w:rsidRDefault="000E5FA0" w:rsidP="000E5FA0">
      <w:pPr>
        <w:jc w:val="both"/>
      </w:pPr>
      <w:r w:rsidRPr="008A213F">
        <w:t>Approval for nurses to immunise with vaccine</w:t>
      </w:r>
      <w:r w:rsidR="00C8488A" w:rsidRPr="008A213F">
        <w:t>(s)</w:t>
      </w:r>
      <w:r w:rsidRPr="008A213F">
        <w:t xml:space="preserve"> against </w:t>
      </w:r>
      <w:r w:rsidR="00C8488A" w:rsidRPr="008A213F">
        <w:t>J</w:t>
      </w:r>
      <w:r w:rsidRPr="008A213F">
        <w:t xml:space="preserve">apanese encephalitis </w:t>
      </w:r>
      <w:r w:rsidRPr="008A213F">
        <w:rPr>
          <w:bCs/>
        </w:rPr>
        <w:t>include</w:t>
      </w:r>
      <w:r w:rsidRPr="008A213F">
        <w:rPr>
          <w:b/>
        </w:rPr>
        <w:t>:</w:t>
      </w:r>
    </w:p>
    <w:p w14:paraId="07441657" w14:textId="44DC3B27" w:rsidR="00A17396" w:rsidRPr="008A213F" w:rsidRDefault="00A17396" w:rsidP="00C8488A">
      <w:pPr>
        <w:pStyle w:val="Body"/>
        <w:numPr>
          <w:ilvl w:val="0"/>
          <w:numId w:val="45"/>
        </w:numPr>
        <w:spacing w:before="120"/>
        <w:rPr>
          <w:rFonts w:eastAsia="Times New Roman"/>
        </w:rPr>
      </w:pPr>
      <w:r w:rsidRPr="008A213F">
        <w:rPr>
          <w:rFonts w:eastAsia="Times New Roman"/>
        </w:rPr>
        <w:t>people recommended for vaccination as listed on the Victorian Department of Health’s Japanese encephalitis in Victoria webpage</w:t>
      </w:r>
      <w:r w:rsidR="0025526A" w:rsidRPr="008A213F">
        <w:rPr>
          <w:rStyle w:val="FootnoteReference"/>
          <w:rFonts w:eastAsia="Times New Roman"/>
        </w:rPr>
        <w:footnoteReference w:id="2"/>
      </w:r>
      <w:r w:rsidRPr="008A213F">
        <w:rPr>
          <w:rFonts w:eastAsia="Times New Roman"/>
        </w:rPr>
        <w:t xml:space="preserve"> as amended from time to time.</w:t>
      </w:r>
    </w:p>
    <w:p w14:paraId="2E7803DD" w14:textId="77777777" w:rsidR="0025526A" w:rsidRPr="008A213F" w:rsidRDefault="0025526A" w:rsidP="0025526A">
      <w:pPr>
        <w:pStyle w:val="Heading3"/>
      </w:pPr>
      <w:r w:rsidRPr="008A213F">
        <w:t>but exclude:</w:t>
      </w:r>
    </w:p>
    <w:p w14:paraId="4BEC9BA1" w14:textId="6A649F0D" w:rsidR="00CB2559" w:rsidRPr="008A213F" w:rsidRDefault="00CB2559" w:rsidP="0025526A">
      <w:pPr>
        <w:numPr>
          <w:ilvl w:val="0"/>
          <w:numId w:val="40"/>
        </w:numPr>
        <w:spacing w:after="0" w:line="240" w:lineRule="auto"/>
        <w:jc w:val="both"/>
      </w:pPr>
      <w:r w:rsidRPr="008A213F">
        <w:t>people not recommended for vaccination</w:t>
      </w:r>
    </w:p>
    <w:p w14:paraId="4D391425" w14:textId="5AB5B80F" w:rsidR="0025526A" w:rsidRPr="008A213F" w:rsidRDefault="0025526A" w:rsidP="0025526A">
      <w:pPr>
        <w:numPr>
          <w:ilvl w:val="0"/>
          <w:numId w:val="40"/>
        </w:numPr>
        <w:spacing w:after="0" w:line="240" w:lineRule="auto"/>
        <w:jc w:val="both"/>
      </w:pPr>
      <w:r w:rsidRPr="008A213F">
        <w:t>immunisation for travel purposes</w:t>
      </w:r>
      <w:r w:rsidR="001226CA" w:rsidRPr="008A213F">
        <w:rPr>
          <w:vertAlign w:val="superscript"/>
        </w:rPr>
        <w:t>a</w:t>
      </w:r>
    </w:p>
    <w:p w14:paraId="4773BC6D" w14:textId="3825102F" w:rsidR="006224E9" w:rsidRPr="0019201F" w:rsidRDefault="00016971" w:rsidP="006224E9">
      <w:pPr>
        <w:pStyle w:val="Heading2"/>
      </w:pPr>
      <w:bookmarkStart w:id="20" w:name="_Toc133481719"/>
      <w:r w:rsidRPr="00412B5A">
        <w:rPr>
          <w:highlight w:val="yellow"/>
        </w:rPr>
        <w:lastRenderedPageBreak/>
        <w:t>Mpox</w:t>
      </w:r>
      <w:r w:rsidR="00412B5A" w:rsidRPr="00412B5A">
        <w:rPr>
          <w:highlight w:val="yellow"/>
        </w:rPr>
        <w:t xml:space="preserve"> (monkeypox)</w:t>
      </w:r>
      <w:bookmarkEnd w:id="20"/>
      <w:r w:rsidR="006224E9" w:rsidRPr="0019201F">
        <w:t xml:space="preserve"> </w:t>
      </w:r>
    </w:p>
    <w:p w14:paraId="3E1071B2" w14:textId="5C6EA552" w:rsidR="006224E9" w:rsidRPr="0019201F" w:rsidRDefault="006224E9" w:rsidP="006224E9">
      <w:pPr>
        <w:pStyle w:val="Body"/>
        <w:spacing w:before="120"/>
        <w:rPr>
          <w:rFonts w:eastAsia="Times New Roman"/>
          <w:szCs w:val="21"/>
        </w:rPr>
      </w:pPr>
      <w:r w:rsidRPr="0019201F">
        <w:rPr>
          <w:rFonts w:eastAsia="Times New Roman"/>
        </w:rPr>
        <w:t xml:space="preserve">Nurse Immunisers who are administering </w:t>
      </w:r>
      <w:r w:rsidRPr="00412B5A">
        <w:rPr>
          <w:rFonts w:eastAsia="Times New Roman"/>
          <w:highlight w:val="yellow"/>
        </w:rPr>
        <w:t xml:space="preserve">the </w:t>
      </w:r>
      <w:r w:rsidR="00016971" w:rsidRPr="00412B5A">
        <w:rPr>
          <w:rFonts w:eastAsia="Times New Roman"/>
          <w:highlight w:val="yellow"/>
        </w:rPr>
        <w:t xml:space="preserve">mpox </w:t>
      </w:r>
      <w:r w:rsidR="00412B5A" w:rsidRPr="00412B5A">
        <w:rPr>
          <w:rFonts w:eastAsia="Times New Roman"/>
          <w:highlight w:val="yellow"/>
        </w:rPr>
        <w:t xml:space="preserve">(monkeypox) </w:t>
      </w:r>
      <w:r w:rsidRPr="00412B5A">
        <w:rPr>
          <w:rFonts w:eastAsia="Times New Roman"/>
          <w:highlight w:val="yellow"/>
        </w:rPr>
        <w:t>vaccine</w:t>
      </w:r>
      <w:r w:rsidRPr="0019201F">
        <w:rPr>
          <w:rFonts w:eastAsia="Times New Roman"/>
        </w:rPr>
        <w:t xml:space="preserve"> to eligible individuals in Victoria must first complete the </w:t>
      </w:r>
      <w:r w:rsidR="00412B5A" w:rsidRPr="009F7CF3">
        <w:rPr>
          <w:rFonts w:eastAsia="Times New Roman"/>
          <w:highlight w:val="yellow"/>
        </w:rPr>
        <w:t xml:space="preserve">Mpox (monkeypox) </w:t>
      </w:r>
      <w:r w:rsidRPr="009F7CF3">
        <w:rPr>
          <w:rFonts w:eastAsia="Times New Roman"/>
          <w:highlight w:val="yellow"/>
        </w:rPr>
        <w:t>eLearning module</w:t>
      </w:r>
      <w:r w:rsidRPr="0019201F">
        <w:rPr>
          <w:rFonts w:eastAsia="Times New Roman"/>
        </w:rPr>
        <w:t xml:space="preserve"> that has been approved by the Deputy Chief Health Officer – Communicable Disease. This training can be accessed free from</w:t>
      </w:r>
      <w:r w:rsidRPr="0019201F">
        <w:t xml:space="preserve">: </w:t>
      </w:r>
      <w:hyperlink r:id="rId20" w:history="1">
        <w:r w:rsidRPr="0019201F">
          <w:rPr>
            <w:rStyle w:val="Hyperlink"/>
            <w:rFonts w:eastAsia="Times New Roman"/>
            <w:szCs w:val="21"/>
          </w:rPr>
          <w:t>https://www.health.vic.gov.au/immunisation/nurse-immuniser-study-programs</w:t>
        </w:r>
      </w:hyperlink>
    </w:p>
    <w:p w14:paraId="17E69A2D" w14:textId="0D70A28C" w:rsidR="006224E9" w:rsidRPr="0019201F" w:rsidRDefault="006224E9" w:rsidP="006224E9">
      <w:pPr>
        <w:jc w:val="both"/>
      </w:pPr>
      <w:r w:rsidRPr="0019201F">
        <w:t xml:space="preserve">Approval for nurses to immunise with vaccine(s) against </w:t>
      </w:r>
      <w:r w:rsidR="00016971" w:rsidRPr="00412B5A">
        <w:rPr>
          <w:highlight w:val="yellow"/>
        </w:rPr>
        <w:t xml:space="preserve">mpox </w:t>
      </w:r>
      <w:r w:rsidR="00412B5A" w:rsidRPr="00412B5A">
        <w:rPr>
          <w:highlight w:val="yellow"/>
        </w:rPr>
        <w:t>(monkeypox)</w:t>
      </w:r>
      <w:r w:rsidR="00412B5A">
        <w:t xml:space="preserve"> </w:t>
      </w:r>
      <w:r w:rsidRPr="0019201F">
        <w:rPr>
          <w:bCs/>
        </w:rPr>
        <w:t>include</w:t>
      </w:r>
      <w:r w:rsidRPr="0019201F">
        <w:rPr>
          <w:b/>
        </w:rPr>
        <w:t>:</w:t>
      </w:r>
    </w:p>
    <w:p w14:paraId="04B56207" w14:textId="59A1D202" w:rsidR="006224E9" w:rsidRPr="0019201F" w:rsidRDefault="006224E9" w:rsidP="006224E9">
      <w:pPr>
        <w:pStyle w:val="Body"/>
        <w:numPr>
          <w:ilvl w:val="0"/>
          <w:numId w:val="45"/>
        </w:numPr>
        <w:spacing w:before="120"/>
        <w:rPr>
          <w:rFonts w:eastAsia="Times New Roman"/>
        </w:rPr>
      </w:pPr>
      <w:r w:rsidRPr="0019201F">
        <w:rPr>
          <w:rFonts w:eastAsia="Times New Roman"/>
        </w:rPr>
        <w:t xml:space="preserve">people recommended for vaccination as listed on the </w:t>
      </w:r>
      <w:hyperlink r:id="rId21">
        <w:r w:rsidRPr="00412B5A">
          <w:rPr>
            <w:rStyle w:val="Hyperlink"/>
            <w:rFonts w:eastAsia="Times New Roman"/>
            <w:highlight w:val="yellow"/>
          </w:rPr>
          <w:t xml:space="preserve">Victorian Department of Health’s </w:t>
        </w:r>
        <w:r w:rsidR="404DD355" w:rsidRPr="00412B5A">
          <w:rPr>
            <w:rStyle w:val="Hyperlink"/>
            <w:rFonts w:eastAsia="Times New Roman"/>
            <w:highlight w:val="yellow"/>
          </w:rPr>
          <w:t>M</w:t>
        </w:r>
        <w:r w:rsidR="00040239" w:rsidRPr="00412B5A">
          <w:rPr>
            <w:rStyle w:val="Hyperlink"/>
            <w:rFonts w:eastAsia="Times New Roman"/>
            <w:highlight w:val="yellow"/>
          </w:rPr>
          <w:t>pox</w:t>
        </w:r>
        <w:r w:rsidR="2D7A4B1A" w:rsidRPr="00412B5A">
          <w:rPr>
            <w:rStyle w:val="Hyperlink"/>
            <w:rFonts w:eastAsia="Times New Roman"/>
            <w:highlight w:val="yellow"/>
          </w:rPr>
          <w:t xml:space="preserve"> </w:t>
        </w:r>
        <w:r w:rsidR="00412B5A" w:rsidRPr="00412B5A">
          <w:rPr>
            <w:rStyle w:val="Hyperlink"/>
            <w:rFonts w:eastAsia="Times New Roman"/>
            <w:highlight w:val="yellow"/>
          </w:rPr>
          <w:t xml:space="preserve">(monkeypox) </w:t>
        </w:r>
        <w:r w:rsidRPr="00412B5A">
          <w:rPr>
            <w:rStyle w:val="Hyperlink"/>
            <w:rFonts w:eastAsia="Times New Roman"/>
            <w:highlight w:val="yellow"/>
          </w:rPr>
          <w:t>webpage</w:t>
        </w:r>
      </w:hyperlink>
      <w:r w:rsidRPr="0019201F">
        <w:rPr>
          <w:rFonts w:eastAsia="Times New Roman"/>
        </w:rPr>
        <w:t xml:space="preserve"> as amended from time to time.</w:t>
      </w:r>
    </w:p>
    <w:p w14:paraId="3D7E6A6E" w14:textId="77777777" w:rsidR="006224E9" w:rsidRPr="0019201F" w:rsidRDefault="006224E9" w:rsidP="006224E9">
      <w:pPr>
        <w:pStyle w:val="Heading3"/>
      </w:pPr>
      <w:r w:rsidRPr="0019201F">
        <w:t>but exclude:</w:t>
      </w:r>
    </w:p>
    <w:p w14:paraId="35C5C72B" w14:textId="77777777" w:rsidR="006224E9" w:rsidRPr="0019201F" w:rsidRDefault="006224E9" w:rsidP="0019201F">
      <w:pPr>
        <w:numPr>
          <w:ilvl w:val="0"/>
          <w:numId w:val="40"/>
        </w:numPr>
        <w:spacing w:before="120" w:after="0" w:line="240" w:lineRule="auto"/>
        <w:ind w:left="284" w:hanging="284"/>
        <w:jc w:val="both"/>
      </w:pPr>
      <w:r w:rsidRPr="0019201F">
        <w:t>people not recommended for vaccination</w:t>
      </w:r>
    </w:p>
    <w:p w14:paraId="656DDA80" w14:textId="731F6330" w:rsidR="005A53B6" w:rsidRPr="0019201F" w:rsidRDefault="00565951" w:rsidP="0019201F">
      <w:pPr>
        <w:numPr>
          <w:ilvl w:val="0"/>
          <w:numId w:val="40"/>
        </w:numPr>
        <w:spacing w:before="120" w:after="0" w:line="240" w:lineRule="auto"/>
        <w:ind w:left="284" w:hanging="284"/>
        <w:jc w:val="both"/>
      </w:pPr>
      <w:r w:rsidRPr="0019201F">
        <w:t>v</w:t>
      </w:r>
      <w:r w:rsidR="005A53B6" w:rsidRPr="0019201F">
        <w:t xml:space="preserve">accination for travel purposes other than those people recommended for vaccination as listed on the Department of Health’s </w:t>
      </w:r>
      <w:r w:rsidR="005A53B6" w:rsidRPr="00412B5A">
        <w:rPr>
          <w:highlight w:val="yellow"/>
        </w:rPr>
        <w:t xml:space="preserve">Mpox </w:t>
      </w:r>
      <w:r w:rsidR="00412B5A" w:rsidRPr="00412B5A">
        <w:rPr>
          <w:highlight w:val="yellow"/>
        </w:rPr>
        <w:t>(monkeypox)</w:t>
      </w:r>
      <w:r w:rsidR="00412B5A">
        <w:t xml:space="preserve"> </w:t>
      </w:r>
      <w:r w:rsidR="005A53B6" w:rsidRPr="0019201F">
        <w:t xml:space="preserve">webpage  </w:t>
      </w:r>
    </w:p>
    <w:p w14:paraId="7F7681DA" w14:textId="1199546E" w:rsidR="006224E9" w:rsidRPr="0019201F" w:rsidRDefault="00565951" w:rsidP="0019201F">
      <w:pPr>
        <w:numPr>
          <w:ilvl w:val="0"/>
          <w:numId w:val="40"/>
        </w:numPr>
        <w:spacing w:before="120" w:after="0" w:line="240" w:lineRule="auto"/>
        <w:ind w:left="284" w:hanging="284"/>
        <w:jc w:val="both"/>
      </w:pPr>
      <w:r w:rsidRPr="0019201F">
        <w:t>v</w:t>
      </w:r>
      <w:r w:rsidR="005A53B6" w:rsidRPr="0019201F">
        <w:t>accination of people with contraindications defined in the current edition of the Australian Immunisation Handbook (or current recommendations issued by the Australian Technical Advisory Group on Immunisation (ATAGI).</w:t>
      </w:r>
    </w:p>
    <w:p w14:paraId="1492B916" w14:textId="77777777" w:rsidR="000E5FA0" w:rsidRPr="009C1688" w:rsidRDefault="000E5FA0" w:rsidP="006224E9">
      <w:pPr>
        <w:pStyle w:val="Bullet1"/>
        <w:numPr>
          <w:ilvl w:val="0"/>
          <w:numId w:val="0"/>
        </w:numPr>
      </w:pPr>
    </w:p>
    <w:p w14:paraId="4F510B7E" w14:textId="3D793159" w:rsidR="00762D3A" w:rsidRDefault="00762D3A" w:rsidP="00762D3A">
      <w:pPr>
        <w:pStyle w:val="Heading1"/>
      </w:pPr>
      <w:bookmarkStart w:id="21" w:name="_Toc133481720"/>
      <w:r w:rsidRPr="00762D3A">
        <w:t>G</w:t>
      </w:r>
      <w:r w:rsidR="000B75AA">
        <w:t>eneral notes</w:t>
      </w:r>
      <w:bookmarkEnd w:id="21"/>
    </w:p>
    <w:p w14:paraId="1395C40D" w14:textId="60FFAC9D" w:rsidR="00762D3A" w:rsidRPr="00E53B54" w:rsidRDefault="00762D3A" w:rsidP="00762D3A">
      <w:pPr>
        <w:pStyle w:val="Body"/>
        <w:rPr>
          <w:szCs w:val="21"/>
        </w:rPr>
      </w:pPr>
      <w:r w:rsidRPr="00E53B54">
        <w:rPr>
          <w:szCs w:val="21"/>
        </w:rPr>
        <w:t>Contraindications must be observed as in The Australian immunisation handbook current at the time of administration. Due to the nature of some medical conditions especially involving immunosuppression, the final decision that immunisation is indicated should be made by the individual’s treating doctor due to the specialist nature of the condition.</w:t>
      </w:r>
    </w:p>
    <w:p w14:paraId="304C4916" w14:textId="725D9360" w:rsidR="00762D3A" w:rsidRPr="00E53B54" w:rsidRDefault="00762D3A" w:rsidP="00D53BE7">
      <w:pPr>
        <w:pStyle w:val="Body"/>
        <w:rPr>
          <w:szCs w:val="21"/>
        </w:rPr>
      </w:pPr>
      <w:r w:rsidRPr="00E53B54">
        <w:rPr>
          <w:szCs w:val="21"/>
        </w:rPr>
        <w:t xml:space="preserve">Valid consent must be obtained for each immunisation in accordance with the protocol listed in </w:t>
      </w:r>
      <w:r w:rsidRPr="00E53B54">
        <w:rPr>
          <w:i/>
          <w:szCs w:val="21"/>
        </w:rPr>
        <w:t>The Australian immunisation handbook</w:t>
      </w:r>
      <w:r w:rsidRPr="00E53B54">
        <w:rPr>
          <w:szCs w:val="21"/>
        </w:rPr>
        <w:t xml:space="preserve"> that is current at the time of administration. The process of establishing if contra-indications exist and valid consent given must include the use of a Pre-Immunisation Checklist</w:t>
      </w:r>
      <w:bookmarkStart w:id="22" w:name="_Hlk93410638"/>
      <w:r w:rsidRPr="00E53B54">
        <w:rPr>
          <w:szCs w:val="21"/>
        </w:rPr>
        <w:t>**</w:t>
      </w:r>
      <w:bookmarkEnd w:id="22"/>
      <w:r w:rsidRPr="00E53B54">
        <w:rPr>
          <w:szCs w:val="21"/>
        </w:rPr>
        <w:t xml:space="preserve"> given to the parent/person to be immunised.</w:t>
      </w:r>
    </w:p>
    <w:p w14:paraId="799C8B78" w14:textId="77777777" w:rsidR="00762D3A" w:rsidRPr="00E53B54" w:rsidRDefault="00762D3A" w:rsidP="00D53BE7">
      <w:pPr>
        <w:pStyle w:val="Body"/>
        <w:rPr>
          <w:szCs w:val="21"/>
        </w:rPr>
      </w:pPr>
      <w:r w:rsidRPr="00E53B54">
        <w:rPr>
          <w:szCs w:val="21"/>
        </w:rPr>
        <w:t>Cold chain must be maintained as per the recommendations of the National Vaccine Storage</w:t>
      </w:r>
      <w:r w:rsidRPr="00E53B54">
        <w:rPr>
          <w:i/>
          <w:szCs w:val="21"/>
        </w:rPr>
        <w:t xml:space="preserve"> Guidelines Strive for 5, </w:t>
      </w:r>
      <w:r w:rsidRPr="00E53B54">
        <w:rPr>
          <w:szCs w:val="21"/>
        </w:rPr>
        <w:t>which is current at the time of administration.</w:t>
      </w:r>
    </w:p>
    <w:p w14:paraId="059F852D" w14:textId="34B996BF" w:rsidR="00762D3A" w:rsidRPr="00E53B54" w:rsidRDefault="00762D3A" w:rsidP="00D53BE7">
      <w:pPr>
        <w:pStyle w:val="Body"/>
        <w:rPr>
          <w:szCs w:val="21"/>
        </w:rPr>
      </w:pPr>
      <w:r w:rsidRPr="00E53B54">
        <w:rPr>
          <w:szCs w:val="21"/>
        </w:rPr>
        <w:t>Notification that a vaccine has been given must be sent to the Australian Immunisation Register (AIR).</w:t>
      </w:r>
    </w:p>
    <w:p w14:paraId="53C4D3E8" w14:textId="73DD0D51" w:rsidR="00762D3A" w:rsidRPr="00E53B54" w:rsidRDefault="00762D3A" w:rsidP="00D53BE7">
      <w:pPr>
        <w:pStyle w:val="Body"/>
        <w:rPr>
          <w:szCs w:val="21"/>
        </w:rPr>
      </w:pPr>
      <w:r w:rsidRPr="00E53B54">
        <w:rPr>
          <w:szCs w:val="21"/>
        </w:rPr>
        <w:t>A reasonable check of the client’s immunisation history must be undertaken before immunisation</w:t>
      </w:r>
      <w:r w:rsidR="009A302F" w:rsidRPr="00E53B54">
        <w:rPr>
          <w:szCs w:val="21"/>
        </w:rPr>
        <w:t>.</w:t>
      </w:r>
    </w:p>
    <w:p w14:paraId="3A664081" w14:textId="3E478CAE" w:rsidR="009B1801" w:rsidRPr="00E53B54" w:rsidRDefault="009B1801" w:rsidP="009B1801">
      <w:pPr>
        <w:pStyle w:val="Body"/>
        <w:rPr>
          <w:szCs w:val="21"/>
        </w:rPr>
      </w:pPr>
      <w:r w:rsidRPr="00412B5A">
        <w:rPr>
          <w:szCs w:val="21"/>
        </w:rPr>
        <w:t>The Chief Health Officer has approved in the defined local government area</w:t>
      </w:r>
      <w:r w:rsidR="00DA0D1F" w:rsidRPr="00412B5A">
        <w:rPr>
          <w:szCs w:val="21"/>
        </w:rPr>
        <w:t>s</w:t>
      </w:r>
      <w:r w:rsidRPr="00412B5A">
        <w:rPr>
          <w:szCs w:val="21"/>
        </w:rPr>
        <w:t xml:space="preserve"> of the City of Greater Dandenong</w:t>
      </w:r>
      <w:r w:rsidR="00915D91" w:rsidRPr="00412B5A">
        <w:rPr>
          <w:szCs w:val="21"/>
        </w:rPr>
        <w:t>,</w:t>
      </w:r>
      <w:r w:rsidRPr="00412B5A">
        <w:rPr>
          <w:szCs w:val="21"/>
        </w:rPr>
        <w:t xml:space="preserve"> </w:t>
      </w:r>
      <w:r w:rsidR="000669C2" w:rsidRPr="00412B5A">
        <w:rPr>
          <w:szCs w:val="21"/>
        </w:rPr>
        <w:t xml:space="preserve">City of Whittlesea, Hume City Council and the City of Casey </w:t>
      </w:r>
      <w:r w:rsidRPr="00412B5A">
        <w:rPr>
          <w:szCs w:val="21"/>
        </w:rPr>
        <w:t xml:space="preserve">within the scope of the </w:t>
      </w:r>
      <w:r w:rsidR="00400758" w:rsidRPr="00412B5A">
        <w:t>‘Program for Refugee Immunisation Monitoring and Education (PRIME)</w:t>
      </w:r>
      <w:r w:rsidRPr="00412B5A">
        <w:rPr>
          <w:szCs w:val="21"/>
        </w:rPr>
        <w:t xml:space="preserve">, nurse immunisers employed or contracted by </w:t>
      </w:r>
      <w:r w:rsidR="004C312E" w:rsidRPr="00412B5A">
        <w:rPr>
          <w:szCs w:val="21"/>
        </w:rPr>
        <w:t>these councils</w:t>
      </w:r>
      <w:r w:rsidRPr="00412B5A">
        <w:rPr>
          <w:szCs w:val="21"/>
        </w:rPr>
        <w:t xml:space="preserve">, to administer the childhood formulation six-valent </w:t>
      </w:r>
      <w:bookmarkStart w:id="23" w:name="_Hlk127346861"/>
      <w:r w:rsidRPr="00412B5A">
        <w:rPr>
          <w:szCs w:val="21"/>
        </w:rPr>
        <w:t xml:space="preserve">Diphtheria-Tetanus-Pertussis | Polio | Hepatitis B | </w:t>
      </w:r>
      <w:r w:rsidR="000669C2" w:rsidRPr="00412B5A">
        <w:t xml:space="preserve">Haemophilus influenzae type b vaccine </w:t>
      </w:r>
      <w:bookmarkEnd w:id="23"/>
      <w:r w:rsidR="004C312E" w:rsidRPr="00412B5A">
        <w:rPr>
          <w:szCs w:val="21"/>
        </w:rPr>
        <w:t>(</w:t>
      </w:r>
      <w:r w:rsidRPr="00412B5A">
        <w:rPr>
          <w:szCs w:val="21"/>
        </w:rPr>
        <w:t>DTPa-IPV-Hep B-Hib</w:t>
      </w:r>
      <w:r w:rsidR="004C312E" w:rsidRPr="00412B5A">
        <w:rPr>
          <w:szCs w:val="21"/>
        </w:rPr>
        <w:t>)</w:t>
      </w:r>
      <w:r w:rsidRPr="00412B5A">
        <w:rPr>
          <w:szCs w:val="21"/>
        </w:rPr>
        <w:t xml:space="preserve"> and the combination </w:t>
      </w:r>
      <w:bookmarkStart w:id="24" w:name="_Hlk127346881"/>
      <w:r w:rsidR="000669C2" w:rsidRPr="00412B5A">
        <w:rPr>
          <w:szCs w:val="21"/>
        </w:rPr>
        <w:t xml:space="preserve">Measles-Mumps-Rubella-Varicella </w:t>
      </w:r>
      <w:bookmarkEnd w:id="24"/>
      <w:r w:rsidR="004C312E" w:rsidRPr="00412B5A">
        <w:rPr>
          <w:szCs w:val="21"/>
        </w:rPr>
        <w:t>(</w:t>
      </w:r>
      <w:r w:rsidRPr="00412B5A">
        <w:rPr>
          <w:szCs w:val="21"/>
        </w:rPr>
        <w:t>MMRV</w:t>
      </w:r>
      <w:r w:rsidR="004C312E" w:rsidRPr="00412B5A">
        <w:rPr>
          <w:szCs w:val="21"/>
        </w:rPr>
        <w:t>)</w:t>
      </w:r>
      <w:r w:rsidRPr="00412B5A">
        <w:rPr>
          <w:szCs w:val="21"/>
        </w:rPr>
        <w:t xml:space="preserve"> vaccine to adolescents up to </w:t>
      </w:r>
      <w:r w:rsidR="004C312E" w:rsidRPr="00412B5A">
        <w:rPr>
          <w:szCs w:val="21"/>
        </w:rPr>
        <w:t xml:space="preserve">the age of </w:t>
      </w:r>
      <w:r w:rsidR="000669C2" w:rsidRPr="00412B5A">
        <w:rPr>
          <w:szCs w:val="21"/>
        </w:rPr>
        <w:t xml:space="preserve">18 </w:t>
      </w:r>
      <w:r w:rsidRPr="00412B5A">
        <w:rPr>
          <w:szCs w:val="21"/>
        </w:rPr>
        <w:t>years</w:t>
      </w:r>
      <w:r w:rsidR="004C312E" w:rsidRPr="00412B5A">
        <w:rPr>
          <w:szCs w:val="21"/>
        </w:rPr>
        <w:t>.</w:t>
      </w:r>
      <w:r w:rsidR="004470F6" w:rsidRPr="00412B5A">
        <w:rPr>
          <w:szCs w:val="21"/>
        </w:rPr>
        <w:t xml:space="preserve"> </w:t>
      </w:r>
      <w:r w:rsidRPr="00412B5A">
        <w:rPr>
          <w:szCs w:val="21"/>
        </w:rPr>
        <w:t>This is a time-limited activity until 31 December 202</w:t>
      </w:r>
      <w:r w:rsidR="000669C2" w:rsidRPr="00412B5A">
        <w:rPr>
          <w:szCs w:val="21"/>
        </w:rPr>
        <w:t>3</w:t>
      </w:r>
      <w:r w:rsidR="00915D91" w:rsidRPr="00412B5A">
        <w:rPr>
          <w:szCs w:val="21"/>
        </w:rPr>
        <w:t>.</w:t>
      </w:r>
    </w:p>
    <w:p w14:paraId="59A27513" w14:textId="4B033A6F" w:rsidR="00762D3A" w:rsidRPr="00E53B54" w:rsidRDefault="00762D3A" w:rsidP="00D53BE7">
      <w:pPr>
        <w:pStyle w:val="Body"/>
        <w:rPr>
          <w:szCs w:val="21"/>
        </w:rPr>
      </w:pPr>
      <w:r w:rsidRPr="00E53B54">
        <w:rPr>
          <w:szCs w:val="21"/>
        </w:rPr>
        <w:t xml:space="preserve">The client should be advised </w:t>
      </w:r>
      <w:r w:rsidR="00391F4F" w:rsidRPr="00E53B54">
        <w:rPr>
          <w:szCs w:val="21"/>
        </w:rPr>
        <w:t xml:space="preserve">where they can access </w:t>
      </w:r>
      <w:r w:rsidRPr="00E53B54">
        <w:rPr>
          <w:szCs w:val="21"/>
        </w:rPr>
        <w:t>a record of the</w:t>
      </w:r>
      <w:r w:rsidR="007A5EFB" w:rsidRPr="00E53B54">
        <w:rPr>
          <w:szCs w:val="21"/>
        </w:rPr>
        <w:t>ir</w:t>
      </w:r>
      <w:r w:rsidRPr="00E53B54">
        <w:rPr>
          <w:szCs w:val="21"/>
        </w:rPr>
        <w:t xml:space="preserve"> immunisation(s) </w:t>
      </w:r>
      <w:r w:rsidR="007A5EFB" w:rsidRPr="00E53B54">
        <w:rPr>
          <w:szCs w:val="21"/>
        </w:rPr>
        <w:t>administered</w:t>
      </w:r>
      <w:r w:rsidRPr="00E53B54">
        <w:rPr>
          <w:szCs w:val="21"/>
        </w:rPr>
        <w:t>.</w:t>
      </w:r>
    </w:p>
    <w:p w14:paraId="6090EDAF" w14:textId="6B0222F9" w:rsidR="00762D3A" w:rsidRPr="00E53B54" w:rsidRDefault="00762D3A" w:rsidP="00762D3A">
      <w:pPr>
        <w:pStyle w:val="Bullet1"/>
        <w:numPr>
          <w:ilvl w:val="0"/>
          <w:numId w:val="43"/>
        </w:numPr>
        <w:rPr>
          <w:szCs w:val="21"/>
        </w:rPr>
      </w:pPr>
      <w:r w:rsidRPr="00E53B54">
        <w:rPr>
          <w:szCs w:val="21"/>
        </w:rPr>
        <w:t xml:space="preserve">Travel medicine is a specialist area that should include a medical consultation. </w:t>
      </w:r>
    </w:p>
    <w:p w14:paraId="6CAC6498" w14:textId="3FCB982A" w:rsidR="00762D3A" w:rsidRPr="00E53B54" w:rsidRDefault="00762D3A" w:rsidP="00762D3A">
      <w:pPr>
        <w:pStyle w:val="Bullet1"/>
        <w:numPr>
          <w:ilvl w:val="0"/>
          <w:numId w:val="43"/>
        </w:numPr>
        <w:rPr>
          <w:szCs w:val="21"/>
        </w:rPr>
      </w:pPr>
      <w:r w:rsidRPr="00E53B54">
        <w:rPr>
          <w:szCs w:val="21"/>
        </w:rPr>
        <w:t>A case of this vaccine preventable disease is notifiable to the Department of Health under the Health (Infectious Diseases) Regulations 1990. Department of Health will provide advice on the further management of the case and contacts.</w:t>
      </w:r>
    </w:p>
    <w:p w14:paraId="7A9B7E26" w14:textId="34D011F2" w:rsidR="00762D3A" w:rsidRPr="00E53B54" w:rsidRDefault="00762D3A" w:rsidP="00762D3A">
      <w:pPr>
        <w:pStyle w:val="Bullet1"/>
        <w:numPr>
          <w:ilvl w:val="0"/>
          <w:numId w:val="43"/>
        </w:numPr>
        <w:rPr>
          <w:szCs w:val="21"/>
        </w:rPr>
      </w:pPr>
      <w:r w:rsidRPr="00E53B54">
        <w:rPr>
          <w:szCs w:val="21"/>
        </w:rPr>
        <w:lastRenderedPageBreak/>
        <w:t>Approval to immunise does not include the administration of immunoglobulin preparations.</w:t>
      </w:r>
    </w:p>
    <w:p w14:paraId="49B8D28A" w14:textId="4E5179CC" w:rsidR="00762D3A" w:rsidRPr="00E53B54" w:rsidRDefault="00762D3A" w:rsidP="00762D3A">
      <w:pPr>
        <w:pStyle w:val="Bullet1"/>
        <w:numPr>
          <w:ilvl w:val="0"/>
          <w:numId w:val="43"/>
        </w:numPr>
        <w:rPr>
          <w:szCs w:val="21"/>
        </w:rPr>
      </w:pPr>
      <w:r w:rsidRPr="00E53B54">
        <w:rPr>
          <w:szCs w:val="21"/>
        </w:rPr>
        <w:t>Tetanus prone wounds should be reviewed in a medical consultation.</w:t>
      </w:r>
    </w:p>
    <w:p w14:paraId="73B0ADB4" w14:textId="01302855" w:rsidR="00762D3A" w:rsidRPr="00E53B54" w:rsidRDefault="00762D3A" w:rsidP="00762D3A">
      <w:pPr>
        <w:pStyle w:val="Bullet1"/>
        <w:numPr>
          <w:ilvl w:val="0"/>
          <w:numId w:val="43"/>
        </w:numPr>
        <w:rPr>
          <w:szCs w:val="21"/>
        </w:rPr>
      </w:pPr>
      <w:r w:rsidRPr="00E53B54">
        <w:rPr>
          <w:szCs w:val="21"/>
        </w:rPr>
        <w:t>Seronegative women of childbearing age who are being immunised with rubella containing vaccine should be advised to have rubella serology performed two months after immunisation to check immune status.</w:t>
      </w:r>
    </w:p>
    <w:p w14:paraId="3EF34FB2" w14:textId="4028B0C5" w:rsidR="00762D3A" w:rsidRPr="00E53B54" w:rsidRDefault="00762D3A" w:rsidP="00762D3A">
      <w:pPr>
        <w:pStyle w:val="Bullet1"/>
        <w:numPr>
          <w:ilvl w:val="0"/>
          <w:numId w:val="43"/>
        </w:numPr>
        <w:rPr>
          <w:szCs w:val="21"/>
        </w:rPr>
      </w:pPr>
      <w:r w:rsidRPr="00E53B54">
        <w:rPr>
          <w:szCs w:val="21"/>
        </w:rPr>
        <w:t>Although immunisation is indicated, the final decision that immunisation is indicated should be made by the individual’s treating doctor due to the specialist nature of the condition.</w:t>
      </w:r>
    </w:p>
    <w:p w14:paraId="5391147F" w14:textId="54896C2C" w:rsidR="00762D3A" w:rsidRPr="00E53B54" w:rsidRDefault="00762D3A" w:rsidP="00762D3A">
      <w:pPr>
        <w:pStyle w:val="Bullet1"/>
        <w:numPr>
          <w:ilvl w:val="0"/>
          <w:numId w:val="43"/>
        </w:numPr>
        <w:rPr>
          <w:szCs w:val="21"/>
        </w:rPr>
      </w:pPr>
      <w:r w:rsidRPr="00E53B54">
        <w:rPr>
          <w:szCs w:val="21"/>
        </w:rPr>
        <w:t>Should require consultation with infection control specialist.</w:t>
      </w:r>
    </w:p>
    <w:p w14:paraId="5C65DDDD" w14:textId="014720BA" w:rsidR="00762D3A" w:rsidRPr="00E53B54" w:rsidRDefault="00C5573F" w:rsidP="00762D3A">
      <w:pPr>
        <w:pStyle w:val="Body"/>
        <w:rPr>
          <w:szCs w:val="21"/>
        </w:rPr>
      </w:pPr>
      <w:r w:rsidRPr="00E53B54">
        <w:rPr>
          <w:szCs w:val="21"/>
        </w:rPr>
        <w:t xml:space="preserve">**Resources available at: </w:t>
      </w:r>
      <w:hyperlink r:id="rId22" w:history="1">
        <w:r w:rsidR="006C7FF5" w:rsidRPr="00E53B54">
          <w:rPr>
            <w:rStyle w:val="Hyperlink"/>
            <w:szCs w:val="21"/>
          </w:rPr>
          <w:t>https://www.health.vic.gov.au/immunisation/immunisation-resources-order-form</w:t>
        </w:r>
      </w:hyperlink>
    </w:p>
    <w:p w14:paraId="5329682D" w14:textId="77777777" w:rsidR="00762D3A" w:rsidRPr="00762D3A" w:rsidRDefault="00762D3A" w:rsidP="00762D3A">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70220F84" w14:textId="77777777" w:rsidTr="59A4ADF7">
        <w:tc>
          <w:tcPr>
            <w:tcW w:w="10194" w:type="dxa"/>
          </w:tcPr>
          <w:p w14:paraId="2E14FFE0" w14:textId="2A9DC347" w:rsidR="0055119B" w:rsidRPr="00DD6E00" w:rsidRDefault="0055119B" w:rsidP="0055119B">
            <w:pPr>
              <w:pStyle w:val="Accessibilitypara"/>
              <w:rPr>
                <w:sz w:val="21"/>
                <w:szCs w:val="21"/>
              </w:rPr>
            </w:pPr>
            <w:bookmarkStart w:id="25" w:name="_Hlk37240926"/>
            <w:r w:rsidRPr="00DD6E00">
              <w:rPr>
                <w:sz w:val="21"/>
                <w:szCs w:val="21"/>
              </w:rPr>
              <w:t xml:space="preserve">To receive this document in another format, </w:t>
            </w:r>
            <w:hyperlink r:id="rId23" w:history="1">
              <w:r w:rsidRPr="00DD6E00">
                <w:rPr>
                  <w:rStyle w:val="Hyperlink"/>
                  <w:sz w:val="21"/>
                  <w:szCs w:val="21"/>
                </w:rPr>
                <w:t xml:space="preserve">email </w:t>
              </w:r>
              <w:r w:rsidR="00762D3A" w:rsidRPr="00DD6E00">
                <w:rPr>
                  <w:rStyle w:val="Hyperlink"/>
                  <w:sz w:val="21"/>
                  <w:szCs w:val="21"/>
                </w:rPr>
                <w:t>Immunisation Unit</w:t>
              </w:r>
            </w:hyperlink>
            <w:r w:rsidR="00762D3A" w:rsidRPr="00DD6E00">
              <w:rPr>
                <w:sz w:val="21"/>
                <w:szCs w:val="21"/>
              </w:rPr>
              <w:t xml:space="preserve"> </w:t>
            </w:r>
            <w:r w:rsidRPr="00DD6E00">
              <w:rPr>
                <w:sz w:val="21"/>
                <w:szCs w:val="21"/>
              </w:rPr>
              <w:t>&lt;</w:t>
            </w:r>
            <w:r w:rsidR="00762D3A" w:rsidRPr="00DD6E00">
              <w:rPr>
                <w:sz w:val="21"/>
                <w:szCs w:val="21"/>
              </w:rPr>
              <w:t>immunisation@health.vic.gov.au</w:t>
            </w:r>
            <w:r w:rsidRPr="00DD6E00">
              <w:rPr>
                <w:sz w:val="21"/>
                <w:szCs w:val="21"/>
              </w:rPr>
              <w:t>&gt;.</w:t>
            </w:r>
          </w:p>
          <w:p w14:paraId="76A90F7C" w14:textId="77777777" w:rsidR="0055119B" w:rsidRPr="0055119B" w:rsidRDefault="0055119B" w:rsidP="00E33237">
            <w:pPr>
              <w:pStyle w:val="Imprint"/>
            </w:pPr>
            <w:r w:rsidRPr="0055119B">
              <w:t>Authorised and published by the Victorian Government, 1 Treasury Place, Melbourne.</w:t>
            </w:r>
          </w:p>
          <w:p w14:paraId="0D300AD5" w14:textId="5E5AEC86" w:rsidR="0055119B" w:rsidRDefault="2E22746D" w:rsidP="00E33237">
            <w:pPr>
              <w:pStyle w:val="Imprint"/>
            </w:pPr>
            <w:r>
              <w:t xml:space="preserve">© State of Victoria, Australia, </w:t>
            </w:r>
            <w:r w:rsidR="2D4AF8A9">
              <w:t>Department of Health</w:t>
            </w:r>
            <w:r w:rsidRPr="00DA0D1F">
              <w:t xml:space="preserve">, </w:t>
            </w:r>
            <w:r w:rsidR="00412B5A">
              <w:t>April</w:t>
            </w:r>
            <w:r w:rsidR="00412B5A" w:rsidRPr="00400758">
              <w:t xml:space="preserve"> </w:t>
            </w:r>
            <w:r w:rsidR="00DD6E00" w:rsidRPr="00400758">
              <w:t>2023</w:t>
            </w:r>
          </w:p>
          <w:p w14:paraId="0776B59D" w14:textId="5B9E07CE" w:rsidR="001758C7" w:rsidRDefault="001758C7" w:rsidP="00E33237">
            <w:pPr>
              <w:pStyle w:val="Imprint"/>
            </w:pPr>
            <w:r>
              <w:t xml:space="preserve">Available at </w:t>
            </w:r>
            <w:hyperlink r:id="rId24" w:history="1">
              <w:r w:rsidRPr="001758C7">
                <w:rPr>
                  <w:rStyle w:val="Hyperlink"/>
                </w:rPr>
                <w:t>Nurse immuniser study programs</w:t>
              </w:r>
            </w:hyperlink>
            <w:r>
              <w:t xml:space="preserve"> &lt;</w:t>
            </w:r>
            <w:r w:rsidRPr="001758C7">
              <w:t>https://www.health.vic.gov.au/immunisation/nurse-immuniser-study-programs</w:t>
            </w:r>
            <w:r>
              <w:t>&gt;</w:t>
            </w:r>
          </w:p>
        </w:tc>
      </w:tr>
      <w:bookmarkEnd w:id="25"/>
    </w:tbl>
    <w:p w14:paraId="65BA1FBB" w14:textId="77777777" w:rsidR="00162CA9" w:rsidRDefault="00162CA9" w:rsidP="00162CA9">
      <w:pPr>
        <w:pStyle w:val="Body"/>
      </w:pPr>
    </w:p>
    <w:sectPr w:rsidR="00162CA9" w:rsidSect="00E62622">
      <w:footerReference w:type="default" r:id="rId2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49D80" w14:textId="77777777" w:rsidR="000B25CF" w:rsidRDefault="000B25CF">
      <w:r>
        <w:separator/>
      </w:r>
    </w:p>
  </w:endnote>
  <w:endnote w:type="continuationSeparator" w:id="0">
    <w:p w14:paraId="12305E27" w14:textId="77777777" w:rsidR="000B25CF" w:rsidRDefault="000B25CF">
      <w:r>
        <w:continuationSeparator/>
      </w:r>
    </w:p>
  </w:endnote>
  <w:endnote w:type="continuationNotice" w:id="1">
    <w:p w14:paraId="52B583A9" w14:textId="77777777" w:rsidR="000B25CF" w:rsidRDefault="000B25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D8AD" w14:textId="77777777" w:rsidR="009F7CF3" w:rsidRDefault="009F7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0FA9" w14:textId="77777777" w:rsidR="00271E09" w:rsidRPr="00F65AA9" w:rsidRDefault="00271E09" w:rsidP="00F84FA0">
    <w:pPr>
      <w:pStyle w:val="Footer"/>
    </w:pPr>
    <w:r>
      <w:rPr>
        <w:noProof/>
        <w:lang w:eastAsia="en-AU"/>
      </w:rPr>
      <w:drawing>
        <wp:anchor distT="0" distB="0" distL="114300" distR="114300" simplePos="0" relativeHeight="251658243" behindDoc="1" locked="1" layoutInCell="1" allowOverlap="1" wp14:anchorId="079D1E70" wp14:editId="31A559FF">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2F7A6507" wp14:editId="05828BC6">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24B1FA" w14:textId="77777777" w:rsidR="00271E09" w:rsidRPr="00B21F90" w:rsidRDefault="00271E0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7A650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824B1FA" w14:textId="77777777" w:rsidR="00271E09" w:rsidRPr="00B21F90" w:rsidRDefault="00271E0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5EE1" w14:textId="77777777" w:rsidR="00271E09" w:rsidRDefault="00271E09">
    <w:pPr>
      <w:pStyle w:val="Footer"/>
    </w:pPr>
    <w:r>
      <w:rPr>
        <w:noProof/>
      </w:rPr>
      <mc:AlternateContent>
        <mc:Choice Requires="wps">
          <w:drawing>
            <wp:anchor distT="0" distB="0" distL="114300" distR="114300" simplePos="1" relativeHeight="251658242" behindDoc="0" locked="0" layoutInCell="0" allowOverlap="1" wp14:anchorId="7C38D051" wp14:editId="2A9CA5C5">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DB725B" w14:textId="77777777" w:rsidR="00271E09" w:rsidRPr="00B21F90" w:rsidRDefault="00271E0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38D051"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8DB725B" w14:textId="77777777" w:rsidR="00271E09" w:rsidRPr="00B21F90" w:rsidRDefault="00271E0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6EEE" w14:textId="77777777" w:rsidR="00271E09" w:rsidRPr="00F65AA9" w:rsidRDefault="00271E09" w:rsidP="00F84FA0">
    <w:pPr>
      <w:pStyle w:val="Footer"/>
    </w:pPr>
    <w:r>
      <w:rPr>
        <w:noProof/>
      </w:rPr>
      <mc:AlternateContent>
        <mc:Choice Requires="wps">
          <w:drawing>
            <wp:anchor distT="0" distB="0" distL="114300" distR="114300" simplePos="0" relativeHeight="251658241" behindDoc="0" locked="0" layoutInCell="0" allowOverlap="1" wp14:anchorId="5690313C" wp14:editId="74BDAD40">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3DECD7" w14:textId="77777777" w:rsidR="00271E09" w:rsidRPr="00B07FF7" w:rsidRDefault="00271E09"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90313C"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03DECD7" w14:textId="77777777" w:rsidR="00271E09" w:rsidRPr="00B07FF7" w:rsidRDefault="00271E09"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16427" w14:textId="77777777" w:rsidR="000B25CF" w:rsidRDefault="000B25CF" w:rsidP="002862F1">
      <w:pPr>
        <w:spacing w:before="120"/>
      </w:pPr>
      <w:r>
        <w:separator/>
      </w:r>
    </w:p>
  </w:footnote>
  <w:footnote w:type="continuationSeparator" w:id="0">
    <w:p w14:paraId="0A5257C8" w14:textId="77777777" w:rsidR="000B25CF" w:rsidRDefault="000B25CF">
      <w:r>
        <w:continuationSeparator/>
      </w:r>
    </w:p>
  </w:footnote>
  <w:footnote w:type="continuationNotice" w:id="1">
    <w:p w14:paraId="1F8B178A" w14:textId="77777777" w:rsidR="000B25CF" w:rsidRDefault="000B25CF">
      <w:pPr>
        <w:spacing w:after="0" w:line="240" w:lineRule="auto"/>
      </w:pPr>
    </w:p>
  </w:footnote>
  <w:footnote w:id="2">
    <w:p w14:paraId="4FD62A5F" w14:textId="184940EB" w:rsidR="0025526A" w:rsidRDefault="0025526A">
      <w:pPr>
        <w:pStyle w:val="FootnoteText"/>
      </w:pPr>
      <w:r>
        <w:rPr>
          <w:rStyle w:val="FootnoteReference"/>
        </w:rPr>
        <w:footnoteRef/>
      </w:r>
      <w:r>
        <w:t xml:space="preserve"> </w:t>
      </w:r>
      <w:r w:rsidR="009B1801">
        <w:t xml:space="preserve">Japanese encephalitis virus, </w:t>
      </w:r>
      <w:hyperlink r:id="rId1" w:history="1">
        <w:r w:rsidR="009B1801" w:rsidRPr="009B1801">
          <w:rPr>
            <w:rStyle w:val="Hyperlink"/>
          </w:rPr>
          <w:t>https://www.health.vic.gov.au/infectious-diseases/japanese-encephalitis-virus</w:t>
        </w:r>
      </w:hyperlink>
    </w:p>
    <w:p w14:paraId="50E99D95" w14:textId="77777777" w:rsidR="009B1801" w:rsidRDefault="009B180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67E6" w14:textId="77777777" w:rsidR="009F7CF3" w:rsidRDefault="009F7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8882" w14:textId="77777777" w:rsidR="00271E09" w:rsidRDefault="00271E09"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AB32" w14:textId="77777777" w:rsidR="009F7CF3" w:rsidRDefault="009F7C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6382" w14:textId="54DF2398" w:rsidR="00271E09" w:rsidRPr="00C059D3" w:rsidRDefault="00C059D3" w:rsidP="0011701A">
    <w:pPr>
      <w:pStyle w:val="Header"/>
    </w:pPr>
    <w:r>
      <w:t>Nurse immuniser approved client groups</w:t>
    </w:r>
    <w:r w:rsidR="00271E09">
      <w:ptab w:relativeTo="margin" w:alignment="right" w:leader="none"/>
    </w:r>
    <w:r w:rsidR="00271E09" w:rsidRPr="007E1227">
      <w:rPr>
        <w:b w:val="0"/>
        <w:bCs/>
      </w:rPr>
      <w:fldChar w:fldCharType="begin"/>
    </w:r>
    <w:r w:rsidR="00271E09" w:rsidRPr="007E1227">
      <w:rPr>
        <w:bCs/>
      </w:rPr>
      <w:instrText xml:space="preserve"> PAGE </w:instrText>
    </w:r>
    <w:r w:rsidR="00271E09" w:rsidRPr="007E1227">
      <w:rPr>
        <w:b w:val="0"/>
        <w:bCs/>
      </w:rPr>
      <w:fldChar w:fldCharType="separate"/>
    </w:r>
    <w:r w:rsidR="00271E09" w:rsidRPr="007E1227">
      <w:rPr>
        <w:bCs/>
      </w:rPr>
      <w:t>3</w:t>
    </w:r>
    <w:r w:rsidR="00271E09"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5F6BE2E"/>
    <w:lvl w:ilvl="0">
      <w:numFmt w:val="decimal"/>
      <w:lvlText w:val="*"/>
      <w:lvlJc w:val="left"/>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C0E7030"/>
    <w:multiLevelType w:val="hybridMultilevel"/>
    <w:tmpl w:val="88D86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78678E"/>
    <w:multiLevelType w:val="hybridMultilevel"/>
    <w:tmpl w:val="24B80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BA357A"/>
    <w:multiLevelType w:val="multilevel"/>
    <w:tmpl w:val="69AEAA34"/>
    <w:lvl w:ilvl="0">
      <w:start w:val="1"/>
      <w:numFmt w:val="lowerLetter"/>
      <w:lvlText w:val="%1."/>
      <w:lvlJc w:val="left"/>
      <w:pPr>
        <w:ind w:left="284" w:hanging="284"/>
      </w:pPr>
      <w:rPr>
        <w:rFonts w:hint="default"/>
        <w:vertAlign w:val="superscrip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463FF5"/>
    <w:multiLevelType w:val="singleLevel"/>
    <w:tmpl w:val="B8807D04"/>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6E31B40"/>
    <w:multiLevelType w:val="hybridMultilevel"/>
    <w:tmpl w:val="48F8D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1C016C"/>
    <w:multiLevelType w:val="multilevel"/>
    <w:tmpl w:val="6EEE2146"/>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AC83CF2"/>
    <w:multiLevelType w:val="hybridMultilevel"/>
    <w:tmpl w:val="A9D86E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15064935">
    <w:abstractNumId w:val="11"/>
  </w:num>
  <w:num w:numId="2" w16cid:durableId="1195384447">
    <w:abstractNumId w:val="21"/>
  </w:num>
  <w:num w:numId="3" w16cid:durableId="5188146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40244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15362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32150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2237325">
    <w:abstractNumId w:val="26"/>
  </w:num>
  <w:num w:numId="8" w16cid:durableId="1307782842">
    <w:abstractNumId w:val="20"/>
  </w:num>
  <w:num w:numId="9" w16cid:durableId="1610157121">
    <w:abstractNumId w:val="25"/>
  </w:num>
  <w:num w:numId="10" w16cid:durableId="10504196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780559">
    <w:abstractNumId w:val="29"/>
  </w:num>
  <w:num w:numId="12" w16cid:durableId="21136969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5439568">
    <w:abstractNumId w:val="22"/>
  </w:num>
  <w:num w:numId="14" w16cid:durableId="5128429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57048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2498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99771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3673873">
    <w:abstractNumId w:val="31"/>
  </w:num>
  <w:num w:numId="19" w16cid:durableId="5986345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4058529">
    <w:abstractNumId w:val="15"/>
  </w:num>
  <w:num w:numId="21" w16cid:durableId="1127351921">
    <w:abstractNumId w:val="13"/>
  </w:num>
  <w:num w:numId="22" w16cid:durableId="10856104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8327272">
    <w:abstractNumId w:val="16"/>
  </w:num>
  <w:num w:numId="24" w16cid:durableId="1654599732">
    <w:abstractNumId w:val="33"/>
  </w:num>
  <w:num w:numId="25" w16cid:durableId="17894726">
    <w:abstractNumId w:val="30"/>
  </w:num>
  <w:num w:numId="26" w16cid:durableId="1587417009">
    <w:abstractNumId w:val="24"/>
  </w:num>
  <w:num w:numId="27" w16cid:durableId="672802771">
    <w:abstractNumId w:val="12"/>
  </w:num>
  <w:num w:numId="28" w16cid:durableId="2137404503">
    <w:abstractNumId w:val="34"/>
  </w:num>
  <w:num w:numId="29" w16cid:durableId="789204656">
    <w:abstractNumId w:val="9"/>
  </w:num>
  <w:num w:numId="30" w16cid:durableId="2000957498">
    <w:abstractNumId w:val="7"/>
  </w:num>
  <w:num w:numId="31" w16cid:durableId="1632126371">
    <w:abstractNumId w:val="6"/>
  </w:num>
  <w:num w:numId="32" w16cid:durableId="826291271">
    <w:abstractNumId w:val="5"/>
  </w:num>
  <w:num w:numId="33" w16cid:durableId="1464932828">
    <w:abstractNumId w:val="4"/>
  </w:num>
  <w:num w:numId="34" w16cid:durableId="1263343012">
    <w:abstractNumId w:val="8"/>
  </w:num>
  <w:num w:numId="35" w16cid:durableId="1804930303">
    <w:abstractNumId w:val="3"/>
  </w:num>
  <w:num w:numId="36" w16cid:durableId="1129585933">
    <w:abstractNumId w:val="2"/>
  </w:num>
  <w:num w:numId="37" w16cid:durableId="1139608745">
    <w:abstractNumId w:val="1"/>
  </w:num>
  <w:num w:numId="38" w16cid:durableId="1937596371">
    <w:abstractNumId w:val="0"/>
  </w:num>
  <w:num w:numId="39" w16cid:durableId="20443603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2264907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41" w16cid:durableId="1349678348">
    <w:abstractNumId w:val="27"/>
  </w:num>
  <w:num w:numId="42" w16cid:durableId="574629058">
    <w:abstractNumId w:val="23"/>
  </w:num>
  <w:num w:numId="43" w16cid:durableId="1469278747">
    <w:abstractNumId w:val="19"/>
  </w:num>
  <w:num w:numId="44" w16cid:durableId="1786732779">
    <w:abstractNumId w:val="32"/>
  </w:num>
  <w:num w:numId="45" w16cid:durableId="1747609565">
    <w:abstractNumId w:val="18"/>
  </w:num>
  <w:num w:numId="46" w16cid:durableId="1191845555">
    <w:abstractNumId w:val="17"/>
  </w:num>
  <w:num w:numId="47" w16cid:durableId="22639299">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50C"/>
    <w:rsid w:val="00000719"/>
    <w:rsid w:val="00003403"/>
    <w:rsid w:val="00005347"/>
    <w:rsid w:val="00006809"/>
    <w:rsid w:val="000072B6"/>
    <w:rsid w:val="0001021B"/>
    <w:rsid w:val="00011D89"/>
    <w:rsid w:val="0001357D"/>
    <w:rsid w:val="000154FD"/>
    <w:rsid w:val="00016971"/>
    <w:rsid w:val="00016FBF"/>
    <w:rsid w:val="00021468"/>
    <w:rsid w:val="00022271"/>
    <w:rsid w:val="000235E8"/>
    <w:rsid w:val="00024D89"/>
    <w:rsid w:val="000250B6"/>
    <w:rsid w:val="00026B09"/>
    <w:rsid w:val="00033D81"/>
    <w:rsid w:val="00037366"/>
    <w:rsid w:val="00040239"/>
    <w:rsid w:val="00041BF0"/>
    <w:rsid w:val="00042C8A"/>
    <w:rsid w:val="0004536B"/>
    <w:rsid w:val="00045B36"/>
    <w:rsid w:val="00046B68"/>
    <w:rsid w:val="000527DD"/>
    <w:rsid w:val="0005501F"/>
    <w:rsid w:val="000578B2"/>
    <w:rsid w:val="00060959"/>
    <w:rsid w:val="00060C8F"/>
    <w:rsid w:val="0006298A"/>
    <w:rsid w:val="000663CD"/>
    <w:rsid w:val="000669C2"/>
    <w:rsid w:val="000733FE"/>
    <w:rsid w:val="00074219"/>
    <w:rsid w:val="00074ED5"/>
    <w:rsid w:val="000757CB"/>
    <w:rsid w:val="00076086"/>
    <w:rsid w:val="000832DD"/>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1F16"/>
    <w:rsid w:val="000B25CF"/>
    <w:rsid w:val="000B368A"/>
    <w:rsid w:val="000B3EDB"/>
    <w:rsid w:val="000B543D"/>
    <w:rsid w:val="000B55F9"/>
    <w:rsid w:val="000B5BF7"/>
    <w:rsid w:val="000B6BC8"/>
    <w:rsid w:val="000B75AA"/>
    <w:rsid w:val="000C0303"/>
    <w:rsid w:val="000C2DF6"/>
    <w:rsid w:val="000C42EA"/>
    <w:rsid w:val="000C4546"/>
    <w:rsid w:val="000D115D"/>
    <w:rsid w:val="000D1242"/>
    <w:rsid w:val="000D5AFA"/>
    <w:rsid w:val="000E0970"/>
    <w:rsid w:val="000E1910"/>
    <w:rsid w:val="000E30CB"/>
    <w:rsid w:val="000E3CC7"/>
    <w:rsid w:val="000E5FA0"/>
    <w:rsid w:val="000E6BD4"/>
    <w:rsid w:val="000E6D6D"/>
    <w:rsid w:val="000F1F1E"/>
    <w:rsid w:val="000F2259"/>
    <w:rsid w:val="000F2DDA"/>
    <w:rsid w:val="000F5213"/>
    <w:rsid w:val="000F59AE"/>
    <w:rsid w:val="00101001"/>
    <w:rsid w:val="00103276"/>
    <w:rsid w:val="0010392D"/>
    <w:rsid w:val="0010447F"/>
    <w:rsid w:val="00104FE3"/>
    <w:rsid w:val="00106C96"/>
    <w:rsid w:val="0010714F"/>
    <w:rsid w:val="001120C5"/>
    <w:rsid w:val="001160A5"/>
    <w:rsid w:val="0011701A"/>
    <w:rsid w:val="0011730F"/>
    <w:rsid w:val="00120BD3"/>
    <w:rsid w:val="001226CA"/>
    <w:rsid w:val="00122FEA"/>
    <w:rsid w:val="001232BD"/>
    <w:rsid w:val="00124ED5"/>
    <w:rsid w:val="00125B7C"/>
    <w:rsid w:val="001276FA"/>
    <w:rsid w:val="0014255B"/>
    <w:rsid w:val="001434F1"/>
    <w:rsid w:val="001447B3"/>
    <w:rsid w:val="00152073"/>
    <w:rsid w:val="00154E2D"/>
    <w:rsid w:val="00156598"/>
    <w:rsid w:val="00157BDE"/>
    <w:rsid w:val="00161939"/>
    <w:rsid w:val="00161AA0"/>
    <w:rsid w:val="00161D2E"/>
    <w:rsid w:val="00161F3E"/>
    <w:rsid w:val="00162093"/>
    <w:rsid w:val="00162CA9"/>
    <w:rsid w:val="00163FDB"/>
    <w:rsid w:val="00165459"/>
    <w:rsid w:val="00165A57"/>
    <w:rsid w:val="001712C2"/>
    <w:rsid w:val="00172BAF"/>
    <w:rsid w:val="0017479B"/>
    <w:rsid w:val="001758C7"/>
    <w:rsid w:val="001771DD"/>
    <w:rsid w:val="00177995"/>
    <w:rsid w:val="00177A8C"/>
    <w:rsid w:val="00186B33"/>
    <w:rsid w:val="0019201F"/>
    <w:rsid w:val="00192F9D"/>
    <w:rsid w:val="00193A87"/>
    <w:rsid w:val="00196EB8"/>
    <w:rsid w:val="00196EFB"/>
    <w:rsid w:val="001979FF"/>
    <w:rsid w:val="00197B17"/>
    <w:rsid w:val="001A000E"/>
    <w:rsid w:val="001A1950"/>
    <w:rsid w:val="001A1C54"/>
    <w:rsid w:val="001A3ACE"/>
    <w:rsid w:val="001A513D"/>
    <w:rsid w:val="001A565A"/>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0CF8"/>
    <w:rsid w:val="001E2A36"/>
    <w:rsid w:val="001E44DF"/>
    <w:rsid w:val="001E5058"/>
    <w:rsid w:val="001E68A5"/>
    <w:rsid w:val="001E6BB0"/>
    <w:rsid w:val="001E7282"/>
    <w:rsid w:val="001F0624"/>
    <w:rsid w:val="001F3826"/>
    <w:rsid w:val="001F6E46"/>
    <w:rsid w:val="001F7186"/>
    <w:rsid w:val="001F7584"/>
    <w:rsid w:val="001F7C91"/>
    <w:rsid w:val="00200176"/>
    <w:rsid w:val="002033B7"/>
    <w:rsid w:val="00206463"/>
    <w:rsid w:val="00206F2F"/>
    <w:rsid w:val="0021053D"/>
    <w:rsid w:val="00210A92"/>
    <w:rsid w:val="00216C03"/>
    <w:rsid w:val="00220C04"/>
    <w:rsid w:val="002216C3"/>
    <w:rsid w:val="0022278D"/>
    <w:rsid w:val="0022701F"/>
    <w:rsid w:val="00227C68"/>
    <w:rsid w:val="002333F5"/>
    <w:rsid w:val="00233724"/>
    <w:rsid w:val="00233F22"/>
    <w:rsid w:val="002365B4"/>
    <w:rsid w:val="00236FE9"/>
    <w:rsid w:val="00237377"/>
    <w:rsid w:val="002432E1"/>
    <w:rsid w:val="00246207"/>
    <w:rsid w:val="00246C59"/>
    <w:rsid w:val="00246C5E"/>
    <w:rsid w:val="002506DF"/>
    <w:rsid w:val="00250960"/>
    <w:rsid w:val="00251343"/>
    <w:rsid w:val="002536A4"/>
    <w:rsid w:val="00253E89"/>
    <w:rsid w:val="00254F58"/>
    <w:rsid w:val="0025526A"/>
    <w:rsid w:val="002620BC"/>
    <w:rsid w:val="00262802"/>
    <w:rsid w:val="00263A90"/>
    <w:rsid w:val="00263C1F"/>
    <w:rsid w:val="0026408B"/>
    <w:rsid w:val="00267249"/>
    <w:rsid w:val="00267C3E"/>
    <w:rsid w:val="002709BB"/>
    <w:rsid w:val="0027113F"/>
    <w:rsid w:val="00271E09"/>
    <w:rsid w:val="00273BAC"/>
    <w:rsid w:val="002763B3"/>
    <w:rsid w:val="002802E3"/>
    <w:rsid w:val="0028213D"/>
    <w:rsid w:val="002862F1"/>
    <w:rsid w:val="00290005"/>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7DFF"/>
    <w:rsid w:val="002D1E0D"/>
    <w:rsid w:val="002D5006"/>
    <w:rsid w:val="002E01D0"/>
    <w:rsid w:val="002E161D"/>
    <w:rsid w:val="002E3100"/>
    <w:rsid w:val="002E482A"/>
    <w:rsid w:val="002E510E"/>
    <w:rsid w:val="002E5E9C"/>
    <w:rsid w:val="002E6C95"/>
    <w:rsid w:val="002E7C36"/>
    <w:rsid w:val="002F0107"/>
    <w:rsid w:val="002F3D32"/>
    <w:rsid w:val="002F5F31"/>
    <w:rsid w:val="002F5F46"/>
    <w:rsid w:val="00302216"/>
    <w:rsid w:val="00303E53"/>
    <w:rsid w:val="00305CC1"/>
    <w:rsid w:val="00306E5F"/>
    <w:rsid w:val="00307E14"/>
    <w:rsid w:val="00310195"/>
    <w:rsid w:val="00311E6B"/>
    <w:rsid w:val="00314054"/>
    <w:rsid w:val="00315BD8"/>
    <w:rsid w:val="00316F27"/>
    <w:rsid w:val="00317F94"/>
    <w:rsid w:val="00317FBC"/>
    <w:rsid w:val="003214F1"/>
    <w:rsid w:val="00322E4B"/>
    <w:rsid w:val="00327870"/>
    <w:rsid w:val="0033259D"/>
    <w:rsid w:val="003333D2"/>
    <w:rsid w:val="003406C6"/>
    <w:rsid w:val="003418CC"/>
    <w:rsid w:val="003459BD"/>
    <w:rsid w:val="00346C79"/>
    <w:rsid w:val="00350D38"/>
    <w:rsid w:val="00351B36"/>
    <w:rsid w:val="00356F6A"/>
    <w:rsid w:val="00357B4E"/>
    <w:rsid w:val="00362838"/>
    <w:rsid w:val="00367002"/>
    <w:rsid w:val="0036708A"/>
    <w:rsid w:val="003716FD"/>
    <w:rsid w:val="0037204B"/>
    <w:rsid w:val="00373890"/>
    <w:rsid w:val="00373A73"/>
    <w:rsid w:val="003744CF"/>
    <w:rsid w:val="00374717"/>
    <w:rsid w:val="0037676C"/>
    <w:rsid w:val="00381043"/>
    <w:rsid w:val="003810FE"/>
    <w:rsid w:val="003829E5"/>
    <w:rsid w:val="00386109"/>
    <w:rsid w:val="00386944"/>
    <w:rsid w:val="00387225"/>
    <w:rsid w:val="003913D8"/>
    <w:rsid w:val="00391F4F"/>
    <w:rsid w:val="003956CC"/>
    <w:rsid w:val="00395C9A"/>
    <w:rsid w:val="003A0853"/>
    <w:rsid w:val="003A0E40"/>
    <w:rsid w:val="003A6B67"/>
    <w:rsid w:val="003B13B6"/>
    <w:rsid w:val="003B15E6"/>
    <w:rsid w:val="003B408A"/>
    <w:rsid w:val="003B5733"/>
    <w:rsid w:val="003B711E"/>
    <w:rsid w:val="003B7A49"/>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0758"/>
    <w:rsid w:val="004013C7"/>
    <w:rsid w:val="00401FCF"/>
    <w:rsid w:val="0040248F"/>
    <w:rsid w:val="00406285"/>
    <w:rsid w:val="004112C6"/>
    <w:rsid w:val="00412B5A"/>
    <w:rsid w:val="004148F9"/>
    <w:rsid w:val="00414D4A"/>
    <w:rsid w:val="0042084E"/>
    <w:rsid w:val="00421EEF"/>
    <w:rsid w:val="00424D65"/>
    <w:rsid w:val="0042571C"/>
    <w:rsid w:val="00425B90"/>
    <w:rsid w:val="004342A4"/>
    <w:rsid w:val="00442C6C"/>
    <w:rsid w:val="00443CBE"/>
    <w:rsid w:val="00443E8A"/>
    <w:rsid w:val="004441BC"/>
    <w:rsid w:val="004468B4"/>
    <w:rsid w:val="004470F6"/>
    <w:rsid w:val="0045230A"/>
    <w:rsid w:val="00454AD0"/>
    <w:rsid w:val="00457337"/>
    <w:rsid w:val="00462E3D"/>
    <w:rsid w:val="00466E79"/>
    <w:rsid w:val="00470D7D"/>
    <w:rsid w:val="0047372D"/>
    <w:rsid w:val="00473BA3"/>
    <w:rsid w:val="004743DD"/>
    <w:rsid w:val="00474CEA"/>
    <w:rsid w:val="00483968"/>
    <w:rsid w:val="00484F86"/>
    <w:rsid w:val="004854D6"/>
    <w:rsid w:val="00490746"/>
    <w:rsid w:val="00490852"/>
    <w:rsid w:val="00491C9C"/>
    <w:rsid w:val="00492F30"/>
    <w:rsid w:val="004946F4"/>
    <w:rsid w:val="0049487E"/>
    <w:rsid w:val="00496585"/>
    <w:rsid w:val="004A10B0"/>
    <w:rsid w:val="004A160D"/>
    <w:rsid w:val="004A3E81"/>
    <w:rsid w:val="004A4195"/>
    <w:rsid w:val="004A4747"/>
    <w:rsid w:val="004A5C62"/>
    <w:rsid w:val="004A5CE5"/>
    <w:rsid w:val="004A707D"/>
    <w:rsid w:val="004C312E"/>
    <w:rsid w:val="004C5541"/>
    <w:rsid w:val="004C6EEE"/>
    <w:rsid w:val="004C702B"/>
    <w:rsid w:val="004D0033"/>
    <w:rsid w:val="004D016B"/>
    <w:rsid w:val="004D1B22"/>
    <w:rsid w:val="004D23CC"/>
    <w:rsid w:val="004D36F2"/>
    <w:rsid w:val="004D4CEB"/>
    <w:rsid w:val="004E1106"/>
    <w:rsid w:val="004E138F"/>
    <w:rsid w:val="004E4649"/>
    <w:rsid w:val="004E5C2B"/>
    <w:rsid w:val="004F00DD"/>
    <w:rsid w:val="004F0CB6"/>
    <w:rsid w:val="004F2133"/>
    <w:rsid w:val="004F3C7D"/>
    <w:rsid w:val="004F4D39"/>
    <w:rsid w:val="004F5398"/>
    <w:rsid w:val="004F55F1"/>
    <w:rsid w:val="004F6936"/>
    <w:rsid w:val="0050395B"/>
    <w:rsid w:val="00503DC6"/>
    <w:rsid w:val="00506F5D"/>
    <w:rsid w:val="00510C37"/>
    <w:rsid w:val="005125B2"/>
    <w:rsid w:val="005126D0"/>
    <w:rsid w:val="0051568D"/>
    <w:rsid w:val="005247B4"/>
    <w:rsid w:val="00526AC7"/>
    <w:rsid w:val="00526C15"/>
    <w:rsid w:val="00526F75"/>
    <w:rsid w:val="005312B1"/>
    <w:rsid w:val="005336E2"/>
    <w:rsid w:val="00536395"/>
    <w:rsid w:val="00536499"/>
    <w:rsid w:val="00543903"/>
    <w:rsid w:val="00543F11"/>
    <w:rsid w:val="00546305"/>
    <w:rsid w:val="00547A95"/>
    <w:rsid w:val="0055119B"/>
    <w:rsid w:val="005548B5"/>
    <w:rsid w:val="00554C28"/>
    <w:rsid w:val="00560451"/>
    <w:rsid w:val="00565951"/>
    <w:rsid w:val="00570601"/>
    <w:rsid w:val="00572031"/>
    <w:rsid w:val="00572282"/>
    <w:rsid w:val="00573CE3"/>
    <w:rsid w:val="00576E84"/>
    <w:rsid w:val="00580394"/>
    <w:rsid w:val="005809CD"/>
    <w:rsid w:val="00582B8C"/>
    <w:rsid w:val="0058561C"/>
    <w:rsid w:val="0058757E"/>
    <w:rsid w:val="00596A4B"/>
    <w:rsid w:val="00597507"/>
    <w:rsid w:val="005A479D"/>
    <w:rsid w:val="005A53B6"/>
    <w:rsid w:val="005A5EF3"/>
    <w:rsid w:val="005B1C6D"/>
    <w:rsid w:val="005B21B6"/>
    <w:rsid w:val="005B3A08"/>
    <w:rsid w:val="005B7A63"/>
    <w:rsid w:val="005C0955"/>
    <w:rsid w:val="005C49DA"/>
    <w:rsid w:val="005C50F3"/>
    <w:rsid w:val="005C54B5"/>
    <w:rsid w:val="005C5D80"/>
    <w:rsid w:val="005C5D91"/>
    <w:rsid w:val="005C6278"/>
    <w:rsid w:val="005D07B8"/>
    <w:rsid w:val="005D6597"/>
    <w:rsid w:val="005E14E7"/>
    <w:rsid w:val="005E26A3"/>
    <w:rsid w:val="005E2ECB"/>
    <w:rsid w:val="005E447E"/>
    <w:rsid w:val="005E4FD1"/>
    <w:rsid w:val="005F0775"/>
    <w:rsid w:val="005F0CF5"/>
    <w:rsid w:val="005F21EB"/>
    <w:rsid w:val="005F22FF"/>
    <w:rsid w:val="00605908"/>
    <w:rsid w:val="00610D7C"/>
    <w:rsid w:val="00613414"/>
    <w:rsid w:val="00620154"/>
    <w:rsid w:val="006224E9"/>
    <w:rsid w:val="0062408D"/>
    <w:rsid w:val="006240CC"/>
    <w:rsid w:val="00624940"/>
    <w:rsid w:val="006254F8"/>
    <w:rsid w:val="00627DA7"/>
    <w:rsid w:val="00630DA4"/>
    <w:rsid w:val="00632597"/>
    <w:rsid w:val="00632E6E"/>
    <w:rsid w:val="006358B4"/>
    <w:rsid w:val="00637361"/>
    <w:rsid w:val="006419AA"/>
    <w:rsid w:val="00644B1F"/>
    <w:rsid w:val="00644B7E"/>
    <w:rsid w:val="006454E6"/>
    <w:rsid w:val="00646235"/>
    <w:rsid w:val="00646A68"/>
    <w:rsid w:val="006505BD"/>
    <w:rsid w:val="006508EA"/>
    <w:rsid w:val="0065092E"/>
    <w:rsid w:val="00651BDE"/>
    <w:rsid w:val="00653186"/>
    <w:rsid w:val="006557A7"/>
    <w:rsid w:val="00656290"/>
    <w:rsid w:val="006608D8"/>
    <w:rsid w:val="006621D7"/>
    <w:rsid w:val="0066302A"/>
    <w:rsid w:val="00667770"/>
    <w:rsid w:val="00670597"/>
    <w:rsid w:val="006706D0"/>
    <w:rsid w:val="00677574"/>
    <w:rsid w:val="0068454C"/>
    <w:rsid w:val="00691425"/>
    <w:rsid w:val="00691B62"/>
    <w:rsid w:val="006933B5"/>
    <w:rsid w:val="00693D14"/>
    <w:rsid w:val="00696F27"/>
    <w:rsid w:val="006A18C2"/>
    <w:rsid w:val="006A3230"/>
    <w:rsid w:val="006A3383"/>
    <w:rsid w:val="006B077C"/>
    <w:rsid w:val="006B603D"/>
    <w:rsid w:val="006B6803"/>
    <w:rsid w:val="006C7FF5"/>
    <w:rsid w:val="006D0F16"/>
    <w:rsid w:val="006D2A3F"/>
    <w:rsid w:val="006D2FBC"/>
    <w:rsid w:val="006E0541"/>
    <w:rsid w:val="006E138B"/>
    <w:rsid w:val="006E2B1B"/>
    <w:rsid w:val="006E426A"/>
    <w:rsid w:val="006F0330"/>
    <w:rsid w:val="006F10FF"/>
    <w:rsid w:val="006F1FDC"/>
    <w:rsid w:val="006F2B6C"/>
    <w:rsid w:val="006F53C2"/>
    <w:rsid w:val="006F6B8C"/>
    <w:rsid w:val="007013EF"/>
    <w:rsid w:val="007055BD"/>
    <w:rsid w:val="00707985"/>
    <w:rsid w:val="007173CA"/>
    <w:rsid w:val="007216AA"/>
    <w:rsid w:val="00721AB5"/>
    <w:rsid w:val="00721CFB"/>
    <w:rsid w:val="00721DEF"/>
    <w:rsid w:val="0072251A"/>
    <w:rsid w:val="00724A43"/>
    <w:rsid w:val="007273AC"/>
    <w:rsid w:val="00731AD4"/>
    <w:rsid w:val="007346E4"/>
    <w:rsid w:val="00734FCA"/>
    <w:rsid w:val="0073582E"/>
    <w:rsid w:val="00740432"/>
    <w:rsid w:val="00740F22"/>
    <w:rsid w:val="00741CF0"/>
    <w:rsid w:val="00741F1A"/>
    <w:rsid w:val="00742E54"/>
    <w:rsid w:val="007447DA"/>
    <w:rsid w:val="007450F8"/>
    <w:rsid w:val="0074696E"/>
    <w:rsid w:val="00750135"/>
    <w:rsid w:val="00750EC2"/>
    <w:rsid w:val="00752B28"/>
    <w:rsid w:val="007541A9"/>
    <w:rsid w:val="00754E36"/>
    <w:rsid w:val="00761C15"/>
    <w:rsid w:val="00762D3A"/>
    <w:rsid w:val="00763139"/>
    <w:rsid w:val="00764CBD"/>
    <w:rsid w:val="00766E52"/>
    <w:rsid w:val="00770F37"/>
    <w:rsid w:val="007711A0"/>
    <w:rsid w:val="00772D5E"/>
    <w:rsid w:val="0077463E"/>
    <w:rsid w:val="00776928"/>
    <w:rsid w:val="00776E0F"/>
    <w:rsid w:val="00776F44"/>
    <w:rsid w:val="007774B1"/>
    <w:rsid w:val="00777BE1"/>
    <w:rsid w:val="007833D8"/>
    <w:rsid w:val="00785677"/>
    <w:rsid w:val="00786D3E"/>
    <w:rsid w:val="00786F16"/>
    <w:rsid w:val="00791BD7"/>
    <w:rsid w:val="007933F7"/>
    <w:rsid w:val="007947DC"/>
    <w:rsid w:val="00796E20"/>
    <w:rsid w:val="00797481"/>
    <w:rsid w:val="00797C32"/>
    <w:rsid w:val="007A11E8"/>
    <w:rsid w:val="007A4480"/>
    <w:rsid w:val="007A5EFB"/>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461D"/>
    <w:rsid w:val="007E7AB6"/>
    <w:rsid w:val="007F31B6"/>
    <w:rsid w:val="007F546C"/>
    <w:rsid w:val="007F625F"/>
    <w:rsid w:val="007F665E"/>
    <w:rsid w:val="00800412"/>
    <w:rsid w:val="00804672"/>
    <w:rsid w:val="0080587B"/>
    <w:rsid w:val="00806468"/>
    <w:rsid w:val="008119CA"/>
    <w:rsid w:val="00812802"/>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2FE5"/>
    <w:rsid w:val="008633F0"/>
    <w:rsid w:val="00867D9D"/>
    <w:rsid w:val="00872E0A"/>
    <w:rsid w:val="00872E35"/>
    <w:rsid w:val="00873594"/>
    <w:rsid w:val="00875285"/>
    <w:rsid w:val="00881393"/>
    <w:rsid w:val="00882CC1"/>
    <w:rsid w:val="00884B62"/>
    <w:rsid w:val="0088529C"/>
    <w:rsid w:val="00887903"/>
    <w:rsid w:val="00887D64"/>
    <w:rsid w:val="0089270A"/>
    <w:rsid w:val="00893AF6"/>
    <w:rsid w:val="00894BC4"/>
    <w:rsid w:val="008A213F"/>
    <w:rsid w:val="008A28A8"/>
    <w:rsid w:val="008A593B"/>
    <w:rsid w:val="008A5B32"/>
    <w:rsid w:val="008B2EE4"/>
    <w:rsid w:val="008B4D3D"/>
    <w:rsid w:val="008B57C7"/>
    <w:rsid w:val="008C2F92"/>
    <w:rsid w:val="008C3697"/>
    <w:rsid w:val="008C5557"/>
    <w:rsid w:val="008C589D"/>
    <w:rsid w:val="008C6D51"/>
    <w:rsid w:val="008C7245"/>
    <w:rsid w:val="008D2846"/>
    <w:rsid w:val="008D4236"/>
    <w:rsid w:val="008D462F"/>
    <w:rsid w:val="008D6DCF"/>
    <w:rsid w:val="008E3DE9"/>
    <w:rsid w:val="008E4376"/>
    <w:rsid w:val="008E7A0A"/>
    <w:rsid w:val="008E7B49"/>
    <w:rsid w:val="008F0D8E"/>
    <w:rsid w:val="008F59F6"/>
    <w:rsid w:val="00900719"/>
    <w:rsid w:val="009017AC"/>
    <w:rsid w:val="00902A9A"/>
    <w:rsid w:val="00904A1C"/>
    <w:rsid w:val="00904AB4"/>
    <w:rsid w:val="00905030"/>
    <w:rsid w:val="00906490"/>
    <w:rsid w:val="009111B2"/>
    <w:rsid w:val="009122CE"/>
    <w:rsid w:val="009151F5"/>
    <w:rsid w:val="00915D91"/>
    <w:rsid w:val="009220CA"/>
    <w:rsid w:val="00924AE1"/>
    <w:rsid w:val="009269B1"/>
    <w:rsid w:val="0092724D"/>
    <w:rsid w:val="009272B3"/>
    <w:rsid w:val="009315BE"/>
    <w:rsid w:val="0093338F"/>
    <w:rsid w:val="00937BD9"/>
    <w:rsid w:val="00943E97"/>
    <w:rsid w:val="00950E2C"/>
    <w:rsid w:val="00951D50"/>
    <w:rsid w:val="009525EB"/>
    <w:rsid w:val="0095470B"/>
    <w:rsid w:val="00954874"/>
    <w:rsid w:val="00955177"/>
    <w:rsid w:val="0095615A"/>
    <w:rsid w:val="00961400"/>
    <w:rsid w:val="00963646"/>
    <w:rsid w:val="0096632D"/>
    <w:rsid w:val="009718C7"/>
    <w:rsid w:val="0097559F"/>
    <w:rsid w:val="0097761E"/>
    <w:rsid w:val="00982454"/>
    <w:rsid w:val="00982CF0"/>
    <w:rsid w:val="00984FCC"/>
    <w:rsid w:val="009853E1"/>
    <w:rsid w:val="00986E6B"/>
    <w:rsid w:val="00990032"/>
    <w:rsid w:val="00990B19"/>
    <w:rsid w:val="0099153B"/>
    <w:rsid w:val="00991769"/>
    <w:rsid w:val="0099232C"/>
    <w:rsid w:val="00994386"/>
    <w:rsid w:val="0099617F"/>
    <w:rsid w:val="009A13D8"/>
    <w:rsid w:val="009A279E"/>
    <w:rsid w:val="009A3015"/>
    <w:rsid w:val="009A302F"/>
    <w:rsid w:val="009A3490"/>
    <w:rsid w:val="009B0A6F"/>
    <w:rsid w:val="009B0A94"/>
    <w:rsid w:val="009B11F7"/>
    <w:rsid w:val="009B1801"/>
    <w:rsid w:val="009B2AE8"/>
    <w:rsid w:val="009B59E9"/>
    <w:rsid w:val="009B70AA"/>
    <w:rsid w:val="009C1688"/>
    <w:rsid w:val="009C399B"/>
    <w:rsid w:val="009C5E77"/>
    <w:rsid w:val="009C7A7E"/>
    <w:rsid w:val="009D02E8"/>
    <w:rsid w:val="009D4BB1"/>
    <w:rsid w:val="009D517E"/>
    <w:rsid w:val="009D51D0"/>
    <w:rsid w:val="009D5BD8"/>
    <w:rsid w:val="009D70A4"/>
    <w:rsid w:val="009D7B14"/>
    <w:rsid w:val="009E08D1"/>
    <w:rsid w:val="009E1B95"/>
    <w:rsid w:val="009E2178"/>
    <w:rsid w:val="009E3240"/>
    <w:rsid w:val="009E496F"/>
    <w:rsid w:val="009E4AA6"/>
    <w:rsid w:val="009E4B0D"/>
    <w:rsid w:val="009E4E93"/>
    <w:rsid w:val="009E5250"/>
    <w:rsid w:val="009E7F92"/>
    <w:rsid w:val="009F02A3"/>
    <w:rsid w:val="009F2F27"/>
    <w:rsid w:val="009F34AA"/>
    <w:rsid w:val="009F64B0"/>
    <w:rsid w:val="009F6BCB"/>
    <w:rsid w:val="009F7B78"/>
    <w:rsid w:val="009F7C7C"/>
    <w:rsid w:val="009F7CF3"/>
    <w:rsid w:val="00A0057A"/>
    <w:rsid w:val="00A02FA1"/>
    <w:rsid w:val="00A04CCE"/>
    <w:rsid w:val="00A07421"/>
    <w:rsid w:val="00A0776B"/>
    <w:rsid w:val="00A10FB9"/>
    <w:rsid w:val="00A11421"/>
    <w:rsid w:val="00A1389F"/>
    <w:rsid w:val="00A157B1"/>
    <w:rsid w:val="00A17396"/>
    <w:rsid w:val="00A22229"/>
    <w:rsid w:val="00A24442"/>
    <w:rsid w:val="00A330BB"/>
    <w:rsid w:val="00A44882"/>
    <w:rsid w:val="00A45125"/>
    <w:rsid w:val="00A45E88"/>
    <w:rsid w:val="00A54715"/>
    <w:rsid w:val="00A6061C"/>
    <w:rsid w:val="00A62D44"/>
    <w:rsid w:val="00A67263"/>
    <w:rsid w:val="00A7161C"/>
    <w:rsid w:val="00A72E6C"/>
    <w:rsid w:val="00A77AA3"/>
    <w:rsid w:val="00A8236D"/>
    <w:rsid w:val="00A854EB"/>
    <w:rsid w:val="00A872E5"/>
    <w:rsid w:val="00A91406"/>
    <w:rsid w:val="00A9330F"/>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0DD4"/>
    <w:rsid w:val="00B13656"/>
    <w:rsid w:val="00B13851"/>
    <w:rsid w:val="00B13B1C"/>
    <w:rsid w:val="00B14780"/>
    <w:rsid w:val="00B14BC1"/>
    <w:rsid w:val="00B2055D"/>
    <w:rsid w:val="00B21F90"/>
    <w:rsid w:val="00B22291"/>
    <w:rsid w:val="00B23F9A"/>
    <w:rsid w:val="00B2417B"/>
    <w:rsid w:val="00B24E6F"/>
    <w:rsid w:val="00B2570F"/>
    <w:rsid w:val="00B26CB5"/>
    <w:rsid w:val="00B2752E"/>
    <w:rsid w:val="00B307CC"/>
    <w:rsid w:val="00B30ED6"/>
    <w:rsid w:val="00B326B7"/>
    <w:rsid w:val="00B3588E"/>
    <w:rsid w:val="00B41F3D"/>
    <w:rsid w:val="00B431E8"/>
    <w:rsid w:val="00B45141"/>
    <w:rsid w:val="00B46DE7"/>
    <w:rsid w:val="00B519CD"/>
    <w:rsid w:val="00B5273A"/>
    <w:rsid w:val="00B566E2"/>
    <w:rsid w:val="00B57329"/>
    <w:rsid w:val="00B60E61"/>
    <w:rsid w:val="00B62B50"/>
    <w:rsid w:val="00B635B7"/>
    <w:rsid w:val="00B63AE8"/>
    <w:rsid w:val="00B65950"/>
    <w:rsid w:val="00B66D83"/>
    <w:rsid w:val="00B672C0"/>
    <w:rsid w:val="00B676FD"/>
    <w:rsid w:val="00B75646"/>
    <w:rsid w:val="00B760A3"/>
    <w:rsid w:val="00B90729"/>
    <w:rsid w:val="00B907DA"/>
    <w:rsid w:val="00B94CD5"/>
    <w:rsid w:val="00B950BC"/>
    <w:rsid w:val="00B9714C"/>
    <w:rsid w:val="00BA29AD"/>
    <w:rsid w:val="00BA33CF"/>
    <w:rsid w:val="00BA3F8D"/>
    <w:rsid w:val="00BB68CD"/>
    <w:rsid w:val="00BB7A10"/>
    <w:rsid w:val="00BC049A"/>
    <w:rsid w:val="00BC2C88"/>
    <w:rsid w:val="00BC3E8F"/>
    <w:rsid w:val="00BC4DCB"/>
    <w:rsid w:val="00BC60BE"/>
    <w:rsid w:val="00BC7468"/>
    <w:rsid w:val="00BC7D4F"/>
    <w:rsid w:val="00BC7ED7"/>
    <w:rsid w:val="00BD2850"/>
    <w:rsid w:val="00BD404E"/>
    <w:rsid w:val="00BE28D2"/>
    <w:rsid w:val="00BE4A64"/>
    <w:rsid w:val="00BE5E43"/>
    <w:rsid w:val="00BF30B2"/>
    <w:rsid w:val="00BF557D"/>
    <w:rsid w:val="00BF7F58"/>
    <w:rsid w:val="00C01381"/>
    <w:rsid w:val="00C01AB1"/>
    <w:rsid w:val="00C026A0"/>
    <w:rsid w:val="00C059D3"/>
    <w:rsid w:val="00C06137"/>
    <w:rsid w:val="00C079B8"/>
    <w:rsid w:val="00C10037"/>
    <w:rsid w:val="00C123EA"/>
    <w:rsid w:val="00C1242F"/>
    <w:rsid w:val="00C129A3"/>
    <w:rsid w:val="00C12A49"/>
    <w:rsid w:val="00C12FE6"/>
    <w:rsid w:val="00C133EE"/>
    <w:rsid w:val="00C149D0"/>
    <w:rsid w:val="00C26588"/>
    <w:rsid w:val="00C27DE9"/>
    <w:rsid w:val="00C32989"/>
    <w:rsid w:val="00C33388"/>
    <w:rsid w:val="00C35484"/>
    <w:rsid w:val="00C4173A"/>
    <w:rsid w:val="00C50DED"/>
    <w:rsid w:val="00C52617"/>
    <w:rsid w:val="00C5573F"/>
    <w:rsid w:val="00C602FF"/>
    <w:rsid w:val="00C61174"/>
    <w:rsid w:val="00C6148F"/>
    <w:rsid w:val="00C621B1"/>
    <w:rsid w:val="00C62F7A"/>
    <w:rsid w:val="00C63B9C"/>
    <w:rsid w:val="00C6682F"/>
    <w:rsid w:val="00C67BF4"/>
    <w:rsid w:val="00C7275E"/>
    <w:rsid w:val="00C7319B"/>
    <w:rsid w:val="00C74C5D"/>
    <w:rsid w:val="00C7556C"/>
    <w:rsid w:val="00C82D01"/>
    <w:rsid w:val="00C8488A"/>
    <w:rsid w:val="00C85AD9"/>
    <w:rsid w:val="00C863C4"/>
    <w:rsid w:val="00C8746D"/>
    <w:rsid w:val="00C920EA"/>
    <w:rsid w:val="00C93C3E"/>
    <w:rsid w:val="00C97846"/>
    <w:rsid w:val="00CA12E3"/>
    <w:rsid w:val="00CA1476"/>
    <w:rsid w:val="00CA450C"/>
    <w:rsid w:val="00CA6611"/>
    <w:rsid w:val="00CA6AE6"/>
    <w:rsid w:val="00CA782F"/>
    <w:rsid w:val="00CB1145"/>
    <w:rsid w:val="00CB187B"/>
    <w:rsid w:val="00CB2559"/>
    <w:rsid w:val="00CB2835"/>
    <w:rsid w:val="00CB3285"/>
    <w:rsid w:val="00CB4500"/>
    <w:rsid w:val="00CB774B"/>
    <w:rsid w:val="00CB7800"/>
    <w:rsid w:val="00CC0C72"/>
    <w:rsid w:val="00CC21B8"/>
    <w:rsid w:val="00CC2BFD"/>
    <w:rsid w:val="00CD13F5"/>
    <w:rsid w:val="00CD3476"/>
    <w:rsid w:val="00CD64DF"/>
    <w:rsid w:val="00CE225F"/>
    <w:rsid w:val="00CE497B"/>
    <w:rsid w:val="00CF2F50"/>
    <w:rsid w:val="00CF3E18"/>
    <w:rsid w:val="00CF6198"/>
    <w:rsid w:val="00D02919"/>
    <w:rsid w:val="00D04C61"/>
    <w:rsid w:val="00D05B8D"/>
    <w:rsid w:val="00D065A2"/>
    <w:rsid w:val="00D079AA"/>
    <w:rsid w:val="00D07F00"/>
    <w:rsid w:val="00D103BC"/>
    <w:rsid w:val="00D1130F"/>
    <w:rsid w:val="00D17B72"/>
    <w:rsid w:val="00D2328E"/>
    <w:rsid w:val="00D3185C"/>
    <w:rsid w:val="00D3205F"/>
    <w:rsid w:val="00D3318E"/>
    <w:rsid w:val="00D33E72"/>
    <w:rsid w:val="00D35BD6"/>
    <w:rsid w:val="00D361B5"/>
    <w:rsid w:val="00D40093"/>
    <w:rsid w:val="00D405AC"/>
    <w:rsid w:val="00D411A2"/>
    <w:rsid w:val="00D416E8"/>
    <w:rsid w:val="00D44592"/>
    <w:rsid w:val="00D45F48"/>
    <w:rsid w:val="00D4606D"/>
    <w:rsid w:val="00D46C92"/>
    <w:rsid w:val="00D4793B"/>
    <w:rsid w:val="00D50B9C"/>
    <w:rsid w:val="00D510A3"/>
    <w:rsid w:val="00D52D73"/>
    <w:rsid w:val="00D52E58"/>
    <w:rsid w:val="00D53BE7"/>
    <w:rsid w:val="00D540E8"/>
    <w:rsid w:val="00D56B20"/>
    <w:rsid w:val="00D578B3"/>
    <w:rsid w:val="00D6178A"/>
    <w:rsid w:val="00D618F4"/>
    <w:rsid w:val="00D62C08"/>
    <w:rsid w:val="00D64497"/>
    <w:rsid w:val="00D714CC"/>
    <w:rsid w:val="00D73D64"/>
    <w:rsid w:val="00D74E15"/>
    <w:rsid w:val="00D75EA7"/>
    <w:rsid w:val="00D81ADF"/>
    <w:rsid w:val="00D81F21"/>
    <w:rsid w:val="00D864F2"/>
    <w:rsid w:val="00D92F95"/>
    <w:rsid w:val="00D943F8"/>
    <w:rsid w:val="00D95470"/>
    <w:rsid w:val="00D96B55"/>
    <w:rsid w:val="00DA0D1F"/>
    <w:rsid w:val="00DA2619"/>
    <w:rsid w:val="00DA4239"/>
    <w:rsid w:val="00DA65DE"/>
    <w:rsid w:val="00DB0B61"/>
    <w:rsid w:val="00DB1474"/>
    <w:rsid w:val="00DB2962"/>
    <w:rsid w:val="00DB363E"/>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D6E00"/>
    <w:rsid w:val="00DE0144"/>
    <w:rsid w:val="00DE2D04"/>
    <w:rsid w:val="00DE3250"/>
    <w:rsid w:val="00DE451A"/>
    <w:rsid w:val="00DE559F"/>
    <w:rsid w:val="00DE6028"/>
    <w:rsid w:val="00DE78A3"/>
    <w:rsid w:val="00DF1A71"/>
    <w:rsid w:val="00DF20D8"/>
    <w:rsid w:val="00DF2862"/>
    <w:rsid w:val="00DF404C"/>
    <w:rsid w:val="00DF50FC"/>
    <w:rsid w:val="00DF68C7"/>
    <w:rsid w:val="00DF731A"/>
    <w:rsid w:val="00E06B75"/>
    <w:rsid w:val="00E11332"/>
    <w:rsid w:val="00E11352"/>
    <w:rsid w:val="00E12E29"/>
    <w:rsid w:val="00E170DC"/>
    <w:rsid w:val="00E17546"/>
    <w:rsid w:val="00E210B5"/>
    <w:rsid w:val="00E261B3"/>
    <w:rsid w:val="00E26818"/>
    <w:rsid w:val="00E27FFC"/>
    <w:rsid w:val="00E30B15"/>
    <w:rsid w:val="00E33237"/>
    <w:rsid w:val="00E40181"/>
    <w:rsid w:val="00E47184"/>
    <w:rsid w:val="00E53B54"/>
    <w:rsid w:val="00E54950"/>
    <w:rsid w:val="00E56A01"/>
    <w:rsid w:val="00E62622"/>
    <w:rsid w:val="00E629A1"/>
    <w:rsid w:val="00E6794C"/>
    <w:rsid w:val="00E71591"/>
    <w:rsid w:val="00E71CEB"/>
    <w:rsid w:val="00E7474F"/>
    <w:rsid w:val="00E80DE3"/>
    <w:rsid w:val="00E82C55"/>
    <w:rsid w:val="00E8787E"/>
    <w:rsid w:val="00E90D15"/>
    <w:rsid w:val="00E9121F"/>
    <w:rsid w:val="00E92AC3"/>
    <w:rsid w:val="00EA1360"/>
    <w:rsid w:val="00EA2F6A"/>
    <w:rsid w:val="00EB00E0"/>
    <w:rsid w:val="00EB750C"/>
    <w:rsid w:val="00EC059F"/>
    <w:rsid w:val="00EC1ADB"/>
    <w:rsid w:val="00EC1F24"/>
    <w:rsid w:val="00EC22F6"/>
    <w:rsid w:val="00EC40D5"/>
    <w:rsid w:val="00EC475B"/>
    <w:rsid w:val="00ED5B9B"/>
    <w:rsid w:val="00ED6BAD"/>
    <w:rsid w:val="00ED7447"/>
    <w:rsid w:val="00EE00D6"/>
    <w:rsid w:val="00EE11E7"/>
    <w:rsid w:val="00EE1488"/>
    <w:rsid w:val="00EE29AD"/>
    <w:rsid w:val="00EE3E24"/>
    <w:rsid w:val="00EE4D5D"/>
    <w:rsid w:val="00EE5131"/>
    <w:rsid w:val="00EF109B"/>
    <w:rsid w:val="00EF201C"/>
    <w:rsid w:val="00EF2710"/>
    <w:rsid w:val="00EF29A3"/>
    <w:rsid w:val="00EF36AF"/>
    <w:rsid w:val="00EF3D23"/>
    <w:rsid w:val="00EF59A3"/>
    <w:rsid w:val="00EF6675"/>
    <w:rsid w:val="00F0006F"/>
    <w:rsid w:val="00F00F9C"/>
    <w:rsid w:val="00F01E5F"/>
    <w:rsid w:val="00F024F3"/>
    <w:rsid w:val="00F02ABA"/>
    <w:rsid w:val="00F0437A"/>
    <w:rsid w:val="00F07E17"/>
    <w:rsid w:val="00F101B8"/>
    <w:rsid w:val="00F11037"/>
    <w:rsid w:val="00F11362"/>
    <w:rsid w:val="00F16F1B"/>
    <w:rsid w:val="00F250A9"/>
    <w:rsid w:val="00F267AF"/>
    <w:rsid w:val="00F30FF4"/>
    <w:rsid w:val="00F3122E"/>
    <w:rsid w:val="00F32368"/>
    <w:rsid w:val="00F331AD"/>
    <w:rsid w:val="00F35287"/>
    <w:rsid w:val="00F40A70"/>
    <w:rsid w:val="00F43A37"/>
    <w:rsid w:val="00F449BF"/>
    <w:rsid w:val="00F451AB"/>
    <w:rsid w:val="00F4641B"/>
    <w:rsid w:val="00F46EB8"/>
    <w:rsid w:val="00F50CD1"/>
    <w:rsid w:val="00F511E4"/>
    <w:rsid w:val="00F52D09"/>
    <w:rsid w:val="00F52E08"/>
    <w:rsid w:val="00F53A66"/>
    <w:rsid w:val="00F53DDD"/>
    <w:rsid w:val="00F5462D"/>
    <w:rsid w:val="00F54BDC"/>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2FA"/>
    <w:rsid w:val="00FA2C46"/>
    <w:rsid w:val="00FA3525"/>
    <w:rsid w:val="00FA5A53"/>
    <w:rsid w:val="00FB2551"/>
    <w:rsid w:val="00FB4769"/>
    <w:rsid w:val="00FB4CDA"/>
    <w:rsid w:val="00FB6481"/>
    <w:rsid w:val="00FB66F3"/>
    <w:rsid w:val="00FB6D36"/>
    <w:rsid w:val="00FC0965"/>
    <w:rsid w:val="00FC0F81"/>
    <w:rsid w:val="00FC252F"/>
    <w:rsid w:val="00FC395C"/>
    <w:rsid w:val="00FC48C4"/>
    <w:rsid w:val="00FC577D"/>
    <w:rsid w:val="00FC5E8E"/>
    <w:rsid w:val="00FD3766"/>
    <w:rsid w:val="00FD47C4"/>
    <w:rsid w:val="00FD4AFA"/>
    <w:rsid w:val="00FD6DAF"/>
    <w:rsid w:val="00FD722A"/>
    <w:rsid w:val="00FE2DCF"/>
    <w:rsid w:val="00FE3FA7"/>
    <w:rsid w:val="00FF2A4E"/>
    <w:rsid w:val="00FF2FCE"/>
    <w:rsid w:val="00FF3194"/>
    <w:rsid w:val="00FF3D7C"/>
    <w:rsid w:val="00FF4DE4"/>
    <w:rsid w:val="00FF4F7D"/>
    <w:rsid w:val="00FF54DF"/>
    <w:rsid w:val="00FF6D9D"/>
    <w:rsid w:val="00FF7DD5"/>
    <w:rsid w:val="07064C6A"/>
    <w:rsid w:val="0A3DED2C"/>
    <w:rsid w:val="142B2822"/>
    <w:rsid w:val="1623F9CA"/>
    <w:rsid w:val="2D4AF8A9"/>
    <w:rsid w:val="2D7A4B1A"/>
    <w:rsid w:val="2E22746D"/>
    <w:rsid w:val="322F1973"/>
    <w:rsid w:val="35E20540"/>
    <w:rsid w:val="404DD355"/>
    <w:rsid w:val="525DAFFB"/>
    <w:rsid w:val="528C610E"/>
    <w:rsid w:val="577F1498"/>
    <w:rsid w:val="59A4ADF7"/>
    <w:rsid w:val="667DD923"/>
    <w:rsid w:val="689D1CF9"/>
    <w:rsid w:val="76595608"/>
    <w:rsid w:val="7A610A8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8B9BDE"/>
  <w15:docId w15:val="{BDDFB370-5AAF-4D6E-AAF2-D9BC24ED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BodyText3">
    <w:name w:val="Body Text 3"/>
    <w:basedOn w:val="Normal"/>
    <w:link w:val="BodyText3Char"/>
    <w:rsid w:val="00762D3A"/>
    <w:pPr>
      <w:overflowPunct w:val="0"/>
      <w:autoSpaceDE w:val="0"/>
      <w:autoSpaceDN w:val="0"/>
      <w:adjustRightInd w:val="0"/>
      <w:spacing w:line="240" w:lineRule="auto"/>
      <w:jc w:val="both"/>
      <w:textAlignment w:val="baseline"/>
    </w:pPr>
    <w:rPr>
      <w:rFonts w:ascii="Times New Roman" w:hAnsi="Times New Roman"/>
      <w:sz w:val="24"/>
    </w:rPr>
  </w:style>
  <w:style w:type="character" w:customStyle="1" w:styleId="BodyText3Char">
    <w:name w:val="Body Text 3 Char"/>
    <w:basedOn w:val="DefaultParagraphFont"/>
    <w:link w:val="BodyText3"/>
    <w:rsid w:val="00762D3A"/>
    <w:rPr>
      <w:sz w:val="24"/>
      <w:lang w:eastAsia="en-US"/>
    </w:rPr>
  </w:style>
  <w:style w:type="character" w:styleId="Mention">
    <w:name w:val="Mention"/>
    <w:basedOn w:val="DefaultParagraphFont"/>
    <w:uiPriority w:val="99"/>
    <w:unhideWhenUsed/>
    <w:rsid w:val="00DE559F"/>
    <w:rPr>
      <w:color w:val="2B579A"/>
      <w:shd w:val="clear" w:color="auto" w:fill="E1DFDD"/>
    </w:rPr>
  </w:style>
  <w:style w:type="paragraph" w:customStyle="1" w:styleId="paragraph">
    <w:name w:val="paragraph"/>
    <w:basedOn w:val="Normal"/>
    <w:rsid w:val="00882CC1"/>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887D64"/>
  </w:style>
  <w:style w:type="character" w:customStyle="1" w:styleId="eop">
    <w:name w:val="eop"/>
    <w:basedOn w:val="DefaultParagraphFont"/>
    <w:rsid w:val="00887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ealth.vic.gov.au/infectious-diseases/monkeypo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immunisation/nurse-immuniser-study-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immunisation/nurse-immuniser-study-program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immunisation@health.vic.gov.au" TargetMode="External"/><Relationship Id="rId10" Type="http://schemas.openxmlformats.org/officeDocument/2006/relationships/endnotes" Target="endnotes.xml"/><Relationship Id="rId19" Type="http://schemas.openxmlformats.org/officeDocument/2006/relationships/hyperlink" Target="https://www.health.vic.gov.au/immunisation/nurse-immuniser-study-progra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immunisation/immunisation-resources-order-form"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health.vic.gov.au/infectious-diseases/japanese-encephalitis-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16" ma:contentTypeDescription="Create a new document." ma:contentTypeScope="" ma:versionID="8c3fa1d9a59858c0e012a9ba4dd88a28">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2961d15b169c0d192cdb8d93769ef6ad"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SharedWithUsers xmlns="bef801f1-2872-443b-a104-0f84f9fd0895">
      <UserInfo>
        <DisplayName>Megan Beasley (Health)</DisplayName>
        <AccountId>48</AccountId>
        <AccountType/>
      </UserInfo>
      <UserInfo>
        <DisplayName>Helen Pitcher (Health)</DisplayName>
        <AccountId>20</AccountId>
        <AccountType/>
      </UserInfo>
      <UserInfo>
        <DisplayName>Sarah Bird (Health)</DisplayName>
        <AccountId>56</AccountId>
        <AccountType/>
      </UserInfo>
    </SharedWithUsers>
    <TaxCatchAll xmlns="5ce0f2b5-5be5-4508-bce9-d7011ece0659" xsi:nil="true"/>
    <lcf76f155ced4ddcb4097134ff3c332f xmlns="56f13c3b-1a5e-4b20-8813-0ef8710fa36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80FCE5-E75F-4810-BAFC-31A192340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6f13c3b-1a5e-4b20-8813-0ef8710fa369"/>
    <ds:schemaRef ds:uri="bef801f1-2872-443b-a104-0f84f9fd0895"/>
    <ds:schemaRef ds:uri="5ce0f2b5-5be5-4508-bce9-d7011ece0659"/>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2371</Words>
  <Characters>14703</Characters>
  <Application>Microsoft Office Word</Application>
  <DocSecurity>0</DocSecurity>
  <Lines>306</Lines>
  <Paragraphs>243</Paragraphs>
  <ScaleCrop>false</ScaleCrop>
  <HeadingPairs>
    <vt:vector size="2" baseType="variant">
      <vt:variant>
        <vt:lpstr>Title</vt:lpstr>
      </vt:variant>
      <vt:variant>
        <vt:i4>1</vt:i4>
      </vt:variant>
    </vt:vector>
  </HeadingPairs>
  <TitlesOfParts>
    <vt:vector size="1" baseType="lpstr">
      <vt:lpstr>Nurse Immuniser Approved Client Groups - May 2022</vt:lpstr>
    </vt:vector>
  </TitlesOfParts>
  <Manager/>
  <Company>Department of Health</Company>
  <LinksUpToDate>false</LinksUpToDate>
  <CharactersWithSpaces>16831</CharactersWithSpaces>
  <SharedDoc>false</SharedDoc>
  <HyperlinkBase/>
  <HLinks>
    <vt:vector size="162" baseType="variant">
      <vt:variant>
        <vt:i4>1638422</vt:i4>
      </vt:variant>
      <vt:variant>
        <vt:i4>141</vt:i4>
      </vt:variant>
      <vt:variant>
        <vt:i4>0</vt:i4>
      </vt:variant>
      <vt:variant>
        <vt:i4>5</vt:i4>
      </vt:variant>
      <vt:variant>
        <vt:lpwstr>https://www.health.vic.gov.au/immunisation/nurse-immuniser-study-programs</vt:lpwstr>
      </vt:variant>
      <vt:variant>
        <vt:lpwstr/>
      </vt:variant>
      <vt:variant>
        <vt:i4>2359304</vt:i4>
      </vt:variant>
      <vt:variant>
        <vt:i4>138</vt:i4>
      </vt:variant>
      <vt:variant>
        <vt:i4>0</vt:i4>
      </vt:variant>
      <vt:variant>
        <vt:i4>5</vt:i4>
      </vt:variant>
      <vt:variant>
        <vt:lpwstr>mailto:immunisation@health.vic.gov.au</vt:lpwstr>
      </vt:variant>
      <vt:variant>
        <vt:lpwstr/>
      </vt:variant>
      <vt:variant>
        <vt:i4>5439571</vt:i4>
      </vt:variant>
      <vt:variant>
        <vt:i4>135</vt:i4>
      </vt:variant>
      <vt:variant>
        <vt:i4>0</vt:i4>
      </vt:variant>
      <vt:variant>
        <vt:i4>5</vt:i4>
      </vt:variant>
      <vt:variant>
        <vt:lpwstr>https://www.health.vic.gov.au/immunisation/immunisation-resources-order-form</vt:lpwstr>
      </vt:variant>
      <vt:variant>
        <vt:lpwstr/>
      </vt:variant>
      <vt:variant>
        <vt:i4>3014695</vt:i4>
      </vt:variant>
      <vt:variant>
        <vt:i4>132</vt:i4>
      </vt:variant>
      <vt:variant>
        <vt:i4>0</vt:i4>
      </vt:variant>
      <vt:variant>
        <vt:i4>5</vt:i4>
      </vt:variant>
      <vt:variant>
        <vt:lpwstr>https://www.health.vic.gov.au/infectious-diseases/monkeypox</vt:lpwstr>
      </vt:variant>
      <vt:variant>
        <vt:lpwstr/>
      </vt:variant>
      <vt:variant>
        <vt:i4>1638422</vt:i4>
      </vt:variant>
      <vt:variant>
        <vt:i4>129</vt:i4>
      </vt:variant>
      <vt:variant>
        <vt:i4>0</vt:i4>
      </vt:variant>
      <vt:variant>
        <vt:i4>5</vt:i4>
      </vt:variant>
      <vt:variant>
        <vt:lpwstr>https://www.health.vic.gov.au/immunisation/nurse-immuniser-study-programs</vt:lpwstr>
      </vt:variant>
      <vt:variant>
        <vt:lpwstr/>
      </vt:variant>
      <vt:variant>
        <vt:i4>1638422</vt:i4>
      </vt:variant>
      <vt:variant>
        <vt:i4>126</vt:i4>
      </vt:variant>
      <vt:variant>
        <vt:i4>0</vt:i4>
      </vt:variant>
      <vt:variant>
        <vt:i4>5</vt:i4>
      </vt:variant>
      <vt:variant>
        <vt:lpwstr>https://www.health.vic.gov.au/immunisation/nurse-immuniser-study-programs</vt:lpwstr>
      </vt:variant>
      <vt:variant>
        <vt:lpwstr/>
      </vt:variant>
      <vt:variant>
        <vt:i4>1966140</vt:i4>
      </vt:variant>
      <vt:variant>
        <vt:i4>119</vt:i4>
      </vt:variant>
      <vt:variant>
        <vt:i4>0</vt:i4>
      </vt:variant>
      <vt:variant>
        <vt:i4>5</vt:i4>
      </vt:variant>
      <vt:variant>
        <vt:lpwstr/>
      </vt:variant>
      <vt:variant>
        <vt:lpwstr>_Toc115392199</vt:lpwstr>
      </vt:variant>
      <vt:variant>
        <vt:i4>1966140</vt:i4>
      </vt:variant>
      <vt:variant>
        <vt:i4>113</vt:i4>
      </vt:variant>
      <vt:variant>
        <vt:i4>0</vt:i4>
      </vt:variant>
      <vt:variant>
        <vt:i4>5</vt:i4>
      </vt:variant>
      <vt:variant>
        <vt:lpwstr/>
      </vt:variant>
      <vt:variant>
        <vt:lpwstr>_Toc115392198</vt:lpwstr>
      </vt:variant>
      <vt:variant>
        <vt:i4>1966140</vt:i4>
      </vt:variant>
      <vt:variant>
        <vt:i4>107</vt:i4>
      </vt:variant>
      <vt:variant>
        <vt:i4>0</vt:i4>
      </vt:variant>
      <vt:variant>
        <vt:i4>5</vt:i4>
      </vt:variant>
      <vt:variant>
        <vt:lpwstr/>
      </vt:variant>
      <vt:variant>
        <vt:lpwstr>_Toc115392197</vt:lpwstr>
      </vt:variant>
      <vt:variant>
        <vt:i4>1966140</vt:i4>
      </vt:variant>
      <vt:variant>
        <vt:i4>101</vt:i4>
      </vt:variant>
      <vt:variant>
        <vt:i4>0</vt:i4>
      </vt:variant>
      <vt:variant>
        <vt:i4>5</vt:i4>
      </vt:variant>
      <vt:variant>
        <vt:lpwstr/>
      </vt:variant>
      <vt:variant>
        <vt:lpwstr>_Toc115392196</vt:lpwstr>
      </vt:variant>
      <vt:variant>
        <vt:i4>1966140</vt:i4>
      </vt:variant>
      <vt:variant>
        <vt:i4>95</vt:i4>
      </vt:variant>
      <vt:variant>
        <vt:i4>0</vt:i4>
      </vt:variant>
      <vt:variant>
        <vt:i4>5</vt:i4>
      </vt:variant>
      <vt:variant>
        <vt:lpwstr/>
      </vt:variant>
      <vt:variant>
        <vt:lpwstr>_Toc115392195</vt:lpwstr>
      </vt:variant>
      <vt:variant>
        <vt:i4>1966140</vt:i4>
      </vt:variant>
      <vt:variant>
        <vt:i4>89</vt:i4>
      </vt:variant>
      <vt:variant>
        <vt:i4>0</vt:i4>
      </vt:variant>
      <vt:variant>
        <vt:i4>5</vt:i4>
      </vt:variant>
      <vt:variant>
        <vt:lpwstr/>
      </vt:variant>
      <vt:variant>
        <vt:lpwstr>_Toc115392194</vt:lpwstr>
      </vt:variant>
      <vt:variant>
        <vt:i4>1966140</vt:i4>
      </vt:variant>
      <vt:variant>
        <vt:i4>83</vt:i4>
      </vt:variant>
      <vt:variant>
        <vt:i4>0</vt:i4>
      </vt:variant>
      <vt:variant>
        <vt:i4>5</vt:i4>
      </vt:variant>
      <vt:variant>
        <vt:lpwstr/>
      </vt:variant>
      <vt:variant>
        <vt:lpwstr>_Toc115392193</vt:lpwstr>
      </vt:variant>
      <vt:variant>
        <vt:i4>1966140</vt:i4>
      </vt:variant>
      <vt:variant>
        <vt:i4>77</vt:i4>
      </vt:variant>
      <vt:variant>
        <vt:i4>0</vt:i4>
      </vt:variant>
      <vt:variant>
        <vt:i4>5</vt:i4>
      </vt:variant>
      <vt:variant>
        <vt:lpwstr/>
      </vt:variant>
      <vt:variant>
        <vt:lpwstr>_Toc115392192</vt:lpwstr>
      </vt:variant>
      <vt:variant>
        <vt:i4>1966140</vt:i4>
      </vt:variant>
      <vt:variant>
        <vt:i4>71</vt:i4>
      </vt:variant>
      <vt:variant>
        <vt:i4>0</vt:i4>
      </vt:variant>
      <vt:variant>
        <vt:i4>5</vt:i4>
      </vt:variant>
      <vt:variant>
        <vt:lpwstr/>
      </vt:variant>
      <vt:variant>
        <vt:lpwstr>_Toc115392191</vt:lpwstr>
      </vt:variant>
      <vt:variant>
        <vt:i4>1966140</vt:i4>
      </vt:variant>
      <vt:variant>
        <vt:i4>65</vt:i4>
      </vt:variant>
      <vt:variant>
        <vt:i4>0</vt:i4>
      </vt:variant>
      <vt:variant>
        <vt:i4>5</vt:i4>
      </vt:variant>
      <vt:variant>
        <vt:lpwstr/>
      </vt:variant>
      <vt:variant>
        <vt:lpwstr>_Toc115392190</vt:lpwstr>
      </vt:variant>
      <vt:variant>
        <vt:i4>2031676</vt:i4>
      </vt:variant>
      <vt:variant>
        <vt:i4>59</vt:i4>
      </vt:variant>
      <vt:variant>
        <vt:i4>0</vt:i4>
      </vt:variant>
      <vt:variant>
        <vt:i4>5</vt:i4>
      </vt:variant>
      <vt:variant>
        <vt:lpwstr/>
      </vt:variant>
      <vt:variant>
        <vt:lpwstr>_Toc115392189</vt:lpwstr>
      </vt:variant>
      <vt:variant>
        <vt:i4>2031676</vt:i4>
      </vt:variant>
      <vt:variant>
        <vt:i4>53</vt:i4>
      </vt:variant>
      <vt:variant>
        <vt:i4>0</vt:i4>
      </vt:variant>
      <vt:variant>
        <vt:i4>5</vt:i4>
      </vt:variant>
      <vt:variant>
        <vt:lpwstr/>
      </vt:variant>
      <vt:variant>
        <vt:lpwstr>_Toc115392188</vt:lpwstr>
      </vt:variant>
      <vt:variant>
        <vt:i4>2031676</vt:i4>
      </vt:variant>
      <vt:variant>
        <vt:i4>47</vt:i4>
      </vt:variant>
      <vt:variant>
        <vt:i4>0</vt:i4>
      </vt:variant>
      <vt:variant>
        <vt:i4>5</vt:i4>
      </vt:variant>
      <vt:variant>
        <vt:lpwstr/>
      </vt:variant>
      <vt:variant>
        <vt:lpwstr>_Toc115392187</vt:lpwstr>
      </vt:variant>
      <vt:variant>
        <vt:i4>2031676</vt:i4>
      </vt:variant>
      <vt:variant>
        <vt:i4>41</vt:i4>
      </vt:variant>
      <vt:variant>
        <vt:i4>0</vt:i4>
      </vt:variant>
      <vt:variant>
        <vt:i4>5</vt:i4>
      </vt:variant>
      <vt:variant>
        <vt:lpwstr/>
      </vt:variant>
      <vt:variant>
        <vt:lpwstr>_Toc115392186</vt:lpwstr>
      </vt:variant>
      <vt:variant>
        <vt:i4>2031676</vt:i4>
      </vt:variant>
      <vt:variant>
        <vt:i4>35</vt:i4>
      </vt:variant>
      <vt:variant>
        <vt:i4>0</vt:i4>
      </vt:variant>
      <vt:variant>
        <vt:i4>5</vt:i4>
      </vt:variant>
      <vt:variant>
        <vt:lpwstr/>
      </vt:variant>
      <vt:variant>
        <vt:lpwstr>_Toc115392185</vt:lpwstr>
      </vt:variant>
      <vt:variant>
        <vt:i4>2031676</vt:i4>
      </vt:variant>
      <vt:variant>
        <vt:i4>29</vt:i4>
      </vt:variant>
      <vt:variant>
        <vt:i4>0</vt:i4>
      </vt:variant>
      <vt:variant>
        <vt:i4>5</vt:i4>
      </vt:variant>
      <vt:variant>
        <vt:lpwstr/>
      </vt:variant>
      <vt:variant>
        <vt:lpwstr>_Toc115392184</vt:lpwstr>
      </vt:variant>
      <vt:variant>
        <vt:i4>2031676</vt:i4>
      </vt:variant>
      <vt:variant>
        <vt:i4>23</vt:i4>
      </vt:variant>
      <vt:variant>
        <vt:i4>0</vt:i4>
      </vt:variant>
      <vt:variant>
        <vt:i4>5</vt:i4>
      </vt:variant>
      <vt:variant>
        <vt:lpwstr/>
      </vt:variant>
      <vt:variant>
        <vt:lpwstr>_Toc115392183</vt:lpwstr>
      </vt:variant>
      <vt:variant>
        <vt:i4>2031676</vt:i4>
      </vt:variant>
      <vt:variant>
        <vt:i4>17</vt:i4>
      </vt:variant>
      <vt:variant>
        <vt:i4>0</vt:i4>
      </vt:variant>
      <vt:variant>
        <vt:i4>5</vt:i4>
      </vt:variant>
      <vt:variant>
        <vt:lpwstr/>
      </vt:variant>
      <vt:variant>
        <vt:lpwstr>_Toc115392182</vt:lpwstr>
      </vt:variant>
      <vt:variant>
        <vt:i4>2031676</vt:i4>
      </vt:variant>
      <vt:variant>
        <vt:i4>11</vt:i4>
      </vt:variant>
      <vt:variant>
        <vt:i4>0</vt:i4>
      </vt:variant>
      <vt:variant>
        <vt:i4>5</vt:i4>
      </vt:variant>
      <vt:variant>
        <vt:lpwstr/>
      </vt:variant>
      <vt:variant>
        <vt:lpwstr>_Toc115392181</vt:lpwstr>
      </vt:variant>
      <vt:variant>
        <vt:i4>2031676</vt:i4>
      </vt:variant>
      <vt:variant>
        <vt:i4>5</vt:i4>
      </vt:variant>
      <vt:variant>
        <vt:i4>0</vt:i4>
      </vt:variant>
      <vt:variant>
        <vt:i4>5</vt:i4>
      </vt:variant>
      <vt:variant>
        <vt:lpwstr/>
      </vt:variant>
      <vt:variant>
        <vt:lpwstr>_Toc115392180</vt:lpwstr>
      </vt:variant>
      <vt:variant>
        <vt:i4>5832712</vt:i4>
      </vt:variant>
      <vt:variant>
        <vt:i4>0</vt:i4>
      </vt:variant>
      <vt:variant>
        <vt:i4>0</vt:i4>
      </vt:variant>
      <vt:variant>
        <vt:i4>5</vt:i4>
      </vt:variant>
      <vt:variant>
        <vt:lpwstr>https://www.health.vic.gov.au/infectious-diseases/information-for-health-professionals-japanese-encephalitis-in-victoria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 Immuniser Approved Client Groups - May 2022</dc:title>
  <dc:subject/>
  <dc:creator>PH Health Protection</dc:creator>
  <cp:keywords>Nurse Immuniser</cp:keywords>
  <dc:description/>
  <cp:lastModifiedBy>Josie Cichello-Sanderson (Health)</cp:lastModifiedBy>
  <cp:revision>4</cp:revision>
  <cp:lastPrinted>2022-05-19T20:41:00Z</cp:lastPrinted>
  <dcterms:created xsi:type="dcterms:W3CDTF">2023-04-26T23:50:00Z</dcterms:created>
  <dcterms:modified xsi:type="dcterms:W3CDTF">2023-04-27T03:43:00Z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2023-04-27T03:43:20Z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042574fc-fc35-4689-be0b-8b262845b3b2</vt:lpwstr>
  </property>
  <property fmtid="{D5CDD505-2E9C-101B-9397-08002B2CF9AE}" pid="12" name="MSIP_Label_43e64453-338c-4f93-8a4d-0039a0a41f2a_ContentBits">
    <vt:lpwstr>2</vt:lpwstr>
  </property>
</Properties>
</file>