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6D02DF67" w:rsidR="003B5733" w:rsidRPr="0007087F" w:rsidRDefault="002A2B85" w:rsidP="003B5733">
            <w:pPr>
              <w:pStyle w:val="Documenttitle"/>
              <w:rPr>
                <w:b w:val="0"/>
                <w:bCs/>
              </w:rPr>
            </w:pPr>
            <w:r w:rsidRPr="0007087F">
              <w:rPr>
                <w:b w:val="0"/>
                <w:bCs/>
              </w:rPr>
              <w:t>202</w:t>
            </w:r>
            <w:r w:rsidR="004D3C72" w:rsidRPr="0007087F">
              <w:rPr>
                <w:b w:val="0"/>
                <w:bCs/>
              </w:rPr>
              <w:t>2</w:t>
            </w:r>
            <w:r w:rsidRPr="0007087F">
              <w:rPr>
                <w:b w:val="0"/>
                <w:bCs/>
              </w:rPr>
              <w:t>-202</w:t>
            </w:r>
            <w:r w:rsidR="004D3C72" w:rsidRPr="0007087F">
              <w:rPr>
                <w:b w:val="0"/>
                <w:bCs/>
              </w:rPr>
              <w:t>3</w:t>
            </w:r>
            <w:r w:rsidRPr="0007087F">
              <w:rPr>
                <w:b w:val="0"/>
                <w:bCs/>
              </w:rPr>
              <w:t xml:space="preserve"> fees and charges for </w:t>
            </w:r>
            <w:r w:rsidR="0017367B" w:rsidRPr="0007087F">
              <w:rPr>
                <w:b w:val="0"/>
                <w:bCs/>
              </w:rPr>
              <w:t xml:space="preserve">Non-Emergency Patient Transport </w:t>
            </w:r>
          </w:p>
        </w:tc>
      </w:tr>
    </w:tbl>
    <w:p w14:paraId="528D159A" w14:textId="63AD3F1F" w:rsidR="002A2B85" w:rsidRDefault="002A2B85" w:rsidP="002A2B85">
      <w:pPr>
        <w:pStyle w:val="DHHSbody"/>
      </w:pPr>
      <w:bookmarkStart w:id="0" w:name="_Hlk103776788"/>
      <w:r w:rsidRPr="00EA03EB">
        <w:t xml:space="preserve">This document is an annually updated publication of the indexation of </w:t>
      </w:r>
      <w:r>
        <w:t>fees and charges</w:t>
      </w:r>
      <w:r w:rsidRPr="00EA03EB">
        <w:t xml:space="preserve"> for the reference of the general public.</w:t>
      </w:r>
    </w:p>
    <w:bookmarkEnd w:id="0"/>
    <w:p w14:paraId="366D3E7F" w14:textId="77777777" w:rsidR="00630817" w:rsidRPr="00EA03EB" w:rsidRDefault="00630817" w:rsidP="00630817">
      <w:pPr>
        <w:pStyle w:val="DHHSbody"/>
      </w:pPr>
    </w:p>
    <w:p w14:paraId="30C3CEF6" w14:textId="77777777" w:rsidR="000A5751" w:rsidRPr="00585AE7" w:rsidRDefault="000A5751" w:rsidP="000A5751">
      <w:pPr>
        <w:pStyle w:val="Heading1"/>
        <w:spacing w:after="0"/>
      </w:pPr>
      <w:bookmarkStart w:id="1" w:name="_Hlk103776796"/>
      <w:r w:rsidRPr="00585AE7">
        <w:t>Non-Emergency Patient Transport Regulations 2016</w:t>
      </w:r>
    </w:p>
    <w:p w14:paraId="3D60205B" w14:textId="3D8B0906" w:rsidR="00200176" w:rsidRDefault="00200176" w:rsidP="00200176">
      <w:pPr>
        <w:pStyle w:val="Body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5248"/>
        <w:gridCol w:w="1496"/>
        <w:gridCol w:w="1470"/>
      </w:tblGrid>
      <w:tr w:rsidR="00630817" w:rsidRPr="009B3F9E" w14:paraId="3F386001" w14:textId="77777777" w:rsidTr="0050746C">
        <w:trPr>
          <w:trHeight w:val="510"/>
          <w:tblHeader/>
        </w:trPr>
        <w:tc>
          <w:tcPr>
            <w:tcW w:w="971" w:type="pct"/>
          </w:tcPr>
          <w:p w14:paraId="32CAA8C2" w14:textId="1E9C0152" w:rsidR="00630817" w:rsidRPr="009B3F9E" w:rsidRDefault="00630817" w:rsidP="009C2929">
            <w:pPr>
              <w:pStyle w:val="DHHStablecolhead"/>
              <w:rPr>
                <w:lang w:eastAsia="en-AU"/>
              </w:rPr>
            </w:pPr>
            <w:r w:rsidRPr="009B3F9E">
              <w:rPr>
                <w:lang w:eastAsia="en-AU"/>
              </w:rPr>
              <w:t>Non-Emergency Patient Transport Regulations 2016</w:t>
            </w:r>
            <w:r>
              <w:rPr>
                <w:lang w:eastAsia="en-AU"/>
              </w:rPr>
              <w:t>, Regulation</w:t>
            </w:r>
          </w:p>
        </w:tc>
        <w:tc>
          <w:tcPr>
            <w:tcW w:w="2574" w:type="pct"/>
            <w:hideMark/>
          </w:tcPr>
          <w:p w14:paraId="220011D3" w14:textId="5828841B" w:rsidR="00630817" w:rsidRPr="009B3F9E" w:rsidRDefault="00630817" w:rsidP="009C2929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</w:t>
            </w:r>
          </w:p>
        </w:tc>
        <w:tc>
          <w:tcPr>
            <w:tcW w:w="734" w:type="pct"/>
            <w:hideMark/>
          </w:tcPr>
          <w:p w14:paraId="77B883C5" w14:textId="7C654067" w:rsidR="00630817" w:rsidRPr="009B3F9E" w:rsidRDefault="00630817" w:rsidP="009C2929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2021</w:t>
            </w:r>
            <w:r w:rsidRPr="009B3F9E">
              <w:rPr>
                <w:lang w:eastAsia="en-AU"/>
              </w:rPr>
              <w:t>-20</w:t>
            </w:r>
            <w:r>
              <w:rPr>
                <w:lang w:eastAsia="en-AU"/>
              </w:rPr>
              <w:t>22</w:t>
            </w:r>
            <w:r w:rsidRPr="009B3F9E">
              <w:rPr>
                <w:lang w:eastAsia="en-AU"/>
              </w:rPr>
              <w:t xml:space="preserve"> </w:t>
            </w:r>
            <w:r w:rsidR="00C4008E">
              <w:rPr>
                <w:lang w:eastAsia="en-AU"/>
              </w:rPr>
              <w:t>F</w:t>
            </w:r>
            <w:r w:rsidR="00E71661">
              <w:rPr>
                <w:lang w:eastAsia="en-AU"/>
              </w:rPr>
              <w:t>ee</w:t>
            </w:r>
            <w:r w:rsidRPr="009B3F9E">
              <w:rPr>
                <w:lang w:eastAsia="en-AU"/>
              </w:rPr>
              <w:t xml:space="preserve"> amount </w:t>
            </w:r>
          </w:p>
        </w:tc>
        <w:tc>
          <w:tcPr>
            <w:tcW w:w="721" w:type="pct"/>
            <w:hideMark/>
          </w:tcPr>
          <w:p w14:paraId="7CA41EA3" w14:textId="57B823AF" w:rsidR="00630817" w:rsidRPr="009B3F9E" w:rsidRDefault="00630817" w:rsidP="009C2929">
            <w:pPr>
              <w:pStyle w:val="DHHStablecolhead"/>
              <w:rPr>
                <w:lang w:eastAsia="en-AU"/>
              </w:rPr>
            </w:pPr>
            <w:r w:rsidRPr="009B3F9E">
              <w:rPr>
                <w:lang w:eastAsia="en-AU"/>
              </w:rPr>
              <w:t>20</w:t>
            </w:r>
            <w:r>
              <w:rPr>
                <w:lang w:eastAsia="en-AU"/>
              </w:rPr>
              <w:t>22</w:t>
            </w:r>
            <w:r w:rsidRPr="009B3F9E">
              <w:rPr>
                <w:lang w:eastAsia="en-AU"/>
              </w:rPr>
              <w:t>-20</w:t>
            </w:r>
            <w:r>
              <w:rPr>
                <w:lang w:eastAsia="en-AU"/>
              </w:rPr>
              <w:t>23</w:t>
            </w:r>
            <w:r w:rsidRPr="009B3F9E">
              <w:rPr>
                <w:lang w:eastAsia="en-AU"/>
              </w:rPr>
              <w:t xml:space="preserve"> </w:t>
            </w:r>
            <w:r w:rsidR="00C4008E">
              <w:rPr>
                <w:lang w:eastAsia="en-AU"/>
              </w:rPr>
              <w:t>F</w:t>
            </w:r>
            <w:r w:rsidR="00E71661">
              <w:rPr>
                <w:lang w:eastAsia="en-AU"/>
              </w:rPr>
              <w:t>ee</w:t>
            </w:r>
            <w:r w:rsidRPr="009B3F9E">
              <w:rPr>
                <w:lang w:eastAsia="en-AU"/>
              </w:rPr>
              <w:t xml:space="preserve"> amount</w:t>
            </w:r>
          </w:p>
        </w:tc>
      </w:tr>
      <w:tr w:rsidR="00630817" w:rsidRPr="009B3F9E" w14:paraId="6E9FDBFC" w14:textId="77777777" w:rsidTr="0050746C">
        <w:trPr>
          <w:trHeight w:val="255"/>
        </w:trPr>
        <w:tc>
          <w:tcPr>
            <w:tcW w:w="971" w:type="pct"/>
          </w:tcPr>
          <w:p w14:paraId="06B2F96F" w14:textId="1221D0DD" w:rsidR="00630817" w:rsidRDefault="00E71661" w:rsidP="009C2929">
            <w:pPr>
              <w:pStyle w:val="DHHStabletext"/>
              <w:rPr>
                <w:lang w:eastAsia="en-AU"/>
              </w:rPr>
            </w:pPr>
            <w:r>
              <w:t>23</w:t>
            </w:r>
            <w:r w:rsidR="004872AA">
              <w:t>(2)</w:t>
            </w:r>
            <w:r>
              <w:t xml:space="preserve"> Application for approval in principle</w:t>
            </w:r>
          </w:p>
        </w:tc>
        <w:tc>
          <w:tcPr>
            <w:tcW w:w="2574" w:type="pct"/>
          </w:tcPr>
          <w:p w14:paraId="70C7EBE3" w14:textId="7467E80A" w:rsidR="00630817" w:rsidRPr="009B3F9E" w:rsidRDefault="004872AA" w:rsidP="009C2929">
            <w:pPr>
              <w:pStyle w:val="DHHStabletext"/>
              <w:rPr>
                <w:lang w:eastAsia="en-AU"/>
              </w:rPr>
            </w:pPr>
            <w:r>
              <w:t>For the purposes of section 8(2)(b) of the Act, the prescribed fee is:</w:t>
            </w:r>
          </w:p>
        </w:tc>
        <w:tc>
          <w:tcPr>
            <w:tcW w:w="734" w:type="pct"/>
          </w:tcPr>
          <w:p w14:paraId="40B16863" w14:textId="7908F8EF" w:rsidR="00630817" w:rsidRPr="009B3F9E" w:rsidRDefault="004872AA" w:rsidP="009C2929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$1,863.72</w:t>
            </w:r>
          </w:p>
        </w:tc>
        <w:tc>
          <w:tcPr>
            <w:tcW w:w="721" w:type="pct"/>
            <w:hideMark/>
          </w:tcPr>
          <w:p w14:paraId="70FE80CB" w14:textId="55F323CF" w:rsidR="00630817" w:rsidRPr="009B3F9E" w:rsidRDefault="00630817" w:rsidP="009C2929">
            <w:pPr>
              <w:pStyle w:val="DHHStabletext"/>
              <w:rPr>
                <w:lang w:eastAsia="en-AU"/>
              </w:rPr>
            </w:pPr>
            <w:r w:rsidRPr="009B3F9E">
              <w:rPr>
                <w:lang w:eastAsia="en-AU"/>
              </w:rPr>
              <w:t>$</w:t>
            </w:r>
            <w:r w:rsidR="004872AA">
              <w:rPr>
                <w:lang w:eastAsia="en-AU"/>
              </w:rPr>
              <w:t>1,895.96</w:t>
            </w:r>
          </w:p>
        </w:tc>
      </w:tr>
      <w:tr w:rsidR="00630817" w:rsidRPr="009B3F9E" w14:paraId="79BE8DC8" w14:textId="77777777" w:rsidTr="0050746C">
        <w:trPr>
          <w:trHeight w:val="255"/>
        </w:trPr>
        <w:tc>
          <w:tcPr>
            <w:tcW w:w="971" w:type="pct"/>
          </w:tcPr>
          <w:p w14:paraId="79E5F67D" w14:textId="3D024130" w:rsidR="00630817" w:rsidRDefault="004872AA" w:rsidP="009C2929">
            <w:pPr>
              <w:pStyle w:val="DHHStabletext"/>
              <w:rPr>
                <w:lang w:eastAsia="en-AU"/>
              </w:rPr>
            </w:pPr>
            <w:r>
              <w:t>24(2) Application for variation or transfer of approval in principle</w:t>
            </w:r>
          </w:p>
        </w:tc>
        <w:tc>
          <w:tcPr>
            <w:tcW w:w="2574" w:type="pct"/>
          </w:tcPr>
          <w:p w14:paraId="05C756A6" w14:textId="6D460D9D" w:rsidR="00630817" w:rsidRPr="009B3F9E" w:rsidRDefault="004872AA" w:rsidP="009C2929">
            <w:pPr>
              <w:pStyle w:val="DHHStabletext"/>
              <w:rPr>
                <w:lang w:eastAsia="en-AU"/>
              </w:rPr>
            </w:pPr>
            <w:r>
              <w:t>For the purposes of section 8(2)(b) of the Act, the prescribed fee for variation of transfer of an approval in principle under section 12(1) of the Act is:</w:t>
            </w:r>
          </w:p>
        </w:tc>
        <w:tc>
          <w:tcPr>
            <w:tcW w:w="734" w:type="pct"/>
          </w:tcPr>
          <w:p w14:paraId="4B53DAC5" w14:textId="311D0CEC" w:rsidR="00630817" w:rsidRPr="009B3F9E" w:rsidRDefault="004872AA" w:rsidP="009C2929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$631.26</w:t>
            </w:r>
          </w:p>
        </w:tc>
        <w:tc>
          <w:tcPr>
            <w:tcW w:w="721" w:type="pct"/>
            <w:hideMark/>
          </w:tcPr>
          <w:p w14:paraId="6AFCA7CF" w14:textId="209E596B" w:rsidR="00630817" w:rsidRPr="009B3F9E" w:rsidRDefault="00630817" w:rsidP="009C2929">
            <w:pPr>
              <w:pStyle w:val="DHHStabletext"/>
              <w:rPr>
                <w:lang w:eastAsia="en-AU"/>
              </w:rPr>
            </w:pPr>
            <w:r w:rsidRPr="009B3F9E">
              <w:rPr>
                <w:lang w:eastAsia="en-AU"/>
              </w:rPr>
              <w:t>$</w:t>
            </w:r>
            <w:r w:rsidR="004872AA">
              <w:rPr>
                <w:lang w:eastAsia="en-AU"/>
              </w:rPr>
              <w:t>642.18</w:t>
            </w:r>
          </w:p>
        </w:tc>
      </w:tr>
      <w:tr w:rsidR="00630817" w:rsidRPr="009B3F9E" w14:paraId="21A9D168" w14:textId="77777777" w:rsidTr="0050746C">
        <w:trPr>
          <w:trHeight w:val="255"/>
        </w:trPr>
        <w:tc>
          <w:tcPr>
            <w:tcW w:w="971" w:type="pct"/>
          </w:tcPr>
          <w:p w14:paraId="2F324976" w14:textId="5ED8C47C" w:rsidR="00630817" w:rsidRDefault="004872AA" w:rsidP="009C2929">
            <w:pPr>
              <w:pStyle w:val="DHHStabletext"/>
              <w:rPr>
                <w:lang w:eastAsia="en-AU"/>
              </w:rPr>
            </w:pPr>
            <w:r>
              <w:t>25(2) Application for a non-emergency patient transport service licence</w:t>
            </w:r>
          </w:p>
        </w:tc>
        <w:tc>
          <w:tcPr>
            <w:tcW w:w="2574" w:type="pct"/>
          </w:tcPr>
          <w:p w14:paraId="1E522CEA" w14:textId="2CB5FA66" w:rsidR="00630817" w:rsidRPr="009B3F9E" w:rsidRDefault="004872AA" w:rsidP="009C2929">
            <w:pPr>
              <w:pStyle w:val="DHHStabletext"/>
              <w:rPr>
                <w:lang w:eastAsia="en-AU"/>
              </w:rPr>
            </w:pPr>
            <w:r>
              <w:t xml:space="preserve">For the purposes of section 14(2)(b) of the Act, the prescribed fee is: </w:t>
            </w:r>
          </w:p>
        </w:tc>
        <w:tc>
          <w:tcPr>
            <w:tcW w:w="734" w:type="pct"/>
          </w:tcPr>
          <w:p w14:paraId="5191DF34" w14:textId="560CD877" w:rsidR="00630817" w:rsidRPr="009B3F9E" w:rsidRDefault="004872AA" w:rsidP="009C2929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$2,795.58</w:t>
            </w:r>
          </w:p>
        </w:tc>
        <w:tc>
          <w:tcPr>
            <w:tcW w:w="721" w:type="pct"/>
            <w:hideMark/>
          </w:tcPr>
          <w:p w14:paraId="642CB1B1" w14:textId="0018E9DC" w:rsidR="00630817" w:rsidRPr="009B3F9E" w:rsidRDefault="00630817" w:rsidP="009C2929">
            <w:pPr>
              <w:pStyle w:val="DHHStabletext"/>
              <w:rPr>
                <w:lang w:eastAsia="en-AU"/>
              </w:rPr>
            </w:pPr>
            <w:r w:rsidRPr="009B3F9E">
              <w:rPr>
                <w:lang w:eastAsia="en-AU"/>
              </w:rPr>
              <w:t>$</w:t>
            </w:r>
            <w:r w:rsidR="004872AA">
              <w:rPr>
                <w:lang w:eastAsia="en-AU"/>
              </w:rPr>
              <w:t>2,843.94</w:t>
            </w:r>
          </w:p>
        </w:tc>
      </w:tr>
      <w:tr w:rsidR="004872AA" w:rsidRPr="009B3F9E" w14:paraId="7F1B53AE" w14:textId="77777777" w:rsidTr="0050746C">
        <w:trPr>
          <w:trHeight w:val="255"/>
        </w:trPr>
        <w:tc>
          <w:tcPr>
            <w:tcW w:w="971" w:type="pct"/>
            <w:vMerge w:val="restart"/>
          </w:tcPr>
          <w:p w14:paraId="1DF8C22B" w14:textId="07F1F939" w:rsidR="004872AA" w:rsidRDefault="004872AA" w:rsidP="009C2929">
            <w:pPr>
              <w:pStyle w:val="DHHStabletext"/>
              <w:rPr>
                <w:lang w:eastAsia="en-AU"/>
              </w:rPr>
            </w:pPr>
            <w:r>
              <w:t>27(2) Application to renew a licence</w:t>
            </w:r>
          </w:p>
        </w:tc>
        <w:tc>
          <w:tcPr>
            <w:tcW w:w="2574" w:type="pct"/>
          </w:tcPr>
          <w:p w14:paraId="0AD35129" w14:textId="684F4536" w:rsidR="004872AA" w:rsidRPr="009B3F9E" w:rsidRDefault="004872AA" w:rsidP="009C2929">
            <w:pPr>
              <w:pStyle w:val="DHHStabletext"/>
              <w:rPr>
                <w:lang w:eastAsia="en-AU"/>
              </w:rPr>
            </w:pPr>
            <w:r>
              <w:t>For the purposes of section 21(2)(b) of the Act, the prescribed fee is—</w:t>
            </w:r>
          </w:p>
        </w:tc>
        <w:tc>
          <w:tcPr>
            <w:tcW w:w="734" w:type="pct"/>
          </w:tcPr>
          <w:p w14:paraId="67DD4538" w14:textId="321E40C2" w:rsidR="004872AA" w:rsidRPr="009B3F9E" w:rsidRDefault="004872AA" w:rsidP="009C2929">
            <w:pPr>
              <w:pStyle w:val="DHHStabletext"/>
              <w:rPr>
                <w:lang w:eastAsia="en-AU"/>
              </w:rPr>
            </w:pPr>
          </w:p>
        </w:tc>
        <w:tc>
          <w:tcPr>
            <w:tcW w:w="721" w:type="pct"/>
          </w:tcPr>
          <w:p w14:paraId="2EB55F72" w14:textId="288930B4" w:rsidR="004872AA" w:rsidRPr="009B3F9E" w:rsidRDefault="004872AA" w:rsidP="009C2929">
            <w:pPr>
              <w:pStyle w:val="DHHStabletext"/>
              <w:rPr>
                <w:lang w:eastAsia="en-AU"/>
              </w:rPr>
            </w:pPr>
          </w:p>
        </w:tc>
      </w:tr>
      <w:tr w:rsidR="004872AA" w:rsidRPr="009B3F9E" w14:paraId="3D8A51FF" w14:textId="77777777" w:rsidTr="0050746C">
        <w:trPr>
          <w:trHeight w:val="255"/>
        </w:trPr>
        <w:tc>
          <w:tcPr>
            <w:tcW w:w="971" w:type="pct"/>
            <w:vMerge/>
          </w:tcPr>
          <w:p w14:paraId="37B3E0BE" w14:textId="77777777" w:rsidR="004872AA" w:rsidRDefault="004872AA" w:rsidP="004872AA">
            <w:pPr>
              <w:pStyle w:val="DHHStabletext"/>
              <w:rPr>
                <w:lang w:eastAsia="en-AU"/>
              </w:rPr>
            </w:pPr>
          </w:p>
        </w:tc>
        <w:tc>
          <w:tcPr>
            <w:tcW w:w="2574" w:type="pct"/>
          </w:tcPr>
          <w:p w14:paraId="56662E0D" w14:textId="5DC3B2AA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>
              <w:t>(a) for up to and including 9 vehicles;</w:t>
            </w:r>
          </w:p>
        </w:tc>
        <w:tc>
          <w:tcPr>
            <w:tcW w:w="734" w:type="pct"/>
          </w:tcPr>
          <w:p w14:paraId="29017BAC" w14:textId="7243D4CB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$2,</w:t>
            </w:r>
            <w:r w:rsidRPr="004872AA">
              <w:rPr>
                <w:lang w:eastAsia="en-AU"/>
              </w:rPr>
              <w:t>059.11</w:t>
            </w:r>
          </w:p>
        </w:tc>
        <w:tc>
          <w:tcPr>
            <w:tcW w:w="721" w:type="pct"/>
          </w:tcPr>
          <w:p w14:paraId="38F22BE2" w14:textId="2F4765D6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 w:rsidRPr="009B3F9E">
              <w:rPr>
                <w:lang w:eastAsia="en-AU"/>
              </w:rPr>
              <w:t>$</w:t>
            </w:r>
            <w:r>
              <w:rPr>
                <w:lang w:eastAsia="en-AU"/>
              </w:rPr>
              <w:t>2,094.73</w:t>
            </w:r>
          </w:p>
        </w:tc>
      </w:tr>
      <w:tr w:rsidR="004872AA" w:rsidRPr="009B3F9E" w14:paraId="406B9A0B" w14:textId="77777777" w:rsidTr="0050746C">
        <w:trPr>
          <w:trHeight w:val="255"/>
        </w:trPr>
        <w:tc>
          <w:tcPr>
            <w:tcW w:w="971" w:type="pct"/>
            <w:vMerge/>
          </w:tcPr>
          <w:p w14:paraId="451CCCC4" w14:textId="77777777" w:rsidR="004872AA" w:rsidRDefault="004872AA" w:rsidP="004872AA">
            <w:pPr>
              <w:pStyle w:val="DHHStabletext"/>
              <w:rPr>
                <w:lang w:eastAsia="en-AU"/>
              </w:rPr>
            </w:pPr>
          </w:p>
        </w:tc>
        <w:tc>
          <w:tcPr>
            <w:tcW w:w="2574" w:type="pct"/>
          </w:tcPr>
          <w:p w14:paraId="7E7875C1" w14:textId="37AA0697" w:rsidR="004872AA" w:rsidRDefault="004872AA" w:rsidP="004872AA">
            <w:pPr>
              <w:pStyle w:val="DHHStabletext"/>
              <w:rPr>
                <w:lang w:eastAsia="en-AU"/>
              </w:rPr>
            </w:pPr>
            <w:r>
              <w:t>(b) for 10 to 49 vehicles;</w:t>
            </w:r>
          </w:p>
        </w:tc>
        <w:tc>
          <w:tcPr>
            <w:tcW w:w="734" w:type="pct"/>
          </w:tcPr>
          <w:p w14:paraId="6E4A704F" w14:textId="611A8068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$4,268.52</w:t>
            </w:r>
          </w:p>
        </w:tc>
        <w:tc>
          <w:tcPr>
            <w:tcW w:w="721" w:type="pct"/>
          </w:tcPr>
          <w:p w14:paraId="38C38900" w14:textId="50BD026D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 w:rsidRPr="009B3F9E">
              <w:rPr>
                <w:lang w:eastAsia="en-AU"/>
              </w:rPr>
              <w:t>$</w:t>
            </w:r>
            <w:r>
              <w:rPr>
                <w:lang w:eastAsia="en-AU"/>
              </w:rPr>
              <w:t>4,342.36</w:t>
            </w:r>
          </w:p>
        </w:tc>
      </w:tr>
      <w:tr w:rsidR="004872AA" w:rsidRPr="009B3F9E" w14:paraId="4B46857B" w14:textId="77777777" w:rsidTr="0050746C">
        <w:trPr>
          <w:trHeight w:val="255"/>
        </w:trPr>
        <w:tc>
          <w:tcPr>
            <w:tcW w:w="971" w:type="pct"/>
            <w:vMerge/>
          </w:tcPr>
          <w:p w14:paraId="78415698" w14:textId="77777777" w:rsidR="004872AA" w:rsidRDefault="004872AA" w:rsidP="004872AA">
            <w:pPr>
              <w:pStyle w:val="DHHStabletext"/>
            </w:pPr>
          </w:p>
        </w:tc>
        <w:tc>
          <w:tcPr>
            <w:tcW w:w="2574" w:type="pct"/>
          </w:tcPr>
          <w:p w14:paraId="7B01780D" w14:textId="10CB98BD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>
              <w:t>(c) for 50 or more vehicles.</w:t>
            </w:r>
          </w:p>
        </w:tc>
        <w:tc>
          <w:tcPr>
            <w:tcW w:w="734" w:type="pct"/>
          </w:tcPr>
          <w:p w14:paraId="026785AF" w14:textId="7E12F7F8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$6,477.93</w:t>
            </w:r>
          </w:p>
        </w:tc>
        <w:tc>
          <w:tcPr>
            <w:tcW w:w="721" w:type="pct"/>
            <w:hideMark/>
          </w:tcPr>
          <w:p w14:paraId="588040E5" w14:textId="34F1C49A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 w:rsidRPr="009B3F9E">
              <w:rPr>
                <w:lang w:eastAsia="en-AU"/>
              </w:rPr>
              <w:t>$</w:t>
            </w:r>
            <w:r>
              <w:rPr>
                <w:lang w:eastAsia="en-AU"/>
              </w:rPr>
              <w:t>6,589.99</w:t>
            </w:r>
          </w:p>
        </w:tc>
      </w:tr>
      <w:tr w:rsidR="004872AA" w:rsidRPr="009B3F9E" w14:paraId="41C1F48F" w14:textId="77777777" w:rsidTr="0050746C">
        <w:trPr>
          <w:trHeight w:val="255"/>
        </w:trPr>
        <w:tc>
          <w:tcPr>
            <w:tcW w:w="971" w:type="pct"/>
          </w:tcPr>
          <w:p w14:paraId="1A033FE1" w14:textId="2E2C4CA3" w:rsidR="004872AA" w:rsidRDefault="004872AA" w:rsidP="004872AA">
            <w:pPr>
              <w:pStyle w:val="DHHStabletext"/>
            </w:pPr>
            <w:r>
              <w:t>27A(2) Application to transfer a licence</w:t>
            </w:r>
          </w:p>
        </w:tc>
        <w:tc>
          <w:tcPr>
            <w:tcW w:w="2574" w:type="pct"/>
          </w:tcPr>
          <w:p w14:paraId="02A5F9DC" w14:textId="4C1776B1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>
              <w:t>For the purposes of section 23A(2)(b) of the Act, the prescribed fee is</w:t>
            </w:r>
          </w:p>
        </w:tc>
        <w:tc>
          <w:tcPr>
            <w:tcW w:w="734" w:type="pct"/>
          </w:tcPr>
          <w:p w14:paraId="346F26D8" w14:textId="2C815AF3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4872AA">
              <w:rPr>
                <w:lang w:eastAsia="en-AU"/>
              </w:rPr>
              <w:t>736.47</w:t>
            </w:r>
            <w:r w:rsidRPr="004872AA">
              <w:rPr>
                <w:lang w:eastAsia="en-AU"/>
              </w:rPr>
              <w:tab/>
            </w:r>
          </w:p>
        </w:tc>
        <w:tc>
          <w:tcPr>
            <w:tcW w:w="721" w:type="pct"/>
          </w:tcPr>
          <w:p w14:paraId="2731EF9C" w14:textId="01DABA69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4872AA">
              <w:rPr>
                <w:lang w:eastAsia="en-AU"/>
              </w:rPr>
              <w:t>749.21</w:t>
            </w:r>
          </w:p>
        </w:tc>
      </w:tr>
      <w:tr w:rsidR="004872AA" w:rsidRPr="009B3F9E" w14:paraId="7DD8E5D8" w14:textId="77777777" w:rsidTr="0050746C">
        <w:trPr>
          <w:trHeight w:val="255"/>
        </w:trPr>
        <w:tc>
          <w:tcPr>
            <w:tcW w:w="971" w:type="pct"/>
          </w:tcPr>
          <w:p w14:paraId="32A6DCDC" w14:textId="5EE82D89" w:rsidR="004872AA" w:rsidRDefault="004872AA" w:rsidP="004872AA">
            <w:pPr>
              <w:pStyle w:val="DHHStabletext"/>
            </w:pPr>
            <w:r>
              <w:t>28(2) Application to vary a licence</w:t>
            </w:r>
          </w:p>
        </w:tc>
        <w:tc>
          <w:tcPr>
            <w:tcW w:w="2574" w:type="pct"/>
          </w:tcPr>
          <w:p w14:paraId="48CFF754" w14:textId="7473ED16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>
              <w:t>For the purposes of section 26(2)(b) of the Act, the prescribed fee is</w:t>
            </w:r>
          </w:p>
        </w:tc>
        <w:tc>
          <w:tcPr>
            <w:tcW w:w="734" w:type="pct"/>
          </w:tcPr>
          <w:p w14:paraId="6D502223" w14:textId="0D5AD67B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4872AA">
              <w:rPr>
                <w:lang w:eastAsia="en-AU"/>
              </w:rPr>
              <w:t>736.47</w:t>
            </w:r>
            <w:r w:rsidRPr="004872AA">
              <w:rPr>
                <w:lang w:eastAsia="en-AU"/>
              </w:rPr>
              <w:tab/>
            </w:r>
          </w:p>
        </w:tc>
        <w:tc>
          <w:tcPr>
            <w:tcW w:w="721" w:type="pct"/>
          </w:tcPr>
          <w:p w14:paraId="363A83A3" w14:textId="70E2D84A" w:rsidR="004872AA" w:rsidRPr="009B3F9E" w:rsidRDefault="004872AA" w:rsidP="004872A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4872AA">
              <w:rPr>
                <w:lang w:eastAsia="en-AU"/>
              </w:rPr>
              <w:t>749.21</w:t>
            </w:r>
          </w:p>
        </w:tc>
      </w:tr>
    </w:tbl>
    <w:p w14:paraId="19E612A9" w14:textId="42F7419A" w:rsidR="000A5751" w:rsidRDefault="000A5751" w:rsidP="00200176">
      <w:pPr>
        <w:pStyle w:val="Body"/>
      </w:pPr>
      <w:bookmarkStart w:id="2" w:name="_Hlk103776809"/>
    </w:p>
    <w:p w14:paraId="229C87F0" w14:textId="77777777" w:rsidR="000A5751" w:rsidRPr="00200176" w:rsidRDefault="000A5751" w:rsidP="00200176">
      <w:pPr>
        <w:pStyle w:val="Body"/>
      </w:pPr>
    </w:p>
    <w:tbl>
      <w:tblPr>
        <w:tblStyle w:val="TableGrid"/>
        <w:tblW w:w="5000" w:type="pct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7087F" w14:paraId="703FA7DF" w14:textId="77777777" w:rsidTr="00DA0405">
        <w:tc>
          <w:tcPr>
            <w:tcW w:w="5000" w:type="pct"/>
          </w:tcPr>
          <w:bookmarkEnd w:id="1"/>
          <w:bookmarkEnd w:id="2"/>
          <w:p w14:paraId="7D2BE84B" w14:textId="77777777" w:rsidR="0007087F" w:rsidRPr="0007087F" w:rsidRDefault="0007087F" w:rsidP="00DA0405">
            <w:pPr>
              <w:pStyle w:val="Accessibilitypara"/>
              <w:rPr>
                <w:sz w:val="20"/>
                <w:szCs w:val="20"/>
              </w:rPr>
            </w:pPr>
            <w:r w:rsidRPr="0007087F">
              <w:rPr>
                <w:sz w:val="20"/>
                <w:szCs w:val="20"/>
              </w:rPr>
              <w:t xml:space="preserve">To receive this document in another format, phone </w:t>
            </w:r>
            <w:r w:rsidRPr="0007087F">
              <w:rPr>
                <w:color w:val="004C97"/>
                <w:sz w:val="20"/>
                <w:szCs w:val="20"/>
              </w:rPr>
              <w:t>1300 650 172</w:t>
            </w:r>
            <w:r w:rsidRPr="0007087F">
              <w:rPr>
                <w:sz w:val="20"/>
                <w:szCs w:val="20"/>
              </w:rPr>
              <w:t xml:space="preserve">, using the National Relay Service 13 36 77 if required, or email </w:t>
            </w:r>
            <w:hyperlink r:id="rId15" w:history="1">
              <w:r w:rsidRPr="0007087F">
                <w:rPr>
                  <w:rStyle w:val="Hyperlink"/>
                  <w:sz w:val="20"/>
                  <w:szCs w:val="20"/>
                </w:rPr>
                <w:t>Fees and Penalties</w:t>
              </w:r>
            </w:hyperlink>
            <w:r w:rsidRPr="0007087F">
              <w:rPr>
                <w:sz w:val="20"/>
                <w:szCs w:val="20"/>
              </w:rPr>
              <w:t xml:space="preserve"> &lt;</w:t>
            </w:r>
            <w:r w:rsidRPr="0007087F">
              <w:rPr>
                <w:color w:val="004C97"/>
                <w:sz w:val="20"/>
                <w:szCs w:val="20"/>
              </w:rPr>
              <w:t>feesandpenalties@dhhs.vic.gov.au&gt;</w:t>
            </w:r>
          </w:p>
          <w:p w14:paraId="187B6F7F" w14:textId="77777777" w:rsidR="0007087F" w:rsidRDefault="0007087F" w:rsidP="00DA0405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271247E" w14:textId="77777777" w:rsidR="0007087F" w:rsidRDefault="0007087F" w:rsidP="00DA0405">
            <w:pPr>
              <w:pStyle w:val="Imprint"/>
            </w:pPr>
            <w:r w:rsidRPr="0055119B">
              <w:lastRenderedPageBreak/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3" w:name="_Hlk62746129"/>
          </w:p>
          <w:p w14:paraId="5991C8F1" w14:textId="77777777" w:rsidR="0007087F" w:rsidRPr="00797D57" w:rsidRDefault="0007087F" w:rsidP="00DA0405">
            <w:pPr>
              <w:pStyle w:val="Imprint"/>
              <w:rPr>
                <w:highlight w:val="yellow"/>
              </w:rPr>
            </w:pPr>
          </w:p>
          <w:p w14:paraId="48D6B737" w14:textId="77777777" w:rsidR="0007087F" w:rsidRDefault="0007087F" w:rsidP="00DA0405">
            <w:pPr>
              <w:pStyle w:val="Imprint"/>
            </w:pPr>
            <w:r w:rsidRPr="00F80DA0">
              <w:t xml:space="preserve">Available at </w:t>
            </w:r>
            <w:hyperlink r:id="rId16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3"/>
          </w:p>
        </w:tc>
      </w:tr>
    </w:tbl>
    <w:p w14:paraId="5872C207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4FA9" w14:textId="77777777" w:rsidR="00F50A58" w:rsidRDefault="00F50A58">
      <w:r>
        <w:separator/>
      </w:r>
    </w:p>
  </w:endnote>
  <w:endnote w:type="continuationSeparator" w:id="0">
    <w:p w14:paraId="668651AA" w14:textId="77777777" w:rsidR="00F50A58" w:rsidRDefault="00F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8368" w14:textId="535251D8" w:rsidR="00373890" w:rsidRPr="00F65AA9" w:rsidRDefault="002A2B8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81A9C05" wp14:editId="47DB8D2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MSIPCM8716453d894ffe8c1ce7bfe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FE54FF" w14:textId="75EA3B61" w:rsidR="002A2B85" w:rsidRPr="002A2B85" w:rsidRDefault="002A2B85" w:rsidP="002A2B8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2B8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9C05" id="_x0000_t202" coordsize="21600,21600" o:spt="202" path="m,l,21600r21600,l21600,xe">
              <v:stroke joinstyle="miter"/>
              <v:path gradientshapeok="t" o:connecttype="rect"/>
            </v:shapetype>
            <v:shape id="MSIPCM8716453d894ffe8c1ce7bfe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5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7AFE54FF" w14:textId="75EA3B61" w:rsidR="002A2B85" w:rsidRPr="002A2B85" w:rsidRDefault="002A2B85" w:rsidP="002A2B8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2B8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651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1BBB" w14:textId="77777777" w:rsidR="00F50A58" w:rsidRDefault="00F50A58" w:rsidP="002862F1">
      <w:pPr>
        <w:spacing w:before="120"/>
      </w:pPr>
      <w:r>
        <w:separator/>
      </w:r>
    </w:p>
  </w:footnote>
  <w:footnote w:type="continuationSeparator" w:id="0">
    <w:p w14:paraId="68989EBD" w14:textId="77777777" w:rsidR="00F50A58" w:rsidRDefault="00F5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4E2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8448537">
    <w:abstractNumId w:val="10"/>
  </w:num>
  <w:num w:numId="2" w16cid:durableId="1383404230">
    <w:abstractNumId w:val="17"/>
  </w:num>
  <w:num w:numId="3" w16cid:durableId="806821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43913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83268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6739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2664">
    <w:abstractNumId w:val="21"/>
  </w:num>
  <w:num w:numId="8" w16cid:durableId="1955281453">
    <w:abstractNumId w:val="16"/>
  </w:num>
  <w:num w:numId="9" w16cid:durableId="1905093932">
    <w:abstractNumId w:val="20"/>
  </w:num>
  <w:num w:numId="10" w16cid:durableId="20070496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3995519">
    <w:abstractNumId w:val="22"/>
  </w:num>
  <w:num w:numId="12" w16cid:durableId="17860010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3669917">
    <w:abstractNumId w:val="18"/>
  </w:num>
  <w:num w:numId="14" w16cid:durableId="17938590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7606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3044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1728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8095130">
    <w:abstractNumId w:val="24"/>
  </w:num>
  <w:num w:numId="19" w16cid:durableId="4612694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171469">
    <w:abstractNumId w:val="14"/>
  </w:num>
  <w:num w:numId="21" w16cid:durableId="358432264">
    <w:abstractNumId w:val="12"/>
  </w:num>
  <w:num w:numId="22" w16cid:durableId="2127582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2267792">
    <w:abstractNumId w:val="15"/>
  </w:num>
  <w:num w:numId="24" w16cid:durableId="1648513433">
    <w:abstractNumId w:val="25"/>
  </w:num>
  <w:num w:numId="25" w16cid:durableId="1115978930">
    <w:abstractNumId w:val="23"/>
  </w:num>
  <w:num w:numId="26" w16cid:durableId="1111976293">
    <w:abstractNumId w:val="19"/>
  </w:num>
  <w:num w:numId="27" w16cid:durableId="825702278">
    <w:abstractNumId w:val="11"/>
  </w:num>
  <w:num w:numId="28" w16cid:durableId="1474905087">
    <w:abstractNumId w:val="26"/>
  </w:num>
  <w:num w:numId="29" w16cid:durableId="1895966942">
    <w:abstractNumId w:val="9"/>
  </w:num>
  <w:num w:numId="30" w16cid:durableId="1119564474">
    <w:abstractNumId w:val="7"/>
  </w:num>
  <w:num w:numId="31" w16cid:durableId="1822455875">
    <w:abstractNumId w:val="6"/>
  </w:num>
  <w:num w:numId="32" w16cid:durableId="1467313330">
    <w:abstractNumId w:val="5"/>
  </w:num>
  <w:num w:numId="33" w16cid:durableId="2117166058">
    <w:abstractNumId w:val="4"/>
  </w:num>
  <w:num w:numId="34" w16cid:durableId="1662583066">
    <w:abstractNumId w:val="8"/>
  </w:num>
  <w:num w:numId="35" w16cid:durableId="1857034728">
    <w:abstractNumId w:val="3"/>
  </w:num>
  <w:num w:numId="36" w16cid:durableId="1735272027">
    <w:abstractNumId w:val="2"/>
  </w:num>
  <w:num w:numId="37" w16cid:durableId="1692878272">
    <w:abstractNumId w:val="1"/>
  </w:num>
  <w:num w:numId="38" w16cid:durableId="1060061334">
    <w:abstractNumId w:val="0"/>
  </w:num>
  <w:num w:numId="39" w16cid:durableId="18438879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87F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5751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67B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2B85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2AA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3C7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0746C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81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4915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71B6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008E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EBA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66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C2FC488"/>
  <w15:docId w15:val="{BA66A115-DAC6-244B-9310-2F921A8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2A2B85"/>
    <w:pPr>
      <w:spacing w:after="120" w:line="270" w:lineRule="atLeast"/>
    </w:pPr>
    <w:rPr>
      <w:rFonts w:ascii="Arial" w:eastAsia="Times" w:hAnsi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A2B85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tabletext">
    <w:name w:val="DHHS table text"/>
    <w:uiPriority w:val="3"/>
    <w:qFormat/>
    <w:rsid w:val="002A2B85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2A2B85"/>
    <w:pPr>
      <w:spacing w:before="80" w:after="60"/>
    </w:pPr>
    <w:rPr>
      <w:rFonts w:ascii="Arial" w:hAnsi="Arial"/>
      <w:b/>
      <w:color w:val="53565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yments/fees-charges-and-penalties-subject-to-automatic-index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andpenalties@dhh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https://dhhsvicgovau.sharepoint.com/:w:/s/health/EZWEl9KhoINOtvdTc0vI6fcB2xFLTwl0vjCf_o6G9rYw3g</Hyperlinkbase>
    <Owner xmlns="48a3a529-1f19-4207-8ed6-979d0ffc11ef">
      <UserInfo>
        <DisplayName>Publishing Studio (DHHS)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</Category>
    <TaxCatchAll xmlns="5ce0f2b5-5be5-4508-bce9-d7011ece0659"/>
    <n344420ac34640a081d490ac6ceaf7fb xmlns="48a3a529-1f19-4207-8ed6-979d0ffc1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74cf097d-f69e-47d4-ab23-b0e64f517102</TermId>
        </TermInfo>
      </Terms>
    </n344420ac34640a081d490ac6ceaf7fb>
  </documentManagement>
</p:properties>
</file>

<file path=customXml/itemProps1.xml><?xml version="1.0" encoding="utf-8"?>
<ds:datastoreItem xmlns:ds="http://schemas.openxmlformats.org/officeDocument/2006/customXml" ds:itemID="{3D39149B-460A-434E-A739-FDC53CE3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edc24be7-85b6-48b8-bec8-bca4fac6ccab"/>
    <ds:schemaRef ds:uri="http://purl.org/dc/elements/1.1/"/>
    <ds:schemaRef ds:uri="http://schemas.microsoft.com/office/2006/metadata/properties"/>
    <ds:schemaRef ds:uri="48a3a529-1f19-4207-8ed6-979d0ffc11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fees and charges for Non-Emergency Patient Transport </vt:lpstr>
    </vt:vector>
  </TitlesOfParts>
  <Manager/>
  <Company>Victoria State Government, Department of Health</Company>
  <LinksUpToDate>false</LinksUpToDate>
  <CharactersWithSpaces>2091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fees and charges for Non-Emergency Patient Transport </dc:title>
  <dc:subject/>
  <dc:creator>Fees and penalties</dc:creator>
  <cp:keywords/>
  <dc:description/>
  <cp:revision>2</cp:revision>
  <cp:lastPrinted>2020-03-30T03:28:00Z</cp:lastPrinted>
  <dcterms:created xsi:type="dcterms:W3CDTF">2023-04-20T01:50:00Z</dcterms:created>
  <dcterms:modified xsi:type="dcterms:W3CDTF">2023-04-20T01:50:00Z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emplateVersion">
    <vt:i4>1</vt:i4>
  </property>
  <property fmtid="{D5CDD505-2E9C-101B-9397-08002B2CF9AE}" pid="11" name="Category">
    <vt:lpwstr>Factsheet</vt:lpwstr>
  </property>
  <property fmtid="{D5CDD505-2E9C-101B-9397-08002B2CF9AE}" pid="12" name="xd_Signature">
    <vt:bool>false</vt:bool>
  </property>
  <property fmtid="{D5CDD505-2E9C-101B-9397-08002B2CF9AE}" pid="13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4" name="Days before next review">
    <vt:r8>365</vt:r8>
  </property>
  <property fmtid="{D5CDD505-2E9C-101B-9397-08002B2CF9AE}" pid="15" name="_ExtendedDescription">
    <vt:lpwstr/>
  </property>
  <property fmtid="{D5CDD505-2E9C-101B-9397-08002B2CF9AE}" pid="16" name="_MarkAsFinal">
    <vt:lpwstr>true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2023-04-20T01:50:38Z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8aa69119-850b-426c-99f2-8b6d2bd6dd7d</vt:lpwstr>
  </property>
  <property fmtid="{D5CDD505-2E9C-101B-9397-08002B2CF9AE}" pid="23" name="MSIP_Label_43e64453-338c-4f93-8a4d-0039a0a41f2a_ContentBits">
    <vt:lpwstr>2</vt:lpwstr>
  </property>
</Properties>
</file>