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2"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52D76C61" w:rsidR="00AD784C" w:rsidRPr="00077DBB" w:rsidRDefault="00077DBB" w:rsidP="00431F42">
            <w:pPr>
              <w:pStyle w:val="Documenttitle"/>
            </w:pPr>
            <w:r w:rsidRPr="5CB11786">
              <w:rPr>
                <w:b w:val="0"/>
                <w:sz w:val="52"/>
                <w:szCs w:val="52"/>
              </w:rPr>
              <w:t xml:space="preserve">Victorian mpox </w:t>
            </w:r>
            <w:r w:rsidR="00113FB0" w:rsidRPr="5CB11786">
              <w:rPr>
                <w:b w:val="0"/>
                <w:sz w:val="52"/>
                <w:szCs w:val="52"/>
              </w:rPr>
              <w:t xml:space="preserve">(monkeypox) </w:t>
            </w:r>
            <w:r w:rsidRPr="5CB11786">
              <w:rPr>
                <w:b w:val="0"/>
                <w:sz w:val="52"/>
                <w:szCs w:val="52"/>
              </w:rPr>
              <w:t xml:space="preserve">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54C2411C" w:rsidR="00077DBB" w:rsidRPr="00E653CD" w:rsidRDefault="00F80459" w:rsidP="1451F742">
            <w:pPr>
              <w:pStyle w:val="Documentsubtitle"/>
            </w:pPr>
            <w:r w:rsidRPr="00E653CD">
              <w:t>G</w:t>
            </w:r>
            <w:r w:rsidR="001560A7" w:rsidRPr="00E653CD">
              <w:t>uidelines</w:t>
            </w:r>
            <w:r w:rsidR="00077DBB" w:rsidRPr="00E653CD">
              <w:t xml:space="preserve"> – Version </w:t>
            </w:r>
            <w:r w:rsidR="00E3402D">
              <w:t>1</w:t>
            </w:r>
            <w:r w:rsidR="007537BF">
              <w:t>2</w:t>
            </w:r>
          </w:p>
          <w:p w14:paraId="6FC28661" w14:textId="5C47D5F3" w:rsidR="00386109" w:rsidRPr="00A1389F" w:rsidRDefault="007537BF" w:rsidP="1451F742">
            <w:pPr>
              <w:pStyle w:val="Documentsubtitle"/>
              <w:rPr>
                <w:highlight w:val="yellow"/>
              </w:rPr>
            </w:pPr>
            <w:r>
              <w:t xml:space="preserve">1 February </w:t>
            </w:r>
            <w:r w:rsidR="00077DBB" w:rsidRPr="00557993">
              <w:t>202</w:t>
            </w:r>
            <w:r w:rsidR="00214DB8">
              <w:t>3</w:t>
            </w:r>
          </w:p>
        </w:tc>
      </w:tr>
      <w:tr w:rsidR="00430393" w14:paraId="62F98E79" w14:textId="77777777" w:rsidTr="5CB11786">
        <w:trPr>
          <w:cantSplit/>
        </w:trPr>
        <w:tc>
          <w:tcPr>
            <w:tcW w:w="0" w:type="auto"/>
          </w:tcPr>
          <w:p w14:paraId="5D88C4FA" w14:textId="77777777" w:rsidR="00430393" w:rsidRDefault="00000000"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footerReference w:type="first" r:id="rId15"/>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0D65034D" w14:textId="38317FC6" w:rsidR="00FD1889"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22340748" w:history="1">
        <w:r w:rsidR="00FD1889" w:rsidRPr="00C27ED0">
          <w:rPr>
            <w:rStyle w:val="Hyperlink"/>
          </w:rPr>
          <w:t>Introduction</w:t>
        </w:r>
        <w:r w:rsidR="00FD1889">
          <w:rPr>
            <w:webHidden/>
          </w:rPr>
          <w:tab/>
        </w:r>
        <w:r w:rsidR="00FD1889">
          <w:rPr>
            <w:webHidden/>
          </w:rPr>
          <w:fldChar w:fldCharType="begin"/>
        </w:r>
        <w:r w:rsidR="00FD1889">
          <w:rPr>
            <w:webHidden/>
          </w:rPr>
          <w:instrText xml:space="preserve"> PAGEREF _Toc122340748 \h </w:instrText>
        </w:r>
        <w:r w:rsidR="00FD1889">
          <w:rPr>
            <w:webHidden/>
          </w:rPr>
        </w:r>
        <w:r w:rsidR="00FD1889">
          <w:rPr>
            <w:webHidden/>
          </w:rPr>
          <w:fldChar w:fldCharType="separate"/>
        </w:r>
        <w:r w:rsidR="00FD1889">
          <w:rPr>
            <w:webHidden/>
          </w:rPr>
          <w:t>4</w:t>
        </w:r>
        <w:r w:rsidR="00FD1889">
          <w:rPr>
            <w:webHidden/>
          </w:rPr>
          <w:fldChar w:fldCharType="end"/>
        </w:r>
      </w:hyperlink>
    </w:p>
    <w:p w14:paraId="773C4A8E" w14:textId="5D5BD4EA" w:rsidR="00FD1889" w:rsidRDefault="00000000">
      <w:pPr>
        <w:pStyle w:val="TOC2"/>
        <w:rPr>
          <w:rFonts w:asciiTheme="minorHAnsi" w:eastAsiaTheme="minorEastAsia" w:hAnsiTheme="minorHAnsi" w:cstheme="minorBidi"/>
          <w:sz w:val="22"/>
          <w:szCs w:val="22"/>
          <w:lang w:eastAsia="en-AU"/>
        </w:rPr>
      </w:pPr>
      <w:hyperlink w:anchor="_Toc122340749" w:history="1">
        <w:r w:rsidR="00FD1889" w:rsidRPr="00C27ED0">
          <w:rPr>
            <w:rStyle w:val="Hyperlink"/>
          </w:rPr>
          <w:t>Background</w:t>
        </w:r>
        <w:r w:rsidR="00FD1889">
          <w:rPr>
            <w:webHidden/>
          </w:rPr>
          <w:tab/>
        </w:r>
        <w:r w:rsidR="00FD1889">
          <w:rPr>
            <w:webHidden/>
          </w:rPr>
          <w:fldChar w:fldCharType="begin"/>
        </w:r>
        <w:r w:rsidR="00FD1889">
          <w:rPr>
            <w:webHidden/>
          </w:rPr>
          <w:instrText xml:space="preserve"> PAGEREF _Toc122340749 \h </w:instrText>
        </w:r>
        <w:r w:rsidR="00FD1889">
          <w:rPr>
            <w:webHidden/>
          </w:rPr>
        </w:r>
        <w:r w:rsidR="00FD1889">
          <w:rPr>
            <w:webHidden/>
          </w:rPr>
          <w:fldChar w:fldCharType="separate"/>
        </w:r>
        <w:r w:rsidR="00FD1889">
          <w:rPr>
            <w:webHidden/>
          </w:rPr>
          <w:t>4</w:t>
        </w:r>
        <w:r w:rsidR="00FD1889">
          <w:rPr>
            <w:webHidden/>
          </w:rPr>
          <w:fldChar w:fldCharType="end"/>
        </w:r>
      </w:hyperlink>
    </w:p>
    <w:p w14:paraId="5F052285" w14:textId="4BFAF37E" w:rsidR="00FD1889" w:rsidRDefault="00000000">
      <w:pPr>
        <w:pStyle w:val="TOC1"/>
        <w:rPr>
          <w:rFonts w:asciiTheme="minorHAnsi" w:eastAsiaTheme="minorEastAsia" w:hAnsiTheme="minorHAnsi" w:cstheme="minorBidi"/>
          <w:b w:val="0"/>
          <w:sz w:val="22"/>
          <w:szCs w:val="22"/>
          <w:lang w:eastAsia="en-AU"/>
        </w:rPr>
      </w:pPr>
      <w:hyperlink w:anchor="_Toc122340750" w:history="1">
        <w:r w:rsidR="00FD1889" w:rsidRPr="00C27ED0">
          <w:rPr>
            <w:rStyle w:val="Hyperlink"/>
          </w:rPr>
          <w:t>Vaccine program</w:t>
        </w:r>
        <w:r w:rsidR="00FD1889">
          <w:rPr>
            <w:webHidden/>
          </w:rPr>
          <w:tab/>
        </w:r>
        <w:r w:rsidR="00FD1889">
          <w:rPr>
            <w:webHidden/>
          </w:rPr>
          <w:fldChar w:fldCharType="begin"/>
        </w:r>
        <w:r w:rsidR="00FD1889">
          <w:rPr>
            <w:webHidden/>
          </w:rPr>
          <w:instrText xml:space="preserve"> PAGEREF _Toc122340750 \h </w:instrText>
        </w:r>
        <w:r w:rsidR="00FD1889">
          <w:rPr>
            <w:webHidden/>
          </w:rPr>
        </w:r>
        <w:r w:rsidR="00FD1889">
          <w:rPr>
            <w:webHidden/>
          </w:rPr>
          <w:fldChar w:fldCharType="separate"/>
        </w:r>
        <w:r w:rsidR="00FD1889">
          <w:rPr>
            <w:webHidden/>
          </w:rPr>
          <w:t>5</w:t>
        </w:r>
        <w:r w:rsidR="00FD1889">
          <w:rPr>
            <w:webHidden/>
          </w:rPr>
          <w:fldChar w:fldCharType="end"/>
        </w:r>
      </w:hyperlink>
    </w:p>
    <w:p w14:paraId="630A28BF" w14:textId="6A54D15D" w:rsidR="00FD1889" w:rsidRDefault="00000000">
      <w:pPr>
        <w:pStyle w:val="TOC2"/>
        <w:rPr>
          <w:rFonts w:asciiTheme="minorHAnsi" w:eastAsiaTheme="minorEastAsia" w:hAnsiTheme="minorHAnsi" w:cstheme="minorBidi"/>
          <w:sz w:val="22"/>
          <w:szCs w:val="22"/>
          <w:lang w:eastAsia="en-AU"/>
        </w:rPr>
      </w:pPr>
      <w:hyperlink w:anchor="_Toc122340751" w:history="1">
        <w:r w:rsidR="00FD1889" w:rsidRPr="00C27ED0">
          <w:rPr>
            <w:rStyle w:val="Hyperlink"/>
          </w:rPr>
          <w:t>Mpox vaccines approved for use in Australia</w:t>
        </w:r>
        <w:r w:rsidR="00FD1889">
          <w:rPr>
            <w:webHidden/>
          </w:rPr>
          <w:tab/>
        </w:r>
        <w:r w:rsidR="00FD1889">
          <w:rPr>
            <w:webHidden/>
          </w:rPr>
          <w:fldChar w:fldCharType="begin"/>
        </w:r>
        <w:r w:rsidR="00FD1889">
          <w:rPr>
            <w:webHidden/>
          </w:rPr>
          <w:instrText xml:space="preserve"> PAGEREF _Toc122340751 \h </w:instrText>
        </w:r>
        <w:r w:rsidR="00FD1889">
          <w:rPr>
            <w:webHidden/>
          </w:rPr>
        </w:r>
        <w:r w:rsidR="00FD1889">
          <w:rPr>
            <w:webHidden/>
          </w:rPr>
          <w:fldChar w:fldCharType="separate"/>
        </w:r>
        <w:r w:rsidR="00FD1889">
          <w:rPr>
            <w:webHidden/>
          </w:rPr>
          <w:t>5</w:t>
        </w:r>
        <w:r w:rsidR="00FD1889">
          <w:rPr>
            <w:webHidden/>
          </w:rPr>
          <w:fldChar w:fldCharType="end"/>
        </w:r>
      </w:hyperlink>
    </w:p>
    <w:p w14:paraId="17CA1ED3" w14:textId="747343D1" w:rsidR="00FD1889" w:rsidRDefault="00000000">
      <w:pPr>
        <w:pStyle w:val="TOC2"/>
        <w:rPr>
          <w:rFonts w:asciiTheme="minorHAnsi" w:eastAsiaTheme="minorEastAsia" w:hAnsiTheme="minorHAnsi" w:cstheme="minorBidi"/>
          <w:sz w:val="22"/>
          <w:szCs w:val="22"/>
          <w:lang w:eastAsia="en-AU"/>
        </w:rPr>
      </w:pPr>
      <w:hyperlink w:anchor="_Toc122340752" w:history="1">
        <w:r w:rsidR="00FD1889" w:rsidRPr="00C27ED0">
          <w:rPr>
            <w:rStyle w:val="Hyperlink"/>
          </w:rPr>
          <w:t>Vaccine priority roll-out</w:t>
        </w:r>
        <w:r w:rsidR="00FD1889">
          <w:rPr>
            <w:webHidden/>
          </w:rPr>
          <w:tab/>
        </w:r>
        <w:r w:rsidR="00FD1889">
          <w:rPr>
            <w:webHidden/>
          </w:rPr>
          <w:fldChar w:fldCharType="begin"/>
        </w:r>
        <w:r w:rsidR="00FD1889">
          <w:rPr>
            <w:webHidden/>
          </w:rPr>
          <w:instrText xml:space="preserve"> PAGEREF _Toc122340752 \h </w:instrText>
        </w:r>
        <w:r w:rsidR="00FD1889">
          <w:rPr>
            <w:webHidden/>
          </w:rPr>
        </w:r>
        <w:r w:rsidR="00FD1889">
          <w:rPr>
            <w:webHidden/>
          </w:rPr>
          <w:fldChar w:fldCharType="separate"/>
        </w:r>
        <w:r w:rsidR="00FD1889">
          <w:rPr>
            <w:webHidden/>
          </w:rPr>
          <w:t>5</w:t>
        </w:r>
        <w:r w:rsidR="00FD1889">
          <w:rPr>
            <w:webHidden/>
          </w:rPr>
          <w:fldChar w:fldCharType="end"/>
        </w:r>
      </w:hyperlink>
    </w:p>
    <w:p w14:paraId="400D4CA9" w14:textId="34A085E2" w:rsidR="00FD1889" w:rsidRDefault="00000000">
      <w:pPr>
        <w:pStyle w:val="TOC1"/>
        <w:rPr>
          <w:rFonts w:asciiTheme="minorHAnsi" w:eastAsiaTheme="minorEastAsia" w:hAnsiTheme="minorHAnsi" w:cstheme="minorBidi"/>
          <w:b w:val="0"/>
          <w:sz w:val="22"/>
          <w:szCs w:val="22"/>
          <w:lang w:eastAsia="en-AU"/>
        </w:rPr>
      </w:pPr>
      <w:hyperlink w:anchor="_Toc122340753" w:history="1">
        <w:r w:rsidR="00FD1889" w:rsidRPr="00C27ED0">
          <w:rPr>
            <w:rStyle w:val="Hyperlink"/>
          </w:rPr>
          <w:t>Mpox vaccines</w:t>
        </w:r>
        <w:r w:rsidR="00FD1889">
          <w:rPr>
            <w:webHidden/>
          </w:rPr>
          <w:tab/>
        </w:r>
        <w:r w:rsidR="00FD1889">
          <w:rPr>
            <w:webHidden/>
          </w:rPr>
          <w:fldChar w:fldCharType="begin"/>
        </w:r>
        <w:r w:rsidR="00FD1889">
          <w:rPr>
            <w:webHidden/>
          </w:rPr>
          <w:instrText xml:space="preserve"> PAGEREF _Toc122340753 \h </w:instrText>
        </w:r>
        <w:r w:rsidR="00FD1889">
          <w:rPr>
            <w:webHidden/>
          </w:rPr>
        </w:r>
        <w:r w:rsidR="00FD1889">
          <w:rPr>
            <w:webHidden/>
          </w:rPr>
          <w:fldChar w:fldCharType="separate"/>
        </w:r>
        <w:r w:rsidR="00FD1889">
          <w:rPr>
            <w:webHidden/>
          </w:rPr>
          <w:t>6</w:t>
        </w:r>
        <w:r w:rsidR="00FD1889">
          <w:rPr>
            <w:webHidden/>
          </w:rPr>
          <w:fldChar w:fldCharType="end"/>
        </w:r>
      </w:hyperlink>
    </w:p>
    <w:p w14:paraId="5942B839" w14:textId="759A89C3" w:rsidR="00FD1889" w:rsidRDefault="00000000">
      <w:pPr>
        <w:pStyle w:val="TOC2"/>
        <w:rPr>
          <w:rFonts w:asciiTheme="minorHAnsi" w:eastAsiaTheme="minorEastAsia" w:hAnsiTheme="minorHAnsi" w:cstheme="minorBidi"/>
          <w:sz w:val="22"/>
          <w:szCs w:val="22"/>
          <w:lang w:eastAsia="en-AU"/>
        </w:rPr>
      </w:pPr>
      <w:hyperlink w:anchor="_Toc122340754" w:history="1">
        <w:r w:rsidR="00FD1889" w:rsidRPr="00C27ED0">
          <w:rPr>
            <w:rStyle w:val="Hyperlink"/>
          </w:rPr>
          <w:t>Mpox vaccines for use in Victoria</w:t>
        </w:r>
        <w:r w:rsidR="00FD1889">
          <w:rPr>
            <w:webHidden/>
          </w:rPr>
          <w:tab/>
        </w:r>
        <w:r w:rsidR="00FD1889">
          <w:rPr>
            <w:webHidden/>
          </w:rPr>
          <w:fldChar w:fldCharType="begin"/>
        </w:r>
        <w:r w:rsidR="00FD1889">
          <w:rPr>
            <w:webHidden/>
          </w:rPr>
          <w:instrText xml:space="preserve"> PAGEREF _Toc122340754 \h </w:instrText>
        </w:r>
        <w:r w:rsidR="00FD1889">
          <w:rPr>
            <w:webHidden/>
          </w:rPr>
        </w:r>
        <w:r w:rsidR="00FD1889">
          <w:rPr>
            <w:webHidden/>
          </w:rPr>
          <w:fldChar w:fldCharType="separate"/>
        </w:r>
        <w:r w:rsidR="00FD1889">
          <w:rPr>
            <w:webHidden/>
          </w:rPr>
          <w:t>6</w:t>
        </w:r>
        <w:r w:rsidR="00FD1889">
          <w:rPr>
            <w:webHidden/>
          </w:rPr>
          <w:fldChar w:fldCharType="end"/>
        </w:r>
      </w:hyperlink>
    </w:p>
    <w:p w14:paraId="6FA251D3" w14:textId="02A728B0" w:rsidR="00FD1889" w:rsidRDefault="00000000">
      <w:pPr>
        <w:pStyle w:val="TOC2"/>
        <w:rPr>
          <w:rFonts w:asciiTheme="minorHAnsi" w:eastAsiaTheme="minorEastAsia" w:hAnsiTheme="minorHAnsi" w:cstheme="minorBidi"/>
          <w:sz w:val="22"/>
          <w:szCs w:val="22"/>
          <w:lang w:eastAsia="en-AU"/>
        </w:rPr>
      </w:pPr>
      <w:hyperlink w:anchor="_Toc122340755" w:history="1">
        <w:r w:rsidR="00FD1889" w:rsidRPr="00C27ED0">
          <w:rPr>
            <w:rStyle w:val="Hyperlink"/>
          </w:rPr>
          <w:t>Contraindications</w:t>
        </w:r>
        <w:r w:rsidR="00FD1889">
          <w:rPr>
            <w:webHidden/>
          </w:rPr>
          <w:tab/>
        </w:r>
        <w:r w:rsidR="00FD1889">
          <w:rPr>
            <w:webHidden/>
          </w:rPr>
          <w:fldChar w:fldCharType="begin"/>
        </w:r>
        <w:r w:rsidR="00FD1889">
          <w:rPr>
            <w:webHidden/>
          </w:rPr>
          <w:instrText xml:space="preserve"> PAGEREF _Toc122340755 \h </w:instrText>
        </w:r>
        <w:r w:rsidR="00FD1889">
          <w:rPr>
            <w:webHidden/>
          </w:rPr>
        </w:r>
        <w:r w:rsidR="00FD1889">
          <w:rPr>
            <w:webHidden/>
          </w:rPr>
          <w:fldChar w:fldCharType="separate"/>
        </w:r>
        <w:r w:rsidR="00FD1889">
          <w:rPr>
            <w:webHidden/>
          </w:rPr>
          <w:t>7</w:t>
        </w:r>
        <w:r w:rsidR="00FD1889">
          <w:rPr>
            <w:webHidden/>
          </w:rPr>
          <w:fldChar w:fldCharType="end"/>
        </w:r>
      </w:hyperlink>
    </w:p>
    <w:p w14:paraId="4129F3CE" w14:textId="454FDBA3" w:rsidR="00FD1889" w:rsidRDefault="00000000">
      <w:pPr>
        <w:pStyle w:val="TOC2"/>
        <w:rPr>
          <w:rFonts w:asciiTheme="minorHAnsi" w:eastAsiaTheme="minorEastAsia" w:hAnsiTheme="minorHAnsi" w:cstheme="minorBidi"/>
          <w:sz w:val="22"/>
          <w:szCs w:val="22"/>
          <w:lang w:eastAsia="en-AU"/>
        </w:rPr>
      </w:pPr>
      <w:hyperlink w:anchor="_Toc122340756" w:history="1">
        <w:r w:rsidR="00FD1889" w:rsidRPr="00C27ED0">
          <w:rPr>
            <w:rStyle w:val="Hyperlink"/>
          </w:rPr>
          <w:t>Precautions</w:t>
        </w:r>
        <w:r w:rsidR="00FD1889">
          <w:rPr>
            <w:webHidden/>
          </w:rPr>
          <w:tab/>
        </w:r>
        <w:r w:rsidR="00FD1889">
          <w:rPr>
            <w:webHidden/>
          </w:rPr>
          <w:fldChar w:fldCharType="begin"/>
        </w:r>
        <w:r w:rsidR="00FD1889">
          <w:rPr>
            <w:webHidden/>
          </w:rPr>
          <w:instrText xml:space="preserve"> PAGEREF _Toc122340756 \h </w:instrText>
        </w:r>
        <w:r w:rsidR="00FD1889">
          <w:rPr>
            <w:webHidden/>
          </w:rPr>
        </w:r>
        <w:r w:rsidR="00FD1889">
          <w:rPr>
            <w:webHidden/>
          </w:rPr>
          <w:fldChar w:fldCharType="separate"/>
        </w:r>
        <w:r w:rsidR="00FD1889">
          <w:rPr>
            <w:webHidden/>
          </w:rPr>
          <w:t>7</w:t>
        </w:r>
        <w:r w:rsidR="00FD1889">
          <w:rPr>
            <w:webHidden/>
          </w:rPr>
          <w:fldChar w:fldCharType="end"/>
        </w:r>
      </w:hyperlink>
    </w:p>
    <w:p w14:paraId="017AEBE6" w14:textId="21D87491" w:rsidR="00FD1889" w:rsidRDefault="00000000">
      <w:pPr>
        <w:pStyle w:val="TOC2"/>
        <w:rPr>
          <w:rFonts w:asciiTheme="minorHAnsi" w:eastAsiaTheme="minorEastAsia" w:hAnsiTheme="minorHAnsi" w:cstheme="minorBidi"/>
          <w:sz w:val="22"/>
          <w:szCs w:val="22"/>
          <w:lang w:eastAsia="en-AU"/>
        </w:rPr>
      </w:pPr>
      <w:hyperlink w:anchor="_Toc122340757" w:history="1">
        <w:r w:rsidR="00FD1889" w:rsidRPr="00C27ED0">
          <w:rPr>
            <w:rStyle w:val="Hyperlink"/>
          </w:rPr>
          <w:t>Route</w:t>
        </w:r>
        <w:r w:rsidR="00FD1889">
          <w:rPr>
            <w:webHidden/>
          </w:rPr>
          <w:tab/>
        </w:r>
        <w:r w:rsidR="00FD1889">
          <w:rPr>
            <w:webHidden/>
          </w:rPr>
          <w:fldChar w:fldCharType="begin"/>
        </w:r>
        <w:r w:rsidR="00FD1889">
          <w:rPr>
            <w:webHidden/>
          </w:rPr>
          <w:instrText xml:space="preserve"> PAGEREF _Toc122340757 \h </w:instrText>
        </w:r>
        <w:r w:rsidR="00FD1889">
          <w:rPr>
            <w:webHidden/>
          </w:rPr>
        </w:r>
        <w:r w:rsidR="00FD1889">
          <w:rPr>
            <w:webHidden/>
          </w:rPr>
          <w:fldChar w:fldCharType="separate"/>
        </w:r>
        <w:r w:rsidR="00FD1889">
          <w:rPr>
            <w:webHidden/>
          </w:rPr>
          <w:t>9</w:t>
        </w:r>
        <w:r w:rsidR="00FD1889">
          <w:rPr>
            <w:webHidden/>
          </w:rPr>
          <w:fldChar w:fldCharType="end"/>
        </w:r>
      </w:hyperlink>
    </w:p>
    <w:p w14:paraId="63B883A9" w14:textId="666E46CD" w:rsidR="00FD1889" w:rsidRDefault="00000000">
      <w:pPr>
        <w:pStyle w:val="TOC2"/>
        <w:rPr>
          <w:rFonts w:asciiTheme="minorHAnsi" w:eastAsiaTheme="minorEastAsia" w:hAnsiTheme="minorHAnsi" w:cstheme="minorBidi"/>
          <w:sz w:val="22"/>
          <w:szCs w:val="22"/>
          <w:lang w:eastAsia="en-AU"/>
        </w:rPr>
      </w:pPr>
      <w:hyperlink w:anchor="_Toc122340758" w:history="1">
        <w:r w:rsidR="00FD1889" w:rsidRPr="00C27ED0">
          <w:rPr>
            <w:rStyle w:val="Hyperlink"/>
          </w:rPr>
          <w:t>Schedule</w:t>
        </w:r>
        <w:r w:rsidR="00FD1889">
          <w:rPr>
            <w:webHidden/>
          </w:rPr>
          <w:tab/>
        </w:r>
        <w:r w:rsidR="00FD1889">
          <w:rPr>
            <w:webHidden/>
          </w:rPr>
          <w:fldChar w:fldCharType="begin"/>
        </w:r>
        <w:r w:rsidR="00FD1889">
          <w:rPr>
            <w:webHidden/>
          </w:rPr>
          <w:instrText xml:space="preserve"> PAGEREF _Toc122340758 \h </w:instrText>
        </w:r>
        <w:r w:rsidR="00FD1889">
          <w:rPr>
            <w:webHidden/>
          </w:rPr>
        </w:r>
        <w:r w:rsidR="00FD1889">
          <w:rPr>
            <w:webHidden/>
          </w:rPr>
          <w:fldChar w:fldCharType="separate"/>
        </w:r>
        <w:r w:rsidR="00FD1889">
          <w:rPr>
            <w:webHidden/>
          </w:rPr>
          <w:t>9</w:t>
        </w:r>
        <w:r w:rsidR="00FD1889">
          <w:rPr>
            <w:webHidden/>
          </w:rPr>
          <w:fldChar w:fldCharType="end"/>
        </w:r>
      </w:hyperlink>
    </w:p>
    <w:p w14:paraId="389FD193" w14:textId="3A8AFA92" w:rsidR="00FD1889" w:rsidRDefault="00000000">
      <w:pPr>
        <w:pStyle w:val="TOC2"/>
        <w:rPr>
          <w:rFonts w:asciiTheme="minorHAnsi" w:eastAsiaTheme="minorEastAsia" w:hAnsiTheme="minorHAnsi" w:cstheme="minorBidi"/>
          <w:sz w:val="22"/>
          <w:szCs w:val="22"/>
          <w:lang w:eastAsia="en-AU"/>
        </w:rPr>
      </w:pPr>
      <w:hyperlink w:anchor="_Toc122340759" w:history="1">
        <w:r w:rsidR="00FD1889" w:rsidRPr="00C27ED0">
          <w:rPr>
            <w:rStyle w:val="Hyperlink"/>
          </w:rPr>
          <w:t>Common side effects</w:t>
        </w:r>
        <w:r w:rsidR="00FD1889">
          <w:rPr>
            <w:webHidden/>
          </w:rPr>
          <w:tab/>
        </w:r>
        <w:r w:rsidR="00FD1889">
          <w:rPr>
            <w:webHidden/>
          </w:rPr>
          <w:fldChar w:fldCharType="begin"/>
        </w:r>
        <w:r w:rsidR="00FD1889">
          <w:rPr>
            <w:webHidden/>
          </w:rPr>
          <w:instrText xml:space="preserve"> PAGEREF _Toc122340759 \h </w:instrText>
        </w:r>
        <w:r w:rsidR="00FD1889">
          <w:rPr>
            <w:webHidden/>
          </w:rPr>
        </w:r>
        <w:r w:rsidR="00FD1889">
          <w:rPr>
            <w:webHidden/>
          </w:rPr>
          <w:fldChar w:fldCharType="separate"/>
        </w:r>
        <w:r w:rsidR="00FD1889">
          <w:rPr>
            <w:webHidden/>
          </w:rPr>
          <w:t>10</w:t>
        </w:r>
        <w:r w:rsidR="00FD1889">
          <w:rPr>
            <w:webHidden/>
          </w:rPr>
          <w:fldChar w:fldCharType="end"/>
        </w:r>
      </w:hyperlink>
    </w:p>
    <w:p w14:paraId="6637B7E9" w14:textId="44F885B1" w:rsidR="00FD1889" w:rsidRDefault="00000000">
      <w:pPr>
        <w:pStyle w:val="TOC1"/>
        <w:rPr>
          <w:rFonts w:asciiTheme="minorHAnsi" w:eastAsiaTheme="minorEastAsia" w:hAnsiTheme="minorHAnsi" w:cstheme="minorBidi"/>
          <w:b w:val="0"/>
          <w:sz w:val="22"/>
          <w:szCs w:val="22"/>
          <w:lang w:eastAsia="en-AU"/>
        </w:rPr>
      </w:pPr>
      <w:hyperlink w:anchor="_Toc122340760" w:history="1">
        <w:r w:rsidR="00FD1889" w:rsidRPr="00C27ED0">
          <w:rPr>
            <w:rStyle w:val="Hyperlink"/>
          </w:rPr>
          <w:t>Other considerations</w:t>
        </w:r>
        <w:r w:rsidR="00FD1889">
          <w:rPr>
            <w:webHidden/>
          </w:rPr>
          <w:tab/>
        </w:r>
        <w:r w:rsidR="00FD1889">
          <w:rPr>
            <w:webHidden/>
          </w:rPr>
          <w:fldChar w:fldCharType="begin"/>
        </w:r>
        <w:r w:rsidR="00FD1889">
          <w:rPr>
            <w:webHidden/>
          </w:rPr>
          <w:instrText xml:space="preserve"> PAGEREF _Toc122340760 \h </w:instrText>
        </w:r>
        <w:r w:rsidR="00FD1889">
          <w:rPr>
            <w:webHidden/>
          </w:rPr>
        </w:r>
        <w:r w:rsidR="00FD1889">
          <w:rPr>
            <w:webHidden/>
          </w:rPr>
          <w:fldChar w:fldCharType="separate"/>
        </w:r>
        <w:r w:rsidR="00FD1889">
          <w:rPr>
            <w:webHidden/>
          </w:rPr>
          <w:t>10</w:t>
        </w:r>
        <w:r w:rsidR="00FD1889">
          <w:rPr>
            <w:webHidden/>
          </w:rPr>
          <w:fldChar w:fldCharType="end"/>
        </w:r>
      </w:hyperlink>
    </w:p>
    <w:p w14:paraId="029758BD" w14:textId="0EAAF670" w:rsidR="00FD1889" w:rsidRDefault="00000000">
      <w:pPr>
        <w:pStyle w:val="TOC2"/>
        <w:rPr>
          <w:rFonts w:asciiTheme="minorHAnsi" w:eastAsiaTheme="minorEastAsia" w:hAnsiTheme="minorHAnsi" w:cstheme="minorBidi"/>
          <w:sz w:val="22"/>
          <w:szCs w:val="22"/>
          <w:lang w:eastAsia="en-AU"/>
        </w:rPr>
      </w:pPr>
      <w:hyperlink w:anchor="_Toc122340761" w:history="1">
        <w:r w:rsidR="00FD1889" w:rsidRPr="00C27ED0">
          <w:rPr>
            <w:rStyle w:val="Hyperlink"/>
          </w:rPr>
          <w:t>Previous smallpox vaccination</w:t>
        </w:r>
        <w:r w:rsidR="00FD1889">
          <w:rPr>
            <w:webHidden/>
          </w:rPr>
          <w:tab/>
        </w:r>
        <w:r w:rsidR="00FD1889">
          <w:rPr>
            <w:webHidden/>
          </w:rPr>
          <w:fldChar w:fldCharType="begin"/>
        </w:r>
        <w:r w:rsidR="00FD1889">
          <w:rPr>
            <w:webHidden/>
          </w:rPr>
          <w:instrText xml:space="preserve"> PAGEREF _Toc122340761 \h </w:instrText>
        </w:r>
        <w:r w:rsidR="00FD1889">
          <w:rPr>
            <w:webHidden/>
          </w:rPr>
        </w:r>
        <w:r w:rsidR="00FD1889">
          <w:rPr>
            <w:webHidden/>
          </w:rPr>
          <w:fldChar w:fldCharType="separate"/>
        </w:r>
        <w:r w:rsidR="00FD1889">
          <w:rPr>
            <w:webHidden/>
          </w:rPr>
          <w:t>10</w:t>
        </w:r>
        <w:r w:rsidR="00FD1889">
          <w:rPr>
            <w:webHidden/>
          </w:rPr>
          <w:fldChar w:fldCharType="end"/>
        </w:r>
      </w:hyperlink>
    </w:p>
    <w:p w14:paraId="0333FE24" w14:textId="59D448C3" w:rsidR="00FD1889" w:rsidRDefault="00000000">
      <w:pPr>
        <w:pStyle w:val="TOC2"/>
        <w:rPr>
          <w:rFonts w:asciiTheme="minorHAnsi" w:eastAsiaTheme="minorEastAsia" w:hAnsiTheme="minorHAnsi" w:cstheme="minorBidi"/>
          <w:sz w:val="22"/>
          <w:szCs w:val="22"/>
          <w:lang w:eastAsia="en-AU"/>
        </w:rPr>
      </w:pPr>
      <w:hyperlink w:anchor="_Toc122340762" w:history="1">
        <w:r w:rsidR="00FD1889" w:rsidRPr="00C27ED0">
          <w:rPr>
            <w:rStyle w:val="Hyperlink"/>
          </w:rPr>
          <w:t>Interval after infection</w:t>
        </w:r>
        <w:r w:rsidR="00FD1889">
          <w:rPr>
            <w:webHidden/>
          </w:rPr>
          <w:tab/>
        </w:r>
        <w:r w:rsidR="00FD1889">
          <w:rPr>
            <w:webHidden/>
          </w:rPr>
          <w:fldChar w:fldCharType="begin"/>
        </w:r>
        <w:r w:rsidR="00FD1889">
          <w:rPr>
            <w:webHidden/>
          </w:rPr>
          <w:instrText xml:space="preserve"> PAGEREF _Toc122340762 \h </w:instrText>
        </w:r>
        <w:r w:rsidR="00FD1889">
          <w:rPr>
            <w:webHidden/>
          </w:rPr>
        </w:r>
        <w:r w:rsidR="00FD1889">
          <w:rPr>
            <w:webHidden/>
          </w:rPr>
          <w:fldChar w:fldCharType="separate"/>
        </w:r>
        <w:r w:rsidR="00FD1889">
          <w:rPr>
            <w:webHidden/>
          </w:rPr>
          <w:t>10</w:t>
        </w:r>
        <w:r w:rsidR="00FD1889">
          <w:rPr>
            <w:webHidden/>
          </w:rPr>
          <w:fldChar w:fldCharType="end"/>
        </w:r>
      </w:hyperlink>
    </w:p>
    <w:p w14:paraId="7CA95663" w14:textId="17B4D34D" w:rsidR="00FD1889" w:rsidRDefault="00000000">
      <w:pPr>
        <w:pStyle w:val="TOC2"/>
        <w:rPr>
          <w:rFonts w:asciiTheme="minorHAnsi" w:eastAsiaTheme="minorEastAsia" w:hAnsiTheme="minorHAnsi" w:cstheme="minorBidi"/>
          <w:sz w:val="22"/>
          <w:szCs w:val="22"/>
          <w:lang w:eastAsia="en-AU"/>
        </w:rPr>
      </w:pPr>
      <w:hyperlink w:anchor="_Toc122340763" w:history="1">
        <w:r w:rsidR="00FD1889" w:rsidRPr="00C27ED0">
          <w:rPr>
            <w:rStyle w:val="Hyperlink"/>
          </w:rPr>
          <w:t>Coadministration</w:t>
        </w:r>
        <w:r w:rsidR="00FD1889">
          <w:rPr>
            <w:webHidden/>
          </w:rPr>
          <w:tab/>
        </w:r>
        <w:r w:rsidR="00FD1889">
          <w:rPr>
            <w:webHidden/>
          </w:rPr>
          <w:fldChar w:fldCharType="begin"/>
        </w:r>
        <w:r w:rsidR="00FD1889">
          <w:rPr>
            <w:webHidden/>
          </w:rPr>
          <w:instrText xml:space="preserve"> PAGEREF _Toc122340763 \h </w:instrText>
        </w:r>
        <w:r w:rsidR="00FD1889">
          <w:rPr>
            <w:webHidden/>
          </w:rPr>
        </w:r>
        <w:r w:rsidR="00FD1889">
          <w:rPr>
            <w:webHidden/>
          </w:rPr>
          <w:fldChar w:fldCharType="separate"/>
        </w:r>
        <w:r w:rsidR="00FD1889">
          <w:rPr>
            <w:webHidden/>
          </w:rPr>
          <w:t>11</w:t>
        </w:r>
        <w:r w:rsidR="00FD1889">
          <w:rPr>
            <w:webHidden/>
          </w:rPr>
          <w:fldChar w:fldCharType="end"/>
        </w:r>
      </w:hyperlink>
    </w:p>
    <w:p w14:paraId="0764045B" w14:textId="5CF64B2B" w:rsidR="00FD1889" w:rsidRDefault="00000000">
      <w:pPr>
        <w:pStyle w:val="TOC2"/>
        <w:rPr>
          <w:rFonts w:asciiTheme="minorHAnsi" w:eastAsiaTheme="minorEastAsia" w:hAnsiTheme="minorHAnsi" w:cstheme="minorBidi"/>
          <w:sz w:val="22"/>
          <w:szCs w:val="22"/>
          <w:lang w:eastAsia="en-AU"/>
        </w:rPr>
      </w:pPr>
      <w:hyperlink w:anchor="_Toc122340764" w:history="1">
        <w:r w:rsidR="00FD1889" w:rsidRPr="00C27ED0">
          <w:rPr>
            <w:rStyle w:val="Hyperlink"/>
          </w:rPr>
          <w:t>Completing schedules commenced overseas</w:t>
        </w:r>
        <w:r w:rsidR="00FD1889">
          <w:rPr>
            <w:webHidden/>
          </w:rPr>
          <w:tab/>
        </w:r>
        <w:r w:rsidR="00FD1889">
          <w:rPr>
            <w:webHidden/>
          </w:rPr>
          <w:fldChar w:fldCharType="begin"/>
        </w:r>
        <w:r w:rsidR="00FD1889">
          <w:rPr>
            <w:webHidden/>
          </w:rPr>
          <w:instrText xml:space="preserve"> PAGEREF _Toc122340764 \h </w:instrText>
        </w:r>
        <w:r w:rsidR="00FD1889">
          <w:rPr>
            <w:webHidden/>
          </w:rPr>
        </w:r>
        <w:r w:rsidR="00FD1889">
          <w:rPr>
            <w:webHidden/>
          </w:rPr>
          <w:fldChar w:fldCharType="separate"/>
        </w:r>
        <w:r w:rsidR="00FD1889">
          <w:rPr>
            <w:webHidden/>
          </w:rPr>
          <w:t>11</w:t>
        </w:r>
        <w:r w:rsidR="00FD1889">
          <w:rPr>
            <w:webHidden/>
          </w:rPr>
          <w:fldChar w:fldCharType="end"/>
        </w:r>
      </w:hyperlink>
    </w:p>
    <w:p w14:paraId="2307D4BA" w14:textId="62EC86F2" w:rsidR="00FD1889" w:rsidRDefault="00000000">
      <w:pPr>
        <w:pStyle w:val="TOC2"/>
        <w:rPr>
          <w:rFonts w:asciiTheme="minorHAnsi" w:eastAsiaTheme="minorEastAsia" w:hAnsiTheme="minorHAnsi" w:cstheme="minorBidi"/>
          <w:sz w:val="22"/>
          <w:szCs w:val="22"/>
          <w:lang w:eastAsia="en-AU"/>
        </w:rPr>
      </w:pPr>
      <w:hyperlink w:anchor="_Toc122340765" w:history="1">
        <w:r w:rsidR="00FD1889" w:rsidRPr="00C27ED0">
          <w:rPr>
            <w:rStyle w:val="Hyperlink"/>
            <w:rFonts w:eastAsia="Arial Narrow" w:cs="Arial Narrow"/>
            <w:lang w:val="en-US"/>
          </w:rPr>
          <w:t>Vaccine administration errors</w:t>
        </w:r>
        <w:r w:rsidR="00FD1889">
          <w:rPr>
            <w:webHidden/>
          </w:rPr>
          <w:tab/>
        </w:r>
        <w:r w:rsidR="00FD1889">
          <w:rPr>
            <w:webHidden/>
          </w:rPr>
          <w:fldChar w:fldCharType="begin"/>
        </w:r>
        <w:r w:rsidR="00FD1889">
          <w:rPr>
            <w:webHidden/>
          </w:rPr>
          <w:instrText xml:space="preserve"> PAGEREF _Toc122340765 \h </w:instrText>
        </w:r>
        <w:r w:rsidR="00FD1889">
          <w:rPr>
            <w:webHidden/>
          </w:rPr>
        </w:r>
        <w:r w:rsidR="00FD1889">
          <w:rPr>
            <w:webHidden/>
          </w:rPr>
          <w:fldChar w:fldCharType="separate"/>
        </w:r>
        <w:r w:rsidR="00FD1889">
          <w:rPr>
            <w:webHidden/>
          </w:rPr>
          <w:t>11</w:t>
        </w:r>
        <w:r w:rsidR="00FD1889">
          <w:rPr>
            <w:webHidden/>
          </w:rPr>
          <w:fldChar w:fldCharType="end"/>
        </w:r>
      </w:hyperlink>
    </w:p>
    <w:p w14:paraId="7E78A9D9" w14:textId="3FFF3B8E" w:rsidR="00FD1889" w:rsidRDefault="00000000">
      <w:pPr>
        <w:pStyle w:val="TOC1"/>
        <w:rPr>
          <w:rFonts w:asciiTheme="minorHAnsi" w:eastAsiaTheme="minorEastAsia" w:hAnsiTheme="minorHAnsi" w:cstheme="minorBidi"/>
          <w:b w:val="0"/>
          <w:sz w:val="22"/>
          <w:szCs w:val="22"/>
          <w:lang w:eastAsia="en-AU"/>
        </w:rPr>
      </w:pPr>
      <w:hyperlink w:anchor="_Toc122340766" w:history="1">
        <w:r w:rsidR="00FD1889" w:rsidRPr="00C27ED0">
          <w:rPr>
            <w:rStyle w:val="Hyperlink"/>
          </w:rPr>
          <w:t>Vaccine Logistics</w:t>
        </w:r>
        <w:r w:rsidR="00FD1889">
          <w:rPr>
            <w:webHidden/>
          </w:rPr>
          <w:tab/>
        </w:r>
        <w:r w:rsidR="00FD1889">
          <w:rPr>
            <w:webHidden/>
          </w:rPr>
          <w:fldChar w:fldCharType="begin"/>
        </w:r>
        <w:r w:rsidR="00FD1889">
          <w:rPr>
            <w:webHidden/>
          </w:rPr>
          <w:instrText xml:space="preserve"> PAGEREF _Toc122340766 \h </w:instrText>
        </w:r>
        <w:r w:rsidR="00FD1889">
          <w:rPr>
            <w:webHidden/>
          </w:rPr>
        </w:r>
        <w:r w:rsidR="00FD1889">
          <w:rPr>
            <w:webHidden/>
          </w:rPr>
          <w:fldChar w:fldCharType="separate"/>
        </w:r>
        <w:r w:rsidR="00FD1889">
          <w:rPr>
            <w:webHidden/>
          </w:rPr>
          <w:t>12</w:t>
        </w:r>
        <w:r w:rsidR="00FD1889">
          <w:rPr>
            <w:webHidden/>
          </w:rPr>
          <w:fldChar w:fldCharType="end"/>
        </w:r>
      </w:hyperlink>
    </w:p>
    <w:p w14:paraId="7618F891" w14:textId="4409E4D5" w:rsidR="00FD1889" w:rsidRDefault="00000000">
      <w:pPr>
        <w:pStyle w:val="TOC2"/>
        <w:rPr>
          <w:rFonts w:asciiTheme="minorHAnsi" w:eastAsiaTheme="minorEastAsia" w:hAnsiTheme="minorHAnsi" w:cstheme="minorBidi"/>
          <w:sz w:val="22"/>
          <w:szCs w:val="22"/>
          <w:lang w:eastAsia="en-AU"/>
        </w:rPr>
      </w:pPr>
      <w:hyperlink w:anchor="_Toc122340767" w:history="1">
        <w:r w:rsidR="00FD1889" w:rsidRPr="00C27ED0">
          <w:rPr>
            <w:rStyle w:val="Hyperlink"/>
          </w:rPr>
          <w:t>Presentation</w:t>
        </w:r>
        <w:r w:rsidR="00FD1889">
          <w:rPr>
            <w:webHidden/>
          </w:rPr>
          <w:tab/>
        </w:r>
        <w:r w:rsidR="00FD1889">
          <w:rPr>
            <w:webHidden/>
          </w:rPr>
          <w:fldChar w:fldCharType="begin"/>
        </w:r>
        <w:r w:rsidR="00FD1889">
          <w:rPr>
            <w:webHidden/>
          </w:rPr>
          <w:instrText xml:space="preserve"> PAGEREF _Toc122340767 \h </w:instrText>
        </w:r>
        <w:r w:rsidR="00FD1889">
          <w:rPr>
            <w:webHidden/>
          </w:rPr>
        </w:r>
        <w:r w:rsidR="00FD1889">
          <w:rPr>
            <w:webHidden/>
          </w:rPr>
          <w:fldChar w:fldCharType="separate"/>
        </w:r>
        <w:r w:rsidR="00FD1889">
          <w:rPr>
            <w:webHidden/>
          </w:rPr>
          <w:t>12</w:t>
        </w:r>
        <w:r w:rsidR="00FD1889">
          <w:rPr>
            <w:webHidden/>
          </w:rPr>
          <w:fldChar w:fldCharType="end"/>
        </w:r>
      </w:hyperlink>
    </w:p>
    <w:p w14:paraId="3704D3EE" w14:textId="327AD186" w:rsidR="00FD1889" w:rsidRDefault="00000000">
      <w:pPr>
        <w:pStyle w:val="TOC2"/>
        <w:rPr>
          <w:rFonts w:asciiTheme="minorHAnsi" w:eastAsiaTheme="minorEastAsia" w:hAnsiTheme="minorHAnsi" w:cstheme="minorBidi"/>
          <w:sz w:val="22"/>
          <w:szCs w:val="22"/>
          <w:lang w:eastAsia="en-AU"/>
        </w:rPr>
      </w:pPr>
      <w:hyperlink w:anchor="_Toc122340768" w:history="1">
        <w:r w:rsidR="00FD1889" w:rsidRPr="00C27ED0">
          <w:rPr>
            <w:rStyle w:val="Hyperlink"/>
          </w:rPr>
          <w:t>Storage</w:t>
        </w:r>
        <w:r w:rsidR="00FD1889">
          <w:rPr>
            <w:webHidden/>
          </w:rPr>
          <w:tab/>
        </w:r>
        <w:r w:rsidR="00FD1889">
          <w:rPr>
            <w:webHidden/>
          </w:rPr>
          <w:fldChar w:fldCharType="begin"/>
        </w:r>
        <w:r w:rsidR="00FD1889">
          <w:rPr>
            <w:webHidden/>
          </w:rPr>
          <w:instrText xml:space="preserve"> PAGEREF _Toc122340768 \h </w:instrText>
        </w:r>
        <w:r w:rsidR="00FD1889">
          <w:rPr>
            <w:webHidden/>
          </w:rPr>
        </w:r>
        <w:r w:rsidR="00FD1889">
          <w:rPr>
            <w:webHidden/>
          </w:rPr>
          <w:fldChar w:fldCharType="separate"/>
        </w:r>
        <w:r w:rsidR="00FD1889">
          <w:rPr>
            <w:webHidden/>
          </w:rPr>
          <w:t>12</w:t>
        </w:r>
        <w:r w:rsidR="00FD1889">
          <w:rPr>
            <w:webHidden/>
          </w:rPr>
          <w:fldChar w:fldCharType="end"/>
        </w:r>
      </w:hyperlink>
    </w:p>
    <w:p w14:paraId="4F4311AD" w14:textId="33D24A18" w:rsidR="00FD1889" w:rsidRDefault="00000000">
      <w:pPr>
        <w:pStyle w:val="TOC2"/>
        <w:rPr>
          <w:rFonts w:asciiTheme="minorHAnsi" w:eastAsiaTheme="minorEastAsia" w:hAnsiTheme="minorHAnsi" w:cstheme="minorBidi"/>
          <w:sz w:val="22"/>
          <w:szCs w:val="22"/>
          <w:lang w:eastAsia="en-AU"/>
        </w:rPr>
      </w:pPr>
      <w:hyperlink w:anchor="_Toc122340769" w:history="1">
        <w:r w:rsidR="00FD1889" w:rsidRPr="00C27ED0">
          <w:rPr>
            <w:rStyle w:val="Hyperlink"/>
          </w:rPr>
          <w:t>Vaccine procurement</w:t>
        </w:r>
        <w:r w:rsidR="00FD1889">
          <w:rPr>
            <w:webHidden/>
          </w:rPr>
          <w:tab/>
        </w:r>
        <w:r w:rsidR="00FD1889">
          <w:rPr>
            <w:webHidden/>
          </w:rPr>
          <w:fldChar w:fldCharType="begin"/>
        </w:r>
        <w:r w:rsidR="00FD1889">
          <w:rPr>
            <w:webHidden/>
          </w:rPr>
          <w:instrText xml:space="preserve"> PAGEREF _Toc122340769 \h </w:instrText>
        </w:r>
        <w:r w:rsidR="00FD1889">
          <w:rPr>
            <w:webHidden/>
          </w:rPr>
        </w:r>
        <w:r w:rsidR="00FD1889">
          <w:rPr>
            <w:webHidden/>
          </w:rPr>
          <w:fldChar w:fldCharType="separate"/>
        </w:r>
        <w:r w:rsidR="00FD1889">
          <w:rPr>
            <w:webHidden/>
          </w:rPr>
          <w:t>12</w:t>
        </w:r>
        <w:r w:rsidR="00FD1889">
          <w:rPr>
            <w:webHidden/>
          </w:rPr>
          <w:fldChar w:fldCharType="end"/>
        </w:r>
      </w:hyperlink>
    </w:p>
    <w:p w14:paraId="5B09E6DF" w14:textId="0DA80B06" w:rsidR="00FD1889" w:rsidRDefault="00000000">
      <w:pPr>
        <w:pStyle w:val="TOC2"/>
        <w:rPr>
          <w:rFonts w:asciiTheme="minorHAnsi" w:eastAsiaTheme="minorEastAsia" w:hAnsiTheme="minorHAnsi" w:cstheme="minorBidi"/>
          <w:sz w:val="22"/>
          <w:szCs w:val="22"/>
          <w:lang w:eastAsia="en-AU"/>
        </w:rPr>
      </w:pPr>
      <w:hyperlink w:anchor="_Toc122340770" w:history="1">
        <w:r w:rsidR="00FD1889" w:rsidRPr="00C27ED0">
          <w:rPr>
            <w:rStyle w:val="Hyperlink"/>
          </w:rPr>
          <w:t>Vaccine wastage reporting</w:t>
        </w:r>
        <w:r w:rsidR="00FD1889">
          <w:rPr>
            <w:webHidden/>
          </w:rPr>
          <w:tab/>
        </w:r>
        <w:r w:rsidR="00FD1889">
          <w:rPr>
            <w:webHidden/>
          </w:rPr>
          <w:fldChar w:fldCharType="begin"/>
        </w:r>
        <w:r w:rsidR="00FD1889">
          <w:rPr>
            <w:webHidden/>
          </w:rPr>
          <w:instrText xml:space="preserve"> PAGEREF _Toc122340770 \h </w:instrText>
        </w:r>
        <w:r w:rsidR="00FD1889">
          <w:rPr>
            <w:webHidden/>
          </w:rPr>
        </w:r>
        <w:r w:rsidR="00FD1889">
          <w:rPr>
            <w:webHidden/>
          </w:rPr>
          <w:fldChar w:fldCharType="separate"/>
        </w:r>
        <w:r w:rsidR="00FD1889">
          <w:rPr>
            <w:webHidden/>
          </w:rPr>
          <w:t>12</w:t>
        </w:r>
        <w:r w:rsidR="00FD1889">
          <w:rPr>
            <w:webHidden/>
          </w:rPr>
          <w:fldChar w:fldCharType="end"/>
        </w:r>
      </w:hyperlink>
    </w:p>
    <w:p w14:paraId="25EAEEBA" w14:textId="4C27B7E2" w:rsidR="00FD1889" w:rsidRDefault="00000000">
      <w:pPr>
        <w:pStyle w:val="TOC1"/>
        <w:rPr>
          <w:rFonts w:asciiTheme="minorHAnsi" w:eastAsiaTheme="minorEastAsia" w:hAnsiTheme="minorHAnsi" w:cstheme="minorBidi"/>
          <w:b w:val="0"/>
          <w:sz w:val="22"/>
          <w:szCs w:val="22"/>
          <w:lang w:eastAsia="en-AU"/>
        </w:rPr>
      </w:pPr>
      <w:hyperlink w:anchor="_Toc122340771" w:history="1">
        <w:r w:rsidR="00FD1889" w:rsidRPr="00C27ED0">
          <w:rPr>
            <w:rStyle w:val="Hyperlink"/>
          </w:rPr>
          <w:t>Cold chain management</w:t>
        </w:r>
        <w:r w:rsidR="00FD1889">
          <w:rPr>
            <w:webHidden/>
          </w:rPr>
          <w:tab/>
        </w:r>
        <w:r w:rsidR="00FD1889">
          <w:rPr>
            <w:webHidden/>
          </w:rPr>
          <w:fldChar w:fldCharType="begin"/>
        </w:r>
        <w:r w:rsidR="00FD1889">
          <w:rPr>
            <w:webHidden/>
          </w:rPr>
          <w:instrText xml:space="preserve"> PAGEREF _Toc122340771 \h </w:instrText>
        </w:r>
        <w:r w:rsidR="00FD1889">
          <w:rPr>
            <w:webHidden/>
          </w:rPr>
        </w:r>
        <w:r w:rsidR="00FD1889">
          <w:rPr>
            <w:webHidden/>
          </w:rPr>
          <w:fldChar w:fldCharType="separate"/>
        </w:r>
        <w:r w:rsidR="00FD1889">
          <w:rPr>
            <w:webHidden/>
          </w:rPr>
          <w:t>13</w:t>
        </w:r>
        <w:r w:rsidR="00FD1889">
          <w:rPr>
            <w:webHidden/>
          </w:rPr>
          <w:fldChar w:fldCharType="end"/>
        </w:r>
      </w:hyperlink>
    </w:p>
    <w:p w14:paraId="40D516C2" w14:textId="3A953EA8" w:rsidR="00FD1889" w:rsidRDefault="00000000">
      <w:pPr>
        <w:pStyle w:val="TOC2"/>
        <w:rPr>
          <w:rFonts w:asciiTheme="minorHAnsi" w:eastAsiaTheme="minorEastAsia" w:hAnsiTheme="minorHAnsi" w:cstheme="minorBidi"/>
          <w:sz w:val="22"/>
          <w:szCs w:val="22"/>
          <w:lang w:eastAsia="en-AU"/>
        </w:rPr>
      </w:pPr>
      <w:hyperlink w:anchor="_Toc122340772" w:history="1">
        <w:r w:rsidR="00FD1889" w:rsidRPr="00C27ED0">
          <w:rPr>
            <w:rStyle w:val="Hyperlink"/>
          </w:rPr>
          <w:t>Identifying a cold chain breach</w:t>
        </w:r>
        <w:r w:rsidR="00FD1889">
          <w:rPr>
            <w:webHidden/>
          </w:rPr>
          <w:tab/>
        </w:r>
        <w:r w:rsidR="00FD1889">
          <w:rPr>
            <w:webHidden/>
          </w:rPr>
          <w:fldChar w:fldCharType="begin"/>
        </w:r>
        <w:r w:rsidR="00FD1889">
          <w:rPr>
            <w:webHidden/>
          </w:rPr>
          <w:instrText xml:space="preserve"> PAGEREF _Toc122340772 \h </w:instrText>
        </w:r>
        <w:r w:rsidR="00FD1889">
          <w:rPr>
            <w:webHidden/>
          </w:rPr>
        </w:r>
        <w:r w:rsidR="00FD1889">
          <w:rPr>
            <w:webHidden/>
          </w:rPr>
          <w:fldChar w:fldCharType="separate"/>
        </w:r>
        <w:r w:rsidR="00FD1889">
          <w:rPr>
            <w:webHidden/>
          </w:rPr>
          <w:t>13</w:t>
        </w:r>
        <w:r w:rsidR="00FD1889">
          <w:rPr>
            <w:webHidden/>
          </w:rPr>
          <w:fldChar w:fldCharType="end"/>
        </w:r>
      </w:hyperlink>
    </w:p>
    <w:p w14:paraId="49D6EB5D" w14:textId="2CA44713" w:rsidR="00FD1889" w:rsidRDefault="00000000">
      <w:pPr>
        <w:pStyle w:val="TOC2"/>
        <w:rPr>
          <w:rFonts w:asciiTheme="minorHAnsi" w:eastAsiaTheme="minorEastAsia" w:hAnsiTheme="minorHAnsi" w:cstheme="minorBidi"/>
          <w:sz w:val="22"/>
          <w:szCs w:val="22"/>
          <w:lang w:eastAsia="en-AU"/>
        </w:rPr>
      </w:pPr>
      <w:hyperlink w:anchor="_Toc122340773" w:history="1">
        <w:r w:rsidR="00FD1889" w:rsidRPr="00C27ED0">
          <w:rPr>
            <w:rStyle w:val="Hyperlink"/>
          </w:rPr>
          <w:t>Reporting a vaccine cold chain breach</w:t>
        </w:r>
        <w:r w:rsidR="00FD1889">
          <w:rPr>
            <w:webHidden/>
          </w:rPr>
          <w:tab/>
        </w:r>
        <w:r w:rsidR="00FD1889">
          <w:rPr>
            <w:webHidden/>
          </w:rPr>
          <w:fldChar w:fldCharType="begin"/>
        </w:r>
        <w:r w:rsidR="00FD1889">
          <w:rPr>
            <w:webHidden/>
          </w:rPr>
          <w:instrText xml:space="preserve"> PAGEREF _Toc122340773 \h </w:instrText>
        </w:r>
        <w:r w:rsidR="00FD1889">
          <w:rPr>
            <w:webHidden/>
          </w:rPr>
        </w:r>
        <w:r w:rsidR="00FD1889">
          <w:rPr>
            <w:webHidden/>
          </w:rPr>
          <w:fldChar w:fldCharType="separate"/>
        </w:r>
        <w:r w:rsidR="00FD1889">
          <w:rPr>
            <w:webHidden/>
          </w:rPr>
          <w:t>13</w:t>
        </w:r>
        <w:r w:rsidR="00FD1889">
          <w:rPr>
            <w:webHidden/>
          </w:rPr>
          <w:fldChar w:fldCharType="end"/>
        </w:r>
      </w:hyperlink>
    </w:p>
    <w:p w14:paraId="55103549" w14:textId="2582CDC7" w:rsidR="00FD1889" w:rsidRDefault="00000000">
      <w:pPr>
        <w:pStyle w:val="TOC1"/>
        <w:rPr>
          <w:rFonts w:asciiTheme="minorHAnsi" w:eastAsiaTheme="minorEastAsia" w:hAnsiTheme="minorHAnsi" w:cstheme="minorBidi"/>
          <w:b w:val="0"/>
          <w:sz w:val="22"/>
          <w:szCs w:val="22"/>
          <w:lang w:eastAsia="en-AU"/>
        </w:rPr>
      </w:pPr>
      <w:hyperlink w:anchor="_Toc122340774" w:history="1">
        <w:r w:rsidR="00FD1889" w:rsidRPr="00C27ED0">
          <w:rPr>
            <w:rStyle w:val="Hyperlink"/>
          </w:rPr>
          <w:t>Clinical Guidelines</w:t>
        </w:r>
        <w:r w:rsidR="00FD1889">
          <w:rPr>
            <w:webHidden/>
          </w:rPr>
          <w:tab/>
        </w:r>
        <w:r w:rsidR="00FD1889">
          <w:rPr>
            <w:webHidden/>
          </w:rPr>
          <w:fldChar w:fldCharType="begin"/>
        </w:r>
        <w:r w:rsidR="00FD1889">
          <w:rPr>
            <w:webHidden/>
          </w:rPr>
          <w:instrText xml:space="preserve"> PAGEREF _Toc122340774 \h </w:instrText>
        </w:r>
        <w:r w:rsidR="00FD1889">
          <w:rPr>
            <w:webHidden/>
          </w:rPr>
        </w:r>
        <w:r w:rsidR="00FD1889">
          <w:rPr>
            <w:webHidden/>
          </w:rPr>
          <w:fldChar w:fldCharType="separate"/>
        </w:r>
        <w:r w:rsidR="00FD1889">
          <w:rPr>
            <w:webHidden/>
          </w:rPr>
          <w:t>14</w:t>
        </w:r>
        <w:r w:rsidR="00FD1889">
          <w:rPr>
            <w:webHidden/>
          </w:rPr>
          <w:fldChar w:fldCharType="end"/>
        </w:r>
      </w:hyperlink>
    </w:p>
    <w:p w14:paraId="69D91DF0" w14:textId="3EF9BE62" w:rsidR="00FD1889" w:rsidRDefault="00000000">
      <w:pPr>
        <w:pStyle w:val="TOC2"/>
        <w:rPr>
          <w:rFonts w:asciiTheme="minorHAnsi" w:eastAsiaTheme="minorEastAsia" w:hAnsiTheme="minorHAnsi" w:cstheme="minorBidi"/>
          <w:sz w:val="22"/>
          <w:szCs w:val="22"/>
          <w:lang w:eastAsia="en-AU"/>
        </w:rPr>
      </w:pPr>
      <w:hyperlink w:anchor="_Toc122340775" w:history="1">
        <w:r w:rsidR="00FD1889" w:rsidRPr="00C27ED0">
          <w:rPr>
            <w:rStyle w:val="Hyperlink"/>
          </w:rPr>
          <w:t>Infection prevention and control</w:t>
        </w:r>
        <w:r w:rsidR="00FD1889">
          <w:rPr>
            <w:webHidden/>
          </w:rPr>
          <w:tab/>
        </w:r>
        <w:r w:rsidR="00FD1889">
          <w:rPr>
            <w:webHidden/>
          </w:rPr>
          <w:fldChar w:fldCharType="begin"/>
        </w:r>
        <w:r w:rsidR="00FD1889">
          <w:rPr>
            <w:webHidden/>
          </w:rPr>
          <w:instrText xml:space="preserve"> PAGEREF _Toc122340775 \h </w:instrText>
        </w:r>
        <w:r w:rsidR="00FD1889">
          <w:rPr>
            <w:webHidden/>
          </w:rPr>
        </w:r>
        <w:r w:rsidR="00FD1889">
          <w:rPr>
            <w:webHidden/>
          </w:rPr>
          <w:fldChar w:fldCharType="separate"/>
        </w:r>
        <w:r w:rsidR="00FD1889">
          <w:rPr>
            <w:webHidden/>
          </w:rPr>
          <w:t>14</w:t>
        </w:r>
        <w:r w:rsidR="00FD1889">
          <w:rPr>
            <w:webHidden/>
          </w:rPr>
          <w:fldChar w:fldCharType="end"/>
        </w:r>
      </w:hyperlink>
    </w:p>
    <w:p w14:paraId="495E7A05" w14:textId="370B531D" w:rsidR="00FD1889" w:rsidRDefault="00000000">
      <w:pPr>
        <w:pStyle w:val="TOC2"/>
        <w:rPr>
          <w:rFonts w:asciiTheme="minorHAnsi" w:eastAsiaTheme="minorEastAsia" w:hAnsiTheme="minorHAnsi" w:cstheme="minorBidi"/>
          <w:sz w:val="22"/>
          <w:szCs w:val="22"/>
          <w:lang w:eastAsia="en-AU"/>
        </w:rPr>
      </w:pPr>
      <w:hyperlink w:anchor="_Toc122340776" w:history="1">
        <w:r w:rsidR="00FD1889" w:rsidRPr="00C27ED0">
          <w:rPr>
            <w:rStyle w:val="Hyperlink"/>
          </w:rPr>
          <w:t>Hand hygiene</w:t>
        </w:r>
        <w:r w:rsidR="00FD1889">
          <w:rPr>
            <w:webHidden/>
          </w:rPr>
          <w:tab/>
        </w:r>
        <w:r w:rsidR="00FD1889">
          <w:rPr>
            <w:webHidden/>
          </w:rPr>
          <w:fldChar w:fldCharType="begin"/>
        </w:r>
        <w:r w:rsidR="00FD1889">
          <w:rPr>
            <w:webHidden/>
          </w:rPr>
          <w:instrText xml:space="preserve"> PAGEREF _Toc122340776 \h </w:instrText>
        </w:r>
        <w:r w:rsidR="00FD1889">
          <w:rPr>
            <w:webHidden/>
          </w:rPr>
        </w:r>
        <w:r w:rsidR="00FD1889">
          <w:rPr>
            <w:webHidden/>
          </w:rPr>
          <w:fldChar w:fldCharType="separate"/>
        </w:r>
        <w:r w:rsidR="00FD1889">
          <w:rPr>
            <w:webHidden/>
          </w:rPr>
          <w:t>14</w:t>
        </w:r>
        <w:r w:rsidR="00FD1889">
          <w:rPr>
            <w:webHidden/>
          </w:rPr>
          <w:fldChar w:fldCharType="end"/>
        </w:r>
      </w:hyperlink>
    </w:p>
    <w:p w14:paraId="487BF8FE" w14:textId="57B97D2F" w:rsidR="00FD1889" w:rsidRDefault="00000000">
      <w:pPr>
        <w:pStyle w:val="TOC2"/>
        <w:rPr>
          <w:rFonts w:asciiTheme="minorHAnsi" w:eastAsiaTheme="minorEastAsia" w:hAnsiTheme="minorHAnsi" w:cstheme="minorBidi"/>
          <w:sz w:val="22"/>
          <w:szCs w:val="22"/>
          <w:lang w:eastAsia="en-AU"/>
        </w:rPr>
      </w:pPr>
      <w:hyperlink w:anchor="_Toc122340777" w:history="1">
        <w:r w:rsidR="00FD1889" w:rsidRPr="00C27ED0">
          <w:rPr>
            <w:rStyle w:val="Hyperlink"/>
          </w:rPr>
          <w:t>Personal protective equipment (PPE)</w:t>
        </w:r>
        <w:r w:rsidR="00FD1889">
          <w:rPr>
            <w:webHidden/>
          </w:rPr>
          <w:tab/>
        </w:r>
        <w:r w:rsidR="00FD1889">
          <w:rPr>
            <w:webHidden/>
          </w:rPr>
          <w:fldChar w:fldCharType="begin"/>
        </w:r>
        <w:r w:rsidR="00FD1889">
          <w:rPr>
            <w:webHidden/>
          </w:rPr>
          <w:instrText xml:space="preserve"> PAGEREF _Toc122340777 \h </w:instrText>
        </w:r>
        <w:r w:rsidR="00FD1889">
          <w:rPr>
            <w:webHidden/>
          </w:rPr>
        </w:r>
        <w:r w:rsidR="00FD1889">
          <w:rPr>
            <w:webHidden/>
          </w:rPr>
          <w:fldChar w:fldCharType="separate"/>
        </w:r>
        <w:r w:rsidR="00FD1889">
          <w:rPr>
            <w:webHidden/>
          </w:rPr>
          <w:t>15</w:t>
        </w:r>
        <w:r w:rsidR="00FD1889">
          <w:rPr>
            <w:webHidden/>
          </w:rPr>
          <w:fldChar w:fldCharType="end"/>
        </w:r>
      </w:hyperlink>
    </w:p>
    <w:p w14:paraId="570C06AF" w14:textId="618A08F3" w:rsidR="00FD1889" w:rsidRDefault="00000000">
      <w:pPr>
        <w:pStyle w:val="TOC2"/>
        <w:rPr>
          <w:rFonts w:asciiTheme="minorHAnsi" w:eastAsiaTheme="minorEastAsia" w:hAnsiTheme="minorHAnsi" w:cstheme="minorBidi"/>
          <w:sz w:val="22"/>
          <w:szCs w:val="22"/>
          <w:lang w:eastAsia="en-AU"/>
        </w:rPr>
      </w:pPr>
      <w:hyperlink w:anchor="_Toc122340778" w:history="1">
        <w:r w:rsidR="00FD1889" w:rsidRPr="00C27ED0">
          <w:rPr>
            <w:rStyle w:val="Hyperlink"/>
          </w:rPr>
          <w:t>Cleaning and disinfection</w:t>
        </w:r>
        <w:r w:rsidR="00FD1889">
          <w:rPr>
            <w:webHidden/>
          </w:rPr>
          <w:tab/>
        </w:r>
        <w:r w:rsidR="00FD1889">
          <w:rPr>
            <w:webHidden/>
          </w:rPr>
          <w:fldChar w:fldCharType="begin"/>
        </w:r>
        <w:r w:rsidR="00FD1889">
          <w:rPr>
            <w:webHidden/>
          </w:rPr>
          <w:instrText xml:space="preserve"> PAGEREF _Toc122340778 \h </w:instrText>
        </w:r>
        <w:r w:rsidR="00FD1889">
          <w:rPr>
            <w:webHidden/>
          </w:rPr>
        </w:r>
        <w:r w:rsidR="00FD1889">
          <w:rPr>
            <w:webHidden/>
          </w:rPr>
          <w:fldChar w:fldCharType="separate"/>
        </w:r>
        <w:r w:rsidR="00FD1889">
          <w:rPr>
            <w:webHidden/>
          </w:rPr>
          <w:t>15</w:t>
        </w:r>
        <w:r w:rsidR="00FD1889">
          <w:rPr>
            <w:webHidden/>
          </w:rPr>
          <w:fldChar w:fldCharType="end"/>
        </w:r>
      </w:hyperlink>
    </w:p>
    <w:p w14:paraId="03693C52" w14:textId="29FF3C90" w:rsidR="00FD1889" w:rsidRDefault="00000000">
      <w:pPr>
        <w:pStyle w:val="TOC2"/>
        <w:rPr>
          <w:rFonts w:asciiTheme="minorHAnsi" w:eastAsiaTheme="minorEastAsia" w:hAnsiTheme="minorHAnsi" w:cstheme="minorBidi"/>
          <w:sz w:val="22"/>
          <w:szCs w:val="22"/>
          <w:lang w:eastAsia="en-AU"/>
        </w:rPr>
      </w:pPr>
      <w:hyperlink w:anchor="_Toc122340779" w:history="1">
        <w:r w:rsidR="00FD1889" w:rsidRPr="00C27ED0">
          <w:rPr>
            <w:rStyle w:val="Hyperlink"/>
          </w:rPr>
          <w:t>Waste management and disposal</w:t>
        </w:r>
        <w:r w:rsidR="00FD1889">
          <w:rPr>
            <w:webHidden/>
          </w:rPr>
          <w:tab/>
        </w:r>
        <w:r w:rsidR="00FD1889">
          <w:rPr>
            <w:webHidden/>
          </w:rPr>
          <w:fldChar w:fldCharType="begin"/>
        </w:r>
        <w:r w:rsidR="00FD1889">
          <w:rPr>
            <w:webHidden/>
          </w:rPr>
          <w:instrText xml:space="preserve"> PAGEREF _Toc122340779 \h </w:instrText>
        </w:r>
        <w:r w:rsidR="00FD1889">
          <w:rPr>
            <w:webHidden/>
          </w:rPr>
        </w:r>
        <w:r w:rsidR="00FD1889">
          <w:rPr>
            <w:webHidden/>
          </w:rPr>
          <w:fldChar w:fldCharType="separate"/>
        </w:r>
        <w:r w:rsidR="00FD1889">
          <w:rPr>
            <w:webHidden/>
          </w:rPr>
          <w:t>15</w:t>
        </w:r>
        <w:r w:rsidR="00FD1889">
          <w:rPr>
            <w:webHidden/>
          </w:rPr>
          <w:fldChar w:fldCharType="end"/>
        </w:r>
      </w:hyperlink>
    </w:p>
    <w:p w14:paraId="773BD9F9" w14:textId="52797BCD" w:rsidR="00FD1889" w:rsidRDefault="00000000">
      <w:pPr>
        <w:pStyle w:val="TOC1"/>
        <w:rPr>
          <w:rFonts w:asciiTheme="minorHAnsi" w:eastAsiaTheme="minorEastAsia" w:hAnsiTheme="minorHAnsi" w:cstheme="minorBidi"/>
          <w:b w:val="0"/>
          <w:sz w:val="22"/>
          <w:szCs w:val="22"/>
          <w:lang w:eastAsia="en-AU"/>
        </w:rPr>
      </w:pPr>
      <w:hyperlink w:anchor="_Toc122340780" w:history="1">
        <w:r w:rsidR="00FD1889" w:rsidRPr="00C27ED0">
          <w:rPr>
            <w:rStyle w:val="Hyperlink"/>
          </w:rPr>
          <w:t>Vaccination procedures</w:t>
        </w:r>
        <w:r w:rsidR="00FD1889">
          <w:rPr>
            <w:webHidden/>
          </w:rPr>
          <w:tab/>
        </w:r>
        <w:r w:rsidR="00FD1889">
          <w:rPr>
            <w:webHidden/>
          </w:rPr>
          <w:fldChar w:fldCharType="begin"/>
        </w:r>
        <w:r w:rsidR="00FD1889">
          <w:rPr>
            <w:webHidden/>
          </w:rPr>
          <w:instrText xml:space="preserve"> PAGEREF _Toc122340780 \h </w:instrText>
        </w:r>
        <w:r w:rsidR="00FD1889">
          <w:rPr>
            <w:webHidden/>
          </w:rPr>
        </w:r>
        <w:r w:rsidR="00FD1889">
          <w:rPr>
            <w:webHidden/>
          </w:rPr>
          <w:fldChar w:fldCharType="separate"/>
        </w:r>
        <w:r w:rsidR="00FD1889">
          <w:rPr>
            <w:webHidden/>
          </w:rPr>
          <w:t>17</w:t>
        </w:r>
        <w:r w:rsidR="00FD1889">
          <w:rPr>
            <w:webHidden/>
          </w:rPr>
          <w:fldChar w:fldCharType="end"/>
        </w:r>
      </w:hyperlink>
    </w:p>
    <w:p w14:paraId="4E260A89" w14:textId="1E934E67" w:rsidR="00FD1889" w:rsidRDefault="00000000">
      <w:pPr>
        <w:pStyle w:val="TOC2"/>
        <w:rPr>
          <w:rFonts w:asciiTheme="minorHAnsi" w:eastAsiaTheme="minorEastAsia" w:hAnsiTheme="minorHAnsi" w:cstheme="minorBidi"/>
          <w:sz w:val="22"/>
          <w:szCs w:val="22"/>
          <w:lang w:eastAsia="en-AU"/>
        </w:rPr>
      </w:pPr>
      <w:hyperlink w:anchor="_Toc122340781" w:history="1">
        <w:r w:rsidR="00FD1889" w:rsidRPr="00C27ED0">
          <w:rPr>
            <w:rStyle w:val="Hyperlink"/>
          </w:rPr>
          <w:t>Preparation</w:t>
        </w:r>
        <w:r w:rsidR="00FD1889">
          <w:rPr>
            <w:webHidden/>
          </w:rPr>
          <w:tab/>
        </w:r>
        <w:r w:rsidR="00FD1889">
          <w:rPr>
            <w:webHidden/>
          </w:rPr>
          <w:fldChar w:fldCharType="begin"/>
        </w:r>
        <w:r w:rsidR="00FD1889">
          <w:rPr>
            <w:webHidden/>
          </w:rPr>
          <w:instrText xml:space="preserve"> PAGEREF _Toc122340781 \h </w:instrText>
        </w:r>
        <w:r w:rsidR="00FD1889">
          <w:rPr>
            <w:webHidden/>
          </w:rPr>
        </w:r>
        <w:r w:rsidR="00FD1889">
          <w:rPr>
            <w:webHidden/>
          </w:rPr>
          <w:fldChar w:fldCharType="separate"/>
        </w:r>
        <w:r w:rsidR="00FD1889">
          <w:rPr>
            <w:webHidden/>
          </w:rPr>
          <w:t>17</w:t>
        </w:r>
        <w:r w:rsidR="00FD1889">
          <w:rPr>
            <w:webHidden/>
          </w:rPr>
          <w:fldChar w:fldCharType="end"/>
        </w:r>
      </w:hyperlink>
    </w:p>
    <w:p w14:paraId="246F04F6" w14:textId="1DD759C0" w:rsidR="00FD1889" w:rsidRDefault="00000000">
      <w:pPr>
        <w:pStyle w:val="TOC2"/>
        <w:rPr>
          <w:rFonts w:asciiTheme="minorHAnsi" w:eastAsiaTheme="minorEastAsia" w:hAnsiTheme="minorHAnsi" w:cstheme="minorBidi"/>
          <w:sz w:val="22"/>
          <w:szCs w:val="22"/>
          <w:lang w:eastAsia="en-AU"/>
        </w:rPr>
      </w:pPr>
      <w:hyperlink w:anchor="_Toc122340782" w:history="1">
        <w:r w:rsidR="00FD1889" w:rsidRPr="00C27ED0">
          <w:rPr>
            <w:rStyle w:val="Hyperlink"/>
          </w:rPr>
          <w:t>Preparation for subcutaneous administration</w:t>
        </w:r>
        <w:r w:rsidR="00FD1889">
          <w:rPr>
            <w:webHidden/>
          </w:rPr>
          <w:tab/>
        </w:r>
        <w:r w:rsidR="00FD1889">
          <w:rPr>
            <w:webHidden/>
          </w:rPr>
          <w:fldChar w:fldCharType="begin"/>
        </w:r>
        <w:r w:rsidR="00FD1889">
          <w:rPr>
            <w:webHidden/>
          </w:rPr>
          <w:instrText xml:space="preserve"> PAGEREF _Toc122340782 \h </w:instrText>
        </w:r>
        <w:r w:rsidR="00FD1889">
          <w:rPr>
            <w:webHidden/>
          </w:rPr>
        </w:r>
        <w:r w:rsidR="00FD1889">
          <w:rPr>
            <w:webHidden/>
          </w:rPr>
          <w:fldChar w:fldCharType="separate"/>
        </w:r>
        <w:r w:rsidR="00FD1889">
          <w:rPr>
            <w:webHidden/>
          </w:rPr>
          <w:t>17</w:t>
        </w:r>
        <w:r w:rsidR="00FD1889">
          <w:rPr>
            <w:webHidden/>
          </w:rPr>
          <w:fldChar w:fldCharType="end"/>
        </w:r>
      </w:hyperlink>
    </w:p>
    <w:p w14:paraId="521E0704" w14:textId="7C01A4E4" w:rsidR="00FD1889" w:rsidRDefault="00000000">
      <w:pPr>
        <w:pStyle w:val="TOC2"/>
        <w:rPr>
          <w:rFonts w:asciiTheme="minorHAnsi" w:eastAsiaTheme="minorEastAsia" w:hAnsiTheme="minorHAnsi" w:cstheme="minorBidi"/>
          <w:sz w:val="22"/>
          <w:szCs w:val="22"/>
          <w:lang w:eastAsia="en-AU"/>
        </w:rPr>
      </w:pPr>
      <w:hyperlink w:anchor="_Toc122340783" w:history="1">
        <w:r w:rsidR="00FD1889" w:rsidRPr="00C27ED0">
          <w:rPr>
            <w:rStyle w:val="Hyperlink"/>
          </w:rPr>
          <w:t>Subcutaneous administration</w:t>
        </w:r>
        <w:r w:rsidR="00FD1889">
          <w:rPr>
            <w:webHidden/>
          </w:rPr>
          <w:tab/>
        </w:r>
        <w:r w:rsidR="00FD1889">
          <w:rPr>
            <w:webHidden/>
          </w:rPr>
          <w:fldChar w:fldCharType="begin"/>
        </w:r>
        <w:r w:rsidR="00FD1889">
          <w:rPr>
            <w:webHidden/>
          </w:rPr>
          <w:instrText xml:space="preserve"> PAGEREF _Toc122340783 \h </w:instrText>
        </w:r>
        <w:r w:rsidR="00FD1889">
          <w:rPr>
            <w:webHidden/>
          </w:rPr>
        </w:r>
        <w:r w:rsidR="00FD1889">
          <w:rPr>
            <w:webHidden/>
          </w:rPr>
          <w:fldChar w:fldCharType="separate"/>
        </w:r>
        <w:r w:rsidR="00FD1889">
          <w:rPr>
            <w:webHidden/>
          </w:rPr>
          <w:t>19</w:t>
        </w:r>
        <w:r w:rsidR="00FD1889">
          <w:rPr>
            <w:webHidden/>
          </w:rPr>
          <w:fldChar w:fldCharType="end"/>
        </w:r>
      </w:hyperlink>
    </w:p>
    <w:p w14:paraId="65000063" w14:textId="2DD23A1A" w:rsidR="00FD1889" w:rsidRDefault="00000000">
      <w:pPr>
        <w:pStyle w:val="TOC2"/>
        <w:rPr>
          <w:rFonts w:asciiTheme="minorHAnsi" w:eastAsiaTheme="minorEastAsia" w:hAnsiTheme="minorHAnsi" w:cstheme="minorBidi"/>
          <w:sz w:val="22"/>
          <w:szCs w:val="22"/>
          <w:lang w:eastAsia="en-AU"/>
        </w:rPr>
      </w:pPr>
      <w:hyperlink w:anchor="_Toc122340784" w:history="1">
        <w:r w:rsidR="00FD1889" w:rsidRPr="00C27ED0">
          <w:rPr>
            <w:rStyle w:val="Hyperlink"/>
          </w:rPr>
          <w:t>Considerations for multi-use vials</w:t>
        </w:r>
        <w:r w:rsidR="00FD1889">
          <w:rPr>
            <w:webHidden/>
          </w:rPr>
          <w:tab/>
        </w:r>
        <w:r w:rsidR="00FD1889">
          <w:rPr>
            <w:webHidden/>
          </w:rPr>
          <w:fldChar w:fldCharType="begin"/>
        </w:r>
        <w:r w:rsidR="00FD1889">
          <w:rPr>
            <w:webHidden/>
          </w:rPr>
          <w:instrText xml:space="preserve"> PAGEREF _Toc122340784 \h </w:instrText>
        </w:r>
        <w:r w:rsidR="00FD1889">
          <w:rPr>
            <w:webHidden/>
          </w:rPr>
        </w:r>
        <w:r w:rsidR="00FD1889">
          <w:rPr>
            <w:webHidden/>
          </w:rPr>
          <w:fldChar w:fldCharType="separate"/>
        </w:r>
        <w:r w:rsidR="00FD1889">
          <w:rPr>
            <w:webHidden/>
          </w:rPr>
          <w:t>22</w:t>
        </w:r>
        <w:r w:rsidR="00FD1889">
          <w:rPr>
            <w:webHidden/>
          </w:rPr>
          <w:fldChar w:fldCharType="end"/>
        </w:r>
      </w:hyperlink>
    </w:p>
    <w:p w14:paraId="4C1BD14C" w14:textId="2A6EB230" w:rsidR="00FD1889" w:rsidRDefault="00000000">
      <w:pPr>
        <w:pStyle w:val="TOC2"/>
        <w:rPr>
          <w:rFonts w:asciiTheme="minorHAnsi" w:eastAsiaTheme="minorEastAsia" w:hAnsiTheme="minorHAnsi" w:cstheme="minorBidi"/>
          <w:sz w:val="22"/>
          <w:szCs w:val="22"/>
          <w:lang w:eastAsia="en-AU"/>
        </w:rPr>
      </w:pPr>
      <w:hyperlink w:anchor="_Toc122340785" w:history="1">
        <w:r w:rsidR="00FD1889" w:rsidRPr="00C27ED0">
          <w:rPr>
            <w:rStyle w:val="Hyperlink"/>
          </w:rPr>
          <w:t>Intradermal administration technique</w:t>
        </w:r>
        <w:r w:rsidR="00FD1889">
          <w:rPr>
            <w:webHidden/>
          </w:rPr>
          <w:tab/>
        </w:r>
        <w:r w:rsidR="00FD1889">
          <w:rPr>
            <w:webHidden/>
          </w:rPr>
          <w:fldChar w:fldCharType="begin"/>
        </w:r>
        <w:r w:rsidR="00FD1889">
          <w:rPr>
            <w:webHidden/>
          </w:rPr>
          <w:instrText xml:space="preserve"> PAGEREF _Toc122340785 \h </w:instrText>
        </w:r>
        <w:r w:rsidR="00FD1889">
          <w:rPr>
            <w:webHidden/>
          </w:rPr>
        </w:r>
        <w:r w:rsidR="00FD1889">
          <w:rPr>
            <w:webHidden/>
          </w:rPr>
          <w:fldChar w:fldCharType="separate"/>
        </w:r>
        <w:r w:rsidR="00FD1889">
          <w:rPr>
            <w:webHidden/>
          </w:rPr>
          <w:t>23</w:t>
        </w:r>
        <w:r w:rsidR="00FD1889">
          <w:rPr>
            <w:webHidden/>
          </w:rPr>
          <w:fldChar w:fldCharType="end"/>
        </w:r>
      </w:hyperlink>
    </w:p>
    <w:p w14:paraId="623929B3" w14:textId="602E84E2" w:rsidR="00FD1889" w:rsidRDefault="00000000">
      <w:pPr>
        <w:pStyle w:val="TOC2"/>
        <w:rPr>
          <w:rFonts w:asciiTheme="minorHAnsi" w:eastAsiaTheme="minorEastAsia" w:hAnsiTheme="minorHAnsi" w:cstheme="minorBidi"/>
          <w:sz w:val="22"/>
          <w:szCs w:val="22"/>
          <w:lang w:eastAsia="en-AU"/>
        </w:rPr>
      </w:pPr>
      <w:hyperlink w:anchor="_Toc122340786" w:history="1">
        <w:r w:rsidR="00FD1889" w:rsidRPr="00C27ED0">
          <w:rPr>
            <w:rStyle w:val="Hyperlink"/>
          </w:rPr>
          <w:t>After vaccination</w:t>
        </w:r>
        <w:r w:rsidR="00FD1889">
          <w:rPr>
            <w:webHidden/>
          </w:rPr>
          <w:tab/>
        </w:r>
        <w:r w:rsidR="00FD1889">
          <w:rPr>
            <w:webHidden/>
          </w:rPr>
          <w:fldChar w:fldCharType="begin"/>
        </w:r>
        <w:r w:rsidR="00FD1889">
          <w:rPr>
            <w:webHidden/>
          </w:rPr>
          <w:instrText xml:space="preserve"> PAGEREF _Toc122340786 \h </w:instrText>
        </w:r>
        <w:r w:rsidR="00FD1889">
          <w:rPr>
            <w:webHidden/>
          </w:rPr>
        </w:r>
        <w:r w:rsidR="00FD1889">
          <w:rPr>
            <w:webHidden/>
          </w:rPr>
          <w:fldChar w:fldCharType="separate"/>
        </w:r>
        <w:r w:rsidR="00FD1889">
          <w:rPr>
            <w:webHidden/>
          </w:rPr>
          <w:t>27</w:t>
        </w:r>
        <w:r w:rsidR="00FD1889">
          <w:rPr>
            <w:webHidden/>
          </w:rPr>
          <w:fldChar w:fldCharType="end"/>
        </w:r>
      </w:hyperlink>
    </w:p>
    <w:p w14:paraId="460190BE" w14:textId="2C161792" w:rsidR="00FD1889" w:rsidRDefault="00000000">
      <w:pPr>
        <w:pStyle w:val="TOC1"/>
        <w:rPr>
          <w:rFonts w:asciiTheme="minorHAnsi" w:eastAsiaTheme="minorEastAsia" w:hAnsiTheme="minorHAnsi" w:cstheme="minorBidi"/>
          <w:b w:val="0"/>
          <w:sz w:val="22"/>
          <w:szCs w:val="22"/>
          <w:lang w:eastAsia="en-AU"/>
        </w:rPr>
      </w:pPr>
      <w:hyperlink w:anchor="_Toc122340787" w:history="1">
        <w:r w:rsidR="00FD1889" w:rsidRPr="00C27ED0">
          <w:rPr>
            <w:rStyle w:val="Hyperlink"/>
          </w:rPr>
          <w:t>Vaccine safety</w:t>
        </w:r>
        <w:r w:rsidR="00FD1889">
          <w:rPr>
            <w:webHidden/>
          </w:rPr>
          <w:tab/>
        </w:r>
        <w:r w:rsidR="00FD1889">
          <w:rPr>
            <w:webHidden/>
          </w:rPr>
          <w:fldChar w:fldCharType="begin"/>
        </w:r>
        <w:r w:rsidR="00FD1889">
          <w:rPr>
            <w:webHidden/>
          </w:rPr>
          <w:instrText xml:space="preserve"> PAGEREF _Toc122340787 \h </w:instrText>
        </w:r>
        <w:r w:rsidR="00FD1889">
          <w:rPr>
            <w:webHidden/>
          </w:rPr>
        </w:r>
        <w:r w:rsidR="00FD1889">
          <w:rPr>
            <w:webHidden/>
          </w:rPr>
          <w:fldChar w:fldCharType="separate"/>
        </w:r>
        <w:r w:rsidR="00FD1889">
          <w:rPr>
            <w:webHidden/>
          </w:rPr>
          <w:t>28</w:t>
        </w:r>
        <w:r w:rsidR="00FD1889">
          <w:rPr>
            <w:webHidden/>
          </w:rPr>
          <w:fldChar w:fldCharType="end"/>
        </w:r>
      </w:hyperlink>
    </w:p>
    <w:p w14:paraId="451AA543" w14:textId="7C270628" w:rsidR="00FD1889" w:rsidRDefault="00000000">
      <w:pPr>
        <w:pStyle w:val="TOC2"/>
        <w:rPr>
          <w:rFonts w:asciiTheme="minorHAnsi" w:eastAsiaTheme="minorEastAsia" w:hAnsiTheme="minorHAnsi" w:cstheme="minorBidi"/>
          <w:sz w:val="22"/>
          <w:szCs w:val="22"/>
          <w:lang w:eastAsia="en-AU"/>
        </w:rPr>
      </w:pPr>
      <w:hyperlink w:anchor="_Toc122340788" w:history="1">
        <w:r w:rsidR="00FD1889" w:rsidRPr="00C27ED0">
          <w:rPr>
            <w:rStyle w:val="Hyperlink"/>
          </w:rPr>
          <w:t>Storage of multiple vaccine types in a shared location</w:t>
        </w:r>
        <w:r w:rsidR="00FD1889">
          <w:rPr>
            <w:webHidden/>
          </w:rPr>
          <w:tab/>
        </w:r>
        <w:r w:rsidR="00FD1889">
          <w:rPr>
            <w:webHidden/>
          </w:rPr>
          <w:fldChar w:fldCharType="begin"/>
        </w:r>
        <w:r w:rsidR="00FD1889">
          <w:rPr>
            <w:webHidden/>
          </w:rPr>
          <w:instrText xml:space="preserve"> PAGEREF _Toc122340788 \h </w:instrText>
        </w:r>
        <w:r w:rsidR="00FD1889">
          <w:rPr>
            <w:webHidden/>
          </w:rPr>
        </w:r>
        <w:r w:rsidR="00FD1889">
          <w:rPr>
            <w:webHidden/>
          </w:rPr>
          <w:fldChar w:fldCharType="separate"/>
        </w:r>
        <w:r w:rsidR="00FD1889">
          <w:rPr>
            <w:webHidden/>
          </w:rPr>
          <w:t>28</w:t>
        </w:r>
        <w:r w:rsidR="00FD1889">
          <w:rPr>
            <w:webHidden/>
          </w:rPr>
          <w:fldChar w:fldCharType="end"/>
        </w:r>
      </w:hyperlink>
    </w:p>
    <w:p w14:paraId="2A42C5D2" w14:textId="2D38973E" w:rsidR="00FD1889" w:rsidRDefault="00000000">
      <w:pPr>
        <w:pStyle w:val="TOC2"/>
        <w:rPr>
          <w:rFonts w:asciiTheme="minorHAnsi" w:eastAsiaTheme="minorEastAsia" w:hAnsiTheme="minorHAnsi" w:cstheme="minorBidi"/>
          <w:sz w:val="22"/>
          <w:szCs w:val="22"/>
          <w:lang w:eastAsia="en-AU"/>
        </w:rPr>
      </w:pPr>
      <w:hyperlink w:anchor="_Toc122340789" w:history="1">
        <w:r w:rsidR="00FD1889" w:rsidRPr="00C27ED0">
          <w:rPr>
            <w:rStyle w:val="Hyperlink"/>
          </w:rPr>
          <w:t>Safety Updates</w:t>
        </w:r>
        <w:r w:rsidR="00FD1889">
          <w:rPr>
            <w:webHidden/>
          </w:rPr>
          <w:tab/>
        </w:r>
        <w:r w:rsidR="00FD1889">
          <w:rPr>
            <w:webHidden/>
          </w:rPr>
          <w:fldChar w:fldCharType="begin"/>
        </w:r>
        <w:r w:rsidR="00FD1889">
          <w:rPr>
            <w:webHidden/>
          </w:rPr>
          <w:instrText xml:space="preserve"> PAGEREF _Toc122340789 \h </w:instrText>
        </w:r>
        <w:r w:rsidR="00FD1889">
          <w:rPr>
            <w:webHidden/>
          </w:rPr>
        </w:r>
        <w:r w:rsidR="00FD1889">
          <w:rPr>
            <w:webHidden/>
          </w:rPr>
          <w:fldChar w:fldCharType="separate"/>
        </w:r>
        <w:r w:rsidR="00FD1889">
          <w:rPr>
            <w:webHidden/>
          </w:rPr>
          <w:t>28</w:t>
        </w:r>
        <w:r w:rsidR="00FD1889">
          <w:rPr>
            <w:webHidden/>
          </w:rPr>
          <w:fldChar w:fldCharType="end"/>
        </w:r>
      </w:hyperlink>
    </w:p>
    <w:p w14:paraId="5EABD1E5" w14:textId="314B0021" w:rsidR="00FD1889" w:rsidRDefault="00000000">
      <w:pPr>
        <w:pStyle w:val="TOC2"/>
        <w:rPr>
          <w:rFonts w:asciiTheme="minorHAnsi" w:eastAsiaTheme="minorEastAsia" w:hAnsiTheme="minorHAnsi" w:cstheme="minorBidi"/>
          <w:sz w:val="22"/>
          <w:szCs w:val="22"/>
          <w:lang w:eastAsia="en-AU"/>
        </w:rPr>
      </w:pPr>
      <w:hyperlink w:anchor="_Toc122340790" w:history="1">
        <w:r w:rsidR="00FD1889" w:rsidRPr="00C27ED0">
          <w:rPr>
            <w:rStyle w:val="Hyperlink"/>
          </w:rPr>
          <w:t>Vaccine administration errors</w:t>
        </w:r>
        <w:r w:rsidR="00FD1889">
          <w:rPr>
            <w:webHidden/>
          </w:rPr>
          <w:tab/>
        </w:r>
        <w:r w:rsidR="00FD1889">
          <w:rPr>
            <w:webHidden/>
          </w:rPr>
          <w:fldChar w:fldCharType="begin"/>
        </w:r>
        <w:r w:rsidR="00FD1889">
          <w:rPr>
            <w:webHidden/>
          </w:rPr>
          <w:instrText xml:space="preserve"> PAGEREF _Toc122340790 \h </w:instrText>
        </w:r>
        <w:r w:rsidR="00FD1889">
          <w:rPr>
            <w:webHidden/>
          </w:rPr>
        </w:r>
        <w:r w:rsidR="00FD1889">
          <w:rPr>
            <w:webHidden/>
          </w:rPr>
          <w:fldChar w:fldCharType="separate"/>
        </w:r>
        <w:r w:rsidR="00FD1889">
          <w:rPr>
            <w:webHidden/>
          </w:rPr>
          <w:t>28</w:t>
        </w:r>
        <w:r w:rsidR="00FD1889">
          <w:rPr>
            <w:webHidden/>
          </w:rPr>
          <w:fldChar w:fldCharType="end"/>
        </w:r>
      </w:hyperlink>
    </w:p>
    <w:p w14:paraId="00A01869" w14:textId="45CA74B1" w:rsidR="00FD1889" w:rsidRDefault="00000000">
      <w:pPr>
        <w:pStyle w:val="TOC2"/>
        <w:rPr>
          <w:rFonts w:asciiTheme="minorHAnsi" w:eastAsiaTheme="minorEastAsia" w:hAnsiTheme="minorHAnsi" w:cstheme="minorBidi"/>
          <w:sz w:val="22"/>
          <w:szCs w:val="22"/>
          <w:lang w:eastAsia="en-AU"/>
        </w:rPr>
      </w:pPr>
      <w:hyperlink w:anchor="_Toc122340791" w:history="1">
        <w:r w:rsidR="00FD1889" w:rsidRPr="00C27ED0">
          <w:rPr>
            <w:rStyle w:val="Hyperlink"/>
          </w:rPr>
          <w:t>Adverse Events Following Immunisation (AEFI) – Reporting and Management</w:t>
        </w:r>
        <w:r w:rsidR="00FD1889">
          <w:rPr>
            <w:webHidden/>
          </w:rPr>
          <w:tab/>
        </w:r>
        <w:r w:rsidR="00FD1889">
          <w:rPr>
            <w:webHidden/>
          </w:rPr>
          <w:fldChar w:fldCharType="begin"/>
        </w:r>
        <w:r w:rsidR="00FD1889">
          <w:rPr>
            <w:webHidden/>
          </w:rPr>
          <w:instrText xml:space="preserve"> PAGEREF _Toc122340791 \h </w:instrText>
        </w:r>
        <w:r w:rsidR="00FD1889">
          <w:rPr>
            <w:webHidden/>
          </w:rPr>
        </w:r>
        <w:r w:rsidR="00FD1889">
          <w:rPr>
            <w:webHidden/>
          </w:rPr>
          <w:fldChar w:fldCharType="separate"/>
        </w:r>
        <w:r w:rsidR="00FD1889">
          <w:rPr>
            <w:webHidden/>
          </w:rPr>
          <w:t>30</w:t>
        </w:r>
        <w:r w:rsidR="00FD1889">
          <w:rPr>
            <w:webHidden/>
          </w:rPr>
          <w:fldChar w:fldCharType="end"/>
        </w:r>
      </w:hyperlink>
    </w:p>
    <w:p w14:paraId="18D51BEF" w14:textId="1F332834" w:rsidR="00FD1889" w:rsidRDefault="00000000">
      <w:pPr>
        <w:pStyle w:val="TOC1"/>
        <w:rPr>
          <w:rFonts w:asciiTheme="minorHAnsi" w:eastAsiaTheme="minorEastAsia" w:hAnsiTheme="minorHAnsi" w:cstheme="minorBidi"/>
          <w:b w:val="0"/>
          <w:sz w:val="22"/>
          <w:szCs w:val="22"/>
          <w:lang w:eastAsia="en-AU"/>
        </w:rPr>
      </w:pPr>
      <w:hyperlink w:anchor="_Toc122340792" w:history="1">
        <w:r w:rsidR="00FD1889" w:rsidRPr="00C27ED0">
          <w:rPr>
            <w:rStyle w:val="Hyperlink"/>
          </w:rPr>
          <w:t>Workforce and Regulation</w:t>
        </w:r>
        <w:r w:rsidR="00FD1889">
          <w:rPr>
            <w:webHidden/>
          </w:rPr>
          <w:tab/>
        </w:r>
        <w:r w:rsidR="00FD1889">
          <w:rPr>
            <w:webHidden/>
          </w:rPr>
          <w:fldChar w:fldCharType="begin"/>
        </w:r>
        <w:r w:rsidR="00FD1889">
          <w:rPr>
            <w:webHidden/>
          </w:rPr>
          <w:instrText xml:space="preserve"> PAGEREF _Toc122340792 \h </w:instrText>
        </w:r>
        <w:r w:rsidR="00FD1889">
          <w:rPr>
            <w:webHidden/>
          </w:rPr>
        </w:r>
        <w:r w:rsidR="00FD1889">
          <w:rPr>
            <w:webHidden/>
          </w:rPr>
          <w:fldChar w:fldCharType="separate"/>
        </w:r>
        <w:r w:rsidR="00FD1889">
          <w:rPr>
            <w:webHidden/>
          </w:rPr>
          <w:t>32</w:t>
        </w:r>
        <w:r w:rsidR="00FD1889">
          <w:rPr>
            <w:webHidden/>
          </w:rPr>
          <w:fldChar w:fldCharType="end"/>
        </w:r>
      </w:hyperlink>
    </w:p>
    <w:p w14:paraId="429D649C" w14:textId="2AA1451E" w:rsidR="00FD1889" w:rsidRDefault="00000000">
      <w:pPr>
        <w:pStyle w:val="TOC2"/>
        <w:rPr>
          <w:rFonts w:asciiTheme="minorHAnsi" w:eastAsiaTheme="minorEastAsia" w:hAnsiTheme="minorHAnsi" w:cstheme="minorBidi"/>
          <w:sz w:val="22"/>
          <w:szCs w:val="22"/>
          <w:lang w:eastAsia="en-AU"/>
        </w:rPr>
      </w:pPr>
      <w:hyperlink w:anchor="_Toc122340793" w:history="1">
        <w:r w:rsidR="00FD1889" w:rsidRPr="00C27ED0">
          <w:rPr>
            <w:rStyle w:val="Hyperlink"/>
          </w:rPr>
          <w:t>Legislative and regulatory framework</w:t>
        </w:r>
        <w:r w:rsidR="00FD1889">
          <w:rPr>
            <w:webHidden/>
          </w:rPr>
          <w:tab/>
        </w:r>
        <w:r w:rsidR="00FD1889">
          <w:rPr>
            <w:webHidden/>
          </w:rPr>
          <w:fldChar w:fldCharType="begin"/>
        </w:r>
        <w:r w:rsidR="00FD1889">
          <w:rPr>
            <w:webHidden/>
          </w:rPr>
          <w:instrText xml:space="preserve"> PAGEREF _Toc122340793 \h </w:instrText>
        </w:r>
        <w:r w:rsidR="00FD1889">
          <w:rPr>
            <w:webHidden/>
          </w:rPr>
        </w:r>
        <w:r w:rsidR="00FD1889">
          <w:rPr>
            <w:webHidden/>
          </w:rPr>
          <w:fldChar w:fldCharType="separate"/>
        </w:r>
        <w:r w:rsidR="00FD1889">
          <w:rPr>
            <w:webHidden/>
          </w:rPr>
          <w:t>32</w:t>
        </w:r>
        <w:r w:rsidR="00FD1889">
          <w:rPr>
            <w:webHidden/>
          </w:rPr>
          <w:fldChar w:fldCharType="end"/>
        </w:r>
      </w:hyperlink>
    </w:p>
    <w:p w14:paraId="2B299046" w14:textId="783E7D39" w:rsidR="00FD1889" w:rsidRDefault="00000000">
      <w:pPr>
        <w:pStyle w:val="TOC2"/>
        <w:rPr>
          <w:rFonts w:asciiTheme="minorHAnsi" w:eastAsiaTheme="minorEastAsia" w:hAnsiTheme="minorHAnsi" w:cstheme="minorBidi"/>
          <w:sz w:val="22"/>
          <w:szCs w:val="22"/>
          <w:lang w:eastAsia="en-AU"/>
        </w:rPr>
      </w:pPr>
      <w:hyperlink w:anchor="_Toc122340794" w:history="1">
        <w:r w:rsidR="00FD1889" w:rsidRPr="00C27ED0">
          <w:rPr>
            <w:rStyle w:val="Hyperlink"/>
          </w:rPr>
          <w:t>Workforce requirements</w:t>
        </w:r>
        <w:r w:rsidR="00FD1889">
          <w:rPr>
            <w:webHidden/>
          </w:rPr>
          <w:tab/>
        </w:r>
        <w:r w:rsidR="00FD1889">
          <w:rPr>
            <w:webHidden/>
          </w:rPr>
          <w:fldChar w:fldCharType="begin"/>
        </w:r>
        <w:r w:rsidR="00FD1889">
          <w:rPr>
            <w:webHidden/>
          </w:rPr>
          <w:instrText xml:space="preserve"> PAGEREF _Toc122340794 \h </w:instrText>
        </w:r>
        <w:r w:rsidR="00FD1889">
          <w:rPr>
            <w:webHidden/>
          </w:rPr>
        </w:r>
        <w:r w:rsidR="00FD1889">
          <w:rPr>
            <w:webHidden/>
          </w:rPr>
          <w:fldChar w:fldCharType="separate"/>
        </w:r>
        <w:r w:rsidR="00FD1889">
          <w:rPr>
            <w:webHidden/>
          </w:rPr>
          <w:t>38</w:t>
        </w:r>
        <w:r w:rsidR="00FD1889">
          <w:rPr>
            <w:webHidden/>
          </w:rPr>
          <w:fldChar w:fldCharType="end"/>
        </w:r>
      </w:hyperlink>
    </w:p>
    <w:p w14:paraId="74909642" w14:textId="59AD5033" w:rsidR="00FD1889" w:rsidRDefault="00000000">
      <w:pPr>
        <w:pStyle w:val="TOC2"/>
        <w:rPr>
          <w:rFonts w:asciiTheme="minorHAnsi" w:eastAsiaTheme="minorEastAsia" w:hAnsiTheme="minorHAnsi" w:cstheme="minorBidi"/>
          <w:sz w:val="22"/>
          <w:szCs w:val="22"/>
          <w:lang w:eastAsia="en-AU"/>
        </w:rPr>
      </w:pPr>
      <w:hyperlink w:anchor="_Toc122340795" w:history="1">
        <w:r w:rsidR="00FD1889" w:rsidRPr="00C27ED0">
          <w:rPr>
            <w:rStyle w:val="Hyperlink"/>
          </w:rPr>
          <w:t>Emergency response</w:t>
        </w:r>
        <w:r w:rsidR="00FD1889">
          <w:rPr>
            <w:webHidden/>
          </w:rPr>
          <w:tab/>
        </w:r>
        <w:r w:rsidR="00FD1889">
          <w:rPr>
            <w:webHidden/>
          </w:rPr>
          <w:fldChar w:fldCharType="begin"/>
        </w:r>
        <w:r w:rsidR="00FD1889">
          <w:rPr>
            <w:webHidden/>
          </w:rPr>
          <w:instrText xml:space="preserve"> PAGEREF _Toc122340795 \h </w:instrText>
        </w:r>
        <w:r w:rsidR="00FD1889">
          <w:rPr>
            <w:webHidden/>
          </w:rPr>
        </w:r>
        <w:r w:rsidR="00FD1889">
          <w:rPr>
            <w:webHidden/>
          </w:rPr>
          <w:fldChar w:fldCharType="separate"/>
        </w:r>
        <w:r w:rsidR="00FD1889">
          <w:rPr>
            <w:webHidden/>
          </w:rPr>
          <w:t>39</w:t>
        </w:r>
        <w:r w:rsidR="00FD1889">
          <w:rPr>
            <w:webHidden/>
          </w:rPr>
          <w:fldChar w:fldCharType="end"/>
        </w:r>
      </w:hyperlink>
    </w:p>
    <w:p w14:paraId="69E15118" w14:textId="38D78D9B" w:rsidR="00FD1889" w:rsidRDefault="00000000">
      <w:pPr>
        <w:pStyle w:val="TOC1"/>
        <w:rPr>
          <w:rFonts w:asciiTheme="minorHAnsi" w:eastAsiaTheme="minorEastAsia" w:hAnsiTheme="minorHAnsi" w:cstheme="minorBidi"/>
          <w:b w:val="0"/>
          <w:sz w:val="22"/>
          <w:szCs w:val="22"/>
          <w:lang w:eastAsia="en-AU"/>
        </w:rPr>
      </w:pPr>
      <w:hyperlink w:anchor="_Toc122340796" w:history="1">
        <w:r w:rsidR="00FD1889" w:rsidRPr="00C27ED0">
          <w:rPr>
            <w:rStyle w:val="Hyperlink"/>
          </w:rPr>
          <w:t>Additional resources</w:t>
        </w:r>
        <w:r w:rsidR="00FD1889">
          <w:rPr>
            <w:webHidden/>
          </w:rPr>
          <w:tab/>
        </w:r>
        <w:r w:rsidR="00FD1889">
          <w:rPr>
            <w:webHidden/>
          </w:rPr>
          <w:fldChar w:fldCharType="begin"/>
        </w:r>
        <w:r w:rsidR="00FD1889">
          <w:rPr>
            <w:webHidden/>
          </w:rPr>
          <w:instrText xml:space="preserve"> PAGEREF _Toc122340796 \h </w:instrText>
        </w:r>
        <w:r w:rsidR="00FD1889">
          <w:rPr>
            <w:webHidden/>
          </w:rPr>
        </w:r>
        <w:r w:rsidR="00FD1889">
          <w:rPr>
            <w:webHidden/>
          </w:rPr>
          <w:fldChar w:fldCharType="separate"/>
        </w:r>
        <w:r w:rsidR="00FD1889">
          <w:rPr>
            <w:webHidden/>
          </w:rPr>
          <w:t>40</w:t>
        </w:r>
        <w:r w:rsidR="00FD1889">
          <w:rPr>
            <w:webHidden/>
          </w:rPr>
          <w:fldChar w:fldCharType="end"/>
        </w:r>
      </w:hyperlink>
    </w:p>
    <w:p w14:paraId="03F0EDF3" w14:textId="442DB0B8" w:rsidR="00FD1889" w:rsidRDefault="00000000">
      <w:pPr>
        <w:pStyle w:val="TOC1"/>
        <w:rPr>
          <w:rFonts w:asciiTheme="minorHAnsi" w:eastAsiaTheme="minorEastAsia" w:hAnsiTheme="minorHAnsi" w:cstheme="minorBidi"/>
          <w:b w:val="0"/>
          <w:sz w:val="22"/>
          <w:szCs w:val="22"/>
          <w:lang w:eastAsia="en-AU"/>
        </w:rPr>
      </w:pPr>
      <w:hyperlink w:anchor="_Toc122340797" w:history="1">
        <w:r w:rsidR="00FD1889" w:rsidRPr="00C27ED0">
          <w:rPr>
            <w:rStyle w:val="Hyperlink"/>
          </w:rPr>
          <w:t>Appendix 1: Contact information</w:t>
        </w:r>
        <w:r w:rsidR="00FD1889">
          <w:rPr>
            <w:webHidden/>
          </w:rPr>
          <w:tab/>
        </w:r>
        <w:r w:rsidR="00FD1889">
          <w:rPr>
            <w:webHidden/>
          </w:rPr>
          <w:fldChar w:fldCharType="begin"/>
        </w:r>
        <w:r w:rsidR="00FD1889">
          <w:rPr>
            <w:webHidden/>
          </w:rPr>
          <w:instrText xml:space="preserve"> PAGEREF _Toc122340797 \h </w:instrText>
        </w:r>
        <w:r w:rsidR="00FD1889">
          <w:rPr>
            <w:webHidden/>
          </w:rPr>
        </w:r>
        <w:r w:rsidR="00FD1889">
          <w:rPr>
            <w:webHidden/>
          </w:rPr>
          <w:fldChar w:fldCharType="separate"/>
        </w:r>
        <w:r w:rsidR="00FD1889">
          <w:rPr>
            <w:webHidden/>
          </w:rPr>
          <w:t>41</w:t>
        </w:r>
        <w:r w:rsidR="00FD1889">
          <w:rPr>
            <w:webHidden/>
          </w:rPr>
          <w:fldChar w:fldCharType="end"/>
        </w:r>
      </w:hyperlink>
    </w:p>
    <w:p w14:paraId="4CE529CA" w14:textId="1BEA6F47" w:rsidR="00FD1889" w:rsidRDefault="00000000">
      <w:pPr>
        <w:pStyle w:val="TOC1"/>
        <w:rPr>
          <w:rFonts w:asciiTheme="minorHAnsi" w:eastAsiaTheme="minorEastAsia" w:hAnsiTheme="minorHAnsi" w:cstheme="minorBidi"/>
          <w:b w:val="0"/>
          <w:sz w:val="22"/>
          <w:szCs w:val="22"/>
          <w:lang w:eastAsia="en-AU"/>
        </w:rPr>
      </w:pPr>
      <w:hyperlink w:anchor="_Toc122340798" w:history="1">
        <w:r w:rsidR="00FD1889" w:rsidRPr="00C27ED0">
          <w:rPr>
            <w:rStyle w:val="Hyperlink"/>
          </w:rPr>
          <w:t>Appendix 2: Safe vaccine storage – data loggers</w:t>
        </w:r>
        <w:r w:rsidR="00FD1889">
          <w:rPr>
            <w:webHidden/>
          </w:rPr>
          <w:tab/>
        </w:r>
        <w:r w:rsidR="00FD1889">
          <w:rPr>
            <w:webHidden/>
          </w:rPr>
          <w:fldChar w:fldCharType="begin"/>
        </w:r>
        <w:r w:rsidR="00FD1889">
          <w:rPr>
            <w:webHidden/>
          </w:rPr>
          <w:instrText xml:space="preserve"> PAGEREF _Toc122340798 \h </w:instrText>
        </w:r>
        <w:r w:rsidR="00FD1889">
          <w:rPr>
            <w:webHidden/>
          </w:rPr>
        </w:r>
        <w:r w:rsidR="00FD1889">
          <w:rPr>
            <w:webHidden/>
          </w:rPr>
          <w:fldChar w:fldCharType="separate"/>
        </w:r>
        <w:r w:rsidR="00FD1889">
          <w:rPr>
            <w:webHidden/>
          </w:rPr>
          <w:t>42</w:t>
        </w:r>
        <w:r w:rsidR="00FD1889">
          <w:rPr>
            <w:webHidden/>
          </w:rPr>
          <w:fldChar w:fldCharType="end"/>
        </w:r>
      </w:hyperlink>
    </w:p>
    <w:p w14:paraId="0E811229" w14:textId="6FEBC43F" w:rsidR="00FD1889" w:rsidRDefault="00000000">
      <w:pPr>
        <w:pStyle w:val="TOC1"/>
        <w:rPr>
          <w:rFonts w:asciiTheme="minorHAnsi" w:eastAsiaTheme="minorEastAsia" w:hAnsiTheme="minorHAnsi" w:cstheme="minorBidi"/>
          <w:b w:val="0"/>
          <w:sz w:val="22"/>
          <w:szCs w:val="22"/>
          <w:lang w:eastAsia="en-AU"/>
        </w:rPr>
      </w:pPr>
      <w:hyperlink w:anchor="_Toc122340799" w:history="1">
        <w:r w:rsidR="00FD1889" w:rsidRPr="00C27ED0">
          <w:rPr>
            <w:rStyle w:val="Hyperlink"/>
          </w:rPr>
          <w:t>Appendix 3: Cold chain management checklists</w:t>
        </w:r>
        <w:r w:rsidR="00FD1889">
          <w:rPr>
            <w:webHidden/>
          </w:rPr>
          <w:tab/>
        </w:r>
        <w:r w:rsidR="00FD1889">
          <w:rPr>
            <w:webHidden/>
          </w:rPr>
          <w:fldChar w:fldCharType="begin"/>
        </w:r>
        <w:r w:rsidR="00FD1889">
          <w:rPr>
            <w:webHidden/>
          </w:rPr>
          <w:instrText xml:space="preserve"> PAGEREF _Toc122340799 \h </w:instrText>
        </w:r>
        <w:r w:rsidR="00FD1889">
          <w:rPr>
            <w:webHidden/>
          </w:rPr>
        </w:r>
        <w:r w:rsidR="00FD1889">
          <w:rPr>
            <w:webHidden/>
          </w:rPr>
          <w:fldChar w:fldCharType="separate"/>
        </w:r>
        <w:r w:rsidR="00FD1889">
          <w:rPr>
            <w:webHidden/>
          </w:rPr>
          <w:t>45</w:t>
        </w:r>
        <w:r w:rsidR="00FD1889">
          <w:rPr>
            <w:webHidden/>
          </w:rPr>
          <w:fldChar w:fldCharType="end"/>
        </w:r>
      </w:hyperlink>
    </w:p>
    <w:p w14:paraId="08A27854" w14:textId="7872552B" w:rsidR="00FD1889" w:rsidRDefault="00000000">
      <w:pPr>
        <w:pStyle w:val="TOC1"/>
        <w:rPr>
          <w:rFonts w:asciiTheme="minorHAnsi" w:eastAsiaTheme="minorEastAsia" w:hAnsiTheme="minorHAnsi" w:cstheme="minorBidi"/>
          <w:b w:val="0"/>
          <w:sz w:val="22"/>
          <w:szCs w:val="22"/>
          <w:lang w:eastAsia="en-AU"/>
        </w:rPr>
      </w:pPr>
      <w:hyperlink w:anchor="_Toc122340800" w:history="1">
        <w:r w:rsidR="00FD1889" w:rsidRPr="00C27ED0">
          <w:rPr>
            <w:rStyle w:val="Hyperlink"/>
          </w:rPr>
          <w:t>Appendix 4 Vaccine temperature monitoring form for outreach mobile services</w:t>
        </w:r>
        <w:r w:rsidR="00FD1889">
          <w:rPr>
            <w:webHidden/>
          </w:rPr>
          <w:tab/>
        </w:r>
        <w:r w:rsidR="00FD1889">
          <w:rPr>
            <w:webHidden/>
          </w:rPr>
          <w:fldChar w:fldCharType="begin"/>
        </w:r>
        <w:r w:rsidR="00FD1889">
          <w:rPr>
            <w:webHidden/>
          </w:rPr>
          <w:instrText xml:space="preserve"> PAGEREF _Toc122340800 \h </w:instrText>
        </w:r>
        <w:r w:rsidR="00FD1889">
          <w:rPr>
            <w:webHidden/>
          </w:rPr>
        </w:r>
        <w:r w:rsidR="00FD1889">
          <w:rPr>
            <w:webHidden/>
          </w:rPr>
          <w:fldChar w:fldCharType="separate"/>
        </w:r>
        <w:r w:rsidR="00FD1889">
          <w:rPr>
            <w:webHidden/>
          </w:rPr>
          <w:t>47</w:t>
        </w:r>
        <w:r w:rsidR="00FD1889">
          <w:rPr>
            <w:webHidden/>
          </w:rPr>
          <w:fldChar w:fldCharType="end"/>
        </w:r>
      </w:hyperlink>
    </w:p>
    <w:p w14:paraId="5BEEE24A" w14:textId="11E8E858" w:rsidR="00FD1889" w:rsidRDefault="00000000">
      <w:pPr>
        <w:pStyle w:val="TOC1"/>
        <w:rPr>
          <w:rFonts w:asciiTheme="minorHAnsi" w:eastAsiaTheme="minorEastAsia" w:hAnsiTheme="minorHAnsi" w:cstheme="minorBidi"/>
          <w:b w:val="0"/>
          <w:sz w:val="22"/>
          <w:szCs w:val="22"/>
          <w:lang w:eastAsia="en-AU"/>
        </w:rPr>
      </w:pPr>
      <w:hyperlink w:anchor="_Toc122340801" w:history="1">
        <w:r w:rsidR="00FD1889" w:rsidRPr="00C27ED0">
          <w:rPr>
            <w:rStyle w:val="Hyperlink"/>
          </w:rPr>
          <w:t>Appendix 5: Guidance – differentiating anaphylaxis from acute stress response for vaccine providers and emergency departments</w:t>
        </w:r>
        <w:r w:rsidR="00FD1889">
          <w:rPr>
            <w:webHidden/>
          </w:rPr>
          <w:tab/>
        </w:r>
        <w:r w:rsidR="00FD1889">
          <w:rPr>
            <w:webHidden/>
          </w:rPr>
          <w:fldChar w:fldCharType="begin"/>
        </w:r>
        <w:r w:rsidR="00FD1889">
          <w:rPr>
            <w:webHidden/>
          </w:rPr>
          <w:instrText xml:space="preserve"> PAGEREF _Toc122340801 \h </w:instrText>
        </w:r>
        <w:r w:rsidR="00FD1889">
          <w:rPr>
            <w:webHidden/>
          </w:rPr>
        </w:r>
        <w:r w:rsidR="00FD1889">
          <w:rPr>
            <w:webHidden/>
          </w:rPr>
          <w:fldChar w:fldCharType="separate"/>
        </w:r>
        <w:r w:rsidR="00FD1889">
          <w:rPr>
            <w:webHidden/>
          </w:rPr>
          <w:t>48</w:t>
        </w:r>
        <w:r w:rsidR="00FD1889">
          <w:rPr>
            <w:webHidden/>
          </w:rPr>
          <w:fldChar w:fldCharType="end"/>
        </w:r>
      </w:hyperlink>
    </w:p>
    <w:p w14:paraId="766C1E6D" w14:textId="571BDA5A" w:rsidR="00FD1889" w:rsidRDefault="00000000">
      <w:pPr>
        <w:pStyle w:val="TOC1"/>
        <w:rPr>
          <w:rFonts w:asciiTheme="minorHAnsi" w:eastAsiaTheme="minorEastAsia" w:hAnsiTheme="minorHAnsi" w:cstheme="minorBidi"/>
          <w:b w:val="0"/>
          <w:sz w:val="22"/>
          <w:szCs w:val="22"/>
          <w:lang w:eastAsia="en-AU"/>
        </w:rPr>
      </w:pPr>
      <w:hyperlink w:anchor="_Toc122340802" w:history="1">
        <w:r w:rsidR="00FD1889" w:rsidRPr="00C27ED0">
          <w:rPr>
            <w:rStyle w:val="Hyperlink"/>
          </w:rPr>
          <w:t>Appendix 6: Factsheet – Adverse Events Following Immunisation (AEFI) - including vaccine error</w:t>
        </w:r>
        <w:r w:rsidR="00FD1889">
          <w:rPr>
            <w:webHidden/>
          </w:rPr>
          <w:tab/>
        </w:r>
        <w:r w:rsidR="00FD1889">
          <w:rPr>
            <w:webHidden/>
          </w:rPr>
          <w:fldChar w:fldCharType="begin"/>
        </w:r>
        <w:r w:rsidR="00FD1889">
          <w:rPr>
            <w:webHidden/>
          </w:rPr>
          <w:instrText xml:space="preserve"> PAGEREF _Toc122340802 \h </w:instrText>
        </w:r>
        <w:r w:rsidR="00FD1889">
          <w:rPr>
            <w:webHidden/>
          </w:rPr>
        </w:r>
        <w:r w:rsidR="00FD1889">
          <w:rPr>
            <w:webHidden/>
          </w:rPr>
          <w:fldChar w:fldCharType="separate"/>
        </w:r>
        <w:r w:rsidR="00FD1889">
          <w:rPr>
            <w:webHidden/>
          </w:rPr>
          <w:t>51</w:t>
        </w:r>
        <w:r w:rsidR="00FD1889">
          <w:rPr>
            <w:webHidden/>
          </w:rPr>
          <w:fldChar w:fldCharType="end"/>
        </w:r>
      </w:hyperlink>
    </w:p>
    <w:p w14:paraId="2CD82ADE" w14:textId="5F89EF4F" w:rsidR="00FD1889" w:rsidRDefault="00000000">
      <w:pPr>
        <w:pStyle w:val="TOC1"/>
        <w:rPr>
          <w:rFonts w:asciiTheme="minorHAnsi" w:eastAsiaTheme="minorEastAsia" w:hAnsiTheme="minorHAnsi" w:cstheme="minorBidi"/>
          <w:b w:val="0"/>
          <w:sz w:val="22"/>
          <w:szCs w:val="22"/>
          <w:lang w:eastAsia="en-AU"/>
        </w:rPr>
      </w:pPr>
      <w:hyperlink w:anchor="_Toc122340803" w:history="1">
        <w:r w:rsidR="00FD1889" w:rsidRPr="00C27ED0">
          <w:rPr>
            <w:rStyle w:val="Hyperlink"/>
          </w:rPr>
          <w:t>Appendix 7: Intradermal injection – skills and competency checklist</w:t>
        </w:r>
        <w:r w:rsidR="00FD1889">
          <w:rPr>
            <w:webHidden/>
          </w:rPr>
          <w:tab/>
        </w:r>
        <w:r w:rsidR="00FD1889">
          <w:rPr>
            <w:webHidden/>
          </w:rPr>
          <w:fldChar w:fldCharType="begin"/>
        </w:r>
        <w:r w:rsidR="00FD1889">
          <w:rPr>
            <w:webHidden/>
          </w:rPr>
          <w:instrText xml:space="preserve"> PAGEREF _Toc122340803 \h </w:instrText>
        </w:r>
        <w:r w:rsidR="00FD1889">
          <w:rPr>
            <w:webHidden/>
          </w:rPr>
        </w:r>
        <w:r w:rsidR="00FD1889">
          <w:rPr>
            <w:webHidden/>
          </w:rPr>
          <w:fldChar w:fldCharType="separate"/>
        </w:r>
        <w:r w:rsidR="00FD1889">
          <w:rPr>
            <w:webHidden/>
          </w:rPr>
          <w:t>52</w:t>
        </w:r>
        <w:r w:rsidR="00FD1889">
          <w:rPr>
            <w:webHidden/>
          </w:rPr>
          <w:fldChar w:fldCharType="end"/>
        </w:r>
      </w:hyperlink>
    </w:p>
    <w:p w14:paraId="7BF15672" w14:textId="41B18ED9" w:rsidR="00FD1889" w:rsidRDefault="00000000">
      <w:pPr>
        <w:pStyle w:val="TOC1"/>
        <w:rPr>
          <w:rFonts w:asciiTheme="minorHAnsi" w:eastAsiaTheme="minorEastAsia" w:hAnsiTheme="minorHAnsi" w:cstheme="minorBidi"/>
          <w:b w:val="0"/>
          <w:sz w:val="22"/>
          <w:szCs w:val="22"/>
          <w:lang w:eastAsia="en-AU"/>
        </w:rPr>
      </w:pPr>
      <w:hyperlink w:anchor="_Toc122340804" w:history="1">
        <w:r w:rsidR="00FD1889" w:rsidRPr="00C27ED0">
          <w:rPr>
            <w:rStyle w:val="Hyperlink"/>
          </w:rPr>
          <w:t>Appendix 8: Document history and control</w:t>
        </w:r>
        <w:r w:rsidR="00FD1889">
          <w:rPr>
            <w:webHidden/>
          </w:rPr>
          <w:tab/>
        </w:r>
        <w:r w:rsidR="00FD1889">
          <w:rPr>
            <w:webHidden/>
          </w:rPr>
          <w:fldChar w:fldCharType="begin"/>
        </w:r>
        <w:r w:rsidR="00FD1889">
          <w:rPr>
            <w:webHidden/>
          </w:rPr>
          <w:instrText xml:space="preserve"> PAGEREF _Toc122340804 \h </w:instrText>
        </w:r>
        <w:r w:rsidR="00FD1889">
          <w:rPr>
            <w:webHidden/>
          </w:rPr>
        </w:r>
        <w:r w:rsidR="00FD1889">
          <w:rPr>
            <w:webHidden/>
          </w:rPr>
          <w:fldChar w:fldCharType="separate"/>
        </w:r>
        <w:r w:rsidR="00FD1889">
          <w:rPr>
            <w:webHidden/>
          </w:rPr>
          <w:t>54</w:t>
        </w:r>
        <w:r w:rsidR="00FD1889">
          <w:rPr>
            <w:webHidden/>
          </w:rPr>
          <w:fldChar w:fldCharType="end"/>
        </w:r>
      </w:hyperlink>
    </w:p>
    <w:p w14:paraId="715A6094" w14:textId="748E3E69"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0BE09806" w:rsidR="00285778" w:rsidRPr="00F669C1" w:rsidRDefault="00557C42" w:rsidP="00787FA0">
            <w:pPr>
              <w:pStyle w:val="Body"/>
              <w:spacing w:before="40" w:after="40"/>
              <w:rPr>
                <w:rFonts w:cs="Arial"/>
                <w:b/>
                <w:bCs/>
                <w:sz w:val="22"/>
                <w:szCs w:val="22"/>
              </w:rPr>
            </w:pPr>
            <w:bookmarkStart w:id="0" w:name="_Hlk117075519"/>
            <w:bookmarkStart w:id="1" w:name="_Hlk115708435"/>
            <w:r w:rsidRPr="00F669C1">
              <w:rPr>
                <w:rFonts w:cs="Arial"/>
                <w:b/>
                <w:bCs/>
                <w:sz w:val="22"/>
                <w:szCs w:val="22"/>
              </w:rPr>
              <w:t xml:space="preserve">Changes 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7AE2039B" w:rsidR="00C21E8E" w:rsidRPr="00E867D8" w:rsidRDefault="00511C4A" w:rsidP="00511C4A">
            <w:pPr>
              <w:spacing w:before="120" w:line="240" w:lineRule="auto"/>
              <w:ind w:left="360"/>
              <w:rPr>
                <w:rFonts w:cs="Arial"/>
                <w:szCs w:val="21"/>
                <w:highlight w:val="yellow"/>
              </w:rPr>
            </w:pPr>
            <w:r w:rsidRPr="00511C4A">
              <w:rPr>
                <w:rFonts w:eastAsia="Arial" w:cs="Arial"/>
              </w:rPr>
              <w:t xml:space="preserve">The </w:t>
            </w:r>
            <w:r w:rsidRPr="00511C4A">
              <w:rPr>
                <w:rFonts w:eastAsia="Arial" w:cs="Arial"/>
                <w:b/>
                <w:bCs/>
              </w:rPr>
              <w:t>preferred</w:t>
            </w:r>
            <w:r w:rsidRPr="00511C4A">
              <w:rPr>
                <w:rFonts w:eastAsia="Arial" w:cs="Arial"/>
              </w:rPr>
              <w:t xml:space="preserve"> regimen for the JYNNEOS</w:t>
            </w:r>
            <w:r w:rsidRPr="00511C4A">
              <w:rPr>
                <w:rFonts w:eastAsia="Arial" w:cs="Arial"/>
                <w:vertAlign w:val="superscript"/>
              </w:rPr>
              <w:t>®</w:t>
            </w:r>
            <w:r w:rsidRPr="00511C4A">
              <w:rPr>
                <w:rFonts w:eastAsia="Arial" w:cs="Arial"/>
              </w:rPr>
              <w:t xml:space="preserve"> vaccine involves a subcutaneous (SC) route of administration with an injection volume of 0.5mL. </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077DBB">
      <w:pPr>
        <w:pStyle w:val="Heading1"/>
      </w:pPr>
      <w:bookmarkStart w:id="8" w:name="_Toc122340748"/>
      <w:r>
        <w:lastRenderedPageBreak/>
        <w:t>I</w:t>
      </w:r>
      <w:r w:rsidR="00557C42">
        <w:t>n</w:t>
      </w:r>
      <w:r>
        <w:t>troduction</w:t>
      </w:r>
      <w:bookmarkEnd w:id="2"/>
      <w:bookmarkEnd w:id="3"/>
      <w:bookmarkEnd w:id="4"/>
      <w:bookmarkEnd w:id="5"/>
      <w:bookmarkEnd w:id="6"/>
      <w:bookmarkEnd w:id="7"/>
      <w:bookmarkEnd w:id="8"/>
    </w:p>
    <w:p w14:paraId="221F0FFB" w14:textId="341BE3DA" w:rsidR="00C747B0" w:rsidRDefault="00077DBB" w:rsidP="007B3C0C">
      <w:pPr>
        <w:pStyle w:val="Body"/>
      </w:pPr>
      <w:bookmarkStart w:id="9" w:name="_Toc62825415"/>
      <w:r>
        <w:t xml:space="preserve">The Victorian mpox </w:t>
      </w:r>
      <w:r w:rsidR="00113FB0">
        <w:t xml:space="preserve">(monkeypox) </w:t>
      </w:r>
      <w:r>
        <w:t xml:space="preserve">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22340749"/>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 xml:space="preserve">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r w:rsidR="005B6058">
        <w:rPr>
          <w:rFonts w:ascii="Arial" w:hAnsi="Arial" w:cs="Arial"/>
          <w:sz w:val="21"/>
          <w:szCs w:val="21"/>
        </w:rPr>
        <w:t>O</w:t>
      </w:r>
      <w:r w:rsidRPr="003C5C9B">
        <w:rPr>
          <w:rFonts w:ascii="Arial" w:hAnsi="Arial" w:cs="Arial"/>
          <w:sz w:val="21"/>
          <w:szCs w:val="21"/>
        </w:rPr>
        <w:t>rthopoxvirus</w:t>
      </w:r>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29585A75" w:rsidR="00077DBB" w:rsidRPr="00844DC5"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Pr>
          <w:rFonts w:ascii="Arial" w:hAnsi="Arial" w:cs="Arial"/>
          <w:sz w:val="21"/>
          <w:szCs w:val="21"/>
        </w:rPr>
        <w:t>M</w:t>
      </w:r>
      <w:r w:rsidR="00B564D6">
        <w:rPr>
          <w:rFonts w:ascii="Arial" w:hAnsi="Arial" w:cs="Arial"/>
          <w:sz w:val="21"/>
          <w:szCs w:val="21"/>
        </w:rPr>
        <w:t>pox</w:t>
      </w:r>
      <w:r w:rsidR="00077DBB" w:rsidRPr="00844DC5">
        <w:rPr>
          <w:rFonts w:ascii="Arial" w:hAnsi="Arial" w:cs="Arial"/>
          <w:sz w:val="21"/>
          <w:szCs w:val="21"/>
        </w:rPr>
        <w:t xml:space="preserve"> virus can be transmitted from infected animals to people, or from person to person. The natural animal reservoir for mpox virus remains unknown. </w:t>
      </w:r>
      <w:r w:rsidR="00B564D6">
        <w:rPr>
          <w:rFonts w:ascii="Arial" w:hAnsi="Arial" w:cs="Arial"/>
          <w:sz w:val="21"/>
          <w:szCs w:val="21"/>
        </w:rPr>
        <w:t>Mpox</w:t>
      </w:r>
      <w:r>
        <w:rPr>
          <w:rFonts w:ascii="Arial" w:hAnsi="Arial" w:cs="Arial"/>
          <w:sz w:val="21"/>
          <w:szCs w:val="21"/>
        </w:rPr>
        <w:t xml:space="preserve"> </w:t>
      </w:r>
      <w:r w:rsidR="00077DBB" w:rsidRPr="00844DC5">
        <w:rPr>
          <w:rFonts w:ascii="Arial" w:hAnsi="Arial" w:cs="Arial"/>
          <w:sz w:val="21"/>
          <w:szCs w:val="21"/>
        </w:rPr>
        <w:t>does not spread easily between people. Transmission between people occurs via close contact with lesions, body fluids, respiratory droplets in prolonged face-to-face contact or fomites (such as contaminated clothing or linen)</w:t>
      </w:r>
      <w:r w:rsidR="00077DBB">
        <w:rPr>
          <w:rStyle w:val="FootnoteReference"/>
          <w:rFonts w:ascii="Arial" w:hAnsi="Arial" w:cs="Arial"/>
          <w:sz w:val="21"/>
          <w:szCs w:val="21"/>
        </w:rPr>
        <w:footnoteReference w:id="2"/>
      </w:r>
      <w:r w:rsidR="00077DBB" w:rsidRPr="00844DC5">
        <w:rPr>
          <w:rFonts w:ascii="Arial" w:hAnsi="Arial" w:cs="Arial"/>
          <w:sz w:val="21"/>
          <w:szCs w:val="21"/>
        </w:rPr>
        <w:t>.</w:t>
      </w:r>
    </w:p>
    <w:p w14:paraId="7E79E83C" w14:textId="18AE207E" w:rsidR="00077DBB" w:rsidRPr="00253B1A"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r w:rsidRPr="00761C95">
        <w:rPr>
          <w:rFonts w:ascii="Arial" w:eastAsia="Times New Roman" w:hAnsi="Arial" w:cs="Arial"/>
          <w:sz w:val="21"/>
          <w:szCs w:val="21"/>
        </w:rPr>
        <w:t xml:space="preserve">The World Health Organization (WHO) declared the </w:t>
      </w:r>
      <w:r w:rsidR="008F05C5">
        <w:rPr>
          <w:rFonts w:ascii="Arial" w:eastAsia="Times New Roman" w:hAnsi="Arial" w:cs="Arial"/>
          <w:sz w:val="21"/>
          <w:szCs w:val="21"/>
        </w:rPr>
        <w:t>mpox</w:t>
      </w:r>
      <w:r w:rsidRPr="00761C95">
        <w:rPr>
          <w:rFonts w:ascii="Arial" w:eastAsia="Times New Roman" w:hAnsi="Arial" w:cs="Arial"/>
          <w:sz w:val="21"/>
          <w:szCs w:val="21"/>
        </w:rPr>
        <w:t xml:space="preserve"> outbreak a public health emergency of international </w:t>
      </w:r>
      <w:r w:rsidRPr="003917CC">
        <w:rPr>
          <w:rFonts w:ascii="Arial" w:eastAsia="Times New Roman" w:hAnsi="Arial" w:cs="Arial"/>
          <w:sz w:val="21"/>
          <w:szCs w:val="21"/>
        </w:rPr>
        <w:t xml:space="preserve">concern </w:t>
      </w:r>
      <w:r w:rsidRPr="00CF6C72">
        <w:rPr>
          <w:rFonts w:ascii="Arial" w:eastAsia="Times New Roman" w:hAnsi="Arial" w:cs="Arial"/>
          <w:sz w:val="21"/>
          <w:szCs w:val="21"/>
        </w:rPr>
        <w:t xml:space="preserve">on 23 July 2022. On 28 July 2022, Australia’s </w:t>
      </w:r>
      <w:r w:rsidRPr="003917CC">
        <w:rPr>
          <w:rFonts w:ascii="Arial" w:eastAsia="Times New Roman" w:hAnsi="Arial" w:cs="Arial"/>
          <w:sz w:val="21"/>
          <w:szCs w:val="21"/>
        </w:rPr>
        <w:t xml:space="preserve">Chief Medical Officer </w:t>
      </w:r>
      <w:r w:rsidR="00253B1A">
        <w:rPr>
          <w:rFonts w:ascii="Arial" w:eastAsia="Times New Roman" w:hAnsi="Arial" w:cs="Arial"/>
          <w:sz w:val="21"/>
          <w:szCs w:val="21"/>
        </w:rPr>
        <w:t xml:space="preserve">(CMO) </w:t>
      </w:r>
      <w:r w:rsidRPr="003917CC">
        <w:rPr>
          <w:rFonts w:ascii="Arial" w:eastAsia="Times New Roman" w:hAnsi="Arial" w:cs="Arial"/>
          <w:sz w:val="21"/>
          <w:szCs w:val="21"/>
        </w:rPr>
        <w:t xml:space="preserve">declared mpox to be a </w:t>
      </w:r>
      <w:r w:rsidRPr="00253B1A">
        <w:rPr>
          <w:rFonts w:ascii="Arial" w:eastAsia="Times New Roman" w:hAnsi="Arial" w:cs="Arial"/>
          <w:sz w:val="21"/>
          <w:szCs w:val="21"/>
        </w:rPr>
        <w:t>Communicable Disease Incident of National Significance</w:t>
      </w:r>
      <w:r w:rsidR="00253B1A" w:rsidRPr="00253B1A">
        <w:rPr>
          <w:rFonts w:ascii="Arial" w:eastAsia="Times New Roman" w:hAnsi="Arial" w:cs="Arial"/>
          <w:sz w:val="21"/>
          <w:szCs w:val="21"/>
        </w:rPr>
        <w:t xml:space="preserve"> (CDINS)</w:t>
      </w:r>
      <w:r w:rsidR="003A7809" w:rsidRPr="00253B1A">
        <w:rPr>
          <w:rFonts w:ascii="Arial" w:eastAsia="Times New Roman" w:hAnsi="Arial" w:cs="Arial"/>
          <w:sz w:val="21"/>
          <w:szCs w:val="21"/>
        </w:rPr>
        <w:t xml:space="preserve">. On 25 November 2022, the </w:t>
      </w:r>
      <w:r w:rsidR="00253B1A" w:rsidRPr="00253B1A">
        <w:rPr>
          <w:rFonts w:ascii="Arial" w:eastAsia="Times New Roman" w:hAnsi="Arial" w:cs="Arial"/>
          <w:sz w:val="21"/>
          <w:szCs w:val="21"/>
        </w:rPr>
        <w:t>CMO</w:t>
      </w:r>
      <w:r w:rsidR="003A7809" w:rsidRPr="00253B1A">
        <w:rPr>
          <w:rFonts w:ascii="Arial" w:eastAsia="Times New Roman" w:hAnsi="Arial" w:cs="Arial"/>
          <w:sz w:val="21"/>
          <w:szCs w:val="21"/>
        </w:rPr>
        <w:t xml:space="preserve"> stood down Australia's CDINS declaration for mpox</w:t>
      </w:r>
      <w:r w:rsidR="001C65E3">
        <w:rPr>
          <w:rFonts w:ascii="Arial" w:eastAsia="Times New Roman" w:hAnsi="Arial" w:cs="Arial"/>
          <w:sz w:val="21"/>
          <w:szCs w:val="21"/>
        </w:rPr>
        <w:t xml:space="preserve"> due to the reduced need for a </w:t>
      </w:r>
      <w:r w:rsidR="007D217D">
        <w:rPr>
          <w:rFonts w:ascii="Arial" w:eastAsia="Times New Roman" w:hAnsi="Arial" w:cs="Arial"/>
          <w:sz w:val="21"/>
          <w:szCs w:val="21"/>
        </w:rPr>
        <w:t>nationally coordinated response.</w:t>
      </w:r>
      <w:r w:rsidR="003A7809" w:rsidRPr="00253B1A">
        <w:rPr>
          <w:rFonts w:ascii="Arial" w:eastAsia="Times New Roman" w:hAnsi="Arial" w:cs="Arial"/>
          <w:sz w:val="21"/>
          <w:szCs w:val="21"/>
        </w:rPr>
        <w:t xml:space="preserve"> </w:t>
      </w:r>
      <w:r w:rsidR="003A7809" w:rsidRPr="003A7809">
        <w:rPr>
          <w:rFonts w:ascii="Arial" w:hAnsi="Arial" w:cs="Arial"/>
          <w:sz w:val="21"/>
          <w:szCs w:val="21"/>
        </w:rPr>
        <w:t>States and territories will continue to manage the risk of mpox in line with local arrangements, and people should remain vigilant and aware of mpox symptoms.</w:t>
      </w:r>
      <w:r w:rsidR="003A7809" w:rsidRPr="00253B1A">
        <w:rPr>
          <w:rFonts w:ascii="Arial" w:eastAsia="Times New Roman" w:hAnsi="Arial" w:cs="Arial"/>
          <w:sz w:val="21"/>
          <w:szCs w:val="21"/>
        </w:rPr>
        <w:t xml:space="preserve"> </w:t>
      </w:r>
      <w:r w:rsidRPr="00253B1A">
        <w:rPr>
          <w:rStyle w:val="FootnoteReference"/>
          <w:rFonts w:ascii="Arial" w:eastAsia="Times New Roman" w:hAnsi="Arial" w:cs="Arial"/>
          <w:sz w:val="21"/>
          <w:szCs w:val="21"/>
        </w:rPr>
        <w:footnoteReference w:id="3"/>
      </w:r>
      <w:r w:rsidRPr="00253B1A">
        <w:rPr>
          <w:rFonts w:ascii="Arial" w:eastAsia="Times New Roman" w:hAnsi="Arial" w:cs="Arial"/>
          <w:sz w:val="21"/>
          <w:szCs w:val="21"/>
        </w:rPr>
        <w:t xml:space="preserve">. </w:t>
      </w:r>
    </w:p>
    <w:p w14:paraId="25CF3EF5" w14:textId="58BFCCAD"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B83493">
        <w:rPr>
          <w:rFonts w:ascii="Arial" w:hAnsi="Arial" w:cs="Arial"/>
          <w:sz w:val="21"/>
          <w:szCs w:val="21"/>
        </w:rPr>
        <w:t xml:space="preserve">Smallpox vaccines contain the vaccinia virus, a poxvirus related to both smallpox and </w:t>
      </w:r>
      <w:r w:rsidR="00B564D6">
        <w:rPr>
          <w:rFonts w:ascii="Arial" w:hAnsi="Arial" w:cs="Arial"/>
          <w:sz w:val="21"/>
          <w:szCs w:val="21"/>
        </w:rPr>
        <w:t>mpox</w:t>
      </w:r>
      <w:r w:rsidRPr="00B83493">
        <w:rPr>
          <w:rFonts w:ascii="Arial" w:hAnsi="Arial" w:cs="Arial"/>
          <w:sz w:val="21"/>
          <w:szCs w:val="21"/>
        </w:rPr>
        <w:t xml:space="preserve">. Previous guidance in Australia and other countries on the use of smallpox vaccine has focused on protection against smallpox infection. </w:t>
      </w:r>
      <w:r w:rsidR="008C7178">
        <w:rPr>
          <w:rFonts w:ascii="Arial" w:hAnsi="Arial" w:cs="Arial"/>
          <w:sz w:val="21"/>
          <w:szCs w:val="21"/>
        </w:rPr>
        <w:t>ATAGI</w:t>
      </w:r>
      <w:r>
        <w:rPr>
          <w:rFonts w:ascii="Arial" w:hAnsi="Arial" w:cs="Arial"/>
          <w:sz w:val="21"/>
          <w:szCs w:val="21"/>
        </w:rPr>
        <w:t xml:space="preserve"> advise that v</w:t>
      </w:r>
      <w:r w:rsidRPr="00B83493">
        <w:rPr>
          <w:rFonts w:ascii="Arial" w:hAnsi="Arial" w:cs="Arial"/>
          <w:sz w:val="21"/>
          <w:szCs w:val="21"/>
        </w:rPr>
        <w:t xml:space="preserve">accines using the vaccinia virus for the prevention of smallpox are likely to be effective against </w:t>
      </w:r>
      <w:r w:rsidR="009C323C">
        <w:rPr>
          <w:rFonts w:ascii="Arial" w:hAnsi="Arial" w:cs="Arial"/>
          <w:sz w:val="21"/>
          <w:szCs w:val="21"/>
        </w:rPr>
        <w:t>mpox</w:t>
      </w:r>
      <w:r>
        <w:rPr>
          <w:rStyle w:val="FootnoteReference"/>
          <w:rFonts w:ascii="Arial" w:hAnsi="Arial" w:cs="Arial"/>
          <w:sz w:val="21"/>
          <w:szCs w:val="21"/>
        </w:rPr>
        <w:footnoteReference w:id="4"/>
      </w:r>
      <w:r>
        <w:rPr>
          <w:rFonts w:ascii="Arial" w:hAnsi="Arial" w:cs="Arial"/>
          <w:sz w:val="21"/>
          <w:szCs w:val="21"/>
        </w:rPr>
        <w:t>.</w:t>
      </w:r>
    </w:p>
    <w:p w14:paraId="1AAF0BE8" w14:textId="77777777" w:rsidR="00077DBB" w:rsidRPr="00D16186" w:rsidRDefault="00077DBB" w:rsidP="00077DBB">
      <w:pPr>
        <w:pStyle w:val="Heading1"/>
      </w:pPr>
      <w:bookmarkStart w:id="16" w:name="_Toc71895576"/>
      <w:bookmarkStart w:id="17" w:name="_Toc73627046"/>
      <w:bookmarkStart w:id="18" w:name="_Toc62825416"/>
      <w:bookmarkStart w:id="19" w:name="_Toc1719592556"/>
      <w:bookmarkStart w:id="20" w:name="_Toc112154539"/>
      <w:bookmarkStart w:id="21" w:name="_Toc112315605"/>
      <w:bookmarkStart w:id="22" w:name="_Toc122340750"/>
      <w:r>
        <w:lastRenderedPageBreak/>
        <w:t xml:space="preserve">Vaccine </w:t>
      </w:r>
      <w:bookmarkEnd w:id="16"/>
      <w:bookmarkEnd w:id="17"/>
      <w:bookmarkEnd w:id="18"/>
      <w:bookmarkEnd w:id="19"/>
      <w:r w:rsidRPr="008C74FC">
        <w:t>program</w:t>
      </w:r>
      <w:bookmarkEnd w:id="20"/>
      <w:bookmarkEnd w:id="21"/>
      <w:bookmarkEnd w:id="22"/>
    </w:p>
    <w:p w14:paraId="48688106" w14:textId="511C005C" w:rsidR="00077DBB" w:rsidRPr="00222EFB" w:rsidRDefault="00077DBB" w:rsidP="00077DBB">
      <w:pPr>
        <w:pStyle w:val="Heading2"/>
      </w:pPr>
      <w:bookmarkStart w:id="23" w:name="_Toc112154540"/>
      <w:bookmarkStart w:id="24" w:name="_Toc112315606"/>
      <w:bookmarkStart w:id="25" w:name="_Toc122340751"/>
      <w:r w:rsidRPr="00222EFB">
        <w:t xml:space="preserve">Mpox vaccines </w:t>
      </w:r>
      <w:r w:rsidRPr="00096E9A">
        <w:t>approved for use in Australia</w:t>
      </w:r>
      <w:bookmarkEnd w:id="23"/>
      <w:bookmarkEnd w:id="24"/>
      <w:bookmarkEnd w:id="25"/>
      <w:r w:rsidR="5262924B">
        <w:t xml:space="preserve"> </w:t>
      </w:r>
    </w:p>
    <w:p w14:paraId="6C2A906E" w14:textId="77777777" w:rsidR="00077DBB" w:rsidRPr="00957542" w:rsidRDefault="00077DBB" w:rsidP="00077DBB">
      <w:pPr>
        <w:shd w:val="clear" w:color="auto" w:fill="FFFFFF"/>
        <w:spacing w:line="240" w:lineRule="auto"/>
        <w:rPr>
          <w:rFonts w:cs="Arial"/>
          <w:color w:val="313131"/>
          <w:szCs w:val="21"/>
          <w:lang w:eastAsia="en-AU"/>
        </w:rPr>
      </w:pPr>
      <w:r w:rsidRPr="00957542">
        <w:rPr>
          <w:rFonts w:cs="Arial"/>
          <w:color w:val="313131"/>
          <w:szCs w:val="21"/>
          <w:lang w:eastAsia="en-AU"/>
        </w:rPr>
        <w:t>There are 2 vaccines approved for use in Australia:</w:t>
      </w:r>
    </w:p>
    <w:p w14:paraId="37F3B037" w14:textId="77777777" w:rsidR="00077DBB" w:rsidRPr="00957542" w:rsidRDefault="00077DBB" w:rsidP="00603DC8">
      <w:pPr>
        <w:numPr>
          <w:ilvl w:val="0"/>
          <w:numId w:val="20"/>
        </w:numPr>
        <w:shd w:val="clear" w:color="auto" w:fill="FFFFFF"/>
        <w:spacing w:line="240" w:lineRule="auto"/>
        <w:rPr>
          <w:rFonts w:cs="Arial"/>
          <w:color w:val="313131"/>
          <w:szCs w:val="21"/>
          <w:lang w:eastAsia="en-AU"/>
        </w:rPr>
      </w:pPr>
      <w:r w:rsidRPr="00852563">
        <w:rPr>
          <w:rFonts w:cs="Arial"/>
          <w:szCs w:val="21"/>
        </w:rPr>
        <w:t>JYNNEOS</w:t>
      </w:r>
      <w:r w:rsidRPr="008D4BAC">
        <w:rPr>
          <w:rFonts w:cs="Arial"/>
          <w:szCs w:val="21"/>
          <w:vertAlign w:val="superscript"/>
        </w:rPr>
        <w:t>®</w:t>
      </w:r>
    </w:p>
    <w:p w14:paraId="1ABC0952" w14:textId="77777777" w:rsidR="00077DBB" w:rsidRPr="00957542" w:rsidRDefault="00077DBB" w:rsidP="00603DC8">
      <w:pPr>
        <w:numPr>
          <w:ilvl w:val="0"/>
          <w:numId w:val="20"/>
        </w:numPr>
        <w:shd w:val="clear" w:color="auto" w:fill="FFFFFF" w:themeFill="background1"/>
        <w:spacing w:line="240" w:lineRule="auto"/>
        <w:rPr>
          <w:rFonts w:cs="Arial"/>
          <w:color w:val="313131"/>
          <w:szCs w:val="21"/>
          <w:lang w:eastAsia="en-AU"/>
        </w:rPr>
      </w:pPr>
      <w:r w:rsidRPr="00957542">
        <w:rPr>
          <w:rFonts w:cs="Arial"/>
          <w:color w:val="313131"/>
          <w:szCs w:val="21"/>
          <w:lang w:eastAsia="en-AU"/>
        </w:rPr>
        <w:t>ACAM2000™</w:t>
      </w:r>
    </w:p>
    <w:p w14:paraId="3ABE5260" w14:textId="3A469866"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Pr="00852563">
        <w:rPr>
          <w:rFonts w:ascii="Arial" w:hAnsi="Arial" w:cs="Arial"/>
          <w:sz w:val="21"/>
          <w:szCs w:val="21"/>
          <w:shd w:val="clear" w:color="auto" w:fill="FFFFFF"/>
        </w:rPr>
        <w:t>is the preferred vaccine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5"/>
      </w:r>
      <w:r w:rsidRPr="1B84DD6B">
        <w:rPr>
          <w:rFonts w:cs="Arial"/>
          <w:lang w:eastAsia="en-AU"/>
        </w:rPr>
        <w:t>.</w:t>
      </w:r>
    </w:p>
    <w:p w14:paraId="7DE6A48B" w14:textId="77777777" w:rsidR="00077DBB" w:rsidRPr="00C4116C" w:rsidRDefault="00077DBB" w:rsidP="0076571F">
      <w:pPr>
        <w:pStyle w:val="Heading2"/>
        <w:spacing w:before="240"/>
      </w:pPr>
      <w:bookmarkStart w:id="27" w:name="_Toc112315607"/>
      <w:bookmarkStart w:id="28" w:name="_Toc122340752"/>
      <w:r w:rsidRPr="00C4116C">
        <w:t>Vaccine priority roll-out</w:t>
      </w:r>
      <w:bookmarkEnd w:id="26"/>
      <w:bookmarkEnd w:id="27"/>
      <w:bookmarkEnd w:id="28"/>
    </w:p>
    <w:p w14:paraId="14436ED8" w14:textId="751F2BC5" w:rsidR="00077DBB" w:rsidRPr="00DE491D" w:rsidRDefault="002045CA" w:rsidP="00077DBB">
      <w:pPr>
        <w:shd w:val="clear" w:color="auto" w:fill="FFFFFF" w:themeFill="background1"/>
        <w:spacing w:line="240" w:lineRule="auto"/>
        <w:rPr>
          <w:rFonts w:cs="Arial"/>
          <w:lang w:eastAsia="en-AU"/>
        </w:rPr>
      </w:pPr>
      <w:r w:rsidRPr="00DE491D">
        <w:rPr>
          <w:rFonts w:cs="Arial"/>
          <w:lang w:eastAsia="en-AU"/>
        </w:rPr>
        <w:t>The</w:t>
      </w:r>
      <w:r w:rsidR="00077DBB"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will be available</w:t>
      </w:r>
      <w:r w:rsidR="00615839" w:rsidRPr="00DE491D">
        <w:rPr>
          <w:rFonts w:cs="Arial"/>
          <w:lang w:eastAsia="en-AU"/>
        </w:rPr>
        <w:t xml:space="preserve"> free of charge</w:t>
      </w:r>
      <w:r w:rsidR="00077DBB" w:rsidRPr="00DE491D" w:rsidDel="00B94DE5">
        <w:rPr>
          <w:rFonts w:cs="Arial"/>
          <w:lang w:eastAsia="en-AU"/>
        </w:rPr>
        <w:t xml:space="preserve"> </w:t>
      </w:r>
      <w:r w:rsidR="00077DBB" w:rsidRPr="00DE491D">
        <w:rPr>
          <w:rFonts w:cs="Arial"/>
          <w:lang w:eastAsia="en-AU"/>
        </w:rPr>
        <w:t xml:space="preserve">for specific priority groups in Victoria: </w:t>
      </w:r>
    </w:p>
    <w:p w14:paraId="7A00222B" w14:textId="77777777" w:rsidR="00077DBB" w:rsidRDefault="00077DBB" w:rsidP="00D32BAA">
      <w:pPr>
        <w:pStyle w:val="Heading3"/>
        <w:spacing w:before="240"/>
        <w:rPr>
          <w:lang w:eastAsia="en-AU"/>
        </w:rPr>
      </w:pPr>
      <w:r w:rsidRPr="004F5A5C">
        <w:rPr>
          <w:lang w:eastAsia="en-AU"/>
        </w:rPr>
        <w:t>Eligibility criteria:</w:t>
      </w:r>
    </w:p>
    <w:p w14:paraId="53850BA8" w14:textId="427EFAD2" w:rsidR="001B0534" w:rsidRPr="00C658C8" w:rsidRDefault="00611C14" w:rsidP="00530EE4">
      <w:pPr>
        <w:spacing w:before="100" w:beforeAutospacing="1" w:after="0" w:line="276" w:lineRule="auto"/>
        <w:jc w:val="both"/>
        <w:rPr>
          <w:rFonts w:ascii="Calibri" w:hAnsi="Calibri"/>
          <w:color w:val="000000"/>
          <w:sz w:val="22"/>
          <w:lang w:eastAsia="zh-CN"/>
        </w:rPr>
      </w:pPr>
      <w:r w:rsidRPr="00611C14">
        <w:rPr>
          <w:b/>
          <w:bCs/>
          <w:szCs w:val="21"/>
        </w:rPr>
        <w:t>Post-exposure preventive vaccination (PEPV)</w:t>
      </w:r>
      <w:r>
        <w:rPr>
          <w:b/>
          <w:bCs/>
          <w:sz w:val="26"/>
          <w:szCs w:val="26"/>
        </w:rPr>
        <w:t xml:space="preserve"> </w:t>
      </w:r>
      <w:r w:rsidR="001B0534">
        <w:rPr>
          <w:lang w:eastAsia="zh-CN"/>
        </w:rPr>
        <w:t xml:space="preserve"> </w:t>
      </w:r>
      <w:r w:rsidR="00CF4AE0">
        <w:rPr>
          <w:lang w:eastAsia="zh-CN"/>
        </w:rPr>
        <w:t>f</w:t>
      </w:r>
      <w:r w:rsidR="007A6D12">
        <w:rPr>
          <w:lang w:eastAsia="zh-CN"/>
        </w:rPr>
        <w:t xml:space="preserve">or </w:t>
      </w:r>
      <w:r w:rsidR="001B0534" w:rsidRPr="00C658C8">
        <w:rPr>
          <w:color w:val="000000"/>
          <w:lang w:eastAsia="zh-CN"/>
        </w:rPr>
        <w:t xml:space="preserve">high risk </w:t>
      </w:r>
      <w:r w:rsidR="001719AE">
        <w:rPr>
          <w:color w:val="000000"/>
          <w:lang w:eastAsia="zh-CN"/>
        </w:rPr>
        <w:t>close</w:t>
      </w:r>
      <w:r w:rsidR="001B0534" w:rsidRPr="00C658C8">
        <w:rPr>
          <w:color w:val="000000"/>
          <w:lang w:eastAsia="zh-CN"/>
        </w:rPr>
        <w:t xml:space="preserve"> contacts </w:t>
      </w:r>
      <w:r w:rsidR="001719AE">
        <w:rPr>
          <w:color w:val="000000"/>
          <w:lang w:eastAsia="zh-CN"/>
        </w:rPr>
        <w:t>of mpox cases</w:t>
      </w:r>
      <w:r w:rsidR="00FB43C2">
        <w:rPr>
          <w:color w:val="000000"/>
          <w:lang w:eastAsia="zh-CN"/>
        </w:rPr>
        <w:t xml:space="preserve">, </w:t>
      </w:r>
      <w:r w:rsidR="001B0534" w:rsidRPr="00C658C8">
        <w:rPr>
          <w:color w:val="000000"/>
          <w:lang w:eastAsia="zh-CN"/>
        </w:rPr>
        <w:t xml:space="preserve">preferably </w:t>
      </w:r>
      <w:r w:rsidR="00FB43C2">
        <w:rPr>
          <w:color w:val="000000"/>
          <w:lang w:eastAsia="zh-CN"/>
        </w:rPr>
        <w:t>within</w:t>
      </w:r>
      <w:r w:rsidR="001B0534" w:rsidRPr="00C658C8">
        <w:rPr>
          <w:color w:val="000000"/>
          <w:lang w:eastAsia="zh-CN"/>
        </w:rPr>
        <w:t xml:space="preserve"> 4 days</w:t>
      </w:r>
      <w:r w:rsidR="007A6D12" w:rsidRPr="00C658C8">
        <w:rPr>
          <w:color w:val="000000"/>
          <w:lang w:eastAsia="zh-CN"/>
        </w:rPr>
        <w:t>.</w:t>
      </w:r>
    </w:p>
    <w:p w14:paraId="25B9B5B7" w14:textId="43B4E7A4" w:rsidR="007620BE" w:rsidRPr="00C658C8" w:rsidRDefault="0085661D" w:rsidP="00530EE4">
      <w:pPr>
        <w:spacing w:before="100" w:beforeAutospacing="1" w:after="0" w:line="276" w:lineRule="auto"/>
        <w:jc w:val="both"/>
        <w:rPr>
          <w:rFonts w:ascii="Calibri" w:hAnsi="Calibri"/>
          <w:color w:val="000000"/>
          <w:sz w:val="22"/>
          <w:lang w:eastAsia="zh-CN"/>
        </w:rPr>
      </w:pPr>
      <w:r w:rsidRPr="00611C14">
        <w:rPr>
          <w:b/>
          <w:bCs/>
          <w:szCs w:val="21"/>
        </w:rPr>
        <w:t>Primary preventive vaccination (PPV)</w:t>
      </w:r>
      <w:r>
        <w:rPr>
          <w:b/>
          <w:bCs/>
          <w:sz w:val="26"/>
          <w:szCs w:val="26"/>
        </w:rPr>
        <w:t xml:space="preserve"> </w:t>
      </w:r>
      <w:r w:rsidR="007620BE">
        <w:rPr>
          <w:lang w:eastAsia="zh-CN"/>
        </w:rPr>
        <w:t xml:space="preserve">for the following: </w:t>
      </w:r>
    </w:p>
    <w:p w14:paraId="321D0712" w14:textId="67305EB2" w:rsidR="001B0534" w:rsidRPr="00C658C8" w:rsidRDefault="001B0534" w:rsidP="001D7D9C">
      <w:pPr>
        <w:pStyle w:val="ListParagraph"/>
        <w:numPr>
          <w:ilvl w:val="0"/>
          <w:numId w:val="52"/>
        </w:numPr>
        <w:spacing w:after="0" w:line="276" w:lineRule="auto"/>
        <w:ind w:left="1134" w:hanging="567"/>
        <w:rPr>
          <w:rFonts w:eastAsia="Times New Roman"/>
          <w:color w:val="000000"/>
          <w:lang w:eastAsia="zh-CN"/>
        </w:rPr>
      </w:pPr>
      <w:r w:rsidRPr="00C658C8">
        <w:rPr>
          <w:rFonts w:eastAsia="Times New Roman"/>
          <w:color w:val="000000" w:themeColor="text1"/>
          <w:lang w:eastAsia="zh-CN"/>
        </w:rPr>
        <w:t>Gay, bisexual, and other men, non-binary people assigned male at birth, or trans people who have sex with men (including cis and trans men)</w:t>
      </w:r>
      <w:r w:rsidR="0063109E" w:rsidRPr="00C658C8">
        <w:rPr>
          <w:rFonts w:eastAsia="Times New Roman"/>
          <w:color w:val="000000" w:themeColor="text1"/>
          <w:lang w:eastAsia="zh-CN"/>
        </w:rPr>
        <w:t xml:space="preserve"> </w:t>
      </w:r>
      <w:r w:rsidRPr="00C658C8">
        <w:rPr>
          <w:rFonts w:eastAsia="Times New Roman"/>
          <w:lang w:eastAsia="zh-CN"/>
        </w:rPr>
        <w:t>at increased risk of mpox infection.</w:t>
      </w:r>
    </w:p>
    <w:p w14:paraId="1EA50B9E" w14:textId="45ADB57F" w:rsidR="001B0534" w:rsidRDefault="001B0534" w:rsidP="00C658C8">
      <w:pPr>
        <w:spacing w:before="120" w:line="276" w:lineRule="auto"/>
        <w:ind w:left="1080"/>
        <w:contextualSpacing/>
        <w:jc w:val="both"/>
        <w:rPr>
          <w:rFonts w:eastAsiaTheme="minorHAnsi"/>
          <w:color w:val="538135"/>
          <w:lang w:eastAsia="zh-CN"/>
        </w:rPr>
      </w:pPr>
      <w:r>
        <w:rPr>
          <w:lang w:eastAsia="zh-CN"/>
        </w:rPr>
        <w:t>Proxy markers for increased risk of mpox infection may include:</w:t>
      </w:r>
    </w:p>
    <w:p w14:paraId="3CBB6A37" w14:textId="3CB54C07" w:rsidR="001B0534" w:rsidRPr="00C658C8" w:rsidRDefault="001B0534" w:rsidP="001D7D9C">
      <w:pPr>
        <w:pStyle w:val="ListParagraph"/>
        <w:numPr>
          <w:ilvl w:val="0"/>
          <w:numId w:val="51"/>
        </w:numPr>
        <w:spacing w:after="0" w:line="276" w:lineRule="auto"/>
        <w:rPr>
          <w:color w:val="000000"/>
          <w:lang w:eastAsia="zh-CN"/>
        </w:rPr>
      </w:pPr>
      <w:r>
        <w:rPr>
          <w:lang w:eastAsia="zh-CN"/>
        </w:rPr>
        <w:t>Those living with HIV.</w:t>
      </w:r>
    </w:p>
    <w:p w14:paraId="7CE69432" w14:textId="4C5D140D" w:rsidR="001B0534" w:rsidRPr="00C658C8" w:rsidRDefault="001B0534" w:rsidP="001D7D9C">
      <w:pPr>
        <w:pStyle w:val="ListParagraph"/>
        <w:numPr>
          <w:ilvl w:val="0"/>
          <w:numId w:val="51"/>
        </w:numPr>
        <w:spacing w:after="0" w:line="276" w:lineRule="auto"/>
        <w:rPr>
          <w:color w:val="000000"/>
          <w:lang w:eastAsia="zh-CN"/>
        </w:rPr>
      </w:pPr>
      <w:r>
        <w:rPr>
          <w:lang w:eastAsia="zh-CN"/>
        </w:rPr>
        <w:t>A recent history of multiple sexual partners, participating in group sex, or attending sex on premises venues.</w:t>
      </w:r>
    </w:p>
    <w:p w14:paraId="34D048A9" w14:textId="6044F87E" w:rsidR="001B0534" w:rsidRPr="00C658C8" w:rsidRDefault="001B0534" w:rsidP="001D7D9C">
      <w:pPr>
        <w:pStyle w:val="ListParagraph"/>
        <w:numPr>
          <w:ilvl w:val="0"/>
          <w:numId w:val="51"/>
        </w:numPr>
        <w:spacing w:after="0" w:line="276" w:lineRule="auto"/>
        <w:jc w:val="both"/>
        <w:rPr>
          <w:strike/>
          <w:color w:val="000000"/>
          <w:lang w:eastAsia="zh-CN"/>
        </w:rPr>
      </w:pPr>
      <w:r>
        <w:rPr>
          <w:lang w:eastAsia="zh-CN"/>
        </w:rPr>
        <w:lastRenderedPageBreak/>
        <w:t xml:space="preserve">Other proxy markers, such as recent sexually transmitted infection or those being advised to take HIV </w:t>
      </w:r>
      <w:r w:rsidR="00C324B6">
        <w:rPr>
          <w:lang w:eastAsia="zh-CN"/>
        </w:rPr>
        <w:t>pre-exposure prophylaxis (P</w:t>
      </w:r>
      <w:r w:rsidR="00D24062">
        <w:rPr>
          <w:lang w:eastAsia="zh-CN"/>
        </w:rPr>
        <w:t>rEP)</w:t>
      </w:r>
      <w:r>
        <w:rPr>
          <w:lang w:eastAsia="zh-CN"/>
        </w:rPr>
        <w:t xml:space="preserve"> due to </w:t>
      </w:r>
      <w:r w:rsidR="0020620A">
        <w:rPr>
          <w:lang w:eastAsia="zh-CN"/>
        </w:rPr>
        <w:t xml:space="preserve">the </w:t>
      </w:r>
      <w:r>
        <w:rPr>
          <w:lang w:eastAsia="zh-CN"/>
        </w:rPr>
        <w:t xml:space="preserve">number of sexual partners. </w:t>
      </w:r>
    </w:p>
    <w:p w14:paraId="35805708" w14:textId="49128AD5" w:rsidR="001B0534" w:rsidRPr="00C658C8" w:rsidRDefault="001B0534" w:rsidP="001D7D9C">
      <w:pPr>
        <w:pStyle w:val="ListParagraph"/>
        <w:numPr>
          <w:ilvl w:val="0"/>
          <w:numId w:val="51"/>
        </w:numPr>
        <w:spacing w:after="0" w:line="276" w:lineRule="auto"/>
        <w:rPr>
          <w:color w:val="000000"/>
          <w:lang w:eastAsia="zh-CN"/>
        </w:rPr>
      </w:pPr>
      <w:r>
        <w:rPr>
          <w:lang w:eastAsia="zh-CN"/>
        </w:rPr>
        <w:t>Recommendation from other service providers, such as sexual health clinics.</w:t>
      </w:r>
    </w:p>
    <w:p w14:paraId="1797AD5E" w14:textId="0DCFF556" w:rsidR="001B0534" w:rsidRDefault="001B0534" w:rsidP="00CB58F4">
      <w:pPr>
        <w:numPr>
          <w:ilvl w:val="1"/>
          <w:numId w:val="53"/>
        </w:numPr>
        <w:spacing w:before="100" w:beforeAutospacing="1" w:after="0" w:line="276" w:lineRule="auto"/>
        <w:ind w:hanging="873"/>
        <w:contextualSpacing/>
        <w:rPr>
          <w:color w:val="000000"/>
          <w:lang w:eastAsia="zh-CN"/>
        </w:rPr>
      </w:pPr>
      <w:r w:rsidRPr="5D18FD76">
        <w:rPr>
          <w:color w:val="000000" w:themeColor="text1"/>
          <w:lang w:eastAsia="zh-CN"/>
        </w:rPr>
        <w:t xml:space="preserve">Sex workers, particularly those whose clients are in high-risk categories </w:t>
      </w:r>
      <w:r>
        <w:rPr>
          <w:lang w:eastAsia="zh-CN"/>
        </w:rPr>
        <w:t>listed above</w:t>
      </w:r>
      <w:r w:rsidRPr="5D18FD76">
        <w:rPr>
          <w:color w:val="000000" w:themeColor="text1"/>
          <w:lang w:eastAsia="zh-CN"/>
        </w:rPr>
        <w:t>.</w:t>
      </w:r>
    </w:p>
    <w:p w14:paraId="30E2B25C" w14:textId="1C8BCE79" w:rsidR="001B0534" w:rsidRDefault="001B0534" w:rsidP="00CB58F4">
      <w:pPr>
        <w:numPr>
          <w:ilvl w:val="1"/>
          <w:numId w:val="53"/>
        </w:numPr>
        <w:spacing w:before="100" w:beforeAutospacing="1" w:after="0" w:line="276" w:lineRule="auto"/>
        <w:ind w:hanging="873"/>
        <w:contextualSpacing/>
        <w:rPr>
          <w:color w:val="000000"/>
          <w:lang w:eastAsia="zh-CN"/>
        </w:rPr>
      </w:pPr>
      <w:r w:rsidRPr="5D18FD76">
        <w:rPr>
          <w:color w:val="000000" w:themeColor="text1"/>
          <w:lang w:eastAsia="zh-CN"/>
        </w:rPr>
        <w:t>Anyone in the above high-risk categories who is planning travel to a country experiencing a significant outbreak, with vaccination recommended 4-6 weeks prior to departure.</w:t>
      </w:r>
    </w:p>
    <w:p w14:paraId="03E14AA4" w14:textId="2186BBC8" w:rsidR="001B0534" w:rsidRPr="00882993" w:rsidRDefault="001B0534" w:rsidP="00CB58F4">
      <w:pPr>
        <w:numPr>
          <w:ilvl w:val="1"/>
          <w:numId w:val="53"/>
        </w:numPr>
        <w:spacing w:before="100" w:beforeAutospacing="1" w:after="0" w:line="276" w:lineRule="auto"/>
        <w:ind w:hanging="873"/>
        <w:contextualSpacing/>
        <w:rPr>
          <w:color w:val="000000"/>
          <w:lang w:eastAsia="zh-CN"/>
        </w:rPr>
      </w:pPr>
      <w:r>
        <w:rPr>
          <w:lang w:eastAsia="zh-CN"/>
        </w:rPr>
        <w:t>Anyone at greater risk of a poor clinical outcome from mpox infection, such as individuals with immunocompromise.</w:t>
      </w:r>
    </w:p>
    <w:p w14:paraId="4F76CCB9" w14:textId="77777777" w:rsidR="00882993" w:rsidRDefault="00882993" w:rsidP="00CB58F4">
      <w:pPr>
        <w:numPr>
          <w:ilvl w:val="1"/>
          <w:numId w:val="53"/>
        </w:numPr>
        <w:spacing w:before="100" w:beforeAutospacing="1" w:after="0" w:line="276" w:lineRule="auto"/>
        <w:ind w:hanging="873"/>
        <w:contextualSpacing/>
        <w:rPr>
          <w:color w:val="000000"/>
          <w:lang w:eastAsia="zh-CN"/>
        </w:rPr>
      </w:pPr>
      <w:r w:rsidRPr="5D18FD76">
        <w:rPr>
          <w:color w:val="000000" w:themeColor="text1"/>
          <w:lang w:eastAsia="zh-CN"/>
        </w:rPr>
        <w:t xml:space="preserve">Sexually active gay, bisexual, and other men, non-binary people assigned male at birth, or trans people who have sex with men (including cis and trans men) who are homeless or have significant drug use or psychiatric illness. </w:t>
      </w:r>
    </w:p>
    <w:p w14:paraId="74F93989" w14:textId="1BC6A18A" w:rsidR="001B0534" w:rsidRDefault="001B0534" w:rsidP="00CB58F4">
      <w:pPr>
        <w:numPr>
          <w:ilvl w:val="1"/>
          <w:numId w:val="53"/>
        </w:numPr>
        <w:spacing w:before="100" w:beforeAutospacing="1" w:after="0" w:line="276" w:lineRule="auto"/>
        <w:ind w:hanging="873"/>
        <w:contextualSpacing/>
        <w:rPr>
          <w:color w:val="000000"/>
          <w:lang w:eastAsia="zh-CN"/>
        </w:rPr>
      </w:pPr>
      <w:r w:rsidRPr="5D18FD76">
        <w:rPr>
          <w:color w:val="000000" w:themeColor="text1"/>
          <w:lang w:eastAsia="zh-CN"/>
        </w:rPr>
        <w:t xml:space="preserve">Immunisation providers </w:t>
      </w:r>
      <w:bookmarkStart w:id="29" w:name="_Hlk109377241"/>
      <w:r w:rsidRPr="5D18FD76">
        <w:rPr>
          <w:color w:val="000000" w:themeColor="text1"/>
          <w:lang w:eastAsia="zh-CN"/>
        </w:rPr>
        <w:t>who are administering the ACAM2000™ smallpox vaccine</w:t>
      </w:r>
      <w:bookmarkEnd w:id="29"/>
      <w:r w:rsidRPr="5D18FD76">
        <w:rPr>
          <w:color w:val="000000" w:themeColor="text1"/>
          <w:lang w:eastAsia="zh-CN"/>
        </w:rPr>
        <w:t xml:space="preserve">. </w:t>
      </w:r>
    </w:p>
    <w:p w14:paraId="0F9E3397" w14:textId="48DEB6B5" w:rsidR="00DF0AB3" w:rsidRPr="0025269B" w:rsidRDefault="00A85004" w:rsidP="00CB58F4">
      <w:pPr>
        <w:numPr>
          <w:ilvl w:val="1"/>
          <w:numId w:val="53"/>
        </w:numPr>
        <w:spacing w:before="100" w:beforeAutospacing="1" w:after="0" w:line="276" w:lineRule="auto"/>
        <w:ind w:hanging="873"/>
        <w:contextualSpacing/>
        <w:rPr>
          <w:color w:val="000000"/>
          <w:lang w:eastAsia="zh-CN"/>
        </w:rPr>
      </w:pPr>
      <w:r w:rsidRPr="5D18FD76">
        <w:rPr>
          <w:color w:val="000000" w:themeColor="text1"/>
          <w:lang w:eastAsia="zh-CN"/>
        </w:rPr>
        <w:t>Laboratory worke</w:t>
      </w:r>
      <w:r w:rsidR="00DF0AB3" w:rsidRPr="5D18FD76">
        <w:rPr>
          <w:color w:val="000000" w:themeColor="text1"/>
          <w:lang w:eastAsia="zh-CN"/>
        </w:rPr>
        <w:t>rs who analyse specimens from mpox cases</w:t>
      </w:r>
    </w:p>
    <w:p w14:paraId="5A9C9188" w14:textId="4DEAB6DE" w:rsidR="0025269B" w:rsidRDefault="0025269B" w:rsidP="00CB58F4">
      <w:pPr>
        <w:numPr>
          <w:ilvl w:val="1"/>
          <w:numId w:val="53"/>
        </w:numPr>
        <w:spacing w:before="100" w:beforeAutospacing="1" w:after="0" w:line="276" w:lineRule="auto"/>
        <w:ind w:hanging="873"/>
        <w:contextualSpacing/>
        <w:rPr>
          <w:color w:val="000000"/>
          <w:lang w:eastAsia="zh-CN"/>
        </w:rPr>
      </w:pPr>
      <w:r>
        <w:t xml:space="preserve">Vaccination may also be considered for PPV for healthcare workers at higher risk of exposure to patients with mpox, including primary care, sexual health clinics, hospital staff and others, based on local risk assessments. The risk of transmission should be also minimised by using </w:t>
      </w:r>
      <w:hyperlink r:id="rId16" w:history="1">
        <w:r w:rsidRPr="001366B1">
          <w:rPr>
            <w:rStyle w:val="Hyperlink"/>
          </w:rPr>
          <w:t>infection control measures</w:t>
        </w:r>
      </w:hyperlink>
      <w:r w:rsidR="00EA3809">
        <w:t>.</w:t>
      </w:r>
      <w:r>
        <w:t>.</w:t>
      </w:r>
      <w:r w:rsidR="00EA3809">
        <w:t xml:space="preserve"> </w:t>
      </w:r>
      <w:r w:rsidR="003B26A2">
        <w:t>&lt;</w:t>
      </w:r>
      <w:r w:rsidR="003B26A2" w:rsidRPr="003B26A2">
        <w:t>https://www.health.gov.au/resources/publications/iceg-interim-guidance-on-monkeypox-for-health-workers</w:t>
      </w:r>
      <w:r w:rsidR="003B26A2">
        <w:t>&gt;</w:t>
      </w:r>
    </w:p>
    <w:p w14:paraId="7D138382" w14:textId="15ED845A" w:rsidR="00AF1F87" w:rsidRPr="00AF1F87" w:rsidRDefault="2D24D4C4" w:rsidP="00CB58F4">
      <w:pPr>
        <w:spacing w:before="120" w:line="288" w:lineRule="auto"/>
        <w:jc w:val="both"/>
        <w:textAlignment w:val="baseline"/>
        <w:rPr>
          <w:rStyle w:val="normaltextrun"/>
          <w:rFonts w:eastAsia="MS Gothic" w:cs="Arial"/>
          <w:szCs w:val="21"/>
          <w:lang w:val="en-US"/>
        </w:rPr>
      </w:pPr>
      <w:r w:rsidRPr="00BD6850">
        <w:rPr>
          <w:rFonts w:eastAsia="Arial" w:cs="Arial"/>
          <w:b/>
          <w:bCs/>
          <w:color w:val="2A2736"/>
          <w:szCs w:val="21"/>
        </w:rPr>
        <w:t>*</w:t>
      </w:r>
      <w:r w:rsidRPr="004C53C6">
        <w:rPr>
          <w:rFonts w:eastAsia="Arial" w:cs="Arial"/>
          <w:szCs w:val="21"/>
        </w:rPr>
        <w:t>A person will start to build protection in the days after their first dose with antibodies providing protection within 2 weeks.</w:t>
      </w:r>
      <w:r w:rsidR="00AF1F87" w:rsidRPr="004C53C6">
        <w:rPr>
          <w:rFonts w:eastAsia="Arial" w:cs="Arial"/>
          <w:szCs w:val="21"/>
        </w:rPr>
        <w:t xml:space="preserve"> </w:t>
      </w:r>
      <w:r w:rsidR="00AF1F87" w:rsidRPr="004C53C6">
        <w:rPr>
          <w:rStyle w:val="normaltextrun"/>
          <w:rFonts w:eastAsia="MS Gothic"/>
          <w:szCs w:val="21"/>
          <w:lang w:val="en-US"/>
        </w:rPr>
        <w:t xml:space="preserve">The </w:t>
      </w:r>
      <w:r w:rsidR="00B83C57" w:rsidRPr="00DE491D">
        <w:rPr>
          <w:rFonts w:cs="Arial"/>
          <w:lang w:eastAsia="en-AU"/>
        </w:rPr>
        <w:t>mpox vaccine JYNNEOS</w:t>
      </w:r>
      <w:r w:rsidR="00B83C57" w:rsidRPr="00DE491D">
        <w:rPr>
          <w:rFonts w:cs="Arial"/>
          <w:vertAlign w:val="superscript"/>
          <w:lang w:eastAsia="en-AU"/>
        </w:rPr>
        <w:t>®</w:t>
      </w:r>
      <w:r w:rsidR="00B83C57" w:rsidRPr="00DE491D">
        <w:rPr>
          <w:rFonts w:cs="Arial"/>
          <w:lang w:eastAsia="en-AU"/>
        </w:rPr>
        <w:t xml:space="preserve"> </w:t>
      </w:r>
      <w:r w:rsidR="00AF1F87" w:rsidRPr="004C53C6">
        <w:rPr>
          <w:rStyle w:val="normaltextrun"/>
          <w:rFonts w:eastAsia="MS Gothic"/>
          <w:szCs w:val="21"/>
          <w:lang w:val="en-US"/>
        </w:rPr>
        <w:t>requires two doses for maximum protection</w:t>
      </w:r>
      <w:r w:rsidR="00AF1F87" w:rsidRPr="00AF1F87">
        <w:rPr>
          <w:rStyle w:val="normaltextrun"/>
          <w:rFonts w:eastAsia="MS Gothic"/>
          <w:szCs w:val="21"/>
          <w:lang w:val="en-US"/>
        </w:rPr>
        <w:t xml:space="preserve">. </w:t>
      </w:r>
    </w:p>
    <w:p w14:paraId="3EBCE1C3" w14:textId="7C830210" w:rsidR="00077DBB" w:rsidRPr="00E5528F" w:rsidRDefault="00077DBB" w:rsidP="00CB58F4">
      <w:pPr>
        <w:spacing w:before="120" w:line="288" w:lineRule="auto"/>
        <w:jc w:val="both"/>
        <w:textAlignment w:val="baseline"/>
        <w:rPr>
          <w:rFonts w:cs="Arial"/>
          <w:lang w:eastAsia="en-AU"/>
        </w:rPr>
      </w:pPr>
      <w:r w:rsidRPr="5F198B37">
        <w:rPr>
          <w:rFonts w:cs="Arial"/>
          <w:lang w:eastAsia="en-AU"/>
        </w:rPr>
        <w:t xml:space="preserve">Vaccines </w:t>
      </w:r>
      <w:r w:rsidR="00A36843">
        <w:rPr>
          <w:rFonts w:cs="Arial"/>
          <w:lang w:eastAsia="en-AU"/>
        </w:rPr>
        <w:t>are</w:t>
      </w:r>
      <w:r w:rsidRPr="5F198B37">
        <w:rPr>
          <w:rFonts w:cs="Arial"/>
          <w:lang w:eastAsia="en-AU"/>
        </w:rPr>
        <w:t xml:space="preserve"> available </w:t>
      </w:r>
      <w:r w:rsidR="002045CA" w:rsidRPr="5F198B37">
        <w:rPr>
          <w:rFonts w:cs="Arial"/>
          <w:lang w:eastAsia="en-AU"/>
        </w:rPr>
        <w:t>t</w:t>
      </w:r>
      <w:r w:rsidR="586DA3A7" w:rsidRPr="5F198B37">
        <w:rPr>
          <w:rFonts w:cs="Arial"/>
          <w:lang w:eastAsia="en-AU"/>
        </w:rPr>
        <w:t>hrough</w:t>
      </w:r>
      <w:r w:rsidRPr="5F198B37">
        <w:rPr>
          <w:rFonts w:cs="Arial"/>
          <w:lang w:eastAsia="en-AU"/>
        </w:rPr>
        <w:t xml:space="preserve"> select sexual health clinics, local public health units (LPHUs) and hospitals as advised and updated on the </w:t>
      </w:r>
      <w:r w:rsidR="009E7BD0" w:rsidRPr="5F198B37">
        <w:rPr>
          <w:rFonts w:cs="Arial"/>
          <w:lang w:eastAsia="en-AU"/>
        </w:rPr>
        <w:t xml:space="preserve">Victorian Department of Health website </w:t>
      </w:r>
      <w:r w:rsidR="001E0F4B" w:rsidRPr="5F198B37">
        <w:rPr>
          <w:rFonts w:cs="Arial"/>
          <w:lang w:eastAsia="en-AU"/>
        </w:rPr>
        <w:t>–</w:t>
      </w:r>
      <w:r w:rsidR="009E7BD0" w:rsidRPr="5F198B37">
        <w:rPr>
          <w:rFonts w:cs="Arial"/>
          <w:lang w:eastAsia="en-AU"/>
        </w:rPr>
        <w:t xml:space="preserve"> </w:t>
      </w:r>
      <w:hyperlink r:id="rId17" w:history="1">
        <w:r w:rsidR="009C1FD6" w:rsidRPr="00A703DE">
          <w:rPr>
            <w:rStyle w:val="Hyperlink"/>
            <w:rFonts w:cs="Arial"/>
            <w:lang w:eastAsia="en-AU"/>
          </w:rPr>
          <w:t>Mpox (monkeypox)</w:t>
        </w:r>
      </w:hyperlink>
      <w:r w:rsidR="001E0F4B" w:rsidRPr="5F198B37">
        <w:rPr>
          <w:rFonts w:cs="Arial"/>
          <w:lang w:eastAsia="en-AU"/>
        </w:rPr>
        <w:t xml:space="preserve"> -  &lt;</w:t>
      </w:r>
      <w:r w:rsidR="001E0F4B" w:rsidRPr="00A703DE">
        <w:rPr>
          <w:rFonts w:cs="Arial"/>
          <w:lang w:eastAsia="en-AU"/>
        </w:rPr>
        <w:t>https://www.health.vic.gov.au/infectious-diseases/</w:t>
      </w:r>
      <w:r w:rsidR="004B06E1">
        <w:rPr>
          <w:rFonts w:cs="Arial"/>
          <w:lang w:eastAsia="en-AU"/>
        </w:rPr>
        <w:t>mpox-</w:t>
      </w:r>
      <w:r w:rsidR="001E0F4B" w:rsidRPr="00A703DE">
        <w:rPr>
          <w:rFonts w:cs="Arial"/>
          <w:lang w:eastAsia="en-AU"/>
        </w:rPr>
        <w:t>monkeypox</w:t>
      </w:r>
      <w:r w:rsidR="001E0F4B" w:rsidRPr="5F198B37">
        <w:rPr>
          <w:rFonts w:cs="Arial"/>
          <w:lang w:eastAsia="en-AU"/>
        </w:rPr>
        <w:t>&gt;.</w:t>
      </w:r>
    </w:p>
    <w:p w14:paraId="4400A33A" w14:textId="39F26598" w:rsidR="00077DBB" w:rsidRPr="006F1A2A" w:rsidRDefault="7BCD4BF7" w:rsidP="0022510D">
      <w:pPr>
        <w:pStyle w:val="Heading1"/>
        <w:spacing w:before="240"/>
      </w:pPr>
      <w:bookmarkStart w:id="30" w:name="_Toc122340753"/>
      <w:r>
        <w:t>Mpox vaccines</w:t>
      </w:r>
      <w:bookmarkEnd w:id="30"/>
      <w:r>
        <w:t xml:space="preserve"> </w:t>
      </w:r>
    </w:p>
    <w:p w14:paraId="142A4442" w14:textId="2330543C" w:rsidR="00077DBB" w:rsidRPr="006F1A2A" w:rsidRDefault="7BCD4BF7" w:rsidP="0022510D">
      <w:pPr>
        <w:pStyle w:val="Heading2"/>
        <w:spacing w:before="240"/>
        <w:rPr>
          <w:rStyle w:val="Hyperlink"/>
          <w:color w:val="1F497D" w:themeColor="text2"/>
        </w:rPr>
      </w:pPr>
      <w:bookmarkStart w:id="31" w:name="_Toc122340754"/>
      <w:r>
        <w:t>Mpox vaccines for use in Victoria</w:t>
      </w:r>
      <w:bookmarkEnd w:id="31"/>
    </w:p>
    <w:p w14:paraId="4E4435C2" w14:textId="39CFEC5C"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is not registered for use in Australia and has not been formally assessed by the </w:t>
      </w:r>
      <w:r w:rsidRPr="00434356">
        <w:rPr>
          <w:rFonts w:eastAsia="Times New Roman"/>
        </w:rPr>
        <w:t>Therapeutic Goods Administration (TGA) but has been made available via a special emergency pathway under section 18A of the Therapeutic Goods Act 1989 (Cth)</w:t>
      </w:r>
      <w:r w:rsidR="007C6685" w:rsidRPr="00434356">
        <w:rPr>
          <w:rFonts w:eastAsia="Times New Roman"/>
        </w:rPr>
        <w:t>.</w:t>
      </w:r>
    </w:p>
    <w:p w14:paraId="3A888A94" w14:textId="02CFBCA0" w:rsidR="00863AC6" w:rsidRPr="00434356" w:rsidRDefault="7BCD4BF7" w:rsidP="001D7D9C">
      <w:pPr>
        <w:pStyle w:val="ListParagraph"/>
        <w:numPr>
          <w:ilvl w:val="0"/>
          <w:numId w:val="55"/>
        </w:numPr>
        <w:spacing w:after="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of administration with an injection volume of 0.5mL. </w:t>
      </w:r>
    </w:p>
    <w:p w14:paraId="4E02447C" w14:textId="38DEB14E" w:rsidR="001C46DB" w:rsidRPr="00434356" w:rsidRDefault="00300F1A" w:rsidP="001D7D9C">
      <w:pPr>
        <w:pStyle w:val="ListParagraph"/>
        <w:numPr>
          <w:ilvl w:val="0"/>
          <w:numId w:val="55"/>
        </w:numPr>
        <w:spacing w:after="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330905">
        <w:rPr>
          <w:rFonts w:eastAsia="Arial" w:cs="Arial"/>
        </w:rPr>
        <w:t xml:space="preserve"> </w:t>
      </w:r>
      <w:r w:rsidR="7BCD4BF7" w:rsidRPr="00434356">
        <w:rPr>
          <w:rFonts w:eastAsia="Arial" w:cs="Arial"/>
        </w:rPr>
        <w:t xml:space="preserve">with an injection volume of 0.1mL </w:t>
      </w:r>
      <w:r w:rsidR="6F3A25CA" w:rsidRPr="00434356">
        <w:rPr>
          <w:rFonts w:eastAsia="Arial" w:cs="Arial"/>
        </w:rPr>
        <w:t xml:space="preserve">in </w:t>
      </w:r>
      <w:r w:rsidR="00DD2982" w:rsidRPr="00434356">
        <w:rPr>
          <w:rFonts w:eastAsia="Arial" w:cs="Arial"/>
        </w:rPr>
        <w:t xml:space="preserve">all </w:t>
      </w:r>
      <w:r w:rsidR="00875CD8" w:rsidRPr="00434356">
        <w:rPr>
          <w:rFonts w:eastAsia="Arial" w:cs="Arial"/>
        </w:rPr>
        <w:t>people</w:t>
      </w:r>
      <w:r w:rsidR="00DD2982" w:rsidRPr="00434356">
        <w:rPr>
          <w:rFonts w:eastAsia="Arial" w:cs="Arial"/>
        </w:rPr>
        <w:t>.</w:t>
      </w:r>
      <w:r w:rsidR="007B2903" w:rsidRPr="00434356">
        <w:rPr>
          <w:rStyle w:val="FootnoteReference"/>
          <w:rFonts w:eastAsia="Arial" w:cs="Arial"/>
        </w:rPr>
        <w:footnoteReference w:id="6"/>
      </w:r>
      <w:r w:rsidR="6F3A25CA" w:rsidRPr="00434356">
        <w:rPr>
          <w:rFonts w:eastAsia="Arial" w:cs="Arial"/>
        </w:rPr>
        <w:t xml:space="preserve">. </w:t>
      </w:r>
    </w:p>
    <w:p w14:paraId="74BBD3D6" w14:textId="77777777" w:rsidR="00E974D2" w:rsidRDefault="00E974D2" w:rsidP="0E85B56F">
      <w:pPr>
        <w:rPr>
          <w:rFonts w:eastAsia="Arial" w:cs="Arial"/>
        </w:rPr>
      </w:pPr>
    </w:p>
    <w:p w14:paraId="7EB26690" w14:textId="5E9D503E" w:rsidR="00077DBB" w:rsidRPr="005D77D7" w:rsidRDefault="7BCD4BF7" w:rsidP="00F05EFA">
      <w:pPr>
        <w:pStyle w:val="Heading4"/>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10774" w:type="dxa"/>
        <w:tblInd w:w="-71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94"/>
        <w:gridCol w:w="8080"/>
      </w:tblGrid>
      <w:tr w:rsidR="00772A89" w:rsidRPr="00D32BAA" w14:paraId="714F7AAA" w14:textId="77777777" w:rsidTr="0022510D">
        <w:trPr>
          <w:trHeight w:val="384"/>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2A188C1A" w14:textId="1345BB06"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Product Information</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5BE4CC6B" w14:textId="496931A4"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0.5ml vial</w:t>
            </w:r>
          </w:p>
        </w:tc>
      </w:tr>
      <w:tr w:rsidR="00772A89" w:rsidRPr="00D32BAA" w14:paraId="734D92FC" w14:textId="77777777" w:rsidTr="00D32BAA">
        <w:trPr>
          <w:trHeight w:val="496"/>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475727D9"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Type of vaccine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4ECF7779" w14:textId="63A235C5"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highly attenuated vaccine that is replication-deficient</w:t>
            </w:r>
            <w:r w:rsidR="002765AA" w:rsidRPr="00D32BAA">
              <w:rPr>
                <w:rFonts w:cs="Arial"/>
                <w:sz w:val="20"/>
                <w:lang w:eastAsia="en-AU"/>
              </w:rPr>
              <w:t xml:space="preserve"> </w:t>
            </w:r>
            <w:r w:rsidRPr="00D32BAA">
              <w:rPr>
                <w:rFonts w:cs="Arial"/>
                <w:sz w:val="20"/>
                <w:lang w:eastAsia="en-AU"/>
              </w:rPr>
              <w:t>(weakened live vaccinia virus)</w:t>
            </w:r>
          </w:p>
        </w:tc>
      </w:tr>
      <w:tr w:rsidR="00772A89" w:rsidRPr="00D32BAA" w14:paraId="0DC4F303" w14:textId="77777777" w:rsidTr="00D32BAA">
        <w:trPr>
          <w:trHeight w:val="34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62B19E50"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Presentation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14AC3E37" w14:textId="77777777"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Suspension </w:t>
            </w:r>
          </w:p>
        </w:tc>
      </w:tr>
      <w:tr w:rsidR="00772A89" w:rsidRPr="00D32BAA" w14:paraId="0229AC82" w14:textId="77777777" w:rsidTr="0022510D">
        <w:trPr>
          <w:trHeight w:val="364"/>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528E2B96" w14:textId="078E936C" w:rsidR="0E85B56F" w:rsidRPr="00D32BAA" w:rsidRDefault="0E85B56F" w:rsidP="69713638">
            <w:pPr>
              <w:pStyle w:val="DJCSbody"/>
              <w:spacing w:before="40" w:after="40" w:line="120" w:lineRule="atLeast"/>
              <w:rPr>
                <w:rFonts w:eastAsia="Calibri" w:cs="Arial"/>
                <w:b/>
                <w:sz w:val="20"/>
                <w:lang w:eastAsia="en-AU"/>
              </w:rPr>
            </w:pPr>
            <w:r w:rsidRPr="00D32BAA">
              <w:rPr>
                <w:rFonts w:eastAsia="Calibri" w:cs="Arial"/>
                <w:b/>
                <w:sz w:val="20"/>
                <w:lang w:eastAsia="en-AU"/>
              </w:rPr>
              <w:t xml:space="preserve">Age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245009C6" w14:textId="69C43A42" w:rsidR="0E85B56F" w:rsidRPr="00D32BAA" w:rsidRDefault="000C28C8" w:rsidP="69713638">
            <w:pPr>
              <w:pStyle w:val="DJCSbody"/>
              <w:spacing w:before="40" w:after="40" w:line="120" w:lineRule="atLeast"/>
              <w:rPr>
                <w:rFonts w:eastAsia="Calibri" w:cs="Arial"/>
                <w:sz w:val="20"/>
                <w:lang w:eastAsia="en-AU"/>
              </w:rPr>
            </w:pPr>
            <w:r>
              <w:rPr>
                <w:rFonts w:eastAsia="Calibri" w:cs="Arial"/>
                <w:sz w:val="20"/>
                <w:lang w:eastAsia="en-AU"/>
              </w:rPr>
              <w:t>≥</w:t>
            </w:r>
            <w:r w:rsidR="00272126">
              <w:rPr>
                <w:rFonts w:eastAsia="Calibri" w:cs="Arial"/>
                <w:sz w:val="20"/>
                <w:lang w:eastAsia="en-AU"/>
              </w:rPr>
              <w:t>18 years. (</w:t>
            </w:r>
            <w:r w:rsidR="0E85B56F" w:rsidRPr="00D32BAA">
              <w:rPr>
                <w:rFonts w:eastAsia="Calibri" w:cs="Arial"/>
                <w:sz w:val="20"/>
                <w:lang w:eastAsia="en-AU"/>
              </w:rPr>
              <w:t xml:space="preserve">≥ 16 </w:t>
            </w:r>
            <w:r>
              <w:rPr>
                <w:rFonts w:eastAsia="Calibri" w:cs="Arial"/>
                <w:sz w:val="20"/>
                <w:lang w:eastAsia="en-AU"/>
              </w:rPr>
              <w:t>y</w:t>
            </w:r>
            <w:r w:rsidR="0E85B56F" w:rsidRPr="00D32BAA">
              <w:rPr>
                <w:rFonts w:eastAsia="Calibri" w:cs="Arial"/>
                <w:sz w:val="20"/>
                <w:lang w:eastAsia="en-AU"/>
              </w:rPr>
              <w:t xml:space="preserve">ears following risk assessment </w:t>
            </w:r>
            <w:r w:rsidR="000A3ACF">
              <w:rPr>
                <w:rFonts w:eastAsia="Calibri" w:cs="Arial"/>
                <w:sz w:val="20"/>
                <w:lang w:eastAsia="en-AU"/>
              </w:rPr>
              <w:t xml:space="preserve">– refer to </w:t>
            </w:r>
            <w:hyperlink r:id="rId18" w:history="1">
              <w:r w:rsidR="0E85B56F" w:rsidRPr="000A3ACF">
                <w:rPr>
                  <w:rStyle w:val="Hyperlink"/>
                  <w:rFonts w:eastAsia="Calibri" w:cs="Arial"/>
                  <w:sz w:val="20"/>
                  <w:lang w:eastAsia="en-AU"/>
                </w:rPr>
                <w:t>ATAGI</w:t>
              </w:r>
            </w:hyperlink>
            <w:r w:rsidR="0E85B56F" w:rsidRPr="00D32BAA">
              <w:rPr>
                <w:rFonts w:eastAsia="Calibri" w:cs="Arial"/>
                <w:sz w:val="20"/>
                <w:lang w:eastAsia="en-AU"/>
              </w:rPr>
              <w:t>)</w:t>
            </w:r>
            <w:r w:rsidR="000A2523">
              <w:rPr>
                <w:rFonts w:eastAsia="Calibri" w:cs="Arial"/>
                <w:sz w:val="20"/>
                <w:lang w:eastAsia="en-AU"/>
              </w:rPr>
              <w:t xml:space="preserve"> &lt;</w:t>
            </w:r>
            <w:r w:rsidR="000A2523" w:rsidRPr="000A2523">
              <w:rPr>
                <w:rFonts w:eastAsia="Calibri" w:cs="Arial"/>
                <w:sz w:val="20"/>
                <w:lang w:eastAsia="en-AU"/>
              </w:rPr>
              <w:t>https://www.health.gov.au/resources/publications/atagi-clinical-guidance-on-vaccination-against-monkeypox?language=en</w:t>
            </w:r>
            <w:r w:rsidR="000A2523">
              <w:rPr>
                <w:rFonts w:eastAsia="Calibri" w:cs="Arial"/>
                <w:sz w:val="20"/>
                <w:lang w:eastAsia="en-AU"/>
              </w:rPr>
              <w:t>&gt;</w:t>
            </w:r>
          </w:p>
        </w:tc>
      </w:tr>
      <w:tr w:rsidR="00E83F99" w:rsidRPr="00D32BAA" w14:paraId="0734DCF4" w14:textId="77777777" w:rsidTr="00D32BAA">
        <w:trPr>
          <w:trHeight w:val="374"/>
        </w:trPr>
        <w:tc>
          <w:tcPr>
            <w:tcW w:w="2694" w:type="dxa"/>
            <w:vMerge w:val="restart"/>
            <w:tcBorders>
              <w:top w:val="single" w:sz="6" w:space="0" w:color="auto"/>
              <w:left w:val="single" w:sz="6" w:space="0" w:color="auto"/>
              <w:right w:val="single" w:sz="6" w:space="0" w:color="auto"/>
            </w:tcBorders>
            <w:shd w:val="clear" w:color="auto" w:fill="auto"/>
          </w:tcPr>
          <w:p w14:paraId="40B33B85" w14:textId="4474B9B8"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 xml:space="preserve">Route </w:t>
            </w:r>
            <w:r w:rsidR="00E8436A">
              <w:rPr>
                <w:rFonts w:cs="Arial"/>
                <w:b/>
                <w:sz w:val="20"/>
                <w:lang w:eastAsia="en-AU"/>
              </w:rPr>
              <w:t>and</w:t>
            </w:r>
            <w:r w:rsidRPr="00D32BAA">
              <w:rPr>
                <w:rFonts w:cs="Arial"/>
                <w:b/>
                <w:sz w:val="20"/>
                <w:lang w:eastAsia="en-AU"/>
              </w:rPr>
              <w:t xml:space="preserve"> dosage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67CF4021" w14:textId="654D17B1"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Subcutaneous (SC) – 0.5ml (1 dose per vial)</w:t>
            </w:r>
          </w:p>
        </w:tc>
      </w:tr>
      <w:tr w:rsidR="00025384" w:rsidRPr="00D32BAA" w14:paraId="62CDF1D8" w14:textId="77777777" w:rsidTr="00D32BAA">
        <w:trPr>
          <w:trHeight w:val="384"/>
        </w:trPr>
        <w:tc>
          <w:tcPr>
            <w:tcW w:w="2694" w:type="dxa"/>
            <w:vMerge/>
          </w:tcPr>
          <w:p w14:paraId="75851916" w14:textId="77777777" w:rsidR="00B67296" w:rsidRPr="00D32BAA" w:rsidRDefault="00B67296" w:rsidP="003053B5">
            <w:pPr>
              <w:pStyle w:val="DJCSbody"/>
              <w:spacing w:before="40" w:after="40" w:line="120" w:lineRule="atLeast"/>
              <w:rPr>
                <w:rFonts w:cs="Arial"/>
                <w:b/>
                <w:sz w:val="20"/>
              </w:rPr>
            </w:pP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013BA966" w14:textId="3AC65239"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Intradermal (ID)– 0.1ml (up to 5 doses per vial)</w:t>
            </w:r>
          </w:p>
        </w:tc>
      </w:tr>
      <w:tr w:rsidR="00772A89" w:rsidRPr="00D32BAA" w14:paraId="312044E9" w14:textId="77777777" w:rsidTr="00D32BAA">
        <w:trPr>
          <w:trHeight w:val="42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7197D799" w14:textId="045B5B8E" w:rsidR="0E85B56F" w:rsidRPr="00F701EC" w:rsidRDefault="004406BD" w:rsidP="003053B5">
            <w:pPr>
              <w:pStyle w:val="DJCSbody"/>
              <w:spacing w:before="40" w:after="40" w:line="120" w:lineRule="atLeast"/>
              <w:rPr>
                <w:rFonts w:cs="Arial"/>
                <w:b/>
                <w:sz w:val="20"/>
                <w:lang w:eastAsia="en-AU"/>
              </w:rPr>
            </w:pPr>
            <w:r>
              <w:rPr>
                <w:rFonts w:cs="Arial"/>
                <w:b/>
                <w:sz w:val="20"/>
                <w:lang w:eastAsia="en-AU"/>
              </w:rPr>
              <w:t>P</w:t>
            </w:r>
            <w:r w:rsidR="00F701EC" w:rsidRPr="00F701EC">
              <w:rPr>
                <w:b/>
                <w:bCs/>
                <w:sz w:val="20"/>
              </w:rPr>
              <w:t xml:space="preserve">rimary preventive vaccination (PPV)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568E0F6C" w14:textId="4039402F" w:rsidR="0E85B56F" w:rsidRPr="00D32BAA" w:rsidRDefault="00525AAC" w:rsidP="003053B5">
            <w:pPr>
              <w:pStyle w:val="DJCSbody"/>
              <w:spacing w:before="40" w:after="40" w:line="120" w:lineRule="atLeast"/>
              <w:rPr>
                <w:rFonts w:cs="Arial"/>
                <w:sz w:val="20"/>
                <w:lang w:eastAsia="en-AU"/>
              </w:rPr>
            </w:pPr>
            <w:r>
              <w:rPr>
                <w:rFonts w:cs="Arial"/>
                <w:sz w:val="20"/>
                <w:lang w:eastAsia="en-AU"/>
              </w:rPr>
              <w:t xml:space="preserve">Schedule - </w:t>
            </w:r>
            <w:r w:rsidR="0E85B56F" w:rsidRPr="00D32BAA">
              <w:rPr>
                <w:rFonts w:cs="Arial"/>
                <w:sz w:val="20"/>
                <w:lang w:eastAsia="en-AU"/>
              </w:rPr>
              <w:t xml:space="preserve">2 doses, </w:t>
            </w:r>
            <w:r w:rsidR="0E85B56F" w:rsidRPr="00AE003C">
              <w:rPr>
                <w:rFonts w:cs="Arial"/>
                <w:b/>
                <w:bCs/>
                <w:sz w:val="20"/>
                <w:lang w:eastAsia="en-AU"/>
              </w:rPr>
              <w:t>at least</w:t>
            </w:r>
            <w:r w:rsidR="0E85B56F" w:rsidRPr="00D32BAA">
              <w:rPr>
                <w:rFonts w:cs="Arial"/>
                <w:sz w:val="20"/>
                <w:lang w:eastAsia="en-AU"/>
              </w:rPr>
              <w:t xml:space="preserve"> 28 days apart</w:t>
            </w:r>
          </w:p>
        </w:tc>
      </w:tr>
      <w:tr w:rsidR="00772A89" w:rsidRPr="00D32BAA" w14:paraId="03A9C32E" w14:textId="77777777" w:rsidTr="0022510D">
        <w:trPr>
          <w:trHeight w:val="600"/>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42E8B23D" w14:textId="2D6AA1BA" w:rsidR="0E85B56F" w:rsidRPr="00F701EC" w:rsidRDefault="00000000" w:rsidP="003053B5">
            <w:pPr>
              <w:pStyle w:val="DJCSbody"/>
              <w:spacing w:before="40" w:after="40" w:line="120" w:lineRule="atLeast"/>
              <w:rPr>
                <w:rFonts w:cs="Arial"/>
                <w:b/>
                <w:sz w:val="20"/>
                <w:lang w:eastAsia="en-AU"/>
              </w:rPr>
            </w:pPr>
            <w:hyperlink w:anchor="_Post_exposure_prophylaxis" w:history="1">
              <w:r w:rsidR="004406BD">
                <w:rPr>
                  <w:sz w:val="20"/>
                </w:rPr>
                <w:t>P</w:t>
              </w:r>
              <w:r w:rsidR="00F701EC" w:rsidRPr="00F701EC">
                <w:rPr>
                  <w:b/>
                  <w:bCs/>
                  <w:sz w:val="20"/>
                </w:rPr>
                <w:t>ost-exposure preventive vaccination (PEPV)</w:t>
              </w:r>
            </w:hyperlink>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3FCA6860" w14:textId="6BDAD206"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 xml:space="preserve">As recommended by </w:t>
            </w:r>
            <w:r w:rsidR="2DDEAE12" w:rsidRPr="00D32BAA">
              <w:rPr>
                <w:rFonts w:cs="Arial"/>
                <w:sz w:val="20"/>
                <w:lang w:eastAsia="en-AU"/>
              </w:rPr>
              <w:t xml:space="preserve">the </w:t>
            </w:r>
            <w:r w:rsidR="004C119A">
              <w:rPr>
                <w:rFonts w:cs="Arial"/>
                <w:sz w:val="20"/>
                <w:lang w:eastAsia="en-AU"/>
              </w:rPr>
              <w:t>d</w:t>
            </w:r>
            <w:r w:rsidR="2DDEAE12" w:rsidRPr="00D32BAA">
              <w:rPr>
                <w:rFonts w:cs="Arial"/>
                <w:sz w:val="20"/>
                <w:lang w:eastAsia="en-AU"/>
              </w:rPr>
              <w:t xml:space="preserve">epartment </w:t>
            </w:r>
          </w:p>
          <w:p w14:paraId="3E83531A" w14:textId="0F106C79"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1 dose</w:t>
            </w:r>
            <w:r w:rsidR="00FE76D4" w:rsidRPr="00D32BAA">
              <w:rPr>
                <w:rFonts w:cs="Arial"/>
                <w:sz w:val="20"/>
                <w:lang w:eastAsia="en-AU"/>
              </w:rPr>
              <w:t xml:space="preserve"> (SC)</w:t>
            </w:r>
            <w:r w:rsidRPr="00D32BAA">
              <w:rPr>
                <w:rFonts w:cs="Arial"/>
                <w:sz w:val="20"/>
                <w:lang w:eastAsia="en-AU"/>
              </w:rPr>
              <w:t xml:space="preserve"> </w:t>
            </w:r>
            <w:r w:rsidRPr="00D32BAA">
              <w:rPr>
                <w:rFonts w:cs="Arial"/>
                <w:b/>
                <w:sz w:val="20"/>
                <w:lang w:eastAsia="en-AU"/>
              </w:rPr>
              <w:t xml:space="preserve">OR </w:t>
            </w:r>
            <w:r w:rsidRPr="00D32BAA">
              <w:rPr>
                <w:rFonts w:cs="Arial"/>
                <w:sz w:val="20"/>
                <w:lang w:eastAsia="en-AU"/>
              </w:rPr>
              <w:t>2 doses</w:t>
            </w:r>
            <w:r w:rsidR="000737E5" w:rsidRPr="00D32BAA">
              <w:rPr>
                <w:rFonts w:cs="Arial"/>
                <w:sz w:val="20"/>
                <w:lang w:eastAsia="en-AU"/>
              </w:rPr>
              <w:t xml:space="preserve"> (</w:t>
            </w:r>
            <w:r w:rsidRPr="00D32BAA">
              <w:rPr>
                <w:rFonts w:cs="Arial"/>
                <w:sz w:val="20"/>
                <w:lang w:eastAsia="en-AU"/>
              </w:rPr>
              <w:t xml:space="preserve">at least 28 days apart if </w:t>
            </w:r>
            <w:r w:rsidR="5C5196AA" w:rsidRPr="00D32BAA">
              <w:rPr>
                <w:rFonts w:cs="Arial"/>
                <w:sz w:val="20"/>
                <w:lang w:eastAsia="en-AU"/>
              </w:rPr>
              <w:t xml:space="preserve">no infection and </w:t>
            </w:r>
            <w:r w:rsidRPr="00D32BAA">
              <w:rPr>
                <w:rFonts w:cs="Arial"/>
                <w:sz w:val="20"/>
                <w:lang w:eastAsia="en-AU"/>
              </w:rPr>
              <w:t>continuing exposure</w:t>
            </w:r>
            <w:r w:rsidR="000737E5" w:rsidRPr="00D32BAA">
              <w:rPr>
                <w:rFonts w:cs="Arial"/>
                <w:sz w:val="20"/>
                <w:lang w:eastAsia="en-AU"/>
              </w:rPr>
              <w:t>)</w:t>
            </w:r>
          </w:p>
        </w:tc>
      </w:tr>
    </w:tbl>
    <w:p w14:paraId="737AE780" w14:textId="627D9B37" w:rsidR="00077DBB" w:rsidRPr="006F1A2A" w:rsidRDefault="7BCD4BF7" w:rsidP="0E85B56F">
      <w:pPr>
        <w:pStyle w:val="Heading2"/>
      </w:pPr>
      <w:bookmarkStart w:id="32" w:name="_Toc122340755"/>
      <w:r>
        <w:t>Contraindications</w:t>
      </w:r>
      <w:bookmarkEnd w:id="32"/>
    </w:p>
    <w:p w14:paraId="6F46C000" w14:textId="7BF213A9" w:rsidR="0158D2CF" w:rsidRPr="003A16FE" w:rsidRDefault="00CF5914" w:rsidP="003A16FE">
      <w:pPr>
        <w:spacing w:before="120" w:line="288" w:lineRule="auto"/>
        <w:rPr>
          <w:rFonts w:eastAsiaTheme="minorEastAsia"/>
          <w:color w:val="000000" w:themeColor="text1"/>
          <w:szCs w:val="21"/>
        </w:rPr>
      </w:pPr>
      <w:r>
        <w:rPr>
          <w:rFonts w:eastAsiaTheme="minorEastAsia"/>
          <w:color w:val="000000" w:themeColor="text1"/>
          <w:szCs w:val="21"/>
        </w:rPr>
        <w:t xml:space="preserve">A person </w:t>
      </w:r>
      <w:r w:rsidR="0158D2CF" w:rsidRPr="003A16FE">
        <w:rPr>
          <w:rFonts w:eastAsiaTheme="minorEastAsia"/>
          <w:b/>
          <w:bCs/>
          <w:color w:val="000000" w:themeColor="text1"/>
          <w:szCs w:val="21"/>
        </w:rPr>
        <w:t>must not</w:t>
      </w:r>
      <w:r w:rsidR="0158D2CF" w:rsidRPr="003A16FE">
        <w:rPr>
          <w:rFonts w:eastAsiaTheme="minorEastAsia"/>
          <w:color w:val="000000" w:themeColor="text1"/>
          <w:szCs w:val="21"/>
        </w:rPr>
        <w:t xml:space="preserve"> be given </w:t>
      </w:r>
      <w:r w:rsidR="00E4085E">
        <w:rPr>
          <w:rFonts w:eastAsiaTheme="minorEastAsia"/>
          <w:color w:val="000000" w:themeColor="text1"/>
          <w:szCs w:val="21"/>
        </w:rPr>
        <w:t xml:space="preserve">the </w:t>
      </w:r>
      <w:r w:rsidR="0158D2CF" w:rsidRPr="003A16FE">
        <w:rPr>
          <w:rFonts w:eastAsiaTheme="minorEastAsia"/>
          <w:color w:val="000000" w:themeColor="text1"/>
          <w:szCs w:val="21"/>
        </w:rPr>
        <w:t>JYNNEOS</w:t>
      </w:r>
      <w:r w:rsidR="0158D2CF" w:rsidRPr="003A16FE">
        <w:rPr>
          <w:rFonts w:eastAsia="Arial" w:cs="Arial"/>
          <w:color w:val="000000" w:themeColor="text1"/>
          <w:szCs w:val="21"/>
          <w:vertAlign w:val="superscript"/>
        </w:rPr>
        <w:t>®</w:t>
      </w:r>
      <w:r w:rsidR="0158D2CF" w:rsidRPr="003A16FE">
        <w:rPr>
          <w:rFonts w:eastAsiaTheme="minorEastAsia"/>
          <w:color w:val="000000" w:themeColor="text1"/>
          <w:szCs w:val="21"/>
        </w:rPr>
        <w:t xml:space="preserve"> </w:t>
      </w:r>
      <w:r w:rsidR="00712F28">
        <w:rPr>
          <w:rFonts w:eastAsiaTheme="minorEastAsia"/>
          <w:color w:val="000000" w:themeColor="text1"/>
          <w:szCs w:val="21"/>
        </w:rPr>
        <w:t xml:space="preserve">vaccine </w:t>
      </w:r>
      <w:r w:rsidR="0158D2CF" w:rsidRPr="003A16FE">
        <w:rPr>
          <w:rFonts w:eastAsiaTheme="minorEastAsia"/>
          <w:color w:val="000000" w:themeColor="text1"/>
          <w:szCs w:val="21"/>
        </w:rPr>
        <w:t>if:</w:t>
      </w:r>
    </w:p>
    <w:p w14:paraId="442D52B3" w14:textId="482AEF23" w:rsidR="0158D2CF" w:rsidRPr="003A16FE" w:rsidRDefault="0158D2CF" w:rsidP="00603DC8">
      <w:pPr>
        <w:pStyle w:val="ListParagraph"/>
        <w:numPr>
          <w:ilvl w:val="0"/>
          <w:numId w:val="23"/>
        </w:numPr>
        <w:spacing w:before="120" w:line="288" w:lineRule="auto"/>
        <w:rPr>
          <w:rFonts w:asciiTheme="minorHAnsi" w:hAnsiTheme="minorHAnsi"/>
          <w:color w:val="000000" w:themeColor="text1"/>
          <w:szCs w:val="21"/>
        </w:rPr>
      </w:pPr>
      <w:r w:rsidRPr="003A16FE">
        <w:rPr>
          <w:rFonts w:eastAsia="Calibri"/>
          <w:color w:val="000000" w:themeColor="text1"/>
          <w:szCs w:val="21"/>
        </w:rPr>
        <w:t>they have had a sudden</w:t>
      </w:r>
      <w:r w:rsidR="7BCD4BF7" w:rsidRPr="003A16FE">
        <w:rPr>
          <w:szCs w:val="21"/>
        </w:rPr>
        <w:t xml:space="preserve"> </w:t>
      </w:r>
      <w:r w:rsidRPr="003A16FE">
        <w:rPr>
          <w:rFonts w:eastAsia="Calibri"/>
          <w:color w:val="000000" w:themeColor="text1"/>
          <w:szCs w:val="21"/>
        </w:rPr>
        <w:t xml:space="preserve">life-threatening allergic reaction to a previous dose or to any ingredient of </w:t>
      </w:r>
      <w:r w:rsidR="00332387">
        <w:rPr>
          <w:rFonts w:eastAsia="Calibri"/>
          <w:color w:val="000000" w:themeColor="text1"/>
          <w:szCs w:val="21"/>
        </w:rPr>
        <w:t xml:space="preserve">the </w:t>
      </w:r>
      <w:r w:rsidRPr="003A16FE">
        <w:rPr>
          <w:rFonts w:eastAsia="Calibri"/>
          <w:color w:val="000000" w:themeColor="text1"/>
          <w:szCs w:val="21"/>
        </w:rPr>
        <w:t>JYNNEOS</w:t>
      </w:r>
      <w:r w:rsidRPr="003A16FE">
        <w:rPr>
          <w:rFonts w:eastAsia="Arial" w:cs="Arial"/>
          <w:color w:val="000000" w:themeColor="text1"/>
          <w:szCs w:val="21"/>
          <w:vertAlign w:val="superscript"/>
        </w:rPr>
        <w:t>®</w:t>
      </w:r>
      <w:r w:rsidRPr="003A16FE">
        <w:rPr>
          <w:rFonts w:eastAsia="Calibri"/>
          <w:color w:val="000000" w:themeColor="text1"/>
          <w:szCs w:val="21"/>
        </w:rPr>
        <w:t xml:space="preserve"> </w:t>
      </w:r>
      <w:r w:rsidR="00332387">
        <w:rPr>
          <w:rFonts w:eastAsia="Calibri"/>
          <w:color w:val="000000" w:themeColor="text1"/>
          <w:szCs w:val="21"/>
        </w:rPr>
        <w:t xml:space="preserve">vaccine </w:t>
      </w:r>
      <w:r w:rsidRPr="003A16FE">
        <w:rPr>
          <w:rFonts w:eastAsia="Calibri"/>
          <w:color w:val="000000" w:themeColor="text1"/>
          <w:szCs w:val="21"/>
        </w:rPr>
        <w:t>(active substance: modified vaccinia</w:t>
      </w:r>
      <w:r w:rsidR="008D5365" w:rsidRPr="003A16FE">
        <w:rPr>
          <w:szCs w:val="21"/>
        </w:rPr>
        <w:t xml:space="preserve"> </w:t>
      </w:r>
      <w:r w:rsidRPr="003A16FE">
        <w:rPr>
          <w:rFonts w:eastAsia="Calibri"/>
          <w:color w:val="000000" w:themeColor="text1"/>
          <w:szCs w:val="21"/>
        </w:rPr>
        <w:t xml:space="preserve">Ankara – Bavarian Nordic live virus; other ingredients: trometamol, sodium chloride; contains small amounts of chicken host-cell DNA, chicken protein, benzonase, gentamicin, and ciprofloxacin) </w:t>
      </w:r>
    </w:p>
    <w:p w14:paraId="436644CD" w14:textId="5C43CDC3" w:rsidR="008D5365" w:rsidRPr="003A16FE" w:rsidRDefault="0158D2CF" w:rsidP="00603DC8">
      <w:pPr>
        <w:pStyle w:val="ListParagraph"/>
        <w:numPr>
          <w:ilvl w:val="0"/>
          <w:numId w:val="35"/>
        </w:numPr>
        <w:spacing w:before="120" w:line="288" w:lineRule="auto"/>
        <w:rPr>
          <w:rFonts w:cs="Arial"/>
          <w:szCs w:val="21"/>
        </w:rPr>
      </w:pPr>
      <w:r w:rsidRPr="290B9022">
        <w:rPr>
          <w:rFonts w:eastAsia="Calibri"/>
          <w:color w:val="000000" w:themeColor="text1"/>
        </w:rPr>
        <w:t>they are unwell with a high temperature (&gt;</w:t>
      </w:r>
      <w:r w:rsidR="00E57FAD">
        <w:rPr>
          <w:rFonts w:eastAsia="Calibri"/>
          <w:color w:val="000000" w:themeColor="text1"/>
        </w:rPr>
        <w:t>+</w:t>
      </w:r>
      <w:r w:rsidRPr="290B9022">
        <w:rPr>
          <w:rFonts w:eastAsia="Calibri"/>
          <w:color w:val="000000" w:themeColor="text1"/>
        </w:rPr>
        <w:t xml:space="preserve">38.5°C). </w:t>
      </w:r>
      <w:r w:rsidR="00C5016F" w:rsidRPr="290B9022">
        <w:rPr>
          <w:rFonts w:eastAsia="Calibri"/>
          <w:color w:val="000000" w:themeColor="text1"/>
        </w:rPr>
        <w:t>It is recommended the vaccination is p</w:t>
      </w:r>
      <w:r w:rsidRPr="290B9022">
        <w:rPr>
          <w:rFonts w:eastAsia="Calibri"/>
          <w:color w:val="000000" w:themeColor="text1"/>
        </w:rPr>
        <w:t>ostpone</w:t>
      </w:r>
      <w:r w:rsidR="00C5016F" w:rsidRPr="290B9022">
        <w:rPr>
          <w:rFonts w:eastAsia="Calibri"/>
          <w:color w:val="000000" w:themeColor="text1"/>
        </w:rPr>
        <w:t>d</w:t>
      </w:r>
      <w:r w:rsidRPr="290B9022">
        <w:rPr>
          <w:rFonts w:eastAsia="Calibri"/>
          <w:color w:val="000000" w:themeColor="text1"/>
        </w:rPr>
        <w:t xml:space="preserve"> until </w:t>
      </w:r>
      <w:r w:rsidR="00C5016F" w:rsidRPr="290B9022">
        <w:rPr>
          <w:rFonts w:eastAsia="Calibri"/>
          <w:color w:val="000000" w:themeColor="text1"/>
        </w:rPr>
        <w:t xml:space="preserve">the </w:t>
      </w:r>
      <w:r w:rsidR="004D32F6" w:rsidRPr="290B9022">
        <w:rPr>
          <w:rFonts w:eastAsia="Calibri"/>
          <w:color w:val="000000" w:themeColor="text1"/>
        </w:rPr>
        <w:t>person</w:t>
      </w:r>
      <w:r w:rsidR="00C5016F" w:rsidRPr="290B9022">
        <w:rPr>
          <w:rFonts w:eastAsia="Calibri"/>
          <w:color w:val="000000" w:themeColor="text1"/>
        </w:rPr>
        <w:t xml:space="preserve"> is well</w:t>
      </w:r>
      <w:r w:rsidR="7BCD4BF7" w:rsidRPr="290B9022">
        <w:rPr>
          <w:rStyle w:val="FootnoteReference"/>
          <w:rFonts w:eastAsia="Calibri"/>
          <w:color w:val="000000" w:themeColor="text1"/>
        </w:rPr>
        <w:footnoteReference w:id="7"/>
      </w:r>
      <w:r w:rsidRPr="290B9022">
        <w:rPr>
          <w:rFonts w:eastAsia="Calibri"/>
          <w:color w:val="000000" w:themeColor="text1"/>
        </w:rPr>
        <w:t>.</w:t>
      </w:r>
      <w:r w:rsidR="008D5365" w:rsidRPr="003A16FE">
        <w:rPr>
          <w:szCs w:val="21"/>
        </w:rPr>
        <w:t xml:space="preserve"> </w:t>
      </w:r>
    </w:p>
    <w:p w14:paraId="1852E009" w14:textId="65A70FF7" w:rsidR="0158D2CF" w:rsidRPr="003A16FE" w:rsidRDefault="0158D2CF" w:rsidP="00603DC8">
      <w:pPr>
        <w:pStyle w:val="Body"/>
        <w:numPr>
          <w:ilvl w:val="0"/>
          <w:numId w:val="23"/>
        </w:numPr>
        <w:spacing w:before="120" w:line="288" w:lineRule="auto"/>
        <w:rPr>
          <w:rFonts w:eastAsia="Arial" w:cs="Arial"/>
          <w:color w:val="000000" w:themeColor="text1"/>
          <w:szCs w:val="21"/>
        </w:rPr>
      </w:pPr>
      <w:r w:rsidRPr="003A16FE">
        <w:rPr>
          <w:rFonts w:eastAsia="Calibri"/>
          <w:color w:val="000000" w:themeColor="text1"/>
          <w:szCs w:val="21"/>
        </w:rPr>
        <w:t xml:space="preserve"> </w:t>
      </w:r>
      <w:r w:rsidR="00CF5914">
        <w:rPr>
          <w:rFonts w:eastAsia="Calibri"/>
          <w:color w:val="000000" w:themeColor="text1"/>
          <w:szCs w:val="21"/>
        </w:rPr>
        <w:t>they have</w:t>
      </w:r>
      <w:r w:rsidRPr="003A16FE">
        <w:rPr>
          <w:rFonts w:eastAsia="Calibri"/>
          <w:color w:val="000000" w:themeColor="text1"/>
          <w:szCs w:val="21"/>
        </w:rPr>
        <w:t xml:space="preserve"> active symptoms</w:t>
      </w:r>
      <w:r w:rsidR="002525A3" w:rsidRPr="003A16FE">
        <w:rPr>
          <w:rFonts w:eastAsia="Calibri"/>
          <w:color w:val="000000" w:themeColor="text1"/>
          <w:szCs w:val="21"/>
        </w:rPr>
        <w:t xml:space="preserve"> </w:t>
      </w:r>
      <w:r w:rsidRPr="003A16FE">
        <w:rPr>
          <w:rFonts w:eastAsia="Calibri"/>
          <w:color w:val="000000" w:themeColor="text1"/>
          <w:szCs w:val="21"/>
        </w:rPr>
        <w:t>of mpox</w:t>
      </w:r>
      <w:r w:rsidR="009F6109">
        <w:rPr>
          <w:rFonts w:eastAsia="Calibri"/>
          <w:color w:val="000000" w:themeColor="text1"/>
          <w:szCs w:val="21"/>
        </w:rPr>
        <w:t>. They</w:t>
      </w:r>
      <w:r w:rsidRPr="003A16FE">
        <w:rPr>
          <w:rFonts w:eastAsia="Calibri"/>
          <w:color w:val="000000" w:themeColor="text1"/>
          <w:szCs w:val="21"/>
        </w:rPr>
        <w:t xml:space="preserve"> are advised to seek further medical advice.</w:t>
      </w:r>
    </w:p>
    <w:p w14:paraId="25AEF36A" w14:textId="00984270" w:rsidR="00E76B99" w:rsidRPr="00851CC8" w:rsidRDefault="00E76B99" w:rsidP="00E76B99">
      <w:pPr>
        <w:pStyle w:val="Heading2"/>
      </w:pPr>
      <w:bookmarkStart w:id="33" w:name="_Precautions"/>
      <w:bookmarkStart w:id="34" w:name="_Toc122340756"/>
      <w:bookmarkEnd w:id="33"/>
      <w:r w:rsidRPr="00851CC8">
        <w:t>Precautions</w:t>
      </w:r>
      <w:bookmarkEnd w:id="34"/>
    </w:p>
    <w:p w14:paraId="516A66DD" w14:textId="551C561D" w:rsidR="00E76B99" w:rsidRPr="003F30BB" w:rsidRDefault="00483FD3" w:rsidP="003F30BB">
      <w:pPr>
        <w:pStyle w:val="Heading3"/>
      </w:pPr>
      <w:bookmarkStart w:id="35" w:name="_People_who_are"/>
      <w:bookmarkStart w:id="36" w:name="_People_with_conditions"/>
      <w:bookmarkStart w:id="37" w:name="_Vaccination_against_monkey"/>
      <w:bookmarkEnd w:id="35"/>
      <w:bookmarkEnd w:id="36"/>
      <w:bookmarkEnd w:id="37"/>
      <w:r>
        <w:t xml:space="preserve">Vaccination against mpox for people who are </w:t>
      </w:r>
      <w:r w:rsidR="00E353DD">
        <w:t>immunocompromise</w:t>
      </w:r>
      <w:r>
        <w:t>d</w:t>
      </w:r>
    </w:p>
    <w:p w14:paraId="021C6676" w14:textId="5E894062" w:rsidR="00D41B59" w:rsidRPr="005F38A2" w:rsidRDefault="00D41B59" w:rsidP="00D41B59">
      <w:pPr>
        <w:spacing w:before="120" w:line="288" w:lineRule="auto"/>
        <w:rPr>
          <w:rFonts w:eastAsia="Calibri" w:cs="Arial"/>
          <w:b/>
          <w:bCs/>
        </w:rPr>
      </w:pPr>
      <w:r w:rsidRPr="005F38A2">
        <w:t>Precaution</w:t>
      </w:r>
      <w:r w:rsidR="00483FD3" w:rsidRPr="005F38A2">
        <w:t>s</w:t>
      </w:r>
      <w:r w:rsidRPr="005F38A2">
        <w:t xml:space="preserve"> must be applied </w:t>
      </w:r>
      <w:r w:rsidR="00483FD3" w:rsidRPr="005F38A2">
        <w:t xml:space="preserve">in vaccinating </w:t>
      </w:r>
      <w:r w:rsidRPr="005F38A2">
        <w:t xml:space="preserve">people with the following conditions leading to </w:t>
      </w:r>
      <w:r w:rsidR="009C4EF4" w:rsidRPr="005F38A2">
        <w:t>i</w:t>
      </w:r>
      <w:r w:rsidRPr="005F38A2">
        <w:t>mmunocompromise.</w:t>
      </w:r>
      <w:r w:rsidR="009C4EF4" w:rsidRPr="005F38A2">
        <w:t xml:space="preserve"> </w:t>
      </w:r>
      <w:r w:rsidR="004663FA">
        <w:rPr>
          <w:rFonts w:cs="Arial"/>
          <w:szCs w:val="21"/>
        </w:rPr>
        <w:t xml:space="preserve">Updated ATAGI </w:t>
      </w:r>
      <w:r w:rsidR="00B42363">
        <w:rPr>
          <w:rFonts w:cs="Arial"/>
          <w:szCs w:val="21"/>
        </w:rPr>
        <w:t xml:space="preserve">clinical </w:t>
      </w:r>
      <w:r w:rsidR="004663FA">
        <w:rPr>
          <w:rFonts w:cs="Arial"/>
          <w:szCs w:val="21"/>
        </w:rPr>
        <w:t xml:space="preserve">guidance </w:t>
      </w:r>
      <w:r w:rsidR="00254E44">
        <w:rPr>
          <w:rFonts w:cs="Arial"/>
          <w:szCs w:val="21"/>
        </w:rPr>
        <w:t xml:space="preserve">recommends </w:t>
      </w:r>
      <w:r w:rsidR="00331AFF" w:rsidRPr="005F38A2">
        <w:rPr>
          <w:rFonts w:cs="Arial"/>
          <w:szCs w:val="21"/>
        </w:rPr>
        <w:t xml:space="preserve">that </w:t>
      </w:r>
      <w:r w:rsidR="0015595B" w:rsidRPr="005F38A2">
        <w:rPr>
          <w:rFonts w:cs="Arial"/>
          <w:szCs w:val="21"/>
        </w:rPr>
        <w:t>JYNNEOS</w:t>
      </w:r>
      <w:r w:rsidR="0015595B" w:rsidRPr="005F38A2">
        <w:rPr>
          <w:rFonts w:cs="Arial"/>
          <w:szCs w:val="21"/>
          <w:vertAlign w:val="superscript"/>
        </w:rPr>
        <w:t>®</w:t>
      </w:r>
      <w:r w:rsidR="0015595B" w:rsidRPr="005F38A2">
        <w:rPr>
          <w:rFonts w:cs="Arial"/>
          <w:szCs w:val="21"/>
        </w:rPr>
        <w:t xml:space="preserve"> vaccine </w:t>
      </w:r>
      <w:r w:rsidR="006B54F8">
        <w:rPr>
          <w:rFonts w:cs="Arial"/>
          <w:szCs w:val="21"/>
        </w:rPr>
        <w:t>may</w:t>
      </w:r>
      <w:r w:rsidR="0015595B" w:rsidRPr="005F38A2">
        <w:rPr>
          <w:rFonts w:cs="Arial"/>
          <w:szCs w:val="21"/>
        </w:rPr>
        <w:t xml:space="preserve"> be administered </w:t>
      </w:r>
      <w:r w:rsidR="0015595B" w:rsidRPr="00D362C7">
        <w:rPr>
          <w:rFonts w:cs="Arial"/>
          <w:b/>
          <w:bCs/>
          <w:szCs w:val="21"/>
        </w:rPr>
        <w:t xml:space="preserve">via subcutaneous </w:t>
      </w:r>
      <w:r w:rsidR="00254E44">
        <w:rPr>
          <w:rFonts w:cs="Arial"/>
          <w:b/>
          <w:bCs/>
          <w:szCs w:val="21"/>
        </w:rPr>
        <w:t>OR</w:t>
      </w:r>
      <w:r w:rsidR="006B54F8" w:rsidRPr="00D362C7">
        <w:rPr>
          <w:rFonts w:cs="Arial"/>
          <w:b/>
          <w:bCs/>
          <w:szCs w:val="21"/>
        </w:rPr>
        <w:t xml:space="preserve"> intradermal </w:t>
      </w:r>
      <w:r w:rsidR="00D362C7">
        <w:rPr>
          <w:rFonts w:cs="Arial"/>
          <w:b/>
          <w:bCs/>
          <w:szCs w:val="21"/>
        </w:rPr>
        <w:t>injection</w:t>
      </w:r>
      <w:r w:rsidR="006B54F8" w:rsidRPr="00D362C7">
        <w:rPr>
          <w:rFonts w:cs="Arial"/>
          <w:b/>
          <w:bCs/>
          <w:szCs w:val="21"/>
        </w:rPr>
        <w:t xml:space="preserve"> </w:t>
      </w:r>
      <w:r w:rsidR="0015595B" w:rsidRPr="00D362C7">
        <w:rPr>
          <w:rFonts w:cs="Arial"/>
          <w:b/>
          <w:bCs/>
          <w:szCs w:val="21"/>
        </w:rPr>
        <w:t>AND the second dose given at 28 days</w:t>
      </w:r>
      <w:r w:rsidR="00331AFF" w:rsidRPr="005F38A2">
        <w:rPr>
          <w:rFonts w:cs="Arial"/>
          <w:b/>
          <w:bCs/>
          <w:szCs w:val="21"/>
        </w:rPr>
        <w:t xml:space="preserve"> </w:t>
      </w:r>
      <w:r w:rsidR="00331AFF" w:rsidRPr="005F38A2">
        <w:rPr>
          <w:rFonts w:cs="Arial"/>
          <w:szCs w:val="21"/>
        </w:rPr>
        <w:t xml:space="preserve">among people who fulfill the following criteria </w:t>
      </w:r>
      <w:r w:rsidR="0010536B" w:rsidRPr="005F38A2">
        <w:rPr>
          <w:rFonts w:cs="Arial"/>
          <w:szCs w:val="21"/>
        </w:rPr>
        <w:t>for immunocompromise.</w:t>
      </w:r>
      <w:r w:rsidR="0010536B" w:rsidRPr="005F38A2">
        <w:rPr>
          <w:rFonts w:cs="Arial"/>
          <w:b/>
          <w:bCs/>
          <w:szCs w:val="21"/>
        </w:rPr>
        <w:t xml:space="preserve"> </w:t>
      </w:r>
      <w:r w:rsidR="0015595B" w:rsidRPr="005F38A2">
        <w:rPr>
          <w:rFonts w:cs="Arial"/>
          <w:szCs w:val="21"/>
        </w:rPr>
        <w:t>These recommendations are informed by expert opinion and are subject to updates by ATAGI.</w:t>
      </w:r>
      <w:r w:rsidR="0015595B" w:rsidRPr="005F38A2">
        <w:rPr>
          <w:rFonts w:cs="Arial"/>
          <w:b/>
          <w:bCs/>
          <w:szCs w:val="21"/>
        </w:rPr>
        <w:t xml:space="preserve"> </w:t>
      </w:r>
    </w:p>
    <w:p w14:paraId="357D9801" w14:textId="77777777" w:rsidR="00D86D8B" w:rsidRPr="00167390" w:rsidRDefault="00D86D8B" w:rsidP="00603DC8">
      <w:pPr>
        <w:pStyle w:val="ListParagraph"/>
        <w:numPr>
          <w:ilvl w:val="0"/>
          <w:numId w:val="35"/>
        </w:numPr>
        <w:spacing w:before="100" w:beforeAutospacing="1" w:after="100" w:afterAutospacing="1" w:line="288" w:lineRule="auto"/>
        <w:rPr>
          <w:rFonts w:ascii="Calibri" w:hAnsi="Calibri"/>
          <w:szCs w:val="21"/>
          <w:lang w:eastAsia="en-AU"/>
        </w:rPr>
      </w:pPr>
      <w:r w:rsidRPr="00167390">
        <w:rPr>
          <w:szCs w:val="21"/>
          <w:lang w:eastAsia="en-AU"/>
        </w:rPr>
        <w:lastRenderedPageBreak/>
        <w:t xml:space="preserve">Primary immunodeficiency or acquired immunodeficiency: HIV/AIDS with CD4&lt;200, or uncontrolled viraemia </w:t>
      </w:r>
    </w:p>
    <w:p w14:paraId="2E3D1E94" w14:textId="7F1C210A" w:rsidR="00D86D8B" w:rsidRPr="00167390" w:rsidRDefault="00D86D8B" w:rsidP="00603DC8">
      <w:pPr>
        <w:pStyle w:val="ListParagraph"/>
        <w:numPr>
          <w:ilvl w:val="0"/>
          <w:numId w:val="35"/>
        </w:numPr>
        <w:spacing w:before="100" w:beforeAutospacing="1" w:after="100" w:afterAutospacing="1" w:line="288" w:lineRule="auto"/>
        <w:rPr>
          <w:szCs w:val="21"/>
          <w:lang w:eastAsia="en-AU"/>
        </w:rPr>
      </w:pPr>
      <w:r w:rsidRPr="00167390">
        <w:rPr>
          <w:szCs w:val="21"/>
          <w:lang w:eastAsia="en-AU"/>
        </w:rPr>
        <w:t xml:space="preserve">Haematologic neoplasms: </w:t>
      </w:r>
      <w:r w:rsidR="0011492D" w:rsidRPr="00167390">
        <w:rPr>
          <w:szCs w:val="21"/>
          <w:lang w:eastAsia="en-AU"/>
        </w:rPr>
        <w:t>leukemias</w:t>
      </w:r>
      <w:r w:rsidRPr="00167390">
        <w:rPr>
          <w:szCs w:val="21"/>
          <w:lang w:eastAsia="en-AU"/>
        </w:rPr>
        <w:t xml:space="preserve">, lymphomas, myelodysplastic syndromes, multiple myeloma and other plasma cell disorders, post-transplant: solid organ (on immunosuppressive therapy), haematopoietic stem cell transplant (within 24 months), primary immunodeficiency, </w:t>
      </w:r>
    </w:p>
    <w:p w14:paraId="79CAE0CA" w14:textId="60E7001E" w:rsidR="00D86D8B" w:rsidRPr="00167390" w:rsidRDefault="00D86D8B" w:rsidP="00603DC8">
      <w:pPr>
        <w:pStyle w:val="ListParagraph"/>
        <w:numPr>
          <w:ilvl w:val="0"/>
          <w:numId w:val="35"/>
        </w:numPr>
        <w:spacing w:before="120" w:line="288" w:lineRule="auto"/>
        <w:ind w:left="714" w:hanging="357"/>
        <w:rPr>
          <w:szCs w:val="21"/>
          <w:lang w:eastAsia="en-AU"/>
        </w:rPr>
      </w:pPr>
      <w:r w:rsidRPr="00167390">
        <w:rPr>
          <w:szCs w:val="21"/>
          <w:lang w:eastAsia="en-AU"/>
        </w:rPr>
        <w:t xml:space="preserve">Receipt in the last 3 months any of: </w:t>
      </w:r>
    </w:p>
    <w:p w14:paraId="771E9B18" w14:textId="4882AF41" w:rsidR="00D86D8B" w:rsidRPr="00167390" w:rsidRDefault="00D86D8B" w:rsidP="00603DC8">
      <w:pPr>
        <w:pStyle w:val="ListParagraph"/>
        <w:numPr>
          <w:ilvl w:val="0"/>
          <w:numId w:val="40"/>
        </w:numPr>
        <w:spacing w:before="480" w:line="288" w:lineRule="auto"/>
        <w:ind w:left="1434" w:hanging="357"/>
        <w:rPr>
          <w:rFonts w:eastAsiaTheme="minorHAnsi"/>
          <w:szCs w:val="21"/>
          <w:lang w:eastAsia="en-AU"/>
        </w:rPr>
      </w:pPr>
      <w:r w:rsidRPr="00167390">
        <w:rPr>
          <w:szCs w:val="21"/>
          <w:lang w:eastAsia="en-AU"/>
        </w:rPr>
        <w:t xml:space="preserve">Chemotherapy or whole-body radiotherapy </w:t>
      </w:r>
    </w:p>
    <w:p w14:paraId="6C30CF58" w14:textId="6DB88B5B"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High-dose corticosteroids (≥ 20 mg of prednisone per day, or equivalent) for at least 14 days in 1 month, or pulse corticosteroid therapy </w:t>
      </w:r>
    </w:p>
    <w:p w14:paraId="278F44E7" w14:textId="6503F8CD"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Biological agents and other treatments that deplete or inhibit B- or T-cell function (anti-CD20 antibodies, BTK inhibitors, JAK inhibitors, sphingosine 1-phosphate receptor modulators, anti-CD52 antibodies, anti-complement antibodies, anti-thymocyte globulin) </w:t>
      </w:r>
    </w:p>
    <w:p w14:paraId="3E5314FB" w14:textId="4A38E7D4"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Selected conventional synthetic disease-modifying anti-rheumatic drugs (csDMARDs) including mycophenolate, methotrexate (more than 0.4 mg/kg/week), leflunomide, azathioprine (at least 3 mg/kg/day), 6-mercaptopurine (at least 1.5 mg/kg/day), alkylating agents (e</w:t>
      </w:r>
      <w:r w:rsidR="006E013C" w:rsidRPr="00167390">
        <w:rPr>
          <w:szCs w:val="21"/>
          <w:lang w:eastAsia="en-AU"/>
        </w:rPr>
        <w:t>.</w:t>
      </w:r>
      <w:r w:rsidRPr="00167390">
        <w:rPr>
          <w:szCs w:val="21"/>
          <w:lang w:eastAsia="en-AU"/>
        </w:rPr>
        <w:t>g</w:t>
      </w:r>
      <w:r w:rsidR="006E013C" w:rsidRPr="00167390">
        <w:rPr>
          <w:szCs w:val="21"/>
          <w:lang w:eastAsia="en-AU"/>
        </w:rPr>
        <w:t>.</w:t>
      </w:r>
      <w:r w:rsidRPr="00167390">
        <w:rPr>
          <w:szCs w:val="21"/>
          <w:lang w:eastAsia="en-AU"/>
        </w:rPr>
        <w:t xml:space="preserve"> cyclophosphamide, chlorambucil), and systemic calcineurin inhibitors (</w:t>
      </w:r>
      <w:r w:rsidR="006E013C" w:rsidRPr="00167390">
        <w:rPr>
          <w:szCs w:val="21"/>
          <w:lang w:eastAsia="en-AU"/>
        </w:rPr>
        <w:t>e.g.</w:t>
      </w:r>
      <w:r w:rsidRPr="00167390">
        <w:rPr>
          <w:szCs w:val="21"/>
          <w:lang w:eastAsia="en-AU"/>
        </w:rPr>
        <w:t xml:space="preserve"> cyclosporin, tacrolimus).</w:t>
      </w:r>
    </w:p>
    <w:p w14:paraId="5C20AD7E" w14:textId="7B32849D" w:rsidR="006249C1" w:rsidRPr="005F38A2" w:rsidRDefault="006249C1" w:rsidP="00EC677C">
      <w:pPr>
        <w:autoSpaceDE w:val="0"/>
        <w:autoSpaceDN w:val="0"/>
        <w:adjustRightInd w:val="0"/>
        <w:spacing w:before="120" w:line="288" w:lineRule="auto"/>
        <w:rPr>
          <w:rFonts w:eastAsia="Calibri" w:cs="Arial"/>
          <w:szCs w:val="21"/>
        </w:rPr>
      </w:pPr>
      <w:r w:rsidRPr="290B9022">
        <w:rPr>
          <w:rFonts w:cs="Arial"/>
          <w:lang w:eastAsia="en-AU"/>
        </w:rPr>
        <w:t xml:space="preserve">There are no data </w:t>
      </w:r>
      <w:r w:rsidR="007B5408" w:rsidRPr="290B9022">
        <w:rPr>
          <w:rFonts w:cs="Arial"/>
          <w:lang w:eastAsia="en-AU"/>
        </w:rPr>
        <w:t xml:space="preserve">yet </w:t>
      </w:r>
      <w:r w:rsidRPr="290B9022">
        <w:rPr>
          <w:rFonts w:cs="Arial"/>
          <w:lang w:eastAsia="en-AU"/>
        </w:rPr>
        <w:t xml:space="preserve">on the immune response to </w:t>
      </w:r>
      <w:r w:rsidR="0045578A" w:rsidRPr="290B9022">
        <w:rPr>
          <w:rFonts w:cs="Arial"/>
          <w:lang w:eastAsia="en-AU"/>
        </w:rPr>
        <w:t xml:space="preserve">the </w:t>
      </w:r>
      <w:r w:rsidRPr="290B9022">
        <w:rPr>
          <w:rFonts w:cs="Arial"/>
          <w:lang w:eastAsia="en-AU"/>
        </w:rPr>
        <w:t>JYNNEOS</w:t>
      </w:r>
      <w:r w:rsidRPr="290B9022">
        <w:rPr>
          <w:rFonts w:eastAsia="Arial" w:cs="Arial"/>
          <w:vertAlign w:val="superscript"/>
        </w:rPr>
        <w:t>®</w:t>
      </w:r>
      <w:r w:rsidRPr="290B9022">
        <w:rPr>
          <w:rFonts w:cs="Arial"/>
          <w:lang w:eastAsia="en-AU"/>
        </w:rPr>
        <w:t xml:space="preserve"> </w:t>
      </w:r>
      <w:r w:rsidR="0045578A" w:rsidRPr="290B9022">
        <w:rPr>
          <w:rFonts w:cs="Arial"/>
          <w:lang w:eastAsia="en-AU"/>
        </w:rPr>
        <w:t xml:space="preserve">vaccine </w:t>
      </w:r>
      <w:r w:rsidR="000577BE" w:rsidRPr="290B9022">
        <w:rPr>
          <w:rFonts w:cs="Arial"/>
          <w:lang w:eastAsia="en-AU"/>
        </w:rPr>
        <w:t xml:space="preserve">in </w:t>
      </w:r>
      <w:r w:rsidRPr="290B9022">
        <w:rPr>
          <w:rFonts w:cs="Arial"/>
          <w:lang w:eastAsia="en-AU"/>
        </w:rPr>
        <w:t>immunosuppressed individuals</w:t>
      </w:r>
      <w:r w:rsidR="003A16FE" w:rsidRPr="290B9022">
        <w:rPr>
          <w:rFonts w:cs="Arial"/>
          <w:lang w:eastAsia="en-AU"/>
        </w:rPr>
        <w:t>.</w:t>
      </w:r>
      <w:r w:rsidR="00EC677C" w:rsidRPr="290B9022">
        <w:rPr>
          <w:rFonts w:cs="Arial"/>
          <w:lang w:eastAsia="en-AU"/>
        </w:rPr>
        <w:t xml:space="preserve"> </w:t>
      </w:r>
      <w:r w:rsidRPr="290B9022">
        <w:rPr>
          <w:rFonts w:eastAsia="Calibri" w:cs="Arial"/>
        </w:rPr>
        <w:t>JYNNEOS</w:t>
      </w:r>
      <w:r w:rsidRPr="290B9022">
        <w:rPr>
          <w:rFonts w:eastAsia="Calibri" w:cs="Arial"/>
          <w:vertAlign w:val="superscript"/>
        </w:rPr>
        <w:t>®</w:t>
      </w:r>
      <w:r w:rsidRPr="290B9022">
        <w:rPr>
          <w:rFonts w:eastAsia="Calibri" w:cs="Arial"/>
        </w:rPr>
        <w:t xml:space="preserve"> </w:t>
      </w:r>
      <w:r w:rsidR="0045578A" w:rsidRPr="290B9022">
        <w:rPr>
          <w:rFonts w:eastAsia="Calibri" w:cs="Arial"/>
        </w:rPr>
        <w:t xml:space="preserve">vaccine </w:t>
      </w:r>
      <w:r w:rsidRPr="290B9022">
        <w:rPr>
          <w:rFonts w:eastAsia="Calibri" w:cs="Arial"/>
        </w:rPr>
        <w:t>is considered safe to use in people with weakened immune systems</w:t>
      </w:r>
      <w:r w:rsidR="0064379E" w:rsidRPr="290B9022">
        <w:rPr>
          <w:rStyle w:val="FootnoteReference"/>
          <w:rFonts w:eastAsia="Calibri" w:cs="Arial"/>
        </w:rPr>
        <w:footnoteReference w:id="8"/>
      </w:r>
      <w:r w:rsidRPr="290B9022">
        <w:rPr>
          <w:rFonts w:eastAsia="Calibri" w:cs="Arial"/>
        </w:rPr>
        <w:t>.</w:t>
      </w:r>
    </w:p>
    <w:p w14:paraId="2A342CF8" w14:textId="544FA811" w:rsidR="00173C67" w:rsidRDefault="00173C67" w:rsidP="0041410B">
      <w:pPr>
        <w:spacing w:before="120"/>
      </w:pPr>
      <w:r>
        <w:rPr>
          <w:rStyle w:val="Heading3Char"/>
          <w:rFonts w:eastAsiaTheme="minorEastAsia"/>
        </w:rPr>
        <w:t>P</w:t>
      </w:r>
      <w:r w:rsidRPr="00E76B99">
        <w:rPr>
          <w:rStyle w:val="Heading3Char"/>
          <w:rFonts w:eastAsiaTheme="minorEastAsia"/>
        </w:rPr>
        <w:t>eople who are pregnant or breastfeeding</w:t>
      </w:r>
      <w:r>
        <w:t xml:space="preserve">. </w:t>
      </w:r>
    </w:p>
    <w:p w14:paraId="2EADF8E4" w14:textId="77777777" w:rsidR="00173C67" w:rsidRPr="003A16FE" w:rsidRDefault="00173C67" w:rsidP="00603DC8">
      <w:pPr>
        <w:pStyle w:val="Default"/>
        <w:numPr>
          <w:ilvl w:val="0"/>
          <w:numId w:val="23"/>
        </w:numPr>
        <w:spacing w:before="120" w:after="120" w:line="288" w:lineRule="auto"/>
        <w:rPr>
          <w:sz w:val="21"/>
          <w:szCs w:val="21"/>
        </w:rPr>
      </w:pPr>
      <w:r w:rsidRPr="003A16FE">
        <w:rPr>
          <w:sz w:val="21"/>
          <w:szCs w:val="21"/>
        </w:rPr>
        <w:t>JYNNEOS</w:t>
      </w:r>
      <w:r w:rsidRPr="290B9022">
        <w:rPr>
          <w:rFonts w:eastAsia="Arial"/>
          <w:color w:val="000000" w:themeColor="text1"/>
          <w:vertAlign w:val="superscript"/>
        </w:rPr>
        <w:t>®</w:t>
      </w:r>
      <w:r w:rsidRPr="003A16FE">
        <w:rPr>
          <w:sz w:val="21"/>
          <w:szCs w:val="21"/>
        </w:rPr>
        <w:t xml:space="preserve"> vaccine has not been formally studied in people who are pregnant or</w:t>
      </w:r>
      <w:r>
        <w:rPr>
          <w:sz w:val="21"/>
          <w:szCs w:val="21"/>
        </w:rPr>
        <w:t xml:space="preserve"> </w:t>
      </w:r>
      <w:r w:rsidRPr="003A16FE">
        <w:rPr>
          <w:sz w:val="21"/>
          <w:szCs w:val="21"/>
          <w:lang w:eastAsia="en-AU"/>
        </w:rPr>
        <w:t xml:space="preserve">lactating. ATAGI advise there are no theoretical safety concerns relating to its use in these groups. </w:t>
      </w:r>
      <w:r w:rsidRPr="003A16FE">
        <w:rPr>
          <w:sz w:val="21"/>
          <w:szCs w:val="21"/>
        </w:rPr>
        <w:t>However, vaccination should only be considered when the potential benefits outweigh any potential risk to the mother and baby</w:t>
      </w:r>
      <w:r>
        <w:rPr>
          <w:rStyle w:val="FootnoteReference"/>
          <w:sz w:val="21"/>
          <w:szCs w:val="21"/>
        </w:rPr>
        <w:footnoteReference w:id="9"/>
      </w:r>
      <w:r w:rsidRPr="003A16FE">
        <w:rPr>
          <w:sz w:val="21"/>
          <w:szCs w:val="21"/>
        </w:rPr>
        <w:t>.</w:t>
      </w:r>
    </w:p>
    <w:p w14:paraId="02AA907E" w14:textId="42F18084" w:rsidR="00E76B99" w:rsidRPr="0099129F" w:rsidRDefault="00312B6D" w:rsidP="00EC540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3C6617BE"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EA56D2" w:rsidRPr="290B9022">
        <w:rPr>
          <w:rStyle w:val="FootnoteReference"/>
          <w:rFonts w:eastAsia="Calibri"/>
          <w:color w:val="000000" w:themeColor="text1"/>
        </w:rPr>
        <w:footnoteReference w:id="10"/>
      </w:r>
      <w:r w:rsidR="005E6A66" w:rsidRPr="290B9022">
        <w:rPr>
          <w:rFonts w:eastAsia="Calibri"/>
          <w:color w:val="000000" w:themeColor="text1"/>
        </w:rPr>
        <w:t>.</w:t>
      </w:r>
      <w:r w:rsidRPr="290B9022">
        <w:rPr>
          <w:rFonts w:eastAsia="Calibri"/>
          <w:color w:val="000000" w:themeColor="text1"/>
        </w:rPr>
        <w:t xml:space="preserve"> </w:t>
      </w:r>
    </w:p>
    <w:p w14:paraId="46666EC1" w14:textId="18EFC2DF" w:rsidR="00E76B99" w:rsidRDefault="00312B6D" w:rsidP="00EC5409">
      <w:pPr>
        <w:pStyle w:val="Heading3"/>
        <w:spacing w:before="240"/>
      </w:pPr>
      <w:r>
        <w:t>C</w:t>
      </w:r>
      <w:r w:rsidR="00E76B99">
        <w:t>onfirmed anaphylaxis to egg</w:t>
      </w:r>
    </w:p>
    <w:p w14:paraId="62B3B642" w14:textId="5B526AF0" w:rsidR="00E76B99" w:rsidRPr="00E76B99" w:rsidRDefault="00E76B99"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E76B99">
        <w:rPr>
          <w:rFonts w:cs="Arial"/>
          <w:color w:val="000000"/>
          <w:szCs w:val="21"/>
          <w:lang w:eastAsia="en-AU"/>
        </w:rPr>
        <w:t>JYNNEOS</w:t>
      </w:r>
      <w:r w:rsidRPr="003A16FE">
        <w:rPr>
          <w:rFonts w:eastAsia="Arial" w:cs="Arial"/>
          <w:color w:val="000000" w:themeColor="text1"/>
          <w:szCs w:val="21"/>
          <w:vertAlign w:val="superscript"/>
        </w:rPr>
        <w:t>®</w:t>
      </w:r>
      <w:r w:rsidRPr="00E76B99">
        <w:rPr>
          <w:rFonts w:cs="Arial"/>
          <w:color w:val="000000"/>
          <w:szCs w:val="21"/>
          <w:lang w:eastAsia="en-AU"/>
        </w:rPr>
        <w:t xml:space="preserve"> </w:t>
      </w:r>
      <w:r w:rsidR="00332387">
        <w:rPr>
          <w:rFonts w:cs="Arial"/>
          <w:color w:val="000000"/>
          <w:szCs w:val="21"/>
          <w:lang w:eastAsia="en-AU"/>
        </w:rPr>
        <w:t xml:space="preserve">vaccine </w:t>
      </w:r>
      <w:r w:rsidRPr="00E76B99">
        <w:rPr>
          <w:rFonts w:cs="Arial"/>
          <w:color w:val="000000"/>
          <w:szCs w:val="21"/>
          <w:lang w:eastAsia="en-AU"/>
        </w:rPr>
        <w:t xml:space="preserve">may contain trace residues of chicken egg protein and for individuals with confirmed anaphylaxis to egg; there is a theoretical risk of allergic reaction. </w:t>
      </w:r>
    </w:p>
    <w:p w14:paraId="2363DB25" w14:textId="294C13E2" w:rsidR="00E76B99" w:rsidRDefault="00312B6D" w:rsidP="0071648B">
      <w:pPr>
        <w:pStyle w:val="Heading3"/>
        <w:spacing w:before="240"/>
      </w:pPr>
      <w:r>
        <w:lastRenderedPageBreak/>
        <w:t>H</w:t>
      </w:r>
      <w:r w:rsidR="00E76B99">
        <w:t>istory of keloid scarring</w:t>
      </w:r>
    </w:p>
    <w:p w14:paraId="503310E8" w14:textId="521351DB" w:rsidR="00911AB6" w:rsidRPr="0023686A" w:rsidRDefault="00911AB6" w:rsidP="001D7D9C">
      <w:pPr>
        <w:pStyle w:val="ListParagraph"/>
        <w:numPr>
          <w:ilvl w:val="0"/>
          <w:numId w:val="54"/>
        </w:numPr>
        <w:autoSpaceDE w:val="0"/>
        <w:autoSpaceDN w:val="0"/>
        <w:adjustRightInd w:val="0"/>
        <w:spacing w:after="0" w:line="240" w:lineRule="auto"/>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 xml:space="preserve">via the intradermal route. The subcutaneous route is preferred. </w:t>
      </w:r>
    </w:p>
    <w:p w14:paraId="0DFAB7F5" w14:textId="2C5D8903" w:rsidR="00E76B99" w:rsidRDefault="00312B6D" w:rsidP="0071648B">
      <w:pPr>
        <w:pStyle w:val="Heading3"/>
        <w:spacing w:before="240"/>
      </w:pPr>
      <w:r>
        <w:t>A</w:t>
      </w:r>
      <w:r w:rsidR="00E76B99">
        <w:t xml:space="preserve">ged under 18 years </w:t>
      </w:r>
    </w:p>
    <w:p w14:paraId="719185E0" w14:textId="11944832" w:rsidR="22EBA580" w:rsidRDefault="22EBA580" w:rsidP="00A917DE">
      <w:pPr>
        <w:pStyle w:val="ListParagraph"/>
        <w:numPr>
          <w:ilvl w:val="0"/>
          <w:numId w:val="23"/>
        </w:numPr>
        <w:spacing w:before="120" w:line="288" w:lineRule="auto"/>
        <w:ind w:left="714" w:hanging="357"/>
        <w:rPr>
          <w:rFonts w:eastAsia="Arial" w:cs="Arial"/>
          <w:color w:val="000000" w:themeColor="text1"/>
          <w:szCs w:val="21"/>
          <w:lang w:eastAsia="en-AU"/>
        </w:rPr>
      </w:pPr>
      <w:r w:rsidRPr="72BEF324">
        <w:t>JYNNEOS</w:t>
      </w:r>
      <w:r w:rsidRPr="290B9022">
        <w:rPr>
          <w:rFonts w:eastAsia="Arial" w:cs="Arial"/>
          <w:color w:val="000000" w:themeColor="text1"/>
          <w:vertAlign w:val="superscript"/>
        </w:rPr>
        <w:t>®</w:t>
      </w:r>
      <w:r w:rsidRPr="72BEF324">
        <w:t xml:space="preserve"> has not been approved for use in </w:t>
      </w:r>
      <w:r w:rsidR="00312B6D">
        <w:t>people</w:t>
      </w:r>
      <w:r w:rsidRPr="72BEF324">
        <w:t xml:space="preserve"> under 18 years of age in regions/countries where it is registered. There are limited safety data for this age group. However, paediatric studies of other vaccines using </w:t>
      </w:r>
      <w:r w:rsidR="00925A2C" w:rsidRPr="290B9022">
        <w:rPr>
          <w:rFonts w:cs="Arial"/>
        </w:rPr>
        <w:t>modified vaccinia virus</w:t>
      </w:r>
      <w:r w:rsidRPr="72BEF324">
        <w:t xml:space="preserve"> as a vector have not demonstrated significant safety concerns</w:t>
      </w:r>
      <w:r w:rsidR="00C12B1B">
        <w:t>.</w:t>
      </w:r>
      <w:r w:rsidRPr="72BEF324">
        <w:t xml:space="preserve"> In the current outbreak, people in high-risk GBMSM groups ≥16 years of age are recommended to receive vaccination as potential benefits outweigh potential risks</w:t>
      </w:r>
      <w:r w:rsidR="00932E3F">
        <w:rPr>
          <w:rStyle w:val="FootnoteReference"/>
        </w:rPr>
        <w:footnoteReference w:id="11"/>
      </w:r>
      <w:r w:rsidRPr="72BEF324">
        <w:t>.</w:t>
      </w:r>
    </w:p>
    <w:p w14:paraId="53B83B02" w14:textId="1C2D6EAC" w:rsidR="00077DBB" w:rsidRPr="006F1A2A" w:rsidRDefault="7BCD4BF7" w:rsidP="0E85B56F">
      <w:pPr>
        <w:pStyle w:val="Heading2"/>
      </w:pPr>
      <w:bookmarkStart w:id="38" w:name="_Toc122340757"/>
      <w:r>
        <w:t>Route</w:t>
      </w:r>
      <w:bookmarkEnd w:id="38"/>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Pr="00732BA3"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11B9783D" w:rsidR="0A9688A0" w:rsidRDefault="2396D701" w:rsidP="7F795C98">
      <w:pPr>
        <w:rPr>
          <w:rFonts w:cs="Arial"/>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p>
    <w:p w14:paraId="647722B9" w14:textId="4178DF9C" w:rsidR="006143F6" w:rsidRPr="001F3D3C" w:rsidRDefault="006143F6" w:rsidP="00106D4E">
      <w:pPr>
        <w:pStyle w:val="Body"/>
        <w:rPr>
          <w:color w:val="808080" w:themeColor="background1" w:themeShade="80"/>
          <w:sz w:val="24"/>
          <w:szCs w:val="24"/>
        </w:rPr>
      </w:pPr>
      <w:r w:rsidRPr="001F3D3C">
        <w:rPr>
          <w:color w:val="808080" w:themeColor="background1" w:themeShade="80"/>
          <w:sz w:val="24"/>
          <w:szCs w:val="24"/>
        </w:rPr>
        <w:t xml:space="preserve">Intradermal </w:t>
      </w:r>
    </w:p>
    <w:p w14:paraId="75CEA86C" w14:textId="483E58B8"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12"/>
      </w:r>
      <w:r w:rsidRPr="000B519A">
        <w:rPr>
          <w:rStyle w:val="FootnoteReference"/>
          <w:rFonts w:cs="Arial"/>
        </w:rPr>
        <w:footnoteReference w:id="13"/>
      </w:r>
      <w:r w:rsidRPr="000B519A">
        <w:rPr>
          <w:rFonts w:cs="Arial"/>
        </w:rPr>
        <w:t xml:space="preserve"> </w:t>
      </w:r>
      <w:r w:rsidRPr="000B519A">
        <w:rPr>
          <w:rStyle w:val="FootnoteReference"/>
          <w:rFonts w:cs="Arial"/>
        </w:rPr>
        <w:footnoteReference w:id="14"/>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52A60C0"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0A4D74">
          <w:rPr>
            <w:rStyle w:val="Hyperlink"/>
            <w:rFonts w:cs="Arial"/>
            <w:szCs w:val="21"/>
          </w:rPr>
          <w:t>s</w:t>
        </w:r>
        <w:r w:rsidR="00A1602C" w:rsidRPr="003B2488">
          <w:rPr>
            <w:rStyle w:val="Hyperlink"/>
            <w:rFonts w:cs="Arial"/>
            <w:szCs w:val="21"/>
          </w:rPr>
          <w:t>chedule</w:t>
        </w:r>
      </w:hyperlink>
      <w:r w:rsidR="00A1602C" w:rsidRPr="003B2488">
        <w:rPr>
          <w:rFonts w:cs="Arial"/>
          <w:szCs w:val="21"/>
        </w:rPr>
        <w:t xml:space="preserve"> and the </w:t>
      </w:r>
      <w:hyperlink w:anchor="_Subcutaneous_administration" w:history="1">
        <w:r w:rsidR="3502EE86" w:rsidRPr="003B2488">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9" w:name="_Schedule"/>
      <w:bookmarkStart w:id="40" w:name="_Toc122340758"/>
      <w:bookmarkEnd w:id="39"/>
      <w:r>
        <w:t>Schedule</w:t>
      </w:r>
      <w:bookmarkEnd w:id="40"/>
      <w:r>
        <w:t xml:space="preserve"> </w:t>
      </w:r>
    </w:p>
    <w:p w14:paraId="65E5914E" w14:textId="77777777" w:rsidR="00DE75FE" w:rsidRDefault="00DE75FE" w:rsidP="008E03D1">
      <w:pPr>
        <w:pStyle w:val="Heading4"/>
      </w:pPr>
      <w:bookmarkStart w:id="41" w:name="_Pre-exposure_prophylaxis_(PrEP)"/>
      <w:bookmarkEnd w:id="41"/>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603DC8">
      <w:pPr>
        <w:pStyle w:val="Body"/>
        <w:numPr>
          <w:ilvl w:val="0"/>
          <w:numId w:val="27"/>
        </w:numPr>
        <w:tabs>
          <w:tab w:val="num" w:pos="926"/>
        </w:tabs>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603DC8">
      <w:pPr>
        <w:pStyle w:val="Body"/>
        <w:numPr>
          <w:ilvl w:val="0"/>
          <w:numId w:val="27"/>
        </w:numPr>
        <w:tabs>
          <w:tab w:val="num" w:pos="926"/>
        </w:tabs>
        <w:rPr>
          <w:rFonts w:eastAsia="Arial" w:cs="Arial"/>
        </w:rPr>
      </w:pPr>
      <w:r>
        <w:lastRenderedPageBreak/>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197C5905" w:rsidR="64C91B31" w:rsidRDefault="7DEBA709" w:rsidP="00603DC8">
      <w:pPr>
        <w:pStyle w:val="Body"/>
        <w:numPr>
          <w:ilvl w:val="0"/>
          <w:numId w:val="27"/>
        </w:numPr>
        <w:tabs>
          <w:tab w:val="num" w:pos="926"/>
        </w:tabs>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hyperlink w:anchor="_People_who_are">
        <w:r w:rsidR="002969C5" w:rsidRPr="31088468">
          <w:rPr>
            <w:rStyle w:val="Hyperlink"/>
            <w:rFonts w:eastAsia="Arial" w:cs="Arial"/>
          </w:rPr>
          <w:t>immunocompromise</w:t>
        </w:r>
      </w:hyperlink>
      <w:r w:rsidR="007D5952" w:rsidRPr="31088468">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2" w:name="_Post_exposure_prophylaxis"/>
      <w:bookmarkEnd w:id="42"/>
      <w:r w:rsidRPr="00611C14">
        <w:t>Post-exposure preventive vaccination (PEPV)</w:t>
      </w:r>
    </w:p>
    <w:p w14:paraId="181DF5DC" w14:textId="7A11E190" w:rsidR="00077DBB" w:rsidRPr="006F1A2A" w:rsidRDefault="7BCD4BF7" w:rsidP="00FC4447">
      <w:pPr>
        <w:pStyle w:val="Bullet1"/>
        <w:numPr>
          <w:ilvl w:val="0"/>
          <w:numId w:val="0"/>
        </w:numPr>
        <w:spacing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603DC8">
      <w:pPr>
        <w:pStyle w:val="Bullet1"/>
        <w:numPr>
          <w:ilvl w:val="0"/>
          <w:numId w:val="27"/>
        </w:numPr>
        <w:spacing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rsidP="00EB282F">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517D2D8B"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411CD3">
        <w:rPr>
          <w:b/>
          <w:bCs/>
        </w:rPr>
        <w:t>The second dose does not need to be repeated if given later than 28 days after the first dose</w:t>
      </w:r>
      <w:r w:rsidR="00110C8E">
        <w:rPr>
          <w:rStyle w:val="FootnoteReference"/>
        </w:rPr>
        <w:footnoteReference w:id="15"/>
      </w:r>
    </w:p>
    <w:p w14:paraId="1677814A" w14:textId="2AFFCEF1" w:rsidR="00077DBB" w:rsidRPr="00766651" w:rsidRDefault="7BCD4BF7" w:rsidP="00C7560F">
      <w:pPr>
        <w:pStyle w:val="Heading2"/>
        <w:spacing w:before="240"/>
      </w:pPr>
      <w:bookmarkStart w:id="43" w:name="_Toc122340759"/>
      <w:r w:rsidRPr="00766651">
        <w:t xml:space="preserve">Common </w:t>
      </w:r>
      <w:r w:rsidR="009E14B2">
        <w:t>side effects</w:t>
      </w:r>
      <w:bookmarkEnd w:id="43"/>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6DD3BF86" w14:textId="78FBD543" w:rsidR="006372F6" w:rsidRPr="008F7ED2" w:rsidRDefault="008F7ED2"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8F7ED2">
        <w:rPr>
          <w:rFonts w:ascii="Arial" w:hAnsi="Arial" w:cs="Arial"/>
          <w:sz w:val="21"/>
          <w:szCs w:val="21"/>
        </w:rPr>
        <w:t>A clinical study comparing the safety of the intradermal route of administration to subcutaneous administration of this vaccine showed slightly increased rates of injection site redness and hardening in those who received an intradermal injection</w:t>
      </w:r>
      <w:r w:rsidR="009E0403">
        <w:rPr>
          <w:rFonts w:ascii="Arial" w:hAnsi="Arial" w:cs="Arial"/>
          <w:color w:val="0B0C0C"/>
          <w:sz w:val="21"/>
          <w:szCs w:val="21"/>
          <w:shd w:val="clear" w:color="auto" w:fill="FFFFFF"/>
        </w:rPr>
        <w:t>.</w:t>
      </w:r>
      <w:r w:rsidR="00DB0C9F" w:rsidRPr="008F7ED2">
        <w:rPr>
          <w:rStyle w:val="FootnoteReference"/>
          <w:rFonts w:ascii="Arial" w:hAnsi="Arial" w:cs="Arial"/>
          <w:color w:val="0B0C0C"/>
          <w:sz w:val="21"/>
          <w:szCs w:val="21"/>
          <w:shd w:val="clear" w:color="auto" w:fill="FFFFFF"/>
        </w:rPr>
        <w:footnoteReference w:id="16"/>
      </w:r>
      <w:r w:rsidR="00076D54" w:rsidRPr="008F7ED2">
        <w:rPr>
          <w:rFonts w:ascii="Arial" w:hAnsi="Arial" w:cs="Arial"/>
          <w:color w:val="0B0C0C"/>
          <w:sz w:val="21"/>
          <w:szCs w:val="21"/>
          <w:shd w:val="clear" w:color="auto" w:fill="FFFFFF"/>
        </w:rPr>
        <w:t>.</w:t>
      </w:r>
    </w:p>
    <w:p w14:paraId="079E43F7" w14:textId="77777777" w:rsidR="00306FA3" w:rsidRPr="00633A11" w:rsidRDefault="00306FA3" w:rsidP="00C7560F">
      <w:pPr>
        <w:pStyle w:val="Heading1"/>
        <w:spacing w:before="480"/>
      </w:pPr>
      <w:bookmarkStart w:id="44" w:name="_Toc122340760"/>
      <w:r w:rsidRPr="00701C44">
        <w:t>Other considerations</w:t>
      </w:r>
      <w:bookmarkEnd w:id="44"/>
    </w:p>
    <w:p w14:paraId="5DA20D61" w14:textId="77777777" w:rsidR="00306FA3" w:rsidRPr="002C216E" w:rsidRDefault="00306FA3" w:rsidP="00C7560F">
      <w:pPr>
        <w:pStyle w:val="Heading2"/>
        <w:spacing w:before="240"/>
      </w:pPr>
      <w:bookmarkStart w:id="45" w:name="_Toc122340761"/>
      <w:r>
        <w:t>Previous smallpox vaccination</w:t>
      </w:r>
      <w:bookmarkEnd w:id="45"/>
    </w:p>
    <w:p w14:paraId="2CE83A5A" w14:textId="42CDFCBD" w:rsidR="00306FA3" w:rsidRPr="002E5980" w:rsidRDefault="00306FA3" w:rsidP="00306FA3">
      <w:pPr>
        <w:spacing w:before="120" w:line="259" w:lineRule="auto"/>
        <w:jc w:val="both"/>
        <w:rPr>
          <w:color w:val="000000" w:themeColor="text1"/>
        </w:rPr>
      </w:pPr>
      <w:r w:rsidRPr="020CB24F">
        <w:rPr>
          <w:rFonts w:eastAsia="Arial" w:cs="Arial"/>
          <w:color w:val="000000" w:themeColor="text1"/>
        </w:rPr>
        <w:t xml:space="preserve">People </w:t>
      </w:r>
      <w:r w:rsidR="00031009">
        <w:rPr>
          <w:rFonts w:eastAsia="Arial" w:cs="Arial"/>
          <w:color w:val="000000" w:themeColor="text1"/>
        </w:rPr>
        <w:t xml:space="preserve">assessed </w:t>
      </w:r>
      <w:r w:rsidRPr="020CB24F">
        <w:rPr>
          <w:rFonts w:eastAsia="Arial" w:cs="Arial"/>
          <w:color w:val="000000" w:themeColor="text1"/>
        </w:rPr>
        <w:t xml:space="preserve">at high risk of </w:t>
      </w:r>
      <w:r w:rsidR="005F2308">
        <w:rPr>
          <w:rFonts w:eastAsia="Arial" w:cs="Arial"/>
          <w:color w:val="000000" w:themeColor="text1"/>
        </w:rPr>
        <w:t>mpox</w:t>
      </w:r>
      <w:r w:rsidRPr="020CB24F">
        <w:rPr>
          <w:rFonts w:eastAsia="Arial" w:cs="Arial"/>
          <w:color w:val="000000" w:themeColor="text1"/>
        </w:rPr>
        <w:t xml:space="preserve"> virus infection who have received a smallpox vaccine dose more than ten years ago are recommended to receive </w:t>
      </w:r>
      <w:r w:rsidR="001C6DFB">
        <w:rPr>
          <w:rFonts w:eastAsia="Arial" w:cs="Arial"/>
          <w:color w:val="000000" w:themeColor="text1"/>
        </w:rPr>
        <w:t xml:space="preserve">a single </w:t>
      </w:r>
      <w:r w:rsidRPr="020CB24F">
        <w:rPr>
          <w:rFonts w:eastAsia="Arial" w:cs="Arial"/>
          <w:color w:val="000000" w:themeColor="text1"/>
        </w:rPr>
        <w:t xml:space="preserve">dose of </w:t>
      </w:r>
      <w:r w:rsidR="00436D56">
        <w:rPr>
          <w:rFonts w:eastAsia="Arial" w:cs="Arial"/>
          <w:color w:val="000000" w:themeColor="text1"/>
        </w:rPr>
        <w:t xml:space="preserve">the </w:t>
      </w:r>
      <w:r w:rsidRPr="020CB24F">
        <w:rPr>
          <w:color w:val="000000" w:themeColor="text1"/>
        </w:rPr>
        <w:t>JYNNEOS</w:t>
      </w:r>
      <w:r w:rsidRPr="020CB24F">
        <w:rPr>
          <w:rFonts w:eastAsia="Arial" w:cs="Arial"/>
          <w:color w:val="000000" w:themeColor="text1"/>
          <w:vertAlign w:val="superscript"/>
        </w:rPr>
        <w:t>®</w:t>
      </w:r>
      <w:r w:rsidR="00A83087">
        <w:rPr>
          <w:rFonts w:eastAsia="Arial" w:cs="Arial"/>
          <w:color w:val="000000" w:themeColor="text1"/>
        </w:rPr>
        <w:t xml:space="preserve"> vaccine </w:t>
      </w:r>
      <w:r w:rsidR="00D00FFD">
        <w:rPr>
          <w:rFonts w:eastAsia="Arial" w:cs="Arial"/>
          <w:color w:val="000000" w:themeColor="text1"/>
        </w:rPr>
        <w:t xml:space="preserve">administered via the subcutaneous </w:t>
      </w:r>
      <w:r w:rsidR="002D76D4">
        <w:rPr>
          <w:rFonts w:eastAsia="Arial" w:cs="Arial"/>
          <w:color w:val="000000" w:themeColor="text1"/>
        </w:rPr>
        <w:t>or intradermal route</w:t>
      </w:r>
      <w:r w:rsidR="00D00FFD">
        <w:rPr>
          <w:rFonts w:eastAsia="Arial" w:cs="Arial"/>
          <w:color w:val="000000" w:themeColor="text1"/>
        </w:rPr>
        <w:t xml:space="preserve">. </w:t>
      </w:r>
    </w:p>
    <w:p w14:paraId="641348B0" w14:textId="77777777" w:rsidR="00306FA3" w:rsidRPr="002C216E" w:rsidRDefault="00306FA3" w:rsidP="00C7560F">
      <w:pPr>
        <w:pStyle w:val="Heading2"/>
        <w:spacing w:before="240"/>
      </w:pPr>
      <w:bookmarkStart w:id="46" w:name="_Toc122340762"/>
      <w:r w:rsidRPr="002C216E">
        <w:lastRenderedPageBreak/>
        <w:t>Interval after infection</w:t>
      </w:r>
      <w:bookmarkEnd w:id="46"/>
    </w:p>
    <w:p w14:paraId="52D87867" w14:textId="42E3C882" w:rsidR="00306FA3" w:rsidRPr="00BD4EC6" w:rsidRDefault="00306FA3" w:rsidP="00306FA3">
      <w:pPr>
        <w:rPr>
          <w:lang w:eastAsia="en-AU"/>
        </w:rPr>
      </w:pPr>
      <w:r w:rsidRPr="6CE23031">
        <w:rPr>
          <w:rFonts w:eastAsia="Arial" w:cs="Arial"/>
        </w:rPr>
        <w:t xml:space="preserve">People who have had </w:t>
      </w:r>
      <w:r w:rsidR="00D95784">
        <w:rPr>
          <w:rFonts w:eastAsia="Arial" w:cs="Arial"/>
        </w:rPr>
        <w:t>mpox</w:t>
      </w:r>
      <w:r w:rsidRPr="6CE23031">
        <w:rPr>
          <w:rFonts w:eastAsia="Arial" w:cs="Arial"/>
        </w:rPr>
        <w:t xml:space="preserve"> virus infection during this outbreak are not recommended to be vaccinated at this time as they are likely to have immune protection from their infection</w:t>
      </w:r>
      <w:r>
        <w:rPr>
          <w:rFonts w:eastAsia="Arial" w:cs="Arial"/>
        </w:rPr>
        <w:t>.</w:t>
      </w:r>
    </w:p>
    <w:p w14:paraId="558FF9E8" w14:textId="77777777" w:rsidR="00306FA3" w:rsidRPr="00081B8A" w:rsidRDefault="00306FA3" w:rsidP="00C7560F">
      <w:pPr>
        <w:pStyle w:val="Heading2"/>
        <w:spacing w:before="240"/>
      </w:pPr>
      <w:bookmarkStart w:id="47" w:name="_Toc122340763"/>
      <w:r w:rsidRPr="00081B8A">
        <w:t>Coadministration</w:t>
      </w:r>
      <w:bookmarkEnd w:id="47"/>
      <w:r w:rsidRPr="00081B8A">
        <w:t xml:space="preserve"> </w:t>
      </w:r>
    </w:p>
    <w:p w14:paraId="6B187D9D" w14:textId="77777777"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is a </w:t>
      </w:r>
      <w:bookmarkStart w:id="48" w:name="_Hlk118107923"/>
      <w:r w:rsidR="002C4114" w:rsidRPr="00D00D0B">
        <w:rPr>
          <w:rFonts w:eastAsia="Arial" w:cs="Arial"/>
          <w:szCs w:val="21"/>
        </w:rPr>
        <w:t xml:space="preserve">live attenuated </w:t>
      </w:r>
      <w:r w:rsidR="002C4114" w:rsidRPr="00651E78">
        <w:rPr>
          <w:rFonts w:eastAsia="Arial" w:cs="Arial"/>
          <w:b/>
          <w:bCs/>
          <w:szCs w:val="21"/>
        </w:rPr>
        <w:t>non-replicating vaccine</w:t>
      </w:r>
      <w:r w:rsidR="002C4114" w:rsidRPr="00D00D0B">
        <w:rPr>
          <w:rFonts w:eastAsia="Arial" w:cs="Arial"/>
          <w:szCs w:val="21"/>
        </w:rPr>
        <w:t xml:space="preserve"> </w:t>
      </w:r>
      <w:bookmarkEnd w:id="48"/>
      <w:r w:rsidR="002C4114" w:rsidRPr="00D00D0B">
        <w:rPr>
          <w:rFonts w:eastAsia="Arial" w:cs="Arial"/>
          <w:szCs w:val="21"/>
        </w:rPr>
        <w:t xml:space="preserve">that </w:t>
      </w:r>
      <w:r w:rsidRPr="00D00D0B">
        <w:rPr>
          <w:rFonts w:eastAsia="Arial" w:cs="Arial"/>
          <w:szCs w:val="21"/>
        </w:rPr>
        <w:t xml:space="preserve">vaccine 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51651651" w14:textId="3926C4F9" w:rsidR="00D00D0B" w:rsidRPr="000A610C" w:rsidRDefault="00BB4F46" w:rsidP="00FD36E4">
      <w:pPr>
        <w:spacing w:before="120"/>
        <w:rPr>
          <w:rFonts w:ascii="Calibri" w:hAnsi="Calibri"/>
          <w:szCs w:val="21"/>
        </w:rPr>
      </w:pPr>
      <w:r w:rsidRPr="00BB4F46">
        <w:rPr>
          <w:rFonts w:cs="Arial"/>
          <w:color w:val="000000"/>
          <w:szCs w:val="21"/>
          <w:shd w:val="clear" w:color="auto" w:fill="FFFFFF"/>
        </w:rPr>
        <w:t xml:space="preserve">The </w:t>
      </w:r>
      <w:r w:rsidRPr="00BB4F46">
        <w:rPr>
          <w:rFonts w:eastAsia="Arial" w:cs="Arial"/>
          <w:szCs w:val="21"/>
        </w:rPr>
        <w:t>live attenuated JYNNEOS</w:t>
      </w:r>
      <w:r w:rsidRPr="00BB4F46">
        <w:rPr>
          <w:rFonts w:eastAsia="Arial" w:cs="Arial"/>
          <w:szCs w:val="21"/>
          <w:vertAlign w:val="superscript"/>
        </w:rPr>
        <w:t>®</w:t>
      </w:r>
      <w:r w:rsidRPr="00BB4F46">
        <w:rPr>
          <w:rFonts w:eastAsia="Arial" w:cs="Arial"/>
          <w:szCs w:val="21"/>
        </w:rPr>
        <w:t xml:space="preserve"> </w:t>
      </w:r>
      <w:r w:rsidRPr="00BB4F46">
        <w:rPr>
          <w:rFonts w:eastAsia="Arial" w:cs="Arial"/>
          <w:b/>
          <w:bCs/>
          <w:szCs w:val="21"/>
        </w:rPr>
        <w:t>vaccine</w:t>
      </w:r>
      <w:r w:rsidRPr="00BB4F46">
        <w:rPr>
          <w:rFonts w:eastAsia="Arial" w:cs="Arial"/>
          <w:szCs w:val="21"/>
        </w:rPr>
        <w:t xml:space="preserve"> </w:t>
      </w:r>
      <w:r w:rsidRPr="00BB4F46">
        <w:rPr>
          <w:rFonts w:cs="Arial"/>
          <w:color w:val="000000"/>
          <w:szCs w:val="21"/>
          <w:shd w:val="clear" w:color="auto" w:fill="FFFFFF"/>
        </w:rPr>
        <w:t>does not replicate and for the purposes of timing and spacing recommendations behaves like a non-live vaccine</w:t>
      </w:r>
      <w:r w:rsidR="001C296B">
        <w:rPr>
          <w:rStyle w:val="FootnoteReference"/>
          <w:rFonts w:cs="Arial"/>
          <w:color w:val="000000"/>
          <w:szCs w:val="21"/>
          <w:shd w:val="clear" w:color="auto" w:fill="FFFFFF"/>
        </w:rPr>
        <w:footnoteReference w:id="17"/>
      </w:r>
      <w:r w:rsidRPr="00BB4F46">
        <w:rPr>
          <w:rFonts w:cs="Arial"/>
          <w:color w:val="000000"/>
          <w:szCs w:val="21"/>
          <w:shd w:val="clear" w:color="auto" w:fill="FFFFFF"/>
        </w:rPr>
        <w:t>.</w:t>
      </w:r>
      <w:r w:rsidRPr="000A610C">
        <w:rPr>
          <w:szCs w:val="21"/>
        </w:rPr>
        <w:t xml:space="preserve"> </w:t>
      </w:r>
      <w:r w:rsidR="0066110B" w:rsidRPr="000A610C">
        <w:rPr>
          <w:szCs w:val="21"/>
        </w:rPr>
        <w:t>The</w:t>
      </w:r>
      <w:r w:rsidR="00BA05D2" w:rsidRPr="000A610C">
        <w:rPr>
          <w:szCs w:val="21"/>
        </w:rPr>
        <w:t xml:space="preserve"> </w:t>
      </w:r>
      <w:r w:rsidR="000A610C">
        <w:rPr>
          <w:szCs w:val="21"/>
        </w:rPr>
        <w:t xml:space="preserve">standard </w:t>
      </w:r>
      <w:r w:rsidR="00BA05D2" w:rsidRPr="000A610C">
        <w:rPr>
          <w:szCs w:val="21"/>
        </w:rPr>
        <w:t xml:space="preserve">principle of </w:t>
      </w:r>
      <w:r w:rsidR="000A610C">
        <w:rPr>
          <w:szCs w:val="21"/>
        </w:rPr>
        <w:t xml:space="preserve">a </w:t>
      </w:r>
      <w:r w:rsidR="00B35005" w:rsidRPr="000A610C">
        <w:rPr>
          <w:sz w:val="22"/>
          <w:szCs w:val="22"/>
        </w:rPr>
        <w:t>28</w:t>
      </w:r>
      <w:r w:rsidR="0066110B" w:rsidRPr="000A610C">
        <w:rPr>
          <w:sz w:val="22"/>
          <w:szCs w:val="22"/>
        </w:rPr>
        <w:t xml:space="preserve"> day</w:t>
      </w:r>
      <w:r w:rsidR="00B35005" w:rsidRPr="000A610C">
        <w:rPr>
          <w:sz w:val="22"/>
          <w:szCs w:val="22"/>
        </w:rPr>
        <w:t xml:space="preserve"> </w:t>
      </w:r>
      <w:r w:rsidR="00BA05D2" w:rsidRPr="000A610C">
        <w:rPr>
          <w:sz w:val="22"/>
          <w:szCs w:val="22"/>
        </w:rPr>
        <w:t xml:space="preserve">interval </w:t>
      </w:r>
      <w:r w:rsidR="00B35005" w:rsidRPr="000A610C">
        <w:rPr>
          <w:sz w:val="22"/>
          <w:szCs w:val="22"/>
        </w:rPr>
        <w:t xml:space="preserve">between </w:t>
      </w:r>
      <w:r w:rsidR="0066110B" w:rsidRPr="000A610C">
        <w:rPr>
          <w:sz w:val="22"/>
          <w:szCs w:val="22"/>
        </w:rPr>
        <w:t>live</w:t>
      </w:r>
      <w:r w:rsidR="00B35005" w:rsidRPr="000A610C">
        <w:rPr>
          <w:sz w:val="22"/>
          <w:szCs w:val="22"/>
        </w:rPr>
        <w:t xml:space="preserve"> vaccine</w:t>
      </w:r>
      <w:r w:rsidR="000A610C">
        <w:rPr>
          <w:sz w:val="22"/>
          <w:szCs w:val="22"/>
        </w:rPr>
        <w:t>s</w:t>
      </w:r>
      <w:r w:rsidR="00D161D2">
        <w:rPr>
          <w:rStyle w:val="FootnoteReference"/>
          <w:sz w:val="22"/>
          <w:szCs w:val="22"/>
        </w:rPr>
        <w:footnoteReference w:id="18"/>
      </w:r>
      <w:r w:rsidR="0066110B" w:rsidRPr="000A610C">
        <w:rPr>
          <w:sz w:val="22"/>
          <w:szCs w:val="22"/>
        </w:rPr>
        <w:t xml:space="preserve"> (e.g</w:t>
      </w:r>
      <w:r w:rsidR="000A610C">
        <w:rPr>
          <w:sz w:val="22"/>
          <w:szCs w:val="22"/>
        </w:rPr>
        <w:t>.</w:t>
      </w:r>
      <w:r w:rsidR="0066110B" w:rsidRPr="000A610C">
        <w:rPr>
          <w:sz w:val="22"/>
          <w:szCs w:val="22"/>
        </w:rPr>
        <w:t xml:space="preserve"> Yellow Fever vaccine</w:t>
      </w:r>
      <w:r w:rsidR="000A610C" w:rsidRPr="000A610C">
        <w:rPr>
          <w:sz w:val="22"/>
          <w:szCs w:val="22"/>
        </w:rPr>
        <w:t>)</w:t>
      </w:r>
      <w:r w:rsidR="00B35005" w:rsidRPr="000A610C">
        <w:rPr>
          <w:sz w:val="22"/>
          <w:szCs w:val="22"/>
        </w:rPr>
        <w:t xml:space="preserve"> and </w:t>
      </w:r>
      <w:r w:rsidR="00B35005" w:rsidRPr="000A610C">
        <w:rPr>
          <w:rFonts w:eastAsia="Arial" w:cs="Arial"/>
          <w:szCs w:val="21"/>
        </w:rPr>
        <w:t>JYNNEOS</w:t>
      </w:r>
      <w:r w:rsidR="00B35005" w:rsidRPr="000A610C">
        <w:rPr>
          <w:rFonts w:eastAsia="Arial" w:cs="Arial"/>
          <w:szCs w:val="21"/>
          <w:vertAlign w:val="superscript"/>
        </w:rPr>
        <w:t>®</w:t>
      </w:r>
      <w:r w:rsidR="00B35005" w:rsidRPr="000A610C">
        <w:rPr>
          <w:rFonts w:eastAsia="Arial" w:cs="Arial"/>
          <w:szCs w:val="21"/>
        </w:rPr>
        <w:t xml:space="preserve"> vaccine doe</w:t>
      </w:r>
      <w:r w:rsidR="00BA05D2" w:rsidRPr="000A610C">
        <w:rPr>
          <w:rFonts w:eastAsia="Arial" w:cs="Arial"/>
          <w:szCs w:val="21"/>
        </w:rPr>
        <w:t>s</w:t>
      </w:r>
      <w:r w:rsidR="00B35005" w:rsidRPr="000A610C">
        <w:rPr>
          <w:rFonts w:eastAsia="Arial" w:cs="Arial"/>
          <w:szCs w:val="21"/>
        </w:rPr>
        <w:t xml:space="preserve"> not apply</w:t>
      </w:r>
      <w:r w:rsidR="004B5BDF">
        <w:rPr>
          <w:rFonts w:eastAsia="Arial" w:cs="Arial"/>
          <w:szCs w:val="21"/>
        </w:rPr>
        <w:t>.</w:t>
      </w:r>
    </w:p>
    <w:p w14:paraId="6DC8A767" w14:textId="3BA81F32" w:rsidR="00306FA3" w:rsidRPr="000B0A35" w:rsidRDefault="00D34A3B" w:rsidP="00FD36E4">
      <w:pPr>
        <w:spacing w:before="120" w:line="288" w:lineRule="auto"/>
        <w:rPr>
          <w:szCs w:val="21"/>
        </w:rPr>
      </w:pPr>
      <w:r>
        <w:t xml:space="preserve">It is not known if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is associated with a risk of myocarditis. In cases of specific clinical concern, spacing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 and a COVID-19 vaccine apart by two weeks may be considered.</w:t>
      </w:r>
      <w:r w:rsidR="00306FA3" w:rsidRPr="000B0A35">
        <w:rPr>
          <w:szCs w:val="21"/>
        </w:rPr>
        <w:t xml:space="preserve"> </w:t>
      </w:r>
      <w:r w:rsidR="00A20BD5" w:rsidRPr="000B0A35">
        <w:rPr>
          <w:szCs w:val="21"/>
        </w:rPr>
        <w:t xml:space="preserve">People should consult their GP for an assessment to determine any increased risk for myocarditis and/or pericarditis and recommendation to delay administration of </w:t>
      </w:r>
      <w:r w:rsidR="00A20BD5" w:rsidRPr="000B0A35">
        <w:rPr>
          <w:rFonts w:eastAsia="Calibri" w:cs="Arial"/>
          <w:szCs w:val="21"/>
        </w:rPr>
        <w:t>JYNNEOS</w:t>
      </w:r>
      <w:r w:rsidR="00A20BD5"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0CD0C448" w:rsidR="00306FA3" w:rsidRPr="000B0A35" w:rsidRDefault="00964027" w:rsidP="3396044C">
      <w:pPr>
        <w:spacing w:before="120" w:line="288" w:lineRule="auto"/>
        <w:rPr>
          <w:szCs w:val="21"/>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306FA3" w:rsidRPr="000B0A35">
        <w:rPr>
          <w:rStyle w:val="FootnoteReference"/>
          <w:szCs w:val="21"/>
        </w:rPr>
        <w:footnoteReference w:id="19"/>
      </w:r>
      <w:r w:rsidR="00306FA3" w:rsidRPr="000B0A35">
        <w:rPr>
          <w:szCs w:val="21"/>
        </w:rPr>
        <w:t>.</w:t>
      </w:r>
    </w:p>
    <w:p w14:paraId="68714499" w14:textId="77777777" w:rsidR="00306FA3" w:rsidRPr="00376303" w:rsidRDefault="00306FA3" w:rsidP="00306FA3">
      <w:pPr>
        <w:pStyle w:val="Heading2"/>
      </w:pPr>
      <w:bookmarkStart w:id="49" w:name="_Toc122340764"/>
      <w:r w:rsidRPr="00376303">
        <w:t>Completing schedules commenced overseas</w:t>
      </w:r>
      <w:bookmarkEnd w:id="49"/>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50" w:name="_Toc122340765"/>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50"/>
      <w:r w:rsidRPr="00A21215">
        <w:rPr>
          <w:rStyle w:val="Heading2Char"/>
        </w:rPr>
        <w:t xml:space="preserve"> </w:t>
      </w:r>
    </w:p>
    <w:p w14:paraId="28717C61" w14:textId="0E6725C9"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BD7E9D" w:rsidRPr="00A21215">
          <w:rPr>
            <w:rStyle w:val="Hyperlink"/>
            <w:sz w:val="21"/>
            <w:szCs w:val="21"/>
          </w:rPr>
          <w:t>v</w:t>
        </w:r>
        <w:r w:rsidR="00293E12" w:rsidRPr="00A21215">
          <w:rPr>
            <w:rStyle w:val="Hyperlink"/>
            <w:sz w:val="21"/>
            <w:szCs w:val="21"/>
          </w:rPr>
          <w:t>accine errors</w:t>
        </w:r>
      </w:hyperlink>
      <w:r w:rsidR="00293E12" w:rsidRPr="00A21215">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1" w:name="_Toc1222883788"/>
      <w:bookmarkStart w:id="52" w:name="_Toc110581208"/>
      <w:bookmarkStart w:id="53" w:name="_Toc112154556"/>
      <w:bookmarkStart w:id="54" w:name="_Toc112315623"/>
      <w:r>
        <w:rPr>
          <w:rStyle w:val="Heading1Char"/>
          <w:b/>
        </w:rPr>
        <w:br w:type="page"/>
      </w:r>
      <w:bookmarkStart w:id="55" w:name="_Toc122340766"/>
      <w:r w:rsidR="00077DBB" w:rsidRPr="00B3292D">
        <w:rPr>
          <w:rStyle w:val="Heading1Char"/>
          <w:bCs w:val="0"/>
        </w:rPr>
        <w:lastRenderedPageBreak/>
        <w:t>Vaccine Logistics</w:t>
      </w:r>
      <w:bookmarkStart w:id="56" w:name="_Logistics"/>
      <w:bookmarkEnd w:id="51"/>
      <w:bookmarkEnd w:id="52"/>
      <w:bookmarkEnd w:id="53"/>
      <w:bookmarkEnd w:id="54"/>
      <w:bookmarkEnd w:id="55"/>
      <w:bookmarkEnd w:id="56"/>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077DBB">
      <w:pPr>
        <w:pStyle w:val="Heading2"/>
      </w:pPr>
      <w:bookmarkStart w:id="57" w:name="_Toc112154557"/>
      <w:bookmarkStart w:id="58" w:name="_Toc112315624"/>
      <w:bookmarkStart w:id="59" w:name="_Toc122340767"/>
      <w:r>
        <w:t>Presentation</w:t>
      </w:r>
      <w:bookmarkEnd w:id="57"/>
      <w:bookmarkEnd w:id="58"/>
      <w:bookmarkEnd w:id="59"/>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19">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48694693">
            <wp:extent cx="4468969" cy="1896745"/>
            <wp:effectExtent l="0" t="0" r="8255" b="8255"/>
            <wp:docPr id="407849497" name="Picture 2" descr="Image of 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Image of JYNEEOS package of 20 vials">
                      <a:extLst>
                        <a:ext uri="{C183D7F6-B498-43B3-948B-1728B52AA6E4}">
                          <adec:decorative xmlns:adec="http://schemas.microsoft.com/office/drawing/2017/decorative" val="0"/>
                        </a:ext>
                      </a:extLst>
                    </pic:cNvPr>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5B784C72" w:rsidR="00077DBB" w:rsidRPr="00966123" w:rsidRDefault="00077DBB" w:rsidP="00FC135D">
      <w:pPr>
        <w:spacing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Pr="00966123">
        <w:rPr>
          <w:rFonts w:cs="Arial"/>
          <w:szCs w:val="21"/>
          <w:lang w:eastAsia="en-AU"/>
        </w:rPr>
        <w:t xml:space="preserve">a suspension for injection. </w:t>
      </w:r>
    </w:p>
    <w:p w14:paraId="561F56FF" w14:textId="77777777" w:rsidR="00077DBB" w:rsidRPr="00966123" w:rsidRDefault="00077DBB" w:rsidP="00FC135D">
      <w:pPr>
        <w:spacing w:after="0" w:line="288" w:lineRule="auto"/>
        <w:textAlignment w:val="baseline"/>
        <w:rPr>
          <w:rFonts w:cs="Arial"/>
          <w:szCs w:val="21"/>
          <w:lang w:eastAsia="en-AU"/>
        </w:rPr>
      </w:pPr>
      <w:r w:rsidRPr="00C05F26">
        <w:rPr>
          <w:rFonts w:cs="Arial"/>
          <w:szCs w:val="21"/>
          <w:lang w:eastAsia="en-AU"/>
        </w:rPr>
        <w:t xml:space="preserve">Each </w:t>
      </w:r>
      <w:r w:rsidRPr="004C1343">
        <w:rPr>
          <w:rFonts w:cs="Arial"/>
          <w:szCs w:val="21"/>
          <w:lang w:eastAsia="en-AU"/>
        </w:rPr>
        <w:t>vial comprises 0.5 mL</w:t>
      </w:r>
      <w:r>
        <w:rPr>
          <w:rFonts w:cs="Arial"/>
          <w:szCs w:val="21"/>
          <w:lang w:eastAsia="en-AU"/>
        </w:rPr>
        <w:t xml:space="preserve"> suspension.</w:t>
      </w:r>
      <w:r w:rsidRPr="009A2E34">
        <w:rPr>
          <w:rFonts w:cs="Arial"/>
          <w:szCs w:val="21"/>
          <w:lang w:eastAsia="en-AU"/>
        </w:rPr>
        <w:t>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FC135D">
      <w:pPr>
        <w:pStyle w:val="Heading2"/>
        <w:spacing w:before="240"/>
        <w:rPr>
          <w:rFonts w:ascii="Segoe UI" w:hAnsi="Segoe UI" w:cs="Segoe UI"/>
          <w:sz w:val="18"/>
          <w:szCs w:val="18"/>
        </w:rPr>
      </w:pPr>
      <w:bookmarkStart w:id="60" w:name="_Toc112154558"/>
      <w:bookmarkStart w:id="61" w:name="_Toc112315625"/>
      <w:bookmarkStart w:id="62" w:name="_Toc122340768"/>
      <w:r w:rsidRPr="004C1343">
        <w:t>Storage</w:t>
      </w:r>
      <w:bookmarkEnd w:id="60"/>
      <w:bookmarkEnd w:id="61"/>
      <w:bookmarkEnd w:id="62"/>
    </w:p>
    <w:p w14:paraId="32C4CB2D" w14:textId="71F9B866"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 xml:space="preserve">the contents </w:t>
      </w:r>
      <w:r w:rsidRPr="00DC02BF">
        <w:rPr>
          <w:rFonts w:cs="Arial"/>
          <w:szCs w:val="21"/>
          <w:lang w:eastAsia="en-AU"/>
        </w:rPr>
        <w:t>from light.</w:t>
      </w:r>
    </w:p>
    <w:p w14:paraId="42B33E3C" w14:textId="7F859C20"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has a storage temperature of -50°C. It will be delivered thawed and should be stored </w:t>
      </w:r>
      <w:r w:rsidR="009D3892">
        <w:rPr>
          <w:rFonts w:cs="Arial"/>
          <w:szCs w:val="21"/>
          <w:lang w:eastAsia="en-AU"/>
        </w:rPr>
        <w:t xml:space="preserve">in a purpose build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E973BB">
        <w:rPr>
          <w:rFonts w:cs="Arial"/>
          <w:szCs w:val="21"/>
          <w:lang w:eastAsia="en-AU"/>
        </w:rPr>
        <w:t>not re-frozen.</w:t>
      </w:r>
      <w:r w:rsidR="00A95782" w:rsidRPr="00A95782">
        <w:rPr>
          <w:rFonts w:cs="Arial"/>
          <w:szCs w:val="21"/>
          <w:lang w:eastAsia="en-AU"/>
        </w:rPr>
        <w:t xml:space="preserve"> </w:t>
      </w:r>
      <w:r w:rsidR="00A95782" w:rsidRPr="004C1343">
        <w:rPr>
          <w:rFonts w:cs="Arial"/>
          <w:szCs w:val="21"/>
          <w:lang w:eastAsia="en-AU"/>
        </w:rPr>
        <w:t xml:space="preserve">Once thawed, the vaccine must be kept at +2°C to +8°C and has a shelf life </w:t>
      </w:r>
      <w:r w:rsidR="00A95782" w:rsidRPr="008E667E">
        <w:rPr>
          <w:rFonts w:cs="Arial"/>
          <w:bCs/>
          <w:szCs w:val="21"/>
          <w:lang w:eastAsia="en-AU"/>
        </w:rPr>
        <w:t>of 24 weeks</w:t>
      </w:r>
      <w:r w:rsidR="00A95782" w:rsidRPr="004C1343">
        <w:rPr>
          <w:rFonts w:cs="Arial"/>
          <w:szCs w:val="21"/>
          <w:lang w:eastAsia="en-AU"/>
        </w:rPr>
        <w:t>.</w:t>
      </w:r>
    </w:p>
    <w:p w14:paraId="273AB3F9" w14:textId="10DAFE84" w:rsidR="00077DBB" w:rsidRPr="00DC02BF" w:rsidRDefault="00077DBB" w:rsidP="00AA0F0F">
      <w:pPr>
        <w:spacing w:line="288" w:lineRule="auto"/>
        <w:textAlignment w:val="baseline"/>
        <w:rPr>
          <w:rFonts w:cs="Arial"/>
          <w:szCs w:val="21"/>
          <w:lang w:eastAsia="en-AU"/>
        </w:rPr>
      </w:pPr>
      <w:r>
        <w:rPr>
          <w:rFonts w:cs="Arial"/>
          <w:szCs w:val="21"/>
          <w:lang w:eastAsia="en-AU"/>
        </w:rPr>
        <w:t>On removal from storage temperature of -50</w:t>
      </w:r>
      <w:r w:rsidR="005F2308" w:rsidRPr="005F2308">
        <w:rPr>
          <w:rFonts w:cs="Arial"/>
          <w:szCs w:val="21"/>
          <w:lang w:eastAsia="en-AU"/>
        </w:rPr>
        <w:t>°</w:t>
      </w:r>
      <w:r>
        <w:rPr>
          <w:rFonts w:cs="Arial"/>
          <w:szCs w:val="21"/>
          <w:lang w:eastAsia="en-AU"/>
        </w:rPr>
        <w:t xml:space="preserve">C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will be applied to the box</w:t>
      </w:r>
      <w:r>
        <w:rPr>
          <w:rFonts w:cs="Arial"/>
          <w:szCs w:val="21"/>
          <w:lang w:eastAsia="en-AU"/>
        </w:rPr>
        <w:t xml:space="preserve">. Ensure vials are stored in the original box. </w:t>
      </w:r>
      <w:r w:rsidR="009A52D1">
        <w:rPr>
          <w:rFonts w:cs="Arial"/>
          <w:szCs w:val="21"/>
          <w:lang w:eastAsia="en-AU"/>
        </w:rPr>
        <w:t xml:space="preserve">Refer </w:t>
      </w:r>
      <w:r w:rsidR="00922DEA">
        <w:rPr>
          <w:rFonts w:cs="Arial"/>
          <w:szCs w:val="21"/>
          <w:lang w:eastAsia="en-AU"/>
        </w:rPr>
        <w:t>to</w:t>
      </w:r>
      <w:r w:rsidR="009A52D1">
        <w:rPr>
          <w:rFonts w:cs="Arial"/>
          <w:szCs w:val="21"/>
          <w:lang w:eastAsia="en-AU"/>
        </w:rPr>
        <w:t xml:space="preserve"> the revised label to </w:t>
      </w:r>
      <w:r w:rsidRPr="004C1343">
        <w:rPr>
          <w:rFonts w:cs="Arial"/>
          <w:szCs w:val="21"/>
          <w:lang w:eastAsia="en-AU"/>
        </w:rPr>
        <w:t>prevent vaccine administration error.</w:t>
      </w:r>
    </w:p>
    <w:p w14:paraId="12171C05" w14:textId="77777777" w:rsidR="00077DBB" w:rsidRPr="00096E9A" w:rsidRDefault="00077DBB" w:rsidP="00077DBB">
      <w:pPr>
        <w:pStyle w:val="Heading2"/>
      </w:pPr>
      <w:bookmarkStart w:id="63" w:name="_Toc112315626"/>
      <w:bookmarkStart w:id="64" w:name="_Toc122340769"/>
      <w:bookmarkStart w:id="65" w:name="_Toc112154559"/>
      <w:r w:rsidRPr="00096E9A">
        <w:t>Vaccine procurement</w:t>
      </w:r>
      <w:bookmarkEnd w:id="63"/>
      <w:bookmarkEnd w:id="64"/>
      <w:r w:rsidRPr="00096E9A">
        <w:t xml:space="preserve"> </w:t>
      </w:r>
      <w:bookmarkEnd w:id="65"/>
    </w:p>
    <w:p w14:paraId="1705E49A" w14:textId="53871F80" w:rsidR="00077DBB" w:rsidRDefault="00077DBB" w:rsidP="00E66581">
      <w:pPr>
        <w:pStyle w:val="Body"/>
        <w:rPr>
          <w:rFonts w:cs="Arial"/>
          <w:szCs w:val="21"/>
        </w:rPr>
      </w:pPr>
      <w:r w:rsidRPr="009A2E34">
        <w:rPr>
          <w:rFonts w:eastAsia="Times New Roman" w:cs="Arial"/>
          <w:szCs w:val="21"/>
          <w:lang w:eastAsia="en-AU"/>
        </w:rPr>
        <w:t>JYNNEOS</w:t>
      </w:r>
      <w:r w:rsidRPr="009A2E34">
        <w:rPr>
          <w:rFonts w:eastAsia="Times New Roman" w:cs="Arial"/>
          <w:szCs w:val="21"/>
          <w:vertAlign w:val="superscript"/>
          <w:lang w:eastAsia="en-AU"/>
        </w:rPr>
        <w:t>®</w:t>
      </w:r>
      <w:r w:rsidRPr="7F593B28">
        <w:rPr>
          <w:rFonts w:cs="Arial"/>
          <w:szCs w:val="21"/>
        </w:rPr>
        <w:t xml:space="preserve"> </w:t>
      </w:r>
      <w:r>
        <w:rPr>
          <w:rFonts w:cs="Arial"/>
          <w:szCs w:val="21"/>
        </w:rPr>
        <w:t>m</w:t>
      </w:r>
      <w:r w:rsidRPr="792BC86A">
        <w:rPr>
          <w:rFonts w:cs="Arial"/>
          <w:szCs w:val="21"/>
        </w:rPr>
        <w:t xml:space="preserve">pox </w:t>
      </w:r>
      <w:r w:rsidRPr="3C45E097">
        <w:rPr>
          <w:rFonts w:cs="Arial"/>
        </w:rPr>
        <w:t>vaccine</w:t>
      </w:r>
      <w:r w:rsidRPr="792BC86A">
        <w:rPr>
          <w:rFonts w:cs="Arial"/>
          <w:szCs w:val="21"/>
        </w:rPr>
        <w:t xml:space="preserve"> will be </w:t>
      </w:r>
      <w:r w:rsidRPr="7F593B28">
        <w:rPr>
          <w:rFonts w:cs="Arial"/>
          <w:szCs w:val="21"/>
        </w:rPr>
        <w:t>available</w:t>
      </w:r>
      <w:r w:rsidRPr="792BC86A">
        <w:rPr>
          <w:rFonts w:cs="Arial"/>
          <w:szCs w:val="21"/>
        </w:rPr>
        <w:t xml:space="preserve"> to </w:t>
      </w:r>
      <w:r w:rsidRPr="7F593B28">
        <w:rPr>
          <w:rFonts w:cs="Arial"/>
          <w:szCs w:val="21"/>
        </w:rPr>
        <w:t xml:space="preserve">select providers </w:t>
      </w:r>
      <w:r w:rsidRPr="3C45E097">
        <w:rPr>
          <w:rFonts w:cs="Arial"/>
          <w:szCs w:val="21"/>
        </w:rPr>
        <w:t xml:space="preserve">and distribution will be managed by </w:t>
      </w:r>
      <w:r w:rsidRPr="7E83FD67">
        <w:rPr>
          <w:rFonts w:cs="Arial"/>
        </w:rPr>
        <w:t>t</w:t>
      </w:r>
      <w:r w:rsidRPr="7E83FD67">
        <w:rPr>
          <w:rFonts w:cs="Arial"/>
          <w:szCs w:val="21"/>
        </w:rPr>
        <w:t xml:space="preserve">he </w:t>
      </w:r>
      <w:r w:rsidR="0085444C">
        <w:rPr>
          <w:rFonts w:cs="Arial"/>
          <w:szCs w:val="21"/>
        </w:rPr>
        <w:t>d</w:t>
      </w:r>
      <w:r w:rsidRPr="7E83FD67">
        <w:rPr>
          <w:rFonts w:cs="Arial"/>
          <w:szCs w:val="21"/>
        </w:rPr>
        <w:t xml:space="preserve">epartment. </w:t>
      </w:r>
      <w:r w:rsidRPr="68CC3F0F">
        <w:rPr>
          <w:rFonts w:cs="Arial"/>
        </w:rPr>
        <w:t xml:space="preserve">All enquires can be directed to </w:t>
      </w:r>
      <w:hyperlink r:id="rId21">
        <w:r w:rsidRPr="68CC3F0F">
          <w:rPr>
            <w:rStyle w:val="Hyperlink"/>
            <w:rFonts w:cs="Arial"/>
          </w:rPr>
          <w:t>immunisation@health.vic.gov.au</w:t>
        </w:r>
      </w:hyperlink>
      <w:r w:rsidRPr="68CC3F0F">
        <w:rPr>
          <w:rFonts w:cs="Arial"/>
        </w:rPr>
        <w:t xml:space="preserve"> </w:t>
      </w:r>
      <w:r w:rsidR="00C31BE6">
        <w:rPr>
          <w:rFonts w:cs="Arial"/>
        </w:rPr>
        <w:t>&lt;mailto:</w:t>
      </w:r>
      <w:r w:rsidR="002A61CF" w:rsidRPr="002A61CF">
        <w:t xml:space="preserve"> </w:t>
      </w:r>
      <w:r w:rsidR="002A61CF" w:rsidRPr="002A61CF">
        <w:rPr>
          <w:rFonts w:cs="Arial"/>
        </w:rPr>
        <w:t>immunisation@health.vic.gov.au</w:t>
      </w:r>
      <w:r w:rsidR="002A61CF">
        <w:rPr>
          <w:rStyle w:val="Hyperlink"/>
          <w:rFonts w:cs="Arial"/>
        </w:rPr>
        <w:t>&gt;</w:t>
      </w:r>
    </w:p>
    <w:p w14:paraId="581F987F" w14:textId="77777777" w:rsidR="00077DBB" w:rsidRPr="00096E9A" w:rsidRDefault="00077DBB" w:rsidP="00077DBB">
      <w:pPr>
        <w:pStyle w:val="Heading2"/>
      </w:pPr>
      <w:bookmarkStart w:id="66" w:name="_Toc122340770"/>
      <w:r>
        <w:t>Vaccine wastage reporting</w:t>
      </w:r>
      <w:bookmarkEnd w:id="66"/>
    </w:p>
    <w:p w14:paraId="0B98687B" w14:textId="4023EB18" w:rsidR="004257D2" w:rsidRDefault="00077DBB" w:rsidP="00077DBB">
      <w:pPr>
        <w:spacing w:after="0" w:line="288" w:lineRule="auto"/>
        <w:textAlignment w:val="baseline"/>
        <w:rPr>
          <w:rFonts w:eastAsia="Calibri" w:cs="Arial"/>
        </w:rPr>
      </w:pPr>
      <w:r w:rsidRPr="00B80235">
        <w:rPr>
          <w:rFonts w:eastAsia="Calibri" w:cs="Arial"/>
        </w:rPr>
        <w:t xml:space="preserve">The </w:t>
      </w:r>
      <w:r w:rsidR="0085444C">
        <w:rPr>
          <w:rFonts w:eastAsia="Calibri" w:cs="Arial"/>
        </w:rPr>
        <w:t>d</w:t>
      </w:r>
      <w:r w:rsidRPr="00B80235">
        <w:rPr>
          <w:rFonts w:eastAsia="Calibri" w:cs="Arial"/>
        </w:rPr>
        <w:t xml:space="preserve">epartment will be requesting weekly usage and wastage reports from providers. </w:t>
      </w:r>
      <w:r>
        <w:rPr>
          <w:rFonts w:eastAsia="Calibri" w:cs="Arial"/>
        </w:rPr>
        <w:t>An email reminder is to be</w:t>
      </w:r>
      <w:r w:rsidRPr="00B80235">
        <w:rPr>
          <w:rFonts w:eastAsia="Calibri" w:cs="Arial"/>
        </w:rPr>
        <w:t xml:space="preserve"> </w:t>
      </w:r>
      <w:r>
        <w:rPr>
          <w:rFonts w:eastAsia="Calibri" w:cs="Arial"/>
        </w:rPr>
        <w:t>sent each Thursday containing the link below</w:t>
      </w:r>
      <w:r w:rsidR="00250C8F">
        <w:rPr>
          <w:rFonts w:eastAsia="Calibri" w:cs="Arial"/>
        </w:rPr>
        <w:t>:</w:t>
      </w:r>
    </w:p>
    <w:p w14:paraId="42F445EF" w14:textId="712D2217" w:rsidR="00E66581" w:rsidRDefault="00077DBB" w:rsidP="00077DBB">
      <w:pPr>
        <w:spacing w:after="0" w:line="288" w:lineRule="auto"/>
        <w:textAlignment w:val="baseline"/>
        <w:rPr>
          <w:rFonts w:eastAsia="Calibri" w:cs="Arial"/>
        </w:rPr>
      </w:pPr>
      <w:r w:rsidRPr="00B80235">
        <w:rPr>
          <w:rFonts w:eastAsia="Calibri" w:cs="Arial"/>
          <w:b/>
          <w:bCs/>
        </w:rPr>
        <w:lastRenderedPageBreak/>
        <w:t xml:space="preserve">Reports are to be submitted weekly by 12pm each </w:t>
      </w:r>
      <w:r w:rsidR="00D745BF">
        <w:rPr>
          <w:rFonts w:eastAsia="Calibri" w:cs="Arial"/>
          <w:b/>
          <w:bCs/>
        </w:rPr>
        <w:t>Monday for the week prior.</w:t>
      </w:r>
    </w:p>
    <w:p w14:paraId="213E2EF0" w14:textId="3E9BC23A" w:rsidR="00077DBB" w:rsidRPr="00623FA9" w:rsidRDefault="00000000" w:rsidP="00077DBB">
      <w:pPr>
        <w:spacing w:after="0" w:line="288" w:lineRule="auto"/>
        <w:textAlignment w:val="baseline"/>
        <w:rPr>
          <w:rFonts w:eastAsia="Calibri" w:cs="Arial"/>
          <w:color w:val="365F91" w:themeColor="accent1" w:themeShade="BF"/>
        </w:rPr>
      </w:pPr>
      <w:hyperlink r:id="rId22" w:history="1">
        <w:r w:rsidR="00BF5947">
          <w:rPr>
            <w:rStyle w:val="Hyperlink"/>
            <w:rFonts w:eastAsia="Calibri" w:cs="Arial"/>
          </w:rPr>
          <w:t>Mpox</w:t>
        </w:r>
        <w:r w:rsidR="00CA34F3">
          <w:rPr>
            <w:rStyle w:val="Hyperlink"/>
            <w:rFonts w:eastAsia="Calibri" w:cs="Arial"/>
          </w:rPr>
          <w:t xml:space="preserve"> Vaccine Usage and Wastage Report</w:t>
        </w:r>
      </w:hyperlink>
      <w:r w:rsidR="00CA34F3">
        <w:rPr>
          <w:rStyle w:val="Hyperlink"/>
          <w:rFonts w:eastAsia="Calibri" w:cs="Arial"/>
        </w:rPr>
        <w:t xml:space="preserve"> </w:t>
      </w:r>
      <w:r w:rsidR="00966CA0">
        <w:rPr>
          <w:rStyle w:val="Hyperlink"/>
          <w:rFonts w:eastAsia="Calibri" w:cs="Arial"/>
        </w:rPr>
        <w:t xml:space="preserve"> </w:t>
      </w:r>
      <w:r w:rsidR="007C2DCC">
        <w:rPr>
          <w:rStyle w:val="Hyperlink"/>
          <w:rFonts w:eastAsia="Calibri" w:cs="Arial"/>
        </w:rPr>
        <w:t>&lt;</w:t>
      </w:r>
      <w:r w:rsidR="00623FA9" w:rsidRPr="00595D0D">
        <w:rPr>
          <w:rStyle w:val="Hyperlink"/>
          <w:rFonts w:eastAsia="Calibri" w:cs="Arial"/>
          <w:color w:val="auto"/>
        </w:rPr>
        <w:t>https://</w:t>
      </w:r>
      <w:r w:rsidR="00623FA9" w:rsidRPr="00BF5947">
        <w:rPr>
          <w:rStyle w:val="Hyperlink"/>
          <w:rFonts w:eastAsia="Calibri" w:cs="Arial"/>
          <w:color w:val="auto"/>
        </w:rPr>
        <w:t>forms.office.com/pages/responsepage.aspx?id=H2DgwKwPnESciKEExOufKCSmZxDa3xhBuPAJN3fVuqtUNjk1T0YwTFBNUlE4WUtUQlRMNjRJRUszTiQlQCN0PWcu&amp;web=1&amp;wdLOR=c65936C97-057B-4635-B1F7-5085EDD821EF</w:t>
      </w:r>
      <w:r w:rsidR="00623FA9">
        <w:rPr>
          <w:rStyle w:val="Hyperlink"/>
          <w:rFonts w:eastAsia="Calibri" w:cs="Arial"/>
          <w:color w:val="auto"/>
        </w:rPr>
        <w:t>&gt;</w:t>
      </w:r>
    </w:p>
    <w:p w14:paraId="27B75A32" w14:textId="77777777" w:rsidR="002A61CF" w:rsidRDefault="00077DBB" w:rsidP="002A61CF">
      <w:pPr>
        <w:pStyle w:val="Body"/>
        <w:rPr>
          <w:rFonts w:cs="Arial"/>
          <w:szCs w:val="21"/>
        </w:rPr>
      </w:pPr>
      <w:r w:rsidRPr="00B80235">
        <w:rPr>
          <w:rFonts w:eastAsia="Calibri" w:cs="Arial"/>
        </w:rPr>
        <w:t>All enquiries</w:t>
      </w:r>
      <w:r>
        <w:rPr>
          <w:rFonts w:eastAsia="Calibri" w:cs="Arial"/>
        </w:rPr>
        <w:t xml:space="preserve"> relating to vaccine wastage</w:t>
      </w:r>
      <w:r w:rsidRPr="00B80235">
        <w:rPr>
          <w:rFonts w:eastAsia="Calibri" w:cs="Arial"/>
        </w:rPr>
        <w:t xml:space="preserve"> are to be directed to </w:t>
      </w:r>
      <w:hyperlink r:id="rId23" w:tgtFrame="_blank" w:history="1">
        <w:r w:rsidRPr="00B80235">
          <w:rPr>
            <w:rStyle w:val="Hyperlink"/>
            <w:rFonts w:eastAsia="Calibri" w:cs="Arial"/>
          </w:rPr>
          <w:t>immunisation@health.vic.gov.au</w:t>
        </w:r>
      </w:hyperlink>
      <w:r w:rsidRPr="00B80235">
        <w:rPr>
          <w:rFonts w:eastAsia="Calibri" w:cs="Arial"/>
        </w:rPr>
        <w:t> </w:t>
      </w:r>
      <w:r w:rsidR="002A61CF">
        <w:rPr>
          <w:rFonts w:cs="Arial"/>
        </w:rPr>
        <w:t>&lt;mailto:</w:t>
      </w:r>
      <w:r w:rsidR="002A61CF" w:rsidRPr="002A61CF">
        <w:t xml:space="preserve"> </w:t>
      </w:r>
      <w:r w:rsidR="002A61CF" w:rsidRPr="002A61CF">
        <w:rPr>
          <w:rFonts w:cs="Arial"/>
        </w:rPr>
        <w:t>immunisation@health.vic.gov.au</w:t>
      </w:r>
      <w:r w:rsidR="002A61CF">
        <w:rPr>
          <w:rStyle w:val="Hyperlink"/>
          <w:rFonts w:cs="Arial"/>
        </w:rPr>
        <w:t>&gt;</w:t>
      </w:r>
    </w:p>
    <w:p w14:paraId="699B6CCD" w14:textId="400BEA3C" w:rsidR="00077DBB" w:rsidRPr="00E521FC" w:rsidRDefault="00077DBB" w:rsidP="00077DBB">
      <w:pPr>
        <w:spacing w:after="0" w:line="288" w:lineRule="auto"/>
        <w:textAlignment w:val="baseline"/>
        <w:rPr>
          <w:rFonts w:cs="Arial"/>
          <w:lang w:eastAsia="en-AU"/>
        </w:rPr>
      </w:pPr>
    </w:p>
    <w:p w14:paraId="0AA9D67C" w14:textId="77777777" w:rsidR="00077DBB" w:rsidRPr="0053635A" w:rsidRDefault="00077DBB" w:rsidP="00961480">
      <w:pPr>
        <w:pStyle w:val="Heading1"/>
        <w:spacing w:before="360"/>
      </w:pPr>
      <w:bookmarkStart w:id="67" w:name="_Cold_chain_management"/>
      <w:bookmarkStart w:id="68" w:name="_Toc112154566"/>
      <w:bookmarkStart w:id="69" w:name="_Toc112315627"/>
      <w:bookmarkStart w:id="70" w:name="_Toc122340771"/>
      <w:bookmarkEnd w:id="67"/>
      <w:r>
        <w:t>Cold chain management</w:t>
      </w:r>
      <w:bookmarkEnd w:id="68"/>
      <w:bookmarkEnd w:id="69"/>
      <w:bookmarkEnd w:id="70"/>
      <w:r>
        <w:t xml:space="preserve"> </w:t>
      </w:r>
    </w:p>
    <w:p w14:paraId="3095F6A4" w14:textId="583A5EA0"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FE0725" w:rsidRPr="00FE0725">
        <w:t xml:space="preserve">Department of Health </w:t>
      </w:r>
      <w:hyperlink r:id="rId24" w:history="1">
        <w:r w:rsidR="00FE0725" w:rsidRPr="00846D8F">
          <w:rPr>
            <w:rStyle w:val="Hyperlink"/>
            <w:i/>
            <w:iCs/>
          </w:rPr>
          <w:t>National Vaccine Storage Guidelines ‘Strive for 5’</w:t>
        </w:r>
        <w:r w:rsidR="00FE0725" w:rsidRPr="00846D8F">
          <w:rPr>
            <w:rStyle w:val="Hyperlink"/>
          </w:rPr>
          <w:t xml:space="preserve"> (2019) 3</w:t>
        </w:r>
        <w:r w:rsidR="00FE0725" w:rsidRPr="00B96D08">
          <w:rPr>
            <w:rStyle w:val="Hyperlink"/>
            <w:vertAlign w:val="superscript"/>
          </w:rPr>
          <w:t>rd</w:t>
        </w:r>
        <w:r w:rsidR="00FE0725" w:rsidRPr="00846D8F">
          <w:rPr>
            <w:rStyle w:val="Hyperlink"/>
          </w:rPr>
          <w:t xml:space="preserve"> Ed.</w:t>
        </w:r>
      </w:hyperlink>
      <w:r w:rsidR="00FE0725" w:rsidRPr="00FE0725">
        <w:t xml:space="preserve"> &lt;</w:t>
      </w:r>
      <w:r w:rsidR="00FE0725" w:rsidRPr="00846D8F">
        <w:t>https://www.health.gov.au/resources/publications/national-vaccine-storage-guidelines-strive-for-5</w:t>
      </w:r>
      <w:r w:rsidR="00FE0725" w:rsidRPr="00FE0725">
        <w:t>&gt;</w:t>
      </w:r>
      <w:r w:rsidRPr="00F35CA0">
        <w:t>.</w:t>
      </w:r>
      <w:r w:rsidR="00471FD9">
        <w:t xml:space="preserve"> </w:t>
      </w:r>
    </w:p>
    <w:p w14:paraId="0423AFC6" w14:textId="6E3CE037"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6C28AF">
        <w:t>Specific</w:t>
      </w:r>
      <w:r w:rsidR="00750509">
        <w:t xml:space="preserve"> </w:t>
      </w:r>
      <w:r w:rsidR="00455A40">
        <w:t>recommendations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hyperlink r:id="rId25" w:history="1">
        <w:r w:rsidR="00142A39" w:rsidRPr="00455A40">
          <w:rPr>
            <w:rStyle w:val="Hyperlink"/>
          </w:rPr>
          <w:t>Strive for 5</w:t>
        </w:r>
        <w:r w:rsidR="00BD2FEA" w:rsidRPr="00455A40">
          <w:rPr>
            <w:rStyle w:val="Hyperlink"/>
          </w:rPr>
          <w:t xml:space="preserve"> </w:t>
        </w:r>
        <w:r w:rsidR="006911BB">
          <w:rPr>
            <w:rStyle w:val="Hyperlink"/>
          </w:rPr>
          <w:t>g</w:t>
        </w:r>
        <w:r w:rsidR="00455A40" w:rsidRPr="00455A40">
          <w:rPr>
            <w:rStyle w:val="Hyperlink"/>
          </w:rPr>
          <w:t>uidelines</w:t>
        </w:r>
      </w:hyperlink>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077DBB">
      <w:pPr>
        <w:pStyle w:val="Heading2"/>
      </w:pPr>
      <w:bookmarkStart w:id="71" w:name="_Toc112154567"/>
      <w:bookmarkStart w:id="72" w:name="_Toc112315628"/>
      <w:bookmarkStart w:id="73" w:name="_Toc122340772"/>
      <w:r>
        <w:t>Identifying a cold chain breach</w:t>
      </w:r>
      <w:bookmarkEnd w:id="71"/>
      <w:bookmarkEnd w:id="72"/>
      <w:bookmarkEnd w:id="73"/>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27F5F9" w14:textId="77777777" w:rsidR="005E06CA" w:rsidRDefault="00077DBB" w:rsidP="00BE2F23">
      <w:pPr>
        <w:pStyle w:val="Body"/>
        <w:rPr>
          <w:szCs w:val="21"/>
        </w:rPr>
      </w:pPr>
      <w:r w:rsidRPr="00B53969">
        <w:t>Any service storing vaccines must have a strategy for dealing with cold chain breaches.</w:t>
      </w:r>
      <w:r w:rsidR="00BE2F23">
        <w:t xml:space="preserve"> </w:t>
      </w:r>
      <w:r w:rsidRPr="00B53969">
        <w:rPr>
          <w:szCs w:val="21"/>
        </w:rPr>
        <w:t xml:space="preserve">In case of a power failure or fridge breakdown, a backup plan should be practiced by all key personnel. Alternate purpose-built vaccine fridges/coolers should be able to contain the full vaccine stock supply. </w:t>
      </w:r>
    </w:p>
    <w:p w14:paraId="4DFD31DE" w14:textId="32E3184C" w:rsidR="00077DBB" w:rsidRPr="00B53969" w:rsidRDefault="00077DBB" w:rsidP="00BE2F23">
      <w:pPr>
        <w:pStyle w:val="Body"/>
        <w:rPr>
          <w:szCs w:val="21"/>
        </w:rPr>
      </w:pPr>
      <w:r w:rsidRPr="00B53969">
        <w:rPr>
          <w:szCs w:val="21"/>
        </w:rPr>
        <w:t xml:space="preserve">The time and temperature must be recorded as soon as practicable after the breach commences. </w:t>
      </w:r>
    </w:p>
    <w:p w14:paraId="056EFEF9" w14:textId="77777777" w:rsidR="00077DBB" w:rsidRPr="00E26836" w:rsidRDefault="00077DBB" w:rsidP="009701D0">
      <w:pPr>
        <w:pStyle w:val="Heading2"/>
        <w:spacing w:before="240" w:line="288" w:lineRule="auto"/>
      </w:pPr>
      <w:bookmarkStart w:id="74" w:name="_Toc112154568"/>
      <w:bookmarkStart w:id="75" w:name="_Toc112315629"/>
      <w:bookmarkStart w:id="76" w:name="_Toc122340773"/>
      <w:r w:rsidRPr="00E26836">
        <w:t>Reporting a vaccine cold chain breach</w:t>
      </w:r>
      <w:bookmarkEnd w:id="74"/>
      <w:bookmarkEnd w:id="75"/>
      <w:bookmarkEnd w:id="76"/>
    </w:p>
    <w:p w14:paraId="0E384A76" w14:textId="77777777" w:rsidR="00077DBB" w:rsidRPr="00974D1B" w:rsidRDefault="00077DBB" w:rsidP="00077DBB">
      <w:pPr>
        <w:pStyle w:val="Body"/>
      </w:pPr>
      <w:r w:rsidRPr="00974D1B">
        <w:t>The following actions must be implemented:</w:t>
      </w:r>
    </w:p>
    <w:p w14:paraId="208D4698" w14:textId="77777777" w:rsidR="00077DBB" w:rsidRPr="00974D1B" w:rsidRDefault="00077DBB" w:rsidP="00603DC8">
      <w:pPr>
        <w:pStyle w:val="Bullet1"/>
        <w:numPr>
          <w:ilvl w:val="0"/>
          <w:numId w:val="15"/>
        </w:numPr>
      </w:pPr>
      <w:r>
        <w:t>Isolate affected vaccines in the recommended temperature range.</w:t>
      </w:r>
    </w:p>
    <w:p w14:paraId="66D9F1C2" w14:textId="77777777" w:rsidR="00077DBB" w:rsidRPr="00974D1B" w:rsidRDefault="00077DBB" w:rsidP="00603DC8">
      <w:pPr>
        <w:pStyle w:val="Bullet1"/>
        <w:numPr>
          <w:ilvl w:val="0"/>
          <w:numId w:val="15"/>
        </w:numPr>
      </w:pPr>
      <w:r>
        <w:t>Label ‘</w:t>
      </w:r>
      <w:r w:rsidRPr="000B120A">
        <w:rPr>
          <w:b/>
          <w:bCs/>
        </w:rPr>
        <w:t>Do not use’</w:t>
      </w:r>
      <w:r>
        <w:t>.</w:t>
      </w:r>
    </w:p>
    <w:p w14:paraId="5013CE08" w14:textId="7EE0338B" w:rsidR="00F40356" w:rsidRDefault="00F40356" w:rsidP="002F6B3D">
      <w:pPr>
        <w:pStyle w:val="Bullet1"/>
        <w:numPr>
          <w:ilvl w:val="0"/>
          <w:numId w:val="15"/>
        </w:numPr>
        <w:spacing w:before="120"/>
      </w:pPr>
      <w:r>
        <w:t xml:space="preserve">Report </w:t>
      </w:r>
      <w:r w:rsidRPr="6EEBAB2B">
        <w:rPr>
          <w:b/>
          <w:bCs/>
        </w:rPr>
        <w:t xml:space="preserve">all </w:t>
      </w:r>
      <w:r>
        <w:t xml:space="preserve">cold chain breaches </w:t>
      </w:r>
      <w:r w:rsidRPr="6EEBAB2B">
        <w:rPr>
          <w:b/>
          <w:bCs/>
        </w:rPr>
        <w:t>directly to</w:t>
      </w:r>
      <w:r>
        <w:t xml:space="preserve"> </w:t>
      </w:r>
      <w:hyperlink r:id="rId26">
        <w:r w:rsidR="002F6B3D" w:rsidRPr="6EEBAB2B">
          <w:rPr>
            <w:rStyle w:val="Hyperlink"/>
          </w:rPr>
          <w:t>immunisation@health.vic.gov.au</w:t>
        </w:r>
      </w:hyperlink>
    </w:p>
    <w:p w14:paraId="2DCDB767" w14:textId="3F4ED5D6" w:rsidR="00077DBB" w:rsidRPr="00F40356" w:rsidRDefault="00077DBB" w:rsidP="00C016B5">
      <w:pPr>
        <w:pStyle w:val="Bullet1"/>
        <w:numPr>
          <w:ilvl w:val="0"/>
          <w:numId w:val="0"/>
        </w:numPr>
        <w:spacing w:before="120"/>
        <w:rPr>
          <w:rStyle w:val="Hyperlink"/>
          <w:b/>
        </w:rPr>
      </w:pPr>
      <w:r w:rsidRPr="00974D1B">
        <w:t xml:space="preserve">If advised to discard </w:t>
      </w:r>
      <w:r>
        <w:t xml:space="preserve">the </w:t>
      </w:r>
      <w:r w:rsidRPr="00974D1B">
        <w:t>vaccine</w:t>
      </w:r>
      <w:r>
        <w:t>,</w:t>
      </w:r>
      <w:r w:rsidRPr="00974D1B">
        <w:t xml:space="preserve"> </w:t>
      </w:r>
      <w:r>
        <w:t xml:space="preserve">also complete the </w:t>
      </w:r>
      <w:hyperlink r:id="rId27" w:history="1">
        <w:r w:rsidRPr="008D2B30">
          <w:rPr>
            <w:rStyle w:val="Hyperlink"/>
          </w:rPr>
          <w:t>vaccine and wastage report</w:t>
        </w:r>
      </w:hyperlink>
      <w:r w:rsidR="00561908">
        <w:t>.</w:t>
      </w:r>
    </w:p>
    <w:p w14:paraId="4801BF9C" w14:textId="48275CF5" w:rsidR="00077DBB" w:rsidRPr="00974D1B" w:rsidRDefault="00077DBB" w:rsidP="005E06CA">
      <w:pPr>
        <w:pStyle w:val="Bullet1"/>
        <w:numPr>
          <w:ilvl w:val="0"/>
          <w:numId w:val="0"/>
        </w:numPr>
        <w:spacing w:before="240" w:after="120"/>
        <w:rPr>
          <w:b/>
        </w:rPr>
      </w:pPr>
      <w:r w:rsidRPr="00974D1B">
        <w:rPr>
          <w:b/>
        </w:rPr>
        <w:t>Patients who are inadvertently administered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lastRenderedPageBreak/>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77777777" w:rsidR="00077DBB" w:rsidRPr="00974D1B" w:rsidRDefault="00077DBB" w:rsidP="00603DC8">
      <w:pPr>
        <w:pStyle w:val="Bullet1"/>
        <w:numPr>
          <w:ilvl w:val="0"/>
          <w:numId w:val="15"/>
        </w:numPr>
        <w:rPr>
          <w:rFonts w:asciiTheme="minorHAnsi" w:eastAsiaTheme="minorEastAsia" w:hAnsiTheme="minorHAnsi"/>
          <w:szCs w:val="21"/>
        </w:rPr>
      </w:pPr>
      <w:r>
        <w:t xml:space="preserve">call SAEFVIC Immunisation Hotline (1300 882 924 option 1) and </w:t>
      </w:r>
    </w:p>
    <w:p w14:paraId="7136E9E7" w14:textId="011BE5D6" w:rsidR="00077DBB" w:rsidRPr="00B82F08" w:rsidRDefault="00077DBB" w:rsidP="00603DC8">
      <w:pPr>
        <w:pStyle w:val="Bullet1"/>
        <w:numPr>
          <w:ilvl w:val="0"/>
          <w:numId w:val="15"/>
        </w:numPr>
      </w:pPr>
      <w:r>
        <w:t xml:space="preserve">complete </w:t>
      </w:r>
      <w:hyperlink r:id="rId28">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29">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7" w:name="_Clinical_Guidelines"/>
      <w:bookmarkStart w:id="78" w:name="_Toc1483138152"/>
      <w:bookmarkStart w:id="79" w:name="_Toc112154569"/>
      <w:bookmarkStart w:id="80" w:name="_Toc112315630"/>
      <w:bookmarkStart w:id="81" w:name="_Toc122340774"/>
      <w:bookmarkEnd w:id="77"/>
      <w:r w:rsidRPr="00B3292D">
        <w:t>Clinical Guidelines</w:t>
      </w:r>
      <w:bookmarkEnd w:id="78"/>
      <w:bookmarkEnd w:id="79"/>
      <w:bookmarkEnd w:id="80"/>
      <w:bookmarkEnd w:id="81"/>
    </w:p>
    <w:p w14:paraId="52D9C3A9" w14:textId="77777777" w:rsidR="00077DBB" w:rsidRPr="0053635A" w:rsidRDefault="00077DBB" w:rsidP="00077DBB">
      <w:pPr>
        <w:pStyle w:val="Heading2"/>
      </w:pPr>
      <w:bookmarkStart w:id="82" w:name="_National_Vaccine_Operations"/>
      <w:bookmarkStart w:id="83" w:name="_Workforce_requirements"/>
      <w:bookmarkStart w:id="84" w:name="_Workforce_requirements_1"/>
      <w:bookmarkStart w:id="85" w:name="_Toc62825435"/>
      <w:bookmarkStart w:id="86" w:name="_Toc71895620"/>
      <w:bookmarkStart w:id="87" w:name="_Toc73627090"/>
      <w:bookmarkStart w:id="88" w:name="_Toc2030836546"/>
      <w:bookmarkStart w:id="89" w:name="_Toc112154570"/>
      <w:bookmarkStart w:id="90" w:name="_Toc112315631"/>
      <w:bookmarkStart w:id="91" w:name="_Toc122340775"/>
      <w:bookmarkEnd w:id="82"/>
      <w:bookmarkEnd w:id="83"/>
      <w:bookmarkEnd w:id="84"/>
      <w:r>
        <w:t>Infection prevention and control</w:t>
      </w:r>
      <w:bookmarkEnd w:id="85"/>
      <w:bookmarkEnd w:id="86"/>
      <w:bookmarkEnd w:id="87"/>
      <w:bookmarkEnd w:id="88"/>
      <w:bookmarkEnd w:id="89"/>
      <w:bookmarkEnd w:id="90"/>
      <w:bookmarkEnd w:id="91"/>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37934EA5" w14:textId="0A8AA336" w:rsidR="00077DBB" w:rsidRPr="006F1A2A" w:rsidRDefault="00077DBB" w:rsidP="00077DBB">
      <w:pPr>
        <w:pStyle w:val="Bodyafterbullets"/>
      </w:pPr>
      <w:r w:rsidRPr="00DD036F">
        <w:t xml:space="preserve">Further IPC advice can be found in the </w:t>
      </w:r>
      <w:r w:rsidR="003158C2" w:rsidRPr="00503359">
        <w:t xml:space="preserve">NHMRC (2019) </w:t>
      </w:r>
      <w:hyperlink r:id="rId30" w:history="1">
        <w:r w:rsidR="003158C2" w:rsidRPr="00503359">
          <w:rPr>
            <w:rStyle w:val="Hyperlink"/>
          </w:rPr>
          <w:t>Australian Guidelines for the Prevention and Control of Infection in Healthcare</w:t>
        </w:r>
      </w:hyperlink>
      <w:r w:rsidR="00503359">
        <w:t xml:space="preserve"> </w:t>
      </w:r>
      <w:r w:rsidR="003158C2" w:rsidRPr="00503359">
        <w:t xml:space="preserve"> &lt;https://www.nhmrc.gov.au/about-us/publications/australian-guidelines-prevention-and-control-infection-healthcare-2019&gt;</w:t>
      </w:r>
      <w:r w:rsidRPr="00DD036F">
        <w:t xml:space="preserve"> </w:t>
      </w:r>
      <w:bookmarkStart w:id="92" w:name="_Toc73627091"/>
      <w:r w:rsidR="001B4DF8">
        <w:t>.</w:t>
      </w:r>
    </w:p>
    <w:p w14:paraId="1EE78617" w14:textId="67D02817" w:rsidR="00077DBB" w:rsidRPr="0053635A" w:rsidRDefault="00077DBB" w:rsidP="00E36814">
      <w:pPr>
        <w:pStyle w:val="Heading2"/>
        <w:tabs>
          <w:tab w:val="center" w:pos="4513"/>
        </w:tabs>
      </w:pPr>
      <w:bookmarkStart w:id="93" w:name="_Toc1432810979"/>
      <w:bookmarkStart w:id="94" w:name="_Toc112154571"/>
      <w:bookmarkStart w:id="95" w:name="_Toc112315632"/>
      <w:bookmarkStart w:id="96" w:name="_Toc122340776"/>
      <w:r w:rsidRPr="0053635A">
        <w:t>Hand hygiene</w:t>
      </w:r>
      <w:bookmarkEnd w:id="92"/>
      <w:bookmarkEnd w:id="93"/>
      <w:bookmarkEnd w:id="94"/>
      <w:bookmarkEnd w:id="95"/>
      <w:bookmarkEnd w:id="96"/>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1"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8"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21D308DF"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hyperlink r:id="rId32" w:history="1">
        <w:r w:rsidR="00EE1CE3" w:rsidRPr="00E414DB">
          <w:rPr>
            <w:rStyle w:val="Hyperlink"/>
          </w:rPr>
          <w:t>Australian Commission on Safety and Quality in Health Care</w:t>
        </w:r>
      </w:hyperlink>
      <w:r w:rsidRPr="00294463">
        <w:t xml:space="preserve"> </w:t>
      </w:r>
      <w:r w:rsidR="006D457B">
        <w:t xml:space="preserve">website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0662E8D3" w14:textId="536B9589" w:rsidR="00077DBB" w:rsidRPr="00294463" w:rsidRDefault="006D457B" w:rsidP="00077DBB">
      <w:pPr>
        <w:pStyle w:val="Body"/>
        <w:rPr>
          <w:rFonts w:cstheme="minorHAnsi"/>
        </w:rPr>
      </w:pPr>
      <w:r>
        <w:lastRenderedPageBreak/>
        <w:t>&lt;</w:t>
      </w:r>
      <w:r w:rsidRPr="00E414DB">
        <w:t>https://www.safetyandquality.gov.au/our-work/infection-prevention-and-control/national-hand-hygiene-initiative/materials-support-improved-hand-hygiene-australia</w:t>
      </w:r>
      <w:r w:rsidR="00E414DB">
        <w:t>&gt;</w:t>
      </w:r>
    </w:p>
    <w:p w14:paraId="675C4197" w14:textId="0E25A339" w:rsidR="00077DBB" w:rsidRPr="00E63533" w:rsidRDefault="00077DBB" w:rsidP="00077DBB">
      <w:pPr>
        <w:pStyle w:val="Heading2"/>
      </w:pPr>
      <w:bookmarkStart w:id="97" w:name="_Toc73627092"/>
      <w:bookmarkStart w:id="98" w:name="_Toc1842415591"/>
      <w:bookmarkStart w:id="99" w:name="_Toc112154572"/>
      <w:bookmarkStart w:id="100" w:name="_Toc112315633"/>
      <w:bookmarkStart w:id="101" w:name="_Toc122340777"/>
      <w:r w:rsidRPr="00683842">
        <w:t xml:space="preserve">Personal </w:t>
      </w:r>
      <w:r w:rsidR="00544E60">
        <w:t>p</w:t>
      </w:r>
      <w:r w:rsidRPr="00683842">
        <w:t>rot</w:t>
      </w:r>
      <w:r w:rsidRPr="00335F2A">
        <w:t xml:space="preserve">ective </w:t>
      </w:r>
      <w:r w:rsidR="00544E60">
        <w:t>e</w:t>
      </w:r>
      <w:r w:rsidRPr="00335F2A">
        <w:t>quipment (PPE)</w:t>
      </w:r>
      <w:bookmarkStart w:id="102" w:name="_Hlk63155054"/>
      <w:bookmarkEnd w:id="97"/>
      <w:bookmarkEnd w:id="98"/>
      <w:bookmarkEnd w:id="99"/>
      <w:bookmarkEnd w:id="100"/>
      <w:bookmarkEnd w:id="101"/>
    </w:p>
    <w:p w14:paraId="42BD9BF0" w14:textId="1FEE1868" w:rsidR="00150F45" w:rsidRDefault="00077DBB" w:rsidP="00150F45">
      <w:pPr>
        <w:pStyle w:val="Body"/>
        <w:rPr>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coronavirus pandemic response. </w:t>
      </w:r>
      <w:bookmarkEnd w:id="102"/>
    </w:p>
    <w:p w14:paraId="62917929" w14:textId="5D53D651" w:rsidR="006D457B" w:rsidRDefault="00077DBB" w:rsidP="000278F8">
      <w:pPr>
        <w:rPr>
          <w:rStyle w:val="Hyperlink"/>
          <w:rFonts w:cs="Arial"/>
          <w:szCs w:val="21"/>
          <w:lang w:eastAsia="en-AU"/>
        </w:rPr>
      </w:pPr>
      <w:r>
        <w:rPr>
          <w:rFonts w:cs="Arial"/>
          <w:color w:val="000000"/>
          <w:szCs w:val="21"/>
          <w:lang w:eastAsia="en-AU"/>
        </w:rPr>
        <w:t>T</w:t>
      </w:r>
      <w:r w:rsidRPr="00106055">
        <w:rPr>
          <w:rFonts w:cs="Arial"/>
          <w:color w:val="000000"/>
          <w:szCs w:val="21"/>
          <w:lang w:eastAsia="en-AU"/>
        </w:rPr>
        <w:t xml:space="preserve">his is detailed in the </w:t>
      </w:r>
      <w:hyperlink r:id="rId33" w:history="1">
        <w:r w:rsidR="006D457B">
          <w:rPr>
            <w:rStyle w:val="Hyperlink"/>
            <w:rFonts w:cs="Arial"/>
            <w:szCs w:val="21"/>
            <w:lang w:eastAsia="en-AU"/>
          </w:rPr>
          <w:t xml:space="preserve">Guide to the conventional use of PPE </w:t>
        </w:r>
      </w:hyperlink>
      <w:r w:rsidR="006D457B">
        <w:rPr>
          <w:rStyle w:val="Hyperlink"/>
          <w:rFonts w:cs="Arial"/>
          <w:szCs w:val="21"/>
          <w:lang w:eastAsia="en-AU"/>
        </w:rPr>
        <w:t xml:space="preserve"> </w:t>
      </w:r>
      <w:r w:rsidR="000278F8">
        <w:rPr>
          <w:rFonts w:cs="Arial"/>
          <w:szCs w:val="21"/>
          <w:lang w:eastAsia="en-AU"/>
        </w:rPr>
        <w:t xml:space="preserve">&lt;https://www.health.vic.gov.au/guide-conventional-use-ppe-covid-19-doc&gt; </w:t>
      </w:r>
      <w:r w:rsidR="0085311E">
        <w:rPr>
          <w:rStyle w:val="Hyperlink"/>
          <w:rFonts w:cs="Arial"/>
          <w:szCs w:val="21"/>
          <w:lang w:eastAsia="en-AU"/>
        </w:rPr>
        <w:t xml:space="preserve"> </w:t>
      </w:r>
    </w:p>
    <w:p w14:paraId="01448ECB" w14:textId="7451CF31" w:rsidR="00077DBB" w:rsidRPr="00106055" w:rsidRDefault="00077DBB" w:rsidP="00150F45">
      <w:pPr>
        <w:pStyle w:val="Body"/>
        <w:rPr>
          <w:rFonts w:cs="Arial"/>
          <w:color w:val="000000"/>
          <w:szCs w:val="21"/>
          <w:lang w:eastAsia="en-AU"/>
        </w:rPr>
      </w:pPr>
      <w:r w:rsidRPr="00106055">
        <w:rPr>
          <w:rFonts w:cs="Arial"/>
          <w:color w:val="000000"/>
          <w:szCs w:val="21"/>
          <w:lang w:eastAsia="en-AU"/>
        </w:rPr>
        <w:t xml:space="preserve">and supported by the COVID-19 status as documented within </w:t>
      </w:r>
      <w:hyperlink r:id="rId34" w:history="1">
        <w:r w:rsidR="00796CCD" w:rsidRPr="00FF5666">
          <w:rPr>
            <w:rStyle w:val="Hyperlink"/>
            <w:rFonts w:cs="Arial"/>
            <w:szCs w:val="21"/>
            <w:lang w:eastAsia="en-AU"/>
          </w:rPr>
          <w:t>The Victorian Health Service Guidance and Response to COVID-19 risks (VHSGR)</w:t>
        </w:r>
      </w:hyperlink>
      <w:r w:rsidR="00796CCD" w:rsidRPr="00FF5666">
        <w:rPr>
          <w:rFonts w:cs="Arial"/>
          <w:szCs w:val="21"/>
          <w:lang w:eastAsia="en-AU"/>
        </w:rPr>
        <w:t xml:space="preserve"> </w:t>
      </w:r>
      <w:r w:rsidR="00FF5666" w:rsidRPr="00FF5666">
        <w:rPr>
          <w:rFonts w:cs="Arial"/>
          <w:szCs w:val="21"/>
          <w:lang w:eastAsia="en-AU"/>
        </w:rPr>
        <w:t xml:space="preserve"> </w:t>
      </w:r>
    </w:p>
    <w:p w14:paraId="3E26A7A9" w14:textId="71E60A23" w:rsidR="00077DBB" w:rsidRDefault="006D6445" w:rsidP="00077DBB">
      <w:pPr>
        <w:pStyle w:val="Body"/>
        <w:spacing w:line="288" w:lineRule="auto"/>
        <w:rPr>
          <w:highlight w:val="yellow"/>
          <w:lang w:eastAsia="en-AU"/>
        </w:rPr>
      </w:pPr>
      <w:r w:rsidRPr="006D6445">
        <w:rPr>
          <w:rFonts w:eastAsiaTheme="minorEastAsia" w:cs="Arial"/>
          <w:color w:val="000000" w:themeColor="text1"/>
          <w:lang w:eastAsia="en-AU"/>
        </w:rPr>
        <w:t>The VHSGR</w:t>
      </w:r>
      <w:r>
        <w:rPr>
          <w:rFonts w:eastAsiaTheme="minorEastAsia" w:cs="Arial"/>
          <w:color w:val="000000" w:themeColor="text1"/>
          <w:lang w:eastAsia="en-AU"/>
        </w:rPr>
        <w:t xml:space="preserve"> web page includes guidance on r</w:t>
      </w:r>
      <w:r w:rsidR="00077DBB" w:rsidRPr="5A30DA95">
        <w:rPr>
          <w:rFonts w:eastAsiaTheme="minorEastAsia" w:cs="Arial"/>
          <w:color w:val="000000" w:themeColor="text1"/>
          <w:lang w:eastAsia="en-AU"/>
        </w:rPr>
        <w:t>isk ratings and associated changes to PPE requirements</w:t>
      </w:r>
      <w:r>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advice regarding use of PPE</w:t>
      </w:r>
      <w:r w:rsidR="009155D0">
        <w:rPr>
          <w:rFonts w:eastAsiaTheme="minorEastAsia" w:cs="Arial"/>
          <w:color w:val="000000" w:themeColor="text1"/>
          <w:lang w:eastAsia="en-AU"/>
        </w:rPr>
        <w:t xml:space="preserve"> </w:t>
      </w:r>
      <w:r w:rsidR="00077DBB" w:rsidRPr="5A30DA95">
        <w:rPr>
          <w:rFonts w:eastAsiaTheme="minorEastAsia" w:cs="Arial"/>
          <w:color w:val="000000" w:themeColor="text1"/>
          <w:lang w:eastAsia="en-AU"/>
        </w:rPr>
        <w:t xml:space="preserve">such as extended use, </w:t>
      </w:r>
      <w:r>
        <w:rPr>
          <w:rFonts w:eastAsiaTheme="minorEastAsia" w:cs="Arial"/>
          <w:color w:val="000000" w:themeColor="text1"/>
          <w:lang w:eastAsia="en-AU"/>
        </w:rPr>
        <w:t>and</w:t>
      </w:r>
      <w:r w:rsidR="00077DBB" w:rsidRPr="5A30DA95">
        <w:rPr>
          <w:rFonts w:eastAsiaTheme="minorEastAsia" w:cs="Arial"/>
          <w:color w:val="000000" w:themeColor="text1"/>
          <w:lang w:eastAsia="en-AU"/>
        </w:rPr>
        <w:t xml:space="preserve"> information on caring for skin and preventing facial injuring during extended use of respirators</w:t>
      </w:r>
      <w:r w:rsidR="00C554CC">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w:t>
      </w:r>
    </w:p>
    <w:p w14:paraId="7A7A36B7" w14:textId="66941A0B" w:rsidR="000468A1" w:rsidRDefault="00077DBB" w:rsidP="000468A1">
      <w:pPr>
        <w:rPr>
          <w:rFonts w:asciiTheme="minorHAnsi" w:hAnsiTheme="minorHAnsi"/>
          <w:sz w:val="22"/>
        </w:rPr>
      </w:pPr>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in the following resource, which </w:t>
      </w:r>
      <w:r>
        <w:t>is</w:t>
      </w:r>
      <w:r w:rsidRPr="0037124F">
        <w:t xml:space="preserve"> updated regularly</w:t>
      </w:r>
      <w:r>
        <w:t xml:space="preserve"> </w:t>
      </w:r>
      <w:hyperlink r:id="rId35" w:history="1">
        <w:r w:rsidR="00FB3E1B">
          <w:rPr>
            <w:rStyle w:val="Hyperlink"/>
          </w:rPr>
          <w:t xml:space="preserve">Infection Prevention and Control Expert Group Interim Guidance on Monkeypox for Health Workers </w:t>
        </w:r>
      </w:hyperlink>
      <w:r>
        <w:rPr>
          <w:rStyle w:val="Hyperlink"/>
        </w:rPr>
        <w:t>.</w:t>
      </w:r>
      <w:r w:rsidR="00FB3E1B">
        <w:rPr>
          <w:rStyle w:val="Hyperlink"/>
        </w:rPr>
        <w:t xml:space="preserve"> </w:t>
      </w:r>
      <w:r w:rsidR="000468A1">
        <w:t>&lt;https://www.health.gov.au/resources/publications/iceg-interim-guidance-on-monkeypox-for-health-workers&gt;</w:t>
      </w:r>
    </w:p>
    <w:p w14:paraId="10C218E3" w14:textId="77777777" w:rsidR="00077DBB" w:rsidRPr="00335F2A" w:rsidRDefault="00077DBB" w:rsidP="00BB2128">
      <w:pPr>
        <w:pStyle w:val="Heading2"/>
      </w:pPr>
      <w:bookmarkStart w:id="103" w:name="_Toc73627093"/>
      <w:bookmarkStart w:id="104" w:name="_Toc515385813"/>
      <w:bookmarkStart w:id="105" w:name="_Toc112154573"/>
      <w:bookmarkStart w:id="106" w:name="_Toc112315634"/>
      <w:bookmarkStart w:id="107" w:name="_Toc122340778"/>
      <w:r w:rsidRPr="00683842">
        <w:t>Cleaning and disinfection</w:t>
      </w:r>
      <w:bookmarkEnd w:id="103"/>
      <w:bookmarkEnd w:id="104"/>
      <w:bookmarkEnd w:id="105"/>
      <w:bookmarkEnd w:id="106"/>
      <w:bookmarkEnd w:id="107"/>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7777777" w:rsidR="002F1E29" w:rsidRDefault="00077DBB" w:rsidP="002F1E29">
      <w:pPr>
        <w:rPr>
          <w:rFonts w:asciiTheme="minorHAnsi" w:hAnsiTheme="minorHAnsi"/>
          <w:sz w:val="22"/>
        </w:rPr>
      </w:pPr>
      <w:r>
        <w:rPr>
          <w:szCs w:val="21"/>
        </w:rPr>
        <w:t xml:space="preserve">Further information regarding environmental cleaning in the context of the COVID-19 pandemic can be found under the cleaning section of the department’s </w:t>
      </w:r>
      <w:hyperlink r:id="rId36" w:history="1">
        <w:r w:rsidR="009A4376">
          <w:rPr>
            <w:rStyle w:val="Hyperlink"/>
            <w:szCs w:val="21"/>
          </w:rPr>
          <w:t>COVID-19: general cleaning principles for workplaces and the public</w:t>
        </w:r>
      </w:hyperlink>
      <w:r w:rsidR="00C46082">
        <w:rPr>
          <w:szCs w:val="21"/>
        </w:rPr>
        <w:t xml:space="preserve"> </w:t>
      </w:r>
      <w:r w:rsidR="002F1E29">
        <w:t>&lt;https://www.health.vic.gov.au/coronavirus-cleaning-guidelines-for-workplaces-doc&gt;</w:t>
      </w:r>
    </w:p>
    <w:p w14:paraId="68B20657" w14:textId="77777777" w:rsidR="00B62183" w:rsidRDefault="002F1E29" w:rsidP="00BB2128">
      <w:pPr>
        <w:rPr>
          <w:rStyle w:val="Hyperlink"/>
        </w:rPr>
      </w:pPr>
      <w:r>
        <w:rPr>
          <w:szCs w:val="21"/>
        </w:rPr>
        <w:t>F</w:t>
      </w:r>
      <w:r w:rsidR="00077DBB" w:rsidRPr="00B72C9F">
        <w:t xml:space="preserve">urther information regarding environmental cleaning </w:t>
      </w:r>
      <w:r w:rsidR="00077DBB">
        <w:t xml:space="preserve">for mpox </w:t>
      </w:r>
      <w:r w:rsidR="00077DBB" w:rsidRPr="00B72C9F">
        <w:t xml:space="preserve">can be found </w:t>
      </w:r>
      <w:bookmarkStart w:id="108" w:name="_Toc73627094"/>
      <w:bookmarkStart w:id="109" w:name="_Toc1664371431"/>
      <w:bookmarkStart w:id="110" w:name="_Toc112154574"/>
      <w:bookmarkStart w:id="111" w:name="_Toc112315635"/>
      <w:r w:rsidR="00BB2128">
        <w:fldChar w:fldCharType="begin"/>
      </w:r>
      <w:r w:rsidR="00857F9F">
        <w:instrText>HYPERLINK "https://www.health.gov.au/resources/publications/iceg-interim-guidance-on-monkeypox-for-health-workers"</w:instrText>
      </w:r>
      <w:r w:rsidR="00BB2128">
        <w:fldChar w:fldCharType="separate"/>
      </w:r>
      <w:r w:rsidR="00BB2128">
        <w:rPr>
          <w:rStyle w:val="Hyperlink"/>
        </w:rPr>
        <w:t xml:space="preserve">Infection Prevention and Control Expert Group Interim Guidance on Monkeypox for Health Workers </w:t>
      </w:r>
      <w:r w:rsidR="00BB2128">
        <w:rPr>
          <w:rStyle w:val="Hyperlink"/>
        </w:rPr>
        <w:fldChar w:fldCharType="end"/>
      </w:r>
    </w:p>
    <w:p w14:paraId="2C564791" w14:textId="63B66E4A" w:rsidR="00BB2128" w:rsidRDefault="00BB2128" w:rsidP="00BB2128">
      <w:pPr>
        <w:rPr>
          <w:rFonts w:asciiTheme="minorHAnsi" w:hAnsiTheme="minorHAnsi"/>
          <w:sz w:val="22"/>
        </w:rPr>
      </w:pPr>
      <w:r>
        <w:rPr>
          <w:rStyle w:val="Hyperlink"/>
        </w:rPr>
        <w:t xml:space="preserve">. </w:t>
      </w:r>
      <w:r>
        <w:t>&lt;https://www.health.gov.au/resources/publications/iceg-interim-guidance-on-monkeypox-for-health-workers&gt;</w:t>
      </w:r>
    </w:p>
    <w:p w14:paraId="5DEAFF44" w14:textId="0504527B" w:rsidR="00077DBB" w:rsidRPr="00335F2A" w:rsidRDefault="00077DBB" w:rsidP="00770841">
      <w:pPr>
        <w:pStyle w:val="Heading2"/>
      </w:pPr>
      <w:bookmarkStart w:id="112" w:name="_Toc122340779"/>
      <w:r w:rsidRPr="00683842">
        <w:t>Waste management</w:t>
      </w:r>
      <w:bookmarkEnd w:id="108"/>
      <w:r w:rsidRPr="00335F2A">
        <w:t xml:space="preserve"> and disposal</w:t>
      </w:r>
      <w:bookmarkEnd w:id="109"/>
      <w:bookmarkEnd w:id="110"/>
      <w:bookmarkEnd w:id="111"/>
      <w:bookmarkEnd w:id="112"/>
    </w:p>
    <w:p w14:paraId="1B4FBFAD" w14:textId="77777777" w:rsidR="00077DBB" w:rsidRPr="00A627AF" w:rsidRDefault="00077DBB" w:rsidP="00077DBB">
      <w:pPr>
        <w:pStyle w:val="Body"/>
      </w:pPr>
      <w:r>
        <w:t xml:space="preserve">At minimum, standard precautions apply, and waste should be disposed of in line with state legislation regarding clinical and related waste. </w:t>
      </w:r>
      <w:r w:rsidRPr="00A627AF">
        <w:t xml:space="preserve">All waste should be segregated into appropriate </w:t>
      </w:r>
      <w:r w:rsidRPr="00A627AF">
        <w:lastRenderedPageBreak/>
        <w:t>waste streams, for example general waste and clinic waste, including sharps. Vaccination providers must follow their normal waste management processes for the disposal of vaccine vials. Further information regarding the management of clinical and related waste can be found at:</w:t>
      </w:r>
      <w:r w:rsidRPr="00A627AF" w:rsidDel="00BC0AB1">
        <w:t xml:space="preserve"> </w:t>
      </w:r>
    </w:p>
    <w:p w14:paraId="21CA29C4" w14:textId="04DEC4F7" w:rsidR="00AB7096" w:rsidRDefault="00000000" w:rsidP="00AB7096">
      <w:pPr>
        <w:rPr>
          <w:rFonts w:asciiTheme="minorHAnsi" w:hAnsiTheme="minorHAnsi"/>
          <w:sz w:val="22"/>
        </w:rPr>
      </w:pPr>
      <w:hyperlink r:id="rId37" w:history="1">
        <w:r w:rsidR="00A2232B">
          <w:rPr>
            <w:rStyle w:val="Hyperlink"/>
          </w:rPr>
          <w:t xml:space="preserve">Clinical and Related Waste Guidance – Supplement for Healthcare Staff </w:t>
        </w:r>
      </w:hyperlink>
      <w:r w:rsidR="00AB7096">
        <w:t>&lt;https://www.health.vic.gov.au/publications/clinical-and-related-waste-guidance-supplement-for-healthcare-staff&gt;</w:t>
      </w:r>
    </w:p>
    <w:p w14:paraId="16EA2891" w14:textId="77777777" w:rsidR="00897DFE" w:rsidRDefault="00077DBB" w:rsidP="00897DFE">
      <w:pPr>
        <w:rPr>
          <w:rFonts w:asciiTheme="minorHAnsi" w:hAnsiTheme="minorHAnsi"/>
          <w:sz w:val="22"/>
        </w:rPr>
      </w:pPr>
      <w:r w:rsidRPr="00A627AF">
        <w:t xml:space="preserve">Environment Protection Authority (EPA) Victoria: </w:t>
      </w:r>
      <w:hyperlink r:id="rId38">
        <w:r w:rsidRPr="00A627AF">
          <w:rPr>
            <w:rStyle w:val="Hyperlink"/>
          </w:rPr>
          <w:t>Clinical and related waste: Operational guidance</w:t>
        </w:r>
      </w:hyperlink>
      <w:r w:rsidRPr="00A627AF">
        <w:t xml:space="preserve">  </w:t>
      </w:r>
      <w:r w:rsidR="00897DFE">
        <w:t>&lt;https://www.epa.vic.gov.au/about-epa/publications/iwrg612-1&gt;</w:t>
      </w:r>
    </w:p>
    <w:p w14:paraId="5973D657" w14:textId="3022F10F" w:rsidR="00C22CB6" w:rsidRDefault="00C22CB6" w:rsidP="00A73A9D">
      <w:pPr>
        <w:pStyle w:val="Bullet1"/>
        <w:numPr>
          <w:ilvl w:val="0"/>
          <w:numId w:val="0"/>
        </w:numPr>
        <w:spacing w:after="0" w:line="240" w:lineRule="auto"/>
      </w:pPr>
    </w:p>
    <w:p w14:paraId="39AC1B9C" w14:textId="77777777" w:rsidR="00C22CB6" w:rsidRDefault="00C22CB6" w:rsidP="00A73A9D">
      <w:pPr>
        <w:pStyle w:val="Bullet1"/>
        <w:numPr>
          <w:ilvl w:val="0"/>
          <w:numId w:val="0"/>
        </w:numPr>
        <w:spacing w:after="0" w:line="240" w:lineRule="auto"/>
      </w:pPr>
    </w:p>
    <w:p w14:paraId="514F824B" w14:textId="77777777" w:rsidR="00C22CB6" w:rsidRDefault="00C22CB6" w:rsidP="00A73A9D">
      <w:pPr>
        <w:pStyle w:val="Bullet1"/>
        <w:numPr>
          <w:ilvl w:val="0"/>
          <w:numId w:val="0"/>
        </w:numPr>
        <w:spacing w:after="0" w:line="240" w:lineRule="auto"/>
      </w:pPr>
    </w:p>
    <w:p w14:paraId="0E0EF143" w14:textId="77777777" w:rsidR="00C22CB6" w:rsidRDefault="00C22CB6" w:rsidP="00A73A9D">
      <w:pPr>
        <w:pStyle w:val="Bullet1"/>
        <w:numPr>
          <w:ilvl w:val="0"/>
          <w:numId w:val="0"/>
        </w:numPr>
        <w:spacing w:after="0" w:line="240" w:lineRule="auto"/>
      </w:pP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077DBB">
      <w:pPr>
        <w:pStyle w:val="Heading1"/>
      </w:pPr>
      <w:bookmarkStart w:id="113" w:name="_Toc112154579"/>
      <w:bookmarkStart w:id="114" w:name="_Toc112315641"/>
      <w:bookmarkStart w:id="115" w:name="_Toc122340780"/>
      <w:r w:rsidRPr="00D675FA">
        <w:lastRenderedPageBreak/>
        <w:t>Vaccination procedures</w:t>
      </w:r>
      <w:bookmarkEnd w:id="113"/>
      <w:bookmarkEnd w:id="114"/>
      <w:bookmarkEnd w:id="115"/>
    </w:p>
    <w:p w14:paraId="085DCEDB" w14:textId="41A8EEB3" w:rsidR="00077DBB" w:rsidRPr="00205CB0" w:rsidRDefault="00077DBB" w:rsidP="00077DBB">
      <w:pPr>
        <w:pStyle w:val="Body"/>
        <w:rPr>
          <w:rFonts w:cs="Arial"/>
        </w:rPr>
      </w:pPr>
      <w:r w:rsidRPr="00205CB0">
        <w:rPr>
          <w:rFonts w:cs="Arial"/>
        </w:rPr>
        <w:t xml:space="preserve">Providers 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Pr="00205CB0">
        <w:rPr>
          <w:rFonts w:cs="Arial"/>
        </w:rPr>
        <w:t xml:space="preserve">in line with </w:t>
      </w:r>
      <w:hyperlink r:id="rId39" w:history="1">
        <w:r w:rsidR="00EF1807" w:rsidRPr="00EF1807">
          <w:rPr>
            <w:rStyle w:val="Hyperlink"/>
            <w:rFonts w:cs="Arial"/>
          </w:rPr>
          <w:t>ATAGI clinical guidance on vaccination against mpox</w:t>
        </w:r>
      </w:hyperlink>
      <w:r w:rsidR="00EF1807">
        <w:rPr>
          <w:rFonts w:cs="Arial"/>
        </w:rPr>
        <w:t>.</w:t>
      </w:r>
      <w:hyperlink r:id="rId40" w:history="1">
        <w:r w:rsidR="008A356D" w:rsidRPr="004828C6">
          <w:rPr>
            <w:rStyle w:val="Hyperlink"/>
            <w:rFonts w:cs="Arial"/>
          </w:rPr>
          <w:t xml:space="preserve">https://www.health.gov.au/resources/publications/atagi-clinical-guidance-on-vaccination-against-monkeypox?language=en </w:t>
        </w:r>
      </w:hyperlink>
      <w:r w:rsidR="008A356D">
        <w:rPr>
          <w:rFonts w:cs="Arial"/>
        </w:rPr>
        <w:t xml:space="preserve"> and the</w:t>
      </w:r>
      <w:r w:rsidR="00AF5441">
        <w:rPr>
          <w:rFonts w:cs="Arial"/>
        </w:rPr>
        <w:t>se guidelines.</w:t>
      </w:r>
    </w:p>
    <w:p w14:paraId="5E83472F" w14:textId="1A4E5A19" w:rsidR="00604C90" w:rsidRDefault="00077DBB" w:rsidP="00604C90">
      <w:pPr>
        <w:pStyle w:val="Body"/>
        <w:rPr>
          <w:rStyle w:val="Hyperlink"/>
          <w:color w:val="auto"/>
          <w:szCs w:val="21"/>
          <w:lang w:eastAsia="en-AU"/>
        </w:rPr>
      </w:pPr>
      <w:r w:rsidRPr="00FB2629">
        <w:rPr>
          <w:szCs w:val="21"/>
        </w:rPr>
        <w:t>For general information regarding vaccination procedures refer to</w:t>
      </w:r>
      <w:r w:rsidR="00186ADA">
        <w:rPr>
          <w:szCs w:val="21"/>
        </w:rPr>
        <w:t xml:space="preserve"> the</w:t>
      </w:r>
      <w:r w:rsidRPr="00FB2629">
        <w:rPr>
          <w:szCs w:val="21"/>
        </w:rPr>
        <w:t xml:space="preserve"> </w:t>
      </w:r>
      <w:hyperlink r:id="rId41" w:history="1">
        <w:r w:rsidR="00D20148" w:rsidRPr="00186ADA">
          <w:rPr>
            <w:rStyle w:val="Hyperlink"/>
            <w:szCs w:val="21"/>
            <w:shd w:val="clear" w:color="auto" w:fill="FFFFFF"/>
          </w:rPr>
          <w:t>Australian Immunisation Handbook,</w:t>
        </w:r>
      </w:hyperlink>
      <w:r w:rsidR="00D20148" w:rsidRPr="00FB2629">
        <w:rPr>
          <w:color w:val="313131"/>
          <w:szCs w:val="21"/>
          <w:shd w:val="clear" w:color="auto" w:fill="FFFFFF"/>
        </w:rPr>
        <w:t xml:space="preserve"> </w:t>
      </w:r>
      <w:r w:rsidR="00D97530">
        <w:rPr>
          <w:color w:val="313131"/>
          <w:szCs w:val="21"/>
          <w:shd w:val="clear" w:color="auto" w:fill="FFFFFF"/>
        </w:rPr>
        <w:t>&lt;</w:t>
      </w:r>
      <w:r w:rsidR="00FB2629" w:rsidRPr="00D97530">
        <w:rPr>
          <w:szCs w:val="21"/>
          <w:lang w:eastAsia="en-AU"/>
        </w:rPr>
        <w:t>https://immunisationhandbook.health.gov.au/contents/</w:t>
      </w:r>
      <w:r w:rsidR="00FB2629" w:rsidRPr="00186ADA">
        <w:rPr>
          <w:szCs w:val="21"/>
          <w:lang w:eastAsia="en-AU"/>
        </w:rPr>
        <w:t>vaccination</w:t>
      </w:r>
      <w:r w:rsidR="00FB2629" w:rsidRPr="00D97530">
        <w:rPr>
          <w:szCs w:val="21"/>
          <w:lang w:eastAsia="en-AU"/>
        </w:rPr>
        <w:t>-procedures/administration-of-vaccines</w:t>
      </w:r>
      <w:r w:rsidR="00D97530">
        <w:rPr>
          <w:szCs w:val="21"/>
          <w:lang w:eastAsia="en-AU"/>
        </w:rPr>
        <w:t>&gt;</w:t>
      </w:r>
      <w:r w:rsidR="00FB2629">
        <w:rPr>
          <w:rStyle w:val="Hyperlink"/>
          <w:color w:val="auto"/>
          <w:szCs w:val="21"/>
          <w:lang w:eastAsia="en-AU"/>
        </w:rPr>
        <w:t xml:space="preserve"> </w:t>
      </w:r>
    </w:p>
    <w:p w14:paraId="698D9CD5" w14:textId="7BDC197C" w:rsidR="0079536F" w:rsidRPr="0079536F" w:rsidRDefault="00604C90" w:rsidP="001D7D9C">
      <w:pPr>
        <w:pStyle w:val="Body"/>
        <w:numPr>
          <w:ilvl w:val="0"/>
          <w:numId w:val="50"/>
        </w:numPr>
        <w:rPr>
          <w:rStyle w:val="Hyperlink"/>
          <w:color w:val="auto"/>
          <w:u w:val="none"/>
        </w:rPr>
      </w:pPr>
      <w:r>
        <w:t>f</w:t>
      </w:r>
      <w:r w:rsidR="008063DE">
        <w:t>ollow</w:t>
      </w:r>
      <w:r>
        <w:t>ing</w:t>
      </w:r>
      <w:r w:rsidR="008063DE">
        <w:t xml:space="preserve"> the s</w:t>
      </w:r>
      <w:r w:rsidR="0079536F" w:rsidRPr="00B8087D">
        <w:t>teps for pre-vaccination screening</w:t>
      </w:r>
    </w:p>
    <w:p w14:paraId="1B64D101" w14:textId="534B4225" w:rsidR="007C70C7" w:rsidRDefault="00F81DAE" w:rsidP="001D7D9C">
      <w:pPr>
        <w:pStyle w:val="Bullet1"/>
        <w:numPr>
          <w:ilvl w:val="0"/>
          <w:numId w:val="49"/>
        </w:numPr>
      </w:pPr>
      <w:r>
        <w:t>c</w:t>
      </w:r>
      <w:r w:rsidR="0079536F" w:rsidRPr="00AA6014">
        <w:t>omplet</w:t>
      </w:r>
      <w:r w:rsidR="00604C90">
        <w:t>ing</w:t>
      </w:r>
      <w:r w:rsidR="0079536F" w:rsidRPr="00AA6014">
        <w:t xml:space="preserve"> </w:t>
      </w:r>
      <w:hyperlink r:id="rId42" w:history="1">
        <w:r w:rsidR="0079536F" w:rsidRPr="007C70C7">
          <w:rPr>
            <w:rStyle w:val="Hyperlink"/>
          </w:rPr>
          <w:t>JYNNEOS® vaccine</w:t>
        </w:r>
        <w:r w:rsidR="00FD4F6E" w:rsidRPr="007C70C7">
          <w:rPr>
            <w:rStyle w:val="Hyperlink"/>
          </w:rPr>
          <w:t xml:space="preserve"> consent</w:t>
        </w:r>
        <w:r w:rsidR="00B8087D" w:rsidRPr="007C70C7">
          <w:rPr>
            <w:rStyle w:val="Hyperlink"/>
          </w:rPr>
          <w:t xml:space="preserve"> </w:t>
        </w:r>
        <w:r w:rsidR="00AA6014" w:rsidRPr="007C70C7">
          <w:rPr>
            <w:rStyle w:val="Hyperlink"/>
          </w:rPr>
          <w:t xml:space="preserve"> </w:t>
        </w:r>
      </w:hyperlink>
      <w:r w:rsidR="00AA6014" w:rsidRPr="00AA6014">
        <w:t xml:space="preserve"> </w:t>
      </w:r>
      <w:r w:rsidR="007C70C7">
        <w:t>&lt;</w:t>
      </w:r>
      <w:r w:rsidR="00545D21" w:rsidRPr="00545D21">
        <w:t>https://www.health.gov.au/resources/publications/mpox-monkeypox-consent-form-for-jynneosr-vaccination</w:t>
      </w:r>
      <w:r w:rsidR="007C70C7">
        <w:t>&gt;</w:t>
      </w:r>
    </w:p>
    <w:p w14:paraId="1E738586" w14:textId="4A8E0303" w:rsidR="00077DBB" w:rsidRPr="006F1A2A" w:rsidRDefault="00F81DAE" w:rsidP="00603DC8">
      <w:pPr>
        <w:pStyle w:val="Bullet1"/>
        <w:numPr>
          <w:ilvl w:val="0"/>
          <w:numId w:val="15"/>
        </w:numPr>
      </w:pPr>
      <w:r>
        <w:t>p</w:t>
      </w:r>
      <w:r w:rsidR="00077DBB" w:rsidRPr="00B8087D">
        <w:t>repar</w:t>
      </w:r>
      <w:r w:rsidR="00FC249D">
        <w:t>ing</w:t>
      </w:r>
      <w:r w:rsidR="00077DBB" w:rsidRPr="00B8087D">
        <w:t xml:space="preserve"> for vaccination</w:t>
      </w:r>
      <w:r w:rsidR="00BF2B02">
        <w:t xml:space="preserve"> (equipment) </w:t>
      </w:r>
    </w:p>
    <w:p w14:paraId="50D62A63" w14:textId="747499EB" w:rsidR="00077DBB" w:rsidRPr="006F1A2A" w:rsidRDefault="00F81DAE" w:rsidP="00603DC8">
      <w:pPr>
        <w:pStyle w:val="Bullet1"/>
        <w:numPr>
          <w:ilvl w:val="0"/>
          <w:numId w:val="15"/>
        </w:numPr>
      </w:pPr>
      <w:r>
        <w:t>a</w:t>
      </w:r>
      <w:r w:rsidR="00077DBB" w:rsidRPr="00B8087D">
        <w:t>dministering vaccines</w:t>
      </w:r>
    </w:p>
    <w:p w14:paraId="7E9BF821" w14:textId="6E6A8867" w:rsidR="00077DBB" w:rsidRPr="006F1A2A" w:rsidRDefault="005A5E4C" w:rsidP="00603DC8">
      <w:pPr>
        <w:pStyle w:val="Bullet1"/>
        <w:numPr>
          <w:ilvl w:val="0"/>
          <w:numId w:val="15"/>
        </w:numPr>
        <w:rPr>
          <w:rStyle w:val="Hyperlink"/>
        </w:rPr>
      </w:pPr>
      <w:r>
        <w:t>s</w:t>
      </w:r>
      <w:r w:rsidR="003A5DEC">
        <w:t xml:space="preserve">teps after </w:t>
      </w:r>
      <w:r w:rsidR="00077DBB" w:rsidRPr="00B8087D">
        <w:t>vaccination</w:t>
      </w:r>
      <w:r w:rsidR="003A5DEC">
        <w:t xml:space="preserve"> including r</w:t>
      </w:r>
      <w:hyperlink w:anchor="_Adverse_Events_Following_2">
        <w:r w:rsidR="00077DBB" w:rsidRPr="277E26A2">
          <w:rPr>
            <w:rStyle w:val="Hyperlink"/>
          </w:rPr>
          <w:t>eporting an adverse event following vaccination</w:t>
        </w:r>
      </w:hyperlink>
      <w:r w:rsidR="004A535E">
        <w:rPr>
          <w:rStyle w:val="Hyperlink"/>
        </w:rPr>
        <w:t xml:space="preserve"> (AEFI)</w:t>
      </w:r>
    </w:p>
    <w:p w14:paraId="408B0805" w14:textId="77777777" w:rsidR="00077DBB" w:rsidRPr="000C162E" w:rsidRDefault="00077DBB" w:rsidP="00077DBB">
      <w:pPr>
        <w:pStyle w:val="Heading2"/>
        <w:rPr>
          <w:highlight w:val="yellow"/>
        </w:rPr>
      </w:pPr>
      <w:bookmarkStart w:id="116" w:name="_Toc112154580"/>
      <w:bookmarkStart w:id="117" w:name="_Toc112315642"/>
      <w:bookmarkStart w:id="118" w:name="_Toc122340781"/>
      <w:r w:rsidRPr="00575F11">
        <w:t>Preparation</w:t>
      </w:r>
      <w:bookmarkEnd w:id="116"/>
      <w:bookmarkEnd w:id="117"/>
      <w:bookmarkEnd w:id="118"/>
      <w:r>
        <w:t xml:space="preserve"> </w:t>
      </w:r>
    </w:p>
    <w:p w14:paraId="30BF6F60" w14:textId="02B74A7B" w:rsidR="00077DBB" w:rsidRPr="00DB55CF" w:rsidRDefault="00077DBB" w:rsidP="00FD4F6E">
      <w:pPr>
        <w:shd w:val="clear" w:color="auto" w:fill="FFFFFF"/>
        <w:spacing w:after="0" w:line="288" w:lineRule="auto"/>
        <w:rPr>
          <w:rFonts w:cs="Arial"/>
          <w:szCs w:val="21"/>
          <w:lang w:eastAsia="en-AU"/>
        </w:rPr>
      </w:pPr>
      <w:r w:rsidRPr="008375DF">
        <w:rPr>
          <w:rFonts w:cs="Arial"/>
          <w:szCs w:val="21"/>
          <w:lang w:eastAsia="en-AU"/>
        </w:rPr>
        <w:t>Ensure that</w:t>
      </w:r>
      <w:r w:rsidR="00FC249D">
        <w:rPr>
          <w:rFonts w:cs="Arial"/>
          <w:szCs w:val="21"/>
          <w:lang w:eastAsia="en-AU"/>
        </w:rPr>
        <w:t>:</w:t>
      </w:r>
    </w:p>
    <w:p w14:paraId="375E6C23" w14:textId="0F83EDB5" w:rsidR="00C772DB" w:rsidRPr="00F35CA0" w:rsidRDefault="00077DBB" w:rsidP="001D7D9C">
      <w:pPr>
        <w:pStyle w:val="Body"/>
        <w:numPr>
          <w:ilvl w:val="0"/>
          <w:numId w:val="50"/>
        </w:numPr>
      </w:pPr>
      <w:r w:rsidRPr="00C772DB">
        <w:rPr>
          <w:rFonts w:cs="Arial"/>
          <w:szCs w:val="21"/>
          <w:lang w:eastAsia="en-AU"/>
        </w:rPr>
        <w:t xml:space="preserve">vaccine refrigerator displays minimum/maximum temperatures within +2°C to +8°C range before removing the vaccine. Refer to </w:t>
      </w:r>
      <w:hyperlink r:id="rId43" w:history="1">
        <w:r w:rsidR="00C772DB" w:rsidRPr="0065454E">
          <w:rPr>
            <w:rStyle w:val="Hyperlink"/>
          </w:rPr>
          <w:t xml:space="preserve">‘Strive for 5’ </w:t>
        </w:r>
        <w:r w:rsidR="004A535E">
          <w:rPr>
            <w:rStyle w:val="Hyperlink"/>
          </w:rPr>
          <w:t>guidelines</w:t>
        </w:r>
      </w:hyperlink>
      <w:r w:rsidR="00C772DB" w:rsidRPr="0065454E">
        <w:rPr>
          <w:i/>
          <w:iCs/>
        </w:rPr>
        <w:t xml:space="preserve"> </w:t>
      </w:r>
      <w:r w:rsidR="00C772DB" w:rsidRPr="00FE0725">
        <w:t>&lt;</w:t>
      </w:r>
      <w:r w:rsidR="00C772DB" w:rsidRPr="00846D8F">
        <w:t>https://www.health.gov.au/resources/publications/national-vaccine-storage-guidelines-strive-for-5</w:t>
      </w:r>
      <w:r w:rsidR="00C772DB" w:rsidRPr="00FE0725">
        <w:t>&gt;</w:t>
      </w:r>
      <w:r w:rsidR="00C772DB" w:rsidRPr="00F35CA0">
        <w:t>.</w:t>
      </w:r>
      <w:r w:rsidR="00C772DB">
        <w:t xml:space="preserve"> </w:t>
      </w:r>
    </w:p>
    <w:p w14:paraId="68257475" w14:textId="3C674E56"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you take the correct vaccine from the refrigerator </w:t>
      </w:r>
    </w:p>
    <w:p w14:paraId="7FF19267" w14:textId="132C6B61"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the vaccine is within the expiry date</w:t>
      </w:r>
      <w:r w:rsidR="00CF55A6">
        <w:rPr>
          <w:rFonts w:cs="Arial"/>
          <w:szCs w:val="21"/>
          <w:lang w:eastAsia="en-AU"/>
        </w:rPr>
        <w:t xml:space="preserve"> </w:t>
      </w:r>
    </w:p>
    <w:p w14:paraId="718A7AD1" w14:textId="77777777"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check interval between doses</w:t>
      </w:r>
    </w:p>
    <w:p w14:paraId="59EB7EA9" w14:textId="6207E971" w:rsidR="00FD4F6E" w:rsidRPr="00FD4F6E" w:rsidRDefault="00077DBB" w:rsidP="004846A8">
      <w:pPr>
        <w:pStyle w:val="ListParagraph"/>
        <w:numPr>
          <w:ilvl w:val="0"/>
          <w:numId w:val="15"/>
        </w:numPr>
        <w:shd w:val="clear" w:color="auto" w:fill="FFFFFF"/>
        <w:spacing w:before="60" w:afterLines="60" w:after="144" w:line="288" w:lineRule="auto"/>
        <w:ind w:left="357" w:hanging="357"/>
        <w:rPr>
          <w:rStyle w:val="Hyperlink"/>
          <w:color w:val="auto"/>
          <w:u w:val="none"/>
        </w:rPr>
      </w:pPr>
      <w:r w:rsidRPr="009C3263">
        <w:rPr>
          <w:rFonts w:cs="Arial"/>
          <w:szCs w:val="21"/>
          <w:lang w:eastAsia="en-AU"/>
        </w:rPr>
        <w:t>complete pre vaccination screening</w:t>
      </w:r>
    </w:p>
    <w:p w14:paraId="1988E103" w14:textId="62519784" w:rsidR="00F17820" w:rsidRPr="00A753D4" w:rsidRDefault="00077DBB" w:rsidP="004846A8">
      <w:pPr>
        <w:pStyle w:val="ListParagraph"/>
        <w:numPr>
          <w:ilvl w:val="0"/>
          <w:numId w:val="15"/>
        </w:numPr>
        <w:shd w:val="clear" w:color="auto" w:fill="FFFFFF" w:themeFill="background1"/>
        <w:spacing w:before="60" w:afterLines="60" w:after="144" w:line="288" w:lineRule="auto"/>
        <w:ind w:left="357" w:hanging="357"/>
      </w:pPr>
      <w:r w:rsidRPr="00F17820">
        <w:rPr>
          <w:rFonts w:cs="Arial"/>
          <w:lang w:eastAsia="en-AU"/>
        </w:rPr>
        <w:t xml:space="preserve">complete </w:t>
      </w:r>
      <w:hyperlink r:id="rId44" w:history="1">
        <w:r w:rsidR="00F17820" w:rsidRPr="007C70C7">
          <w:rPr>
            <w:rStyle w:val="Hyperlink"/>
          </w:rPr>
          <w:t xml:space="preserve">JYNNEOS® vaccine consent  </w:t>
        </w:r>
      </w:hyperlink>
      <w:r w:rsidR="00FA7C0E" w:rsidRPr="00A753D4">
        <w:t>&lt;</w:t>
      </w:r>
      <w:r w:rsidR="00A753D4" w:rsidRPr="00A753D4">
        <w:t>https://www.health.gov.au/resources/publications/mpox-monkeypox-consent-form-for-jynneosr-vaccination</w:t>
      </w:r>
      <w:r w:rsidR="00A753D4" w:rsidRPr="00A753D4">
        <w:t>&gt;</w:t>
      </w:r>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077DBB">
      <w:pPr>
        <w:pStyle w:val="Heading2"/>
      </w:pPr>
      <w:bookmarkStart w:id="119" w:name="_Toc112154581"/>
      <w:bookmarkStart w:id="120" w:name="_Toc112315643"/>
      <w:bookmarkStart w:id="121" w:name="_Toc122340782"/>
      <w:r>
        <w:t>Preparation for subcutaneous administration</w:t>
      </w:r>
      <w:bookmarkEnd w:id="119"/>
      <w:bookmarkEnd w:id="120"/>
      <w:bookmarkEnd w:id="121"/>
      <w:r>
        <w:t xml:space="preserve"> </w:t>
      </w:r>
      <w:r w:rsidR="00682C98">
        <w:t xml:space="preserve"> </w:t>
      </w:r>
    </w:p>
    <w:p w14:paraId="6C34EB4F" w14:textId="70D0D97A"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Immunisation handbook. </w:t>
      </w:r>
      <w:r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38E16A30"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Pr="7986AA1A">
        <w:rPr>
          <w:rFonts w:cs="Arial"/>
        </w:rPr>
        <w:t xml:space="preserve">Vials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603DC8">
      <w:pPr>
        <w:numPr>
          <w:ilvl w:val="0"/>
          <w:numId w:val="21"/>
        </w:numP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4E0DCBB" w14:textId="4349A76D" w:rsidR="00077DBB" w:rsidRPr="00957FFD" w:rsidRDefault="00077DBB" w:rsidP="00A756F3">
      <w:pPr>
        <w:pStyle w:val="NormalWeb"/>
        <w:shd w:val="clear" w:color="auto" w:fill="FFFFFF" w:themeFill="background1"/>
        <w:spacing w:before="0" w:beforeAutospacing="0" w:after="0" w:afterAutospacing="0" w:line="288" w:lineRule="auto"/>
        <w:rPr>
          <w:rFonts w:ascii="Arial" w:hAnsi="Arial" w:cs="Arial"/>
          <w:color w:val="313131"/>
          <w:sz w:val="21"/>
          <w:szCs w:val="21"/>
        </w:rPr>
      </w:pPr>
      <w:r w:rsidRPr="00B33DDD">
        <w:rPr>
          <w:rFonts w:ascii="Arial" w:hAnsi="Arial" w:cs="Arial"/>
          <w:sz w:val="21"/>
          <w:szCs w:val="21"/>
        </w:rPr>
        <w:lastRenderedPageBreak/>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For further guidance, please refer to state/territory or hospita</w:t>
      </w:r>
      <w:r w:rsidRPr="00D248EF">
        <w:rPr>
          <w:rFonts w:ascii="Arial" w:hAnsi="Arial" w:cs="Arial"/>
          <w:color w:val="313131"/>
          <w:sz w:val="21"/>
          <w:szCs w:val="21"/>
        </w:rPr>
        <w:t>l</w:t>
      </w:r>
      <w:r>
        <w:rPr>
          <w:rFonts w:ascii="Arial" w:hAnsi="Arial" w:cs="Arial"/>
          <w:color w:val="313131"/>
          <w:sz w:val="21"/>
          <w:szCs w:val="21"/>
        </w:rPr>
        <w:t xml:space="preserve"> </w:t>
      </w:r>
      <w:r w:rsidRPr="000435EC">
        <w:rPr>
          <w:rFonts w:ascii="Arial" w:hAnsi="Arial" w:cs="Arial"/>
          <w:sz w:val="21"/>
          <w:szCs w:val="21"/>
        </w:rPr>
        <w:t>infection</w:t>
      </w:r>
      <w:r w:rsidRPr="766D1AF9">
        <w:rPr>
          <w:rFonts w:ascii="Arial" w:hAnsi="Arial" w:cs="Arial"/>
          <w:color w:val="313131"/>
          <w:sz w:val="21"/>
          <w:szCs w:val="21"/>
        </w:rPr>
        <w:t xml:space="preserve"> </w:t>
      </w:r>
      <w:r w:rsidRPr="766D1AF9">
        <w:rPr>
          <w:rFonts w:ascii="Arial" w:hAnsi="Arial" w:cs="Arial"/>
          <w:sz w:val="21"/>
          <w:szCs w:val="21"/>
        </w:rPr>
        <w:t>prevention and control guidelines.</w:t>
      </w:r>
    </w:p>
    <w:p w14:paraId="1BD464DE" w14:textId="3D1596BE" w:rsidR="00B01967" w:rsidRPr="006C0067" w:rsidRDefault="00B01967"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1F4E95C3" w14:textId="77777777" w:rsidR="00F02888" w:rsidRDefault="00F02888" w:rsidP="00F02888">
      <w:pPr>
        <w:pStyle w:val="NormalWeb"/>
        <w:shd w:val="clear" w:color="auto" w:fill="FFFFFF" w:themeFill="background1"/>
        <w:spacing w:before="0" w:beforeAutospacing="0" w:after="0" w:afterAutospacing="0" w:line="288" w:lineRule="auto"/>
        <w:rPr>
          <w:rFonts w:ascii="Arial" w:hAnsi="Arial" w:cs="Arial"/>
          <w:sz w:val="21"/>
          <w:szCs w:val="21"/>
        </w:rPr>
      </w:pPr>
    </w:p>
    <w:p w14:paraId="335FA355" w14:textId="16635BB8" w:rsidR="00CF3DFD" w:rsidRPr="004407D2" w:rsidRDefault="00D97530" w:rsidP="004407D2">
      <w:pPr>
        <w:pStyle w:val="NormalWeb"/>
        <w:shd w:val="clear" w:color="auto" w:fill="FFFFFF" w:themeFill="background1"/>
        <w:spacing w:before="0" w:beforeAutospacing="0" w:after="0" w:afterAutospacing="0" w:line="288" w:lineRule="auto"/>
        <w:rPr>
          <w:rFonts w:ascii="Arial" w:hAnsi="Arial" w:cs="Arial"/>
          <w:b/>
          <w:bCs/>
          <w:sz w:val="20"/>
          <w:szCs w:val="20"/>
        </w:rPr>
      </w:pPr>
      <w:r w:rsidRPr="004407D2">
        <w:rPr>
          <w:rFonts w:ascii="Arial" w:hAnsi="Arial" w:cs="Arial"/>
          <w:b/>
          <w:bCs/>
          <w:sz w:val="20"/>
          <w:szCs w:val="20"/>
        </w:rPr>
        <w:t xml:space="preserve">Figure 3 </w:t>
      </w:r>
      <w:r w:rsidR="00F167EF" w:rsidRPr="004407D2">
        <w:rPr>
          <w:rFonts w:ascii="Arial" w:hAnsi="Arial" w:cs="Arial"/>
          <w:b/>
          <w:bCs/>
          <w:sz w:val="20"/>
          <w:szCs w:val="20"/>
        </w:rPr>
        <w:t>– process for checking and drawing up for subcutaneous injection</w:t>
      </w:r>
    </w:p>
    <w:tbl>
      <w:tblPr>
        <w:tblStyle w:val="TableGrid"/>
        <w:tblW w:w="9021" w:type="dxa"/>
        <w:tblInd w:w="-5" w:type="dxa"/>
        <w:tblLook w:val="04A0" w:firstRow="1" w:lastRow="0" w:firstColumn="1" w:lastColumn="0" w:noHBand="0" w:noVBand="1"/>
      </w:tblPr>
      <w:tblGrid>
        <w:gridCol w:w="4476"/>
        <w:gridCol w:w="4545"/>
      </w:tblGrid>
      <w:tr w:rsidR="00077DBB" w14:paraId="2AFADA59" w14:textId="77777777" w:rsidTr="00A753D4">
        <w:trPr>
          <w:trHeight w:val="3444"/>
        </w:trPr>
        <w:tc>
          <w:tcPr>
            <w:tcW w:w="4476" w:type="dxa"/>
          </w:tcPr>
          <w:p w14:paraId="32E8E02F" w14:textId="2E0CFAC5" w:rsidR="00077DBB" w:rsidRPr="00455CD6" w:rsidRDefault="00077DBB" w:rsidP="003A5DEC">
            <w:pPr>
              <w:pStyle w:val="NormalWeb"/>
              <w:jc w:val="center"/>
              <w:rPr>
                <w:sz w:val="20"/>
              </w:rPr>
            </w:pPr>
            <w:r w:rsidRPr="00455CD6">
              <w:rPr>
                <w:noProof/>
                <w:sz w:val="20"/>
                <w:szCs w:val="20"/>
              </w:rPr>
              <w:drawing>
                <wp:inline distT="0" distB="0" distL="0" distR="0" wp14:anchorId="7DEE2A6D" wp14:editId="0579BCDB">
                  <wp:extent cx="2409825" cy="1990725"/>
                  <wp:effectExtent l="0" t="0" r="9525" b="9525"/>
                  <wp:docPr id="14" name="Picture 1"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2418339" cy="1997758"/>
                          </a:xfrm>
                          <a:prstGeom prst="rect">
                            <a:avLst/>
                          </a:prstGeom>
                          <a:noFill/>
                          <a:ln>
                            <a:noFill/>
                          </a:ln>
                          <a:extLst>
                            <a:ext uri="{53640926-AAD7-44D8-BBD7-CCE9431645EC}">
                              <a14:shadowObscured xmlns:a14="http://schemas.microsoft.com/office/drawing/2010/main"/>
                            </a:ext>
                          </a:extLst>
                        </pic:spPr>
                      </pic:pic>
                    </a:graphicData>
                  </a:graphic>
                </wp:inline>
              </w:drawing>
            </w:r>
            <w:r w:rsidRPr="00A753D4">
              <w:rPr>
                <w:rFonts w:ascii="Arial" w:hAnsi="Arial" w:cs="Arial"/>
                <w:sz w:val="20"/>
                <w:szCs w:val="20"/>
              </w:rPr>
              <w:t>Check product information</w:t>
            </w:r>
          </w:p>
        </w:tc>
        <w:tc>
          <w:tcPr>
            <w:tcW w:w="4545" w:type="dxa"/>
            <w:vAlign w:val="center"/>
          </w:tcPr>
          <w:p w14:paraId="771C1472" w14:textId="77777777" w:rsidR="00F02888" w:rsidRDefault="00077DBB" w:rsidP="00F02888">
            <w:pPr>
              <w:pStyle w:val="NormalWeb"/>
              <w:jc w:val="center"/>
              <w:rPr>
                <w:sz w:val="21"/>
                <w:szCs w:val="21"/>
              </w:rPr>
            </w:pPr>
            <w:r w:rsidRPr="00455CD6">
              <w:rPr>
                <w:noProof/>
                <w:sz w:val="20"/>
                <w:szCs w:val="20"/>
              </w:rPr>
              <w:drawing>
                <wp:inline distT="0" distB="0" distL="0" distR="0" wp14:anchorId="5B38BC38" wp14:editId="0BFE121D">
                  <wp:extent cx="2228850" cy="1962150"/>
                  <wp:effectExtent l="0" t="0" r="0" b="0"/>
                  <wp:docPr id="16" name="Picture 2"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46" cstate="screen">
                            <a:extLst>
                              <a:ext uri="{28A0092B-C50C-407E-A947-70E740481C1C}">
                                <a14:useLocalDpi xmlns:a14="http://schemas.microsoft.com/office/drawing/2010/main" val="0"/>
                              </a:ext>
                            </a:extLst>
                          </a:blip>
                          <a:srcRect/>
                          <a:stretch/>
                        </pic:blipFill>
                        <pic:spPr bwMode="auto">
                          <a:xfrm>
                            <a:off x="0" y="0"/>
                            <a:ext cx="2230185" cy="1963325"/>
                          </a:xfrm>
                          <a:prstGeom prst="rect">
                            <a:avLst/>
                          </a:prstGeom>
                          <a:noFill/>
                          <a:ln>
                            <a:noFill/>
                          </a:ln>
                          <a:extLst>
                            <a:ext uri="{53640926-AAD7-44D8-BBD7-CCE9431645EC}">
                              <a14:shadowObscured xmlns:a14="http://schemas.microsoft.com/office/drawing/2010/main"/>
                            </a:ext>
                          </a:extLst>
                        </pic:spPr>
                      </pic:pic>
                    </a:graphicData>
                  </a:graphic>
                </wp:inline>
              </w:drawing>
            </w:r>
          </w:p>
          <w:p w14:paraId="69DBA94D" w14:textId="4944FFF4" w:rsidR="00077DBB" w:rsidRPr="00150F45" w:rsidRDefault="00077DBB" w:rsidP="00F02888">
            <w:pPr>
              <w:pStyle w:val="NormalWeb"/>
              <w:jc w:val="center"/>
              <w:rPr>
                <w:sz w:val="21"/>
                <w:szCs w:val="21"/>
              </w:rPr>
            </w:pPr>
            <w:r w:rsidRPr="00A753D4">
              <w:rPr>
                <w:rFonts w:ascii="Arial" w:hAnsi="Arial" w:cs="Arial"/>
                <w:sz w:val="20"/>
                <w:szCs w:val="20"/>
              </w:rPr>
              <w:t>Prepare equipment</w:t>
            </w:r>
          </w:p>
        </w:tc>
      </w:tr>
      <w:tr w:rsidR="00077DBB" w14:paraId="1F6FBDD9" w14:textId="77777777" w:rsidTr="004407D2">
        <w:trPr>
          <w:trHeight w:val="3198"/>
        </w:trPr>
        <w:tc>
          <w:tcPr>
            <w:tcW w:w="4476" w:type="dxa"/>
          </w:tcPr>
          <w:p w14:paraId="2EE5ACBA" w14:textId="2C6BE3E4"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62A6F898" wp14:editId="75D5D40C">
                  <wp:extent cx="2695575" cy="1790700"/>
                  <wp:effectExtent l="0" t="0" r="9525" b="0"/>
                  <wp:docPr id="17" name="Picture 3" descr="Check vaccine vial expi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descr="Check vaccine vial expiry"/>
                          <pic:cNvPicPr preferRelativeResize="0">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2696179" cy="1791101"/>
                          </a:xfrm>
                          <a:prstGeom prst="rect">
                            <a:avLst/>
                          </a:prstGeom>
                          <a:noFill/>
                          <a:ln>
                            <a:noFill/>
                          </a:ln>
                          <a:extLst>
                            <a:ext uri="{53640926-AAD7-44D8-BBD7-CCE9431645EC}">
                              <a14:shadowObscured xmlns:a14="http://schemas.microsoft.com/office/drawing/2010/main"/>
                            </a:ext>
                          </a:extLst>
                        </pic:spPr>
                      </pic:pic>
                    </a:graphicData>
                  </a:graphic>
                </wp:inline>
              </w:drawing>
            </w:r>
            <w:r w:rsidRPr="00A753D4">
              <w:rPr>
                <w:rFonts w:ascii="Arial" w:hAnsi="Arial" w:cs="Arial"/>
                <w:sz w:val="20"/>
                <w:szCs w:val="20"/>
              </w:rPr>
              <w:t>Check vaccine label and expiry</w:t>
            </w:r>
          </w:p>
        </w:tc>
        <w:tc>
          <w:tcPr>
            <w:tcW w:w="4545" w:type="dxa"/>
          </w:tcPr>
          <w:p w14:paraId="39CD98E8" w14:textId="08F37B40"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04CF1257" wp14:editId="26560768">
                  <wp:extent cx="1732799" cy="2416578"/>
                  <wp:effectExtent l="952" t="0" r="2223" b="2222"/>
                  <wp:docPr id="18" name="Picture 4"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48" cstate="screen">
                            <a:extLst>
                              <a:ext uri="{28A0092B-C50C-407E-A947-70E740481C1C}">
                                <a14:useLocalDpi xmlns:a14="http://schemas.microsoft.com/office/drawing/2010/main" val="0"/>
                              </a:ext>
                            </a:extLst>
                          </a:blip>
                          <a:srcRect/>
                          <a:stretch/>
                        </pic:blipFill>
                        <pic:spPr bwMode="auto">
                          <a:xfrm rot="5400000">
                            <a:off x="0" y="0"/>
                            <a:ext cx="1746484" cy="2435663"/>
                          </a:xfrm>
                          <a:prstGeom prst="rect">
                            <a:avLst/>
                          </a:prstGeom>
                          <a:ln>
                            <a:noFill/>
                          </a:ln>
                          <a:extLst>
                            <a:ext uri="{53640926-AAD7-44D8-BBD7-CCE9431645EC}">
                              <a14:shadowObscured xmlns:a14="http://schemas.microsoft.com/office/drawing/2010/main"/>
                            </a:ext>
                          </a:extLst>
                        </pic:spPr>
                      </pic:pic>
                    </a:graphicData>
                  </a:graphic>
                </wp:inline>
              </w:drawing>
            </w:r>
            <w:r w:rsidRPr="00A753D4">
              <w:rPr>
                <w:rFonts w:ascii="Arial" w:hAnsi="Arial" w:cs="Arial"/>
                <w:sz w:val="20"/>
                <w:szCs w:val="20"/>
              </w:rPr>
              <w:t>JYNNEOS® Vial</w:t>
            </w:r>
          </w:p>
        </w:tc>
      </w:tr>
      <w:tr w:rsidR="00077DBB" w14:paraId="478FEF3B" w14:textId="77777777" w:rsidTr="003A5DEC">
        <w:trPr>
          <w:trHeight w:val="2967"/>
        </w:trPr>
        <w:tc>
          <w:tcPr>
            <w:tcW w:w="4476" w:type="dxa"/>
          </w:tcPr>
          <w:p w14:paraId="7791216E" w14:textId="77777777" w:rsidR="003A5DEC" w:rsidRDefault="00077DBB" w:rsidP="003A5DEC">
            <w:pPr>
              <w:pStyle w:val="NormalWeb"/>
              <w:spacing w:before="120" w:beforeAutospacing="0" w:after="0" w:afterAutospacing="0"/>
              <w:jc w:val="center"/>
              <w:rPr>
                <w:sz w:val="20"/>
              </w:rPr>
            </w:pPr>
            <w:r w:rsidRPr="00455CD6">
              <w:rPr>
                <w:noProof/>
                <w:sz w:val="20"/>
                <w:szCs w:val="20"/>
              </w:rPr>
              <w:lastRenderedPageBreak/>
              <w:drawing>
                <wp:inline distT="0" distB="0" distL="0" distR="0" wp14:anchorId="57C47FEA" wp14:editId="306DFEC6">
                  <wp:extent cx="2390775" cy="1704975"/>
                  <wp:effectExtent l="0" t="0" r="9525" b="9525"/>
                  <wp:docPr id="19" name="Picture 5"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2391609" cy="1705570"/>
                          </a:xfrm>
                          <a:prstGeom prst="rect">
                            <a:avLst/>
                          </a:prstGeom>
                          <a:noFill/>
                          <a:ln>
                            <a:noFill/>
                          </a:ln>
                          <a:extLst>
                            <a:ext uri="{53640926-AAD7-44D8-BBD7-CCE9431645EC}">
                              <a14:shadowObscured xmlns:a14="http://schemas.microsoft.com/office/drawing/2010/main"/>
                            </a:ext>
                          </a:extLst>
                        </pic:spPr>
                      </pic:pic>
                    </a:graphicData>
                  </a:graphic>
                </wp:inline>
              </w:drawing>
            </w:r>
          </w:p>
          <w:p w14:paraId="159C2083" w14:textId="2FF2CB64" w:rsidR="00077DBB" w:rsidRPr="00150F45" w:rsidRDefault="00077DBB" w:rsidP="003A5DEC">
            <w:pPr>
              <w:pStyle w:val="NormalWeb"/>
              <w:spacing w:before="120" w:beforeAutospacing="0" w:after="0" w:afterAutospacing="0"/>
              <w:jc w:val="center"/>
              <w:rPr>
                <w:sz w:val="21"/>
                <w:szCs w:val="21"/>
              </w:rPr>
            </w:pPr>
            <w:r w:rsidRPr="00202B3B">
              <w:rPr>
                <w:rFonts w:ascii="Arial" w:hAnsi="Arial" w:cs="Arial"/>
                <w:sz w:val="20"/>
                <w:szCs w:val="20"/>
              </w:rPr>
              <w:t xml:space="preserve">Insert </w:t>
            </w:r>
            <w:r w:rsidRPr="00202B3B">
              <w:rPr>
                <w:rFonts w:ascii="Arial" w:hAnsi="Arial" w:cs="Arial"/>
                <w:b/>
                <w:bCs/>
                <w:sz w:val="20"/>
                <w:szCs w:val="20"/>
              </w:rPr>
              <w:t>19G needle</w:t>
            </w:r>
            <w:r w:rsidRPr="00202B3B">
              <w:rPr>
                <w:rFonts w:ascii="Arial" w:hAnsi="Arial" w:cs="Arial"/>
                <w:sz w:val="20"/>
                <w:szCs w:val="20"/>
              </w:rPr>
              <w:t xml:space="preserve"> into the rubber bung</w:t>
            </w:r>
            <w:r w:rsidR="00D50EEA" w:rsidRPr="00202B3B">
              <w:rPr>
                <w:rFonts w:ascii="Arial" w:hAnsi="Arial" w:cs="Arial"/>
                <w:sz w:val="20"/>
                <w:szCs w:val="20"/>
              </w:rPr>
              <w:t xml:space="preserve"> </w:t>
            </w:r>
            <w:r w:rsidR="003964BB" w:rsidRPr="00202B3B">
              <w:rPr>
                <w:rFonts w:ascii="Arial" w:hAnsi="Arial" w:cs="Arial"/>
                <w:sz w:val="20"/>
                <w:szCs w:val="20"/>
              </w:rPr>
              <w:t>and</w:t>
            </w:r>
            <w:r w:rsidRPr="00202B3B">
              <w:rPr>
                <w:rFonts w:ascii="Arial" w:hAnsi="Arial" w:cs="Arial"/>
                <w:sz w:val="20"/>
                <w:szCs w:val="20"/>
              </w:rPr>
              <w:t xml:space="preserve"> withdraw 0.5mls.</w:t>
            </w:r>
          </w:p>
        </w:tc>
        <w:tc>
          <w:tcPr>
            <w:tcW w:w="4545" w:type="dxa"/>
          </w:tcPr>
          <w:p w14:paraId="5FC94604" w14:textId="736D2250" w:rsidR="00077DBB" w:rsidRPr="00455CD6" w:rsidRDefault="00077DBB" w:rsidP="00CF46B6">
            <w:pPr>
              <w:tabs>
                <w:tab w:val="left" w:pos="1745"/>
                <w:tab w:val="left" w:pos="1914"/>
              </w:tabs>
              <w:jc w:val="center"/>
              <w:rPr>
                <w:sz w:val="20"/>
                <w:lang w:eastAsia="en-AU"/>
              </w:rPr>
            </w:pPr>
            <w:r w:rsidRPr="00455CD6">
              <w:rPr>
                <w:noProof/>
                <w:sz w:val="20"/>
              </w:rPr>
              <w:drawing>
                <wp:inline distT="0" distB="0" distL="0" distR="0" wp14:anchorId="57BD4893" wp14:editId="57BDE277">
                  <wp:extent cx="2447925" cy="1800225"/>
                  <wp:effectExtent l="0" t="0" r="9525" b="9525"/>
                  <wp:docPr id="12" name="Picture 6"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50" cstate="screen">
                            <a:extLst>
                              <a:ext uri="{28A0092B-C50C-407E-A947-70E740481C1C}">
                                <a14:useLocalDpi xmlns:a14="http://schemas.microsoft.com/office/drawing/2010/main" val="0"/>
                              </a:ext>
                            </a:extLst>
                          </a:blip>
                          <a:srcRect/>
                          <a:stretch/>
                        </pic:blipFill>
                        <pic:spPr bwMode="auto">
                          <a:xfrm>
                            <a:off x="0" y="0"/>
                            <a:ext cx="244792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3A5DEC" w:rsidRPr="00202B3B">
              <w:rPr>
                <w:rFonts w:eastAsiaTheme="minorEastAsia" w:cs="Arial"/>
                <w:sz w:val="20"/>
                <w:lang w:eastAsia="en-AU"/>
              </w:rPr>
              <w:t>C</w:t>
            </w:r>
            <w:r w:rsidRPr="00202B3B">
              <w:rPr>
                <w:rFonts w:eastAsiaTheme="minorEastAsia" w:cs="Arial"/>
                <w:sz w:val="20"/>
                <w:lang w:eastAsia="en-AU"/>
              </w:rPr>
              <w:t xml:space="preserve">hange to </w:t>
            </w:r>
            <w:r w:rsidRPr="00202B3B">
              <w:rPr>
                <w:rFonts w:eastAsiaTheme="minorEastAsia" w:cs="Arial"/>
                <w:b/>
                <w:bCs/>
                <w:sz w:val="20"/>
                <w:lang w:eastAsia="en-AU"/>
              </w:rPr>
              <w:t xml:space="preserve">25-27mm gauge, </w:t>
            </w:r>
            <w:r w:rsidR="00202B3B">
              <w:rPr>
                <w:rFonts w:eastAsiaTheme="minorEastAsia" w:cs="Arial"/>
                <w:b/>
                <w:bCs/>
                <w:sz w:val="20"/>
                <w:lang w:eastAsia="en-AU"/>
              </w:rPr>
              <w:br/>
            </w:r>
            <w:r w:rsidRPr="00202B3B">
              <w:rPr>
                <w:rFonts w:eastAsiaTheme="minorEastAsia" w:cs="Arial"/>
                <w:b/>
                <w:bCs/>
                <w:sz w:val="20"/>
                <w:lang w:eastAsia="en-AU"/>
              </w:rPr>
              <w:t>16mm length needle</w:t>
            </w:r>
          </w:p>
        </w:tc>
      </w:tr>
    </w:tbl>
    <w:p w14:paraId="77D973DC" w14:textId="77777777" w:rsidR="00077DBB" w:rsidRPr="00165C24" w:rsidRDefault="00077DBB" w:rsidP="00077DBB">
      <w:pPr>
        <w:pStyle w:val="Heading2"/>
      </w:pPr>
      <w:bookmarkStart w:id="122" w:name="_Subcutaneous_administration"/>
      <w:bookmarkStart w:id="123" w:name="_Toc112154582"/>
      <w:bookmarkStart w:id="124" w:name="_Toc112315644"/>
      <w:bookmarkStart w:id="125" w:name="_Toc122340783"/>
      <w:bookmarkEnd w:id="122"/>
      <w:r>
        <w:t>Subcutaneous administration</w:t>
      </w:r>
      <w:bookmarkEnd w:id="123"/>
      <w:bookmarkEnd w:id="124"/>
      <w:bookmarkEnd w:id="125"/>
    </w:p>
    <w:p w14:paraId="6C3EBF6C" w14:textId="77777777" w:rsidR="00077DBB" w:rsidRPr="00E26D18" w:rsidRDefault="00077DBB" w:rsidP="00077DBB">
      <w:pPr>
        <w:pStyle w:val="Heading3"/>
      </w:pPr>
      <w:bookmarkStart w:id="126" w:name="_Toc112154583"/>
      <w:bookmarkStart w:id="127" w:name="_Toc112315645"/>
      <w:r w:rsidRPr="00E26D18">
        <w:t>Skin cleaning</w:t>
      </w:r>
      <w:bookmarkEnd w:id="126"/>
      <w:bookmarkEnd w:id="127"/>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8" w:name="_Toc112154584"/>
      <w:bookmarkStart w:id="129" w:name="_Toc112315646"/>
      <w:r w:rsidRPr="00EC5729">
        <w:t>Subcutaneous injection technique</w:t>
      </w:r>
      <w:bookmarkEnd w:id="128"/>
      <w:bookmarkEnd w:id="129"/>
    </w:p>
    <w:p w14:paraId="7B9281CB" w14:textId="77777777"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 </w:t>
      </w:r>
      <w:hyperlink r:id="rId51"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3BD188CA"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AB1362" w:rsidRPr="290B9022">
        <w:rPr>
          <w:rStyle w:val="FootnoteReference"/>
          <w:rFonts w:cs="Arial"/>
          <w:lang w:eastAsia="en-AU"/>
        </w:rPr>
        <w:footnoteReference w:id="20"/>
      </w:r>
      <w:r w:rsidRPr="290B9022">
        <w:rPr>
          <w:rFonts w:cs="Arial"/>
          <w:lang w:eastAsia="en-AU"/>
        </w:rPr>
        <w:t>.</w:t>
      </w:r>
    </w:p>
    <w:p w14:paraId="6FC84C05" w14:textId="68D05C5C" w:rsidR="00077DBB" w:rsidRPr="00AB5B74" w:rsidRDefault="00077DBB" w:rsidP="00B824A4">
      <w:pPr>
        <w:pStyle w:val="Heading3"/>
        <w:spacing w:line="288" w:lineRule="auto"/>
      </w:pPr>
      <w:bookmarkStart w:id="130" w:name="_Toc112154586"/>
      <w:bookmarkStart w:id="131" w:name="_Toc112315648"/>
      <w:r w:rsidRPr="00AB5B74">
        <w:t xml:space="preserve">Injection sites </w:t>
      </w:r>
      <w:r w:rsidR="00B96D08">
        <w:t>–</w:t>
      </w:r>
      <w:r w:rsidRPr="00AB5B74">
        <w:t xml:space="preserve"> adolescents and adults</w:t>
      </w:r>
      <w:bookmarkEnd w:id="130"/>
      <w:bookmarkEnd w:id="131"/>
    </w:p>
    <w:p w14:paraId="4A1ADADA" w14:textId="77777777"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426DFF" w:rsidRPr="00163E43">
        <w:rPr>
          <w:rStyle w:val="FootnoteReference"/>
          <w:rFonts w:cs="Arial"/>
          <w:lang w:eastAsia="en-AU"/>
        </w:rPr>
        <w:footnoteReference w:id="21"/>
      </w:r>
      <w:r w:rsidRPr="00163E43">
        <w:rPr>
          <w:rFonts w:cs="Arial"/>
          <w:lang w:eastAsia="en-AU"/>
        </w:rPr>
        <w:t>.</w:t>
      </w:r>
      <w:bookmarkStart w:id="132" w:name="_Toc112154587"/>
      <w:bookmarkStart w:id="133" w:name="_Toc112315649"/>
    </w:p>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w:t>
      </w:r>
      <w:bookmarkEnd w:id="132"/>
      <w:bookmarkEnd w:id="133"/>
      <w:r w:rsidRPr="007B3BEF">
        <w:t xml:space="preserve"> </w:t>
      </w:r>
      <w:r w:rsidR="0005527F">
        <w:t>(</w:t>
      </w:r>
      <w:hyperlink r:id="rId52"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lastRenderedPageBreak/>
        <w:drawing>
          <wp:anchor distT="0" distB="0" distL="114300" distR="114300" simplePos="0" relativeHeight="251658243"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53"/>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drawing>
          <wp:anchor distT="0" distB="0" distL="114300" distR="114300" simplePos="0" relativeHeight="251658244"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3"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54"/>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5A305F40" w14:textId="439BB3C2" w:rsidR="00077DBB" w:rsidRPr="00175F2E" w:rsidRDefault="00F02888" w:rsidP="00C11A25">
      <w:pPr>
        <w:shd w:val="clear" w:color="auto" w:fill="FFFFFF"/>
        <w:spacing w:before="480" w:line="240" w:lineRule="atLeast"/>
      </w:pPr>
      <w:r>
        <w:t xml:space="preserve">Image </w:t>
      </w:r>
      <w:hyperlink r:id="rId56" w:history="1">
        <w:r>
          <w:rPr>
            <w:rStyle w:val="Hyperlink"/>
            <w:rFonts w:cs="Arial"/>
            <w:szCs w:val="21"/>
            <w:lang w:eastAsia="en-AU"/>
          </w:rPr>
          <w:t xml:space="preserve">Australian Immunisation Handbook </w:t>
        </w:r>
      </w:hyperlink>
      <w:r>
        <w:rPr>
          <w:rFonts w:cs="Arial"/>
          <w:color w:val="313131"/>
          <w:szCs w:val="21"/>
          <w:lang w:eastAsia="en-AU"/>
        </w:rPr>
        <w:t xml:space="preserve"> </w:t>
      </w:r>
      <w:r>
        <w:rPr>
          <w:rFonts w:cs="Arial"/>
          <w:color w:val="313131"/>
          <w:szCs w:val="21"/>
          <w:lang w:eastAsia="en-AU"/>
        </w:rPr>
        <w:br w:type="textWrapping" w:clear="all"/>
      </w:r>
      <w:bookmarkStart w:id="134" w:name="_Preparation_for_intradermal"/>
      <w:bookmarkStart w:id="135" w:name="_Toc112154588"/>
      <w:bookmarkStart w:id="136" w:name="_Toc112315650"/>
      <w:bookmarkEnd w:id="134"/>
      <w:r w:rsidR="00077DBB" w:rsidRPr="004C302F">
        <w:rPr>
          <w:rStyle w:val="Heading2Char"/>
          <w:rFonts w:eastAsia="MS Gothic"/>
        </w:rPr>
        <w:t>Preparation for intradermal administration</w:t>
      </w:r>
      <w:bookmarkEnd w:id="135"/>
      <w:bookmarkEnd w:id="136"/>
      <w:r w:rsidR="00077DBB" w:rsidRPr="00175F2E">
        <w:t xml:space="preserve"> </w:t>
      </w:r>
    </w:p>
    <w:p w14:paraId="0CC30F5E" w14:textId="7B3BE27A"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77777777"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lastRenderedPageBreak/>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36F4C850"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w:t>
      </w:r>
      <w:r w:rsidR="00461EF4" w:rsidRPr="00461EF4">
        <w:t xml:space="preserve">JYNNEOS® </w:t>
      </w:r>
      <w:r w:rsidR="009A09F2" w:rsidRPr="00461EF4">
        <w:rPr>
          <w:rStyle w:val="Heading4Char"/>
          <w:b/>
          <w:bCs/>
        </w:rPr>
        <w:t>vial</w:t>
      </w:r>
      <w:r w:rsidR="0008064C" w:rsidRPr="00035E03">
        <w:rPr>
          <w:rStyle w:val="FootnoteReference"/>
          <w:sz w:val="12"/>
          <w:szCs w:val="12"/>
          <w:vertAlign w:val="baseline"/>
        </w:rPr>
        <w:footnoteReference w:id="22"/>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006A91F3" w:rsidR="001F7921" w:rsidRPr="007925F5" w:rsidRDefault="001F7921" w:rsidP="00C411AB">
            <w:pPr>
              <w:spacing w:after="60"/>
              <w:rPr>
                <w:rFonts w:cs="Arial"/>
              </w:rPr>
            </w:pPr>
            <w:r w:rsidRPr="00113C20">
              <w:rPr>
                <w:rFonts w:eastAsia="Calibri" w:cs="Arial"/>
                <w:szCs w:val="21"/>
              </w:rPr>
              <w:t>Use an aseptic technique throughout this procedure</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lastRenderedPageBreak/>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09FC0279" w14:textId="77777777" w:rsidR="001F7921" w:rsidRPr="00921446" w:rsidRDefault="001F7921" w:rsidP="00AB70CA">
            <w:pPr>
              <w:rPr>
                <w:rFonts w:eastAsia="Calibri" w:cs="Arial"/>
                <w:bCs/>
                <w:szCs w:val="21"/>
              </w:rPr>
            </w:pPr>
            <w:r w:rsidRPr="00921446">
              <w:rPr>
                <w:rFonts w:eastAsia="Calibri" w:cs="Arial"/>
                <w:bCs/>
                <w:szCs w:val="21"/>
              </w:rPr>
              <w:t xml:space="preserve">Do not leave the drawing up needle in the vial. </w:t>
            </w:r>
          </w:p>
          <w:p w14:paraId="2A636F23" w14:textId="1493ED1C" w:rsidR="001F7921" w:rsidRPr="007925F5" w:rsidRDefault="001F7921" w:rsidP="00AB70CA">
            <w:pPr>
              <w:rPr>
                <w:rFonts w:cs="Arial"/>
              </w:rPr>
            </w:pP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w:t>
            </w:r>
            <w:r w:rsidRPr="00113C20">
              <w:rPr>
                <w:rFonts w:eastAsia="Calibri" w:cs="Arial"/>
                <w:szCs w:val="21"/>
              </w:rPr>
              <w:lastRenderedPageBreak/>
              <w:t xml:space="preserve">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lastRenderedPageBreak/>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w:t>
            </w:r>
            <w:r w:rsidRPr="00113C20">
              <w:rPr>
                <w:rFonts w:eastAsia="Calibri" w:cs="Arial"/>
                <w:szCs w:val="21"/>
              </w:rPr>
              <w:lastRenderedPageBreak/>
              <w:t xml:space="preserve">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8" w:name="_Toc112154589"/>
      <w:bookmarkStart w:id="139" w:name="_Toc112315651"/>
      <w:bookmarkStart w:id="140" w:name="_Toc122340784"/>
      <w:r w:rsidRPr="00175F2E">
        <w:lastRenderedPageBreak/>
        <w:t xml:space="preserve">Considerations </w:t>
      </w:r>
      <w:r w:rsidRPr="00D46A8E">
        <w:t>for multi</w:t>
      </w:r>
      <w:r w:rsidRPr="00BD4AA3">
        <w:t>-use vials</w:t>
      </w:r>
      <w:bookmarkEnd w:id="138"/>
      <w:bookmarkEnd w:id="139"/>
      <w:bookmarkEnd w:id="140"/>
      <w:r w:rsidRPr="00BD4AA3">
        <w:t xml:space="preserve"> </w:t>
      </w:r>
    </w:p>
    <w:p w14:paraId="79058CFA" w14:textId="77777777" w:rsidR="00077DBB" w:rsidRPr="006E6DA2" w:rsidRDefault="00077DBB" w:rsidP="00CB56D8">
      <w:pPr>
        <w:pStyle w:val="Heading3"/>
        <w:spacing w:before="240"/>
      </w:pPr>
      <w:bookmarkStart w:id="141" w:name="_Toc112154590"/>
      <w:bookmarkStart w:id="142" w:name="_Toc112315652"/>
      <w:r w:rsidRPr="006E6DA2">
        <w:t>Infection control</w:t>
      </w:r>
      <w:bookmarkEnd w:id="141"/>
      <w:bookmarkEnd w:id="142"/>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310B8CE0"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3" w:name="_Toc112154591"/>
      <w:bookmarkStart w:id="144" w:name="_Toc112315653"/>
      <w:r w:rsidRPr="00175F2E">
        <w:t>Pre-</w:t>
      </w:r>
      <w:r>
        <w:t>preparing</w:t>
      </w:r>
      <w:r w:rsidRPr="00175F2E">
        <w:t xml:space="preserve"> syringes</w:t>
      </w:r>
      <w:bookmarkEnd w:id="143"/>
      <w:bookmarkEnd w:id="144"/>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5" w:name="_Toc112154592"/>
      <w:bookmarkStart w:id="146" w:name="_Toc112315654"/>
      <w:r w:rsidRPr="00F27BE7">
        <w:t>Storage and usage</w:t>
      </w:r>
      <w:bookmarkEnd w:id="145"/>
      <w:bookmarkEnd w:id="146"/>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8461F9A"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Store vial in original box, with revised expiry date (time from removal from –50</w:t>
      </w:r>
      <w:r w:rsidR="00B90F1C" w:rsidRPr="00113C20">
        <w:rPr>
          <w:rFonts w:eastAsia="Calibri" w:cs="Arial"/>
          <w:szCs w:val="21"/>
        </w:rPr>
        <w:t>°</w:t>
      </w:r>
      <w:r w:rsidRPr="7CA344CC">
        <w:rPr>
          <w:rFonts w:eastAsia="SimSun" w:cs="Arial"/>
          <w:szCs w:val="21"/>
        </w:rPr>
        <w:t>C)</w:t>
      </w:r>
      <w:r w:rsidR="0082229C">
        <w:rPr>
          <w:rFonts w:eastAsia="SimSun" w:cs="Arial"/>
          <w:szCs w:val="21"/>
        </w:rPr>
        <w:t>.</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3"/>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lastRenderedPageBreak/>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7" w:name="_Intradermal_administration"/>
      <w:bookmarkStart w:id="148" w:name="_Intradermal_administration_techniqu"/>
      <w:bookmarkStart w:id="149" w:name="_Toc112154593"/>
      <w:bookmarkStart w:id="150" w:name="_Toc112315655"/>
      <w:bookmarkStart w:id="151" w:name="_Toc122340785"/>
      <w:bookmarkEnd w:id="147"/>
      <w:bookmarkEnd w:id="148"/>
      <w:r w:rsidRPr="00BD4AA3">
        <w:t>Intradermal administration</w:t>
      </w:r>
      <w:bookmarkEnd w:id="149"/>
      <w:bookmarkEnd w:id="150"/>
      <w:r w:rsidR="005F46F8">
        <w:t xml:space="preserve"> technique</w:t>
      </w:r>
      <w:bookmarkEnd w:id="151"/>
    </w:p>
    <w:p w14:paraId="413B46D5" w14:textId="77777777" w:rsidR="005B389D" w:rsidRDefault="005B389D" w:rsidP="005B389D">
      <w:pPr>
        <w:pStyle w:val="Heading3"/>
        <w:spacing w:after="240"/>
      </w:pPr>
      <w:bookmarkStart w:id="152" w:name="_Toc112154595"/>
      <w:bookmarkStart w:id="153" w:name="_Toc112315657"/>
      <w:bookmarkStart w:id="154" w:name="_Toc112154594"/>
      <w:bookmarkStart w:id="155" w:name="_Toc112315656"/>
      <w:r>
        <w:t>Training</w:t>
      </w:r>
      <w:bookmarkEnd w:id="152"/>
      <w:bookmarkEnd w:id="153"/>
    </w:p>
    <w:p w14:paraId="1A191DDE" w14:textId="58B7BDE9" w:rsidR="005B389D" w:rsidRPr="009F0F3C" w:rsidRDefault="005B389D" w:rsidP="005B389D">
      <w:pPr>
        <w:pStyle w:val="BodyText"/>
        <w:rPr>
          <w:rFonts w:ascii="Arial" w:hAnsi="Arial" w:cs="Arial"/>
          <w:sz w:val="21"/>
          <w:szCs w:val="21"/>
        </w:rPr>
      </w:pPr>
      <w:bookmarkStart w:id="156" w:name="_Toc112154596"/>
      <w:r w:rsidRPr="009F0F3C">
        <w:rPr>
          <w:rFonts w:ascii="Arial" w:hAnsi="Arial" w:cs="Arial"/>
          <w:sz w:val="21"/>
          <w:szCs w:val="21"/>
        </w:rPr>
        <w:t>The intradermal injection</w:t>
      </w:r>
      <w:r w:rsidRPr="009F0F3C">
        <w:rPr>
          <w:rStyle w:val="Hyperlink"/>
          <w:rFonts w:ascii="Arial" w:hAnsi="Arial" w:cs="Arial"/>
          <w:sz w:val="21"/>
          <w:szCs w:val="21"/>
        </w:rPr>
        <w:t xml:space="preserve"> </w:t>
      </w:r>
      <w:r w:rsidRPr="009F0F3C">
        <w:rPr>
          <w:rFonts w:ascii="Arial" w:hAnsi="Arial" w:cs="Arial"/>
          <w:sz w:val="21"/>
          <w:szCs w:val="21"/>
        </w:rPr>
        <w:t xml:space="preserve">technique requires additional training. Refer to the </w:t>
      </w:r>
      <w:hyperlink w:anchor="_Workforce_requirements_2" w:history="1">
        <w:r w:rsidRPr="009F0F3C">
          <w:rPr>
            <w:rStyle w:val="Hyperlink"/>
            <w:rFonts w:ascii="Arial" w:hAnsi="Arial" w:cs="Arial"/>
            <w:sz w:val="21"/>
            <w:szCs w:val="21"/>
          </w:rPr>
          <w:t>Workforce and Regulation</w:t>
        </w:r>
      </w:hyperlink>
      <w:r w:rsidRPr="009F0F3C">
        <w:rPr>
          <w:rFonts w:ascii="Arial" w:hAnsi="Arial" w:cs="Arial"/>
          <w:sz w:val="21"/>
          <w:szCs w:val="21"/>
        </w:rPr>
        <w:t xml:space="preserve"> section of these guidelines. Only trained vaccination providers can use this technique</w:t>
      </w:r>
      <w:r w:rsidR="001D7D9C" w:rsidRPr="009F0F3C">
        <w:rPr>
          <w:rFonts w:ascii="Arial" w:hAnsi="Arial" w:cs="Arial"/>
          <w:sz w:val="21"/>
          <w:szCs w:val="21"/>
        </w:rPr>
        <w:t xml:space="preserve">. </w:t>
      </w:r>
    </w:p>
    <w:bookmarkEnd w:id="156"/>
    <w:p w14:paraId="75B11BAB" w14:textId="77777777" w:rsidR="00077DBB" w:rsidRPr="00E26D18" w:rsidRDefault="00077DBB" w:rsidP="00416E0C">
      <w:pPr>
        <w:pStyle w:val="Heading3"/>
        <w:spacing w:after="240"/>
      </w:pPr>
      <w:r w:rsidRPr="00E26D18">
        <w:t>Skin cleaning</w:t>
      </w:r>
      <w:bookmarkEnd w:id="154"/>
      <w:bookmarkEnd w:id="155"/>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BB3A49">
      <w:pPr>
        <w:pStyle w:val="Heading3"/>
        <w:spacing w:before="120"/>
      </w:pPr>
      <w:bookmarkStart w:id="157" w:name="_Toc112154597"/>
      <w:bookmarkStart w:id="158" w:name="_Toc112315658"/>
      <w:r>
        <w:t>Identifying injection site</w:t>
      </w:r>
      <w:r w:rsidR="00B47F98">
        <w:t>s</w:t>
      </w:r>
      <w:r>
        <w:t xml:space="preserve"> – Intradermal</w:t>
      </w:r>
      <w:bookmarkEnd w:id="157"/>
      <w:bookmarkEnd w:id="158"/>
    </w:p>
    <w:p w14:paraId="59BEA533" w14:textId="08B504EA"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EC7694">
        <w:rPr>
          <w:rStyle w:val="FootnoteReference"/>
        </w:rPr>
        <w:footnoteReference w:id="24"/>
      </w:r>
      <w:r w:rsidR="007F5B09">
        <w:rPr>
          <w:rFonts w:cs="Arial"/>
        </w:rPr>
        <w:t xml:space="preserve"> </w:t>
      </w:r>
      <w:r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1FC02951"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lastRenderedPageBreak/>
        <w:drawing>
          <wp:anchor distT="0" distB="0" distL="114300" distR="114300" simplePos="0" relativeHeight="251658245" behindDoc="0" locked="0" layoutInCell="1" allowOverlap="1" wp14:anchorId="7574115B" wp14:editId="2E019A8D">
            <wp:simplePos x="0" y="0"/>
            <wp:positionH relativeFrom="margin">
              <wp:posOffset>76200</wp:posOffset>
            </wp:positionH>
            <wp:positionV relativeFrom="paragraph">
              <wp:posOffset>13970</wp:posOffset>
            </wp:positionV>
            <wp:extent cx="4238625" cy="4076700"/>
            <wp:effectExtent l="0" t="0" r="9525" b="0"/>
            <wp:wrapSquare wrapText="bothSides"/>
            <wp:docPr id="26" name="Picture 1"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EE28B5" w:rsidRPr="00EE28B5">
        <w:rPr>
          <w:rStyle w:val="FootnoteReference"/>
          <w:rFonts w:cs="Arial"/>
        </w:rPr>
        <w:t xml:space="preserve"> </w:t>
      </w:r>
      <w:r w:rsidR="00EE28B5" w:rsidRPr="00EE28B5">
        <w:rPr>
          <w:rStyle w:val="FootnoteReference"/>
          <w:rFonts w:cs="Arial"/>
        </w:rPr>
        <w:footnoteReference w:id="25"/>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58"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lastRenderedPageBreak/>
        <w:drawing>
          <wp:anchor distT="0" distB="0" distL="114300" distR="114300" simplePos="0" relativeHeight="251660293"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59">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77777777"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Pr="00DE3F30">
        <w:rPr>
          <w:rStyle w:val="FootnoteReference"/>
          <w:rFonts w:cs="Arial"/>
        </w:rPr>
        <w:footnoteReference w:id="26"/>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38FDF7CD" w14:textId="565096A9" w:rsidR="00113E65" w:rsidRPr="00895C1C"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895C1C">
        <w:rPr>
          <w:rFonts w:cs="Arial"/>
          <w:color w:val="000000" w:themeColor="text1"/>
          <w:sz w:val="18"/>
          <w:szCs w:val="18"/>
        </w:rPr>
        <w:t xml:space="preserve">- </w:t>
      </w:r>
      <w:hyperlink r:id="rId60" w:history="1">
        <w:r w:rsidR="00A13AC7" w:rsidRPr="00A13AC7">
          <w:rPr>
            <w:rStyle w:val="Hyperlink"/>
            <w:rFonts w:cs="Arial"/>
            <w:sz w:val="18"/>
            <w:szCs w:val="18"/>
          </w:rPr>
          <w:t>I</w:t>
        </w:r>
        <w:r w:rsidR="00895C1C" w:rsidRPr="00A13AC7">
          <w:rPr>
            <w:rStyle w:val="Hyperlink"/>
            <w:rFonts w:cs="Arial"/>
            <w:sz w:val="18"/>
            <w:szCs w:val="18"/>
          </w:rPr>
          <w:t xml:space="preserve">ntradermal </w:t>
        </w:r>
        <w:r w:rsidR="00A13AC7" w:rsidRPr="00A13AC7">
          <w:rPr>
            <w:rStyle w:val="Hyperlink"/>
            <w:rFonts w:cs="Arial"/>
            <w:sz w:val="18"/>
            <w:szCs w:val="18"/>
          </w:rPr>
          <w:t>administration at the deltoid</w:t>
        </w:r>
      </w:hyperlink>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9" w:name="_Toc112154598"/>
      <w:bookmarkStart w:id="160" w:name="_Toc112315659"/>
      <w:r w:rsidRPr="00850656">
        <w:lastRenderedPageBreak/>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61"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who presents for their second JYNNEOS</w:t>
      </w:r>
      <w:r w:rsidRPr="008D4BAC">
        <w:rPr>
          <w:rFonts w:cs="Arial"/>
          <w:color w:val="2A2736"/>
          <w:vertAlign w:val="superscript"/>
          <w:lang w:eastAsia="en-AU"/>
        </w:rPr>
        <w:t>®</w:t>
      </w:r>
      <w:r w:rsidRPr="000C0551">
        <w:rPr>
          <w:rFonts w:cs="Arial"/>
          <w:color w:val="000000"/>
          <w:szCs w:val="21"/>
          <w:shd w:val="clear" w:color="auto" w:fill="FFFFFF"/>
        </w:rPr>
        <w:t xml:space="preserve"> vaccine 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3AF84B68"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hyperlink r:id="rId62" w:history="1">
        <w:r w:rsidRPr="00D16014">
          <w:rPr>
            <w:rStyle w:val="Hyperlink"/>
            <w:rFonts w:cs="Arial"/>
            <w:color w:val="auto"/>
            <w:szCs w:val="21"/>
          </w:rPr>
          <w:t>to</w:t>
        </w:r>
        <w:r w:rsidRPr="00D16014">
          <w:rPr>
            <w:rStyle w:val="Hyperlink"/>
            <w:rFonts w:cs="Arial"/>
            <w:color w:val="1F497D" w:themeColor="text2"/>
            <w:szCs w:val="21"/>
          </w:rPr>
          <w:t xml:space="preserve"> Centres for Disease Prevention and Control (CDC)</w:t>
        </w:r>
        <w:r w:rsidRPr="00D16014">
          <w:rPr>
            <w:rStyle w:val="Hyperlink"/>
            <w:rFonts w:cs="Arial"/>
            <w:color w:val="auto"/>
            <w:szCs w:val="21"/>
          </w:rPr>
          <w:t xml:space="preserve"> </w:t>
        </w:r>
      </w:hyperlink>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hyperlink r:id="rId63" w:history="1">
        <w:r w:rsidR="00A14449" w:rsidRPr="00A14449">
          <w:rPr>
            <w:rStyle w:val="Hyperlink"/>
            <w:rFonts w:cs="Arial"/>
            <w:color w:val="auto"/>
            <w:szCs w:val="21"/>
            <w:u w:val="none"/>
          </w:rPr>
          <w:t>https://www.youtube.com/watch?v=TLv1mR6mECQ</w:t>
        </w:r>
      </w:hyperlink>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9"/>
      <w:bookmarkEnd w:id="160"/>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1"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1"/>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32E205F0">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2" w:name="_Toc112154599"/>
    <w:bookmarkStart w:id="163" w:name="_Toc112315660"/>
    <w:p w14:paraId="66DAC1AE" w14:textId="16B129DC" w:rsidR="00F02888" w:rsidRPr="00035E03" w:rsidRDefault="00E9076F" w:rsidP="00035E03">
      <w:pPr>
        <w:pStyle w:val="Heading4"/>
      </w:pPr>
      <w:r w:rsidRPr="00426BEA">
        <w:rPr>
          <w:rFonts w:eastAsia="Times New Roman"/>
          <w:color w:val="auto"/>
          <w:sz w:val="18"/>
          <w:szCs w:val="18"/>
        </w:rPr>
        <w:lastRenderedPageBreak/>
        <w:fldChar w:fldCharType="end"/>
      </w:r>
      <w:bookmarkEnd w:id="162"/>
      <w:bookmarkEnd w:id="163"/>
      <w:r w:rsidR="00F02888" w:rsidRPr="00035E03">
        <w:t>Table 4 Method of intradermal injection</w:t>
      </w:r>
    </w:p>
    <w:tbl>
      <w:tblPr>
        <w:tblStyle w:val="TableGrid"/>
        <w:tblW w:w="8505" w:type="dxa"/>
        <w:tblInd w:w="-5" w:type="dxa"/>
        <w:tblLook w:val="04A0" w:firstRow="1" w:lastRow="0" w:firstColumn="1" w:lastColumn="0" w:noHBand="0" w:noVBand="1"/>
      </w:tblPr>
      <w:tblGrid>
        <w:gridCol w:w="4518"/>
        <w:gridCol w:w="3987"/>
      </w:tblGrid>
      <w:tr w:rsidR="00077DBB" w14:paraId="35FFC4B6" w14:textId="77777777" w:rsidTr="00023E44">
        <w:trPr>
          <w:trHeight w:val="2312"/>
        </w:trPr>
        <w:tc>
          <w:tcPr>
            <w:tcW w:w="4518"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023E44">
        <w:tc>
          <w:tcPr>
            <w:tcW w:w="4518"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3"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67"/>
                          <a:stretch>
                            <a:fillRect/>
                          </a:stretch>
                        </pic:blipFill>
                        <pic:spPr>
                          <a:xfrm>
                            <a:off x="0" y="0"/>
                            <a:ext cx="2333422" cy="1278714"/>
                          </a:xfrm>
                          <a:prstGeom prst="rect">
                            <a:avLst/>
                          </a:prstGeom>
                        </pic:spPr>
                      </pic:pic>
                    </a:graphicData>
                  </a:graphic>
                </wp:inline>
              </w:drawing>
            </w:r>
          </w:p>
        </w:tc>
      </w:tr>
      <w:tr w:rsidR="00077DBB" w14:paraId="01102FFD" w14:textId="77777777" w:rsidTr="00023E44">
        <w:trPr>
          <w:trHeight w:val="1976"/>
        </w:trPr>
        <w:tc>
          <w:tcPr>
            <w:tcW w:w="4518"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68"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4"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69"/>
                          <a:stretch>
                            <a:fillRect/>
                          </a:stretch>
                        </pic:blipFill>
                        <pic:spPr>
                          <a:xfrm>
                            <a:off x="0" y="0"/>
                            <a:ext cx="2301325" cy="1305373"/>
                          </a:xfrm>
                          <a:prstGeom prst="rect">
                            <a:avLst/>
                          </a:prstGeom>
                        </pic:spPr>
                      </pic:pic>
                    </a:graphicData>
                  </a:graphic>
                </wp:inline>
              </w:drawing>
            </w:r>
          </w:p>
        </w:tc>
      </w:tr>
      <w:tr w:rsidR="00077DBB" w14:paraId="71CB0869" w14:textId="77777777" w:rsidTr="00023E44">
        <w:trPr>
          <w:trHeight w:val="2108"/>
        </w:trPr>
        <w:tc>
          <w:tcPr>
            <w:tcW w:w="4518"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5"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70"/>
                          <a:stretch>
                            <a:fillRect/>
                          </a:stretch>
                        </pic:blipFill>
                        <pic:spPr>
                          <a:xfrm>
                            <a:off x="0" y="0"/>
                            <a:ext cx="2298144" cy="1277806"/>
                          </a:xfrm>
                          <a:prstGeom prst="rect">
                            <a:avLst/>
                          </a:prstGeom>
                        </pic:spPr>
                      </pic:pic>
                    </a:graphicData>
                  </a:graphic>
                </wp:inline>
              </w:drawing>
            </w:r>
          </w:p>
        </w:tc>
      </w:tr>
    </w:tbl>
    <w:p w14:paraId="54D92D85" w14:textId="77777777" w:rsidR="00D16014" w:rsidRDefault="00D16014" w:rsidP="00D16014">
      <w:pPr>
        <w:rPr>
          <w:rStyle w:val="Hyperlink"/>
          <w:rFonts w:eastAsia="Arial" w:cs="Arial"/>
          <w:szCs w:val="21"/>
          <w:lang w:eastAsia="en-AU"/>
        </w:rPr>
      </w:pPr>
      <w:bookmarkStart w:id="164" w:name="_Less_than_14"/>
      <w:bookmarkStart w:id="165" w:name="_Toc71895626"/>
      <w:bookmarkStart w:id="166" w:name="_Toc73627099"/>
      <w:bookmarkStart w:id="167" w:name="_Toc2085865276"/>
      <w:bookmarkStart w:id="168" w:name="_Toc112154607"/>
      <w:bookmarkStart w:id="169" w:name="_Toc112315667"/>
      <w:bookmarkEnd w:id="164"/>
      <w:r w:rsidRPr="00860CAB">
        <w:rPr>
          <w:rFonts w:eastAsia="Arial" w:cs="Arial"/>
          <w:szCs w:val="21"/>
          <w:lang w:eastAsia="en-AU"/>
        </w:rPr>
        <w:t xml:space="preserve">Images – </w:t>
      </w:r>
      <w:hyperlink r:id="rId71" w:history="1">
        <w:r w:rsidRPr="00860CAB">
          <w:rPr>
            <w:rStyle w:val="Hyperlink"/>
            <w:rFonts w:eastAsia="Arial" w:cs="Arial"/>
            <w:szCs w:val="21"/>
            <w:lang w:eastAsia="en-AU"/>
          </w:rPr>
          <w:t>CDC How to administer JYNNEOS vaccine intradermally</w:t>
        </w:r>
      </w:hyperlink>
    </w:p>
    <w:p w14:paraId="63CDAAA2" w14:textId="0BE875E4" w:rsidR="0026671E" w:rsidRDefault="0026671E" w:rsidP="00B81AB6">
      <w:pPr>
        <w:pStyle w:val="Heading2"/>
        <w:spacing w:before="240"/>
      </w:pPr>
      <w:bookmarkStart w:id="170" w:name="_Toc122340786"/>
      <w:r>
        <w:t>After vaccination</w:t>
      </w:r>
      <w:bookmarkEnd w:id="170"/>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27"/>
      </w:r>
      <w:r w:rsidRPr="006A0702">
        <w:rPr>
          <w:rFonts w:cs="Arial"/>
          <w:lang w:eastAsia="en-AU"/>
        </w:rPr>
        <w:t xml:space="preserve">. </w:t>
      </w:r>
    </w:p>
    <w:p w14:paraId="1950DC42" w14:textId="61987E63" w:rsidR="001E3071" w:rsidRPr="001E3071" w:rsidRDefault="001E3071" w:rsidP="001E3071">
      <w:pPr>
        <w:spacing w:after="0" w:line="288" w:lineRule="auto"/>
        <w:rPr>
          <w:rFonts w:cs="Arial"/>
          <w:color w:val="000000" w:themeColor="text1"/>
        </w:rPr>
      </w:pPr>
      <w:r w:rsidRPr="001E3071">
        <w:rPr>
          <w:rFonts w:cs="Arial"/>
          <w:color w:val="000000" w:themeColor="text1"/>
          <w:shd w:val="clear" w:color="auto" w:fill="FFFFFF"/>
        </w:rPr>
        <w:t xml:space="preserve">Following vaccination, the patient should be given </w:t>
      </w:r>
      <w:hyperlink r:id="rId72" w:history="1">
        <w:r w:rsidRPr="0024753D">
          <w:rPr>
            <w:rStyle w:val="Hyperlink"/>
            <w:rFonts w:cs="Arial"/>
            <w:shd w:val="clear" w:color="auto" w:fill="FFFFFF"/>
          </w:rPr>
          <w:t>written information</w:t>
        </w:r>
      </w:hyperlink>
      <w:r w:rsidRPr="001E3071">
        <w:rPr>
          <w:rFonts w:cs="Arial"/>
          <w:color w:val="000000" w:themeColor="text1"/>
          <w:shd w:val="clear" w:color="auto" w:fill="FFFFFF"/>
        </w:rPr>
        <w:t xml:space="preserve"> about the vaccine 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077DBB">
      <w:pPr>
        <w:pStyle w:val="Heading1"/>
      </w:pPr>
      <w:bookmarkStart w:id="171" w:name="_Vaccine_safety"/>
      <w:bookmarkStart w:id="172" w:name="_Toc122340787"/>
      <w:bookmarkEnd w:id="171"/>
      <w:r>
        <w:lastRenderedPageBreak/>
        <w:t xml:space="preserve">Vaccine </w:t>
      </w:r>
      <w:bookmarkEnd w:id="165"/>
      <w:bookmarkEnd w:id="166"/>
      <w:bookmarkEnd w:id="167"/>
      <w:r w:rsidR="20990778">
        <w:t>s</w:t>
      </w:r>
      <w:r>
        <w:t>afety</w:t>
      </w:r>
      <w:bookmarkEnd w:id="168"/>
      <w:bookmarkEnd w:id="169"/>
      <w:bookmarkEnd w:id="172"/>
    </w:p>
    <w:p w14:paraId="5C882A60" w14:textId="77777777" w:rsidR="00397E3E" w:rsidRDefault="00397E3E" w:rsidP="00397E3E">
      <w:pPr>
        <w:pStyle w:val="Heading2"/>
      </w:pPr>
      <w:bookmarkStart w:id="173" w:name="_Toc122340788"/>
      <w:r w:rsidRPr="001046A8">
        <w:t>Storage of multiple vaccine types in a shared location</w:t>
      </w:r>
      <w:bookmarkEnd w:id="173"/>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77777777"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p>
    <w:p w14:paraId="7EEE16C2" w14:textId="77777777" w:rsidR="00077DBB" w:rsidRPr="00D10933" w:rsidRDefault="00077DBB" w:rsidP="002659C6">
      <w:pPr>
        <w:pStyle w:val="Heading2"/>
      </w:pPr>
      <w:bookmarkStart w:id="174" w:name="_Toc1463708691"/>
      <w:bookmarkStart w:id="175" w:name="_Toc122340789"/>
      <w:r w:rsidRPr="00D10933">
        <w:t>Safety Updates</w:t>
      </w:r>
      <w:bookmarkEnd w:id="174"/>
      <w:bookmarkEnd w:id="175"/>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4118A3" w:rsidRDefault="00077DBB" w:rsidP="00077DBB">
      <w:pPr>
        <w:rPr>
          <w:rStyle w:val="normaltextrun"/>
          <w:rFonts w:eastAsia="MS Mincho"/>
          <w:sz w:val="22"/>
        </w:rPr>
      </w:pPr>
      <w:r w:rsidRPr="004118A3">
        <w:rPr>
          <w:rStyle w:val="normaltextrun"/>
          <w:rFonts w:eastAsia="MS Mincho"/>
          <w:sz w:val="22"/>
        </w:rPr>
        <w:t xml:space="preserve">Further information and the SAEFVIC and the reporting portal may be found at </w:t>
      </w:r>
      <w:hyperlink r:id="rId73" w:history="1">
        <w:r w:rsidRPr="004118A3">
          <w:rPr>
            <w:rStyle w:val="Hyperlink"/>
            <w:sz w:val="22"/>
            <w:szCs w:val="22"/>
          </w:rPr>
          <w:t>SAEFVIC</w:t>
        </w:r>
      </w:hyperlink>
      <w:r w:rsidR="00BC4C88">
        <w:rPr>
          <w:rStyle w:val="Hyperlink"/>
          <w:sz w:val="22"/>
          <w:szCs w:val="22"/>
        </w:rPr>
        <w:t xml:space="preserve"> </w:t>
      </w:r>
      <w:r w:rsidR="00BC4C88" w:rsidRPr="00A7794F">
        <w:rPr>
          <w:rStyle w:val="normaltextrun"/>
          <w:rFonts w:cs="Arial"/>
          <w:szCs w:val="21"/>
        </w:rPr>
        <w:t>&lt;https://www.safevac.org.au/Home/Info/VIC</w:t>
      </w:r>
      <w:r w:rsidR="00E9076F" w:rsidRPr="00A7794F">
        <w:rPr>
          <w:rStyle w:val="normaltextrun"/>
          <w:rFonts w:cs="Arial"/>
          <w:szCs w:val="21"/>
        </w:rPr>
        <w:t>&gt;</w:t>
      </w:r>
      <w:r w:rsidR="00AA50B2" w:rsidRPr="00A7794F">
        <w:rPr>
          <w:rStyle w:val="Hyperlink"/>
          <w:color w:val="auto"/>
          <w:sz w:val="22"/>
          <w:szCs w:val="22"/>
          <w:u w:val="none"/>
        </w:rPr>
        <w:t>.</w:t>
      </w:r>
      <w:r w:rsidRPr="00A7794F">
        <w:rPr>
          <w:rStyle w:val="normaltextrun"/>
          <w:rFonts w:eastAsia="MS Mincho"/>
          <w:sz w:val="22"/>
        </w:rPr>
        <w:t xml:space="preserve"> </w:t>
      </w:r>
    </w:p>
    <w:p w14:paraId="19A2127E" w14:textId="0E469EA2" w:rsidR="00077DBB" w:rsidRPr="004C16EB" w:rsidRDefault="00077DBB" w:rsidP="0022423F">
      <w:pPr>
        <w:pStyle w:val="Heading2"/>
      </w:pPr>
      <w:bookmarkStart w:id="176" w:name="_Adverse_Events_Following"/>
      <w:bookmarkStart w:id="177" w:name="_Vaccine_errors"/>
      <w:bookmarkStart w:id="178" w:name="_Vaccine_administration_errors"/>
      <w:bookmarkStart w:id="179" w:name="_Toc122340790"/>
      <w:bookmarkEnd w:id="176"/>
      <w:bookmarkEnd w:id="177"/>
      <w:bookmarkEnd w:id="178"/>
      <w:r w:rsidRPr="0022423F">
        <w:t xml:space="preserve">Vaccine </w:t>
      </w:r>
      <w:r w:rsidR="00E44E85" w:rsidRPr="0091033F">
        <w:t xml:space="preserve">administration </w:t>
      </w:r>
      <w:r w:rsidRPr="0091033F">
        <w:t>erro</w:t>
      </w:r>
      <w:r w:rsidRPr="004E6A06">
        <w:t>rs</w:t>
      </w:r>
      <w:bookmarkEnd w:id="179"/>
    </w:p>
    <w:p w14:paraId="464E5638" w14:textId="2B891CE4" w:rsidR="00077DBB" w:rsidRPr="00E46399" w:rsidRDefault="00077DBB" w:rsidP="007D6DA8">
      <w:pPr>
        <w:spacing w:after="0" w:line="336" w:lineRule="auto"/>
        <w:rPr>
          <w:rFonts w:cs="Arial"/>
          <w:szCs w:val="21"/>
        </w:rPr>
      </w:pPr>
      <w:r w:rsidRPr="00E46399">
        <w:rPr>
          <w:rFonts w:cs="Arial"/>
          <w:szCs w:val="21"/>
        </w:rPr>
        <w:t xml:space="preserve">Immunisation errors can include errors in vaccine storage, handling, </w:t>
      </w:r>
      <w:r w:rsidR="00C611CE" w:rsidRPr="00E46399">
        <w:rPr>
          <w:rFonts w:cs="Arial"/>
          <w:szCs w:val="21"/>
        </w:rPr>
        <w:t>preparation,</w:t>
      </w:r>
      <w:r w:rsidRPr="00E46399">
        <w:rPr>
          <w:rFonts w:cs="Arial"/>
          <w:szCs w:val="21"/>
        </w:rPr>
        <w:t xml:space="preserve"> or administration. Vaccination administration errors should be reported to SAEFVIC for vaccine safety surveillance review.</w:t>
      </w:r>
      <w:r w:rsidR="00953BFB">
        <w:rPr>
          <w:rFonts w:cs="Arial"/>
          <w:szCs w:val="21"/>
        </w:rPr>
        <w:t xml:space="preserve"> </w:t>
      </w:r>
      <w:r w:rsidRPr="00E46399">
        <w:rPr>
          <w:rFonts w:cs="Arial"/>
          <w:szCs w:val="21"/>
        </w:rPr>
        <w:t xml:space="preserve">For more information on submitting a SAEFVIC report </w:t>
      </w:r>
      <w:r w:rsidR="00872BE3">
        <w:rPr>
          <w:rFonts w:cs="Arial"/>
          <w:szCs w:val="21"/>
        </w:rPr>
        <w:t>refer to:</w:t>
      </w:r>
    </w:p>
    <w:p w14:paraId="464E8433" w14:textId="5D1105BA" w:rsidR="00077DBB" w:rsidRPr="00C06D06"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74" w:history="1">
        <w:r w:rsidR="00077DBB" w:rsidRPr="00C06D06">
          <w:rPr>
            <w:rStyle w:val="Hyperlink"/>
            <w:rFonts w:ascii="Arial" w:eastAsia="Times New Roman" w:hAnsi="Arial" w:cs="Arial"/>
            <w:sz w:val="21"/>
            <w:szCs w:val="21"/>
          </w:rPr>
          <w:t xml:space="preserve">About Victoria </w:t>
        </w:r>
        <w:r w:rsidR="00B96D08">
          <w:rPr>
            <w:rStyle w:val="Hyperlink"/>
            <w:rFonts w:ascii="Arial" w:eastAsia="Times New Roman" w:hAnsi="Arial" w:cs="Arial"/>
            <w:sz w:val="21"/>
            <w:szCs w:val="21"/>
          </w:rPr>
          <w:t>–</w:t>
        </w:r>
        <w:r w:rsidR="00077DBB" w:rsidRPr="00C06D06">
          <w:rPr>
            <w:rStyle w:val="Hyperlink"/>
            <w:rFonts w:ascii="Arial" w:eastAsia="Times New Roman" w:hAnsi="Arial" w:cs="Arial"/>
            <w:sz w:val="21"/>
            <w:szCs w:val="21"/>
          </w:rPr>
          <w:t xml:space="preserve"> SAFEVAC Reporting</w:t>
        </w:r>
      </w:hyperlink>
      <w:r w:rsidR="00077DBB" w:rsidRPr="00C06D06">
        <w:rPr>
          <w:rStyle w:val="normaltextrun"/>
          <w:rFonts w:ascii="Arial" w:eastAsia="Times New Roman" w:hAnsi="Arial" w:cs="Arial"/>
          <w:color w:val="004C97"/>
          <w:sz w:val="21"/>
          <w:szCs w:val="21"/>
        </w:rPr>
        <w:t xml:space="preserve"> </w:t>
      </w:r>
      <w:r w:rsidR="00077DBB" w:rsidRPr="00C06D06">
        <w:rPr>
          <w:rStyle w:val="normaltextrun"/>
          <w:rFonts w:ascii="Arial" w:eastAsia="Times New Roman" w:hAnsi="Arial" w:cs="Arial"/>
          <w:sz w:val="21"/>
          <w:szCs w:val="21"/>
        </w:rPr>
        <w:t>&lt;https://www.safevac.org.au/Home/Info/VIC&gt;</w:t>
      </w:r>
    </w:p>
    <w:p w14:paraId="4D327AE8" w14:textId="1C4A82F3" w:rsidR="00077DBB" w:rsidRPr="00E46399"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75" w:history="1">
        <w:r w:rsidR="00FD74EF" w:rsidRPr="00270849">
          <w:rPr>
            <w:rStyle w:val="Hyperlink"/>
            <w:rFonts w:ascii="Arial" w:eastAsia="Times New Roman" w:hAnsi="Arial" w:cs="Arial"/>
            <w:sz w:val="21"/>
            <w:szCs w:val="21"/>
          </w:rPr>
          <w:t>enquiries@saefvic.org.au</w:t>
        </w:r>
      </w:hyperlink>
      <w:r w:rsidR="00C044D1">
        <w:rPr>
          <w:rStyle w:val="Hyperlink"/>
          <w:rFonts w:ascii="Arial" w:eastAsia="Times New Roman" w:hAnsi="Arial" w:cs="Arial"/>
          <w:sz w:val="21"/>
          <w:szCs w:val="21"/>
        </w:rPr>
        <w:t xml:space="preserve"> </w:t>
      </w:r>
      <w:r w:rsidR="00C044D1" w:rsidRPr="00CE1D84">
        <w:t>&lt;</w:t>
      </w:r>
      <w:r w:rsidR="00C044D1" w:rsidRPr="00CE1D84">
        <w:rPr>
          <w:rFonts w:ascii="Arial" w:eastAsia="SimSun" w:hAnsi="Arial" w:cs="Arial"/>
          <w:sz w:val="21"/>
          <w:szCs w:val="20"/>
          <w:lang w:eastAsia="en-US"/>
        </w:rPr>
        <w:t>mailto:</w:t>
      </w:r>
      <w:r w:rsidR="00C044D1" w:rsidRPr="00CE1D84">
        <w:rPr>
          <w:rFonts w:ascii="Arial" w:eastAsia="SimSun" w:hAnsi="Arial" w:cs="Arial"/>
          <w:sz w:val="21"/>
          <w:szCs w:val="20"/>
          <w:lang w:eastAsia="en-US"/>
        </w:rPr>
        <w:t>enquiries@saefvic.org.au</w:t>
      </w:r>
      <w:r w:rsidR="00CE1D84" w:rsidRPr="00CE1D84">
        <w:rPr>
          <w:rFonts w:ascii="Arial" w:eastAsia="SimSun" w:hAnsi="Arial" w:cs="Arial"/>
          <w:sz w:val="21"/>
          <w:szCs w:val="20"/>
          <w:lang w:eastAsia="en-US"/>
        </w:rPr>
        <w:t>&gt;</w:t>
      </w:r>
    </w:p>
    <w:p w14:paraId="24A20314" w14:textId="77777777" w:rsidR="00077DBB" w:rsidRPr="00E46399"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76">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62D4A160" w14:textId="77777777" w:rsidR="00885A20" w:rsidRDefault="00885A20" w:rsidP="00E44E85">
      <w:pPr>
        <w:pStyle w:val="DJCSbody"/>
        <w:rPr>
          <w:sz w:val="21"/>
          <w:szCs w:val="21"/>
        </w:rPr>
      </w:pPr>
    </w:p>
    <w:p w14:paraId="2636A2D5" w14:textId="77777777" w:rsidR="0020614A" w:rsidRDefault="0020614A" w:rsidP="00E44E85">
      <w:pPr>
        <w:pStyle w:val="DJCSbody"/>
        <w:rPr>
          <w:sz w:val="21"/>
          <w:szCs w:val="21"/>
        </w:rPr>
      </w:pPr>
    </w:p>
    <w:p w14:paraId="1F8C4825" w14:textId="77777777" w:rsidR="00B81AB6" w:rsidRDefault="00B81AB6" w:rsidP="00E44E85">
      <w:pPr>
        <w:pStyle w:val="DJCSbody"/>
        <w:rPr>
          <w:sz w:val="21"/>
          <w:szCs w:val="21"/>
        </w:rPr>
      </w:pPr>
    </w:p>
    <w:p w14:paraId="3479553C" w14:textId="77777777" w:rsidR="00B81AB6" w:rsidRDefault="00B81AB6" w:rsidP="00E44E85">
      <w:pPr>
        <w:pStyle w:val="DJCSbody"/>
        <w:rPr>
          <w:sz w:val="21"/>
          <w:szCs w:val="21"/>
        </w:rPr>
      </w:pPr>
    </w:p>
    <w:p w14:paraId="5F0C3907" w14:textId="77777777" w:rsidR="00B81AB6" w:rsidRDefault="00B81AB6" w:rsidP="00E44E85">
      <w:pPr>
        <w:pStyle w:val="DJCSbody"/>
        <w:rPr>
          <w:sz w:val="21"/>
          <w:szCs w:val="21"/>
        </w:rPr>
      </w:pPr>
    </w:p>
    <w:p w14:paraId="2CF63C37" w14:textId="327533A7" w:rsidR="00E44E85" w:rsidRPr="00AE1A74" w:rsidRDefault="00885A20" w:rsidP="00035E03">
      <w:pPr>
        <w:pStyle w:val="DJCSbody"/>
        <w:ind w:left="-851"/>
        <w:rPr>
          <w:sz w:val="21"/>
          <w:szCs w:val="21"/>
        </w:rPr>
      </w:pPr>
      <w:r w:rsidRPr="00035E03">
        <w:rPr>
          <w:rStyle w:val="Heading4Char"/>
        </w:rPr>
        <w:lastRenderedPageBreak/>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deviations.</w:t>
      </w:r>
      <w:r w:rsidR="00E44E85" w:rsidRPr="00A21215">
        <w:rPr>
          <w:bCs/>
          <w:sz w:val="21"/>
          <w:szCs w:val="21"/>
        </w:rPr>
        <w:t xml:space="preserve"> </w:t>
      </w:r>
      <w:r w:rsidR="00035E03">
        <w:rPr>
          <w:bCs/>
          <w:sz w:val="21"/>
          <w:szCs w:val="21"/>
        </w:rPr>
        <w:t xml:space="preserve"> </w:t>
      </w:r>
      <w:r w:rsidR="00E44E85" w:rsidRPr="00007DC9">
        <w:rPr>
          <w:sz w:val="18"/>
          <w:szCs w:val="18"/>
        </w:rPr>
        <w:t>Source</w:t>
      </w:r>
      <w:hyperlink r:id="rId77" w:history="1">
        <w:r w:rsidR="00EC1BEB" w:rsidRPr="00007DC9">
          <w:rPr>
            <w:rStyle w:val="Hyperlink"/>
            <w:sz w:val="18"/>
            <w:szCs w:val="18"/>
          </w:rPr>
          <w:t>: Centres for Disease Control and Prevention</w:t>
        </w:r>
      </w:hyperlink>
      <w:r w:rsidR="00E44E85" w:rsidRPr="00007DC9">
        <w:rPr>
          <w:sz w:val="18"/>
          <w:szCs w:val="18"/>
        </w:rPr>
        <w:t xml:space="preserve"> </w:t>
      </w:r>
      <w:r w:rsidR="00035E03" w:rsidRPr="00007DC9">
        <w:rPr>
          <w:sz w:val="18"/>
          <w:szCs w:val="18"/>
        </w:rPr>
        <w:t xml:space="preserve"> &lt;</w:t>
      </w:r>
      <w:hyperlink r:id="rId78" w:tgtFrame="_blank" w:tooltip="https://www.cdc.gov/poxvirus/monkeypox/interim-considerations/errors-deviations.html" w:history="1">
        <w:r w:rsidR="00E44E85" w:rsidRPr="00007DC9">
          <w:rPr>
            <w:sz w:val="18"/>
            <w:szCs w:val="18"/>
          </w:rPr>
          <w:t>https://www.cdc.gov/poxvirus/monkeypox/interim-considerations/errors-deviations.html</w:t>
        </w:r>
      </w:hyperlink>
      <w:r w:rsidR="00E44E85" w:rsidRPr="00007DC9">
        <w:rPr>
          <w:sz w:val="18"/>
          <w:szCs w:val="18"/>
        </w:rPr>
        <w:t>&gt;</w:t>
      </w:r>
      <w:r w:rsidR="00007DC9">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2C662DDF"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28"/>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37C96040"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People_who_are"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77E7BD9A" w14:textId="77777777" w:rsidR="00E44E85" w:rsidRDefault="00E44E85" w:rsidP="00B1348F">
            <w:pPr>
              <w:pStyle w:val="DJCSbody"/>
              <w:spacing w:before="60" w:after="60" w:line="288" w:lineRule="auto"/>
              <w:rPr>
                <w:rStyle w:val="Hyperlink"/>
                <w:rFonts w:cs="Arial"/>
                <w:sz w:val="21"/>
                <w:szCs w:val="21"/>
              </w:rPr>
            </w:pPr>
            <w:r w:rsidRPr="00BE6FD1">
              <w:rPr>
                <w:rFonts w:cs="Arial"/>
                <w:sz w:val="21"/>
                <w:szCs w:val="21"/>
              </w:rPr>
              <w:t xml:space="preserve">Contact the Immunisation Unit via email – </w:t>
            </w:r>
            <w:hyperlink r:id="rId79" w:history="1">
              <w:r w:rsidRPr="00BE6FD1">
                <w:rPr>
                  <w:rStyle w:val="Hyperlink"/>
                  <w:rFonts w:cs="Arial"/>
                  <w:sz w:val="21"/>
                  <w:szCs w:val="21"/>
                </w:rPr>
                <w:t>immunisation@health.vic.gov.au</w:t>
              </w:r>
            </w:hyperlink>
          </w:p>
          <w:p w14:paraId="05885AF1" w14:textId="69CC96F3" w:rsidR="009E7A7B" w:rsidRPr="00BE6FD1" w:rsidRDefault="009E7A7B" w:rsidP="00B1348F">
            <w:pPr>
              <w:pStyle w:val="DJCSbody"/>
              <w:spacing w:before="60" w:after="60" w:line="288" w:lineRule="auto"/>
              <w:rPr>
                <w:rFonts w:cs="Arial"/>
                <w:sz w:val="21"/>
                <w:szCs w:val="21"/>
              </w:rPr>
            </w:pPr>
            <w:r w:rsidRPr="009E7A7B">
              <w:t>&lt;</w:t>
            </w:r>
            <w:r w:rsidRPr="009E7A7B">
              <w:rPr>
                <w:rFonts w:cs="Arial"/>
                <w:sz w:val="21"/>
                <w:szCs w:val="21"/>
              </w:rPr>
              <w:t>mailto:</w:t>
            </w:r>
            <w:r w:rsidRPr="009E7A7B">
              <w:rPr>
                <w:rFonts w:cs="Arial"/>
                <w:sz w:val="21"/>
                <w:szCs w:val="21"/>
              </w:rPr>
              <w:t>immunisation@health.vic.gov.au</w:t>
            </w:r>
            <w:r w:rsidRPr="009E7A7B">
              <w:t>&gt;</w:t>
            </w:r>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615A7C55"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Unit via email – </w:t>
            </w:r>
            <w:hyperlink r:id="rId80" w:history="1">
              <w:r w:rsidRPr="00BE6FD1">
                <w:rPr>
                  <w:rStyle w:val="Hyperlink"/>
                  <w:rFonts w:cs="Arial"/>
                  <w:sz w:val="21"/>
                  <w:szCs w:val="21"/>
                </w:rPr>
                <w:t>immunisation@health.vic.gov.au</w:t>
              </w:r>
            </w:hyperlink>
            <w:r w:rsidR="009E7A7B">
              <w:rPr>
                <w:rStyle w:val="Hyperlink"/>
                <w:rFonts w:cs="Arial"/>
                <w:sz w:val="21"/>
                <w:szCs w:val="21"/>
              </w:rPr>
              <w:br/>
            </w:r>
            <w:r w:rsidR="009E7A7B" w:rsidRPr="009E7A7B">
              <w:rPr>
                <w:rFonts w:cs="Arial"/>
                <w:sz w:val="21"/>
                <w:szCs w:val="21"/>
              </w:rPr>
              <w:t>mailto:immunisation@health.vic.gov.au</w:t>
            </w:r>
            <w:r w:rsidR="009E7A7B" w:rsidRPr="009E7A7B">
              <w:t>&gt;</w:t>
            </w:r>
          </w:p>
        </w:tc>
      </w:tr>
    </w:tbl>
    <w:p w14:paraId="64F89E8D" w14:textId="77777777" w:rsidR="00077DBB" w:rsidRPr="007677C8" w:rsidRDefault="00077DBB" w:rsidP="002659C6">
      <w:pPr>
        <w:pStyle w:val="Heading2"/>
        <w:rPr>
          <w:highlight w:val="yellow"/>
        </w:rPr>
      </w:pPr>
      <w:bookmarkStart w:id="180" w:name="_Adverse_Events_Following_2"/>
      <w:bookmarkStart w:id="181" w:name="_Toc910993091"/>
      <w:bookmarkStart w:id="182" w:name="_Toc122340791"/>
      <w:bookmarkEnd w:id="180"/>
      <w:r w:rsidRPr="00B1539C">
        <w:lastRenderedPageBreak/>
        <w:t>Adverse Events Following Immunisation (AEFI) – Reporting and Management</w:t>
      </w:r>
      <w:bookmarkEnd w:id="181"/>
      <w:bookmarkEnd w:id="182"/>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3" w:name="_Steps_for_managing"/>
      <w:bookmarkStart w:id="184" w:name="_Toc112154610"/>
      <w:bookmarkStart w:id="185" w:name="_Toc112315670"/>
      <w:bookmarkStart w:id="186" w:name="_Toc2030884371"/>
      <w:bookmarkEnd w:id="183"/>
      <w:r>
        <w:t>Steps for managing an adverse event following immunisation</w:t>
      </w:r>
      <w:bookmarkEnd w:id="184"/>
      <w:bookmarkEnd w:id="185"/>
      <w:r>
        <w:t xml:space="preserve"> </w:t>
      </w:r>
      <w:bookmarkEnd w:id="186"/>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77777777" w:rsidR="00077DBB" w:rsidRPr="006314A4" w:rsidRDefault="00000000" w:rsidP="00603DC8">
      <w:pPr>
        <w:pStyle w:val="Bullet1"/>
        <w:numPr>
          <w:ilvl w:val="0"/>
          <w:numId w:val="15"/>
        </w:numPr>
        <w:rPr>
          <w:rStyle w:val="Hyperlink"/>
        </w:rPr>
      </w:pPr>
      <w:hyperlink r:id="rId81" w:history="1">
        <w:r w:rsidR="00077DBB" w:rsidRPr="006314A4">
          <w:rPr>
            <w:rStyle w:val="Hyperlink"/>
          </w:rPr>
          <w:t>Recognising and</w:t>
        </w:r>
        <w:bookmarkStart w:id="187" w:name="_Hlt69465751"/>
        <w:bookmarkStart w:id="188" w:name="_Hlt69465752"/>
        <w:bookmarkEnd w:id="187"/>
        <w:bookmarkEnd w:id="188"/>
        <w:r w:rsidR="00077DBB" w:rsidRPr="006314A4">
          <w:rPr>
            <w:rStyle w:val="Hyperlink"/>
          </w:rPr>
          <w:t xml:space="preserve"> treating anaphylaxis</w:t>
        </w:r>
        <w:r w:rsidR="00077DBB" w:rsidRPr="006314A4">
          <w:rPr>
            <w:rStyle w:val="FootnoteReference"/>
            <w:color w:val="0072CE"/>
            <w:u w:val="dotted"/>
          </w:rPr>
          <w:footnoteReference w:id="29"/>
        </w:r>
        <w:r w:rsidR="00077DBB" w:rsidRPr="006314A4">
          <w:rPr>
            <w:rStyle w:val="FootnoteReference"/>
            <w:color w:val="0072CE"/>
            <w:u w:val="dotted"/>
          </w:rPr>
          <w:t xml:space="preserve"> </w:t>
        </w:r>
      </w:hyperlink>
    </w:p>
    <w:p w14:paraId="7ADF90A8" w14:textId="1AC75A49" w:rsidR="00077DBB" w:rsidRPr="006314A4" w:rsidRDefault="00000000" w:rsidP="00603DC8">
      <w:pPr>
        <w:pStyle w:val="Bullet1"/>
        <w:numPr>
          <w:ilvl w:val="0"/>
          <w:numId w:val="15"/>
        </w:numPr>
      </w:pPr>
      <w:hyperlink r:id="rId82">
        <w:r w:rsidR="002D100C">
          <w:rPr>
            <w:rStyle w:val="Hyperlink"/>
          </w:rPr>
          <w:t>ATAGI (2022) Managing anaphylaxis</w:t>
        </w:r>
        <w:r w:rsidR="002D100C">
          <w:rPr>
            <w:rStyle w:val="FootnoteReference"/>
            <w:color w:val="004C97"/>
            <w:u w:val="dotted"/>
          </w:rPr>
          <w:footnoteReference w:id="30"/>
        </w:r>
        <w:r w:rsidR="00F40D26">
          <w:rPr>
            <w:rStyle w:val="Hyperlink"/>
          </w:rPr>
          <w:t xml:space="preserve"> </w:t>
        </w:r>
      </w:hyperlink>
    </w:p>
    <w:p w14:paraId="6DBD7045" w14:textId="0E7B26F6" w:rsidR="00077DBB" w:rsidRPr="006314A4" w:rsidRDefault="00000000" w:rsidP="00603DC8">
      <w:pPr>
        <w:pStyle w:val="Bullet1"/>
        <w:numPr>
          <w:ilvl w:val="0"/>
          <w:numId w:val="15"/>
        </w:numPr>
      </w:pPr>
      <w:hyperlink r:id="rId83">
        <w:r w:rsidR="00077DBB" w:rsidRPr="006314A4">
          <w:rPr>
            <w:rStyle w:val="Hyperlink"/>
          </w:rPr>
          <w:t>Preparing an anaphylaxis response kit</w:t>
        </w:r>
        <w:r w:rsidR="00F5320A">
          <w:rPr>
            <w:rStyle w:val="FootnoteReference"/>
            <w:color w:val="004C97"/>
            <w:u w:val="dotted"/>
          </w:rPr>
          <w:footnoteReference w:id="31"/>
        </w:r>
        <w:r w:rsidR="00077DBB" w:rsidRPr="006314A4">
          <w:rPr>
            <w:rStyle w:val="Hyperlink"/>
          </w:rPr>
          <w:t xml:space="preserve"> | The Australian Immunisation Handbook (health.gov.au)</w:t>
        </w:r>
      </w:hyperlink>
      <w:r w:rsidR="00077DBB" w:rsidRPr="006314A4">
        <w:t xml:space="preserve"> </w:t>
      </w:r>
    </w:p>
    <w:p w14:paraId="1788EEFF" w14:textId="63773752" w:rsidR="00077DBB" w:rsidRPr="006314A4" w:rsidRDefault="00000000" w:rsidP="00603DC8">
      <w:pPr>
        <w:pStyle w:val="Bullet1"/>
        <w:numPr>
          <w:ilvl w:val="0"/>
          <w:numId w:val="15"/>
        </w:numPr>
      </w:pPr>
      <w:hyperlink r:id="rId84">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2"/>
      </w:r>
    </w:p>
    <w:p w14:paraId="7B455DB6" w14:textId="6FFA2F60" w:rsidR="00077DBB" w:rsidRPr="006314A4" w:rsidRDefault="00000000" w:rsidP="00603DC8">
      <w:pPr>
        <w:pStyle w:val="Bullet1"/>
        <w:numPr>
          <w:ilvl w:val="0"/>
          <w:numId w:val="15"/>
        </w:numPr>
        <w:rPr>
          <w:rStyle w:val="Hyperlink"/>
        </w:rPr>
      </w:pPr>
      <w:hyperlink w:anchor="_Appendix_11:_Factsheet">
        <w:r w:rsidR="00077DBB" w:rsidRPr="006314A4">
          <w:rPr>
            <w:rStyle w:val="Hyperlink"/>
          </w:rPr>
          <w:t xml:space="preserve">Appendix 6 </w:t>
        </w:r>
        <w:r w:rsidR="00B96D08">
          <w:rPr>
            <w:rStyle w:val="Hyperlink"/>
          </w:rPr>
          <w:t>–</w:t>
        </w:r>
        <w:r w:rsidR="00077DBB" w:rsidRPr="006314A4">
          <w:rPr>
            <w:rStyle w:val="Hyperlink"/>
          </w:rPr>
          <w:t xml:space="preserve"> Guidance for differentiating anaphylaxis from acute stress response for vaccine providers and emergency departments </w:t>
        </w:r>
      </w:hyperlink>
      <w:bookmarkStart w:id="189" w:name="_Hlk73829506"/>
    </w:p>
    <w:bookmarkEnd w:id="189"/>
    <w:p w14:paraId="2F290E59" w14:textId="2A03D3D3" w:rsidR="00077DBB" w:rsidRPr="006314A4" w:rsidRDefault="00077DBB" w:rsidP="00603DC8">
      <w:pPr>
        <w:pStyle w:val="Bullet1"/>
        <w:numPr>
          <w:ilvl w:val="0"/>
          <w:numId w:val="15"/>
        </w:numPr>
      </w:pPr>
      <w:r w:rsidRPr="006314A4">
        <w:fldChar w:fldCharType="begin"/>
      </w:r>
      <w:r w:rsidRPr="006314A4">
        <w:instrText xml:space="preserve"> HYPERLINK "https://mvec.mcri.edu.au/references/covid-19-vaccines-and-allergy/" </w:instrText>
      </w:r>
      <w:r w:rsidRPr="006314A4">
        <w:fldChar w:fldCharType="separate"/>
      </w:r>
      <w:r w:rsidRPr="006314A4">
        <w:rPr>
          <w:rStyle w:val="Hyperlink"/>
        </w:rPr>
        <w:t>MVEC resources and video on Allergy and COVID-19 vaccines</w:t>
      </w:r>
      <w:r w:rsidRPr="006314A4">
        <w:rPr>
          <w:rStyle w:val="Hyperlink"/>
        </w:rPr>
        <w:fldChar w:fldCharType="end"/>
      </w:r>
      <w:r w:rsidR="00D226FE">
        <w:rPr>
          <w:rStyle w:val="FootnoteReference"/>
          <w:color w:val="004C97"/>
          <w:u w:val="dotted"/>
        </w:rPr>
        <w:footnoteReference w:id="33"/>
      </w:r>
    </w:p>
    <w:p w14:paraId="1C017D6C" w14:textId="77777777" w:rsidR="00077DBB" w:rsidRPr="006314A4" w:rsidRDefault="00077DBB" w:rsidP="00077DBB">
      <w:pPr>
        <w:pStyle w:val="Heading3"/>
      </w:pPr>
      <w:bookmarkStart w:id="190" w:name="_Fainting_and_syncopal"/>
      <w:bookmarkStart w:id="191" w:name="_Toc1312165668"/>
      <w:bookmarkStart w:id="192" w:name="_Toc112154611"/>
      <w:bookmarkStart w:id="193" w:name="_Toc112315671"/>
      <w:bookmarkEnd w:id="190"/>
      <w:r>
        <w:t>Fainting and syncopal seizures</w:t>
      </w:r>
      <w:bookmarkEnd w:id="191"/>
      <w:bookmarkEnd w:id="192"/>
      <w:bookmarkEnd w:id="193"/>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4"/>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lastRenderedPageBreak/>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47E24AE6"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85"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2D3706" w:rsidRPr="003976E1">
        <w:rPr>
          <w:rFonts w:ascii="Arial" w:eastAsia="Times New Roman" w:hAnsi="Arial" w:cs="Arial"/>
          <w:sz w:val="21"/>
          <w:szCs w:val="21"/>
        </w:rPr>
        <w:t>&lt;https://www.safevac.org.au/Home/Info/VIC&gt;</w:t>
      </w:r>
    </w:p>
    <w:p w14:paraId="50D4967C" w14:textId="3A871B98"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p>
    <w:p w14:paraId="069DE266" w14:textId="77777777" w:rsidR="00077DBB" w:rsidRPr="006314A4" w:rsidRDefault="00077DBB" w:rsidP="00077DBB">
      <w:pPr>
        <w:pStyle w:val="Heading3"/>
      </w:pPr>
      <w:bookmarkStart w:id="194" w:name="_Toc2138359726"/>
      <w:bookmarkStart w:id="195" w:name="_Toc112154612"/>
      <w:bookmarkStart w:id="196" w:name="_Toc112315672"/>
      <w:r w:rsidRPr="006314A4">
        <w:t>Reporting an immediate AEFI (at place of vaccination)</w:t>
      </w:r>
      <w:bookmarkEnd w:id="194"/>
      <w:bookmarkEnd w:id="195"/>
      <w:bookmarkEnd w:id="196"/>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7" w:name="_Toc656743643"/>
      <w:bookmarkStart w:id="198" w:name="_Toc112154613"/>
      <w:bookmarkStart w:id="199" w:name="_Toc112315673"/>
      <w:r w:rsidRPr="004A7B9F">
        <w:rPr>
          <w:bCs w:val="0"/>
        </w:rPr>
        <w:t>Reporting</w:t>
      </w:r>
      <w:r>
        <w:t xml:space="preserve"> a delayed AEFI (outside place of vaccination)</w:t>
      </w:r>
      <w:bookmarkEnd w:id="197"/>
      <w:bookmarkEnd w:id="198"/>
      <w:bookmarkEnd w:id="199"/>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86" w:history="1">
        <w:r w:rsidRPr="00E80CA7">
          <w:rPr>
            <w:rStyle w:val="Hyperlink"/>
          </w:rPr>
          <w:t>www.saefvic.org.au</w:t>
        </w:r>
      </w:hyperlink>
      <w:r w:rsidRPr="00E80CA7">
        <w:t xml:space="preserve"> or by phone call (as above). Vaccinees can find more information online at </w:t>
      </w:r>
      <w:hyperlink r:id="rId87"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0" w:name="_Toc623573678"/>
      <w:bookmarkStart w:id="201" w:name="_Toc112154614"/>
      <w:bookmarkStart w:id="202" w:name="_Toc112315674"/>
      <w:bookmarkStart w:id="203" w:name="_Toc71895628"/>
      <w:bookmarkStart w:id="204" w:name="_Toc73627101"/>
      <w:r>
        <w:t>Managing anaphylaxis and other serious AEFI</w:t>
      </w:r>
      <w:bookmarkEnd w:id="200"/>
      <w:bookmarkEnd w:id="201"/>
      <w:bookmarkEnd w:id="202"/>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lastRenderedPageBreak/>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88">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89"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3"/>
      <w:bookmarkEnd w:id="204"/>
    </w:p>
    <w:p w14:paraId="0BEA9785" w14:textId="77777777" w:rsidR="59B7C61D" w:rsidRDefault="59B7C61D" w:rsidP="3961303B">
      <w:pPr>
        <w:pStyle w:val="Heading1"/>
      </w:pPr>
      <w:bookmarkStart w:id="205" w:name="_Toc122340792"/>
      <w:r>
        <w:t>Workforce and Regulation</w:t>
      </w:r>
      <w:bookmarkEnd w:id="205"/>
      <w:r>
        <w:t xml:space="preserve"> </w:t>
      </w:r>
    </w:p>
    <w:p w14:paraId="6E71AF15" w14:textId="77777777" w:rsidR="59B7C61D" w:rsidRDefault="59B7C61D" w:rsidP="3961303B">
      <w:pPr>
        <w:pStyle w:val="Heading2"/>
      </w:pPr>
      <w:bookmarkStart w:id="206" w:name="_Toc122340793"/>
      <w:r>
        <w:t>Legislative and regulatory framework</w:t>
      </w:r>
      <w:bookmarkEnd w:id="206"/>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3F0B5F8D"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Pr>
          <w:rStyle w:val="FootnoteReference"/>
          <w:color w:val="004C97"/>
          <w:u w:val="dotted"/>
          <w:lang w:val="en-US"/>
        </w:rPr>
        <w:footnoteReference w:id="35"/>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3961303B">
        <w:rPr>
          <w:rStyle w:val="FootnoteReference"/>
          <w:color w:val="004C97"/>
          <w:u w:val="dotted"/>
          <w:lang w:val="en-US"/>
        </w:rPr>
        <w:footnoteReference w:id="36"/>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lastRenderedPageBreak/>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2E06BB18"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the </w:t>
      </w:r>
      <w:hyperlink r:id="rId90">
        <w:r w:rsidRPr="002D535F">
          <w:rPr>
            <w:rStyle w:val="Hyperlink"/>
          </w:rPr>
          <w:t>Medical Treatment Planning and Decisi</w:t>
        </w:r>
        <w:r w:rsidRPr="002D535F">
          <w:rPr>
            <w:rStyle w:val="Hyperlink"/>
          </w:rPr>
          <w:t>o</w:t>
        </w:r>
        <w:r w:rsidRPr="002D535F">
          <w:rPr>
            <w:rStyle w:val="Hyperlink"/>
          </w:rPr>
          <w:t>ns Act 2016 (Vic)</w:t>
        </w:r>
      </w:hyperlink>
      <w:r>
        <w:t xml:space="preserve"> (MTPD Act)</w:t>
      </w:r>
      <w:r w:rsidR="0023316F">
        <w:t xml:space="preserve"> &lt;</w:t>
      </w:r>
      <w:r w:rsidR="0023316F" w:rsidRPr="0023316F">
        <w:t xml:space="preserve"> </w:t>
      </w:r>
      <w:r w:rsidR="0023316F" w:rsidRPr="0023316F">
        <w:t>https://www.legislation.vic.gov.au/in-force/acts/medical-treatment-planning-and-decisions-act-2016/009</w:t>
      </w:r>
      <w:r w:rsidR="0023316F">
        <w:t>&gt;</w:t>
      </w:r>
      <w:r>
        <w:t>, 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37"/>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lastRenderedPageBreak/>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000000" w:rsidP="00603DC8">
      <w:pPr>
        <w:pStyle w:val="Bullet1"/>
        <w:numPr>
          <w:ilvl w:val="0"/>
          <w:numId w:val="15"/>
        </w:numPr>
      </w:pPr>
      <w:hyperlink r:id="rId91">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92" w:history="1">
        <w:r w:rsidR="00F823D5" w:rsidRPr="00033401">
          <w:rPr>
            <w:rStyle w:val="Hyperlink"/>
            <w:rFonts w:cs="Arial"/>
            <w:color w:val="auto"/>
            <w:u w:val="none"/>
          </w:rPr>
          <w:t>https://www.legislation.vic.gov.au/in-force/acts/public-records-act-1973/041</w:t>
        </w:r>
      </w:hyperlink>
    </w:p>
    <w:p w14:paraId="2C86CA44" w14:textId="11478028" w:rsidR="59B7C61D" w:rsidRDefault="00000000" w:rsidP="00603DC8">
      <w:pPr>
        <w:pStyle w:val="Bullet1"/>
        <w:numPr>
          <w:ilvl w:val="0"/>
          <w:numId w:val="15"/>
        </w:numPr>
        <w:rPr>
          <w:rStyle w:val="Hyperlink"/>
          <w:rFonts w:cs="Arial"/>
        </w:rPr>
      </w:pPr>
      <w:hyperlink r:id="rId93">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94"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A31B11B" w14:textId="78AF264E" w:rsidR="59B7C61D" w:rsidRPr="00F209A9" w:rsidRDefault="00000000" w:rsidP="00603DC8">
      <w:pPr>
        <w:pStyle w:val="Bullet1"/>
        <w:numPr>
          <w:ilvl w:val="0"/>
          <w:numId w:val="15"/>
        </w:numPr>
        <w:rPr>
          <w:rFonts w:cs="Arial"/>
        </w:rPr>
      </w:pPr>
      <w:hyperlink r:id="rId95">
        <w:r w:rsidR="59B7C61D" w:rsidRPr="3961303B">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hyperlink r:id="rId96" w:history="1">
        <w:r w:rsidR="000A5B49" w:rsidRPr="00F209A9">
          <w:rPr>
            <w:rStyle w:val="Hyperlink"/>
            <w:color w:val="auto"/>
            <w:u w:val="none"/>
          </w:rPr>
          <w:t>AS ISO 15489 Australian Records Management Standard (efilecabinet.com)</w:t>
        </w:r>
      </w:hyperlink>
      <w:r w:rsidR="000A5B49" w:rsidRPr="00F209A9">
        <w:t>&gt;</w:t>
      </w:r>
    </w:p>
    <w:p w14:paraId="69CFB3B7" w14:textId="3F98BA98" w:rsidR="59B7C61D" w:rsidRDefault="59B7C61D" w:rsidP="3961303B">
      <w:pPr>
        <w:pStyle w:val="Body"/>
        <w:spacing w:before="240"/>
      </w:pPr>
      <w:r>
        <w:lastRenderedPageBreak/>
        <w:t xml:space="preserve">Health services are also subject to confidentiality obligations pursuant to the </w:t>
      </w:r>
      <w:hyperlink r:id="rId97">
        <w:r w:rsidRPr="0023316F">
          <w:rPr>
            <w:rStyle w:val="Hyperlink"/>
            <w:rFonts w:cs="Arial"/>
          </w:rPr>
          <w:t>Health Service Act 19</w:t>
        </w:r>
        <w:r w:rsidRPr="0023316F">
          <w:rPr>
            <w:rStyle w:val="Hyperlink"/>
            <w:rFonts w:cs="Arial"/>
          </w:rPr>
          <w:t>8</w:t>
        </w:r>
        <w:r w:rsidRPr="0023316F">
          <w:rPr>
            <w:rStyle w:val="Hyperlink"/>
            <w:rFonts w:cs="Arial"/>
          </w:rPr>
          <w:t>8</w:t>
        </w:r>
      </w:hyperlink>
      <w:r w:rsidRPr="3961303B">
        <w:rPr>
          <w:rStyle w:val="Hyperlink"/>
          <w:rFonts w:cs="Arial"/>
          <w:i/>
          <w:iCs/>
        </w:rPr>
        <w:t>.</w:t>
      </w:r>
      <w:r>
        <w:t xml:space="preserve"> </w:t>
      </w:r>
      <w:r w:rsidR="0023316F">
        <w:t>&lt;</w:t>
      </w:r>
      <w:r w:rsidR="0023316F" w:rsidRPr="0023316F">
        <w:t xml:space="preserve"> </w:t>
      </w:r>
      <w:r w:rsidR="0023316F" w:rsidRPr="0023316F">
        <w:t>chrome-extension://efaidnbmnnnibpcajpcglclefindmkaj/https://content.legislation.vic.gov.au/sites/default/files/2020-12/88-49aa170%20authorised.pdf</w:t>
      </w:r>
      <w:r w:rsidR="0023316F">
        <w:t xml:space="preserve">&gt; </w:t>
      </w:r>
      <w:r>
        <w:t xml:space="preserve">A health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38"/>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lastRenderedPageBreak/>
        <w:t>Reporting data to the Australian Immunisation Register (AIR)</w:t>
      </w:r>
    </w:p>
    <w:p w14:paraId="0BD4644F" w14:textId="4AAA73A6" w:rsidR="59B7C61D" w:rsidRDefault="59B7C61D" w:rsidP="3961303B">
      <w:pPr>
        <w:pStyle w:val="Body"/>
      </w:pPr>
      <w:r>
        <w:t>It is strongly recommended vaccination service providers report all monkeypox vaccinations to the AIR. Due to the modes of transmission of mpox, it is recognised that some people may not wish for their record of vaccination for mpox be uploaded to AIR. In such cases, respect the 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98"/>
                    <a:stretch>
                      <a:fillRect/>
                    </a:stretch>
                  </pic:blipFill>
                  <pic:spPr>
                    <a:xfrm>
                      <a:off x="0" y="0"/>
                      <a:ext cx="4943730" cy="2171812"/>
                    </a:xfrm>
                    <a:prstGeom prst="rect">
                      <a:avLst/>
                    </a:prstGeom>
                  </pic:spPr>
                </pic:pic>
              </a:graphicData>
            </a:graphic>
          </wp:inline>
        </w:drawing>
      </w:r>
    </w:p>
    <w:p w14:paraId="62D2EADA" w14:textId="538F6C95"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99">
        <w:r w:rsidRPr="3961303B">
          <w:rPr>
            <w:rStyle w:val="Hyperlink"/>
          </w:rPr>
          <w:t>Health Professional Online Services</w:t>
        </w:r>
      </w:hyperlink>
      <w:r>
        <w:t xml:space="preserve"> (HPOS). Further information about how to register and access the AIR is available from </w:t>
      </w:r>
      <w:r w:rsidR="001F3B79">
        <w:t xml:space="preserve">Services Australia </w:t>
      </w:r>
      <w:r w:rsidR="00A003A3">
        <w:t>&lt;</w:t>
      </w:r>
      <w:hyperlink r:id="rId100" w:history="1">
        <w:r w:rsidR="00A003A3" w:rsidRPr="00D0399C">
          <w:rPr>
            <w:rStyle w:val="Hyperlink"/>
          </w:rPr>
          <w:t>https://www.servicesaustralia.gov.au/organisations/business/services/proda-provider-digital-access</w:t>
        </w:r>
      </w:hyperlink>
      <w:r w:rsidR="001F3B79">
        <w:rPr>
          <w:rStyle w:val="Hyperlink"/>
        </w:rPr>
        <w:t>.</w:t>
      </w:r>
      <w:r w:rsidR="00A003A3">
        <w:rPr>
          <w:rStyle w:val="Hyperlink"/>
        </w:rPr>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lastRenderedPageBreak/>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7777777" w:rsidR="59B7C61D" w:rsidRDefault="59B7C61D" w:rsidP="00603DC8">
      <w:pPr>
        <w:pStyle w:val="Bullet1"/>
        <w:numPr>
          <w:ilvl w:val="0"/>
          <w:numId w:val="15"/>
        </w:numPr>
      </w:pPr>
      <w:r>
        <w:t xml:space="preserve">the rights and responsibilities of consumers are respected and promoted to the community, consumers, carers, clinicians and other health service staff, as required by the </w:t>
      </w:r>
      <w:hyperlink r:id="rId101">
        <w:r w:rsidRPr="3961303B">
          <w:rPr>
            <w:rStyle w:val="Hyperlink"/>
          </w:rPr>
          <w:t>Australian Charter of Healthcare Rights</w:t>
        </w:r>
      </w:hyperlink>
      <w:r>
        <w:t xml:space="preserve"> (Australian Commission on Safety and Quality in Health Care, 2019) </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000000" w:rsidP="3961303B">
      <w:pPr>
        <w:pStyle w:val="Body"/>
      </w:pPr>
      <w:hyperlink r:id="rId102">
        <w:r w:rsidR="59B7C61D" w:rsidRPr="3961303B">
          <w:rPr>
            <w:rStyle w:val="Hyperlink"/>
            <w:i/>
            <w:iCs/>
          </w:rPr>
          <w:t>The Occupational Health and Safety Act 2004</w:t>
        </w:r>
      </w:hyperlink>
      <w:r w:rsidR="59B7C61D" w:rsidRPr="3961303B">
        <w:rPr>
          <w:rStyle w:val="FootnoteReference"/>
          <w:i/>
          <w:iCs/>
        </w:rPr>
        <w:footnoteReference w:id="39"/>
      </w:r>
      <w:r w:rsidR="59B7C61D">
        <w:t xml:space="preserve"> and related regulations aim to keep Victorian workplaces safe. The Act, in conjunction with the </w:t>
      </w:r>
      <w:hyperlink r:id="rId103">
        <w:r w:rsidR="59B7C61D" w:rsidRPr="3961303B">
          <w:rPr>
            <w:rStyle w:val="Hyperlink"/>
          </w:rPr>
          <w:t>Australian Guidelines for the Prevention and Control of infection in Healthcare 2019</w:t>
        </w:r>
      </w:hyperlink>
      <w:r w:rsidR="59B7C61D" w:rsidRPr="3961303B">
        <w:rPr>
          <w:rStyle w:val="FootnoteReference"/>
        </w:rPr>
        <w:footnoteReference w:id="40"/>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lastRenderedPageBreak/>
        <w:t>All staff should be familiar with the content of the protocols and how to follow them.</w:t>
      </w:r>
    </w:p>
    <w:p w14:paraId="53D75969" w14:textId="77777777" w:rsidR="59B7C61D" w:rsidRDefault="59B7C61D" w:rsidP="00474D13">
      <w:pPr>
        <w:pStyle w:val="Heading3"/>
        <w:spacing w:before="120" w:line="288" w:lineRule="auto"/>
      </w:pPr>
      <w:r>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Pr="00FD1889" w:rsidRDefault="59B7C61D" w:rsidP="00FD1889">
      <w:pPr>
        <w:pStyle w:val="Heading2"/>
      </w:pPr>
      <w:bookmarkStart w:id="207" w:name="_Workforce_requirements_2"/>
      <w:bookmarkStart w:id="208" w:name="_Toc122340794"/>
      <w:bookmarkEnd w:id="207"/>
      <w:r w:rsidRPr="00FD1889">
        <w:t>Workforce requirements</w:t>
      </w:r>
      <w:bookmarkEnd w:id="208"/>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1"/>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2"/>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0B9D6A08" w14:textId="32DF6690" w:rsidR="59B7C61D"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3"/>
      </w:r>
      <w:r w:rsidR="00C23B9C" w:rsidRPr="00DC4887">
        <w:t xml:space="preserve"> and </w:t>
      </w:r>
      <w:r w:rsidR="00BE69A5" w:rsidRPr="00DC4887">
        <w:t>Secretary Approval: Pharmacist Immuniser</w:t>
      </w:r>
      <w:r w:rsidR="00BE69A5" w:rsidRPr="00DC4887">
        <w:rPr>
          <w:rStyle w:val="FootnoteReference"/>
        </w:rPr>
        <w:footnoteReference w:id="44"/>
      </w:r>
      <w:r w:rsidR="00C23B9C" w:rsidRPr="00DC4887">
        <w:t>, respectively.</w:t>
      </w:r>
      <w:r w:rsidR="00A86799" w:rsidRPr="00DC4887">
        <w:t xml:space="preserve"> </w:t>
      </w:r>
      <w:r w:rsidR="005F480A" w:rsidRPr="00DC4887">
        <w:t>Mandatory training</w:t>
      </w:r>
      <w:r w:rsidR="00632FFC" w:rsidRPr="00DC4887">
        <w:t xml:space="preserve"> </w:t>
      </w:r>
      <w:r w:rsidR="000B4404" w:rsidRPr="00DC4887">
        <w:t xml:space="preserve">and limitations apply. </w:t>
      </w:r>
      <w:r w:rsidR="00CF5935"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00CF5935" w:rsidRPr="00DC4887">
        <w:t xml:space="preserve">. </w:t>
      </w:r>
      <w:r w:rsidR="000B4404" w:rsidRPr="00DC4887">
        <w:t>Further detail</w:t>
      </w:r>
      <w:r w:rsidR="00D8720A" w:rsidRPr="00DC4887">
        <w:t>s</w:t>
      </w:r>
      <w:r w:rsidR="000B4404" w:rsidRPr="00DC4887">
        <w:t xml:space="preserve"> about </w:t>
      </w:r>
      <w:r w:rsidR="001B6A6D" w:rsidRPr="00DC4887">
        <w:t xml:space="preserve">nurse immunisers and pharmacist immunisers </w:t>
      </w:r>
      <w:r w:rsidR="00D8720A" w:rsidRPr="00DC4887">
        <w:t>are</w:t>
      </w:r>
      <w:r w:rsidR="001B6A6D" w:rsidRPr="00DC4887">
        <w:t xml:space="preserve"> available from</w:t>
      </w:r>
      <w:r w:rsidR="00783F72" w:rsidRPr="00DC4887">
        <w:t xml:space="preserve"> the Department’s Immunisers in Victoria webpage at: </w:t>
      </w:r>
      <w:r w:rsidR="000B2880" w:rsidRPr="00DC4887">
        <w:t>&lt;</w:t>
      </w:r>
      <w:hyperlink r:id="rId104" w:history="1">
        <w:r w:rsidR="000B2880" w:rsidRPr="00DC4887">
          <w:rPr>
            <w:rStyle w:val="Hyperlink"/>
          </w:rPr>
          <w:t>https://www.health.vic.gov.au/immunisation/immunisers-in-victoria</w:t>
        </w:r>
      </w:hyperlink>
      <w:r w:rsidR="000B2880" w:rsidRPr="00DC4887">
        <w:t>&gt;.</w:t>
      </w:r>
      <w:r w:rsidR="002D331D">
        <w:t xml:space="preserve"> </w:t>
      </w:r>
    </w:p>
    <w:p w14:paraId="3C15C1A0" w14:textId="3DF7D839" w:rsidR="003D161D" w:rsidRDefault="003D161D" w:rsidP="3961303B">
      <w:pPr>
        <w:shd w:val="clear" w:color="auto" w:fill="FFFFFF" w:themeFill="background1"/>
        <w:spacing w:line="288" w:lineRule="auto"/>
        <w:rPr>
          <w:b/>
          <w:bCs/>
        </w:rPr>
      </w:pPr>
      <w:r>
        <w:rPr>
          <w:b/>
          <w:bCs/>
        </w:rPr>
        <w:lastRenderedPageBreak/>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77777777" w:rsidR="59B7C61D" w:rsidRDefault="59B7C61D" w:rsidP="3961303B">
      <w:pPr>
        <w:pStyle w:val="Heading3"/>
      </w:pPr>
      <w:r>
        <w:t>Training requirements</w:t>
      </w:r>
    </w:p>
    <w:p w14:paraId="687C4DDA" w14:textId="7CAD3C0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the pre-requisite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p>
    <w:p w14:paraId="729FD495" w14:textId="61916ECB" w:rsidR="59B7C61D" w:rsidRDefault="59B7C61D" w:rsidP="3961303B">
      <w:pPr>
        <w:pStyle w:val="Body"/>
        <w:rPr>
          <w:i/>
          <w:iCs/>
        </w:rPr>
      </w:pPr>
      <w:r>
        <w:t>It is the responsibility of each mpox vaccination provider to:</w:t>
      </w:r>
    </w:p>
    <w:p w14:paraId="1EA89477" w14:textId="75E58877" w:rsidR="59B7C61D" w:rsidRDefault="00EB681F" w:rsidP="00603DC8">
      <w:pPr>
        <w:pStyle w:val="Bullet1"/>
        <w:numPr>
          <w:ilvl w:val="0"/>
          <w:numId w:val="15"/>
        </w:numPr>
      </w:pPr>
      <w:r>
        <w:t>i</w:t>
      </w:r>
      <w:r w:rsidR="59B7C61D">
        <w:t>dentify members of the workforce who need to complete pre-requisite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122D402D"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mpox vaccination eLearning module</w:t>
      </w:r>
      <w:r w:rsidR="00095CEE">
        <w:rPr>
          <w:rFonts w:eastAsia="Calibri" w:cs="Arial"/>
        </w:rPr>
        <w:t xml:space="preserve"> is now</w:t>
      </w:r>
      <w:r w:rsidRPr="3961303B">
        <w:rPr>
          <w:rFonts w:eastAsia="Calibri" w:cs="Arial"/>
        </w:rPr>
        <w:t xml:space="preserve"> available through the </w:t>
      </w:r>
      <w:hyperlink r:id="rId105">
        <w:r w:rsidRPr="3961303B">
          <w:rPr>
            <w:rStyle w:val="Hyperlink"/>
          </w:rPr>
          <w:t>Victorian Immunisation Learning Hub</w:t>
        </w:r>
      </w:hyperlink>
      <w:r w:rsidR="0091034B">
        <w:rPr>
          <w:rStyle w:val="Hyperlink"/>
        </w:rPr>
        <w:t>.</w:t>
      </w:r>
      <w:r>
        <w:t xml:space="preserve"> </w:t>
      </w:r>
      <w:r w:rsidR="00DE5494">
        <w:t>&lt;</w:t>
      </w:r>
      <w:r w:rsidR="00A50CF2" w:rsidRPr="00A50CF2">
        <w:t>https://vic-immunisation-learning.com/</w:t>
      </w:r>
      <w:r w:rsidR="00A50CF2">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mpox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106">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0" w:name="_Toc122340795"/>
      <w:r>
        <w:t>Emergency response</w:t>
      </w:r>
      <w:bookmarkEnd w:id="210"/>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lastRenderedPageBreak/>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00000000"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000000"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66D88415" w14:textId="3A604418" w:rsidR="00077DBB" w:rsidRPr="006F1A2A" w:rsidRDefault="00077DBB" w:rsidP="000A3E00">
      <w:pPr>
        <w:pStyle w:val="Heading1"/>
        <w:spacing w:before="360"/>
      </w:pPr>
      <w:bookmarkStart w:id="211" w:name="_Toc71895630"/>
      <w:bookmarkStart w:id="212" w:name="_Toc73627103"/>
      <w:bookmarkStart w:id="213" w:name="_Toc1071312717"/>
      <w:bookmarkStart w:id="214" w:name="_Toc112154615"/>
      <w:bookmarkStart w:id="215" w:name="_Toc112315675"/>
      <w:bookmarkStart w:id="216" w:name="_Toc122340796"/>
      <w:r>
        <w:t>Additional resources</w:t>
      </w:r>
      <w:bookmarkEnd w:id="211"/>
      <w:bookmarkEnd w:id="212"/>
      <w:bookmarkEnd w:id="213"/>
      <w:bookmarkEnd w:id="214"/>
      <w:bookmarkEnd w:id="215"/>
      <w:bookmarkEnd w:id="216"/>
    </w:p>
    <w:p w14:paraId="1B5013B1" w14:textId="77777777" w:rsidR="00077DBB" w:rsidRDefault="00077DBB" w:rsidP="00077DBB">
      <w:pPr>
        <w:pStyle w:val="Body"/>
      </w:pPr>
      <w:r w:rsidRPr="006F1A2A">
        <w:t xml:space="preserve">The Commonwealth Government and ATAGI have developed a collection of resources containing advice and guidance for </w:t>
      </w:r>
      <w:r>
        <w:t>providers:</w:t>
      </w:r>
    </w:p>
    <w:p w14:paraId="2D8CD7BA" w14:textId="7A1F92C9" w:rsidR="00C20A51" w:rsidRPr="002735A0" w:rsidRDefault="00077DBB" w:rsidP="00261B47">
      <w:pPr>
        <w:pStyle w:val="Body"/>
        <w:numPr>
          <w:ilvl w:val="0"/>
          <w:numId w:val="34"/>
        </w:numPr>
        <w:spacing w:after="0" w:line="276" w:lineRule="auto"/>
        <w:ind w:left="360"/>
        <w:rPr>
          <w:rStyle w:val="Hyperlink"/>
        </w:rPr>
      </w:pPr>
      <w:r w:rsidRPr="001F60AB">
        <w:t xml:space="preserve">ATAGI </w:t>
      </w:r>
      <w:r w:rsidR="00E56825" w:rsidRPr="0066265A">
        <w:t xml:space="preserve">Updated clinical guidance </w:t>
      </w:r>
      <w:r w:rsidR="00767F9E" w:rsidRPr="0066265A">
        <w:t xml:space="preserve">on vaccination against </w:t>
      </w:r>
      <w:r w:rsidR="0030600C" w:rsidRPr="0066265A">
        <w:t>m</w:t>
      </w:r>
      <w:r w:rsidR="00767F9E" w:rsidRPr="0066265A">
        <w:t>onkeypox</w:t>
      </w:r>
      <w:r w:rsidR="0030600C" w:rsidRPr="0066265A">
        <w:t xml:space="preserve"> (mpox)</w:t>
      </w:r>
      <w:r w:rsidR="00767F9E">
        <w:t xml:space="preserve"> Version </w:t>
      </w:r>
      <w:r w:rsidR="009705A2">
        <w:t>4</w:t>
      </w:r>
      <w:r w:rsidR="00767F9E">
        <w:t>.0</w:t>
      </w:r>
      <w:r w:rsidR="00930FAE">
        <w:t xml:space="preserve">, </w:t>
      </w:r>
      <w:r w:rsidR="009705A2">
        <w:t>12</w:t>
      </w:r>
      <w:r w:rsidRPr="001F60AB">
        <w:t xml:space="preserve"> </w:t>
      </w:r>
      <w:r w:rsidR="009705A2">
        <w:t>December</w:t>
      </w:r>
      <w:r w:rsidRPr="001F60AB">
        <w:t xml:space="preserve"> 2022</w:t>
      </w:r>
      <w:r w:rsidR="00DD0391">
        <w:t xml:space="preserve"> &lt;</w:t>
      </w:r>
      <w:hyperlink r:id="rId107" w:history="1">
        <w:r w:rsidR="00DD0391" w:rsidRPr="00DD0391">
          <w:rPr>
            <w:rStyle w:val="Hyperlink"/>
          </w:rPr>
          <w:t>https://www.health.gov.au/resources/publications/atagi-clinical-guidance-on-vaccination-against-monkeypox?language=en</w:t>
        </w:r>
      </w:hyperlink>
      <w:r w:rsidR="00DD0391">
        <w:t>&gt;</w:t>
      </w:r>
      <w:r w:rsidR="00C20A51">
        <w:fldChar w:fldCharType="begin"/>
      </w:r>
      <w:r w:rsidR="00DD0391">
        <w:instrText>HYPERLINK "https://www.health.gov.au/resources/publications/atagi-clinical-guidance-on-vaccination-against-monkeypox?language=en"</w:instrText>
      </w:r>
      <w:r w:rsidR="00C20A51">
        <w:fldChar w:fldCharType="separate"/>
      </w:r>
    </w:p>
    <w:p w14:paraId="24D15CA5" w14:textId="4DA52B71" w:rsidR="00D62C93" w:rsidRDefault="00C20A51" w:rsidP="00603DC8">
      <w:pPr>
        <w:pStyle w:val="Body"/>
        <w:numPr>
          <w:ilvl w:val="0"/>
          <w:numId w:val="34"/>
        </w:numPr>
        <w:spacing w:after="0" w:line="276" w:lineRule="auto"/>
        <w:ind w:left="360"/>
      </w:pPr>
      <w:r>
        <w:fldChar w:fldCharType="end"/>
      </w:r>
      <w:r w:rsidR="00601E93">
        <w:t>M</w:t>
      </w:r>
      <w:r w:rsidR="009F68E8">
        <w:t>pox (monkeypox)</w:t>
      </w:r>
      <w:r w:rsidR="00401C1C">
        <w:t xml:space="preserve"> – Consent form for </w:t>
      </w:r>
      <w:r w:rsidR="00401C1C" w:rsidRPr="3961303B">
        <w:rPr>
          <w:rFonts w:cs="Arial"/>
          <w:color w:val="313131"/>
          <w:lang w:eastAsia="en-AU"/>
        </w:rPr>
        <w:t>JYNNEOS</w:t>
      </w:r>
      <w:r w:rsidR="00401C1C" w:rsidRPr="008D4BAC">
        <w:rPr>
          <w:rFonts w:cs="Arial"/>
          <w:color w:val="2A2736"/>
          <w:vertAlign w:val="superscript"/>
          <w:lang w:eastAsia="en-AU"/>
        </w:rPr>
        <w:t>®</w:t>
      </w:r>
      <w:r w:rsidR="00401C1C" w:rsidRPr="3961303B">
        <w:rPr>
          <w:rFonts w:cs="Arial"/>
          <w:color w:val="313131"/>
          <w:lang w:eastAsia="en-AU"/>
        </w:rPr>
        <w:t xml:space="preserve"> </w:t>
      </w:r>
      <w:r w:rsidR="00401C1C">
        <w:t>vaccine</w:t>
      </w:r>
      <w:r w:rsidR="00613209">
        <w:t xml:space="preserve"> </w:t>
      </w:r>
      <w:r w:rsidR="00F7719B">
        <w:t>26 August 2022</w:t>
      </w:r>
      <w:r w:rsidR="00112EF9">
        <w:t xml:space="preserve"> &lt;</w:t>
      </w:r>
      <w:hyperlink r:id="rId108" w:history="1">
        <w:r w:rsidR="009F68E8">
          <w:rPr>
            <w:rStyle w:val="Hyperlink"/>
          </w:rPr>
          <w:t>https://www.health.gov.au/resources/publications/mpox-monkeypox-consent-form-for-jynneosr-vaccination</w:t>
        </w:r>
      </w:hyperlink>
      <w:r w:rsidR="00112EF9">
        <w:t>&gt;</w:t>
      </w:r>
    </w:p>
    <w:p w14:paraId="07282B15" w14:textId="2BD94B0B" w:rsidR="00077DBB" w:rsidRDefault="00077DBB" w:rsidP="00603DC8">
      <w:pPr>
        <w:pStyle w:val="Body"/>
        <w:numPr>
          <w:ilvl w:val="0"/>
          <w:numId w:val="34"/>
        </w:numPr>
        <w:spacing w:after="0" w:line="276" w:lineRule="auto"/>
        <w:ind w:left="360"/>
        <w:rPr>
          <w:rStyle w:val="Hyperlink"/>
        </w:rPr>
      </w:pPr>
      <w:r w:rsidRPr="001F60AB">
        <w:t>Infection Prevention and Control Expert Group Interim Guidance on Monkeypox for Health Workers</w:t>
      </w:r>
      <w:r w:rsidR="00DB6516">
        <w:t xml:space="preserve"> 24 June 2022</w:t>
      </w:r>
    </w:p>
    <w:p w14:paraId="65CD4CF4" w14:textId="3AB91B03" w:rsidR="00C120C7" w:rsidRDefault="001D5F2E" w:rsidP="009207E0">
      <w:pPr>
        <w:pStyle w:val="Body"/>
        <w:spacing w:after="0" w:line="276" w:lineRule="auto"/>
        <w:ind w:left="360"/>
        <w:rPr>
          <w:rFonts w:eastAsiaTheme="minorEastAsia" w:cstheme="minorBidi"/>
        </w:rPr>
      </w:pPr>
      <w:r>
        <w:t>&lt;</w:t>
      </w:r>
      <w:hyperlink r:id="rId109" w:history="1">
        <w:r w:rsidR="00AD1E76" w:rsidRPr="001F53FC">
          <w:rPr>
            <w:rStyle w:val="Hyperlink"/>
            <w:rFonts w:eastAsiaTheme="minorEastAsia" w:cstheme="minorBidi"/>
          </w:rPr>
          <w:t>https://www.health.gov.au/resources/publications/iceg-interim-guidance-on-monkeypox-for-health-workers</w:t>
        </w:r>
      </w:hyperlink>
      <w:r>
        <w:rPr>
          <w:rStyle w:val="Hyperlink"/>
          <w:rFonts w:eastAsiaTheme="minorEastAsia" w:cstheme="minorBidi"/>
        </w:rPr>
        <w:t>&gt;</w:t>
      </w:r>
    </w:p>
    <w:p w14:paraId="2B097423" w14:textId="0095D1B5" w:rsidR="00077DBB" w:rsidRDefault="00077DBB" w:rsidP="00603DC8">
      <w:pPr>
        <w:pStyle w:val="Body"/>
        <w:numPr>
          <w:ilvl w:val="0"/>
          <w:numId w:val="34"/>
        </w:numPr>
        <w:spacing w:after="0" w:line="276" w:lineRule="auto"/>
        <w:ind w:left="360"/>
      </w:pPr>
      <w:r w:rsidRPr="001F60AB">
        <w:t>Information on JYNNEOS</w:t>
      </w:r>
      <w:r w:rsidRPr="008D4BAC">
        <w:rPr>
          <w:rFonts w:cs="Arial"/>
          <w:color w:val="2A2736"/>
          <w:vertAlign w:val="superscript"/>
          <w:lang w:eastAsia="en-AU"/>
        </w:rPr>
        <w:t>®</w:t>
      </w:r>
      <w:r w:rsidRPr="001F60AB">
        <w:t xml:space="preserve"> (modified vaccinia Ankara – Bavarian Nordic, MVABN) vaccine</w:t>
      </w:r>
      <w:r w:rsidR="00F94CB2">
        <w:t>. Updated 26 August 2022</w:t>
      </w:r>
    </w:p>
    <w:p w14:paraId="08680D79" w14:textId="2707833D" w:rsidR="00FD3537" w:rsidRDefault="00FD3537" w:rsidP="009207E0">
      <w:pPr>
        <w:pStyle w:val="ListParagraph"/>
        <w:shd w:val="clear" w:color="auto" w:fill="FFFFFF" w:themeFill="background1"/>
        <w:spacing w:after="0" w:line="276" w:lineRule="auto"/>
        <w:ind w:left="360"/>
        <w:outlineLvl w:val="0"/>
      </w:pPr>
      <w:r>
        <w:t>&lt;</w:t>
      </w:r>
      <w:hyperlink r:id="rId110" w:history="1">
        <w:r w:rsidR="005B777F">
          <w:rPr>
            <w:rStyle w:val="Hyperlink"/>
          </w:rPr>
          <w:t>https://www.health.gov.au/resources/publications/mpox-monkeypox-information-on-jynneosr-vaccine?language=en</w:t>
        </w:r>
      </w:hyperlink>
      <w:r w:rsidR="00F94CB2">
        <w:t>&gt;</w:t>
      </w:r>
    </w:p>
    <w:p w14:paraId="4C0DA833" w14:textId="4F8D10E0" w:rsidR="001B19A9" w:rsidRDefault="001F60AB" w:rsidP="00603DC8">
      <w:pPr>
        <w:pStyle w:val="ListParagraph"/>
        <w:numPr>
          <w:ilvl w:val="0"/>
          <w:numId w:val="34"/>
        </w:numPr>
        <w:spacing w:after="0" w:line="276" w:lineRule="auto"/>
        <w:ind w:left="357"/>
      </w:pPr>
      <w:r w:rsidRPr="001F60AB">
        <w:t>Interim guidance provided by the Infection Prevention and Control Expert Group (ICEG) on Monkeypox (MPX) for healthcare workers</w:t>
      </w:r>
      <w:r w:rsidR="003A3001">
        <w:t xml:space="preserve"> </w:t>
      </w:r>
      <w:r w:rsidR="00D1332F" w:rsidRPr="00034F20">
        <w:t xml:space="preserve">| Australian Government </w:t>
      </w:r>
      <w:r w:rsidR="00C20A51">
        <w:t>&lt;</w:t>
      </w:r>
      <w:hyperlink r:id="rId111" w:history="1">
        <w:r w:rsidR="001D4FD3" w:rsidRPr="001F53FC">
          <w:rPr>
            <w:rStyle w:val="Hyperlink"/>
          </w:rPr>
          <w:t>https://www.health.gov.au/resources/publications/iceg-interim-guidance-on-monkeypox-for-health-workers</w:t>
        </w:r>
      </w:hyperlink>
      <w:r w:rsidR="00C20A51">
        <w:rPr>
          <w:rStyle w:val="Hyperlink"/>
        </w:rPr>
        <w:t>&gt;</w:t>
      </w:r>
    </w:p>
    <w:p w14:paraId="6C80DCDE" w14:textId="0C2616F3" w:rsidR="00077DBB" w:rsidRPr="001F60AB" w:rsidRDefault="00077DBB" w:rsidP="00603DC8">
      <w:pPr>
        <w:pStyle w:val="Body"/>
        <w:numPr>
          <w:ilvl w:val="0"/>
          <w:numId w:val="34"/>
        </w:numPr>
        <w:spacing w:after="0" w:line="276" w:lineRule="auto"/>
        <w:ind w:left="357"/>
      </w:pPr>
      <w:r w:rsidRPr="001F60AB">
        <w:t xml:space="preserve">Victorian Government; Disease Information and advice </w:t>
      </w:r>
      <w:r w:rsidR="00B96D08">
        <w:t>–</w:t>
      </w:r>
      <w:r w:rsidRPr="001F60AB">
        <w:t xml:space="preserve"> </w:t>
      </w:r>
      <w:r w:rsidR="00EF4016">
        <w:t>Mpox (monkeypox)</w:t>
      </w:r>
      <w:r w:rsidR="007A4A13">
        <w:t xml:space="preserve"> &lt;</w:t>
      </w:r>
      <w:hyperlink r:id="rId112" w:history="1">
        <w:r w:rsidR="007A4A13" w:rsidRPr="007A4A13">
          <w:rPr>
            <w:rStyle w:val="Hyperlink"/>
          </w:rPr>
          <w:t>https://www.health.vic.gov.au/infectious-diseases/mpox-monkeypox</w:t>
        </w:r>
      </w:hyperlink>
      <w:r w:rsidR="007A4A13">
        <w:t>&gt;</w:t>
      </w:r>
    </w:p>
    <w:p w14:paraId="2BF0364F" w14:textId="5202877D" w:rsidR="007F1E03" w:rsidRDefault="007F1E03" w:rsidP="00603DC8">
      <w:pPr>
        <w:pStyle w:val="ListParagraph"/>
        <w:numPr>
          <w:ilvl w:val="0"/>
          <w:numId w:val="34"/>
        </w:numPr>
        <w:spacing w:after="0" w:line="276" w:lineRule="auto"/>
        <w:ind w:left="351" w:hanging="357"/>
      </w:pPr>
      <w:r>
        <w:t>Victorian Government – Clinical and related waste guidance- Supplement for healthcare staff</w:t>
      </w:r>
    </w:p>
    <w:p w14:paraId="53570BB4" w14:textId="15C1650E" w:rsidR="00AA7470" w:rsidRDefault="00175F9C" w:rsidP="009207E0">
      <w:pPr>
        <w:pStyle w:val="ListParagraph"/>
        <w:spacing w:after="0" w:line="276" w:lineRule="auto"/>
        <w:ind w:left="357"/>
      </w:pPr>
      <w:bookmarkStart w:id="217" w:name="_Appendix_1:_Contact"/>
      <w:bookmarkStart w:id="218" w:name="_Toc71895631"/>
      <w:bookmarkStart w:id="219" w:name="_Toc73627104"/>
      <w:bookmarkStart w:id="220" w:name="_Toc112154617"/>
      <w:bookmarkStart w:id="221" w:name="_Toc112315677"/>
      <w:bookmarkStart w:id="222" w:name="_Toc2040561969"/>
      <w:bookmarkEnd w:id="217"/>
      <w:r>
        <w:t xml:space="preserve">&lt; </w:t>
      </w:r>
      <w:hyperlink r:id="rId113" w:history="1">
        <w:r w:rsidR="001D4FD3" w:rsidRPr="001F53FC">
          <w:rPr>
            <w:rStyle w:val="Hyperlink"/>
          </w:rPr>
          <w:t>https://www.health.vic.gov.au/publications/clinical-and-related-waste-guidance-supplement-for-healthcare-staff</w:t>
        </w:r>
      </w:hyperlink>
      <w:r>
        <w:t>&gt;</w:t>
      </w:r>
    </w:p>
    <w:p w14:paraId="55888AF8" w14:textId="5D6E7CA6" w:rsidR="003C49D0" w:rsidRDefault="00863CF5" w:rsidP="00603DC8">
      <w:pPr>
        <w:pStyle w:val="ListParagraph"/>
        <w:numPr>
          <w:ilvl w:val="0"/>
          <w:numId w:val="34"/>
        </w:numPr>
        <w:spacing w:after="0" w:line="276" w:lineRule="auto"/>
        <w:ind w:left="351" w:hanging="357"/>
      </w:pPr>
      <w:r>
        <w:t xml:space="preserve">Victorian Government </w:t>
      </w:r>
      <w:r w:rsidR="003100E3">
        <w:t>Mpox (monkeypox)</w:t>
      </w:r>
      <w:r>
        <w:t xml:space="preserve"> </w:t>
      </w:r>
      <w:r w:rsidR="00B96D08">
        <w:t>–</w:t>
      </w:r>
      <w:r>
        <w:t xml:space="preserve"> </w:t>
      </w:r>
      <w:r w:rsidR="003C49D0">
        <w:t xml:space="preserve">Better Health Channel </w:t>
      </w:r>
    </w:p>
    <w:p w14:paraId="6B581460" w14:textId="1E94EDD5" w:rsidR="00863CF5" w:rsidRDefault="00863CF5" w:rsidP="009207E0">
      <w:pPr>
        <w:pStyle w:val="ListParagraph"/>
        <w:spacing w:after="0" w:line="276" w:lineRule="auto"/>
        <w:ind w:left="357"/>
      </w:pPr>
      <w:r>
        <w:t>&lt;</w:t>
      </w:r>
      <w:r w:rsidRPr="00863CF5">
        <w:t xml:space="preserve"> </w:t>
      </w:r>
      <w:hyperlink r:id="rId114" w:history="1">
        <w:r w:rsidR="003100E3">
          <w:rPr>
            <w:rStyle w:val="Hyperlink"/>
          </w:rPr>
          <w:t>https://www.betterhealth.vic.gov.au/mpox-monkeypox</w:t>
        </w:r>
      </w:hyperlink>
      <w:r>
        <w:t>&gt;</w:t>
      </w:r>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3" w:name="_Toc112328351"/>
      <w:r w:rsidRPr="00044B70">
        <w:rPr>
          <w:rFonts w:eastAsia="MS Gothic" w:cs="Arial"/>
          <w:bCs/>
          <w:color w:val="C5511A"/>
          <w:kern w:val="32"/>
          <w:sz w:val="40"/>
          <w:szCs w:val="40"/>
        </w:rPr>
        <w:lastRenderedPageBreak/>
        <w:t>Contact information</w:t>
      </w:r>
      <w:bookmarkEnd w:id="223"/>
    </w:p>
    <w:p w14:paraId="42091D15" w14:textId="67D8DA75" w:rsidR="00044B70" w:rsidRDefault="00044B70" w:rsidP="5890BB43">
      <w:pPr>
        <w:spacing w:before="120" w:line="288" w:lineRule="auto"/>
        <w:rPr>
          <w:rFonts w:eastAsia="Times"/>
        </w:rPr>
        <w:sectPr w:rsidR="00044B70" w:rsidSect="00633A57">
          <w:headerReference w:type="default" r:id="rId115"/>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contact the Immunisation Unit 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4" w:name="_Appendix_1:_Contact_1"/>
      <w:bookmarkStart w:id="225" w:name="_Toc122340797"/>
      <w:bookmarkEnd w:id="224"/>
      <w:r w:rsidRPr="00BD4AA3">
        <w:lastRenderedPageBreak/>
        <w:t>Appendix 1: Contact information</w:t>
      </w:r>
      <w:bookmarkEnd w:id="218"/>
      <w:bookmarkEnd w:id="219"/>
      <w:bookmarkEnd w:id="220"/>
      <w:bookmarkEnd w:id="221"/>
      <w:bookmarkEnd w:id="225"/>
      <w:r>
        <w:t xml:space="preserve"> </w:t>
      </w:r>
      <w:bookmarkEnd w:id="222"/>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77C20E41"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9am </w:t>
            </w:r>
            <w:r w:rsidR="007764E9">
              <w:rPr>
                <w:lang w:val="en-US"/>
              </w:rPr>
              <w:t>–</w:t>
            </w:r>
            <w:r w:rsidRPr="006F1A2A">
              <w:rPr>
                <w:lang w:val="en-US"/>
              </w:rPr>
              <w:t xml:space="preserve"> </w:t>
            </w:r>
            <w:r w:rsidR="007764E9">
              <w:rPr>
                <w:lang w:val="en-US"/>
              </w:rPr>
              <w:t>4.30</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116"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6FA00DCB" w:rsidR="00077DBB" w:rsidRPr="00BD4AA3" w:rsidRDefault="00077DBB" w:rsidP="00603DC8">
            <w:pPr>
              <w:pStyle w:val="Bullet1"/>
              <w:numPr>
                <w:ilvl w:val="0"/>
                <w:numId w:val="15"/>
              </w:numPr>
              <w:rPr>
                <w:lang w:val="en-US"/>
              </w:rPr>
            </w:pPr>
            <w:r w:rsidRPr="00BD4AA3">
              <w:rPr>
                <w:lang w:val="en-US"/>
              </w:rPr>
              <w:t>Vaccine reporting → Complete weekly report and wastage report</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AD51C49" w14:textId="75C9FD72" w:rsidR="00077DBB" w:rsidRPr="00BD4AA3" w:rsidRDefault="00077DBB" w:rsidP="00C8575F">
            <w:pPr>
              <w:pStyle w:val="Body"/>
              <w:rPr>
                <w:rStyle w:val="Hyperlink"/>
              </w:rPr>
            </w:pPr>
            <w:r w:rsidRPr="00BD4AA3">
              <w:rPr>
                <w:rStyle w:val="Hyperlink"/>
                <w:b/>
                <w:bCs/>
                <w:lang w:val="en-US"/>
              </w:rPr>
              <w:t xml:space="preserve">LPHU, Health Services and Sexual health clinics </w:t>
            </w:r>
            <w:r w:rsidR="00307F18">
              <w:rPr>
                <w:rStyle w:val="Hyperlink"/>
                <w:b/>
                <w:bCs/>
                <w:lang w:val="en-US"/>
              </w:rPr>
              <w:t>r</w:t>
            </w:r>
            <w:r w:rsidRPr="00BD4AA3">
              <w:rPr>
                <w:rStyle w:val="Hyperlink"/>
                <w:b/>
                <w:bCs/>
                <w:lang w:val="en-US"/>
              </w:rPr>
              <w:t>eporting:</w:t>
            </w:r>
            <w:r w:rsidRPr="00A857E2">
              <w:rPr>
                <w:rFonts w:eastAsiaTheme="minorEastAsia"/>
              </w:rPr>
              <w:t xml:space="preserve"> </w:t>
            </w:r>
            <w:hyperlink r:id="rId117">
              <w:r w:rsidR="00C72BD7">
                <w:rPr>
                  <w:rStyle w:val="Hyperlink"/>
                </w:rPr>
                <w:t>Mpox Vaccine Usage and Wastage Report</w:t>
              </w:r>
            </w:hyperlink>
          </w:p>
          <w:p w14:paraId="2B3D59BF" w14:textId="0E8B33B4" w:rsidR="001D4C5C" w:rsidRPr="00BD4AA3" w:rsidRDefault="00077DBB" w:rsidP="00FF5967">
            <w:pPr>
              <w:pStyle w:val="Body"/>
            </w:pPr>
            <w:r w:rsidRPr="00A857E2">
              <w:rPr>
                <w:rStyle w:val="Hyperlink"/>
                <w:b/>
                <w:lang w:val="en-US"/>
              </w:rPr>
              <w:t xml:space="preserve">Clinical advice: </w:t>
            </w:r>
            <w:hyperlink r:id="rId118"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76615176" w:rsidR="00077DBB" w:rsidRPr="00467B19" w:rsidRDefault="00471CBE" w:rsidP="00FF5967">
            <w:pPr>
              <w:pStyle w:val="Bullet1"/>
              <w:numPr>
                <w:ilvl w:val="0"/>
                <w:numId w:val="15"/>
              </w:numPr>
            </w:pPr>
            <w:r>
              <w:rPr>
                <w:lang w:val="en-US"/>
              </w:rPr>
              <w:t>All c</w:t>
            </w:r>
            <w:r w:rsidR="00077DBB" w:rsidRPr="00467B19">
              <w:rPr>
                <w:lang w:val="en-US"/>
              </w:rPr>
              <w:t>old chain breaches should be escalated 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75C7D82A" w:rsidR="00077DBB" w:rsidRPr="005E374B" w:rsidRDefault="00077DBB" w:rsidP="00FF5967">
            <w:pPr>
              <w:pStyle w:val="Body"/>
              <w:rPr>
                <w:highlight w:val="yellow"/>
              </w:rPr>
            </w:pPr>
            <w:r w:rsidRPr="295BC450">
              <w:rPr>
                <w:b/>
                <w:bCs/>
                <w:lang w:val="en-US"/>
              </w:rPr>
              <w:t xml:space="preserve">Email: </w:t>
            </w:r>
            <w:hyperlink r:id="rId119">
              <w:r w:rsidRPr="295BC450">
                <w:rPr>
                  <w:rStyle w:val="Hyperlink"/>
                  <w:lang w:val="en-US"/>
                </w:rPr>
                <w:t>immunisation@health.vic.gov.au</w:t>
              </w:r>
            </w:hyperlink>
            <w:r w:rsidR="00581D73">
              <w:rPr>
                <w:rStyle w:val="Hyperlink"/>
                <w:lang w:val="en-US"/>
              </w:rPr>
              <w:t xml:space="preserve"> </w:t>
            </w:r>
            <w:r w:rsidR="00581D73" w:rsidRPr="00581D73">
              <w:t xml:space="preserve">&lt;mailto: </w:t>
            </w:r>
            <w:r w:rsidR="00581D73" w:rsidRPr="00581D73">
              <w:t>immunisation@health.vic.gov.au</w:t>
            </w:r>
            <w:r w:rsidR="00581D73" w:rsidRPr="00581D73">
              <w:t>&gt;</w:t>
            </w:r>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680B7DF8"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20">
              <w:r w:rsidRPr="107A7293">
                <w:rPr>
                  <w:rStyle w:val="Hyperlink"/>
                </w:rPr>
                <w:t>PRODA</w:t>
              </w:r>
            </w:hyperlink>
            <w:r>
              <w:t xml:space="preserve"> account </w:t>
            </w:r>
            <w:r w:rsidR="00B96D08">
              <w:t>–</w:t>
            </w:r>
            <w:r>
              <w:t xml:space="preserve"> </w:t>
            </w:r>
            <w:hyperlink r:id="rId121">
              <w:r w:rsidRPr="107A7293">
                <w:rPr>
                  <w:rStyle w:val="Hyperlink"/>
                </w:rPr>
                <w:t>Health Professional Online Services</w:t>
              </w:r>
            </w:hyperlink>
            <w:r>
              <w:t xml:space="preserve"> (HPOS</w:t>
            </w:r>
            <w:r w:rsidRPr="0040761A">
              <w:t>)</w:t>
            </w:r>
            <w:r w:rsidR="00A05E7F">
              <w:t xml:space="preserve"> &lt;</w:t>
            </w:r>
            <w:r w:rsidR="00A05E7F" w:rsidRPr="00A05E7F">
              <w:t>https://www.servicesaustralia.gov.au/australian-immunisation-register-for-health-professionals</w:t>
            </w:r>
            <w:r w:rsidR="00A05E7F">
              <w:t>&gt;</w:t>
            </w:r>
          </w:p>
          <w:p w14:paraId="1964C003" w14:textId="77777777" w:rsidR="00077DBB" w:rsidRPr="006F1A2A" w:rsidRDefault="00077DBB" w:rsidP="00603DC8">
            <w:pPr>
              <w:pStyle w:val="Bullet1"/>
              <w:numPr>
                <w:ilvl w:val="0"/>
                <w:numId w:val="15"/>
              </w:numPr>
              <w:rPr>
                <w:lang w:val="en-US"/>
              </w:rPr>
            </w:pPr>
            <w:r>
              <w:rPr>
                <w:lang w:val="en-US"/>
              </w:rPr>
              <w:lastRenderedPageBreak/>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lastRenderedPageBreak/>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22"/>
          <w:pgSz w:w="16838" w:h="11906" w:orient="landscape" w:code="9"/>
          <w:pgMar w:top="851" w:right="1418" w:bottom="851" w:left="1418" w:header="680" w:footer="851" w:gutter="0"/>
          <w:cols w:space="340"/>
          <w:docGrid w:linePitch="360"/>
        </w:sectPr>
      </w:pPr>
      <w:bookmarkStart w:id="226" w:name="_Appendix_4:_Factsheet"/>
      <w:bookmarkStart w:id="227" w:name="_Appendix_2:_Data"/>
      <w:bookmarkStart w:id="228" w:name="_Toc71895635"/>
      <w:bookmarkStart w:id="229" w:name="_Toc73627108"/>
      <w:bookmarkStart w:id="230" w:name="_Toc1552291514"/>
      <w:bookmarkStart w:id="231" w:name="_Toc112154618"/>
      <w:bookmarkStart w:id="232" w:name="_Toc112315678"/>
      <w:bookmarkEnd w:id="226"/>
      <w:bookmarkEnd w:id="227"/>
    </w:p>
    <w:p w14:paraId="7B882431" w14:textId="77777777" w:rsidR="00077DBB" w:rsidRPr="00833C15" w:rsidRDefault="00077DBB" w:rsidP="00077DBB">
      <w:pPr>
        <w:pStyle w:val="Heading1"/>
        <w:rPr>
          <w:rFonts w:eastAsia="Times"/>
        </w:rPr>
      </w:pPr>
      <w:bookmarkStart w:id="233" w:name="_Toc122340798"/>
      <w:r w:rsidRPr="00833C15">
        <w:rPr>
          <w:rStyle w:val="Heading1Char"/>
        </w:rPr>
        <w:lastRenderedPageBreak/>
        <w:t>Appendix 2: Safe vaccine storage</w:t>
      </w:r>
      <w:r>
        <w:rPr>
          <w:rStyle w:val="Heading1Char"/>
        </w:rPr>
        <w:t xml:space="preserve"> – data loggers</w:t>
      </w:r>
      <w:bookmarkEnd w:id="228"/>
      <w:bookmarkEnd w:id="229"/>
      <w:bookmarkEnd w:id="230"/>
      <w:bookmarkEnd w:id="231"/>
      <w:bookmarkEnd w:id="232"/>
      <w:bookmarkEnd w:id="233"/>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45"/>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4" w:name="_Toc349632636"/>
      <w:r w:rsidRPr="00FD6868">
        <w:t>What information do data loggers provide?</w:t>
      </w:r>
      <w:bookmarkEnd w:id="234"/>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lastRenderedPageBreak/>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5" w:name="_Toc349632637"/>
      <w:r w:rsidRPr="00091A86">
        <w:t>Using a data logger</w:t>
      </w:r>
      <w:bookmarkEnd w:id="235"/>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6" w:name="_Hlk112397049"/>
      <w:r w:rsidRPr="00887871">
        <w:t>°</w:t>
      </w:r>
      <w:bookmarkEnd w:id="236"/>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67BD52BF" w:rsidR="00077DBB" w:rsidRPr="00B52EE7" w:rsidRDefault="00000000" w:rsidP="00077DBB">
      <w:pPr>
        <w:pStyle w:val="Body"/>
      </w:pPr>
      <w:hyperlink r:id="rId123" w:history="1">
        <w:r w:rsidR="00077DBB" w:rsidRPr="0093312E">
          <w:rPr>
            <w:rStyle w:val="Hyperlink"/>
          </w:rPr>
          <w:t xml:space="preserve">National vaccine storage guidelines </w:t>
        </w:r>
        <w:r w:rsidR="00B96D08">
          <w:rPr>
            <w:rStyle w:val="Hyperlink"/>
          </w:rPr>
          <w:t>–</w:t>
        </w:r>
        <w:r w:rsidR="00077DBB" w:rsidRPr="0093312E">
          <w:rPr>
            <w:rStyle w:val="Hyperlink"/>
          </w:rPr>
          <w:t xml:space="preserve"> Strive for 5</w:t>
        </w:r>
      </w:hyperlink>
      <w:r w:rsidR="00B52EE7">
        <w:rPr>
          <w:rStyle w:val="Hyperlink"/>
        </w:rPr>
        <w:t xml:space="preserve"> </w:t>
      </w:r>
      <w:r w:rsidR="00B52EE7" w:rsidRPr="00B52EE7">
        <w:t>&lt;</w:t>
      </w:r>
      <w:r w:rsidR="00B52EE7" w:rsidRPr="00B52EE7">
        <w:t>https://www.health.gov.au/resources/publications/national-vaccine-storage-guidelines-strive-for-5</w:t>
      </w:r>
      <w:r w:rsidR="00B52EE7" w:rsidRPr="00B52EE7">
        <w:t>&gt;</w:t>
      </w:r>
    </w:p>
    <w:p w14:paraId="728A790D" w14:textId="295A246C" w:rsidR="00077DBB" w:rsidRDefault="00000000" w:rsidP="4416F9D8">
      <w:pPr>
        <w:spacing w:line="240" w:lineRule="auto"/>
        <w:rPr>
          <w:rStyle w:val="Hyperlink"/>
          <w:color w:val="auto"/>
          <w:szCs w:val="21"/>
          <w:u w:val="none"/>
        </w:rPr>
      </w:pPr>
      <w:hyperlink r:id="rId124" w:history="1">
        <w:r w:rsidR="00077DBB" w:rsidRPr="00722DBD">
          <w:rPr>
            <w:rStyle w:val="Hyperlink"/>
            <w:snapToGrid w:val="0"/>
          </w:rPr>
          <w:t>Victorian Department of Health – Cold Chain Ma</w:t>
        </w:r>
        <w:r w:rsidR="00077DBB" w:rsidRPr="00722DBD">
          <w:rPr>
            <w:rStyle w:val="Hyperlink"/>
            <w:snapToGrid w:val="0"/>
          </w:rPr>
          <w:t>n</w:t>
        </w:r>
        <w:r w:rsidR="00077DBB" w:rsidRPr="00722DBD">
          <w:rPr>
            <w:rStyle w:val="Hyperlink"/>
            <w:snapToGrid w:val="0"/>
          </w:rPr>
          <w:t>agement</w:t>
        </w:r>
      </w:hyperlink>
      <w:r w:rsidR="00B66E22">
        <w:rPr>
          <w:rStyle w:val="Hyperlink"/>
          <w:snapToGrid w:val="0"/>
        </w:rPr>
        <w:t xml:space="preserve"> </w:t>
      </w:r>
      <w:r w:rsidR="007604F4" w:rsidRPr="4416F9D8">
        <w:rPr>
          <w:rStyle w:val="Hyperlink"/>
          <w:snapToGrid w:val="0"/>
          <w:color w:val="auto"/>
          <w:u w:val="none"/>
        </w:rPr>
        <w:t>(</w:t>
      </w:r>
      <w:r w:rsidR="7D4F6F52" w:rsidRPr="4416F9D8">
        <w:rPr>
          <w:rStyle w:val="Hyperlink"/>
          <w:color w:val="auto"/>
          <w:u w:val="none"/>
        </w:rPr>
        <w:t>note different reporting requirements for JYNNEOS vaccine</w:t>
      </w:r>
      <w:r w:rsidR="00B9083A">
        <w:rPr>
          <w:rStyle w:val="Hyperlink"/>
          <w:color w:val="auto"/>
          <w:u w:val="none"/>
        </w:rPr>
        <w:t xml:space="preserve"> &lt;</w:t>
      </w:r>
      <w:r w:rsidR="00B9083A" w:rsidRPr="00B9083A">
        <w:rPr>
          <w:rStyle w:val="Hyperlink"/>
          <w:color w:val="auto"/>
          <w:u w:val="none"/>
        </w:rPr>
        <w:t>https://www.health.vic.gov.au/immunisation/cold-chain-management</w:t>
      </w:r>
      <w:r w:rsidR="00B9083A">
        <w:rPr>
          <w:rStyle w:val="Hyperlink"/>
          <w:color w:val="auto"/>
          <w:u w:val="none"/>
        </w:rPr>
        <w:t>&gt;</w:t>
      </w:r>
    </w:p>
    <w:p w14:paraId="5444E4B1" w14:textId="15CAD8BC" w:rsidR="007604F4" w:rsidRPr="002B2B7D" w:rsidRDefault="007604F4" w:rsidP="007604F4">
      <w:pPr>
        <w:spacing w:line="240" w:lineRule="auto"/>
      </w:pPr>
      <w:r>
        <w:t xml:space="preserve">Cold chain reporting – </w:t>
      </w:r>
      <w:hyperlink r:id="rId125" w:history="1">
        <w:r w:rsidRPr="00006F94">
          <w:rPr>
            <w:rStyle w:val="Hyperlink"/>
          </w:rPr>
          <w:t>immunisation@health.vic.gov.au</w:t>
        </w:r>
      </w:hyperlink>
      <w:r w:rsidR="002B2B7D">
        <w:rPr>
          <w:rStyle w:val="Hyperlink"/>
        </w:rPr>
        <w:t xml:space="preserve"> </w:t>
      </w:r>
      <w:r w:rsidR="002B2B7D" w:rsidRPr="002B2B7D">
        <w:t>&lt;mailto:</w:t>
      </w:r>
      <w:hyperlink r:id="rId126" w:history="1">
        <w:r w:rsidR="002B2B7D" w:rsidRPr="002B2B7D">
          <w:rPr>
            <w:rStyle w:val="Hyperlink"/>
          </w:rPr>
          <w:t>immunisation@health.vic.gov.au</w:t>
        </w:r>
      </w:hyperlink>
      <w:r w:rsidR="002B2B7D" w:rsidRPr="002B2B7D">
        <w:t>&gt;</w:t>
      </w:r>
    </w:p>
    <w:p w14:paraId="52CA0138" w14:textId="2F1017CD" w:rsidR="00077DBB" w:rsidRPr="002B2B7D" w:rsidRDefault="00000000" w:rsidP="00077DBB">
      <w:pPr>
        <w:spacing w:line="240" w:lineRule="auto"/>
      </w:pPr>
      <w:hyperlink r:id="rId127">
        <w:r w:rsidR="00077DBB" w:rsidRPr="4416F9D8">
          <w:rPr>
            <w:rStyle w:val="Hyperlink"/>
            <w:rFonts w:cs="Arial"/>
          </w:rPr>
          <w:t>TagAlert</w:t>
        </w:r>
        <w:r w:rsidR="00077DBB" w:rsidRPr="4416F9D8">
          <w:rPr>
            <w:rStyle w:val="Hyperlink"/>
            <w:rFonts w:cs="Arial"/>
            <w:sz w:val="18"/>
            <w:szCs w:val="18"/>
            <w:vertAlign w:val="superscript"/>
          </w:rPr>
          <w:t>®</w:t>
        </w:r>
        <w:r w:rsidR="00077DBB" w:rsidRPr="4416F9D8">
          <w:rPr>
            <w:rStyle w:val="Hyperlink"/>
            <w:rFonts w:cs="Arial"/>
          </w:rPr>
          <w:t xml:space="preserve"> - validation of cold chain </w:t>
        </w:r>
        <w:r w:rsidR="00077DBB" w:rsidRPr="4416F9D8">
          <w:rPr>
            <w:rStyle w:val="Hyperlink"/>
            <w:rFonts w:cs="Arial"/>
          </w:rPr>
          <w:t>m</w:t>
        </w:r>
        <w:r w:rsidR="00077DBB" w:rsidRPr="4416F9D8">
          <w:rPr>
            <w:rStyle w:val="Hyperlink"/>
            <w:rFonts w:cs="Arial"/>
          </w:rPr>
          <w:t>anagement for the delivery of vaccines</w:t>
        </w:r>
      </w:hyperlink>
      <w:r w:rsidR="002B2B7D">
        <w:rPr>
          <w:rStyle w:val="Hyperlink"/>
          <w:rFonts w:cs="Arial"/>
        </w:rPr>
        <w:t xml:space="preserve"> </w:t>
      </w:r>
      <w:r w:rsidR="002B2B7D" w:rsidRPr="002B2B7D">
        <w:t>&lt;</w:t>
      </w:r>
      <w:r w:rsidR="002B2B7D" w:rsidRPr="002B2B7D">
        <w:t>https://www.health.vic.gov.au/immunisation/cold-chain-monitoring-during-vaccine-transport</w:t>
      </w:r>
      <w:r w:rsidR="002B2B7D" w:rsidRPr="002B2B7D">
        <w:t>&gt;</w:t>
      </w:r>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624E1C75" w14:textId="77777777" w:rsidR="00077DBB" w:rsidRPr="006F1A2A" w:rsidRDefault="00077DBB" w:rsidP="00077DBB">
      <w:pPr>
        <w:spacing w:line="240" w:lineRule="auto"/>
        <w:rPr>
          <w:snapToGrid w:val="0"/>
        </w:rPr>
      </w:pPr>
    </w:p>
    <w:p w14:paraId="69A6A412" w14:textId="77777777" w:rsidR="00077DBB" w:rsidRPr="006F1A2A" w:rsidRDefault="00077DBB" w:rsidP="00077DBB">
      <w:pPr>
        <w:spacing w:line="240" w:lineRule="auto"/>
        <w:rPr>
          <w:snapToGrid w:val="0"/>
        </w:rPr>
      </w:pPr>
    </w:p>
    <w:p w14:paraId="38F13223" w14:textId="77777777" w:rsidR="00077DBB" w:rsidRPr="006F1A2A" w:rsidRDefault="00077DBB" w:rsidP="00077DBB">
      <w:pPr>
        <w:spacing w:line="240" w:lineRule="auto"/>
        <w:rPr>
          <w:snapToGrid w:val="0"/>
        </w:rPr>
      </w:pPr>
    </w:p>
    <w:p w14:paraId="181D3C43" w14:textId="77777777" w:rsidR="00077DBB" w:rsidRPr="006F1A2A" w:rsidRDefault="00077DBB" w:rsidP="00077DBB">
      <w:pPr>
        <w:spacing w:line="240" w:lineRule="auto"/>
        <w:rPr>
          <w:snapToGrid w:val="0"/>
        </w:rPr>
      </w:pPr>
    </w:p>
    <w:p w14:paraId="349D9E1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4D4A3CA5"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28"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29"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165CF0">
        <w:rPr>
          <w:rFonts w:ascii="Arial" w:hAnsi="Arial" w:cs="Arial"/>
          <w:snapToGrid w:val="0"/>
          <w:sz w:val="21"/>
          <w:szCs w:val="21"/>
        </w:rPr>
        <w:t>U</w:t>
      </w:r>
      <w:r w:rsidR="548649D0" w:rsidRPr="007B30E4">
        <w:rPr>
          <w:rFonts w:ascii="Arial" w:hAnsi="Arial" w:cs="Arial"/>
          <w:snapToGrid w:val="0"/>
          <w:sz w:val="21"/>
          <w:szCs w:val="21"/>
        </w:rPr>
        <w:t xml:space="preserve">nit directly via </w:t>
      </w:r>
      <w:hyperlink r:id="rId130">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31"/>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7" w:name="_Appendix_3:_Cold"/>
      <w:bookmarkStart w:id="238" w:name="_Toc73627109"/>
      <w:bookmarkStart w:id="239" w:name="_Toc71895636"/>
      <w:bookmarkStart w:id="240" w:name="_Toc1870334152"/>
      <w:bookmarkStart w:id="241" w:name="_Toc112154619"/>
      <w:bookmarkStart w:id="242" w:name="_Toc112315679"/>
      <w:bookmarkStart w:id="243" w:name="_Toc122340799"/>
      <w:bookmarkEnd w:id="237"/>
      <w:r w:rsidRPr="00D52156">
        <w:lastRenderedPageBreak/>
        <w:t>Appendix 3: Cold chain management checklists</w:t>
      </w:r>
      <w:bookmarkEnd w:id="238"/>
      <w:bookmarkEnd w:id="239"/>
      <w:bookmarkEnd w:id="240"/>
      <w:bookmarkEnd w:id="241"/>
      <w:bookmarkEnd w:id="242"/>
      <w:bookmarkEnd w:id="243"/>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4" w:name="_Toc65779349"/>
      <w:bookmarkStart w:id="245" w:name="_Toc67663934"/>
      <w:bookmarkStart w:id="246" w:name="_Toc68865013"/>
      <w:bookmarkStart w:id="247" w:name="_Toc68869094"/>
      <w:bookmarkStart w:id="248" w:name="_Toc69476626"/>
      <w:bookmarkStart w:id="249" w:name="_Toc70353688"/>
      <w:bookmarkStart w:id="250" w:name="_Toc70676158"/>
      <w:bookmarkStart w:id="251" w:name="_Toc71194526"/>
      <w:bookmarkStart w:id="252" w:name="_Toc71548311"/>
      <w:bookmarkStart w:id="253"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4"/>
      <w:bookmarkEnd w:id="245"/>
      <w:bookmarkEnd w:id="246"/>
      <w:bookmarkEnd w:id="247"/>
      <w:bookmarkEnd w:id="248"/>
      <w:bookmarkEnd w:id="249"/>
      <w:bookmarkEnd w:id="250"/>
      <w:bookmarkEnd w:id="251"/>
      <w:bookmarkEnd w:id="252"/>
      <w:bookmarkEnd w:id="253"/>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4"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32">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4"/>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lastRenderedPageBreak/>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5"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5"/>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6"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77777777"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6"/>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7" w:name="_Toc112154620"/>
      <w:bookmarkStart w:id="258"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9" w:name="_Appendix_4_Vaccine"/>
      <w:bookmarkStart w:id="260" w:name="_Toc122340800"/>
      <w:bookmarkEnd w:id="259"/>
      <w:r w:rsidRPr="006F1A2A">
        <w:lastRenderedPageBreak/>
        <w:t>Appendix</w:t>
      </w:r>
      <w:r w:rsidRPr="00B040C8">
        <w:t xml:space="preserve"> 4 </w:t>
      </w:r>
      <w:r w:rsidRPr="006F1A2A">
        <w:t>Vaccine temperature monitoring form</w:t>
      </w:r>
      <w:r w:rsidRPr="00B040C8">
        <w:t xml:space="preserve"> for outreach mobile services</w:t>
      </w:r>
      <w:bookmarkEnd w:id="257"/>
      <w:bookmarkEnd w:id="258"/>
      <w:bookmarkEnd w:id="260"/>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1" w:name="_Toc71895641"/>
      <w:bookmarkStart w:id="262" w:name="_Toc73627113"/>
      <w:bookmarkStart w:id="263" w:name="_Toc2076093663"/>
      <w:bookmarkStart w:id="264" w:name="_Toc112154629"/>
      <w:bookmarkStart w:id="265" w:name="_Toc112315681"/>
    </w:p>
    <w:p w14:paraId="1FD7B17D" w14:textId="2031D3A6" w:rsidR="00077DBB" w:rsidRPr="00F17AC5" w:rsidRDefault="00077DBB" w:rsidP="00077DBB">
      <w:pPr>
        <w:pStyle w:val="Heading1"/>
        <w:rPr>
          <w:rStyle w:val="normaltextrun"/>
          <w:sz w:val="40"/>
          <w:szCs w:val="40"/>
        </w:rPr>
      </w:pPr>
      <w:bookmarkStart w:id="266" w:name="_Appendix_5:_Guidance"/>
      <w:bookmarkStart w:id="267" w:name="_Toc122340801"/>
      <w:bookmarkEnd w:id="266"/>
      <w:r w:rsidRPr="00F17AC5">
        <w:rPr>
          <w:rStyle w:val="normaltextrun"/>
          <w:sz w:val="40"/>
          <w:szCs w:val="40"/>
        </w:rPr>
        <w:lastRenderedPageBreak/>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1"/>
      <w:bookmarkEnd w:id="262"/>
      <w:bookmarkEnd w:id="263"/>
      <w:bookmarkEnd w:id="264"/>
      <w:bookmarkEnd w:id="265"/>
      <w:bookmarkEnd w:id="267"/>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33"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CCF3E2F"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Mon-Fri 9am to 4.30pm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34"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35"/>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Pr="00FA11A1" w:rsidRDefault="001515EF" w:rsidP="00FA11A1">
            <w:pPr>
              <w:pStyle w:val="Tablecolhead"/>
              <w:cnfStyle w:val="100000000000" w:firstRow="1" w:lastRow="0" w:firstColumn="0" w:lastColumn="0" w:oddVBand="0" w:evenVBand="0" w:oddHBand="0" w:evenHBand="0" w:firstRowFirstColumn="0" w:firstRowLastColumn="0" w:lastRowFirstColumn="0" w:lastRowLastColumn="0"/>
              <w:rPr>
                <w:b/>
                <w:bCs w:val="0"/>
              </w:rPr>
            </w:pPr>
          </w:p>
          <w:p w14:paraId="45A8268C" w14:textId="7033D2F9" w:rsidR="00077DBB" w:rsidRPr="00FA11A1" w:rsidRDefault="00077DBB" w:rsidP="00FA11A1">
            <w:pPr>
              <w:pStyle w:val="Tablecolhead"/>
              <w:cnfStyle w:val="100000000000" w:firstRow="1" w:lastRow="0" w:firstColumn="0" w:lastColumn="0" w:oddVBand="0" w:evenVBand="0" w:oddHBand="0" w:evenHBand="0" w:firstRowFirstColumn="0" w:firstRowLastColumn="0" w:lastRowFirstColumn="0" w:lastRowLastColumn="0"/>
              <w:rPr>
                <w:b/>
                <w:bCs w:val="0"/>
              </w:rPr>
            </w:pPr>
            <w:r w:rsidRPr="00FA11A1">
              <w:rPr>
                <w:b/>
                <w:bCs w:val="0"/>
              </w:rPr>
              <w:t>Acute stress response</w:t>
            </w:r>
          </w:p>
        </w:tc>
        <w:tc>
          <w:tcPr>
            <w:tcW w:w="3702" w:type="dxa"/>
            <w:tcBorders>
              <w:left w:val="single" w:sz="4" w:space="0" w:color="auto"/>
            </w:tcBorders>
          </w:tcPr>
          <w:p w14:paraId="06E160F8" w14:textId="77777777" w:rsidR="001515EF" w:rsidRPr="00FA11A1" w:rsidRDefault="001515EF" w:rsidP="00FA11A1">
            <w:pPr>
              <w:pStyle w:val="Tablecolhead"/>
              <w:cnfStyle w:val="100000000000" w:firstRow="1" w:lastRow="0" w:firstColumn="0" w:lastColumn="0" w:oddVBand="0" w:evenVBand="0" w:oddHBand="0" w:evenHBand="0" w:firstRowFirstColumn="0" w:firstRowLastColumn="0" w:lastRowFirstColumn="0" w:lastRowLastColumn="0"/>
              <w:rPr>
                <w:b/>
                <w:bCs w:val="0"/>
              </w:rPr>
            </w:pPr>
          </w:p>
          <w:p w14:paraId="5EDBAC70" w14:textId="7977E036" w:rsidR="00077DBB" w:rsidRPr="00FA11A1" w:rsidRDefault="00077DBB" w:rsidP="00FA11A1">
            <w:pPr>
              <w:pStyle w:val="Tablecolhead"/>
              <w:cnfStyle w:val="100000000000" w:firstRow="1" w:lastRow="0" w:firstColumn="0" w:lastColumn="0" w:oddVBand="0" w:evenVBand="0" w:oddHBand="0" w:evenHBand="0" w:firstRowFirstColumn="0" w:firstRowLastColumn="0" w:lastRowFirstColumn="0" w:lastRowLastColumn="0"/>
              <w:rPr>
                <w:b/>
                <w:bCs w:val="0"/>
              </w:rPr>
            </w:pPr>
            <w:r w:rsidRPr="00FA11A1">
              <w:rPr>
                <w:b/>
                <w:bCs w:val="0"/>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r w:rsidR="00755924">
              <w:rPr>
                <w:rFonts w:eastAsiaTheme="minorHAnsi"/>
                <w:szCs w:val="21"/>
              </w:rPr>
              <w:t>C</w:t>
            </w:r>
            <w:r w:rsidRPr="005D0328">
              <w:rPr>
                <w:rFonts w:eastAsiaTheme="minorHAnsi"/>
                <w:szCs w:val="21"/>
              </w:rPr>
              <w:t>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lastRenderedPageBreak/>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077DBB">
      <w:pPr>
        <w:pStyle w:val="Body"/>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885FC76" w:rsidR="0001641B" w:rsidRPr="00B9256C" w:rsidRDefault="00000000" w:rsidP="00077DBB">
      <w:pPr>
        <w:pStyle w:val="Body"/>
        <w:rPr>
          <w:i/>
          <w:iCs/>
          <w:sz w:val="16"/>
          <w:szCs w:val="16"/>
        </w:rPr>
      </w:pPr>
      <w:hyperlink r:id="rId136" w:history="1">
        <w:r w:rsidR="00984754" w:rsidRPr="00E213F3">
          <w:rPr>
            <w:rStyle w:val="Hyperlink"/>
            <w:sz w:val="16"/>
            <w:szCs w:val="16"/>
          </w:rPr>
          <w:t>Information for COVID-19 vaccine providers | Coronavirus Victoria</w:t>
        </w:r>
      </w:hyperlink>
      <w:r w:rsidR="00984754" w:rsidRPr="00E213F3">
        <w:rPr>
          <w:sz w:val="16"/>
          <w:szCs w:val="16"/>
        </w:rPr>
        <w:t xml:space="preserve">, </w:t>
      </w:r>
      <w:r w:rsidR="00E213F3" w:rsidRPr="00E213F3">
        <w:rPr>
          <w:sz w:val="16"/>
          <w:szCs w:val="16"/>
        </w:rPr>
        <w:t xml:space="preserve">Appendix 6: </w:t>
      </w:r>
      <w:r w:rsidR="00E213F3" w:rsidRPr="00B9256C">
        <w:rPr>
          <w:i/>
          <w:iCs/>
          <w:sz w:val="16"/>
          <w:szCs w:val="16"/>
        </w:rPr>
        <w:t xml:space="preserve">Guidance </w:t>
      </w:r>
      <w:r w:rsidR="00B96D08">
        <w:rPr>
          <w:i/>
          <w:iCs/>
          <w:sz w:val="16"/>
          <w:szCs w:val="16"/>
        </w:rPr>
        <w:t>–</w:t>
      </w:r>
      <w:r w:rsidR="00E213F3" w:rsidRPr="00B9256C">
        <w:rPr>
          <w:i/>
          <w:iCs/>
          <w:sz w:val="16"/>
          <w:szCs w:val="16"/>
        </w:rPr>
        <w:t xml:space="preserve"> differentiating anaphylaxis from acute stress response for vaccine providers and emergency departments</w:t>
      </w:r>
    </w:p>
    <w:p w14:paraId="1F85836B" w14:textId="45B2C044" w:rsidR="00077DBB" w:rsidRPr="006F1A2A" w:rsidRDefault="00077DBB" w:rsidP="00077DBB">
      <w:pPr>
        <w:pStyle w:val="Body"/>
        <w:rPr>
          <w:sz w:val="16"/>
          <w:szCs w:val="16"/>
        </w:rPr>
        <w:sectPr w:rsidR="00077DBB" w:rsidRPr="006F1A2A" w:rsidSect="00034A4D">
          <w:pgSz w:w="16838" w:h="11906" w:orient="landscape" w:code="9"/>
          <w:pgMar w:top="1440" w:right="1440" w:bottom="1440" w:left="1440" w:header="680" w:footer="57" w:gutter="0"/>
          <w:cols w:space="340"/>
          <w:docGrid w:linePitch="360"/>
        </w:sectPr>
      </w:pPr>
    </w:p>
    <w:p w14:paraId="47480BA4" w14:textId="4CF639B1" w:rsidR="00077DBB" w:rsidRPr="006F1A2A" w:rsidRDefault="00077DBB" w:rsidP="00077DBB">
      <w:pPr>
        <w:pStyle w:val="Heading1"/>
        <w:rPr>
          <w:rStyle w:val="normaltextrun"/>
        </w:rPr>
      </w:pPr>
      <w:bookmarkStart w:id="268" w:name="_Appendix_11:_Factsheet"/>
      <w:bookmarkStart w:id="269" w:name="_Appendix_7:_Factsheet"/>
      <w:bookmarkStart w:id="270" w:name="_Appendix_6:_Factsheet"/>
      <w:bookmarkStart w:id="271" w:name="_Toc71895642"/>
      <w:bookmarkStart w:id="272" w:name="_Toc73627114"/>
      <w:bookmarkStart w:id="273" w:name="_Toc112154630"/>
      <w:bookmarkStart w:id="274" w:name="_Toc112315682"/>
      <w:bookmarkStart w:id="275" w:name="_Toc1391571136"/>
      <w:bookmarkStart w:id="276" w:name="_Toc122340802"/>
      <w:bookmarkEnd w:id="268"/>
      <w:bookmarkEnd w:id="269"/>
      <w:bookmarkEnd w:id="270"/>
      <w:r w:rsidRPr="005F0118">
        <w:rPr>
          <w:rStyle w:val="normaltextrun"/>
        </w:rPr>
        <w:lastRenderedPageBreak/>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1"/>
      <w:bookmarkEnd w:id="272"/>
      <w:bookmarkEnd w:id="273"/>
      <w:bookmarkEnd w:id="274"/>
      <w:r w:rsidRPr="7723F669">
        <w:rPr>
          <w:rStyle w:val="normaltextrun"/>
        </w:rPr>
        <w:t xml:space="preserve"> </w:t>
      </w:r>
      <w:bookmarkEnd w:id="275"/>
      <w:r w:rsidR="00350BE3">
        <w:rPr>
          <w:rStyle w:val="normaltextrun"/>
        </w:rPr>
        <w:t xml:space="preserve">- </w:t>
      </w:r>
      <w:r w:rsidR="00461EF4">
        <w:rPr>
          <w:rStyle w:val="normaltextrun"/>
        </w:rPr>
        <w:t>including vaccine error</w:t>
      </w:r>
      <w:bookmarkEnd w:id="276"/>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37"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77777777"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9am to 4.30pm)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38"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7" w:name="_Appendix_22:_Guidance"/>
      <w:bookmarkStart w:id="278" w:name="_Appendix_14:_Guidance"/>
      <w:bookmarkStart w:id="279" w:name="_Appendix_23:_Guidance"/>
      <w:bookmarkStart w:id="280" w:name="_Appendix_21:_Safety"/>
      <w:bookmarkStart w:id="281" w:name="_Appendix_22:_Victorian"/>
      <w:bookmarkStart w:id="282" w:name="_Appendix_23_-"/>
      <w:bookmarkStart w:id="283" w:name="_Supervision_requirements"/>
      <w:bookmarkEnd w:id="277"/>
      <w:bookmarkEnd w:id="278"/>
      <w:bookmarkEnd w:id="279"/>
      <w:bookmarkEnd w:id="280"/>
      <w:bookmarkEnd w:id="281"/>
      <w:bookmarkEnd w:id="282"/>
      <w:bookmarkEnd w:id="283"/>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39"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40" w:history="1">
        <w:r w:rsidR="00143F6E" w:rsidRPr="003151F0">
          <w:rPr>
            <w:rStyle w:val="Hyperlink"/>
            <w:rFonts w:ascii="Arial" w:eastAsia="Times New Roman" w:hAnsi="Arial" w:cs="Arial"/>
            <w:sz w:val="21"/>
            <w:szCs w:val="21"/>
          </w:rPr>
          <w:t>enquiries@saefvic.org.au</w:t>
        </w:r>
      </w:hyperlink>
    </w:p>
    <w:p w14:paraId="58745A2B" w14:textId="77777777"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4" w:name="_Appendix_7:_Intradermal"/>
      <w:bookmarkStart w:id="285" w:name="_Toc73627119"/>
      <w:bookmarkStart w:id="286" w:name="_Toc760868342"/>
      <w:bookmarkStart w:id="287" w:name="_Toc105750916"/>
      <w:bookmarkStart w:id="288" w:name="_Toc122340803"/>
      <w:bookmarkEnd w:id="284"/>
      <w:r w:rsidRPr="006157E8">
        <w:lastRenderedPageBreak/>
        <w:t xml:space="preserve">Appendix 7: </w:t>
      </w:r>
      <w:bookmarkEnd w:id="285"/>
      <w:bookmarkEnd w:id="286"/>
      <w:bookmarkEnd w:id="287"/>
      <w:r w:rsidR="004074CA" w:rsidRPr="006157E8">
        <w:t>Intradermal injection – skills and competenc</w:t>
      </w:r>
      <w:r w:rsidR="00F9747C" w:rsidRPr="006157E8">
        <w:t>y checklist</w:t>
      </w:r>
      <w:bookmarkEnd w:id="288"/>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41">
        <w:r w:rsidRPr="00123116">
          <w:rPr>
            <w:color w:val="0000FF"/>
            <w:u w:val="single"/>
          </w:rPr>
          <w:t>Monkeypox | health.vic.gov.au</w:t>
        </w:r>
      </w:hyperlink>
      <w:r w:rsidRPr="00123116">
        <w:t xml:space="preserve"> &lt;</w:t>
      </w:r>
      <w:hyperlink r:id="rId142"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000000"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000000"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000000"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32FAC66B" w14:textId="77777777" w:rsidR="004074CA" w:rsidRDefault="004074CA" w:rsidP="00611939">
      <w:pPr>
        <w:pStyle w:val="Body"/>
      </w:pPr>
    </w:p>
    <w:p w14:paraId="762F902B" w14:textId="255B1D79" w:rsidR="004074CA" w:rsidRDefault="004074CA" w:rsidP="004074CA">
      <w:pPr>
        <w:pStyle w:val="Heading1"/>
      </w:pPr>
      <w:bookmarkStart w:id="289" w:name="_Toc122340804"/>
      <w:r w:rsidRPr="000E573A">
        <w:t xml:space="preserve">Appendix </w:t>
      </w:r>
      <w:r>
        <w:t>8</w:t>
      </w:r>
      <w:r w:rsidRPr="000E573A">
        <w:t>: Document history and control</w:t>
      </w:r>
      <w:bookmarkEnd w:id="289"/>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782787">
            <w:pPr>
              <w:pStyle w:val="Tablecolhead"/>
            </w:pPr>
            <w:r w:rsidRPr="00FF3141">
              <w:t>Version</w:t>
            </w:r>
          </w:p>
        </w:tc>
        <w:tc>
          <w:tcPr>
            <w:tcW w:w="1843" w:type="dxa"/>
          </w:tcPr>
          <w:p w14:paraId="10425406" w14:textId="77777777" w:rsidR="004074CA" w:rsidRPr="00FF3141" w:rsidRDefault="004074CA" w:rsidP="00782787">
            <w:pPr>
              <w:pStyle w:val="Tablecolhead"/>
            </w:pPr>
            <w:r w:rsidRPr="00FF3141">
              <w:t>Publishing date</w:t>
            </w:r>
          </w:p>
        </w:tc>
        <w:tc>
          <w:tcPr>
            <w:tcW w:w="6520" w:type="dxa"/>
          </w:tcPr>
          <w:p w14:paraId="5B9E3242" w14:textId="77777777" w:rsidR="004074CA" w:rsidRPr="00FF3141" w:rsidRDefault="004074CA" w:rsidP="00782787">
            <w:pPr>
              <w:pStyle w:val="Tablecolhead"/>
            </w:pPr>
            <w:r w:rsidRPr="00FF3141">
              <w:t>New updates</w:t>
            </w:r>
          </w:p>
        </w:tc>
      </w:tr>
      <w:tr w:rsidR="004074CA" w14:paraId="3A0519A4" w14:textId="77777777" w:rsidTr="001F4B9C">
        <w:tc>
          <w:tcPr>
            <w:tcW w:w="1271" w:type="dxa"/>
          </w:tcPr>
          <w:p w14:paraId="5EDA9DB6" w14:textId="77777777" w:rsidR="004074CA" w:rsidRPr="00FF3141" w:rsidRDefault="004074CA" w:rsidP="002E7622">
            <w:pPr>
              <w:pStyle w:val="Tabletext"/>
            </w:pPr>
            <w:r w:rsidRPr="00FF3141">
              <w:t>4</w:t>
            </w:r>
          </w:p>
        </w:tc>
        <w:tc>
          <w:tcPr>
            <w:tcW w:w="1843" w:type="dxa"/>
          </w:tcPr>
          <w:p w14:paraId="03E137A5" w14:textId="77777777" w:rsidR="004074CA" w:rsidRPr="00FF3141" w:rsidRDefault="004074CA" w:rsidP="002E7622">
            <w:pPr>
              <w:pStyle w:val="Tabletext"/>
            </w:pPr>
            <w:r w:rsidRPr="00FF3141">
              <w:t>09/09/2022</w:t>
            </w:r>
          </w:p>
        </w:tc>
        <w:tc>
          <w:tcPr>
            <w:tcW w:w="6520" w:type="dxa"/>
          </w:tcPr>
          <w:p w14:paraId="72207753" w14:textId="77777777" w:rsidR="004074CA" w:rsidRPr="00FF3141" w:rsidRDefault="004074CA" w:rsidP="002E7622">
            <w:pPr>
              <w:pStyle w:val="Tabletext"/>
              <w:rPr>
                <w:lang w:eastAsia="en-AU"/>
              </w:rPr>
            </w:pPr>
            <w:r w:rsidRPr="00FF3141">
              <w:rPr>
                <w:b/>
                <w:bCs/>
                <w:lang w:eastAsia="en-AU"/>
              </w:rPr>
              <w:t xml:space="preserve">Schedule – </w:t>
            </w:r>
            <w:r w:rsidRPr="00FF3141">
              <w:rPr>
                <w:lang w:eastAsia="en-AU"/>
              </w:rPr>
              <w:t>added ATAGI guidance</w:t>
            </w:r>
          </w:p>
          <w:p w14:paraId="628EA8CE" w14:textId="77777777" w:rsidR="004074CA" w:rsidRPr="00FF3141" w:rsidRDefault="004074CA" w:rsidP="002E7622">
            <w:pPr>
              <w:pStyle w:val="Tabletext"/>
              <w:rPr>
                <w:lang w:eastAsia="en-AU"/>
              </w:rPr>
            </w:pPr>
            <w:r w:rsidRPr="00FF3141">
              <w:rPr>
                <w:lang w:eastAsia="en-AU"/>
              </w:rPr>
              <w:t>Advice if dose 2 given after 28 days</w:t>
            </w:r>
          </w:p>
          <w:p w14:paraId="06E915EA" w14:textId="77777777" w:rsidR="004074CA" w:rsidRPr="00FF3141" w:rsidRDefault="004074CA" w:rsidP="002E7622">
            <w:pPr>
              <w:pStyle w:val="Tabletext"/>
              <w:rPr>
                <w:b/>
                <w:bCs/>
                <w:lang w:eastAsia="en-AU"/>
              </w:rPr>
            </w:pPr>
            <w:r w:rsidRPr="00FF3141">
              <w:rPr>
                <w:b/>
                <w:bCs/>
                <w:lang w:eastAsia="en-AU"/>
              </w:rPr>
              <w:t>Addition of table</w:t>
            </w:r>
          </w:p>
          <w:p w14:paraId="36FA6F60" w14:textId="77777777" w:rsidR="004074CA" w:rsidRPr="00FF3141" w:rsidRDefault="004074CA" w:rsidP="002E7622">
            <w:pPr>
              <w:pStyle w:val="Tabletext"/>
              <w:rPr>
                <w:lang w:eastAsia="en-AU"/>
              </w:rPr>
            </w:pPr>
            <w:r w:rsidRPr="00FF3141">
              <w:rPr>
                <w:lang w:eastAsia="en-AU"/>
              </w:rPr>
              <w:t xml:space="preserve">Table 4 – Codes for adding </w:t>
            </w:r>
            <w:r w:rsidRPr="00FF3141">
              <w:rPr>
                <w:lang w:val="en-US" w:eastAsia="en-AU"/>
              </w:rPr>
              <w:t>JYNNEOS</w:t>
            </w:r>
            <w:r w:rsidRPr="00FF3141">
              <w:rPr>
                <w:color w:val="313131"/>
                <w:vertAlign w:val="superscript"/>
                <w:lang w:eastAsia="en-AU"/>
              </w:rPr>
              <w:t xml:space="preserve">® </w:t>
            </w:r>
            <w:r w:rsidRPr="00FF3141">
              <w:rPr>
                <w:lang w:eastAsia="en-AU"/>
              </w:rPr>
              <w:t>vaccine doses to AIR</w:t>
            </w:r>
          </w:p>
          <w:p w14:paraId="408F86A6" w14:textId="77777777" w:rsidR="004074CA" w:rsidRPr="00FF3141" w:rsidRDefault="004074CA" w:rsidP="002E7622">
            <w:pPr>
              <w:pStyle w:val="Tabletext"/>
            </w:pPr>
            <w:r w:rsidRPr="00FF3141">
              <w:rPr>
                <w:b/>
                <w:bCs/>
              </w:rPr>
              <w:t>SAEFVIC contact details</w:t>
            </w:r>
            <w:r w:rsidRPr="00FF3141">
              <w:t xml:space="preserve"> updated </w:t>
            </w:r>
          </w:p>
          <w:p w14:paraId="5D2D60CD" w14:textId="77777777" w:rsidR="004074CA" w:rsidRPr="00FF3141" w:rsidRDefault="004074CA" w:rsidP="002E7622">
            <w:pPr>
              <w:pStyle w:val="Tabletext"/>
              <w:rPr>
                <w:b/>
                <w:bCs/>
              </w:rPr>
            </w:pPr>
            <w:r w:rsidRPr="00FF3141">
              <w:rPr>
                <w:b/>
                <w:bCs/>
              </w:rPr>
              <w:t>Addition of Appendix 7</w:t>
            </w:r>
          </w:p>
          <w:p w14:paraId="30E771CA" w14:textId="77777777" w:rsidR="004074CA" w:rsidRPr="00FF3141" w:rsidRDefault="004074CA" w:rsidP="002E7622">
            <w:pPr>
              <w:pStyle w:val="Tabletext"/>
            </w:pPr>
            <w:r w:rsidRPr="00FF3141">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2E7622">
            <w:pPr>
              <w:pStyle w:val="Tabletext"/>
            </w:pPr>
            <w:r w:rsidRPr="00FF3141">
              <w:t>4.1</w:t>
            </w:r>
          </w:p>
        </w:tc>
        <w:tc>
          <w:tcPr>
            <w:tcW w:w="1843" w:type="dxa"/>
          </w:tcPr>
          <w:p w14:paraId="6E75CF7E" w14:textId="66301734" w:rsidR="00620E6B" w:rsidRPr="00FF3141" w:rsidRDefault="00620E6B" w:rsidP="002E7622">
            <w:pPr>
              <w:pStyle w:val="Tabletext"/>
            </w:pPr>
            <w:r w:rsidRPr="00FF3141">
              <w:t>12/09/2022</w:t>
            </w:r>
          </w:p>
        </w:tc>
        <w:tc>
          <w:tcPr>
            <w:tcW w:w="6520" w:type="dxa"/>
          </w:tcPr>
          <w:p w14:paraId="0468ABF3" w14:textId="77777777" w:rsidR="00620E6B" w:rsidRPr="00FF3141" w:rsidRDefault="00620E6B" w:rsidP="002E7622">
            <w:pPr>
              <w:pStyle w:val="Tabletext"/>
              <w:rPr>
                <w:lang w:eastAsia="en-AU"/>
              </w:rPr>
            </w:pPr>
            <w:r w:rsidRPr="00FF3141">
              <w:rPr>
                <w:b/>
                <w:bCs/>
                <w:lang w:eastAsia="en-AU"/>
              </w:rPr>
              <w:t>Cold chain reporting</w:t>
            </w:r>
            <w:r w:rsidRPr="00FF3141">
              <w:rPr>
                <w:lang w:eastAsia="en-AU"/>
              </w:rPr>
              <w:t> </w:t>
            </w:r>
          </w:p>
          <w:p w14:paraId="38A6004C" w14:textId="1D39E314" w:rsidR="00620E6B" w:rsidRPr="00FF3141" w:rsidRDefault="00620E6B" w:rsidP="002E7622">
            <w:pPr>
              <w:pStyle w:val="Tabletext"/>
              <w:rPr>
                <w:b/>
                <w:bCs/>
                <w:lang w:eastAsia="en-AU"/>
              </w:rPr>
            </w:pPr>
            <w:r w:rsidRPr="00FF3141">
              <w:rPr>
                <w:lang w:eastAsia="en-AU"/>
              </w:rPr>
              <w:t xml:space="preserve">Revised contact details </w:t>
            </w:r>
            <w:r w:rsidRPr="00FF3141">
              <w:rPr>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2E7622">
            <w:pPr>
              <w:pStyle w:val="Tabletext"/>
            </w:pPr>
            <w:r w:rsidRPr="00FF3141">
              <w:t>4.</w:t>
            </w:r>
            <w:r w:rsidR="007E2F5A" w:rsidRPr="00FF3141">
              <w:t>2</w:t>
            </w:r>
          </w:p>
        </w:tc>
        <w:tc>
          <w:tcPr>
            <w:tcW w:w="1843" w:type="dxa"/>
          </w:tcPr>
          <w:p w14:paraId="7CDAC5BD" w14:textId="43EC0521" w:rsidR="004074CA" w:rsidRPr="00FF3141" w:rsidRDefault="00620E6B" w:rsidP="002E7622">
            <w:pPr>
              <w:pStyle w:val="Tabletext"/>
            </w:pPr>
            <w:r w:rsidRPr="00FF3141">
              <w:t>16/09/2022</w:t>
            </w:r>
            <w:r w:rsidR="00A82E30" w:rsidRPr="00FF3141">
              <w:t xml:space="preserve"> </w:t>
            </w:r>
          </w:p>
        </w:tc>
        <w:tc>
          <w:tcPr>
            <w:tcW w:w="6520" w:type="dxa"/>
          </w:tcPr>
          <w:p w14:paraId="2B5513B2" w14:textId="77777777" w:rsidR="007E2F5A" w:rsidRPr="00FF3141" w:rsidRDefault="007E2F5A" w:rsidP="002E7622">
            <w:pPr>
              <w:pStyle w:val="Tabletext"/>
              <w:rPr>
                <w:b/>
                <w:bCs/>
                <w:lang w:eastAsia="en-AU"/>
              </w:rPr>
            </w:pPr>
            <w:r w:rsidRPr="00FF3141">
              <w:rPr>
                <w:b/>
                <w:bCs/>
                <w:lang w:eastAsia="en-AU"/>
              </w:rPr>
              <w:t>Preparation of equipment</w:t>
            </w:r>
          </w:p>
          <w:p w14:paraId="79E1694E" w14:textId="77777777" w:rsidR="007E2F5A" w:rsidRPr="00FF3141" w:rsidRDefault="007E2F5A" w:rsidP="002E7622">
            <w:pPr>
              <w:pStyle w:val="Tabletext"/>
              <w:rPr>
                <w:lang w:eastAsia="en-AU"/>
              </w:rPr>
            </w:pPr>
            <w:r w:rsidRPr="00FF3141">
              <w:rPr>
                <w:lang w:eastAsia="en-AU"/>
              </w:rPr>
              <w:t>Use of a 25-27 gauge needle to extract vaccine may minimise vaccine wastage</w:t>
            </w:r>
          </w:p>
          <w:p w14:paraId="5791C6C7" w14:textId="77777777" w:rsidR="007E2F5A" w:rsidRPr="00FF3141" w:rsidRDefault="007E2F5A" w:rsidP="002E7622">
            <w:pPr>
              <w:pStyle w:val="Tabletext"/>
              <w:rPr>
                <w:rFonts w:eastAsia="Calibri"/>
                <w:b/>
                <w:bCs/>
                <w:lang w:eastAsia="en-AU"/>
              </w:rPr>
            </w:pPr>
            <w:r w:rsidRPr="00FF3141">
              <w:rPr>
                <w:b/>
                <w:bCs/>
                <w:lang w:eastAsia="en-AU"/>
              </w:rPr>
              <w:t xml:space="preserve">Table 3 </w:t>
            </w:r>
            <w:r w:rsidRPr="00FF3141">
              <w:rPr>
                <w:rFonts w:eastAsia="Calibri"/>
                <w:b/>
                <w:bCs/>
              </w:rPr>
              <w:t xml:space="preserve">Methods of dose extraction for multidose vials </w:t>
            </w:r>
          </w:p>
          <w:p w14:paraId="6FE0EE80" w14:textId="0E839A6F" w:rsidR="004074CA" w:rsidRPr="00FF3141" w:rsidRDefault="007E2F5A" w:rsidP="002E7622">
            <w:pPr>
              <w:pStyle w:val="Tabletext"/>
            </w:pPr>
            <w:r w:rsidRPr="00FF3141">
              <w:rPr>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2E7622">
            <w:pPr>
              <w:pStyle w:val="Tabletext"/>
            </w:pPr>
            <w:r w:rsidRPr="00FF3141">
              <w:t>4.</w:t>
            </w:r>
            <w:r w:rsidRPr="00FF3141">
              <w:rPr>
                <w:color w:val="2B579A"/>
                <w:shd w:val="clear" w:color="auto" w:fill="E6E6E6"/>
              </w:rPr>
              <w:t>3</w:t>
            </w:r>
          </w:p>
        </w:tc>
        <w:tc>
          <w:tcPr>
            <w:tcW w:w="1843" w:type="dxa"/>
          </w:tcPr>
          <w:p w14:paraId="22F922A6" w14:textId="1EC08A6E" w:rsidR="00B96D08" w:rsidRPr="00FF3141" w:rsidRDefault="00B96D08" w:rsidP="002E7622">
            <w:pPr>
              <w:pStyle w:val="Tabletext"/>
            </w:pPr>
            <w:r w:rsidRPr="00FF3141">
              <w:t>19/09/2022</w:t>
            </w:r>
          </w:p>
        </w:tc>
        <w:tc>
          <w:tcPr>
            <w:tcW w:w="6520" w:type="dxa"/>
          </w:tcPr>
          <w:p w14:paraId="29E380BB" w14:textId="77777777" w:rsidR="00B96D08" w:rsidRPr="00FF3141" w:rsidRDefault="00B96D08" w:rsidP="002E7622">
            <w:pPr>
              <w:pStyle w:val="Tabletext"/>
              <w:rPr>
                <w:b/>
                <w:bCs/>
                <w:lang w:eastAsia="en-AU"/>
              </w:rPr>
            </w:pPr>
            <w:r w:rsidRPr="00FF3141">
              <w:rPr>
                <w:b/>
                <w:bCs/>
                <w:lang w:eastAsia="en-AU"/>
              </w:rPr>
              <w:t>Eligibility for pre-exposure vaccination</w:t>
            </w:r>
          </w:p>
          <w:p w14:paraId="4AB31245" w14:textId="7B92FC40" w:rsidR="00B96D08" w:rsidRPr="00FF3141" w:rsidRDefault="00B96D08" w:rsidP="002E7622">
            <w:pPr>
              <w:pStyle w:val="Tabletext"/>
              <w:rPr>
                <w:lang w:eastAsia="en-AU"/>
              </w:rPr>
            </w:pPr>
            <w:r w:rsidRPr="00FF3141">
              <w:rPr>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002E7622">
            <w:pPr>
              <w:pStyle w:val="Tabletext"/>
            </w:pPr>
            <w:r w:rsidRPr="00FF3141">
              <w:t>5</w:t>
            </w:r>
          </w:p>
        </w:tc>
        <w:tc>
          <w:tcPr>
            <w:tcW w:w="1843" w:type="dxa"/>
          </w:tcPr>
          <w:p w14:paraId="2CE9669C" w14:textId="3BB3D053" w:rsidR="06E0321B" w:rsidRPr="00FF3141" w:rsidRDefault="006A1BAE" w:rsidP="002E7622">
            <w:pPr>
              <w:pStyle w:val="Tabletext"/>
            </w:pPr>
            <w:r w:rsidRPr="00FF3141">
              <w:t>4</w:t>
            </w:r>
            <w:r w:rsidR="004C16EB" w:rsidRPr="00FF3141">
              <w:t>/10/2022</w:t>
            </w:r>
          </w:p>
        </w:tc>
        <w:tc>
          <w:tcPr>
            <w:tcW w:w="6520" w:type="dxa"/>
          </w:tcPr>
          <w:p w14:paraId="1487D960" w14:textId="45F40CB5" w:rsidR="06E0321B" w:rsidRPr="00FF3141" w:rsidRDefault="004C16EB" w:rsidP="002E7622">
            <w:pPr>
              <w:pStyle w:val="Tabletext"/>
              <w:rPr>
                <w:b/>
                <w:bCs/>
                <w:lang w:eastAsia="en-AU"/>
              </w:rPr>
            </w:pPr>
            <w:r w:rsidRPr="00FF3141">
              <w:t>Nurse immunisers and pharmacist immunisers – Secretary Approvals amended to enable monkeypox vaccine administration</w:t>
            </w:r>
          </w:p>
        </w:tc>
      </w:tr>
      <w:tr w:rsidR="06E0321B" w14:paraId="22CBF9C6" w14:textId="77777777" w:rsidTr="001F4B9C">
        <w:trPr>
          <w:trHeight w:val="300"/>
        </w:trPr>
        <w:tc>
          <w:tcPr>
            <w:tcW w:w="1271" w:type="dxa"/>
          </w:tcPr>
          <w:p w14:paraId="00A11353" w14:textId="3B08895B" w:rsidR="06E0321B" w:rsidRPr="00FF3141" w:rsidRDefault="2C58FE0A" w:rsidP="002E7622">
            <w:pPr>
              <w:pStyle w:val="Tabletext"/>
            </w:pPr>
            <w:r w:rsidRPr="00FF3141">
              <w:t>5</w:t>
            </w:r>
          </w:p>
        </w:tc>
        <w:tc>
          <w:tcPr>
            <w:tcW w:w="1843" w:type="dxa"/>
          </w:tcPr>
          <w:p w14:paraId="29442F19" w14:textId="018FBE23" w:rsidR="06E0321B" w:rsidRPr="00FF3141" w:rsidRDefault="006A1BAE" w:rsidP="002E7622">
            <w:pPr>
              <w:pStyle w:val="Tabletext"/>
            </w:pPr>
            <w:r w:rsidRPr="00FF3141">
              <w:t>4</w:t>
            </w:r>
            <w:r w:rsidR="00ED3D87" w:rsidRPr="00FF3141">
              <w:t>/10/2022</w:t>
            </w:r>
          </w:p>
        </w:tc>
        <w:tc>
          <w:tcPr>
            <w:tcW w:w="6520" w:type="dxa"/>
          </w:tcPr>
          <w:p w14:paraId="4F274AAE" w14:textId="59B56366" w:rsidR="06E0321B" w:rsidRPr="00FF3141" w:rsidRDefault="00ED3D87" w:rsidP="002E7622">
            <w:pPr>
              <w:pStyle w:val="Tabletext"/>
              <w:rPr>
                <w:b/>
                <w:bCs/>
                <w:lang w:eastAsia="en-AU"/>
              </w:rPr>
            </w:pPr>
            <w:r w:rsidRPr="00FF3141">
              <w:rPr>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002E7622">
            <w:pPr>
              <w:pStyle w:val="Tabletext"/>
            </w:pPr>
            <w:r w:rsidRPr="00FF3141">
              <w:t>6</w:t>
            </w:r>
          </w:p>
        </w:tc>
        <w:tc>
          <w:tcPr>
            <w:tcW w:w="1843" w:type="dxa"/>
          </w:tcPr>
          <w:p w14:paraId="1EBEEBC6" w14:textId="400D7611" w:rsidR="62EF5EAA" w:rsidRPr="00FF3141" w:rsidRDefault="62EF5EAA" w:rsidP="002E7622">
            <w:pPr>
              <w:pStyle w:val="Tabletext"/>
            </w:pPr>
            <w:r w:rsidRPr="00FF3141">
              <w:t>11/10/2</w:t>
            </w:r>
            <w:r w:rsidR="5B97963D" w:rsidRPr="00FF3141">
              <w:t>0</w:t>
            </w:r>
            <w:r w:rsidRPr="00FF3141">
              <w:t>2</w:t>
            </w:r>
            <w:r w:rsidR="37C9B8D2" w:rsidRPr="00FF3141">
              <w:t>2</w:t>
            </w:r>
          </w:p>
        </w:tc>
        <w:tc>
          <w:tcPr>
            <w:tcW w:w="6520" w:type="dxa"/>
          </w:tcPr>
          <w:p w14:paraId="26A35545" w14:textId="25A9AAA9" w:rsidR="62EF5EAA" w:rsidRPr="00FF3141" w:rsidRDefault="62EF5EAA" w:rsidP="002E7622">
            <w:pPr>
              <w:pStyle w:val="Tabletext"/>
            </w:pPr>
            <w:r w:rsidRPr="00FF3141">
              <w:rPr>
                <w:b/>
                <w:bCs/>
              </w:rPr>
              <w:t xml:space="preserve">Eligibility for vaccination – </w:t>
            </w:r>
            <w:r w:rsidRPr="00FF3141">
              <w:t>as per vaccine supply</w:t>
            </w:r>
          </w:p>
        </w:tc>
      </w:tr>
      <w:tr w:rsidR="06E0321B" w14:paraId="0116DCFD" w14:textId="77777777" w:rsidTr="001F4B9C">
        <w:trPr>
          <w:trHeight w:val="300"/>
        </w:trPr>
        <w:tc>
          <w:tcPr>
            <w:tcW w:w="1271" w:type="dxa"/>
          </w:tcPr>
          <w:p w14:paraId="093B8D67" w14:textId="097ACC19" w:rsidR="06E0321B" w:rsidRPr="00FF3141" w:rsidRDefault="007415C7" w:rsidP="002E7622">
            <w:pPr>
              <w:pStyle w:val="Tabletext"/>
            </w:pPr>
            <w:r w:rsidRPr="00FF3141">
              <w:t>6</w:t>
            </w:r>
          </w:p>
        </w:tc>
        <w:tc>
          <w:tcPr>
            <w:tcW w:w="1843" w:type="dxa"/>
          </w:tcPr>
          <w:p w14:paraId="5556E5B9" w14:textId="02C147DB" w:rsidR="06E0321B" w:rsidRPr="00FF3141" w:rsidRDefault="3DE2AFF9" w:rsidP="002E7622">
            <w:pPr>
              <w:pStyle w:val="Tabletext"/>
            </w:pPr>
            <w:r w:rsidRPr="00FF3141">
              <w:t>11</w:t>
            </w:r>
            <w:r w:rsidR="21CB3E16" w:rsidRPr="00FF3141">
              <w:t>/10/2022</w:t>
            </w:r>
          </w:p>
        </w:tc>
        <w:tc>
          <w:tcPr>
            <w:tcW w:w="6520" w:type="dxa"/>
          </w:tcPr>
          <w:p w14:paraId="700BCCF5" w14:textId="1CE3C92B" w:rsidR="06E0321B" w:rsidRPr="00FF3141" w:rsidRDefault="008C4016" w:rsidP="002E7622">
            <w:pPr>
              <w:pStyle w:val="Tabletext"/>
              <w:rPr>
                <w:rFonts w:eastAsia="Arial"/>
                <w:lang w:eastAsia="en-AU"/>
              </w:rPr>
            </w:pPr>
            <w:r w:rsidRPr="00FF3141">
              <w:rPr>
                <w:rFonts w:eastAsia="Arial"/>
                <w:b/>
              </w:rPr>
              <w:t xml:space="preserve">Identifying </w:t>
            </w:r>
            <w:r w:rsidR="6605589A" w:rsidRPr="00FF3141">
              <w:rPr>
                <w:rFonts w:eastAsia="Arial"/>
                <w:b/>
                <w:bCs/>
              </w:rPr>
              <w:t>sites</w:t>
            </w:r>
            <w:r w:rsidRPr="00FF3141">
              <w:rPr>
                <w:rFonts w:eastAsia="Arial"/>
                <w:b/>
              </w:rPr>
              <w:t xml:space="preserve"> for Intradermal injection</w:t>
            </w:r>
            <w:r w:rsidRPr="00FF3141">
              <w:rPr>
                <w:rFonts w:eastAsia="Arial"/>
              </w:rPr>
              <w:t xml:space="preserve"> – description of </w:t>
            </w:r>
            <w:r w:rsidR="6605589A" w:rsidRPr="00FF3141">
              <w:rPr>
                <w:rFonts w:eastAsia="Arial"/>
              </w:rPr>
              <w:t xml:space="preserve">landmarks over the deltoid as an </w:t>
            </w:r>
            <w:r w:rsidRPr="00FF3141">
              <w:rPr>
                <w:rFonts w:eastAsia="Arial"/>
              </w:rPr>
              <w:t xml:space="preserve">alternative site </w:t>
            </w:r>
            <w:r w:rsidR="6605589A" w:rsidRPr="00FF3141">
              <w:rPr>
                <w:rFonts w:eastAsia="Arial"/>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02E7622">
            <w:pPr>
              <w:pStyle w:val="Tabletext"/>
            </w:pPr>
            <w:r w:rsidRPr="00FF3141">
              <w:t>7</w:t>
            </w:r>
          </w:p>
        </w:tc>
        <w:tc>
          <w:tcPr>
            <w:tcW w:w="1843" w:type="dxa"/>
          </w:tcPr>
          <w:p w14:paraId="4713473A" w14:textId="07172101" w:rsidR="00692275" w:rsidRPr="00FF3141" w:rsidRDefault="00B451FA" w:rsidP="002E7622">
            <w:pPr>
              <w:pStyle w:val="Tabletext"/>
            </w:pPr>
            <w:r w:rsidRPr="00FF3141">
              <w:t>21</w:t>
            </w:r>
            <w:r w:rsidR="00C527A1" w:rsidRPr="00FF3141">
              <w:t>/10/2022</w:t>
            </w:r>
          </w:p>
        </w:tc>
        <w:tc>
          <w:tcPr>
            <w:tcW w:w="6520" w:type="dxa"/>
          </w:tcPr>
          <w:p w14:paraId="23CAE533" w14:textId="77777777" w:rsidR="00692275" w:rsidRPr="00FF3141" w:rsidRDefault="00692275" w:rsidP="002E7622">
            <w:pPr>
              <w:pStyle w:val="Tabletext"/>
            </w:pPr>
            <w:r w:rsidRPr="00FF3141">
              <w:rPr>
                <w:b/>
                <w:bCs/>
              </w:rPr>
              <w:t>Coadministration</w:t>
            </w:r>
            <w:r w:rsidRPr="00FF3141">
              <w:t xml:space="preserve"> </w:t>
            </w:r>
          </w:p>
          <w:p w14:paraId="49A0614C" w14:textId="0CB35BD8" w:rsidR="00692275" w:rsidRPr="00FF3141" w:rsidRDefault="00692275" w:rsidP="002E7622">
            <w:pPr>
              <w:pStyle w:val="Tabletext"/>
              <w:rPr>
                <w:rFonts w:eastAsia="Arial"/>
                <w:b/>
              </w:rPr>
            </w:pPr>
            <w:r w:rsidRPr="00FF3141">
              <w:t xml:space="preserve">Clarification of considerations </w:t>
            </w:r>
            <w:r w:rsidR="00B451FA" w:rsidRPr="00FF3141">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02E7622">
            <w:pPr>
              <w:pStyle w:val="Tabletext"/>
            </w:pPr>
            <w:r w:rsidRPr="00FF3141">
              <w:t>8</w:t>
            </w:r>
          </w:p>
        </w:tc>
        <w:tc>
          <w:tcPr>
            <w:tcW w:w="1843" w:type="dxa"/>
          </w:tcPr>
          <w:p w14:paraId="7F959D75" w14:textId="50192F45" w:rsidR="00232737" w:rsidRPr="00FF3141" w:rsidRDefault="00F71E7A" w:rsidP="002E7622">
            <w:pPr>
              <w:pStyle w:val="Tabletext"/>
            </w:pPr>
            <w:r w:rsidRPr="00FF3141">
              <w:t>0</w:t>
            </w:r>
            <w:r w:rsidR="001E3ECF" w:rsidRPr="00FF3141">
              <w:t>3</w:t>
            </w:r>
            <w:r w:rsidRPr="00FF3141">
              <w:t>/11/</w:t>
            </w:r>
            <w:r w:rsidR="00CF4AE0" w:rsidRPr="00FF3141">
              <w:t>/2022</w:t>
            </w:r>
          </w:p>
        </w:tc>
        <w:tc>
          <w:tcPr>
            <w:tcW w:w="6520" w:type="dxa"/>
          </w:tcPr>
          <w:p w14:paraId="29C67DDA" w14:textId="547CB7B4" w:rsidR="00232737" w:rsidRPr="00FF3141" w:rsidRDefault="00232737" w:rsidP="002E7622">
            <w:pPr>
              <w:pStyle w:val="Tabletext"/>
              <w:rPr>
                <w:b/>
                <w:bCs/>
              </w:rPr>
            </w:pPr>
            <w:r w:rsidRPr="00FF3141">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02E7622">
            <w:pPr>
              <w:pStyle w:val="Tabletext"/>
            </w:pPr>
            <w:r w:rsidRPr="00FF3141">
              <w:t>8</w:t>
            </w:r>
          </w:p>
        </w:tc>
        <w:tc>
          <w:tcPr>
            <w:tcW w:w="1843" w:type="dxa"/>
          </w:tcPr>
          <w:p w14:paraId="28A07C17" w14:textId="6EEA5BD3" w:rsidR="00232737" w:rsidRPr="00FF3141" w:rsidRDefault="00F71E7A" w:rsidP="002E7622">
            <w:pPr>
              <w:pStyle w:val="Tabletext"/>
            </w:pPr>
            <w:r w:rsidRPr="00FF3141">
              <w:t>0</w:t>
            </w:r>
            <w:r w:rsidR="001E3ECF" w:rsidRPr="00FF3141">
              <w:t>3</w:t>
            </w:r>
            <w:r w:rsidRPr="00FF3141">
              <w:t>/11/</w:t>
            </w:r>
            <w:r w:rsidR="00CF4AE0" w:rsidRPr="00FF3141">
              <w:t>/2022</w:t>
            </w:r>
          </w:p>
        </w:tc>
        <w:tc>
          <w:tcPr>
            <w:tcW w:w="6520" w:type="dxa"/>
          </w:tcPr>
          <w:p w14:paraId="2FC5586C" w14:textId="21B7695F" w:rsidR="00232737" w:rsidRPr="00FF3141" w:rsidRDefault="00232737" w:rsidP="002E7622">
            <w:pPr>
              <w:pStyle w:val="Tabletext"/>
            </w:pPr>
            <w:r w:rsidRPr="00FF3141">
              <w:t xml:space="preserve">Clarification  </w:t>
            </w:r>
            <w:r w:rsidR="00C14016" w:rsidRPr="00FF3141">
              <w:t xml:space="preserve">Interval between </w:t>
            </w:r>
            <w:r w:rsidRPr="00FF3141">
              <w:rPr>
                <w:rFonts w:eastAsia="Arial"/>
              </w:rPr>
              <w:t>JYNNEOS</w:t>
            </w:r>
            <w:r w:rsidRPr="00FF3141">
              <w:rPr>
                <w:rFonts w:eastAsia="Arial"/>
                <w:b/>
                <w:bCs/>
                <w:vertAlign w:val="superscript"/>
              </w:rPr>
              <w:t>®</w:t>
            </w:r>
            <w:r w:rsidRPr="00FF3141">
              <w:rPr>
                <w:rFonts w:eastAsia="Arial"/>
                <w:b/>
                <w:bCs/>
              </w:rPr>
              <w:t xml:space="preserve"> </w:t>
            </w:r>
            <w:r w:rsidRPr="00FF3141">
              <w:rPr>
                <w:rFonts w:eastAsia="Arial"/>
              </w:rPr>
              <w:t>vaccine and other live vaccines</w:t>
            </w:r>
            <w:r w:rsidR="00C14016" w:rsidRPr="00FF3141">
              <w:rPr>
                <w:rFonts w:eastAsia="Arial"/>
              </w:rPr>
              <w:t xml:space="preserve"> not required</w:t>
            </w:r>
            <w:r w:rsidRPr="00FF3141">
              <w:rPr>
                <w:rFonts w:eastAsia="Arial"/>
              </w:rPr>
              <w:t>.</w:t>
            </w:r>
          </w:p>
        </w:tc>
      </w:tr>
      <w:tr w:rsidR="009E0856" w14:paraId="623F7BF1" w14:textId="77777777" w:rsidTr="001F4B9C">
        <w:trPr>
          <w:trHeight w:val="300"/>
        </w:trPr>
        <w:tc>
          <w:tcPr>
            <w:tcW w:w="1271" w:type="dxa"/>
          </w:tcPr>
          <w:p w14:paraId="7A99BC1D" w14:textId="6B8A3119" w:rsidR="009E0856" w:rsidRPr="00FF3141" w:rsidRDefault="00796813" w:rsidP="002E7622">
            <w:pPr>
              <w:pStyle w:val="Tabletext"/>
            </w:pPr>
            <w:r w:rsidRPr="00FF3141">
              <w:t>9</w:t>
            </w:r>
          </w:p>
        </w:tc>
        <w:tc>
          <w:tcPr>
            <w:tcW w:w="1843" w:type="dxa"/>
          </w:tcPr>
          <w:p w14:paraId="76D2A705" w14:textId="3A91A405" w:rsidR="009E0856" w:rsidRPr="00FF3141" w:rsidRDefault="00E90124" w:rsidP="002E7622">
            <w:pPr>
              <w:pStyle w:val="Tabletext"/>
            </w:pPr>
            <w:r w:rsidRPr="00FF3141">
              <w:t>09</w:t>
            </w:r>
            <w:r w:rsidR="00796813" w:rsidRPr="00FF3141">
              <w:t>/12/2022</w:t>
            </w:r>
          </w:p>
        </w:tc>
        <w:tc>
          <w:tcPr>
            <w:tcW w:w="6520" w:type="dxa"/>
          </w:tcPr>
          <w:p w14:paraId="32905C7A" w14:textId="77777777" w:rsidR="009E0856" w:rsidRPr="00FF3141" w:rsidRDefault="00796813" w:rsidP="002E7622">
            <w:pPr>
              <w:pStyle w:val="Tabletext"/>
            </w:pPr>
            <w:r w:rsidRPr="00FF3141">
              <w:t>Update – Monkeypox to mpox</w:t>
            </w:r>
            <w:r w:rsidR="00E558A2" w:rsidRPr="00FF3141">
              <w:t xml:space="preserve"> as per </w:t>
            </w:r>
            <w:r w:rsidR="00592FB7" w:rsidRPr="00FF3141">
              <w:t>WHO recommendations</w:t>
            </w:r>
          </w:p>
          <w:p w14:paraId="0A5E646E" w14:textId="67389580" w:rsidR="00D26BB5" w:rsidRPr="00FF3141" w:rsidRDefault="00D26BB5" w:rsidP="002E7622">
            <w:pPr>
              <w:pStyle w:val="Tabletext"/>
            </w:pPr>
            <w:r w:rsidRPr="00FF3141">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02E7622">
            <w:pPr>
              <w:pStyle w:val="Tabletext"/>
            </w:pPr>
            <w:r>
              <w:t>10</w:t>
            </w:r>
          </w:p>
        </w:tc>
        <w:tc>
          <w:tcPr>
            <w:tcW w:w="1843" w:type="dxa"/>
          </w:tcPr>
          <w:p w14:paraId="7B3ABEC8" w14:textId="233E5EF1" w:rsidR="00473D6D" w:rsidRPr="00FF3141" w:rsidRDefault="00473D6D" w:rsidP="002E7622">
            <w:pPr>
              <w:pStyle w:val="Tabletext"/>
            </w:pPr>
            <w:r>
              <w:t>16/12/2022</w:t>
            </w:r>
          </w:p>
        </w:tc>
        <w:tc>
          <w:tcPr>
            <w:tcW w:w="6520" w:type="dxa"/>
          </w:tcPr>
          <w:p w14:paraId="3C59AA2E" w14:textId="77777777" w:rsidR="00473D6D" w:rsidRPr="00FF3141" w:rsidRDefault="00473D6D" w:rsidP="002E7622">
            <w:pPr>
              <w:pStyle w:val="Tabletext"/>
              <w:rPr>
                <w:color w:val="000000"/>
                <w:lang w:eastAsia="en-AU"/>
              </w:rPr>
            </w:pPr>
            <w:r w:rsidRPr="00FF3141">
              <w:rPr>
                <w:color w:val="000000"/>
                <w:lang w:eastAsia="en-AU"/>
              </w:rPr>
              <w:t>Updated terminology on mpox vaccines for pre-exposure and post-exposure prophylaxis</w:t>
            </w:r>
            <w:r>
              <w:rPr>
                <w:color w:val="000000"/>
                <w:lang w:eastAsia="en-AU"/>
              </w:rPr>
              <w:t xml:space="preserve"> (PPV, PEPV)</w:t>
            </w:r>
          </w:p>
          <w:p w14:paraId="56E27B9B" w14:textId="77777777" w:rsidR="00473D6D" w:rsidRPr="00FF3141" w:rsidRDefault="00473D6D" w:rsidP="002E7622">
            <w:pPr>
              <w:pStyle w:val="Tabletext"/>
            </w:pPr>
            <w:r w:rsidRPr="00FF3141">
              <w:t xml:space="preserve">Updated eligibility to receive vaccine </w:t>
            </w:r>
          </w:p>
          <w:p w14:paraId="49ACBB6E" w14:textId="77777777" w:rsidR="00473D6D" w:rsidRPr="007A0952" w:rsidRDefault="00473D6D" w:rsidP="002E7622">
            <w:pPr>
              <w:pStyle w:val="Tabletext"/>
              <w:rPr>
                <w:color w:val="000000"/>
                <w:lang w:eastAsia="en-AU"/>
              </w:rPr>
            </w:pPr>
            <w:r w:rsidRPr="007A0952">
              <w:rPr>
                <w:color w:val="000000"/>
                <w:lang w:eastAsia="en-AU"/>
              </w:rPr>
              <w:t xml:space="preserve">Updated recommendations for people with severe immunocompromise – can receive ID </w:t>
            </w:r>
            <w:r w:rsidRPr="007A0952">
              <w:rPr>
                <w:rFonts w:eastAsia="Arial"/>
              </w:rPr>
              <w:t>JYNNEOS</w:t>
            </w:r>
            <w:r w:rsidRPr="007A0952">
              <w:rPr>
                <w:rFonts w:eastAsia="Arial"/>
                <w:vertAlign w:val="superscript"/>
              </w:rPr>
              <w:t>®</w:t>
            </w:r>
            <w:r w:rsidRPr="007A0952">
              <w:rPr>
                <w:rFonts w:eastAsia="Arial"/>
              </w:rPr>
              <w:t xml:space="preserve"> vaccine</w:t>
            </w:r>
          </w:p>
          <w:p w14:paraId="029F47CD" w14:textId="77777777" w:rsidR="00473D6D" w:rsidRPr="007A0952" w:rsidRDefault="00473D6D" w:rsidP="002E7622">
            <w:pPr>
              <w:pStyle w:val="Tabletext"/>
              <w:rPr>
                <w:color w:val="000000"/>
                <w:lang w:eastAsia="en-AU"/>
              </w:rPr>
            </w:pPr>
            <w:r w:rsidRPr="007A0952">
              <w:rPr>
                <w:color w:val="000000"/>
                <w:lang w:eastAsia="en-AU"/>
              </w:rPr>
              <w:lastRenderedPageBreak/>
              <w:t>Updated co-administration guidance for COVID-19 vaccines</w:t>
            </w:r>
          </w:p>
          <w:p w14:paraId="339238F9" w14:textId="77777777" w:rsidR="00473D6D" w:rsidRPr="007A0952" w:rsidRDefault="00473D6D" w:rsidP="002E7622">
            <w:pPr>
              <w:pStyle w:val="Tabletext"/>
              <w:rPr>
                <w:color w:val="000000"/>
                <w:lang w:eastAsia="en-AU"/>
              </w:rPr>
            </w:pPr>
            <w:r w:rsidRPr="007A0952">
              <w:rPr>
                <w:color w:val="000000"/>
                <w:lang w:eastAsia="en-AU"/>
              </w:rPr>
              <w:t>Updated table 3  -</w:t>
            </w:r>
            <w:r w:rsidRPr="00FF3141">
              <w:rPr>
                <w:color w:val="000000"/>
                <w:lang w:eastAsia="en-AU"/>
              </w:rPr>
              <w:t xml:space="preserve"> Minor updates handling  procedures for use of </w:t>
            </w:r>
            <w:r w:rsidRPr="007A0952">
              <w:rPr>
                <w:color w:val="000000"/>
                <w:lang w:eastAsia="en-AU"/>
              </w:rPr>
              <w:t>multidose vials (section E)</w:t>
            </w:r>
          </w:p>
          <w:p w14:paraId="0BA07677" w14:textId="77777777" w:rsidR="00473D6D" w:rsidRPr="007A0952" w:rsidRDefault="00473D6D" w:rsidP="002E7622">
            <w:pPr>
              <w:pStyle w:val="Tabletext"/>
              <w:rPr>
                <w:color w:val="000000"/>
                <w:lang w:eastAsia="en-AU"/>
              </w:rPr>
            </w:pPr>
            <w:r w:rsidRPr="007A0952">
              <w:rPr>
                <w:color w:val="000000"/>
                <w:lang w:eastAsia="en-AU"/>
              </w:rPr>
              <w:t>Updated table 5 – Vaccine errors and deviations – Clarity regarding recommendations after incorrect route ID administration</w:t>
            </w:r>
          </w:p>
          <w:p w14:paraId="17B5F665" w14:textId="25ED5AB8" w:rsidR="00473D6D" w:rsidRPr="00FF3141" w:rsidRDefault="00473D6D" w:rsidP="002E7622">
            <w:pPr>
              <w:pStyle w:val="Tabletext"/>
              <w:rPr>
                <w:color w:val="000000"/>
                <w:lang w:eastAsia="en-AU"/>
              </w:rPr>
            </w:pPr>
            <w:r w:rsidRPr="007A0952">
              <w:rPr>
                <w:color w:val="000000"/>
                <w:lang w:eastAsia="en-AU"/>
              </w:rPr>
              <w:t>Updated Appendix 6 – Updated</w:t>
            </w:r>
            <w:r w:rsidRPr="00FF3141">
              <w:rPr>
                <w:color w:val="000000"/>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02E7622">
            <w:pPr>
              <w:pStyle w:val="Tabletext"/>
            </w:pPr>
            <w:r w:rsidRPr="00FF3141">
              <w:lastRenderedPageBreak/>
              <w:t>1</w:t>
            </w:r>
            <w:r w:rsidR="00473D6D">
              <w:t>1</w:t>
            </w:r>
          </w:p>
        </w:tc>
        <w:tc>
          <w:tcPr>
            <w:tcW w:w="1843" w:type="dxa"/>
          </w:tcPr>
          <w:p w14:paraId="46A2BC6E" w14:textId="434486AA" w:rsidR="00E90124" w:rsidRPr="00FF3141" w:rsidRDefault="00E90124" w:rsidP="002E7622">
            <w:pPr>
              <w:pStyle w:val="Tabletext"/>
            </w:pPr>
            <w:r w:rsidRPr="00FF3141">
              <w:t>16/</w:t>
            </w:r>
            <w:r w:rsidR="00473D6D">
              <w:t>01/2023</w:t>
            </w:r>
          </w:p>
        </w:tc>
        <w:tc>
          <w:tcPr>
            <w:tcW w:w="6520" w:type="dxa"/>
          </w:tcPr>
          <w:p w14:paraId="6C23B4E8" w14:textId="71A4C9CA" w:rsidR="005618FA" w:rsidRPr="00FF3141" w:rsidRDefault="00473D6D" w:rsidP="002E7622">
            <w:pPr>
              <w:pStyle w:val="Tabletext"/>
            </w:pPr>
            <w:r>
              <w:rPr>
                <w:color w:val="000000"/>
                <w:lang w:eastAsia="en-AU"/>
              </w:rPr>
              <w:t>Updated background</w:t>
            </w:r>
            <w:r w:rsidR="002D4312">
              <w:rPr>
                <w:color w:val="000000"/>
                <w:lang w:eastAsia="en-AU"/>
              </w:rPr>
              <w:t xml:space="preserve">, </w:t>
            </w:r>
            <w:r w:rsidRPr="00FF3141">
              <w:rPr>
                <w:color w:val="000000"/>
                <w:lang w:eastAsia="en-AU"/>
              </w:rPr>
              <w:t xml:space="preserve">Updated </w:t>
            </w:r>
            <w:r>
              <w:rPr>
                <w:color w:val="000000"/>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02E7622">
            <w:pPr>
              <w:pStyle w:val="Tabletext"/>
            </w:pPr>
            <w:r>
              <w:t>12</w:t>
            </w:r>
          </w:p>
        </w:tc>
        <w:tc>
          <w:tcPr>
            <w:tcW w:w="1843" w:type="dxa"/>
          </w:tcPr>
          <w:p w14:paraId="58D89D4C" w14:textId="54764BF4" w:rsidR="007775C1" w:rsidRPr="00FF3141" w:rsidRDefault="007775C1" w:rsidP="002E7622">
            <w:pPr>
              <w:pStyle w:val="Tabletext"/>
            </w:pPr>
            <w:r>
              <w:t>01/02/2023</w:t>
            </w:r>
          </w:p>
        </w:tc>
        <w:tc>
          <w:tcPr>
            <w:tcW w:w="6520" w:type="dxa"/>
          </w:tcPr>
          <w:p w14:paraId="09174DB8" w14:textId="6890FE53" w:rsidR="007775C1" w:rsidRDefault="007775C1" w:rsidP="002E7622">
            <w:pPr>
              <w:pStyle w:val="Tabletext"/>
              <w:rPr>
                <w:color w:val="000000"/>
                <w:lang w:eastAsia="en-AU"/>
              </w:rPr>
            </w:pPr>
            <w:r w:rsidRPr="00852563">
              <w:t>JYNNEOS</w:t>
            </w:r>
            <w:r w:rsidRPr="008D4BAC">
              <w:rPr>
                <w:vertAlign w:val="superscript"/>
              </w:rPr>
              <w:t>®</w:t>
            </w:r>
            <w:r>
              <w:rPr>
                <w:vertAlign w:val="superscript"/>
              </w:rPr>
              <w:t xml:space="preserve"> </w:t>
            </w:r>
            <w:r>
              <w:rPr>
                <w:color w:val="000000"/>
                <w:lang w:eastAsia="en-AU"/>
              </w:rPr>
              <w:t xml:space="preserve">vaccine may be given via subcutaneous route </w:t>
            </w:r>
            <w:r w:rsidR="00D76A7D">
              <w:rPr>
                <w:color w:val="000000"/>
                <w:lang w:eastAsia="en-AU"/>
              </w:rPr>
              <w:t xml:space="preserve">for </w:t>
            </w:r>
            <w:r>
              <w:rPr>
                <w:color w:val="000000"/>
                <w:lang w:eastAsia="en-AU"/>
              </w:rPr>
              <w:t xml:space="preserve">PPV </w:t>
            </w:r>
            <w:r w:rsidR="003964BB">
              <w:rPr>
                <w:color w:val="000000"/>
                <w:lang w:eastAsia="en-AU"/>
              </w:rPr>
              <w:t>and</w:t>
            </w:r>
            <w:r>
              <w:rPr>
                <w:color w:val="000000"/>
                <w:lang w:eastAsia="en-AU"/>
              </w:rPr>
              <w:t xml:space="preserve"> PEPV to all people</w:t>
            </w:r>
          </w:p>
        </w:tc>
      </w:tr>
      <w:tr w:rsidR="00996B34" w14:paraId="23E76439" w14:textId="77777777" w:rsidTr="001F4B9C">
        <w:tblPrEx>
          <w:tblCellMar>
            <w:bottom w:w="108" w:type="dxa"/>
          </w:tblCellMar>
          <w:tblLook w:val="0600" w:firstRow="0" w:lastRow="0" w:firstColumn="0" w:lastColumn="0" w:noHBand="1" w:noVBand="1"/>
        </w:tblPrEx>
        <w:tc>
          <w:tcPr>
            <w:tcW w:w="9634" w:type="dxa"/>
            <w:gridSpan w:val="3"/>
          </w:tcPr>
          <w:p w14:paraId="5C5FDC57" w14:textId="734E0E27" w:rsidR="00996B34" w:rsidRPr="00FF3141" w:rsidRDefault="00996B34" w:rsidP="00C016B5">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90" w:name="_Hlk34293438"/>
            <w:r w:rsidR="00405AB5" w:rsidRPr="00FF3141">
              <w:rPr>
                <w:rFonts w:eastAsia="Times" w:cs="Arial"/>
                <w:szCs w:val="21"/>
              </w:rPr>
              <w:fldChar w:fldCharType="begin"/>
            </w:r>
            <w:r w:rsidR="00405AB5" w:rsidRPr="00FF3141">
              <w:rPr>
                <w:rFonts w:eastAsia="Times" w:cs="Arial"/>
                <w:szCs w:val="21"/>
              </w:rPr>
              <w:instrText>HYPERLINK "mailto:immunisation@health.vic.gov.au"</w:instrText>
            </w:r>
            <w:r w:rsidR="00405AB5" w:rsidRPr="00FF3141">
              <w:rPr>
                <w:rFonts w:eastAsia="Times" w:cs="Arial"/>
                <w:szCs w:val="21"/>
              </w:rPr>
              <w:fldChar w:fldCharType="separate"/>
            </w:r>
            <w:r w:rsidR="00405AB5" w:rsidRPr="00FF3141">
              <w:rPr>
                <w:rStyle w:val="Hyperlink"/>
                <w:rFonts w:eastAsia="Times" w:cs="Arial"/>
                <w:szCs w:val="21"/>
              </w:rPr>
              <w:t>email Immunisation unit</w:t>
            </w:r>
            <w:r w:rsidR="00405AB5" w:rsidRPr="00FF3141">
              <w:rPr>
                <w:rFonts w:eastAsia="Times" w:cs="Arial"/>
                <w:szCs w:val="21"/>
              </w:rPr>
              <w:fldChar w:fldCharType="end"/>
            </w:r>
            <w:r w:rsidRPr="00FF3141">
              <w:rPr>
                <w:rFonts w:eastAsia="Times" w:cs="Arial"/>
                <w:szCs w:val="21"/>
              </w:rPr>
              <w:t xml:space="preserve"> &lt;i</w:t>
            </w:r>
            <w:r w:rsidR="00405AB5" w:rsidRPr="00FF3141">
              <w:rPr>
                <w:rFonts w:eastAsia="Times" w:cs="Arial"/>
                <w:szCs w:val="21"/>
              </w:rPr>
              <w:t>mmunisation</w:t>
            </w:r>
            <w:r w:rsidRPr="00FF3141">
              <w:rPr>
                <w:rFonts w:eastAsia="Times" w:cs="Arial"/>
                <w:szCs w:val="21"/>
              </w:rPr>
              <w:t>@health.vic.gov.au&gt;.</w:t>
            </w:r>
          </w:p>
          <w:bookmarkEnd w:id="290"/>
          <w:p w14:paraId="6494DF7A" w14:textId="77777777" w:rsidR="00996B34" w:rsidRPr="00FF3141" w:rsidRDefault="00996B34" w:rsidP="00C016B5">
            <w:pPr>
              <w:pStyle w:val="Imprint"/>
              <w:rPr>
                <w:rFonts w:cs="Arial"/>
                <w:sz w:val="21"/>
                <w:szCs w:val="21"/>
              </w:rPr>
            </w:pPr>
            <w:r w:rsidRPr="00FF3141">
              <w:rPr>
                <w:rFonts w:cs="Arial"/>
                <w:sz w:val="21"/>
                <w:szCs w:val="21"/>
              </w:rPr>
              <w:t>Authorised and published by the Victorian Government, 1 Treasury Place, Melbourne.</w:t>
            </w:r>
          </w:p>
          <w:p w14:paraId="3E4E3E69" w14:textId="013406F9" w:rsidR="00996B34" w:rsidRPr="00FF3141" w:rsidRDefault="00996B34" w:rsidP="00C016B5">
            <w:pPr>
              <w:pStyle w:val="Imprint"/>
              <w:rPr>
                <w:rFonts w:cs="Arial"/>
                <w:sz w:val="21"/>
                <w:szCs w:val="21"/>
              </w:rPr>
            </w:pPr>
            <w:r w:rsidRPr="00FF3141">
              <w:rPr>
                <w:rFonts w:cs="Arial"/>
                <w:sz w:val="21"/>
                <w:szCs w:val="21"/>
              </w:rPr>
              <w:t xml:space="preserve">© State of Victoria, Australia, Department of Health </w:t>
            </w:r>
            <w:r w:rsidR="00405AB5" w:rsidRPr="00FF3141">
              <w:rPr>
                <w:rFonts w:cs="Arial"/>
                <w:sz w:val="21"/>
                <w:szCs w:val="21"/>
              </w:rPr>
              <w:t>September</w:t>
            </w:r>
            <w:r w:rsidRPr="00FF3141">
              <w:rPr>
                <w:rFonts w:cs="Arial"/>
                <w:sz w:val="21"/>
                <w:szCs w:val="21"/>
              </w:rPr>
              <w:t xml:space="preserve"> 2022.</w:t>
            </w:r>
          </w:p>
          <w:p w14:paraId="5ABD1BFB" w14:textId="77777777" w:rsidR="00996B34" w:rsidRPr="00FF3141" w:rsidRDefault="00996B34" w:rsidP="00C016B5">
            <w:pPr>
              <w:pStyle w:val="Imprint"/>
              <w:rPr>
                <w:rFonts w:cs="Arial"/>
                <w:sz w:val="21"/>
                <w:szCs w:val="21"/>
              </w:rPr>
            </w:pPr>
            <w:r w:rsidRPr="00FF3141">
              <w:rPr>
                <w:rFonts w:cs="Arial"/>
                <w:sz w:val="21"/>
                <w:szCs w:val="21"/>
              </w:rPr>
              <w:t xml:space="preserve">Available at </w:t>
            </w:r>
            <w:hyperlink r:id="rId143" w:history="1">
              <w:r w:rsidRPr="00FF3141">
                <w:rPr>
                  <w:rStyle w:val="Hyperlink"/>
                  <w:rFonts w:cs="Arial"/>
                  <w:sz w:val="21"/>
                  <w:szCs w:val="21"/>
                </w:rPr>
                <w:t>Monkeypox</w:t>
              </w:r>
            </w:hyperlink>
            <w:r w:rsidRPr="00FF3141">
              <w:rPr>
                <w:rFonts w:cs="Arial"/>
                <w:sz w:val="21"/>
                <w:szCs w:val="21"/>
              </w:rPr>
              <w:t xml:space="preserve"> </w:t>
            </w:r>
            <w:r w:rsidRPr="00FF3141">
              <w:rPr>
                <w:rFonts w:cs="Arial"/>
                <w:color w:val="000000"/>
                <w:sz w:val="21"/>
                <w:szCs w:val="21"/>
              </w:rPr>
              <w:t>&lt;</w:t>
            </w:r>
            <w:r w:rsidRPr="00FF3141">
              <w:rPr>
                <w:rFonts w:cs="Arial"/>
                <w:sz w:val="21"/>
                <w:szCs w:val="21"/>
              </w:rPr>
              <w:t xml:space="preserve"> </w:t>
            </w:r>
            <w:r w:rsidRPr="00FF3141">
              <w:rPr>
                <w:rFonts w:cs="Arial"/>
                <w:color w:val="000000"/>
                <w:sz w:val="21"/>
                <w:szCs w:val="21"/>
              </w:rPr>
              <w:t>https://www.health.vic.gov.au/infectious-diseases/monkeypox &gt;</w:t>
            </w:r>
          </w:p>
        </w:tc>
      </w:tr>
    </w:tbl>
    <w:p w14:paraId="3FAF2AAC" w14:textId="77777777" w:rsidR="00996B34" w:rsidRDefault="00996B34" w:rsidP="00611939">
      <w:pPr>
        <w:pStyle w:val="Body"/>
      </w:pPr>
    </w:p>
    <w:sectPr w:rsidR="00996B34" w:rsidSect="00454A7D">
      <w:headerReference w:type="even" r:id="rId144"/>
      <w:headerReference w:type="default" r:id="rId145"/>
      <w:footerReference w:type="even" r:id="rId146"/>
      <w:footerReference w:type="default" r:id="rId147"/>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25FCA" w14:textId="77777777" w:rsidR="0028427F" w:rsidRDefault="0028427F">
      <w:r>
        <w:separator/>
      </w:r>
    </w:p>
    <w:p w14:paraId="2CF16B13" w14:textId="77777777" w:rsidR="0028427F" w:rsidRDefault="0028427F"/>
  </w:endnote>
  <w:endnote w:type="continuationSeparator" w:id="0">
    <w:p w14:paraId="1F67911A" w14:textId="77777777" w:rsidR="0028427F" w:rsidRDefault="0028427F">
      <w:r>
        <w:continuationSeparator/>
      </w:r>
    </w:p>
    <w:p w14:paraId="6336597A" w14:textId="77777777" w:rsidR="0028427F" w:rsidRDefault="0028427F"/>
  </w:endnote>
  <w:endnote w:type="continuationNotice" w:id="1">
    <w:p w14:paraId="01EEA4A3" w14:textId="77777777" w:rsidR="0028427F" w:rsidRDefault="00284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73B6432F" wp14:editId="0E5BED20">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DE46" w14:textId="7CCA35CA" w:rsidR="00E57F5B" w:rsidRDefault="00437EAF">
    <w:pPr>
      <w:pStyle w:val="Footer"/>
    </w:pPr>
    <w:r>
      <w:rPr>
        <w:noProof/>
      </w:rPr>
      <mc:AlternateContent>
        <mc:Choice Requires="wps">
          <w:drawing>
            <wp:anchor distT="0" distB="0" distL="114300" distR="114300" simplePos="0" relativeHeight="251658243" behindDoc="0" locked="0" layoutInCell="0" allowOverlap="1" wp14:anchorId="747E7A38" wp14:editId="3C7F9559">
              <wp:simplePos x="0" y="0"/>
              <wp:positionH relativeFrom="page">
                <wp:align>center</wp:align>
              </wp:positionH>
              <wp:positionV relativeFrom="page">
                <wp:align>bottom</wp:align>
              </wp:positionV>
              <wp:extent cx="7772400" cy="502285"/>
              <wp:effectExtent l="0" t="0" r="0" b="12065"/>
              <wp:wrapNone/>
              <wp:docPr id="1" name="MSIPCMb14f41868e687488f4e831f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3610291A" w:rsidR="00437EAF"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E7A38" id="_x0000_t202" coordsize="21600,21600" o:spt="202" path="m,l,21600r21600,l21600,xe">
              <v:stroke joinstyle="miter"/>
              <v:path gradientshapeok="t" o:connecttype="rect"/>
            </v:shapetype>
            <v:shape id="MSIPCMb14f41868e687488f4e831f1"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B167680" w14:textId="3610291A" w:rsidR="00437EAF"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38FF8F63" w:rsidR="00EB4BC7" w:rsidRDefault="00077DBB">
    <w:pPr>
      <w:pStyle w:val="Footer"/>
    </w:pPr>
    <w:r>
      <w:rPr>
        <w:noProof/>
      </w:rPr>
      <mc:AlternateContent>
        <mc:Choice Requires="wps">
          <w:drawing>
            <wp:anchor distT="0" distB="0" distL="114300" distR="114300" simplePos="0" relativeHeight="251658246" behindDoc="0" locked="0" layoutInCell="0" allowOverlap="1" wp14:anchorId="3F2C8C53" wp14:editId="0591518D">
              <wp:simplePos x="0" y="9365456"/>
              <wp:positionH relativeFrom="page">
                <wp:align>center</wp:align>
              </wp:positionH>
              <wp:positionV relativeFrom="page">
                <wp:align>bottom</wp:align>
              </wp:positionV>
              <wp:extent cx="7772400" cy="502285"/>
              <wp:effectExtent l="0" t="0" r="0" b="12065"/>
              <wp:wrapNone/>
              <wp:docPr id="23" name="MSIPCM44f44110b6e0d9998340be9d"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5884976C" w:rsidR="00077DBB"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C8C53" id="_x0000_t202" coordsize="21600,21600" o:spt="202" path="m,l,21600r21600,l21600,xe">
              <v:stroke joinstyle="miter"/>
              <v:path gradientshapeok="t" o:connecttype="rect"/>
            </v:shapetype>
            <v:shape id="MSIPCM44f44110b6e0d9998340be9d"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5F6B" w14:textId="5884976C" w:rsidR="00077DBB"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E8EF" w14:textId="4A197F5E" w:rsidR="00E57F5B" w:rsidRDefault="00437EAF">
    <w:pPr>
      <w:pStyle w:val="Footer"/>
    </w:pPr>
    <w:r>
      <w:rPr>
        <w:noProof/>
      </w:rPr>
      <mc:AlternateContent>
        <mc:Choice Requires="wps">
          <w:drawing>
            <wp:anchor distT="0" distB="0" distL="114300" distR="114300" simplePos="0" relativeHeight="251658245" behindDoc="0" locked="0" layoutInCell="0" allowOverlap="1" wp14:anchorId="4F3827F7" wp14:editId="32F23603">
              <wp:simplePos x="0" y="0"/>
              <wp:positionH relativeFrom="page">
                <wp:align>center</wp:align>
              </wp:positionH>
              <wp:positionV relativeFrom="page">
                <wp:align>bottom</wp:align>
              </wp:positionV>
              <wp:extent cx="7772400" cy="502285"/>
              <wp:effectExtent l="0" t="0" r="0" b="12065"/>
              <wp:wrapNone/>
              <wp:docPr id="5" name="MSIPCMc58f46f5855935a27efedf3c"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5B37C6B7" w:rsidR="00437EAF"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827F7" id="_x0000_t202" coordsize="21600,21600" o:spt="202" path="m,l,21600r21600,l21600,xe">
              <v:stroke joinstyle="miter"/>
              <v:path gradientshapeok="t" o:connecttype="rect"/>
            </v:shapetype>
            <v:shape id="MSIPCMc58f46f5855935a27efedf3c" o:spid="_x0000_s103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7A70FE8" w14:textId="5B37C6B7" w:rsidR="00437EAF"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4A1BAC0C" wp14:editId="110ED5E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561F" w14:textId="28542864" w:rsidR="00431A70" w:rsidRDefault="00625DEC">
    <w:pPr>
      <w:pStyle w:val="Footer"/>
    </w:pPr>
    <w:r>
      <w:rPr>
        <w:noProof/>
      </w:rPr>
      <mc:AlternateContent>
        <mc:Choice Requires="wps">
          <w:drawing>
            <wp:anchor distT="0" distB="0" distL="114300" distR="114300" simplePos="0" relativeHeight="251658244" behindDoc="0" locked="0" layoutInCell="0" allowOverlap="1" wp14:anchorId="3F9E53E7" wp14:editId="012FC27A">
              <wp:simplePos x="0" y="0"/>
              <wp:positionH relativeFrom="page">
                <wp:align>center</wp:align>
              </wp:positionH>
              <wp:positionV relativeFrom="page">
                <wp:align>bottom</wp:align>
              </wp:positionV>
              <wp:extent cx="7772400" cy="502285"/>
              <wp:effectExtent l="0" t="0" r="0" b="12065"/>
              <wp:wrapNone/>
              <wp:docPr id="2" name="MSIPCM87044b5a89c31d1e39432209"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7CF3CD08" w:rsidR="00625DEC"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E53E7" id="_x0000_t202" coordsize="21600,21600" o:spt="202" path="m,l,21600r21600,l21600,xe">
              <v:stroke joinstyle="miter"/>
              <v:path gradientshapeok="t" o:connecttype="rect"/>
            </v:shapetype>
            <v:shape id="MSIPCM87044b5a89c31d1e39432209" o:spid="_x0000_s1032"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A18909D" w14:textId="7CF3CD08" w:rsidR="00625DEC" w:rsidRPr="0019762F" w:rsidRDefault="0019762F" w:rsidP="0019762F">
                    <w:pPr>
                      <w:spacing w:after="0"/>
                      <w:jc w:val="center"/>
                      <w:rPr>
                        <w:rFonts w:ascii="Arial Black" w:hAnsi="Arial Black"/>
                        <w:color w:val="000000"/>
                        <w:sz w:val="20"/>
                      </w:rPr>
                    </w:pPr>
                    <w:r w:rsidRPr="0019762F">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2" behindDoc="0" locked="0" layoutInCell="0" allowOverlap="1" wp14:anchorId="3AB64DA9" wp14:editId="20447C78">
              <wp:simplePos x="0" y="0"/>
              <wp:positionH relativeFrom="page">
                <wp:align>center</wp:align>
              </wp:positionH>
              <wp:positionV relativeFrom="page">
                <wp:align>bottom</wp:align>
              </wp:positionV>
              <wp:extent cx="7772400" cy="502285"/>
              <wp:effectExtent l="0" t="0" r="0" b="12065"/>
              <wp:wrapNone/>
              <wp:docPr id="30" name="MSIPCM5f694781acc557ca32afe06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MSIPCM5f694781acc557ca32afe063" o:spid="_x0000_s1033"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9B469" w14:textId="77777777" w:rsidR="0028427F" w:rsidRDefault="0028427F" w:rsidP="00207717">
      <w:pPr>
        <w:spacing w:before="120"/>
      </w:pPr>
      <w:r>
        <w:separator/>
      </w:r>
    </w:p>
  </w:footnote>
  <w:footnote w:type="continuationSeparator" w:id="0">
    <w:p w14:paraId="1EF4B95A" w14:textId="77777777" w:rsidR="0028427F" w:rsidRDefault="0028427F">
      <w:r>
        <w:continuationSeparator/>
      </w:r>
    </w:p>
    <w:p w14:paraId="2D777A87" w14:textId="77777777" w:rsidR="0028427F" w:rsidRDefault="0028427F"/>
  </w:footnote>
  <w:footnote w:type="continuationNotice" w:id="1">
    <w:p w14:paraId="4A7C5B42" w14:textId="77777777" w:rsidR="0028427F" w:rsidRDefault="0028427F">
      <w:pPr>
        <w:spacing w:after="0" w:line="240" w:lineRule="auto"/>
      </w:pPr>
    </w:p>
  </w:footnote>
  <w:footnote w:id="2">
    <w:p w14:paraId="23CD2A6E" w14:textId="6FA62953" w:rsidR="002C1D9D" w:rsidRPr="009D4284" w:rsidRDefault="00077DBB" w:rsidP="007B0C29">
      <w:pPr>
        <w:spacing w:after="0" w:line="240" w:lineRule="auto"/>
        <w:rPr>
          <w:sz w:val="16"/>
        </w:rPr>
      </w:pPr>
      <w:r w:rsidRPr="009D4284">
        <w:rPr>
          <w:rStyle w:val="FootnoteReference"/>
          <w:sz w:val="16"/>
        </w:rPr>
        <w:footnoteRef/>
      </w:r>
      <w:r w:rsidR="00665212">
        <w:rPr>
          <w:sz w:val="16"/>
        </w:rPr>
        <w:t xml:space="preserve"> Australian</w:t>
      </w:r>
      <w:r w:rsidR="006559C9">
        <w:rPr>
          <w:sz w:val="16"/>
        </w:rPr>
        <w:t xml:space="preserve"> Technical Advisory Group on Immunisation </w:t>
      </w:r>
      <w:r w:rsidR="008729B0">
        <w:rPr>
          <w:sz w:val="16"/>
        </w:rPr>
        <w:t>(ATAGI)</w:t>
      </w:r>
      <w:r w:rsidR="006559C9">
        <w:rPr>
          <w:sz w:val="16"/>
        </w:rPr>
        <w:t xml:space="preserve"> </w:t>
      </w:r>
      <w:r w:rsidR="00AB57A0">
        <w:rPr>
          <w:sz w:val="16"/>
        </w:rPr>
        <w:t xml:space="preserve">Dec </w:t>
      </w:r>
      <w:r w:rsidR="006559C9">
        <w:rPr>
          <w:sz w:val="16"/>
        </w:rPr>
        <w:t xml:space="preserve">2022 </w:t>
      </w:r>
      <w:r w:rsidR="00AB57A0" w:rsidRPr="00AB57A0">
        <w:rPr>
          <w:i/>
          <w:iCs/>
          <w:sz w:val="16"/>
        </w:rPr>
        <w:t xml:space="preserve">Updated </w:t>
      </w:r>
      <w:r w:rsidR="006559C9" w:rsidRPr="006559C9">
        <w:rPr>
          <w:i/>
          <w:iCs/>
          <w:sz w:val="16"/>
        </w:rPr>
        <w:t>ATAGI clinical guidance on vaccination against Monkeypox</w:t>
      </w:r>
      <w:r w:rsidR="006559C9">
        <w:rPr>
          <w:sz w:val="16"/>
        </w:rPr>
        <w:t xml:space="preserve">. Australian Government. </w:t>
      </w:r>
      <w:r w:rsidR="002C1D9D" w:rsidRPr="00FA70FC">
        <w:rPr>
          <w:sz w:val="16"/>
        </w:rPr>
        <w:t>&lt;</w:t>
      </w:r>
      <w:hyperlink r:id="rId1" w:history="1">
        <w:r w:rsidR="002C1D9D" w:rsidRPr="00352CB1">
          <w:rPr>
            <w:rStyle w:val="Hyperlink"/>
            <w:sz w:val="16"/>
          </w:rPr>
          <w:t>https://www.health.gov.au/resources/publications/atagi-clinical-guidance-on-vaccination-against-monkeypox</w:t>
        </w:r>
      </w:hyperlink>
      <w:r w:rsidR="002C1D9D" w:rsidRPr="00FA70FC">
        <w:rPr>
          <w:sz w:val="16"/>
        </w:rPr>
        <w:t>&gt;</w:t>
      </w:r>
    </w:p>
  </w:footnote>
  <w:footnote w:id="3">
    <w:p w14:paraId="535195B3" w14:textId="279CE52F" w:rsidR="00077DBB" w:rsidRPr="009D4284" w:rsidRDefault="00077DBB" w:rsidP="007B0C29">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A33F1A">
        <w:rPr>
          <w:sz w:val="16"/>
        </w:rPr>
        <w:t xml:space="preserve">2022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7BE8CC4A" w14:textId="34346887" w:rsidR="00077DBB" w:rsidRPr="00F922F2" w:rsidRDefault="00077DBB" w:rsidP="007B0C29">
      <w:pPr>
        <w:spacing w:after="0" w:line="240" w:lineRule="auto"/>
        <w:rPr>
          <w:sz w:val="16"/>
        </w:rPr>
      </w:pPr>
      <w:r w:rsidRPr="009D4284">
        <w:rPr>
          <w:rStyle w:val="FootnoteReference"/>
          <w:sz w:val="16"/>
        </w:rPr>
        <w:footnoteRef/>
      </w:r>
      <w:r w:rsidRPr="009D4284">
        <w:rPr>
          <w:sz w:val="16"/>
        </w:rPr>
        <w:t xml:space="preserve"> </w:t>
      </w:r>
      <w:r w:rsidR="008729B0">
        <w:rPr>
          <w:sz w:val="16"/>
        </w:rPr>
        <w:t>ATAGI</w:t>
      </w:r>
      <w:r w:rsidR="00417D9E">
        <w:rPr>
          <w:sz w:val="16"/>
        </w:rPr>
        <w:t xml:space="preserve"> 2022 </w:t>
      </w:r>
      <w:r w:rsidR="00AB57A0">
        <w:rPr>
          <w:sz w:val="16"/>
        </w:rPr>
        <w:t xml:space="preserve">Dec 2022 </w:t>
      </w:r>
      <w:r w:rsidR="00AB57A0" w:rsidRPr="00AB57A0">
        <w:rPr>
          <w:i/>
          <w:iCs/>
          <w:sz w:val="16"/>
        </w:rPr>
        <w:t xml:space="preserve">Updated </w:t>
      </w:r>
      <w:r w:rsidR="00AB57A0" w:rsidRPr="006559C9">
        <w:rPr>
          <w:i/>
          <w:iCs/>
          <w:sz w:val="16"/>
        </w:rPr>
        <w:t>ATAGI clinical guidance on vaccination against Monkeypox</w:t>
      </w:r>
      <w:r w:rsidR="005A65AF">
        <w:rPr>
          <w:i/>
          <w:iCs/>
          <w:sz w:val="16"/>
        </w:rPr>
        <w:t xml:space="preserve"> (Mpox)</w:t>
      </w:r>
      <w:r w:rsidR="00AB57A0">
        <w:rPr>
          <w:sz w:val="16"/>
        </w:rPr>
        <w:t xml:space="preserve">. Australian Government. </w:t>
      </w:r>
      <w:r w:rsidR="00AB57A0" w:rsidRPr="00FA70FC">
        <w:rPr>
          <w:sz w:val="16"/>
        </w:rPr>
        <w:t>&lt;</w:t>
      </w:r>
      <w:hyperlink r:id="rId3" w:history="1">
        <w:r w:rsidR="00AB57A0" w:rsidRPr="00352CB1">
          <w:rPr>
            <w:rStyle w:val="Hyperlink"/>
            <w:sz w:val="16"/>
          </w:rPr>
          <w:t>https://www.health.gov.au/resources/publications/atagi-clinical-guidance-on-vaccination-against-monkeypox</w:t>
        </w:r>
      </w:hyperlink>
      <w:r w:rsidR="00AB57A0" w:rsidRPr="00FA70FC">
        <w:rPr>
          <w:sz w:val="16"/>
        </w:rPr>
        <w:t>&gt;</w:t>
      </w:r>
      <w:r w:rsidR="00417D9E" w:rsidRPr="00FA70FC">
        <w:rPr>
          <w:sz w:val="16"/>
        </w:rPr>
        <w:t>&gt;</w:t>
      </w:r>
    </w:p>
  </w:footnote>
  <w:footnote w:id="5">
    <w:p w14:paraId="686983EE" w14:textId="5692A90B"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417D9E" w:rsidRPr="00E67D06">
        <w:rPr>
          <w:sz w:val="16"/>
        </w:rPr>
        <w:t xml:space="preserve">2022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4" w:history="1">
        <w:r w:rsidR="00864B7B">
          <w:rPr>
            <w:rStyle w:val="Hyperlink"/>
            <w:sz w:val="16"/>
          </w:rPr>
          <w:t>https://www.health.vic.gov.au/infectious-diseases/mpox-monkeypox</w:t>
        </w:r>
      </w:hyperlink>
      <w:r w:rsidR="00E67D06" w:rsidRPr="00E67D06">
        <w:rPr>
          <w:sz w:val="16"/>
        </w:rPr>
        <w:t>&gt;</w:t>
      </w:r>
    </w:p>
  </w:footnote>
  <w:footnote w:id="6">
    <w:p w14:paraId="6182B8A9" w14:textId="0E65E1C9" w:rsidR="00282EAE" w:rsidRDefault="007B2903" w:rsidP="001E216B">
      <w:pPr>
        <w:spacing w:after="0" w:line="240" w:lineRule="auto"/>
      </w:pPr>
      <w:r w:rsidRPr="00867196">
        <w:rPr>
          <w:rStyle w:val="FootnoteReference"/>
          <w:sz w:val="16"/>
        </w:rPr>
        <w:footnoteRef/>
      </w:r>
      <w:r w:rsidRPr="00867196">
        <w:rPr>
          <w:sz w:val="16"/>
        </w:rPr>
        <w:t xml:space="preserve"> </w:t>
      </w:r>
      <w:r w:rsidR="008729B0">
        <w:rPr>
          <w:sz w:val="16"/>
        </w:rPr>
        <w:t>ATAGI</w:t>
      </w:r>
      <w:r w:rsidR="00F91F2D">
        <w:rPr>
          <w:sz w:val="16"/>
        </w:rPr>
        <w:t xml:space="preserve"> </w:t>
      </w:r>
      <w:r w:rsidR="001E216B">
        <w:rPr>
          <w:sz w:val="16"/>
        </w:rPr>
        <w:t xml:space="preserve">Dec 2022 </w:t>
      </w:r>
      <w:r w:rsidR="001E216B" w:rsidRPr="00AB57A0">
        <w:rPr>
          <w:i/>
          <w:iCs/>
          <w:sz w:val="16"/>
        </w:rPr>
        <w:t xml:space="preserve">Updated </w:t>
      </w:r>
      <w:r w:rsidR="001E216B" w:rsidRPr="006559C9">
        <w:rPr>
          <w:i/>
          <w:iCs/>
          <w:sz w:val="16"/>
        </w:rPr>
        <w:t>ATAGI clinical guidance on vaccination against Monkeypox</w:t>
      </w:r>
      <w:r w:rsidR="007B0CDD">
        <w:rPr>
          <w:i/>
          <w:iCs/>
          <w:sz w:val="16"/>
        </w:rPr>
        <w:t xml:space="preserve"> (mpox)</w:t>
      </w:r>
      <w:r w:rsidR="001E216B">
        <w:rPr>
          <w:sz w:val="16"/>
        </w:rPr>
        <w:t xml:space="preserve">. Australian Government. </w:t>
      </w:r>
      <w:r w:rsidR="001E216B" w:rsidRPr="00FA70FC">
        <w:rPr>
          <w:sz w:val="16"/>
        </w:rPr>
        <w:t>&lt;</w:t>
      </w:r>
      <w:hyperlink r:id="rId5"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7">
    <w:p w14:paraId="0CBEDE5A" w14:textId="1B9D5A0A" w:rsidR="4510DC17" w:rsidRPr="004F11F9" w:rsidRDefault="4510DC17" w:rsidP="4510DC17">
      <w:pPr>
        <w:pStyle w:val="FootnoteText"/>
        <w:rPr>
          <w:sz w:val="16"/>
        </w:rPr>
      </w:pPr>
      <w:r w:rsidRPr="004F11F9">
        <w:rPr>
          <w:rStyle w:val="FootnoteReference"/>
          <w:sz w:val="16"/>
        </w:rPr>
        <w:footnoteRef/>
      </w:r>
      <w:r w:rsidR="002533B8" w:rsidRPr="00F60790">
        <w:rPr>
          <w:sz w:val="16"/>
        </w:rPr>
        <w:t xml:space="preserve"> </w:t>
      </w:r>
      <w:r w:rsidR="00F50CC2">
        <w:rPr>
          <w:sz w:val="16"/>
        </w:rPr>
        <w:t>Department of Health</w:t>
      </w:r>
      <w:r w:rsidR="004C6853">
        <w:rPr>
          <w:sz w:val="16"/>
        </w:rPr>
        <w:t xml:space="preserve"> and Aged Care</w:t>
      </w:r>
      <w:r w:rsidR="002533B8" w:rsidRPr="00F60790">
        <w:rPr>
          <w:sz w:val="16"/>
        </w:rPr>
        <w:t xml:space="preserve"> 2022 </w:t>
      </w:r>
      <w:r w:rsidR="00E678E0">
        <w:rPr>
          <w:i/>
          <w:iCs/>
          <w:sz w:val="16"/>
        </w:rPr>
        <w:t>Mpox (monkeypox)</w:t>
      </w:r>
      <w:r w:rsidR="002533B8" w:rsidRPr="004C6853">
        <w:rPr>
          <w:i/>
          <w:iCs/>
          <w:sz w:val="16"/>
        </w:rPr>
        <w:t xml:space="preserve"> – Information on JYNNEOS® vaccine</w:t>
      </w:r>
      <w:r w:rsidR="004C6853">
        <w:rPr>
          <w:sz w:val="16"/>
        </w:rPr>
        <w:t>.</w:t>
      </w:r>
      <w:r w:rsidR="002533B8">
        <w:rPr>
          <w:sz w:val="16"/>
        </w:rPr>
        <w:t xml:space="preserve"> </w:t>
      </w:r>
      <w:r w:rsidR="004C6853">
        <w:rPr>
          <w:sz w:val="16"/>
        </w:rPr>
        <w:t xml:space="preserve">Australian Government </w:t>
      </w:r>
      <w:r w:rsidR="002533B8">
        <w:rPr>
          <w:sz w:val="16"/>
        </w:rPr>
        <w:t>&lt;</w:t>
      </w:r>
      <w:hyperlink r:id="rId6" w:history="1">
        <w:r w:rsidR="00513386">
          <w:rPr>
            <w:rStyle w:val="Hyperlink"/>
            <w:sz w:val="16"/>
          </w:rPr>
          <w:t>https://www.health.gov.au/resources/publications/mpox-monkeypox-information-on-jynneosr-vaccine?language=en</w:t>
        </w:r>
      </w:hyperlink>
      <w:r w:rsidR="002533B8" w:rsidRPr="002533B8">
        <w:rPr>
          <w:sz w:val="16"/>
        </w:rPr>
        <w:t>&gt;</w:t>
      </w:r>
    </w:p>
  </w:footnote>
  <w:footnote w:id="8">
    <w:p w14:paraId="165913EE" w14:textId="3DD52864" w:rsidR="0064379E" w:rsidRDefault="0064379E" w:rsidP="00C4420F">
      <w:pPr>
        <w:spacing w:after="0" w:line="240" w:lineRule="auto"/>
      </w:pPr>
      <w:r>
        <w:rPr>
          <w:rStyle w:val="FootnoteReference"/>
        </w:rPr>
        <w:footnoteRef/>
      </w:r>
      <w: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w:t>
      </w:r>
      <w:r w:rsidR="00470E22">
        <w:rPr>
          <w:i/>
          <w:iCs/>
          <w:sz w:val="16"/>
        </w:rPr>
        <w:t>x (mpox)</w:t>
      </w:r>
      <w:r w:rsidR="001E216B">
        <w:rPr>
          <w:sz w:val="16"/>
        </w:rPr>
        <w:t xml:space="preserve">. Australian Government. </w:t>
      </w:r>
      <w:r w:rsidR="001E216B" w:rsidRPr="00FA70FC">
        <w:rPr>
          <w:sz w:val="16"/>
        </w:rPr>
        <w:t>&lt;</w:t>
      </w:r>
      <w:hyperlink r:id="rId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9">
    <w:p w14:paraId="633211A7" w14:textId="59E1F0CE" w:rsidR="00173C67" w:rsidRDefault="00173C67" w:rsidP="00173C67">
      <w:pPr>
        <w:pStyle w:val="FootnoteText"/>
        <w:rPr>
          <w:sz w:val="16"/>
        </w:rPr>
      </w:pPr>
      <w:r w:rsidRPr="00EC677C">
        <w:rPr>
          <w:rStyle w:val="FootnoteReference"/>
          <w:sz w:val="16"/>
        </w:rPr>
        <w:footnoteRef/>
      </w:r>
      <w:r w:rsidRPr="00EC677C">
        <w:rPr>
          <w:sz w:val="16"/>
        </w:rPr>
        <w:t xml:space="preserve"> </w:t>
      </w:r>
      <w:hyperlink r:id="rId8" w:history="1">
        <w:r w:rsidR="004D362C">
          <w:rPr>
            <w:rStyle w:val="Hyperlink"/>
            <w:sz w:val="16"/>
          </w:rPr>
          <w:t>,</w:t>
        </w:r>
      </w:hyperlink>
      <w:r w:rsidR="004D362C">
        <w:rPr>
          <w:sz w:val="16"/>
        </w:rPr>
        <w:t xml:space="preserve"> </w:t>
      </w:r>
      <w:r w:rsidR="004D362C" w:rsidRPr="00EC677C">
        <w:rPr>
          <w:rStyle w:val="FootnoteReference"/>
          <w:sz w:val="16"/>
        </w:rPr>
        <w:footnoteRef/>
      </w:r>
      <w:r w:rsidR="004D362C">
        <w:rPr>
          <w:sz w:val="16"/>
        </w:rPr>
        <w:t xml:space="preserve">, </w:t>
      </w:r>
      <w:r w:rsidR="004D362C" w:rsidRPr="00EC677C">
        <w:rPr>
          <w:rStyle w:val="FootnoteReference"/>
          <w:sz w:val="16"/>
        </w:rPr>
        <w:footnoteRef/>
      </w:r>
      <w:hyperlink r:id="rId9" w:history="1">
        <w:r w:rsidR="004D362C" w:rsidRPr="001D1A80">
          <w:rPr>
            <w:rStyle w:val="Hyperlink"/>
            <w:sz w:val="16"/>
          </w:rPr>
          <w:t xml:space="preserve"> ibid</w:t>
        </w:r>
      </w:hyperlink>
    </w:p>
    <w:p w14:paraId="28133103" w14:textId="77777777" w:rsidR="004D362C" w:rsidRPr="00EC677C" w:rsidRDefault="004D362C" w:rsidP="00173C67">
      <w:pPr>
        <w:pStyle w:val="FootnoteText"/>
        <w:rPr>
          <w:sz w:val="16"/>
        </w:rPr>
      </w:pPr>
    </w:p>
  </w:footnote>
  <w:footnote w:id="10">
    <w:p w14:paraId="33A9B3EF" w14:textId="61D17034" w:rsidR="00EA56D2" w:rsidRPr="00EC677C" w:rsidRDefault="00EA56D2">
      <w:pPr>
        <w:pStyle w:val="FootnoteText"/>
        <w:rPr>
          <w:sz w:val="16"/>
        </w:rPr>
      </w:pPr>
    </w:p>
  </w:footnote>
  <w:footnote w:id="11">
    <w:p w14:paraId="0D0A5214" w14:textId="3ACA5F85" w:rsidR="00932E3F" w:rsidRPr="00932E3F" w:rsidRDefault="00932E3F">
      <w:pPr>
        <w:pStyle w:val="FootnoteText"/>
        <w:rPr>
          <w:sz w:val="16"/>
        </w:rPr>
      </w:pPr>
    </w:p>
  </w:footnote>
  <w:footnote w:id="12">
    <w:p w14:paraId="25A90E0E" w14:textId="77777777" w:rsidR="006143F6" w:rsidRDefault="006143F6" w:rsidP="006143F6">
      <w:pPr>
        <w:spacing w:after="0" w:line="240" w:lineRule="auto"/>
      </w:pPr>
      <w:r w:rsidRPr="00867196">
        <w:rPr>
          <w:rStyle w:val="FootnoteReference"/>
          <w:sz w:val="16"/>
        </w:rPr>
        <w:footnoteRef/>
      </w:r>
      <w:r w:rsidRPr="00867196">
        <w:rPr>
          <w:sz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(mpox)</w:t>
      </w:r>
      <w:r>
        <w:rPr>
          <w:sz w:val="16"/>
        </w:rPr>
        <w:t xml:space="preserve">. Australian Government. </w:t>
      </w:r>
      <w:r w:rsidRPr="00FA70FC">
        <w:rPr>
          <w:sz w:val="16"/>
        </w:rPr>
        <w:t>&lt;</w:t>
      </w:r>
      <w:hyperlink r:id="rId10" w:history="1">
        <w:r w:rsidRPr="00352CB1">
          <w:rPr>
            <w:rStyle w:val="Hyperlink"/>
            <w:sz w:val="16"/>
          </w:rPr>
          <w:t>https://www.health.gov.au/resources/publications/atagi-clinical-guidance-on-vaccination-against-monkeypox</w:t>
        </w:r>
      </w:hyperlink>
      <w:r w:rsidRPr="00FA70FC">
        <w:rPr>
          <w:sz w:val="16"/>
        </w:rPr>
        <w:t>&gt;</w:t>
      </w:r>
    </w:p>
  </w:footnote>
  <w:footnote w:id="13">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11"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4">
    <w:p w14:paraId="7A62C05A" w14:textId="77777777" w:rsidR="006143F6" w:rsidRPr="004E1CA6" w:rsidRDefault="006143F6" w:rsidP="006143F6">
      <w:pPr>
        <w:spacing w:after="0" w:line="240" w:lineRule="auto"/>
        <w:rPr>
          <w:sz w:val="12"/>
          <w:szCs w:val="12"/>
        </w:rPr>
      </w:pPr>
      <w:r w:rsidRPr="004E1CA6">
        <w:rPr>
          <w:rStyle w:val="FootnoteReference"/>
          <w:sz w:val="16"/>
          <w:szCs w:val="16"/>
        </w:rPr>
        <w:footnoteRef/>
      </w:r>
      <w:r w:rsidRPr="004E1CA6">
        <w:rPr>
          <w:sz w:val="16"/>
          <w:szCs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(mpox)</w:t>
      </w:r>
      <w:r>
        <w:rPr>
          <w:sz w:val="16"/>
        </w:rPr>
        <w:t xml:space="preserve">. Australian Government. </w:t>
      </w:r>
      <w:r w:rsidRPr="00FA70FC">
        <w:rPr>
          <w:sz w:val="16"/>
        </w:rPr>
        <w:t>&lt;</w:t>
      </w:r>
      <w:hyperlink r:id="rId12" w:history="1">
        <w:r w:rsidRPr="00352CB1">
          <w:rPr>
            <w:rStyle w:val="Hyperlink"/>
            <w:sz w:val="16"/>
          </w:rPr>
          <w:t>https://www.health.gov.au/resources/publications/atagi-clinical-guidance-on-vaccination-against-monkeypox</w:t>
        </w:r>
      </w:hyperlink>
      <w:r w:rsidRPr="00FA70FC">
        <w:rPr>
          <w:sz w:val="16"/>
        </w:rPr>
        <w:t>&gt;</w:t>
      </w:r>
    </w:p>
  </w:footnote>
  <w:footnote w:id="15">
    <w:p w14:paraId="3E94EB2E" w14:textId="008F126F" w:rsidR="00110C8E" w:rsidRPr="00815128" w:rsidRDefault="00110C8E" w:rsidP="00E204CB">
      <w:pPr>
        <w:spacing w:after="0" w:line="240" w:lineRule="auto"/>
        <w:rPr>
          <w:sz w:val="16"/>
          <w:szCs w:val="16"/>
        </w:rPr>
      </w:pPr>
      <w:r w:rsidRPr="00815128">
        <w:rPr>
          <w:rStyle w:val="FootnoteReference"/>
          <w:sz w:val="16"/>
          <w:szCs w:val="16"/>
        </w:rPr>
        <w:footnoteRef/>
      </w:r>
      <w:r w:rsidRPr="00815128">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(mpox)</w:t>
      </w:r>
      <w:r w:rsidR="001E216B">
        <w:rPr>
          <w:sz w:val="16"/>
        </w:rPr>
        <w:t xml:space="preserve">. Australian Government. </w:t>
      </w:r>
      <w:r w:rsidR="001E216B" w:rsidRPr="00FA70FC">
        <w:rPr>
          <w:sz w:val="16"/>
        </w:rPr>
        <w:t>&lt;</w:t>
      </w:r>
      <w:hyperlink r:id="rId13"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16">
    <w:p w14:paraId="148B1EB0" w14:textId="47C13AC7" w:rsidR="00DB0C9F" w:rsidRPr="00815128" w:rsidRDefault="00DB0C9F">
      <w:pPr>
        <w:pStyle w:val="FootnoteText"/>
        <w:rPr>
          <w:sz w:val="16"/>
        </w:rPr>
      </w:pPr>
      <w:r w:rsidRPr="00815128">
        <w:rPr>
          <w:rStyle w:val="FootnoteReference"/>
          <w:sz w:val="16"/>
        </w:rPr>
        <w:footnoteRef/>
      </w:r>
      <w:r w:rsidRPr="00815128">
        <w:rPr>
          <w:sz w:val="16"/>
        </w:rPr>
        <w:t xml:space="preserve"> </w:t>
      </w:r>
      <w:r w:rsidR="00A460D9" w:rsidRPr="00815128">
        <w:rPr>
          <w:sz w:val="16"/>
        </w:rPr>
        <w:t xml:space="preserve"> </w:t>
      </w:r>
      <w:r w:rsidR="0008430D" w:rsidRPr="00815128">
        <w:rPr>
          <w:rStyle w:val="FootnoteReference"/>
          <w:sz w:val="16"/>
        </w:rPr>
        <w:footnoteRef/>
      </w:r>
      <w:r w:rsidR="00A460D9" w:rsidRPr="00815128">
        <w:rPr>
          <w:sz w:val="16"/>
        </w:rPr>
        <w:t xml:space="preserve"> Department of Health and Aged Care</w:t>
      </w:r>
      <w:r w:rsidR="003F53FA" w:rsidRPr="00815128">
        <w:rPr>
          <w:sz w:val="16"/>
        </w:rPr>
        <w:t xml:space="preserve"> </w:t>
      </w:r>
      <w:r w:rsidR="00A460D9" w:rsidRPr="00815128">
        <w:rPr>
          <w:sz w:val="16"/>
        </w:rPr>
        <w:t xml:space="preserve">2022 </w:t>
      </w:r>
      <w:r w:rsidR="00A460D9" w:rsidRPr="00815128">
        <w:rPr>
          <w:i/>
          <w:iCs/>
          <w:sz w:val="16"/>
        </w:rPr>
        <w:t>M</w:t>
      </w:r>
      <w:r w:rsidR="00A655BD">
        <w:rPr>
          <w:i/>
          <w:iCs/>
          <w:sz w:val="16"/>
        </w:rPr>
        <w:t>pox (monkeypox)</w:t>
      </w:r>
      <w:r w:rsidR="00A460D9" w:rsidRPr="00815128">
        <w:rPr>
          <w:i/>
          <w:iCs/>
          <w:sz w:val="16"/>
        </w:rPr>
        <w:t>– Information on JYNNEOS® vaccine</w:t>
      </w:r>
      <w:r w:rsidR="00A460D9" w:rsidRPr="00815128">
        <w:rPr>
          <w:sz w:val="16"/>
        </w:rPr>
        <w:t>. Australian Government &lt;</w:t>
      </w:r>
      <w:hyperlink r:id="rId14" w:history="1">
        <w:r w:rsidR="00A655BD">
          <w:rPr>
            <w:rStyle w:val="Hyperlink"/>
            <w:sz w:val="16"/>
          </w:rPr>
          <w:t>https://www.health.gov.au/resources/publications/mpox-monkeypox-information-on-jynneosr-vaccine?language=en</w:t>
        </w:r>
      </w:hyperlink>
      <w:r w:rsidR="00A460D9" w:rsidRPr="00815128">
        <w:rPr>
          <w:sz w:val="16"/>
        </w:rPr>
        <w:t>&gt;</w:t>
      </w:r>
    </w:p>
  </w:footnote>
  <w:footnote w:id="17">
    <w:p w14:paraId="1F5F6591" w14:textId="133F6891" w:rsidR="001C296B" w:rsidRDefault="001C296B">
      <w:pPr>
        <w:pStyle w:val="FootnoteText"/>
      </w:pPr>
      <w:r w:rsidRPr="00815128">
        <w:rPr>
          <w:rStyle w:val="FootnoteReference"/>
          <w:sz w:val="16"/>
        </w:rPr>
        <w:footnoteRef/>
      </w:r>
      <w:r w:rsidRPr="00815128">
        <w:rPr>
          <w:sz w:val="16"/>
        </w:rPr>
        <w:t xml:space="preserve"> CDC 2022 </w:t>
      </w:r>
      <w:r w:rsidR="00815128" w:rsidRPr="00815128">
        <w:rPr>
          <w:sz w:val="16"/>
        </w:rPr>
        <w:t>General Principles for Vaccine Scheduling &lt;</w:t>
      </w:r>
      <w:hyperlink r:id="rId15" w:history="1">
        <w:r w:rsidR="00815128" w:rsidRPr="00815128">
          <w:rPr>
            <w:rStyle w:val="Hyperlink"/>
            <w:sz w:val="16"/>
          </w:rPr>
          <w:t>https://www.cdc.gov/vaccines/hcp/acip-recs/general-recs/timing.html</w:t>
        </w:r>
      </w:hyperlink>
    </w:p>
  </w:footnote>
  <w:footnote w:id="18">
    <w:p w14:paraId="1E6AFE3F" w14:textId="5FFC23A7" w:rsidR="00D161D2" w:rsidRPr="00E63444" w:rsidRDefault="00D161D2">
      <w:pPr>
        <w:pStyle w:val="FootnoteText"/>
        <w:rPr>
          <w:sz w:val="16"/>
        </w:rPr>
      </w:pPr>
      <w:r w:rsidRPr="00E63444">
        <w:rPr>
          <w:rStyle w:val="FootnoteReference"/>
          <w:sz w:val="16"/>
        </w:rPr>
        <w:footnoteRef/>
      </w:r>
      <w:r w:rsidRPr="00E63444">
        <w:rPr>
          <w:sz w:val="16"/>
        </w:rPr>
        <w:t xml:space="preserve"> </w:t>
      </w:r>
      <w:r w:rsidR="00CE5FD4" w:rsidRPr="00E63444">
        <w:rPr>
          <w:sz w:val="16"/>
        </w:rPr>
        <w:t>ATAGI</w:t>
      </w:r>
      <w:r w:rsidR="00CE5FD4" w:rsidRPr="00E63444">
        <w:rPr>
          <w:color w:val="313131"/>
          <w:sz w:val="16"/>
          <w:shd w:val="clear" w:color="auto" w:fill="FFFFFF"/>
        </w:rPr>
        <w:t>. 2022 A</w:t>
      </w:r>
      <w:r w:rsidR="00CE5FD4" w:rsidRPr="00E63444">
        <w:rPr>
          <w:i/>
          <w:iCs/>
          <w:color w:val="313131"/>
          <w:sz w:val="16"/>
          <w:shd w:val="clear" w:color="auto" w:fill="FFFFFF"/>
        </w:rPr>
        <w:t>ustralian Immunisation Handbook,</w:t>
      </w:r>
      <w:r w:rsidR="00CE5FD4" w:rsidRPr="00E63444">
        <w:rPr>
          <w:color w:val="313131"/>
          <w:sz w:val="16"/>
          <w:shd w:val="clear" w:color="auto" w:fill="FFFFFF"/>
        </w:rPr>
        <w:t xml:space="preserve"> </w:t>
      </w:r>
      <w:r w:rsidR="00763057" w:rsidRPr="00763057">
        <w:rPr>
          <w:i/>
          <w:iCs/>
          <w:color w:val="313131"/>
          <w:sz w:val="16"/>
          <w:shd w:val="clear" w:color="auto" w:fill="FFFFFF"/>
        </w:rPr>
        <w:t>Spacing of Different Vaccines -</w:t>
      </w:r>
      <w:r w:rsidR="00763057">
        <w:rPr>
          <w:color w:val="313131"/>
          <w:sz w:val="16"/>
          <w:shd w:val="clear" w:color="auto" w:fill="FFFFFF"/>
        </w:rPr>
        <w:t xml:space="preserve"> </w:t>
      </w:r>
      <w:r w:rsidR="00CE5FD4" w:rsidRPr="00E63444">
        <w:rPr>
          <w:color w:val="313131"/>
          <w:sz w:val="16"/>
          <w:shd w:val="clear" w:color="auto" w:fill="FFFFFF"/>
        </w:rPr>
        <w:t>Australian Government Department of Health and Aged Care.</w:t>
      </w:r>
      <w:r w:rsidR="00CE5FD4" w:rsidRPr="00E63444">
        <w:rPr>
          <w:rStyle w:val="Hyperlink"/>
          <w:color w:val="auto"/>
          <w:sz w:val="16"/>
          <w:lang w:eastAsia="en-AU"/>
        </w:rPr>
        <w:t xml:space="preserve"> </w:t>
      </w:r>
      <w:r w:rsidR="00E63444" w:rsidRPr="00E63444">
        <w:rPr>
          <w:sz w:val="16"/>
        </w:rPr>
        <w:t>&lt;</w:t>
      </w:r>
      <w:hyperlink r:id="rId16" w:anchor="contraindications-to-vaccination" w:history="1">
        <w:r w:rsidR="00E63444" w:rsidRPr="00E63444">
          <w:rPr>
            <w:rStyle w:val="Hyperlink"/>
            <w:sz w:val="16"/>
          </w:rPr>
          <w:t>https://immunisationhandbook.health.gov.au/contents/vaccination-procedures/preparing-for-vaccination#contraindications-to-vaccination</w:t>
        </w:r>
      </w:hyperlink>
      <w:r w:rsidR="00E63444" w:rsidRPr="00E63444">
        <w:rPr>
          <w:sz w:val="16"/>
        </w:rPr>
        <w:t>&gt;</w:t>
      </w:r>
    </w:p>
  </w:footnote>
  <w:footnote w:id="19">
    <w:p w14:paraId="55A5B7ED" w14:textId="18D7F14C" w:rsidR="00306FA3" w:rsidRPr="000553B0" w:rsidRDefault="00306FA3" w:rsidP="0002171A">
      <w:pPr>
        <w:spacing w:after="0" w:line="240" w:lineRule="auto"/>
        <w:rPr>
          <w:sz w:val="16"/>
        </w:rPr>
      </w:pPr>
      <w:r w:rsidRPr="00E63444">
        <w:rPr>
          <w:rStyle w:val="FootnoteReference"/>
          <w:sz w:val="16"/>
          <w:szCs w:val="16"/>
        </w:rPr>
        <w:footnoteRef/>
      </w:r>
      <w:r w:rsidRPr="00E63444">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(mpox)</w:t>
      </w:r>
      <w:r w:rsidR="001E216B">
        <w:rPr>
          <w:sz w:val="16"/>
        </w:rPr>
        <w:t xml:space="preserve">. Australian Government. </w:t>
      </w:r>
      <w:r w:rsidR="001E216B" w:rsidRPr="00FA70FC">
        <w:rPr>
          <w:sz w:val="16"/>
        </w:rPr>
        <w:t>&lt;</w:t>
      </w:r>
      <w:hyperlink r:id="rId1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20">
    <w:p w14:paraId="7079869F" w14:textId="5A5EC4C9"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2022 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18"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1">
    <w:p w14:paraId="56F31263" w14:textId="1B3A736A" w:rsidR="00426DFF" w:rsidRDefault="00426DFF">
      <w:pPr>
        <w:pStyle w:val="FootnoteText"/>
      </w:pPr>
      <w:r w:rsidRPr="00121CA6">
        <w:rPr>
          <w:rStyle w:val="FootnoteReference"/>
          <w:sz w:val="16"/>
        </w:rPr>
        <w:footnoteRef/>
      </w:r>
      <w:r w:rsidRPr="00121CA6">
        <w:rPr>
          <w:sz w:val="16"/>
        </w:rPr>
        <w:t xml:space="preserve"> </w:t>
      </w:r>
      <w:hyperlink r:id="rId19" w:history="1">
        <w:r w:rsidR="009A7946" w:rsidRPr="00121CA6">
          <w:rPr>
            <w:rStyle w:val="Hyperlink"/>
            <w:sz w:val="16"/>
          </w:rPr>
          <w:t>ibid</w:t>
        </w:r>
      </w:hyperlink>
      <w:r w:rsidR="00351E84">
        <w:rPr>
          <w:rStyle w:val="Hyperlink"/>
          <w:sz w:val="16"/>
        </w:rPr>
        <w:t xml:space="preserve"> </w:t>
      </w:r>
    </w:p>
  </w:footnote>
  <w:footnote w:id="22">
    <w:p w14:paraId="581AEE88" w14:textId="342254D3"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7" w:name="_Hlk122332219"/>
      <w:r w:rsidRPr="00953BA0">
        <w:rPr>
          <w:sz w:val="16"/>
        </w:rPr>
        <w:t xml:space="preserve"> ATAGI</w:t>
      </w:r>
      <w:r w:rsidR="00953BA0" w:rsidRPr="00953BA0">
        <w:rPr>
          <w:sz w:val="16"/>
        </w:rPr>
        <w:t xml:space="preserve"> </w:t>
      </w:r>
      <w:r w:rsidR="00652036">
        <w:rPr>
          <w:sz w:val="16"/>
        </w:rPr>
        <w:t xml:space="preserve">Dec 2022 </w:t>
      </w:r>
      <w:r w:rsidR="004D0C5D" w:rsidRPr="00953BA0">
        <w:rPr>
          <w:i/>
          <w:iCs/>
          <w:sz w:val="16"/>
        </w:rPr>
        <w:t>Updated ATAGI clinical guidance on vaccination against monkeypox (mpox)</w:t>
      </w:r>
      <w:r w:rsidR="004D0C5D" w:rsidRPr="00953BA0">
        <w:rPr>
          <w:sz w:val="16"/>
        </w:rPr>
        <w:t xml:space="preserve"> </w:t>
      </w:r>
      <w:hyperlink r:id="rId20" w:history="1">
        <w:r w:rsidR="00EC7694">
          <w:rPr>
            <w:rStyle w:val="Hyperlink"/>
            <w:sz w:val="16"/>
          </w:rPr>
          <w:t>https://www.health.gov.au/resources/publications/atagi-clinical-guidance-on-vaccination-against-monkeypox?language=en</w:t>
        </w:r>
      </w:hyperlink>
      <w:bookmarkEnd w:id="137"/>
    </w:p>
  </w:footnote>
  <w:footnote w:id="23">
    <w:p w14:paraId="3BEE33D3" w14:textId="2E8CA14D" w:rsidR="00B12D35" w:rsidRPr="0043358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652036" w:rsidRPr="00953BA0">
        <w:rPr>
          <w:sz w:val="16"/>
        </w:rPr>
        <w:t xml:space="preserve">ATAGI </w:t>
      </w:r>
      <w:r w:rsidR="00652036">
        <w:rPr>
          <w:sz w:val="16"/>
        </w:rPr>
        <w:t xml:space="preserve">Dec 2022 </w:t>
      </w:r>
      <w:r w:rsidR="00652036" w:rsidRPr="00953BA0">
        <w:rPr>
          <w:i/>
          <w:iCs/>
          <w:sz w:val="16"/>
        </w:rPr>
        <w:t>Updated ATAGI clinical guidance on vaccination against monkeypox (mpox)</w:t>
      </w:r>
      <w:r w:rsidR="00652036" w:rsidRPr="00953BA0">
        <w:rPr>
          <w:sz w:val="16"/>
        </w:rPr>
        <w:t xml:space="preserve"> </w:t>
      </w:r>
      <w:hyperlink r:id="rId21" w:history="1">
        <w:r w:rsidR="00652036">
          <w:rPr>
            <w:rStyle w:val="Hyperlink"/>
            <w:sz w:val="16"/>
          </w:rPr>
          <w:t>https://www.health.gov.au/resources/publications/atagi-clinical-guidance-on-vaccination-against-monkeypox?language=en</w:t>
        </w:r>
      </w:hyperlink>
    </w:p>
  </w:footnote>
  <w:footnote w:id="24">
    <w:p w14:paraId="1B5122DC" w14:textId="075D221A" w:rsidR="00EC7694" w:rsidRDefault="00EC7694">
      <w:pPr>
        <w:pStyle w:val="FootnoteText"/>
      </w:pPr>
      <w:r>
        <w:rPr>
          <w:rStyle w:val="FootnoteReference"/>
        </w:rPr>
        <w:footnoteRef/>
      </w:r>
      <w:r>
        <w:t xml:space="preserve"> </w:t>
      </w:r>
      <w:r w:rsidRPr="00953BA0">
        <w:rPr>
          <w:sz w:val="16"/>
        </w:rPr>
        <w:t xml:space="preserve">ATAGI </w:t>
      </w:r>
      <w:r w:rsidR="00D44CA2">
        <w:rPr>
          <w:sz w:val="16"/>
        </w:rPr>
        <w:t xml:space="preserve">Dec 2022 </w:t>
      </w:r>
      <w:r w:rsidRPr="00953BA0">
        <w:rPr>
          <w:i/>
          <w:iCs/>
          <w:sz w:val="16"/>
        </w:rPr>
        <w:t>Updated ATAGI clinical guidance on vaccination against monkeypox (mpox)</w:t>
      </w:r>
      <w:r w:rsidRPr="00953BA0">
        <w:rPr>
          <w:sz w:val="16"/>
        </w:rPr>
        <w:t xml:space="preserve"> </w:t>
      </w:r>
      <w:hyperlink r:id="rId22" w:history="1">
        <w:r>
          <w:rPr>
            <w:rStyle w:val="Hyperlink"/>
            <w:sz w:val="16"/>
          </w:rPr>
          <w:t>https://www.health.gov.au/resources/publications/atagi-clinical-guidance-on-vaccination-against-monkeypox?language=en</w:t>
        </w:r>
      </w:hyperlink>
    </w:p>
  </w:footnote>
  <w:footnote w:id="25">
    <w:p w14:paraId="1FB8C9C4" w14:textId="77777777" w:rsidR="00EE28B5" w:rsidRPr="00450B24" w:rsidRDefault="00EE28B5" w:rsidP="00EE28B5">
      <w:pPr>
        <w:pStyle w:val="FootnoteText"/>
        <w:rPr>
          <w:sz w:val="16"/>
        </w:rPr>
      </w:pPr>
      <w:r w:rsidRPr="00450B24">
        <w:rPr>
          <w:rStyle w:val="FootnoteReference"/>
          <w:sz w:val="16"/>
        </w:rPr>
        <w:footnoteRef/>
      </w:r>
      <w:r w:rsidRPr="00450B24">
        <w:rPr>
          <w:sz w:val="16"/>
        </w:rPr>
        <w:t xml:space="preserve"> Centers for Disease Control and Prevention (CDC) 2022 </w:t>
      </w:r>
      <w:r w:rsidRPr="00450B24">
        <w:rPr>
          <w:i/>
          <w:iCs/>
          <w:sz w:val="16"/>
        </w:rPr>
        <w:t>JYNNEOS Vaccine</w:t>
      </w:r>
      <w:r w:rsidRPr="00450B24">
        <w:rPr>
          <w:sz w:val="16"/>
        </w:rPr>
        <w:t xml:space="preserve"> &lt;</w:t>
      </w:r>
      <w:hyperlink r:id="rId23" w:history="1">
        <w:r w:rsidRPr="00450B24">
          <w:rPr>
            <w:rStyle w:val="Hyperlink"/>
            <w:sz w:val="16"/>
          </w:rPr>
          <w:t>https://www.cdc.gov/poxvirus/monkeypox/interim-considerations/jynneos-vaccine.html</w:t>
        </w:r>
      </w:hyperlink>
      <w:r w:rsidRPr="00450B24">
        <w:rPr>
          <w:sz w:val="16"/>
        </w:rPr>
        <w:t>&gt;</w:t>
      </w:r>
    </w:p>
  </w:footnote>
  <w:footnote w:id="26">
    <w:p w14:paraId="47EFDEFC" w14:textId="77777777"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2022 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4" w:history="1">
        <w:r w:rsidRPr="00351E84">
          <w:rPr>
            <w:rStyle w:val="Hyperlink"/>
            <w:sz w:val="16"/>
            <w:lang w:eastAsia="en-AU"/>
          </w:rPr>
          <w:t>https://immunisationhandbook.health.gov.au/contents/vaccination-procedures/administration-of-vaccines</w:t>
        </w:r>
      </w:hyperlink>
    </w:p>
  </w:footnote>
  <w:footnote w:id="27">
    <w:p w14:paraId="33F90F9F" w14:textId="3F723AAC" w:rsidR="00684AF6" w:rsidRDefault="00684AF6">
      <w:pPr>
        <w:pStyle w:val="FootnoteText"/>
      </w:pPr>
      <w:r>
        <w:rPr>
          <w:rStyle w:val="FootnoteReference"/>
        </w:rPr>
        <w:footnoteRef/>
      </w:r>
      <w:r>
        <w:t xml:space="preserve"> </w:t>
      </w:r>
      <w:r w:rsidR="00D44CA2" w:rsidRPr="00953BA0">
        <w:rPr>
          <w:sz w:val="16"/>
        </w:rPr>
        <w:t xml:space="preserve">ATAGI </w:t>
      </w:r>
      <w:r w:rsidR="00D44CA2">
        <w:rPr>
          <w:sz w:val="16"/>
        </w:rPr>
        <w:t xml:space="preserve">Dec 2022 </w:t>
      </w:r>
      <w:r w:rsidR="00D44CA2" w:rsidRPr="00953BA0">
        <w:rPr>
          <w:i/>
          <w:iCs/>
          <w:sz w:val="16"/>
        </w:rPr>
        <w:t>Updated ATAGI clinical guidance on vaccination against monkeypox (mpox)</w:t>
      </w:r>
      <w:r w:rsidR="00D44CA2" w:rsidRPr="00953BA0">
        <w:rPr>
          <w:sz w:val="16"/>
        </w:rPr>
        <w:t xml:space="preserve"> </w:t>
      </w:r>
      <w:hyperlink r:id="rId25" w:history="1">
        <w:r w:rsidR="00D44CA2">
          <w:rPr>
            <w:rStyle w:val="Hyperlink"/>
            <w:sz w:val="16"/>
          </w:rPr>
          <w:t>https://www.health.gov.au/resources/publications/atagi-clinical-guidance-on-vaccination-against-monkeypox?language=en</w:t>
        </w:r>
      </w:hyperlink>
    </w:p>
  </w:footnote>
  <w:footnote w:id="28">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26"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29">
    <w:p w14:paraId="472EF3A3" w14:textId="0AEB7D46" w:rsidR="00077DBB" w:rsidRPr="000A63AE" w:rsidRDefault="00077DBB" w:rsidP="00077DBB">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27"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0">
    <w:p w14:paraId="56C095DB" w14:textId="20674FED" w:rsidR="002D100C" w:rsidRPr="000A63AE" w:rsidRDefault="002D100C" w:rsidP="00F40D26">
      <w:pPr>
        <w:pStyle w:val="Bullet1"/>
        <w:numPr>
          <w:ilvl w:val="0"/>
          <w:numId w:val="0"/>
        </w:numPr>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28"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1">
    <w:p w14:paraId="020F60C7" w14:textId="5CED473C" w:rsidR="00684CB9" w:rsidRPr="000A63AE" w:rsidRDefault="00F5320A">
      <w:pPr>
        <w:pStyle w:val="FootnoteTex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29" w:history="1">
        <w:r w:rsidR="00684CB9" w:rsidRPr="00974AF9">
          <w:rPr>
            <w:rStyle w:val="Hyperlink"/>
            <w:sz w:val="16"/>
          </w:rPr>
          <w:t>https://immunisationhandbook.health.gov.au/resources/publications/preparing-an-anaphylaxis-response-kit</w:t>
        </w:r>
      </w:hyperlink>
      <w:r w:rsidR="00EF7E03">
        <w:rPr>
          <w:sz w:val="16"/>
        </w:rPr>
        <w:t>&gt;</w:t>
      </w:r>
    </w:p>
  </w:footnote>
  <w:footnote w:id="32">
    <w:p w14:paraId="3C810F41" w14:textId="1E126F43" w:rsidR="00987DD3" w:rsidRPr="000A63AE" w:rsidRDefault="00746F84">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0" w:history="1">
        <w:r w:rsidR="00EF7E03" w:rsidRPr="004A2514">
          <w:rPr>
            <w:rStyle w:val="Hyperlink"/>
            <w:sz w:val="16"/>
          </w:rPr>
          <w:t>https://www.bettersafercare.vic.gov.au/clinical-guidance/emergency/anaphylaxis-adults</w:t>
        </w:r>
      </w:hyperlink>
      <w:r w:rsidR="005F68D3">
        <w:rPr>
          <w:sz w:val="16"/>
        </w:rPr>
        <w:t>&gt;</w:t>
      </w:r>
    </w:p>
  </w:footnote>
  <w:footnote w:id="33">
    <w:p w14:paraId="06EF5A2A" w14:textId="52F778BA" w:rsidR="005F68D3" w:rsidRDefault="00D226FE">
      <w:pPr>
        <w:pStyle w:val="FootnoteText"/>
        <w:rPr>
          <w:rStyle w:val="Hyperlink"/>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701E8B" w:rsidRPr="005F226B">
        <w:rPr>
          <w:sz w:val="16"/>
        </w:rPr>
        <w:t xml:space="preserve">Melbourne Vaccine Education Centre (MCRI) </w:t>
      </w:r>
      <w:r w:rsidR="00E803A4" w:rsidRPr="005F226B">
        <w:rPr>
          <w:sz w:val="16"/>
        </w:rPr>
        <w:t xml:space="preserve">2022 </w:t>
      </w:r>
      <w:r w:rsidR="00E803A4" w:rsidRPr="005F226B">
        <w:rPr>
          <w:i/>
          <w:iCs/>
          <w:sz w:val="16"/>
        </w:rPr>
        <w:t>Differentiating anaphylaxis and acute stress response</w:t>
      </w:r>
    </w:p>
    <w:p w14:paraId="2B3880D8" w14:textId="7F44DFCD" w:rsidR="000A63AE" w:rsidRPr="005F68D3" w:rsidRDefault="008C1759">
      <w:pPr>
        <w:pStyle w:val="FootnoteText"/>
        <w:rPr>
          <w:color w:val="365F91" w:themeColor="accent1" w:themeShade="BF"/>
          <w:sz w:val="16"/>
        </w:rPr>
      </w:pPr>
      <w:r>
        <w:rPr>
          <w:sz w:val="16"/>
        </w:rPr>
        <w:t>&lt;</w:t>
      </w:r>
      <w:hyperlink r:id="rId31" w:history="1">
        <w:r w:rsidRPr="005F226B">
          <w:rPr>
            <w:rStyle w:val="Hyperlink"/>
            <w:sz w:val="16"/>
          </w:rPr>
          <w:t>https://mvec.mcri.edu.au/references/covid-19-vaccines-and-allergy</w:t>
        </w:r>
      </w:hyperlink>
      <w:r>
        <w:rPr>
          <w:sz w:val="16"/>
        </w:rPr>
        <w:t>&gt;</w:t>
      </w:r>
    </w:p>
  </w:footnote>
  <w:footnote w:id="34">
    <w:p w14:paraId="6F457F71" w14:textId="1ECF4502" w:rsidR="00077DBB" w:rsidRPr="00F53379" w:rsidRDefault="00077DBB" w:rsidP="00077DBB">
      <w:pPr>
        <w:pStyle w:val="FootnoteTex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2"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35">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3"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36">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34" w:history="1">
        <w:r w:rsidR="001C6BF1" w:rsidRPr="00A13632">
          <w:rPr>
            <w:rStyle w:val="Hyperlink"/>
            <w:sz w:val="16"/>
          </w:rPr>
          <w:t>https://immunisationhandbook.health.gov.au/</w:t>
        </w:r>
      </w:hyperlink>
    </w:p>
  </w:footnote>
  <w:footnote w:id="37">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35"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38">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36" w:history="1">
        <w:r w:rsidR="007A1D30" w:rsidRPr="004D7C0F">
          <w:rPr>
            <w:rStyle w:val="Hyperlink"/>
            <w:sz w:val="16"/>
          </w:rPr>
          <w:t>https://www.legislation.vic.gov.au/in-force/acts/health-records-act-2001/046</w:t>
        </w:r>
      </w:hyperlink>
      <w:r w:rsidR="00C15314">
        <w:rPr>
          <w:rStyle w:val="Hyperlink"/>
          <w:sz w:val="16"/>
        </w:rPr>
        <w:t>&gt;</w:t>
      </w:r>
    </w:p>
  </w:footnote>
  <w:footnote w:id="39">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37" w:history="1">
        <w:r w:rsidR="004D7C0F" w:rsidRPr="00E60248">
          <w:rPr>
            <w:rStyle w:val="Hyperlink"/>
            <w:sz w:val="16"/>
          </w:rPr>
          <w:t>https://www.worksafe.vic.gov.au/occupational-health-and-safety-act-and-regulations</w:t>
        </w:r>
      </w:hyperlink>
      <w:r w:rsidR="00462100">
        <w:rPr>
          <w:sz w:val="16"/>
        </w:rPr>
        <w:t>&gt;</w:t>
      </w:r>
    </w:p>
  </w:footnote>
  <w:footnote w:id="40">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38"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1">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39" w:history="1">
        <w:r w:rsidR="00B42401" w:rsidRPr="009202D3">
          <w:rPr>
            <w:rStyle w:val="Hyperlink"/>
            <w:sz w:val="16"/>
          </w:rPr>
          <w:t>https://www.health.vic.gov.au/drugs-and-poisons/nurse-practitioners-legislative-requirements</w:t>
        </w:r>
      </w:hyperlink>
      <w:r w:rsidR="00B42401" w:rsidRPr="009202D3">
        <w:rPr>
          <w:sz w:val="16"/>
        </w:rPr>
        <w:t>&gt;</w:t>
      </w:r>
    </w:p>
  </w:footnote>
  <w:footnote w:id="42">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09" w:name="_Hlk115877333"/>
      <w:r w:rsidR="0053604E" w:rsidRPr="009202D3">
        <w:rPr>
          <w:sz w:val="16"/>
        </w:rPr>
        <w:t>State Gover</w:t>
      </w:r>
      <w:r w:rsidR="0007001A" w:rsidRPr="009202D3">
        <w:rPr>
          <w:sz w:val="16"/>
        </w:rPr>
        <w:t>n</w:t>
      </w:r>
      <w:r w:rsidR="0053604E" w:rsidRPr="009202D3">
        <w:rPr>
          <w:sz w:val="16"/>
        </w:rPr>
        <w:t xml:space="preserve">ment of Victoria </w:t>
      </w:r>
      <w:bookmarkEnd w:id="209"/>
      <w:r w:rsidR="0099708D" w:rsidRPr="009202D3">
        <w:rPr>
          <w:sz w:val="16"/>
        </w:rPr>
        <w:t>&lt;</w:t>
      </w:r>
      <w:hyperlink r:id="rId40"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3">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1"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4">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2"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45">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3"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E73" w14:textId="77777777" w:rsidR="00077DBB" w:rsidRDefault="00077DBB" w:rsidP="00C8575F">
    <w:pPr>
      <w:tabs>
        <w:tab w:val="left" w:pos="638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F43"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VcIp9TYE" int2:invalidationBookmarkName="" int2:hashCode="3KKjJeR/dxf+gy" int2:id="G1MFJhR8"/>
    <int2:bookmark int2:bookmarkName="_Int_qSG8iOCJ" int2:invalidationBookmarkName="" int2:hashCode="RoHRJMxsS3O6q/" int2:id="lSRraGJh"/>
    <int2:bookmark int2:bookmarkName="_Int_vyJ0rlvB" int2:invalidationBookmarkName="" int2:hashCode="FZLQBKUjcoLFgZ" int2:id="oRCEsFi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C068E"/>
    <w:multiLevelType w:val="hybridMultilevel"/>
    <w:tmpl w:val="4238A8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E71741"/>
    <w:multiLevelType w:val="hybridMultilevel"/>
    <w:tmpl w:val="BE4AC5A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3"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28"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37"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38"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39"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A0D382C"/>
    <w:multiLevelType w:val="hybridMultilevel"/>
    <w:tmpl w:val="591E4C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D4D0376"/>
    <w:multiLevelType w:val="hybridMultilevel"/>
    <w:tmpl w:val="E3FE1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48"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49"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0"/>
  </w:num>
  <w:num w:numId="2" w16cid:durableId="1137651004">
    <w:abstractNumId w:val="31"/>
  </w:num>
  <w:num w:numId="3" w16cid:durableId="1247033177">
    <w:abstractNumId w:val="30"/>
  </w:num>
  <w:num w:numId="4" w16cid:durableId="2146308957">
    <w:abstractNumId w:val="42"/>
  </w:num>
  <w:num w:numId="5" w16cid:durableId="2147121850">
    <w:abstractNumId w:val="21"/>
  </w:num>
  <w:num w:numId="6" w16cid:durableId="1878078393">
    <w:abstractNumId w:val="0"/>
  </w:num>
  <w:num w:numId="7" w16cid:durableId="232279847">
    <w:abstractNumId w:val="48"/>
  </w:num>
  <w:num w:numId="8" w16cid:durableId="1480684692">
    <w:abstractNumId w:val="47"/>
  </w:num>
  <w:num w:numId="9" w16cid:durableId="397673636">
    <w:abstractNumId w:val="36"/>
  </w:num>
  <w:num w:numId="10" w16cid:durableId="1991054910">
    <w:abstractNumId w:val="40"/>
  </w:num>
  <w:num w:numId="11" w16cid:durableId="1867786047">
    <w:abstractNumId w:val="27"/>
  </w:num>
  <w:num w:numId="12" w16cid:durableId="416100910">
    <w:abstractNumId w:val="2"/>
  </w:num>
  <w:num w:numId="13" w16cid:durableId="481849233">
    <w:abstractNumId w:val="32"/>
  </w:num>
  <w:num w:numId="14" w16cid:durableId="894656734">
    <w:abstractNumId w:val="38"/>
  </w:num>
  <w:num w:numId="15" w16cid:durableId="1935816512">
    <w:abstractNumId w:val="18"/>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3"/>
  </w:num>
  <w:num w:numId="17" w16cid:durableId="1976593946">
    <w:abstractNumId w:val="39"/>
  </w:num>
  <w:num w:numId="18" w16cid:durableId="1406756740">
    <w:abstractNumId w:val="19"/>
  </w:num>
  <w:num w:numId="19" w16cid:durableId="14694134">
    <w:abstractNumId w:val="41"/>
  </w:num>
  <w:num w:numId="20" w16cid:durableId="1285883988">
    <w:abstractNumId w:val="16"/>
  </w:num>
  <w:num w:numId="21" w16cid:durableId="1015575956">
    <w:abstractNumId w:val="37"/>
  </w:num>
  <w:num w:numId="22" w16cid:durableId="1847163716">
    <w:abstractNumId w:val="53"/>
  </w:num>
  <w:num w:numId="23" w16cid:durableId="1639727673">
    <w:abstractNumId w:val="22"/>
  </w:num>
  <w:num w:numId="24" w16cid:durableId="65929859">
    <w:abstractNumId w:val="43"/>
  </w:num>
  <w:num w:numId="25" w16cid:durableId="906183810">
    <w:abstractNumId w:val="25"/>
  </w:num>
  <w:num w:numId="26" w16cid:durableId="1652173048">
    <w:abstractNumId w:val="9"/>
  </w:num>
  <w:num w:numId="27" w16cid:durableId="380594117">
    <w:abstractNumId w:val="13"/>
  </w:num>
  <w:num w:numId="28" w16cid:durableId="50471302">
    <w:abstractNumId w:val="51"/>
  </w:num>
  <w:num w:numId="29" w16cid:durableId="217742847">
    <w:abstractNumId w:val="12"/>
  </w:num>
  <w:num w:numId="30" w16cid:durableId="805439618">
    <w:abstractNumId w:val="50"/>
  </w:num>
  <w:num w:numId="31" w16cid:durableId="1909530783">
    <w:abstractNumId w:val="8"/>
  </w:num>
  <w:num w:numId="32" w16cid:durableId="1375275884">
    <w:abstractNumId w:val="29"/>
  </w:num>
  <w:num w:numId="33" w16cid:durableId="719598892">
    <w:abstractNumId w:val="26"/>
  </w:num>
  <w:num w:numId="34" w16cid:durableId="1931230610">
    <w:abstractNumId w:val="14"/>
  </w:num>
  <w:num w:numId="35" w16cid:durableId="122507421">
    <w:abstractNumId w:val="15"/>
  </w:num>
  <w:num w:numId="36" w16cid:durableId="378944007">
    <w:abstractNumId w:val="24"/>
  </w:num>
  <w:num w:numId="37" w16cid:durableId="1596938625">
    <w:abstractNumId w:val="7"/>
  </w:num>
  <w:num w:numId="38" w16cid:durableId="663777035">
    <w:abstractNumId w:val="52"/>
  </w:num>
  <w:num w:numId="39" w16cid:durableId="1905067274">
    <w:abstractNumId w:val="10"/>
  </w:num>
  <w:num w:numId="40" w16cid:durableId="1723209860">
    <w:abstractNumId w:val="6"/>
  </w:num>
  <w:num w:numId="41" w16cid:durableId="501236457">
    <w:abstractNumId w:val="5"/>
  </w:num>
  <w:num w:numId="42" w16cid:durableId="638270356">
    <w:abstractNumId w:val="34"/>
  </w:num>
  <w:num w:numId="43" w16cid:durableId="1184901889">
    <w:abstractNumId w:val="3"/>
  </w:num>
  <w:num w:numId="44" w16cid:durableId="1929461466">
    <w:abstractNumId w:val="46"/>
  </w:num>
  <w:num w:numId="45" w16cid:durableId="1079476152">
    <w:abstractNumId w:val="28"/>
  </w:num>
  <w:num w:numId="46" w16cid:durableId="557933213">
    <w:abstractNumId w:val="4"/>
  </w:num>
  <w:num w:numId="47" w16cid:durableId="1892694182">
    <w:abstractNumId w:val="23"/>
  </w:num>
  <w:num w:numId="48" w16cid:durableId="1912348865">
    <w:abstractNumId w:val="35"/>
  </w:num>
  <w:num w:numId="49" w16cid:durableId="294453567">
    <w:abstractNumId w:val="18"/>
    <w:lvlOverride w:ilvl="0">
      <w:lvl w:ilvl="0" w:tplc="FFFFFFFF">
        <w:start w:val="1"/>
        <w:numFmt w:val="decimal"/>
        <w:lvlText w:val=""/>
        <w:lvlJc w:val="left"/>
        <w:pPr>
          <w:tabs>
            <w:tab w:val="num" w:pos="360"/>
          </w:tabs>
          <w:ind w:left="360" w:hanging="360"/>
        </w:pPr>
        <w:rPr>
          <w:rFonts w:ascii="Symbol" w:hAnsi="Symbol" w:cs="Times New Roman" w:hint="default"/>
          <w:color w:val="auto"/>
          <w:sz w:val="20"/>
        </w:rPr>
      </w:lvl>
    </w:lvlOverride>
    <w:lvlOverride w:ilvl="1">
      <w:lvl w:ilvl="1" w:tplc="7EACEE30">
        <w:start w:val="1"/>
        <w:numFmt w:val="decimal"/>
        <w:lvlText w:val="o"/>
        <w:lvlJc w:val="left"/>
        <w:pPr>
          <w:ind w:left="1440" w:hanging="360"/>
        </w:pPr>
        <w:rPr>
          <w:rFonts w:ascii="Courier New" w:hAnsi="Courier New" w:cs="Courier New" w:hint="default"/>
          <w:sz w:val="20"/>
        </w:rPr>
      </w:lvl>
    </w:lvlOverride>
    <w:lvlOverride w:ilvl="2">
      <w:lvl w:ilvl="2" w:tplc="2886E794">
        <w:start w:val="1"/>
        <w:numFmt w:val="decimal"/>
        <w:lvlText w:val=""/>
        <w:lvlJc w:val="left"/>
        <w:pPr>
          <w:ind w:left="2160" w:hanging="360"/>
        </w:pPr>
        <w:rPr>
          <w:rFonts w:ascii="Wingdings" w:hAnsi="Wingdings" w:hint="default"/>
          <w:sz w:val="20"/>
        </w:rPr>
      </w:lvl>
    </w:lvlOverride>
    <w:lvlOverride w:ilvl="3">
      <w:lvl w:ilvl="3" w:tplc="B1FE0902">
        <w:start w:val="1"/>
        <w:numFmt w:val="decimal"/>
        <w:lvlText w:val=""/>
        <w:lvlJc w:val="left"/>
        <w:pPr>
          <w:ind w:left="2880" w:hanging="360"/>
        </w:pPr>
        <w:rPr>
          <w:rFonts w:ascii="Symbol" w:hAnsi="Symbol" w:hint="default"/>
          <w:sz w:val="20"/>
        </w:rPr>
      </w:lvl>
    </w:lvlOverride>
    <w:lvlOverride w:ilvl="4">
      <w:lvl w:ilvl="4" w:tplc="0DE091C8">
        <w:start w:val="1"/>
        <w:numFmt w:val="decimal"/>
        <w:lvlText w:val="o"/>
        <w:lvlJc w:val="left"/>
        <w:pPr>
          <w:ind w:left="3600" w:hanging="360"/>
        </w:pPr>
        <w:rPr>
          <w:rFonts w:ascii="Courier New" w:hAnsi="Courier New" w:cs="Courier New" w:hint="default"/>
          <w:sz w:val="20"/>
        </w:rPr>
      </w:lvl>
    </w:lvlOverride>
    <w:lvlOverride w:ilvl="5">
      <w:lvl w:ilvl="5" w:tplc="2E3064CC">
        <w:start w:val="1"/>
        <w:numFmt w:val="decimal"/>
        <w:lvlText w:val=""/>
        <w:lvlJc w:val="left"/>
        <w:pPr>
          <w:ind w:left="4320" w:hanging="360"/>
        </w:pPr>
        <w:rPr>
          <w:rFonts w:ascii="Wingdings" w:hAnsi="Wingdings" w:hint="default"/>
          <w:sz w:val="20"/>
        </w:rPr>
      </w:lvl>
    </w:lvlOverride>
    <w:lvlOverride w:ilvl="6">
      <w:lvl w:ilvl="6" w:tplc="61E2B07E">
        <w:start w:val="1"/>
        <w:numFmt w:val="decimal"/>
        <w:lvlText w:val=""/>
        <w:lvlJc w:val="left"/>
        <w:pPr>
          <w:ind w:left="5040" w:hanging="360"/>
        </w:pPr>
        <w:rPr>
          <w:rFonts w:ascii="Symbol" w:hAnsi="Symbol" w:hint="default"/>
          <w:sz w:val="20"/>
        </w:rPr>
      </w:lvl>
    </w:lvlOverride>
    <w:lvlOverride w:ilvl="7">
      <w:lvl w:ilvl="7" w:tplc="87D47AB0">
        <w:start w:val="1"/>
        <w:numFmt w:val="decimal"/>
        <w:lvlText w:val="o"/>
        <w:lvlJc w:val="left"/>
        <w:pPr>
          <w:ind w:left="5760" w:hanging="360"/>
        </w:pPr>
        <w:rPr>
          <w:rFonts w:ascii="Courier New" w:hAnsi="Courier New" w:cs="Courier New" w:hint="default"/>
          <w:sz w:val="20"/>
        </w:rPr>
      </w:lvl>
    </w:lvlOverride>
    <w:lvlOverride w:ilvl="8">
      <w:lvl w:ilvl="8" w:tplc="35D811E8">
        <w:start w:val="1"/>
        <w:numFmt w:val="decimal"/>
        <w:lvlText w:val=""/>
        <w:lvlJc w:val="left"/>
        <w:pPr>
          <w:ind w:left="6480" w:hanging="360"/>
        </w:pPr>
        <w:rPr>
          <w:rFonts w:ascii="Wingdings" w:hAnsi="Wingdings" w:hint="default"/>
          <w:sz w:val="20"/>
        </w:rPr>
      </w:lvl>
    </w:lvlOverride>
  </w:num>
  <w:num w:numId="50" w16cid:durableId="2059815134">
    <w:abstractNumId w:val="45"/>
  </w:num>
  <w:num w:numId="51" w16cid:durableId="1298340022">
    <w:abstractNumId w:val="11"/>
  </w:num>
  <w:num w:numId="52" w16cid:durableId="383022091">
    <w:abstractNumId w:val="44"/>
  </w:num>
  <w:num w:numId="53" w16cid:durableId="661812568">
    <w:abstractNumId w:val="17"/>
  </w:num>
  <w:num w:numId="54" w16cid:durableId="2096432133">
    <w:abstractNumId w:val="1"/>
  </w:num>
  <w:num w:numId="55" w16cid:durableId="4798552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360307">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72B6"/>
    <w:rsid w:val="00007DC9"/>
    <w:rsid w:val="0001021B"/>
    <w:rsid w:val="0001173E"/>
    <w:rsid w:val="0001179B"/>
    <w:rsid w:val="00011A00"/>
    <w:rsid w:val="00011D89"/>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44"/>
    <w:rsid w:val="000242D9"/>
    <w:rsid w:val="00024AF3"/>
    <w:rsid w:val="00024D89"/>
    <w:rsid w:val="000250B6"/>
    <w:rsid w:val="00025384"/>
    <w:rsid w:val="0002657B"/>
    <w:rsid w:val="000268F9"/>
    <w:rsid w:val="000278F8"/>
    <w:rsid w:val="00027A28"/>
    <w:rsid w:val="00030CDD"/>
    <w:rsid w:val="00031009"/>
    <w:rsid w:val="0003146B"/>
    <w:rsid w:val="00031E51"/>
    <w:rsid w:val="00032368"/>
    <w:rsid w:val="000324C2"/>
    <w:rsid w:val="00032651"/>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B37"/>
    <w:rsid w:val="00060C8F"/>
    <w:rsid w:val="000618A8"/>
    <w:rsid w:val="00062522"/>
    <w:rsid w:val="0006269C"/>
    <w:rsid w:val="0006298A"/>
    <w:rsid w:val="000641BF"/>
    <w:rsid w:val="0006582B"/>
    <w:rsid w:val="00065A25"/>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86C"/>
    <w:rsid w:val="000A189B"/>
    <w:rsid w:val="000A1EA4"/>
    <w:rsid w:val="000A2476"/>
    <w:rsid w:val="000A2497"/>
    <w:rsid w:val="000A2523"/>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524E"/>
    <w:rsid w:val="000E54DF"/>
    <w:rsid w:val="000E62A2"/>
    <w:rsid w:val="000E6AC6"/>
    <w:rsid w:val="000E6BD4"/>
    <w:rsid w:val="000E6D6D"/>
    <w:rsid w:val="000E7E3A"/>
    <w:rsid w:val="000F1686"/>
    <w:rsid w:val="000F1F1E"/>
    <w:rsid w:val="000F2259"/>
    <w:rsid w:val="000F2DDA"/>
    <w:rsid w:val="000F2EA0"/>
    <w:rsid w:val="000F30D2"/>
    <w:rsid w:val="000F42BA"/>
    <w:rsid w:val="000F4C96"/>
    <w:rsid w:val="000F5141"/>
    <w:rsid w:val="000F5213"/>
    <w:rsid w:val="000F52BE"/>
    <w:rsid w:val="000F54CD"/>
    <w:rsid w:val="000F5AF7"/>
    <w:rsid w:val="000F6370"/>
    <w:rsid w:val="000F6CDA"/>
    <w:rsid w:val="000F6DAC"/>
    <w:rsid w:val="000F7A03"/>
    <w:rsid w:val="000F7F6F"/>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F8A"/>
    <w:rsid w:val="00110BDF"/>
    <w:rsid w:val="00110C8E"/>
    <w:rsid w:val="00111082"/>
    <w:rsid w:val="0011150D"/>
    <w:rsid w:val="0011202A"/>
    <w:rsid w:val="001120C5"/>
    <w:rsid w:val="00112EF9"/>
    <w:rsid w:val="001130BB"/>
    <w:rsid w:val="00113C20"/>
    <w:rsid w:val="00113E65"/>
    <w:rsid w:val="00113FB0"/>
    <w:rsid w:val="00114717"/>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5EF"/>
    <w:rsid w:val="00152073"/>
    <w:rsid w:val="00152329"/>
    <w:rsid w:val="00152450"/>
    <w:rsid w:val="001529D9"/>
    <w:rsid w:val="00152B58"/>
    <w:rsid w:val="00153745"/>
    <w:rsid w:val="001539DE"/>
    <w:rsid w:val="0015456E"/>
    <w:rsid w:val="001546CD"/>
    <w:rsid w:val="0015595B"/>
    <w:rsid w:val="001560A7"/>
    <w:rsid w:val="00156598"/>
    <w:rsid w:val="00156E5B"/>
    <w:rsid w:val="00156FA0"/>
    <w:rsid w:val="00157709"/>
    <w:rsid w:val="00157CE2"/>
    <w:rsid w:val="00160B11"/>
    <w:rsid w:val="00161259"/>
    <w:rsid w:val="00161285"/>
    <w:rsid w:val="00161939"/>
    <w:rsid w:val="00161AA0"/>
    <w:rsid w:val="00161D2E"/>
    <w:rsid w:val="00161E30"/>
    <w:rsid w:val="00161F3E"/>
    <w:rsid w:val="00162093"/>
    <w:rsid w:val="001627ED"/>
    <w:rsid w:val="00162CA9"/>
    <w:rsid w:val="00163438"/>
    <w:rsid w:val="0016376A"/>
    <w:rsid w:val="00163A0A"/>
    <w:rsid w:val="00163E43"/>
    <w:rsid w:val="00163FE7"/>
    <w:rsid w:val="00165459"/>
    <w:rsid w:val="001657EC"/>
    <w:rsid w:val="00165A57"/>
    <w:rsid w:val="00165CF0"/>
    <w:rsid w:val="00166238"/>
    <w:rsid w:val="00166AF6"/>
    <w:rsid w:val="00167390"/>
    <w:rsid w:val="00170547"/>
    <w:rsid w:val="0017058E"/>
    <w:rsid w:val="0017106C"/>
    <w:rsid w:val="001712C2"/>
    <w:rsid w:val="001719AE"/>
    <w:rsid w:val="001723BB"/>
    <w:rsid w:val="001723C4"/>
    <w:rsid w:val="00172A17"/>
    <w:rsid w:val="00172BAF"/>
    <w:rsid w:val="00172C03"/>
    <w:rsid w:val="00173C67"/>
    <w:rsid w:val="00174193"/>
    <w:rsid w:val="001755C0"/>
    <w:rsid w:val="00175F9C"/>
    <w:rsid w:val="0017674D"/>
    <w:rsid w:val="001771DD"/>
    <w:rsid w:val="00177995"/>
    <w:rsid w:val="00177A8C"/>
    <w:rsid w:val="00180B38"/>
    <w:rsid w:val="00180D28"/>
    <w:rsid w:val="0018162A"/>
    <w:rsid w:val="0018244E"/>
    <w:rsid w:val="001828F6"/>
    <w:rsid w:val="00182C9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94"/>
    <w:rsid w:val="00196EB8"/>
    <w:rsid w:val="00196EFB"/>
    <w:rsid w:val="0019762F"/>
    <w:rsid w:val="001979FF"/>
    <w:rsid w:val="00197B17"/>
    <w:rsid w:val="001A0A20"/>
    <w:rsid w:val="001A1950"/>
    <w:rsid w:val="001A1C54"/>
    <w:rsid w:val="001A1D8D"/>
    <w:rsid w:val="001A2A3A"/>
    <w:rsid w:val="001A32A4"/>
    <w:rsid w:val="001A3745"/>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C36"/>
    <w:rsid w:val="001C65E3"/>
    <w:rsid w:val="001C6BF1"/>
    <w:rsid w:val="001C6DFB"/>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F4B"/>
    <w:rsid w:val="001E1331"/>
    <w:rsid w:val="001E1F5D"/>
    <w:rsid w:val="001E216B"/>
    <w:rsid w:val="001E224F"/>
    <w:rsid w:val="001E3071"/>
    <w:rsid w:val="001E3BE0"/>
    <w:rsid w:val="001E3ECF"/>
    <w:rsid w:val="001E44DF"/>
    <w:rsid w:val="001E479B"/>
    <w:rsid w:val="001E68A5"/>
    <w:rsid w:val="001E6BB0"/>
    <w:rsid w:val="001E7282"/>
    <w:rsid w:val="001F04DB"/>
    <w:rsid w:val="001F0777"/>
    <w:rsid w:val="001F0E74"/>
    <w:rsid w:val="001F0F7B"/>
    <w:rsid w:val="001F1B2C"/>
    <w:rsid w:val="001F1C31"/>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B3B"/>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9AF"/>
    <w:rsid w:val="00212B95"/>
    <w:rsid w:val="00213164"/>
    <w:rsid w:val="00214481"/>
    <w:rsid w:val="00214DB8"/>
    <w:rsid w:val="002150E7"/>
    <w:rsid w:val="00215CC8"/>
    <w:rsid w:val="00215F7B"/>
    <w:rsid w:val="00216C03"/>
    <w:rsid w:val="00217102"/>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629"/>
    <w:rsid w:val="00227728"/>
    <w:rsid w:val="00227C68"/>
    <w:rsid w:val="002300EE"/>
    <w:rsid w:val="00230396"/>
    <w:rsid w:val="00231377"/>
    <w:rsid w:val="002315D0"/>
    <w:rsid w:val="00232737"/>
    <w:rsid w:val="00232830"/>
    <w:rsid w:val="002330FF"/>
    <w:rsid w:val="0023316F"/>
    <w:rsid w:val="002333F5"/>
    <w:rsid w:val="00233724"/>
    <w:rsid w:val="00233F35"/>
    <w:rsid w:val="002343BB"/>
    <w:rsid w:val="00234637"/>
    <w:rsid w:val="0023485F"/>
    <w:rsid w:val="00235ED2"/>
    <w:rsid w:val="00236199"/>
    <w:rsid w:val="00236270"/>
    <w:rsid w:val="002365B4"/>
    <w:rsid w:val="0023686A"/>
    <w:rsid w:val="00236926"/>
    <w:rsid w:val="00237630"/>
    <w:rsid w:val="00237EF0"/>
    <w:rsid w:val="002401B9"/>
    <w:rsid w:val="002432BB"/>
    <w:rsid w:val="002432E1"/>
    <w:rsid w:val="00243BD5"/>
    <w:rsid w:val="00243C1B"/>
    <w:rsid w:val="00246207"/>
    <w:rsid w:val="00246564"/>
    <w:rsid w:val="00246C5E"/>
    <w:rsid w:val="0024753D"/>
    <w:rsid w:val="0025038C"/>
    <w:rsid w:val="00250960"/>
    <w:rsid w:val="00250C8F"/>
    <w:rsid w:val="00251343"/>
    <w:rsid w:val="00251A62"/>
    <w:rsid w:val="002525A3"/>
    <w:rsid w:val="0025269B"/>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213D"/>
    <w:rsid w:val="00282EAE"/>
    <w:rsid w:val="00283C45"/>
    <w:rsid w:val="0028427F"/>
    <w:rsid w:val="00284FD6"/>
    <w:rsid w:val="00285025"/>
    <w:rsid w:val="00285778"/>
    <w:rsid w:val="002862F1"/>
    <w:rsid w:val="00287FFA"/>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A9C"/>
    <w:rsid w:val="002A1108"/>
    <w:rsid w:val="002A1F6E"/>
    <w:rsid w:val="002A483C"/>
    <w:rsid w:val="002A48A3"/>
    <w:rsid w:val="002A51BE"/>
    <w:rsid w:val="002A5725"/>
    <w:rsid w:val="002A61CF"/>
    <w:rsid w:val="002A75DA"/>
    <w:rsid w:val="002B0C7C"/>
    <w:rsid w:val="002B0D5D"/>
    <w:rsid w:val="002B1376"/>
    <w:rsid w:val="002B1729"/>
    <w:rsid w:val="002B2723"/>
    <w:rsid w:val="002B27F5"/>
    <w:rsid w:val="002B2B7D"/>
    <w:rsid w:val="002B3580"/>
    <w:rsid w:val="002B36C7"/>
    <w:rsid w:val="002B3B8A"/>
    <w:rsid w:val="002B3BEB"/>
    <w:rsid w:val="002B3CC7"/>
    <w:rsid w:val="002B4203"/>
    <w:rsid w:val="002B4768"/>
    <w:rsid w:val="002B4DD4"/>
    <w:rsid w:val="002B5277"/>
    <w:rsid w:val="002B5314"/>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35F"/>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622"/>
    <w:rsid w:val="002E7C36"/>
    <w:rsid w:val="002E7D5A"/>
    <w:rsid w:val="002F0296"/>
    <w:rsid w:val="002F04F9"/>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2216"/>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8C"/>
    <w:rsid w:val="003434EE"/>
    <w:rsid w:val="003459BD"/>
    <w:rsid w:val="00346262"/>
    <w:rsid w:val="00346E59"/>
    <w:rsid w:val="00347AB5"/>
    <w:rsid w:val="00347CF1"/>
    <w:rsid w:val="00350BE3"/>
    <w:rsid w:val="00350D38"/>
    <w:rsid w:val="0035103D"/>
    <w:rsid w:val="00351715"/>
    <w:rsid w:val="00351B36"/>
    <w:rsid w:val="00351E84"/>
    <w:rsid w:val="00352CB1"/>
    <w:rsid w:val="00354C4D"/>
    <w:rsid w:val="0035532D"/>
    <w:rsid w:val="00355AE6"/>
    <w:rsid w:val="003572B0"/>
    <w:rsid w:val="00357B4E"/>
    <w:rsid w:val="00360320"/>
    <w:rsid w:val="00360610"/>
    <w:rsid w:val="00360F10"/>
    <w:rsid w:val="003615D8"/>
    <w:rsid w:val="00362606"/>
    <w:rsid w:val="00362882"/>
    <w:rsid w:val="00362CDB"/>
    <w:rsid w:val="00362CE2"/>
    <w:rsid w:val="00362D9A"/>
    <w:rsid w:val="00363C5B"/>
    <w:rsid w:val="003641BB"/>
    <w:rsid w:val="0036465D"/>
    <w:rsid w:val="0036469F"/>
    <w:rsid w:val="00364E73"/>
    <w:rsid w:val="00365B63"/>
    <w:rsid w:val="0036624A"/>
    <w:rsid w:val="00367DB8"/>
    <w:rsid w:val="00371124"/>
    <w:rsid w:val="003712C4"/>
    <w:rsid w:val="00371499"/>
    <w:rsid w:val="003716FD"/>
    <w:rsid w:val="00371EB1"/>
    <w:rsid w:val="0037204B"/>
    <w:rsid w:val="003741C6"/>
    <w:rsid w:val="0037420C"/>
    <w:rsid w:val="003744CF"/>
    <w:rsid w:val="00374717"/>
    <w:rsid w:val="003764BA"/>
    <w:rsid w:val="0037676C"/>
    <w:rsid w:val="00377F8D"/>
    <w:rsid w:val="00381043"/>
    <w:rsid w:val="00381151"/>
    <w:rsid w:val="0038282F"/>
    <w:rsid w:val="003829E5"/>
    <w:rsid w:val="00382BB1"/>
    <w:rsid w:val="003850CC"/>
    <w:rsid w:val="0038557A"/>
    <w:rsid w:val="00385899"/>
    <w:rsid w:val="00385DDB"/>
    <w:rsid w:val="0038600C"/>
    <w:rsid w:val="00386109"/>
    <w:rsid w:val="00386944"/>
    <w:rsid w:val="00386DDA"/>
    <w:rsid w:val="0038712F"/>
    <w:rsid w:val="00387611"/>
    <w:rsid w:val="003877C1"/>
    <w:rsid w:val="003910DA"/>
    <w:rsid w:val="003911FA"/>
    <w:rsid w:val="003917CC"/>
    <w:rsid w:val="003928B5"/>
    <w:rsid w:val="00393CC2"/>
    <w:rsid w:val="00394CD5"/>
    <w:rsid w:val="003956CC"/>
    <w:rsid w:val="00395C9A"/>
    <w:rsid w:val="00396395"/>
    <w:rsid w:val="003964BB"/>
    <w:rsid w:val="003976E1"/>
    <w:rsid w:val="0039778D"/>
    <w:rsid w:val="00397E3E"/>
    <w:rsid w:val="003A0853"/>
    <w:rsid w:val="003A16FE"/>
    <w:rsid w:val="003A18E6"/>
    <w:rsid w:val="003A2D75"/>
    <w:rsid w:val="003A2E16"/>
    <w:rsid w:val="003A3001"/>
    <w:rsid w:val="003A3423"/>
    <w:rsid w:val="003A3F32"/>
    <w:rsid w:val="003A5DEC"/>
    <w:rsid w:val="003A6026"/>
    <w:rsid w:val="003A6B67"/>
    <w:rsid w:val="003A7809"/>
    <w:rsid w:val="003AF685"/>
    <w:rsid w:val="003B0032"/>
    <w:rsid w:val="003B0B1E"/>
    <w:rsid w:val="003B0F1C"/>
    <w:rsid w:val="003B13B6"/>
    <w:rsid w:val="003B14C3"/>
    <w:rsid w:val="003B1580"/>
    <w:rsid w:val="003B15E6"/>
    <w:rsid w:val="003B1B14"/>
    <w:rsid w:val="003B22EF"/>
    <w:rsid w:val="003B23CC"/>
    <w:rsid w:val="003B2488"/>
    <w:rsid w:val="003B26A2"/>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D88"/>
    <w:rsid w:val="003D3E8F"/>
    <w:rsid w:val="003D4A6F"/>
    <w:rsid w:val="003D5C2D"/>
    <w:rsid w:val="003D60FF"/>
    <w:rsid w:val="003D6475"/>
    <w:rsid w:val="003D65DF"/>
    <w:rsid w:val="003D6EE6"/>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4CA"/>
    <w:rsid w:val="00407C2E"/>
    <w:rsid w:val="00410991"/>
    <w:rsid w:val="004109A5"/>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EAF"/>
    <w:rsid w:val="004406BD"/>
    <w:rsid w:val="004407D2"/>
    <w:rsid w:val="0044080B"/>
    <w:rsid w:val="00441C17"/>
    <w:rsid w:val="00441C9D"/>
    <w:rsid w:val="00442447"/>
    <w:rsid w:val="00442657"/>
    <w:rsid w:val="00442C6C"/>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60087"/>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CBE"/>
    <w:rsid w:val="00471FD9"/>
    <w:rsid w:val="0047372D"/>
    <w:rsid w:val="00473BA3"/>
    <w:rsid w:val="00473D6D"/>
    <w:rsid w:val="004743DD"/>
    <w:rsid w:val="00474CEA"/>
    <w:rsid w:val="00474D13"/>
    <w:rsid w:val="0047519D"/>
    <w:rsid w:val="004757F1"/>
    <w:rsid w:val="00475B2F"/>
    <w:rsid w:val="00475E2F"/>
    <w:rsid w:val="004771BD"/>
    <w:rsid w:val="00477654"/>
    <w:rsid w:val="00480978"/>
    <w:rsid w:val="00482811"/>
    <w:rsid w:val="00483968"/>
    <w:rsid w:val="00483F30"/>
    <w:rsid w:val="00483FD3"/>
    <w:rsid w:val="004841BE"/>
    <w:rsid w:val="004846A8"/>
    <w:rsid w:val="00484C8D"/>
    <w:rsid w:val="00484F86"/>
    <w:rsid w:val="004855A6"/>
    <w:rsid w:val="004855BC"/>
    <w:rsid w:val="0048620A"/>
    <w:rsid w:val="00487028"/>
    <w:rsid w:val="0049004D"/>
    <w:rsid w:val="0049061D"/>
    <w:rsid w:val="00490746"/>
    <w:rsid w:val="00490852"/>
    <w:rsid w:val="00490C12"/>
    <w:rsid w:val="00491045"/>
    <w:rsid w:val="00491240"/>
    <w:rsid w:val="00491C9C"/>
    <w:rsid w:val="00492F30"/>
    <w:rsid w:val="0049422C"/>
    <w:rsid w:val="004946F4"/>
    <w:rsid w:val="0049487E"/>
    <w:rsid w:val="00494AAB"/>
    <w:rsid w:val="00494BB3"/>
    <w:rsid w:val="004963E2"/>
    <w:rsid w:val="004A055A"/>
    <w:rsid w:val="004A160D"/>
    <w:rsid w:val="004A2514"/>
    <w:rsid w:val="004A27AE"/>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719B"/>
    <w:rsid w:val="004C119A"/>
    <w:rsid w:val="004C16EB"/>
    <w:rsid w:val="004C177F"/>
    <w:rsid w:val="004C302F"/>
    <w:rsid w:val="004C46BB"/>
    <w:rsid w:val="004C53C6"/>
    <w:rsid w:val="004C5541"/>
    <w:rsid w:val="004C59FB"/>
    <w:rsid w:val="004C6853"/>
    <w:rsid w:val="004C6EEE"/>
    <w:rsid w:val="004C702B"/>
    <w:rsid w:val="004D0033"/>
    <w:rsid w:val="004D016B"/>
    <w:rsid w:val="004D0C5D"/>
    <w:rsid w:val="004D0EC1"/>
    <w:rsid w:val="004D1B22"/>
    <w:rsid w:val="004D23CC"/>
    <w:rsid w:val="004D2CF4"/>
    <w:rsid w:val="004D2F9D"/>
    <w:rsid w:val="004D32F6"/>
    <w:rsid w:val="004D362C"/>
    <w:rsid w:val="004D36F2"/>
    <w:rsid w:val="004D3B60"/>
    <w:rsid w:val="004D3E1D"/>
    <w:rsid w:val="004D5D21"/>
    <w:rsid w:val="004D7C0F"/>
    <w:rsid w:val="004E0587"/>
    <w:rsid w:val="004E096C"/>
    <w:rsid w:val="004E1106"/>
    <w:rsid w:val="004E138F"/>
    <w:rsid w:val="004E17A9"/>
    <w:rsid w:val="004E1CA6"/>
    <w:rsid w:val="004E42CC"/>
    <w:rsid w:val="004E4649"/>
    <w:rsid w:val="004E48B8"/>
    <w:rsid w:val="004E5C12"/>
    <w:rsid w:val="004E5C2B"/>
    <w:rsid w:val="004E6A06"/>
    <w:rsid w:val="004E76D2"/>
    <w:rsid w:val="004E7876"/>
    <w:rsid w:val="004F00DD"/>
    <w:rsid w:val="004F0AB8"/>
    <w:rsid w:val="004F0E56"/>
    <w:rsid w:val="004F11F9"/>
    <w:rsid w:val="004F2133"/>
    <w:rsid w:val="004F2CFD"/>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53E"/>
    <w:rsid w:val="00525284"/>
    <w:rsid w:val="00525AAC"/>
    <w:rsid w:val="00525EAA"/>
    <w:rsid w:val="00526826"/>
    <w:rsid w:val="00526AC7"/>
    <w:rsid w:val="00526C15"/>
    <w:rsid w:val="00530086"/>
    <w:rsid w:val="00530EE4"/>
    <w:rsid w:val="00531C4E"/>
    <w:rsid w:val="00532A66"/>
    <w:rsid w:val="00533993"/>
    <w:rsid w:val="00533F9F"/>
    <w:rsid w:val="005359AA"/>
    <w:rsid w:val="0053604E"/>
    <w:rsid w:val="00536499"/>
    <w:rsid w:val="0053675F"/>
    <w:rsid w:val="00536BFB"/>
    <w:rsid w:val="005402C7"/>
    <w:rsid w:val="00540AB8"/>
    <w:rsid w:val="00540FCE"/>
    <w:rsid w:val="00541988"/>
    <w:rsid w:val="0054211F"/>
    <w:rsid w:val="00542A03"/>
    <w:rsid w:val="00542A81"/>
    <w:rsid w:val="00543903"/>
    <w:rsid w:val="00543BCC"/>
    <w:rsid w:val="00543C34"/>
    <w:rsid w:val="00543F11"/>
    <w:rsid w:val="0054408C"/>
    <w:rsid w:val="00544135"/>
    <w:rsid w:val="00544E55"/>
    <w:rsid w:val="00544E60"/>
    <w:rsid w:val="005457F2"/>
    <w:rsid w:val="00545D21"/>
    <w:rsid w:val="00546305"/>
    <w:rsid w:val="0054708D"/>
    <w:rsid w:val="00547A95"/>
    <w:rsid w:val="0055119B"/>
    <w:rsid w:val="00551E6A"/>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897"/>
    <w:rsid w:val="00576A74"/>
    <w:rsid w:val="00576E84"/>
    <w:rsid w:val="0057755E"/>
    <w:rsid w:val="0057AC49"/>
    <w:rsid w:val="00580394"/>
    <w:rsid w:val="005809CD"/>
    <w:rsid w:val="00581BA6"/>
    <w:rsid w:val="00581D73"/>
    <w:rsid w:val="00582876"/>
    <w:rsid w:val="005828BF"/>
    <w:rsid w:val="00582B8C"/>
    <w:rsid w:val="00583549"/>
    <w:rsid w:val="00583C76"/>
    <w:rsid w:val="00585999"/>
    <w:rsid w:val="005859AB"/>
    <w:rsid w:val="005867C0"/>
    <w:rsid w:val="0058757E"/>
    <w:rsid w:val="00590BA5"/>
    <w:rsid w:val="005912F3"/>
    <w:rsid w:val="00592FB7"/>
    <w:rsid w:val="0059332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24F0"/>
    <w:rsid w:val="005C49DA"/>
    <w:rsid w:val="005C50F3"/>
    <w:rsid w:val="005C54B5"/>
    <w:rsid w:val="005C5D80"/>
    <w:rsid w:val="005C5D91"/>
    <w:rsid w:val="005C6AB1"/>
    <w:rsid w:val="005C72A9"/>
    <w:rsid w:val="005D07B8"/>
    <w:rsid w:val="005D087E"/>
    <w:rsid w:val="005D12D3"/>
    <w:rsid w:val="005D3721"/>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861"/>
    <w:rsid w:val="005E6A66"/>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21A7"/>
    <w:rsid w:val="00602475"/>
    <w:rsid w:val="00603408"/>
    <w:rsid w:val="00603844"/>
    <w:rsid w:val="00603DC8"/>
    <w:rsid w:val="006041AD"/>
    <w:rsid w:val="00604C90"/>
    <w:rsid w:val="00604EEA"/>
    <w:rsid w:val="00605908"/>
    <w:rsid w:val="0060698C"/>
    <w:rsid w:val="00606B12"/>
    <w:rsid w:val="00607317"/>
    <w:rsid w:val="00607850"/>
    <w:rsid w:val="00607EF7"/>
    <w:rsid w:val="00610022"/>
    <w:rsid w:val="00610993"/>
    <w:rsid w:val="00610D7C"/>
    <w:rsid w:val="006110E2"/>
    <w:rsid w:val="00611939"/>
    <w:rsid w:val="00611C14"/>
    <w:rsid w:val="0061258E"/>
    <w:rsid w:val="00612768"/>
    <w:rsid w:val="00612B65"/>
    <w:rsid w:val="00612C2A"/>
    <w:rsid w:val="00613209"/>
    <w:rsid w:val="00613414"/>
    <w:rsid w:val="006143F6"/>
    <w:rsid w:val="00615048"/>
    <w:rsid w:val="006157E8"/>
    <w:rsid w:val="00615839"/>
    <w:rsid w:val="0061583F"/>
    <w:rsid w:val="00615C3D"/>
    <w:rsid w:val="00616042"/>
    <w:rsid w:val="00616409"/>
    <w:rsid w:val="00620154"/>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DA7"/>
    <w:rsid w:val="00630DA4"/>
    <w:rsid w:val="0063109E"/>
    <w:rsid w:val="00631CD4"/>
    <w:rsid w:val="00632597"/>
    <w:rsid w:val="00632FFC"/>
    <w:rsid w:val="00633A57"/>
    <w:rsid w:val="00634D13"/>
    <w:rsid w:val="006358B4"/>
    <w:rsid w:val="00636097"/>
    <w:rsid w:val="006367F9"/>
    <w:rsid w:val="006372F6"/>
    <w:rsid w:val="0063736F"/>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97"/>
    <w:rsid w:val="006706D0"/>
    <w:rsid w:val="00670CDC"/>
    <w:rsid w:val="00673721"/>
    <w:rsid w:val="00673B4B"/>
    <w:rsid w:val="00673FC0"/>
    <w:rsid w:val="006768BD"/>
    <w:rsid w:val="006772DD"/>
    <w:rsid w:val="00677574"/>
    <w:rsid w:val="006808E9"/>
    <w:rsid w:val="006812ED"/>
    <w:rsid w:val="00682C98"/>
    <w:rsid w:val="00683878"/>
    <w:rsid w:val="00683ACD"/>
    <w:rsid w:val="00683CA9"/>
    <w:rsid w:val="00684380"/>
    <w:rsid w:val="0068454C"/>
    <w:rsid w:val="00684AF6"/>
    <w:rsid w:val="00684CB9"/>
    <w:rsid w:val="00684DB1"/>
    <w:rsid w:val="006851C5"/>
    <w:rsid w:val="00687225"/>
    <w:rsid w:val="00690690"/>
    <w:rsid w:val="00690F8B"/>
    <w:rsid w:val="006911BB"/>
    <w:rsid w:val="00691B62"/>
    <w:rsid w:val="00692014"/>
    <w:rsid w:val="00692275"/>
    <w:rsid w:val="006933B5"/>
    <w:rsid w:val="00693D14"/>
    <w:rsid w:val="00694A8F"/>
    <w:rsid w:val="00695A63"/>
    <w:rsid w:val="00696B49"/>
    <w:rsid w:val="00696F27"/>
    <w:rsid w:val="006A0702"/>
    <w:rsid w:val="006A0E8A"/>
    <w:rsid w:val="006A1578"/>
    <w:rsid w:val="006A18C2"/>
    <w:rsid w:val="006A18E2"/>
    <w:rsid w:val="006A1BAE"/>
    <w:rsid w:val="006A2A3E"/>
    <w:rsid w:val="006A32F3"/>
    <w:rsid w:val="006A3383"/>
    <w:rsid w:val="006A411A"/>
    <w:rsid w:val="006A6FCE"/>
    <w:rsid w:val="006B00F3"/>
    <w:rsid w:val="006B077C"/>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E8B"/>
    <w:rsid w:val="0070264F"/>
    <w:rsid w:val="007047AD"/>
    <w:rsid w:val="00705312"/>
    <w:rsid w:val="007055BD"/>
    <w:rsid w:val="007055DA"/>
    <w:rsid w:val="00705C2E"/>
    <w:rsid w:val="00705F75"/>
    <w:rsid w:val="0070661E"/>
    <w:rsid w:val="00706D2A"/>
    <w:rsid w:val="007072C7"/>
    <w:rsid w:val="00707D1A"/>
    <w:rsid w:val="007118EF"/>
    <w:rsid w:val="00712D16"/>
    <w:rsid w:val="00712F28"/>
    <w:rsid w:val="00712FA7"/>
    <w:rsid w:val="00713633"/>
    <w:rsid w:val="00715730"/>
    <w:rsid w:val="00716316"/>
    <w:rsid w:val="0071648B"/>
    <w:rsid w:val="00716960"/>
    <w:rsid w:val="00717227"/>
    <w:rsid w:val="007173CA"/>
    <w:rsid w:val="00717D71"/>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82A"/>
    <w:rsid w:val="007346E4"/>
    <w:rsid w:val="00735564"/>
    <w:rsid w:val="00735D8A"/>
    <w:rsid w:val="00735D94"/>
    <w:rsid w:val="007370B6"/>
    <w:rsid w:val="00740452"/>
    <w:rsid w:val="00740F22"/>
    <w:rsid w:val="007415C7"/>
    <w:rsid w:val="00741CF0"/>
    <w:rsid w:val="00741DC0"/>
    <w:rsid w:val="00741F1A"/>
    <w:rsid w:val="00742225"/>
    <w:rsid w:val="007427E7"/>
    <w:rsid w:val="007447DA"/>
    <w:rsid w:val="00744DB7"/>
    <w:rsid w:val="007450F8"/>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624B"/>
    <w:rsid w:val="007764E9"/>
    <w:rsid w:val="00776928"/>
    <w:rsid w:val="00776D56"/>
    <w:rsid w:val="00776E0F"/>
    <w:rsid w:val="00776E7B"/>
    <w:rsid w:val="007774B1"/>
    <w:rsid w:val="007775C1"/>
    <w:rsid w:val="00777BE1"/>
    <w:rsid w:val="00780F12"/>
    <w:rsid w:val="0078102D"/>
    <w:rsid w:val="00781F2A"/>
    <w:rsid w:val="00782222"/>
    <w:rsid w:val="00782787"/>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31B6"/>
    <w:rsid w:val="007F5123"/>
    <w:rsid w:val="007F546C"/>
    <w:rsid w:val="007F5B09"/>
    <w:rsid w:val="007F5BF4"/>
    <w:rsid w:val="007F625F"/>
    <w:rsid w:val="007F665E"/>
    <w:rsid w:val="007F7BFE"/>
    <w:rsid w:val="00800412"/>
    <w:rsid w:val="008004BC"/>
    <w:rsid w:val="0080142A"/>
    <w:rsid w:val="00801BE1"/>
    <w:rsid w:val="0080247E"/>
    <w:rsid w:val="008036FF"/>
    <w:rsid w:val="00803E56"/>
    <w:rsid w:val="0080587B"/>
    <w:rsid w:val="00805BFB"/>
    <w:rsid w:val="00806395"/>
    <w:rsid w:val="008063DE"/>
    <w:rsid w:val="00806468"/>
    <w:rsid w:val="00806E51"/>
    <w:rsid w:val="00807E8C"/>
    <w:rsid w:val="00810F51"/>
    <w:rsid w:val="008119CA"/>
    <w:rsid w:val="0081239F"/>
    <w:rsid w:val="008130C4"/>
    <w:rsid w:val="00813D56"/>
    <w:rsid w:val="00813FF2"/>
    <w:rsid w:val="00814414"/>
    <w:rsid w:val="00815128"/>
    <w:rsid w:val="008153A6"/>
    <w:rsid w:val="008155F0"/>
    <w:rsid w:val="00815BD9"/>
    <w:rsid w:val="00816735"/>
    <w:rsid w:val="008178F6"/>
    <w:rsid w:val="00820141"/>
    <w:rsid w:val="00820180"/>
    <w:rsid w:val="008209C9"/>
    <w:rsid w:val="00820E0C"/>
    <w:rsid w:val="00821D0B"/>
    <w:rsid w:val="0082229C"/>
    <w:rsid w:val="0082291A"/>
    <w:rsid w:val="00823275"/>
    <w:rsid w:val="0082366F"/>
    <w:rsid w:val="008257B6"/>
    <w:rsid w:val="008269A7"/>
    <w:rsid w:val="00830248"/>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53AE"/>
    <w:rsid w:val="00846D8F"/>
    <w:rsid w:val="008474FE"/>
    <w:rsid w:val="00847E2F"/>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DC"/>
    <w:rsid w:val="00862E53"/>
    <w:rsid w:val="008633F0"/>
    <w:rsid w:val="00863AC6"/>
    <w:rsid w:val="00863CF5"/>
    <w:rsid w:val="008649D4"/>
    <w:rsid w:val="00864B7B"/>
    <w:rsid w:val="00865031"/>
    <w:rsid w:val="008659E0"/>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54AC"/>
    <w:rsid w:val="008A5B32"/>
    <w:rsid w:val="008A5D36"/>
    <w:rsid w:val="008B2029"/>
    <w:rsid w:val="008B2EE4"/>
    <w:rsid w:val="008B36EA"/>
    <w:rsid w:val="008B372D"/>
    <w:rsid w:val="008B3821"/>
    <w:rsid w:val="008B4D3D"/>
    <w:rsid w:val="008B57C7"/>
    <w:rsid w:val="008B7B89"/>
    <w:rsid w:val="008B7B9C"/>
    <w:rsid w:val="008C0155"/>
    <w:rsid w:val="008C0EE3"/>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2C27"/>
    <w:rsid w:val="008E2D57"/>
    <w:rsid w:val="008E3EFA"/>
    <w:rsid w:val="008E4376"/>
    <w:rsid w:val="008E4677"/>
    <w:rsid w:val="008E5D7C"/>
    <w:rsid w:val="008E5D9D"/>
    <w:rsid w:val="008E667E"/>
    <w:rsid w:val="008E6F32"/>
    <w:rsid w:val="008E74C5"/>
    <w:rsid w:val="008E7719"/>
    <w:rsid w:val="008E7A0A"/>
    <w:rsid w:val="008E7B49"/>
    <w:rsid w:val="008F05C5"/>
    <w:rsid w:val="008F0959"/>
    <w:rsid w:val="008F183F"/>
    <w:rsid w:val="008F18C8"/>
    <w:rsid w:val="008F32E1"/>
    <w:rsid w:val="008F42D9"/>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38F"/>
    <w:rsid w:val="00933398"/>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79E"/>
    <w:rsid w:val="00953BA0"/>
    <w:rsid w:val="00953BFB"/>
    <w:rsid w:val="0095470B"/>
    <w:rsid w:val="00954874"/>
    <w:rsid w:val="00954EE4"/>
    <w:rsid w:val="009553D7"/>
    <w:rsid w:val="0095562F"/>
    <w:rsid w:val="009557A9"/>
    <w:rsid w:val="00955968"/>
    <w:rsid w:val="00955A81"/>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5060"/>
    <w:rsid w:val="0096632D"/>
    <w:rsid w:val="00966CA0"/>
    <w:rsid w:val="00967124"/>
    <w:rsid w:val="0096726E"/>
    <w:rsid w:val="009701D0"/>
    <w:rsid w:val="009705A2"/>
    <w:rsid w:val="00970D15"/>
    <w:rsid w:val="0097166C"/>
    <w:rsid w:val="009718C7"/>
    <w:rsid w:val="00972A1B"/>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754"/>
    <w:rsid w:val="009853E1"/>
    <w:rsid w:val="009856FC"/>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FD6"/>
    <w:rsid w:val="009C2362"/>
    <w:rsid w:val="009C245E"/>
    <w:rsid w:val="009C323C"/>
    <w:rsid w:val="009C3263"/>
    <w:rsid w:val="009C356F"/>
    <w:rsid w:val="009C4EF4"/>
    <w:rsid w:val="009C5CF1"/>
    <w:rsid w:val="009C5E77"/>
    <w:rsid w:val="009C7A7E"/>
    <w:rsid w:val="009D02E8"/>
    <w:rsid w:val="009D1073"/>
    <w:rsid w:val="009D16AB"/>
    <w:rsid w:val="009D20C9"/>
    <w:rsid w:val="009D3892"/>
    <w:rsid w:val="009D397D"/>
    <w:rsid w:val="009D4284"/>
    <w:rsid w:val="009D51D0"/>
    <w:rsid w:val="009D683E"/>
    <w:rsid w:val="009D70A4"/>
    <w:rsid w:val="009D7B14"/>
    <w:rsid w:val="009E0403"/>
    <w:rsid w:val="009E05B3"/>
    <w:rsid w:val="009E0856"/>
    <w:rsid w:val="009E08D1"/>
    <w:rsid w:val="009E0B33"/>
    <w:rsid w:val="009E0D96"/>
    <w:rsid w:val="009E14B2"/>
    <w:rsid w:val="009E1B95"/>
    <w:rsid w:val="009E25E8"/>
    <w:rsid w:val="009E2EC1"/>
    <w:rsid w:val="009E3477"/>
    <w:rsid w:val="009E3D08"/>
    <w:rsid w:val="009E3EB4"/>
    <w:rsid w:val="009E433D"/>
    <w:rsid w:val="009E496F"/>
    <w:rsid w:val="009E4B0D"/>
    <w:rsid w:val="009E4D8B"/>
    <w:rsid w:val="009E5250"/>
    <w:rsid w:val="009E5370"/>
    <w:rsid w:val="009E582A"/>
    <w:rsid w:val="009E6A5B"/>
    <w:rsid w:val="009E7A69"/>
    <w:rsid w:val="009E7A7B"/>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92"/>
    <w:rsid w:val="00A04659"/>
    <w:rsid w:val="00A04C6D"/>
    <w:rsid w:val="00A04CCE"/>
    <w:rsid w:val="00A04E14"/>
    <w:rsid w:val="00A052CE"/>
    <w:rsid w:val="00A05347"/>
    <w:rsid w:val="00A05537"/>
    <w:rsid w:val="00A05741"/>
    <w:rsid w:val="00A05E7F"/>
    <w:rsid w:val="00A06EB7"/>
    <w:rsid w:val="00A07421"/>
    <w:rsid w:val="00A0776B"/>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CF2"/>
    <w:rsid w:val="00A5179E"/>
    <w:rsid w:val="00A51D1D"/>
    <w:rsid w:val="00A5267D"/>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F43"/>
    <w:rsid w:val="00A67263"/>
    <w:rsid w:val="00A67625"/>
    <w:rsid w:val="00A6787D"/>
    <w:rsid w:val="00A67F61"/>
    <w:rsid w:val="00A703DE"/>
    <w:rsid w:val="00A70AE4"/>
    <w:rsid w:val="00A7161C"/>
    <w:rsid w:val="00A71CE4"/>
    <w:rsid w:val="00A72702"/>
    <w:rsid w:val="00A72780"/>
    <w:rsid w:val="00A73A9D"/>
    <w:rsid w:val="00A753D4"/>
    <w:rsid w:val="00A756F3"/>
    <w:rsid w:val="00A75ED6"/>
    <w:rsid w:val="00A762CC"/>
    <w:rsid w:val="00A76BDB"/>
    <w:rsid w:val="00A7725E"/>
    <w:rsid w:val="00A7794F"/>
    <w:rsid w:val="00A77AA3"/>
    <w:rsid w:val="00A802E0"/>
    <w:rsid w:val="00A80F64"/>
    <w:rsid w:val="00A820BF"/>
    <w:rsid w:val="00A8236D"/>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E6F"/>
    <w:rsid w:val="00AC6D36"/>
    <w:rsid w:val="00AC7882"/>
    <w:rsid w:val="00AC7A6C"/>
    <w:rsid w:val="00AC7FF1"/>
    <w:rsid w:val="00AD03CF"/>
    <w:rsid w:val="00AD0CBA"/>
    <w:rsid w:val="00AD1960"/>
    <w:rsid w:val="00AD1E76"/>
    <w:rsid w:val="00AD26E2"/>
    <w:rsid w:val="00AD402A"/>
    <w:rsid w:val="00AD4758"/>
    <w:rsid w:val="00AD4E20"/>
    <w:rsid w:val="00AD613C"/>
    <w:rsid w:val="00AD63A0"/>
    <w:rsid w:val="00AD6AF4"/>
    <w:rsid w:val="00AD784C"/>
    <w:rsid w:val="00AE003C"/>
    <w:rsid w:val="00AE0F8E"/>
    <w:rsid w:val="00AE0FAF"/>
    <w:rsid w:val="00AE126A"/>
    <w:rsid w:val="00AE18B3"/>
    <w:rsid w:val="00AE1A74"/>
    <w:rsid w:val="00AE1BAE"/>
    <w:rsid w:val="00AE2F71"/>
    <w:rsid w:val="00AE3005"/>
    <w:rsid w:val="00AE3BD5"/>
    <w:rsid w:val="00AE4D31"/>
    <w:rsid w:val="00AE59A0"/>
    <w:rsid w:val="00AE616B"/>
    <w:rsid w:val="00AE7D2C"/>
    <w:rsid w:val="00AE7F68"/>
    <w:rsid w:val="00AE7F7B"/>
    <w:rsid w:val="00AF07F8"/>
    <w:rsid w:val="00AF0C57"/>
    <w:rsid w:val="00AF1F87"/>
    <w:rsid w:val="00AF26F3"/>
    <w:rsid w:val="00AF5441"/>
    <w:rsid w:val="00AF5F04"/>
    <w:rsid w:val="00AF7367"/>
    <w:rsid w:val="00AF78AB"/>
    <w:rsid w:val="00AF7AA7"/>
    <w:rsid w:val="00AF7B23"/>
    <w:rsid w:val="00B00672"/>
    <w:rsid w:val="00B01967"/>
    <w:rsid w:val="00B01B4D"/>
    <w:rsid w:val="00B01E7C"/>
    <w:rsid w:val="00B04489"/>
    <w:rsid w:val="00B059F7"/>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BB4"/>
    <w:rsid w:val="00B24E6F"/>
    <w:rsid w:val="00B26CB5"/>
    <w:rsid w:val="00B26E44"/>
    <w:rsid w:val="00B2752E"/>
    <w:rsid w:val="00B307CC"/>
    <w:rsid w:val="00B309A5"/>
    <w:rsid w:val="00B30DB2"/>
    <w:rsid w:val="00B3176B"/>
    <w:rsid w:val="00B31A9D"/>
    <w:rsid w:val="00B326A5"/>
    <w:rsid w:val="00B326B7"/>
    <w:rsid w:val="00B3284E"/>
    <w:rsid w:val="00B3292D"/>
    <w:rsid w:val="00B3355B"/>
    <w:rsid w:val="00B34715"/>
    <w:rsid w:val="00B34F4E"/>
    <w:rsid w:val="00B35005"/>
    <w:rsid w:val="00B3588E"/>
    <w:rsid w:val="00B37267"/>
    <w:rsid w:val="00B37FE0"/>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73A"/>
    <w:rsid w:val="00B52EE7"/>
    <w:rsid w:val="00B546A5"/>
    <w:rsid w:val="00B54E53"/>
    <w:rsid w:val="00B55CC7"/>
    <w:rsid w:val="00B55E0C"/>
    <w:rsid w:val="00B55FDF"/>
    <w:rsid w:val="00B564D6"/>
    <w:rsid w:val="00B56E4D"/>
    <w:rsid w:val="00B5731E"/>
    <w:rsid w:val="00B57329"/>
    <w:rsid w:val="00B578FD"/>
    <w:rsid w:val="00B57CCC"/>
    <w:rsid w:val="00B60BCB"/>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AB6"/>
    <w:rsid w:val="00B824A4"/>
    <w:rsid w:val="00B82F08"/>
    <w:rsid w:val="00B83AF1"/>
    <w:rsid w:val="00B83C57"/>
    <w:rsid w:val="00B83CC0"/>
    <w:rsid w:val="00B8411F"/>
    <w:rsid w:val="00B848AE"/>
    <w:rsid w:val="00B85EC0"/>
    <w:rsid w:val="00B86A34"/>
    <w:rsid w:val="00B90582"/>
    <w:rsid w:val="00B90729"/>
    <w:rsid w:val="00B907DA"/>
    <w:rsid w:val="00B9083A"/>
    <w:rsid w:val="00B90B09"/>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1AF8"/>
    <w:rsid w:val="00BE28D2"/>
    <w:rsid w:val="00BE2F23"/>
    <w:rsid w:val="00BE32C8"/>
    <w:rsid w:val="00BE3991"/>
    <w:rsid w:val="00BE40EF"/>
    <w:rsid w:val="00BE4A64"/>
    <w:rsid w:val="00BE552B"/>
    <w:rsid w:val="00BE555F"/>
    <w:rsid w:val="00BE5E43"/>
    <w:rsid w:val="00BE69A5"/>
    <w:rsid w:val="00BE6C34"/>
    <w:rsid w:val="00BE6FD1"/>
    <w:rsid w:val="00BF08C1"/>
    <w:rsid w:val="00BF10F8"/>
    <w:rsid w:val="00BF2266"/>
    <w:rsid w:val="00BF2B02"/>
    <w:rsid w:val="00BF30AE"/>
    <w:rsid w:val="00BF3D2E"/>
    <w:rsid w:val="00BF557D"/>
    <w:rsid w:val="00BF5947"/>
    <w:rsid w:val="00BF658D"/>
    <w:rsid w:val="00BF661C"/>
    <w:rsid w:val="00BF7078"/>
    <w:rsid w:val="00BF7766"/>
    <w:rsid w:val="00BF7A34"/>
    <w:rsid w:val="00BF7F58"/>
    <w:rsid w:val="00C01381"/>
    <w:rsid w:val="00C016B5"/>
    <w:rsid w:val="00C01AB1"/>
    <w:rsid w:val="00C026A0"/>
    <w:rsid w:val="00C033C7"/>
    <w:rsid w:val="00C042AE"/>
    <w:rsid w:val="00C04341"/>
    <w:rsid w:val="00C044D1"/>
    <w:rsid w:val="00C05822"/>
    <w:rsid w:val="00C05983"/>
    <w:rsid w:val="00C05AB2"/>
    <w:rsid w:val="00C06137"/>
    <w:rsid w:val="00C0690B"/>
    <w:rsid w:val="00C06929"/>
    <w:rsid w:val="00C06D06"/>
    <w:rsid w:val="00C07420"/>
    <w:rsid w:val="00C079B8"/>
    <w:rsid w:val="00C10037"/>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7D5"/>
    <w:rsid w:val="00C22CB6"/>
    <w:rsid w:val="00C2308B"/>
    <w:rsid w:val="00C2313B"/>
    <w:rsid w:val="00C23B9C"/>
    <w:rsid w:val="00C244F6"/>
    <w:rsid w:val="00C24DC5"/>
    <w:rsid w:val="00C251D6"/>
    <w:rsid w:val="00C2638D"/>
    <w:rsid w:val="00C26588"/>
    <w:rsid w:val="00C2677D"/>
    <w:rsid w:val="00C26D08"/>
    <w:rsid w:val="00C27646"/>
    <w:rsid w:val="00C27945"/>
    <w:rsid w:val="00C27DE9"/>
    <w:rsid w:val="00C31BE6"/>
    <w:rsid w:val="00C324B6"/>
    <w:rsid w:val="00C32989"/>
    <w:rsid w:val="00C331E0"/>
    <w:rsid w:val="00C33388"/>
    <w:rsid w:val="00C3404B"/>
    <w:rsid w:val="00C34256"/>
    <w:rsid w:val="00C34447"/>
    <w:rsid w:val="00C35484"/>
    <w:rsid w:val="00C3559C"/>
    <w:rsid w:val="00C367B0"/>
    <w:rsid w:val="00C36859"/>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7653"/>
    <w:rsid w:val="00C500F4"/>
    <w:rsid w:val="00C5016F"/>
    <w:rsid w:val="00C502C4"/>
    <w:rsid w:val="00C509BE"/>
    <w:rsid w:val="00C50DED"/>
    <w:rsid w:val="00C51AD2"/>
    <w:rsid w:val="00C52217"/>
    <w:rsid w:val="00C52784"/>
    <w:rsid w:val="00C527A1"/>
    <w:rsid w:val="00C52BBA"/>
    <w:rsid w:val="00C52F93"/>
    <w:rsid w:val="00C5457A"/>
    <w:rsid w:val="00C54EFC"/>
    <w:rsid w:val="00C554CC"/>
    <w:rsid w:val="00C55824"/>
    <w:rsid w:val="00C55B36"/>
    <w:rsid w:val="00C602FF"/>
    <w:rsid w:val="00C60411"/>
    <w:rsid w:val="00C60536"/>
    <w:rsid w:val="00C60A34"/>
    <w:rsid w:val="00C60E8C"/>
    <w:rsid w:val="00C61174"/>
    <w:rsid w:val="00C611CE"/>
    <w:rsid w:val="00C6148F"/>
    <w:rsid w:val="00C6189F"/>
    <w:rsid w:val="00C621B1"/>
    <w:rsid w:val="00C62347"/>
    <w:rsid w:val="00C62F7A"/>
    <w:rsid w:val="00C634F6"/>
    <w:rsid w:val="00C63B9C"/>
    <w:rsid w:val="00C64213"/>
    <w:rsid w:val="00C656DA"/>
    <w:rsid w:val="00C65820"/>
    <w:rsid w:val="00C658C8"/>
    <w:rsid w:val="00C6601D"/>
    <w:rsid w:val="00C66704"/>
    <w:rsid w:val="00C6682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575F"/>
    <w:rsid w:val="00C85ED3"/>
    <w:rsid w:val="00C861E4"/>
    <w:rsid w:val="00C8625B"/>
    <w:rsid w:val="00C863C4"/>
    <w:rsid w:val="00C87D2D"/>
    <w:rsid w:val="00C87E8C"/>
    <w:rsid w:val="00C908D6"/>
    <w:rsid w:val="00C90DAB"/>
    <w:rsid w:val="00C920EA"/>
    <w:rsid w:val="00C93259"/>
    <w:rsid w:val="00C93A30"/>
    <w:rsid w:val="00C93C3E"/>
    <w:rsid w:val="00C944E5"/>
    <w:rsid w:val="00C9514C"/>
    <w:rsid w:val="00C96001"/>
    <w:rsid w:val="00C97853"/>
    <w:rsid w:val="00C97D31"/>
    <w:rsid w:val="00C97E80"/>
    <w:rsid w:val="00CA0CB4"/>
    <w:rsid w:val="00CA0E5C"/>
    <w:rsid w:val="00CA101F"/>
    <w:rsid w:val="00CA129F"/>
    <w:rsid w:val="00CA12E3"/>
    <w:rsid w:val="00CA1476"/>
    <w:rsid w:val="00CA14BE"/>
    <w:rsid w:val="00CA14E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8F4"/>
    <w:rsid w:val="00CB5C6B"/>
    <w:rsid w:val="00CC0A74"/>
    <w:rsid w:val="00CC0C72"/>
    <w:rsid w:val="00CC1CD9"/>
    <w:rsid w:val="00CC2907"/>
    <w:rsid w:val="00CC2BFD"/>
    <w:rsid w:val="00CC315C"/>
    <w:rsid w:val="00CC32B0"/>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187E"/>
    <w:rsid w:val="00CE1CFC"/>
    <w:rsid w:val="00CE1D84"/>
    <w:rsid w:val="00CE225F"/>
    <w:rsid w:val="00CE3BCF"/>
    <w:rsid w:val="00CE3CDF"/>
    <w:rsid w:val="00CE4884"/>
    <w:rsid w:val="00CE4F50"/>
    <w:rsid w:val="00CE5A7A"/>
    <w:rsid w:val="00CE5FD4"/>
    <w:rsid w:val="00CE63DC"/>
    <w:rsid w:val="00CE6A2C"/>
    <w:rsid w:val="00CE6C87"/>
    <w:rsid w:val="00CE7E76"/>
    <w:rsid w:val="00CF13E7"/>
    <w:rsid w:val="00CF2F50"/>
    <w:rsid w:val="00CF3054"/>
    <w:rsid w:val="00CF30B5"/>
    <w:rsid w:val="00CF37C9"/>
    <w:rsid w:val="00CF3C56"/>
    <w:rsid w:val="00CF3DFD"/>
    <w:rsid w:val="00CF46B6"/>
    <w:rsid w:val="00CF4AE0"/>
    <w:rsid w:val="00CF516C"/>
    <w:rsid w:val="00CF5215"/>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F98"/>
    <w:rsid w:val="00D02919"/>
    <w:rsid w:val="00D03E60"/>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61B5"/>
    <w:rsid w:val="00D362C7"/>
    <w:rsid w:val="00D36A55"/>
    <w:rsid w:val="00D36F01"/>
    <w:rsid w:val="00D37415"/>
    <w:rsid w:val="00D411A2"/>
    <w:rsid w:val="00D413D0"/>
    <w:rsid w:val="00D41B59"/>
    <w:rsid w:val="00D44483"/>
    <w:rsid w:val="00D44503"/>
    <w:rsid w:val="00D445F7"/>
    <w:rsid w:val="00D448A6"/>
    <w:rsid w:val="00D44CA2"/>
    <w:rsid w:val="00D4606D"/>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2239"/>
    <w:rsid w:val="00D62C93"/>
    <w:rsid w:val="00D63636"/>
    <w:rsid w:val="00D63D1B"/>
    <w:rsid w:val="00D647C0"/>
    <w:rsid w:val="00D660CC"/>
    <w:rsid w:val="00D66E7D"/>
    <w:rsid w:val="00D6751D"/>
    <w:rsid w:val="00D714CC"/>
    <w:rsid w:val="00D72660"/>
    <w:rsid w:val="00D72C32"/>
    <w:rsid w:val="00D72CB6"/>
    <w:rsid w:val="00D736B4"/>
    <w:rsid w:val="00D740AE"/>
    <w:rsid w:val="00D74431"/>
    <w:rsid w:val="00D745BF"/>
    <w:rsid w:val="00D75EA7"/>
    <w:rsid w:val="00D76A7D"/>
    <w:rsid w:val="00D76BB2"/>
    <w:rsid w:val="00D76DCB"/>
    <w:rsid w:val="00D76E88"/>
    <w:rsid w:val="00D76ECC"/>
    <w:rsid w:val="00D773C6"/>
    <w:rsid w:val="00D81224"/>
    <w:rsid w:val="00D81ADF"/>
    <w:rsid w:val="00D81F21"/>
    <w:rsid w:val="00D82DC1"/>
    <w:rsid w:val="00D832A9"/>
    <w:rsid w:val="00D846A2"/>
    <w:rsid w:val="00D84F05"/>
    <w:rsid w:val="00D8649E"/>
    <w:rsid w:val="00D864F2"/>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843"/>
    <w:rsid w:val="00D96B55"/>
    <w:rsid w:val="00D97530"/>
    <w:rsid w:val="00DA0573"/>
    <w:rsid w:val="00DA13B4"/>
    <w:rsid w:val="00DA17E0"/>
    <w:rsid w:val="00DA2619"/>
    <w:rsid w:val="00DA2715"/>
    <w:rsid w:val="00DA4239"/>
    <w:rsid w:val="00DA588C"/>
    <w:rsid w:val="00DA6307"/>
    <w:rsid w:val="00DA65DE"/>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494"/>
    <w:rsid w:val="00DE5FD6"/>
    <w:rsid w:val="00DE6028"/>
    <w:rsid w:val="00DE6C85"/>
    <w:rsid w:val="00DE6F1D"/>
    <w:rsid w:val="00DE75FE"/>
    <w:rsid w:val="00DE78A3"/>
    <w:rsid w:val="00DF0A6E"/>
    <w:rsid w:val="00DF0AB3"/>
    <w:rsid w:val="00DF1982"/>
    <w:rsid w:val="00DF1A71"/>
    <w:rsid w:val="00DF2001"/>
    <w:rsid w:val="00DF2C7A"/>
    <w:rsid w:val="00DF34FA"/>
    <w:rsid w:val="00DF3C37"/>
    <w:rsid w:val="00DF4D8F"/>
    <w:rsid w:val="00DF50FC"/>
    <w:rsid w:val="00DF68C7"/>
    <w:rsid w:val="00DF731A"/>
    <w:rsid w:val="00E00C5E"/>
    <w:rsid w:val="00E00D0F"/>
    <w:rsid w:val="00E021BF"/>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204CB"/>
    <w:rsid w:val="00E2050E"/>
    <w:rsid w:val="00E20D8F"/>
    <w:rsid w:val="00E210B5"/>
    <w:rsid w:val="00E213F3"/>
    <w:rsid w:val="00E21491"/>
    <w:rsid w:val="00E24058"/>
    <w:rsid w:val="00E261B3"/>
    <w:rsid w:val="00E2633D"/>
    <w:rsid w:val="00E26818"/>
    <w:rsid w:val="00E2684F"/>
    <w:rsid w:val="00E27050"/>
    <w:rsid w:val="00E27BAA"/>
    <w:rsid w:val="00E27FFC"/>
    <w:rsid w:val="00E30B15"/>
    <w:rsid w:val="00E329CF"/>
    <w:rsid w:val="00E33237"/>
    <w:rsid w:val="00E3402D"/>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F6"/>
    <w:rsid w:val="00E75E66"/>
    <w:rsid w:val="00E76B99"/>
    <w:rsid w:val="00E773AC"/>
    <w:rsid w:val="00E77826"/>
    <w:rsid w:val="00E803A4"/>
    <w:rsid w:val="00E808DB"/>
    <w:rsid w:val="00E80B40"/>
    <w:rsid w:val="00E80D2D"/>
    <w:rsid w:val="00E80DE3"/>
    <w:rsid w:val="00E80E66"/>
    <w:rsid w:val="00E82392"/>
    <w:rsid w:val="00E82C55"/>
    <w:rsid w:val="00E82C5D"/>
    <w:rsid w:val="00E83362"/>
    <w:rsid w:val="00E83F99"/>
    <w:rsid w:val="00E8436A"/>
    <w:rsid w:val="00E84AAD"/>
    <w:rsid w:val="00E850DB"/>
    <w:rsid w:val="00E8645F"/>
    <w:rsid w:val="00E867D8"/>
    <w:rsid w:val="00E877BA"/>
    <w:rsid w:val="00E8787E"/>
    <w:rsid w:val="00E90124"/>
    <w:rsid w:val="00E9042A"/>
    <w:rsid w:val="00E9076F"/>
    <w:rsid w:val="00E907A4"/>
    <w:rsid w:val="00E90F9D"/>
    <w:rsid w:val="00E912A8"/>
    <w:rsid w:val="00E91988"/>
    <w:rsid w:val="00E91AE3"/>
    <w:rsid w:val="00E92AC3"/>
    <w:rsid w:val="00E9428D"/>
    <w:rsid w:val="00E95068"/>
    <w:rsid w:val="00E95591"/>
    <w:rsid w:val="00E95BED"/>
    <w:rsid w:val="00E9644B"/>
    <w:rsid w:val="00E973BB"/>
    <w:rsid w:val="00E974D2"/>
    <w:rsid w:val="00EA0405"/>
    <w:rsid w:val="00EA16CF"/>
    <w:rsid w:val="00EA23E8"/>
    <w:rsid w:val="00EA2F6A"/>
    <w:rsid w:val="00EA3012"/>
    <w:rsid w:val="00EA308E"/>
    <w:rsid w:val="00EA3542"/>
    <w:rsid w:val="00EA3809"/>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59F"/>
    <w:rsid w:val="00EC070F"/>
    <w:rsid w:val="00EC1159"/>
    <w:rsid w:val="00EC1620"/>
    <w:rsid w:val="00EC1BEB"/>
    <w:rsid w:val="00EC1D53"/>
    <w:rsid w:val="00EC1F24"/>
    <w:rsid w:val="00EC22F6"/>
    <w:rsid w:val="00EC24A7"/>
    <w:rsid w:val="00EC25D7"/>
    <w:rsid w:val="00EC3DB9"/>
    <w:rsid w:val="00EC456E"/>
    <w:rsid w:val="00EC4B20"/>
    <w:rsid w:val="00EC5409"/>
    <w:rsid w:val="00EC5DA0"/>
    <w:rsid w:val="00EC677C"/>
    <w:rsid w:val="00EC74D9"/>
    <w:rsid w:val="00EC7694"/>
    <w:rsid w:val="00ED03AD"/>
    <w:rsid w:val="00ED236E"/>
    <w:rsid w:val="00ED2642"/>
    <w:rsid w:val="00ED36CC"/>
    <w:rsid w:val="00ED3D87"/>
    <w:rsid w:val="00ED4212"/>
    <w:rsid w:val="00ED5B9B"/>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D5D"/>
    <w:rsid w:val="00EE5131"/>
    <w:rsid w:val="00EE6706"/>
    <w:rsid w:val="00EE7459"/>
    <w:rsid w:val="00EF00EA"/>
    <w:rsid w:val="00EF0514"/>
    <w:rsid w:val="00EF08B7"/>
    <w:rsid w:val="00EF0E3E"/>
    <w:rsid w:val="00EF109B"/>
    <w:rsid w:val="00EF13D6"/>
    <w:rsid w:val="00EF17E3"/>
    <w:rsid w:val="00EF1807"/>
    <w:rsid w:val="00EF201C"/>
    <w:rsid w:val="00EF2118"/>
    <w:rsid w:val="00EF22B0"/>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4258"/>
    <w:rsid w:val="00F3482F"/>
    <w:rsid w:val="00F35222"/>
    <w:rsid w:val="00F35287"/>
    <w:rsid w:val="00F35C0D"/>
    <w:rsid w:val="00F36E71"/>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62D"/>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11A1"/>
    <w:rsid w:val="00FA2C46"/>
    <w:rsid w:val="00FA2D3F"/>
    <w:rsid w:val="00FA347E"/>
    <w:rsid w:val="00FA3525"/>
    <w:rsid w:val="00FA4173"/>
    <w:rsid w:val="00FA42D4"/>
    <w:rsid w:val="00FA50C7"/>
    <w:rsid w:val="00FA5101"/>
    <w:rsid w:val="00FA5353"/>
    <w:rsid w:val="00FA5530"/>
    <w:rsid w:val="00FA5A53"/>
    <w:rsid w:val="00FA6CC6"/>
    <w:rsid w:val="00FA70FC"/>
    <w:rsid w:val="00FA763E"/>
    <w:rsid w:val="00FA7C0E"/>
    <w:rsid w:val="00FA7D1D"/>
    <w:rsid w:val="00FB02D3"/>
    <w:rsid w:val="00FB0987"/>
    <w:rsid w:val="00FB0AF1"/>
    <w:rsid w:val="00FB1F6E"/>
    <w:rsid w:val="00FB25FF"/>
    <w:rsid w:val="00FB2629"/>
    <w:rsid w:val="00FB2A32"/>
    <w:rsid w:val="00FB3E1B"/>
    <w:rsid w:val="00FB41A6"/>
    <w:rsid w:val="00FB43C2"/>
    <w:rsid w:val="00FB4769"/>
    <w:rsid w:val="00FB4CDA"/>
    <w:rsid w:val="00FB58B0"/>
    <w:rsid w:val="00FB633D"/>
    <w:rsid w:val="00FB6481"/>
    <w:rsid w:val="00FB6D36"/>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439"/>
    <w:rsid w:val="00FD0AC6"/>
    <w:rsid w:val="00FD101B"/>
    <w:rsid w:val="00FD17F5"/>
    <w:rsid w:val="00FD1889"/>
    <w:rsid w:val="00FD262E"/>
    <w:rsid w:val="00FD2C2C"/>
    <w:rsid w:val="00FD2DDA"/>
    <w:rsid w:val="00FD3537"/>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5CC48666-94B2-4511-B0A7-33F8452A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mmunisation@health.vic.gov.au" TargetMode="External"/><Relationship Id="rId117"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21" Type="http://schemas.openxmlformats.org/officeDocument/2006/relationships/hyperlink" Target="mailto:immunisation@health.vic.gov.au" TargetMode="External"/><Relationship Id="rId42" Type="http://schemas.openxmlformats.org/officeDocument/2006/relationships/hyperlink" Target="https://www.health.gov.au/resources/publications/monkeypox-mpx-consent-form-for-jynneosr-vaccination" TargetMode="External"/><Relationship Id="rId47" Type="http://schemas.openxmlformats.org/officeDocument/2006/relationships/image" Target="media/image7.jpeg"/><Relationship Id="rId63" Type="http://schemas.openxmlformats.org/officeDocument/2006/relationships/hyperlink" Target="https://www.youtube.com/watch?v=TLv1mR6mECQ" TargetMode="External"/><Relationship Id="rId68" Type="http://schemas.openxmlformats.org/officeDocument/2006/relationships/hyperlink" Target="https://immunisationhandbook.health.gov.au/technical-terms" TargetMode="External"/><Relationship Id="rId84" Type="http://schemas.openxmlformats.org/officeDocument/2006/relationships/hyperlink" Target="https://www.bettersafercare.vic.gov.au/clinical-guidance/emergency/anaphylaxis-adults" TargetMode="External"/><Relationship Id="rId89" Type="http://schemas.openxmlformats.org/officeDocument/2006/relationships/hyperlink" Target="https://www.safevac.org.au/Home/Info/VIC" TargetMode="External"/><Relationship Id="rId112" Type="http://schemas.openxmlformats.org/officeDocument/2006/relationships/hyperlink" Target="https://www.health.vic.gov.au/infectious-diseases/mpox-monkeypox" TargetMode="External"/><Relationship Id="rId133" Type="http://schemas.openxmlformats.org/officeDocument/2006/relationships/hyperlink" Target="https://www.safevac.org.au/Home/Info/VIC" TargetMode="External"/><Relationship Id="rId138" Type="http://schemas.openxmlformats.org/officeDocument/2006/relationships/hyperlink" Target="https://www.safevac.org.au/Home/Info/VIC" TargetMode="External"/><Relationship Id="rId16" Type="http://schemas.openxmlformats.org/officeDocument/2006/relationships/hyperlink" Target="https://www.health.gov.au/resources/publications/iceg-interim-guidance-on-monkeypox-for-health-workers" TargetMode="External"/><Relationship Id="rId107" Type="http://schemas.openxmlformats.org/officeDocument/2006/relationships/hyperlink" Target="https://www.health.gov.au/resources/publications/atagi-clinical-guidance-on-vaccination-against-monkeypox?language=en" TargetMode="External"/><Relationship Id="rId11" Type="http://schemas.openxmlformats.org/officeDocument/2006/relationships/image" Target="media/image1.jpg"/><Relationship Id="rId32" Type="http://schemas.openxmlformats.org/officeDocument/2006/relationships/hyperlink" Target="https://www.safetyandquality.gov.au/our-work/infection-prevention-and-control/national-hand-hygiene-initiative/materials-support-improved-hand-hygiene-australia" TargetMode="External"/><Relationship Id="rId37" Type="http://schemas.openxmlformats.org/officeDocument/2006/relationships/hyperlink" Target="https://www.health.vic.gov.au/publications/clinical-and-related-waste-guidance-supplement-for-healthcare-staff" TargetMode="External"/><Relationship Id="rId53" Type="http://schemas.openxmlformats.org/officeDocument/2006/relationships/image" Target="media/image11.png"/><Relationship Id="rId58" Type="http://schemas.openxmlformats.org/officeDocument/2006/relationships/hyperlink" Target="https://www.verywellhealth.com/monkeypox-intradermal-jynneos-vaccine-6455582" TargetMode="External"/><Relationship Id="rId74" Type="http://schemas.openxmlformats.org/officeDocument/2006/relationships/hyperlink" Target="https://www.safevac.org.au/Home/Info/VIC" TargetMode="External"/><Relationship Id="rId79" Type="http://schemas.openxmlformats.org/officeDocument/2006/relationships/hyperlink" Target="mailto:immunisation@health.vic.gov.au" TargetMode="External"/><Relationship Id="rId102" Type="http://schemas.openxmlformats.org/officeDocument/2006/relationships/hyperlink" Target="https://www.worksafe.vic.gov.au/occupational-health-and-safety-act-and-regulations" TargetMode="External"/><Relationship Id="rId123" Type="http://schemas.openxmlformats.org/officeDocument/2006/relationships/hyperlink" Target="https://www.health.gov.au/resources/publications/national-vaccine-storage-guidelines-strive-for-5" TargetMode="External"/><Relationship Id="rId128" Type="http://schemas.openxmlformats.org/officeDocument/2006/relationships/hyperlink" Target="https://www.health.gov.au/resources/publications/national-vaccine-storage-guidelines-strive-for-5" TargetMode="External"/><Relationship Id="rId144" Type="http://schemas.openxmlformats.org/officeDocument/2006/relationships/header" Target="header4.xml"/><Relationship Id="rId149"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hyperlink" Target="https://www.legislation.vic.gov.au/in-force/acts/medical-treatment-planning-and-decisions-act-2016/009" TargetMode="External"/><Relationship Id="rId95" Type="http://schemas.openxmlformats.org/officeDocument/2006/relationships/hyperlink" Target="https://urldefense.proofpoint.com/v2/url?u=https-3A__www.efilecabinet.com_as-2Diso-2D15489-2Daustralian-2Drecords-2Dmanagement-2Dstandard&amp;d=DwMGaQ&amp;c=JnBkUqWXzx2bz-3a05d47Q&amp;r=zQI8nIUxsvUTvUnJCXgiVSy5OkIlD-RWtx5voOru6N0&amp;m=jJt8K5iQQeOnfA8OZU2YDCRaP83ffR3oiQMvqceCQck&amp;s=x2dGkWhO7WopLXwV7f_EJIHWngN6w2P_1kzoPfiuNas&amp;e=" TargetMode="External"/><Relationship Id="rId22"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27"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43" Type="http://schemas.openxmlformats.org/officeDocument/2006/relationships/hyperlink" Target="https://www.health.gov.au/resources/publications/national-vaccine-storage-guidelines-strive-for-5" TargetMode="External"/><Relationship Id="rId48" Type="http://schemas.openxmlformats.org/officeDocument/2006/relationships/image" Target="media/image8.jpeg"/><Relationship Id="rId64" Type="http://schemas.openxmlformats.org/officeDocument/2006/relationships/image" Target="media/image15.jpeg"/><Relationship Id="rId69" Type="http://schemas.openxmlformats.org/officeDocument/2006/relationships/image" Target="media/image19.PNG"/><Relationship Id="rId113" Type="http://schemas.openxmlformats.org/officeDocument/2006/relationships/hyperlink" Target="https://www.health.vic.gov.au/publications/clinical-and-related-waste-guidance-supplement-for-healthcare-staff" TargetMode="External"/><Relationship Id="rId118" Type="http://schemas.openxmlformats.org/officeDocument/2006/relationships/hyperlink" Target="mailto:immunisation@health.vic.gov.au" TargetMode="External"/><Relationship Id="rId134" Type="http://schemas.openxmlformats.org/officeDocument/2006/relationships/hyperlink" Target="https://www.safevac.org.au/Home/Info/VIC" TargetMode="External"/><Relationship Id="rId139" Type="http://schemas.openxmlformats.org/officeDocument/2006/relationships/hyperlink" Target="https://www.safevac.org.au/Home/Info/VIC" TargetMode="External"/><Relationship Id="rId80" Type="http://schemas.openxmlformats.org/officeDocument/2006/relationships/hyperlink" Target="mailto:immunisation@health.vic.gov.au" TargetMode="External"/><Relationship Id="rId85" Type="http://schemas.openxmlformats.org/officeDocument/2006/relationships/hyperlink" Target="https://www.safevac.org.au/Home/Info/VIC" TargetMode="External"/><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s://www.health.vic.gov.au/infectious-diseases/mpox-monkeypox" TargetMode="External"/><Relationship Id="rId25" Type="http://schemas.openxmlformats.org/officeDocument/2006/relationships/hyperlink" Target="https://www.health.gov.au/resources/publications/national-vaccine-storage-guidelines-strive-for-5" TargetMode="External"/><Relationship Id="rId33" Type="http://schemas.openxmlformats.org/officeDocument/2006/relationships/hyperlink" Target="https://www.health.vic.gov.au/guide-conventional-use-ppe-covid-19-doc" TargetMode="External"/><Relationship Id="rId38" Type="http://schemas.openxmlformats.org/officeDocument/2006/relationships/hyperlink" Target="https://www.epa.vic.gov.au/about-epa/publications/iwrg612-1" TargetMode="External"/><Relationship Id="rId46" Type="http://schemas.openxmlformats.org/officeDocument/2006/relationships/image" Target="media/image6.jpeg"/><Relationship Id="rId59" Type="http://schemas.openxmlformats.org/officeDocument/2006/relationships/image" Target="media/image14.png"/><Relationship Id="rId67" Type="http://schemas.openxmlformats.org/officeDocument/2006/relationships/image" Target="media/image18.PNG"/><Relationship Id="rId103" Type="http://schemas.openxmlformats.org/officeDocument/2006/relationships/hyperlink" Target="https://www.nhmrc.gov.au/about-us/publications/australian-guidelines-prevention-and-control-infection-healthcare-2019" TargetMode="External"/><Relationship Id="rId108" Type="http://schemas.openxmlformats.org/officeDocument/2006/relationships/hyperlink" Target="https://www.health.gov.au/resources/publications/mpox-monkeypox-consent-form-for-jynneosr-vaccination" TargetMode="External"/><Relationship Id="rId116" Type="http://schemas.openxmlformats.org/officeDocument/2006/relationships/hyperlink" Target="http://www.saefvic.org.au" TargetMode="External"/><Relationship Id="rId124" Type="http://schemas.openxmlformats.org/officeDocument/2006/relationships/hyperlink" Target="https://www.health.vic.gov.au/immunisation/cold-chain-management" TargetMode="External"/><Relationship Id="rId129" Type="http://schemas.openxmlformats.org/officeDocument/2006/relationships/hyperlink" Target="mailto:Appendix%203" TargetMode="External"/><Relationship Id="rId137" Type="http://schemas.openxmlformats.org/officeDocument/2006/relationships/hyperlink" Target="https://www.safevac.org.au/Home/Info/VIC" TargetMode="External"/><Relationship Id="rId20" Type="http://schemas.openxmlformats.org/officeDocument/2006/relationships/image" Target="media/image3.png"/><Relationship Id="rId41" Type="http://schemas.openxmlformats.org/officeDocument/2006/relationships/hyperlink" Target="https://immunisationhandbook.health.gov.au/contents/vaccination-procedures/administration-of-vaccines" TargetMode="External"/><Relationship Id="rId54" Type="http://schemas.openxmlformats.org/officeDocument/2006/relationships/image" Target="media/image12.png"/><Relationship Id="rId62" Type="http://schemas.openxmlformats.org/officeDocument/2006/relationships/hyperlink" Target="https://www.youtube.com/watch?v=TLv1mR6mECQ" TargetMode="External"/><Relationship Id="rId70" Type="http://schemas.openxmlformats.org/officeDocument/2006/relationships/image" Target="media/image20.PNG"/><Relationship Id="rId75" Type="http://schemas.openxmlformats.org/officeDocument/2006/relationships/hyperlink" Target="mailto:enquiries@saefvic.org.au" TargetMode="External"/><Relationship Id="rId83" Type="http://schemas.openxmlformats.org/officeDocument/2006/relationships/hyperlink" Target="https://immunisationhandbook.health.gov.au/resources/publications/preparing-an-anaphylaxis-response-kit" TargetMode="External"/><Relationship Id="rId88" Type="http://schemas.openxmlformats.org/officeDocument/2006/relationships/hyperlink" Target="http://etraininghp.ascia.org.au/anaphylaxis" TargetMode="External"/><Relationship Id="rId91" Type="http://schemas.openxmlformats.org/officeDocument/2006/relationships/hyperlink" Target="https://www.legislation.vic.gov.au/in-force/acts/public-records-act-1973/041" TargetMode="External"/><Relationship Id="rId96" Type="http://schemas.openxmlformats.org/officeDocument/2006/relationships/hyperlink" Target="https://www.efilecabinet.com/as-iso-15489-australian-records-management-standard/" TargetMode="External"/><Relationship Id="rId111" Type="http://schemas.openxmlformats.org/officeDocument/2006/relationships/hyperlink" Target="https://www.health.gov.au/resources/publications/iceg-interim-guidance-on-monkeypox-for-health-workers" TargetMode="External"/><Relationship Id="rId132" Type="http://schemas.openxmlformats.org/officeDocument/2006/relationships/hyperlink" Target="https://www.health.gov.au/resources/publications/national-vaccine-storage-guidelines-strive-for-5" TargetMode="External"/><Relationship Id="rId140" Type="http://schemas.openxmlformats.org/officeDocument/2006/relationships/hyperlink" Target="mailto:enquiries@saefvic.org.au" TargetMode="External"/><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immunisation@health.vic.gov.au" TargetMode="External"/><Relationship Id="rId28"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36" Type="http://schemas.openxmlformats.org/officeDocument/2006/relationships/hyperlink" Target="https://www.health.vic.gov.au/coronavirus-cleaning-guidelines-for-workplaces-doc" TargetMode="External"/><Relationship Id="rId49" Type="http://schemas.openxmlformats.org/officeDocument/2006/relationships/image" Target="media/image9.jpeg"/><Relationship Id="rId57" Type="http://schemas.openxmlformats.org/officeDocument/2006/relationships/image" Target="media/image13.png"/><Relationship Id="rId106" Type="http://schemas.openxmlformats.org/officeDocument/2006/relationships/hyperlink" Target="mailto:immunisation@health.vic.gov.au" TargetMode="External"/><Relationship Id="rId114" Type="http://schemas.openxmlformats.org/officeDocument/2006/relationships/hyperlink" Target="https://www.betterhealth.vic.gov.au/mpox-monkeypox" TargetMode="External"/><Relationship Id="rId119" Type="http://schemas.openxmlformats.org/officeDocument/2006/relationships/hyperlink" Target="mailto:immunisation@health.vic.gov.au" TargetMode="External"/><Relationship Id="rId127" Type="http://schemas.openxmlformats.org/officeDocument/2006/relationships/hyperlink" Target="https://www.health.vic.gov.au/immunisation/cold-chain-monitoring-during-vaccine-transport"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https://www.health.gov.au/resources/publications/mpox-monkeypox-consent-form-for-jynneosr-vaccination" TargetMode="External"/><Relationship Id="rId52" Type="http://schemas.openxmlformats.org/officeDocument/2006/relationships/hyperlink" Target="https://www.cdc.gov/vaccines/hcp/admin/downloads/IM-Injection-adult.pdf" TargetMode="External"/><Relationship Id="rId60" Type="http://schemas.openxmlformats.org/officeDocument/2006/relationships/hyperlink" Target="https://www.cdc.gov/poxvirus/monkeypox/interim-considerations/jynneos-vaccine.html" TargetMode="External"/><Relationship Id="rId65" Type="http://schemas.openxmlformats.org/officeDocument/2006/relationships/image" Target="media/image16.jpeg"/><Relationship Id="rId73" Type="http://schemas.openxmlformats.org/officeDocument/2006/relationships/hyperlink" Target="https://www.mcri.edu.au/research/research-areas/infection-and-immunity/saefvic" TargetMode="External"/><Relationship Id="rId78" Type="http://schemas.openxmlformats.org/officeDocument/2006/relationships/hyperlink" Target="https://www.cdc.gov/poxvirus/monkeypox/interim-considerations/errors-deviations.html" TargetMode="External"/><Relationship Id="rId81" Type="http://schemas.openxmlformats.org/officeDocument/2006/relationships/hyperlink" Target="https://immunisationhandbook.health.gov.au/resources/handbook-tables/table-recognition-and-treatment-of-anaphylaxis" TargetMode="External"/><Relationship Id="rId86" Type="http://schemas.openxmlformats.org/officeDocument/2006/relationships/hyperlink" Target="http://www.saefvic.org.au" TargetMode="External"/><Relationship Id="rId94" Type="http://schemas.openxmlformats.org/officeDocument/2006/relationships/hyperlink" Target="https://www.legislation.gov.au/Details/C2004A00100" TargetMode="External"/><Relationship Id="rId99" Type="http://schemas.openxmlformats.org/officeDocument/2006/relationships/hyperlink" Target="https://www.servicesaustralia.gov.au/organisations/health-professionals/services/medicare/hpos" TargetMode="External"/><Relationship Id="rId101" Type="http://schemas.openxmlformats.org/officeDocument/2006/relationships/hyperlink" Target="https://www.safetyandquality.gov.au/consumers/working-your-healthcare-provider/australian-charter-healthcare-rights" TargetMode="External"/><Relationship Id="rId122" Type="http://schemas.openxmlformats.org/officeDocument/2006/relationships/footer" Target="footer4.xml"/><Relationship Id="rId130" Type="http://schemas.openxmlformats.org/officeDocument/2006/relationships/hyperlink" Target="mailto:immunisation@health.vic.gov.au" TargetMode="External"/><Relationship Id="rId135" Type="http://schemas.openxmlformats.org/officeDocument/2006/relationships/footer" Target="footer5.xml"/><Relationship Id="rId143" Type="http://schemas.openxmlformats.org/officeDocument/2006/relationships/hyperlink" Target="https://www.health.vic.gov.au/infectious-diseases/monkeypox" TargetMode="External"/><Relationship Id="rId148" Type="http://schemas.openxmlformats.org/officeDocument/2006/relationships/fontTable" Target="fontTable.xml"/><Relationship Id="rId15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publications/atagi-clinical-guidance-on-vaccination-against-monkeypox?language=en" TargetMode="External"/><Relationship Id="rId39" Type="http://schemas.openxmlformats.org/officeDocument/2006/relationships/hyperlink" Target="https://www.health.gov.au/resources/publications/atagi-clinical-guidance-on-vaccination-against-monkeypox?language=en" TargetMode="External"/><Relationship Id="rId109" Type="http://schemas.openxmlformats.org/officeDocument/2006/relationships/hyperlink" Target="https://www.health.gov.au/resources/publications/iceg-interim-guidance-on-monkeypox-for-health-workers" TargetMode="External"/><Relationship Id="rId34" Type="http://schemas.openxmlformats.org/officeDocument/2006/relationships/hyperlink" Target="https://view.officeapps.live.com/op/view.aspx?src=https%3A%2F%2Fwww.dhhs.vic.gov.au%2Fsites%2Fdefault%2Ffiles%2Fdocuments%2F202108%2FVictorian-health-service-guidance-and-response-to-COVID-19-risks_COVID-Active-August-2021.docx" TargetMode="External"/><Relationship Id="rId50" Type="http://schemas.openxmlformats.org/officeDocument/2006/relationships/image" Target="media/image10.jpeg"/><Relationship Id="rId55" Type="http://schemas.openxmlformats.org/officeDocument/2006/relationships/hyperlink" Target="https://immunisationhandbook.health.gov.au/node/505" TargetMode="External"/><Relationship Id="rId76" Type="http://schemas.openxmlformats.org/officeDocument/2006/relationships/hyperlink" Target="mailto:immunisation@health.vic.gov.au" TargetMode="External"/><Relationship Id="rId97" Type="http://schemas.openxmlformats.org/officeDocument/2006/relationships/hyperlink" Target="https://content.legislation.vic.gov.au/sites/default/files/2020-12/88-49aa170%20authorised.pdf" TargetMode="External"/><Relationship Id="rId104" Type="http://schemas.openxmlformats.org/officeDocument/2006/relationships/hyperlink" Target="https://www.health.vic.gov.au/immunisation/immunisers-in-victoria" TargetMode="External"/><Relationship Id="rId120" Type="http://schemas.openxmlformats.org/officeDocument/2006/relationships/hyperlink" Target="https://www.servicesaustralia.gov.au/how-to-set-up-your-access-to-air?context=23401" TargetMode="External"/><Relationship Id="rId125" Type="http://schemas.openxmlformats.org/officeDocument/2006/relationships/hyperlink" Target="mailto:immunisation@health.vic.gov.au" TargetMode="External"/><Relationship Id="rId141" Type="http://schemas.openxmlformats.org/officeDocument/2006/relationships/hyperlink" Target="https://www.health.vic.gov.au/infectious-diseases/monkeypox" TargetMode="External"/><Relationship Id="rId14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bing.com/videos/search?q=monkeypox+cdc+intradermal+vaccination+youtube&amp;&amp;view=detail&amp;mid=EEB3C443954A620900B3EEB3C443954A620900B3&amp;&amp;FORM=VRDGAR&amp;ru=%2Fvideos%2Fsearch%3Fq%3Dmonkeypox%2Bcdc%2Bintradermal%2Bvaccination%2Byoutube%26FORM%3DHDRSC4" TargetMode="External"/><Relationship Id="rId92" Type="http://schemas.openxmlformats.org/officeDocument/2006/relationships/hyperlink" Target="https://www.legislation.vic.gov.au/in-force/acts/public-records-act-1973/041" TargetMode="External"/><Relationship Id="rId2" Type="http://schemas.openxmlformats.org/officeDocument/2006/relationships/customXml" Target="../customXml/item2.xml"/><Relationship Id="rId29" Type="http://schemas.openxmlformats.org/officeDocument/2006/relationships/hyperlink" Target="https://www.safevac.org.au/Home/Info/VIC" TargetMode="External"/><Relationship Id="rId24" Type="http://schemas.openxmlformats.org/officeDocument/2006/relationships/hyperlink" Target="https://www.health.gov.au/resources/publications/national-vaccine-storage-guidelines-strive-for-5" TargetMode="External"/><Relationship Id="rId40" Type="http://schemas.openxmlformats.org/officeDocument/2006/relationships/hyperlink" Target="https://www.health.gov.au/resources/publications/atagi-clinical-guidance-on-vaccination-against-monkeypox?language=en%20" TargetMode="External"/><Relationship Id="rId45" Type="http://schemas.openxmlformats.org/officeDocument/2006/relationships/image" Target="media/image5.jpeg"/><Relationship Id="rId66" Type="http://schemas.openxmlformats.org/officeDocument/2006/relationships/image" Target="media/image17.png"/><Relationship Id="rId87"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110" Type="http://schemas.openxmlformats.org/officeDocument/2006/relationships/hyperlink" Target="https://www.health.gov.au/resources/publications/mpox-monkeypox-information-on-jynneosr-vaccine?language=en" TargetMode="External"/><Relationship Id="rId115" Type="http://schemas.openxmlformats.org/officeDocument/2006/relationships/header" Target="header2.xml"/><Relationship Id="rId131" Type="http://schemas.openxmlformats.org/officeDocument/2006/relationships/header" Target="header3.xml"/><Relationship Id="rId136" Type="http://schemas.openxmlformats.org/officeDocument/2006/relationships/hyperlink" Target="https://www.coronavirus.vic.gov.au/information-COVID-19-vaccine-providers" TargetMode="External"/><Relationship Id="rId61" Type="http://schemas.openxmlformats.org/officeDocument/2006/relationships/hyperlink" Target="https://immunisationhandbook.health.gov.au/technical-terms" TargetMode="External"/><Relationship Id="rId82" Type="http://schemas.openxmlformats.org/officeDocument/2006/relationships/hyperlink" Target="https://immunisationhandbook.health.gov.au/resources/tables/table-recognition-and-treatment-of-anaphylaxis"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s://www.nhmrc.gov.au/about-us/publications/australian-guidelines-prevention-and-control-infection-healthcare-2019" TargetMode="External"/><Relationship Id="rId35" Type="http://schemas.openxmlformats.org/officeDocument/2006/relationships/hyperlink" Target="https://www.health.gov.au/resources/publications/iceg-interim-guidance-on-monkeypox-for-health-workers" TargetMode="External"/><Relationship Id="rId56" Type="http://schemas.openxmlformats.org/officeDocument/2006/relationships/hyperlink" Target="https://immunisationhandbook.health.gov.au/contents/vaccination-procedures/administration-of-vaccines" TargetMode="External"/><Relationship Id="rId77" Type="http://schemas.openxmlformats.org/officeDocument/2006/relationships/hyperlink" Target="https://www.cdc.gov/poxvirus/monkeypox/interim-considerations/errors-deviations.html" TargetMode="External"/><Relationship Id="rId100" Type="http://schemas.openxmlformats.org/officeDocument/2006/relationships/hyperlink" Target="https://www.servicesaustralia.gov.au/organisations/business/services/proda-provider-digital-access" TargetMode="External"/><Relationship Id="rId105" Type="http://schemas.openxmlformats.org/officeDocument/2006/relationships/hyperlink" Target="https://vic-immunisation-learning.com/" TargetMode="External"/><Relationship Id="rId126" Type="http://schemas.openxmlformats.org/officeDocument/2006/relationships/hyperlink" Target="mailto:immunisation@health.vic.gov.au" TargetMode="External"/><Relationship Id="rId14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immunisationhandbook.health.gov.au/technical-terms" TargetMode="External"/><Relationship Id="rId72" Type="http://schemas.openxmlformats.org/officeDocument/2006/relationships/hyperlink" Target="https://www.health.gov.au/resources/publications/monkeypox-mpx-information-on-jynneosr-vaccine" TargetMode="External"/><Relationship Id="rId93"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98" Type="http://schemas.openxmlformats.org/officeDocument/2006/relationships/image" Target="media/image21.png"/><Relationship Id="rId121" Type="http://schemas.openxmlformats.org/officeDocument/2006/relationships/hyperlink" Target="https://www.servicesaustralia.gov.au/australian-immunisation-register-for-health-professionals" TargetMode="External"/><Relationship Id="rId142" Type="http://schemas.openxmlformats.org/officeDocument/2006/relationships/hyperlink" Target="https://health.vic.gov.au/infectious-diseases/monkeypo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atagi-clinical-guidance-on-vaccination-against-monkeypox" TargetMode="External"/><Relationship Id="rId13" Type="http://schemas.openxmlformats.org/officeDocument/2006/relationships/hyperlink" Target="https://www.health.gov.au/resources/publications/atagi-clinical-guidance-on-vaccination-against-monkeypox?language=en" TargetMode="External"/><Relationship Id="rId18" Type="http://schemas.openxmlformats.org/officeDocument/2006/relationships/hyperlink" Target="https://immunisationhandbook.health.gov.au/contents/vaccination-procedures/administration-of-vaccines" TargetMode="External"/><Relationship Id="rId26" Type="http://schemas.openxmlformats.org/officeDocument/2006/relationships/hyperlink" Target="https://immunisationhandbook.health.gov.au/contents/vaccination-procedures/administration-of-vaccines" TargetMode="External"/><Relationship Id="rId39" Type="http://schemas.openxmlformats.org/officeDocument/2006/relationships/hyperlink" Target="https://www.health.vic.gov.au/drugs-and-poisons/nurse-practitioners-legislative-requirements" TargetMode="External"/><Relationship Id="rId3" Type="http://schemas.openxmlformats.org/officeDocument/2006/relationships/hyperlink" Target="https://www.health.gov.au/resources/publications/atagi-clinical-guidance-on-vaccination-against-monkeypox?language=en" TargetMode="External"/><Relationship Id="rId21" Type="http://schemas.openxmlformats.org/officeDocument/2006/relationships/hyperlink" Target="https://www.health.gov.au/resources/publications/atagi-clinical-guidance-on-vaccination-against-monkeypox?language=en" TargetMode="External"/><Relationship Id="rId34" Type="http://schemas.openxmlformats.org/officeDocument/2006/relationships/hyperlink" Target="https://immunisationhandbook.health.gov.au/" TargetMode="External"/><Relationship Id="rId42" Type="http://schemas.openxmlformats.org/officeDocument/2006/relationships/hyperlink" Target="https://www.health.vic.gov.au/immunisation/pharmacist-immunisers" TargetMode="External"/><Relationship Id="rId7" Type="http://schemas.openxmlformats.org/officeDocument/2006/relationships/hyperlink" Target="https://www.health.gov.au/resources/publications/atagi-clinical-guidance-on-vaccination-against-monkeypox?language=en" TargetMode="External"/><Relationship Id="rId12" Type="http://schemas.openxmlformats.org/officeDocument/2006/relationships/hyperlink" Target="https://www.health.gov.au/resources/publications/atagi-clinical-guidance-on-vaccination-against-monkeypox?language=en" TargetMode="External"/><Relationship Id="rId17" Type="http://schemas.openxmlformats.org/officeDocument/2006/relationships/hyperlink" Target="https://www.health.gov.au/resources/publications/atagi-clinical-guidance-on-vaccination-against-monkeypox?language=en" TargetMode="External"/><Relationship Id="rId25" Type="http://schemas.openxmlformats.org/officeDocument/2006/relationships/hyperlink" Target="https://www.health.gov.au/resources/publications/atagi-clinical-guidance-on-vaccination-against-monkeypox?language=en" TargetMode="External"/><Relationship Id="rId33" Type="http://schemas.openxmlformats.org/officeDocument/2006/relationships/hyperlink" Target="https://www.health.gov.au/resources/publications/mpox-monkeypox-consent-form-for-jynneosr-vaccination" TargetMode="External"/><Relationship Id="rId38" Type="http://schemas.openxmlformats.org/officeDocument/2006/relationships/hyperlink" Target="https://www.nhmrc.gov.au/about-us/publications/australian-guidelines-prevention-and-control-infection-healthcare-2019"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immunisationhandbook.health.gov.au/contents/vaccination-procedures/preparing-for-vaccination" TargetMode="External"/><Relationship Id="rId20" Type="http://schemas.openxmlformats.org/officeDocument/2006/relationships/hyperlink" Target="https://www.health.gov.au/resources/publications/atagi-clinical-guidance-on-vaccination-against-monkeypox?language=en" TargetMode="External"/><Relationship Id="rId29" Type="http://schemas.openxmlformats.org/officeDocument/2006/relationships/hyperlink" Target="https://immunisationhandbook.health.gov.au/resources/publications/preparing-an-anaphylaxis-response-kit" TargetMode="External"/><Relationship Id="rId41" Type="http://schemas.openxmlformats.org/officeDocument/2006/relationships/hyperlink" Target="https://www.health.vic.gov.au/immunisation/nurse-immunisers-requirements-and-responsibilities" TargetMode="External"/><Relationship Id="rId1" Type="http://schemas.openxmlformats.org/officeDocument/2006/relationships/hyperlink" Target="https://www.health.gov.au/resources/publications/atagi-clinical-guidance-on-vaccination-against-monkeypox?language=en" TargetMode="External"/><Relationship Id="rId6" Type="http://schemas.openxmlformats.org/officeDocument/2006/relationships/hyperlink" Target="https://www.health.gov.au/resources/publications/mpox-monkeypox-information-on-jynneosr-vaccine?language=en" TargetMode="External"/><Relationship Id="rId11" Type="http://schemas.openxmlformats.org/officeDocument/2006/relationships/hyperlink" Target="https://www.sciencedirect.com/science/article/pii/S0264410X15008762"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www.mja.com.au/journal/2011/194/1/syncope-and-seizures-following-human-papillomavirus-vaccination-retrospective" TargetMode="External"/><Relationship Id="rId37" Type="http://schemas.openxmlformats.org/officeDocument/2006/relationships/hyperlink" Target="https://www.worksafe.vic.gov.au/occupational-health-and-safety-act-and-regulations" TargetMode="External"/><Relationship Id="rId40" Type="http://schemas.openxmlformats.org/officeDocument/2006/relationships/hyperlink" Target="https://www.health.vic.gov.au/publications/medical-practitioners-key-requirements-in-victoria" TargetMode="External"/><Relationship Id="rId5" Type="http://schemas.openxmlformats.org/officeDocument/2006/relationships/hyperlink" Target="https://www.health.gov.au/resources/publications/atagi-clinical-guidance-on-vaccination-against-monkeypox?language=en" TargetMode="External"/><Relationship Id="rId15" Type="http://schemas.openxmlformats.org/officeDocument/2006/relationships/hyperlink" Target="https://www.cdc.gov/vaccines/hcp/acip-recs/general-recs/timing.html" TargetMode="External"/><Relationship Id="rId23" Type="http://schemas.openxmlformats.org/officeDocument/2006/relationships/hyperlink" Target="https://www.cdc.gov/poxvirus/monkeypox/interim-considerations/jynneos-vaccine.html" TargetMode="External"/><Relationship Id="rId28" Type="http://schemas.openxmlformats.org/officeDocument/2006/relationships/hyperlink" Target="https://immunisationhandbook.health.gov.au/resources/tables/table-recognition-and-treatment-of-anaphylaxis" TargetMode="External"/><Relationship Id="rId36" Type="http://schemas.openxmlformats.org/officeDocument/2006/relationships/hyperlink" Target="https://www.legislation.vic.gov.au/in-force/acts/health-records-act-2001/046" TargetMode="External"/><Relationship Id="rId10" Type="http://schemas.openxmlformats.org/officeDocument/2006/relationships/hyperlink" Target="https://www.health.gov.au/resources/publications/atagi-clinical-guidance-on-vaccination-against-monkeypox?language=en" TargetMode="External"/><Relationship Id="rId19" Type="http://schemas.openxmlformats.org/officeDocument/2006/relationships/hyperlink" Target="https://immunisationhandbook.health.gov.au/contents/vaccination-procedures/administration-of-vaccines" TargetMode="External"/><Relationship Id="rId31" Type="http://schemas.openxmlformats.org/officeDocument/2006/relationships/hyperlink" Target="https://mvec.mcri.edu.au/references/covid-19-vaccines-and-allergy" TargetMode="External"/><Relationship Id="rId4" Type="http://schemas.openxmlformats.org/officeDocument/2006/relationships/hyperlink" Target="https://www.health.vic.gov.au/infectious-diseases/mpox-monkeypox" TargetMode="External"/><Relationship Id="rId9" Type="http://schemas.openxmlformats.org/officeDocument/2006/relationships/hyperlink" Target="https://www.health.gov.au/resources/publications/atagi-clinical-guidance-on-vaccination-against-monkeypox" TargetMode="External"/><Relationship Id="rId14" Type="http://schemas.openxmlformats.org/officeDocument/2006/relationships/hyperlink" Target="https://www.health.gov.au/resources/publications/mpox-monkeypox-information-on-jynneosr-vaccine?language=en" TargetMode="External"/><Relationship Id="rId22" Type="http://schemas.openxmlformats.org/officeDocument/2006/relationships/hyperlink" Target="https://www.health.gov.au/resources/publications/atagi-clinical-guidance-on-vaccination-against-monkeypox?language=en" TargetMode="External"/><Relationship Id="rId27" Type="http://schemas.openxmlformats.org/officeDocument/2006/relationships/hyperlink" Target="https://immunisationhandbook.health.gov.au/resources/tables/table-recognition-and-treatment-of-anaphylaxis" TargetMode="External"/><Relationship Id="rId30" Type="http://schemas.openxmlformats.org/officeDocument/2006/relationships/hyperlink" Target="https://www.bettersafercare.vic.gov.au/clinical-guidance/emergency/anaphylaxis-adults" TargetMode="External"/><Relationship Id="rId35" Type="http://schemas.openxmlformats.org/officeDocument/2006/relationships/hyperlink" Target="https://www.racgp.org.au/afp/2011/march/consent-to-medical-treatment-the-mature-minor/" TargetMode="External"/><Relationship Id="rId43" Type="http://schemas.openxmlformats.org/officeDocument/2006/relationships/hyperlink" Target="https://www.health.gov.au/resources/publications/national-vaccine-storage-guidelines-strive-for-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1043C6"/>
    <w:rsid w:val="001548E9"/>
    <w:rsid w:val="001D449C"/>
    <w:rsid w:val="001D6290"/>
    <w:rsid w:val="00202E86"/>
    <w:rsid w:val="00254463"/>
    <w:rsid w:val="0027750B"/>
    <w:rsid w:val="003C3413"/>
    <w:rsid w:val="003D225A"/>
    <w:rsid w:val="003D2BB4"/>
    <w:rsid w:val="00435947"/>
    <w:rsid w:val="004A7463"/>
    <w:rsid w:val="0055551D"/>
    <w:rsid w:val="0058548A"/>
    <w:rsid w:val="005A297F"/>
    <w:rsid w:val="00626875"/>
    <w:rsid w:val="00685099"/>
    <w:rsid w:val="006E54EB"/>
    <w:rsid w:val="006F0477"/>
    <w:rsid w:val="00745713"/>
    <w:rsid w:val="007E0343"/>
    <w:rsid w:val="008253C8"/>
    <w:rsid w:val="00861CC2"/>
    <w:rsid w:val="00887679"/>
    <w:rsid w:val="008C1393"/>
    <w:rsid w:val="008E50A7"/>
    <w:rsid w:val="00A22DFC"/>
    <w:rsid w:val="00A57157"/>
    <w:rsid w:val="00AF0031"/>
    <w:rsid w:val="00BE0B5B"/>
    <w:rsid w:val="00C16931"/>
    <w:rsid w:val="00C600D1"/>
    <w:rsid w:val="00D4357C"/>
    <w:rsid w:val="00D67E32"/>
    <w:rsid w:val="00DD3506"/>
    <w:rsid w:val="00E71C56"/>
    <w:rsid w:val="00E91B95"/>
    <w:rsid w:val="00EE43CA"/>
    <w:rsid w:val="00F077E6"/>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17" ma:contentTypeDescription="Create a new document." ma:contentTypeScope="" ma:versionID="b152f8c755811e14c3f8ac7ebb469edc">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2961d15b169c0d192cdb8d93769ef6ad"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29F5254C-7BC5-49F2-83CC-6F5BE02A7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17444</Words>
  <Characters>99436</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Victorian Monkeypox Vaccination Program - Guidelines</vt:lpstr>
    </vt:vector>
  </TitlesOfParts>
  <Manager/>
  <Company>Victoria State Government, Department of Health</Company>
  <LinksUpToDate>false</LinksUpToDate>
  <CharactersWithSpaces>116647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Microsoft Office User</dc:creator>
  <cp:keywords>monkeypox guidelines 2022 health</cp:keywords>
  <dc:description>New versions of the Victorian Monkeypox Vaccination Guidelines are published online every Friday on the health website.</dc:description>
  <cp:lastModifiedBy>Claire East (Health)</cp:lastModifiedBy>
  <cp:revision>25</cp:revision>
  <cp:lastPrinted>2022-09-03T07:00:00Z</cp:lastPrinted>
  <dcterms:created xsi:type="dcterms:W3CDTF">2023-02-02T22:58:00Z</dcterms:created>
  <dcterms:modified xsi:type="dcterms:W3CDTF">2023-02-02T23:31:00Z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2023-02-02T22:58:35Z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45b8db72-cc49-4c8a-8560-5290445d811d</vt:lpwstr>
  </property>
  <property fmtid="{D5CDD505-2E9C-101B-9397-08002B2CF9AE}" pid="24" name="MSIP_Label_43e64453-338c-4f93-8a4d-0039a0a41f2a_ContentBits">
    <vt:lpwstr>2</vt:lpwstr>
  </property>
</Properties>
</file>