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056EC4">
      <w:pPr>
        <w:pStyle w:val="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5565787A" w:rsidR="00AD784C" w:rsidRPr="00431F42" w:rsidRDefault="00DF745A" w:rsidP="00431F42">
            <w:pPr>
              <w:pStyle w:val="Documenttitle"/>
            </w:pPr>
            <w:r>
              <w:t>Specifications</w:t>
            </w:r>
            <w:r w:rsidR="00391743">
              <w:t xml:space="preserve"> for revision</w:t>
            </w:r>
            <w:r>
              <w:t>s</w:t>
            </w:r>
            <w:r w:rsidR="00391743">
              <w:t xml:space="preserve"> to </w:t>
            </w:r>
            <w:r w:rsidR="001B6D79">
              <w:t xml:space="preserve">the </w:t>
            </w:r>
            <w:r w:rsidR="00BB47B8">
              <w:t>Agency Information Management System (AIMS)</w:t>
            </w:r>
            <w:r w:rsidR="00391743">
              <w:t xml:space="preserve"> for 202</w:t>
            </w:r>
            <w:r w:rsidR="00144630">
              <w:t>3-24</w:t>
            </w:r>
          </w:p>
        </w:tc>
      </w:tr>
      <w:tr w:rsidR="00AD784C" w14:paraId="126AF60F" w14:textId="77777777" w:rsidTr="00431F42">
        <w:trPr>
          <w:cantSplit/>
        </w:trPr>
        <w:tc>
          <w:tcPr>
            <w:tcW w:w="0" w:type="auto"/>
          </w:tcPr>
          <w:p w14:paraId="20D47A77" w14:textId="3A35B963" w:rsidR="00386109" w:rsidRPr="00A1389F" w:rsidRDefault="001B6D79" w:rsidP="009315BE">
            <w:pPr>
              <w:pStyle w:val="Documentsubtitle"/>
            </w:pPr>
            <w:r>
              <w:t>December</w:t>
            </w:r>
            <w:r w:rsidR="00A71CE4">
              <w:t xml:space="preserve"> </w:t>
            </w:r>
            <w:r w:rsidR="00286953">
              <w:t>202</w:t>
            </w:r>
            <w:r w:rsidR="00144630">
              <w:t>2</w:t>
            </w:r>
          </w:p>
        </w:tc>
      </w:tr>
      <w:tr w:rsidR="00430393" w14:paraId="1FA1E015" w14:textId="77777777" w:rsidTr="00431F42">
        <w:trPr>
          <w:cantSplit/>
        </w:trPr>
        <w:tc>
          <w:tcPr>
            <w:tcW w:w="0" w:type="auto"/>
          </w:tcPr>
          <w:p w14:paraId="2C6E5439" w14:textId="77777777" w:rsidR="00430393" w:rsidRDefault="00AC30DE" w:rsidP="00430393">
            <w:pPr>
              <w:pStyle w:val="Bannermarking"/>
            </w:pPr>
            <w:r>
              <w:fldChar w:fldCharType="begin"/>
            </w:r>
            <w:r>
              <w:instrText xml:space="preserve"> FILLIN  "Type the protective marking" \d OFFICIAL \o  \* MERGEFORMAT </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9264" behindDoc="1" locked="0" layoutInCell="1" allowOverlap="1" wp14:anchorId="42D1E79A" wp14:editId="0B4C48B3">
            <wp:simplePos x="0" y="0"/>
            <wp:positionH relativeFrom="column">
              <wp:posOffset>1978660</wp:posOffset>
            </wp:positionH>
            <wp:positionV relativeFrom="paragraph">
              <wp:posOffset>5131435</wp:posOffset>
            </wp:positionV>
            <wp:extent cx="1217930" cy="510331"/>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1B6D79">
        <w:trPr>
          <w:cantSplit/>
          <w:trHeight w:val="5103"/>
        </w:trPr>
        <w:tc>
          <w:tcPr>
            <w:tcW w:w="9288" w:type="dxa"/>
            <w:vAlign w:val="bottom"/>
          </w:tcPr>
          <w:p w14:paraId="78ADF55A" w14:textId="4F26CA03" w:rsidR="009F2182" w:rsidRPr="0055119B" w:rsidRDefault="009F2182" w:rsidP="001B6D79">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1B6D79">
            <w:pPr>
              <w:pStyle w:val="Imprint"/>
            </w:pPr>
            <w:r w:rsidRPr="0055119B">
              <w:t>Authorised and published by the Victorian Government, 1 Treasury Place, Melbourne.</w:t>
            </w:r>
          </w:p>
          <w:p w14:paraId="02E991D6" w14:textId="4EA33625" w:rsidR="00286953" w:rsidRPr="0055119B" w:rsidRDefault="00286953" w:rsidP="001B6D79">
            <w:pPr>
              <w:pStyle w:val="Imprint"/>
            </w:pPr>
            <w:r w:rsidRPr="0055119B">
              <w:t xml:space="preserve">© State of Victoria, Australia, </w:t>
            </w:r>
            <w:r w:rsidRPr="001E2A36">
              <w:t>Department of Health</w:t>
            </w:r>
            <w:r w:rsidRPr="0055119B">
              <w:t>,</w:t>
            </w:r>
            <w:r w:rsidR="001B6D79">
              <w:t xml:space="preserve"> December</w:t>
            </w:r>
            <w:r>
              <w:t xml:space="preserve"> 202</w:t>
            </w:r>
            <w:r w:rsidR="00144630">
              <w:t>2</w:t>
            </w:r>
            <w:r w:rsidRPr="0055119B">
              <w:t>.</w:t>
            </w:r>
          </w:p>
          <w:p w14:paraId="06946551" w14:textId="4A74630E" w:rsidR="009F2182" w:rsidRDefault="00144630" w:rsidP="001B6D79">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1B6D79">
        <w:trPr>
          <w:cantSplit/>
        </w:trPr>
        <w:tc>
          <w:tcPr>
            <w:tcW w:w="9288" w:type="dxa"/>
          </w:tcPr>
          <w:p w14:paraId="38E4E562" w14:textId="77777777" w:rsidR="0008204A" w:rsidRPr="0055119B" w:rsidRDefault="0008204A" w:rsidP="001B6D79">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4A388F" w:rsidRDefault="00AD784C" w:rsidP="002365B4">
      <w:pPr>
        <w:pStyle w:val="TOCheadingreport"/>
      </w:pPr>
      <w:r w:rsidRPr="004A388F">
        <w:lastRenderedPageBreak/>
        <w:t>Contents</w:t>
      </w:r>
    </w:p>
    <w:p w14:paraId="22367D6E" w14:textId="7A3E04F9" w:rsidR="004A388F" w:rsidRDefault="00AD784C">
      <w:pPr>
        <w:pStyle w:val="TOC1"/>
        <w:rPr>
          <w:rFonts w:asciiTheme="minorHAnsi" w:eastAsiaTheme="minorEastAsia" w:hAnsiTheme="minorHAnsi" w:cstheme="minorBidi"/>
          <w:b w:val="0"/>
          <w:sz w:val="22"/>
          <w:szCs w:val="22"/>
          <w:lang w:eastAsia="en-AU"/>
        </w:rPr>
      </w:pPr>
      <w:r w:rsidRPr="004A388F">
        <w:fldChar w:fldCharType="begin"/>
      </w:r>
      <w:r w:rsidRPr="004A388F">
        <w:instrText xml:space="preserve"> TOC \h \z \t "Heading 1,1,Heading 2,2" </w:instrText>
      </w:r>
      <w:r w:rsidRPr="004A388F">
        <w:fldChar w:fldCharType="separate"/>
      </w:r>
      <w:hyperlink w:anchor="_Toc122001341" w:history="1">
        <w:r w:rsidR="004A388F" w:rsidRPr="00DF426C">
          <w:rPr>
            <w:rStyle w:val="Hyperlink"/>
          </w:rPr>
          <w:t>Executive Summary</w:t>
        </w:r>
        <w:r w:rsidR="004A388F">
          <w:rPr>
            <w:webHidden/>
          </w:rPr>
          <w:tab/>
        </w:r>
        <w:r w:rsidR="004A388F">
          <w:rPr>
            <w:webHidden/>
          </w:rPr>
          <w:fldChar w:fldCharType="begin"/>
        </w:r>
        <w:r w:rsidR="004A388F">
          <w:rPr>
            <w:webHidden/>
          </w:rPr>
          <w:instrText xml:space="preserve"> PAGEREF _Toc122001341 \h </w:instrText>
        </w:r>
        <w:r w:rsidR="004A388F">
          <w:rPr>
            <w:webHidden/>
          </w:rPr>
        </w:r>
        <w:r w:rsidR="004A388F">
          <w:rPr>
            <w:webHidden/>
          </w:rPr>
          <w:fldChar w:fldCharType="separate"/>
        </w:r>
        <w:r w:rsidR="004A388F">
          <w:rPr>
            <w:webHidden/>
          </w:rPr>
          <w:t>4</w:t>
        </w:r>
        <w:r w:rsidR="004A388F">
          <w:rPr>
            <w:webHidden/>
          </w:rPr>
          <w:fldChar w:fldCharType="end"/>
        </w:r>
      </w:hyperlink>
    </w:p>
    <w:p w14:paraId="1F76B7D5" w14:textId="4DF1706D" w:rsidR="004A388F" w:rsidRDefault="00AC30DE">
      <w:pPr>
        <w:pStyle w:val="TOC1"/>
        <w:rPr>
          <w:rFonts w:asciiTheme="minorHAnsi" w:eastAsiaTheme="minorEastAsia" w:hAnsiTheme="minorHAnsi" w:cstheme="minorBidi"/>
          <w:b w:val="0"/>
          <w:sz w:val="22"/>
          <w:szCs w:val="22"/>
          <w:lang w:eastAsia="en-AU"/>
        </w:rPr>
      </w:pPr>
      <w:hyperlink w:anchor="_Toc122001342" w:history="1">
        <w:r w:rsidR="004A388F" w:rsidRPr="00DF426C">
          <w:rPr>
            <w:rStyle w:val="Hyperlink"/>
          </w:rPr>
          <w:t>Introduction</w:t>
        </w:r>
        <w:r w:rsidR="004A388F">
          <w:rPr>
            <w:webHidden/>
          </w:rPr>
          <w:tab/>
        </w:r>
        <w:r w:rsidR="004A388F">
          <w:rPr>
            <w:webHidden/>
          </w:rPr>
          <w:fldChar w:fldCharType="begin"/>
        </w:r>
        <w:r w:rsidR="004A388F">
          <w:rPr>
            <w:webHidden/>
          </w:rPr>
          <w:instrText xml:space="preserve"> PAGEREF _Toc122001342 \h </w:instrText>
        </w:r>
        <w:r w:rsidR="004A388F">
          <w:rPr>
            <w:webHidden/>
          </w:rPr>
        </w:r>
        <w:r w:rsidR="004A388F">
          <w:rPr>
            <w:webHidden/>
          </w:rPr>
          <w:fldChar w:fldCharType="separate"/>
        </w:r>
        <w:r w:rsidR="004A388F">
          <w:rPr>
            <w:webHidden/>
          </w:rPr>
          <w:t>4</w:t>
        </w:r>
        <w:r w:rsidR="004A388F">
          <w:rPr>
            <w:webHidden/>
          </w:rPr>
          <w:fldChar w:fldCharType="end"/>
        </w:r>
      </w:hyperlink>
    </w:p>
    <w:p w14:paraId="28773C2C" w14:textId="2122914A" w:rsidR="004A388F" w:rsidRDefault="00AC30DE">
      <w:pPr>
        <w:pStyle w:val="TOC2"/>
        <w:rPr>
          <w:rFonts w:asciiTheme="minorHAnsi" w:eastAsiaTheme="minorEastAsia" w:hAnsiTheme="minorHAnsi" w:cstheme="minorBidi"/>
          <w:sz w:val="22"/>
          <w:szCs w:val="22"/>
          <w:lang w:eastAsia="en-AU"/>
        </w:rPr>
      </w:pPr>
      <w:hyperlink w:anchor="_Toc122001343" w:history="1">
        <w:r w:rsidR="004A388F" w:rsidRPr="00DF426C">
          <w:rPr>
            <w:rStyle w:val="Hyperlink"/>
          </w:rPr>
          <w:t>Orientation to this document</w:t>
        </w:r>
        <w:r w:rsidR="004A388F">
          <w:rPr>
            <w:webHidden/>
          </w:rPr>
          <w:tab/>
        </w:r>
        <w:r w:rsidR="004A388F">
          <w:rPr>
            <w:webHidden/>
          </w:rPr>
          <w:fldChar w:fldCharType="begin"/>
        </w:r>
        <w:r w:rsidR="004A388F">
          <w:rPr>
            <w:webHidden/>
          </w:rPr>
          <w:instrText xml:space="preserve"> PAGEREF _Toc122001343 \h </w:instrText>
        </w:r>
        <w:r w:rsidR="004A388F">
          <w:rPr>
            <w:webHidden/>
          </w:rPr>
        </w:r>
        <w:r w:rsidR="004A388F">
          <w:rPr>
            <w:webHidden/>
          </w:rPr>
          <w:fldChar w:fldCharType="separate"/>
        </w:r>
        <w:r w:rsidR="004A388F">
          <w:rPr>
            <w:webHidden/>
          </w:rPr>
          <w:t>4</w:t>
        </w:r>
        <w:r w:rsidR="004A388F">
          <w:rPr>
            <w:webHidden/>
          </w:rPr>
          <w:fldChar w:fldCharType="end"/>
        </w:r>
      </w:hyperlink>
    </w:p>
    <w:p w14:paraId="014C3D01" w14:textId="351264D3" w:rsidR="004A388F" w:rsidRDefault="00AC30DE">
      <w:pPr>
        <w:pStyle w:val="TOC1"/>
        <w:rPr>
          <w:rFonts w:asciiTheme="minorHAnsi" w:eastAsiaTheme="minorEastAsia" w:hAnsiTheme="minorHAnsi" w:cstheme="minorBidi"/>
          <w:b w:val="0"/>
          <w:sz w:val="22"/>
          <w:szCs w:val="22"/>
          <w:lang w:eastAsia="en-AU"/>
        </w:rPr>
      </w:pPr>
      <w:hyperlink w:anchor="_Toc122001344" w:history="1">
        <w:r w:rsidR="004A388F" w:rsidRPr="00DF426C">
          <w:rPr>
            <w:rStyle w:val="Hyperlink"/>
          </w:rPr>
          <w:t>Outcome of proposals</w:t>
        </w:r>
        <w:r w:rsidR="004A388F">
          <w:rPr>
            <w:webHidden/>
          </w:rPr>
          <w:tab/>
        </w:r>
        <w:r w:rsidR="004A388F">
          <w:rPr>
            <w:webHidden/>
          </w:rPr>
          <w:fldChar w:fldCharType="begin"/>
        </w:r>
        <w:r w:rsidR="004A388F">
          <w:rPr>
            <w:webHidden/>
          </w:rPr>
          <w:instrText xml:space="preserve"> PAGEREF _Toc122001344 \h </w:instrText>
        </w:r>
        <w:r w:rsidR="004A388F">
          <w:rPr>
            <w:webHidden/>
          </w:rPr>
        </w:r>
        <w:r w:rsidR="004A388F">
          <w:rPr>
            <w:webHidden/>
          </w:rPr>
          <w:fldChar w:fldCharType="separate"/>
        </w:r>
        <w:r w:rsidR="004A388F">
          <w:rPr>
            <w:webHidden/>
          </w:rPr>
          <w:t>5</w:t>
        </w:r>
        <w:r w:rsidR="004A388F">
          <w:rPr>
            <w:webHidden/>
          </w:rPr>
          <w:fldChar w:fldCharType="end"/>
        </w:r>
      </w:hyperlink>
    </w:p>
    <w:p w14:paraId="64CCFABF" w14:textId="07170362" w:rsidR="004A388F" w:rsidRDefault="00AC30DE">
      <w:pPr>
        <w:pStyle w:val="TOC1"/>
        <w:rPr>
          <w:rFonts w:asciiTheme="minorHAnsi" w:eastAsiaTheme="minorEastAsia" w:hAnsiTheme="minorHAnsi" w:cstheme="minorBidi"/>
          <w:b w:val="0"/>
          <w:sz w:val="22"/>
          <w:szCs w:val="22"/>
          <w:lang w:eastAsia="en-AU"/>
        </w:rPr>
      </w:pPr>
      <w:hyperlink w:anchor="_Toc122001345" w:history="1">
        <w:r w:rsidR="004A388F" w:rsidRPr="00DF426C">
          <w:rPr>
            <w:rStyle w:val="Hyperlink"/>
          </w:rPr>
          <w:t>Specifications for changes for 2023-24</w:t>
        </w:r>
        <w:r w:rsidR="004A388F">
          <w:rPr>
            <w:webHidden/>
          </w:rPr>
          <w:tab/>
        </w:r>
        <w:r w:rsidR="004A388F">
          <w:rPr>
            <w:webHidden/>
          </w:rPr>
          <w:fldChar w:fldCharType="begin"/>
        </w:r>
        <w:r w:rsidR="004A388F">
          <w:rPr>
            <w:webHidden/>
          </w:rPr>
          <w:instrText xml:space="preserve"> PAGEREF _Toc122001345 \h </w:instrText>
        </w:r>
        <w:r w:rsidR="004A388F">
          <w:rPr>
            <w:webHidden/>
          </w:rPr>
        </w:r>
        <w:r w:rsidR="004A388F">
          <w:rPr>
            <w:webHidden/>
          </w:rPr>
          <w:fldChar w:fldCharType="separate"/>
        </w:r>
        <w:r w:rsidR="004A388F">
          <w:rPr>
            <w:webHidden/>
          </w:rPr>
          <w:t>6</w:t>
        </w:r>
        <w:r w:rsidR="004A388F">
          <w:rPr>
            <w:webHidden/>
          </w:rPr>
          <w:fldChar w:fldCharType="end"/>
        </w:r>
      </w:hyperlink>
    </w:p>
    <w:p w14:paraId="26BC51BF" w14:textId="6179E4DD" w:rsidR="004A388F" w:rsidRDefault="00AC30DE">
      <w:pPr>
        <w:pStyle w:val="TOC1"/>
        <w:rPr>
          <w:rFonts w:asciiTheme="minorHAnsi" w:eastAsiaTheme="minorEastAsia" w:hAnsiTheme="minorHAnsi" w:cstheme="minorBidi"/>
          <w:b w:val="0"/>
          <w:sz w:val="22"/>
          <w:szCs w:val="22"/>
          <w:lang w:eastAsia="en-AU"/>
        </w:rPr>
      </w:pPr>
      <w:hyperlink w:anchor="_Toc122001346" w:history="1">
        <w:r w:rsidR="004A388F" w:rsidRPr="00DF426C">
          <w:rPr>
            <w:rStyle w:val="Hyperlink"/>
          </w:rPr>
          <w:t>Modify the Daily Capacity and Occupancy Register (DCOR)</w:t>
        </w:r>
        <w:r w:rsidR="004A388F">
          <w:rPr>
            <w:webHidden/>
          </w:rPr>
          <w:tab/>
        </w:r>
        <w:r w:rsidR="004A388F">
          <w:rPr>
            <w:webHidden/>
          </w:rPr>
          <w:fldChar w:fldCharType="begin"/>
        </w:r>
        <w:r w:rsidR="004A388F">
          <w:rPr>
            <w:webHidden/>
          </w:rPr>
          <w:instrText xml:space="preserve"> PAGEREF _Toc122001346 \h </w:instrText>
        </w:r>
        <w:r w:rsidR="004A388F">
          <w:rPr>
            <w:webHidden/>
          </w:rPr>
        </w:r>
        <w:r w:rsidR="004A388F">
          <w:rPr>
            <w:webHidden/>
          </w:rPr>
          <w:fldChar w:fldCharType="separate"/>
        </w:r>
        <w:r w:rsidR="004A388F">
          <w:rPr>
            <w:webHidden/>
          </w:rPr>
          <w:t>6</w:t>
        </w:r>
        <w:r w:rsidR="004A388F">
          <w:rPr>
            <w:webHidden/>
          </w:rPr>
          <w:fldChar w:fldCharType="end"/>
        </w:r>
      </w:hyperlink>
    </w:p>
    <w:p w14:paraId="2198E1F5" w14:textId="31E3C6A0" w:rsidR="004A388F" w:rsidRDefault="00AC30DE">
      <w:pPr>
        <w:pStyle w:val="TOC1"/>
        <w:rPr>
          <w:rFonts w:asciiTheme="minorHAnsi" w:eastAsiaTheme="minorEastAsia" w:hAnsiTheme="minorHAnsi" w:cstheme="minorBidi"/>
          <w:b w:val="0"/>
          <w:sz w:val="22"/>
          <w:szCs w:val="22"/>
          <w:lang w:eastAsia="en-AU"/>
        </w:rPr>
      </w:pPr>
      <w:hyperlink w:anchor="_Toc122001347" w:history="1">
        <w:r w:rsidR="004A388F" w:rsidRPr="00DF426C">
          <w:rPr>
            <w:rStyle w:val="Hyperlink"/>
          </w:rPr>
          <w:t>Amendment to Public Hospital Beds (A3) form</w:t>
        </w:r>
        <w:r w:rsidR="004A388F">
          <w:rPr>
            <w:webHidden/>
          </w:rPr>
          <w:tab/>
        </w:r>
        <w:r w:rsidR="004A388F">
          <w:rPr>
            <w:webHidden/>
          </w:rPr>
          <w:fldChar w:fldCharType="begin"/>
        </w:r>
        <w:r w:rsidR="004A388F">
          <w:rPr>
            <w:webHidden/>
          </w:rPr>
          <w:instrText xml:space="preserve"> PAGEREF _Toc122001347 \h </w:instrText>
        </w:r>
        <w:r w:rsidR="004A388F">
          <w:rPr>
            <w:webHidden/>
          </w:rPr>
        </w:r>
        <w:r w:rsidR="004A388F">
          <w:rPr>
            <w:webHidden/>
          </w:rPr>
          <w:fldChar w:fldCharType="separate"/>
        </w:r>
        <w:r w:rsidR="004A388F">
          <w:rPr>
            <w:webHidden/>
          </w:rPr>
          <w:t>8</w:t>
        </w:r>
        <w:r w:rsidR="004A388F">
          <w:rPr>
            <w:webHidden/>
          </w:rPr>
          <w:fldChar w:fldCharType="end"/>
        </w:r>
      </w:hyperlink>
    </w:p>
    <w:p w14:paraId="0121381E" w14:textId="1D3F7BCE" w:rsidR="004A388F" w:rsidRDefault="00AC30DE">
      <w:pPr>
        <w:pStyle w:val="TOC1"/>
        <w:rPr>
          <w:rFonts w:asciiTheme="minorHAnsi" w:eastAsiaTheme="minorEastAsia" w:hAnsiTheme="minorHAnsi" w:cstheme="minorBidi"/>
          <w:b w:val="0"/>
          <w:sz w:val="22"/>
          <w:szCs w:val="22"/>
          <w:lang w:eastAsia="en-AU"/>
        </w:rPr>
      </w:pPr>
      <w:hyperlink w:anchor="_Toc122001348" w:history="1">
        <w:r w:rsidR="004A388F" w:rsidRPr="00DF426C">
          <w:rPr>
            <w:rStyle w:val="Hyperlink"/>
          </w:rPr>
          <w:t>New collection – Statutory Duty of Candour (SDC)</w:t>
        </w:r>
        <w:r w:rsidR="004A388F">
          <w:rPr>
            <w:webHidden/>
          </w:rPr>
          <w:tab/>
        </w:r>
        <w:r w:rsidR="004A388F">
          <w:rPr>
            <w:webHidden/>
          </w:rPr>
          <w:fldChar w:fldCharType="begin"/>
        </w:r>
        <w:r w:rsidR="004A388F">
          <w:rPr>
            <w:webHidden/>
          </w:rPr>
          <w:instrText xml:space="preserve"> PAGEREF _Toc122001348 \h </w:instrText>
        </w:r>
        <w:r w:rsidR="004A388F">
          <w:rPr>
            <w:webHidden/>
          </w:rPr>
        </w:r>
        <w:r w:rsidR="004A388F">
          <w:rPr>
            <w:webHidden/>
          </w:rPr>
          <w:fldChar w:fldCharType="separate"/>
        </w:r>
        <w:r w:rsidR="004A388F">
          <w:rPr>
            <w:webHidden/>
          </w:rPr>
          <w:t>9</w:t>
        </w:r>
        <w:r w:rsidR="004A388F">
          <w:rPr>
            <w:webHidden/>
          </w:rPr>
          <w:fldChar w:fldCharType="end"/>
        </w:r>
      </w:hyperlink>
    </w:p>
    <w:p w14:paraId="69311C49" w14:textId="72728EA4" w:rsidR="00FB1F6E" w:rsidRDefault="00AD784C" w:rsidP="00286953">
      <w:pPr>
        <w:pStyle w:val="Body"/>
      </w:pPr>
      <w:r w:rsidRPr="004A388F">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29D1E1F8" w14:textId="77777777" w:rsidR="00DF745A" w:rsidRDefault="00DF745A" w:rsidP="00DF745A">
      <w:pPr>
        <w:pStyle w:val="Heading1"/>
      </w:pPr>
      <w:bookmarkStart w:id="0" w:name="_Toc51939356"/>
      <w:bookmarkStart w:id="1" w:name="_Toc122001341"/>
      <w:bookmarkStart w:id="2" w:name="_Toc51938683"/>
      <w:r w:rsidRPr="00BB47B8">
        <w:lastRenderedPageBreak/>
        <w:t>Executive Summary</w:t>
      </w:r>
      <w:bookmarkEnd w:id="0"/>
      <w:bookmarkEnd w:id="1"/>
    </w:p>
    <w:p w14:paraId="73D6ADF9" w14:textId="5FFD9D9E" w:rsidR="00DF745A" w:rsidRDefault="00DF745A" w:rsidP="00DF745A">
      <w:pPr>
        <w:pStyle w:val="DHHSbody"/>
      </w:pPr>
      <w:r>
        <w:t xml:space="preserve">The revisions for the </w:t>
      </w:r>
      <w:r w:rsidR="00BB47B8">
        <w:t>Agency Information Management System</w:t>
      </w:r>
      <w:r w:rsidR="001B6D79">
        <w:t xml:space="preserve"> (</w:t>
      </w:r>
      <w:r w:rsidR="00BB47B8">
        <w:t>AIMS</w:t>
      </w:r>
      <w:r w:rsidR="001B6D79">
        <w:t>)</w:t>
      </w:r>
      <w:r>
        <w:t xml:space="preserve"> for 20</w:t>
      </w:r>
      <w:r w:rsidR="00144630">
        <w:t>23-24</w:t>
      </w:r>
      <w:r>
        <w:t xml:space="preserve"> are summarised below:</w:t>
      </w:r>
    </w:p>
    <w:p w14:paraId="0DDD2338" w14:textId="43CFE70E" w:rsidR="00DF745A" w:rsidRPr="00941967" w:rsidRDefault="00787068" w:rsidP="00DF745A">
      <w:pPr>
        <w:pStyle w:val="DHHSbody"/>
      </w:pPr>
      <w:r w:rsidRPr="00941967">
        <w:t xml:space="preserve">New data </w:t>
      </w:r>
      <w:r w:rsidR="00BB47B8">
        <w:t>collection</w:t>
      </w:r>
    </w:p>
    <w:p w14:paraId="3939589E" w14:textId="7A4F99A9" w:rsidR="00787068" w:rsidRPr="00586A8B" w:rsidRDefault="00BB47B8" w:rsidP="006570C0">
      <w:pPr>
        <w:pStyle w:val="Bullet1"/>
      </w:pPr>
      <w:r>
        <w:t>Statutory Duty of Candour (SDC) data collection</w:t>
      </w:r>
    </w:p>
    <w:p w14:paraId="0C4BD389" w14:textId="0BAA1AE1" w:rsidR="00787068" w:rsidRPr="00586A8B" w:rsidRDefault="00787068" w:rsidP="00787068">
      <w:pPr>
        <w:spacing w:before="120"/>
      </w:pPr>
      <w:r w:rsidRPr="00586A8B">
        <w:t xml:space="preserve">Changes to existing data </w:t>
      </w:r>
      <w:r w:rsidR="00BB47B8">
        <w:t>collections</w:t>
      </w:r>
    </w:p>
    <w:p w14:paraId="4A12C037" w14:textId="0644460D" w:rsidR="00090CAE" w:rsidRPr="00586A8B" w:rsidRDefault="001C21D4" w:rsidP="00BB47B8">
      <w:pPr>
        <w:pStyle w:val="Bullet1"/>
      </w:pPr>
      <w:r w:rsidRPr="00586A8B">
        <w:t xml:space="preserve">Amend </w:t>
      </w:r>
      <w:r w:rsidR="00BB47B8">
        <w:t>A3 Public Hospital Beds</w:t>
      </w:r>
    </w:p>
    <w:p w14:paraId="3F148AA9" w14:textId="736A7F23" w:rsidR="00787068" w:rsidRPr="00586A8B" w:rsidRDefault="00586A8B" w:rsidP="001C0C2C">
      <w:pPr>
        <w:pStyle w:val="Bullet1"/>
      </w:pPr>
      <w:r w:rsidRPr="00586A8B">
        <w:t xml:space="preserve">Amend </w:t>
      </w:r>
      <w:r w:rsidR="00BB47B8">
        <w:t xml:space="preserve">Daily Capacity and Occupancy Register (DCOR) </w:t>
      </w:r>
    </w:p>
    <w:p w14:paraId="779CD543" w14:textId="5B26D3CC" w:rsidR="00DF745A" w:rsidRDefault="00DF745A" w:rsidP="00101B58">
      <w:pPr>
        <w:pStyle w:val="Heading1"/>
      </w:pPr>
      <w:bookmarkStart w:id="3" w:name="_Toc51939357"/>
      <w:bookmarkStart w:id="4" w:name="_Toc122001342"/>
      <w:r w:rsidRPr="007D1E93">
        <w:t>Introduction</w:t>
      </w:r>
      <w:bookmarkEnd w:id="3"/>
      <w:bookmarkEnd w:id="4"/>
    </w:p>
    <w:p w14:paraId="56AE54D6" w14:textId="2A59C300" w:rsidR="00DF745A" w:rsidRDefault="00DF745A" w:rsidP="00DF745A">
      <w:pPr>
        <w:pStyle w:val="Body"/>
      </w:pPr>
      <w:r>
        <w:t>Each year the Department of Health review the</w:t>
      </w:r>
      <w:r w:rsidR="001B6D79">
        <w:t xml:space="preserve"> </w:t>
      </w:r>
      <w:r w:rsidR="007E11FD">
        <w:t xml:space="preserve">Agency Information Management System (AIMS) </w:t>
      </w:r>
      <w:r>
        <w:t>to ensure that the data collection supports the department’s business objectives, including national reporting obligations, and reflects changes in hospital funding and service provision arrangements for the coming financial year.</w:t>
      </w:r>
    </w:p>
    <w:p w14:paraId="78F98C5A" w14:textId="4F4E25D1" w:rsidR="00DF745A" w:rsidRDefault="00DF745A" w:rsidP="00DF745A">
      <w:pPr>
        <w:pStyle w:val="Body"/>
      </w:pPr>
      <w:r>
        <w:t xml:space="preserve">Comments provided by the health sector in response to Proposals for revisions to the </w:t>
      </w:r>
      <w:r w:rsidR="007E11FD">
        <w:t>AIMS</w:t>
      </w:r>
      <w:r>
        <w:t xml:space="preserve"> for 202</w:t>
      </w:r>
      <w:r w:rsidR="00144630">
        <w:t>3-24</w:t>
      </w:r>
      <w:r>
        <w:t xml:space="preserve"> have been considered, and where possible, suggestions have been accommodated, resulting in changes to</w:t>
      </w:r>
      <w:r w:rsidR="007E11FD">
        <w:t>,</w:t>
      </w:r>
      <w:r>
        <w:t xml:space="preserve"> or withdrawal of</w:t>
      </w:r>
      <w:r w:rsidR="007E11FD">
        <w:t>,</w:t>
      </w:r>
      <w:r>
        <w:t xml:space="preserve"> some proposals.</w:t>
      </w:r>
    </w:p>
    <w:p w14:paraId="188A4724" w14:textId="780F1D81" w:rsidR="00DF745A" w:rsidRDefault="00DF745A" w:rsidP="00DF745A">
      <w:pPr>
        <w:pStyle w:val="Body"/>
      </w:pPr>
      <w:r>
        <w:t xml:space="preserve">The revisions set out in this document are complete as at the date of publication. Where further changes are required during the year, </w:t>
      </w:r>
      <w:r w:rsidRPr="00101B58">
        <w:t>for example to data validation rules or supporting documentation</w:t>
      </w:r>
      <w:r>
        <w:t>, these will be advised via the HDSS Bulletin</w:t>
      </w:r>
      <w:r w:rsidR="007E11FD">
        <w:t xml:space="preserve"> or the responsible program team</w:t>
      </w:r>
      <w:r>
        <w:t>.</w:t>
      </w:r>
    </w:p>
    <w:p w14:paraId="0BD80008" w14:textId="5A3B7F78" w:rsidR="00DF745A" w:rsidRDefault="00DF745A" w:rsidP="00DF745A">
      <w:pPr>
        <w:pStyle w:val="Body"/>
      </w:pPr>
      <w:r>
        <w:t xml:space="preserve">An updated </w:t>
      </w:r>
      <w:r w:rsidR="007E11FD">
        <w:t>AIMS</w:t>
      </w:r>
      <w:r>
        <w:t xml:space="preserve"> manual will be published in due course. Until then, the current </w:t>
      </w:r>
      <w:r w:rsidR="007E11FD">
        <w:t>AIMS</w:t>
      </w:r>
      <w:r>
        <w:t xml:space="preserve"> manual and subsequent HDSS Bulletins</w:t>
      </w:r>
      <w:r w:rsidR="007E11FD">
        <w:t xml:space="preserve"> and collection reporting guides</w:t>
      </w:r>
      <w:r>
        <w:t>, together with this document, form the data submission specifications for 202</w:t>
      </w:r>
      <w:r w:rsidR="00144630">
        <w:t>3-24</w:t>
      </w:r>
      <w:r>
        <w:t>.</w:t>
      </w:r>
    </w:p>
    <w:p w14:paraId="7885DF1C" w14:textId="07DAB92C" w:rsidR="00DF745A" w:rsidRPr="00DF745A" w:rsidRDefault="00DF745A" w:rsidP="00DF745A">
      <w:pPr>
        <w:pStyle w:val="Body"/>
        <w:rPr>
          <w:i/>
        </w:rPr>
      </w:pPr>
      <w:r>
        <w:t>Victorian health services must ensure the</w:t>
      </w:r>
      <w:r w:rsidR="007E11FD">
        <w:t xml:space="preserve">y report </w:t>
      </w:r>
      <w:r>
        <w:t>in accordance with the revised specifications and ensure reporting capability is achieved to maintain compliance with reporting timeframes set out in the relevant Department of Health policy and funding guidelines or the</w:t>
      </w:r>
      <w:r w:rsidR="007D1E93">
        <w:t xml:space="preserve"> relevant legislation.</w:t>
      </w:r>
    </w:p>
    <w:p w14:paraId="567CAA80" w14:textId="77777777" w:rsidR="00DF745A" w:rsidRDefault="00DF745A" w:rsidP="00DF745A">
      <w:pPr>
        <w:pStyle w:val="Heading2"/>
      </w:pPr>
      <w:bookmarkStart w:id="5" w:name="_Toc51939358"/>
      <w:bookmarkStart w:id="6" w:name="_Toc122001343"/>
      <w:r>
        <w:t>Orientation to this document</w:t>
      </w:r>
      <w:bookmarkEnd w:id="5"/>
      <w:bookmarkEnd w:id="6"/>
    </w:p>
    <w:p w14:paraId="07A5C7B8" w14:textId="77777777" w:rsidR="00DF745A" w:rsidRDefault="00DF745A" w:rsidP="00DF745A">
      <w:pPr>
        <w:pStyle w:val="Bullet1"/>
      </w:pPr>
      <w:r>
        <w:t>New data elements are marked as (new).</w:t>
      </w:r>
    </w:p>
    <w:p w14:paraId="7DEBA1CD" w14:textId="69E5699E" w:rsidR="00DF745A" w:rsidRDefault="00DF745A" w:rsidP="00DF745A">
      <w:pPr>
        <w:pStyle w:val="Bullet1"/>
      </w:pPr>
      <w:r>
        <w:t xml:space="preserve">Changes to existing data elements are </w:t>
      </w:r>
      <w:r w:rsidRPr="00DF745A">
        <w:rPr>
          <w:highlight w:val="green"/>
        </w:rPr>
        <w:t>highlighted in green</w:t>
      </w:r>
    </w:p>
    <w:p w14:paraId="53AB2C02" w14:textId="77777777" w:rsidR="00DF745A" w:rsidRDefault="00DF745A" w:rsidP="00DF745A">
      <w:pPr>
        <w:pStyle w:val="Bullet1"/>
      </w:pPr>
      <w:r>
        <w:t xml:space="preserve">Redundant values and definitions relating to existing elements are </w:t>
      </w:r>
      <w:r w:rsidRPr="00C416C0">
        <w:rPr>
          <w:strike/>
        </w:rPr>
        <w:t>struck through</w:t>
      </w:r>
      <w:r>
        <w:t>.</w:t>
      </w:r>
    </w:p>
    <w:p w14:paraId="68C4305A" w14:textId="77777777" w:rsidR="00DF745A" w:rsidRDefault="00DF745A" w:rsidP="00DF745A">
      <w:pPr>
        <w:pStyle w:val="Bullet1"/>
      </w:pPr>
      <w:r>
        <w:t xml:space="preserve">Comments relating only to the proposal document appear in </w:t>
      </w:r>
      <w:r w:rsidRPr="00C416C0">
        <w:rPr>
          <w:i/>
          <w:iCs/>
        </w:rPr>
        <w:t>[square brackets and italics].</w:t>
      </w:r>
    </w:p>
    <w:p w14:paraId="497FCE8D" w14:textId="2CC1BC0A" w:rsidR="00DF745A" w:rsidRDefault="00DF745A" w:rsidP="00DF745A">
      <w:pPr>
        <w:pStyle w:val="Bullet1"/>
      </w:pPr>
      <w:r>
        <w:t xml:space="preserve">New validations are marked ### if number has not yet been allocated </w:t>
      </w:r>
    </w:p>
    <w:p w14:paraId="4723D99A" w14:textId="77777777" w:rsidR="00DF745A" w:rsidRDefault="00DF745A" w:rsidP="00DF745A">
      <w:pPr>
        <w:pStyle w:val="Bullet1"/>
      </w:pPr>
      <w:r>
        <w:t xml:space="preserve">Validations to be changed are marked * when listed as part of a data element or below a validation table. </w:t>
      </w:r>
    </w:p>
    <w:p w14:paraId="455FD5BE" w14:textId="77777777" w:rsidR="00DF745A" w:rsidRDefault="00DF745A" w:rsidP="00DF745A">
      <w:pPr>
        <w:pStyle w:val="Bullet1"/>
      </w:pPr>
      <w:r>
        <w:t>Changes are shown under the appropriate manual section headings</w:t>
      </w:r>
    </w:p>
    <w:p w14:paraId="0897A9FA" w14:textId="6D8350CC" w:rsidR="00DF745A" w:rsidRDefault="00DF745A" w:rsidP="007D1E93">
      <w:pPr>
        <w:pStyle w:val="Heading1"/>
      </w:pPr>
      <w:bookmarkStart w:id="7" w:name="_Toc51939359"/>
      <w:bookmarkStart w:id="8" w:name="_Toc122001344"/>
      <w:r>
        <w:lastRenderedPageBreak/>
        <w:t>Outcome of proposals</w:t>
      </w:r>
      <w:bookmarkEnd w:id="7"/>
      <w:bookmarkEnd w:id="8"/>
    </w:p>
    <w:p w14:paraId="247C3A87" w14:textId="16BC6C6C" w:rsidR="004F5E82" w:rsidRDefault="004F5E82" w:rsidP="00314A12">
      <w:pPr>
        <w:pStyle w:val="Body"/>
        <w:rPr>
          <w:rStyle w:val="Strong"/>
        </w:rPr>
      </w:pPr>
      <w:r>
        <w:rPr>
          <w:rStyle w:val="Strong"/>
        </w:rPr>
        <w:t>Proposal 1 – Extend reporting deadline for January</w:t>
      </w:r>
    </w:p>
    <w:p w14:paraId="0121E24E" w14:textId="0725FBF3" w:rsidR="004F5E82" w:rsidRDefault="004F5E82" w:rsidP="00314A12">
      <w:pPr>
        <w:pStyle w:val="Body"/>
        <w:rPr>
          <w:rStyle w:val="Strong"/>
          <w:b w:val="0"/>
          <w:bCs w:val="0"/>
        </w:rPr>
      </w:pPr>
      <w:r>
        <w:rPr>
          <w:rStyle w:val="Strong"/>
          <w:b w:val="0"/>
          <w:bCs w:val="0"/>
        </w:rPr>
        <w:t>The proposal was withdraw</w:t>
      </w:r>
      <w:r w:rsidR="00216163">
        <w:rPr>
          <w:rStyle w:val="Strong"/>
          <w:b w:val="0"/>
          <w:bCs w:val="0"/>
        </w:rPr>
        <w:t>n</w:t>
      </w:r>
      <w:r>
        <w:rPr>
          <w:rStyle w:val="Strong"/>
          <w:b w:val="0"/>
          <w:bCs w:val="0"/>
        </w:rPr>
        <w:t>.</w:t>
      </w:r>
    </w:p>
    <w:p w14:paraId="573F4A21" w14:textId="183BDE66" w:rsidR="00541718" w:rsidRDefault="00541718" w:rsidP="00314A12">
      <w:pPr>
        <w:pStyle w:val="Body"/>
        <w:rPr>
          <w:rStyle w:val="Strong"/>
        </w:rPr>
      </w:pPr>
      <w:r>
        <w:rPr>
          <w:rStyle w:val="Strong"/>
        </w:rPr>
        <w:t>Proposal 9 – Discontinue Daily Elective Surgery Activity (DESA) reporting</w:t>
      </w:r>
    </w:p>
    <w:p w14:paraId="4BCFC0BA" w14:textId="4773CC5D" w:rsidR="00541718" w:rsidRPr="00541718" w:rsidRDefault="00541718" w:rsidP="00314A12">
      <w:pPr>
        <w:pStyle w:val="Body"/>
        <w:rPr>
          <w:rStyle w:val="Strong"/>
          <w:b w:val="0"/>
          <w:bCs w:val="0"/>
        </w:rPr>
      </w:pPr>
      <w:r>
        <w:rPr>
          <w:rStyle w:val="Strong"/>
          <w:b w:val="0"/>
          <w:bCs w:val="0"/>
        </w:rPr>
        <w:t>The proposal was withdrawn.</w:t>
      </w:r>
    </w:p>
    <w:p w14:paraId="08BEB46F" w14:textId="4CDE2442" w:rsidR="00314A12" w:rsidRPr="00311AA3" w:rsidRDefault="00314A12" w:rsidP="00314A12">
      <w:pPr>
        <w:pStyle w:val="Body"/>
        <w:rPr>
          <w:rStyle w:val="Strong"/>
        </w:rPr>
      </w:pPr>
      <w:r w:rsidRPr="00311AA3">
        <w:rPr>
          <w:rStyle w:val="Strong"/>
        </w:rPr>
        <w:t>Proposal 1</w:t>
      </w:r>
      <w:r>
        <w:rPr>
          <w:rStyle w:val="Strong"/>
        </w:rPr>
        <w:t>0</w:t>
      </w:r>
      <w:r w:rsidRPr="00311AA3">
        <w:rPr>
          <w:rStyle w:val="Strong"/>
        </w:rPr>
        <w:t xml:space="preserve"> </w:t>
      </w:r>
      <w:r>
        <w:rPr>
          <w:rStyle w:val="Strong"/>
        </w:rPr>
        <w:t>–</w:t>
      </w:r>
      <w:r w:rsidRPr="00311AA3">
        <w:rPr>
          <w:rStyle w:val="Strong"/>
        </w:rPr>
        <w:t xml:space="preserve"> </w:t>
      </w:r>
      <w:r>
        <w:rPr>
          <w:rStyle w:val="Strong"/>
        </w:rPr>
        <w:t xml:space="preserve">Modify the Daily Capacity and Occupancy Register (DCOR) </w:t>
      </w:r>
    </w:p>
    <w:p w14:paraId="171CC292" w14:textId="41833359" w:rsidR="00314A12" w:rsidRDefault="00314A12" w:rsidP="009332A2">
      <w:pPr>
        <w:pStyle w:val="Body"/>
      </w:pPr>
      <w:r>
        <w:t>The proposal proceeds</w:t>
      </w:r>
      <w:r w:rsidR="00097063">
        <w:t>.</w:t>
      </w:r>
    </w:p>
    <w:p w14:paraId="45611003" w14:textId="77777777" w:rsidR="00314A12" w:rsidRPr="0004052C" w:rsidRDefault="00314A12" w:rsidP="00314A12">
      <w:pPr>
        <w:pStyle w:val="Tabletext"/>
        <w:rPr>
          <w:rStyle w:val="Strong"/>
        </w:rPr>
      </w:pPr>
      <w:r w:rsidRPr="0004052C">
        <w:rPr>
          <w:rStyle w:val="Strong"/>
        </w:rPr>
        <w:t xml:space="preserve">Proposal </w:t>
      </w:r>
      <w:r>
        <w:rPr>
          <w:rStyle w:val="Strong"/>
        </w:rPr>
        <w:t>11</w:t>
      </w:r>
      <w:r w:rsidRPr="0004052C">
        <w:rPr>
          <w:rStyle w:val="Strong"/>
        </w:rPr>
        <w:t xml:space="preserve"> </w:t>
      </w:r>
      <w:r>
        <w:rPr>
          <w:rStyle w:val="Strong"/>
        </w:rPr>
        <w:t>–</w:t>
      </w:r>
      <w:r w:rsidRPr="0004052C">
        <w:rPr>
          <w:rStyle w:val="Strong"/>
        </w:rPr>
        <w:t xml:space="preserve"> </w:t>
      </w:r>
      <w:bookmarkStart w:id="9" w:name="_Hlk121862241"/>
      <w:r>
        <w:rPr>
          <w:rStyle w:val="Strong"/>
        </w:rPr>
        <w:t xml:space="preserve">Collect specialised palliative care beds on A3 Public Hospital Beds </w:t>
      </w:r>
      <w:bookmarkEnd w:id="9"/>
      <w:r>
        <w:rPr>
          <w:rStyle w:val="Strong"/>
        </w:rPr>
        <w:t xml:space="preserve">form </w:t>
      </w:r>
    </w:p>
    <w:p w14:paraId="521A638F" w14:textId="4073E699" w:rsidR="00097063" w:rsidRDefault="00314A12" w:rsidP="009332A2">
      <w:pPr>
        <w:pStyle w:val="Body"/>
        <w:spacing w:before="120"/>
      </w:pPr>
      <w:r>
        <w:t xml:space="preserve">The proposal </w:t>
      </w:r>
      <w:r w:rsidRPr="009332A2">
        <w:t>proceeds</w:t>
      </w:r>
      <w:r w:rsidR="009332A2">
        <w:t>.</w:t>
      </w:r>
      <w:r>
        <w:t xml:space="preserve"> </w:t>
      </w:r>
    </w:p>
    <w:p w14:paraId="39625B1E" w14:textId="6B3FA69F" w:rsidR="00541718" w:rsidRDefault="00541718" w:rsidP="009332A2">
      <w:pPr>
        <w:pStyle w:val="Body"/>
        <w:spacing w:before="120"/>
        <w:rPr>
          <w:b/>
          <w:bCs/>
        </w:rPr>
      </w:pPr>
      <w:r>
        <w:rPr>
          <w:b/>
          <w:bCs/>
        </w:rPr>
        <w:t>Proposal 12 – Cease S10, S11, S11A, S12 reporting for health services reporting patient level non-admitted activity</w:t>
      </w:r>
    </w:p>
    <w:p w14:paraId="03E81AC6" w14:textId="00DDBF35" w:rsidR="00541718" w:rsidRPr="00541718" w:rsidRDefault="00541718" w:rsidP="009332A2">
      <w:pPr>
        <w:pStyle w:val="Body"/>
        <w:spacing w:before="120"/>
      </w:pPr>
      <w:r>
        <w:t>The proposal was withdrawn.</w:t>
      </w:r>
    </w:p>
    <w:p w14:paraId="7CBCAC53" w14:textId="27A077A3" w:rsidR="00314A12" w:rsidRPr="00311AA3" w:rsidRDefault="00314A12" w:rsidP="00097063">
      <w:pPr>
        <w:pStyle w:val="Body"/>
        <w:rPr>
          <w:rStyle w:val="Strong"/>
        </w:rPr>
      </w:pPr>
      <w:r w:rsidRPr="00311AA3">
        <w:rPr>
          <w:rStyle w:val="Strong"/>
        </w:rPr>
        <w:t xml:space="preserve">Proposal </w:t>
      </w:r>
      <w:r>
        <w:rPr>
          <w:rStyle w:val="Strong"/>
        </w:rPr>
        <w:t>13</w:t>
      </w:r>
      <w:r w:rsidRPr="00311AA3">
        <w:rPr>
          <w:rStyle w:val="Strong"/>
        </w:rPr>
        <w:t xml:space="preserve"> </w:t>
      </w:r>
      <w:r>
        <w:rPr>
          <w:rStyle w:val="Strong"/>
        </w:rPr>
        <w:t>–</w:t>
      </w:r>
      <w:r w:rsidRPr="00311AA3">
        <w:rPr>
          <w:rStyle w:val="Strong"/>
        </w:rPr>
        <w:t xml:space="preserve"> </w:t>
      </w:r>
      <w:bookmarkStart w:id="10" w:name="_Hlk121862318"/>
      <w:r>
        <w:rPr>
          <w:rStyle w:val="Strong"/>
        </w:rPr>
        <w:t xml:space="preserve">New collection – Statutory Duty of Candour (SDC) </w:t>
      </w:r>
      <w:r w:rsidRPr="00311AA3">
        <w:rPr>
          <w:rStyle w:val="Strong"/>
        </w:rPr>
        <w:t xml:space="preserve"> </w:t>
      </w:r>
      <w:bookmarkEnd w:id="10"/>
    </w:p>
    <w:p w14:paraId="6D2BE83B" w14:textId="3E0AC2FA" w:rsidR="004A388F" w:rsidRDefault="00314A12" w:rsidP="009332A2">
      <w:pPr>
        <w:pStyle w:val="Body"/>
      </w:pPr>
      <w:r>
        <w:t>The proposal proceeds.</w:t>
      </w:r>
    </w:p>
    <w:p w14:paraId="3DE6B42E" w14:textId="77777777" w:rsidR="004A388F" w:rsidRDefault="004A388F">
      <w:pPr>
        <w:spacing w:after="0" w:line="240" w:lineRule="auto"/>
        <w:rPr>
          <w:rFonts w:eastAsia="Times"/>
        </w:rPr>
      </w:pPr>
      <w:r>
        <w:br w:type="page"/>
      </w:r>
    </w:p>
    <w:p w14:paraId="3B4F54D4" w14:textId="3E456005" w:rsidR="00DF745A" w:rsidRDefault="00DF745A" w:rsidP="004A388F">
      <w:pPr>
        <w:pStyle w:val="Heading1"/>
        <w:keepNext w:val="0"/>
        <w:keepLines w:val="0"/>
      </w:pPr>
      <w:bookmarkStart w:id="11" w:name="_Toc51939360"/>
      <w:bookmarkStart w:id="12" w:name="_Toc122001345"/>
      <w:r>
        <w:lastRenderedPageBreak/>
        <w:t>Specifications for changes for 202</w:t>
      </w:r>
      <w:bookmarkEnd w:id="11"/>
      <w:r w:rsidR="00144630">
        <w:t>3-24</w:t>
      </w:r>
      <w:bookmarkEnd w:id="12"/>
    </w:p>
    <w:p w14:paraId="1A72C500" w14:textId="77777777" w:rsidR="00351492" w:rsidRDefault="00351492" w:rsidP="004A388F">
      <w:pPr>
        <w:pStyle w:val="Heading1"/>
        <w:keepLines w:val="0"/>
      </w:pPr>
      <w:bookmarkStart w:id="13" w:name="_Toc122001346"/>
      <w:r w:rsidRPr="0000308E">
        <w:t>Modify the Daily Capacity and Occupancy Register (DCOR)</w:t>
      </w:r>
      <w:bookmarkEnd w:id="13"/>
    </w:p>
    <w:tbl>
      <w:tblPr>
        <w:tblW w:w="0" w:type="auto"/>
        <w:tblInd w:w="-322" w:type="dxa"/>
        <w:tblLook w:val="04A0" w:firstRow="1" w:lastRow="0" w:firstColumn="1" w:lastColumn="0" w:noHBand="0" w:noVBand="1"/>
      </w:tblPr>
      <w:tblGrid>
        <w:gridCol w:w="1392"/>
        <w:gridCol w:w="8228"/>
      </w:tblGrid>
      <w:tr w:rsidR="0027348C" w:rsidRPr="00AF46BB" w14:paraId="6207C212" w14:textId="77777777" w:rsidTr="001B59ED">
        <w:tc>
          <w:tcPr>
            <w:tcW w:w="0" w:type="auto"/>
            <w:shd w:val="clear" w:color="auto" w:fill="auto"/>
          </w:tcPr>
          <w:p w14:paraId="3FFC47A0" w14:textId="77777777" w:rsidR="00351492" w:rsidRPr="00351492" w:rsidRDefault="00351492" w:rsidP="0022520E">
            <w:pPr>
              <w:pStyle w:val="Body"/>
              <w:rPr>
                <w:rStyle w:val="Strong"/>
              </w:rPr>
            </w:pPr>
            <w:r w:rsidRPr="00351492">
              <w:rPr>
                <w:rStyle w:val="Strong"/>
              </w:rPr>
              <w:t>Details of change</w:t>
            </w:r>
          </w:p>
        </w:tc>
        <w:tc>
          <w:tcPr>
            <w:tcW w:w="0" w:type="auto"/>
            <w:shd w:val="clear" w:color="auto" w:fill="auto"/>
          </w:tcPr>
          <w:p w14:paraId="4F52FD4C" w14:textId="3A51215A" w:rsidR="00351492" w:rsidRDefault="001B59ED" w:rsidP="0022520E">
            <w:pPr>
              <w:pStyle w:val="Tablebullet1"/>
              <w:numPr>
                <w:ilvl w:val="0"/>
                <w:numId w:val="0"/>
              </w:numPr>
            </w:pPr>
            <w:r>
              <w:t xml:space="preserve">Modify </w:t>
            </w:r>
            <w:r w:rsidR="00FE5476">
              <w:t>the Daily Capacity and Occupancy Register (DCOR) as follows:</w:t>
            </w:r>
          </w:p>
          <w:p w14:paraId="45B1F7CE" w14:textId="77777777" w:rsidR="00FE5476" w:rsidRDefault="00FE5476" w:rsidP="00FE5476">
            <w:pPr>
              <w:pStyle w:val="Body"/>
            </w:pPr>
            <w:r w:rsidRPr="001B59ED">
              <w:t>Remove</w:t>
            </w:r>
            <w:r w:rsidRPr="00046BCB">
              <w:t xml:space="preserve"> </w:t>
            </w:r>
            <w:r w:rsidRPr="00B67927">
              <w:t>the following data items:</w:t>
            </w:r>
          </w:p>
          <w:p w14:paraId="577C60DE" w14:textId="0E72F49E" w:rsidR="00FE5476" w:rsidRDefault="00FE5476" w:rsidP="00FE5476">
            <w:pPr>
              <w:pStyle w:val="Body"/>
              <w:numPr>
                <w:ilvl w:val="0"/>
                <w:numId w:val="22"/>
              </w:numPr>
              <w:ind w:left="360"/>
            </w:pPr>
            <w:r w:rsidRPr="001B59ED">
              <w:t>Decommissioned stock</w:t>
            </w:r>
            <w:r>
              <w:t xml:space="preserve"> – number of beds/spaces, </w:t>
            </w:r>
            <w:r w:rsidR="00870911">
              <w:t xml:space="preserve">for each </w:t>
            </w:r>
            <w:r>
              <w:t xml:space="preserve">bed </w:t>
            </w:r>
            <w:r w:rsidR="001B59ED">
              <w:t>categor</w:t>
            </w:r>
            <w:r w:rsidR="00870911">
              <w:t>y</w:t>
            </w:r>
          </w:p>
          <w:p w14:paraId="599D05FB" w14:textId="06598128" w:rsidR="00FE5476" w:rsidRDefault="00FE5476" w:rsidP="00FE5476">
            <w:pPr>
              <w:pStyle w:val="Body"/>
              <w:numPr>
                <w:ilvl w:val="0"/>
                <w:numId w:val="22"/>
              </w:numPr>
              <w:ind w:left="360"/>
            </w:pPr>
            <w:r w:rsidRPr="001B59ED">
              <w:t xml:space="preserve">Current occupancy – </w:t>
            </w:r>
            <w:r w:rsidR="001B59ED">
              <w:t>B</w:t>
            </w:r>
            <w:r w:rsidRPr="001B59ED">
              <w:t>eds occupied by suspected COVID-19 patients,</w:t>
            </w:r>
            <w:r>
              <w:t xml:space="preserve"> </w:t>
            </w:r>
            <w:r w:rsidR="00870911">
              <w:t xml:space="preserve">for each </w:t>
            </w:r>
            <w:r>
              <w:t xml:space="preserve">bed </w:t>
            </w:r>
            <w:r w:rsidR="001B59ED">
              <w:t>categor</w:t>
            </w:r>
            <w:r w:rsidR="00870911">
              <w:t>y</w:t>
            </w:r>
          </w:p>
          <w:p w14:paraId="77FB4625" w14:textId="7B90A679" w:rsidR="00FE5476" w:rsidRDefault="00FE5476" w:rsidP="001B59ED">
            <w:pPr>
              <w:pStyle w:val="Body"/>
              <w:numPr>
                <w:ilvl w:val="0"/>
                <w:numId w:val="22"/>
              </w:numPr>
              <w:ind w:left="360"/>
            </w:pPr>
            <w:r w:rsidRPr="001B59ED">
              <w:t>Staff capacity impacted by COVID-19</w:t>
            </w:r>
            <w:r>
              <w:t xml:space="preserve"> by </w:t>
            </w:r>
            <w:r w:rsidR="001B59ED">
              <w:t xml:space="preserve">five </w:t>
            </w:r>
            <w:r>
              <w:t>staff categories</w:t>
            </w:r>
            <w:r w:rsidR="00046BCB">
              <w:t xml:space="preserve"> </w:t>
            </w:r>
            <w:r w:rsidR="001B59ED">
              <w:t xml:space="preserve">for each Critical care and ED </w:t>
            </w:r>
            <w:r w:rsidR="00046BCB">
              <w:t xml:space="preserve">bed </w:t>
            </w:r>
            <w:r w:rsidR="001B59ED">
              <w:t>category, and in total for all other bed categories</w:t>
            </w:r>
            <w:r w:rsidR="001B59ED" w:rsidDel="00FE5476">
              <w:t xml:space="preserve"> </w:t>
            </w:r>
          </w:p>
          <w:p w14:paraId="49D881BC" w14:textId="75634469" w:rsidR="00046BCB" w:rsidRDefault="00046BCB" w:rsidP="00046BCB">
            <w:pPr>
              <w:pStyle w:val="Body"/>
            </w:pPr>
            <w:r>
              <w:t xml:space="preserve">Add </w:t>
            </w:r>
            <w:r w:rsidR="00B97B5D">
              <w:t>a data</w:t>
            </w:r>
            <w:r>
              <w:t xml:space="preserve"> item</w:t>
            </w:r>
            <w:r w:rsidR="00B97B5D">
              <w:t xml:space="preserve"> for Staff capacity impacted by COVID-19</w:t>
            </w:r>
            <w:r>
              <w:t>:</w:t>
            </w:r>
          </w:p>
          <w:p w14:paraId="3C5B8623" w14:textId="1A8D3F72" w:rsidR="00A15C37" w:rsidRDefault="00A15C37" w:rsidP="001B59ED">
            <w:pPr>
              <w:pStyle w:val="Body"/>
              <w:numPr>
                <w:ilvl w:val="0"/>
                <w:numId w:val="26"/>
              </w:numPr>
            </w:pPr>
            <w:r>
              <w:t>To have the same definition as used for the five staff categories being removed</w:t>
            </w:r>
          </w:p>
          <w:p w14:paraId="37C7C178" w14:textId="0718570C" w:rsidR="00A15C37" w:rsidRDefault="00A15C37" w:rsidP="001B59ED">
            <w:pPr>
              <w:pStyle w:val="Body"/>
              <w:numPr>
                <w:ilvl w:val="0"/>
                <w:numId w:val="26"/>
              </w:numPr>
            </w:pPr>
            <w:r>
              <w:t>To be reported for all staff categories together</w:t>
            </w:r>
          </w:p>
          <w:p w14:paraId="4BD00C60" w14:textId="29ADBC89" w:rsidR="00A15C37" w:rsidRDefault="00A15C37" w:rsidP="001B59ED">
            <w:pPr>
              <w:pStyle w:val="Body"/>
              <w:numPr>
                <w:ilvl w:val="0"/>
                <w:numId w:val="26"/>
              </w:numPr>
            </w:pPr>
            <w:r>
              <w:t>To be reported for each Critical care and ED bed category, and in total for all other bed categories</w:t>
            </w:r>
          </w:p>
          <w:p w14:paraId="3FDDA26E" w14:textId="77777777" w:rsidR="00870911" w:rsidRDefault="001B59ED" w:rsidP="001B59ED">
            <w:pPr>
              <w:pStyle w:val="Body"/>
            </w:pPr>
            <w:r>
              <w:t>Amend due time for reporting</w:t>
            </w:r>
            <w:r w:rsidR="00870911">
              <w:t>:</w:t>
            </w:r>
          </w:p>
          <w:p w14:paraId="44C116D8" w14:textId="77777777" w:rsidR="00FE5476" w:rsidRDefault="001B59ED" w:rsidP="00870911">
            <w:pPr>
              <w:pStyle w:val="Body"/>
              <w:numPr>
                <w:ilvl w:val="0"/>
                <w:numId w:val="26"/>
              </w:numPr>
            </w:pPr>
            <w:r>
              <w:t>from 11.00 am each business day for the prior day’s data, and to report data for Friday, Saturday and Sunday by 11.00 am on the following Monday</w:t>
            </w:r>
            <w:r w:rsidR="00870911">
              <w:t>; to</w:t>
            </w:r>
          </w:p>
          <w:p w14:paraId="05AA7E35" w14:textId="77777777" w:rsidR="00870911" w:rsidRDefault="00870911" w:rsidP="00870911">
            <w:pPr>
              <w:pStyle w:val="Body"/>
              <w:numPr>
                <w:ilvl w:val="0"/>
                <w:numId w:val="26"/>
              </w:numPr>
            </w:pPr>
            <w:r>
              <w:t>complete reporting of data for each day in the preceding week by 1.00 pm each Monday, or continue to report data each day, at the discretion of the health service, provided all data are reported by 1.00 pm each Monday</w:t>
            </w:r>
          </w:p>
          <w:p w14:paraId="01A1AA5A" w14:textId="7268760E" w:rsidR="00870911" w:rsidRDefault="00870911" w:rsidP="00870911">
            <w:pPr>
              <w:pStyle w:val="Body"/>
            </w:pPr>
            <w:r>
              <w:t>Amend the Reporting guide for existing data item ‘Current operational capacity’ to emphasise that:</w:t>
            </w:r>
          </w:p>
          <w:p w14:paraId="0A4ED56B" w14:textId="77777777" w:rsidR="00870911" w:rsidRDefault="00870911" w:rsidP="00870911">
            <w:pPr>
              <w:pStyle w:val="Body"/>
              <w:numPr>
                <w:ilvl w:val="0"/>
                <w:numId w:val="28"/>
              </w:numPr>
            </w:pPr>
            <w:r>
              <w:t xml:space="preserve">for DCOR reporting, ‘operational capacity’ is not the same as ‘funded places’; and </w:t>
            </w:r>
          </w:p>
          <w:p w14:paraId="38F31A1D" w14:textId="17B15D23" w:rsidR="00870911" w:rsidRDefault="00870911" w:rsidP="00E07BA6">
            <w:pPr>
              <w:pStyle w:val="Body"/>
              <w:numPr>
                <w:ilvl w:val="0"/>
                <w:numId w:val="28"/>
              </w:numPr>
            </w:pPr>
            <w:r>
              <w:t>that ‘operational capacity’ is to be reported accurately for each date, reflecting changes to staffing and/or equipment capacity, as they occur.</w:t>
            </w:r>
          </w:p>
          <w:p w14:paraId="4C54888F" w14:textId="57CBFB57" w:rsidR="00870911" w:rsidRPr="00AF46BB" w:rsidRDefault="00E07BA6" w:rsidP="00E07BA6">
            <w:pPr>
              <w:pStyle w:val="Body"/>
            </w:pPr>
            <w:r>
              <w:t>A representation of the DCOR form, highlighting the data item changes, is on the next page.</w:t>
            </w:r>
          </w:p>
        </w:tc>
      </w:tr>
      <w:tr w:rsidR="0027348C" w14:paraId="41E3EC05" w14:textId="77777777" w:rsidTr="001B59ED">
        <w:tc>
          <w:tcPr>
            <w:tcW w:w="0" w:type="auto"/>
            <w:shd w:val="clear" w:color="auto" w:fill="auto"/>
          </w:tcPr>
          <w:p w14:paraId="5EAD0A7F" w14:textId="77777777" w:rsidR="00351492" w:rsidRPr="00351492" w:rsidRDefault="00351492" w:rsidP="0022520E">
            <w:pPr>
              <w:pStyle w:val="Body"/>
              <w:rPr>
                <w:rStyle w:val="Strong"/>
              </w:rPr>
            </w:pPr>
            <w:r w:rsidRPr="00351492">
              <w:rPr>
                <w:rStyle w:val="Strong"/>
              </w:rPr>
              <w:t>Data definitions</w:t>
            </w:r>
          </w:p>
        </w:tc>
        <w:tc>
          <w:tcPr>
            <w:tcW w:w="0" w:type="auto"/>
            <w:shd w:val="clear" w:color="auto" w:fill="auto"/>
          </w:tcPr>
          <w:p w14:paraId="2F78A1CC" w14:textId="7BC22F1D" w:rsidR="00351492" w:rsidRDefault="0027348C" w:rsidP="002D153F">
            <w:pPr>
              <w:pStyle w:val="Body"/>
            </w:pPr>
            <w:r>
              <w:t xml:space="preserve">Data definitions are available in the COVID-19 Daily Capacity and Occupancy Register Reporting guidelines, accessible at the </w:t>
            </w:r>
            <w:hyperlink r:id="rId22" w:history="1">
              <w:r w:rsidRPr="0027348C">
                <w:rPr>
                  <w:rStyle w:val="Hyperlink"/>
                </w:rPr>
                <w:t>HDSS website</w:t>
              </w:r>
            </w:hyperlink>
            <w:r>
              <w:t xml:space="preserve"> &lt; </w:t>
            </w:r>
            <w:r w:rsidRPr="0027348C">
              <w:t>https://www.health.vic.gov.au/data-reporting/health-data-standards-and-systems-communications</w:t>
            </w:r>
            <w:r>
              <w:t>&gt; , which</w:t>
            </w:r>
            <w:r w:rsidR="00C55911">
              <w:t xml:space="preserve"> should be read in conjunction with this Specifications document</w:t>
            </w:r>
            <w:r>
              <w:t xml:space="preserve"> until the updated AIMS manual is released</w:t>
            </w:r>
            <w:r w:rsidR="00C55911">
              <w:t>.</w:t>
            </w:r>
          </w:p>
        </w:tc>
      </w:tr>
    </w:tbl>
    <w:p w14:paraId="569CE144" w14:textId="77777777" w:rsidR="00E07BA6" w:rsidRDefault="00E07BA6" w:rsidP="00351492">
      <w:pPr>
        <w:pStyle w:val="Body"/>
        <w:sectPr w:rsidR="00E07BA6" w:rsidSect="002C5B7C">
          <w:headerReference w:type="even" r:id="rId23"/>
          <w:headerReference w:type="default" r:id="rId24"/>
          <w:footerReference w:type="even" r:id="rId25"/>
          <w:footerReference w:type="default" r:id="rId26"/>
          <w:pgSz w:w="11906" w:h="16838" w:code="9"/>
          <w:pgMar w:top="1701" w:right="1304" w:bottom="1418" w:left="1304" w:header="680" w:footer="851" w:gutter="0"/>
          <w:cols w:space="340"/>
          <w:docGrid w:linePitch="360"/>
        </w:sectPr>
      </w:pPr>
    </w:p>
    <w:p w14:paraId="46CE84CA" w14:textId="33889739" w:rsidR="00C55911" w:rsidRDefault="00F6708C" w:rsidP="00F6708C">
      <w:pPr>
        <w:spacing w:after="0" w:line="240" w:lineRule="auto"/>
      </w:pPr>
      <w:r w:rsidRPr="00F6708C">
        <w:rPr>
          <w:noProof/>
        </w:rPr>
        <w:lastRenderedPageBreak/>
        <w:drawing>
          <wp:inline distT="0" distB="0" distL="0" distR="0" wp14:anchorId="7EFF6A71" wp14:editId="3DBABF44">
            <wp:extent cx="8933711" cy="5924550"/>
            <wp:effectExtent l="0" t="0" r="1270" b="0"/>
            <wp:docPr id="4" name="Picture 4" descr="Table representing existing COVID-19 Daily Capacity and Occupancy Register showing 7 columns proposed to be deleted and one proposed new column. Columns proposed to be deleted are titled 'Decommissioned stock', 'Beds occupied by suspected COVID-19 patients', and five columns each reporting different staff categories, under the group title 'Staff capacity impacted by COVID-19'. The proposed new column titled 'Staff capacity impacted by COVID-19 (NEW)' is reported for the same bed categories as the current Staff capacity colum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representing existing COVID-19 Daily Capacity and Occupancy Register showing 7 columns proposed to be deleted and one proposed new column. Columns proposed to be deleted are titled 'Decommissioned stock', 'Beds occupied by suspected COVID-19 patients', and five columns each reporting different staff categories, under the group title 'Staff capacity impacted by COVID-19'. The proposed new column titled 'Staff capacity impacted by COVID-19 (NEW)' is reported for the same bed categories as the current Staff capacity columns. "/>
                    <pic:cNvPicPr/>
                  </pic:nvPicPr>
                  <pic:blipFill>
                    <a:blip r:embed="rId27"/>
                    <a:stretch>
                      <a:fillRect/>
                    </a:stretch>
                  </pic:blipFill>
                  <pic:spPr>
                    <a:xfrm>
                      <a:off x="0" y="0"/>
                      <a:ext cx="8937275" cy="5926914"/>
                    </a:xfrm>
                    <a:prstGeom prst="rect">
                      <a:avLst/>
                    </a:prstGeom>
                  </pic:spPr>
                </pic:pic>
              </a:graphicData>
            </a:graphic>
          </wp:inline>
        </w:drawing>
      </w:r>
    </w:p>
    <w:p w14:paraId="149E5F1F" w14:textId="41EA686A" w:rsidR="00E07BA6" w:rsidRDefault="00E07BA6" w:rsidP="00351492">
      <w:pPr>
        <w:pStyle w:val="Body"/>
        <w:sectPr w:rsidR="00E07BA6" w:rsidSect="002D153F">
          <w:pgSz w:w="16838" w:h="11906" w:orient="landscape" w:code="9"/>
          <w:pgMar w:top="709" w:right="1701" w:bottom="1304" w:left="1418" w:header="680" w:footer="851" w:gutter="0"/>
          <w:cols w:space="340"/>
          <w:docGrid w:linePitch="360"/>
        </w:sectPr>
      </w:pPr>
    </w:p>
    <w:p w14:paraId="6EDB3BB9" w14:textId="30FC28B5" w:rsidR="00314A12" w:rsidRDefault="0000308E" w:rsidP="00314A12">
      <w:pPr>
        <w:pStyle w:val="Heading1"/>
        <w:pageBreakBefore/>
      </w:pPr>
      <w:bookmarkStart w:id="14" w:name="_Toc122001347"/>
      <w:r>
        <w:lastRenderedPageBreak/>
        <w:t xml:space="preserve">Amendment to </w:t>
      </w:r>
      <w:r w:rsidR="00314A12" w:rsidRPr="00314A12">
        <w:t xml:space="preserve">Public Hospital Beds </w:t>
      </w:r>
      <w:r>
        <w:t>(</w:t>
      </w:r>
      <w:r w:rsidRPr="00314A12">
        <w:t>A3</w:t>
      </w:r>
      <w:r>
        <w:t>)</w:t>
      </w:r>
      <w:r w:rsidRPr="00314A12">
        <w:t xml:space="preserve"> </w:t>
      </w:r>
      <w:r w:rsidR="00314A12" w:rsidRPr="00314A12">
        <w:t>form</w:t>
      </w:r>
      <w:bookmarkEnd w:id="14"/>
    </w:p>
    <w:tbl>
      <w:tblPr>
        <w:tblW w:w="0" w:type="auto"/>
        <w:tblLook w:val="04A0" w:firstRow="1" w:lastRow="0" w:firstColumn="1" w:lastColumn="0" w:noHBand="0" w:noVBand="1"/>
      </w:tblPr>
      <w:tblGrid>
        <w:gridCol w:w="1455"/>
        <w:gridCol w:w="7843"/>
      </w:tblGrid>
      <w:tr w:rsidR="004F5E82" w:rsidRPr="00AF46BB" w14:paraId="44B77EF1" w14:textId="77777777" w:rsidTr="004F5E82">
        <w:tc>
          <w:tcPr>
            <w:tcW w:w="0" w:type="auto"/>
            <w:shd w:val="clear" w:color="auto" w:fill="auto"/>
          </w:tcPr>
          <w:p w14:paraId="57C2E921" w14:textId="77777777" w:rsidR="0000308E" w:rsidRPr="00C416C0" w:rsidRDefault="0000308E" w:rsidP="0011347F">
            <w:pPr>
              <w:pStyle w:val="DHHSbody"/>
              <w:rPr>
                <w:rStyle w:val="Strong"/>
              </w:rPr>
            </w:pPr>
            <w:r w:rsidRPr="00C416C0">
              <w:rPr>
                <w:rStyle w:val="Strong"/>
              </w:rPr>
              <w:t>Details of change</w:t>
            </w:r>
          </w:p>
        </w:tc>
        <w:tc>
          <w:tcPr>
            <w:tcW w:w="0" w:type="auto"/>
            <w:shd w:val="clear" w:color="auto" w:fill="auto"/>
          </w:tcPr>
          <w:p w14:paraId="6B7671E0" w14:textId="48EE5C2F" w:rsidR="0000308E" w:rsidRDefault="0000308E" w:rsidP="0011347F">
            <w:pPr>
              <w:pStyle w:val="Tabletext"/>
            </w:pPr>
            <w:r>
              <w:t xml:space="preserve">Amend the </w:t>
            </w:r>
            <w:r w:rsidR="005E0F29">
              <w:t xml:space="preserve">A3 Public Hospital Beds form to collect the number overnight (staffed) specialised palliative care beds separately from the </w:t>
            </w:r>
            <w:r w:rsidR="00540DA5">
              <w:t xml:space="preserve">total </w:t>
            </w:r>
            <w:r w:rsidR="005E0F29">
              <w:t xml:space="preserve">number </w:t>
            </w:r>
            <w:r>
              <w:t xml:space="preserve">of </w:t>
            </w:r>
            <w:r w:rsidR="00540DA5">
              <w:t xml:space="preserve">all </w:t>
            </w:r>
            <w:r w:rsidR="005E0F29">
              <w:t xml:space="preserve">other </w:t>
            </w:r>
            <w:r>
              <w:t xml:space="preserve">subacute beds. </w:t>
            </w:r>
          </w:p>
          <w:p w14:paraId="39FB84E1" w14:textId="4AD4B836" w:rsidR="0000308E" w:rsidRPr="00B8502B" w:rsidRDefault="0000308E" w:rsidP="0011347F">
            <w:pPr>
              <w:pStyle w:val="Tabletext"/>
            </w:pPr>
            <w:r>
              <w:t>Currently the total number of subacute overnight (staffed) beds are collected</w:t>
            </w:r>
            <w:r w:rsidR="005E0F29">
              <w:t xml:space="preserve">, which includes </w:t>
            </w:r>
            <w:r w:rsidR="00540DA5">
              <w:t xml:space="preserve">the number of </w:t>
            </w:r>
            <w:r w:rsidR="005E0F29">
              <w:t>specialised palliative care beds</w:t>
            </w:r>
            <w:r>
              <w:t xml:space="preserve">. </w:t>
            </w:r>
            <w:r w:rsidRPr="00B8502B">
              <w:t>The change requires splitting the subacute beds into two streams:</w:t>
            </w:r>
          </w:p>
          <w:p w14:paraId="012571CD" w14:textId="77777777" w:rsidR="0000308E" w:rsidRPr="00B8502B" w:rsidRDefault="0000308E" w:rsidP="0011347F">
            <w:pPr>
              <w:pStyle w:val="Tablebullet1"/>
            </w:pPr>
            <w:r w:rsidRPr="00B8502B">
              <w:t>Subacute beds (excluding palliative care)</w:t>
            </w:r>
          </w:p>
          <w:p w14:paraId="5C098C0A" w14:textId="77777777" w:rsidR="0000308E" w:rsidRDefault="0000308E" w:rsidP="0011347F">
            <w:pPr>
              <w:pStyle w:val="Tablebullet1"/>
            </w:pPr>
            <w:r w:rsidRPr="00B8502B">
              <w:t>Subacute beds (specialised palliative care)</w:t>
            </w:r>
          </w:p>
          <w:p w14:paraId="655ACD8E" w14:textId="77777777" w:rsidR="005E0F29" w:rsidRDefault="005E0F29" w:rsidP="005E0F29">
            <w:pPr>
              <w:pStyle w:val="Tablebullet1"/>
              <w:numPr>
                <w:ilvl w:val="0"/>
                <w:numId w:val="0"/>
              </w:numPr>
            </w:pPr>
            <w:r>
              <w:t>The</w:t>
            </w:r>
            <w:r w:rsidR="00540DA5">
              <w:t xml:space="preserve"> total of the</w:t>
            </w:r>
            <w:r>
              <w:t xml:space="preserve">se two fields will provide </w:t>
            </w:r>
            <w:r w:rsidR="00540DA5">
              <w:t xml:space="preserve">the number </w:t>
            </w:r>
            <w:r>
              <w:t>of subacute beds, as currently reported.</w:t>
            </w:r>
          </w:p>
          <w:p w14:paraId="148B7295" w14:textId="7FA25482" w:rsidR="009D4078" w:rsidRPr="00AF46BB" w:rsidRDefault="009D4078" w:rsidP="004F5E82">
            <w:pPr>
              <w:pStyle w:val="Tablebullet1"/>
              <w:numPr>
                <w:ilvl w:val="0"/>
                <w:numId w:val="0"/>
              </w:numPr>
            </w:pPr>
            <w:r>
              <w:t>No other change is being made to the reporting parameters or requirements for the A3 form.</w:t>
            </w:r>
          </w:p>
        </w:tc>
      </w:tr>
      <w:tr w:rsidR="004F5E82" w:rsidRPr="00AF46BB" w14:paraId="261A969D" w14:textId="77777777" w:rsidTr="004F5E82">
        <w:tc>
          <w:tcPr>
            <w:tcW w:w="0" w:type="auto"/>
            <w:shd w:val="clear" w:color="auto" w:fill="auto"/>
          </w:tcPr>
          <w:p w14:paraId="4E8DCD76" w14:textId="77777777" w:rsidR="0000308E" w:rsidRPr="00C416C0" w:rsidRDefault="0000308E" w:rsidP="0011347F">
            <w:pPr>
              <w:pStyle w:val="DHHSbody"/>
              <w:rPr>
                <w:rStyle w:val="Strong"/>
              </w:rPr>
            </w:pPr>
            <w:r>
              <w:rPr>
                <w:rStyle w:val="Strong"/>
              </w:rPr>
              <w:t>Data definitions</w:t>
            </w:r>
          </w:p>
        </w:tc>
        <w:tc>
          <w:tcPr>
            <w:tcW w:w="0" w:type="auto"/>
            <w:shd w:val="clear" w:color="auto" w:fill="auto"/>
          </w:tcPr>
          <w:p w14:paraId="31100B39" w14:textId="3A0C5343" w:rsidR="0000308E" w:rsidRPr="00E226BB" w:rsidRDefault="0000308E" w:rsidP="0011347F">
            <w:pPr>
              <w:pStyle w:val="Tabletext"/>
              <w:rPr>
                <w:rStyle w:val="Strong"/>
              </w:rPr>
            </w:pPr>
            <w:r w:rsidRPr="00E226BB">
              <w:rPr>
                <w:rStyle w:val="Strong"/>
              </w:rPr>
              <w:t xml:space="preserve">Subacute beds </w:t>
            </w:r>
            <w:r w:rsidRPr="00E226BB">
              <w:rPr>
                <w:rStyle w:val="Strong"/>
                <w:highlight w:val="green"/>
              </w:rPr>
              <w:t xml:space="preserve">(excluding </w:t>
            </w:r>
            <w:r w:rsidR="00207F15">
              <w:rPr>
                <w:rStyle w:val="Strong"/>
                <w:highlight w:val="green"/>
              </w:rPr>
              <w:t xml:space="preserve">specialised </w:t>
            </w:r>
            <w:r w:rsidRPr="00E226BB">
              <w:rPr>
                <w:rStyle w:val="Strong"/>
                <w:highlight w:val="green"/>
              </w:rPr>
              <w:t>palliative care):</w:t>
            </w:r>
          </w:p>
          <w:p w14:paraId="4F8B5E00" w14:textId="77777777" w:rsidR="0000308E" w:rsidRPr="00B8502B" w:rsidRDefault="0000308E" w:rsidP="0011347F">
            <w:pPr>
              <w:pStyle w:val="Tabletext"/>
            </w:pPr>
            <w:r w:rsidRPr="00B8502B">
              <w:t xml:space="preserve">Beds dedicated </w:t>
            </w:r>
            <w:r>
              <w:t>for</w:t>
            </w:r>
            <w:r w:rsidRPr="00B8502B">
              <w:t xml:space="preserve"> providing subacute services, including rehabilitation, geriatric evaluation and management, </w:t>
            </w:r>
            <w:r w:rsidRPr="00B8502B">
              <w:rPr>
                <w:strike/>
              </w:rPr>
              <w:t>palliative care,</w:t>
            </w:r>
            <w:r>
              <w:t xml:space="preserve"> </w:t>
            </w:r>
            <w:r w:rsidRPr="00B8502B">
              <w:t>geriatric respite and maintenance care. Include on-site beds only.</w:t>
            </w:r>
          </w:p>
          <w:p w14:paraId="30A20D1A" w14:textId="10E8D2BE" w:rsidR="0000308E" w:rsidRPr="00B8502B" w:rsidRDefault="0000308E" w:rsidP="0011347F">
            <w:pPr>
              <w:pStyle w:val="Tabletext"/>
            </w:pPr>
            <w:r w:rsidRPr="00B8502B">
              <w:t>Exclude</w:t>
            </w:r>
            <w:r w:rsidR="004F5E82">
              <w:t xml:space="preserve"> Subacute specialised palliative care beds, </w:t>
            </w:r>
            <w:r w:rsidRPr="00B8502B">
              <w:t>hospital in the home (HITH), rehabilitation in the home (RITH), transition care beds, Transition Support Unit (TSU) beds, off-site maintenance care beds, residential nursing home, hostel and other non-acute residential beds.</w:t>
            </w:r>
          </w:p>
          <w:p w14:paraId="53DD75E3" w14:textId="77777777" w:rsidR="0000308E" w:rsidRPr="00E226BB" w:rsidRDefault="0000308E" w:rsidP="0011347F">
            <w:pPr>
              <w:pStyle w:val="Tabletext"/>
              <w:rPr>
                <w:rStyle w:val="Strong"/>
                <w:highlight w:val="green"/>
              </w:rPr>
            </w:pPr>
            <w:r w:rsidRPr="00E226BB">
              <w:rPr>
                <w:rStyle w:val="Strong"/>
                <w:highlight w:val="green"/>
              </w:rPr>
              <w:t>Subacute beds (specialised palliative care):</w:t>
            </w:r>
          </w:p>
          <w:p w14:paraId="72005E54" w14:textId="77777777" w:rsidR="0000308E" w:rsidRPr="0036093E" w:rsidRDefault="0000308E" w:rsidP="0011347F">
            <w:pPr>
              <w:pStyle w:val="Tabletext"/>
              <w:rPr>
                <w:highlight w:val="green"/>
              </w:rPr>
            </w:pPr>
            <w:r w:rsidRPr="0036093E">
              <w:rPr>
                <w:highlight w:val="green"/>
              </w:rPr>
              <w:t xml:space="preserve">Overnight beds dedicated for providing </w:t>
            </w:r>
            <w:r w:rsidRPr="000A4552">
              <w:rPr>
                <w:highlight w:val="green"/>
              </w:rPr>
              <w:t>inpatient</w:t>
            </w:r>
            <w:r w:rsidRPr="0036093E">
              <w:rPr>
                <w:highlight w:val="green"/>
              </w:rPr>
              <w:t xml:space="preserve"> palliative care. </w:t>
            </w:r>
          </w:p>
          <w:p w14:paraId="132FA6B1" w14:textId="23132D99" w:rsidR="0000308E" w:rsidRDefault="0000308E" w:rsidP="0011347F">
            <w:pPr>
              <w:pStyle w:val="Tabletext"/>
            </w:pPr>
            <w:r w:rsidRPr="0036093E">
              <w:rPr>
                <w:highlight w:val="green"/>
              </w:rPr>
              <w:t>Exclude admitted palliative care at home</w:t>
            </w:r>
            <w:r w:rsidRPr="00606A2B">
              <w:rPr>
                <w:highlight w:val="green"/>
              </w:rPr>
              <w:t>, same day beds,</w:t>
            </w:r>
            <w:r w:rsidR="00606A2B">
              <w:rPr>
                <w:highlight w:val="green"/>
              </w:rPr>
              <w:t xml:space="preserve"> </w:t>
            </w:r>
            <w:r w:rsidRPr="0036093E">
              <w:rPr>
                <w:highlight w:val="green"/>
              </w:rPr>
              <w:t>and other subacute beds.</w:t>
            </w:r>
          </w:p>
        </w:tc>
      </w:tr>
    </w:tbl>
    <w:p w14:paraId="6D35592C" w14:textId="71C48ACF" w:rsidR="0000308E" w:rsidRDefault="0000308E" w:rsidP="0000308E">
      <w:pPr>
        <w:pStyle w:val="Tablecaption"/>
      </w:pPr>
      <w:r w:rsidRPr="0000308E">
        <w:t>Sample A3 form showing amendments</w:t>
      </w:r>
    </w:p>
    <w:p w14:paraId="06404D31" w14:textId="6BDE0E51" w:rsidR="00184B06" w:rsidRDefault="00184B06" w:rsidP="00606A2B">
      <w:pPr>
        <w:pStyle w:val="Body"/>
        <w:ind w:left="1560" w:hanging="1560"/>
        <w:rPr>
          <w:b/>
          <w:bCs/>
        </w:rPr>
      </w:pPr>
      <w:r>
        <w:rPr>
          <w:noProof/>
        </w:rPr>
        <w:drawing>
          <wp:inline distT="0" distB="0" distL="0" distR="0" wp14:anchorId="40D81823" wp14:editId="341B519E">
            <wp:extent cx="5749647" cy="2381250"/>
            <wp:effectExtent l="0" t="0" r="3810" b="0"/>
            <wp:docPr id="5" name="Picture 5" descr="Table representing changes to the AIMS A3 Public Hospital Beds form, showing the row 'Subacute' crossed through and 2 new rows, titled 'Subacute (excluding palliative care)' and 'Subacute (specialised palliative care)' with spaces to report the number of beds for each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representing changes to the AIMS A3 Public Hospital Beds form, showing the row 'Subacute' crossed through and 2 new rows, titled 'Subacute (excluding palliative care)' and 'Subacute (specialised palliative care)' with spaces to report the number of beds for each new row."/>
                    <pic:cNvPicPr/>
                  </pic:nvPicPr>
                  <pic:blipFill rotWithShape="1">
                    <a:blip r:embed="rId28"/>
                    <a:srcRect l="2660" t="39393" r="45934" b="23577"/>
                    <a:stretch/>
                  </pic:blipFill>
                  <pic:spPr bwMode="auto">
                    <a:xfrm>
                      <a:off x="0" y="0"/>
                      <a:ext cx="5797240" cy="2400961"/>
                    </a:xfrm>
                    <a:prstGeom prst="rect">
                      <a:avLst/>
                    </a:prstGeom>
                    <a:ln>
                      <a:noFill/>
                    </a:ln>
                    <a:extLst>
                      <a:ext uri="{53640926-AAD7-44D8-BBD7-CCE9431645EC}">
                        <a14:shadowObscured xmlns:a14="http://schemas.microsoft.com/office/drawing/2010/main"/>
                      </a:ext>
                    </a:extLst>
                  </pic:spPr>
                </pic:pic>
              </a:graphicData>
            </a:graphic>
          </wp:inline>
        </w:drawing>
      </w:r>
    </w:p>
    <w:p w14:paraId="0684D024" w14:textId="7CAFFB15" w:rsidR="00324AB6" w:rsidRPr="00324AB6" w:rsidRDefault="00324AB6" w:rsidP="00606A2B">
      <w:pPr>
        <w:pStyle w:val="Body"/>
        <w:ind w:left="1560" w:hanging="1560"/>
      </w:pPr>
      <w:r>
        <w:rPr>
          <w:b/>
          <w:bCs/>
        </w:rPr>
        <w:t>Validation:</w:t>
      </w:r>
      <w:r>
        <w:rPr>
          <w:b/>
          <w:bCs/>
        </w:rPr>
        <w:tab/>
      </w:r>
      <w:r>
        <w:t xml:space="preserve">Total subacute beds will be a derived value: it will be the sum of Subacute (excluding </w:t>
      </w:r>
      <w:r w:rsidR="00207F15">
        <w:t xml:space="preserve">specialised </w:t>
      </w:r>
      <w:r>
        <w:t>palliative care) and Subacute (specialised palliative care)</w:t>
      </w:r>
    </w:p>
    <w:p w14:paraId="0087F831" w14:textId="77777777" w:rsidR="00351492" w:rsidRDefault="00351492" w:rsidP="00351492">
      <w:pPr>
        <w:pStyle w:val="Heading1"/>
      </w:pPr>
      <w:bookmarkStart w:id="15" w:name="_Toc122001348"/>
      <w:r>
        <w:lastRenderedPageBreak/>
        <w:t>New collection – Statutory Duty of Candour (SDC)</w:t>
      </w:r>
      <w:bookmarkEnd w:id="15"/>
    </w:p>
    <w:tbl>
      <w:tblPr>
        <w:tblW w:w="0" w:type="auto"/>
        <w:tblInd w:w="-322" w:type="dxa"/>
        <w:tblLook w:val="04A0" w:firstRow="1" w:lastRow="0" w:firstColumn="1" w:lastColumn="0" w:noHBand="0" w:noVBand="1"/>
      </w:tblPr>
      <w:tblGrid>
        <w:gridCol w:w="1434"/>
        <w:gridCol w:w="8186"/>
      </w:tblGrid>
      <w:tr w:rsidR="00DF49AE" w:rsidRPr="00AF46BB" w14:paraId="759F57B0" w14:textId="77777777" w:rsidTr="0022520E">
        <w:tc>
          <w:tcPr>
            <w:tcW w:w="0" w:type="auto"/>
            <w:shd w:val="clear" w:color="auto" w:fill="auto"/>
          </w:tcPr>
          <w:p w14:paraId="13696821" w14:textId="77777777" w:rsidR="00C55911" w:rsidRPr="00351492" w:rsidRDefault="00C55911" w:rsidP="0022520E">
            <w:pPr>
              <w:pStyle w:val="Body"/>
              <w:rPr>
                <w:rStyle w:val="Strong"/>
              </w:rPr>
            </w:pPr>
            <w:r w:rsidRPr="00351492">
              <w:rPr>
                <w:rStyle w:val="Strong"/>
              </w:rPr>
              <w:t>Details of change</w:t>
            </w:r>
          </w:p>
        </w:tc>
        <w:tc>
          <w:tcPr>
            <w:tcW w:w="0" w:type="auto"/>
            <w:shd w:val="clear" w:color="auto" w:fill="auto"/>
          </w:tcPr>
          <w:p w14:paraId="4DCC80CC" w14:textId="38DFEE2B" w:rsidR="00C55911" w:rsidRDefault="00C55911" w:rsidP="00BF7E71">
            <w:pPr>
              <w:pStyle w:val="Body"/>
            </w:pPr>
            <w:r>
              <w:t>Introduce a new data collection to report Statutory Duty of Candour (SDC).</w:t>
            </w:r>
          </w:p>
          <w:p w14:paraId="73794C6C" w14:textId="2B92DDA0" w:rsidR="00C55911" w:rsidRDefault="00AA3177" w:rsidP="00BF7E71">
            <w:pPr>
              <w:pStyle w:val="Body"/>
            </w:pPr>
            <w:r>
              <w:t>Effective from 30 November 2022, t</w:t>
            </w:r>
            <w:r w:rsidR="002D153F">
              <w:t>he Health Legislation Amendment (Quality and Safety) Act 2022</w:t>
            </w:r>
            <w:r w:rsidR="00EF3C55">
              <w:t xml:space="preserve">, </w:t>
            </w:r>
            <w:r w:rsidR="002D153F">
              <w:t>requir</w:t>
            </w:r>
            <w:r>
              <w:t>es</w:t>
            </w:r>
            <w:r w:rsidR="002D153F">
              <w:t xml:space="preserve"> </w:t>
            </w:r>
            <w:r>
              <w:t xml:space="preserve">relevant </w:t>
            </w:r>
            <w:r w:rsidR="002D153F">
              <w:t>health service</w:t>
            </w:r>
            <w:r>
              <w:t xml:space="preserve"> entities</w:t>
            </w:r>
            <w:r w:rsidR="002D153F">
              <w:t xml:space="preserve"> to undertake Statutory Duty of Candour (SDC) processes </w:t>
            </w:r>
            <w:r>
              <w:t xml:space="preserve">within 50-75 working days of the occurrence of </w:t>
            </w:r>
            <w:r w:rsidR="002D153F">
              <w:t>a ‘serious adverse patient safety event’ (SAPSE).</w:t>
            </w:r>
            <w:r w:rsidR="00EF3C55">
              <w:t xml:space="preserve"> </w:t>
            </w:r>
          </w:p>
          <w:p w14:paraId="0670516D" w14:textId="44D2AF0D" w:rsidR="00AA3177" w:rsidRDefault="00AA3177" w:rsidP="00BF7E71">
            <w:pPr>
              <w:pStyle w:val="Body"/>
            </w:pPr>
            <w:r>
              <w:t>The SDC builds on the mandatory obligations of the Australian Open Disclosure Framework, ensuring patients, their families or carers are apologised to and communicated with openly and honestly when a SAPSE has occurred.</w:t>
            </w:r>
          </w:p>
          <w:p w14:paraId="47D62412" w14:textId="77777777" w:rsidR="00CF0B00" w:rsidRDefault="00CF0B00" w:rsidP="00BF7E71">
            <w:pPr>
              <w:pStyle w:val="Body"/>
            </w:pPr>
            <w:r>
              <w:t>The SDC data collection will report key performance metrics to allow relevant health service entities to monitor compliance with their legal obligations. Safer Care Victoria will monitor the uptake of SDC practice using this data collection.</w:t>
            </w:r>
          </w:p>
          <w:p w14:paraId="5F484FA0" w14:textId="50B774D8" w:rsidR="00CF0B00" w:rsidRDefault="008E26C3" w:rsidP="00BF7E71">
            <w:pPr>
              <w:pStyle w:val="Body"/>
            </w:pPr>
            <w:r>
              <w:t>For SAPSE events occurring on and from 1 January 2023, reporting of SDC processes is voluntary/optional. For SAPSEs occurring on and from 1 July 2023, reporting of SDC aligned performance measures is mandatory for r</w:t>
            </w:r>
            <w:r w:rsidR="00AA3177">
              <w:t>elevant health service entities.</w:t>
            </w:r>
            <w:r>
              <w:t xml:space="preserve"> </w:t>
            </w:r>
          </w:p>
          <w:p w14:paraId="290A75A3" w14:textId="5E6D083E" w:rsidR="002A0797" w:rsidRPr="002A0797" w:rsidRDefault="002A0797" w:rsidP="0022520E">
            <w:pPr>
              <w:pStyle w:val="Body"/>
              <w:rPr>
                <w:b/>
                <w:bCs/>
              </w:rPr>
            </w:pPr>
            <w:r>
              <w:rPr>
                <w:b/>
                <w:bCs/>
              </w:rPr>
              <w:t>Agencies to report to SDC:</w:t>
            </w:r>
          </w:p>
          <w:p w14:paraId="02809837" w14:textId="77777777" w:rsidR="002A0797" w:rsidRPr="00BF7E71" w:rsidRDefault="002A0797" w:rsidP="00BF7E71">
            <w:pPr>
              <w:pStyle w:val="Body"/>
            </w:pPr>
            <w:r w:rsidRPr="00DC10DE">
              <w:t xml:space="preserve">The </w:t>
            </w:r>
            <w:r w:rsidRPr="00BF7E71">
              <w:t>scope of the SDC includes relevant ‘health service entities’:</w:t>
            </w:r>
          </w:p>
          <w:p w14:paraId="1A5C1C32" w14:textId="77777777" w:rsidR="002A0797" w:rsidRPr="00BF7E71" w:rsidRDefault="002A0797" w:rsidP="00BF7E71">
            <w:pPr>
              <w:pStyle w:val="Body"/>
              <w:numPr>
                <w:ilvl w:val="0"/>
                <w:numId w:val="36"/>
              </w:numPr>
            </w:pPr>
            <w:r w:rsidRPr="00BF7E71">
              <w:t>a public health service</w:t>
            </w:r>
          </w:p>
          <w:p w14:paraId="5AB27611" w14:textId="77777777" w:rsidR="002A0797" w:rsidRPr="00BF7E71" w:rsidRDefault="002A0797" w:rsidP="00BF7E71">
            <w:pPr>
              <w:pStyle w:val="Body"/>
              <w:numPr>
                <w:ilvl w:val="0"/>
                <w:numId w:val="36"/>
              </w:numPr>
            </w:pPr>
            <w:r w:rsidRPr="00BF7E71">
              <w:t>a public hospital</w:t>
            </w:r>
          </w:p>
          <w:p w14:paraId="0B685B19" w14:textId="77777777" w:rsidR="002A0797" w:rsidRPr="00BF7E71" w:rsidRDefault="002A0797" w:rsidP="00BF7E71">
            <w:pPr>
              <w:pStyle w:val="Body"/>
              <w:numPr>
                <w:ilvl w:val="0"/>
                <w:numId w:val="36"/>
              </w:numPr>
            </w:pPr>
            <w:r w:rsidRPr="00BF7E71">
              <w:t>a multi purpose service</w:t>
            </w:r>
          </w:p>
          <w:p w14:paraId="3D7B774B" w14:textId="77777777" w:rsidR="002A0797" w:rsidRPr="00BF7E71" w:rsidRDefault="002A0797" w:rsidP="00BF7E71">
            <w:pPr>
              <w:pStyle w:val="Body"/>
              <w:numPr>
                <w:ilvl w:val="0"/>
                <w:numId w:val="36"/>
              </w:numPr>
            </w:pPr>
            <w:r w:rsidRPr="00BF7E71">
              <w:t>a denominational hospital</w:t>
            </w:r>
          </w:p>
          <w:p w14:paraId="449C4E57" w14:textId="77777777" w:rsidR="002A0797" w:rsidRPr="00BF7E71" w:rsidRDefault="002A0797" w:rsidP="00BF7E71">
            <w:pPr>
              <w:pStyle w:val="Body"/>
              <w:numPr>
                <w:ilvl w:val="0"/>
                <w:numId w:val="36"/>
              </w:numPr>
            </w:pPr>
            <w:r w:rsidRPr="00BF7E71">
              <w:t>a private hospital</w:t>
            </w:r>
          </w:p>
          <w:p w14:paraId="3B762E22" w14:textId="77777777" w:rsidR="002A0797" w:rsidRPr="00BF7E71" w:rsidRDefault="002A0797" w:rsidP="00BF7E71">
            <w:pPr>
              <w:pStyle w:val="Body"/>
              <w:numPr>
                <w:ilvl w:val="0"/>
                <w:numId w:val="36"/>
              </w:numPr>
            </w:pPr>
            <w:r w:rsidRPr="00BF7E71">
              <w:t>a day procedure centre</w:t>
            </w:r>
          </w:p>
          <w:p w14:paraId="3FD48F9D" w14:textId="77777777" w:rsidR="002A0797" w:rsidRPr="00BF7E71" w:rsidRDefault="002A0797" w:rsidP="00BF7E71">
            <w:pPr>
              <w:pStyle w:val="Body"/>
              <w:numPr>
                <w:ilvl w:val="0"/>
                <w:numId w:val="36"/>
              </w:numPr>
            </w:pPr>
            <w:r w:rsidRPr="00BF7E71">
              <w:t>an ambulance service within the meaning of the Ambulance Services Act 1986</w:t>
            </w:r>
          </w:p>
          <w:p w14:paraId="58965BE4" w14:textId="77777777" w:rsidR="002A0797" w:rsidRPr="00BF7E71" w:rsidRDefault="002A0797" w:rsidP="00BF7E71">
            <w:pPr>
              <w:pStyle w:val="Body"/>
              <w:numPr>
                <w:ilvl w:val="0"/>
                <w:numId w:val="36"/>
              </w:numPr>
            </w:pPr>
            <w:r w:rsidRPr="00BF7E71">
              <w:t>a non-emergency patient transport service within the meaning of the Non-Emergency Patient Transport and First Aid Services Act 2003, and</w:t>
            </w:r>
          </w:p>
          <w:p w14:paraId="1B501C36" w14:textId="77777777" w:rsidR="002A0797" w:rsidRPr="00DC10DE" w:rsidRDefault="002A0797" w:rsidP="00BF7E71">
            <w:pPr>
              <w:pStyle w:val="Body"/>
              <w:numPr>
                <w:ilvl w:val="0"/>
                <w:numId w:val="36"/>
              </w:numPr>
            </w:pPr>
            <w:r w:rsidRPr="00BF7E71">
              <w:t>the Victorian Institute of Forensic Mental Health established by section 328 of the</w:t>
            </w:r>
            <w:r w:rsidRPr="00DC10DE">
              <w:t xml:space="preserve"> </w:t>
            </w:r>
            <w:r w:rsidRPr="00DC10DE">
              <w:rPr>
                <w:i/>
                <w:iCs/>
              </w:rPr>
              <w:t>Mental Health Act 2014.</w:t>
            </w:r>
          </w:p>
          <w:p w14:paraId="78A64E03" w14:textId="77777777" w:rsidR="002A0797" w:rsidRDefault="002A0797" w:rsidP="00CF0B00">
            <w:pPr>
              <w:pStyle w:val="Body"/>
              <w:rPr>
                <w:b/>
                <w:bCs/>
              </w:rPr>
            </w:pPr>
            <w:r>
              <w:rPr>
                <w:b/>
                <w:bCs/>
              </w:rPr>
              <w:t>Agency level for SDC reporting:</w:t>
            </w:r>
          </w:p>
          <w:p w14:paraId="39CC19D8" w14:textId="41A52C6E" w:rsidR="000C4875" w:rsidRDefault="00CF0B00" w:rsidP="00CF0B00">
            <w:pPr>
              <w:pStyle w:val="Body"/>
            </w:pPr>
            <w:r>
              <w:t>SDC data is to be reported</w:t>
            </w:r>
            <w:r w:rsidR="000C4875">
              <w:t>:</w:t>
            </w:r>
          </w:p>
          <w:p w14:paraId="43A797D4" w14:textId="16BABA5F" w:rsidR="000C4875" w:rsidRPr="00BF7E71" w:rsidRDefault="00CF0B00" w:rsidP="00BF7E71">
            <w:pPr>
              <w:pStyle w:val="Body"/>
              <w:numPr>
                <w:ilvl w:val="0"/>
                <w:numId w:val="37"/>
              </w:numPr>
            </w:pPr>
            <w:r>
              <w:t xml:space="preserve">at campus </w:t>
            </w:r>
            <w:r w:rsidRPr="00BF7E71">
              <w:t xml:space="preserve">level for </w:t>
            </w:r>
            <w:r w:rsidR="002A0797" w:rsidRPr="00BF7E71">
              <w:t>Victorian public hospitals and health services, including denominational and multi-purpose hospitals,</w:t>
            </w:r>
            <w:r w:rsidR="000C4875" w:rsidRPr="00BF7E71">
              <w:t xml:space="preserve"> and </w:t>
            </w:r>
            <w:r w:rsidR="002A0797" w:rsidRPr="00BF7E71">
              <w:t xml:space="preserve">private hospitals and </w:t>
            </w:r>
            <w:r w:rsidR="000C4875" w:rsidRPr="00BF7E71">
              <w:t>registered day procedure centres</w:t>
            </w:r>
          </w:p>
          <w:p w14:paraId="143F4969" w14:textId="69EA2453" w:rsidR="00CF0B00" w:rsidRDefault="000C4875" w:rsidP="00BF7E71">
            <w:pPr>
              <w:pStyle w:val="Body"/>
              <w:numPr>
                <w:ilvl w:val="0"/>
                <w:numId w:val="37"/>
              </w:numPr>
            </w:pPr>
            <w:r w:rsidRPr="00BF7E71">
              <w:lastRenderedPageBreak/>
              <w:t>at whole-of-entity level for</w:t>
            </w:r>
            <w:r w:rsidR="00CF0B00" w:rsidRPr="00BF7E71">
              <w:t xml:space="preserve"> </w:t>
            </w:r>
            <w:r w:rsidR="002A0797" w:rsidRPr="00BF7E71">
              <w:t xml:space="preserve">those other </w:t>
            </w:r>
            <w:r w:rsidR="00CF0B00" w:rsidRPr="00BF7E71">
              <w:t>health service entities that are not hospitals or registered day procedure centres, but which are required to undertake SDC processes</w:t>
            </w:r>
            <w:r w:rsidR="00CF0B00">
              <w:t xml:space="preserve"> under the legislation</w:t>
            </w:r>
          </w:p>
          <w:p w14:paraId="5A84A977" w14:textId="5F275507" w:rsidR="002A0797" w:rsidRPr="002A0797" w:rsidRDefault="002A0797" w:rsidP="002A0797">
            <w:pPr>
              <w:pStyle w:val="Body"/>
              <w:rPr>
                <w:b/>
                <w:bCs/>
              </w:rPr>
            </w:pPr>
            <w:r>
              <w:rPr>
                <w:b/>
                <w:bCs/>
              </w:rPr>
              <w:t>Reporting due date, frequency and period:</w:t>
            </w:r>
          </w:p>
          <w:p w14:paraId="2D855C9B" w14:textId="77777777" w:rsidR="002A0797" w:rsidRDefault="002A0797" w:rsidP="002A0797">
            <w:pPr>
              <w:pStyle w:val="Body"/>
            </w:pPr>
            <w:r>
              <w:t>SDC data is to be reported:</w:t>
            </w:r>
          </w:p>
          <w:p w14:paraId="27E9AD70" w14:textId="77777777" w:rsidR="002A0797" w:rsidRDefault="000C4875" w:rsidP="000C4875">
            <w:pPr>
              <w:pStyle w:val="Body"/>
              <w:numPr>
                <w:ilvl w:val="0"/>
                <w:numId w:val="30"/>
              </w:numPr>
            </w:pPr>
            <w:r>
              <w:t>at quarterly intervals</w:t>
            </w:r>
          </w:p>
          <w:p w14:paraId="630F718F" w14:textId="43AD45DA" w:rsidR="000C4875" w:rsidRDefault="000C4875" w:rsidP="000C4875">
            <w:pPr>
              <w:pStyle w:val="Body"/>
              <w:numPr>
                <w:ilvl w:val="0"/>
                <w:numId w:val="30"/>
              </w:numPr>
            </w:pPr>
            <w:r>
              <w:t>by the 14</w:t>
            </w:r>
            <w:r w:rsidRPr="000C4875">
              <w:rPr>
                <w:vertAlign w:val="superscript"/>
              </w:rPr>
              <w:t>th</w:t>
            </w:r>
            <w:r>
              <w:t xml:space="preserve"> day of the month after the end of each calendar quarter</w:t>
            </w:r>
            <w:r w:rsidR="002A0797">
              <w:t xml:space="preserve"> (eg by 14 July for SDCs occurring between 1 January and 31 March inclusive) </w:t>
            </w:r>
          </w:p>
          <w:p w14:paraId="113E2282" w14:textId="19633C2A" w:rsidR="000C4875" w:rsidRDefault="000C4875" w:rsidP="000C4875">
            <w:pPr>
              <w:pStyle w:val="Body"/>
              <w:numPr>
                <w:ilvl w:val="0"/>
                <w:numId w:val="30"/>
              </w:numPr>
            </w:pPr>
            <w:r>
              <w:t>for SAPSEs that occur in one quarter and the SDCs conducted in that quarter and the following quarter, arising from those SAPSEs</w:t>
            </w:r>
          </w:p>
          <w:p w14:paraId="3FB49706" w14:textId="4EA83180" w:rsidR="009F1C8B" w:rsidRDefault="009F1C8B" w:rsidP="009F1C8B">
            <w:pPr>
              <w:pStyle w:val="Body"/>
            </w:pPr>
            <w:r>
              <w:t>Reporting will be voluntary/optional initially, with mandatory reporting to begin with SAPSEs occurring from 1 July 202</w:t>
            </w:r>
            <w:r w:rsidR="006B5EA8">
              <w:t>3</w:t>
            </w:r>
            <w:r>
              <w:t>:</w:t>
            </w:r>
          </w:p>
          <w:p w14:paraId="3EF79E09" w14:textId="7C3AD57E" w:rsidR="009F1C8B" w:rsidRDefault="009F1C8B" w:rsidP="000C4875">
            <w:pPr>
              <w:pStyle w:val="Body"/>
              <w:numPr>
                <w:ilvl w:val="0"/>
                <w:numId w:val="30"/>
              </w:numPr>
            </w:pPr>
            <w:r>
              <w:t>Voluntary/optional reporting can commence for SAPSEs occurring in January to March 2023, and SDCs for these conducted during January to June 2023, to be reported by 14 July 2023;</w:t>
            </w:r>
          </w:p>
          <w:p w14:paraId="44391C4B" w14:textId="7E1887FD" w:rsidR="009F1C8B" w:rsidRDefault="009F1C8B" w:rsidP="000C4875">
            <w:pPr>
              <w:pStyle w:val="Body"/>
              <w:numPr>
                <w:ilvl w:val="0"/>
                <w:numId w:val="30"/>
              </w:numPr>
            </w:pPr>
            <w:r>
              <w:t xml:space="preserve">Voluntary/optional reporting can also be submitted for SAPSEs occurring in April to June 2023, and SDCs for these conducted during </w:t>
            </w:r>
            <w:r w:rsidR="006B5EA8">
              <w:t>April to September 2023, to be reported by 14 October 2023;</w:t>
            </w:r>
          </w:p>
          <w:p w14:paraId="3DCE35D6" w14:textId="4D634069" w:rsidR="004B4A4C" w:rsidRDefault="009F1C8B" w:rsidP="009F1C8B">
            <w:pPr>
              <w:pStyle w:val="Body"/>
              <w:numPr>
                <w:ilvl w:val="0"/>
                <w:numId w:val="30"/>
              </w:numPr>
            </w:pPr>
            <w:r>
              <w:t>Mandatory reporting to commence for SAPSEs occurring in July to September 2023</w:t>
            </w:r>
            <w:r w:rsidR="006B5EA8">
              <w:t>,</w:t>
            </w:r>
            <w:r>
              <w:t xml:space="preserve"> and SDCs for these conducted during July to December 2023</w:t>
            </w:r>
            <w:r w:rsidR="006B5EA8">
              <w:t>,</w:t>
            </w:r>
            <w:r>
              <w:t xml:space="preserve"> to be reported by 14 January 2024</w:t>
            </w:r>
            <w:r w:rsidR="001621B8">
              <w:t>;</w:t>
            </w:r>
          </w:p>
          <w:p w14:paraId="704A55BF" w14:textId="038ECCF3" w:rsidR="009F1C8B" w:rsidRDefault="004B4A4C" w:rsidP="009F1C8B">
            <w:pPr>
              <w:pStyle w:val="Body"/>
              <w:numPr>
                <w:ilvl w:val="0"/>
                <w:numId w:val="30"/>
              </w:numPr>
            </w:pPr>
            <w:r>
              <w:t>Thereafter, mandatory reporting to continue for all relevant agencies for SAPSEs occurring within each calendar quarter, and for the SDCs for those SAPSEs conducted in the six months beginning on the first day of the calendar quarter, to be reported by the 14</w:t>
            </w:r>
            <w:r w:rsidRPr="004B4A4C">
              <w:rPr>
                <w:vertAlign w:val="superscript"/>
              </w:rPr>
              <w:t>th</w:t>
            </w:r>
            <w:r>
              <w:t xml:space="preserve"> day of the month after the end of the six month SDC activity period</w:t>
            </w:r>
            <w:r w:rsidR="006B5EA8">
              <w:t>.</w:t>
            </w:r>
          </w:p>
          <w:p w14:paraId="47D8975A" w14:textId="154CE306" w:rsidR="002A0797" w:rsidRPr="002A0797" w:rsidRDefault="002A0797" w:rsidP="002A0797">
            <w:pPr>
              <w:pStyle w:val="Body"/>
              <w:rPr>
                <w:b/>
                <w:bCs/>
              </w:rPr>
            </w:pPr>
            <w:r>
              <w:rPr>
                <w:b/>
                <w:bCs/>
              </w:rPr>
              <w:t>Data to be reported</w:t>
            </w:r>
          </w:p>
          <w:p w14:paraId="63BEB757" w14:textId="75441902" w:rsidR="000C4875" w:rsidRDefault="000C4875" w:rsidP="000C4875">
            <w:pPr>
              <w:pStyle w:val="Body"/>
              <w:numPr>
                <w:ilvl w:val="0"/>
                <w:numId w:val="30"/>
              </w:numPr>
            </w:pPr>
            <w:r>
              <w:t>for the following metrics:</w:t>
            </w:r>
          </w:p>
          <w:p w14:paraId="508047DA" w14:textId="3CC7D75A" w:rsidR="000C4875" w:rsidRDefault="000C4875" w:rsidP="00484A99">
            <w:pPr>
              <w:pStyle w:val="Body"/>
              <w:numPr>
                <w:ilvl w:val="1"/>
                <w:numId w:val="30"/>
              </w:numPr>
              <w:ind w:left="837" w:hanging="426"/>
            </w:pPr>
            <w:r>
              <w:t>Number of SAPSE</w:t>
            </w:r>
            <w:r w:rsidR="00484A99">
              <w:t xml:space="preserve"> occurring within the 3 month reporting period</w:t>
            </w:r>
          </w:p>
          <w:p w14:paraId="17D76C30" w14:textId="395305D3" w:rsidR="000C4875" w:rsidRDefault="000C4875" w:rsidP="00484A99">
            <w:pPr>
              <w:pStyle w:val="Body"/>
              <w:numPr>
                <w:ilvl w:val="1"/>
                <w:numId w:val="30"/>
              </w:numPr>
              <w:ind w:left="837" w:hanging="426"/>
            </w:pPr>
            <w:r>
              <w:t>For these SAPSE:</w:t>
            </w:r>
          </w:p>
          <w:p w14:paraId="0EC9C5DB" w14:textId="0F4B221E" w:rsidR="000C4875" w:rsidRDefault="000C4875" w:rsidP="00484A99">
            <w:pPr>
              <w:pStyle w:val="Body"/>
              <w:numPr>
                <w:ilvl w:val="2"/>
                <w:numId w:val="30"/>
              </w:numPr>
              <w:ind w:left="978" w:hanging="283"/>
            </w:pPr>
            <w:r>
              <w:t>Instances where SDC was commenced</w:t>
            </w:r>
            <w:r w:rsidR="00484A99">
              <w:t xml:space="preserve"> within the 6 month reporting period</w:t>
            </w:r>
          </w:p>
          <w:p w14:paraId="2B8A2729" w14:textId="33FCD7AB" w:rsidR="000C4875" w:rsidRDefault="000C4875" w:rsidP="00484A99">
            <w:pPr>
              <w:pStyle w:val="Body"/>
              <w:numPr>
                <w:ilvl w:val="2"/>
                <w:numId w:val="30"/>
              </w:numPr>
              <w:ind w:left="978" w:hanging="283"/>
            </w:pPr>
            <w:r>
              <w:t>Instances where SDC was completed</w:t>
            </w:r>
            <w:r w:rsidR="00484A99">
              <w:t xml:space="preserve"> within the 6 month reporting period</w:t>
            </w:r>
          </w:p>
          <w:p w14:paraId="4A709A7F" w14:textId="2D33CDFF" w:rsidR="000C4875" w:rsidRDefault="000C4875" w:rsidP="00484A99">
            <w:pPr>
              <w:pStyle w:val="Body"/>
              <w:numPr>
                <w:ilvl w:val="2"/>
                <w:numId w:val="30"/>
              </w:numPr>
              <w:ind w:left="978" w:hanging="283"/>
            </w:pPr>
            <w:r>
              <w:t xml:space="preserve">Instances where patient opted out of </w:t>
            </w:r>
            <w:r w:rsidR="0074441B">
              <w:t xml:space="preserve">that </w:t>
            </w:r>
            <w:r>
              <w:t>SDC</w:t>
            </w:r>
            <w:r w:rsidR="00484A99">
              <w:t xml:space="preserve"> within the 6 month reporting period</w:t>
            </w:r>
          </w:p>
          <w:p w14:paraId="4C9F7BC4" w14:textId="02147661" w:rsidR="002A0797" w:rsidRDefault="002A0797" w:rsidP="000C4875">
            <w:pPr>
              <w:pStyle w:val="Body"/>
              <w:rPr>
                <w:b/>
                <w:bCs/>
              </w:rPr>
            </w:pPr>
            <w:r>
              <w:rPr>
                <w:b/>
                <w:bCs/>
              </w:rPr>
              <w:t xml:space="preserve">Other information </w:t>
            </w:r>
            <w:r w:rsidR="00DF49AE">
              <w:rPr>
                <w:b/>
                <w:bCs/>
              </w:rPr>
              <w:t>re</w:t>
            </w:r>
            <w:r>
              <w:rPr>
                <w:b/>
                <w:bCs/>
              </w:rPr>
              <w:t>sources</w:t>
            </w:r>
          </w:p>
          <w:p w14:paraId="25A82395" w14:textId="0F12B00D" w:rsidR="000C4875" w:rsidRDefault="000C4875" w:rsidP="000C4875">
            <w:pPr>
              <w:pStyle w:val="Body"/>
            </w:pPr>
            <w:r>
              <w:t>Health service entities should also refer to relevant regulations for more details of the definitions of SAPSE and SDC.</w:t>
            </w:r>
          </w:p>
          <w:p w14:paraId="37411782" w14:textId="77777777" w:rsidR="002D153F" w:rsidRDefault="00DF49AE" w:rsidP="00DF49AE">
            <w:pPr>
              <w:pStyle w:val="Body"/>
            </w:pPr>
            <w:r>
              <w:lastRenderedPageBreak/>
              <w:t xml:space="preserve">To support health service entities in establishing SDC processes, </w:t>
            </w:r>
            <w:r w:rsidR="002A0797">
              <w:t xml:space="preserve">Safer Care Victoria has compiled </w:t>
            </w:r>
            <w:r>
              <w:t xml:space="preserve">a range of </w:t>
            </w:r>
            <w:hyperlink r:id="rId29" w:history="1">
              <w:r w:rsidR="002A0797" w:rsidRPr="00DF49AE">
                <w:rPr>
                  <w:rStyle w:val="Hyperlink"/>
                </w:rPr>
                <w:t>resources</w:t>
              </w:r>
            </w:hyperlink>
            <w:r w:rsidR="002A0797">
              <w:t xml:space="preserve"> </w:t>
            </w:r>
            <w:r>
              <w:t xml:space="preserve">&lt; </w:t>
            </w:r>
            <w:r w:rsidRPr="00DF49AE">
              <w:t>https://www.safercare.vic.gov.au/support-training/adverse-event-review-and-response/duty-of-candour</w:t>
            </w:r>
            <w:r>
              <w:t>&gt; .</w:t>
            </w:r>
            <w:r w:rsidR="005E10B2">
              <w:t xml:space="preserve"> </w:t>
            </w:r>
          </w:p>
          <w:p w14:paraId="5650D244" w14:textId="742B108E" w:rsidR="005E10B2" w:rsidRPr="00AF46BB" w:rsidRDefault="00B60236" w:rsidP="00DF49AE">
            <w:pPr>
              <w:pStyle w:val="Body"/>
            </w:pPr>
            <w:r>
              <w:t>Q</w:t>
            </w:r>
            <w:r w:rsidR="005E10B2">
              <w:t>uestions regarding definitions</w:t>
            </w:r>
            <w:r>
              <w:t>,</w:t>
            </w:r>
            <w:r w:rsidR="005E10B2">
              <w:t xml:space="preserve"> or data </w:t>
            </w:r>
            <w:r>
              <w:t xml:space="preserve">to be </w:t>
            </w:r>
            <w:r w:rsidR="005E10B2">
              <w:t>reported to the SDC data collection</w:t>
            </w:r>
            <w:r>
              <w:t>,</w:t>
            </w:r>
            <w:r w:rsidR="005E10B2">
              <w:t xml:space="preserve"> </w:t>
            </w:r>
            <w:r>
              <w:t xml:space="preserve">can be directed to the Safer Care Victoria project team </w:t>
            </w:r>
            <w:r w:rsidR="005E10B2">
              <w:t xml:space="preserve">by </w:t>
            </w:r>
            <w:hyperlink r:id="rId30" w:history="1">
              <w:r w:rsidR="005E10B2" w:rsidRPr="005E10B2">
                <w:rPr>
                  <w:rStyle w:val="Hyperlink"/>
                </w:rPr>
                <w:t>email</w:t>
              </w:r>
            </w:hyperlink>
            <w:r w:rsidR="005E10B2">
              <w:t xml:space="preserve"> &lt;</w:t>
            </w:r>
            <w:r w:rsidR="005E10B2" w:rsidRPr="005E10B2">
              <w:t>dutyofcandour@health.vic.gov.au</w:t>
            </w:r>
            <w:r w:rsidR="005E10B2">
              <w:t>&gt;</w:t>
            </w:r>
          </w:p>
        </w:tc>
      </w:tr>
      <w:tr w:rsidR="00DF49AE" w14:paraId="596CA2E8" w14:textId="77777777" w:rsidTr="0022520E">
        <w:tc>
          <w:tcPr>
            <w:tcW w:w="0" w:type="auto"/>
            <w:shd w:val="clear" w:color="auto" w:fill="auto"/>
          </w:tcPr>
          <w:p w14:paraId="7CF3E4BC" w14:textId="6D77A9D1" w:rsidR="00C55911" w:rsidRPr="00351492" w:rsidRDefault="00C55911" w:rsidP="0022520E">
            <w:pPr>
              <w:pStyle w:val="Body"/>
              <w:rPr>
                <w:rStyle w:val="Strong"/>
              </w:rPr>
            </w:pPr>
            <w:r w:rsidRPr="00351492">
              <w:rPr>
                <w:rStyle w:val="Strong"/>
              </w:rPr>
              <w:lastRenderedPageBreak/>
              <w:t>Data definitions</w:t>
            </w:r>
          </w:p>
        </w:tc>
        <w:tc>
          <w:tcPr>
            <w:tcW w:w="0" w:type="auto"/>
            <w:shd w:val="clear" w:color="auto" w:fill="auto"/>
          </w:tcPr>
          <w:p w14:paraId="0E331D8D" w14:textId="79E99B0B" w:rsidR="008E26C3" w:rsidRPr="002A0797" w:rsidRDefault="008E26C3" w:rsidP="00BF7E71">
            <w:pPr>
              <w:pStyle w:val="Body"/>
            </w:pPr>
            <w:r w:rsidRPr="002A0797">
              <w:t>The following data items are to be reported in the SDC form:</w:t>
            </w:r>
          </w:p>
          <w:p w14:paraId="11EDF115" w14:textId="00BCA79C" w:rsidR="008E26C3" w:rsidRPr="00484A99" w:rsidRDefault="008E26C3" w:rsidP="00BF7E71">
            <w:pPr>
              <w:pStyle w:val="Body"/>
              <w:rPr>
                <w:b/>
                <w:bCs/>
              </w:rPr>
            </w:pPr>
            <w:r w:rsidRPr="00484A99">
              <w:rPr>
                <w:b/>
                <w:bCs/>
              </w:rPr>
              <w:t>Number of SAPSE</w:t>
            </w:r>
            <w:r w:rsidR="002A0797">
              <w:rPr>
                <w:b/>
                <w:bCs/>
              </w:rPr>
              <w:t xml:space="preserve"> </w:t>
            </w:r>
          </w:p>
          <w:p w14:paraId="0071B958" w14:textId="2888785C" w:rsidR="008E26C3" w:rsidRDefault="000C4875" w:rsidP="00BF7E71">
            <w:pPr>
              <w:pStyle w:val="Body"/>
              <w:numPr>
                <w:ilvl w:val="0"/>
                <w:numId w:val="35"/>
              </w:numPr>
            </w:pPr>
            <w:r w:rsidRPr="00484A99">
              <w:t>Total number of SAPSE that occurred at the health service within the quarter</w:t>
            </w:r>
          </w:p>
          <w:p w14:paraId="167E398A" w14:textId="59546D58" w:rsidR="002A0797" w:rsidRPr="002A0797" w:rsidRDefault="002A0797" w:rsidP="00BF7E71">
            <w:pPr>
              <w:pStyle w:val="Body"/>
              <w:rPr>
                <w:b/>
                <w:bCs/>
              </w:rPr>
            </w:pPr>
            <w:r>
              <w:rPr>
                <w:b/>
                <w:bCs/>
              </w:rPr>
              <w:t xml:space="preserve">Instances where SDC was commenced </w:t>
            </w:r>
          </w:p>
          <w:p w14:paraId="681162BE" w14:textId="6076AF69" w:rsidR="000C4875" w:rsidRDefault="000C4875" w:rsidP="00BF7E71">
            <w:pPr>
              <w:pStyle w:val="Body"/>
              <w:numPr>
                <w:ilvl w:val="0"/>
                <w:numId w:val="35"/>
              </w:numPr>
            </w:pPr>
            <w:r w:rsidRPr="00484A99">
              <w:t>Of the total number of SAPSE that occurred in the quarter being reported, the total number for which the SDC had commenced with the patient or their next-of-kin/ family/carer by the end of the quarter after the quarter in which the SAPSE occurred</w:t>
            </w:r>
          </w:p>
          <w:p w14:paraId="200973C9" w14:textId="3F786807" w:rsidR="00DF49AE" w:rsidRPr="002A0797" w:rsidRDefault="00DF49AE" w:rsidP="00BF7E71">
            <w:pPr>
              <w:pStyle w:val="Body"/>
              <w:rPr>
                <w:b/>
                <w:bCs/>
              </w:rPr>
            </w:pPr>
            <w:r>
              <w:rPr>
                <w:b/>
                <w:bCs/>
              </w:rPr>
              <w:t xml:space="preserve">Instances where SDC was completed </w:t>
            </w:r>
          </w:p>
          <w:p w14:paraId="62878767" w14:textId="34395189" w:rsidR="000C4875" w:rsidRDefault="000C4875" w:rsidP="00BF7E71">
            <w:pPr>
              <w:pStyle w:val="Body"/>
              <w:numPr>
                <w:ilvl w:val="0"/>
                <w:numId w:val="35"/>
              </w:numPr>
            </w:pPr>
            <w:r w:rsidRPr="00484A99">
              <w:t>Of the total number of SAPSE that occurred in the quarter being reported, the total number for which the SDC had been completed with the patient or their next-of-kin/ family/carer by the end of the quarter after the quarter in which the SAPSE occurred</w:t>
            </w:r>
          </w:p>
          <w:p w14:paraId="49BE9367" w14:textId="161AF39F" w:rsidR="00DF49AE" w:rsidRPr="002A0797" w:rsidRDefault="00DF49AE" w:rsidP="00BF7E71">
            <w:pPr>
              <w:pStyle w:val="Body"/>
              <w:rPr>
                <w:b/>
                <w:bCs/>
              </w:rPr>
            </w:pPr>
            <w:r>
              <w:rPr>
                <w:b/>
                <w:bCs/>
              </w:rPr>
              <w:t xml:space="preserve">Instances where the patient/NOK/carer opted out of the SDC </w:t>
            </w:r>
          </w:p>
          <w:p w14:paraId="339AEC6B" w14:textId="535C6D7A" w:rsidR="002D153F" w:rsidRDefault="000C4875" w:rsidP="00BF7E71">
            <w:pPr>
              <w:pStyle w:val="Body"/>
              <w:numPr>
                <w:ilvl w:val="0"/>
                <w:numId w:val="34"/>
              </w:numPr>
            </w:pPr>
            <w:r w:rsidRPr="00484A99">
              <w:t xml:space="preserve">Of the total number of SAPSE that occurred in the quarter being reported, the total number </w:t>
            </w:r>
            <w:r w:rsidR="00FD7B16">
              <w:t xml:space="preserve">for which the </w:t>
            </w:r>
            <w:r w:rsidRPr="00484A99">
              <w:t>patient or their next-of-kin/ family/carer opted out of the SDC process by the end of the quarter after the quarter in which the SAPSE occurred</w:t>
            </w:r>
          </w:p>
        </w:tc>
      </w:tr>
      <w:tr w:rsidR="00484A99" w14:paraId="39E98AC8" w14:textId="77777777" w:rsidTr="0022520E">
        <w:tc>
          <w:tcPr>
            <w:tcW w:w="0" w:type="auto"/>
            <w:shd w:val="clear" w:color="auto" w:fill="auto"/>
          </w:tcPr>
          <w:p w14:paraId="67AA7768" w14:textId="5D534A21" w:rsidR="008E26C3" w:rsidRPr="00DF49AE" w:rsidRDefault="008E26C3" w:rsidP="0022520E">
            <w:pPr>
              <w:pStyle w:val="Body"/>
              <w:rPr>
                <w:rStyle w:val="Strong"/>
              </w:rPr>
            </w:pPr>
            <w:r w:rsidRPr="00DF49AE">
              <w:rPr>
                <w:rStyle w:val="Strong"/>
              </w:rPr>
              <w:t>Reporting guidelines</w:t>
            </w:r>
          </w:p>
        </w:tc>
        <w:tc>
          <w:tcPr>
            <w:tcW w:w="0" w:type="auto"/>
            <w:shd w:val="clear" w:color="auto" w:fill="auto"/>
          </w:tcPr>
          <w:p w14:paraId="14446999" w14:textId="77777777" w:rsidR="00484A99" w:rsidRPr="00BF7E71" w:rsidRDefault="00484A99" w:rsidP="00BF7E71">
            <w:pPr>
              <w:pStyle w:val="Body"/>
              <w:numPr>
                <w:ilvl w:val="0"/>
                <w:numId w:val="33"/>
              </w:numPr>
            </w:pPr>
            <w:r w:rsidRPr="00BF7E71">
              <w:t>SAPSE will be equivalent to ISR 1 and 2, severe and moderate harm, in the Victorian Health Incident Management System (VHIMS).</w:t>
            </w:r>
          </w:p>
          <w:p w14:paraId="3E416A2D" w14:textId="77777777" w:rsidR="00484A99" w:rsidRPr="00BF7E71" w:rsidRDefault="00484A99" w:rsidP="00BF7E71">
            <w:pPr>
              <w:pStyle w:val="Body"/>
              <w:numPr>
                <w:ilvl w:val="0"/>
                <w:numId w:val="33"/>
              </w:numPr>
            </w:pPr>
            <w:r w:rsidRPr="00BF7E71">
              <w:t xml:space="preserve">To be reported as a SAPSE, the event must meet the definition of SAPSE within relevant regulations under the </w:t>
            </w:r>
            <w:r w:rsidRPr="00BF7E71">
              <w:rPr>
                <w:i/>
                <w:iCs/>
              </w:rPr>
              <w:t>Health Services Act 1988.</w:t>
            </w:r>
          </w:p>
          <w:p w14:paraId="7CBEF5B3" w14:textId="06D53186" w:rsidR="00484A99" w:rsidRPr="00BF7E71" w:rsidRDefault="00484A99" w:rsidP="00BF7E71">
            <w:pPr>
              <w:pStyle w:val="Body"/>
              <w:numPr>
                <w:ilvl w:val="0"/>
                <w:numId w:val="33"/>
              </w:numPr>
            </w:pPr>
            <w:r w:rsidRPr="00BF7E71">
              <w:t>A SAPSE will also be equivalent to valid clinical incidents with ISR 1 &amp; 2, severe and moderate harm in Victorian Health Incident Management System (VHIMS)</w:t>
            </w:r>
          </w:p>
          <w:p w14:paraId="44E4C671" w14:textId="17424807" w:rsidR="00484A99" w:rsidRPr="00BF7E71" w:rsidRDefault="00484A99" w:rsidP="00BF7E71">
            <w:pPr>
              <w:pStyle w:val="Body"/>
              <w:numPr>
                <w:ilvl w:val="0"/>
                <w:numId w:val="33"/>
              </w:numPr>
            </w:pPr>
            <w:r w:rsidRPr="00BF7E71">
              <w:t>Commencement date of SDC must be the date when the SAPSE was identified by the health service entity</w:t>
            </w:r>
          </w:p>
          <w:p w14:paraId="179DC4FB" w14:textId="09D3C618" w:rsidR="00484A99" w:rsidRPr="00BF7E71" w:rsidRDefault="00484A99" w:rsidP="00BF7E71">
            <w:pPr>
              <w:pStyle w:val="Body"/>
              <w:numPr>
                <w:ilvl w:val="0"/>
                <w:numId w:val="33"/>
              </w:numPr>
            </w:pPr>
            <w:r w:rsidRPr="00BF7E71">
              <w:t>Completion date of SDC must be the date the report was provided to the patient/next-of-kin/family/carer</w:t>
            </w:r>
            <w:r w:rsidR="00FD7B16">
              <w:t>.</w:t>
            </w:r>
            <w:r w:rsidRPr="00BF7E71">
              <w:t xml:space="preserve"> ‘</w:t>
            </w:r>
            <w:r w:rsidR="00FD7B16">
              <w:t>C</w:t>
            </w:r>
            <w:r w:rsidRPr="00BF7E71">
              <w:t>omplete’ must be agreed upon between all parties, which could take an extended amount of time</w:t>
            </w:r>
            <w:r w:rsidR="00FD7B16">
              <w:t>.</w:t>
            </w:r>
          </w:p>
          <w:p w14:paraId="11B3CDC4" w14:textId="7ECE0955" w:rsidR="008E26C3" w:rsidRPr="00DF49AE" w:rsidRDefault="00484A99" w:rsidP="00BF7E71">
            <w:pPr>
              <w:pStyle w:val="Body"/>
              <w:numPr>
                <w:ilvl w:val="0"/>
                <w:numId w:val="33"/>
              </w:numPr>
            </w:pPr>
            <w:r w:rsidRPr="00BF7E71">
              <w:t xml:space="preserve">Instances where </w:t>
            </w:r>
            <w:r w:rsidR="00FD7B16">
              <w:t xml:space="preserve">the </w:t>
            </w:r>
            <w:r w:rsidRPr="00BF7E71">
              <w:t xml:space="preserve">patient/next-of-kin/family/carer opted out of the SDC process must be identified by a signed declaration as per the </w:t>
            </w:r>
            <w:r w:rsidRPr="00BF7E71">
              <w:rPr>
                <w:i/>
                <w:iCs/>
              </w:rPr>
              <w:t>Health Services Act 1988</w:t>
            </w:r>
            <w:r w:rsidR="00A16D37">
              <w:rPr>
                <w:i/>
                <w:iCs/>
              </w:rPr>
              <w:t>.</w:t>
            </w:r>
          </w:p>
        </w:tc>
      </w:tr>
      <w:bookmarkEnd w:id="2"/>
    </w:tbl>
    <w:p w14:paraId="7AE2AB5A" w14:textId="77777777" w:rsidR="00BF7E71" w:rsidRDefault="00BF7E71" w:rsidP="00351492">
      <w:pPr>
        <w:pStyle w:val="Body"/>
      </w:pPr>
    </w:p>
    <w:sectPr w:rsidR="00BF7E71" w:rsidSect="002C5B7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14D5" w14:textId="77777777" w:rsidR="00AC30DE" w:rsidRDefault="00AC30DE">
      <w:r>
        <w:separator/>
      </w:r>
    </w:p>
    <w:p w14:paraId="003B101E" w14:textId="77777777" w:rsidR="00AC30DE" w:rsidRDefault="00AC30DE"/>
  </w:endnote>
  <w:endnote w:type="continuationSeparator" w:id="0">
    <w:p w14:paraId="34132FC9" w14:textId="77777777" w:rsidR="00AC30DE" w:rsidRDefault="00AC30DE">
      <w:r>
        <w:continuationSeparator/>
      </w:r>
    </w:p>
    <w:p w14:paraId="5F1D0ACF" w14:textId="77777777" w:rsidR="00AC30DE" w:rsidRDefault="00AC3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2AB633C4" w:rsidR="00EB4BC7" w:rsidRDefault="00E57E9E">
    <w:pPr>
      <w:pStyle w:val="Footer"/>
    </w:pPr>
    <w:r>
      <w:rPr>
        <w:noProof/>
      </w:rPr>
      <mc:AlternateContent>
        <mc:Choice Requires="wps">
          <w:drawing>
            <wp:anchor distT="0" distB="0" distL="114300" distR="114300" simplePos="0" relativeHeight="251707901" behindDoc="0" locked="0" layoutInCell="0" allowOverlap="1" wp14:anchorId="2AECB627" wp14:editId="4CF3C72D">
              <wp:simplePos x="0" y="0"/>
              <wp:positionH relativeFrom="page">
                <wp:align>center</wp:align>
              </wp:positionH>
              <wp:positionV relativeFrom="page">
                <wp:align>bottom</wp:align>
              </wp:positionV>
              <wp:extent cx="7772400" cy="502285"/>
              <wp:effectExtent l="0" t="0" r="0" b="12065"/>
              <wp:wrapNone/>
              <wp:docPr id="18" name="MSIPCM3c5b48b3b4721cde7a517244"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5DAF1" w14:textId="78D527CE"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AECB627" id="_x0000_t202" coordsize="21600,21600" o:spt="202" path="m,l,21600r21600,l21600,xe">
              <v:stroke joinstyle="miter"/>
              <v:path gradientshapeok="t" o:connecttype="rect"/>
            </v:shapetype>
            <v:shape id="MSIPCM3c5b48b3b4721cde7a517244"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70790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665DAF1" w14:textId="78D527CE"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33A346B5" w:rsidR="00431A70" w:rsidRDefault="00E57E9E">
    <w:pPr>
      <w:pStyle w:val="Footer"/>
    </w:pPr>
    <w:r>
      <w:rPr>
        <w:noProof/>
      </w:rPr>
      <mc:AlternateContent>
        <mc:Choice Requires="wps">
          <w:drawing>
            <wp:anchor distT="0" distB="0" distL="114300" distR="114300" simplePos="0" relativeHeight="251707900" behindDoc="0" locked="0" layoutInCell="0" allowOverlap="1" wp14:anchorId="19DC5B02" wp14:editId="3F2CD660">
              <wp:simplePos x="0" y="0"/>
              <wp:positionH relativeFrom="page">
                <wp:align>center</wp:align>
              </wp:positionH>
              <wp:positionV relativeFrom="page">
                <wp:align>bottom</wp:align>
              </wp:positionV>
              <wp:extent cx="7772400" cy="502285"/>
              <wp:effectExtent l="0" t="0" r="0" b="12065"/>
              <wp:wrapNone/>
              <wp:docPr id="17" name="MSIPCM664544b0bba87d9e4ffab2a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F9D96" w14:textId="24D68B73"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DC5B02" id="_x0000_t202" coordsize="21600,21600" o:spt="202" path="m,l,21600r21600,l21600,xe">
              <v:stroke joinstyle="miter"/>
              <v:path gradientshapeok="t" o:connecttype="rect"/>
            </v:shapetype>
            <v:shape id="MSIPCM664544b0bba87d9e4ffab2a3"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7079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08F9D96" w14:textId="24D68B73"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6646861B" w:rsidR="00431A70" w:rsidRDefault="00E57E9E">
    <w:pPr>
      <w:pStyle w:val="Footer"/>
    </w:pPr>
    <w:r>
      <w:rPr>
        <w:noProof/>
      </w:rPr>
      <mc:AlternateContent>
        <mc:Choice Requires="wps">
          <w:drawing>
            <wp:anchor distT="0" distB="0" distL="114300" distR="114300" simplePos="0" relativeHeight="251707902" behindDoc="0" locked="0" layoutInCell="0" allowOverlap="1" wp14:anchorId="3A93B118" wp14:editId="1C6E6AAC">
              <wp:simplePos x="0" y="0"/>
              <wp:positionH relativeFrom="page">
                <wp:align>center</wp:align>
              </wp:positionH>
              <wp:positionV relativeFrom="page">
                <wp:align>bottom</wp:align>
              </wp:positionV>
              <wp:extent cx="7772400" cy="502285"/>
              <wp:effectExtent l="0" t="0" r="0" b="12065"/>
              <wp:wrapNone/>
              <wp:docPr id="19" name="MSIPCM2513489182582b534a852888"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7973D" w14:textId="112C2DD2"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93B118" id="_x0000_t202" coordsize="21600,21600" o:spt="202" path="m,l,21600r21600,l21600,xe">
              <v:stroke joinstyle="miter"/>
              <v:path gradientshapeok="t" o:connecttype="rect"/>
            </v:shapetype>
            <v:shape id="MSIPCM2513489182582b534a852888" o:spid="_x0000_s1029"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7079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8A7973D" w14:textId="112C2DD2"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0902D6E8" w:rsidR="00D63636" w:rsidRDefault="00E57E9E" w:rsidP="005F5A0E">
    <w:pPr>
      <w:pStyle w:val="Footer"/>
      <w:jc w:val="left"/>
    </w:pPr>
    <w:r>
      <w:rPr>
        <w:noProof/>
        <w:lang w:eastAsia="en-AU"/>
      </w:rPr>
      <mc:AlternateContent>
        <mc:Choice Requires="wps">
          <w:drawing>
            <wp:anchor distT="0" distB="0" distL="114300" distR="114300" simplePos="0" relativeHeight="251707904" behindDoc="0" locked="0" layoutInCell="0" allowOverlap="1" wp14:anchorId="4CFB3B4D" wp14:editId="7F36CF58">
              <wp:simplePos x="0" y="0"/>
              <wp:positionH relativeFrom="page">
                <wp:align>center</wp:align>
              </wp:positionH>
              <wp:positionV relativeFrom="page">
                <wp:align>bottom</wp:align>
              </wp:positionV>
              <wp:extent cx="7772400" cy="502285"/>
              <wp:effectExtent l="0" t="0" r="0" b="12065"/>
              <wp:wrapNone/>
              <wp:docPr id="21" name="MSIPCM283c4c8ca09a6cd70afcb91d"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A981B" w14:textId="15687A68"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FB3B4D" id="_x0000_t202" coordsize="21600,21600" o:spt="202" path="m,l,21600r21600,l21600,xe">
              <v:stroke joinstyle="miter"/>
              <v:path gradientshapeok="t" o:connecttype="rect"/>
            </v:shapetype>
            <v:shape id="MSIPCM283c4c8ca09a6cd70afcb91d" o:spid="_x0000_s1030" type="#_x0000_t202" alt="{&quot;HashCode&quot;:904758361,&quot;Height&quot;:9999999.0,&quot;Width&quot;:9999999.0,&quot;Placement&quot;:&quot;Footer&quot;,&quot;Index&quot;:&quot;OddAndEven&quot;,&quot;Section&quot;:3,&quot;Top&quot;:0.0,&quot;Left&quot;:0.0}" style="position:absolute;margin-left:0;margin-top:0;width:612pt;height:39.55pt;z-index:2517079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03DA981B" w14:textId="15687A68"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700736" behindDoc="1" locked="0" layoutInCell="1" allowOverlap="1" wp14:anchorId="6A3793FB" wp14:editId="4655B4A9">
          <wp:simplePos x="0" y="0"/>
          <wp:positionH relativeFrom="column">
            <wp:posOffset>5016500</wp:posOffset>
          </wp:positionH>
          <wp:positionV relativeFrom="paragraph">
            <wp:posOffset>158750</wp:posOffset>
          </wp:positionV>
          <wp:extent cx="1244600" cy="52143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95616" behindDoc="1" locked="1" layoutInCell="1" allowOverlap="1" wp14:anchorId="19DA70E5" wp14:editId="6100841F">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54591EE6" w:rsidR="00431A70" w:rsidRDefault="00E57E9E" w:rsidP="005F5A0E">
    <w:pPr>
      <w:pStyle w:val="Footer"/>
      <w:jc w:val="left"/>
    </w:pPr>
    <w:r>
      <w:rPr>
        <w:noProof/>
        <w:lang w:eastAsia="en-AU"/>
      </w:rPr>
      <mc:AlternateContent>
        <mc:Choice Requires="wps">
          <w:drawing>
            <wp:anchor distT="0" distB="0" distL="114300" distR="114300" simplePos="0" relativeHeight="251707903" behindDoc="0" locked="0" layoutInCell="0" allowOverlap="1" wp14:anchorId="7A0335BE" wp14:editId="6BD97319">
              <wp:simplePos x="0" y="0"/>
              <wp:positionH relativeFrom="page">
                <wp:align>center</wp:align>
              </wp:positionH>
              <wp:positionV relativeFrom="page">
                <wp:align>bottom</wp:align>
              </wp:positionV>
              <wp:extent cx="7772400" cy="502285"/>
              <wp:effectExtent l="0" t="0" r="0" b="12065"/>
              <wp:wrapNone/>
              <wp:docPr id="20" name="MSIPCMf68a44d0a767a5286ada1b85"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8E8294" w14:textId="38405543"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0335BE" id="_x0000_t202" coordsize="21600,21600" o:spt="202" path="m,l,21600r21600,l21600,xe">
              <v:stroke joinstyle="miter"/>
              <v:path gradientshapeok="t" o:connecttype="rect"/>
            </v:shapetype>
            <v:shape id="MSIPCMf68a44d0a767a5286ada1b85" o:spid="_x0000_s1031" type="#_x0000_t202" alt="{&quot;HashCode&quot;:904758361,&quot;Height&quot;:9999999.0,&quot;Width&quot;:9999999.0,&quot;Placement&quot;:&quot;Footer&quot;,&quot;Index&quot;:&quot;Primary&quot;,&quot;Section&quot;:3,&quot;Top&quot;:0.0,&quot;Left&quot;:0.0}" style="position:absolute;margin-left:0;margin-top:0;width:612pt;height:39.55pt;z-index:25170790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558E8294" w14:textId="38405543" w:rsidR="00E57E9E" w:rsidRPr="00023AB3" w:rsidRDefault="00023AB3" w:rsidP="00023AB3">
                    <w:pPr>
                      <w:spacing w:after="0"/>
                      <w:jc w:val="center"/>
                      <w:rPr>
                        <w:rFonts w:ascii="Arial Black" w:hAnsi="Arial Black"/>
                        <w:color w:val="000000"/>
                        <w:sz w:val="20"/>
                      </w:rPr>
                    </w:pPr>
                    <w:r w:rsidRPr="00023AB3">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702784" behindDoc="1" locked="0" layoutInCell="1" allowOverlap="1" wp14:anchorId="44419F8C" wp14:editId="10217E1F">
          <wp:simplePos x="0" y="0"/>
          <wp:positionH relativeFrom="column">
            <wp:posOffset>4991100</wp:posOffset>
          </wp:positionH>
          <wp:positionV relativeFrom="paragraph">
            <wp:posOffset>158750</wp:posOffset>
          </wp:positionV>
          <wp:extent cx="1244600" cy="52143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rPr>
      <w:drawing>
        <wp:anchor distT="0" distB="0" distL="114300" distR="114300" simplePos="0" relativeHeight="251696640"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F5D1" w14:textId="77777777" w:rsidR="00AC30DE" w:rsidRDefault="00AC30DE" w:rsidP="00207717">
      <w:pPr>
        <w:spacing w:before="120"/>
      </w:pPr>
      <w:r>
        <w:separator/>
      </w:r>
    </w:p>
  </w:footnote>
  <w:footnote w:type="continuationSeparator" w:id="0">
    <w:p w14:paraId="59C1DC10" w14:textId="77777777" w:rsidR="00AC30DE" w:rsidRDefault="00AC30DE">
      <w:r>
        <w:continuationSeparator/>
      </w:r>
    </w:p>
    <w:p w14:paraId="7D242C8C" w14:textId="77777777" w:rsidR="00AC30DE" w:rsidRDefault="00AC3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8AD9" w14:textId="77777777" w:rsidR="00023AB3" w:rsidRDefault="00023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FC39" w14:textId="77777777" w:rsidR="00023AB3" w:rsidRDefault="00023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CAC2" w14:textId="77777777" w:rsidR="00023AB3" w:rsidRDefault="00023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04554719"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97664" behindDoc="1" locked="1" layoutInCell="1" allowOverlap="1" wp14:anchorId="45FC8374" wp14:editId="52FF188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DF745A">
      <w:t>Specifications</w:t>
    </w:r>
    <w:r w:rsidR="00CF6E12" w:rsidRPr="00CF6E12">
      <w:t xml:space="preserve"> for revision</w:t>
    </w:r>
    <w:r w:rsidR="00F6334D">
      <w:t>s</w:t>
    </w:r>
    <w:r w:rsidR="00CF6E12" w:rsidRPr="00CF6E12">
      <w:t xml:space="preserve"> to</w:t>
    </w:r>
    <w:r w:rsidR="00246985">
      <w:t xml:space="preserve"> the </w:t>
    </w:r>
    <w:r w:rsidR="00314A12">
      <w:t>AIMS</w:t>
    </w:r>
    <w:r w:rsidR="00CF6E12" w:rsidRPr="00CF6E12">
      <w:t xml:space="preserve"> for 202</w:t>
    </w:r>
    <w:r w:rsidR="00144630">
      <w:t>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5972AF82" w:rsidR="00562811" w:rsidRPr="0051568D" w:rsidRDefault="00DF745A" w:rsidP="0017674D">
    <w:pPr>
      <w:pStyle w:val="Header"/>
    </w:pPr>
    <w:r>
      <w:t>Specifications</w:t>
    </w:r>
    <w:r w:rsidR="00CF6E12" w:rsidRPr="00CF6E12">
      <w:t xml:space="preserve"> for revision</w:t>
    </w:r>
    <w:r w:rsidR="00F6334D">
      <w:t>s</w:t>
    </w:r>
    <w:r w:rsidR="00CF6E12" w:rsidRPr="00CF6E12">
      <w:t xml:space="preserve"> to </w:t>
    </w:r>
    <w:r w:rsidR="00246985">
      <w:t xml:space="preserve">the </w:t>
    </w:r>
    <w:r w:rsidR="00314A12">
      <w:t>AIMS</w:t>
    </w:r>
    <w:r w:rsidR="00246985">
      <w:t xml:space="preserve"> </w:t>
    </w:r>
    <w:r w:rsidR="00CF6E12" w:rsidRPr="00CF6E12">
      <w:t>for 20</w:t>
    </w:r>
    <w:r w:rsidR="00FD1751">
      <w:rPr>
        <w:noProof/>
      </w:rPr>
      <w:drawing>
        <wp:anchor distT="0" distB="0" distL="114300" distR="114300" simplePos="0" relativeHeight="251698688" behindDoc="1" locked="1" layoutInCell="1" allowOverlap="1" wp14:anchorId="0CD5F0C9" wp14:editId="1F5C0CC5">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44630">
      <w:t>23-24</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B33A2DBC"/>
    <w:numStyleLink w:val="ZZNumbersdigit"/>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B25EF5"/>
    <w:multiLevelType w:val="hybridMultilevel"/>
    <w:tmpl w:val="447840D8"/>
    <w:lvl w:ilvl="0" w:tplc="3B2C93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3ED1"/>
    <w:multiLevelType w:val="hybridMultilevel"/>
    <w:tmpl w:val="5234EBC0"/>
    <w:lvl w:ilvl="0" w:tplc="3B2C93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574B1"/>
    <w:multiLevelType w:val="hybridMultilevel"/>
    <w:tmpl w:val="B696321A"/>
    <w:lvl w:ilvl="0" w:tplc="66F676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F52444"/>
    <w:multiLevelType w:val="hybridMultilevel"/>
    <w:tmpl w:val="6958E3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83DE94"/>
    <w:multiLevelType w:val="hybridMultilevel"/>
    <w:tmpl w:val="D5C806A6"/>
    <w:lvl w:ilvl="0" w:tplc="3B2C9320">
      <w:start w:val="1"/>
      <w:numFmt w:val="bullet"/>
      <w:lvlText w:val=""/>
      <w:lvlJc w:val="left"/>
      <w:pPr>
        <w:ind w:left="360" w:hanging="360"/>
      </w:pPr>
      <w:rPr>
        <w:rFonts w:ascii="Symbol" w:hAnsi="Symbol" w:hint="default"/>
      </w:rPr>
    </w:lvl>
    <w:lvl w:ilvl="1" w:tplc="9CB452F2">
      <w:start w:val="1"/>
      <w:numFmt w:val="bullet"/>
      <w:lvlText w:val="o"/>
      <w:lvlJc w:val="left"/>
      <w:pPr>
        <w:ind w:left="1080" w:hanging="360"/>
      </w:pPr>
      <w:rPr>
        <w:rFonts w:ascii="Courier New" w:hAnsi="Courier New" w:hint="default"/>
      </w:rPr>
    </w:lvl>
    <w:lvl w:ilvl="2" w:tplc="9106FC12">
      <w:start w:val="1"/>
      <w:numFmt w:val="bullet"/>
      <w:lvlText w:val=""/>
      <w:lvlJc w:val="left"/>
      <w:pPr>
        <w:ind w:left="1800" w:hanging="360"/>
      </w:pPr>
      <w:rPr>
        <w:rFonts w:ascii="Wingdings" w:hAnsi="Wingdings" w:hint="default"/>
      </w:rPr>
    </w:lvl>
    <w:lvl w:ilvl="3" w:tplc="D16C9204">
      <w:start w:val="1"/>
      <w:numFmt w:val="bullet"/>
      <w:lvlText w:val=""/>
      <w:lvlJc w:val="left"/>
      <w:pPr>
        <w:ind w:left="2520" w:hanging="360"/>
      </w:pPr>
      <w:rPr>
        <w:rFonts w:ascii="Symbol" w:hAnsi="Symbol" w:hint="default"/>
      </w:rPr>
    </w:lvl>
    <w:lvl w:ilvl="4" w:tplc="1D7CA09E">
      <w:start w:val="1"/>
      <w:numFmt w:val="bullet"/>
      <w:lvlText w:val="o"/>
      <w:lvlJc w:val="left"/>
      <w:pPr>
        <w:ind w:left="3240" w:hanging="360"/>
      </w:pPr>
      <w:rPr>
        <w:rFonts w:ascii="Courier New" w:hAnsi="Courier New" w:hint="default"/>
      </w:rPr>
    </w:lvl>
    <w:lvl w:ilvl="5" w:tplc="75ACDDA6">
      <w:start w:val="1"/>
      <w:numFmt w:val="bullet"/>
      <w:lvlText w:val=""/>
      <w:lvlJc w:val="left"/>
      <w:pPr>
        <w:ind w:left="3960" w:hanging="360"/>
      </w:pPr>
      <w:rPr>
        <w:rFonts w:ascii="Wingdings" w:hAnsi="Wingdings" w:hint="default"/>
      </w:rPr>
    </w:lvl>
    <w:lvl w:ilvl="6" w:tplc="DC8C668E">
      <w:start w:val="1"/>
      <w:numFmt w:val="bullet"/>
      <w:lvlText w:val=""/>
      <w:lvlJc w:val="left"/>
      <w:pPr>
        <w:ind w:left="4680" w:hanging="360"/>
      </w:pPr>
      <w:rPr>
        <w:rFonts w:ascii="Symbol" w:hAnsi="Symbol" w:hint="default"/>
      </w:rPr>
    </w:lvl>
    <w:lvl w:ilvl="7" w:tplc="B8F062D4">
      <w:start w:val="1"/>
      <w:numFmt w:val="bullet"/>
      <w:lvlText w:val="o"/>
      <w:lvlJc w:val="left"/>
      <w:pPr>
        <w:ind w:left="5400" w:hanging="360"/>
      </w:pPr>
      <w:rPr>
        <w:rFonts w:ascii="Courier New" w:hAnsi="Courier New" w:hint="default"/>
      </w:rPr>
    </w:lvl>
    <w:lvl w:ilvl="8" w:tplc="BED44A94">
      <w:start w:val="1"/>
      <w:numFmt w:val="bullet"/>
      <w:lvlText w:val=""/>
      <w:lvlJc w:val="left"/>
      <w:pPr>
        <w:ind w:left="6120" w:hanging="360"/>
      </w:pPr>
      <w:rPr>
        <w:rFonts w:ascii="Wingdings" w:hAnsi="Wingdings" w:hint="default"/>
      </w:rPr>
    </w:lvl>
  </w:abstractNum>
  <w:abstractNum w:abstractNumId="7"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6915365"/>
    <w:multiLevelType w:val="hybridMultilevel"/>
    <w:tmpl w:val="4128278E"/>
    <w:lvl w:ilvl="0" w:tplc="3B2C93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D4AB4"/>
    <w:multiLevelType w:val="hybridMultilevel"/>
    <w:tmpl w:val="3740F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C33334"/>
    <w:multiLevelType w:val="hybridMultilevel"/>
    <w:tmpl w:val="345AB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387EE9"/>
    <w:multiLevelType w:val="hybridMultilevel"/>
    <w:tmpl w:val="276E1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D0EB5"/>
    <w:multiLevelType w:val="hybridMultilevel"/>
    <w:tmpl w:val="DD28C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0C4"/>
    <w:multiLevelType w:val="hybridMultilevel"/>
    <w:tmpl w:val="74B82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7F7A2C"/>
    <w:multiLevelType w:val="hybridMultilevel"/>
    <w:tmpl w:val="30A8E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B5857"/>
    <w:multiLevelType w:val="hybridMultilevel"/>
    <w:tmpl w:val="B4CEC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86441EE"/>
    <w:multiLevelType w:val="hybridMultilevel"/>
    <w:tmpl w:val="B540CDFA"/>
    <w:lvl w:ilvl="0" w:tplc="AB4E4D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EA0FE2"/>
    <w:multiLevelType w:val="hybridMultilevel"/>
    <w:tmpl w:val="DE16A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CE32AA"/>
    <w:multiLevelType w:val="hybridMultilevel"/>
    <w:tmpl w:val="719043AE"/>
    <w:lvl w:ilvl="0" w:tplc="5F7698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07671C"/>
    <w:multiLevelType w:val="hybridMultilevel"/>
    <w:tmpl w:val="DBD07F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B44E3C"/>
    <w:multiLevelType w:val="hybridMultilevel"/>
    <w:tmpl w:val="4C3E5E98"/>
    <w:lvl w:ilvl="0" w:tplc="3B2C93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7D48B6"/>
    <w:multiLevelType w:val="hybridMultilevel"/>
    <w:tmpl w:val="59A6A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F776ED"/>
    <w:multiLevelType w:val="hybridMultilevel"/>
    <w:tmpl w:val="6BEA6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5028A6"/>
    <w:multiLevelType w:val="hybridMultilevel"/>
    <w:tmpl w:val="4300D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85216E"/>
    <w:multiLevelType w:val="hybridMultilevel"/>
    <w:tmpl w:val="5F92E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23"/>
  </w:num>
  <w:num w:numId="3">
    <w:abstractNumId w:val="22"/>
  </w:num>
  <w:num w:numId="4">
    <w:abstractNumId w:val="27"/>
  </w:num>
  <w:num w:numId="5">
    <w:abstractNumId w:val="19"/>
  </w:num>
  <w:num w:numId="6">
    <w:abstractNumId w:val="1"/>
  </w:num>
  <w:num w:numId="7">
    <w:abstractNumId w:val="16"/>
  </w:num>
  <w:num w:numId="8">
    <w:abstractNumId w:val="9"/>
  </w:num>
  <w:num w:numId="9">
    <w:abstractNumId w:val="35"/>
  </w:num>
  <w:num w:numId="10">
    <w:abstractNumId w:val="12"/>
  </w:num>
  <w:num w:numId="11">
    <w:abstractNumId w:val="13"/>
  </w:num>
  <w:num w:numId="12">
    <w:abstractNumId w:val="21"/>
  </w:num>
  <w:num w:numId="13">
    <w:abstractNumId w:val="26"/>
  </w:num>
  <w:num w:numId="14">
    <w:abstractNumId w:val="20"/>
  </w:num>
  <w:num w:numId="15">
    <w:abstractNumId w:val="7"/>
  </w:num>
  <w:num w:numId="16">
    <w:abstractNumId w:val="36"/>
  </w:num>
  <w:num w:numId="17">
    <w:abstractNumId w:val="10"/>
  </w:num>
  <w:num w:numId="18">
    <w:abstractNumId w:val="4"/>
  </w:num>
  <w:num w:numId="19">
    <w:abstractNumId w:val="2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3"/>
  </w:num>
  <w:num w:numId="23">
    <w:abstractNumId w:val="31"/>
  </w:num>
  <w:num w:numId="24">
    <w:abstractNumId w:val="25"/>
  </w:num>
  <w:num w:numId="25">
    <w:abstractNumId w:val="14"/>
  </w:num>
  <w:num w:numId="26">
    <w:abstractNumId w:val="5"/>
  </w:num>
  <w:num w:numId="27">
    <w:abstractNumId w:val="34"/>
  </w:num>
  <w:num w:numId="28">
    <w:abstractNumId w:val="15"/>
  </w:num>
  <w:num w:numId="29">
    <w:abstractNumId w:val="11"/>
  </w:num>
  <w:num w:numId="30">
    <w:abstractNumId w:val="29"/>
  </w:num>
  <w:num w:numId="31">
    <w:abstractNumId w:val="17"/>
  </w:num>
  <w:num w:numId="32">
    <w:abstractNumId w:val="32"/>
  </w:num>
  <w:num w:numId="33">
    <w:abstractNumId w:val="6"/>
  </w:num>
  <w:num w:numId="34">
    <w:abstractNumId w:val="30"/>
  </w:num>
  <w:num w:numId="35">
    <w:abstractNumId w:val="8"/>
  </w:num>
  <w:num w:numId="36">
    <w:abstractNumId w:val="2"/>
  </w:num>
  <w:num w:numId="3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08E"/>
    <w:rsid w:val="000033F7"/>
    <w:rsid w:val="00003403"/>
    <w:rsid w:val="00003867"/>
    <w:rsid w:val="00005347"/>
    <w:rsid w:val="000072B6"/>
    <w:rsid w:val="0001021B"/>
    <w:rsid w:val="00011688"/>
    <w:rsid w:val="00011D89"/>
    <w:rsid w:val="000154FD"/>
    <w:rsid w:val="00022271"/>
    <w:rsid w:val="0002297D"/>
    <w:rsid w:val="000235E8"/>
    <w:rsid w:val="00023AB3"/>
    <w:rsid w:val="00024D89"/>
    <w:rsid w:val="000250B6"/>
    <w:rsid w:val="00030CDD"/>
    <w:rsid w:val="00033194"/>
    <w:rsid w:val="00033D81"/>
    <w:rsid w:val="00033DC9"/>
    <w:rsid w:val="00037366"/>
    <w:rsid w:val="00041BF0"/>
    <w:rsid w:val="00042C8A"/>
    <w:rsid w:val="0004536B"/>
    <w:rsid w:val="00046B68"/>
    <w:rsid w:val="00046BCB"/>
    <w:rsid w:val="000527DD"/>
    <w:rsid w:val="00056EC4"/>
    <w:rsid w:val="000578B2"/>
    <w:rsid w:val="00060959"/>
    <w:rsid w:val="00060C8F"/>
    <w:rsid w:val="0006298A"/>
    <w:rsid w:val="000663CD"/>
    <w:rsid w:val="00071425"/>
    <w:rsid w:val="000733FE"/>
    <w:rsid w:val="00074219"/>
    <w:rsid w:val="00074ED5"/>
    <w:rsid w:val="0008204A"/>
    <w:rsid w:val="0008508E"/>
    <w:rsid w:val="00087951"/>
    <w:rsid w:val="00090CAE"/>
    <w:rsid w:val="0009113B"/>
    <w:rsid w:val="00093402"/>
    <w:rsid w:val="00094DA3"/>
    <w:rsid w:val="00096CD1"/>
    <w:rsid w:val="00097063"/>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4875"/>
    <w:rsid w:val="000D1242"/>
    <w:rsid w:val="000D2ABA"/>
    <w:rsid w:val="000D79BE"/>
    <w:rsid w:val="000E0970"/>
    <w:rsid w:val="000E3CC7"/>
    <w:rsid w:val="000E6BD4"/>
    <w:rsid w:val="000E6D6D"/>
    <w:rsid w:val="000F1F1E"/>
    <w:rsid w:val="000F2259"/>
    <w:rsid w:val="000F265E"/>
    <w:rsid w:val="000F2DDA"/>
    <w:rsid w:val="000F2EA0"/>
    <w:rsid w:val="000F5213"/>
    <w:rsid w:val="00101001"/>
    <w:rsid w:val="00101B58"/>
    <w:rsid w:val="00103276"/>
    <w:rsid w:val="0010392D"/>
    <w:rsid w:val="0010447F"/>
    <w:rsid w:val="00104FE3"/>
    <w:rsid w:val="0010714F"/>
    <w:rsid w:val="001120C5"/>
    <w:rsid w:val="00120BD3"/>
    <w:rsid w:val="00122FEA"/>
    <w:rsid w:val="001232BD"/>
    <w:rsid w:val="00124ED5"/>
    <w:rsid w:val="001276FA"/>
    <w:rsid w:val="00144630"/>
    <w:rsid w:val="001447B3"/>
    <w:rsid w:val="001468C4"/>
    <w:rsid w:val="00152073"/>
    <w:rsid w:val="00152329"/>
    <w:rsid w:val="0015607C"/>
    <w:rsid w:val="00156598"/>
    <w:rsid w:val="00161939"/>
    <w:rsid w:val="00161AA0"/>
    <w:rsid w:val="00161D2E"/>
    <w:rsid w:val="00161F3E"/>
    <w:rsid w:val="00162093"/>
    <w:rsid w:val="001621B8"/>
    <w:rsid w:val="00162CA9"/>
    <w:rsid w:val="00165459"/>
    <w:rsid w:val="00165A57"/>
    <w:rsid w:val="001712C2"/>
    <w:rsid w:val="001721C1"/>
    <w:rsid w:val="00172BAF"/>
    <w:rsid w:val="0017674D"/>
    <w:rsid w:val="001771DD"/>
    <w:rsid w:val="00177995"/>
    <w:rsid w:val="00177A8C"/>
    <w:rsid w:val="0018244E"/>
    <w:rsid w:val="00184B06"/>
    <w:rsid w:val="00186B33"/>
    <w:rsid w:val="00192F9D"/>
    <w:rsid w:val="001933CC"/>
    <w:rsid w:val="00196EB8"/>
    <w:rsid w:val="00196EFB"/>
    <w:rsid w:val="001979FF"/>
    <w:rsid w:val="00197B17"/>
    <w:rsid w:val="001A1950"/>
    <w:rsid w:val="001A1C54"/>
    <w:rsid w:val="001A3ACE"/>
    <w:rsid w:val="001A6272"/>
    <w:rsid w:val="001B058F"/>
    <w:rsid w:val="001B59ED"/>
    <w:rsid w:val="001B6291"/>
    <w:rsid w:val="001B6B96"/>
    <w:rsid w:val="001B6D79"/>
    <w:rsid w:val="001B738B"/>
    <w:rsid w:val="001C09DB"/>
    <w:rsid w:val="001C21D4"/>
    <w:rsid w:val="001C277E"/>
    <w:rsid w:val="001C2A72"/>
    <w:rsid w:val="001C31B7"/>
    <w:rsid w:val="001C4936"/>
    <w:rsid w:val="001D0B75"/>
    <w:rsid w:val="001D0EBA"/>
    <w:rsid w:val="001D1470"/>
    <w:rsid w:val="001D39A5"/>
    <w:rsid w:val="001D3C09"/>
    <w:rsid w:val="001D44E8"/>
    <w:rsid w:val="001D55AB"/>
    <w:rsid w:val="001D60EC"/>
    <w:rsid w:val="001D6F59"/>
    <w:rsid w:val="001E1AFA"/>
    <w:rsid w:val="001E44DF"/>
    <w:rsid w:val="001E68A5"/>
    <w:rsid w:val="001E6BB0"/>
    <w:rsid w:val="001E7282"/>
    <w:rsid w:val="001F3826"/>
    <w:rsid w:val="001F6E46"/>
    <w:rsid w:val="001F70AE"/>
    <w:rsid w:val="001F766E"/>
    <w:rsid w:val="001F7C91"/>
    <w:rsid w:val="002022F2"/>
    <w:rsid w:val="002033B7"/>
    <w:rsid w:val="00206463"/>
    <w:rsid w:val="00206F2F"/>
    <w:rsid w:val="00207717"/>
    <w:rsid w:val="00207F15"/>
    <w:rsid w:val="0021053D"/>
    <w:rsid w:val="00210A92"/>
    <w:rsid w:val="00212B95"/>
    <w:rsid w:val="00215CC8"/>
    <w:rsid w:val="00216163"/>
    <w:rsid w:val="00216C03"/>
    <w:rsid w:val="00220A1A"/>
    <w:rsid w:val="00220C04"/>
    <w:rsid w:val="0022278D"/>
    <w:rsid w:val="0022701F"/>
    <w:rsid w:val="00227407"/>
    <w:rsid w:val="00227C68"/>
    <w:rsid w:val="00232256"/>
    <w:rsid w:val="002333F5"/>
    <w:rsid w:val="00233724"/>
    <w:rsid w:val="002365B4"/>
    <w:rsid w:val="0024033D"/>
    <w:rsid w:val="002432E1"/>
    <w:rsid w:val="00246207"/>
    <w:rsid w:val="00246985"/>
    <w:rsid w:val="00246C5E"/>
    <w:rsid w:val="00250960"/>
    <w:rsid w:val="00251343"/>
    <w:rsid w:val="002536A4"/>
    <w:rsid w:val="00254F58"/>
    <w:rsid w:val="002620BC"/>
    <w:rsid w:val="00262802"/>
    <w:rsid w:val="00263A90"/>
    <w:rsid w:val="0026408B"/>
    <w:rsid w:val="00267C3E"/>
    <w:rsid w:val="002709BB"/>
    <w:rsid w:val="0027131C"/>
    <w:rsid w:val="0027348C"/>
    <w:rsid w:val="00273BAC"/>
    <w:rsid w:val="002763B3"/>
    <w:rsid w:val="00276906"/>
    <w:rsid w:val="002802E3"/>
    <w:rsid w:val="00281B62"/>
    <w:rsid w:val="0028213D"/>
    <w:rsid w:val="002862F1"/>
    <w:rsid w:val="00286953"/>
    <w:rsid w:val="00291373"/>
    <w:rsid w:val="002948D6"/>
    <w:rsid w:val="0029597D"/>
    <w:rsid w:val="002962C3"/>
    <w:rsid w:val="0029752B"/>
    <w:rsid w:val="002A0797"/>
    <w:rsid w:val="002A0A9C"/>
    <w:rsid w:val="002A483C"/>
    <w:rsid w:val="002B0C7C"/>
    <w:rsid w:val="002B1729"/>
    <w:rsid w:val="002B36C7"/>
    <w:rsid w:val="002B4DD4"/>
    <w:rsid w:val="002B5277"/>
    <w:rsid w:val="002B5375"/>
    <w:rsid w:val="002B77C1"/>
    <w:rsid w:val="002C0ED7"/>
    <w:rsid w:val="002C2728"/>
    <w:rsid w:val="002C5B7C"/>
    <w:rsid w:val="002D153F"/>
    <w:rsid w:val="002D1E0D"/>
    <w:rsid w:val="002D5006"/>
    <w:rsid w:val="002D7C61"/>
    <w:rsid w:val="002E01D0"/>
    <w:rsid w:val="002E161D"/>
    <w:rsid w:val="002E28A2"/>
    <w:rsid w:val="002E3100"/>
    <w:rsid w:val="002E6C95"/>
    <w:rsid w:val="002E7C36"/>
    <w:rsid w:val="002F3D32"/>
    <w:rsid w:val="002F5F31"/>
    <w:rsid w:val="002F5F46"/>
    <w:rsid w:val="0030045E"/>
    <w:rsid w:val="0030148C"/>
    <w:rsid w:val="00302216"/>
    <w:rsid w:val="003025DE"/>
    <w:rsid w:val="00303E53"/>
    <w:rsid w:val="00305CC1"/>
    <w:rsid w:val="00306E5F"/>
    <w:rsid w:val="00307E14"/>
    <w:rsid w:val="003127A5"/>
    <w:rsid w:val="00314054"/>
    <w:rsid w:val="00314A12"/>
    <w:rsid w:val="00316F27"/>
    <w:rsid w:val="003214F1"/>
    <w:rsid w:val="00322E4B"/>
    <w:rsid w:val="00324AB6"/>
    <w:rsid w:val="00327870"/>
    <w:rsid w:val="0033259D"/>
    <w:rsid w:val="003333D2"/>
    <w:rsid w:val="00333DD2"/>
    <w:rsid w:val="0033450D"/>
    <w:rsid w:val="00334686"/>
    <w:rsid w:val="003356CC"/>
    <w:rsid w:val="00337339"/>
    <w:rsid w:val="00340345"/>
    <w:rsid w:val="003406C6"/>
    <w:rsid w:val="003418CC"/>
    <w:rsid w:val="003434EE"/>
    <w:rsid w:val="003459BD"/>
    <w:rsid w:val="00346848"/>
    <w:rsid w:val="00350D38"/>
    <w:rsid w:val="00351492"/>
    <w:rsid w:val="00351B36"/>
    <w:rsid w:val="00357B4E"/>
    <w:rsid w:val="003716FD"/>
    <w:rsid w:val="0037204B"/>
    <w:rsid w:val="003744CF"/>
    <w:rsid w:val="00374717"/>
    <w:rsid w:val="0037676C"/>
    <w:rsid w:val="00381043"/>
    <w:rsid w:val="003829E5"/>
    <w:rsid w:val="00386109"/>
    <w:rsid w:val="00386944"/>
    <w:rsid w:val="00391743"/>
    <w:rsid w:val="003956CC"/>
    <w:rsid w:val="00395C9A"/>
    <w:rsid w:val="003A0853"/>
    <w:rsid w:val="003A6B67"/>
    <w:rsid w:val="003A7D76"/>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2A4"/>
    <w:rsid w:val="003F5CB9"/>
    <w:rsid w:val="004013C7"/>
    <w:rsid w:val="00401FCF"/>
    <w:rsid w:val="00402F15"/>
    <w:rsid w:val="00406285"/>
    <w:rsid w:val="004115A2"/>
    <w:rsid w:val="004148F9"/>
    <w:rsid w:val="0042084E"/>
    <w:rsid w:val="00421EEF"/>
    <w:rsid w:val="00424D65"/>
    <w:rsid w:val="00424FFE"/>
    <w:rsid w:val="00430393"/>
    <w:rsid w:val="00431806"/>
    <w:rsid w:val="00431A70"/>
    <w:rsid w:val="00431F42"/>
    <w:rsid w:val="00442C6C"/>
    <w:rsid w:val="00443CBE"/>
    <w:rsid w:val="00443E8A"/>
    <w:rsid w:val="004441BC"/>
    <w:rsid w:val="004468B4"/>
    <w:rsid w:val="00446D86"/>
    <w:rsid w:val="0045230A"/>
    <w:rsid w:val="00453FC9"/>
    <w:rsid w:val="00454AD0"/>
    <w:rsid w:val="00457337"/>
    <w:rsid w:val="00462E3D"/>
    <w:rsid w:val="00466E79"/>
    <w:rsid w:val="00470D7D"/>
    <w:rsid w:val="0047372D"/>
    <w:rsid w:val="00473BA3"/>
    <w:rsid w:val="004743DD"/>
    <w:rsid w:val="00474CEA"/>
    <w:rsid w:val="00483968"/>
    <w:rsid w:val="004841BE"/>
    <w:rsid w:val="00484A99"/>
    <w:rsid w:val="00484F86"/>
    <w:rsid w:val="00490746"/>
    <w:rsid w:val="00490852"/>
    <w:rsid w:val="0049194E"/>
    <w:rsid w:val="00491C9C"/>
    <w:rsid w:val="00492F30"/>
    <w:rsid w:val="00493723"/>
    <w:rsid w:val="004946F4"/>
    <w:rsid w:val="0049487E"/>
    <w:rsid w:val="004A0946"/>
    <w:rsid w:val="004A160D"/>
    <w:rsid w:val="004A388F"/>
    <w:rsid w:val="004A3E81"/>
    <w:rsid w:val="004A4195"/>
    <w:rsid w:val="004A5C62"/>
    <w:rsid w:val="004A5CE5"/>
    <w:rsid w:val="004A6146"/>
    <w:rsid w:val="004A707D"/>
    <w:rsid w:val="004B0974"/>
    <w:rsid w:val="004B4185"/>
    <w:rsid w:val="004B4A4C"/>
    <w:rsid w:val="004C5541"/>
    <w:rsid w:val="004C5880"/>
    <w:rsid w:val="004C6EEE"/>
    <w:rsid w:val="004C702B"/>
    <w:rsid w:val="004D0033"/>
    <w:rsid w:val="004D016B"/>
    <w:rsid w:val="004D1B22"/>
    <w:rsid w:val="004D23CC"/>
    <w:rsid w:val="004D36F2"/>
    <w:rsid w:val="004E1106"/>
    <w:rsid w:val="004E138F"/>
    <w:rsid w:val="004E14CE"/>
    <w:rsid w:val="004E4649"/>
    <w:rsid w:val="004E5C2B"/>
    <w:rsid w:val="004F00DD"/>
    <w:rsid w:val="004F2133"/>
    <w:rsid w:val="004F5398"/>
    <w:rsid w:val="004F55F1"/>
    <w:rsid w:val="004F5E82"/>
    <w:rsid w:val="004F6936"/>
    <w:rsid w:val="0050076A"/>
    <w:rsid w:val="00503DC6"/>
    <w:rsid w:val="00506F5D"/>
    <w:rsid w:val="00510C37"/>
    <w:rsid w:val="005126D0"/>
    <w:rsid w:val="00514667"/>
    <w:rsid w:val="0051568D"/>
    <w:rsid w:val="00526AC7"/>
    <w:rsid w:val="00526C15"/>
    <w:rsid w:val="00536499"/>
    <w:rsid w:val="00540DA5"/>
    <w:rsid w:val="00540E7E"/>
    <w:rsid w:val="00541718"/>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60C6"/>
    <w:rsid w:val="00586A8B"/>
    <w:rsid w:val="0058757E"/>
    <w:rsid w:val="00596A4B"/>
    <w:rsid w:val="00597507"/>
    <w:rsid w:val="005A479D"/>
    <w:rsid w:val="005B1C6D"/>
    <w:rsid w:val="005B21B6"/>
    <w:rsid w:val="005B3A08"/>
    <w:rsid w:val="005B447A"/>
    <w:rsid w:val="005B7A63"/>
    <w:rsid w:val="005C0955"/>
    <w:rsid w:val="005C35FF"/>
    <w:rsid w:val="005C49DA"/>
    <w:rsid w:val="005C50F3"/>
    <w:rsid w:val="005C54B5"/>
    <w:rsid w:val="005C5D80"/>
    <w:rsid w:val="005C5D91"/>
    <w:rsid w:val="005D07B8"/>
    <w:rsid w:val="005D6597"/>
    <w:rsid w:val="005E0929"/>
    <w:rsid w:val="005E0F29"/>
    <w:rsid w:val="005E10B2"/>
    <w:rsid w:val="005E14E7"/>
    <w:rsid w:val="005E26A3"/>
    <w:rsid w:val="005E2ECB"/>
    <w:rsid w:val="005E4232"/>
    <w:rsid w:val="005E447E"/>
    <w:rsid w:val="005E4FD1"/>
    <w:rsid w:val="005F0775"/>
    <w:rsid w:val="005F0CF5"/>
    <w:rsid w:val="005F21EB"/>
    <w:rsid w:val="005F561A"/>
    <w:rsid w:val="005F5A0E"/>
    <w:rsid w:val="005F64CF"/>
    <w:rsid w:val="006041AD"/>
    <w:rsid w:val="00605908"/>
    <w:rsid w:val="00606A2B"/>
    <w:rsid w:val="00607850"/>
    <w:rsid w:val="00607EF7"/>
    <w:rsid w:val="00610D7C"/>
    <w:rsid w:val="00613414"/>
    <w:rsid w:val="00620154"/>
    <w:rsid w:val="0062408D"/>
    <w:rsid w:val="006240CC"/>
    <w:rsid w:val="00624940"/>
    <w:rsid w:val="006254F8"/>
    <w:rsid w:val="00626FF6"/>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0C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5EA8"/>
    <w:rsid w:val="006B6803"/>
    <w:rsid w:val="006D0F16"/>
    <w:rsid w:val="006D0FFE"/>
    <w:rsid w:val="006D2A3F"/>
    <w:rsid w:val="006D2FBC"/>
    <w:rsid w:val="006D6E34"/>
    <w:rsid w:val="006E138B"/>
    <w:rsid w:val="006E1867"/>
    <w:rsid w:val="006E1A39"/>
    <w:rsid w:val="006E7BD2"/>
    <w:rsid w:val="006F0330"/>
    <w:rsid w:val="006F1FDC"/>
    <w:rsid w:val="006F57E9"/>
    <w:rsid w:val="006F6B8C"/>
    <w:rsid w:val="007013EF"/>
    <w:rsid w:val="007055BD"/>
    <w:rsid w:val="007173CA"/>
    <w:rsid w:val="007216AA"/>
    <w:rsid w:val="00721AB5"/>
    <w:rsid w:val="00721CFB"/>
    <w:rsid w:val="00721DEF"/>
    <w:rsid w:val="00724A43"/>
    <w:rsid w:val="00726C1C"/>
    <w:rsid w:val="007273AC"/>
    <w:rsid w:val="00731AD4"/>
    <w:rsid w:val="007346E4"/>
    <w:rsid w:val="00735564"/>
    <w:rsid w:val="00740F22"/>
    <w:rsid w:val="00741CF0"/>
    <w:rsid w:val="00741F1A"/>
    <w:rsid w:val="0074441B"/>
    <w:rsid w:val="007447DA"/>
    <w:rsid w:val="007450F8"/>
    <w:rsid w:val="0074696E"/>
    <w:rsid w:val="00750135"/>
    <w:rsid w:val="00750EC2"/>
    <w:rsid w:val="00752B28"/>
    <w:rsid w:val="007536BC"/>
    <w:rsid w:val="007541A9"/>
    <w:rsid w:val="00754E36"/>
    <w:rsid w:val="00763139"/>
    <w:rsid w:val="0076388A"/>
    <w:rsid w:val="00770F37"/>
    <w:rsid w:val="007711A0"/>
    <w:rsid w:val="00772D5E"/>
    <w:rsid w:val="0077463E"/>
    <w:rsid w:val="00776928"/>
    <w:rsid w:val="00776D56"/>
    <w:rsid w:val="00776E0F"/>
    <w:rsid w:val="007774B1"/>
    <w:rsid w:val="00777BE1"/>
    <w:rsid w:val="007812DB"/>
    <w:rsid w:val="00782222"/>
    <w:rsid w:val="007830A3"/>
    <w:rsid w:val="007833D8"/>
    <w:rsid w:val="00785677"/>
    <w:rsid w:val="00786F16"/>
    <w:rsid w:val="00787068"/>
    <w:rsid w:val="00791BD7"/>
    <w:rsid w:val="007933F7"/>
    <w:rsid w:val="00796E20"/>
    <w:rsid w:val="00797C32"/>
    <w:rsid w:val="007A11E8"/>
    <w:rsid w:val="007A74DD"/>
    <w:rsid w:val="007B0914"/>
    <w:rsid w:val="007B1374"/>
    <w:rsid w:val="007B32E5"/>
    <w:rsid w:val="007B3DB9"/>
    <w:rsid w:val="007B440A"/>
    <w:rsid w:val="007B589F"/>
    <w:rsid w:val="007B6186"/>
    <w:rsid w:val="007B73BC"/>
    <w:rsid w:val="007C1838"/>
    <w:rsid w:val="007C20B9"/>
    <w:rsid w:val="007C7301"/>
    <w:rsid w:val="007C7859"/>
    <w:rsid w:val="007C7F28"/>
    <w:rsid w:val="007D1466"/>
    <w:rsid w:val="007D1E93"/>
    <w:rsid w:val="007D2BDE"/>
    <w:rsid w:val="007D2FB6"/>
    <w:rsid w:val="007D49EB"/>
    <w:rsid w:val="007D5E1C"/>
    <w:rsid w:val="007E0DE2"/>
    <w:rsid w:val="007E11FD"/>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79E4"/>
    <w:rsid w:val="00832D0D"/>
    <w:rsid w:val="008338A2"/>
    <w:rsid w:val="00841AA9"/>
    <w:rsid w:val="008474FE"/>
    <w:rsid w:val="008520AC"/>
    <w:rsid w:val="00853EE4"/>
    <w:rsid w:val="00855535"/>
    <w:rsid w:val="00857C5A"/>
    <w:rsid w:val="0086255E"/>
    <w:rsid w:val="008633F0"/>
    <w:rsid w:val="00867D9D"/>
    <w:rsid w:val="00870911"/>
    <w:rsid w:val="00872E0A"/>
    <w:rsid w:val="00873594"/>
    <w:rsid w:val="00875285"/>
    <w:rsid w:val="00884B62"/>
    <w:rsid w:val="0088529C"/>
    <w:rsid w:val="0088649F"/>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D7226"/>
    <w:rsid w:val="008E26C3"/>
    <w:rsid w:val="008E4376"/>
    <w:rsid w:val="008E7A0A"/>
    <w:rsid w:val="008E7B49"/>
    <w:rsid w:val="008F59F6"/>
    <w:rsid w:val="00900719"/>
    <w:rsid w:val="009017AC"/>
    <w:rsid w:val="00902A9A"/>
    <w:rsid w:val="00904A1C"/>
    <w:rsid w:val="00905030"/>
    <w:rsid w:val="00906490"/>
    <w:rsid w:val="009111B2"/>
    <w:rsid w:val="009151F5"/>
    <w:rsid w:val="0091661F"/>
    <w:rsid w:val="00924AE1"/>
    <w:rsid w:val="009269B1"/>
    <w:rsid w:val="0092724D"/>
    <w:rsid w:val="009272B3"/>
    <w:rsid w:val="009315BE"/>
    <w:rsid w:val="009326DD"/>
    <w:rsid w:val="009332A2"/>
    <w:rsid w:val="0093338F"/>
    <w:rsid w:val="00937BD9"/>
    <w:rsid w:val="00941967"/>
    <w:rsid w:val="00946214"/>
    <w:rsid w:val="00950E2C"/>
    <w:rsid w:val="00951D50"/>
    <w:rsid w:val="009525EB"/>
    <w:rsid w:val="0095470B"/>
    <w:rsid w:val="00954874"/>
    <w:rsid w:val="009559DB"/>
    <w:rsid w:val="0095615A"/>
    <w:rsid w:val="00961400"/>
    <w:rsid w:val="00963646"/>
    <w:rsid w:val="0096632D"/>
    <w:rsid w:val="00967124"/>
    <w:rsid w:val="0097166C"/>
    <w:rsid w:val="009718C7"/>
    <w:rsid w:val="0097559F"/>
    <w:rsid w:val="00975DCA"/>
    <w:rsid w:val="009761EA"/>
    <w:rsid w:val="0097761E"/>
    <w:rsid w:val="00982454"/>
    <w:rsid w:val="00982CF0"/>
    <w:rsid w:val="009853E1"/>
    <w:rsid w:val="00985CB0"/>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B71D4"/>
    <w:rsid w:val="009C245E"/>
    <w:rsid w:val="009C5E77"/>
    <w:rsid w:val="009C7A7E"/>
    <w:rsid w:val="009D02E8"/>
    <w:rsid w:val="009D3684"/>
    <w:rsid w:val="009D4078"/>
    <w:rsid w:val="009D4713"/>
    <w:rsid w:val="009D51D0"/>
    <w:rsid w:val="009D70A4"/>
    <w:rsid w:val="009D7B14"/>
    <w:rsid w:val="009E08D1"/>
    <w:rsid w:val="009E0D96"/>
    <w:rsid w:val="009E1B95"/>
    <w:rsid w:val="009E2CEA"/>
    <w:rsid w:val="009E496F"/>
    <w:rsid w:val="009E4B0D"/>
    <w:rsid w:val="009E5250"/>
    <w:rsid w:val="009E7A69"/>
    <w:rsid w:val="009E7F92"/>
    <w:rsid w:val="009F02A3"/>
    <w:rsid w:val="009F1C8B"/>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15C37"/>
    <w:rsid w:val="00A16D37"/>
    <w:rsid w:val="00A22229"/>
    <w:rsid w:val="00A24442"/>
    <w:rsid w:val="00A2498E"/>
    <w:rsid w:val="00A24ADA"/>
    <w:rsid w:val="00A26043"/>
    <w:rsid w:val="00A32577"/>
    <w:rsid w:val="00A330BB"/>
    <w:rsid w:val="00A37C86"/>
    <w:rsid w:val="00A446F5"/>
    <w:rsid w:val="00A44882"/>
    <w:rsid w:val="00A45125"/>
    <w:rsid w:val="00A54715"/>
    <w:rsid w:val="00A6061C"/>
    <w:rsid w:val="00A60DC6"/>
    <w:rsid w:val="00A62D44"/>
    <w:rsid w:val="00A65B89"/>
    <w:rsid w:val="00A67263"/>
    <w:rsid w:val="00A7161C"/>
    <w:rsid w:val="00A71CE4"/>
    <w:rsid w:val="00A77AA3"/>
    <w:rsid w:val="00A80391"/>
    <w:rsid w:val="00A8236D"/>
    <w:rsid w:val="00A854EB"/>
    <w:rsid w:val="00A872E5"/>
    <w:rsid w:val="00A91406"/>
    <w:rsid w:val="00A96E65"/>
    <w:rsid w:val="00A96ECE"/>
    <w:rsid w:val="00A97C72"/>
    <w:rsid w:val="00AA310B"/>
    <w:rsid w:val="00AA3177"/>
    <w:rsid w:val="00AA63D4"/>
    <w:rsid w:val="00AB06E8"/>
    <w:rsid w:val="00AB1CD3"/>
    <w:rsid w:val="00AB352F"/>
    <w:rsid w:val="00AC274B"/>
    <w:rsid w:val="00AC30DE"/>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24B3"/>
    <w:rsid w:val="00B03FC9"/>
    <w:rsid w:val="00B04489"/>
    <w:rsid w:val="00B05040"/>
    <w:rsid w:val="00B06571"/>
    <w:rsid w:val="00B068BA"/>
    <w:rsid w:val="00B07217"/>
    <w:rsid w:val="00B13851"/>
    <w:rsid w:val="00B13B1C"/>
    <w:rsid w:val="00B141A8"/>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236"/>
    <w:rsid w:val="00B60E61"/>
    <w:rsid w:val="00B62B50"/>
    <w:rsid w:val="00B635B7"/>
    <w:rsid w:val="00B63AE8"/>
    <w:rsid w:val="00B65950"/>
    <w:rsid w:val="00B66D83"/>
    <w:rsid w:val="00B672C0"/>
    <w:rsid w:val="00B676FD"/>
    <w:rsid w:val="00B678B6"/>
    <w:rsid w:val="00B727FE"/>
    <w:rsid w:val="00B72FD3"/>
    <w:rsid w:val="00B75646"/>
    <w:rsid w:val="00B76221"/>
    <w:rsid w:val="00B7629E"/>
    <w:rsid w:val="00B90729"/>
    <w:rsid w:val="00B907DA"/>
    <w:rsid w:val="00B94C5E"/>
    <w:rsid w:val="00B950BC"/>
    <w:rsid w:val="00B9714C"/>
    <w:rsid w:val="00B97B5D"/>
    <w:rsid w:val="00BA29AD"/>
    <w:rsid w:val="00BA33CF"/>
    <w:rsid w:val="00BA3F8D"/>
    <w:rsid w:val="00BB47B8"/>
    <w:rsid w:val="00BB7A10"/>
    <w:rsid w:val="00BC60BE"/>
    <w:rsid w:val="00BC6540"/>
    <w:rsid w:val="00BC7468"/>
    <w:rsid w:val="00BC7D4F"/>
    <w:rsid w:val="00BC7ED7"/>
    <w:rsid w:val="00BD2850"/>
    <w:rsid w:val="00BE28D2"/>
    <w:rsid w:val="00BE4A64"/>
    <w:rsid w:val="00BE5E43"/>
    <w:rsid w:val="00BF557D"/>
    <w:rsid w:val="00BF658D"/>
    <w:rsid w:val="00BF7E71"/>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495A"/>
    <w:rsid w:val="00C35484"/>
    <w:rsid w:val="00C36935"/>
    <w:rsid w:val="00C4173A"/>
    <w:rsid w:val="00C50DED"/>
    <w:rsid w:val="00C52217"/>
    <w:rsid w:val="00C55911"/>
    <w:rsid w:val="00C602FF"/>
    <w:rsid w:val="00C60411"/>
    <w:rsid w:val="00C61174"/>
    <w:rsid w:val="00C6148F"/>
    <w:rsid w:val="00C621B1"/>
    <w:rsid w:val="00C62934"/>
    <w:rsid w:val="00C62F7A"/>
    <w:rsid w:val="00C63B9C"/>
    <w:rsid w:val="00C6682F"/>
    <w:rsid w:val="00C67BF4"/>
    <w:rsid w:val="00C7275E"/>
    <w:rsid w:val="00C731AF"/>
    <w:rsid w:val="00C74037"/>
    <w:rsid w:val="00C74C5D"/>
    <w:rsid w:val="00C76A6A"/>
    <w:rsid w:val="00C85098"/>
    <w:rsid w:val="00C863C4"/>
    <w:rsid w:val="00C90DAB"/>
    <w:rsid w:val="00C920EA"/>
    <w:rsid w:val="00C93C3E"/>
    <w:rsid w:val="00C961A4"/>
    <w:rsid w:val="00CA12E3"/>
    <w:rsid w:val="00CA1476"/>
    <w:rsid w:val="00CA6611"/>
    <w:rsid w:val="00CA6AE6"/>
    <w:rsid w:val="00CA782F"/>
    <w:rsid w:val="00CB187B"/>
    <w:rsid w:val="00CB20CC"/>
    <w:rsid w:val="00CB2835"/>
    <w:rsid w:val="00CB3285"/>
    <w:rsid w:val="00CB4500"/>
    <w:rsid w:val="00CB6DDC"/>
    <w:rsid w:val="00CC0C72"/>
    <w:rsid w:val="00CC2BFD"/>
    <w:rsid w:val="00CC6F40"/>
    <w:rsid w:val="00CD253E"/>
    <w:rsid w:val="00CD3476"/>
    <w:rsid w:val="00CD6354"/>
    <w:rsid w:val="00CD64DF"/>
    <w:rsid w:val="00CE225F"/>
    <w:rsid w:val="00CE5A7A"/>
    <w:rsid w:val="00CF0B00"/>
    <w:rsid w:val="00CF2F50"/>
    <w:rsid w:val="00CF6198"/>
    <w:rsid w:val="00CF6E12"/>
    <w:rsid w:val="00D02919"/>
    <w:rsid w:val="00D04C61"/>
    <w:rsid w:val="00D05B8D"/>
    <w:rsid w:val="00D05B9B"/>
    <w:rsid w:val="00D065A2"/>
    <w:rsid w:val="00D079AA"/>
    <w:rsid w:val="00D07F00"/>
    <w:rsid w:val="00D1130F"/>
    <w:rsid w:val="00D1247D"/>
    <w:rsid w:val="00D16D8B"/>
    <w:rsid w:val="00D17B72"/>
    <w:rsid w:val="00D23362"/>
    <w:rsid w:val="00D3185C"/>
    <w:rsid w:val="00D3205F"/>
    <w:rsid w:val="00D3318E"/>
    <w:rsid w:val="00D33E72"/>
    <w:rsid w:val="00D35BD6"/>
    <w:rsid w:val="00D361B5"/>
    <w:rsid w:val="00D401DE"/>
    <w:rsid w:val="00D411A2"/>
    <w:rsid w:val="00D4606D"/>
    <w:rsid w:val="00D50B9C"/>
    <w:rsid w:val="00D513AF"/>
    <w:rsid w:val="00D52D73"/>
    <w:rsid w:val="00D52E58"/>
    <w:rsid w:val="00D56B20"/>
    <w:rsid w:val="00D578B3"/>
    <w:rsid w:val="00D618F4"/>
    <w:rsid w:val="00D63636"/>
    <w:rsid w:val="00D714CC"/>
    <w:rsid w:val="00D73C6B"/>
    <w:rsid w:val="00D75EA7"/>
    <w:rsid w:val="00D8085D"/>
    <w:rsid w:val="00D81ADF"/>
    <w:rsid w:val="00D81F21"/>
    <w:rsid w:val="00D864F2"/>
    <w:rsid w:val="00D86A53"/>
    <w:rsid w:val="00D93D5C"/>
    <w:rsid w:val="00D943F8"/>
    <w:rsid w:val="00D95470"/>
    <w:rsid w:val="00D96B55"/>
    <w:rsid w:val="00DA2619"/>
    <w:rsid w:val="00DA4239"/>
    <w:rsid w:val="00DA588C"/>
    <w:rsid w:val="00DA65DE"/>
    <w:rsid w:val="00DB0B61"/>
    <w:rsid w:val="00DB1474"/>
    <w:rsid w:val="00DB2962"/>
    <w:rsid w:val="00DB52FB"/>
    <w:rsid w:val="00DB56CC"/>
    <w:rsid w:val="00DC013B"/>
    <w:rsid w:val="00DC090B"/>
    <w:rsid w:val="00DC10DE"/>
    <w:rsid w:val="00DC1679"/>
    <w:rsid w:val="00DC219B"/>
    <w:rsid w:val="00DC2CF1"/>
    <w:rsid w:val="00DC2DC7"/>
    <w:rsid w:val="00DC2EA0"/>
    <w:rsid w:val="00DC3A7C"/>
    <w:rsid w:val="00DC4FCF"/>
    <w:rsid w:val="00DC50E0"/>
    <w:rsid w:val="00DC6386"/>
    <w:rsid w:val="00DC6B12"/>
    <w:rsid w:val="00DD1130"/>
    <w:rsid w:val="00DD1951"/>
    <w:rsid w:val="00DD487D"/>
    <w:rsid w:val="00DD4E83"/>
    <w:rsid w:val="00DD62E7"/>
    <w:rsid w:val="00DD6628"/>
    <w:rsid w:val="00DD6945"/>
    <w:rsid w:val="00DE2D04"/>
    <w:rsid w:val="00DE3250"/>
    <w:rsid w:val="00DE6028"/>
    <w:rsid w:val="00DE6C85"/>
    <w:rsid w:val="00DE7706"/>
    <w:rsid w:val="00DE78A3"/>
    <w:rsid w:val="00DF1A71"/>
    <w:rsid w:val="00DF49AE"/>
    <w:rsid w:val="00DF50FC"/>
    <w:rsid w:val="00DF68C7"/>
    <w:rsid w:val="00DF731A"/>
    <w:rsid w:val="00DF745A"/>
    <w:rsid w:val="00E06B75"/>
    <w:rsid w:val="00E07BA6"/>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57E9E"/>
    <w:rsid w:val="00E629A1"/>
    <w:rsid w:val="00E6764A"/>
    <w:rsid w:val="00E6794C"/>
    <w:rsid w:val="00E71591"/>
    <w:rsid w:val="00E71CEB"/>
    <w:rsid w:val="00E7474F"/>
    <w:rsid w:val="00E776EC"/>
    <w:rsid w:val="00E80DE3"/>
    <w:rsid w:val="00E82C55"/>
    <w:rsid w:val="00E8787B"/>
    <w:rsid w:val="00E8787E"/>
    <w:rsid w:val="00E92AC3"/>
    <w:rsid w:val="00EA183D"/>
    <w:rsid w:val="00EA2F6A"/>
    <w:rsid w:val="00EA6348"/>
    <w:rsid w:val="00EB00E0"/>
    <w:rsid w:val="00EB05D5"/>
    <w:rsid w:val="00EB3F8B"/>
    <w:rsid w:val="00EB472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E6AFA"/>
    <w:rsid w:val="00EE7F8F"/>
    <w:rsid w:val="00EF109B"/>
    <w:rsid w:val="00EF201C"/>
    <w:rsid w:val="00EF2C72"/>
    <w:rsid w:val="00EF36AF"/>
    <w:rsid w:val="00EF3C55"/>
    <w:rsid w:val="00EF59A3"/>
    <w:rsid w:val="00EF6675"/>
    <w:rsid w:val="00F0063D"/>
    <w:rsid w:val="00F00F9C"/>
    <w:rsid w:val="00F01E5F"/>
    <w:rsid w:val="00F024F3"/>
    <w:rsid w:val="00F02ABA"/>
    <w:rsid w:val="00F0437A"/>
    <w:rsid w:val="00F101B8"/>
    <w:rsid w:val="00F11037"/>
    <w:rsid w:val="00F16F1B"/>
    <w:rsid w:val="00F1769C"/>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4C1B"/>
    <w:rsid w:val="00F55B21"/>
    <w:rsid w:val="00F56EF6"/>
    <w:rsid w:val="00F60082"/>
    <w:rsid w:val="00F61A9F"/>
    <w:rsid w:val="00F61B5F"/>
    <w:rsid w:val="00F6334D"/>
    <w:rsid w:val="00F64696"/>
    <w:rsid w:val="00F65AA9"/>
    <w:rsid w:val="00F6708C"/>
    <w:rsid w:val="00F6768F"/>
    <w:rsid w:val="00F72C2C"/>
    <w:rsid w:val="00F741F2"/>
    <w:rsid w:val="00F76CAB"/>
    <w:rsid w:val="00F772C6"/>
    <w:rsid w:val="00F815B5"/>
    <w:rsid w:val="00F85195"/>
    <w:rsid w:val="00F868E3"/>
    <w:rsid w:val="00F92CAB"/>
    <w:rsid w:val="00F938BA"/>
    <w:rsid w:val="00F94C69"/>
    <w:rsid w:val="00F97919"/>
    <w:rsid w:val="00FA2C46"/>
    <w:rsid w:val="00FA3304"/>
    <w:rsid w:val="00FA3525"/>
    <w:rsid w:val="00FA5A53"/>
    <w:rsid w:val="00FA6F55"/>
    <w:rsid w:val="00FA740F"/>
    <w:rsid w:val="00FB1B7D"/>
    <w:rsid w:val="00FB1F6E"/>
    <w:rsid w:val="00FB28C4"/>
    <w:rsid w:val="00FB4769"/>
    <w:rsid w:val="00FB4CDA"/>
    <w:rsid w:val="00FB5212"/>
    <w:rsid w:val="00FB6481"/>
    <w:rsid w:val="00FB6D36"/>
    <w:rsid w:val="00FB7A50"/>
    <w:rsid w:val="00FC0965"/>
    <w:rsid w:val="00FC0F81"/>
    <w:rsid w:val="00FC252F"/>
    <w:rsid w:val="00FC395C"/>
    <w:rsid w:val="00FC5E8E"/>
    <w:rsid w:val="00FD1751"/>
    <w:rsid w:val="00FD21CA"/>
    <w:rsid w:val="00FD3766"/>
    <w:rsid w:val="00FD3D05"/>
    <w:rsid w:val="00FD47C4"/>
    <w:rsid w:val="00FD7B16"/>
    <w:rsid w:val="00FE2DCF"/>
    <w:rsid w:val="00FE3FA7"/>
    <w:rsid w:val="00FE4081"/>
    <w:rsid w:val="00FE4702"/>
    <w:rsid w:val="00FE5476"/>
    <w:rsid w:val="00FF2A4E"/>
    <w:rsid w:val="00FF2FCE"/>
    <w:rsid w:val="00FF4F7D"/>
    <w:rsid w:val="00FF5281"/>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942BB5C3-313B-424D-99F9-36A117C3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787068"/>
    <w:pPr>
      <w:ind w:left="720"/>
      <w:contextualSpacing/>
    </w:pPr>
  </w:style>
  <w:style w:type="paragraph" w:customStyle="1" w:styleId="DHHStabletext">
    <w:name w:val="DHHS table text"/>
    <w:uiPriority w:val="3"/>
    <w:qFormat/>
    <w:rsid w:val="00B76221"/>
    <w:pPr>
      <w:spacing w:before="80" w:after="60"/>
    </w:pPr>
    <w:rPr>
      <w:rFonts w:ascii="Arial" w:hAnsi="Arial"/>
      <w:sz w:val="21"/>
      <w:lang w:eastAsia="en-US"/>
    </w:rPr>
  </w:style>
  <w:style w:type="paragraph" w:customStyle="1" w:styleId="VEMDSubheadingnotTOC">
    <w:name w:val="VEMD Sub heading not TOC"/>
    <w:basedOn w:val="Normal"/>
    <w:qFormat/>
    <w:rsid w:val="00B76221"/>
    <w:pPr>
      <w:spacing w:before="120"/>
    </w:pPr>
    <w:rPr>
      <w:rFonts w:eastAsia="Times"/>
      <w:b/>
      <w:bCs/>
      <w:sz w:val="22"/>
    </w:rPr>
  </w:style>
  <w:style w:type="paragraph" w:customStyle="1" w:styleId="DHHSbullet1lastline">
    <w:name w:val="DHHS bullet 1 last line"/>
    <w:basedOn w:val="DHHSbullet1"/>
    <w:qFormat/>
    <w:rsid w:val="00CD253E"/>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CD253E"/>
    <w:pPr>
      <w:tabs>
        <w:tab w:val="clear" w:pos="794"/>
      </w:tabs>
      <w:spacing w:after="120" w:line="270" w:lineRule="atLeast"/>
      <w:ind w:left="567" w:hanging="283"/>
    </w:pPr>
    <w:rPr>
      <w:sz w:val="20"/>
    </w:rPr>
  </w:style>
  <w:style w:type="paragraph" w:customStyle="1" w:styleId="DHHStablebullet">
    <w:name w:val="DHHS table bullet"/>
    <w:basedOn w:val="DHHStabletext"/>
    <w:uiPriority w:val="3"/>
    <w:qFormat/>
    <w:rsid w:val="00CD253E"/>
    <w:pPr>
      <w:ind w:left="227" w:hanging="227"/>
    </w:pPr>
  </w:style>
  <w:style w:type="paragraph" w:customStyle="1" w:styleId="DHHSbulletindent">
    <w:name w:val="DHHS bullet indent"/>
    <w:basedOn w:val="DHHSbody"/>
    <w:uiPriority w:val="4"/>
    <w:rsid w:val="00CD253E"/>
    <w:pPr>
      <w:spacing w:after="40" w:line="270" w:lineRule="atLeast"/>
      <w:ind w:left="680" w:hanging="283"/>
    </w:pPr>
    <w:rPr>
      <w:sz w:val="20"/>
    </w:rPr>
  </w:style>
  <w:style w:type="paragraph" w:customStyle="1" w:styleId="DHHSbulletindentlastline">
    <w:name w:val="DHHS bullet indent last line"/>
    <w:basedOn w:val="DHHSbody"/>
    <w:uiPriority w:val="4"/>
    <w:rsid w:val="00CD253E"/>
    <w:pPr>
      <w:spacing w:line="270" w:lineRule="atLeast"/>
      <w:ind w:left="680"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hyperlink" Target="https://www.safercare.vic.gov.au/support-training/adverse-event-review-and-response/duty-of-cando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ealth.vic.gov.au/data-reporting/health-data-standards-and-systems-communications" TargetMode="External"/><Relationship Id="rId27" Type="http://schemas.openxmlformats.org/officeDocument/2006/relationships/image" Target="media/image6.png"/><Relationship Id="rId30" Type="http://schemas.openxmlformats.org/officeDocument/2006/relationships/hyperlink" Target="mailto:dutyofcandour@health.vic.gov.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20E109DD-7319-44B3-BA39-7DCDFFB31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11</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Specifications for revisions to the Agency Information Management System (AIMS) for 2023-24</vt:lpstr>
    </vt:vector>
  </TitlesOfParts>
  <Company>Victoria State Government, Department of Health</Company>
  <LinksUpToDate>false</LinksUpToDate>
  <CharactersWithSpaces>14659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Agency Information Management System (AIMS) for 2023-24</dc:title>
  <dc:subject>Specifications for revisions to the Agency Information Management System (AIMS) for 2023-24</dc:subject>
  <dc:creator>Health and System Performance Reporting</dc:creator>
  <cp:keywords>Specifications, AIMS, 2023-24</cp:keywords>
  <cp:revision>37</cp:revision>
  <cp:lastPrinted>2022-12-07T02:42:00Z</cp:lastPrinted>
  <dcterms:created xsi:type="dcterms:W3CDTF">2022-12-13T22:27:00Z</dcterms:created>
  <dcterms:modified xsi:type="dcterms:W3CDTF">2023-01-02T22:25:00Z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SIP_Label_43e64453-338c-4f93-8a4d-0039a0a41f2a_Enabled">
    <vt:lpwstr>true</vt:lpwstr>
  </property>
  <property fmtid="{D5CDD505-2E9C-101B-9397-08002B2CF9AE}" pid="16" name="MSIP_Label_43e64453-338c-4f93-8a4d-0039a0a41f2a_SetDate">
    <vt:lpwstr>2023-01-02T22:25:08Z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94165a44-8d65-4d4b-9cce-fd7566425151</vt:lpwstr>
  </property>
  <property fmtid="{D5CDD505-2E9C-101B-9397-08002B2CF9AE}" pid="21" name="MSIP_Label_43e64453-338c-4f93-8a4d-0039a0a41f2a_ContentBits">
    <vt:lpwstr>2</vt:lpwstr>
  </property>
</Properties>
</file>